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0F4D9" w14:textId="47C70188" w:rsidR="0016569D" w:rsidRDefault="00C7268B">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bCs/>
          <w:color w:val="000000"/>
          <w:sz w:val="36"/>
          <w:szCs w:val="36"/>
        </w:rPr>
      </w:pPr>
      <w:r>
        <w:rPr>
          <w:rFonts w:ascii="Arial" w:eastAsia="Arial" w:hAnsi="Arial" w:cs="Arial"/>
          <w:b/>
          <w:bCs/>
          <w:sz w:val="36"/>
          <w:szCs w:val="36"/>
        </w:rPr>
        <w:t>Micro-Computed Tomography as a tool for assessing bone loss related to experimental periodontal di</w:t>
      </w:r>
      <w:bookmarkStart w:id="0" w:name="_GoBack"/>
      <w:bookmarkEnd w:id="0"/>
      <w:r>
        <w:rPr>
          <w:rFonts w:ascii="Arial" w:eastAsia="Arial" w:hAnsi="Arial" w:cs="Arial"/>
          <w:b/>
          <w:bCs/>
          <w:sz w:val="36"/>
          <w:szCs w:val="36"/>
        </w:rPr>
        <w:t xml:space="preserve">sease: </w:t>
      </w:r>
      <w:r w:rsidR="000E0C42">
        <w:rPr>
          <w:rFonts w:ascii="Arial" w:eastAsia="Arial" w:hAnsi="Arial" w:cs="Arial"/>
          <w:b/>
          <w:bCs/>
          <w:sz w:val="36"/>
          <w:szCs w:val="36"/>
        </w:rPr>
        <w:t>A</w:t>
      </w:r>
      <w:r>
        <w:rPr>
          <w:rFonts w:ascii="Arial" w:eastAsia="Arial" w:hAnsi="Arial" w:cs="Arial"/>
          <w:b/>
          <w:bCs/>
          <w:sz w:val="36"/>
          <w:szCs w:val="36"/>
        </w:rPr>
        <w:t xml:space="preserve"> review</w:t>
      </w:r>
      <w:r>
        <w:rPr>
          <w:rFonts w:ascii="Arial" w:eastAsia="Arial" w:hAnsi="Arial" w:cs="Arial"/>
          <w:b/>
          <w:bCs/>
          <w:color w:val="000000"/>
          <w:sz w:val="36"/>
          <w:szCs w:val="36"/>
        </w:rPr>
        <w:t xml:space="preserve"> </w:t>
      </w:r>
    </w:p>
    <w:p w14:paraId="3C532E6B" w14:textId="77777777" w:rsidR="00A205BC" w:rsidRDefault="00A205BC">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bCs/>
          <w:color w:val="000000"/>
          <w:sz w:val="36"/>
          <w:szCs w:val="36"/>
        </w:rPr>
      </w:pPr>
    </w:p>
    <w:p w14:paraId="3B8DEE24" w14:textId="5E655ED3" w:rsidR="0016569D" w:rsidRDefault="0016569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lang w:val="pt-BR"/>
        </w:rPr>
      </w:pPr>
    </w:p>
    <w:p w14:paraId="71F3BD5C" w14:textId="2EB4642A" w:rsidR="004D3372" w:rsidRDefault="004D3372">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lang w:val="pt-BR"/>
        </w:rPr>
      </w:pPr>
    </w:p>
    <w:p w14:paraId="59736EE8" w14:textId="77777777" w:rsidR="004D3372" w:rsidRPr="00BC177A" w:rsidRDefault="004D3372">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lang w:val="pt-BR"/>
        </w:rPr>
      </w:pPr>
    </w:p>
    <w:p w14:paraId="4EF5B597"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16"/>
          <w:szCs w:val="16"/>
        </w:rPr>
        <w:sectPr w:rsidR="0016569D" w:rsidSect="004D3372">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IN" w:eastAsia="en-IN"/>
        </w:rPr>
        <mc:AlternateContent>
          <mc:Choice Requires="wps">
            <w:drawing>
              <wp:inline distT="0" distB="0" distL="114300" distR="114300" wp14:anchorId="3E597D4E" wp14:editId="0A28F294">
                <wp:extent cx="0" cy="19050"/>
                <wp:effectExtent l="0" t="0" r="0" b="0"/>
                <wp:docPr id="9" name="Freeform: Shape 9"/>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inline distB="0" distT="0" distL="114300" distR="114300">
                <wp:extent cx="0" cy="19050"/>
                <wp:effectExtent b="0" l="0" r="0" t="0"/>
                <wp:docPr id="9"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43444BE1" w14:textId="77777777" w:rsidR="0016569D" w:rsidRDefault="00C7268B">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ABSTRACT </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24"/>
      </w:tblGrid>
      <w:tr w:rsidR="0016569D" w14:paraId="1AA26496" w14:textId="77777777">
        <w:tc>
          <w:tcPr>
            <w:tcW w:w="842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F203989" w14:textId="6FD50F06" w:rsidR="000E0C42" w:rsidRDefault="000E0C42">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color w:val="000000"/>
              </w:rPr>
            </w:pPr>
            <w:r w:rsidRPr="00B01232">
              <w:rPr>
                <w:rFonts w:ascii="Arial" w:eastAsia="Arial" w:hAnsi="Arial" w:cs="Arial"/>
                <w:b/>
                <w:bCs/>
                <w:color w:val="000000"/>
                <w:highlight w:val="yellow"/>
              </w:rPr>
              <w:t xml:space="preserve">Background: </w:t>
            </w:r>
            <w:r w:rsidRPr="00B01232">
              <w:rPr>
                <w:rFonts w:ascii="Arial" w:eastAsia="Arial" w:hAnsi="Arial" w:cs="Arial"/>
                <w:highlight w:val="yellow"/>
              </w:rPr>
              <w:t>With continuous advancements in equipment and reconstruction algorithms, micro-CT has become increasingly accessible and essential for scientific research and industrial applications. Its ability to provide detailed quantitative and qualitative data reinforces its importance in material characterization and technological development.</w:t>
            </w:r>
          </w:p>
          <w:p w14:paraId="2E1FD167" w14:textId="524C05C0" w:rsidR="0016569D" w:rsidRDefault="00C7268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rPr>
            </w:pPr>
            <w:r>
              <w:rPr>
                <w:rFonts w:ascii="Arial" w:eastAsia="Arial" w:hAnsi="Arial" w:cs="Arial"/>
                <w:b/>
                <w:bCs/>
                <w:color w:val="000000"/>
              </w:rPr>
              <w:t xml:space="preserve">Aims: </w:t>
            </w:r>
            <w:r>
              <w:rPr>
                <w:rFonts w:ascii="Arial" w:eastAsia="Arial" w:hAnsi="Arial" w:cs="Arial"/>
              </w:rPr>
              <w:t>This study aimed to review recent research employing micro-CT to assess bone loss in animal models of periodontitis, exploring its applicability in measuring parameters such as bone volume (BV), bone mineral density (BMD), trabecular thickness (</w:t>
            </w:r>
            <w:proofErr w:type="spellStart"/>
            <w:proofErr w:type="gramStart"/>
            <w:r>
              <w:rPr>
                <w:rFonts w:ascii="Arial" w:eastAsia="Arial" w:hAnsi="Arial" w:cs="Arial"/>
              </w:rPr>
              <w:t>Tb.Th</w:t>
            </w:r>
            <w:proofErr w:type="spellEnd"/>
            <w:proofErr w:type="gramEnd"/>
            <w:r>
              <w:rPr>
                <w:rFonts w:ascii="Arial" w:eastAsia="Arial" w:hAnsi="Arial" w:cs="Arial"/>
              </w:rPr>
              <w:t>), connectivity, and the cementoenamel junction to alveolar bone crest distance (CEJ-ABC).</w:t>
            </w:r>
          </w:p>
          <w:p w14:paraId="15B12E05"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w:t>
            </w:r>
            <w:r>
              <w:rPr>
                <w:rFonts w:ascii="Arial" w:eastAsia="Arial" w:hAnsi="Arial" w:cs="Arial"/>
              </w:rPr>
              <w:t>Articles published during the last five years were selected from PubMed, Google Scholar, and Web of Science, focusing on studies written in English that used experimental rodent models.</w:t>
            </w:r>
          </w:p>
          <w:p w14:paraId="493F21E0"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color w:val="000000"/>
              </w:rPr>
            </w:pPr>
            <w:r>
              <w:rPr>
                <w:rFonts w:ascii="Arial" w:eastAsia="Arial" w:hAnsi="Arial" w:cs="Arial"/>
                <w:b/>
                <w:bCs/>
                <w:color w:val="000000"/>
              </w:rPr>
              <w:t>Results:</w:t>
            </w:r>
            <w:r>
              <w:rPr>
                <w:rFonts w:ascii="Arial" w:eastAsia="Arial" w:hAnsi="Arial" w:cs="Arial"/>
                <w:color w:val="000000"/>
              </w:rPr>
              <w:t xml:space="preserve"> </w:t>
            </w:r>
            <w:r>
              <w:rPr>
                <w:rFonts w:ascii="Arial" w:eastAsia="Arial" w:hAnsi="Arial" w:cs="Arial"/>
              </w:rPr>
              <w:t xml:space="preserve">The reviewed studies demonstrated that micro-CT enables precise assessment of bone resorption under various systemic conditions, pharmacological therapies, alternative interventions, and genetic modifications. Models combining chronic stress, metabolic syndrome, antibiotic use, probiotics, antipsychotics, and immunomodulatory compounds highlighted the versatility of micro-CT in detecting bone alterations. Additionally, the application of artificial intelligence, including deep learning algorithms, has enhanced accuracy and efficiency in volumetric analysis. The present review also incorporated unpublished data from an ongoing study showing the protective effect of dimethyl fumarate (DMF) on bone volume preservation in rats with ligature-induced periodontitis. The methodology included image reconstruction using </w:t>
            </w:r>
            <w:proofErr w:type="spellStart"/>
            <w:r>
              <w:rPr>
                <w:rFonts w:ascii="Arial" w:eastAsia="Arial" w:hAnsi="Arial" w:cs="Arial"/>
              </w:rPr>
              <w:t>NRecon</w:t>
            </w:r>
            <w:proofErr w:type="spellEnd"/>
            <w:r>
              <w:rPr>
                <w:rFonts w:ascii="Arial" w:eastAsia="Arial" w:hAnsi="Arial" w:cs="Arial"/>
              </w:rPr>
              <w:t xml:space="preserve">, standardization with </w:t>
            </w:r>
            <w:proofErr w:type="spellStart"/>
            <w:r>
              <w:rPr>
                <w:rFonts w:ascii="Arial" w:eastAsia="Arial" w:hAnsi="Arial" w:cs="Arial"/>
              </w:rPr>
              <w:t>DataViewer</w:t>
            </w:r>
            <w:proofErr w:type="spellEnd"/>
            <w:r>
              <w:rPr>
                <w:rFonts w:ascii="Arial" w:eastAsia="Arial" w:hAnsi="Arial" w:cs="Arial"/>
              </w:rPr>
              <w:t xml:space="preserve">, three-dimensional analysis in </w:t>
            </w:r>
            <w:proofErr w:type="spellStart"/>
            <w:r>
              <w:rPr>
                <w:rFonts w:ascii="Arial" w:eastAsia="Arial" w:hAnsi="Arial" w:cs="Arial"/>
              </w:rPr>
              <w:t>CTAn</w:t>
            </w:r>
            <w:proofErr w:type="spellEnd"/>
            <w:r>
              <w:rPr>
                <w:rFonts w:ascii="Arial" w:eastAsia="Arial" w:hAnsi="Arial" w:cs="Arial"/>
              </w:rPr>
              <w:t xml:space="preserve">, and 3D rendering with </w:t>
            </w:r>
            <w:proofErr w:type="spellStart"/>
            <w:r>
              <w:rPr>
                <w:rFonts w:ascii="Arial" w:eastAsia="Arial" w:hAnsi="Arial" w:cs="Arial"/>
              </w:rPr>
              <w:t>CTvox</w:t>
            </w:r>
            <w:proofErr w:type="spellEnd"/>
            <w:r>
              <w:rPr>
                <w:rFonts w:ascii="Arial" w:eastAsia="Arial" w:hAnsi="Arial" w:cs="Arial"/>
              </w:rPr>
              <w:t>. These procedures enabled precise segmentation of the region of interest (ROI) and detailed measurement of bone loss. The review emphasizes that micro-CT provides essential morphological and quantitative information to advance periodontal research, particularly due to its high resolution, reproducibility, and ability to integrate structural and functional data.</w:t>
            </w:r>
          </w:p>
          <w:p w14:paraId="160360B9" w14:textId="24868060" w:rsidR="0016569D" w:rsidRDefault="00C7268B" w:rsidP="008A1B7F">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rPr>
            </w:pPr>
            <w:proofErr w:type="spellStart"/>
            <w:r>
              <w:rPr>
                <w:rFonts w:ascii="Arial" w:eastAsia="Arial" w:hAnsi="Arial" w:cs="Arial"/>
                <w:b/>
                <w:bCs/>
                <w:color w:val="000000"/>
              </w:rPr>
              <w:t>Conclusion:</w:t>
            </w:r>
            <w:r w:rsidR="008A1B7F" w:rsidRPr="00B01232">
              <w:rPr>
                <w:rFonts w:ascii="Arial" w:eastAsia="Arial" w:hAnsi="Arial" w:cs="Arial"/>
                <w:highlight w:val="yellow"/>
              </w:rPr>
              <w:t>It</w:t>
            </w:r>
            <w:proofErr w:type="spellEnd"/>
            <w:r w:rsidR="008A1B7F" w:rsidRPr="00B01232">
              <w:rPr>
                <w:rFonts w:ascii="Arial" w:eastAsia="Arial" w:hAnsi="Arial" w:cs="Arial"/>
                <w:highlight w:val="yellow"/>
              </w:rPr>
              <w:t xml:space="preserve"> is concluded that</w:t>
            </w:r>
            <w:r w:rsidRPr="00B01232">
              <w:rPr>
                <w:rFonts w:ascii="Arial" w:eastAsia="Arial" w:hAnsi="Arial" w:cs="Arial"/>
                <w:highlight w:val="yellow"/>
              </w:rPr>
              <w:t xml:space="preserve"> micro</w:t>
            </w:r>
            <w:r>
              <w:rPr>
                <w:rFonts w:ascii="Arial" w:eastAsia="Arial" w:hAnsi="Arial" w:cs="Arial"/>
              </w:rPr>
              <w:t>-computed tomography represents an indispensable tool for analyzing bone structure in periodontitis studies, significantly contributing to the development of more effective and personalized diagnostic and therapeutic strategies.</w:t>
            </w:r>
          </w:p>
        </w:tc>
      </w:tr>
    </w:tbl>
    <w:p w14:paraId="62F99DFD" w14:textId="77777777" w:rsidR="0016569D" w:rsidRDefault="0016569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i/>
          <w:iCs/>
          <w:color w:val="000000"/>
        </w:rPr>
      </w:pPr>
    </w:p>
    <w:p w14:paraId="1D2EE866"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i/>
          <w:iCs/>
          <w:color w:val="000000"/>
        </w:rPr>
      </w:pPr>
      <w:r>
        <w:rPr>
          <w:rFonts w:ascii="Arial" w:eastAsia="Arial" w:hAnsi="Arial" w:cs="Arial"/>
          <w:i/>
          <w:iCs/>
          <w:color w:val="000000"/>
        </w:rPr>
        <w:t xml:space="preserve">Keywords: </w:t>
      </w:r>
      <w:r>
        <w:rPr>
          <w:rFonts w:ascii="Arial" w:eastAsia="Arial" w:hAnsi="Arial" w:cs="Arial"/>
          <w:i/>
          <w:iCs/>
        </w:rPr>
        <w:t>Micro-computed tomography, Periodontitis, Animal models, Three-dimensional imaging.</w:t>
      </w:r>
    </w:p>
    <w:p w14:paraId="2B9663B4" w14:textId="77777777" w:rsidR="0016569D" w:rsidRDefault="0016569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i/>
          <w:iCs/>
          <w:color w:val="000000"/>
        </w:rPr>
      </w:pPr>
    </w:p>
    <w:p w14:paraId="437BB147" w14:textId="77777777" w:rsidR="0016569D" w:rsidRDefault="0016569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i/>
          <w:iCs/>
        </w:rPr>
      </w:pPr>
    </w:p>
    <w:p w14:paraId="7B4CD62B" w14:textId="2D31D194" w:rsidR="0016569D" w:rsidRDefault="00C7268B">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716AE721" w14:textId="77777777" w:rsidR="00B01232" w:rsidRDefault="00B01232">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rPr>
      </w:pPr>
    </w:p>
    <w:p w14:paraId="4DC1269B" w14:textId="7ACF9042" w:rsidR="0016569D" w:rsidRDefault="00500D01">
      <w:pPr>
        <w:ind w:firstLine="400"/>
        <w:jc w:val="both"/>
        <w:rPr>
          <w:rFonts w:ascii="Arial" w:eastAsia="Arial" w:hAnsi="Arial" w:cs="Arial"/>
        </w:rPr>
      </w:pPr>
      <w:r w:rsidRPr="00B01232">
        <w:rPr>
          <w:rFonts w:ascii="Arial" w:eastAsia="Arial" w:hAnsi="Arial" w:cs="Arial"/>
          <w:highlight w:val="yellow"/>
        </w:rPr>
        <w:t>Periodontal diseases are inflammatory conditions affecting the gingiva and the dental supporting tissues. It is recognized as a global public health problem that affects the overall quality of life and health of individuals. The inflammatory response initiated in the gingiva due to host–microorganism interaction spreads to the supporting tissues of the teeth, leading to destruction of periodontal ligament fibers and alveolar bone loss</w:t>
      </w:r>
      <w:r w:rsidRPr="00500D01">
        <w:rPr>
          <w:rFonts w:ascii="Arial" w:eastAsia="Arial" w:hAnsi="Arial" w:cs="Arial"/>
          <w:highlight w:val="yellow"/>
        </w:rPr>
        <w:t xml:space="preserve"> (</w:t>
      </w:r>
      <w:proofErr w:type="spellStart"/>
      <w:r w:rsidR="00B01232" w:rsidRPr="00B01232">
        <w:rPr>
          <w:rFonts w:ascii="Arial" w:eastAsia="Times New Roman" w:hAnsi="Arial" w:cs="Arial"/>
          <w:color w:val="333333"/>
          <w:sz w:val="22"/>
          <w:szCs w:val="27"/>
          <w:highlight w:val="yellow"/>
          <w:lang w:val="en-IN" w:eastAsia="en-IN"/>
        </w:rPr>
        <w:t>Ohamaeme</w:t>
      </w:r>
      <w:proofErr w:type="spellEnd"/>
      <w:r w:rsidR="00B01232" w:rsidRPr="00B01232">
        <w:rPr>
          <w:rFonts w:ascii="Consolas" w:eastAsia="Times New Roman" w:hAnsi="Consolas" w:cs="Consolas"/>
          <w:sz w:val="24"/>
          <w:szCs w:val="24"/>
          <w:highlight w:val="yellow"/>
          <w:lang w:val="en-IN" w:eastAsia="en-IN"/>
        </w:rPr>
        <w:t xml:space="preserve"> </w:t>
      </w:r>
      <w:r w:rsidR="00B01232">
        <w:rPr>
          <w:rFonts w:ascii="Consolas" w:eastAsia="Times New Roman" w:hAnsi="Consolas" w:cs="Consolas"/>
          <w:sz w:val="24"/>
          <w:szCs w:val="24"/>
          <w:highlight w:val="yellow"/>
          <w:lang w:val="en-IN" w:eastAsia="en-IN"/>
        </w:rPr>
        <w:t xml:space="preserve">et al., </w:t>
      </w:r>
      <w:r w:rsidR="00B01232">
        <w:rPr>
          <w:rFonts w:ascii="Consolas" w:eastAsia="Times New Roman" w:hAnsi="Consolas" w:cs="Consolas"/>
          <w:sz w:val="24"/>
          <w:szCs w:val="24"/>
          <w:highlight w:val="yellow"/>
          <w:lang w:val="en-IN" w:eastAsia="en-IN"/>
        </w:rPr>
        <w:lastRenderedPageBreak/>
        <w:t xml:space="preserve">2018; </w:t>
      </w:r>
      <w:proofErr w:type="spellStart"/>
      <w:r w:rsidRPr="00B01232">
        <w:rPr>
          <w:rFonts w:ascii="Consolas" w:eastAsia="Times New Roman" w:hAnsi="Consolas" w:cs="Consolas"/>
          <w:sz w:val="24"/>
          <w:szCs w:val="24"/>
          <w:highlight w:val="yellow"/>
          <w:lang w:val="en-IN" w:eastAsia="en-IN"/>
        </w:rPr>
        <w:t>Sağlam</w:t>
      </w:r>
      <w:proofErr w:type="spellEnd"/>
      <w:r w:rsidRPr="00B01232">
        <w:rPr>
          <w:rFonts w:ascii="Consolas" w:eastAsia="Times New Roman" w:hAnsi="Consolas" w:cs="Consolas"/>
          <w:sz w:val="24"/>
          <w:szCs w:val="24"/>
          <w:highlight w:val="yellow"/>
          <w:lang w:val="en-IN" w:eastAsia="en-IN"/>
        </w:rPr>
        <w:t xml:space="preserve"> and </w:t>
      </w:r>
      <w:proofErr w:type="spellStart"/>
      <w:r w:rsidRPr="00B01232">
        <w:rPr>
          <w:rFonts w:ascii="Consolas" w:eastAsia="Times New Roman" w:hAnsi="Consolas" w:cs="Consolas"/>
          <w:sz w:val="24"/>
          <w:szCs w:val="24"/>
          <w:highlight w:val="yellow"/>
          <w:lang w:val="en-IN" w:eastAsia="en-IN"/>
        </w:rPr>
        <w:t>Dağ</w:t>
      </w:r>
      <w:proofErr w:type="spellEnd"/>
      <w:r w:rsidRPr="00B01232">
        <w:rPr>
          <w:rFonts w:ascii="Consolas" w:eastAsia="Times New Roman" w:hAnsi="Consolas" w:cs="Consolas"/>
          <w:sz w:val="24"/>
          <w:szCs w:val="24"/>
          <w:highlight w:val="yellow"/>
          <w:lang w:val="en-IN" w:eastAsia="en-IN"/>
        </w:rPr>
        <w:t>, 2025</w:t>
      </w:r>
      <w:r>
        <w:rPr>
          <w:rFonts w:ascii="Arial" w:eastAsia="Arial" w:hAnsi="Arial" w:cs="Arial"/>
          <w:highlight w:val="yellow"/>
        </w:rPr>
        <w:t>)</w:t>
      </w:r>
      <w:r w:rsidRPr="00B01232">
        <w:rPr>
          <w:rFonts w:ascii="Arial" w:eastAsia="Arial" w:hAnsi="Arial" w:cs="Arial"/>
          <w:highlight w:val="yellow"/>
        </w:rPr>
        <w:t>.</w:t>
      </w:r>
      <w:r>
        <w:rPr>
          <w:rFonts w:ascii="Arial" w:eastAsia="Arial" w:hAnsi="Arial" w:cs="Arial"/>
        </w:rPr>
        <w:t xml:space="preserve"> </w:t>
      </w:r>
      <w:r w:rsidR="00C7268B">
        <w:rPr>
          <w:rFonts w:ascii="Arial" w:eastAsia="Arial" w:hAnsi="Arial" w:cs="Arial"/>
        </w:rPr>
        <w:t xml:space="preserve">Micro-computed tomography (micro-CT) is an advanced three-dimensional imaging technique that uses X-rays to obtain high-resolution micrometric images. Based on the same principles as conventional computed tomography, micro-CT enables internal visualization of materials and biological structures without the need for physical sectioning, making it an essential tool across multiple fields of science and engineering (Schulz </w:t>
      </w:r>
      <w:r w:rsidR="00C7268B">
        <w:rPr>
          <w:rFonts w:ascii="Arial" w:eastAsia="Arial" w:hAnsi="Arial" w:cs="Arial"/>
          <w:i/>
          <w:iCs/>
        </w:rPr>
        <w:t>et al.</w:t>
      </w:r>
      <w:r w:rsidR="00C7268B">
        <w:rPr>
          <w:rFonts w:ascii="Arial" w:eastAsia="Arial" w:hAnsi="Arial" w:cs="Arial"/>
        </w:rPr>
        <w:t xml:space="preserve">, 2012). The operation of micro-CT involves acquiring multiple projections of the sample at different angles, which are subsequently processed by computational algorithms for three-dimensional reconstruction. Image quality depends on factors such as detector resolution, X-ray source power, and the application of mathematical filters. In some cases, contrast agents are used to improve the distinction between structures with similar densities (Schulz </w:t>
      </w:r>
      <w:r w:rsidR="00C7268B">
        <w:rPr>
          <w:rFonts w:ascii="Arial" w:eastAsia="Arial" w:hAnsi="Arial" w:cs="Arial"/>
          <w:i/>
          <w:iCs/>
        </w:rPr>
        <w:t>et al.</w:t>
      </w:r>
      <w:r w:rsidR="00C7268B">
        <w:rPr>
          <w:rFonts w:ascii="Arial" w:eastAsia="Arial" w:hAnsi="Arial" w:cs="Arial"/>
        </w:rPr>
        <w:t>, 2012).</w:t>
      </w:r>
    </w:p>
    <w:p w14:paraId="05F2F33C" w14:textId="77777777" w:rsidR="0016569D" w:rsidRDefault="00C7268B">
      <w:pPr>
        <w:ind w:firstLine="400"/>
        <w:jc w:val="both"/>
        <w:rPr>
          <w:rFonts w:ascii="Arial" w:eastAsia="Arial" w:hAnsi="Arial" w:cs="Arial"/>
        </w:rPr>
      </w:pPr>
      <w:r>
        <w:rPr>
          <w:rFonts w:ascii="Arial" w:eastAsia="Arial" w:hAnsi="Arial" w:cs="Arial"/>
        </w:rPr>
        <w:t>In the biomedical field, the technique has gained prominence in the analysis of bone tissues, biomaterials, and implants, enabling detailed assessment of mineral density, porosity, and material–tissue integration. In Dentistry, its applications include studies of dental morphology, degradation of restorative materials, and the effectiveness of endodontic treatments. This non-invasive approach provides a more accurate understanding of the interactions between materials and biological tissues (Ghavami-</w:t>
      </w:r>
      <w:proofErr w:type="spellStart"/>
      <w:r>
        <w:rPr>
          <w:rFonts w:ascii="Arial" w:eastAsia="Arial" w:hAnsi="Arial" w:cs="Arial"/>
        </w:rPr>
        <w:t>Lahiji</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2021; Vásárhelyi </w:t>
      </w:r>
      <w:r>
        <w:rPr>
          <w:rFonts w:ascii="Arial" w:eastAsia="Arial" w:hAnsi="Arial" w:cs="Arial"/>
          <w:i/>
          <w:iCs/>
        </w:rPr>
        <w:t>et al.</w:t>
      </w:r>
      <w:r>
        <w:rPr>
          <w:rFonts w:ascii="Arial" w:eastAsia="Arial" w:hAnsi="Arial" w:cs="Arial"/>
        </w:rPr>
        <w:t>, 2020).</w:t>
      </w:r>
    </w:p>
    <w:p w14:paraId="5469FFFD" w14:textId="67BD2596" w:rsidR="0016569D" w:rsidRDefault="00C7268B">
      <w:pPr>
        <w:ind w:firstLine="400"/>
        <w:jc w:val="both"/>
        <w:rPr>
          <w:rFonts w:ascii="Arial" w:eastAsia="Arial" w:hAnsi="Arial" w:cs="Arial"/>
        </w:rPr>
      </w:pPr>
      <w:r>
        <w:rPr>
          <w:rFonts w:ascii="Arial" w:eastAsia="Arial" w:hAnsi="Arial" w:cs="Arial"/>
        </w:rPr>
        <w:t>With continuous advancements in equipment and reconstruction algorithms, micro-CT has become increasingly accessible and essential for scientific research and industrial applications. Its ability to provide detailed quantitative and qualitative data reinforces its importance in material characterization and technological development. Consequently, micro-CT has emerged as a valuable tool for three-dimensional analysis of bone structure in periodontitis studies. This technique enables quantitative and qualitative evaluation of alveolar bone loss without invasive dissection, providing high-resolution images with precise structural detail. Studies indicate that micro-CT allows measurement of parameters such as bone volume, bone mineral density, and alveolar crest thickness, offering greater accuracy than conventional two-dimensional methods such as intraoral radiographs (</w:t>
      </w:r>
      <w:proofErr w:type="spellStart"/>
      <w:r>
        <w:rPr>
          <w:rFonts w:ascii="Arial" w:eastAsia="Arial" w:hAnsi="Arial" w:cs="Arial"/>
        </w:rPr>
        <w:t>Catunda</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2021; Choi </w:t>
      </w:r>
      <w:r>
        <w:rPr>
          <w:rFonts w:ascii="Arial" w:eastAsia="Arial" w:hAnsi="Arial" w:cs="Arial"/>
          <w:i/>
          <w:iCs/>
        </w:rPr>
        <w:t>et al.</w:t>
      </w:r>
      <w:r>
        <w:rPr>
          <w:rFonts w:ascii="Arial" w:eastAsia="Arial" w:hAnsi="Arial" w:cs="Arial"/>
        </w:rPr>
        <w:t>, 2022).</w:t>
      </w:r>
      <w:r w:rsidR="00500D01">
        <w:rPr>
          <w:rFonts w:ascii="Arial" w:eastAsia="Arial" w:hAnsi="Arial" w:cs="Arial"/>
        </w:rPr>
        <w:t xml:space="preserve"> </w:t>
      </w:r>
      <w:r w:rsidR="00500D01" w:rsidRPr="00B01232">
        <w:rPr>
          <w:rFonts w:ascii="Arial" w:hAnsi="Arial" w:cs="Arial"/>
          <w:color w:val="222222"/>
          <w:highlight w:val="yellow"/>
          <w:shd w:val="clear" w:color="auto" w:fill="FFFFFF"/>
        </w:rPr>
        <w:t>Loss of alveolar bone occurs as a consequence of pathogenic microorganisms, or the red-complex bacteria due to the host and the bacteria-induced inflammatory response.  It is manifested clinically by losing the surrounding soft tissue that anchors and attaches the teeth with the underlying alveolar bone. A diagnosis can be established via a clinical examination of the gingival tissues, and radiographically by checking the interdental bone loss. The alveolar bone loss is directly related to the survival of teeth in the oral cavity. Alveolar bone loss measurement in radiography is a difficult task</w:t>
      </w:r>
      <w:r w:rsidR="00500D01" w:rsidRPr="00500D01">
        <w:rPr>
          <w:rFonts w:ascii="Arial" w:hAnsi="Arial" w:cs="Arial"/>
          <w:color w:val="222222"/>
          <w:highlight w:val="yellow"/>
          <w:shd w:val="clear" w:color="auto" w:fill="FFFFFF"/>
        </w:rPr>
        <w:t xml:space="preserve"> (</w:t>
      </w:r>
      <w:proofErr w:type="spellStart"/>
      <w:r w:rsidR="00500D01" w:rsidRPr="00B01232">
        <w:rPr>
          <w:rFonts w:ascii="Arial" w:eastAsia="Times New Roman" w:hAnsi="Arial" w:cs="Arial"/>
          <w:color w:val="333333"/>
          <w:sz w:val="18"/>
          <w:szCs w:val="27"/>
          <w:highlight w:val="yellow"/>
          <w:lang w:val="en-IN" w:eastAsia="en-IN"/>
        </w:rPr>
        <w:t>Viana</w:t>
      </w:r>
      <w:proofErr w:type="spellEnd"/>
      <w:r w:rsidR="00500D01" w:rsidRPr="00B01232">
        <w:rPr>
          <w:rFonts w:ascii="inherit" w:eastAsia="Times New Roman" w:hAnsi="inherit" w:cs="Times New Roman"/>
          <w:color w:val="222222"/>
          <w:sz w:val="16"/>
          <w:szCs w:val="18"/>
          <w:highlight w:val="yellow"/>
          <w:lang w:val="en-IN" w:eastAsia="en-IN"/>
        </w:rPr>
        <w:t xml:space="preserve"> </w:t>
      </w:r>
      <w:r w:rsidR="00500D01">
        <w:rPr>
          <w:rFonts w:ascii="inherit" w:eastAsia="Times New Roman" w:hAnsi="inherit" w:cs="Times New Roman"/>
          <w:color w:val="222222"/>
          <w:sz w:val="18"/>
          <w:szCs w:val="18"/>
          <w:highlight w:val="yellow"/>
          <w:lang w:val="en-IN" w:eastAsia="en-IN"/>
        </w:rPr>
        <w:t xml:space="preserve">et al., 2024; </w:t>
      </w:r>
      <w:proofErr w:type="spellStart"/>
      <w:r w:rsidR="00500D01" w:rsidRPr="00B01232">
        <w:rPr>
          <w:rFonts w:ascii="inherit" w:eastAsia="Times New Roman" w:hAnsi="inherit" w:cs="Times New Roman"/>
          <w:color w:val="222222"/>
          <w:sz w:val="18"/>
          <w:szCs w:val="18"/>
          <w:highlight w:val="yellow"/>
          <w:lang w:val="en-IN" w:eastAsia="en-IN"/>
        </w:rPr>
        <w:t>Maithri</w:t>
      </w:r>
      <w:proofErr w:type="spellEnd"/>
      <w:r w:rsidR="00500D01" w:rsidRPr="00B01232">
        <w:rPr>
          <w:rFonts w:ascii="inherit" w:eastAsia="Times New Roman" w:hAnsi="inherit" w:cs="Times New Roman"/>
          <w:color w:val="222222"/>
          <w:sz w:val="18"/>
          <w:szCs w:val="18"/>
          <w:highlight w:val="yellow"/>
          <w:lang w:val="en-IN" w:eastAsia="en-IN"/>
        </w:rPr>
        <w:t xml:space="preserve"> et al., 2022</w:t>
      </w:r>
      <w:r w:rsidR="00500D01" w:rsidRPr="00500D01">
        <w:rPr>
          <w:rFonts w:ascii="Arial" w:hAnsi="Arial" w:cs="Arial"/>
          <w:color w:val="222222"/>
          <w:highlight w:val="yellow"/>
          <w:shd w:val="clear" w:color="auto" w:fill="FFFFFF"/>
        </w:rPr>
        <w:t>)</w:t>
      </w:r>
      <w:r w:rsidR="00500D01" w:rsidRPr="00B01232">
        <w:rPr>
          <w:rFonts w:ascii="Arial" w:hAnsi="Arial" w:cs="Arial"/>
          <w:color w:val="222222"/>
          <w:highlight w:val="yellow"/>
          <w:shd w:val="clear" w:color="auto" w:fill="FFFFFF"/>
        </w:rPr>
        <w:t>.</w:t>
      </w:r>
      <w:r w:rsidR="00500D01">
        <w:rPr>
          <w:rFonts w:ascii="Arial" w:hAnsi="Arial" w:cs="Arial"/>
          <w:color w:val="222222"/>
          <w:shd w:val="clear" w:color="auto" w:fill="FFFFFF"/>
        </w:rPr>
        <w:t xml:space="preserve">  </w:t>
      </w:r>
    </w:p>
    <w:p w14:paraId="018E79C9" w14:textId="77777777" w:rsidR="0016569D" w:rsidRDefault="00C7268B">
      <w:pPr>
        <w:ind w:firstLine="400"/>
        <w:jc w:val="both"/>
        <w:rPr>
          <w:rFonts w:ascii="Arial" w:eastAsia="Arial" w:hAnsi="Arial" w:cs="Arial"/>
        </w:rPr>
      </w:pPr>
      <w:r>
        <w:rPr>
          <w:rFonts w:ascii="Arial" w:eastAsia="Arial" w:hAnsi="Arial" w:cs="Arial"/>
        </w:rPr>
        <w:t xml:space="preserve">Beyond its precision in quantifying bone loss, micro-CT is widely used to evaluate the effects of different periodontal therapies, including biomaterials and pharmacological agents. Research has shown that the technique supports the analysis of bone repair processes in experimental periodontitis models, enabling detailed comparison between treated and control groups (Furquim </w:t>
      </w:r>
      <w:r>
        <w:rPr>
          <w:rFonts w:ascii="Arial" w:eastAsia="Arial" w:hAnsi="Arial" w:cs="Arial"/>
          <w:i/>
          <w:iCs/>
        </w:rPr>
        <w:t>et al.</w:t>
      </w:r>
      <w:r>
        <w:rPr>
          <w:rFonts w:ascii="Arial" w:eastAsia="Arial" w:hAnsi="Arial" w:cs="Arial"/>
        </w:rPr>
        <w:t xml:space="preserve">, 2021). Thus, micro-CT not only quantifies bone resorption but also provides insights into the effectiveness of innovative therapeutic approaches, contributing to the development of new treatments (Troian-Michel </w:t>
      </w:r>
      <w:r>
        <w:rPr>
          <w:rFonts w:ascii="Arial" w:eastAsia="Arial" w:hAnsi="Arial" w:cs="Arial"/>
          <w:i/>
          <w:iCs/>
        </w:rPr>
        <w:t>et al</w:t>
      </w:r>
      <w:r>
        <w:rPr>
          <w:rFonts w:ascii="Arial" w:eastAsia="Arial" w:hAnsi="Arial" w:cs="Arial"/>
        </w:rPr>
        <w:t>., 2025). Another important advantage is its ability to assess bone architecture at multiple levels, including trabecular microarchitecture. Studies indicate that alterations in bone connectivity and porosity can be identified early using this technique, aiding in understanding the mechanisms underlying periodontitis progression (Zheng &amp; Han; Souza, 2021).</w:t>
      </w:r>
    </w:p>
    <w:p w14:paraId="51E2C493" w14:textId="77777777" w:rsidR="0016569D" w:rsidRDefault="00C7268B">
      <w:pPr>
        <w:ind w:firstLine="400"/>
        <w:jc w:val="both"/>
        <w:rPr>
          <w:rFonts w:ascii="Arial" w:eastAsia="Arial" w:hAnsi="Arial" w:cs="Arial"/>
        </w:rPr>
      </w:pPr>
      <w:r>
        <w:rPr>
          <w:rFonts w:ascii="Arial" w:eastAsia="Arial" w:hAnsi="Arial" w:cs="Arial"/>
        </w:rPr>
        <w:t>Its application in translational research has supported the development of more effective clinical protocols for diagnosing and managing periodontal disease. Thus, micro-computed tomography has established itself as an essential method for investigating bone loss associated with periodontitis, enabling significant advancements in modern periodontology. Therefore, the objective of this study was to compile relevant literature applying micro-computed tomography as a tool for assessing bone loss caused by experimental periodontal disease.</w:t>
      </w:r>
    </w:p>
    <w:p w14:paraId="039C09DC" w14:textId="77777777" w:rsidR="0016569D" w:rsidRDefault="0016569D">
      <w:pPr>
        <w:ind w:firstLine="400"/>
        <w:jc w:val="both"/>
        <w:rPr>
          <w:rFonts w:ascii="Arial" w:eastAsia="Arial" w:hAnsi="Arial" w:cs="Arial"/>
        </w:rPr>
      </w:pPr>
    </w:p>
    <w:p w14:paraId="1432DC52" w14:textId="77777777" w:rsidR="0016569D" w:rsidRDefault="00C7268B">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methodology </w:t>
      </w:r>
    </w:p>
    <w:p w14:paraId="7E3AED62"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ind w:firstLine="400"/>
        <w:jc w:val="both"/>
        <w:rPr>
          <w:rFonts w:ascii="Arial" w:eastAsia="Arial" w:hAnsi="Arial" w:cs="Arial"/>
          <w:color w:val="000000"/>
        </w:rPr>
      </w:pPr>
      <w:r>
        <w:rPr>
          <w:rFonts w:ascii="Arial" w:eastAsia="Arial" w:hAnsi="Arial" w:cs="Arial"/>
        </w:rPr>
        <w:t xml:space="preserve">To better understand the use of micro-computed tomography in evaluating periodontitis, an advanced search was conducted in the PubMed, Google Scholar, and Web of Science databases using the keyword: “Microtomography and periodontitis.” As inclusion criteria, ten </w:t>
      </w:r>
      <w:r>
        <w:rPr>
          <w:rFonts w:ascii="Arial" w:eastAsia="Arial" w:hAnsi="Arial" w:cs="Arial"/>
        </w:rPr>
        <w:lastRenderedPageBreak/>
        <w:t>articles published in the last five years and written in English were selected. As exclusion criteria, studies not written in English and/or outside the scope of the search were discarded.</w:t>
      </w:r>
    </w:p>
    <w:p w14:paraId="35B1C043" w14:textId="77777777" w:rsidR="0016569D" w:rsidRDefault="0016569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rPr>
      </w:pPr>
    </w:p>
    <w:p w14:paraId="7F29A753" w14:textId="77777777" w:rsidR="0016569D" w:rsidRDefault="00C7268B">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literature review</w:t>
      </w:r>
    </w:p>
    <w:p w14:paraId="7C0504F3" w14:textId="77777777" w:rsidR="0016569D" w:rsidRDefault="00C7268B">
      <w:pPr>
        <w:pStyle w:val="Heading2"/>
        <w:keepNext w:val="0"/>
        <w:keepLines w:val="0"/>
        <w:spacing w:before="0" w:after="0"/>
        <w:jc w:val="both"/>
        <w:rPr>
          <w:rFonts w:ascii="Arial" w:eastAsia="Arial" w:hAnsi="Arial" w:cs="Arial"/>
          <w:sz w:val="20"/>
          <w:szCs w:val="20"/>
        </w:rPr>
      </w:pPr>
      <w:bookmarkStart w:id="1" w:name="_heading=h.rxudsewket14" w:colFirst="0" w:colLast="0"/>
      <w:bookmarkEnd w:id="1"/>
      <w:r>
        <w:rPr>
          <w:rFonts w:ascii="Arial" w:eastAsia="Arial" w:hAnsi="Arial" w:cs="Arial"/>
          <w:sz w:val="20"/>
          <w:szCs w:val="20"/>
        </w:rPr>
        <w:t>3.1 Periodontitis</w:t>
      </w:r>
    </w:p>
    <w:p w14:paraId="679BCA66" w14:textId="77777777" w:rsidR="0016569D" w:rsidRDefault="00C7268B">
      <w:pPr>
        <w:ind w:firstLine="400"/>
        <w:jc w:val="both"/>
        <w:rPr>
          <w:rFonts w:ascii="Arial" w:eastAsia="Arial" w:hAnsi="Arial" w:cs="Arial"/>
        </w:rPr>
      </w:pPr>
      <w:r>
        <w:rPr>
          <w:rFonts w:ascii="Arial" w:eastAsia="Arial" w:hAnsi="Arial" w:cs="Arial"/>
        </w:rPr>
        <w:t xml:space="preserve">Periodontitis is a multifactorial chronic inflammatory disease that affects the tooth-supporting tissues, characterized by progressive destruction of the periodontal ligament, alveolar bone resorption, and the formation of periodontal pockets (Martínez-García </w:t>
      </w:r>
      <w:r>
        <w:rPr>
          <w:rFonts w:ascii="Arial" w:eastAsia="Arial" w:hAnsi="Arial" w:cs="Arial"/>
          <w:i/>
          <w:iCs/>
        </w:rPr>
        <w:t>et al.</w:t>
      </w:r>
      <w:r>
        <w:rPr>
          <w:rFonts w:ascii="Arial" w:eastAsia="Arial" w:hAnsi="Arial" w:cs="Arial"/>
        </w:rPr>
        <w:t xml:space="preserve">, 2021). Although its etiology is directly associated with the presence of bacterial biofilm, the host’s exacerbated inflammatory response plays a central role in disease progression, modulated by genetic, metabolic, environmental, and systemic factors (Silva </w:t>
      </w:r>
      <w:r>
        <w:rPr>
          <w:rFonts w:ascii="Arial" w:eastAsia="Arial" w:hAnsi="Arial" w:cs="Arial"/>
          <w:i/>
          <w:iCs/>
        </w:rPr>
        <w:t>et al.</w:t>
      </w:r>
      <w:r>
        <w:rPr>
          <w:rFonts w:ascii="Arial" w:eastAsia="Arial" w:hAnsi="Arial" w:cs="Arial"/>
        </w:rPr>
        <w:t>, 2015).</w:t>
      </w:r>
    </w:p>
    <w:p w14:paraId="5EB08917" w14:textId="77777777" w:rsidR="0016569D" w:rsidRDefault="00C7268B">
      <w:pPr>
        <w:ind w:firstLine="400"/>
        <w:jc w:val="both"/>
        <w:rPr>
          <w:rFonts w:ascii="Arial" w:eastAsia="Arial" w:hAnsi="Arial" w:cs="Arial"/>
        </w:rPr>
      </w:pPr>
      <w:r>
        <w:rPr>
          <w:rFonts w:ascii="Arial" w:eastAsia="Arial" w:hAnsi="Arial" w:cs="Arial"/>
        </w:rPr>
        <w:t xml:space="preserve">Experimental rodent models have been widely employed to understand the pathophysiological mechanisms involved in periodontitis and to evaluate the effectiveness of new therapeutic strategies (Bhattarai </w:t>
      </w:r>
      <w:r>
        <w:rPr>
          <w:rFonts w:ascii="Arial" w:eastAsia="Arial" w:hAnsi="Arial" w:cs="Arial"/>
          <w:i/>
          <w:iCs/>
        </w:rPr>
        <w:t>et al.</w:t>
      </w:r>
      <w:r>
        <w:rPr>
          <w:rFonts w:ascii="Arial" w:eastAsia="Arial" w:hAnsi="Arial" w:cs="Arial"/>
        </w:rPr>
        <w:t xml:space="preserve">, 2016). In this context, micro-computed tomography (micro-CT) has become an essential tool for three-dimensional and nondestructive analysis of the alveolar bone, enabling precise quantification of bone loss, mineral density, porosity, and microstructural parameters such as trabecular thickness and separation (Naito </w:t>
      </w:r>
      <w:r>
        <w:rPr>
          <w:rFonts w:ascii="Arial" w:eastAsia="Arial" w:hAnsi="Arial" w:cs="Arial"/>
          <w:i/>
          <w:iCs/>
        </w:rPr>
        <w:t>et al.</w:t>
      </w:r>
      <w:r>
        <w:rPr>
          <w:rFonts w:ascii="Arial" w:eastAsia="Arial" w:hAnsi="Arial" w:cs="Arial"/>
        </w:rPr>
        <w:t>, 1998).</w:t>
      </w:r>
    </w:p>
    <w:p w14:paraId="35880F9F" w14:textId="77777777" w:rsidR="0016569D" w:rsidRDefault="00C7268B">
      <w:pPr>
        <w:ind w:firstLine="400"/>
        <w:jc w:val="both"/>
        <w:rPr>
          <w:rFonts w:ascii="Arial" w:eastAsia="Arial" w:hAnsi="Arial" w:cs="Arial"/>
        </w:rPr>
      </w:pPr>
      <w:r>
        <w:rPr>
          <w:rFonts w:ascii="Arial" w:eastAsia="Arial" w:hAnsi="Arial" w:cs="Arial"/>
        </w:rPr>
        <w:t>The present review aims to synthesize recent evidence obtained from experimental periodontitis models that used micro-CT to assess alveolar bone loss and the effects of different therapeutic interventions and systemic conditions, including medication use, comorbidities, alternative therapies, chronic stress, and genetic modulation. By gathering these findings, this review highlights the relevance of micro-CT in periodontal research and discusses scientific advances achieved through this methodology.</w:t>
      </w:r>
    </w:p>
    <w:p w14:paraId="3FCC1F8D" w14:textId="77777777" w:rsidR="0016569D" w:rsidRDefault="0016569D">
      <w:pPr>
        <w:pStyle w:val="Heading2"/>
        <w:keepNext w:val="0"/>
        <w:keepLines w:val="0"/>
        <w:spacing w:before="0" w:after="0"/>
        <w:jc w:val="both"/>
        <w:rPr>
          <w:rFonts w:ascii="Arial" w:eastAsia="Arial" w:hAnsi="Arial" w:cs="Arial"/>
          <w:sz w:val="22"/>
          <w:szCs w:val="22"/>
        </w:rPr>
      </w:pPr>
      <w:bookmarkStart w:id="2" w:name="_heading=h.vquw1zkwf1n6" w:colFirst="0" w:colLast="0"/>
      <w:bookmarkEnd w:id="2"/>
    </w:p>
    <w:p w14:paraId="14E3476E" w14:textId="77777777" w:rsidR="0016569D" w:rsidRDefault="00C7268B">
      <w:pPr>
        <w:pStyle w:val="Heading2"/>
        <w:keepNext w:val="0"/>
        <w:keepLines w:val="0"/>
        <w:spacing w:before="0" w:after="0"/>
        <w:jc w:val="both"/>
        <w:rPr>
          <w:rFonts w:ascii="Arial" w:eastAsia="Arial" w:hAnsi="Arial" w:cs="Arial"/>
          <w:sz w:val="20"/>
          <w:szCs w:val="20"/>
        </w:rPr>
      </w:pPr>
      <w:r>
        <w:rPr>
          <w:rFonts w:ascii="Arial" w:eastAsia="Arial" w:hAnsi="Arial" w:cs="Arial"/>
          <w:sz w:val="20"/>
          <w:szCs w:val="20"/>
        </w:rPr>
        <w:t>3.2 Micro-computed tomography in the evaluation of experimental periodontitis</w:t>
      </w:r>
    </w:p>
    <w:p w14:paraId="6E380D51" w14:textId="77777777" w:rsidR="0016569D" w:rsidRDefault="00C7268B">
      <w:pPr>
        <w:ind w:firstLine="400"/>
        <w:jc w:val="both"/>
        <w:rPr>
          <w:rFonts w:ascii="Arial" w:eastAsia="Arial" w:hAnsi="Arial" w:cs="Arial"/>
        </w:rPr>
      </w:pPr>
      <w:r>
        <w:rPr>
          <w:rFonts w:ascii="Arial" w:eastAsia="Arial" w:hAnsi="Arial" w:cs="Arial"/>
        </w:rPr>
        <w:t>One study investigated the effects of acetylsalicylic acid (ASA) on alveolar bone loss in a murine model of periodontitis associated with metabolic syndrome (</w:t>
      </w:r>
      <w:proofErr w:type="spellStart"/>
      <w:r>
        <w:rPr>
          <w:rFonts w:ascii="Arial" w:eastAsia="Arial" w:hAnsi="Arial" w:cs="Arial"/>
        </w:rPr>
        <w:t>MetS</w:t>
      </w:r>
      <w:proofErr w:type="spellEnd"/>
      <w:r>
        <w:rPr>
          <w:rFonts w:ascii="Arial" w:eastAsia="Arial" w:hAnsi="Arial" w:cs="Arial"/>
        </w:rPr>
        <w:t xml:space="preserve">). Animals with </w:t>
      </w:r>
      <w:proofErr w:type="spellStart"/>
      <w:r>
        <w:rPr>
          <w:rFonts w:ascii="Arial" w:eastAsia="Arial" w:hAnsi="Arial" w:cs="Arial"/>
        </w:rPr>
        <w:t>MetS</w:t>
      </w:r>
      <w:proofErr w:type="spellEnd"/>
      <w:r>
        <w:rPr>
          <w:rFonts w:ascii="Arial" w:eastAsia="Arial" w:hAnsi="Arial" w:cs="Arial"/>
        </w:rPr>
        <w:t xml:space="preserve"> exhibited significantly greater bone resorption compared to controls, as indicated by a CEJ-ABC distance of 608.95 ± 45.07 µm in the </w:t>
      </w:r>
      <w:proofErr w:type="spellStart"/>
      <w:r>
        <w:rPr>
          <w:rFonts w:ascii="Arial" w:eastAsia="Arial" w:hAnsi="Arial" w:cs="Arial"/>
        </w:rPr>
        <w:t>MetS</w:t>
      </w:r>
      <w:proofErr w:type="spellEnd"/>
      <w:r>
        <w:rPr>
          <w:rFonts w:ascii="Arial" w:eastAsia="Arial" w:hAnsi="Arial" w:cs="Arial"/>
        </w:rPr>
        <w:t xml:space="preserve"> + PD + vehicle group, compared to 483.51 ± 30.21 µm in the control group (p = 0.0005). ASA treatment substantially reduced bone loss in animals without </w:t>
      </w:r>
      <w:proofErr w:type="spellStart"/>
      <w:r>
        <w:rPr>
          <w:rFonts w:ascii="Arial" w:eastAsia="Arial" w:hAnsi="Arial" w:cs="Arial"/>
        </w:rPr>
        <w:t>MetS</w:t>
      </w:r>
      <w:proofErr w:type="spellEnd"/>
      <w:r>
        <w:rPr>
          <w:rFonts w:ascii="Arial" w:eastAsia="Arial" w:hAnsi="Arial" w:cs="Arial"/>
        </w:rPr>
        <w:t xml:space="preserve"> (256.1 ± 19.23 µm, p &lt; 0.0001), but was ineffective in </w:t>
      </w:r>
      <w:proofErr w:type="spellStart"/>
      <w:r>
        <w:rPr>
          <w:rFonts w:ascii="Arial" w:eastAsia="Arial" w:hAnsi="Arial" w:cs="Arial"/>
        </w:rPr>
        <w:t>MetS</w:t>
      </w:r>
      <w:proofErr w:type="spellEnd"/>
      <w:r>
        <w:rPr>
          <w:rFonts w:ascii="Arial" w:eastAsia="Arial" w:hAnsi="Arial" w:cs="Arial"/>
        </w:rPr>
        <w:t xml:space="preserve"> animals, suggesting resistance to aspirin in the presence of the syndrome (De Rossi </w:t>
      </w:r>
      <w:r>
        <w:rPr>
          <w:rFonts w:ascii="Arial" w:eastAsia="Arial" w:hAnsi="Arial" w:cs="Arial"/>
          <w:i/>
          <w:iCs/>
        </w:rPr>
        <w:t>et al</w:t>
      </w:r>
      <w:r>
        <w:rPr>
          <w:rFonts w:ascii="Arial" w:eastAsia="Arial" w:hAnsi="Arial" w:cs="Arial"/>
        </w:rPr>
        <w:t>., 2024).</w:t>
      </w:r>
    </w:p>
    <w:p w14:paraId="7763CBC4" w14:textId="77777777" w:rsidR="0016569D" w:rsidRDefault="00C7268B">
      <w:pPr>
        <w:ind w:firstLine="400"/>
        <w:jc w:val="both"/>
        <w:rPr>
          <w:rFonts w:ascii="Arial" w:eastAsia="Arial" w:hAnsi="Arial" w:cs="Arial"/>
        </w:rPr>
      </w:pPr>
      <w:r>
        <w:rPr>
          <w:rFonts w:ascii="Arial" w:eastAsia="Arial" w:hAnsi="Arial" w:cs="Arial"/>
        </w:rPr>
        <w:t>In another study, antimicrobial photodynamic therapy (</w:t>
      </w:r>
      <w:proofErr w:type="spellStart"/>
      <w:r>
        <w:rPr>
          <w:rFonts w:ascii="Arial" w:eastAsia="Arial" w:hAnsi="Arial" w:cs="Arial"/>
        </w:rPr>
        <w:t>aPDT</w:t>
      </w:r>
      <w:proofErr w:type="spellEnd"/>
      <w:r>
        <w:rPr>
          <w:rFonts w:ascii="Arial" w:eastAsia="Arial" w:hAnsi="Arial" w:cs="Arial"/>
        </w:rPr>
        <w:t xml:space="preserve">) with </w:t>
      </w:r>
      <w:proofErr w:type="spellStart"/>
      <w:r>
        <w:rPr>
          <w:rFonts w:ascii="Arial" w:eastAsia="Arial" w:hAnsi="Arial" w:cs="Arial"/>
        </w:rPr>
        <w:t>hypericin-glucamine</w:t>
      </w:r>
      <w:proofErr w:type="spellEnd"/>
      <w:r>
        <w:rPr>
          <w:rFonts w:ascii="Arial" w:eastAsia="Arial" w:hAnsi="Arial" w:cs="Arial"/>
        </w:rPr>
        <w:t xml:space="preserve"> was evaluated in experimental periodontitis in rats. At day 7, the </w:t>
      </w:r>
      <w:proofErr w:type="spellStart"/>
      <w:r>
        <w:rPr>
          <w:rFonts w:ascii="Arial" w:eastAsia="Arial" w:hAnsi="Arial" w:cs="Arial"/>
        </w:rPr>
        <w:t>aPDT</w:t>
      </w:r>
      <w:proofErr w:type="spellEnd"/>
      <w:r>
        <w:rPr>
          <w:rFonts w:ascii="Arial" w:eastAsia="Arial" w:hAnsi="Arial" w:cs="Arial"/>
        </w:rPr>
        <w:t xml:space="preserve">-treated group showed greater bone volume (p &lt; 0.01), demonstrating an initial beneficial effect. However, by day 15, the group treated with LED alone exhibited the best bone outcomes, suggesting that LED may exert more relevant late reparative effects than the combination with </w:t>
      </w:r>
      <w:proofErr w:type="spellStart"/>
      <w:r>
        <w:rPr>
          <w:rFonts w:ascii="Arial" w:eastAsia="Arial" w:hAnsi="Arial" w:cs="Arial"/>
        </w:rPr>
        <w:t>hypericin-glucamine</w:t>
      </w:r>
      <w:proofErr w:type="spellEnd"/>
      <w:r>
        <w:rPr>
          <w:rFonts w:ascii="Arial" w:eastAsia="Arial" w:hAnsi="Arial" w:cs="Arial"/>
        </w:rPr>
        <w:t xml:space="preserve"> (</w:t>
      </w:r>
      <w:proofErr w:type="spellStart"/>
      <w:r>
        <w:rPr>
          <w:rFonts w:ascii="Arial" w:eastAsia="Arial" w:hAnsi="Arial" w:cs="Arial"/>
        </w:rPr>
        <w:t>Macedo</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2019).</w:t>
      </w:r>
    </w:p>
    <w:p w14:paraId="4A8D1B68" w14:textId="77777777" w:rsidR="0016569D" w:rsidRDefault="00C7268B">
      <w:pPr>
        <w:ind w:firstLine="400"/>
        <w:jc w:val="both"/>
        <w:rPr>
          <w:rFonts w:ascii="Arial" w:eastAsia="Arial" w:hAnsi="Arial" w:cs="Arial"/>
        </w:rPr>
      </w:pPr>
      <w:r>
        <w:rPr>
          <w:rFonts w:ascii="Arial" w:eastAsia="Arial" w:hAnsi="Arial" w:cs="Arial"/>
        </w:rPr>
        <w:t xml:space="preserve">Temporal progression of periodontal bone loss was investigated in different mouse strains infected with Porphyromonas gingivalis. BALB/c mice exhibited earlier and more severe bone loss than C57BL/6 mice, with lower bone volume and higher porosity in the first week (p &lt; 0.0001). Micro-CT analysis revealed that the peak of resorption occurred between the second and third weeks, followed by stabilization, reinforcing the role of genetic susceptibility in the chronology of bone destruction (Hernández Martínez </w:t>
      </w:r>
      <w:r>
        <w:rPr>
          <w:rFonts w:ascii="Arial" w:eastAsia="Arial" w:hAnsi="Arial" w:cs="Arial"/>
          <w:i/>
          <w:iCs/>
        </w:rPr>
        <w:t>et al.</w:t>
      </w:r>
      <w:r>
        <w:rPr>
          <w:rFonts w:ascii="Arial" w:eastAsia="Arial" w:hAnsi="Arial" w:cs="Arial"/>
        </w:rPr>
        <w:t>, 2023).</w:t>
      </w:r>
    </w:p>
    <w:p w14:paraId="226152B4" w14:textId="77777777" w:rsidR="0016569D" w:rsidRDefault="00C7268B">
      <w:pPr>
        <w:ind w:firstLine="400"/>
        <w:jc w:val="both"/>
        <w:rPr>
          <w:rFonts w:ascii="Arial" w:eastAsia="Arial" w:hAnsi="Arial" w:cs="Arial"/>
        </w:rPr>
      </w:pPr>
      <w:r>
        <w:rPr>
          <w:rFonts w:ascii="Arial" w:eastAsia="Arial" w:hAnsi="Arial" w:cs="Arial"/>
        </w:rPr>
        <w:t xml:space="preserve">In a model of chronic stress associated with apical periodontitis, propranolol significantly reduced lesion volume and area (p = 0.0152 and p = 0.0013, respectively). Although it did not alter total bone density (BV/TV), treatment mitigated the deleterious effects of stress-induced bone resorption, suggesting a potential beta-adrenergic protective effect (Khoury </w:t>
      </w:r>
      <w:r>
        <w:rPr>
          <w:rFonts w:ascii="Arial" w:eastAsia="Arial" w:hAnsi="Arial" w:cs="Arial"/>
          <w:i/>
          <w:iCs/>
        </w:rPr>
        <w:t>et al.</w:t>
      </w:r>
      <w:r>
        <w:rPr>
          <w:rFonts w:ascii="Arial" w:eastAsia="Arial" w:hAnsi="Arial" w:cs="Arial"/>
        </w:rPr>
        <w:t>, 2024).</w:t>
      </w:r>
    </w:p>
    <w:p w14:paraId="0AAE88C7" w14:textId="77777777" w:rsidR="0016569D" w:rsidRDefault="00C7268B">
      <w:pPr>
        <w:ind w:firstLine="400"/>
        <w:jc w:val="both"/>
        <w:rPr>
          <w:rFonts w:ascii="Arial" w:eastAsia="Arial" w:hAnsi="Arial" w:cs="Arial"/>
        </w:rPr>
      </w:pPr>
      <w:r>
        <w:rPr>
          <w:rFonts w:ascii="Arial" w:eastAsia="Arial" w:hAnsi="Arial" w:cs="Arial"/>
        </w:rPr>
        <w:t xml:space="preserve">In the pharmacological context, atypical antipsychotics such as olanzapine and clozapine were associated with increased bone loss in female rats with periodontitis, although micro-CT did not detect significant changes in structural parameters. Recalcification striations observed in histology suggest that bone remodeling may mask deleterious effects in three-dimensional structural analysis (Soares </w:t>
      </w:r>
      <w:r>
        <w:rPr>
          <w:rFonts w:ascii="Arial" w:eastAsia="Arial" w:hAnsi="Arial" w:cs="Arial"/>
          <w:i/>
          <w:iCs/>
        </w:rPr>
        <w:t>et al.</w:t>
      </w:r>
      <w:r>
        <w:rPr>
          <w:rFonts w:ascii="Arial" w:eastAsia="Arial" w:hAnsi="Arial" w:cs="Arial"/>
        </w:rPr>
        <w:t>, 2023).</w:t>
      </w:r>
    </w:p>
    <w:p w14:paraId="64C1F569" w14:textId="77777777" w:rsidR="0016569D" w:rsidRDefault="00C7268B">
      <w:pPr>
        <w:ind w:firstLine="400"/>
        <w:jc w:val="both"/>
        <w:rPr>
          <w:rFonts w:ascii="Arial" w:eastAsia="Arial" w:hAnsi="Arial" w:cs="Arial"/>
        </w:rPr>
      </w:pPr>
      <w:r>
        <w:rPr>
          <w:rFonts w:ascii="Arial" w:eastAsia="Arial" w:hAnsi="Arial" w:cs="Arial"/>
        </w:rPr>
        <w:t xml:space="preserve">Another study characterized bone loss at different stages of ligature-induced periodontitis. Significant progression was observed between days 4 and 8, followed by stabilization after day 8. The CEJ-ABC distance increased significantly during this period, indicating that the 4-to-8-day interval corresponds to the most active phase of resorption and represents the ideal window for therapeutic evaluation (Yoon </w:t>
      </w:r>
      <w:r>
        <w:rPr>
          <w:rFonts w:ascii="Arial" w:eastAsia="Arial" w:hAnsi="Arial" w:cs="Arial"/>
          <w:i/>
          <w:iCs/>
        </w:rPr>
        <w:t>et al.</w:t>
      </w:r>
      <w:r>
        <w:rPr>
          <w:rFonts w:ascii="Arial" w:eastAsia="Arial" w:hAnsi="Arial" w:cs="Arial"/>
        </w:rPr>
        <w:t>, 2023).</w:t>
      </w:r>
    </w:p>
    <w:p w14:paraId="7FF0A30B" w14:textId="77777777" w:rsidR="0016569D" w:rsidRDefault="00C7268B">
      <w:pPr>
        <w:ind w:firstLine="400"/>
        <w:jc w:val="both"/>
        <w:rPr>
          <w:rFonts w:ascii="Arial" w:eastAsia="Arial" w:hAnsi="Arial" w:cs="Arial"/>
        </w:rPr>
      </w:pPr>
      <w:r>
        <w:rPr>
          <w:rFonts w:ascii="Arial" w:eastAsia="Arial" w:hAnsi="Arial" w:cs="Arial"/>
        </w:rPr>
        <w:lastRenderedPageBreak/>
        <w:t xml:space="preserve">The use of the probiotic </w:t>
      </w:r>
      <w:r>
        <w:rPr>
          <w:rFonts w:ascii="Arial" w:eastAsia="Arial" w:hAnsi="Arial" w:cs="Arial"/>
          <w:i/>
          <w:iCs/>
        </w:rPr>
        <w:t>Lactobacillus fermentum</w:t>
      </w:r>
      <w:r>
        <w:rPr>
          <w:rFonts w:ascii="Arial" w:eastAsia="Arial" w:hAnsi="Arial" w:cs="Arial"/>
        </w:rPr>
        <w:t xml:space="preserve"> BELF11 was also investigated. In mice with induced periodontitis, treatment with </w:t>
      </w:r>
      <w:r>
        <w:rPr>
          <w:rFonts w:ascii="Arial" w:eastAsia="Arial" w:hAnsi="Arial" w:cs="Arial"/>
          <w:i/>
          <w:iCs/>
        </w:rPr>
        <w:t>L. fermentum</w:t>
      </w:r>
      <w:r>
        <w:rPr>
          <w:rFonts w:ascii="Arial" w:eastAsia="Arial" w:hAnsi="Arial" w:cs="Arial"/>
        </w:rPr>
        <w:t xml:space="preserve"> reduced mesial bone loss by 23.21% compared to untreated animals (p &lt; 0.05). Micro-CT analysis revealed improvements in CEJ-ABC distance and inflammatory parameters, indicating its potential as an adjuvant therapy (Lee</w:t>
      </w:r>
      <w:r>
        <w:rPr>
          <w:rFonts w:ascii="Arial" w:eastAsia="Arial" w:hAnsi="Arial" w:cs="Arial"/>
          <w:i/>
          <w:iCs/>
        </w:rPr>
        <w:t xml:space="preserve"> et al.</w:t>
      </w:r>
      <w:r>
        <w:rPr>
          <w:rFonts w:ascii="Arial" w:eastAsia="Arial" w:hAnsi="Arial" w:cs="Arial"/>
        </w:rPr>
        <w:t>, 2024).</w:t>
      </w:r>
    </w:p>
    <w:p w14:paraId="4DABDE66" w14:textId="77777777" w:rsidR="0016569D" w:rsidRDefault="00C7268B">
      <w:pPr>
        <w:ind w:firstLine="400"/>
        <w:jc w:val="both"/>
        <w:rPr>
          <w:rFonts w:ascii="Arial" w:eastAsia="Arial" w:hAnsi="Arial" w:cs="Arial"/>
        </w:rPr>
      </w:pPr>
      <w:r>
        <w:rPr>
          <w:rFonts w:ascii="Arial" w:eastAsia="Arial" w:hAnsi="Arial" w:cs="Arial"/>
        </w:rPr>
        <w:t xml:space="preserve">SOCS2 protein deficiency was associated with exacerbated bone loss induced by </w:t>
      </w:r>
      <w:proofErr w:type="spellStart"/>
      <w:r>
        <w:rPr>
          <w:rFonts w:ascii="Arial" w:eastAsia="Arial" w:hAnsi="Arial" w:cs="Arial"/>
          <w:i/>
          <w:iCs/>
        </w:rPr>
        <w:t>Aggregatibacter</w:t>
      </w:r>
      <w:proofErr w:type="spellEnd"/>
      <w:r>
        <w:rPr>
          <w:rFonts w:ascii="Arial" w:eastAsia="Arial" w:hAnsi="Arial" w:cs="Arial"/>
          <w:i/>
          <w:iCs/>
        </w:rPr>
        <w:t xml:space="preserve"> </w:t>
      </w:r>
      <w:proofErr w:type="spellStart"/>
      <w:r>
        <w:rPr>
          <w:rFonts w:ascii="Arial" w:eastAsia="Arial" w:hAnsi="Arial" w:cs="Arial"/>
          <w:i/>
          <w:iCs/>
        </w:rPr>
        <w:t>actinomycetemcomitans</w:t>
      </w:r>
      <w:proofErr w:type="spellEnd"/>
      <w:sdt>
        <w:sdtPr>
          <w:tag w:val="goog_rdk_0"/>
          <w:id w:val="1509631288"/>
        </w:sdtPr>
        <w:sdtEndPr/>
        <w:sdtContent>
          <w:r>
            <w:rPr>
              <w:rFonts w:ascii="Arial Unicode MS" w:eastAsia="Arial Unicode MS" w:hAnsi="Arial Unicode MS" w:cs="Arial Unicode MS"/>
            </w:rPr>
            <w:t xml:space="preserve">. Socs2−/− mice showed worse bone profiles, with reduced BMD, BV, BV/TV, and </w:t>
          </w:r>
          <w:proofErr w:type="spellStart"/>
          <w:proofErr w:type="gramStart"/>
          <w:r>
            <w:rPr>
              <w:rFonts w:ascii="Arial Unicode MS" w:eastAsia="Arial Unicode MS" w:hAnsi="Arial Unicode MS" w:cs="Arial Unicode MS"/>
            </w:rPr>
            <w:t>Tb.Th</w:t>
          </w:r>
          <w:proofErr w:type="spellEnd"/>
          <w:proofErr w:type="gramEnd"/>
          <w:r>
            <w:rPr>
              <w:rFonts w:ascii="Arial Unicode MS" w:eastAsia="Arial Unicode MS" w:hAnsi="Arial Unicode MS" w:cs="Arial Unicode MS"/>
            </w:rPr>
            <w:t xml:space="preserve">, and increased osteoclast numbers. These findings reinforce the role of SOCS2 as a negative modulator of inflammation and bone remodeling in periodontal disease (Santos </w:t>
          </w:r>
        </w:sdtContent>
      </w:sdt>
      <w:r>
        <w:rPr>
          <w:rFonts w:ascii="Arial" w:eastAsia="Arial" w:hAnsi="Arial" w:cs="Arial"/>
          <w:i/>
          <w:iCs/>
        </w:rPr>
        <w:t>et al.</w:t>
      </w:r>
      <w:r>
        <w:rPr>
          <w:rFonts w:ascii="Arial" w:eastAsia="Arial" w:hAnsi="Arial" w:cs="Arial"/>
        </w:rPr>
        <w:t>, 2023).</w:t>
      </w:r>
    </w:p>
    <w:p w14:paraId="557FBD34" w14:textId="77777777" w:rsidR="0016569D" w:rsidRDefault="00C7268B">
      <w:pPr>
        <w:ind w:firstLine="400"/>
        <w:jc w:val="both"/>
        <w:rPr>
          <w:rFonts w:ascii="Arial" w:eastAsia="Arial" w:hAnsi="Arial" w:cs="Arial"/>
        </w:rPr>
      </w:pPr>
      <w:r>
        <w:rPr>
          <w:rFonts w:ascii="Arial" w:eastAsia="Arial" w:hAnsi="Arial" w:cs="Arial"/>
        </w:rPr>
        <w:t>Minocycline demonstrated efficacy in reducing bone loss in rats with experimental periodontitis. Micro-CT revealed a reduction in CEJ-ABC distance (from 1.1 mm to 0.93 mm; p &lt; 0.05), increased trabecular thickness (</w:t>
      </w:r>
      <w:proofErr w:type="spellStart"/>
      <w:proofErr w:type="gramStart"/>
      <w:r>
        <w:rPr>
          <w:rFonts w:ascii="Arial" w:eastAsia="Arial" w:hAnsi="Arial" w:cs="Arial"/>
        </w:rPr>
        <w:t>Tb.Th</w:t>
      </w:r>
      <w:proofErr w:type="spellEnd"/>
      <w:proofErr w:type="gramEnd"/>
      <w:r>
        <w:rPr>
          <w:rFonts w:ascii="Arial" w:eastAsia="Arial" w:hAnsi="Arial" w:cs="Arial"/>
        </w:rPr>
        <w:t xml:space="preserve">), and improvement in BV/TV (from 60% to 76%; p = 0.01), indicating preservation of bone microarchitecture beyond the expected anti-inflammatory effect (Frazão </w:t>
      </w:r>
      <w:r>
        <w:rPr>
          <w:rFonts w:ascii="Arial" w:eastAsia="Arial" w:hAnsi="Arial" w:cs="Arial"/>
          <w:i/>
          <w:iCs/>
        </w:rPr>
        <w:t>et al.</w:t>
      </w:r>
      <w:r>
        <w:rPr>
          <w:rFonts w:ascii="Arial" w:eastAsia="Arial" w:hAnsi="Arial" w:cs="Arial"/>
        </w:rPr>
        <w:t>, 2024).</w:t>
      </w:r>
    </w:p>
    <w:p w14:paraId="208A5F0A" w14:textId="77777777" w:rsidR="0016569D" w:rsidRDefault="00C7268B">
      <w:pPr>
        <w:ind w:firstLine="400"/>
        <w:jc w:val="both"/>
        <w:rPr>
          <w:rFonts w:ascii="Arial" w:eastAsia="Arial" w:hAnsi="Arial" w:cs="Arial"/>
        </w:rPr>
      </w:pPr>
      <w:r>
        <w:rPr>
          <w:rFonts w:ascii="Arial" w:eastAsia="Arial" w:hAnsi="Arial" w:cs="Arial"/>
        </w:rPr>
        <w:t>Lastly, an innovative study proposed an automated bone quantification model using artificial intelligence. Based on a U-Net architecture, the system achieved 98% accuracy in segmenting bone and teeth, enabling efficient analysis of bone loss induced by periodontitis. Bone volume decreased from 0.87 mm³ to 0.50 mm³ on day 9, with partial recovery by day 14. Bone mineral density (BMD) also progressively declined, reinforcing the applicability of the model for large-scale analyses (Xi</w:t>
      </w:r>
      <w:r>
        <w:rPr>
          <w:rFonts w:ascii="Arial" w:eastAsia="Arial" w:hAnsi="Arial" w:cs="Arial"/>
          <w:i/>
          <w:iCs/>
        </w:rPr>
        <w:t xml:space="preserve"> et al</w:t>
      </w:r>
      <w:r>
        <w:rPr>
          <w:rFonts w:ascii="Arial" w:eastAsia="Arial" w:hAnsi="Arial" w:cs="Arial"/>
        </w:rPr>
        <w:t>., 2024).</w:t>
      </w:r>
    </w:p>
    <w:p w14:paraId="776CD2BA" w14:textId="77777777" w:rsidR="0016569D" w:rsidRDefault="00C7268B">
      <w:pPr>
        <w:ind w:firstLine="400"/>
        <w:jc w:val="both"/>
        <w:rPr>
          <w:rFonts w:ascii="Arial" w:eastAsia="Arial" w:hAnsi="Arial" w:cs="Arial"/>
        </w:rPr>
      </w:pPr>
      <w:r>
        <w:rPr>
          <w:rFonts w:ascii="Arial" w:eastAsia="Arial" w:hAnsi="Arial" w:cs="Arial"/>
        </w:rPr>
        <w:t>Collectively, the analyzed studies demonstrate the value of micro-computed tomography in assessing bone loss in experimental periodontitis models, as well as the complex interplay between metabolic, inflammatory, pharmacological, and genetic factors that modulate bone destruction. The diversity of therapeutic approaches reported contributes to the advancement of more effective strategies for controlling periodontitis.</w:t>
      </w:r>
    </w:p>
    <w:p w14:paraId="24DD3071" w14:textId="77777777" w:rsidR="0016569D" w:rsidRDefault="0016569D">
      <w:pPr>
        <w:ind w:firstLine="400"/>
        <w:jc w:val="both"/>
        <w:rPr>
          <w:rFonts w:ascii="Arial" w:eastAsia="Arial" w:hAnsi="Arial" w:cs="Arial"/>
        </w:rPr>
      </w:pPr>
    </w:p>
    <w:p w14:paraId="54983717" w14:textId="77777777" w:rsidR="0016569D" w:rsidRDefault="00C7268B">
      <w:pPr>
        <w:keepNext/>
        <w:ind w:firstLine="440"/>
        <w:jc w:val="both"/>
        <w:rPr>
          <w:rFonts w:ascii="Arial" w:eastAsia="Arial" w:hAnsi="Arial" w:cs="Arial"/>
          <w:color w:val="000000"/>
        </w:rPr>
      </w:pPr>
      <w:r>
        <w:rPr>
          <w:rFonts w:ascii="Arial" w:eastAsia="Arial" w:hAnsi="Arial" w:cs="Arial"/>
          <w:b/>
          <w:bCs/>
          <w:smallCaps/>
          <w:sz w:val="22"/>
          <w:szCs w:val="22"/>
        </w:rPr>
        <w:t>4. discussion</w:t>
      </w:r>
    </w:p>
    <w:p w14:paraId="6E86579A" w14:textId="77777777" w:rsidR="0016569D" w:rsidRDefault="00C7268B">
      <w:pPr>
        <w:ind w:firstLine="400"/>
        <w:jc w:val="both"/>
        <w:rPr>
          <w:rFonts w:ascii="Arial" w:eastAsia="Arial" w:hAnsi="Arial" w:cs="Arial"/>
        </w:rPr>
      </w:pPr>
      <w:r>
        <w:rPr>
          <w:rFonts w:ascii="Arial" w:eastAsia="Arial" w:hAnsi="Arial" w:cs="Arial"/>
        </w:rPr>
        <w:t xml:space="preserve">The present review highlights the diversity of experimental approaches used to investigate alveolar bone loss associated with periodontitis, with emphasis on the application of micro-computed tomography as a structural analysis tool. In all reviewed studies, micro-CT proved to be a sensitive, reproducible, and highly informative method for three-dimensional quantification of bone parameters such as volume, mineral density, and trabecular thickness and separation. This reinforces its relevance as the gold standard in preclinical research focused on periodontal bone destruction (Naito </w:t>
      </w:r>
      <w:r>
        <w:rPr>
          <w:rFonts w:ascii="Arial" w:eastAsia="Arial" w:hAnsi="Arial" w:cs="Arial"/>
          <w:i/>
          <w:iCs/>
        </w:rPr>
        <w:t>et al</w:t>
      </w:r>
      <w:r>
        <w:rPr>
          <w:rFonts w:ascii="Arial" w:eastAsia="Arial" w:hAnsi="Arial" w:cs="Arial"/>
        </w:rPr>
        <w:t xml:space="preserve">., 1998; </w:t>
      </w:r>
      <w:proofErr w:type="spellStart"/>
      <w:r>
        <w:rPr>
          <w:rFonts w:ascii="Arial" w:eastAsia="Arial" w:hAnsi="Arial" w:cs="Arial"/>
        </w:rPr>
        <w:t>Bouxsein</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2010; </w:t>
      </w:r>
      <w:proofErr w:type="spellStart"/>
      <w:r>
        <w:rPr>
          <w:rFonts w:ascii="Arial" w:eastAsia="Arial" w:hAnsi="Arial" w:cs="Arial"/>
        </w:rPr>
        <w:t>Catunda</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2021).</w:t>
      </w:r>
    </w:p>
    <w:p w14:paraId="32DB9E84" w14:textId="77777777" w:rsidR="0016569D" w:rsidRDefault="00C7268B">
      <w:pPr>
        <w:ind w:firstLine="400"/>
        <w:jc w:val="both"/>
        <w:rPr>
          <w:rFonts w:ascii="Arial" w:eastAsia="Arial" w:hAnsi="Arial" w:cs="Arial"/>
        </w:rPr>
      </w:pPr>
      <w:r>
        <w:rPr>
          <w:rFonts w:ascii="Arial" w:eastAsia="Arial" w:hAnsi="Arial" w:cs="Arial"/>
        </w:rPr>
        <w:t xml:space="preserve">The compiled data demonstrate that the progression of bone loss can be intensified by various systemic factors, such as metabolic syndrome and chronic stress, which interfere with the host inflammatory response and the effectiveness of pharmacological therapies such as aspirin and propranolol (De Rossi </w:t>
      </w:r>
      <w:r>
        <w:rPr>
          <w:rFonts w:ascii="Arial" w:eastAsia="Arial" w:hAnsi="Arial" w:cs="Arial"/>
          <w:i/>
          <w:iCs/>
        </w:rPr>
        <w:t>et al.</w:t>
      </w:r>
      <w:r>
        <w:rPr>
          <w:rFonts w:ascii="Arial" w:eastAsia="Arial" w:hAnsi="Arial" w:cs="Arial"/>
        </w:rPr>
        <w:t xml:space="preserve">, 2024). Likewise, therapeutic interventions—including antibiotics such as minocycline, probiotics, photodynamic therapy, and immunomodulatory agents—showed promising results in preserving alveolar bone (Frazão </w:t>
      </w:r>
      <w:r>
        <w:rPr>
          <w:rFonts w:ascii="Arial" w:eastAsia="Arial" w:hAnsi="Arial" w:cs="Arial"/>
          <w:i/>
          <w:iCs/>
        </w:rPr>
        <w:t>et al.</w:t>
      </w:r>
      <w:r>
        <w:rPr>
          <w:rFonts w:ascii="Arial" w:eastAsia="Arial" w:hAnsi="Arial" w:cs="Arial"/>
        </w:rPr>
        <w:t>, 2024). These findings suggest that systemic and local modulation of inflammation is crucial to limiting bone resorption, reinforcing the need for combined and personalized therapeutic strategies.</w:t>
      </w:r>
    </w:p>
    <w:p w14:paraId="2E5CF343" w14:textId="77777777" w:rsidR="0016569D" w:rsidRDefault="00C7268B">
      <w:pPr>
        <w:ind w:firstLine="400"/>
        <w:jc w:val="both"/>
        <w:rPr>
          <w:rFonts w:ascii="Arial" w:eastAsia="Arial" w:hAnsi="Arial" w:cs="Arial"/>
        </w:rPr>
      </w:pPr>
      <w:r>
        <w:rPr>
          <w:rFonts w:ascii="Arial" w:eastAsia="Arial" w:hAnsi="Arial" w:cs="Arial"/>
        </w:rPr>
        <w:t xml:space="preserve">Another relevant aspect is the influence of genetic variability on susceptibility to bone loss, as observed in different murine strains (BALB/c versus C57BL/6) (Hernandez Martinez </w:t>
      </w:r>
      <w:r>
        <w:rPr>
          <w:rFonts w:ascii="Arial" w:eastAsia="Arial" w:hAnsi="Arial" w:cs="Arial"/>
          <w:i/>
          <w:iCs/>
        </w:rPr>
        <w:t>et al.</w:t>
      </w:r>
      <w:r>
        <w:rPr>
          <w:rFonts w:ascii="Arial" w:eastAsia="Arial" w:hAnsi="Arial" w:cs="Arial"/>
        </w:rPr>
        <w:t xml:space="preserve">, 2023) and in models with specific genetic alterations (such as SOCS2-deficient mice) (Santos </w:t>
      </w:r>
      <w:r>
        <w:rPr>
          <w:rFonts w:ascii="Arial" w:eastAsia="Arial" w:hAnsi="Arial" w:cs="Arial"/>
          <w:i/>
          <w:iCs/>
        </w:rPr>
        <w:t>et al.</w:t>
      </w:r>
      <w:r>
        <w:rPr>
          <w:rFonts w:ascii="Arial" w:eastAsia="Arial" w:hAnsi="Arial" w:cs="Arial"/>
        </w:rPr>
        <w:t>, 2023). These studies reveal that the host response to periodontal infection can vary significantly and that experimental models should be selected according to the specific scientific question, considering the inflammatory and bone profile of the animal strain used.</w:t>
      </w:r>
    </w:p>
    <w:p w14:paraId="3EED2BDB" w14:textId="77777777" w:rsidR="0016569D" w:rsidRDefault="00C7268B">
      <w:pPr>
        <w:ind w:firstLine="400"/>
        <w:jc w:val="both"/>
        <w:rPr>
          <w:rFonts w:ascii="Arial" w:eastAsia="Arial" w:hAnsi="Arial" w:cs="Arial"/>
        </w:rPr>
      </w:pPr>
      <w:r>
        <w:rPr>
          <w:rFonts w:ascii="Arial" w:eastAsia="Arial" w:hAnsi="Arial" w:cs="Arial"/>
        </w:rPr>
        <w:t xml:space="preserve">Despite these advances, certain methodological limitations should be acknowledged. In some cases, the effects of medications on bone tissue were not fully detectable using micro-CT, possibly due to concurrent reparative processes, as observed in animals treated with antipsychotics (Soares </w:t>
      </w:r>
      <w:r>
        <w:rPr>
          <w:rFonts w:ascii="Arial" w:eastAsia="Arial" w:hAnsi="Arial" w:cs="Arial"/>
          <w:i/>
          <w:iCs/>
        </w:rPr>
        <w:t>et al.</w:t>
      </w:r>
      <w:r>
        <w:rPr>
          <w:rFonts w:ascii="Arial" w:eastAsia="Arial" w:hAnsi="Arial" w:cs="Arial"/>
        </w:rPr>
        <w:t xml:space="preserve">, 2023). Additionally, the majority of studies focus on short-term analyses, limiting assessment of the chronic progression and long-term regeneration of bone tissue (Yoon </w:t>
      </w:r>
      <w:r>
        <w:rPr>
          <w:rFonts w:ascii="Arial" w:eastAsia="Arial" w:hAnsi="Arial" w:cs="Arial"/>
          <w:i/>
          <w:iCs/>
        </w:rPr>
        <w:t>et al.</w:t>
      </w:r>
      <w:r>
        <w:rPr>
          <w:rFonts w:ascii="Arial" w:eastAsia="Arial" w:hAnsi="Arial" w:cs="Arial"/>
        </w:rPr>
        <w:t xml:space="preserve">, 2023). Finally, the emerging potential of artificial intelligence as a tool for automating and standardizing microtomographic analysis is noteworthy (Xi </w:t>
      </w:r>
      <w:r>
        <w:rPr>
          <w:rFonts w:ascii="Arial" w:eastAsia="Arial" w:hAnsi="Arial" w:cs="Arial"/>
          <w:i/>
          <w:iCs/>
        </w:rPr>
        <w:t>et al.</w:t>
      </w:r>
      <w:r>
        <w:rPr>
          <w:rFonts w:ascii="Arial" w:eastAsia="Arial" w:hAnsi="Arial" w:cs="Arial"/>
        </w:rPr>
        <w:t>, 2024). The development of deep-learning models, such as U-Net architectures, represents a significant advancement in experimental research, reducing analysis time and increasing data accuracy and reproducibility.</w:t>
      </w:r>
    </w:p>
    <w:p w14:paraId="2BB83438" w14:textId="77777777" w:rsidR="0016569D" w:rsidRDefault="00C7268B">
      <w:pPr>
        <w:ind w:firstLine="400"/>
        <w:jc w:val="both"/>
        <w:rPr>
          <w:rFonts w:ascii="Arial" w:eastAsia="Arial" w:hAnsi="Arial" w:cs="Arial"/>
        </w:rPr>
      </w:pPr>
      <w:r>
        <w:rPr>
          <w:rFonts w:ascii="Arial" w:eastAsia="Arial" w:hAnsi="Arial" w:cs="Arial"/>
        </w:rPr>
        <w:lastRenderedPageBreak/>
        <w:t xml:space="preserve">Complementary to the studies presented in the literature review, an ongoing study (Costa </w:t>
      </w:r>
      <w:r>
        <w:rPr>
          <w:rFonts w:ascii="Arial" w:eastAsia="Arial" w:hAnsi="Arial" w:cs="Arial"/>
          <w:i/>
          <w:iCs/>
        </w:rPr>
        <w:t>et al.</w:t>
      </w:r>
      <w:r>
        <w:rPr>
          <w:rFonts w:ascii="Arial" w:eastAsia="Arial" w:hAnsi="Arial" w:cs="Arial"/>
        </w:rPr>
        <w:t>, 2025 – manuscript in preparation) evaluated bone loss in rats with ligature-induced periodontitis around the mandibular first molars. Hemimandibles were scanned using a micro-computed tomography (</w:t>
      </w:r>
      <w:proofErr w:type="spellStart"/>
      <w:r>
        <w:rPr>
          <w:rFonts w:ascii="Arial" w:eastAsia="Arial" w:hAnsi="Arial" w:cs="Arial"/>
        </w:rPr>
        <w:t>μCT</w:t>
      </w:r>
      <w:proofErr w:type="spellEnd"/>
      <w:r>
        <w:rPr>
          <w:rFonts w:ascii="Arial" w:eastAsia="Arial" w:hAnsi="Arial" w:cs="Arial"/>
        </w:rPr>
        <w:t>) imaging system. The standardized region of interest (ROI) was defined in the sagittal orientation at the furcation area of the mandibular first molar, extending from the top of the furcation to the root apices. Microtomography revealed that systemic administration of dimethyl fumarate (DMF), a compound approved by the FDA for the treatment of multiple sclerosis and psoriasis, significantly preserved alveolar bone volume. Additionally, linear measurements from the cementoenamel junction (CEJ) to the alveolar bone crest in the distal region of the first molar and mesial region of the second molar showed that DMF, at doses of 50 and 150 mg/kg, significantly reduced this distance, indicating reduced bone loss (Figure 1).</w:t>
      </w:r>
    </w:p>
    <w:p w14:paraId="54B82302" w14:textId="77777777" w:rsidR="0016569D" w:rsidRDefault="0016569D">
      <w:pPr>
        <w:jc w:val="both"/>
        <w:rPr>
          <w:rFonts w:ascii="Arial" w:eastAsia="Arial" w:hAnsi="Arial" w:cs="Arial"/>
          <w:b/>
          <w:bCs/>
        </w:rPr>
      </w:pPr>
    </w:p>
    <w:p w14:paraId="3723D553" w14:textId="77777777" w:rsidR="0016569D" w:rsidRDefault="00C7268B">
      <w:pPr>
        <w:jc w:val="both"/>
        <w:rPr>
          <w:rFonts w:ascii="Arial" w:eastAsia="Arial" w:hAnsi="Arial" w:cs="Arial"/>
        </w:rPr>
      </w:pPr>
      <w:r>
        <w:rPr>
          <w:rFonts w:ascii="Arial" w:eastAsia="Arial" w:hAnsi="Arial" w:cs="Arial"/>
          <w:b/>
          <w:bCs/>
        </w:rPr>
        <w:t>Figure 1.</w:t>
      </w:r>
      <w:r>
        <w:rPr>
          <w:rFonts w:ascii="Arial" w:eastAsia="Arial" w:hAnsi="Arial" w:cs="Arial"/>
        </w:rPr>
        <w:t xml:space="preserve"> Representative images of rat hemimandibles in different planes (axial, coronal, sagittal) and 3D analysis.</w:t>
      </w:r>
    </w:p>
    <w:p w14:paraId="74BBA392" w14:textId="77777777" w:rsidR="0016569D" w:rsidRDefault="00C7268B">
      <w:pPr>
        <w:widowControl w:val="0"/>
        <w:jc w:val="center"/>
        <w:rPr>
          <w:rFonts w:ascii="Arial" w:eastAsia="Arial" w:hAnsi="Arial" w:cs="Arial"/>
          <w:sz w:val="22"/>
          <w:szCs w:val="22"/>
        </w:rPr>
      </w:pPr>
      <w:r>
        <w:rPr>
          <w:rFonts w:ascii="Arial" w:eastAsia="Arial" w:hAnsi="Arial" w:cs="Arial"/>
          <w:noProof/>
          <w:sz w:val="22"/>
          <w:szCs w:val="22"/>
          <w:lang w:val="en-IN" w:eastAsia="en-IN"/>
        </w:rPr>
        <w:drawing>
          <wp:inline distT="0" distB="0" distL="0" distR="0" wp14:anchorId="5FEED80D" wp14:editId="75235993">
            <wp:extent cx="5351228" cy="3164619"/>
            <wp:effectExtent l="0" t="0" r="1905" b="0"/>
            <wp:docPr id="10" name="image3.png" descr="Imagem em preto e branco"/>
            <wp:cNvGraphicFramePr/>
            <a:graphic xmlns:a="http://schemas.openxmlformats.org/drawingml/2006/main">
              <a:graphicData uri="http://schemas.openxmlformats.org/drawingml/2006/picture">
                <pic:pic xmlns:pic="http://schemas.openxmlformats.org/drawingml/2006/picture">
                  <pic:nvPicPr>
                    <pic:cNvPr id="0" name="image3.png" descr="Imagem em preto e branco"/>
                    <pic:cNvPicPr preferRelativeResize="0"/>
                  </pic:nvPicPr>
                  <pic:blipFill>
                    <a:blip r:embed="rId16"/>
                    <a:srcRect/>
                    <a:stretch>
                      <a:fillRect/>
                    </a:stretch>
                  </pic:blipFill>
                  <pic:spPr>
                    <a:xfrm>
                      <a:off x="0" y="0"/>
                      <a:ext cx="5360387" cy="3170036"/>
                    </a:xfrm>
                    <a:prstGeom prst="rect">
                      <a:avLst/>
                    </a:prstGeom>
                    <a:ln/>
                  </pic:spPr>
                </pic:pic>
              </a:graphicData>
            </a:graphic>
          </wp:inline>
        </w:drawing>
      </w:r>
    </w:p>
    <w:p w14:paraId="5D7F10BF" w14:textId="77777777" w:rsidR="0016569D" w:rsidRDefault="00C7268B">
      <w:pPr>
        <w:widowControl w:val="0"/>
        <w:jc w:val="center"/>
        <w:rPr>
          <w:rFonts w:ascii="Arial" w:eastAsia="Arial" w:hAnsi="Arial" w:cs="Arial"/>
          <w:i/>
          <w:iCs/>
          <w:sz w:val="22"/>
          <w:szCs w:val="22"/>
        </w:rPr>
      </w:pPr>
      <w:r>
        <w:rPr>
          <w:rFonts w:ascii="Arial" w:eastAsia="Arial" w:hAnsi="Arial" w:cs="Arial"/>
          <w:i/>
          <w:iCs/>
          <w:sz w:val="22"/>
          <w:szCs w:val="22"/>
        </w:rPr>
        <w:t>Source: Costa et al., 2025</w:t>
      </w:r>
    </w:p>
    <w:p w14:paraId="6EB26133" w14:textId="77777777" w:rsidR="0016569D" w:rsidRDefault="0016569D">
      <w:pPr>
        <w:ind w:firstLine="400"/>
        <w:jc w:val="both"/>
        <w:rPr>
          <w:rFonts w:ascii="Arial" w:eastAsia="Arial" w:hAnsi="Arial" w:cs="Arial"/>
        </w:rPr>
      </w:pPr>
    </w:p>
    <w:p w14:paraId="4C47DE5C" w14:textId="77777777" w:rsidR="0016569D" w:rsidRDefault="00C7268B">
      <w:pPr>
        <w:ind w:firstLine="400"/>
        <w:jc w:val="both"/>
        <w:rPr>
          <w:rFonts w:ascii="Arial" w:eastAsia="Arial" w:hAnsi="Arial" w:cs="Arial"/>
        </w:rPr>
      </w:pPr>
      <w:r>
        <w:rPr>
          <w:rFonts w:ascii="Arial" w:eastAsia="Arial" w:hAnsi="Arial" w:cs="Arial"/>
        </w:rPr>
        <w:t>This integration between digital technology and biological experimentation opens new avenues for optimizing diagnostics and developing more effective and targeted therapies in the field of periodontology. Table 1 presents a summary of the main findings from the articles discussed in this review to facilitate understanding of the data presented.</w:t>
      </w:r>
    </w:p>
    <w:p w14:paraId="7C2A3A92" w14:textId="77777777" w:rsidR="0016569D" w:rsidRDefault="0016569D">
      <w:pPr>
        <w:ind w:firstLine="400"/>
        <w:jc w:val="both"/>
        <w:rPr>
          <w:rFonts w:ascii="Arial" w:eastAsia="Arial" w:hAnsi="Arial" w:cs="Arial"/>
        </w:rPr>
      </w:pPr>
    </w:p>
    <w:p w14:paraId="7B15FA5B" w14:textId="77777777" w:rsidR="0016569D" w:rsidRDefault="00C7268B">
      <w:pPr>
        <w:jc w:val="both"/>
        <w:rPr>
          <w:rFonts w:ascii="Arial" w:eastAsia="Arial" w:hAnsi="Arial" w:cs="Arial"/>
          <w:b/>
          <w:bCs/>
        </w:rPr>
      </w:pPr>
      <w:r>
        <w:rPr>
          <w:rFonts w:ascii="Arial" w:eastAsia="Arial" w:hAnsi="Arial" w:cs="Arial"/>
          <w:b/>
          <w:bCs/>
        </w:rPr>
        <w:t xml:space="preserve">Table 1. </w:t>
      </w:r>
      <w:r>
        <w:rPr>
          <w:rFonts w:ascii="Arial" w:eastAsia="Arial" w:hAnsi="Arial" w:cs="Arial"/>
        </w:rPr>
        <w:t>Summary of the literature review studies</w:t>
      </w:r>
    </w:p>
    <w:tbl>
      <w:tblPr>
        <w:tblStyle w:val="a0"/>
        <w:tblW w:w="8397"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477"/>
        <w:gridCol w:w="1413"/>
        <w:gridCol w:w="1307"/>
        <w:gridCol w:w="1186"/>
        <w:gridCol w:w="1335"/>
        <w:gridCol w:w="1679"/>
      </w:tblGrid>
      <w:tr w:rsidR="0016569D" w14:paraId="5F2E327A" w14:textId="77777777">
        <w:trPr>
          <w:trHeight w:val="635"/>
        </w:trPr>
        <w:tc>
          <w:tcPr>
            <w:tcW w:w="1477"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15327710" w14:textId="77777777" w:rsidR="0016569D" w:rsidRDefault="00C7268B">
            <w:pPr>
              <w:rPr>
                <w:rFonts w:ascii="Arial" w:eastAsia="Arial" w:hAnsi="Arial" w:cs="Arial"/>
              </w:rPr>
            </w:pPr>
            <w:r>
              <w:rPr>
                <w:rFonts w:ascii="Arial" w:eastAsia="Arial" w:hAnsi="Arial" w:cs="Arial"/>
              </w:rPr>
              <w:t>Study Title</w:t>
            </w:r>
          </w:p>
        </w:tc>
        <w:tc>
          <w:tcPr>
            <w:tcW w:w="1413"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4C0E59FB" w14:textId="77777777" w:rsidR="0016569D" w:rsidRDefault="00C7268B">
            <w:pPr>
              <w:rPr>
                <w:rFonts w:ascii="Arial" w:eastAsia="Arial" w:hAnsi="Arial" w:cs="Arial"/>
              </w:rPr>
            </w:pPr>
            <w:r>
              <w:rPr>
                <w:rFonts w:ascii="Arial" w:eastAsia="Arial" w:hAnsi="Arial" w:cs="Arial"/>
              </w:rPr>
              <w:t>Experimental Model</w:t>
            </w:r>
          </w:p>
        </w:tc>
        <w:tc>
          <w:tcPr>
            <w:tcW w:w="1307"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5D9EE2B9" w14:textId="77777777" w:rsidR="0016569D" w:rsidRDefault="00C7268B">
            <w:pPr>
              <w:rPr>
                <w:rFonts w:ascii="Arial" w:eastAsia="Arial" w:hAnsi="Arial" w:cs="Arial"/>
              </w:rPr>
            </w:pPr>
            <w:r>
              <w:rPr>
                <w:rFonts w:ascii="Arial" w:eastAsia="Arial" w:hAnsi="Arial" w:cs="Arial"/>
              </w:rPr>
              <w:t>Intervention / Condition Studied</w:t>
            </w:r>
          </w:p>
        </w:tc>
        <w:tc>
          <w:tcPr>
            <w:tcW w:w="1186"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336CCCAB" w14:textId="77777777" w:rsidR="0016569D" w:rsidRDefault="00C7268B">
            <w:pPr>
              <w:rPr>
                <w:rFonts w:ascii="Arial" w:eastAsia="Arial" w:hAnsi="Arial" w:cs="Arial"/>
              </w:rPr>
            </w:pPr>
            <w:r>
              <w:rPr>
                <w:rFonts w:ascii="Arial" w:eastAsia="Arial" w:hAnsi="Arial" w:cs="Arial"/>
              </w:rPr>
              <w:t>Analytical Tool</w:t>
            </w:r>
          </w:p>
        </w:tc>
        <w:tc>
          <w:tcPr>
            <w:tcW w:w="1335"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6FF48074" w14:textId="77777777" w:rsidR="0016569D" w:rsidRDefault="00C7268B">
            <w:pPr>
              <w:rPr>
                <w:rFonts w:ascii="Arial" w:eastAsia="Arial" w:hAnsi="Arial" w:cs="Arial"/>
              </w:rPr>
            </w:pPr>
            <w:r>
              <w:rPr>
                <w:rFonts w:ascii="Arial" w:eastAsia="Arial" w:hAnsi="Arial" w:cs="Arial"/>
              </w:rPr>
              <w:t>Main Findings</w:t>
            </w:r>
          </w:p>
        </w:tc>
        <w:tc>
          <w:tcPr>
            <w:tcW w:w="1679"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11F0D529" w14:textId="77777777" w:rsidR="0016569D" w:rsidRDefault="00C7268B">
            <w:pPr>
              <w:rPr>
                <w:rFonts w:ascii="Arial" w:eastAsia="Arial" w:hAnsi="Arial" w:cs="Arial"/>
              </w:rPr>
            </w:pPr>
            <w:r>
              <w:rPr>
                <w:rFonts w:ascii="Arial" w:eastAsia="Arial" w:hAnsi="Arial" w:cs="Arial"/>
              </w:rPr>
              <w:t>Conclusion</w:t>
            </w:r>
          </w:p>
        </w:tc>
      </w:tr>
      <w:tr w:rsidR="0016569D" w14:paraId="594D0E46" w14:textId="77777777">
        <w:trPr>
          <w:trHeight w:val="907"/>
        </w:trPr>
        <w:tc>
          <w:tcPr>
            <w:tcW w:w="1477" w:type="dxa"/>
            <w:tcBorders>
              <w:top w:val="single" w:sz="4" w:space="0" w:color="000000"/>
              <w:left w:val="nil"/>
              <w:bottom w:val="nil"/>
              <w:right w:val="nil"/>
            </w:tcBorders>
            <w:tcMar>
              <w:top w:w="100" w:type="dxa"/>
              <w:left w:w="100" w:type="dxa"/>
              <w:bottom w:w="100" w:type="dxa"/>
              <w:right w:w="100" w:type="dxa"/>
            </w:tcMar>
            <w:vAlign w:val="center"/>
          </w:tcPr>
          <w:p w14:paraId="0A534F16" w14:textId="77777777" w:rsidR="0016569D" w:rsidRDefault="00C7268B">
            <w:pPr>
              <w:rPr>
                <w:rFonts w:ascii="Arial" w:eastAsia="Arial" w:hAnsi="Arial" w:cs="Arial"/>
              </w:rPr>
            </w:pPr>
            <w:r>
              <w:rPr>
                <w:rFonts w:ascii="Arial" w:eastAsia="Arial" w:hAnsi="Arial" w:cs="Arial"/>
              </w:rPr>
              <w:t>Metabolic syndrome promotes resistance to aspirin...</w:t>
            </w:r>
          </w:p>
        </w:tc>
        <w:tc>
          <w:tcPr>
            <w:tcW w:w="1413" w:type="dxa"/>
            <w:tcBorders>
              <w:top w:val="single" w:sz="4" w:space="0" w:color="000000"/>
              <w:left w:val="nil"/>
              <w:bottom w:val="nil"/>
              <w:right w:val="nil"/>
            </w:tcBorders>
            <w:tcMar>
              <w:top w:w="100" w:type="dxa"/>
              <w:left w:w="100" w:type="dxa"/>
              <w:bottom w:w="100" w:type="dxa"/>
              <w:right w:w="100" w:type="dxa"/>
            </w:tcMar>
            <w:vAlign w:val="center"/>
          </w:tcPr>
          <w:p w14:paraId="390DAD86" w14:textId="77777777" w:rsidR="0016569D" w:rsidRDefault="00C7268B">
            <w:pPr>
              <w:rPr>
                <w:rFonts w:ascii="Arial" w:eastAsia="Arial" w:hAnsi="Arial" w:cs="Arial"/>
              </w:rPr>
            </w:pPr>
            <w:r>
              <w:rPr>
                <w:rFonts w:ascii="Arial" w:eastAsia="Arial" w:hAnsi="Arial" w:cs="Arial"/>
              </w:rPr>
              <w:t xml:space="preserve">Rats with </w:t>
            </w:r>
            <w:proofErr w:type="spellStart"/>
            <w:r>
              <w:rPr>
                <w:rFonts w:ascii="Arial" w:eastAsia="Arial" w:hAnsi="Arial" w:cs="Arial"/>
              </w:rPr>
              <w:t>MetS</w:t>
            </w:r>
            <w:proofErr w:type="spellEnd"/>
            <w:r>
              <w:rPr>
                <w:rFonts w:ascii="Arial" w:eastAsia="Arial" w:hAnsi="Arial" w:cs="Arial"/>
              </w:rPr>
              <w:t xml:space="preserve"> and ligature-induced periodontitis</w:t>
            </w:r>
          </w:p>
        </w:tc>
        <w:tc>
          <w:tcPr>
            <w:tcW w:w="1307" w:type="dxa"/>
            <w:tcBorders>
              <w:top w:val="single" w:sz="4" w:space="0" w:color="000000"/>
              <w:left w:val="nil"/>
              <w:bottom w:val="nil"/>
              <w:right w:val="nil"/>
            </w:tcBorders>
            <w:tcMar>
              <w:top w:w="100" w:type="dxa"/>
              <w:left w:w="100" w:type="dxa"/>
              <w:bottom w:w="100" w:type="dxa"/>
              <w:right w:w="100" w:type="dxa"/>
            </w:tcMar>
            <w:vAlign w:val="center"/>
          </w:tcPr>
          <w:p w14:paraId="5CC6BFCD" w14:textId="77777777" w:rsidR="0016569D" w:rsidRDefault="00C7268B">
            <w:pPr>
              <w:rPr>
                <w:rFonts w:ascii="Arial" w:eastAsia="Arial" w:hAnsi="Arial" w:cs="Arial"/>
              </w:rPr>
            </w:pPr>
            <w:r>
              <w:rPr>
                <w:rFonts w:ascii="Arial" w:eastAsia="Arial" w:hAnsi="Arial" w:cs="Arial"/>
              </w:rPr>
              <w:t>Acetylsalicylic acid (ASA)</w:t>
            </w:r>
          </w:p>
        </w:tc>
        <w:tc>
          <w:tcPr>
            <w:tcW w:w="1186" w:type="dxa"/>
            <w:tcBorders>
              <w:top w:val="single" w:sz="4" w:space="0" w:color="000000"/>
              <w:left w:val="nil"/>
              <w:bottom w:val="nil"/>
              <w:right w:val="nil"/>
            </w:tcBorders>
            <w:tcMar>
              <w:top w:w="100" w:type="dxa"/>
              <w:left w:w="100" w:type="dxa"/>
              <w:bottom w:w="100" w:type="dxa"/>
              <w:right w:w="100" w:type="dxa"/>
            </w:tcMar>
            <w:vAlign w:val="center"/>
          </w:tcPr>
          <w:p w14:paraId="4FB8F84F" w14:textId="77777777" w:rsidR="0016569D" w:rsidRDefault="00C7268B">
            <w:pPr>
              <w:rPr>
                <w:rFonts w:ascii="Arial" w:eastAsia="Arial" w:hAnsi="Arial" w:cs="Arial"/>
              </w:rPr>
            </w:pPr>
            <w:r>
              <w:rPr>
                <w:rFonts w:ascii="Arial" w:eastAsia="Arial" w:hAnsi="Arial" w:cs="Arial"/>
              </w:rPr>
              <w:t>Micro-CT</w:t>
            </w:r>
          </w:p>
        </w:tc>
        <w:tc>
          <w:tcPr>
            <w:tcW w:w="1335" w:type="dxa"/>
            <w:tcBorders>
              <w:top w:val="single" w:sz="4" w:space="0" w:color="000000"/>
              <w:left w:val="nil"/>
              <w:bottom w:val="nil"/>
              <w:right w:val="nil"/>
            </w:tcBorders>
            <w:tcMar>
              <w:top w:w="100" w:type="dxa"/>
              <w:left w:w="100" w:type="dxa"/>
              <w:bottom w:w="100" w:type="dxa"/>
              <w:right w:w="100" w:type="dxa"/>
            </w:tcMar>
            <w:vAlign w:val="center"/>
          </w:tcPr>
          <w:p w14:paraId="061ACA91" w14:textId="77777777" w:rsidR="0016569D" w:rsidRDefault="00C7268B">
            <w:pPr>
              <w:rPr>
                <w:rFonts w:ascii="Arial" w:eastAsia="Arial" w:hAnsi="Arial" w:cs="Arial"/>
              </w:rPr>
            </w:pPr>
            <w:r>
              <w:rPr>
                <w:rFonts w:ascii="Arial" w:eastAsia="Arial" w:hAnsi="Arial" w:cs="Arial"/>
              </w:rPr>
              <w:t xml:space="preserve">Aspirin reduces bone loss only in the absence of </w:t>
            </w:r>
            <w:proofErr w:type="spellStart"/>
            <w:r>
              <w:rPr>
                <w:rFonts w:ascii="Arial" w:eastAsia="Arial" w:hAnsi="Arial" w:cs="Arial"/>
              </w:rPr>
              <w:t>MetS</w:t>
            </w:r>
            <w:proofErr w:type="spellEnd"/>
          </w:p>
        </w:tc>
        <w:tc>
          <w:tcPr>
            <w:tcW w:w="1679" w:type="dxa"/>
            <w:tcBorders>
              <w:top w:val="single" w:sz="4" w:space="0" w:color="000000"/>
              <w:left w:val="nil"/>
              <w:bottom w:val="nil"/>
              <w:right w:val="nil"/>
            </w:tcBorders>
            <w:tcMar>
              <w:top w:w="100" w:type="dxa"/>
              <w:left w:w="100" w:type="dxa"/>
              <w:bottom w:w="100" w:type="dxa"/>
              <w:right w:w="100" w:type="dxa"/>
            </w:tcMar>
            <w:vAlign w:val="center"/>
          </w:tcPr>
          <w:p w14:paraId="4CD9C450" w14:textId="77777777" w:rsidR="0016569D" w:rsidRDefault="00C7268B">
            <w:pPr>
              <w:rPr>
                <w:rFonts w:ascii="Arial" w:eastAsia="Arial" w:hAnsi="Arial" w:cs="Arial"/>
              </w:rPr>
            </w:pPr>
            <w:proofErr w:type="spellStart"/>
            <w:r>
              <w:rPr>
                <w:rFonts w:ascii="Arial" w:eastAsia="Arial" w:hAnsi="Arial" w:cs="Arial"/>
              </w:rPr>
              <w:t>MetS</w:t>
            </w:r>
            <w:proofErr w:type="spellEnd"/>
            <w:r>
              <w:rPr>
                <w:rFonts w:ascii="Arial" w:eastAsia="Arial" w:hAnsi="Arial" w:cs="Arial"/>
              </w:rPr>
              <w:t xml:space="preserve"> induces resistance to aspirin’s protective effect</w:t>
            </w:r>
          </w:p>
        </w:tc>
      </w:tr>
      <w:tr w:rsidR="0016569D" w14:paraId="25226FA2" w14:textId="77777777">
        <w:trPr>
          <w:trHeight w:val="604"/>
        </w:trPr>
        <w:tc>
          <w:tcPr>
            <w:tcW w:w="1477" w:type="dxa"/>
            <w:tcBorders>
              <w:top w:val="nil"/>
              <w:left w:val="nil"/>
              <w:bottom w:val="nil"/>
              <w:right w:val="nil"/>
            </w:tcBorders>
            <w:shd w:val="clear" w:color="auto" w:fill="F2F2F2"/>
            <w:tcMar>
              <w:top w:w="100" w:type="dxa"/>
              <w:left w:w="100" w:type="dxa"/>
              <w:bottom w:w="100" w:type="dxa"/>
              <w:right w:w="100" w:type="dxa"/>
            </w:tcMar>
            <w:vAlign w:val="center"/>
          </w:tcPr>
          <w:p w14:paraId="7C296BC4" w14:textId="77777777" w:rsidR="0016569D" w:rsidRDefault="00C7268B">
            <w:pPr>
              <w:rPr>
                <w:rFonts w:ascii="Arial" w:eastAsia="Arial" w:hAnsi="Arial" w:cs="Arial"/>
              </w:rPr>
            </w:pPr>
            <w:proofErr w:type="spellStart"/>
            <w:r>
              <w:rPr>
                <w:rFonts w:ascii="Arial" w:eastAsia="Arial" w:hAnsi="Arial" w:cs="Arial"/>
              </w:rPr>
              <w:t>Hypericin-glucamine</w:t>
            </w:r>
            <w:proofErr w:type="spellEnd"/>
            <w:r>
              <w:rPr>
                <w:rFonts w:ascii="Arial" w:eastAsia="Arial" w:hAnsi="Arial" w:cs="Arial"/>
              </w:rPr>
              <w:t xml:space="preserve"> antimicrobial </w:t>
            </w:r>
            <w:r>
              <w:rPr>
                <w:rFonts w:ascii="Arial" w:eastAsia="Arial" w:hAnsi="Arial" w:cs="Arial"/>
              </w:rPr>
              <w:lastRenderedPageBreak/>
              <w:t>photodynamic therapy...</w:t>
            </w:r>
          </w:p>
        </w:tc>
        <w:tc>
          <w:tcPr>
            <w:tcW w:w="1413" w:type="dxa"/>
            <w:tcBorders>
              <w:top w:val="nil"/>
              <w:left w:val="nil"/>
              <w:bottom w:val="nil"/>
              <w:right w:val="nil"/>
            </w:tcBorders>
            <w:shd w:val="clear" w:color="auto" w:fill="F2F2F2"/>
            <w:tcMar>
              <w:top w:w="100" w:type="dxa"/>
              <w:left w:w="100" w:type="dxa"/>
              <w:bottom w:w="100" w:type="dxa"/>
              <w:right w:w="100" w:type="dxa"/>
            </w:tcMar>
            <w:vAlign w:val="center"/>
          </w:tcPr>
          <w:p w14:paraId="5C184453" w14:textId="77777777" w:rsidR="0016569D" w:rsidRDefault="00C7268B">
            <w:pPr>
              <w:rPr>
                <w:rFonts w:ascii="Arial" w:eastAsia="Arial" w:hAnsi="Arial" w:cs="Arial"/>
              </w:rPr>
            </w:pPr>
            <w:r>
              <w:rPr>
                <w:rFonts w:ascii="Arial" w:eastAsia="Arial" w:hAnsi="Arial" w:cs="Arial"/>
              </w:rPr>
              <w:lastRenderedPageBreak/>
              <w:t>Rats with periodontitis</w:t>
            </w:r>
          </w:p>
        </w:tc>
        <w:tc>
          <w:tcPr>
            <w:tcW w:w="1307" w:type="dxa"/>
            <w:tcBorders>
              <w:top w:val="nil"/>
              <w:left w:val="nil"/>
              <w:bottom w:val="nil"/>
              <w:right w:val="nil"/>
            </w:tcBorders>
            <w:shd w:val="clear" w:color="auto" w:fill="F2F2F2"/>
            <w:tcMar>
              <w:top w:w="100" w:type="dxa"/>
              <w:left w:w="100" w:type="dxa"/>
              <w:bottom w:w="100" w:type="dxa"/>
              <w:right w:w="100" w:type="dxa"/>
            </w:tcMar>
            <w:vAlign w:val="center"/>
          </w:tcPr>
          <w:p w14:paraId="2A020363" w14:textId="77777777" w:rsidR="0016569D" w:rsidRDefault="00C7268B">
            <w:pPr>
              <w:rPr>
                <w:rFonts w:ascii="Arial" w:eastAsia="Arial" w:hAnsi="Arial" w:cs="Arial"/>
              </w:rPr>
            </w:pPr>
            <w:proofErr w:type="spellStart"/>
            <w:r>
              <w:rPr>
                <w:rFonts w:ascii="Arial" w:eastAsia="Arial" w:hAnsi="Arial" w:cs="Arial"/>
              </w:rPr>
              <w:t>aPDT</w:t>
            </w:r>
            <w:proofErr w:type="spellEnd"/>
            <w:r>
              <w:rPr>
                <w:rFonts w:ascii="Arial" w:eastAsia="Arial" w:hAnsi="Arial" w:cs="Arial"/>
              </w:rPr>
              <w:t xml:space="preserve"> with </w:t>
            </w:r>
            <w:proofErr w:type="spellStart"/>
            <w:r>
              <w:rPr>
                <w:rFonts w:ascii="Arial" w:eastAsia="Arial" w:hAnsi="Arial" w:cs="Arial"/>
              </w:rPr>
              <w:t>hypericin-</w:t>
            </w:r>
            <w:r>
              <w:rPr>
                <w:rFonts w:ascii="Arial" w:eastAsia="Arial" w:hAnsi="Arial" w:cs="Arial"/>
              </w:rPr>
              <w:lastRenderedPageBreak/>
              <w:t>glucamine</w:t>
            </w:r>
            <w:proofErr w:type="spellEnd"/>
            <w:r>
              <w:rPr>
                <w:rFonts w:ascii="Arial" w:eastAsia="Arial" w:hAnsi="Arial" w:cs="Arial"/>
              </w:rPr>
              <w:t xml:space="preserve"> and LED</w:t>
            </w:r>
          </w:p>
        </w:tc>
        <w:tc>
          <w:tcPr>
            <w:tcW w:w="1186" w:type="dxa"/>
            <w:tcBorders>
              <w:top w:val="nil"/>
              <w:left w:val="nil"/>
              <w:bottom w:val="nil"/>
              <w:right w:val="nil"/>
            </w:tcBorders>
            <w:shd w:val="clear" w:color="auto" w:fill="F2F2F2"/>
            <w:tcMar>
              <w:top w:w="100" w:type="dxa"/>
              <w:left w:w="100" w:type="dxa"/>
              <w:bottom w:w="100" w:type="dxa"/>
              <w:right w:w="100" w:type="dxa"/>
            </w:tcMar>
            <w:vAlign w:val="center"/>
          </w:tcPr>
          <w:p w14:paraId="2A48C1A3" w14:textId="77777777" w:rsidR="0016569D" w:rsidRDefault="00C7268B">
            <w:pPr>
              <w:rPr>
                <w:rFonts w:ascii="Arial" w:eastAsia="Arial" w:hAnsi="Arial" w:cs="Arial"/>
              </w:rPr>
            </w:pPr>
            <w:r>
              <w:rPr>
                <w:rFonts w:ascii="Arial" w:eastAsia="Arial" w:hAnsi="Arial" w:cs="Arial"/>
              </w:rPr>
              <w:lastRenderedPageBreak/>
              <w:t xml:space="preserve">Micro-CT and </w:t>
            </w:r>
            <w:proofErr w:type="spellStart"/>
            <w:r>
              <w:rPr>
                <w:rFonts w:ascii="Arial" w:eastAsia="Arial" w:hAnsi="Arial" w:cs="Arial"/>
              </w:rPr>
              <w:t>histometry</w:t>
            </w:r>
            <w:proofErr w:type="spellEnd"/>
          </w:p>
        </w:tc>
        <w:tc>
          <w:tcPr>
            <w:tcW w:w="1335" w:type="dxa"/>
            <w:tcBorders>
              <w:top w:val="nil"/>
              <w:left w:val="nil"/>
              <w:bottom w:val="nil"/>
              <w:right w:val="nil"/>
            </w:tcBorders>
            <w:shd w:val="clear" w:color="auto" w:fill="F2F2F2"/>
            <w:tcMar>
              <w:top w:w="100" w:type="dxa"/>
              <w:left w:w="100" w:type="dxa"/>
              <w:bottom w:w="100" w:type="dxa"/>
              <w:right w:w="100" w:type="dxa"/>
            </w:tcMar>
            <w:vAlign w:val="center"/>
          </w:tcPr>
          <w:p w14:paraId="4439476E" w14:textId="77777777" w:rsidR="0016569D" w:rsidRDefault="00C7268B">
            <w:pPr>
              <w:rPr>
                <w:rFonts w:ascii="Arial" w:eastAsia="Arial" w:hAnsi="Arial" w:cs="Arial"/>
              </w:rPr>
            </w:pPr>
            <w:r>
              <w:rPr>
                <w:rFonts w:ascii="Arial" w:eastAsia="Arial" w:hAnsi="Arial" w:cs="Arial"/>
              </w:rPr>
              <w:t xml:space="preserve">Higher bone volume at 7 days with </w:t>
            </w:r>
            <w:proofErr w:type="spellStart"/>
            <w:r>
              <w:rPr>
                <w:rFonts w:ascii="Arial" w:eastAsia="Arial" w:hAnsi="Arial" w:cs="Arial"/>
              </w:rPr>
              <w:lastRenderedPageBreak/>
              <w:t>aPDT</w:t>
            </w:r>
            <w:proofErr w:type="spellEnd"/>
            <w:r>
              <w:rPr>
                <w:rFonts w:ascii="Arial" w:eastAsia="Arial" w:hAnsi="Arial" w:cs="Arial"/>
              </w:rPr>
              <w:t>; LED alone superior at 15 days</w:t>
            </w:r>
          </w:p>
        </w:tc>
        <w:tc>
          <w:tcPr>
            <w:tcW w:w="1679" w:type="dxa"/>
            <w:tcBorders>
              <w:top w:val="nil"/>
              <w:left w:val="nil"/>
              <w:bottom w:val="nil"/>
              <w:right w:val="nil"/>
            </w:tcBorders>
            <w:shd w:val="clear" w:color="auto" w:fill="F2F2F2"/>
            <w:tcMar>
              <w:top w:w="100" w:type="dxa"/>
              <w:left w:w="100" w:type="dxa"/>
              <w:bottom w:w="100" w:type="dxa"/>
              <w:right w:w="100" w:type="dxa"/>
            </w:tcMar>
            <w:vAlign w:val="center"/>
          </w:tcPr>
          <w:p w14:paraId="64763029" w14:textId="77777777" w:rsidR="0016569D" w:rsidRDefault="00C7268B">
            <w:pPr>
              <w:rPr>
                <w:rFonts w:ascii="Arial" w:eastAsia="Arial" w:hAnsi="Arial" w:cs="Arial"/>
              </w:rPr>
            </w:pPr>
            <w:proofErr w:type="spellStart"/>
            <w:r>
              <w:rPr>
                <w:rFonts w:ascii="Arial" w:eastAsia="Arial" w:hAnsi="Arial" w:cs="Arial"/>
              </w:rPr>
              <w:lastRenderedPageBreak/>
              <w:t>aPDT</w:t>
            </w:r>
            <w:proofErr w:type="spellEnd"/>
            <w:r>
              <w:rPr>
                <w:rFonts w:ascii="Arial" w:eastAsia="Arial" w:hAnsi="Arial" w:cs="Arial"/>
              </w:rPr>
              <w:t xml:space="preserve"> has early beneficial effects; LED </w:t>
            </w:r>
            <w:r>
              <w:rPr>
                <w:rFonts w:ascii="Arial" w:eastAsia="Arial" w:hAnsi="Arial" w:cs="Arial"/>
              </w:rPr>
              <w:lastRenderedPageBreak/>
              <w:t>alone shows late action</w:t>
            </w:r>
          </w:p>
        </w:tc>
      </w:tr>
      <w:tr w:rsidR="0016569D" w14:paraId="04B121BA" w14:textId="77777777">
        <w:trPr>
          <w:trHeight w:val="1180"/>
        </w:trPr>
        <w:tc>
          <w:tcPr>
            <w:tcW w:w="1477" w:type="dxa"/>
            <w:tcBorders>
              <w:top w:val="nil"/>
              <w:left w:val="nil"/>
              <w:bottom w:val="nil"/>
              <w:right w:val="nil"/>
            </w:tcBorders>
            <w:tcMar>
              <w:top w:w="100" w:type="dxa"/>
              <w:left w:w="100" w:type="dxa"/>
              <w:bottom w:w="100" w:type="dxa"/>
              <w:right w:w="100" w:type="dxa"/>
            </w:tcMar>
            <w:vAlign w:val="center"/>
          </w:tcPr>
          <w:p w14:paraId="3521726B" w14:textId="77777777" w:rsidR="0016569D" w:rsidRDefault="00C7268B">
            <w:pPr>
              <w:rPr>
                <w:rFonts w:ascii="Arial" w:eastAsia="Arial" w:hAnsi="Arial" w:cs="Arial"/>
              </w:rPr>
            </w:pPr>
            <w:r>
              <w:rPr>
                <w:rFonts w:ascii="Arial" w:eastAsia="Arial" w:hAnsi="Arial" w:cs="Arial"/>
              </w:rPr>
              <w:lastRenderedPageBreak/>
              <w:t>Chronological analysis of periodontal bone loss...</w:t>
            </w:r>
          </w:p>
        </w:tc>
        <w:tc>
          <w:tcPr>
            <w:tcW w:w="1413" w:type="dxa"/>
            <w:tcBorders>
              <w:top w:val="nil"/>
              <w:left w:val="nil"/>
              <w:bottom w:val="nil"/>
              <w:right w:val="nil"/>
            </w:tcBorders>
            <w:tcMar>
              <w:top w:w="100" w:type="dxa"/>
              <w:left w:w="100" w:type="dxa"/>
              <w:bottom w:w="100" w:type="dxa"/>
              <w:right w:w="100" w:type="dxa"/>
            </w:tcMar>
            <w:vAlign w:val="center"/>
          </w:tcPr>
          <w:p w14:paraId="5F2F412B" w14:textId="77777777" w:rsidR="0016569D" w:rsidRDefault="00C7268B">
            <w:pPr>
              <w:rPr>
                <w:rFonts w:ascii="Arial" w:eastAsia="Arial" w:hAnsi="Arial" w:cs="Arial"/>
              </w:rPr>
            </w:pPr>
            <w:r>
              <w:rPr>
                <w:rFonts w:ascii="Arial" w:eastAsia="Arial" w:hAnsi="Arial" w:cs="Arial"/>
              </w:rPr>
              <w:t>BALB/c and C57BL/6 mice</w:t>
            </w:r>
          </w:p>
        </w:tc>
        <w:tc>
          <w:tcPr>
            <w:tcW w:w="1307" w:type="dxa"/>
            <w:tcBorders>
              <w:top w:val="nil"/>
              <w:left w:val="nil"/>
              <w:bottom w:val="nil"/>
              <w:right w:val="nil"/>
            </w:tcBorders>
            <w:tcMar>
              <w:top w:w="100" w:type="dxa"/>
              <w:left w:w="100" w:type="dxa"/>
              <w:bottom w:w="100" w:type="dxa"/>
              <w:right w:w="100" w:type="dxa"/>
            </w:tcMar>
            <w:vAlign w:val="center"/>
          </w:tcPr>
          <w:p w14:paraId="32E407B5" w14:textId="77777777" w:rsidR="0016569D" w:rsidRDefault="00C7268B">
            <w:pPr>
              <w:rPr>
                <w:rFonts w:ascii="Arial" w:eastAsia="Arial" w:hAnsi="Arial" w:cs="Arial"/>
              </w:rPr>
            </w:pPr>
            <w:r>
              <w:rPr>
                <w:rFonts w:ascii="Arial" w:eastAsia="Arial" w:hAnsi="Arial" w:cs="Arial"/>
                <w:i/>
                <w:iCs/>
              </w:rPr>
              <w:t>P. gingivalis</w:t>
            </w:r>
            <w:r>
              <w:rPr>
                <w:rFonts w:ascii="Arial" w:eastAsia="Arial" w:hAnsi="Arial" w:cs="Arial"/>
              </w:rPr>
              <w:t xml:space="preserve"> infection</w:t>
            </w:r>
          </w:p>
        </w:tc>
        <w:tc>
          <w:tcPr>
            <w:tcW w:w="1186" w:type="dxa"/>
            <w:tcBorders>
              <w:top w:val="nil"/>
              <w:left w:val="nil"/>
              <w:bottom w:val="nil"/>
              <w:right w:val="nil"/>
            </w:tcBorders>
            <w:tcMar>
              <w:top w:w="100" w:type="dxa"/>
              <w:left w:w="100" w:type="dxa"/>
              <w:bottom w:w="100" w:type="dxa"/>
              <w:right w:w="100" w:type="dxa"/>
            </w:tcMar>
            <w:vAlign w:val="center"/>
          </w:tcPr>
          <w:p w14:paraId="7108729C" w14:textId="77777777" w:rsidR="0016569D" w:rsidRDefault="00C7268B">
            <w:pPr>
              <w:rPr>
                <w:rFonts w:ascii="Arial" w:eastAsia="Arial" w:hAnsi="Arial" w:cs="Arial"/>
              </w:rPr>
            </w:pPr>
            <w:r>
              <w:rPr>
                <w:rFonts w:ascii="Arial" w:eastAsia="Arial" w:hAnsi="Arial" w:cs="Arial"/>
              </w:rPr>
              <w:t>Micro-CT</w:t>
            </w:r>
          </w:p>
        </w:tc>
        <w:tc>
          <w:tcPr>
            <w:tcW w:w="1335" w:type="dxa"/>
            <w:tcBorders>
              <w:top w:val="nil"/>
              <w:left w:val="nil"/>
              <w:bottom w:val="nil"/>
              <w:right w:val="nil"/>
            </w:tcBorders>
            <w:tcMar>
              <w:top w:w="100" w:type="dxa"/>
              <w:left w:w="100" w:type="dxa"/>
              <w:bottom w:w="100" w:type="dxa"/>
              <w:right w:w="100" w:type="dxa"/>
            </w:tcMar>
            <w:vAlign w:val="center"/>
          </w:tcPr>
          <w:p w14:paraId="6C21ABED" w14:textId="77777777" w:rsidR="0016569D" w:rsidRDefault="00C7268B">
            <w:pPr>
              <w:rPr>
                <w:rFonts w:ascii="Arial" w:eastAsia="Arial" w:hAnsi="Arial" w:cs="Arial"/>
              </w:rPr>
            </w:pPr>
            <w:r>
              <w:rPr>
                <w:rFonts w:ascii="Arial" w:eastAsia="Arial" w:hAnsi="Arial" w:cs="Arial"/>
              </w:rPr>
              <w:t>BALB/c showed earlier and more intense bone loss</w:t>
            </w:r>
          </w:p>
        </w:tc>
        <w:tc>
          <w:tcPr>
            <w:tcW w:w="1679" w:type="dxa"/>
            <w:tcBorders>
              <w:top w:val="nil"/>
              <w:left w:val="nil"/>
              <w:bottom w:val="nil"/>
              <w:right w:val="nil"/>
            </w:tcBorders>
            <w:tcMar>
              <w:top w:w="100" w:type="dxa"/>
              <w:left w:w="100" w:type="dxa"/>
              <w:bottom w:w="100" w:type="dxa"/>
              <w:right w:w="100" w:type="dxa"/>
            </w:tcMar>
            <w:vAlign w:val="center"/>
          </w:tcPr>
          <w:p w14:paraId="62CD9A9B" w14:textId="77777777" w:rsidR="0016569D" w:rsidRDefault="00C7268B">
            <w:pPr>
              <w:rPr>
                <w:rFonts w:ascii="Arial" w:eastAsia="Arial" w:hAnsi="Arial" w:cs="Arial"/>
              </w:rPr>
            </w:pPr>
            <w:r>
              <w:rPr>
                <w:rFonts w:ascii="Arial" w:eastAsia="Arial" w:hAnsi="Arial" w:cs="Arial"/>
              </w:rPr>
              <w:t>Bone-loss progression varies between strains; micro-CT detects temporal changes</w:t>
            </w:r>
          </w:p>
        </w:tc>
      </w:tr>
      <w:tr w:rsidR="0016569D" w14:paraId="6CE3FC39" w14:textId="77777777">
        <w:trPr>
          <w:trHeight w:val="999"/>
        </w:trPr>
        <w:tc>
          <w:tcPr>
            <w:tcW w:w="1477" w:type="dxa"/>
            <w:tcBorders>
              <w:top w:val="nil"/>
              <w:left w:val="nil"/>
              <w:bottom w:val="nil"/>
              <w:right w:val="nil"/>
            </w:tcBorders>
            <w:shd w:val="clear" w:color="auto" w:fill="F2F2F2"/>
            <w:tcMar>
              <w:top w:w="100" w:type="dxa"/>
              <w:left w:w="100" w:type="dxa"/>
              <w:bottom w:w="100" w:type="dxa"/>
              <w:right w:w="100" w:type="dxa"/>
            </w:tcMar>
            <w:vAlign w:val="center"/>
          </w:tcPr>
          <w:p w14:paraId="1A6781E3" w14:textId="77777777" w:rsidR="0016569D" w:rsidRDefault="00C7268B">
            <w:pPr>
              <w:rPr>
                <w:rFonts w:ascii="Arial" w:eastAsia="Arial" w:hAnsi="Arial" w:cs="Arial"/>
              </w:rPr>
            </w:pPr>
            <w:r>
              <w:rPr>
                <w:rFonts w:ascii="Arial" w:eastAsia="Arial" w:hAnsi="Arial" w:cs="Arial"/>
              </w:rPr>
              <w:t>Systemic administration of propranolol reduces bone resorption...</w:t>
            </w:r>
          </w:p>
        </w:tc>
        <w:tc>
          <w:tcPr>
            <w:tcW w:w="1413" w:type="dxa"/>
            <w:tcBorders>
              <w:top w:val="nil"/>
              <w:left w:val="nil"/>
              <w:bottom w:val="nil"/>
              <w:right w:val="nil"/>
            </w:tcBorders>
            <w:shd w:val="clear" w:color="auto" w:fill="F2F2F2"/>
            <w:tcMar>
              <w:top w:w="100" w:type="dxa"/>
              <w:left w:w="100" w:type="dxa"/>
              <w:bottom w:w="100" w:type="dxa"/>
              <w:right w:w="100" w:type="dxa"/>
            </w:tcMar>
            <w:vAlign w:val="center"/>
          </w:tcPr>
          <w:p w14:paraId="0FEEA67A" w14:textId="77777777" w:rsidR="0016569D" w:rsidRDefault="00C7268B">
            <w:pPr>
              <w:rPr>
                <w:rFonts w:ascii="Arial" w:eastAsia="Arial" w:hAnsi="Arial" w:cs="Arial"/>
              </w:rPr>
            </w:pPr>
            <w:r>
              <w:rPr>
                <w:rFonts w:ascii="Arial" w:eastAsia="Arial" w:hAnsi="Arial" w:cs="Arial"/>
              </w:rPr>
              <w:t>Rats with apical periodontitis and chronic stress</w:t>
            </w:r>
          </w:p>
        </w:tc>
        <w:tc>
          <w:tcPr>
            <w:tcW w:w="1307" w:type="dxa"/>
            <w:tcBorders>
              <w:top w:val="nil"/>
              <w:left w:val="nil"/>
              <w:bottom w:val="nil"/>
              <w:right w:val="nil"/>
            </w:tcBorders>
            <w:shd w:val="clear" w:color="auto" w:fill="F2F2F2"/>
            <w:tcMar>
              <w:top w:w="100" w:type="dxa"/>
              <w:left w:w="100" w:type="dxa"/>
              <w:bottom w:w="100" w:type="dxa"/>
              <w:right w:w="100" w:type="dxa"/>
            </w:tcMar>
            <w:vAlign w:val="center"/>
          </w:tcPr>
          <w:p w14:paraId="517554F6" w14:textId="77777777" w:rsidR="0016569D" w:rsidRDefault="00C7268B">
            <w:pPr>
              <w:rPr>
                <w:rFonts w:ascii="Arial" w:eastAsia="Arial" w:hAnsi="Arial" w:cs="Arial"/>
              </w:rPr>
            </w:pPr>
            <w:r>
              <w:rPr>
                <w:rFonts w:ascii="Arial" w:eastAsia="Arial" w:hAnsi="Arial" w:cs="Arial"/>
              </w:rPr>
              <w:t>Systemic propranolol</w:t>
            </w:r>
          </w:p>
        </w:tc>
        <w:tc>
          <w:tcPr>
            <w:tcW w:w="1186" w:type="dxa"/>
            <w:tcBorders>
              <w:top w:val="nil"/>
              <w:left w:val="nil"/>
              <w:bottom w:val="nil"/>
              <w:right w:val="nil"/>
            </w:tcBorders>
            <w:shd w:val="clear" w:color="auto" w:fill="F2F2F2"/>
            <w:tcMar>
              <w:top w:w="100" w:type="dxa"/>
              <w:left w:w="100" w:type="dxa"/>
              <w:bottom w:w="100" w:type="dxa"/>
              <w:right w:w="100" w:type="dxa"/>
            </w:tcMar>
            <w:vAlign w:val="center"/>
          </w:tcPr>
          <w:p w14:paraId="1D493584" w14:textId="77777777" w:rsidR="0016569D" w:rsidRDefault="00C7268B">
            <w:pPr>
              <w:rPr>
                <w:rFonts w:ascii="Arial" w:eastAsia="Arial" w:hAnsi="Arial" w:cs="Arial"/>
              </w:rPr>
            </w:pPr>
            <w:r>
              <w:rPr>
                <w:rFonts w:ascii="Arial" w:eastAsia="Arial" w:hAnsi="Arial" w:cs="Arial"/>
              </w:rPr>
              <w:t>Micro-CT</w:t>
            </w:r>
          </w:p>
        </w:tc>
        <w:tc>
          <w:tcPr>
            <w:tcW w:w="1335" w:type="dxa"/>
            <w:tcBorders>
              <w:top w:val="nil"/>
              <w:left w:val="nil"/>
              <w:bottom w:val="nil"/>
              <w:right w:val="nil"/>
            </w:tcBorders>
            <w:shd w:val="clear" w:color="auto" w:fill="F2F2F2"/>
            <w:tcMar>
              <w:top w:w="100" w:type="dxa"/>
              <w:left w:w="100" w:type="dxa"/>
              <w:bottom w:w="100" w:type="dxa"/>
              <w:right w:w="100" w:type="dxa"/>
            </w:tcMar>
            <w:vAlign w:val="center"/>
          </w:tcPr>
          <w:p w14:paraId="1C96BBC2" w14:textId="77777777" w:rsidR="0016569D" w:rsidRDefault="00C7268B">
            <w:pPr>
              <w:rPr>
                <w:rFonts w:ascii="Arial" w:eastAsia="Arial" w:hAnsi="Arial" w:cs="Arial"/>
              </w:rPr>
            </w:pPr>
            <w:r>
              <w:rPr>
                <w:rFonts w:ascii="Arial" w:eastAsia="Arial" w:hAnsi="Arial" w:cs="Arial"/>
              </w:rPr>
              <w:t>Reduced lesion volume and area with propranolol</w:t>
            </w:r>
          </w:p>
        </w:tc>
        <w:tc>
          <w:tcPr>
            <w:tcW w:w="1679" w:type="dxa"/>
            <w:tcBorders>
              <w:top w:val="nil"/>
              <w:left w:val="nil"/>
              <w:bottom w:val="nil"/>
              <w:right w:val="nil"/>
            </w:tcBorders>
            <w:shd w:val="clear" w:color="auto" w:fill="F2F2F2"/>
            <w:tcMar>
              <w:top w:w="100" w:type="dxa"/>
              <w:left w:w="100" w:type="dxa"/>
              <w:bottom w:w="100" w:type="dxa"/>
              <w:right w:w="100" w:type="dxa"/>
            </w:tcMar>
            <w:vAlign w:val="center"/>
          </w:tcPr>
          <w:p w14:paraId="5DADBACC" w14:textId="77777777" w:rsidR="0016569D" w:rsidRDefault="00C7268B">
            <w:pPr>
              <w:rPr>
                <w:rFonts w:ascii="Arial" w:eastAsia="Arial" w:hAnsi="Arial" w:cs="Arial"/>
              </w:rPr>
            </w:pPr>
            <w:r>
              <w:rPr>
                <w:rFonts w:ascii="Arial" w:eastAsia="Arial" w:hAnsi="Arial" w:cs="Arial"/>
              </w:rPr>
              <w:t>Propranolol protects against the effects of chronic stress on resorption</w:t>
            </w:r>
          </w:p>
        </w:tc>
      </w:tr>
      <w:tr w:rsidR="0016569D" w14:paraId="7CAE6247" w14:textId="77777777">
        <w:trPr>
          <w:trHeight w:val="907"/>
        </w:trPr>
        <w:tc>
          <w:tcPr>
            <w:tcW w:w="1477" w:type="dxa"/>
            <w:tcBorders>
              <w:top w:val="nil"/>
              <w:left w:val="nil"/>
              <w:bottom w:val="nil"/>
              <w:right w:val="nil"/>
            </w:tcBorders>
            <w:tcMar>
              <w:top w:w="100" w:type="dxa"/>
              <w:left w:w="100" w:type="dxa"/>
              <w:bottom w:w="100" w:type="dxa"/>
              <w:right w:w="100" w:type="dxa"/>
            </w:tcMar>
            <w:vAlign w:val="center"/>
          </w:tcPr>
          <w:p w14:paraId="015007EE" w14:textId="77777777" w:rsidR="0016569D" w:rsidRDefault="00C7268B">
            <w:pPr>
              <w:rPr>
                <w:rFonts w:ascii="Arial" w:eastAsia="Arial" w:hAnsi="Arial" w:cs="Arial"/>
              </w:rPr>
            </w:pPr>
            <w:r>
              <w:rPr>
                <w:rFonts w:ascii="Arial" w:eastAsia="Arial" w:hAnsi="Arial" w:cs="Arial"/>
              </w:rPr>
              <w:t>Atypical antipsychotics olanzapine and clozapine...</w:t>
            </w:r>
          </w:p>
        </w:tc>
        <w:tc>
          <w:tcPr>
            <w:tcW w:w="1413" w:type="dxa"/>
            <w:tcBorders>
              <w:top w:val="nil"/>
              <w:left w:val="nil"/>
              <w:bottom w:val="nil"/>
              <w:right w:val="nil"/>
            </w:tcBorders>
            <w:tcMar>
              <w:top w:w="100" w:type="dxa"/>
              <w:left w:w="100" w:type="dxa"/>
              <w:bottom w:w="100" w:type="dxa"/>
              <w:right w:w="100" w:type="dxa"/>
            </w:tcMar>
            <w:vAlign w:val="center"/>
          </w:tcPr>
          <w:p w14:paraId="764CD441" w14:textId="77777777" w:rsidR="0016569D" w:rsidRDefault="00C7268B">
            <w:pPr>
              <w:rPr>
                <w:rFonts w:ascii="Arial" w:eastAsia="Arial" w:hAnsi="Arial" w:cs="Arial"/>
              </w:rPr>
            </w:pPr>
            <w:r>
              <w:rPr>
                <w:rFonts w:ascii="Arial" w:eastAsia="Arial" w:hAnsi="Arial" w:cs="Arial"/>
              </w:rPr>
              <w:t>Wistar female rats with periodontitis</w:t>
            </w:r>
          </w:p>
        </w:tc>
        <w:tc>
          <w:tcPr>
            <w:tcW w:w="1307" w:type="dxa"/>
            <w:tcBorders>
              <w:top w:val="nil"/>
              <w:left w:val="nil"/>
              <w:bottom w:val="nil"/>
              <w:right w:val="nil"/>
            </w:tcBorders>
            <w:tcMar>
              <w:top w:w="100" w:type="dxa"/>
              <w:left w:w="100" w:type="dxa"/>
              <w:bottom w:w="100" w:type="dxa"/>
              <w:right w:w="100" w:type="dxa"/>
            </w:tcMar>
            <w:vAlign w:val="center"/>
          </w:tcPr>
          <w:p w14:paraId="7C77B48D" w14:textId="77777777" w:rsidR="0016569D" w:rsidRDefault="00C7268B">
            <w:pPr>
              <w:rPr>
                <w:rFonts w:ascii="Arial" w:eastAsia="Arial" w:hAnsi="Arial" w:cs="Arial"/>
              </w:rPr>
            </w:pPr>
            <w:r>
              <w:rPr>
                <w:rFonts w:ascii="Arial" w:eastAsia="Arial" w:hAnsi="Arial" w:cs="Arial"/>
              </w:rPr>
              <w:t>Olanzapine and clozapine</w:t>
            </w:r>
          </w:p>
        </w:tc>
        <w:tc>
          <w:tcPr>
            <w:tcW w:w="1186" w:type="dxa"/>
            <w:tcBorders>
              <w:top w:val="nil"/>
              <w:left w:val="nil"/>
              <w:bottom w:val="nil"/>
              <w:right w:val="nil"/>
            </w:tcBorders>
            <w:tcMar>
              <w:top w:w="100" w:type="dxa"/>
              <w:left w:w="100" w:type="dxa"/>
              <w:bottom w:w="100" w:type="dxa"/>
              <w:right w:w="100" w:type="dxa"/>
            </w:tcMar>
            <w:vAlign w:val="center"/>
          </w:tcPr>
          <w:p w14:paraId="17568308" w14:textId="77777777" w:rsidR="0016569D" w:rsidRDefault="00C7268B">
            <w:pPr>
              <w:rPr>
                <w:rFonts w:ascii="Arial" w:eastAsia="Arial" w:hAnsi="Arial" w:cs="Arial"/>
              </w:rPr>
            </w:pPr>
            <w:r>
              <w:rPr>
                <w:rFonts w:ascii="Arial" w:eastAsia="Arial" w:hAnsi="Arial" w:cs="Arial"/>
              </w:rPr>
              <w:t>Micro-CT and histology</w:t>
            </w:r>
          </w:p>
        </w:tc>
        <w:tc>
          <w:tcPr>
            <w:tcW w:w="1335" w:type="dxa"/>
            <w:tcBorders>
              <w:top w:val="nil"/>
              <w:left w:val="nil"/>
              <w:bottom w:val="nil"/>
              <w:right w:val="nil"/>
            </w:tcBorders>
            <w:tcMar>
              <w:top w:w="100" w:type="dxa"/>
              <w:left w:w="100" w:type="dxa"/>
              <w:bottom w:w="100" w:type="dxa"/>
              <w:right w:w="100" w:type="dxa"/>
            </w:tcMar>
            <w:vAlign w:val="center"/>
          </w:tcPr>
          <w:p w14:paraId="6CED7C7B" w14:textId="77777777" w:rsidR="0016569D" w:rsidRDefault="00C7268B">
            <w:pPr>
              <w:rPr>
                <w:rFonts w:ascii="Arial" w:eastAsia="Arial" w:hAnsi="Arial" w:cs="Arial"/>
              </w:rPr>
            </w:pPr>
            <w:r>
              <w:rPr>
                <w:rFonts w:ascii="Arial" w:eastAsia="Arial" w:hAnsi="Arial" w:cs="Arial"/>
              </w:rPr>
              <w:t>Apparent bone loss with no changes detected by micro-CT</w:t>
            </w:r>
          </w:p>
        </w:tc>
        <w:tc>
          <w:tcPr>
            <w:tcW w:w="1679" w:type="dxa"/>
            <w:tcBorders>
              <w:top w:val="nil"/>
              <w:left w:val="nil"/>
              <w:bottom w:val="nil"/>
              <w:right w:val="nil"/>
            </w:tcBorders>
            <w:tcMar>
              <w:top w:w="100" w:type="dxa"/>
              <w:left w:w="100" w:type="dxa"/>
              <w:bottom w:w="100" w:type="dxa"/>
              <w:right w:w="100" w:type="dxa"/>
            </w:tcMar>
            <w:vAlign w:val="center"/>
          </w:tcPr>
          <w:p w14:paraId="6DCD6BD3" w14:textId="77777777" w:rsidR="0016569D" w:rsidRDefault="00C7268B">
            <w:pPr>
              <w:rPr>
                <w:rFonts w:ascii="Arial" w:eastAsia="Arial" w:hAnsi="Arial" w:cs="Arial"/>
              </w:rPr>
            </w:pPr>
            <w:r>
              <w:rPr>
                <w:rFonts w:ascii="Arial" w:eastAsia="Arial" w:hAnsi="Arial" w:cs="Arial"/>
              </w:rPr>
              <w:t>Remodeling may mask antipsychotic effects in micro-CT</w:t>
            </w:r>
          </w:p>
        </w:tc>
      </w:tr>
      <w:tr w:rsidR="0016569D" w14:paraId="4A8984BB" w14:textId="77777777">
        <w:trPr>
          <w:trHeight w:val="999"/>
        </w:trPr>
        <w:tc>
          <w:tcPr>
            <w:tcW w:w="1477" w:type="dxa"/>
            <w:tcBorders>
              <w:top w:val="nil"/>
              <w:left w:val="nil"/>
              <w:bottom w:val="nil"/>
              <w:right w:val="nil"/>
            </w:tcBorders>
            <w:shd w:val="clear" w:color="auto" w:fill="F2F2F2"/>
            <w:tcMar>
              <w:top w:w="100" w:type="dxa"/>
              <w:left w:w="100" w:type="dxa"/>
              <w:bottom w:w="100" w:type="dxa"/>
              <w:right w:w="100" w:type="dxa"/>
            </w:tcMar>
            <w:vAlign w:val="center"/>
          </w:tcPr>
          <w:p w14:paraId="48FD3BE6" w14:textId="77777777" w:rsidR="0016569D" w:rsidRDefault="00C7268B">
            <w:pPr>
              <w:rPr>
                <w:rFonts w:ascii="Arial" w:eastAsia="Arial" w:hAnsi="Arial" w:cs="Arial"/>
              </w:rPr>
            </w:pPr>
            <w:r>
              <w:rPr>
                <w:rFonts w:ascii="Arial" w:eastAsia="Arial" w:hAnsi="Arial" w:cs="Arial"/>
              </w:rPr>
              <w:t>Temporal changes of periodontal tissue pathology...</w:t>
            </w:r>
          </w:p>
        </w:tc>
        <w:tc>
          <w:tcPr>
            <w:tcW w:w="1413" w:type="dxa"/>
            <w:tcBorders>
              <w:top w:val="nil"/>
              <w:left w:val="nil"/>
              <w:bottom w:val="nil"/>
              <w:right w:val="nil"/>
            </w:tcBorders>
            <w:shd w:val="clear" w:color="auto" w:fill="F2F2F2"/>
            <w:tcMar>
              <w:top w:w="100" w:type="dxa"/>
              <w:left w:w="100" w:type="dxa"/>
              <w:bottom w:w="100" w:type="dxa"/>
              <w:right w:w="100" w:type="dxa"/>
            </w:tcMar>
            <w:vAlign w:val="center"/>
          </w:tcPr>
          <w:p w14:paraId="35EFB501" w14:textId="77777777" w:rsidR="0016569D" w:rsidRDefault="00C7268B">
            <w:pPr>
              <w:rPr>
                <w:rFonts w:ascii="Arial" w:eastAsia="Arial" w:hAnsi="Arial" w:cs="Arial"/>
              </w:rPr>
            </w:pPr>
            <w:r>
              <w:rPr>
                <w:rFonts w:ascii="Arial" w:eastAsia="Arial" w:hAnsi="Arial" w:cs="Arial"/>
              </w:rPr>
              <w:t>Mice with ligature-induced periodontitis</w:t>
            </w:r>
          </w:p>
        </w:tc>
        <w:tc>
          <w:tcPr>
            <w:tcW w:w="1307" w:type="dxa"/>
            <w:tcBorders>
              <w:top w:val="nil"/>
              <w:left w:val="nil"/>
              <w:bottom w:val="nil"/>
              <w:right w:val="nil"/>
            </w:tcBorders>
            <w:shd w:val="clear" w:color="auto" w:fill="F2F2F2"/>
            <w:tcMar>
              <w:top w:w="100" w:type="dxa"/>
              <w:left w:w="100" w:type="dxa"/>
              <w:bottom w:w="100" w:type="dxa"/>
              <w:right w:w="100" w:type="dxa"/>
            </w:tcMar>
            <w:vAlign w:val="center"/>
          </w:tcPr>
          <w:p w14:paraId="47FFC805" w14:textId="77777777" w:rsidR="0016569D" w:rsidRDefault="00C7268B">
            <w:pPr>
              <w:rPr>
                <w:rFonts w:ascii="Arial" w:eastAsia="Arial" w:hAnsi="Arial" w:cs="Arial"/>
              </w:rPr>
            </w:pPr>
            <w:r>
              <w:rPr>
                <w:rFonts w:ascii="Arial" w:eastAsia="Arial" w:hAnsi="Arial" w:cs="Arial"/>
              </w:rPr>
              <w:t>Temporal analysis of bone loss</w:t>
            </w:r>
          </w:p>
        </w:tc>
        <w:tc>
          <w:tcPr>
            <w:tcW w:w="1186" w:type="dxa"/>
            <w:tcBorders>
              <w:top w:val="nil"/>
              <w:left w:val="nil"/>
              <w:bottom w:val="nil"/>
              <w:right w:val="nil"/>
            </w:tcBorders>
            <w:shd w:val="clear" w:color="auto" w:fill="F2F2F2"/>
            <w:tcMar>
              <w:top w:w="100" w:type="dxa"/>
              <w:left w:w="100" w:type="dxa"/>
              <w:bottom w:w="100" w:type="dxa"/>
              <w:right w:w="100" w:type="dxa"/>
            </w:tcMar>
            <w:vAlign w:val="center"/>
          </w:tcPr>
          <w:p w14:paraId="3AA94DCB" w14:textId="77777777" w:rsidR="0016569D" w:rsidRDefault="00C7268B">
            <w:pPr>
              <w:rPr>
                <w:rFonts w:ascii="Arial" w:eastAsia="Arial" w:hAnsi="Arial" w:cs="Arial"/>
              </w:rPr>
            </w:pPr>
            <w:r>
              <w:rPr>
                <w:rFonts w:ascii="Arial" w:eastAsia="Arial" w:hAnsi="Arial" w:cs="Arial"/>
              </w:rPr>
              <w:t>Micro-CT and histology</w:t>
            </w:r>
          </w:p>
        </w:tc>
        <w:tc>
          <w:tcPr>
            <w:tcW w:w="1335" w:type="dxa"/>
            <w:tcBorders>
              <w:top w:val="nil"/>
              <w:left w:val="nil"/>
              <w:bottom w:val="nil"/>
              <w:right w:val="nil"/>
            </w:tcBorders>
            <w:shd w:val="clear" w:color="auto" w:fill="F2F2F2"/>
            <w:tcMar>
              <w:top w:w="100" w:type="dxa"/>
              <w:left w:w="100" w:type="dxa"/>
              <w:bottom w:w="100" w:type="dxa"/>
              <w:right w:w="100" w:type="dxa"/>
            </w:tcMar>
            <w:vAlign w:val="center"/>
          </w:tcPr>
          <w:p w14:paraId="0C1A46C1" w14:textId="77777777" w:rsidR="0016569D" w:rsidRDefault="00C7268B">
            <w:pPr>
              <w:rPr>
                <w:rFonts w:ascii="Arial" w:eastAsia="Arial" w:hAnsi="Arial" w:cs="Arial"/>
              </w:rPr>
            </w:pPr>
            <w:r>
              <w:rPr>
                <w:rFonts w:ascii="Arial" w:eastAsia="Arial" w:hAnsi="Arial" w:cs="Arial"/>
              </w:rPr>
              <w:t>Peak bone loss between days 4 and 8</w:t>
            </w:r>
          </w:p>
        </w:tc>
        <w:tc>
          <w:tcPr>
            <w:tcW w:w="1679" w:type="dxa"/>
            <w:tcBorders>
              <w:top w:val="nil"/>
              <w:left w:val="nil"/>
              <w:bottom w:val="nil"/>
              <w:right w:val="nil"/>
            </w:tcBorders>
            <w:shd w:val="clear" w:color="auto" w:fill="F2F2F2"/>
            <w:tcMar>
              <w:top w:w="100" w:type="dxa"/>
              <w:left w:w="100" w:type="dxa"/>
              <w:bottom w:w="100" w:type="dxa"/>
              <w:right w:w="100" w:type="dxa"/>
            </w:tcMar>
            <w:vAlign w:val="center"/>
          </w:tcPr>
          <w:p w14:paraId="67192411" w14:textId="77777777" w:rsidR="0016569D" w:rsidRDefault="00C7268B">
            <w:pPr>
              <w:rPr>
                <w:rFonts w:ascii="Arial" w:eastAsia="Arial" w:hAnsi="Arial" w:cs="Arial"/>
              </w:rPr>
            </w:pPr>
            <w:r>
              <w:rPr>
                <w:rFonts w:ascii="Arial" w:eastAsia="Arial" w:hAnsi="Arial" w:cs="Arial"/>
              </w:rPr>
              <w:t>Optimal evaluation window is between days 4 and 8 post-induction</w:t>
            </w:r>
          </w:p>
        </w:tc>
      </w:tr>
      <w:tr w:rsidR="0016569D" w14:paraId="77A003BC" w14:textId="77777777">
        <w:trPr>
          <w:trHeight w:val="907"/>
        </w:trPr>
        <w:tc>
          <w:tcPr>
            <w:tcW w:w="1477" w:type="dxa"/>
            <w:tcBorders>
              <w:top w:val="nil"/>
              <w:left w:val="nil"/>
              <w:bottom w:val="nil"/>
              <w:right w:val="nil"/>
            </w:tcBorders>
            <w:tcMar>
              <w:top w:w="100" w:type="dxa"/>
              <w:left w:w="100" w:type="dxa"/>
              <w:bottom w:w="100" w:type="dxa"/>
              <w:right w:w="100" w:type="dxa"/>
            </w:tcMar>
            <w:vAlign w:val="center"/>
          </w:tcPr>
          <w:p w14:paraId="18B5CAA2" w14:textId="77777777" w:rsidR="0016569D" w:rsidRDefault="00C7268B">
            <w:pPr>
              <w:rPr>
                <w:rFonts w:ascii="Arial" w:eastAsia="Arial" w:hAnsi="Arial" w:cs="Arial"/>
              </w:rPr>
            </w:pPr>
            <w:r>
              <w:rPr>
                <w:rFonts w:ascii="Arial" w:eastAsia="Arial" w:hAnsi="Arial" w:cs="Arial"/>
              </w:rPr>
              <w:t>Lactobacillus fermentum attenuates the alveolar bone loss...</w:t>
            </w:r>
          </w:p>
        </w:tc>
        <w:tc>
          <w:tcPr>
            <w:tcW w:w="1413" w:type="dxa"/>
            <w:tcBorders>
              <w:top w:val="nil"/>
              <w:left w:val="nil"/>
              <w:bottom w:val="nil"/>
              <w:right w:val="nil"/>
            </w:tcBorders>
            <w:tcMar>
              <w:top w:w="100" w:type="dxa"/>
              <w:left w:w="100" w:type="dxa"/>
              <w:bottom w:w="100" w:type="dxa"/>
              <w:right w:w="100" w:type="dxa"/>
            </w:tcMar>
            <w:vAlign w:val="center"/>
          </w:tcPr>
          <w:p w14:paraId="112B7462" w14:textId="77777777" w:rsidR="0016569D" w:rsidRDefault="00C7268B">
            <w:pPr>
              <w:rPr>
                <w:rFonts w:ascii="Arial" w:eastAsia="Arial" w:hAnsi="Arial" w:cs="Arial"/>
              </w:rPr>
            </w:pPr>
            <w:r>
              <w:rPr>
                <w:rFonts w:ascii="Arial" w:eastAsia="Arial" w:hAnsi="Arial" w:cs="Arial"/>
              </w:rPr>
              <w:t>Mice with ligature-induced periodontitis</w:t>
            </w:r>
          </w:p>
        </w:tc>
        <w:tc>
          <w:tcPr>
            <w:tcW w:w="1307" w:type="dxa"/>
            <w:tcBorders>
              <w:top w:val="nil"/>
              <w:left w:val="nil"/>
              <w:bottom w:val="nil"/>
              <w:right w:val="nil"/>
            </w:tcBorders>
            <w:tcMar>
              <w:top w:w="100" w:type="dxa"/>
              <w:left w:w="100" w:type="dxa"/>
              <w:bottom w:w="100" w:type="dxa"/>
              <w:right w:w="100" w:type="dxa"/>
            </w:tcMar>
            <w:vAlign w:val="center"/>
          </w:tcPr>
          <w:p w14:paraId="4B1C8AAC" w14:textId="77777777" w:rsidR="0016569D" w:rsidRDefault="00C7268B">
            <w:pPr>
              <w:rPr>
                <w:rFonts w:ascii="Arial" w:eastAsia="Arial" w:hAnsi="Arial" w:cs="Arial"/>
              </w:rPr>
            </w:pPr>
            <w:r>
              <w:rPr>
                <w:rFonts w:ascii="Arial" w:eastAsia="Arial" w:hAnsi="Arial" w:cs="Arial"/>
              </w:rPr>
              <w:t xml:space="preserve">Treatment with </w:t>
            </w:r>
            <w:r>
              <w:rPr>
                <w:rFonts w:ascii="Arial" w:eastAsia="Arial" w:hAnsi="Arial" w:cs="Arial"/>
                <w:i/>
                <w:iCs/>
              </w:rPr>
              <w:t>L. fermentum</w:t>
            </w:r>
            <w:r>
              <w:rPr>
                <w:rFonts w:ascii="Arial" w:eastAsia="Arial" w:hAnsi="Arial" w:cs="Arial"/>
              </w:rPr>
              <w:t xml:space="preserve"> BELF11</w:t>
            </w:r>
          </w:p>
        </w:tc>
        <w:tc>
          <w:tcPr>
            <w:tcW w:w="1186" w:type="dxa"/>
            <w:tcBorders>
              <w:top w:val="nil"/>
              <w:left w:val="nil"/>
              <w:bottom w:val="nil"/>
              <w:right w:val="nil"/>
            </w:tcBorders>
            <w:tcMar>
              <w:top w:w="100" w:type="dxa"/>
              <w:left w:w="100" w:type="dxa"/>
              <w:bottom w:w="100" w:type="dxa"/>
              <w:right w:w="100" w:type="dxa"/>
            </w:tcMar>
            <w:vAlign w:val="center"/>
          </w:tcPr>
          <w:p w14:paraId="2100D5BB" w14:textId="77777777" w:rsidR="0016569D" w:rsidRDefault="00C7268B">
            <w:pPr>
              <w:rPr>
                <w:rFonts w:ascii="Arial" w:eastAsia="Arial" w:hAnsi="Arial" w:cs="Arial"/>
              </w:rPr>
            </w:pPr>
            <w:r>
              <w:rPr>
                <w:rFonts w:ascii="Arial" w:eastAsia="Arial" w:hAnsi="Arial" w:cs="Arial"/>
              </w:rPr>
              <w:t>Micro-CT</w:t>
            </w:r>
          </w:p>
        </w:tc>
        <w:tc>
          <w:tcPr>
            <w:tcW w:w="1335" w:type="dxa"/>
            <w:tcBorders>
              <w:top w:val="nil"/>
              <w:left w:val="nil"/>
              <w:bottom w:val="nil"/>
              <w:right w:val="nil"/>
            </w:tcBorders>
            <w:tcMar>
              <w:top w:w="100" w:type="dxa"/>
              <w:left w:w="100" w:type="dxa"/>
              <w:bottom w:w="100" w:type="dxa"/>
              <w:right w:w="100" w:type="dxa"/>
            </w:tcMar>
            <w:vAlign w:val="center"/>
          </w:tcPr>
          <w:p w14:paraId="38143A54" w14:textId="77777777" w:rsidR="0016569D" w:rsidRDefault="00C7268B">
            <w:pPr>
              <w:rPr>
                <w:rFonts w:ascii="Arial" w:eastAsia="Arial" w:hAnsi="Arial" w:cs="Arial"/>
              </w:rPr>
            </w:pPr>
            <w:r>
              <w:rPr>
                <w:rFonts w:ascii="Arial" w:eastAsia="Arial" w:hAnsi="Arial" w:cs="Arial"/>
              </w:rPr>
              <w:t>Significant reduction of mesial bone loss (p &lt; 0.05)</w:t>
            </w:r>
          </w:p>
        </w:tc>
        <w:tc>
          <w:tcPr>
            <w:tcW w:w="1679" w:type="dxa"/>
            <w:tcBorders>
              <w:top w:val="nil"/>
              <w:left w:val="nil"/>
              <w:bottom w:val="nil"/>
              <w:right w:val="nil"/>
            </w:tcBorders>
            <w:tcMar>
              <w:top w:w="100" w:type="dxa"/>
              <w:left w:w="100" w:type="dxa"/>
              <w:bottom w:w="100" w:type="dxa"/>
              <w:right w:w="100" w:type="dxa"/>
            </w:tcMar>
            <w:vAlign w:val="center"/>
          </w:tcPr>
          <w:p w14:paraId="7B0E88B8" w14:textId="77777777" w:rsidR="0016569D" w:rsidRDefault="00C7268B">
            <w:pPr>
              <w:rPr>
                <w:rFonts w:ascii="Arial" w:eastAsia="Arial" w:hAnsi="Arial" w:cs="Arial"/>
              </w:rPr>
            </w:pPr>
            <w:r>
              <w:rPr>
                <w:rFonts w:ascii="Arial" w:eastAsia="Arial" w:hAnsi="Arial" w:cs="Arial"/>
              </w:rPr>
              <w:t>Probiotic attenuates bone resorption and inflammation</w:t>
            </w:r>
          </w:p>
        </w:tc>
      </w:tr>
      <w:tr w:rsidR="0016569D" w14:paraId="411DD788" w14:textId="77777777">
        <w:trPr>
          <w:trHeight w:val="908"/>
        </w:trPr>
        <w:tc>
          <w:tcPr>
            <w:tcW w:w="1477" w:type="dxa"/>
            <w:tcBorders>
              <w:top w:val="nil"/>
              <w:left w:val="nil"/>
              <w:bottom w:val="nil"/>
              <w:right w:val="nil"/>
            </w:tcBorders>
            <w:shd w:val="clear" w:color="auto" w:fill="F2F2F2"/>
            <w:tcMar>
              <w:top w:w="100" w:type="dxa"/>
              <w:left w:w="100" w:type="dxa"/>
              <w:bottom w:w="100" w:type="dxa"/>
              <w:right w:w="100" w:type="dxa"/>
            </w:tcMar>
            <w:vAlign w:val="center"/>
          </w:tcPr>
          <w:p w14:paraId="50BC3E1B" w14:textId="77777777" w:rsidR="0016569D" w:rsidRDefault="00C7268B">
            <w:pPr>
              <w:rPr>
                <w:rFonts w:ascii="Arial" w:eastAsia="Arial" w:hAnsi="Arial" w:cs="Arial"/>
              </w:rPr>
            </w:pPr>
            <w:r>
              <w:rPr>
                <w:rFonts w:ascii="Arial" w:eastAsia="Arial" w:hAnsi="Arial" w:cs="Arial"/>
              </w:rPr>
              <w:t>SOCS2 regulates alveolar bone loss...</w:t>
            </w:r>
          </w:p>
        </w:tc>
        <w:tc>
          <w:tcPr>
            <w:tcW w:w="1413" w:type="dxa"/>
            <w:tcBorders>
              <w:top w:val="nil"/>
              <w:left w:val="nil"/>
              <w:bottom w:val="nil"/>
              <w:right w:val="nil"/>
            </w:tcBorders>
            <w:shd w:val="clear" w:color="auto" w:fill="F2F2F2"/>
            <w:tcMar>
              <w:top w:w="100" w:type="dxa"/>
              <w:left w:w="100" w:type="dxa"/>
              <w:bottom w:w="100" w:type="dxa"/>
              <w:right w:w="100" w:type="dxa"/>
            </w:tcMar>
            <w:vAlign w:val="center"/>
          </w:tcPr>
          <w:p w14:paraId="60A7608E" w14:textId="77777777" w:rsidR="0016569D" w:rsidRDefault="000E5FC7">
            <w:pPr>
              <w:rPr>
                <w:rFonts w:ascii="Arial" w:eastAsia="Arial" w:hAnsi="Arial" w:cs="Arial"/>
              </w:rPr>
            </w:pPr>
            <w:sdt>
              <w:sdtPr>
                <w:tag w:val="goog_rdk_1"/>
                <w:id w:val="285911265"/>
              </w:sdtPr>
              <w:sdtEndPr/>
              <w:sdtContent>
                <w:r w:rsidR="00C7268B">
                  <w:rPr>
                    <w:rFonts w:ascii="Arial Unicode MS" w:eastAsia="Arial Unicode MS" w:hAnsi="Arial Unicode MS" w:cs="Arial Unicode MS"/>
                  </w:rPr>
                  <w:t xml:space="preserve">Socs2−/− and WT mice infected with </w:t>
                </w:r>
              </w:sdtContent>
            </w:sdt>
            <w:r w:rsidR="00C7268B">
              <w:rPr>
                <w:rFonts w:ascii="Arial" w:eastAsia="Arial" w:hAnsi="Arial" w:cs="Arial"/>
                <w:i/>
                <w:iCs/>
              </w:rPr>
              <w:t>Aa</w:t>
            </w:r>
          </w:p>
        </w:tc>
        <w:tc>
          <w:tcPr>
            <w:tcW w:w="1307" w:type="dxa"/>
            <w:tcBorders>
              <w:top w:val="nil"/>
              <w:left w:val="nil"/>
              <w:bottom w:val="nil"/>
              <w:right w:val="nil"/>
            </w:tcBorders>
            <w:shd w:val="clear" w:color="auto" w:fill="F2F2F2"/>
            <w:tcMar>
              <w:top w:w="100" w:type="dxa"/>
              <w:left w:w="100" w:type="dxa"/>
              <w:bottom w:w="100" w:type="dxa"/>
              <w:right w:w="100" w:type="dxa"/>
            </w:tcMar>
            <w:vAlign w:val="center"/>
          </w:tcPr>
          <w:p w14:paraId="1030241F" w14:textId="77777777" w:rsidR="0016569D" w:rsidRDefault="00C7268B">
            <w:pPr>
              <w:rPr>
                <w:rFonts w:ascii="Arial" w:eastAsia="Arial" w:hAnsi="Arial" w:cs="Arial"/>
              </w:rPr>
            </w:pPr>
            <w:r>
              <w:rPr>
                <w:rFonts w:ascii="Arial" w:eastAsia="Arial" w:hAnsi="Arial" w:cs="Arial"/>
              </w:rPr>
              <w:t>Genetic deficiency of SOCS2</w:t>
            </w:r>
          </w:p>
        </w:tc>
        <w:tc>
          <w:tcPr>
            <w:tcW w:w="1186" w:type="dxa"/>
            <w:tcBorders>
              <w:top w:val="nil"/>
              <w:left w:val="nil"/>
              <w:bottom w:val="nil"/>
              <w:right w:val="nil"/>
            </w:tcBorders>
            <w:shd w:val="clear" w:color="auto" w:fill="F2F2F2"/>
            <w:tcMar>
              <w:top w:w="100" w:type="dxa"/>
              <w:left w:w="100" w:type="dxa"/>
              <w:bottom w:w="100" w:type="dxa"/>
              <w:right w:w="100" w:type="dxa"/>
            </w:tcMar>
            <w:vAlign w:val="center"/>
          </w:tcPr>
          <w:p w14:paraId="21E66865" w14:textId="77777777" w:rsidR="0016569D" w:rsidRDefault="00C7268B">
            <w:pPr>
              <w:rPr>
                <w:rFonts w:ascii="Arial" w:eastAsia="Arial" w:hAnsi="Arial" w:cs="Arial"/>
              </w:rPr>
            </w:pPr>
            <w:r>
              <w:rPr>
                <w:rFonts w:ascii="Arial" w:eastAsia="Arial" w:hAnsi="Arial" w:cs="Arial"/>
              </w:rPr>
              <w:t>Micro-CT</w:t>
            </w:r>
          </w:p>
        </w:tc>
        <w:tc>
          <w:tcPr>
            <w:tcW w:w="1335" w:type="dxa"/>
            <w:tcBorders>
              <w:top w:val="nil"/>
              <w:left w:val="nil"/>
              <w:bottom w:val="nil"/>
              <w:right w:val="nil"/>
            </w:tcBorders>
            <w:shd w:val="clear" w:color="auto" w:fill="F2F2F2"/>
            <w:tcMar>
              <w:top w:w="100" w:type="dxa"/>
              <w:left w:w="100" w:type="dxa"/>
              <w:bottom w:w="100" w:type="dxa"/>
              <w:right w:w="100" w:type="dxa"/>
            </w:tcMar>
            <w:vAlign w:val="center"/>
          </w:tcPr>
          <w:p w14:paraId="1F3FA7D6" w14:textId="77777777" w:rsidR="0016569D" w:rsidRDefault="000E5FC7">
            <w:pPr>
              <w:rPr>
                <w:rFonts w:ascii="Arial" w:eastAsia="Arial" w:hAnsi="Arial" w:cs="Arial"/>
              </w:rPr>
            </w:pPr>
            <w:sdt>
              <w:sdtPr>
                <w:tag w:val="goog_rdk_2"/>
                <w:id w:val="1889166289"/>
              </w:sdtPr>
              <w:sdtEndPr/>
              <w:sdtContent>
                <w:r w:rsidR="00C7268B">
                  <w:rPr>
                    <w:rFonts w:ascii="Arial Unicode MS" w:eastAsia="Arial Unicode MS" w:hAnsi="Arial Unicode MS" w:cs="Arial Unicode MS"/>
                  </w:rPr>
                  <w:t>Greater bone loss in Socs2−/− with fewer inflammatory cytokines</w:t>
                </w:r>
              </w:sdtContent>
            </w:sdt>
          </w:p>
        </w:tc>
        <w:tc>
          <w:tcPr>
            <w:tcW w:w="1679" w:type="dxa"/>
            <w:tcBorders>
              <w:top w:val="nil"/>
              <w:left w:val="nil"/>
              <w:bottom w:val="nil"/>
              <w:right w:val="nil"/>
            </w:tcBorders>
            <w:shd w:val="clear" w:color="auto" w:fill="F2F2F2"/>
            <w:tcMar>
              <w:top w:w="100" w:type="dxa"/>
              <w:left w:w="100" w:type="dxa"/>
              <w:bottom w:w="100" w:type="dxa"/>
              <w:right w:w="100" w:type="dxa"/>
            </w:tcMar>
            <w:vAlign w:val="center"/>
          </w:tcPr>
          <w:p w14:paraId="6816789C" w14:textId="77777777" w:rsidR="0016569D" w:rsidRDefault="00C7268B">
            <w:pPr>
              <w:rPr>
                <w:rFonts w:ascii="Arial" w:eastAsia="Arial" w:hAnsi="Arial" w:cs="Arial"/>
              </w:rPr>
            </w:pPr>
            <w:r>
              <w:rPr>
                <w:rFonts w:ascii="Arial" w:eastAsia="Arial" w:hAnsi="Arial" w:cs="Arial"/>
              </w:rPr>
              <w:t>SOCS2 regulates osteoclastic activity and bone loss</w:t>
            </w:r>
          </w:p>
        </w:tc>
      </w:tr>
      <w:tr w:rsidR="0016569D" w14:paraId="3885DB18" w14:textId="77777777">
        <w:trPr>
          <w:trHeight w:val="817"/>
        </w:trPr>
        <w:tc>
          <w:tcPr>
            <w:tcW w:w="1477" w:type="dxa"/>
            <w:tcBorders>
              <w:top w:val="nil"/>
              <w:left w:val="nil"/>
              <w:bottom w:val="nil"/>
              <w:right w:val="nil"/>
            </w:tcBorders>
            <w:tcMar>
              <w:top w:w="100" w:type="dxa"/>
              <w:left w:w="100" w:type="dxa"/>
              <w:bottom w:w="100" w:type="dxa"/>
              <w:right w:w="100" w:type="dxa"/>
            </w:tcMar>
            <w:vAlign w:val="center"/>
          </w:tcPr>
          <w:p w14:paraId="30E25499" w14:textId="77777777" w:rsidR="0016569D" w:rsidRDefault="00C7268B">
            <w:pPr>
              <w:rPr>
                <w:rFonts w:ascii="Arial" w:eastAsia="Arial" w:hAnsi="Arial" w:cs="Arial"/>
              </w:rPr>
            </w:pPr>
            <w:r>
              <w:rPr>
                <w:rFonts w:ascii="Arial" w:eastAsia="Arial" w:hAnsi="Arial" w:cs="Arial"/>
              </w:rPr>
              <w:t>Minocycline reduces alveolar bone loss...</w:t>
            </w:r>
          </w:p>
        </w:tc>
        <w:tc>
          <w:tcPr>
            <w:tcW w:w="1413" w:type="dxa"/>
            <w:tcBorders>
              <w:top w:val="nil"/>
              <w:left w:val="nil"/>
              <w:bottom w:val="nil"/>
              <w:right w:val="nil"/>
            </w:tcBorders>
            <w:tcMar>
              <w:top w:w="100" w:type="dxa"/>
              <w:left w:w="100" w:type="dxa"/>
              <w:bottom w:w="100" w:type="dxa"/>
              <w:right w:w="100" w:type="dxa"/>
            </w:tcMar>
            <w:vAlign w:val="center"/>
          </w:tcPr>
          <w:p w14:paraId="75D44367" w14:textId="77777777" w:rsidR="0016569D" w:rsidRDefault="00C7268B">
            <w:pPr>
              <w:rPr>
                <w:rFonts w:ascii="Arial" w:eastAsia="Arial" w:hAnsi="Arial" w:cs="Arial"/>
              </w:rPr>
            </w:pPr>
            <w:r>
              <w:rPr>
                <w:rFonts w:ascii="Arial" w:eastAsia="Arial" w:hAnsi="Arial" w:cs="Arial"/>
              </w:rPr>
              <w:t>Rats with ligature-induced periodontitis</w:t>
            </w:r>
          </w:p>
        </w:tc>
        <w:tc>
          <w:tcPr>
            <w:tcW w:w="1307" w:type="dxa"/>
            <w:tcBorders>
              <w:top w:val="nil"/>
              <w:left w:val="nil"/>
              <w:bottom w:val="nil"/>
              <w:right w:val="nil"/>
            </w:tcBorders>
            <w:tcMar>
              <w:top w:w="100" w:type="dxa"/>
              <w:left w:w="100" w:type="dxa"/>
              <w:bottom w:w="100" w:type="dxa"/>
              <w:right w:w="100" w:type="dxa"/>
            </w:tcMar>
            <w:vAlign w:val="center"/>
          </w:tcPr>
          <w:p w14:paraId="6B2AADBE" w14:textId="77777777" w:rsidR="0016569D" w:rsidRDefault="00C7268B">
            <w:pPr>
              <w:rPr>
                <w:rFonts w:ascii="Arial" w:eastAsia="Arial" w:hAnsi="Arial" w:cs="Arial"/>
              </w:rPr>
            </w:pPr>
            <w:r>
              <w:rPr>
                <w:rFonts w:ascii="Arial" w:eastAsia="Arial" w:hAnsi="Arial" w:cs="Arial"/>
              </w:rPr>
              <w:t>Minocycline treatment</w:t>
            </w:r>
          </w:p>
        </w:tc>
        <w:tc>
          <w:tcPr>
            <w:tcW w:w="1186" w:type="dxa"/>
            <w:tcBorders>
              <w:top w:val="nil"/>
              <w:left w:val="nil"/>
              <w:bottom w:val="nil"/>
              <w:right w:val="nil"/>
            </w:tcBorders>
            <w:tcMar>
              <w:top w:w="100" w:type="dxa"/>
              <w:left w:w="100" w:type="dxa"/>
              <w:bottom w:w="100" w:type="dxa"/>
              <w:right w:w="100" w:type="dxa"/>
            </w:tcMar>
            <w:vAlign w:val="center"/>
          </w:tcPr>
          <w:p w14:paraId="5F583E71" w14:textId="77777777" w:rsidR="0016569D" w:rsidRDefault="00C7268B">
            <w:pPr>
              <w:rPr>
                <w:rFonts w:ascii="Arial" w:eastAsia="Arial" w:hAnsi="Arial" w:cs="Arial"/>
              </w:rPr>
            </w:pPr>
            <w:r>
              <w:rPr>
                <w:rFonts w:ascii="Arial" w:eastAsia="Arial" w:hAnsi="Arial" w:cs="Arial"/>
              </w:rPr>
              <w:t>Micro-CT</w:t>
            </w:r>
          </w:p>
        </w:tc>
        <w:tc>
          <w:tcPr>
            <w:tcW w:w="1335" w:type="dxa"/>
            <w:tcBorders>
              <w:top w:val="nil"/>
              <w:left w:val="nil"/>
              <w:bottom w:val="nil"/>
              <w:right w:val="nil"/>
            </w:tcBorders>
            <w:tcMar>
              <w:top w:w="100" w:type="dxa"/>
              <w:left w:w="100" w:type="dxa"/>
              <w:bottom w:w="100" w:type="dxa"/>
              <w:right w:w="100" w:type="dxa"/>
            </w:tcMar>
            <w:vAlign w:val="center"/>
          </w:tcPr>
          <w:p w14:paraId="57606EF5" w14:textId="77777777" w:rsidR="0016569D" w:rsidRDefault="00C7268B">
            <w:pPr>
              <w:rPr>
                <w:rFonts w:ascii="Arial" w:eastAsia="Arial" w:hAnsi="Arial" w:cs="Arial"/>
              </w:rPr>
            </w:pPr>
            <w:r>
              <w:rPr>
                <w:rFonts w:ascii="Arial" w:eastAsia="Arial" w:hAnsi="Arial" w:cs="Arial"/>
              </w:rPr>
              <w:t xml:space="preserve">Reduction in CEJ-ABC, increased </w:t>
            </w:r>
            <w:proofErr w:type="spellStart"/>
            <w:r>
              <w:rPr>
                <w:rFonts w:ascii="Arial" w:eastAsia="Arial" w:hAnsi="Arial" w:cs="Arial"/>
              </w:rPr>
              <w:t>Tb.Th</w:t>
            </w:r>
            <w:proofErr w:type="spellEnd"/>
            <w:r>
              <w:rPr>
                <w:rFonts w:ascii="Arial" w:eastAsia="Arial" w:hAnsi="Arial" w:cs="Arial"/>
              </w:rPr>
              <w:t xml:space="preserve"> and BV/TV</w:t>
            </w:r>
          </w:p>
        </w:tc>
        <w:tc>
          <w:tcPr>
            <w:tcW w:w="1679" w:type="dxa"/>
            <w:tcBorders>
              <w:top w:val="nil"/>
              <w:left w:val="nil"/>
              <w:bottom w:val="nil"/>
              <w:right w:val="nil"/>
            </w:tcBorders>
            <w:tcMar>
              <w:top w:w="100" w:type="dxa"/>
              <w:left w:w="100" w:type="dxa"/>
              <w:bottom w:w="100" w:type="dxa"/>
              <w:right w:w="100" w:type="dxa"/>
            </w:tcMar>
            <w:vAlign w:val="center"/>
          </w:tcPr>
          <w:p w14:paraId="298D9B26" w14:textId="77777777" w:rsidR="0016569D" w:rsidRDefault="00C7268B">
            <w:pPr>
              <w:rPr>
                <w:rFonts w:ascii="Arial" w:eastAsia="Arial" w:hAnsi="Arial" w:cs="Arial"/>
              </w:rPr>
            </w:pPr>
            <w:r>
              <w:rPr>
                <w:rFonts w:ascii="Arial" w:eastAsia="Arial" w:hAnsi="Arial" w:cs="Arial"/>
              </w:rPr>
              <w:t>Minocycline preserves structure and reduces resorption</w:t>
            </w:r>
          </w:p>
        </w:tc>
      </w:tr>
      <w:tr w:rsidR="0016569D" w14:paraId="451293EF" w14:textId="77777777">
        <w:trPr>
          <w:trHeight w:val="1089"/>
        </w:trPr>
        <w:tc>
          <w:tcPr>
            <w:tcW w:w="1477" w:type="dxa"/>
            <w:tcBorders>
              <w:top w:val="nil"/>
              <w:left w:val="nil"/>
              <w:bottom w:val="single" w:sz="4" w:space="0" w:color="000000"/>
              <w:right w:val="nil"/>
            </w:tcBorders>
            <w:shd w:val="clear" w:color="auto" w:fill="F2F2F2"/>
            <w:tcMar>
              <w:top w:w="100" w:type="dxa"/>
              <w:left w:w="100" w:type="dxa"/>
              <w:bottom w:w="100" w:type="dxa"/>
              <w:right w:w="100" w:type="dxa"/>
            </w:tcMar>
            <w:vAlign w:val="center"/>
          </w:tcPr>
          <w:p w14:paraId="0232FCD7" w14:textId="77777777" w:rsidR="0016569D" w:rsidRDefault="00C7268B">
            <w:pPr>
              <w:rPr>
                <w:rFonts w:ascii="Arial" w:eastAsia="Arial" w:hAnsi="Arial" w:cs="Arial"/>
              </w:rPr>
            </w:pPr>
            <w:r>
              <w:rPr>
                <w:rFonts w:ascii="Arial" w:eastAsia="Arial" w:hAnsi="Arial" w:cs="Arial"/>
              </w:rPr>
              <w:t>A reliable deep-learning-based method for alveolar bone quantification.</w:t>
            </w:r>
          </w:p>
        </w:tc>
        <w:tc>
          <w:tcPr>
            <w:tcW w:w="1413" w:type="dxa"/>
            <w:tcBorders>
              <w:top w:val="nil"/>
              <w:left w:val="nil"/>
              <w:bottom w:val="single" w:sz="4" w:space="0" w:color="000000"/>
              <w:right w:val="nil"/>
            </w:tcBorders>
            <w:shd w:val="clear" w:color="auto" w:fill="F2F2F2"/>
            <w:tcMar>
              <w:top w:w="100" w:type="dxa"/>
              <w:left w:w="100" w:type="dxa"/>
              <w:bottom w:w="100" w:type="dxa"/>
              <w:right w:w="100" w:type="dxa"/>
            </w:tcMar>
            <w:vAlign w:val="center"/>
          </w:tcPr>
          <w:p w14:paraId="791A84C4" w14:textId="77777777" w:rsidR="0016569D" w:rsidRDefault="00C7268B">
            <w:pPr>
              <w:rPr>
                <w:rFonts w:ascii="Arial" w:eastAsia="Arial" w:hAnsi="Arial" w:cs="Arial"/>
              </w:rPr>
            </w:pPr>
            <w:r>
              <w:rPr>
                <w:rFonts w:ascii="Arial" w:eastAsia="Arial" w:hAnsi="Arial" w:cs="Arial"/>
              </w:rPr>
              <w:t>Mice with ligature-induced periodontitis</w:t>
            </w:r>
          </w:p>
        </w:tc>
        <w:tc>
          <w:tcPr>
            <w:tcW w:w="1307" w:type="dxa"/>
            <w:tcBorders>
              <w:top w:val="nil"/>
              <w:left w:val="nil"/>
              <w:bottom w:val="single" w:sz="4" w:space="0" w:color="000000"/>
              <w:right w:val="nil"/>
            </w:tcBorders>
            <w:shd w:val="clear" w:color="auto" w:fill="F2F2F2"/>
            <w:tcMar>
              <w:top w:w="100" w:type="dxa"/>
              <w:left w:w="100" w:type="dxa"/>
              <w:bottom w:w="100" w:type="dxa"/>
              <w:right w:w="100" w:type="dxa"/>
            </w:tcMar>
            <w:vAlign w:val="center"/>
          </w:tcPr>
          <w:p w14:paraId="09644A0C" w14:textId="77777777" w:rsidR="0016569D" w:rsidRDefault="00C7268B">
            <w:pPr>
              <w:rPr>
                <w:rFonts w:ascii="Arial" w:eastAsia="Arial" w:hAnsi="Arial" w:cs="Arial"/>
              </w:rPr>
            </w:pPr>
            <w:r>
              <w:rPr>
                <w:rFonts w:ascii="Arial" w:eastAsia="Arial" w:hAnsi="Arial" w:cs="Arial"/>
              </w:rPr>
              <w:t>Application of AI model (U-Net)</w:t>
            </w:r>
          </w:p>
        </w:tc>
        <w:tc>
          <w:tcPr>
            <w:tcW w:w="1186" w:type="dxa"/>
            <w:tcBorders>
              <w:top w:val="nil"/>
              <w:left w:val="nil"/>
              <w:bottom w:val="single" w:sz="4" w:space="0" w:color="000000"/>
              <w:right w:val="nil"/>
            </w:tcBorders>
            <w:shd w:val="clear" w:color="auto" w:fill="F2F2F2"/>
            <w:tcMar>
              <w:top w:w="100" w:type="dxa"/>
              <w:left w:w="100" w:type="dxa"/>
              <w:bottom w:w="100" w:type="dxa"/>
              <w:right w:w="100" w:type="dxa"/>
            </w:tcMar>
            <w:vAlign w:val="center"/>
          </w:tcPr>
          <w:p w14:paraId="677955B2" w14:textId="77777777" w:rsidR="0016569D" w:rsidRDefault="00C7268B">
            <w:pPr>
              <w:rPr>
                <w:rFonts w:ascii="Arial" w:eastAsia="Arial" w:hAnsi="Arial" w:cs="Arial"/>
              </w:rPr>
            </w:pPr>
            <w:r>
              <w:rPr>
                <w:rFonts w:ascii="Arial" w:eastAsia="Arial" w:hAnsi="Arial" w:cs="Arial"/>
              </w:rPr>
              <w:t>Micro-CT with AI (Dragonfly)</w:t>
            </w:r>
          </w:p>
        </w:tc>
        <w:tc>
          <w:tcPr>
            <w:tcW w:w="1335" w:type="dxa"/>
            <w:tcBorders>
              <w:top w:val="nil"/>
              <w:left w:val="nil"/>
              <w:bottom w:val="single" w:sz="4" w:space="0" w:color="000000"/>
              <w:right w:val="nil"/>
            </w:tcBorders>
            <w:shd w:val="clear" w:color="auto" w:fill="F2F2F2"/>
            <w:tcMar>
              <w:top w:w="100" w:type="dxa"/>
              <w:left w:w="100" w:type="dxa"/>
              <w:bottom w:w="100" w:type="dxa"/>
              <w:right w:w="100" w:type="dxa"/>
            </w:tcMar>
            <w:vAlign w:val="center"/>
          </w:tcPr>
          <w:p w14:paraId="34D9755E" w14:textId="77777777" w:rsidR="0016569D" w:rsidRDefault="00C7268B">
            <w:pPr>
              <w:rPr>
                <w:rFonts w:ascii="Arial" w:eastAsia="Arial" w:hAnsi="Arial" w:cs="Arial"/>
              </w:rPr>
            </w:pPr>
            <w:r>
              <w:rPr>
                <w:rFonts w:ascii="Arial" w:eastAsia="Arial" w:hAnsi="Arial" w:cs="Arial"/>
              </w:rPr>
              <w:t>High accuracy (98%) in quantification; bone loss measurable up to day 14</w:t>
            </w:r>
          </w:p>
        </w:tc>
        <w:tc>
          <w:tcPr>
            <w:tcW w:w="1679" w:type="dxa"/>
            <w:tcBorders>
              <w:top w:val="nil"/>
              <w:left w:val="nil"/>
              <w:bottom w:val="single" w:sz="4" w:space="0" w:color="000000"/>
              <w:right w:val="nil"/>
            </w:tcBorders>
            <w:shd w:val="clear" w:color="auto" w:fill="F2F2F2"/>
            <w:tcMar>
              <w:top w:w="100" w:type="dxa"/>
              <w:left w:w="100" w:type="dxa"/>
              <w:bottom w:w="100" w:type="dxa"/>
              <w:right w:w="100" w:type="dxa"/>
            </w:tcMar>
            <w:vAlign w:val="center"/>
          </w:tcPr>
          <w:p w14:paraId="1578599D" w14:textId="77777777" w:rsidR="0016569D" w:rsidRDefault="00C7268B">
            <w:pPr>
              <w:rPr>
                <w:rFonts w:ascii="Arial" w:eastAsia="Arial" w:hAnsi="Arial" w:cs="Arial"/>
              </w:rPr>
            </w:pPr>
            <w:r>
              <w:rPr>
                <w:rFonts w:ascii="Arial" w:eastAsia="Arial" w:hAnsi="Arial" w:cs="Arial"/>
              </w:rPr>
              <w:t>AI improves efficiency and reproducibility of bone-analysis workflows</w:t>
            </w:r>
          </w:p>
        </w:tc>
      </w:tr>
    </w:tbl>
    <w:p w14:paraId="74C1FEA1" w14:textId="77777777" w:rsidR="0016569D" w:rsidRDefault="0016569D">
      <w:pPr>
        <w:pStyle w:val="Heading2"/>
        <w:keepNext w:val="0"/>
        <w:keepLines w:val="0"/>
        <w:spacing w:before="0" w:after="0"/>
        <w:ind w:firstLine="400"/>
        <w:jc w:val="both"/>
        <w:rPr>
          <w:rFonts w:ascii="Arial" w:eastAsia="Arial" w:hAnsi="Arial" w:cs="Arial"/>
          <w:b w:val="0"/>
          <w:bCs w:val="0"/>
          <w:sz w:val="20"/>
          <w:szCs w:val="20"/>
        </w:rPr>
      </w:pPr>
      <w:bookmarkStart w:id="3" w:name="_heading=h.yfpv4t7xavst" w:colFirst="0" w:colLast="0"/>
      <w:bookmarkEnd w:id="3"/>
    </w:p>
    <w:p w14:paraId="51525947" w14:textId="77777777" w:rsidR="0016569D" w:rsidRDefault="00C7268B">
      <w:pPr>
        <w:pStyle w:val="Heading2"/>
        <w:keepNext w:val="0"/>
        <w:keepLines w:val="0"/>
        <w:spacing w:before="0" w:after="0"/>
        <w:ind w:firstLine="400"/>
        <w:jc w:val="both"/>
        <w:rPr>
          <w:rFonts w:ascii="Arial" w:eastAsia="Arial" w:hAnsi="Arial" w:cs="Arial"/>
          <w:b w:val="0"/>
          <w:bCs w:val="0"/>
          <w:sz w:val="20"/>
          <w:szCs w:val="20"/>
        </w:rPr>
      </w:pPr>
      <w:r>
        <w:rPr>
          <w:rFonts w:ascii="Arial" w:eastAsia="Arial" w:hAnsi="Arial" w:cs="Arial"/>
          <w:b w:val="0"/>
          <w:bCs w:val="0"/>
          <w:sz w:val="20"/>
          <w:szCs w:val="20"/>
        </w:rPr>
        <w:lastRenderedPageBreak/>
        <w:t>For performing the various analyses used to assess bone loss, specific software and a sequence of steps are required:</w:t>
      </w:r>
    </w:p>
    <w:p w14:paraId="5F37DD1F" w14:textId="77777777" w:rsidR="0016569D" w:rsidRDefault="0016569D"/>
    <w:p w14:paraId="7D2AD06A" w14:textId="77777777" w:rsidR="0016569D" w:rsidRDefault="00C7268B">
      <w:pPr>
        <w:pStyle w:val="Heading3"/>
        <w:keepNext w:val="0"/>
        <w:keepLines w:val="0"/>
        <w:spacing w:before="0" w:after="0"/>
        <w:ind w:firstLine="400"/>
        <w:jc w:val="both"/>
        <w:rPr>
          <w:rFonts w:ascii="Arial" w:eastAsia="Arial" w:hAnsi="Arial" w:cs="Arial"/>
          <w:sz w:val="20"/>
          <w:szCs w:val="20"/>
        </w:rPr>
      </w:pPr>
      <w:bookmarkStart w:id="4" w:name="_heading=h.qvow747y6ptv" w:colFirst="0" w:colLast="0"/>
      <w:bookmarkEnd w:id="4"/>
      <w:r>
        <w:rPr>
          <w:rFonts w:ascii="Arial" w:eastAsia="Arial" w:hAnsi="Arial" w:cs="Arial"/>
          <w:sz w:val="20"/>
          <w:szCs w:val="20"/>
        </w:rPr>
        <w:t>Image reconstruction</w:t>
      </w:r>
    </w:p>
    <w:p w14:paraId="6E8A70C2" w14:textId="77777777" w:rsidR="0016569D" w:rsidRDefault="00C7268B">
      <w:pPr>
        <w:ind w:firstLine="400"/>
        <w:jc w:val="both"/>
        <w:rPr>
          <w:rFonts w:ascii="Arial" w:eastAsia="Arial" w:hAnsi="Arial" w:cs="Arial"/>
        </w:rPr>
      </w:pPr>
      <w:r>
        <w:rPr>
          <w:rFonts w:ascii="Arial" w:eastAsia="Arial" w:hAnsi="Arial" w:cs="Arial"/>
        </w:rPr>
        <w:t xml:space="preserve">After scanning, the file is not yet ready for analysis and must undergo a reconstruction process, which essentially consists of converting the raw data acquired during scanning into three-dimensional images representing the internal structure of the scanned sample. This step is essential to obtain interpretable and quantitative 3D images of the microstructure of the evaluated material or tissue. The </w:t>
      </w:r>
      <w:proofErr w:type="spellStart"/>
      <w:r>
        <w:rPr>
          <w:rFonts w:ascii="Arial" w:eastAsia="Arial" w:hAnsi="Arial" w:cs="Arial"/>
        </w:rPr>
        <w:t>NRecon</w:t>
      </w:r>
      <w:proofErr w:type="spellEnd"/>
      <w:r>
        <w:rPr>
          <w:rFonts w:ascii="Arial" w:eastAsia="Arial" w:hAnsi="Arial" w:cs="Arial"/>
        </w:rPr>
        <w:t xml:space="preserve"> software, for example, allows adjustments of crucial parameters to improve reconstruction quality (such as smoothing, ring artifact reduction, beam hardening correction, etc.). It also generates slice-based images (e.g., TIFFs) that can later be analyzed in other software (Figure 2).</w:t>
      </w:r>
    </w:p>
    <w:p w14:paraId="5014C53A" w14:textId="77777777" w:rsidR="0016569D" w:rsidRDefault="0016569D">
      <w:pPr>
        <w:ind w:firstLine="400"/>
        <w:jc w:val="both"/>
        <w:rPr>
          <w:rFonts w:ascii="Arial" w:eastAsia="Arial" w:hAnsi="Arial" w:cs="Arial"/>
        </w:rPr>
      </w:pPr>
    </w:p>
    <w:p w14:paraId="47DF1A8F" w14:textId="77777777" w:rsidR="0016569D" w:rsidRDefault="00C7268B">
      <w:pPr>
        <w:ind w:firstLine="400"/>
        <w:jc w:val="both"/>
        <w:rPr>
          <w:rFonts w:ascii="Arial" w:eastAsia="Arial" w:hAnsi="Arial" w:cs="Arial"/>
        </w:rPr>
      </w:pPr>
      <w:r>
        <w:rPr>
          <w:rFonts w:ascii="Arial" w:eastAsia="Arial" w:hAnsi="Arial" w:cs="Arial"/>
          <w:b/>
          <w:bCs/>
        </w:rPr>
        <w:t>Figure 2.</w:t>
      </w:r>
      <w:r>
        <w:rPr>
          <w:rFonts w:ascii="Arial" w:eastAsia="Arial" w:hAnsi="Arial" w:cs="Arial"/>
        </w:rPr>
        <w:t xml:space="preserve"> Representative image of the </w:t>
      </w:r>
      <w:proofErr w:type="spellStart"/>
      <w:r>
        <w:rPr>
          <w:rFonts w:ascii="Arial" w:eastAsia="Arial" w:hAnsi="Arial" w:cs="Arial"/>
        </w:rPr>
        <w:t>NRecon</w:t>
      </w:r>
      <w:proofErr w:type="spellEnd"/>
      <w:r>
        <w:rPr>
          <w:rFonts w:ascii="Arial" w:eastAsia="Arial" w:hAnsi="Arial" w:cs="Arial"/>
        </w:rPr>
        <w:t xml:space="preserve"> software interface.</w:t>
      </w:r>
    </w:p>
    <w:p w14:paraId="550ACDA5" w14:textId="77777777" w:rsidR="0016569D" w:rsidRDefault="00C7268B">
      <w:pPr>
        <w:widowControl w:val="0"/>
        <w:ind w:firstLine="440"/>
        <w:jc w:val="center"/>
        <w:rPr>
          <w:rFonts w:ascii="Arial" w:eastAsia="Arial" w:hAnsi="Arial" w:cs="Arial"/>
          <w:sz w:val="22"/>
          <w:szCs w:val="22"/>
        </w:rPr>
      </w:pPr>
      <w:r>
        <w:rPr>
          <w:rFonts w:ascii="Arial" w:eastAsia="Arial" w:hAnsi="Arial" w:cs="Arial"/>
          <w:noProof/>
          <w:sz w:val="22"/>
          <w:szCs w:val="22"/>
          <w:lang w:val="en-IN" w:eastAsia="en-IN"/>
        </w:rPr>
        <w:drawing>
          <wp:inline distT="0" distB="0" distL="0" distR="0" wp14:anchorId="76A9A1DB" wp14:editId="36892587">
            <wp:extent cx="3776870" cy="2822713"/>
            <wp:effectExtent l="0" t="0" r="0" b="0"/>
            <wp:docPr id="12" name="image2.png" descr="Interface gráfica do usuário, Aplicativo"/>
            <wp:cNvGraphicFramePr/>
            <a:graphic xmlns:a="http://schemas.openxmlformats.org/drawingml/2006/main">
              <a:graphicData uri="http://schemas.openxmlformats.org/drawingml/2006/picture">
                <pic:pic xmlns:pic="http://schemas.openxmlformats.org/drawingml/2006/picture">
                  <pic:nvPicPr>
                    <pic:cNvPr id="0" name="image2.png" descr="Interface gráfica do usuário, Aplicativo"/>
                    <pic:cNvPicPr preferRelativeResize="0"/>
                  </pic:nvPicPr>
                  <pic:blipFill>
                    <a:blip r:embed="rId17"/>
                    <a:srcRect/>
                    <a:stretch>
                      <a:fillRect/>
                    </a:stretch>
                  </pic:blipFill>
                  <pic:spPr>
                    <a:xfrm>
                      <a:off x="0" y="0"/>
                      <a:ext cx="3784071" cy="2828095"/>
                    </a:xfrm>
                    <a:prstGeom prst="rect">
                      <a:avLst/>
                    </a:prstGeom>
                    <a:ln/>
                  </pic:spPr>
                </pic:pic>
              </a:graphicData>
            </a:graphic>
          </wp:inline>
        </w:drawing>
      </w:r>
    </w:p>
    <w:p w14:paraId="1A8009C9" w14:textId="77777777" w:rsidR="0016569D" w:rsidRDefault="00C7268B">
      <w:pPr>
        <w:widowControl w:val="0"/>
        <w:ind w:firstLine="400"/>
        <w:jc w:val="center"/>
        <w:rPr>
          <w:rFonts w:ascii="Arial" w:eastAsia="Arial" w:hAnsi="Arial" w:cs="Arial"/>
          <w:i/>
          <w:iCs/>
        </w:rPr>
      </w:pPr>
      <w:r>
        <w:rPr>
          <w:rFonts w:ascii="Arial" w:eastAsia="Arial" w:hAnsi="Arial" w:cs="Arial"/>
          <w:i/>
          <w:iCs/>
        </w:rPr>
        <w:t>Source: Personal Archive</w:t>
      </w:r>
    </w:p>
    <w:p w14:paraId="3D042B80" w14:textId="77777777" w:rsidR="0016569D" w:rsidRDefault="0016569D">
      <w:pPr>
        <w:widowControl w:val="0"/>
        <w:ind w:firstLine="400"/>
        <w:jc w:val="center"/>
        <w:rPr>
          <w:rFonts w:ascii="Arial" w:eastAsia="Arial" w:hAnsi="Arial" w:cs="Arial"/>
          <w:i/>
          <w:iCs/>
        </w:rPr>
      </w:pPr>
    </w:p>
    <w:p w14:paraId="6405B247" w14:textId="77777777" w:rsidR="0016569D" w:rsidRDefault="00C7268B">
      <w:pPr>
        <w:pStyle w:val="Heading3"/>
        <w:keepNext w:val="0"/>
        <w:keepLines w:val="0"/>
        <w:spacing w:before="0" w:after="0"/>
        <w:ind w:firstLine="400"/>
        <w:jc w:val="both"/>
        <w:rPr>
          <w:rFonts w:ascii="Arial" w:eastAsia="Arial" w:hAnsi="Arial" w:cs="Arial"/>
          <w:sz w:val="20"/>
          <w:szCs w:val="20"/>
        </w:rPr>
      </w:pPr>
      <w:bookmarkStart w:id="5" w:name="_heading=h.is16yn1uzv3s" w:colFirst="0" w:colLast="0"/>
      <w:bookmarkEnd w:id="5"/>
      <w:r>
        <w:rPr>
          <w:rFonts w:ascii="Arial" w:eastAsia="Arial" w:hAnsi="Arial" w:cs="Arial"/>
          <w:sz w:val="20"/>
          <w:szCs w:val="20"/>
        </w:rPr>
        <w:t>Orientation and standardization of images in the three planes</w:t>
      </w:r>
    </w:p>
    <w:p w14:paraId="49953365" w14:textId="77777777" w:rsidR="0016569D" w:rsidRDefault="00C7268B">
      <w:pPr>
        <w:ind w:firstLine="400"/>
        <w:jc w:val="both"/>
        <w:rPr>
          <w:rFonts w:ascii="Arial" w:eastAsia="Arial" w:hAnsi="Arial" w:cs="Arial"/>
        </w:rPr>
      </w:pPr>
      <w:r>
        <w:rPr>
          <w:rFonts w:ascii="Arial" w:eastAsia="Arial" w:hAnsi="Arial" w:cs="Arial"/>
        </w:rPr>
        <w:t xml:space="preserve">This is a preliminary step before quantitative analysis. The reconstructed transverse slices must be reoriented so that morphometric analysis can be standardized and reproducible across all experimental groups. The </w:t>
      </w:r>
      <w:proofErr w:type="spellStart"/>
      <w:r>
        <w:rPr>
          <w:rFonts w:ascii="Arial" w:eastAsia="Arial" w:hAnsi="Arial" w:cs="Arial"/>
        </w:rPr>
        <w:t>DataViewer</w:t>
      </w:r>
      <w:proofErr w:type="spellEnd"/>
      <w:r>
        <w:rPr>
          <w:rFonts w:ascii="Arial" w:eastAsia="Arial" w:hAnsi="Arial" w:cs="Arial"/>
        </w:rPr>
        <w:t xml:space="preserve"> software can be used during this step. In it, the sample is rotated along the three axes (X, Y, Z) to correctly position it, aligning anatomical reference structures in consistent planes. After proper orientation, a new set of reoriented images is exported (Figure 3).</w:t>
      </w:r>
    </w:p>
    <w:p w14:paraId="7BE18F37" w14:textId="77777777" w:rsidR="0016569D" w:rsidRDefault="00C7268B">
      <w:pPr>
        <w:jc w:val="center"/>
        <w:rPr>
          <w:rFonts w:ascii="Arial" w:eastAsia="Arial" w:hAnsi="Arial" w:cs="Arial"/>
          <w:sz w:val="22"/>
          <w:szCs w:val="22"/>
        </w:rPr>
      </w:pPr>
      <w:r>
        <w:rPr>
          <w:rFonts w:ascii="Arial" w:eastAsia="Arial" w:hAnsi="Arial" w:cs="Arial"/>
          <w:b/>
          <w:bCs/>
        </w:rPr>
        <w:lastRenderedPageBreak/>
        <w:t>Figure 3.</w:t>
      </w:r>
      <w:r>
        <w:rPr>
          <w:rFonts w:ascii="Arial" w:eastAsia="Arial" w:hAnsi="Arial" w:cs="Arial"/>
        </w:rPr>
        <w:t xml:space="preserve"> Representative image of the </w:t>
      </w:r>
      <w:proofErr w:type="spellStart"/>
      <w:r>
        <w:rPr>
          <w:rFonts w:ascii="Arial" w:eastAsia="Arial" w:hAnsi="Arial" w:cs="Arial"/>
        </w:rPr>
        <w:t>DataViewer</w:t>
      </w:r>
      <w:proofErr w:type="spellEnd"/>
      <w:r>
        <w:rPr>
          <w:rFonts w:ascii="Arial" w:eastAsia="Arial" w:hAnsi="Arial" w:cs="Arial"/>
        </w:rPr>
        <w:t xml:space="preserve"> software interface showing axial, coronal, and sagittal planes.</w:t>
      </w:r>
      <w:r>
        <w:rPr>
          <w:rFonts w:ascii="Arial" w:eastAsia="Arial" w:hAnsi="Arial" w:cs="Arial"/>
        </w:rPr>
        <w:br/>
      </w:r>
      <w:r>
        <w:rPr>
          <w:rFonts w:ascii="Arial" w:eastAsia="Arial" w:hAnsi="Arial" w:cs="Arial"/>
          <w:noProof/>
          <w:sz w:val="22"/>
          <w:szCs w:val="22"/>
          <w:lang w:val="en-IN" w:eastAsia="en-IN"/>
        </w:rPr>
        <w:drawing>
          <wp:inline distT="0" distB="0" distL="0" distR="0" wp14:anchorId="4A3E0A7D" wp14:editId="00285832">
            <wp:extent cx="3760967" cy="3021495"/>
            <wp:effectExtent l="0" t="0" r="0" b="7620"/>
            <wp:docPr id="11" name="image4.png" descr="Interface gráfica do usuário"/>
            <wp:cNvGraphicFramePr/>
            <a:graphic xmlns:a="http://schemas.openxmlformats.org/drawingml/2006/main">
              <a:graphicData uri="http://schemas.openxmlformats.org/drawingml/2006/picture">
                <pic:pic xmlns:pic="http://schemas.openxmlformats.org/drawingml/2006/picture">
                  <pic:nvPicPr>
                    <pic:cNvPr id="0" name="image4.png" descr="Interface gráfica do usuário"/>
                    <pic:cNvPicPr preferRelativeResize="0"/>
                  </pic:nvPicPr>
                  <pic:blipFill>
                    <a:blip r:embed="rId18"/>
                    <a:srcRect/>
                    <a:stretch>
                      <a:fillRect/>
                    </a:stretch>
                  </pic:blipFill>
                  <pic:spPr>
                    <a:xfrm>
                      <a:off x="0" y="0"/>
                      <a:ext cx="3765250" cy="3024936"/>
                    </a:xfrm>
                    <a:prstGeom prst="rect">
                      <a:avLst/>
                    </a:prstGeom>
                    <a:ln/>
                  </pic:spPr>
                </pic:pic>
              </a:graphicData>
            </a:graphic>
          </wp:inline>
        </w:drawing>
      </w:r>
    </w:p>
    <w:p w14:paraId="174035E8" w14:textId="77777777" w:rsidR="0016569D" w:rsidRDefault="00C7268B">
      <w:pPr>
        <w:ind w:firstLine="400"/>
        <w:jc w:val="center"/>
        <w:rPr>
          <w:rFonts w:ascii="Arial" w:eastAsia="Arial" w:hAnsi="Arial" w:cs="Arial"/>
          <w:i/>
          <w:iCs/>
        </w:rPr>
      </w:pPr>
      <w:r>
        <w:rPr>
          <w:rFonts w:ascii="Arial" w:eastAsia="Arial" w:hAnsi="Arial" w:cs="Arial"/>
          <w:i/>
          <w:iCs/>
        </w:rPr>
        <w:t>Source: Personal Archive</w:t>
      </w:r>
    </w:p>
    <w:p w14:paraId="1560C1C0" w14:textId="77777777" w:rsidR="0016569D" w:rsidRDefault="0016569D">
      <w:pPr>
        <w:ind w:firstLine="400"/>
        <w:jc w:val="center"/>
        <w:rPr>
          <w:rFonts w:ascii="Arial" w:eastAsia="Arial" w:hAnsi="Arial" w:cs="Arial"/>
          <w:i/>
          <w:iCs/>
        </w:rPr>
      </w:pPr>
    </w:p>
    <w:p w14:paraId="3BF5ACA1" w14:textId="77777777" w:rsidR="0016569D" w:rsidRDefault="00C7268B">
      <w:pPr>
        <w:pStyle w:val="Heading3"/>
        <w:keepNext w:val="0"/>
        <w:keepLines w:val="0"/>
        <w:spacing w:before="0" w:after="0"/>
        <w:ind w:firstLine="400"/>
        <w:jc w:val="both"/>
        <w:rPr>
          <w:rFonts w:ascii="Arial" w:eastAsia="Arial" w:hAnsi="Arial" w:cs="Arial"/>
          <w:sz w:val="20"/>
          <w:szCs w:val="20"/>
        </w:rPr>
      </w:pPr>
      <w:bookmarkStart w:id="6" w:name="_heading=h.mow7qhd7qkb" w:colFirst="0" w:colLast="0"/>
      <w:bookmarkEnd w:id="6"/>
      <w:r>
        <w:rPr>
          <w:rFonts w:ascii="Arial" w:eastAsia="Arial" w:hAnsi="Arial" w:cs="Arial"/>
          <w:sz w:val="20"/>
          <w:szCs w:val="20"/>
        </w:rPr>
        <w:t>Determination of the region of interest (ROI) and 3D analysis</w:t>
      </w:r>
    </w:p>
    <w:p w14:paraId="5AEC7A13" w14:textId="77777777" w:rsidR="0016569D" w:rsidRDefault="00C7268B">
      <w:pPr>
        <w:ind w:firstLine="400"/>
        <w:jc w:val="both"/>
        <w:rPr>
          <w:rFonts w:ascii="Arial" w:eastAsia="Arial" w:hAnsi="Arial" w:cs="Arial"/>
        </w:rPr>
      </w:pPr>
      <w:r>
        <w:rPr>
          <w:rFonts w:ascii="Arial" w:eastAsia="Arial" w:hAnsi="Arial" w:cs="Arial"/>
        </w:rPr>
        <w:t>In this step, the region of interest (ROI) is defined. This region corresponds to the specific anatomical area or volume of the sample to be quantitatively analyzed and is essential to ensuring reproducibility, precision, and biological relevance of the data.</w:t>
      </w:r>
    </w:p>
    <w:p w14:paraId="3D13FFB9" w14:textId="77777777" w:rsidR="0016569D" w:rsidRDefault="00C7268B">
      <w:pPr>
        <w:ind w:firstLine="400"/>
        <w:jc w:val="both"/>
        <w:rPr>
          <w:rFonts w:ascii="Arial" w:eastAsia="Arial" w:hAnsi="Arial" w:cs="Arial"/>
        </w:rPr>
      </w:pPr>
      <w:r>
        <w:rPr>
          <w:rFonts w:ascii="Arial" w:eastAsia="Arial" w:hAnsi="Arial" w:cs="Arial"/>
        </w:rPr>
        <w:t xml:space="preserve">In </w:t>
      </w:r>
      <w:proofErr w:type="spellStart"/>
      <w:r>
        <w:rPr>
          <w:rFonts w:ascii="Arial" w:eastAsia="Arial" w:hAnsi="Arial" w:cs="Arial"/>
        </w:rPr>
        <w:t>CTAn</w:t>
      </w:r>
      <w:proofErr w:type="spellEnd"/>
      <w:r>
        <w:rPr>
          <w:rFonts w:ascii="Arial" w:eastAsia="Arial" w:hAnsi="Arial" w:cs="Arial"/>
        </w:rPr>
        <w:t xml:space="preserve"> software, for instance, the user can select the specific area to be analyzed (ROI) manually, automatically, or based on previous models. The user chooses the slice interval that composes the volume of interest, and ROI creation may be static (constant across all selected slices) or dynamic (adapting to tissue morphology in each slice). Additionally, thresholding tools are used to separate bone structures from soft tissue or voids.</w:t>
      </w:r>
    </w:p>
    <w:p w14:paraId="4346275C" w14:textId="77777777" w:rsidR="0016569D" w:rsidRDefault="00C7268B">
      <w:pPr>
        <w:ind w:firstLine="400"/>
        <w:jc w:val="both"/>
        <w:rPr>
          <w:rFonts w:ascii="Arial" w:eastAsia="Arial" w:hAnsi="Arial" w:cs="Arial"/>
        </w:rPr>
      </w:pPr>
      <w:r>
        <w:rPr>
          <w:rFonts w:ascii="Arial" w:eastAsia="Arial" w:hAnsi="Arial" w:cs="Arial"/>
        </w:rPr>
        <w:t>Once the ROI is created, the software performs various three-dimensional analyses that quantify morphological properties of the tissue, generating a report with information such as:</w:t>
      </w:r>
    </w:p>
    <w:p w14:paraId="7560D560" w14:textId="77777777" w:rsidR="0016569D" w:rsidRDefault="00C7268B">
      <w:pPr>
        <w:numPr>
          <w:ilvl w:val="0"/>
          <w:numId w:val="1"/>
        </w:numPr>
        <w:ind w:left="726" w:firstLine="400"/>
        <w:rPr>
          <w:rFonts w:ascii="Arial" w:eastAsia="Arial" w:hAnsi="Arial" w:cs="Arial"/>
        </w:rPr>
      </w:pPr>
      <w:r>
        <w:rPr>
          <w:rFonts w:ascii="Arial" w:eastAsia="Arial" w:hAnsi="Arial" w:cs="Arial"/>
        </w:rPr>
        <w:t>BV/TV (Bone Volume / Total Volume): ratio of bone volume to total volume within the ROI.</w:t>
      </w:r>
    </w:p>
    <w:p w14:paraId="1EE6C5BA" w14:textId="77777777" w:rsidR="0016569D" w:rsidRDefault="00C7268B">
      <w:pPr>
        <w:numPr>
          <w:ilvl w:val="0"/>
          <w:numId w:val="1"/>
        </w:numPr>
        <w:ind w:firstLine="400"/>
        <w:rPr>
          <w:rFonts w:ascii="Arial" w:eastAsia="Arial" w:hAnsi="Arial" w:cs="Arial"/>
        </w:rPr>
      </w:pPr>
      <w:r>
        <w:rPr>
          <w:rFonts w:ascii="Arial" w:eastAsia="Arial" w:hAnsi="Arial" w:cs="Arial"/>
        </w:rPr>
        <w:t>Trabecular thickness, number, and separation.</w:t>
      </w:r>
    </w:p>
    <w:p w14:paraId="163C422C" w14:textId="77777777" w:rsidR="0016569D" w:rsidRDefault="00C7268B">
      <w:pPr>
        <w:numPr>
          <w:ilvl w:val="0"/>
          <w:numId w:val="1"/>
        </w:numPr>
        <w:ind w:firstLine="400"/>
        <w:rPr>
          <w:rFonts w:ascii="Arial" w:eastAsia="Arial" w:hAnsi="Arial" w:cs="Arial"/>
        </w:rPr>
      </w:pPr>
      <w:r>
        <w:rPr>
          <w:rFonts w:ascii="Arial" w:eastAsia="Arial" w:hAnsi="Arial" w:cs="Arial"/>
        </w:rPr>
        <w:t>Total porosity: evaluation of total porosity within the bone structure.</w:t>
      </w:r>
    </w:p>
    <w:p w14:paraId="20C33E0B" w14:textId="77777777" w:rsidR="0016569D" w:rsidRDefault="00C7268B">
      <w:pPr>
        <w:numPr>
          <w:ilvl w:val="0"/>
          <w:numId w:val="1"/>
        </w:numPr>
        <w:ind w:firstLine="400"/>
        <w:rPr>
          <w:rFonts w:ascii="Arial" w:eastAsia="Arial" w:hAnsi="Arial" w:cs="Arial"/>
        </w:rPr>
      </w:pPr>
      <w:r>
        <w:rPr>
          <w:rFonts w:ascii="Arial" w:eastAsia="Arial" w:hAnsi="Arial" w:cs="Arial"/>
        </w:rPr>
        <w:t>Connectivity density: a measure of the structural interconnection of trabeculae.</w:t>
      </w:r>
    </w:p>
    <w:p w14:paraId="7D2FFE57" w14:textId="77777777" w:rsidR="0016569D" w:rsidRDefault="00C7268B">
      <w:pPr>
        <w:numPr>
          <w:ilvl w:val="0"/>
          <w:numId w:val="1"/>
        </w:numPr>
        <w:ind w:firstLine="400"/>
        <w:rPr>
          <w:rFonts w:ascii="Arial" w:eastAsia="Arial" w:hAnsi="Arial" w:cs="Arial"/>
        </w:rPr>
      </w:pPr>
      <w:r>
        <w:rPr>
          <w:rFonts w:ascii="Arial" w:eastAsia="Arial" w:hAnsi="Arial" w:cs="Arial"/>
        </w:rPr>
        <w:t>Bone surface (BS), bone surface density (BS/TV) and other surface-related metrics (Figure 4).</w:t>
      </w:r>
    </w:p>
    <w:p w14:paraId="353D4159" w14:textId="77777777" w:rsidR="0016569D" w:rsidRDefault="0016569D">
      <w:pPr>
        <w:rPr>
          <w:rFonts w:ascii="Arial" w:eastAsia="Arial" w:hAnsi="Arial" w:cs="Arial"/>
        </w:rPr>
      </w:pPr>
    </w:p>
    <w:p w14:paraId="0A00C2FC" w14:textId="77777777" w:rsidR="0016569D" w:rsidRDefault="00C7268B">
      <w:pPr>
        <w:jc w:val="both"/>
        <w:rPr>
          <w:rFonts w:ascii="Arial" w:eastAsia="Arial" w:hAnsi="Arial" w:cs="Arial"/>
        </w:rPr>
      </w:pPr>
      <w:r>
        <w:rPr>
          <w:rFonts w:ascii="Arial" w:eastAsia="Arial" w:hAnsi="Arial" w:cs="Arial"/>
          <w:b/>
          <w:bCs/>
        </w:rPr>
        <w:t>Figure 4.</w:t>
      </w:r>
      <w:r>
        <w:rPr>
          <w:rFonts w:ascii="Arial" w:eastAsia="Arial" w:hAnsi="Arial" w:cs="Arial"/>
        </w:rPr>
        <w:t xml:space="preserve"> Representative image of the </w:t>
      </w:r>
      <w:proofErr w:type="spellStart"/>
      <w:r>
        <w:rPr>
          <w:rFonts w:ascii="Arial" w:eastAsia="Arial" w:hAnsi="Arial" w:cs="Arial"/>
        </w:rPr>
        <w:t>CTAn</w:t>
      </w:r>
      <w:proofErr w:type="spellEnd"/>
      <w:r>
        <w:rPr>
          <w:rFonts w:ascii="Arial" w:eastAsia="Arial" w:hAnsi="Arial" w:cs="Arial"/>
        </w:rPr>
        <w:t xml:space="preserve"> interface showing ROI creation steps and threshold adjustments.</w:t>
      </w:r>
    </w:p>
    <w:p w14:paraId="5A44F43E" w14:textId="77777777" w:rsidR="0016569D" w:rsidRDefault="00C7268B">
      <w:pPr>
        <w:widowControl w:val="0"/>
        <w:ind w:left="360" w:firstLine="440"/>
        <w:jc w:val="center"/>
        <w:rPr>
          <w:rFonts w:ascii="Arial" w:eastAsia="Arial" w:hAnsi="Arial" w:cs="Arial"/>
          <w:sz w:val="22"/>
          <w:szCs w:val="22"/>
        </w:rPr>
      </w:pPr>
      <w:r>
        <w:rPr>
          <w:rFonts w:ascii="Arial" w:eastAsia="Arial" w:hAnsi="Arial" w:cs="Arial"/>
          <w:noProof/>
          <w:sz w:val="22"/>
          <w:szCs w:val="22"/>
          <w:lang w:val="en-IN" w:eastAsia="en-IN"/>
        </w:rPr>
        <w:lastRenderedPageBreak/>
        <w:drawing>
          <wp:inline distT="0" distB="0" distL="0" distR="0" wp14:anchorId="33A0059B" wp14:editId="76C84E36">
            <wp:extent cx="2496710" cy="3228229"/>
            <wp:effectExtent l="0" t="0" r="0" b="0"/>
            <wp:docPr id="14" name="image5.png" descr="Interface gráfica do usuário, Aplicativo"/>
            <wp:cNvGraphicFramePr/>
            <a:graphic xmlns:a="http://schemas.openxmlformats.org/drawingml/2006/main">
              <a:graphicData uri="http://schemas.openxmlformats.org/drawingml/2006/picture">
                <pic:pic xmlns:pic="http://schemas.openxmlformats.org/drawingml/2006/picture">
                  <pic:nvPicPr>
                    <pic:cNvPr id="0" name="image5.png" descr="Interface gráfica do usuário, Aplicativo"/>
                    <pic:cNvPicPr preferRelativeResize="0"/>
                  </pic:nvPicPr>
                  <pic:blipFill>
                    <a:blip r:embed="rId19"/>
                    <a:srcRect/>
                    <a:stretch>
                      <a:fillRect/>
                    </a:stretch>
                  </pic:blipFill>
                  <pic:spPr>
                    <a:xfrm>
                      <a:off x="0" y="0"/>
                      <a:ext cx="2500081" cy="3232587"/>
                    </a:xfrm>
                    <a:prstGeom prst="rect">
                      <a:avLst/>
                    </a:prstGeom>
                    <a:ln/>
                  </pic:spPr>
                </pic:pic>
              </a:graphicData>
            </a:graphic>
          </wp:inline>
        </w:drawing>
      </w:r>
    </w:p>
    <w:p w14:paraId="225ADF4B" w14:textId="77777777" w:rsidR="0016569D" w:rsidRDefault="00C7268B">
      <w:pPr>
        <w:widowControl w:val="0"/>
        <w:ind w:left="363" w:firstLine="400"/>
        <w:jc w:val="center"/>
        <w:rPr>
          <w:rFonts w:ascii="Arial" w:eastAsia="Arial" w:hAnsi="Arial" w:cs="Arial"/>
          <w:i/>
          <w:iCs/>
        </w:rPr>
      </w:pPr>
      <w:r>
        <w:rPr>
          <w:rFonts w:ascii="Arial" w:eastAsia="Arial" w:hAnsi="Arial" w:cs="Arial"/>
          <w:i/>
          <w:iCs/>
        </w:rPr>
        <w:t>Source: Personal Archive</w:t>
      </w:r>
    </w:p>
    <w:p w14:paraId="133501E3" w14:textId="77777777" w:rsidR="0016569D" w:rsidRDefault="0016569D">
      <w:pPr>
        <w:widowControl w:val="0"/>
        <w:ind w:left="363" w:firstLine="400"/>
        <w:jc w:val="center"/>
        <w:rPr>
          <w:rFonts w:ascii="Arial" w:eastAsia="Arial" w:hAnsi="Arial" w:cs="Arial"/>
          <w:i/>
          <w:iCs/>
        </w:rPr>
      </w:pPr>
    </w:p>
    <w:p w14:paraId="7396196F" w14:textId="77777777" w:rsidR="0016569D" w:rsidRDefault="00C7268B">
      <w:pPr>
        <w:pStyle w:val="Heading3"/>
        <w:keepNext w:val="0"/>
        <w:keepLines w:val="0"/>
        <w:spacing w:before="0" w:after="0"/>
        <w:ind w:firstLine="400"/>
        <w:jc w:val="both"/>
        <w:rPr>
          <w:rFonts w:ascii="Arial" w:eastAsia="Arial" w:hAnsi="Arial" w:cs="Arial"/>
          <w:sz w:val="20"/>
          <w:szCs w:val="20"/>
        </w:rPr>
      </w:pPr>
      <w:bookmarkStart w:id="7" w:name="_heading=h.3ohgrq2hn276" w:colFirst="0" w:colLast="0"/>
      <w:bookmarkEnd w:id="7"/>
      <w:r>
        <w:rPr>
          <w:rFonts w:ascii="Arial" w:eastAsia="Arial" w:hAnsi="Arial" w:cs="Arial"/>
          <w:sz w:val="20"/>
          <w:szCs w:val="20"/>
        </w:rPr>
        <w:t>Generation of 3D images</w:t>
      </w:r>
    </w:p>
    <w:p w14:paraId="605AAB76" w14:textId="77777777" w:rsidR="0016569D" w:rsidRDefault="00C7268B">
      <w:pPr>
        <w:ind w:firstLine="400"/>
        <w:jc w:val="both"/>
        <w:rPr>
          <w:rFonts w:ascii="Arial" w:eastAsia="Arial" w:hAnsi="Arial" w:cs="Arial"/>
        </w:rPr>
      </w:pPr>
      <w:r>
        <w:rPr>
          <w:rFonts w:ascii="Arial" w:eastAsia="Arial" w:hAnsi="Arial" w:cs="Arial"/>
        </w:rPr>
        <w:t xml:space="preserve">Finally, three-dimensional images can be created for improved visualization of bone loss. The </w:t>
      </w:r>
      <w:proofErr w:type="spellStart"/>
      <w:r>
        <w:rPr>
          <w:rFonts w:ascii="Arial" w:eastAsia="Arial" w:hAnsi="Arial" w:cs="Arial"/>
        </w:rPr>
        <w:t>CTvox</w:t>
      </w:r>
      <w:proofErr w:type="spellEnd"/>
      <w:r>
        <w:rPr>
          <w:rFonts w:ascii="Arial" w:eastAsia="Arial" w:hAnsi="Arial" w:cs="Arial"/>
        </w:rPr>
        <w:t xml:space="preserve"> software, for example, enables the user to visualize the reconstructed 3D volume with free rotation, zoom, translation, virtual sectioning in different planes, and adjustment of opacity and color for different densities (Figure 5).</w:t>
      </w:r>
    </w:p>
    <w:p w14:paraId="1170BCB0" w14:textId="77777777" w:rsidR="0016569D" w:rsidRDefault="0016569D">
      <w:pPr>
        <w:ind w:firstLine="400"/>
        <w:jc w:val="both"/>
        <w:rPr>
          <w:rFonts w:ascii="Arial" w:eastAsia="Arial" w:hAnsi="Arial" w:cs="Arial"/>
        </w:rPr>
      </w:pPr>
    </w:p>
    <w:p w14:paraId="2D037837" w14:textId="77777777" w:rsidR="0016569D" w:rsidRDefault="00C7268B">
      <w:pPr>
        <w:jc w:val="both"/>
        <w:rPr>
          <w:rFonts w:ascii="Arial" w:eastAsia="Arial" w:hAnsi="Arial" w:cs="Arial"/>
        </w:rPr>
      </w:pPr>
      <w:r>
        <w:rPr>
          <w:rFonts w:ascii="Arial" w:eastAsia="Arial" w:hAnsi="Arial" w:cs="Arial"/>
          <w:b/>
          <w:bCs/>
        </w:rPr>
        <w:t>Figure 5.</w:t>
      </w:r>
      <w:r>
        <w:rPr>
          <w:rFonts w:ascii="Arial" w:eastAsia="Arial" w:hAnsi="Arial" w:cs="Arial"/>
        </w:rPr>
        <w:t xml:space="preserve"> Representative 3D image (created in </w:t>
      </w:r>
      <w:proofErr w:type="spellStart"/>
      <w:r>
        <w:rPr>
          <w:rFonts w:ascii="Arial" w:eastAsia="Arial" w:hAnsi="Arial" w:cs="Arial"/>
        </w:rPr>
        <w:t>CTvox</w:t>
      </w:r>
      <w:proofErr w:type="spellEnd"/>
      <w:r>
        <w:rPr>
          <w:rFonts w:ascii="Arial" w:eastAsia="Arial" w:hAnsi="Arial" w:cs="Arial"/>
        </w:rPr>
        <w:t>) of a rat hemimandible with ligature-induced periodontal disease.</w:t>
      </w:r>
    </w:p>
    <w:p w14:paraId="7927AC5F" w14:textId="77777777" w:rsidR="0016569D" w:rsidRDefault="00C7268B">
      <w:pPr>
        <w:widowControl w:val="0"/>
        <w:ind w:left="360" w:firstLine="440"/>
        <w:jc w:val="center"/>
        <w:rPr>
          <w:rFonts w:ascii="Arial" w:eastAsia="Arial" w:hAnsi="Arial" w:cs="Arial"/>
          <w:sz w:val="22"/>
          <w:szCs w:val="22"/>
        </w:rPr>
      </w:pPr>
      <w:r>
        <w:rPr>
          <w:rFonts w:ascii="Arial" w:eastAsia="Arial" w:hAnsi="Arial" w:cs="Arial"/>
          <w:noProof/>
          <w:sz w:val="22"/>
          <w:szCs w:val="22"/>
          <w:lang w:val="en-IN" w:eastAsia="en-IN"/>
        </w:rPr>
        <w:drawing>
          <wp:inline distT="0" distB="0" distL="0" distR="0" wp14:anchorId="35F13D37" wp14:editId="02C63A28">
            <wp:extent cx="1863725" cy="1273810"/>
            <wp:effectExtent l="0" t="0" r="0" b="0"/>
            <wp:docPr id="13" name="image1.png" descr="Imagem em preto e branco"/>
            <wp:cNvGraphicFramePr/>
            <a:graphic xmlns:a="http://schemas.openxmlformats.org/drawingml/2006/main">
              <a:graphicData uri="http://schemas.openxmlformats.org/drawingml/2006/picture">
                <pic:pic xmlns:pic="http://schemas.openxmlformats.org/drawingml/2006/picture">
                  <pic:nvPicPr>
                    <pic:cNvPr id="0" name="image1.png" descr="Imagem em preto e branco"/>
                    <pic:cNvPicPr preferRelativeResize="0"/>
                  </pic:nvPicPr>
                  <pic:blipFill>
                    <a:blip r:embed="rId20"/>
                    <a:srcRect/>
                    <a:stretch>
                      <a:fillRect/>
                    </a:stretch>
                  </pic:blipFill>
                  <pic:spPr>
                    <a:xfrm>
                      <a:off x="0" y="0"/>
                      <a:ext cx="1863725" cy="1273810"/>
                    </a:xfrm>
                    <a:prstGeom prst="rect">
                      <a:avLst/>
                    </a:prstGeom>
                    <a:ln/>
                  </pic:spPr>
                </pic:pic>
              </a:graphicData>
            </a:graphic>
          </wp:inline>
        </w:drawing>
      </w:r>
    </w:p>
    <w:p w14:paraId="020CA2EA" w14:textId="77777777" w:rsidR="0016569D" w:rsidRDefault="00C7268B">
      <w:pPr>
        <w:widowControl w:val="0"/>
        <w:ind w:left="360" w:firstLine="400"/>
        <w:jc w:val="center"/>
        <w:rPr>
          <w:rFonts w:ascii="Arial" w:eastAsia="Arial" w:hAnsi="Arial" w:cs="Arial"/>
          <w:i/>
          <w:iCs/>
        </w:rPr>
      </w:pPr>
      <w:r>
        <w:rPr>
          <w:rFonts w:ascii="Arial" w:eastAsia="Arial" w:hAnsi="Arial" w:cs="Arial"/>
          <w:i/>
          <w:iCs/>
        </w:rPr>
        <w:t>Source: Personal Archive</w:t>
      </w:r>
    </w:p>
    <w:p w14:paraId="39D29BC9" w14:textId="77777777" w:rsidR="0016569D" w:rsidRDefault="0016569D">
      <w:pPr>
        <w:widowControl w:val="0"/>
        <w:ind w:left="360" w:firstLine="400"/>
        <w:jc w:val="center"/>
        <w:rPr>
          <w:rFonts w:ascii="Arial" w:eastAsia="Arial" w:hAnsi="Arial" w:cs="Arial"/>
          <w:i/>
          <w:iCs/>
        </w:rPr>
      </w:pPr>
    </w:p>
    <w:p w14:paraId="5FAF5160" w14:textId="77777777" w:rsidR="0016569D" w:rsidRDefault="00C7268B">
      <w:pPr>
        <w:ind w:firstLine="400"/>
        <w:jc w:val="both"/>
        <w:rPr>
          <w:rFonts w:ascii="Arial" w:eastAsia="Arial" w:hAnsi="Arial" w:cs="Arial"/>
        </w:rPr>
      </w:pPr>
      <w:r>
        <w:rPr>
          <w:rFonts w:ascii="Arial" w:eastAsia="Arial" w:hAnsi="Arial" w:cs="Arial"/>
        </w:rPr>
        <w:t>Table 2 presents a summary of the main analyses that can be performed using micro-computed tomography for the assessment of bone loss.</w:t>
      </w:r>
    </w:p>
    <w:p w14:paraId="63D1BB2C" w14:textId="77777777" w:rsidR="0016569D" w:rsidRDefault="0016569D">
      <w:pPr>
        <w:ind w:firstLine="400"/>
        <w:jc w:val="both"/>
        <w:rPr>
          <w:rFonts w:ascii="Arial" w:eastAsia="Arial" w:hAnsi="Arial" w:cs="Arial"/>
        </w:rPr>
      </w:pPr>
    </w:p>
    <w:p w14:paraId="00066506" w14:textId="77777777" w:rsidR="0016569D" w:rsidRDefault="00C7268B">
      <w:pPr>
        <w:jc w:val="both"/>
        <w:rPr>
          <w:rFonts w:ascii="Arial" w:eastAsia="Arial" w:hAnsi="Arial" w:cs="Arial"/>
          <w:b/>
          <w:bCs/>
        </w:rPr>
      </w:pPr>
      <w:r>
        <w:rPr>
          <w:rFonts w:ascii="Arial" w:eastAsia="Arial" w:hAnsi="Arial" w:cs="Arial"/>
          <w:b/>
          <w:bCs/>
        </w:rPr>
        <w:t xml:space="preserve">Table 2. </w:t>
      </w:r>
      <w:r>
        <w:rPr>
          <w:rFonts w:ascii="Arial" w:eastAsia="Arial" w:hAnsi="Arial" w:cs="Arial"/>
        </w:rPr>
        <w:t>Main analyses used for the assessment of bone loss using micro-computed tomography</w:t>
      </w:r>
    </w:p>
    <w:tbl>
      <w:tblPr>
        <w:tblStyle w:val="a1"/>
        <w:tblW w:w="8207"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3387"/>
        <w:gridCol w:w="2980"/>
        <w:gridCol w:w="1840"/>
      </w:tblGrid>
      <w:tr w:rsidR="0016569D" w14:paraId="77993D0D" w14:textId="77777777">
        <w:trPr>
          <w:trHeight w:val="400"/>
        </w:trPr>
        <w:tc>
          <w:tcPr>
            <w:tcW w:w="3387"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105E4916" w14:textId="77777777" w:rsidR="0016569D" w:rsidRDefault="00C7268B">
            <w:pPr>
              <w:ind w:firstLine="400"/>
              <w:rPr>
                <w:rFonts w:ascii="Arial" w:eastAsia="Arial" w:hAnsi="Arial" w:cs="Arial"/>
              </w:rPr>
            </w:pPr>
            <w:r>
              <w:rPr>
                <w:rFonts w:ascii="Arial" w:eastAsia="Arial" w:hAnsi="Arial" w:cs="Arial"/>
              </w:rPr>
              <w:t>Description</w:t>
            </w:r>
          </w:p>
        </w:tc>
        <w:tc>
          <w:tcPr>
            <w:tcW w:w="2980"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0C26836C" w14:textId="77777777" w:rsidR="0016569D" w:rsidRDefault="00C7268B">
            <w:pPr>
              <w:ind w:firstLine="400"/>
              <w:rPr>
                <w:rFonts w:ascii="Arial" w:eastAsia="Arial" w:hAnsi="Arial" w:cs="Arial"/>
              </w:rPr>
            </w:pPr>
            <w:r>
              <w:rPr>
                <w:rFonts w:ascii="Arial" w:eastAsia="Arial" w:hAnsi="Arial" w:cs="Arial"/>
              </w:rPr>
              <w:t>Indicators / Meaning</w:t>
            </w:r>
          </w:p>
        </w:tc>
        <w:tc>
          <w:tcPr>
            <w:tcW w:w="1840"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3C8C90BB" w14:textId="77777777" w:rsidR="0016569D" w:rsidRDefault="00C7268B">
            <w:pPr>
              <w:ind w:firstLine="400"/>
              <w:rPr>
                <w:rFonts w:ascii="Arial" w:eastAsia="Arial" w:hAnsi="Arial" w:cs="Arial"/>
              </w:rPr>
            </w:pPr>
            <w:r>
              <w:rPr>
                <w:rFonts w:ascii="Arial" w:eastAsia="Arial" w:hAnsi="Arial" w:cs="Arial"/>
              </w:rPr>
              <w:t>Analysis</w:t>
            </w:r>
          </w:p>
        </w:tc>
      </w:tr>
      <w:tr w:rsidR="0016569D" w14:paraId="64F3D73B" w14:textId="77777777">
        <w:trPr>
          <w:trHeight w:val="655"/>
        </w:trPr>
        <w:tc>
          <w:tcPr>
            <w:tcW w:w="3387" w:type="dxa"/>
            <w:tcBorders>
              <w:top w:val="single" w:sz="4" w:space="0" w:color="000000"/>
              <w:left w:val="nil"/>
              <w:bottom w:val="nil"/>
              <w:right w:val="nil"/>
            </w:tcBorders>
            <w:tcMar>
              <w:top w:w="100" w:type="dxa"/>
              <w:left w:w="100" w:type="dxa"/>
              <w:bottom w:w="100" w:type="dxa"/>
              <w:right w:w="100" w:type="dxa"/>
            </w:tcMar>
            <w:vAlign w:val="center"/>
          </w:tcPr>
          <w:p w14:paraId="4CC811A9" w14:textId="77777777" w:rsidR="0016569D" w:rsidRDefault="00C7268B">
            <w:pPr>
              <w:ind w:firstLine="400"/>
              <w:rPr>
                <w:rFonts w:ascii="Arial" w:eastAsia="Arial" w:hAnsi="Arial" w:cs="Arial"/>
              </w:rPr>
            </w:pPr>
            <w:r>
              <w:rPr>
                <w:rFonts w:ascii="Arial" w:eastAsia="Arial" w:hAnsi="Arial" w:cs="Arial"/>
              </w:rPr>
              <w:t>Measures the volume of mineralized bone (BV) relative to the total volume (TV)</w:t>
            </w:r>
          </w:p>
        </w:tc>
        <w:tc>
          <w:tcPr>
            <w:tcW w:w="2980" w:type="dxa"/>
            <w:tcBorders>
              <w:top w:val="single" w:sz="4" w:space="0" w:color="000000"/>
              <w:left w:val="nil"/>
              <w:bottom w:val="nil"/>
              <w:right w:val="nil"/>
            </w:tcBorders>
            <w:tcMar>
              <w:top w:w="100" w:type="dxa"/>
              <w:left w:w="100" w:type="dxa"/>
              <w:bottom w:w="100" w:type="dxa"/>
              <w:right w:w="100" w:type="dxa"/>
            </w:tcMar>
            <w:vAlign w:val="center"/>
          </w:tcPr>
          <w:p w14:paraId="325A56A3" w14:textId="77777777" w:rsidR="0016569D" w:rsidRDefault="00C7268B">
            <w:pPr>
              <w:ind w:firstLine="400"/>
              <w:rPr>
                <w:rFonts w:ascii="Arial" w:eastAsia="Arial" w:hAnsi="Arial" w:cs="Arial"/>
              </w:rPr>
            </w:pPr>
            <w:r>
              <w:rPr>
                <w:rFonts w:ascii="Arial" w:eastAsia="Arial" w:hAnsi="Arial" w:cs="Arial"/>
              </w:rPr>
              <w:t>Quantitatively assesses the loss of alveolar bone volume</w:t>
            </w:r>
          </w:p>
        </w:tc>
        <w:tc>
          <w:tcPr>
            <w:tcW w:w="1840" w:type="dxa"/>
            <w:tcBorders>
              <w:top w:val="single" w:sz="4" w:space="0" w:color="000000"/>
              <w:left w:val="nil"/>
              <w:bottom w:val="nil"/>
              <w:right w:val="nil"/>
            </w:tcBorders>
            <w:tcMar>
              <w:top w:w="100" w:type="dxa"/>
              <w:left w:w="100" w:type="dxa"/>
              <w:bottom w:w="100" w:type="dxa"/>
              <w:right w:w="100" w:type="dxa"/>
            </w:tcMar>
            <w:vAlign w:val="center"/>
          </w:tcPr>
          <w:p w14:paraId="4EBA87AD" w14:textId="77777777" w:rsidR="0016569D" w:rsidRDefault="00C7268B">
            <w:pPr>
              <w:ind w:firstLine="400"/>
              <w:rPr>
                <w:rFonts w:ascii="Arial" w:eastAsia="Arial" w:hAnsi="Arial" w:cs="Arial"/>
              </w:rPr>
            </w:pPr>
            <w:r>
              <w:rPr>
                <w:rFonts w:ascii="Arial" w:eastAsia="Arial" w:hAnsi="Arial" w:cs="Arial"/>
              </w:rPr>
              <w:t>Bone Volume (BV) and BV/TV</w:t>
            </w:r>
          </w:p>
        </w:tc>
      </w:tr>
      <w:tr w:rsidR="0016569D" w14:paraId="1D417090" w14:textId="77777777">
        <w:trPr>
          <w:trHeight w:val="730"/>
        </w:trPr>
        <w:tc>
          <w:tcPr>
            <w:tcW w:w="3387" w:type="dxa"/>
            <w:tcBorders>
              <w:top w:val="nil"/>
              <w:left w:val="nil"/>
              <w:bottom w:val="nil"/>
              <w:right w:val="nil"/>
            </w:tcBorders>
            <w:shd w:val="clear" w:color="auto" w:fill="F2F2F2"/>
            <w:tcMar>
              <w:top w:w="100" w:type="dxa"/>
              <w:left w:w="100" w:type="dxa"/>
              <w:bottom w:w="100" w:type="dxa"/>
              <w:right w:w="100" w:type="dxa"/>
            </w:tcMar>
            <w:vAlign w:val="center"/>
          </w:tcPr>
          <w:p w14:paraId="7994D509" w14:textId="77777777" w:rsidR="0016569D" w:rsidRDefault="00C7268B">
            <w:pPr>
              <w:ind w:firstLine="400"/>
              <w:rPr>
                <w:rFonts w:ascii="Arial" w:eastAsia="Arial" w:hAnsi="Arial" w:cs="Arial"/>
              </w:rPr>
            </w:pPr>
            <w:r>
              <w:rPr>
                <w:rFonts w:ascii="Arial" w:eastAsia="Arial" w:hAnsi="Arial" w:cs="Arial"/>
              </w:rPr>
              <w:t>Distance between the cementoenamel junction (CEJ) and the alveolar bone crest (ABC)</w:t>
            </w:r>
          </w:p>
        </w:tc>
        <w:tc>
          <w:tcPr>
            <w:tcW w:w="2980" w:type="dxa"/>
            <w:tcBorders>
              <w:top w:val="nil"/>
              <w:left w:val="nil"/>
              <w:bottom w:val="nil"/>
              <w:right w:val="nil"/>
            </w:tcBorders>
            <w:shd w:val="clear" w:color="auto" w:fill="F2F2F2"/>
            <w:tcMar>
              <w:top w:w="100" w:type="dxa"/>
              <w:left w:w="100" w:type="dxa"/>
              <w:bottom w:w="100" w:type="dxa"/>
              <w:right w:w="100" w:type="dxa"/>
            </w:tcMar>
            <w:vAlign w:val="center"/>
          </w:tcPr>
          <w:p w14:paraId="5DBDBBF8" w14:textId="77777777" w:rsidR="0016569D" w:rsidRDefault="00C7268B">
            <w:pPr>
              <w:ind w:firstLine="400"/>
              <w:rPr>
                <w:rFonts w:ascii="Arial" w:eastAsia="Arial" w:hAnsi="Arial" w:cs="Arial"/>
              </w:rPr>
            </w:pPr>
            <w:r>
              <w:rPr>
                <w:rFonts w:ascii="Arial" w:eastAsia="Arial" w:hAnsi="Arial" w:cs="Arial"/>
              </w:rPr>
              <w:t>Evaluates marginal bone loss linearly</w:t>
            </w:r>
          </w:p>
        </w:tc>
        <w:tc>
          <w:tcPr>
            <w:tcW w:w="1840" w:type="dxa"/>
            <w:tcBorders>
              <w:top w:val="nil"/>
              <w:left w:val="nil"/>
              <w:bottom w:val="nil"/>
              <w:right w:val="nil"/>
            </w:tcBorders>
            <w:shd w:val="clear" w:color="auto" w:fill="F2F2F2"/>
            <w:tcMar>
              <w:top w:w="100" w:type="dxa"/>
              <w:left w:w="100" w:type="dxa"/>
              <w:bottom w:w="100" w:type="dxa"/>
              <w:right w:w="100" w:type="dxa"/>
            </w:tcMar>
            <w:vAlign w:val="center"/>
          </w:tcPr>
          <w:p w14:paraId="52E1031E" w14:textId="77777777" w:rsidR="0016569D" w:rsidRDefault="00C7268B">
            <w:pPr>
              <w:ind w:firstLine="400"/>
              <w:rPr>
                <w:rFonts w:ascii="Arial" w:eastAsia="Arial" w:hAnsi="Arial" w:cs="Arial"/>
              </w:rPr>
            </w:pPr>
            <w:r>
              <w:rPr>
                <w:rFonts w:ascii="Arial" w:eastAsia="Arial" w:hAnsi="Arial" w:cs="Arial"/>
              </w:rPr>
              <w:t>Linear Bone Loss (LBL)</w:t>
            </w:r>
          </w:p>
        </w:tc>
      </w:tr>
      <w:tr w:rsidR="0016569D" w14:paraId="2DBED40F" w14:textId="77777777">
        <w:trPr>
          <w:trHeight w:val="445"/>
        </w:trPr>
        <w:tc>
          <w:tcPr>
            <w:tcW w:w="3387" w:type="dxa"/>
            <w:tcBorders>
              <w:top w:val="nil"/>
              <w:left w:val="nil"/>
              <w:bottom w:val="nil"/>
              <w:right w:val="nil"/>
            </w:tcBorders>
            <w:tcMar>
              <w:top w:w="100" w:type="dxa"/>
              <w:left w:w="100" w:type="dxa"/>
              <w:bottom w:w="100" w:type="dxa"/>
              <w:right w:w="100" w:type="dxa"/>
            </w:tcMar>
            <w:vAlign w:val="center"/>
          </w:tcPr>
          <w:p w14:paraId="728815E8" w14:textId="77777777" w:rsidR="0016569D" w:rsidRDefault="00C7268B">
            <w:pPr>
              <w:ind w:firstLine="400"/>
              <w:rPr>
                <w:rFonts w:ascii="Arial" w:eastAsia="Arial" w:hAnsi="Arial" w:cs="Arial"/>
              </w:rPr>
            </w:pPr>
            <w:r>
              <w:rPr>
                <w:rFonts w:ascii="Arial" w:eastAsia="Arial" w:hAnsi="Arial" w:cs="Arial"/>
              </w:rPr>
              <w:lastRenderedPageBreak/>
              <w:t>Average thickness of the trabecular bone structures</w:t>
            </w:r>
          </w:p>
        </w:tc>
        <w:tc>
          <w:tcPr>
            <w:tcW w:w="2980" w:type="dxa"/>
            <w:tcBorders>
              <w:top w:val="nil"/>
              <w:left w:val="nil"/>
              <w:bottom w:val="nil"/>
              <w:right w:val="nil"/>
            </w:tcBorders>
            <w:tcMar>
              <w:top w:w="100" w:type="dxa"/>
              <w:left w:w="100" w:type="dxa"/>
              <w:bottom w:w="100" w:type="dxa"/>
              <w:right w:w="100" w:type="dxa"/>
            </w:tcMar>
            <w:vAlign w:val="center"/>
          </w:tcPr>
          <w:p w14:paraId="69BD5E10" w14:textId="77777777" w:rsidR="0016569D" w:rsidRDefault="00C7268B">
            <w:pPr>
              <w:ind w:firstLine="400"/>
              <w:rPr>
                <w:rFonts w:ascii="Arial" w:eastAsia="Arial" w:hAnsi="Arial" w:cs="Arial"/>
              </w:rPr>
            </w:pPr>
            <w:r>
              <w:rPr>
                <w:rFonts w:ascii="Arial" w:eastAsia="Arial" w:hAnsi="Arial" w:cs="Arial"/>
              </w:rPr>
              <w:t>Assesses the integrity of trabecular microarchitecture</w:t>
            </w:r>
          </w:p>
        </w:tc>
        <w:tc>
          <w:tcPr>
            <w:tcW w:w="1840" w:type="dxa"/>
            <w:tcBorders>
              <w:top w:val="nil"/>
              <w:left w:val="nil"/>
              <w:bottom w:val="nil"/>
              <w:right w:val="nil"/>
            </w:tcBorders>
            <w:tcMar>
              <w:top w:w="100" w:type="dxa"/>
              <w:left w:w="100" w:type="dxa"/>
              <w:bottom w:w="100" w:type="dxa"/>
              <w:right w:w="100" w:type="dxa"/>
            </w:tcMar>
            <w:vAlign w:val="center"/>
          </w:tcPr>
          <w:p w14:paraId="20CE8486" w14:textId="77777777" w:rsidR="0016569D" w:rsidRDefault="00C7268B">
            <w:pPr>
              <w:ind w:firstLine="400"/>
              <w:rPr>
                <w:rFonts w:ascii="Arial" w:eastAsia="Arial" w:hAnsi="Arial" w:cs="Arial"/>
              </w:rPr>
            </w:pPr>
            <w:r>
              <w:rPr>
                <w:rFonts w:ascii="Arial" w:eastAsia="Arial" w:hAnsi="Arial" w:cs="Arial"/>
              </w:rPr>
              <w:t>Trabecular Thickness (</w:t>
            </w:r>
            <w:proofErr w:type="spellStart"/>
            <w:r>
              <w:rPr>
                <w:rFonts w:ascii="Arial" w:eastAsia="Arial" w:hAnsi="Arial" w:cs="Arial"/>
              </w:rPr>
              <w:t>Tb.Th</w:t>
            </w:r>
            <w:proofErr w:type="spellEnd"/>
            <w:r>
              <w:rPr>
                <w:rFonts w:ascii="Arial" w:eastAsia="Arial" w:hAnsi="Arial" w:cs="Arial"/>
              </w:rPr>
              <w:t>)</w:t>
            </w:r>
          </w:p>
        </w:tc>
      </w:tr>
      <w:tr w:rsidR="0016569D" w14:paraId="522C6210" w14:textId="77777777">
        <w:trPr>
          <w:trHeight w:val="400"/>
        </w:trPr>
        <w:tc>
          <w:tcPr>
            <w:tcW w:w="3387" w:type="dxa"/>
            <w:tcBorders>
              <w:top w:val="nil"/>
              <w:left w:val="nil"/>
              <w:bottom w:val="nil"/>
              <w:right w:val="nil"/>
            </w:tcBorders>
            <w:shd w:val="clear" w:color="auto" w:fill="F2F2F2"/>
            <w:tcMar>
              <w:top w:w="100" w:type="dxa"/>
              <w:left w:w="100" w:type="dxa"/>
              <w:bottom w:w="100" w:type="dxa"/>
              <w:right w:w="100" w:type="dxa"/>
            </w:tcMar>
            <w:vAlign w:val="center"/>
          </w:tcPr>
          <w:p w14:paraId="0CDA12F4" w14:textId="77777777" w:rsidR="0016569D" w:rsidRDefault="00C7268B">
            <w:pPr>
              <w:ind w:firstLine="400"/>
              <w:rPr>
                <w:rFonts w:ascii="Arial" w:eastAsia="Arial" w:hAnsi="Arial" w:cs="Arial"/>
              </w:rPr>
            </w:pPr>
            <w:r>
              <w:rPr>
                <w:rFonts w:ascii="Arial" w:eastAsia="Arial" w:hAnsi="Arial" w:cs="Arial"/>
              </w:rPr>
              <w:t>Number of trabeculae per unit length (mm)</w:t>
            </w:r>
          </w:p>
        </w:tc>
        <w:tc>
          <w:tcPr>
            <w:tcW w:w="2980" w:type="dxa"/>
            <w:tcBorders>
              <w:top w:val="nil"/>
              <w:left w:val="nil"/>
              <w:bottom w:val="nil"/>
              <w:right w:val="nil"/>
            </w:tcBorders>
            <w:shd w:val="clear" w:color="auto" w:fill="F2F2F2"/>
            <w:tcMar>
              <w:top w:w="100" w:type="dxa"/>
              <w:left w:w="100" w:type="dxa"/>
              <w:bottom w:w="100" w:type="dxa"/>
              <w:right w:w="100" w:type="dxa"/>
            </w:tcMar>
            <w:vAlign w:val="center"/>
          </w:tcPr>
          <w:p w14:paraId="2515C367" w14:textId="77777777" w:rsidR="0016569D" w:rsidRDefault="00C7268B">
            <w:pPr>
              <w:ind w:firstLine="400"/>
              <w:rPr>
                <w:rFonts w:ascii="Arial" w:eastAsia="Arial" w:hAnsi="Arial" w:cs="Arial"/>
              </w:rPr>
            </w:pPr>
            <w:r>
              <w:rPr>
                <w:rFonts w:ascii="Arial" w:eastAsia="Arial" w:hAnsi="Arial" w:cs="Arial"/>
              </w:rPr>
              <w:t>Reduction indicates bone rarefaction</w:t>
            </w:r>
          </w:p>
        </w:tc>
        <w:tc>
          <w:tcPr>
            <w:tcW w:w="1840" w:type="dxa"/>
            <w:tcBorders>
              <w:top w:val="nil"/>
              <w:left w:val="nil"/>
              <w:bottom w:val="nil"/>
              <w:right w:val="nil"/>
            </w:tcBorders>
            <w:shd w:val="clear" w:color="auto" w:fill="F2F2F2"/>
            <w:tcMar>
              <w:top w:w="100" w:type="dxa"/>
              <w:left w:w="100" w:type="dxa"/>
              <w:bottom w:w="100" w:type="dxa"/>
              <w:right w:w="100" w:type="dxa"/>
            </w:tcMar>
            <w:vAlign w:val="center"/>
          </w:tcPr>
          <w:p w14:paraId="4EF61910" w14:textId="77777777" w:rsidR="0016569D" w:rsidRDefault="00C7268B">
            <w:pPr>
              <w:ind w:firstLine="400"/>
              <w:rPr>
                <w:rFonts w:ascii="Arial" w:eastAsia="Arial" w:hAnsi="Arial" w:cs="Arial"/>
              </w:rPr>
            </w:pPr>
            <w:r>
              <w:rPr>
                <w:rFonts w:ascii="Arial" w:eastAsia="Arial" w:hAnsi="Arial" w:cs="Arial"/>
              </w:rPr>
              <w:t>Trabecular Number (</w:t>
            </w:r>
            <w:proofErr w:type="spellStart"/>
            <w:r>
              <w:rPr>
                <w:rFonts w:ascii="Arial" w:eastAsia="Arial" w:hAnsi="Arial" w:cs="Arial"/>
              </w:rPr>
              <w:t>Tb.N</w:t>
            </w:r>
            <w:proofErr w:type="spellEnd"/>
            <w:r>
              <w:rPr>
                <w:rFonts w:ascii="Arial" w:eastAsia="Arial" w:hAnsi="Arial" w:cs="Arial"/>
              </w:rPr>
              <w:t>)</w:t>
            </w:r>
          </w:p>
        </w:tc>
      </w:tr>
      <w:tr w:rsidR="0016569D" w14:paraId="3F6B3317" w14:textId="77777777">
        <w:trPr>
          <w:trHeight w:val="235"/>
        </w:trPr>
        <w:tc>
          <w:tcPr>
            <w:tcW w:w="3387" w:type="dxa"/>
            <w:tcBorders>
              <w:top w:val="nil"/>
              <w:left w:val="nil"/>
              <w:bottom w:val="nil"/>
              <w:right w:val="nil"/>
            </w:tcBorders>
            <w:tcMar>
              <w:top w:w="100" w:type="dxa"/>
              <w:left w:w="100" w:type="dxa"/>
              <w:bottom w:w="100" w:type="dxa"/>
              <w:right w:w="100" w:type="dxa"/>
            </w:tcMar>
            <w:vAlign w:val="center"/>
          </w:tcPr>
          <w:p w14:paraId="0BBAE532" w14:textId="77777777" w:rsidR="0016569D" w:rsidRDefault="00C7268B">
            <w:pPr>
              <w:ind w:firstLine="400"/>
              <w:rPr>
                <w:rFonts w:ascii="Arial" w:eastAsia="Arial" w:hAnsi="Arial" w:cs="Arial"/>
              </w:rPr>
            </w:pPr>
            <w:r>
              <w:rPr>
                <w:rFonts w:ascii="Arial" w:eastAsia="Arial" w:hAnsi="Arial" w:cs="Arial"/>
              </w:rPr>
              <w:t>Average distance between trabeculae</w:t>
            </w:r>
          </w:p>
        </w:tc>
        <w:tc>
          <w:tcPr>
            <w:tcW w:w="2980" w:type="dxa"/>
            <w:tcBorders>
              <w:top w:val="nil"/>
              <w:left w:val="nil"/>
              <w:bottom w:val="nil"/>
              <w:right w:val="nil"/>
            </w:tcBorders>
            <w:tcMar>
              <w:top w:w="100" w:type="dxa"/>
              <w:left w:w="100" w:type="dxa"/>
              <w:bottom w:w="100" w:type="dxa"/>
              <w:right w:w="100" w:type="dxa"/>
            </w:tcMar>
            <w:vAlign w:val="center"/>
          </w:tcPr>
          <w:p w14:paraId="1BF7596D" w14:textId="77777777" w:rsidR="0016569D" w:rsidRDefault="00C7268B">
            <w:pPr>
              <w:ind w:firstLine="400"/>
              <w:rPr>
                <w:rFonts w:ascii="Arial" w:eastAsia="Arial" w:hAnsi="Arial" w:cs="Arial"/>
              </w:rPr>
            </w:pPr>
            <w:r>
              <w:rPr>
                <w:rFonts w:ascii="Arial" w:eastAsia="Arial" w:hAnsi="Arial" w:cs="Arial"/>
              </w:rPr>
              <w:t>Increased values indicate bone degradation</w:t>
            </w:r>
          </w:p>
        </w:tc>
        <w:tc>
          <w:tcPr>
            <w:tcW w:w="1840" w:type="dxa"/>
            <w:tcBorders>
              <w:top w:val="nil"/>
              <w:left w:val="nil"/>
              <w:bottom w:val="nil"/>
              <w:right w:val="nil"/>
            </w:tcBorders>
            <w:tcMar>
              <w:top w:w="100" w:type="dxa"/>
              <w:left w:w="100" w:type="dxa"/>
              <w:bottom w:w="100" w:type="dxa"/>
              <w:right w:w="100" w:type="dxa"/>
            </w:tcMar>
            <w:vAlign w:val="center"/>
          </w:tcPr>
          <w:p w14:paraId="7B2E6F27" w14:textId="77777777" w:rsidR="0016569D" w:rsidRDefault="00C7268B">
            <w:pPr>
              <w:ind w:firstLine="400"/>
              <w:rPr>
                <w:rFonts w:ascii="Arial" w:eastAsia="Arial" w:hAnsi="Arial" w:cs="Arial"/>
              </w:rPr>
            </w:pPr>
            <w:r>
              <w:rPr>
                <w:rFonts w:ascii="Arial" w:eastAsia="Arial" w:hAnsi="Arial" w:cs="Arial"/>
              </w:rPr>
              <w:t>Trabecular Separation (</w:t>
            </w:r>
            <w:proofErr w:type="spellStart"/>
            <w:r>
              <w:rPr>
                <w:rFonts w:ascii="Arial" w:eastAsia="Arial" w:hAnsi="Arial" w:cs="Arial"/>
              </w:rPr>
              <w:t>Tb.Sp</w:t>
            </w:r>
            <w:proofErr w:type="spellEnd"/>
            <w:r>
              <w:rPr>
                <w:rFonts w:ascii="Arial" w:eastAsia="Arial" w:hAnsi="Arial" w:cs="Arial"/>
              </w:rPr>
              <w:t>)</w:t>
            </w:r>
          </w:p>
        </w:tc>
      </w:tr>
      <w:tr w:rsidR="0016569D" w14:paraId="39F537AB" w14:textId="77777777">
        <w:trPr>
          <w:trHeight w:val="355"/>
        </w:trPr>
        <w:tc>
          <w:tcPr>
            <w:tcW w:w="3387" w:type="dxa"/>
            <w:tcBorders>
              <w:top w:val="nil"/>
              <w:left w:val="nil"/>
              <w:bottom w:val="nil"/>
              <w:right w:val="nil"/>
            </w:tcBorders>
            <w:shd w:val="clear" w:color="auto" w:fill="F2F2F2"/>
            <w:tcMar>
              <w:top w:w="100" w:type="dxa"/>
              <w:left w:w="100" w:type="dxa"/>
              <w:bottom w:w="100" w:type="dxa"/>
              <w:right w:w="100" w:type="dxa"/>
            </w:tcMar>
            <w:vAlign w:val="center"/>
          </w:tcPr>
          <w:p w14:paraId="0E93C004" w14:textId="77777777" w:rsidR="0016569D" w:rsidRDefault="00C7268B">
            <w:pPr>
              <w:ind w:firstLine="400"/>
              <w:rPr>
                <w:rFonts w:ascii="Arial" w:eastAsia="Arial" w:hAnsi="Arial" w:cs="Arial"/>
              </w:rPr>
            </w:pPr>
            <w:r>
              <w:rPr>
                <w:rFonts w:ascii="Arial" w:eastAsia="Arial" w:hAnsi="Arial" w:cs="Arial"/>
              </w:rPr>
              <w:t>Measures the interconnection among trabecular structures</w:t>
            </w:r>
          </w:p>
        </w:tc>
        <w:tc>
          <w:tcPr>
            <w:tcW w:w="2980" w:type="dxa"/>
            <w:tcBorders>
              <w:top w:val="nil"/>
              <w:left w:val="nil"/>
              <w:bottom w:val="nil"/>
              <w:right w:val="nil"/>
            </w:tcBorders>
            <w:shd w:val="clear" w:color="auto" w:fill="F2F2F2"/>
            <w:tcMar>
              <w:top w:w="100" w:type="dxa"/>
              <w:left w:w="100" w:type="dxa"/>
              <w:bottom w:w="100" w:type="dxa"/>
              <w:right w:w="100" w:type="dxa"/>
            </w:tcMar>
            <w:vAlign w:val="center"/>
          </w:tcPr>
          <w:p w14:paraId="553A17F1" w14:textId="77777777" w:rsidR="0016569D" w:rsidRDefault="00C7268B">
            <w:pPr>
              <w:ind w:firstLine="400"/>
              <w:rPr>
                <w:rFonts w:ascii="Arial" w:eastAsia="Arial" w:hAnsi="Arial" w:cs="Arial"/>
              </w:rPr>
            </w:pPr>
            <w:r>
              <w:rPr>
                <w:rFonts w:ascii="Arial" w:eastAsia="Arial" w:hAnsi="Arial" w:cs="Arial"/>
              </w:rPr>
              <w:t>Reflects the tridimensional structural integrity of the bone</w:t>
            </w:r>
          </w:p>
        </w:tc>
        <w:tc>
          <w:tcPr>
            <w:tcW w:w="1840" w:type="dxa"/>
            <w:tcBorders>
              <w:top w:val="nil"/>
              <w:left w:val="nil"/>
              <w:bottom w:val="nil"/>
              <w:right w:val="nil"/>
            </w:tcBorders>
            <w:shd w:val="clear" w:color="auto" w:fill="F2F2F2"/>
            <w:tcMar>
              <w:top w:w="100" w:type="dxa"/>
              <w:left w:w="100" w:type="dxa"/>
              <w:bottom w:w="100" w:type="dxa"/>
              <w:right w:w="100" w:type="dxa"/>
            </w:tcMar>
            <w:vAlign w:val="center"/>
          </w:tcPr>
          <w:p w14:paraId="30B56520" w14:textId="77777777" w:rsidR="0016569D" w:rsidRDefault="00C7268B">
            <w:pPr>
              <w:ind w:firstLine="400"/>
              <w:rPr>
                <w:rFonts w:ascii="Arial" w:eastAsia="Arial" w:hAnsi="Arial" w:cs="Arial"/>
              </w:rPr>
            </w:pPr>
            <w:r>
              <w:rPr>
                <w:rFonts w:ascii="Arial" w:eastAsia="Arial" w:hAnsi="Arial" w:cs="Arial"/>
              </w:rPr>
              <w:t>Connectivity Density (</w:t>
            </w:r>
            <w:proofErr w:type="spellStart"/>
            <w:r>
              <w:rPr>
                <w:rFonts w:ascii="Arial" w:eastAsia="Arial" w:hAnsi="Arial" w:cs="Arial"/>
              </w:rPr>
              <w:t>Conn.D</w:t>
            </w:r>
            <w:proofErr w:type="spellEnd"/>
            <w:r>
              <w:rPr>
                <w:rFonts w:ascii="Arial" w:eastAsia="Arial" w:hAnsi="Arial" w:cs="Arial"/>
              </w:rPr>
              <w:t>)</w:t>
            </w:r>
          </w:p>
        </w:tc>
      </w:tr>
      <w:tr w:rsidR="0016569D" w14:paraId="35900232" w14:textId="77777777">
        <w:trPr>
          <w:trHeight w:val="355"/>
        </w:trPr>
        <w:tc>
          <w:tcPr>
            <w:tcW w:w="3387" w:type="dxa"/>
            <w:tcBorders>
              <w:top w:val="nil"/>
              <w:left w:val="nil"/>
              <w:bottom w:val="nil"/>
              <w:right w:val="nil"/>
            </w:tcBorders>
            <w:tcMar>
              <w:top w:w="100" w:type="dxa"/>
              <w:left w:w="100" w:type="dxa"/>
              <w:bottom w:w="100" w:type="dxa"/>
              <w:right w:w="100" w:type="dxa"/>
            </w:tcMar>
            <w:vAlign w:val="center"/>
          </w:tcPr>
          <w:p w14:paraId="0F657A0F" w14:textId="77777777" w:rsidR="0016569D" w:rsidRDefault="00C7268B">
            <w:pPr>
              <w:ind w:firstLine="400"/>
              <w:rPr>
                <w:rFonts w:ascii="Arial" w:eastAsia="Arial" w:hAnsi="Arial" w:cs="Arial"/>
              </w:rPr>
            </w:pPr>
            <w:r>
              <w:rPr>
                <w:rFonts w:ascii="Arial" w:eastAsia="Arial" w:hAnsi="Arial" w:cs="Arial"/>
              </w:rPr>
              <w:t>Thickness of the alveolar cortical bone layer</w:t>
            </w:r>
          </w:p>
        </w:tc>
        <w:tc>
          <w:tcPr>
            <w:tcW w:w="2980" w:type="dxa"/>
            <w:tcBorders>
              <w:top w:val="nil"/>
              <w:left w:val="nil"/>
              <w:bottom w:val="nil"/>
              <w:right w:val="nil"/>
            </w:tcBorders>
            <w:tcMar>
              <w:top w:w="100" w:type="dxa"/>
              <w:left w:w="100" w:type="dxa"/>
              <w:bottom w:w="100" w:type="dxa"/>
              <w:right w:w="100" w:type="dxa"/>
            </w:tcMar>
            <w:vAlign w:val="center"/>
          </w:tcPr>
          <w:p w14:paraId="43084A3F" w14:textId="77777777" w:rsidR="0016569D" w:rsidRDefault="00C7268B">
            <w:pPr>
              <w:ind w:firstLine="400"/>
              <w:rPr>
                <w:rFonts w:ascii="Arial" w:eastAsia="Arial" w:hAnsi="Arial" w:cs="Arial"/>
              </w:rPr>
            </w:pPr>
            <w:r>
              <w:rPr>
                <w:rFonts w:ascii="Arial" w:eastAsia="Arial" w:hAnsi="Arial" w:cs="Arial"/>
              </w:rPr>
              <w:t>Reductions indicate cortical resorption associated with periodontitis</w:t>
            </w:r>
          </w:p>
        </w:tc>
        <w:tc>
          <w:tcPr>
            <w:tcW w:w="1840" w:type="dxa"/>
            <w:tcBorders>
              <w:top w:val="nil"/>
              <w:left w:val="nil"/>
              <w:bottom w:val="nil"/>
              <w:right w:val="nil"/>
            </w:tcBorders>
            <w:tcMar>
              <w:top w:w="100" w:type="dxa"/>
              <w:left w:w="100" w:type="dxa"/>
              <w:bottom w:w="100" w:type="dxa"/>
              <w:right w:w="100" w:type="dxa"/>
            </w:tcMar>
            <w:vAlign w:val="center"/>
          </w:tcPr>
          <w:p w14:paraId="30152097" w14:textId="77777777" w:rsidR="0016569D" w:rsidRDefault="00C7268B">
            <w:pPr>
              <w:ind w:firstLine="400"/>
              <w:rPr>
                <w:rFonts w:ascii="Arial" w:eastAsia="Arial" w:hAnsi="Arial" w:cs="Arial"/>
              </w:rPr>
            </w:pPr>
            <w:r>
              <w:rPr>
                <w:rFonts w:ascii="Arial" w:eastAsia="Arial" w:hAnsi="Arial" w:cs="Arial"/>
              </w:rPr>
              <w:t>Cortical Thickness (</w:t>
            </w:r>
            <w:proofErr w:type="spellStart"/>
            <w:r>
              <w:rPr>
                <w:rFonts w:ascii="Arial" w:eastAsia="Arial" w:hAnsi="Arial" w:cs="Arial"/>
              </w:rPr>
              <w:t>Ct.Th</w:t>
            </w:r>
            <w:proofErr w:type="spellEnd"/>
            <w:r>
              <w:rPr>
                <w:rFonts w:ascii="Arial" w:eastAsia="Arial" w:hAnsi="Arial" w:cs="Arial"/>
              </w:rPr>
              <w:t>)</w:t>
            </w:r>
          </w:p>
        </w:tc>
      </w:tr>
    </w:tbl>
    <w:p w14:paraId="70B0FA9F" w14:textId="77777777" w:rsidR="0016569D" w:rsidRDefault="0016569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rPr>
      </w:pPr>
    </w:p>
    <w:p w14:paraId="508BAA62" w14:textId="77777777" w:rsidR="0016569D" w:rsidRDefault="00C7268B">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19145EED" w14:textId="77777777" w:rsidR="0016569D" w:rsidRDefault="00C7268B">
      <w:pPr>
        <w:ind w:firstLine="400"/>
        <w:jc w:val="both"/>
        <w:rPr>
          <w:rFonts w:ascii="Arial" w:eastAsia="Arial" w:hAnsi="Arial" w:cs="Arial"/>
        </w:rPr>
      </w:pPr>
      <w:r>
        <w:rPr>
          <w:rFonts w:ascii="Arial" w:eastAsia="Arial" w:hAnsi="Arial" w:cs="Arial"/>
        </w:rPr>
        <w:t>The analysis of the reviewed studies highlights the fundamental role of micro–computed tomography as a highly valuable tool for assessing alveolar bone loss in experimental models of periodontitis. This technology offers significant advantages in terms of accuracy, reproducibility, and three-dimensional detail, contributing to a deeper understanding of bone resorption dynamics and the response to different therapeutic interventions.</w:t>
      </w:r>
    </w:p>
    <w:p w14:paraId="3D8A5E19" w14:textId="77777777" w:rsidR="0016569D" w:rsidRDefault="00C7268B">
      <w:pPr>
        <w:ind w:firstLine="400"/>
        <w:jc w:val="both"/>
        <w:rPr>
          <w:rFonts w:ascii="Arial" w:eastAsia="Arial" w:hAnsi="Arial" w:cs="Arial"/>
        </w:rPr>
      </w:pPr>
      <w:r>
        <w:rPr>
          <w:rFonts w:ascii="Arial" w:eastAsia="Arial" w:hAnsi="Arial" w:cs="Arial"/>
        </w:rPr>
        <w:t>Several factors were identified as influencing disease severity and treatment outcomes, including comorbidities such as metabolic syndrome, chronic stress, the use of medications such as antipsychotics and antibiotics, as well as genetic susceptibility and the oral microbiome. Interventions such as probiotics, photodynamic therapy, anti-inflammatory agents, and immunomodulatory drugs showed promising results in attenuating bone resorption, although their effects vary according to the experimental model and the systemic conditions involved. Additionally, the incorporation of artificial intelligence tools—such as deep learning algorithms applied to automated micro-CT image analysis—represents a methodological advancement capable of accelerating and standardizing large-scale assessments with high precision.</w:t>
      </w:r>
    </w:p>
    <w:p w14:paraId="0048C12C" w14:textId="25321AAF" w:rsidR="0016569D" w:rsidRDefault="00C7268B">
      <w:pPr>
        <w:ind w:firstLine="400"/>
        <w:jc w:val="both"/>
        <w:rPr>
          <w:rFonts w:ascii="Arial" w:eastAsia="Arial" w:hAnsi="Arial" w:cs="Arial"/>
        </w:rPr>
      </w:pPr>
      <w:r>
        <w:rPr>
          <w:rFonts w:ascii="Arial" w:eastAsia="Arial" w:hAnsi="Arial" w:cs="Arial"/>
        </w:rPr>
        <w:t>Taken together, the findings compiled here reinforce the importance of micro–computed tomography in the field of experimental periodontal research and suggest promising pathways for the development of new diagnostic and therapeutic approaches. Further investigations may ultimately contribute to more effective and personalized clinical strategies for the treatment of periodontitis.</w:t>
      </w:r>
    </w:p>
    <w:p w14:paraId="0E36663F" w14:textId="57FD3AFA" w:rsidR="00A37BE8" w:rsidRDefault="00A37BE8">
      <w:pPr>
        <w:ind w:firstLine="400"/>
        <w:jc w:val="both"/>
        <w:rPr>
          <w:rFonts w:ascii="Arial" w:eastAsia="Arial" w:hAnsi="Arial" w:cs="Arial"/>
        </w:rPr>
      </w:pPr>
    </w:p>
    <w:p w14:paraId="47D45252" w14:textId="77777777" w:rsidR="00A37BE8" w:rsidRPr="009C5487" w:rsidRDefault="00A37BE8" w:rsidP="00A37BE8">
      <w:pPr>
        <w:rPr>
          <w:rFonts w:ascii="Calibri" w:eastAsia="Calibri" w:hAnsi="Calibri" w:cs="Times New Roman"/>
          <w:kern w:val="2"/>
          <w:highlight w:val="yellow"/>
          <w:lang w:val="en-US"/>
        </w:rPr>
      </w:pPr>
      <w:bookmarkStart w:id="8" w:name="_Hlk197682619"/>
      <w:bookmarkStart w:id="9" w:name="_Hlk180402183"/>
      <w:bookmarkStart w:id="10" w:name="_Hlk183680988"/>
      <w:bookmarkStart w:id="11" w:name="_Hlk197351200"/>
      <w:bookmarkStart w:id="12" w:name="_Hlk213410455"/>
      <w:r w:rsidRPr="009C5487">
        <w:rPr>
          <w:rFonts w:ascii="Calibri" w:eastAsia="Calibri" w:hAnsi="Calibri" w:cs="Times New Roman"/>
          <w:kern w:val="2"/>
          <w:highlight w:val="yellow"/>
          <w:lang w:val="en-US"/>
        </w:rPr>
        <w:t>Disclaimer (Artificial intelligence)</w:t>
      </w:r>
    </w:p>
    <w:p w14:paraId="3766E6BC" w14:textId="77777777" w:rsidR="00A37BE8" w:rsidRPr="009C5487" w:rsidRDefault="00A37BE8" w:rsidP="00A37BE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01AE9710" w14:textId="77777777" w:rsidR="00A37BE8" w:rsidRPr="009C5487" w:rsidRDefault="00A37BE8" w:rsidP="00A37BE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14:paraId="21E5EF58" w14:textId="77777777" w:rsidR="00A37BE8" w:rsidRPr="009C5487" w:rsidRDefault="00A37BE8" w:rsidP="00A37BE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0D1BD519" w14:textId="77777777" w:rsidR="00A37BE8" w:rsidRPr="009C5487" w:rsidRDefault="00A37BE8" w:rsidP="00A37BE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FCAC731" w14:textId="77777777" w:rsidR="00A37BE8" w:rsidRPr="009C5487" w:rsidRDefault="00A37BE8" w:rsidP="00A37BE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21489BF6" w14:textId="77777777" w:rsidR="00A37BE8" w:rsidRPr="009C5487" w:rsidRDefault="00A37BE8" w:rsidP="00A37BE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7993FB43" w14:textId="77777777" w:rsidR="00A37BE8" w:rsidRPr="009C5487" w:rsidRDefault="00A37BE8" w:rsidP="00A37BE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3D1B43CF" w14:textId="77777777" w:rsidR="00A37BE8" w:rsidRPr="00F870EF" w:rsidRDefault="00A37BE8" w:rsidP="00A37BE8">
      <w:pPr>
        <w:rPr>
          <w:rFonts w:ascii="Calibri" w:eastAsia="Calibri" w:hAnsi="Calibri" w:cs="Times New Roman"/>
          <w:kern w:val="2"/>
          <w:lang w:val="en-US"/>
        </w:rPr>
      </w:pPr>
      <w:bookmarkStart w:id="13" w:name="_Hlk197682629"/>
      <w:bookmarkEnd w:id="8"/>
      <w:r w:rsidRPr="009C5487">
        <w:rPr>
          <w:rFonts w:ascii="Calibri" w:eastAsia="Calibri" w:hAnsi="Calibri" w:cs="Times New Roman"/>
          <w:kern w:val="2"/>
          <w:highlight w:val="yellow"/>
          <w:lang w:val="en-US"/>
        </w:rPr>
        <w:t>3.</w:t>
      </w:r>
      <w:bookmarkStart w:id="14" w:name="_Hlk187485061"/>
      <w:bookmarkEnd w:id="9"/>
      <w:bookmarkEnd w:id="10"/>
      <w:bookmarkEnd w:id="13"/>
    </w:p>
    <w:bookmarkEnd w:id="11"/>
    <w:bookmarkEnd w:id="14"/>
    <w:p w14:paraId="5A052973" w14:textId="77777777" w:rsidR="00A37BE8" w:rsidRDefault="00A37BE8" w:rsidP="00A37BE8"/>
    <w:bookmarkEnd w:id="12"/>
    <w:p w14:paraId="28CC7C96" w14:textId="77777777" w:rsidR="00A37BE8" w:rsidRDefault="00A37BE8">
      <w:pPr>
        <w:ind w:firstLine="400"/>
        <w:jc w:val="both"/>
        <w:rPr>
          <w:rFonts w:ascii="Arial" w:eastAsia="Arial" w:hAnsi="Arial" w:cs="Arial"/>
        </w:rPr>
      </w:pPr>
    </w:p>
    <w:p w14:paraId="02277188" w14:textId="77777777" w:rsidR="0016569D" w:rsidRDefault="0016569D">
      <w:pPr>
        <w:ind w:firstLine="400"/>
        <w:jc w:val="both"/>
        <w:rPr>
          <w:rFonts w:ascii="Arial" w:eastAsia="Arial" w:hAnsi="Arial" w:cs="Arial"/>
        </w:rPr>
      </w:pPr>
    </w:p>
    <w:p w14:paraId="3E3B18E4" w14:textId="77777777" w:rsidR="0016569D" w:rsidRDefault="0016569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rPr>
      </w:pPr>
    </w:p>
    <w:p w14:paraId="7C36CAAA" w14:textId="77777777" w:rsidR="0016569D" w:rsidRPr="00BC177A" w:rsidRDefault="00C7268B">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lang w:val="fr-FR"/>
        </w:rPr>
      </w:pPr>
      <w:proofErr w:type="spellStart"/>
      <w:r w:rsidRPr="00BC177A">
        <w:rPr>
          <w:rFonts w:ascii="Arial" w:eastAsia="Arial" w:hAnsi="Arial" w:cs="Arial"/>
          <w:b/>
          <w:bCs/>
          <w:smallCaps/>
          <w:color w:val="000000"/>
          <w:sz w:val="22"/>
          <w:szCs w:val="22"/>
          <w:lang w:val="fr-FR"/>
        </w:rPr>
        <w:t>References</w:t>
      </w:r>
      <w:proofErr w:type="spellEnd"/>
    </w:p>
    <w:p w14:paraId="5D09D298" w14:textId="77777777" w:rsidR="0016569D" w:rsidRPr="00BC177A" w:rsidRDefault="0016569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lang w:val="fr-FR"/>
        </w:rPr>
      </w:pPr>
    </w:p>
    <w:p w14:paraId="3C24EA6E" w14:textId="20706991" w:rsidR="0016569D" w:rsidRPr="00BC177A" w:rsidRDefault="00BC177A">
      <w:pPr>
        <w:rPr>
          <w:rFonts w:ascii="Arial" w:eastAsia="Arial" w:hAnsi="Arial" w:cs="Arial"/>
          <w:color w:val="000000"/>
          <w:lang w:val="en-IN"/>
        </w:rPr>
      </w:pPr>
      <w:r w:rsidRPr="00BC177A">
        <w:rPr>
          <w:rFonts w:ascii="Arial" w:eastAsia="Arial" w:hAnsi="Arial" w:cs="Arial"/>
          <w:color w:val="000000"/>
          <w:lang w:val="en-IN"/>
        </w:rPr>
        <w:t xml:space="preserve">Aguirre, J. I., Akhter, M. P., Neuville, K. G., </w:t>
      </w:r>
      <w:proofErr w:type="spellStart"/>
      <w:r w:rsidRPr="00BC177A">
        <w:rPr>
          <w:rFonts w:ascii="Arial" w:eastAsia="Arial" w:hAnsi="Arial" w:cs="Arial"/>
          <w:color w:val="000000"/>
          <w:lang w:val="en-IN"/>
        </w:rPr>
        <w:t>Trcalek</w:t>
      </w:r>
      <w:proofErr w:type="spellEnd"/>
      <w:r w:rsidRPr="00BC177A">
        <w:rPr>
          <w:rFonts w:ascii="Arial" w:eastAsia="Arial" w:hAnsi="Arial" w:cs="Arial"/>
          <w:color w:val="000000"/>
          <w:lang w:val="en-IN"/>
        </w:rPr>
        <w:t xml:space="preserve">, C. R., Leeper, A. M., Williams, A. A., Rivera, M., </w:t>
      </w:r>
      <w:proofErr w:type="spellStart"/>
      <w:r w:rsidRPr="00BC177A">
        <w:rPr>
          <w:rFonts w:ascii="Arial" w:eastAsia="Arial" w:hAnsi="Arial" w:cs="Arial"/>
          <w:color w:val="000000"/>
          <w:lang w:val="en-IN"/>
        </w:rPr>
        <w:t>Kesavalu</w:t>
      </w:r>
      <w:proofErr w:type="spellEnd"/>
      <w:r w:rsidRPr="00BC177A">
        <w:rPr>
          <w:rFonts w:ascii="Arial" w:eastAsia="Arial" w:hAnsi="Arial" w:cs="Arial"/>
          <w:color w:val="000000"/>
          <w:lang w:val="en-IN"/>
        </w:rPr>
        <w:t xml:space="preserve">, L., </w:t>
      </w:r>
      <w:proofErr w:type="spellStart"/>
      <w:r w:rsidRPr="00BC177A">
        <w:rPr>
          <w:rFonts w:ascii="Arial" w:eastAsia="Arial" w:hAnsi="Arial" w:cs="Arial"/>
          <w:color w:val="000000"/>
          <w:lang w:val="en-IN"/>
        </w:rPr>
        <w:t>Ke</w:t>
      </w:r>
      <w:proofErr w:type="spellEnd"/>
      <w:r w:rsidRPr="00BC177A">
        <w:rPr>
          <w:rFonts w:ascii="Arial" w:eastAsia="Arial" w:hAnsi="Arial" w:cs="Arial"/>
          <w:color w:val="000000"/>
          <w:lang w:val="en-IN"/>
        </w:rPr>
        <w:t xml:space="preserve">, H. Z., Liu, M., &amp; </w:t>
      </w:r>
      <w:proofErr w:type="spellStart"/>
      <w:r w:rsidRPr="00BC177A">
        <w:rPr>
          <w:rFonts w:ascii="Arial" w:eastAsia="Arial" w:hAnsi="Arial" w:cs="Arial"/>
          <w:color w:val="000000"/>
          <w:lang w:val="en-IN"/>
        </w:rPr>
        <w:t>Wronski</w:t>
      </w:r>
      <w:proofErr w:type="spellEnd"/>
      <w:r w:rsidRPr="00BC177A">
        <w:rPr>
          <w:rFonts w:ascii="Arial" w:eastAsia="Arial" w:hAnsi="Arial" w:cs="Arial"/>
          <w:color w:val="000000"/>
          <w:lang w:val="en-IN"/>
        </w:rPr>
        <w:t xml:space="preserve">, T. J. (2017). Age-related periodontitis and alveolar bone loss in rice rats. </w:t>
      </w:r>
      <w:r w:rsidRPr="00BC177A">
        <w:rPr>
          <w:rFonts w:ascii="Arial" w:eastAsia="Arial" w:hAnsi="Arial" w:cs="Arial"/>
          <w:color w:val="000000"/>
          <w:lang w:val="fr-FR"/>
        </w:rPr>
        <w:t xml:space="preserve">Archives of Oral </w:t>
      </w:r>
      <w:proofErr w:type="spellStart"/>
      <w:r w:rsidRPr="00BC177A">
        <w:rPr>
          <w:rFonts w:ascii="Arial" w:eastAsia="Arial" w:hAnsi="Arial" w:cs="Arial"/>
          <w:color w:val="000000"/>
          <w:lang w:val="fr-FR"/>
        </w:rPr>
        <w:t>Biology</w:t>
      </w:r>
      <w:proofErr w:type="spellEnd"/>
      <w:r w:rsidRPr="00BC177A">
        <w:rPr>
          <w:rFonts w:ascii="Arial" w:eastAsia="Arial" w:hAnsi="Arial" w:cs="Arial"/>
          <w:color w:val="000000"/>
          <w:lang w:val="fr-FR"/>
        </w:rPr>
        <w:t xml:space="preserve">, 73, 193-205. </w:t>
      </w:r>
      <w:hyperlink r:id="rId21" w:history="1">
        <w:r w:rsidRPr="00BC177A">
          <w:rPr>
            <w:rStyle w:val="Hyperlink"/>
            <w:rFonts w:ascii="Arial" w:eastAsia="Arial" w:hAnsi="Arial" w:cs="Arial"/>
            <w:lang w:val="en-IN"/>
          </w:rPr>
          <w:t>https://doi.org/10.1016/j.archoralbio.2016.10.018</w:t>
        </w:r>
      </w:hyperlink>
    </w:p>
    <w:p w14:paraId="553EB2B0" w14:textId="77777777" w:rsidR="00BC177A" w:rsidRDefault="00BC177A">
      <w:pPr>
        <w:rPr>
          <w:rFonts w:ascii="Arial" w:eastAsia="Arial" w:hAnsi="Arial" w:cs="Arial"/>
          <w:color w:val="000000"/>
        </w:rPr>
      </w:pPr>
    </w:p>
    <w:p w14:paraId="60B053D0" w14:textId="1F7ABDA9" w:rsidR="0016569D" w:rsidRDefault="00BC177A">
      <w:pPr>
        <w:rPr>
          <w:rFonts w:ascii="Arial" w:eastAsia="Arial" w:hAnsi="Arial" w:cs="Arial"/>
          <w:color w:val="000000"/>
        </w:rPr>
      </w:pPr>
      <w:r w:rsidRPr="00BC177A">
        <w:rPr>
          <w:rFonts w:ascii="Arial" w:eastAsia="Arial" w:hAnsi="Arial" w:cs="Arial"/>
          <w:color w:val="000000"/>
        </w:rPr>
        <w:t xml:space="preserve">Bhattarai, G., Lee, M. H., &amp; Lee, J. C. (2016). Resveratrol prevents alveolar bone loss in an experimental rat model of periodontitis. </w:t>
      </w:r>
      <w:proofErr w:type="spellStart"/>
      <w:r w:rsidRPr="00BC177A">
        <w:rPr>
          <w:rFonts w:ascii="Arial" w:eastAsia="Arial" w:hAnsi="Arial" w:cs="Arial"/>
          <w:color w:val="000000"/>
        </w:rPr>
        <w:t>Acta</w:t>
      </w:r>
      <w:proofErr w:type="spellEnd"/>
      <w:r w:rsidRPr="00BC177A">
        <w:rPr>
          <w:rFonts w:ascii="Arial" w:eastAsia="Arial" w:hAnsi="Arial" w:cs="Arial"/>
          <w:color w:val="000000"/>
        </w:rPr>
        <w:t xml:space="preserve"> </w:t>
      </w:r>
      <w:proofErr w:type="spellStart"/>
      <w:r w:rsidRPr="00BC177A">
        <w:rPr>
          <w:rFonts w:ascii="Arial" w:eastAsia="Arial" w:hAnsi="Arial" w:cs="Arial"/>
          <w:color w:val="000000"/>
        </w:rPr>
        <w:t>Biomaterialia</w:t>
      </w:r>
      <w:proofErr w:type="spellEnd"/>
      <w:r w:rsidRPr="00BC177A">
        <w:rPr>
          <w:rFonts w:ascii="Arial" w:eastAsia="Arial" w:hAnsi="Arial" w:cs="Arial"/>
          <w:color w:val="000000"/>
        </w:rPr>
        <w:t xml:space="preserve"> </w:t>
      </w:r>
      <w:hyperlink r:id="rId22" w:history="1">
        <w:r w:rsidRPr="00E6405B">
          <w:rPr>
            <w:rStyle w:val="Hyperlink"/>
            <w:rFonts w:ascii="Arial" w:eastAsia="Arial" w:hAnsi="Arial" w:cs="Arial"/>
          </w:rPr>
          <w:t>https://doi.org/10.1016/j.actbio.2015.10.031</w:t>
        </w:r>
      </w:hyperlink>
    </w:p>
    <w:p w14:paraId="40C54B1E" w14:textId="77777777" w:rsidR="00BC177A" w:rsidRDefault="00BC177A">
      <w:pPr>
        <w:rPr>
          <w:rFonts w:ascii="Arial" w:eastAsia="Arial" w:hAnsi="Arial" w:cs="Arial"/>
          <w:color w:val="000000"/>
        </w:rPr>
      </w:pPr>
    </w:p>
    <w:p w14:paraId="0AFA15C7" w14:textId="26F44F0F" w:rsidR="0016569D" w:rsidRDefault="00BC177A">
      <w:pPr>
        <w:rPr>
          <w:rFonts w:ascii="Arial" w:eastAsia="Arial" w:hAnsi="Arial" w:cs="Arial"/>
          <w:color w:val="000000"/>
        </w:rPr>
      </w:pPr>
      <w:proofErr w:type="spellStart"/>
      <w:r w:rsidRPr="00BC177A">
        <w:rPr>
          <w:rFonts w:ascii="Arial" w:eastAsia="Arial" w:hAnsi="Arial" w:cs="Arial"/>
          <w:color w:val="000000"/>
        </w:rPr>
        <w:t>Bouxsein</w:t>
      </w:r>
      <w:proofErr w:type="spellEnd"/>
      <w:r w:rsidRPr="00BC177A">
        <w:rPr>
          <w:rFonts w:ascii="Arial" w:eastAsia="Arial" w:hAnsi="Arial" w:cs="Arial"/>
          <w:color w:val="000000"/>
        </w:rPr>
        <w:t xml:space="preserve">, M. L., Boyd, S. K., Christiansen, B. A., Guldberg, R. E., Jepsen, K. J., &amp; Müller, R. (2010). Guidelines for assessment of bone microstructure in rodents using micro-computed tomography. Journal of Bone and Mineral Research, 25(7), 1468-1486. </w:t>
      </w:r>
      <w:hyperlink r:id="rId23" w:history="1">
        <w:r w:rsidRPr="00E6405B">
          <w:rPr>
            <w:rStyle w:val="Hyperlink"/>
            <w:rFonts w:ascii="Arial" w:eastAsia="Arial" w:hAnsi="Arial" w:cs="Arial"/>
          </w:rPr>
          <w:t>https://doi.org/10.1002/jbmr.141</w:t>
        </w:r>
      </w:hyperlink>
    </w:p>
    <w:p w14:paraId="0C6628BA" w14:textId="77777777" w:rsidR="00BC177A" w:rsidRDefault="00BC177A">
      <w:pPr>
        <w:rPr>
          <w:rFonts w:ascii="Arial" w:eastAsia="Arial" w:hAnsi="Arial" w:cs="Arial"/>
          <w:color w:val="000000"/>
        </w:rPr>
      </w:pPr>
    </w:p>
    <w:p w14:paraId="361ECF41" w14:textId="1678EAB7" w:rsidR="0016569D" w:rsidRPr="00BC177A" w:rsidRDefault="00BC177A">
      <w:pPr>
        <w:rPr>
          <w:rFonts w:ascii="Arial" w:eastAsia="Arial" w:hAnsi="Arial" w:cs="Arial"/>
          <w:color w:val="000000"/>
          <w:lang w:val="fr-FR"/>
        </w:rPr>
      </w:pPr>
      <w:proofErr w:type="spellStart"/>
      <w:r w:rsidRPr="00BC177A">
        <w:rPr>
          <w:rFonts w:ascii="Arial" w:eastAsia="Arial" w:hAnsi="Arial" w:cs="Arial"/>
          <w:color w:val="000000"/>
        </w:rPr>
        <w:t>Catunda</w:t>
      </w:r>
      <w:proofErr w:type="spellEnd"/>
      <w:r w:rsidRPr="00BC177A">
        <w:rPr>
          <w:rFonts w:ascii="Arial" w:eastAsia="Arial" w:hAnsi="Arial" w:cs="Arial"/>
          <w:color w:val="000000"/>
        </w:rPr>
        <w:t xml:space="preserve">, R. Q., Ho, K. K.-Y., Patel, S., &amp; </w:t>
      </w:r>
      <w:proofErr w:type="spellStart"/>
      <w:r w:rsidRPr="00BC177A">
        <w:rPr>
          <w:rFonts w:ascii="Arial" w:eastAsia="Arial" w:hAnsi="Arial" w:cs="Arial"/>
          <w:color w:val="000000"/>
        </w:rPr>
        <w:t>Febbraio</w:t>
      </w:r>
      <w:proofErr w:type="spellEnd"/>
      <w:r w:rsidRPr="00BC177A">
        <w:rPr>
          <w:rFonts w:ascii="Arial" w:eastAsia="Arial" w:hAnsi="Arial" w:cs="Arial"/>
          <w:color w:val="000000"/>
        </w:rPr>
        <w:t xml:space="preserve">, M. (2021). A 2-plane micro-computed tomographic alveolar bone measurement approach in mice. Imaging Science in Dentistry, 51(4), 389-398. </w:t>
      </w:r>
      <w:hyperlink r:id="rId24" w:history="1">
        <w:r w:rsidRPr="00BC177A">
          <w:rPr>
            <w:rStyle w:val="Hyperlink"/>
            <w:rFonts w:ascii="Arial" w:eastAsia="Arial" w:hAnsi="Arial" w:cs="Arial"/>
            <w:lang w:val="fr-FR"/>
          </w:rPr>
          <w:t>https://doi.org/10.5624/isd.20210058</w:t>
        </w:r>
      </w:hyperlink>
    </w:p>
    <w:p w14:paraId="10600F71" w14:textId="77777777" w:rsidR="00BC177A" w:rsidRPr="00BC177A" w:rsidRDefault="00BC177A">
      <w:pPr>
        <w:rPr>
          <w:rFonts w:ascii="Arial" w:eastAsia="Arial" w:hAnsi="Arial" w:cs="Arial"/>
          <w:color w:val="000000"/>
          <w:lang w:val="fr-FR"/>
        </w:rPr>
      </w:pPr>
    </w:p>
    <w:p w14:paraId="792E27EA" w14:textId="0969F3D5" w:rsidR="0016569D" w:rsidRDefault="00BC177A">
      <w:pPr>
        <w:rPr>
          <w:rFonts w:ascii="Arial" w:eastAsia="Arial" w:hAnsi="Arial" w:cs="Arial"/>
          <w:color w:val="000000"/>
          <w:lang w:val="fr-FR"/>
        </w:rPr>
      </w:pPr>
      <w:r w:rsidRPr="00BC177A">
        <w:rPr>
          <w:rFonts w:ascii="Arial" w:eastAsia="Arial" w:hAnsi="Arial" w:cs="Arial"/>
          <w:color w:val="000000"/>
          <w:lang w:val="fr-FR"/>
        </w:rPr>
        <w:t xml:space="preserve">Choi, I. G. G., et al. </w:t>
      </w:r>
      <w:r w:rsidRPr="00BC177A">
        <w:rPr>
          <w:rFonts w:ascii="Arial" w:eastAsia="Arial" w:hAnsi="Arial" w:cs="Arial"/>
          <w:color w:val="000000"/>
          <w:lang w:val="en-IN"/>
        </w:rPr>
        <w:t xml:space="preserve">(2022). Correlation among alveolar bone assessments provided by CBCT, micro-CT, and 14 T MRI. </w:t>
      </w:r>
      <w:proofErr w:type="spellStart"/>
      <w:r w:rsidRPr="00BC177A">
        <w:rPr>
          <w:rFonts w:ascii="Arial" w:eastAsia="Arial" w:hAnsi="Arial" w:cs="Arial"/>
          <w:color w:val="000000"/>
          <w:lang w:val="fr-FR"/>
        </w:rPr>
        <w:t>Dentomaxillofac</w:t>
      </w:r>
      <w:proofErr w:type="spellEnd"/>
      <w:r w:rsidRPr="00BC177A">
        <w:rPr>
          <w:rFonts w:ascii="Arial" w:eastAsia="Arial" w:hAnsi="Arial" w:cs="Arial"/>
          <w:color w:val="000000"/>
          <w:lang w:val="fr-FR"/>
        </w:rPr>
        <w:t xml:space="preserve"> </w:t>
      </w:r>
      <w:proofErr w:type="spellStart"/>
      <w:r w:rsidRPr="00BC177A">
        <w:rPr>
          <w:rFonts w:ascii="Arial" w:eastAsia="Arial" w:hAnsi="Arial" w:cs="Arial"/>
          <w:color w:val="000000"/>
          <w:lang w:val="fr-FR"/>
        </w:rPr>
        <w:t>Radiol</w:t>
      </w:r>
      <w:proofErr w:type="spellEnd"/>
      <w:r w:rsidRPr="00BC177A">
        <w:rPr>
          <w:rFonts w:ascii="Arial" w:eastAsia="Arial" w:hAnsi="Arial" w:cs="Arial"/>
          <w:color w:val="000000"/>
          <w:lang w:val="fr-FR"/>
        </w:rPr>
        <w:t xml:space="preserve">., 51(5), 20210243. </w:t>
      </w:r>
      <w:hyperlink r:id="rId25" w:history="1">
        <w:r w:rsidRPr="00E6405B">
          <w:rPr>
            <w:rStyle w:val="Hyperlink"/>
            <w:rFonts w:ascii="Arial" w:eastAsia="Arial" w:hAnsi="Arial" w:cs="Arial"/>
            <w:lang w:val="fr-FR"/>
          </w:rPr>
          <w:t>https://doi.org/10.1259/dmfr.20210243</w:t>
        </w:r>
      </w:hyperlink>
    </w:p>
    <w:p w14:paraId="45A27A00" w14:textId="77777777" w:rsidR="00BC177A" w:rsidRPr="00BC177A" w:rsidRDefault="00BC177A">
      <w:pPr>
        <w:rPr>
          <w:rFonts w:ascii="Arial" w:eastAsia="Arial" w:hAnsi="Arial" w:cs="Arial"/>
          <w:color w:val="000000"/>
          <w:lang w:val="pt-BR"/>
        </w:rPr>
      </w:pPr>
    </w:p>
    <w:p w14:paraId="7ABE3D42" w14:textId="77777777" w:rsidR="0016569D" w:rsidRPr="00BC177A" w:rsidRDefault="00C7268B">
      <w:pPr>
        <w:pBdr>
          <w:top w:val="nil"/>
          <w:left w:val="nil"/>
          <w:bottom w:val="nil"/>
          <w:right w:val="nil"/>
          <w:between w:val="nil"/>
        </w:pBdr>
        <w:jc w:val="both"/>
        <w:rPr>
          <w:rFonts w:ascii="Arial" w:eastAsia="Arial" w:hAnsi="Arial" w:cs="Arial"/>
          <w:color w:val="000000"/>
          <w:lang w:val="pt-BR"/>
        </w:rPr>
      </w:pPr>
      <w:r w:rsidRPr="00BC177A">
        <w:rPr>
          <w:rFonts w:ascii="Arial" w:eastAsia="Arial" w:hAnsi="Arial" w:cs="Arial"/>
          <w:color w:val="000000"/>
          <w:lang w:val="pt-BR"/>
        </w:rPr>
        <w:t>Costa, V. B. (2025). Impacto da ativação e inibição de Nrf2 sobre a periodontite. Tese (Doutorado em Odontologia) – Universidade Estadual Paulista “Júlio de Mesquita Filho” – UNESP. Araraquara. </w:t>
      </w:r>
    </w:p>
    <w:p w14:paraId="6F40F38D" w14:textId="77777777" w:rsidR="0016569D" w:rsidRPr="00BC177A" w:rsidRDefault="0016569D">
      <w:pPr>
        <w:rPr>
          <w:rFonts w:ascii="Arial" w:eastAsia="Arial" w:hAnsi="Arial" w:cs="Arial"/>
          <w:color w:val="000000"/>
          <w:lang w:val="pt-BR"/>
        </w:rPr>
      </w:pPr>
    </w:p>
    <w:p w14:paraId="1FE64555" w14:textId="72553A08" w:rsidR="0016569D" w:rsidRPr="00BC177A" w:rsidRDefault="00BC177A">
      <w:pPr>
        <w:rPr>
          <w:rFonts w:ascii="Arial" w:eastAsia="Arial" w:hAnsi="Arial" w:cs="Arial"/>
          <w:color w:val="000000"/>
          <w:lang w:val="pt-BR"/>
        </w:rPr>
      </w:pPr>
      <w:r w:rsidRPr="00BC177A">
        <w:rPr>
          <w:rFonts w:ascii="Arial" w:eastAsia="Arial" w:hAnsi="Arial" w:cs="Arial"/>
          <w:color w:val="000000"/>
          <w:lang w:val="pt-BR"/>
        </w:rPr>
        <w:t xml:space="preserve">De Rossi, L. S., Nakama, R. P., Dos Santos, L. F., Berto-Pereira, L., Malvezi, A. D., Lovo-Martins, M. I., Cardoso, A. P. C., Tozoni-Filho, L. C., Jussiani, E. I., &amp; de Freitas, A. M. D. (2024). </w:t>
      </w:r>
      <w:r w:rsidRPr="00BC177A">
        <w:rPr>
          <w:rFonts w:ascii="Arial" w:eastAsia="Arial" w:hAnsi="Arial" w:cs="Arial"/>
          <w:color w:val="000000"/>
        </w:rPr>
        <w:t xml:space="preserve">Metabolic syndrome promotes resistance to aspirin in mitigating bone loss in murine periodontal disease. Life Sciences. </w:t>
      </w:r>
      <w:hyperlink r:id="rId26" w:history="1">
        <w:r w:rsidRPr="00BC177A">
          <w:rPr>
            <w:rStyle w:val="Hyperlink"/>
            <w:rFonts w:ascii="Arial" w:eastAsia="Arial" w:hAnsi="Arial" w:cs="Arial"/>
            <w:lang w:val="pt-BR"/>
          </w:rPr>
          <w:t>https://doi.org/10.1016/j.lfs.2024.123224</w:t>
        </w:r>
      </w:hyperlink>
    </w:p>
    <w:p w14:paraId="490FDB7F" w14:textId="77777777" w:rsidR="00BC177A" w:rsidRPr="00BC177A" w:rsidRDefault="00BC177A">
      <w:pPr>
        <w:rPr>
          <w:rFonts w:ascii="Arial" w:eastAsia="Arial" w:hAnsi="Arial" w:cs="Arial"/>
          <w:color w:val="000000"/>
          <w:lang w:val="pt-BR"/>
        </w:rPr>
      </w:pPr>
    </w:p>
    <w:p w14:paraId="44309526" w14:textId="1538524C" w:rsidR="0016569D" w:rsidRPr="00BC177A" w:rsidRDefault="00BC177A">
      <w:pPr>
        <w:rPr>
          <w:rFonts w:ascii="Arial" w:eastAsia="Arial" w:hAnsi="Arial" w:cs="Arial"/>
          <w:color w:val="000000"/>
          <w:lang w:val="pt-BR"/>
        </w:rPr>
      </w:pPr>
      <w:r w:rsidRPr="00BC177A">
        <w:rPr>
          <w:rFonts w:ascii="Arial" w:eastAsia="Arial" w:hAnsi="Arial" w:cs="Arial"/>
          <w:color w:val="000000"/>
          <w:lang w:val="pt-BR"/>
        </w:rPr>
        <w:t xml:space="preserve">Fernandes, P. G., da Silva, A. M. H., Stocco, T. D., Magalhães, D. S. F., Vanderlei, J. M. T. M. M., de Almeida, A. L. G., Oliveira, F. A., &amp; Taba, M., Jr. </w:t>
      </w:r>
      <w:r w:rsidRPr="00BC177A">
        <w:rPr>
          <w:rFonts w:ascii="Arial" w:eastAsia="Arial" w:hAnsi="Arial" w:cs="Arial"/>
          <w:color w:val="000000"/>
          <w:lang w:val="en-IN"/>
        </w:rPr>
        <w:t xml:space="preserve">(2024). Comparative assessment of alveolar bone loss in experimental periodontitis: a 2D and 3D microtomographic study in a rat model. </w:t>
      </w:r>
      <w:proofErr w:type="spellStart"/>
      <w:r w:rsidRPr="00BC177A">
        <w:rPr>
          <w:rFonts w:ascii="Arial" w:eastAsia="Arial" w:hAnsi="Arial" w:cs="Arial"/>
          <w:color w:val="000000"/>
          <w:lang w:val="fr-FR"/>
        </w:rPr>
        <w:t>Periodontal</w:t>
      </w:r>
      <w:proofErr w:type="spellEnd"/>
      <w:r w:rsidRPr="00BC177A">
        <w:rPr>
          <w:rFonts w:ascii="Arial" w:eastAsia="Arial" w:hAnsi="Arial" w:cs="Arial"/>
          <w:color w:val="000000"/>
          <w:lang w:val="fr-FR"/>
        </w:rPr>
        <w:t xml:space="preserve"> and Implant </w:t>
      </w:r>
      <w:proofErr w:type="spellStart"/>
      <w:r w:rsidRPr="00BC177A">
        <w:rPr>
          <w:rFonts w:ascii="Arial" w:eastAsia="Arial" w:hAnsi="Arial" w:cs="Arial"/>
          <w:color w:val="000000"/>
          <w:lang w:val="fr-FR"/>
        </w:rPr>
        <w:t>Research</w:t>
      </w:r>
      <w:proofErr w:type="spellEnd"/>
      <w:r w:rsidRPr="00BC177A">
        <w:rPr>
          <w:rFonts w:ascii="Arial" w:eastAsia="Arial" w:hAnsi="Arial" w:cs="Arial"/>
          <w:color w:val="000000"/>
          <w:lang w:val="fr-FR"/>
        </w:rPr>
        <w:t xml:space="preserve">. </w:t>
      </w:r>
      <w:hyperlink r:id="rId27" w:history="1">
        <w:r w:rsidRPr="00BC177A">
          <w:rPr>
            <w:rStyle w:val="Hyperlink"/>
            <w:rFonts w:ascii="Arial" w:eastAsia="Arial" w:hAnsi="Arial" w:cs="Arial"/>
            <w:lang w:val="pt-BR"/>
          </w:rPr>
          <w:t>https://doi.org/10.1007/s41894-024-00141-8</w:t>
        </w:r>
      </w:hyperlink>
    </w:p>
    <w:p w14:paraId="1AEA3197" w14:textId="77777777" w:rsidR="00BC177A" w:rsidRPr="00BC177A" w:rsidRDefault="00BC177A">
      <w:pPr>
        <w:rPr>
          <w:rFonts w:ascii="Arial" w:eastAsia="Arial" w:hAnsi="Arial" w:cs="Arial"/>
          <w:color w:val="000000"/>
          <w:lang w:val="pt-BR"/>
        </w:rPr>
      </w:pPr>
    </w:p>
    <w:p w14:paraId="46171730" w14:textId="583D75D2" w:rsidR="0016569D" w:rsidRPr="00BC177A" w:rsidRDefault="00BC177A">
      <w:pPr>
        <w:rPr>
          <w:rFonts w:ascii="Arial" w:eastAsia="Arial" w:hAnsi="Arial" w:cs="Arial"/>
          <w:color w:val="000000"/>
          <w:lang w:val="en-IN"/>
        </w:rPr>
      </w:pPr>
      <w:r w:rsidRPr="00BC177A">
        <w:rPr>
          <w:rFonts w:ascii="Arial" w:eastAsia="Arial" w:hAnsi="Arial" w:cs="Arial"/>
          <w:color w:val="000000"/>
          <w:lang w:val="pt-BR"/>
        </w:rPr>
        <w:t xml:space="preserve">Frazão, D. R., Matos-Souza, J. M., dos Santos, V. R. N., Nazario, R. M. F., Chemelo, V. d. S., Bittencourt, L. O., et al. </w:t>
      </w:r>
      <w:r w:rsidRPr="00BC177A">
        <w:rPr>
          <w:rFonts w:ascii="Arial" w:eastAsia="Arial" w:hAnsi="Arial" w:cs="Arial"/>
          <w:color w:val="000000"/>
          <w:lang w:val="en-IN"/>
        </w:rPr>
        <w:t xml:space="preserve">(2024). Minocycline reduces alveolar bone loss and bone damage in Wistar rats with experimental periodontitis. </w:t>
      </w:r>
      <w:proofErr w:type="spellStart"/>
      <w:r w:rsidRPr="00BC177A">
        <w:rPr>
          <w:rFonts w:ascii="Arial" w:eastAsia="Arial" w:hAnsi="Arial" w:cs="Arial"/>
          <w:color w:val="000000"/>
          <w:lang w:val="fr-FR"/>
        </w:rPr>
        <w:t>PLoS</w:t>
      </w:r>
      <w:proofErr w:type="spellEnd"/>
      <w:r w:rsidRPr="00BC177A">
        <w:rPr>
          <w:rFonts w:ascii="Arial" w:eastAsia="Arial" w:hAnsi="Arial" w:cs="Arial"/>
          <w:color w:val="000000"/>
          <w:lang w:val="fr-FR"/>
        </w:rPr>
        <w:t xml:space="preserve"> ONE. </w:t>
      </w:r>
      <w:hyperlink r:id="rId28" w:history="1">
        <w:r w:rsidRPr="00BC177A">
          <w:rPr>
            <w:rStyle w:val="Hyperlink"/>
            <w:rFonts w:ascii="Arial" w:eastAsia="Arial" w:hAnsi="Arial" w:cs="Arial"/>
            <w:lang w:val="en-IN"/>
          </w:rPr>
          <w:t>https://doi.org/10.1371/journal.pone.0309390</w:t>
        </w:r>
      </w:hyperlink>
    </w:p>
    <w:p w14:paraId="785A032E" w14:textId="77777777" w:rsidR="00BC177A" w:rsidRPr="00BC177A" w:rsidRDefault="00BC177A">
      <w:pPr>
        <w:rPr>
          <w:rFonts w:ascii="Arial" w:eastAsia="Arial" w:hAnsi="Arial" w:cs="Arial"/>
          <w:color w:val="000000"/>
          <w:lang w:val="en-IN"/>
        </w:rPr>
      </w:pPr>
    </w:p>
    <w:p w14:paraId="2A1A4C93" w14:textId="53E90474" w:rsidR="0016569D" w:rsidRPr="00BC177A" w:rsidRDefault="00BC177A">
      <w:pPr>
        <w:rPr>
          <w:rFonts w:ascii="Arial" w:eastAsia="Arial" w:hAnsi="Arial" w:cs="Arial"/>
          <w:color w:val="000000"/>
          <w:lang w:val="pt-BR"/>
        </w:rPr>
      </w:pPr>
      <w:r w:rsidRPr="00BC177A">
        <w:rPr>
          <w:rFonts w:ascii="Arial" w:eastAsia="Arial" w:hAnsi="Arial" w:cs="Arial"/>
          <w:color w:val="000000"/>
          <w:lang w:val="en-IN"/>
        </w:rPr>
        <w:t>Ghavami-</w:t>
      </w:r>
      <w:proofErr w:type="spellStart"/>
      <w:r w:rsidRPr="00BC177A">
        <w:rPr>
          <w:rFonts w:ascii="Arial" w:eastAsia="Arial" w:hAnsi="Arial" w:cs="Arial"/>
          <w:color w:val="000000"/>
          <w:lang w:val="en-IN"/>
        </w:rPr>
        <w:t>Lahiji</w:t>
      </w:r>
      <w:proofErr w:type="spellEnd"/>
      <w:r w:rsidRPr="00BC177A">
        <w:rPr>
          <w:rFonts w:ascii="Arial" w:eastAsia="Arial" w:hAnsi="Arial" w:cs="Arial"/>
          <w:color w:val="000000"/>
          <w:lang w:val="en-IN"/>
        </w:rPr>
        <w:t xml:space="preserve">, M., </w:t>
      </w:r>
      <w:proofErr w:type="spellStart"/>
      <w:r w:rsidRPr="00BC177A">
        <w:rPr>
          <w:rFonts w:ascii="Arial" w:eastAsia="Arial" w:hAnsi="Arial" w:cs="Arial"/>
          <w:color w:val="000000"/>
          <w:lang w:val="en-IN"/>
        </w:rPr>
        <w:t>Davalloo</w:t>
      </w:r>
      <w:proofErr w:type="spellEnd"/>
      <w:r w:rsidRPr="00BC177A">
        <w:rPr>
          <w:rFonts w:ascii="Arial" w:eastAsia="Arial" w:hAnsi="Arial" w:cs="Arial"/>
          <w:color w:val="000000"/>
          <w:lang w:val="en-IN"/>
        </w:rPr>
        <w:t xml:space="preserve">, R. T., </w:t>
      </w:r>
      <w:proofErr w:type="spellStart"/>
      <w:r w:rsidRPr="00BC177A">
        <w:rPr>
          <w:rFonts w:ascii="Arial" w:eastAsia="Arial" w:hAnsi="Arial" w:cs="Arial"/>
          <w:color w:val="000000"/>
          <w:lang w:val="en-IN"/>
        </w:rPr>
        <w:t>Tajziehchi</w:t>
      </w:r>
      <w:proofErr w:type="spellEnd"/>
      <w:r w:rsidRPr="00BC177A">
        <w:rPr>
          <w:rFonts w:ascii="Arial" w:eastAsia="Arial" w:hAnsi="Arial" w:cs="Arial"/>
          <w:color w:val="000000"/>
          <w:lang w:val="en-IN"/>
        </w:rPr>
        <w:t xml:space="preserve">, G., &amp; Shams, P. (2021). Micro-computed tomography in preventive and restorative dental research: A review. </w:t>
      </w:r>
      <w:r w:rsidRPr="00BC177A">
        <w:rPr>
          <w:rFonts w:ascii="Arial" w:eastAsia="Arial" w:hAnsi="Arial" w:cs="Arial"/>
          <w:color w:val="000000"/>
          <w:lang w:val="fr-FR"/>
        </w:rPr>
        <w:t xml:space="preserve">Imaging Science in </w:t>
      </w:r>
      <w:proofErr w:type="spellStart"/>
      <w:r w:rsidRPr="00BC177A">
        <w:rPr>
          <w:rFonts w:ascii="Arial" w:eastAsia="Arial" w:hAnsi="Arial" w:cs="Arial"/>
          <w:color w:val="000000"/>
          <w:lang w:val="fr-FR"/>
        </w:rPr>
        <w:t>Dentistry</w:t>
      </w:r>
      <w:proofErr w:type="spellEnd"/>
      <w:r w:rsidRPr="00BC177A">
        <w:rPr>
          <w:rFonts w:ascii="Arial" w:eastAsia="Arial" w:hAnsi="Arial" w:cs="Arial"/>
          <w:color w:val="000000"/>
          <w:lang w:val="fr-FR"/>
        </w:rPr>
        <w:t xml:space="preserve">, 51(4), 341-350. </w:t>
      </w:r>
      <w:hyperlink r:id="rId29" w:history="1">
        <w:r w:rsidRPr="00BC177A">
          <w:rPr>
            <w:rStyle w:val="Hyperlink"/>
            <w:rFonts w:ascii="Arial" w:eastAsia="Arial" w:hAnsi="Arial" w:cs="Arial"/>
            <w:lang w:val="pt-BR"/>
          </w:rPr>
          <w:t>https://doi.org/10.5624/isd.20210087</w:t>
        </w:r>
      </w:hyperlink>
    </w:p>
    <w:p w14:paraId="79F766E0" w14:textId="77777777" w:rsidR="00BC177A" w:rsidRPr="00BC177A" w:rsidRDefault="00BC177A">
      <w:pPr>
        <w:rPr>
          <w:rFonts w:ascii="Arial" w:eastAsia="Arial" w:hAnsi="Arial" w:cs="Arial"/>
          <w:color w:val="000000"/>
          <w:lang w:val="pt-BR"/>
        </w:rPr>
      </w:pPr>
    </w:p>
    <w:p w14:paraId="50C706BF" w14:textId="671AE01D" w:rsidR="0016569D" w:rsidRPr="00BC177A" w:rsidRDefault="00BC177A">
      <w:pPr>
        <w:rPr>
          <w:rFonts w:ascii="Arial" w:eastAsia="Arial" w:hAnsi="Arial" w:cs="Arial"/>
          <w:color w:val="000000"/>
          <w:lang w:val="pt-BR"/>
        </w:rPr>
      </w:pPr>
      <w:r w:rsidRPr="00BC177A">
        <w:rPr>
          <w:rFonts w:ascii="Arial" w:eastAsia="Arial" w:hAnsi="Arial" w:cs="Arial"/>
          <w:color w:val="000000"/>
          <w:lang w:val="pt-BR"/>
        </w:rPr>
        <w:t xml:space="preserve">Hernández Martínez, C.J., Silva, P.F., Salvador, S.L., Messora, M., &amp; Palioto, D.B. (2023). </w:t>
      </w:r>
      <w:r w:rsidRPr="00BC177A">
        <w:rPr>
          <w:rFonts w:ascii="Arial" w:eastAsia="Arial" w:hAnsi="Arial" w:cs="Arial"/>
          <w:color w:val="000000"/>
          <w:lang w:val="en-IN"/>
        </w:rPr>
        <w:t xml:space="preserve">Chronological analysis of periodontal bone loss in experimental periodontitis in mice. </w:t>
      </w:r>
      <w:proofErr w:type="spellStart"/>
      <w:r w:rsidRPr="00BC177A">
        <w:rPr>
          <w:rFonts w:ascii="Arial" w:eastAsia="Arial" w:hAnsi="Arial" w:cs="Arial"/>
          <w:color w:val="000000"/>
          <w:lang w:val="fr-FR"/>
        </w:rPr>
        <w:t>Clinical</w:t>
      </w:r>
      <w:proofErr w:type="spellEnd"/>
      <w:r w:rsidRPr="00BC177A">
        <w:rPr>
          <w:rFonts w:ascii="Arial" w:eastAsia="Arial" w:hAnsi="Arial" w:cs="Arial"/>
          <w:color w:val="000000"/>
          <w:lang w:val="fr-FR"/>
        </w:rPr>
        <w:t xml:space="preserve"> and </w:t>
      </w:r>
      <w:proofErr w:type="spellStart"/>
      <w:r w:rsidRPr="00BC177A">
        <w:rPr>
          <w:rFonts w:ascii="Arial" w:eastAsia="Arial" w:hAnsi="Arial" w:cs="Arial"/>
          <w:color w:val="000000"/>
          <w:lang w:val="fr-FR"/>
        </w:rPr>
        <w:t>Experimental</w:t>
      </w:r>
      <w:proofErr w:type="spellEnd"/>
      <w:r w:rsidRPr="00BC177A">
        <w:rPr>
          <w:rFonts w:ascii="Arial" w:eastAsia="Arial" w:hAnsi="Arial" w:cs="Arial"/>
          <w:color w:val="000000"/>
          <w:lang w:val="fr-FR"/>
        </w:rPr>
        <w:t xml:space="preserve"> Dental </w:t>
      </w:r>
      <w:proofErr w:type="spellStart"/>
      <w:r w:rsidRPr="00BC177A">
        <w:rPr>
          <w:rFonts w:ascii="Arial" w:eastAsia="Arial" w:hAnsi="Arial" w:cs="Arial"/>
          <w:color w:val="000000"/>
          <w:lang w:val="fr-FR"/>
        </w:rPr>
        <w:t>Research</w:t>
      </w:r>
      <w:proofErr w:type="spellEnd"/>
      <w:r w:rsidRPr="00BC177A">
        <w:rPr>
          <w:rFonts w:ascii="Arial" w:eastAsia="Arial" w:hAnsi="Arial" w:cs="Arial"/>
          <w:color w:val="000000"/>
          <w:lang w:val="fr-FR"/>
        </w:rPr>
        <w:t xml:space="preserve">, 9(6), 1009-1020. </w:t>
      </w:r>
      <w:hyperlink r:id="rId30" w:history="1">
        <w:r w:rsidRPr="00BC177A">
          <w:rPr>
            <w:rStyle w:val="Hyperlink"/>
            <w:rFonts w:ascii="Arial" w:eastAsia="Arial" w:hAnsi="Arial" w:cs="Arial"/>
            <w:lang w:val="pt-BR"/>
          </w:rPr>
          <w:t>https://doi.org/10.1002/cre2.806</w:t>
        </w:r>
      </w:hyperlink>
    </w:p>
    <w:p w14:paraId="54C69244" w14:textId="77777777" w:rsidR="00BC177A" w:rsidRPr="00BC177A" w:rsidRDefault="00BC177A">
      <w:pPr>
        <w:rPr>
          <w:rFonts w:ascii="Arial" w:eastAsia="Arial" w:hAnsi="Arial" w:cs="Arial"/>
          <w:color w:val="000000"/>
          <w:lang w:val="pt-BR"/>
        </w:rPr>
      </w:pPr>
    </w:p>
    <w:p w14:paraId="78665B60" w14:textId="740944E2" w:rsidR="0016569D" w:rsidRPr="00BC177A" w:rsidRDefault="00BC177A">
      <w:pPr>
        <w:rPr>
          <w:rFonts w:ascii="Arial" w:eastAsia="Arial" w:hAnsi="Arial" w:cs="Arial"/>
          <w:color w:val="000000"/>
          <w:lang w:val="en-IN"/>
        </w:rPr>
      </w:pPr>
      <w:r w:rsidRPr="00BC177A">
        <w:rPr>
          <w:rFonts w:ascii="Arial" w:eastAsia="Arial" w:hAnsi="Arial" w:cs="Arial"/>
          <w:color w:val="000000"/>
          <w:lang w:val="pt-BR"/>
        </w:rPr>
        <w:t xml:space="preserve">Khoury, R.D., Prado, R.F., Matos, F.S., Meireles, B.R., Cardoso, F.G.R., Oliveira, L.D., Carvalho, C.A.T., &amp; Valera, M.C. (2024). </w:t>
      </w:r>
      <w:r w:rsidRPr="00BC177A">
        <w:rPr>
          <w:rFonts w:ascii="Arial" w:eastAsia="Arial" w:hAnsi="Arial" w:cs="Arial"/>
          <w:color w:val="000000"/>
          <w:lang w:val="en-IN"/>
        </w:rPr>
        <w:t xml:space="preserve">Systemic administration of propranolol reduces bone resorption and inflammation in apical periodontitis of chronically stressed rats. </w:t>
      </w:r>
      <w:r w:rsidRPr="00BC177A">
        <w:rPr>
          <w:rFonts w:ascii="Arial" w:eastAsia="Arial" w:hAnsi="Arial" w:cs="Arial"/>
          <w:color w:val="000000"/>
          <w:lang w:val="fr-FR"/>
        </w:rPr>
        <w:t xml:space="preserve">International </w:t>
      </w:r>
      <w:proofErr w:type="spellStart"/>
      <w:r w:rsidRPr="00BC177A">
        <w:rPr>
          <w:rFonts w:ascii="Arial" w:eastAsia="Arial" w:hAnsi="Arial" w:cs="Arial"/>
          <w:color w:val="000000"/>
          <w:lang w:val="fr-FR"/>
        </w:rPr>
        <w:t>Endodontic</w:t>
      </w:r>
      <w:proofErr w:type="spellEnd"/>
      <w:r w:rsidRPr="00BC177A">
        <w:rPr>
          <w:rFonts w:ascii="Arial" w:eastAsia="Arial" w:hAnsi="Arial" w:cs="Arial"/>
          <w:color w:val="000000"/>
          <w:lang w:val="fr-FR"/>
        </w:rPr>
        <w:t xml:space="preserve"> Journal, 57(10), 1478-1491. </w:t>
      </w:r>
      <w:hyperlink r:id="rId31" w:history="1">
        <w:r w:rsidRPr="00BC177A">
          <w:rPr>
            <w:rStyle w:val="Hyperlink"/>
            <w:rFonts w:ascii="Arial" w:eastAsia="Arial" w:hAnsi="Arial" w:cs="Arial"/>
            <w:lang w:val="en-IN"/>
          </w:rPr>
          <w:t>https://doi.org/10.1111/iej.14118</w:t>
        </w:r>
      </w:hyperlink>
    </w:p>
    <w:p w14:paraId="407C3A8B" w14:textId="77777777" w:rsidR="00BC177A" w:rsidRPr="00BC177A" w:rsidRDefault="00BC177A">
      <w:pPr>
        <w:rPr>
          <w:rFonts w:ascii="Arial" w:eastAsia="Arial" w:hAnsi="Arial" w:cs="Arial"/>
          <w:color w:val="000000"/>
          <w:lang w:val="en-IN"/>
        </w:rPr>
      </w:pPr>
    </w:p>
    <w:p w14:paraId="01BA4C9B" w14:textId="2A6A8FB6" w:rsidR="0016569D" w:rsidRPr="00BC177A" w:rsidRDefault="00BC177A">
      <w:pPr>
        <w:rPr>
          <w:rFonts w:ascii="Arial" w:eastAsia="Arial" w:hAnsi="Arial" w:cs="Arial"/>
          <w:color w:val="000000"/>
          <w:lang w:val="pt-BR"/>
        </w:rPr>
      </w:pPr>
      <w:r w:rsidRPr="00BC177A">
        <w:rPr>
          <w:rFonts w:ascii="Arial" w:eastAsia="Arial" w:hAnsi="Arial" w:cs="Arial"/>
          <w:color w:val="000000"/>
          <w:lang w:val="en-IN"/>
        </w:rPr>
        <w:t xml:space="preserve">Lee, Y., et al. (2024). Lactobacillus fermentum attenuates the alveolar bone loss in ligature-induced periodontitis in mice. </w:t>
      </w:r>
      <w:r w:rsidRPr="00BC177A">
        <w:rPr>
          <w:rFonts w:ascii="Arial" w:eastAsia="Arial" w:hAnsi="Arial" w:cs="Arial"/>
          <w:color w:val="000000"/>
          <w:lang w:val="fr-FR"/>
        </w:rPr>
        <w:t xml:space="preserve">Oral Dis., 30(5), 3328-3335. </w:t>
      </w:r>
      <w:hyperlink r:id="rId32" w:history="1">
        <w:r w:rsidRPr="00BC177A">
          <w:rPr>
            <w:rStyle w:val="Hyperlink"/>
            <w:rFonts w:ascii="Arial" w:eastAsia="Arial" w:hAnsi="Arial" w:cs="Arial"/>
            <w:lang w:val="pt-BR"/>
          </w:rPr>
          <w:t>https://doi.org/10.1111/odi.14739</w:t>
        </w:r>
      </w:hyperlink>
    </w:p>
    <w:p w14:paraId="41B86EA4" w14:textId="77777777" w:rsidR="00BC177A" w:rsidRPr="00BC177A" w:rsidRDefault="00BC177A">
      <w:pPr>
        <w:rPr>
          <w:rFonts w:ascii="Arial" w:eastAsia="Arial" w:hAnsi="Arial" w:cs="Arial"/>
          <w:color w:val="000000"/>
          <w:lang w:val="pt-BR"/>
        </w:rPr>
      </w:pPr>
    </w:p>
    <w:p w14:paraId="6482E44E" w14:textId="2F6FB9EA" w:rsidR="0016569D" w:rsidRPr="00BC177A" w:rsidRDefault="00BC177A">
      <w:pPr>
        <w:rPr>
          <w:rFonts w:ascii="Arial" w:eastAsia="Arial" w:hAnsi="Arial" w:cs="Arial"/>
          <w:color w:val="000000"/>
          <w:lang w:val="pt-BR"/>
        </w:rPr>
      </w:pPr>
      <w:r w:rsidRPr="00BC177A">
        <w:rPr>
          <w:rFonts w:ascii="Arial" w:eastAsia="Arial" w:hAnsi="Arial" w:cs="Arial"/>
          <w:color w:val="000000"/>
          <w:lang w:val="pt-BR"/>
        </w:rPr>
        <w:lastRenderedPageBreak/>
        <w:t xml:space="preserve">Macedo, P. D., Corbi, S. C. T., Oliveira, G. J. P., Rodrigues, J., Perussi, J. R., Ribas, A. O., &amp; Marcantonio, R. A. C. H. (2019). </w:t>
      </w:r>
      <w:proofErr w:type="spellStart"/>
      <w:r w:rsidRPr="00BC177A">
        <w:rPr>
          <w:rFonts w:ascii="Arial" w:eastAsia="Arial" w:hAnsi="Arial" w:cs="Arial"/>
          <w:color w:val="000000"/>
          <w:lang w:val="en-IN"/>
        </w:rPr>
        <w:t>Hypericin-glucamine</w:t>
      </w:r>
      <w:proofErr w:type="spellEnd"/>
      <w:r w:rsidRPr="00BC177A">
        <w:rPr>
          <w:rFonts w:ascii="Arial" w:eastAsia="Arial" w:hAnsi="Arial" w:cs="Arial"/>
          <w:color w:val="000000"/>
          <w:lang w:val="en-IN"/>
        </w:rPr>
        <w:t xml:space="preserve"> antimicrobial photodynamic therapy in the progression of experimentally induced periodontal disease in rats. </w:t>
      </w:r>
      <w:proofErr w:type="spellStart"/>
      <w:r w:rsidRPr="00BC177A">
        <w:rPr>
          <w:rFonts w:ascii="Arial" w:eastAsia="Arial" w:hAnsi="Arial" w:cs="Arial"/>
          <w:color w:val="000000"/>
          <w:lang w:val="fr-FR"/>
        </w:rPr>
        <w:t>Photodiagnosis</w:t>
      </w:r>
      <w:proofErr w:type="spellEnd"/>
      <w:r w:rsidRPr="00BC177A">
        <w:rPr>
          <w:rFonts w:ascii="Arial" w:eastAsia="Arial" w:hAnsi="Arial" w:cs="Arial"/>
          <w:color w:val="000000"/>
          <w:lang w:val="fr-FR"/>
        </w:rPr>
        <w:t xml:space="preserve"> and </w:t>
      </w:r>
      <w:proofErr w:type="spellStart"/>
      <w:r w:rsidRPr="00BC177A">
        <w:rPr>
          <w:rFonts w:ascii="Arial" w:eastAsia="Arial" w:hAnsi="Arial" w:cs="Arial"/>
          <w:color w:val="000000"/>
          <w:lang w:val="fr-FR"/>
        </w:rPr>
        <w:t>Photodynamic</w:t>
      </w:r>
      <w:proofErr w:type="spellEnd"/>
      <w:r w:rsidRPr="00BC177A">
        <w:rPr>
          <w:rFonts w:ascii="Arial" w:eastAsia="Arial" w:hAnsi="Arial" w:cs="Arial"/>
          <w:color w:val="000000"/>
          <w:lang w:val="fr-FR"/>
        </w:rPr>
        <w:t xml:space="preserve"> </w:t>
      </w:r>
      <w:proofErr w:type="spellStart"/>
      <w:r w:rsidRPr="00BC177A">
        <w:rPr>
          <w:rFonts w:ascii="Arial" w:eastAsia="Arial" w:hAnsi="Arial" w:cs="Arial"/>
          <w:color w:val="000000"/>
          <w:lang w:val="fr-FR"/>
        </w:rPr>
        <w:t>Therapy</w:t>
      </w:r>
      <w:proofErr w:type="spellEnd"/>
      <w:r w:rsidRPr="00BC177A">
        <w:rPr>
          <w:rFonts w:ascii="Arial" w:eastAsia="Arial" w:hAnsi="Arial" w:cs="Arial"/>
          <w:color w:val="000000"/>
          <w:lang w:val="fr-FR"/>
        </w:rPr>
        <w:t xml:space="preserve">, 25, 43-49. </w:t>
      </w:r>
      <w:hyperlink r:id="rId33" w:history="1">
        <w:r w:rsidRPr="00BC177A">
          <w:rPr>
            <w:rStyle w:val="Hyperlink"/>
            <w:rFonts w:ascii="Arial" w:eastAsia="Arial" w:hAnsi="Arial" w:cs="Arial"/>
            <w:lang w:val="pt-BR"/>
          </w:rPr>
          <w:t>https://doi.org/10.1016/j.pdpdt.2018.11.003</w:t>
        </w:r>
      </w:hyperlink>
    </w:p>
    <w:p w14:paraId="7292BE68" w14:textId="77777777" w:rsidR="00BC177A" w:rsidRPr="00BC177A" w:rsidRDefault="00BC177A">
      <w:pPr>
        <w:rPr>
          <w:rFonts w:ascii="Arial" w:eastAsia="Arial" w:hAnsi="Arial" w:cs="Arial"/>
          <w:color w:val="000000"/>
          <w:lang w:val="pt-BR"/>
        </w:rPr>
      </w:pPr>
    </w:p>
    <w:p w14:paraId="44C005E9" w14:textId="42D7023D" w:rsidR="0016569D" w:rsidRDefault="00BC177A">
      <w:pPr>
        <w:rPr>
          <w:rFonts w:ascii="Arial" w:eastAsia="Arial" w:hAnsi="Arial" w:cs="Arial"/>
          <w:color w:val="000000"/>
        </w:rPr>
      </w:pPr>
      <w:r w:rsidRPr="00BC177A">
        <w:rPr>
          <w:rFonts w:ascii="Arial" w:eastAsia="Arial" w:hAnsi="Arial" w:cs="Arial"/>
          <w:color w:val="000000"/>
          <w:lang w:val="pt-BR"/>
        </w:rPr>
        <w:t xml:space="preserve">Martínez-García, M., &amp; Hernández-Lemus, E. (2021). </w:t>
      </w:r>
      <w:r w:rsidRPr="00BC177A">
        <w:rPr>
          <w:rFonts w:ascii="Arial" w:eastAsia="Arial" w:hAnsi="Arial" w:cs="Arial"/>
          <w:color w:val="000000"/>
        </w:rPr>
        <w:t xml:space="preserve">Periodontal Inflammation and Systemic Diseases: An Overview. Frontiers in Physiology. </w:t>
      </w:r>
      <w:hyperlink r:id="rId34" w:history="1">
        <w:r w:rsidRPr="00E6405B">
          <w:rPr>
            <w:rStyle w:val="Hyperlink"/>
            <w:rFonts w:ascii="Arial" w:eastAsia="Arial" w:hAnsi="Arial" w:cs="Arial"/>
          </w:rPr>
          <w:t>https://doi.org/10.3389/fphys.2021.709438</w:t>
        </w:r>
      </w:hyperlink>
    </w:p>
    <w:p w14:paraId="56668045" w14:textId="77777777" w:rsidR="00BC177A" w:rsidRDefault="00BC177A">
      <w:pPr>
        <w:rPr>
          <w:rFonts w:ascii="Arial" w:eastAsia="Arial" w:hAnsi="Arial" w:cs="Arial"/>
          <w:color w:val="000000"/>
        </w:rPr>
      </w:pPr>
    </w:p>
    <w:p w14:paraId="0C2EC5E9" w14:textId="6DDB81A6" w:rsidR="0016569D" w:rsidRPr="00BC177A" w:rsidRDefault="00BC177A">
      <w:pPr>
        <w:rPr>
          <w:rFonts w:ascii="Arial" w:eastAsia="Arial" w:hAnsi="Arial" w:cs="Arial"/>
          <w:color w:val="000000"/>
          <w:lang w:val="pt-BR"/>
        </w:rPr>
      </w:pPr>
      <w:r w:rsidRPr="00BC177A">
        <w:rPr>
          <w:rFonts w:ascii="Arial" w:eastAsia="Arial" w:hAnsi="Arial" w:cs="Arial"/>
          <w:color w:val="000000"/>
        </w:rPr>
        <w:t xml:space="preserve">Naito, T., Hosokawa, R., &amp; Yokota, M. (1998). Three-dimensional alveolar bone morphology analysis using computed tomography. J </w:t>
      </w:r>
      <w:proofErr w:type="spellStart"/>
      <w:r w:rsidRPr="00BC177A">
        <w:rPr>
          <w:rFonts w:ascii="Arial" w:eastAsia="Arial" w:hAnsi="Arial" w:cs="Arial"/>
          <w:color w:val="000000"/>
        </w:rPr>
        <w:t>Periodontol</w:t>
      </w:r>
      <w:proofErr w:type="spellEnd"/>
      <w:r w:rsidRPr="00BC177A">
        <w:rPr>
          <w:rFonts w:ascii="Arial" w:eastAsia="Arial" w:hAnsi="Arial" w:cs="Arial"/>
          <w:color w:val="000000"/>
        </w:rPr>
        <w:t xml:space="preserve">. </w:t>
      </w:r>
      <w:hyperlink r:id="rId35" w:history="1">
        <w:r w:rsidRPr="00BC177A">
          <w:rPr>
            <w:rStyle w:val="Hyperlink"/>
            <w:rFonts w:ascii="Arial" w:eastAsia="Arial" w:hAnsi="Arial" w:cs="Arial"/>
            <w:lang w:val="pt-BR"/>
          </w:rPr>
          <w:t>https://doi.org/10.1902/jop.1998.69.5.584</w:t>
        </w:r>
      </w:hyperlink>
    </w:p>
    <w:p w14:paraId="0FC9705B" w14:textId="77777777" w:rsidR="00BC177A" w:rsidRPr="00BC177A" w:rsidRDefault="00BC177A">
      <w:pPr>
        <w:rPr>
          <w:rFonts w:ascii="Arial" w:eastAsia="Arial" w:hAnsi="Arial" w:cs="Arial"/>
          <w:color w:val="000000"/>
          <w:lang w:val="pt-BR"/>
        </w:rPr>
      </w:pPr>
    </w:p>
    <w:p w14:paraId="22C469DD" w14:textId="54788705" w:rsidR="0016569D" w:rsidRPr="00BC177A" w:rsidRDefault="00BC177A">
      <w:pPr>
        <w:rPr>
          <w:rFonts w:ascii="Arial" w:eastAsia="Arial" w:hAnsi="Arial" w:cs="Arial"/>
          <w:color w:val="000000"/>
          <w:lang w:val="en-IN"/>
        </w:rPr>
      </w:pPr>
      <w:r w:rsidRPr="00BC177A">
        <w:rPr>
          <w:rFonts w:ascii="Arial" w:eastAsia="Arial" w:hAnsi="Arial" w:cs="Arial"/>
          <w:color w:val="000000"/>
          <w:lang w:val="pt-BR"/>
        </w:rPr>
        <w:t xml:space="preserve">Santos, M. R. G., Chaves, I. d. M., Queiroz-Junior, C. M., Cramer, A. T., Anestino, T. A., Dos Santos, A. C. P. M., Leite, P. G., Macari, S., Barrioni, B. R., Pereira, M. d. M., Teixeira, M. M., de Souza, D. d. G., Madeira, M. F. M., &amp; Machado, F. S. (2023). </w:t>
      </w:r>
      <w:r w:rsidRPr="00BC177A">
        <w:rPr>
          <w:rFonts w:ascii="Arial" w:eastAsia="Arial" w:hAnsi="Arial" w:cs="Arial"/>
          <w:color w:val="000000"/>
          <w:lang w:val="en-IN"/>
        </w:rPr>
        <w:t xml:space="preserve">SOCS2 regulates alveolar bone loss in </w:t>
      </w:r>
      <w:proofErr w:type="spellStart"/>
      <w:r w:rsidRPr="00BC177A">
        <w:rPr>
          <w:rFonts w:ascii="Arial" w:eastAsia="Arial" w:hAnsi="Arial" w:cs="Arial"/>
          <w:color w:val="000000"/>
          <w:lang w:val="en-IN"/>
        </w:rPr>
        <w:t>Aggregatibacter</w:t>
      </w:r>
      <w:proofErr w:type="spellEnd"/>
      <w:r w:rsidRPr="00BC177A">
        <w:rPr>
          <w:rFonts w:ascii="Arial" w:eastAsia="Arial" w:hAnsi="Arial" w:cs="Arial"/>
          <w:color w:val="000000"/>
          <w:lang w:val="en-IN"/>
        </w:rPr>
        <w:t xml:space="preserve"> </w:t>
      </w:r>
      <w:proofErr w:type="spellStart"/>
      <w:r w:rsidRPr="00BC177A">
        <w:rPr>
          <w:rFonts w:ascii="Arial" w:eastAsia="Arial" w:hAnsi="Arial" w:cs="Arial"/>
          <w:color w:val="000000"/>
          <w:lang w:val="en-IN"/>
        </w:rPr>
        <w:t>actinomycetemcomitans</w:t>
      </w:r>
      <w:proofErr w:type="spellEnd"/>
      <w:r w:rsidRPr="00BC177A">
        <w:rPr>
          <w:rFonts w:ascii="Arial" w:eastAsia="Arial" w:hAnsi="Arial" w:cs="Arial"/>
          <w:color w:val="000000"/>
          <w:lang w:val="en-IN"/>
        </w:rPr>
        <w:t xml:space="preserve">-induced periodontal disease. </w:t>
      </w:r>
      <w:proofErr w:type="spellStart"/>
      <w:r w:rsidRPr="00BC177A">
        <w:rPr>
          <w:rFonts w:ascii="Arial" w:eastAsia="Arial" w:hAnsi="Arial" w:cs="Arial"/>
          <w:color w:val="000000"/>
          <w:lang w:val="fr-FR"/>
        </w:rPr>
        <w:t>Inflamm</w:t>
      </w:r>
      <w:proofErr w:type="spellEnd"/>
      <w:r w:rsidRPr="00BC177A">
        <w:rPr>
          <w:rFonts w:ascii="Arial" w:eastAsia="Arial" w:hAnsi="Arial" w:cs="Arial"/>
          <w:color w:val="000000"/>
          <w:lang w:val="fr-FR"/>
        </w:rPr>
        <w:t xml:space="preserve"> </w:t>
      </w:r>
      <w:proofErr w:type="spellStart"/>
      <w:r w:rsidRPr="00BC177A">
        <w:rPr>
          <w:rFonts w:ascii="Arial" w:eastAsia="Arial" w:hAnsi="Arial" w:cs="Arial"/>
          <w:color w:val="000000"/>
          <w:lang w:val="fr-FR"/>
        </w:rPr>
        <w:t>Res</w:t>
      </w:r>
      <w:proofErr w:type="spellEnd"/>
      <w:r w:rsidRPr="00BC177A">
        <w:rPr>
          <w:rFonts w:ascii="Arial" w:eastAsia="Arial" w:hAnsi="Arial" w:cs="Arial"/>
          <w:color w:val="000000"/>
          <w:lang w:val="fr-FR"/>
        </w:rPr>
        <w:t xml:space="preserve">., 72(4), 859-873. </w:t>
      </w:r>
      <w:hyperlink r:id="rId36" w:history="1">
        <w:r w:rsidRPr="00BC177A">
          <w:rPr>
            <w:rStyle w:val="Hyperlink"/>
            <w:rFonts w:ascii="Arial" w:eastAsia="Arial" w:hAnsi="Arial" w:cs="Arial"/>
            <w:lang w:val="en-IN"/>
          </w:rPr>
          <w:t>https://doi.org/10.1007/s00011-023-01711-5</w:t>
        </w:r>
      </w:hyperlink>
    </w:p>
    <w:p w14:paraId="282E9DE5" w14:textId="77777777" w:rsidR="00BC177A" w:rsidRPr="00BC177A" w:rsidRDefault="00BC177A">
      <w:pPr>
        <w:rPr>
          <w:rFonts w:ascii="Arial" w:eastAsia="Arial" w:hAnsi="Arial" w:cs="Arial"/>
          <w:color w:val="000000"/>
          <w:lang w:val="en-IN"/>
        </w:rPr>
      </w:pPr>
    </w:p>
    <w:p w14:paraId="6E95D13B" w14:textId="1D9437BA" w:rsidR="0016569D" w:rsidRPr="00BC177A" w:rsidRDefault="00BC177A">
      <w:pPr>
        <w:rPr>
          <w:rFonts w:ascii="Arial" w:eastAsia="Arial" w:hAnsi="Arial" w:cs="Arial"/>
          <w:color w:val="000000"/>
          <w:lang w:val="pt-BR"/>
        </w:rPr>
      </w:pPr>
      <w:r w:rsidRPr="00BC177A">
        <w:rPr>
          <w:rFonts w:ascii="Arial" w:eastAsia="Arial" w:hAnsi="Arial" w:cs="Arial"/>
          <w:color w:val="000000"/>
          <w:lang w:val="en-IN"/>
        </w:rPr>
        <w:t xml:space="preserve">Schulz, G., et al. (2012). Multimodal imaging of human cerebellum - merging X-ray phase microtomography, magnetic resonance microscopy and histology. </w:t>
      </w:r>
      <w:r w:rsidRPr="00BC177A">
        <w:rPr>
          <w:rFonts w:ascii="Arial" w:eastAsia="Arial" w:hAnsi="Arial" w:cs="Arial"/>
          <w:color w:val="000000"/>
          <w:lang w:val="fr-FR"/>
        </w:rPr>
        <w:t xml:space="preserve">Scientific Reports, 2(826). </w:t>
      </w:r>
      <w:hyperlink r:id="rId37" w:history="1">
        <w:r w:rsidRPr="00BC177A">
          <w:rPr>
            <w:rStyle w:val="Hyperlink"/>
            <w:rFonts w:ascii="Arial" w:eastAsia="Arial" w:hAnsi="Arial" w:cs="Arial"/>
            <w:lang w:val="pt-BR"/>
          </w:rPr>
          <w:t>https://doi.org/10.1038/srep00826</w:t>
        </w:r>
      </w:hyperlink>
    </w:p>
    <w:p w14:paraId="1187B8D9" w14:textId="77777777" w:rsidR="00BC177A" w:rsidRPr="00BC177A" w:rsidRDefault="00BC177A">
      <w:pPr>
        <w:rPr>
          <w:rFonts w:ascii="Arial" w:eastAsia="Arial" w:hAnsi="Arial" w:cs="Arial"/>
          <w:color w:val="000000"/>
          <w:lang w:val="pt-BR"/>
        </w:rPr>
      </w:pPr>
    </w:p>
    <w:p w14:paraId="0BECC9FC" w14:textId="7D1D8F29" w:rsidR="0016569D" w:rsidRDefault="00BC177A">
      <w:pPr>
        <w:rPr>
          <w:rFonts w:ascii="Arial" w:eastAsia="Arial" w:hAnsi="Arial" w:cs="Arial"/>
          <w:color w:val="000000"/>
          <w:lang w:val="en-IN"/>
        </w:rPr>
      </w:pPr>
      <w:r w:rsidRPr="00BC177A">
        <w:rPr>
          <w:rFonts w:ascii="Arial" w:eastAsia="Arial" w:hAnsi="Arial" w:cs="Arial"/>
          <w:color w:val="000000"/>
          <w:lang w:val="pt-BR"/>
        </w:rPr>
        <w:t xml:space="preserve">Silva, N., Abusleme, L., Bravo, D., Dutzan, N., Garcia-Sesnich, J., Vernal, R., Hernández, M., &amp; Gamonal, J. (2015). </w:t>
      </w:r>
      <w:r w:rsidRPr="00BC177A">
        <w:rPr>
          <w:rFonts w:ascii="Arial" w:eastAsia="Arial" w:hAnsi="Arial" w:cs="Arial"/>
          <w:color w:val="000000"/>
          <w:lang w:val="en-IN"/>
        </w:rPr>
        <w:t xml:space="preserve">Host response mechanisms in periodontal diseases. Journal of Applied Oral Science, 23(3), 329-355. </w:t>
      </w:r>
      <w:hyperlink r:id="rId38" w:history="1">
        <w:r w:rsidRPr="00E6405B">
          <w:rPr>
            <w:rStyle w:val="Hyperlink"/>
            <w:rFonts w:ascii="Arial" w:eastAsia="Arial" w:hAnsi="Arial" w:cs="Arial"/>
            <w:lang w:val="en-IN"/>
          </w:rPr>
          <w:t>https://doi.org/10.1590/1678-775720140259</w:t>
        </w:r>
      </w:hyperlink>
    </w:p>
    <w:p w14:paraId="16C7F513" w14:textId="77777777" w:rsidR="00BC177A" w:rsidRPr="00BC177A" w:rsidRDefault="00BC177A">
      <w:pPr>
        <w:rPr>
          <w:rFonts w:ascii="Arial" w:eastAsia="Arial" w:hAnsi="Arial" w:cs="Arial"/>
          <w:color w:val="000000"/>
          <w:lang w:val="en-IN"/>
        </w:rPr>
      </w:pPr>
    </w:p>
    <w:p w14:paraId="20081096" w14:textId="753A1BDE" w:rsidR="0016569D" w:rsidRPr="00BC177A" w:rsidRDefault="00BC177A">
      <w:pPr>
        <w:rPr>
          <w:rFonts w:ascii="Arial" w:eastAsia="Arial" w:hAnsi="Arial" w:cs="Arial"/>
          <w:color w:val="000000"/>
          <w:lang w:val="pt-BR"/>
        </w:rPr>
      </w:pPr>
      <w:r w:rsidRPr="00BC177A">
        <w:rPr>
          <w:rFonts w:ascii="Arial" w:eastAsia="Arial" w:hAnsi="Arial" w:cs="Arial"/>
          <w:color w:val="000000"/>
          <w:lang w:val="en-IN"/>
        </w:rPr>
        <w:t xml:space="preserve">Soares, M. A., et al. (2023). Atypical antipsychotics olanzapine and clozapine increase bone loss in female rats with experimental periodontitis. </w:t>
      </w:r>
      <w:r w:rsidRPr="00BC177A">
        <w:rPr>
          <w:rFonts w:ascii="Arial" w:eastAsia="Arial" w:hAnsi="Arial" w:cs="Arial"/>
          <w:color w:val="000000"/>
          <w:lang w:val="fr-FR"/>
        </w:rPr>
        <w:t xml:space="preserve">J </w:t>
      </w:r>
      <w:proofErr w:type="spellStart"/>
      <w:r w:rsidRPr="00BC177A">
        <w:rPr>
          <w:rFonts w:ascii="Arial" w:eastAsia="Arial" w:hAnsi="Arial" w:cs="Arial"/>
          <w:color w:val="000000"/>
          <w:lang w:val="fr-FR"/>
        </w:rPr>
        <w:t>Periodontal</w:t>
      </w:r>
      <w:proofErr w:type="spellEnd"/>
      <w:r w:rsidRPr="00BC177A">
        <w:rPr>
          <w:rFonts w:ascii="Arial" w:eastAsia="Arial" w:hAnsi="Arial" w:cs="Arial"/>
          <w:color w:val="000000"/>
          <w:lang w:val="fr-FR"/>
        </w:rPr>
        <w:t xml:space="preserve"> </w:t>
      </w:r>
      <w:proofErr w:type="spellStart"/>
      <w:r w:rsidRPr="00BC177A">
        <w:rPr>
          <w:rFonts w:ascii="Arial" w:eastAsia="Arial" w:hAnsi="Arial" w:cs="Arial"/>
          <w:color w:val="000000"/>
          <w:lang w:val="fr-FR"/>
        </w:rPr>
        <w:t>Res</w:t>
      </w:r>
      <w:proofErr w:type="spellEnd"/>
      <w:r w:rsidRPr="00BC177A">
        <w:rPr>
          <w:rFonts w:ascii="Arial" w:eastAsia="Arial" w:hAnsi="Arial" w:cs="Arial"/>
          <w:color w:val="000000"/>
          <w:lang w:val="fr-FR"/>
        </w:rPr>
        <w:t xml:space="preserve">. </w:t>
      </w:r>
      <w:hyperlink r:id="rId39" w:history="1">
        <w:r w:rsidRPr="00BC177A">
          <w:rPr>
            <w:rStyle w:val="Hyperlink"/>
            <w:rFonts w:ascii="Arial" w:eastAsia="Arial" w:hAnsi="Arial" w:cs="Arial"/>
            <w:lang w:val="pt-BR"/>
          </w:rPr>
          <w:t>https://doi.org/10.1111/jre.13090</w:t>
        </w:r>
      </w:hyperlink>
    </w:p>
    <w:p w14:paraId="3C86D3C9" w14:textId="77777777" w:rsidR="00BC177A" w:rsidRPr="00BC177A" w:rsidRDefault="00BC177A">
      <w:pPr>
        <w:rPr>
          <w:rFonts w:ascii="Arial" w:eastAsia="Arial" w:hAnsi="Arial" w:cs="Arial"/>
          <w:color w:val="000000"/>
          <w:lang w:val="pt-BR"/>
        </w:rPr>
      </w:pPr>
    </w:p>
    <w:p w14:paraId="39B205EE" w14:textId="73AF6440" w:rsidR="0016569D" w:rsidRDefault="00BC177A">
      <w:pPr>
        <w:rPr>
          <w:rFonts w:ascii="Arial" w:eastAsia="Arial" w:hAnsi="Arial" w:cs="Arial"/>
          <w:color w:val="000000"/>
          <w:lang w:val="fr-FR"/>
        </w:rPr>
      </w:pPr>
      <w:r w:rsidRPr="00BC177A">
        <w:rPr>
          <w:rFonts w:ascii="Arial" w:eastAsia="Arial" w:hAnsi="Arial" w:cs="Arial"/>
          <w:color w:val="000000"/>
          <w:lang w:val="pt-BR"/>
        </w:rPr>
        <w:t xml:space="preserve">Troian-Michel, C. H., de Oliveira, M. G., de Souza, B. D., de Souza, P. A., de Oliveira, M. G., de Souza, B. D., &amp; Scarparo, R. K. (2025). </w:t>
      </w:r>
      <w:r w:rsidRPr="00BC177A">
        <w:rPr>
          <w:rFonts w:ascii="Arial" w:eastAsia="Arial" w:hAnsi="Arial" w:cs="Arial"/>
          <w:color w:val="000000"/>
          <w:lang w:val="en-IN"/>
        </w:rPr>
        <w:t xml:space="preserve">Effects of ovariectomy-induced osteoporosis and two </w:t>
      </w:r>
      <w:proofErr w:type="spellStart"/>
      <w:r w:rsidRPr="00BC177A">
        <w:rPr>
          <w:rFonts w:ascii="Arial" w:eastAsia="Arial" w:hAnsi="Arial" w:cs="Arial"/>
          <w:color w:val="000000"/>
          <w:lang w:val="en-IN"/>
        </w:rPr>
        <w:t>photobiomodulation</w:t>
      </w:r>
      <w:proofErr w:type="spellEnd"/>
      <w:r w:rsidRPr="00BC177A">
        <w:rPr>
          <w:rFonts w:ascii="Arial" w:eastAsia="Arial" w:hAnsi="Arial" w:cs="Arial"/>
          <w:color w:val="000000"/>
          <w:lang w:val="en-IN"/>
        </w:rPr>
        <w:t xml:space="preserve"> protocols on the repair of apical periodontitis in </w:t>
      </w:r>
      <w:proofErr w:type="spellStart"/>
      <w:r w:rsidRPr="00BC177A">
        <w:rPr>
          <w:rFonts w:ascii="Arial" w:eastAsia="Arial" w:hAnsi="Arial" w:cs="Arial"/>
          <w:color w:val="000000"/>
          <w:lang w:val="en-IN"/>
        </w:rPr>
        <w:t>Wistar</w:t>
      </w:r>
      <w:proofErr w:type="spellEnd"/>
      <w:r w:rsidRPr="00BC177A">
        <w:rPr>
          <w:rFonts w:ascii="Arial" w:eastAsia="Arial" w:hAnsi="Arial" w:cs="Arial"/>
          <w:color w:val="000000"/>
          <w:lang w:val="en-IN"/>
        </w:rPr>
        <w:t xml:space="preserve"> rats: A </w:t>
      </w:r>
      <w:proofErr w:type="spellStart"/>
      <w:r w:rsidRPr="00BC177A">
        <w:rPr>
          <w:rFonts w:ascii="Arial" w:eastAsia="Arial" w:hAnsi="Arial" w:cs="Arial"/>
          <w:color w:val="000000"/>
          <w:lang w:val="en-IN"/>
        </w:rPr>
        <w:t>microCT</w:t>
      </w:r>
      <w:proofErr w:type="spellEnd"/>
      <w:r w:rsidRPr="00BC177A">
        <w:rPr>
          <w:rFonts w:ascii="Arial" w:eastAsia="Arial" w:hAnsi="Arial" w:cs="Arial"/>
          <w:color w:val="000000"/>
          <w:lang w:val="en-IN"/>
        </w:rPr>
        <w:t xml:space="preserve"> study. </w:t>
      </w:r>
      <w:r w:rsidRPr="00BC177A">
        <w:rPr>
          <w:rFonts w:ascii="Arial" w:eastAsia="Arial" w:hAnsi="Arial" w:cs="Arial"/>
          <w:color w:val="000000"/>
          <w:lang w:val="fr-FR"/>
        </w:rPr>
        <w:t xml:space="preserve">Int </w:t>
      </w:r>
      <w:proofErr w:type="spellStart"/>
      <w:r w:rsidRPr="00BC177A">
        <w:rPr>
          <w:rFonts w:ascii="Arial" w:eastAsia="Arial" w:hAnsi="Arial" w:cs="Arial"/>
          <w:color w:val="000000"/>
          <w:lang w:val="fr-FR"/>
        </w:rPr>
        <w:t>Endod</w:t>
      </w:r>
      <w:proofErr w:type="spellEnd"/>
      <w:r w:rsidRPr="00BC177A">
        <w:rPr>
          <w:rFonts w:ascii="Arial" w:eastAsia="Arial" w:hAnsi="Arial" w:cs="Arial"/>
          <w:color w:val="000000"/>
          <w:lang w:val="fr-FR"/>
        </w:rPr>
        <w:t xml:space="preserve"> J., 58(7), 1042-1059. </w:t>
      </w:r>
      <w:hyperlink r:id="rId40" w:history="1">
        <w:r w:rsidRPr="00E6405B">
          <w:rPr>
            <w:rStyle w:val="Hyperlink"/>
            <w:rFonts w:ascii="Arial" w:eastAsia="Arial" w:hAnsi="Arial" w:cs="Arial"/>
            <w:lang w:val="fr-FR"/>
          </w:rPr>
          <w:t>https://doi.org/10.1111/iej.14234</w:t>
        </w:r>
      </w:hyperlink>
    </w:p>
    <w:p w14:paraId="5E9DDDE9" w14:textId="77777777" w:rsidR="00BC177A" w:rsidRPr="00BC177A" w:rsidRDefault="00BC177A">
      <w:pPr>
        <w:rPr>
          <w:rFonts w:ascii="Arial" w:eastAsia="Arial" w:hAnsi="Arial" w:cs="Arial"/>
          <w:color w:val="000000"/>
          <w:lang w:val="fr-FR"/>
        </w:rPr>
      </w:pPr>
    </w:p>
    <w:p w14:paraId="2487FF7E" w14:textId="5B85C58C" w:rsidR="0016569D" w:rsidRPr="00BC177A" w:rsidRDefault="00BC177A">
      <w:pPr>
        <w:rPr>
          <w:rFonts w:ascii="Arial" w:eastAsia="Arial" w:hAnsi="Arial" w:cs="Arial"/>
          <w:color w:val="000000"/>
          <w:lang w:val="pt-BR"/>
        </w:rPr>
      </w:pPr>
      <w:proofErr w:type="spellStart"/>
      <w:r w:rsidRPr="00BC177A">
        <w:rPr>
          <w:rFonts w:ascii="Arial" w:eastAsia="Arial" w:hAnsi="Arial" w:cs="Arial"/>
          <w:color w:val="000000"/>
          <w:lang w:val="fr-FR"/>
        </w:rPr>
        <w:t>Vásárhelyi</w:t>
      </w:r>
      <w:proofErr w:type="spellEnd"/>
      <w:r w:rsidRPr="00BC177A">
        <w:rPr>
          <w:rFonts w:ascii="Arial" w:eastAsia="Arial" w:hAnsi="Arial" w:cs="Arial"/>
          <w:color w:val="000000"/>
          <w:lang w:val="fr-FR"/>
        </w:rPr>
        <w:t xml:space="preserve">, L., </w:t>
      </w:r>
      <w:proofErr w:type="spellStart"/>
      <w:r w:rsidRPr="00BC177A">
        <w:rPr>
          <w:rFonts w:ascii="Arial" w:eastAsia="Arial" w:hAnsi="Arial" w:cs="Arial"/>
          <w:color w:val="000000"/>
          <w:lang w:val="fr-FR"/>
        </w:rPr>
        <w:t>Kónya</w:t>
      </w:r>
      <w:proofErr w:type="spellEnd"/>
      <w:r w:rsidRPr="00BC177A">
        <w:rPr>
          <w:rFonts w:ascii="Arial" w:eastAsia="Arial" w:hAnsi="Arial" w:cs="Arial"/>
          <w:color w:val="000000"/>
          <w:lang w:val="fr-FR"/>
        </w:rPr>
        <w:t xml:space="preserve">, Z., </w:t>
      </w:r>
      <w:proofErr w:type="spellStart"/>
      <w:r w:rsidRPr="00BC177A">
        <w:rPr>
          <w:rFonts w:ascii="Arial" w:eastAsia="Arial" w:hAnsi="Arial" w:cs="Arial"/>
          <w:color w:val="000000"/>
          <w:lang w:val="fr-FR"/>
        </w:rPr>
        <w:t>Kukovecz</w:t>
      </w:r>
      <w:proofErr w:type="spellEnd"/>
      <w:r w:rsidRPr="00BC177A">
        <w:rPr>
          <w:rFonts w:ascii="Arial" w:eastAsia="Arial" w:hAnsi="Arial" w:cs="Arial"/>
          <w:color w:val="000000"/>
          <w:lang w:val="fr-FR"/>
        </w:rPr>
        <w:t xml:space="preserve">, Á., &amp; </w:t>
      </w:r>
      <w:proofErr w:type="spellStart"/>
      <w:r w:rsidRPr="00BC177A">
        <w:rPr>
          <w:rFonts w:ascii="Arial" w:eastAsia="Arial" w:hAnsi="Arial" w:cs="Arial"/>
          <w:color w:val="000000"/>
          <w:lang w:val="fr-FR"/>
        </w:rPr>
        <w:t>Vajtai</w:t>
      </w:r>
      <w:proofErr w:type="spellEnd"/>
      <w:r w:rsidRPr="00BC177A">
        <w:rPr>
          <w:rFonts w:ascii="Arial" w:eastAsia="Arial" w:hAnsi="Arial" w:cs="Arial"/>
          <w:color w:val="000000"/>
          <w:lang w:val="fr-FR"/>
        </w:rPr>
        <w:t xml:space="preserve">, R. (2020). </w:t>
      </w:r>
      <w:r w:rsidRPr="00BC177A">
        <w:rPr>
          <w:rFonts w:ascii="Arial" w:eastAsia="Arial" w:hAnsi="Arial" w:cs="Arial"/>
          <w:color w:val="000000"/>
          <w:lang w:val="en-IN"/>
        </w:rPr>
        <w:t xml:space="preserve">Microcomputed tomography–based characterization of advanced materials: a review. </w:t>
      </w:r>
      <w:proofErr w:type="spellStart"/>
      <w:r w:rsidRPr="00BC177A">
        <w:rPr>
          <w:rFonts w:ascii="Arial" w:eastAsia="Arial" w:hAnsi="Arial" w:cs="Arial"/>
          <w:color w:val="000000"/>
          <w:lang w:val="fr-FR"/>
        </w:rPr>
        <w:t>Materials</w:t>
      </w:r>
      <w:proofErr w:type="spellEnd"/>
      <w:r w:rsidRPr="00BC177A">
        <w:rPr>
          <w:rFonts w:ascii="Arial" w:eastAsia="Arial" w:hAnsi="Arial" w:cs="Arial"/>
          <w:color w:val="000000"/>
          <w:lang w:val="fr-FR"/>
        </w:rPr>
        <w:t xml:space="preserve"> </w:t>
      </w:r>
      <w:proofErr w:type="spellStart"/>
      <w:r w:rsidRPr="00BC177A">
        <w:rPr>
          <w:rFonts w:ascii="Arial" w:eastAsia="Arial" w:hAnsi="Arial" w:cs="Arial"/>
          <w:color w:val="000000"/>
          <w:lang w:val="fr-FR"/>
        </w:rPr>
        <w:t>Today</w:t>
      </w:r>
      <w:proofErr w:type="spellEnd"/>
      <w:r w:rsidRPr="00BC177A">
        <w:rPr>
          <w:rFonts w:ascii="Arial" w:eastAsia="Arial" w:hAnsi="Arial" w:cs="Arial"/>
          <w:color w:val="000000"/>
          <w:lang w:val="fr-FR"/>
        </w:rPr>
        <w:t xml:space="preserve"> </w:t>
      </w:r>
      <w:proofErr w:type="spellStart"/>
      <w:r w:rsidRPr="00BC177A">
        <w:rPr>
          <w:rFonts w:ascii="Arial" w:eastAsia="Arial" w:hAnsi="Arial" w:cs="Arial"/>
          <w:color w:val="000000"/>
          <w:lang w:val="fr-FR"/>
        </w:rPr>
        <w:t>Advances</w:t>
      </w:r>
      <w:proofErr w:type="spellEnd"/>
      <w:r w:rsidRPr="00BC177A">
        <w:rPr>
          <w:rFonts w:ascii="Arial" w:eastAsia="Arial" w:hAnsi="Arial" w:cs="Arial"/>
          <w:color w:val="000000"/>
          <w:lang w:val="fr-FR"/>
        </w:rPr>
        <w:t xml:space="preserve">. </w:t>
      </w:r>
      <w:hyperlink r:id="rId41" w:history="1">
        <w:r w:rsidRPr="00BC177A">
          <w:rPr>
            <w:rStyle w:val="Hyperlink"/>
            <w:rFonts w:ascii="Arial" w:eastAsia="Arial" w:hAnsi="Arial" w:cs="Arial"/>
            <w:lang w:val="pt-BR"/>
          </w:rPr>
          <w:t>https://doi.org/10.1016/j.mtadv.2020.100084</w:t>
        </w:r>
      </w:hyperlink>
    </w:p>
    <w:p w14:paraId="5EBD3BE3" w14:textId="77777777" w:rsidR="00BC177A" w:rsidRPr="00BC177A" w:rsidRDefault="00BC177A">
      <w:pPr>
        <w:rPr>
          <w:rFonts w:ascii="Arial" w:eastAsia="Arial" w:hAnsi="Arial" w:cs="Arial"/>
          <w:color w:val="000000"/>
          <w:lang w:val="pt-BR"/>
        </w:rPr>
      </w:pPr>
    </w:p>
    <w:p w14:paraId="7EBD29A4" w14:textId="768CE384" w:rsidR="0016569D" w:rsidRDefault="00BC177A">
      <w:pPr>
        <w:rPr>
          <w:rFonts w:ascii="Arial" w:eastAsia="Arial" w:hAnsi="Arial" w:cs="Arial"/>
          <w:color w:val="000000"/>
        </w:rPr>
      </w:pPr>
      <w:r w:rsidRPr="00BC177A">
        <w:rPr>
          <w:rFonts w:ascii="Arial" w:eastAsia="Arial" w:hAnsi="Arial" w:cs="Arial"/>
          <w:color w:val="000000"/>
          <w:lang w:val="pt-BR"/>
        </w:rPr>
        <w:t xml:space="preserve">Xi, R., Ali, M., Zhou, Y., &amp; Tizzano, M. (2024). </w:t>
      </w:r>
      <w:r w:rsidRPr="00BC177A">
        <w:rPr>
          <w:rFonts w:ascii="Arial" w:eastAsia="Arial" w:hAnsi="Arial" w:cs="Arial"/>
          <w:color w:val="000000"/>
        </w:rPr>
        <w:t xml:space="preserve">A reliable deep-learning-based method for alveolar bone quantification using a murine model of periodontitis and micro-computed tomography imaging. Journal of Dentistry. </w:t>
      </w:r>
      <w:hyperlink r:id="rId42" w:history="1">
        <w:r w:rsidRPr="00E6405B">
          <w:rPr>
            <w:rStyle w:val="Hyperlink"/>
            <w:rFonts w:ascii="Arial" w:eastAsia="Arial" w:hAnsi="Arial" w:cs="Arial"/>
          </w:rPr>
          <w:t>https://doi.org/10.1016/j.jdent.2024.105057</w:t>
        </w:r>
      </w:hyperlink>
    </w:p>
    <w:p w14:paraId="4210AB6F" w14:textId="77777777" w:rsidR="00BC177A" w:rsidRDefault="00BC177A">
      <w:pPr>
        <w:rPr>
          <w:rFonts w:ascii="Arial" w:eastAsia="Arial" w:hAnsi="Arial" w:cs="Arial"/>
          <w:color w:val="000000"/>
        </w:rPr>
      </w:pPr>
    </w:p>
    <w:p w14:paraId="4A6DB96C" w14:textId="01F06F19" w:rsidR="0016569D" w:rsidRDefault="00BC177A">
      <w:pPr>
        <w:rPr>
          <w:rFonts w:ascii="Arial" w:eastAsia="Arial" w:hAnsi="Arial" w:cs="Arial"/>
          <w:color w:val="000000"/>
        </w:rPr>
      </w:pPr>
      <w:r w:rsidRPr="00BC177A">
        <w:rPr>
          <w:rFonts w:ascii="Arial" w:eastAsia="Arial" w:hAnsi="Arial" w:cs="Arial"/>
          <w:color w:val="000000"/>
        </w:rPr>
        <w:t xml:space="preserve">Yoon, H., Jung, B. H., &amp; Kim, K. (2023). Temporal changes of periodontal tissue pathology in a periodontitis animal model. J Periodontal Implant Sci., 53(4), 248-258. </w:t>
      </w:r>
      <w:hyperlink r:id="rId43" w:history="1">
        <w:r w:rsidRPr="00E6405B">
          <w:rPr>
            <w:rStyle w:val="Hyperlink"/>
            <w:rFonts w:ascii="Arial" w:eastAsia="Arial" w:hAnsi="Arial" w:cs="Arial"/>
          </w:rPr>
          <w:t>https://doi.org/10.5051/jpis.2203420171</w:t>
        </w:r>
      </w:hyperlink>
    </w:p>
    <w:p w14:paraId="79879C25" w14:textId="77777777" w:rsidR="00BC177A" w:rsidRDefault="00BC177A">
      <w:pPr>
        <w:rPr>
          <w:rFonts w:ascii="Arial" w:eastAsia="Arial" w:hAnsi="Arial" w:cs="Arial"/>
          <w:color w:val="000000"/>
        </w:rPr>
      </w:pPr>
    </w:p>
    <w:p w14:paraId="6E6F493C" w14:textId="18356EB5" w:rsidR="0016569D" w:rsidRDefault="00C7268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Zheng, Y. &amp; Han, N. (2021). Alveolar bone loss with microarchitecture changes in aged rat. Int. J. </w:t>
      </w:r>
      <w:proofErr w:type="spellStart"/>
      <w:r>
        <w:rPr>
          <w:rFonts w:ascii="Arial" w:eastAsia="Arial" w:hAnsi="Arial" w:cs="Arial"/>
          <w:color w:val="000000"/>
        </w:rPr>
        <w:t>Morphol</w:t>
      </w:r>
      <w:proofErr w:type="spellEnd"/>
      <w:r>
        <w:rPr>
          <w:rFonts w:ascii="Arial" w:eastAsia="Arial" w:hAnsi="Arial" w:cs="Arial"/>
          <w:color w:val="000000"/>
        </w:rPr>
        <w:t>., 39(5), 1443-1446.</w:t>
      </w:r>
    </w:p>
    <w:p w14:paraId="54E4DAB0" w14:textId="77777777" w:rsidR="00500D01" w:rsidRDefault="00500D01">
      <w:pPr>
        <w:pBdr>
          <w:top w:val="nil"/>
          <w:left w:val="nil"/>
          <w:bottom w:val="nil"/>
          <w:right w:val="nil"/>
          <w:between w:val="nil"/>
        </w:pBdr>
        <w:jc w:val="both"/>
        <w:rPr>
          <w:rFonts w:ascii="Arial" w:eastAsia="Arial" w:hAnsi="Arial" w:cs="Arial"/>
          <w:color w:val="000000"/>
        </w:rPr>
      </w:pPr>
    </w:p>
    <w:p w14:paraId="479E1FC4" w14:textId="6FA7620A" w:rsidR="00500D01" w:rsidRDefault="00500D01" w:rsidP="00500D01">
      <w:pPr>
        <w:rPr>
          <w:rFonts w:ascii="Consolas" w:eastAsia="Times New Roman" w:hAnsi="Consolas" w:cs="Consolas"/>
          <w:sz w:val="24"/>
          <w:szCs w:val="24"/>
          <w:lang w:val="en-IN" w:eastAsia="en-IN"/>
        </w:rPr>
      </w:pPr>
      <w:proofErr w:type="spellStart"/>
      <w:r w:rsidRPr="00B01232">
        <w:rPr>
          <w:rFonts w:ascii="Consolas" w:eastAsia="Times New Roman" w:hAnsi="Consolas" w:cs="Consolas"/>
          <w:sz w:val="24"/>
          <w:szCs w:val="24"/>
          <w:highlight w:val="yellow"/>
          <w:lang w:val="en-IN" w:eastAsia="en-IN"/>
        </w:rPr>
        <w:t>Sağlam</w:t>
      </w:r>
      <w:proofErr w:type="spellEnd"/>
      <w:r w:rsidRPr="00B01232">
        <w:rPr>
          <w:rFonts w:ascii="Consolas" w:eastAsia="Times New Roman" w:hAnsi="Consolas" w:cs="Consolas"/>
          <w:sz w:val="24"/>
          <w:szCs w:val="24"/>
          <w:highlight w:val="yellow"/>
          <w:lang w:val="en-IN" w:eastAsia="en-IN"/>
        </w:rPr>
        <w:t xml:space="preserve"> G, </w:t>
      </w:r>
      <w:proofErr w:type="spellStart"/>
      <w:r w:rsidRPr="00B01232">
        <w:rPr>
          <w:rFonts w:ascii="Consolas" w:eastAsia="Times New Roman" w:hAnsi="Consolas" w:cs="Consolas"/>
          <w:sz w:val="24"/>
          <w:szCs w:val="24"/>
          <w:highlight w:val="yellow"/>
          <w:lang w:val="en-IN" w:eastAsia="en-IN"/>
        </w:rPr>
        <w:t>Dağ</w:t>
      </w:r>
      <w:proofErr w:type="spellEnd"/>
      <w:r w:rsidRPr="00B01232">
        <w:rPr>
          <w:rFonts w:ascii="Consolas" w:eastAsia="Times New Roman" w:hAnsi="Consolas" w:cs="Consolas"/>
          <w:sz w:val="24"/>
          <w:szCs w:val="24"/>
          <w:highlight w:val="yellow"/>
          <w:lang w:val="en-IN" w:eastAsia="en-IN"/>
        </w:rPr>
        <w:t xml:space="preserve"> A. Evaluating Factors Influencing Periodontal Bone Loss Using Cone Beam Computed Tomography: A Retrospective Study. Med </w:t>
      </w:r>
      <w:proofErr w:type="spellStart"/>
      <w:r w:rsidRPr="00B01232">
        <w:rPr>
          <w:rFonts w:ascii="Consolas" w:eastAsia="Times New Roman" w:hAnsi="Consolas" w:cs="Consolas"/>
          <w:sz w:val="24"/>
          <w:szCs w:val="24"/>
          <w:highlight w:val="yellow"/>
          <w:lang w:val="en-IN" w:eastAsia="en-IN"/>
        </w:rPr>
        <w:t>Sci</w:t>
      </w:r>
      <w:proofErr w:type="spellEnd"/>
      <w:r w:rsidRPr="00B01232">
        <w:rPr>
          <w:rFonts w:ascii="Consolas" w:eastAsia="Times New Roman" w:hAnsi="Consolas" w:cs="Consolas"/>
          <w:sz w:val="24"/>
          <w:szCs w:val="24"/>
          <w:highlight w:val="yellow"/>
          <w:lang w:val="en-IN" w:eastAsia="en-IN"/>
        </w:rPr>
        <w:t xml:space="preserve"> </w:t>
      </w:r>
      <w:proofErr w:type="spellStart"/>
      <w:r w:rsidRPr="00B01232">
        <w:rPr>
          <w:rFonts w:ascii="Consolas" w:eastAsia="Times New Roman" w:hAnsi="Consolas" w:cs="Consolas"/>
          <w:sz w:val="24"/>
          <w:szCs w:val="24"/>
          <w:highlight w:val="yellow"/>
          <w:lang w:val="en-IN" w:eastAsia="en-IN"/>
        </w:rPr>
        <w:t>Monit</w:t>
      </w:r>
      <w:proofErr w:type="spellEnd"/>
      <w:r w:rsidRPr="00B01232">
        <w:rPr>
          <w:rFonts w:ascii="Consolas" w:eastAsia="Times New Roman" w:hAnsi="Consolas" w:cs="Consolas"/>
          <w:sz w:val="24"/>
          <w:szCs w:val="24"/>
          <w:highlight w:val="yellow"/>
          <w:lang w:val="en-IN" w:eastAsia="en-IN"/>
        </w:rPr>
        <w:t>. 2025 May 2;</w:t>
      </w:r>
      <w:proofErr w:type="gramStart"/>
      <w:r w:rsidRPr="00B01232">
        <w:rPr>
          <w:rFonts w:ascii="Consolas" w:eastAsia="Times New Roman" w:hAnsi="Consolas" w:cs="Consolas"/>
          <w:sz w:val="24"/>
          <w:szCs w:val="24"/>
          <w:highlight w:val="yellow"/>
          <w:lang w:val="en-IN" w:eastAsia="en-IN"/>
        </w:rPr>
        <w:t>31:e</w:t>
      </w:r>
      <w:proofErr w:type="gramEnd"/>
      <w:r w:rsidRPr="00B01232">
        <w:rPr>
          <w:rFonts w:ascii="Consolas" w:eastAsia="Times New Roman" w:hAnsi="Consolas" w:cs="Consolas"/>
          <w:sz w:val="24"/>
          <w:szCs w:val="24"/>
          <w:highlight w:val="yellow"/>
          <w:lang w:val="en-IN" w:eastAsia="en-IN"/>
        </w:rPr>
        <w:t xml:space="preserve">947759. </w:t>
      </w:r>
      <w:proofErr w:type="spellStart"/>
      <w:r w:rsidRPr="00B01232">
        <w:rPr>
          <w:rFonts w:ascii="Consolas" w:eastAsia="Times New Roman" w:hAnsi="Consolas" w:cs="Consolas"/>
          <w:sz w:val="24"/>
          <w:szCs w:val="24"/>
          <w:highlight w:val="yellow"/>
          <w:lang w:val="en-IN" w:eastAsia="en-IN"/>
        </w:rPr>
        <w:t>doi</w:t>
      </w:r>
      <w:proofErr w:type="spellEnd"/>
      <w:r w:rsidRPr="00B01232">
        <w:rPr>
          <w:rFonts w:ascii="Consolas" w:eastAsia="Times New Roman" w:hAnsi="Consolas" w:cs="Consolas"/>
          <w:sz w:val="24"/>
          <w:szCs w:val="24"/>
          <w:highlight w:val="yellow"/>
          <w:lang w:val="en-IN" w:eastAsia="en-IN"/>
        </w:rPr>
        <w:t>: 10.12659/MSM.947759. PMID: 40312889; PMCID: PMC12054308.</w:t>
      </w:r>
    </w:p>
    <w:p w14:paraId="0368FFFD" w14:textId="6E31452E" w:rsidR="00500D01" w:rsidRDefault="00500D01" w:rsidP="00500D01">
      <w:pPr>
        <w:rPr>
          <w:rFonts w:ascii="Consolas" w:eastAsia="Times New Roman" w:hAnsi="Consolas" w:cs="Consolas"/>
          <w:sz w:val="24"/>
          <w:szCs w:val="24"/>
          <w:lang w:val="en-IN" w:eastAsia="en-IN"/>
        </w:rPr>
      </w:pPr>
    </w:p>
    <w:p w14:paraId="2C343D55" w14:textId="351E7A3F" w:rsidR="00500D01" w:rsidRDefault="00500D01" w:rsidP="00500D01">
      <w:pPr>
        <w:shd w:val="clear" w:color="auto" w:fill="FFFFFF"/>
        <w:spacing w:after="150"/>
        <w:rPr>
          <w:rFonts w:ascii="inherit" w:eastAsia="Times New Roman" w:hAnsi="inherit" w:cs="Times New Roman"/>
          <w:color w:val="222222"/>
          <w:sz w:val="18"/>
          <w:szCs w:val="18"/>
          <w:lang w:val="en-IN" w:eastAsia="en-IN"/>
        </w:rPr>
      </w:pPr>
      <w:proofErr w:type="spellStart"/>
      <w:r w:rsidRPr="00B01232">
        <w:rPr>
          <w:rFonts w:ascii="inherit" w:eastAsia="Times New Roman" w:hAnsi="inherit" w:cs="Times New Roman"/>
          <w:color w:val="222222"/>
          <w:sz w:val="18"/>
          <w:szCs w:val="18"/>
          <w:highlight w:val="yellow"/>
          <w:lang w:val="en-IN" w:eastAsia="en-IN"/>
        </w:rPr>
        <w:t>Maithri</w:t>
      </w:r>
      <w:proofErr w:type="spellEnd"/>
      <w:r w:rsidRPr="00B01232">
        <w:rPr>
          <w:rFonts w:ascii="inherit" w:eastAsia="Times New Roman" w:hAnsi="inherit" w:cs="Times New Roman"/>
          <w:color w:val="222222"/>
          <w:sz w:val="18"/>
          <w:szCs w:val="18"/>
          <w:highlight w:val="yellow"/>
          <w:lang w:val="en-IN" w:eastAsia="en-IN"/>
        </w:rPr>
        <w:t xml:space="preserve">, M., </w:t>
      </w:r>
      <w:proofErr w:type="spellStart"/>
      <w:r w:rsidRPr="00B01232">
        <w:rPr>
          <w:rFonts w:ascii="inherit" w:eastAsia="Times New Roman" w:hAnsi="inherit" w:cs="Times New Roman"/>
          <w:color w:val="222222"/>
          <w:sz w:val="18"/>
          <w:szCs w:val="18"/>
          <w:highlight w:val="yellow"/>
          <w:lang w:val="en-IN" w:eastAsia="en-IN"/>
        </w:rPr>
        <w:t>Ballal</w:t>
      </w:r>
      <w:proofErr w:type="spellEnd"/>
      <w:r w:rsidRPr="00B01232">
        <w:rPr>
          <w:rFonts w:ascii="inherit" w:eastAsia="Times New Roman" w:hAnsi="inherit" w:cs="Times New Roman"/>
          <w:color w:val="222222"/>
          <w:sz w:val="18"/>
          <w:szCs w:val="18"/>
          <w:highlight w:val="yellow"/>
          <w:lang w:val="en-IN" w:eastAsia="en-IN"/>
        </w:rPr>
        <w:t xml:space="preserve">, D. G., Kumar, S., </w:t>
      </w:r>
      <w:proofErr w:type="spellStart"/>
      <w:r w:rsidRPr="00B01232">
        <w:rPr>
          <w:rFonts w:ascii="inherit" w:eastAsia="Times New Roman" w:hAnsi="inherit" w:cs="Times New Roman"/>
          <w:color w:val="222222"/>
          <w:sz w:val="18"/>
          <w:szCs w:val="18"/>
          <w:highlight w:val="yellow"/>
          <w:lang w:val="en-IN" w:eastAsia="en-IN"/>
        </w:rPr>
        <w:t>Raghavendra</w:t>
      </w:r>
      <w:proofErr w:type="spellEnd"/>
      <w:r w:rsidRPr="00B01232">
        <w:rPr>
          <w:rFonts w:ascii="inherit" w:eastAsia="Times New Roman" w:hAnsi="inherit" w:cs="Times New Roman"/>
          <w:color w:val="222222"/>
          <w:sz w:val="18"/>
          <w:szCs w:val="18"/>
          <w:highlight w:val="yellow"/>
          <w:lang w:val="en-IN" w:eastAsia="en-IN"/>
        </w:rPr>
        <w:t xml:space="preserve">, U., </w:t>
      </w:r>
      <w:proofErr w:type="spellStart"/>
      <w:r w:rsidRPr="00B01232">
        <w:rPr>
          <w:rFonts w:ascii="inherit" w:eastAsia="Times New Roman" w:hAnsi="inherit" w:cs="Times New Roman"/>
          <w:color w:val="222222"/>
          <w:sz w:val="18"/>
          <w:szCs w:val="18"/>
          <w:highlight w:val="yellow"/>
          <w:lang w:val="en-IN" w:eastAsia="en-IN"/>
        </w:rPr>
        <w:t>Gudigar</w:t>
      </w:r>
      <w:proofErr w:type="spellEnd"/>
      <w:r w:rsidRPr="00B01232">
        <w:rPr>
          <w:rFonts w:ascii="inherit" w:eastAsia="Times New Roman" w:hAnsi="inherit" w:cs="Times New Roman"/>
          <w:color w:val="222222"/>
          <w:sz w:val="18"/>
          <w:szCs w:val="18"/>
          <w:highlight w:val="yellow"/>
          <w:lang w:val="en-IN" w:eastAsia="en-IN"/>
        </w:rPr>
        <w:t xml:space="preserve">, A., Chan, W. Y., </w:t>
      </w:r>
      <w:proofErr w:type="spellStart"/>
      <w:r w:rsidRPr="00B01232">
        <w:rPr>
          <w:rFonts w:ascii="inherit" w:eastAsia="Times New Roman" w:hAnsi="inherit" w:cs="Times New Roman"/>
          <w:color w:val="222222"/>
          <w:sz w:val="18"/>
          <w:szCs w:val="18"/>
          <w:highlight w:val="yellow"/>
          <w:lang w:val="en-IN" w:eastAsia="en-IN"/>
        </w:rPr>
        <w:t>Macherla</w:t>
      </w:r>
      <w:proofErr w:type="spellEnd"/>
      <w:r w:rsidRPr="00B01232">
        <w:rPr>
          <w:rFonts w:ascii="inherit" w:eastAsia="Times New Roman" w:hAnsi="inherit" w:cs="Times New Roman"/>
          <w:color w:val="222222"/>
          <w:sz w:val="18"/>
          <w:szCs w:val="18"/>
          <w:highlight w:val="yellow"/>
          <w:lang w:val="en-IN" w:eastAsia="en-IN"/>
        </w:rPr>
        <w:t xml:space="preserve">, S., </w:t>
      </w:r>
      <w:proofErr w:type="spellStart"/>
      <w:r w:rsidRPr="00B01232">
        <w:rPr>
          <w:rFonts w:ascii="inherit" w:eastAsia="Times New Roman" w:hAnsi="inherit" w:cs="Times New Roman"/>
          <w:color w:val="222222"/>
          <w:sz w:val="18"/>
          <w:szCs w:val="18"/>
          <w:highlight w:val="yellow"/>
          <w:lang w:val="en-IN" w:eastAsia="en-IN"/>
        </w:rPr>
        <w:t>Vineetha</w:t>
      </w:r>
      <w:proofErr w:type="spellEnd"/>
      <w:r w:rsidRPr="00B01232">
        <w:rPr>
          <w:rFonts w:ascii="inherit" w:eastAsia="Times New Roman" w:hAnsi="inherit" w:cs="Times New Roman"/>
          <w:color w:val="222222"/>
          <w:sz w:val="18"/>
          <w:szCs w:val="18"/>
          <w:highlight w:val="yellow"/>
          <w:lang w:val="en-IN" w:eastAsia="en-IN"/>
        </w:rPr>
        <w:t xml:space="preserve">, R., </w:t>
      </w:r>
      <w:proofErr w:type="spellStart"/>
      <w:r w:rsidRPr="00B01232">
        <w:rPr>
          <w:rFonts w:ascii="inherit" w:eastAsia="Times New Roman" w:hAnsi="inherit" w:cs="Times New Roman"/>
          <w:color w:val="222222"/>
          <w:sz w:val="18"/>
          <w:szCs w:val="18"/>
          <w:highlight w:val="yellow"/>
          <w:lang w:val="en-IN" w:eastAsia="en-IN"/>
        </w:rPr>
        <w:t>Gopalkrishna</w:t>
      </w:r>
      <w:proofErr w:type="spellEnd"/>
      <w:r w:rsidRPr="00B01232">
        <w:rPr>
          <w:rFonts w:ascii="inherit" w:eastAsia="Times New Roman" w:hAnsi="inherit" w:cs="Times New Roman"/>
          <w:color w:val="222222"/>
          <w:sz w:val="18"/>
          <w:szCs w:val="18"/>
          <w:highlight w:val="yellow"/>
          <w:lang w:val="en-IN" w:eastAsia="en-IN"/>
        </w:rPr>
        <w:t xml:space="preserve">, P., </w:t>
      </w:r>
      <w:proofErr w:type="spellStart"/>
      <w:r w:rsidRPr="00B01232">
        <w:rPr>
          <w:rFonts w:ascii="inherit" w:eastAsia="Times New Roman" w:hAnsi="inherit" w:cs="Times New Roman"/>
          <w:color w:val="222222"/>
          <w:sz w:val="18"/>
          <w:szCs w:val="18"/>
          <w:highlight w:val="yellow"/>
          <w:lang w:val="en-IN" w:eastAsia="en-IN"/>
        </w:rPr>
        <w:t>Ciaccio</w:t>
      </w:r>
      <w:proofErr w:type="spellEnd"/>
      <w:r w:rsidRPr="00B01232">
        <w:rPr>
          <w:rFonts w:ascii="inherit" w:eastAsia="Times New Roman" w:hAnsi="inherit" w:cs="Times New Roman"/>
          <w:color w:val="222222"/>
          <w:sz w:val="18"/>
          <w:szCs w:val="18"/>
          <w:highlight w:val="yellow"/>
          <w:lang w:val="en-IN" w:eastAsia="en-IN"/>
        </w:rPr>
        <w:t xml:space="preserve">, E. J., &amp; Acharya, U. R. (2022). Development of a Computational Tool for the </w:t>
      </w:r>
      <w:r w:rsidRPr="00B01232">
        <w:rPr>
          <w:rFonts w:ascii="inherit" w:eastAsia="Times New Roman" w:hAnsi="inherit" w:cs="Times New Roman"/>
          <w:color w:val="222222"/>
          <w:sz w:val="18"/>
          <w:szCs w:val="18"/>
          <w:highlight w:val="yellow"/>
          <w:lang w:val="en-IN" w:eastAsia="en-IN"/>
        </w:rPr>
        <w:lastRenderedPageBreak/>
        <w:t>Estimation of Alveolar Bone Loss in Oral Radiographic Images. </w:t>
      </w:r>
      <w:r w:rsidRPr="00B01232">
        <w:rPr>
          <w:rFonts w:ascii="inherit" w:eastAsia="Times New Roman" w:hAnsi="inherit" w:cs="Times New Roman"/>
          <w:i/>
          <w:iCs/>
          <w:color w:val="222222"/>
          <w:sz w:val="18"/>
          <w:szCs w:val="18"/>
          <w:highlight w:val="yellow"/>
          <w:lang w:val="en-IN" w:eastAsia="en-IN"/>
        </w:rPr>
        <w:t>Computation</w:t>
      </w:r>
      <w:r w:rsidRPr="00B01232">
        <w:rPr>
          <w:rFonts w:ascii="inherit" w:eastAsia="Times New Roman" w:hAnsi="inherit" w:cs="Times New Roman"/>
          <w:color w:val="222222"/>
          <w:sz w:val="18"/>
          <w:szCs w:val="18"/>
          <w:highlight w:val="yellow"/>
          <w:lang w:val="en-IN" w:eastAsia="en-IN"/>
        </w:rPr>
        <w:t>, </w:t>
      </w:r>
      <w:r w:rsidRPr="00B01232">
        <w:rPr>
          <w:rFonts w:ascii="inherit" w:eastAsia="Times New Roman" w:hAnsi="inherit" w:cs="Times New Roman"/>
          <w:i/>
          <w:iCs/>
          <w:color w:val="222222"/>
          <w:sz w:val="18"/>
          <w:szCs w:val="18"/>
          <w:highlight w:val="yellow"/>
          <w:lang w:val="en-IN" w:eastAsia="en-IN"/>
        </w:rPr>
        <w:t>10</w:t>
      </w:r>
      <w:r w:rsidRPr="00B01232">
        <w:rPr>
          <w:rFonts w:ascii="inherit" w:eastAsia="Times New Roman" w:hAnsi="inherit" w:cs="Times New Roman"/>
          <w:color w:val="222222"/>
          <w:sz w:val="18"/>
          <w:szCs w:val="18"/>
          <w:highlight w:val="yellow"/>
          <w:lang w:val="en-IN" w:eastAsia="en-IN"/>
        </w:rPr>
        <w:t xml:space="preserve">(1), 8. </w:t>
      </w:r>
      <w:hyperlink r:id="rId44" w:history="1">
        <w:r w:rsidRPr="00B01232">
          <w:rPr>
            <w:rStyle w:val="Hyperlink"/>
            <w:rFonts w:ascii="inherit" w:eastAsia="Times New Roman" w:hAnsi="inherit" w:cs="Times New Roman"/>
            <w:sz w:val="18"/>
            <w:szCs w:val="18"/>
            <w:highlight w:val="yellow"/>
            <w:lang w:val="en-IN" w:eastAsia="en-IN"/>
          </w:rPr>
          <w:t>https://doi.org/10.3390/computation10010008</w:t>
        </w:r>
      </w:hyperlink>
    </w:p>
    <w:p w14:paraId="7D30B439" w14:textId="77777777" w:rsidR="00500D01" w:rsidRPr="00B01232" w:rsidRDefault="00500D01" w:rsidP="00500D01">
      <w:pPr>
        <w:shd w:val="clear" w:color="auto" w:fill="FFFFFF"/>
        <w:rPr>
          <w:rFonts w:ascii="Arial" w:eastAsia="Times New Roman" w:hAnsi="Arial" w:cs="Arial"/>
          <w:color w:val="333333"/>
          <w:szCs w:val="27"/>
          <w:lang w:val="en-IN" w:eastAsia="en-IN"/>
        </w:rPr>
      </w:pPr>
      <w:r w:rsidRPr="00B01232">
        <w:rPr>
          <w:rFonts w:ascii="Arial" w:eastAsia="Times New Roman" w:hAnsi="Arial" w:cs="Arial"/>
          <w:color w:val="333333"/>
          <w:szCs w:val="27"/>
          <w:highlight w:val="yellow"/>
          <w:lang w:val="en-IN" w:eastAsia="en-IN"/>
        </w:rPr>
        <w:t xml:space="preserve">Yann </w:t>
      </w:r>
      <w:proofErr w:type="spellStart"/>
      <w:r w:rsidRPr="00B01232">
        <w:rPr>
          <w:rFonts w:ascii="Arial" w:eastAsia="Times New Roman" w:hAnsi="Arial" w:cs="Arial"/>
          <w:color w:val="333333"/>
          <w:szCs w:val="27"/>
          <w:highlight w:val="yellow"/>
          <w:lang w:val="en-IN" w:eastAsia="en-IN"/>
        </w:rPr>
        <w:t>Nobre</w:t>
      </w:r>
      <w:proofErr w:type="spellEnd"/>
      <w:r w:rsidRPr="00B01232">
        <w:rPr>
          <w:rFonts w:ascii="Arial" w:eastAsia="Times New Roman" w:hAnsi="Arial" w:cs="Arial"/>
          <w:color w:val="333333"/>
          <w:szCs w:val="27"/>
          <w:highlight w:val="yellow"/>
          <w:lang w:val="en-IN" w:eastAsia="en-IN"/>
        </w:rPr>
        <w:t xml:space="preserve"> </w:t>
      </w:r>
      <w:proofErr w:type="spellStart"/>
      <w:r w:rsidRPr="00B01232">
        <w:rPr>
          <w:rFonts w:ascii="Arial" w:eastAsia="Times New Roman" w:hAnsi="Arial" w:cs="Arial"/>
          <w:color w:val="333333"/>
          <w:szCs w:val="27"/>
          <w:highlight w:val="yellow"/>
          <w:lang w:val="en-IN" w:eastAsia="en-IN"/>
        </w:rPr>
        <w:t>Viana</w:t>
      </w:r>
      <w:proofErr w:type="spellEnd"/>
      <w:r w:rsidRPr="00B01232">
        <w:rPr>
          <w:rFonts w:ascii="Arial" w:eastAsia="Times New Roman" w:hAnsi="Arial" w:cs="Arial"/>
          <w:color w:val="333333"/>
          <w:szCs w:val="27"/>
          <w:highlight w:val="yellow"/>
          <w:lang w:val="en-IN" w:eastAsia="en-IN"/>
        </w:rPr>
        <w:t xml:space="preserve">, </w:t>
      </w:r>
      <w:proofErr w:type="spellStart"/>
      <w:r w:rsidRPr="00B01232">
        <w:rPr>
          <w:rFonts w:ascii="Arial" w:eastAsia="Times New Roman" w:hAnsi="Arial" w:cs="Arial"/>
          <w:color w:val="333333"/>
          <w:szCs w:val="27"/>
          <w:highlight w:val="yellow"/>
          <w:lang w:val="en-IN" w:eastAsia="en-IN"/>
        </w:rPr>
        <w:t>Richelly</w:t>
      </w:r>
      <w:proofErr w:type="spellEnd"/>
      <w:r w:rsidRPr="00B01232">
        <w:rPr>
          <w:rFonts w:ascii="Arial" w:eastAsia="Times New Roman" w:hAnsi="Arial" w:cs="Arial"/>
          <w:color w:val="333333"/>
          <w:szCs w:val="27"/>
          <w:highlight w:val="yellow"/>
          <w:lang w:val="en-IN" w:eastAsia="en-IN"/>
        </w:rPr>
        <w:t xml:space="preserve"> Maria Rodrigues </w:t>
      </w:r>
      <w:proofErr w:type="spellStart"/>
      <w:r w:rsidRPr="00B01232">
        <w:rPr>
          <w:rFonts w:ascii="Arial" w:eastAsia="Times New Roman" w:hAnsi="Arial" w:cs="Arial"/>
          <w:color w:val="333333"/>
          <w:szCs w:val="27"/>
          <w:highlight w:val="yellow"/>
          <w:lang w:val="en-IN" w:eastAsia="en-IN"/>
        </w:rPr>
        <w:t>Holanda</w:t>
      </w:r>
      <w:proofErr w:type="spellEnd"/>
      <w:r w:rsidRPr="00B01232">
        <w:rPr>
          <w:rFonts w:ascii="Arial" w:eastAsia="Times New Roman" w:hAnsi="Arial" w:cs="Arial"/>
          <w:color w:val="333333"/>
          <w:szCs w:val="27"/>
          <w:highlight w:val="yellow"/>
          <w:lang w:val="en-IN" w:eastAsia="en-IN"/>
        </w:rPr>
        <w:t xml:space="preserve">, </w:t>
      </w:r>
      <w:proofErr w:type="spellStart"/>
      <w:r w:rsidRPr="00B01232">
        <w:rPr>
          <w:rFonts w:ascii="Arial" w:eastAsia="Times New Roman" w:hAnsi="Arial" w:cs="Arial"/>
          <w:color w:val="333333"/>
          <w:szCs w:val="27"/>
          <w:highlight w:val="yellow"/>
          <w:lang w:val="en-IN" w:eastAsia="en-IN"/>
        </w:rPr>
        <w:t>Matéus</w:t>
      </w:r>
      <w:proofErr w:type="spellEnd"/>
      <w:r w:rsidRPr="00B01232">
        <w:rPr>
          <w:rFonts w:ascii="Arial" w:eastAsia="Times New Roman" w:hAnsi="Arial" w:cs="Arial"/>
          <w:color w:val="333333"/>
          <w:szCs w:val="27"/>
          <w:highlight w:val="yellow"/>
          <w:lang w:val="en-IN" w:eastAsia="en-IN"/>
        </w:rPr>
        <w:t xml:space="preserve"> </w:t>
      </w:r>
      <w:proofErr w:type="spellStart"/>
      <w:r w:rsidRPr="00B01232">
        <w:rPr>
          <w:rFonts w:ascii="Arial" w:eastAsia="Times New Roman" w:hAnsi="Arial" w:cs="Arial"/>
          <w:color w:val="333333"/>
          <w:szCs w:val="27"/>
          <w:highlight w:val="yellow"/>
          <w:lang w:val="en-IN" w:eastAsia="en-IN"/>
        </w:rPr>
        <w:t>Simplício</w:t>
      </w:r>
      <w:proofErr w:type="spellEnd"/>
      <w:r w:rsidRPr="00B01232">
        <w:rPr>
          <w:rFonts w:ascii="Arial" w:eastAsia="Times New Roman" w:hAnsi="Arial" w:cs="Arial"/>
          <w:color w:val="333333"/>
          <w:szCs w:val="27"/>
          <w:highlight w:val="yellow"/>
          <w:lang w:val="en-IN" w:eastAsia="en-IN"/>
        </w:rPr>
        <w:t xml:space="preserve"> </w:t>
      </w:r>
      <w:proofErr w:type="spellStart"/>
      <w:r w:rsidRPr="00B01232">
        <w:rPr>
          <w:rFonts w:ascii="Arial" w:eastAsia="Times New Roman" w:hAnsi="Arial" w:cs="Arial"/>
          <w:color w:val="333333"/>
          <w:szCs w:val="27"/>
          <w:highlight w:val="yellow"/>
          <w:lang w:val="en-IN" w:eastAsia="en-IN"/>
        </w:rPr>
        <w:t>Araújo</w:t>
      </w:r>
      <w:proofErr w:type="spellEnd"/>
      <w:r w:rsidRPr="00B01232">
        <w:rPr>
          <w:rFonts w:ascii="Arial" w:eastAsia="Times New Roman" w:hAnsi="Arial" w:cs="Arial"/>
          <w:color w:val="333333"/>
          <w:szCs w:val="27"/>
          <w:highlight w:val="yellow"/>
          <w:lang w:val="en-IN" w:eastAsia="en-IN"/>
        </w:rPr>
        <w:t>, and Francisco Cesar Barroso Barbosa. 2024. “From Oral Hygiene to Cognitive Health: Examining the Relationship Between Periodontal Disease and Alzheimer’s”. </w:t>
      </w:r>
      <w:r w:rsidRPr="00B01232">
        <w:rPr>
          <w:rFonts w:ascii="Arial" w:eastAsia="Times New Roman" w:hAnsi="Arial" w:cs="Arial"/>
          <w:i/>
          <w:iCs/>
          <w:color w:val="333333"/>
          <w:szCs w:val="27"/>
          <w:highlight w:val="yellow"/>
          <w:lang w:val="en-IN" w:eastAsia="en-IN"/>
        </w:rPr>
        <w:t>Archives of Current Research International</w:t>
      </w:r>
      <w:r w:rsidRPr="00B01232">
        <w:rPr>
          <w:rFonts w:ascii="Arial" w:eastAsia="Times New Roman" w:hAnsi="Arial" w:cs="Arial"/>
          <w:color w:val="333333"/>
          <w:szCs w:val="27"/>
          <w:highlight w:val="yellow"/>
          <w:lang w:val="en-IN" w:eastAsia="en-IN"/>
        </w:rPr>
        <w:t> 24 (5):557–582. https://doi.org/10.9734/acri/2024/v24i5732.</w:t>
      </w:r>
    </w:p>
    <w:p w14:paraId="3824FC50" w14:textId="77777777" w:rsidR="00500D01" w:rsidRPr="00500D01" w:rsidRDefault="00500D01" w:rsidP="00500D01">
      <w:pPr>
        <w:shd w:val="clear" w:color="auto" w:fill="FFFFFF"/>
        <w:spacing w:after="150"/>
        <w:rPr>
          <w:rFonts w:ascii="inherit" w:eastAsia="Times New Roman" w:hAnsi="inherit" w:cs="Times New Roman"/>
          <w:color w:val="222222"/>
          <w:sz w:val="18"/>
          <w:szCs w:val="18"/>
          <w:lang w:val="en-IN" w:eastAsia="en-IN"/>
        </w:rPr>
      </w:pPr>
    </w:p>
    <w:p w14:paraId="2DCEE1E8" w14:textId="77777777" w:rsidR="00B01232" w:rsidRPr="00B01232" w:rsidRDefault="00B01232" w:rsidP="00B01232">
      <w:pPr>
        <w:shd w:val="clear" w:color="auto" w:fill="FFFFFF"/>
        <w:rPr>
          <w:rFonts w:ascii="Arial" w:eastAsia="Times New Roman" w:hAnsi="Arial" w:cs="Arial"/>
          <w:color w:val="333333"/>
          <w:sz w:val="24"/>
          <w:szCs w:val="27"/>
          <w:lang w:val="en-IN" w:eastAsia="en-IN"/>
        </w:rPr>
      </w:pPr>
      <w:r w:rsidRPr="00B01232">
        <w:rPr>
          <w:rFonts w:ascii="Arial" w:eastAsia="Times New Roman" w:hAnsi="Arial" w:cs="Arial"/>
          <w:color w:val="333333"/>
          <w:sz w:val="24"/>
          <w:szCs w:val="27"/>
          <w:highlight w:val="yellow"/>
          <w:lang w:val="en-IN" w:eastAsia="en-IN"/>
        </w:rPr>
        <w:t xml:space="preserve">M. C. </w:t>
      </w:r>
      <w:proofErr w:type="spellStart"/>
      <w:r w:rsidRPr="00B01232">
        <w:rPr>
          <w:rFonts w:ascii="Arial" w:eastAsia="Times New Roman" w:hAnsi="Arial" w:cs="Arial"/>
          <w:color w:val="333333"/>
          <w:sz w:val="24"/>
          <w:szCs w:val="27"/>
          <w:highlight w:val="yellow"/>
          <w:lang w:val="en-IN" w:eastAsia="en-IN"/>
        </w:rPr>
        <w:t>Ohamaeme</w:t>
      </w:r>
      <w:proofErr w:type="spellEnd"/>
      <w:r w:rsidRPr="00B01232">
        <w:rPr>
          <w:rFonts w:ascii="Arial" w:eastAsia="Times New Roman" w:hAnsi="Arial" w:cs="Arial"/>
          <w:color w:val="333333"/>
          <w:sz w:val="24"/>
          <w:szCs w:val="27"/>
          <w:highlight w:val="yellow"/>
          <w:lang w:val="en-IN" w:eastAsia="en-IN"/>
        </w:rPr>
        <w:t xml:space="preserve">, J. N. </w:t>
      </w:r>
      <w:proofErr w:type="spellStart"/>
      <w:r w:rsidRPr="00B01232">
        <w:rPr>
          <w:rFonts w:ascii="Arial" w:eastAsia="Times New Roman" w:hAnsi="Arial" w:cs="Arial"/>
          <w:color w:val="333333"/>
          <w:sz w:val="24"/>
          <w:szCs w:val="27"/>
          <w:highlight w:val="yellow"/>
          <w:lang w:val="en-IN" w:eastAsia="en-IN"/>
        </w:rPr>
        <w:t>Egwurugwu</w:t>
      </w:r>
      <w:proofErr w:type="spellEnd"/>
      <w:r w:rsidRPr="00B01232">
        <w:rPr>
          <w:rFonts w:ascii="Arial" w:eastAsia="Times New Roman" w:hAnsi="Arial" w:cs="Arial"/>
          <w:color w:val="333333"/>
          <w:sz w:val="24"/>
          <w:szCs w:val="27"/>
          <w:highlight w:val="yellow"/>
          <w:lang w:val="en-IN" w:eastAsia="en-IN"/>
        </w:rPr>
        <w:t xml:space="preserve">, I. G. </w:t>
      </w:r>
      <w:proofErr w:type="spellStart"/>
      <w:r w:rsidRPr="00B01232">
        <w:rPr>
          <w:rFonts w:ascii="Arial" w:eastAsia="Times New Roman" w:hAnsi="Arial" w:cs="Arial"/>
          <w:color w:val="333333"/>
          <w:sz w:val="24"/>
          <w:szCs w:val="27"/>
          <w:highlight w:val="yellow"/>
          <w:lang w:val="en-IN" w:eastAsia="en-IN"/>
        </w:rPr>
        <w:t>Eberendu</w:t>
      </w:r>
      <w:proofErr w:type="spellEnd"/>
      <w:r w:rsidRPr="00B01232">
        <w:rPr>
          <w:rFonts w:ascii="Arial" w:eastAsia="Times New Roman" w:hAnsi="Arial" w:cs="Arial"/>
          <w:color w:val="333333"/>
          <w:sz w:val="24"/>
          <w:szCs w:val="27"/>
          <w:highlight w:val="yellow"/>
          <w:lang w:val="en-IN" w:eastAsia="en-IN"/>
        </w:rPr>
        <w:t xml:space="preserve">, U. F. </w:t>
      </w:r>
      <w:proofErr w:type="spellStart"/>
      <w:r w:rsidRPr="00B01232">
        <w:rPr>
          <w:rFonts w:ascii="Arial" w:eastAsia="Times New Roman" w:hAnsi="Arial" w:cs="Arial"/>
          <w:color w:val="333333"/>
          <w:sz w:val="24"/>
          <w:szCs w:val="27"/>
          <w:highlight w:val="yellow"/>
          <w:lang w:val="en-IN" w:eastAsia="en-IN"/>
        </w:rPr>
        <w:t>Ogunnaya</w:t>
      </w:r>
      <w:proofErr w:type="spellEnd"/>
      <w:r w:rsidRPr="00B01232">
        <w:rPr>
          <w:rFonts w:ascii="Arial" w:eastAsia="Times New Roman" w:hAnsi="Arial" w:cs="Arial"/>
          <w:color w:val="333333"/>
          <w:sz w:val="24"/>
          <w:szCs w:val="27"/>
          <w:highlight w:val="yellow"/>
          <w:lang w:val="en-IN" w:eastAsia="en-IN"/>
        </w:rPr>
        <w:t xml:space="preserve">, C. N. </w:t>
      </w:r>
      <w:proofErr w:type="spellStart"/>
      <w:r w:rsidRPr="00B01232">
        <w:rPr>
          <w:rFonts w:ascii="Arial" w:eastAsia="Times New Roman" w:hAnsi="Arial" w:cs="Arial"/>
          <w:color w:val="333333"/>
          <w:sz w:val="24"/>
          <w:szCs w:val="27"/>
          <w:highlight w:val="yellow"/>
          <w:lang w:val="en-IN" w:eastAsia="en-IN"/>
        </w:rPr>
        <w:t>Ekweogu</w:t>
      </w:r>
      <w:proofErr w:type="spellEnd"/>
      <w:r w:rsidRPr="00B01232">
        <w:rPr>
          <w:rFonts w:ascii="Arial" w:eastAsia="Times New Roman" w:hAnsi="Arial" w:cs="Arial"/>
          <w:color w:val="333333"/>
          <w:sz w:val="24"/>
          <w:szCs w:val="27"/>
          <w:highlight w:val="yellow"/>
          <w:lang w:val="en-IN" w:eastAsia="en-IN"/>
        </w:rPr>
        <w:t xml:space="preserve">, and S. D. </w:t>
      </w:r>
      <w:proofErr w:type="spellStart"/>
      <w:r w:rsidRPr="00B01232">
        <w:rPr>
          <w:rFonts w:ascii="Arial" w:eastAsia="Times New Roman" w:hAnsi="Arial" w:cs="Arial"/>
          <w:color w:val="333333"/>
          <w:sz w:val="24"/>
          <w:szCs w:val="27"/>
          <w:highlight w:val="yellow"/>
          <w:lang w:val="en-IN" w:eastAsia="en-IN"/>
        </w:rPr>
        <w:t>Ejikunle</w:t>
      </w:r>
      <w:proofErr w:type="spellEnd"/>
      <w:r w:rsidRPr="00B01232">
        <w:rPr>
          <w:rFonts w:ascii="Arial" w:eastAsia="Times New Roman" w:hAnsi="Arial" w:cs="Arial"/>
          <w:color w:val="333333"/>
          <w:sz w:val="24"/>
          <w:szCs w:val="27"/>
          <w:highlight w:val="yellow"/>
          <w:lang w:val="en-IN" w:eastAsia="en-IN"/>
        </w:rPr>
        <w:t xml:space="preserve">. 2018. “Periodontal Diseases and Associated Risk Factors Among Residents in </w:t>
      </w:r>
      <w:proofErr w:type="spellStart"/>
      <w:r w:rsidRPr="00B01232">
        <w:rPr>
          <w:rFonts w:ascii="Arial" w:eastAsia="Times New Roman" w:hAnsi="Arial" w:cs="Arial"/>
          <w:color w:val="333333"/>
          <w:sz w:val="24"/>
          <w:szCs w:val="27"/>
          <w:highlight w:val="yellow"/>
          <w:lang w:val="en-IN" w:eastAsia="en-IN"/>
        </w:rPr>
        <w:t>Orlu</w:t>
      </w:r>
      <w:proofErr w:type="spellEnd"/>
      <w:r w:rsidRPr="00B01232">
        <w:rPr>
          <w:rFonts w:ascii="Arial" w:eastAsia="Times New Roman" w:hAnsi="Arial" w:cs="Arial"/>
          <w:color w:val="333333"/>
          <w:sz w:val="24"/>
          <w:szCs w:val="27"/>
          <w:highlight w:val="yellow"/>
          <w:lang w:val="en-IN" w:eastAsia="en-IN"/>
        </w:rPr>
        <w:t>, Nigeria”. </w:t>
      </w:r>
      <w:r w:rsidRPr="00B01232">
        <w:rPr>
          <w:rFonts w:ascii="Arial" w:eastAsia="Times New Roman" w:hAnsi="Arial" w:cs="Arial"/>
          <w:i/>
          <w:iCs/>
          <w:color w:val="333333"/>
          <w:sz w:val="24"/>
          <w:szCs w:val="27"/>
          <w:highlight w:val="yellow"/>
          <w:lang w:val="en-IN" w:eastAsia="en-IN"/>
        </w:rPr>
        <w:t>Asian Journal of Medicine and Health</w:t>
      </w:r>
      <w:r w:rsidRPr="00B01232">
        <w:rPr>
          <w:rFonts w:ascii="Arial" w:eastAsia="Times New Roman" w:hAnsi="Arial" w:cs="Arial"/>
          <w:color w:val="333333"/>
          <w:sz w:val="24"/>
          <w:szCs w:val="27"/>
          <w:highlight w:val="yellow"/>
          <w:lang w:val="en-IN" w:eastAsia="en-IN"/>
        </w:rPr>
        <w:t> 12 (4):1–8. https://doi.org/10.9734/AJMAH/2018/44538.</w:t>
      </w:r>
    </w:p>
    <w:p w14:paraId="7337DF5B" w14:textId="77777777" w:rsidR="00500D01" w:rsidRPr="00500D01" w:rsidRDefault="00500D01" w:rsidP="00500D01">
      <w:pPr>
        <w:rPr>
          <w:rFonts w:ascii="Consolas" w:eastAsia="Times New Roman" w:hAnsi="Consolas" w:cs="Consolas"/>
          <w:sz w:val="24"/>
          <w:szCs w:val="24"/>
          <w:lang w:val="en-IN" w:eastAsia="en-IN"/>
        </w:rPr>
      </w:pPr>
    </w:p>
    <w:p w14:paraId="3A88D9DE" w14:textId="77777777" w:rsidR="00500D01" w:rsidRDefault="00500D01">
      <w:pPr>
        <w:pBdr>
          <w:top w:val="nil"/>
          <w:left w:val="nil"/>
          <w:bottom w:val="nil"/>
          <w:right w:val="nil"/>
          <w:between w:val="nil"/>
        </w:pBdr>
        <w:jc w:val="both"/>
        <w:rPr>
          <w:rFonts w:ascii="Arial" w:eastAsia="Arial" w:hAnsi="Arial" w:cs="Arial"/>
          <w:smallCaps/>
          <w:color w:val="000000"/>
        </w:rPr>
      </w:pPr>
    </w:p>
    <w:sectPr w:rsidR="00500D01" w:rsidSect="004D3372">
      <w:headerReference w:type="even" r:id="rId45"/>
      <w:headerReference w:type="default" r:id="rId46"/>
      <w:footerReference w:type="default" r:id="rId47"/>
      <w:headerReference w:type="first" r:id="rId48"/>
      <w:type w:val="continuous"/>
      <w:pgSz w:w="12240" w:h="15840"/>
      <w:pgMar w:top="720" w:right="1920" w:bottom="720" w:left="21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D5BB6" w14:textId="77777777" w:rsidR="000E5FC7" w:rsidRDefault="000E5FC7">
      <w:r>
        <w:separator/>
      </w:r>
    </w:p>
  </w:endnote>
  <w:endnote w:type="continuationSeparator" w:id="0">
    <w:p w14:paraId="51D87F1E" w14:textId="77777777" w:rsidR="000E5FC7" w:rsidRDefault="000E5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Helvetica Neue">
    <w:altName w:val="SimSun"/>
    <w:charset w:val="00"/>
    <w:family w:val="auto"/>
    <w:pitch w:val="default"/>
    <w:embedRegular r:id="rId1" w:fontKey="{949CD684-C078-470C-BF23-19EC0B9F35BB}"/>
    <w:embedBold r:id="rId2" w:fontKey="{78331DAA-DF95-4A58-8D08-851214BF536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embedRegular r:id="rId3" w:fontKey="{62E946D7-55F6-4325-B48D-A28523C29A92}"/>
  </w:font>
  <w:font w:name="Calibri">
    <w:charset w:val="00"/>
    <w:family w:val="swiss"/>
    <w:pitch w:val="variable"/>
    <w:sig w:usb0="E10002FF" w:usb1="4000ACFF" w:usb2="00000009" w:usb3="00000000" w:csb0="0000019F" w:csb1="00000000"/>
    <w:embedRegular r:id="rId4" w:fontKey="{46B9ACEE-F067-402A-8F65-E7C78AD10704}"/>
  </w:font>
  <w:font w:name="Symbol">
    <w:panose1 w:val="05050102010706020507"/>
    <w:charset w:val="02"/>
    <w:family w:val="roman"/>
    <w:pitch w:val="variable"/>
    <w:sig w:usb0="00000000" w:usb1="10000000" w:usb2="00000000" w:usb3="00000000" w:csb0="80000000" w:csb1="00000000"/>
  </w:font>
  <w:font w:name="Helvetica">
    <w:panose1 w:val="020B0504020202020204"/>
    <w:charset w:val="00"/>
    <w:family w:val="swiss"/>
    <w:pitch w:val="variable"/>
    <w:sig w:usb0="E0002AFF" w:usb1="C0007843" w:usb2="00000009" w:usb3="00000000" w:csb0="000001FF" w:csb1="00000000"/>
    <w:embedRegular r:id="rId5" w:fontKey="{29639086-FCC1-4B76-A527-E7188C59A85D}"/>
  </w:font>
  <w:font w:name="Georgia">
    <w:charset w:val="00"/>
    <w:family w:val="roman"/>
    <w:pitch w:val="variable"/>
    <w:sig w:usb0="00000287" w:usb1="00000000" w:usb2="00000000" w:usb3="00000000" w:csb0="0000009F" w:csb1="00000000"/>
    <w:embedItalic r:id="rId6" w:fontKey="{DD1762D7-D86F-4E08-83E3-C337523BB4F0}"/>
  </w:font>
  <w:font w:name="Consolas">
    <w:charset w:val="00"/>
    <w:family w:val="modern"/>
    <w:pitch w:val="fixed"/>
    <w:sig w:usb0="E10002FF" w:usb1="4000FCFF" w:usb2="00000009" w:usb3="00000000" w:csb0="0000019F" w:csb1="00000000"/>
    <w:embedRegular r:id="rId7" w:fontKey="{BFAD277E-D98A-47BB-A8AC-D0AA5D872D4E}"/>
  </w:font>
  <w:font w:name="inherit">
    <w:altName w:val="Times New Roman"/>
    <w:panose1 w:val="00000000000000000000"/>
    <w:charset w:val="00"/>
    <w:family w:val="roman"/>
    <w:notTrueType/>
    <w:pitch w:val="default"/>
  </w:font>
  <w:font w:name="Arial Unicode MS">
    <w:altName w:val="Arial"/>
    <w:panose1 w:val="020B0604020202020204"/>
    <w:charset w:val="00"/>
    <w:family w:val="auto"/>
    <w:pitch w:val="default"/>
  </w:font>
  <w:font w:name="Cambria">
    <w:charset w:val="00"/>
    <w:family w:val="roman"/>
    <w:pitch w:val="variable"/>
    <w:sig w:usb0="E00002FF" w:usb1="400004FF" w:usb2="00000000" w:usb3="00000000" w:csb0="0000019F" w:csb1="00000000"/>
    <w:embedRegular r:id="rId8" w:fontKey="{FE2EBB2B-95F2-454C-94E9-0DA7297BBE9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F0526" w14:textId="77777777" w:rsidR="0016569D" w:rsidRDefault="0016569D">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2A50" w14:textId="77777777" w:rsidR="0016569D" w:rsidRDefault="0016569D">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color w:val="000000"/>
        <w:highlight w:val="yellow"/>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241ED" w14:textId="77777777" w:rsidR="0016569D" w:rsidRDefault="0016569D">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rFonts w:ascii="Arial" w:eastAsia="Arial" w:hAnsi="Arial" w:cs="Arial"/>
        <w:color w:val="000000"/>
        <w:sz w:val="16"/>
        <w:szCs w:val="16"/>
      </w:rPr>
    </w:pPr>
  </w:p>
  <w:p w14:paraId="57081C6E"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6D37810C" w14:textId="77777777" w:rsidR="0016569D" w:rsidRDefault="0016569D">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rFonts w:ascii="Arial" w:eastAsia="Arial" w:hAnsi="Arial" w:cs="Arial"/>
        <w:color w:val="000000"/>
        <w:sz w:val="16"/>
        <w:szCs w:val="16"/>
      </w:rPr>
    </w:pPr>
  </w:p>
  <w:p w14:paraId="055EA871"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6CA93" w14:textId="77777777" w:rsidR="0016569D" w:rsidRDefault="0016569D">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6B2A56" w14:textId="77777777" w:rsidR="000E5FC7" w:rsidRDefault="000E5FC7">
      <w:r>
        <w:separator/>
      </w:r>
    </w:p>
  </w:footnote>
  <w:footnote w:type="continuationSeparator" w:id="0">
    <w:p w14:paraId="06C65B06" w14:textId="77777777" w:rsidR="000E5FC7" w:rsidRDefault="000E5F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2C474" w14:textId="1C001D34" w:rsidR="0016569D" w:rsidRDefault="000E5FC7">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color w:val="000000"/>
      </w:rPr>
    </w:pPr>
    <w:r>
      <w:rPr>
        <w:noProof/>
      </w:rPr>
      <w:pict w14:anchorId="5C64A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6089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56A9F" w14:textId="57810B5A" w:rsidR="0016569D" w:rsidRDefault="000E5FC7">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color w:val="000000"/>
      </w:rPr>
    </w:pPr>
    <w:r>
      <w:rPr>
        <w:noProof/>
      </w:rPr>
      <w:pict w14:anchorId="2AF6C2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6089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D2356" w14:textId="20E1D135" w:rsidR="0016569D" w:rsidRDefault="000E5FC7">
    <w:pPr>
      <w:ind w:left="2160"/>
      <w:jc w:val="center"/>
      <w:rPr>
        <w:rFonts w:ascii="Times New Roman" w:eastAsia="Times New Roman" w:hAnsi="Times New Roman" w:cs="Times New Roman"/>
        <w:i/>
        <w:iCs/>
        <w:sz w:val="18"/>
        <w:szCs w:val="18"/>
      </w:rPr>
    </w:pPr>
    <w:r>
      <w:rPr>
        <w:noProof/>
      </w:rPr>
      <w:pict w14:anchorId="6750C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6089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59D18BC2" w14:textId="77777777" w:rsidR="0016569D" w:rsidRDefault="00C7268B">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6EB7282" w14:textId="77777777" w:rsidR="0016569D" w:rsidRDefault="00C7268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2194C7AF" w14:textId="77777777" w:rsidR="0016569D" w:rsidRDefault="00C7268B">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63BD51F9" w14:textId="77777777" w:rsidR="0016569D" w:rsidRDefault="00C7268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0FEAFA5" w14:textId="77777777" w:rsidR="0016569D" w:rsidRDefault="00C7268B">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75A5463F"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F53D" w14:textId="7946B23E" w:rsidR="003D6F70" w:rsidRDefault="000E5FC7">
    <w:pPr>
      <w:pStyle w:val="Header"/>
    </w:pPr>
    <w:r>
      <w:rPr>
        <w:noProof/>
      </w:rPr>
      <w:pict w14:anchorId="05F73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6089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53C5F" w14:textId="23E3F1B9" w:rsidR="003D6F70" w:rsidRDefault="000E5FC7">
    <w:pPr>
      <w:pStyle w:val="Header"/>
    </w:pPr>
    <w:r>
      <w:rPr>
        <w:noProof/>
      </w:rPr>
      <w:pict w14:anchorId="2B743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6089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0DD38" w14:textId="2CAE695F" w:rsidR="003D6F70" w:rsidRDefault="000E5FC7">
    <w:pPr>
      <w:pStyle w:val="Header"/>
    </w:pPr>
    <w:r>
      <w:rPr>
        <w:noProof/>
      </w:rPr>
      <w:pict w14:anchorId="72CFE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6089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BF3049"/>
    <w:multiLevelType w:val="multilevel"/>
    <w:tmpl w:val="51FA5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9D"/>
    <w:rsid w:val="000E0C42"/>
    <w:rsid w:val="000E5FC7"/>
    <w:rsid w:val="0016569D"/>
    <w:rsid w:val="001A3DC4"/>
    <w:rsid w:val="003D6F70"/>
    <w:rsid w:val="004475ED"/>
    <w:rsid w:val="004D3372"/>
    <w:rsid w:val="00500D01"/>
    <w:rsid w:val="00546576"/>
    <w:rsid w:val="008A1B7F"/>
    <w:rsid w:val="008D7B42"/>
    <w:rsid w:val="00A205BC"/>
    <w:rsid w:val="00A37BE8"/>
    <w:rsid w:val="00B01232"/>
    <w:rsid w:val="00BC177A"/>
    <w:rsid w:val="00C7268B"/>
    <w:rsid w:val="00DE75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D6F54FE"/>
  <w15:docId w15:val="{E30EEB3E-5623-49D8-A68F-D2CA8CFED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character" w:styleId="CommentReference">
    <w:name w:val="annotation reference"/>
    <w:basedOn w:val="DefaultParagraphFont"/>
    <w:uiPriority w:val="99"/>
    <w:unhideWhenUsed/>
    <w:qFormat/>
    <w:rPr>
      <w:sz w:val="16"/>
      <w:szCs w:val="16"/>
    </w:r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paragraph" w:styleId="CommentText">
    <w:name w:val="annotation text"/>
    <w:link w:val="CommentTextChar"/>
    <w:uiPriority w:val="99"/>
    <w:unhideWhenUsed/>
    <w:qFormat/>
    <w:rPr>
      <w:rFonts w:ascii="Times New Roman" w:hAnsi="Times New Roman"/>
      <w:lang w:val="nb-NO" w:eastAsia="nb-NO"/>
    </w:rPr>
  </w:style>
  <w:style w:type="paragraph" w:styleId="NormalWeb">
    <w:name w:val="Normal (Web)"/>
    <w:uiPriority w:val="99"/>
    <w:pPr>
      <w:spacing w:beforeAutospacing="1" w:afterAutospacing="1"/>
    </w:pPr>
    <w:rPr>
      <w:rFonts w:cs="Times New Roman"/>
      <w:szCs w:val="24"/>
      <w:lang w:val="en-US" w:eastAsia="zh-CN"/>
    </w:rPr>
  </w:style>
  <w:style w:type="paragraph" w:styleId="BodyText3">
    <w:name w:val="Body Text 3"/>
    <w:link w:val="BodyText3Char"/>
    <w:qFormat/>
    <w:pPr>
      <w:spacing w:after="120"/>
    </w:pPr>
    <w:rPr>
      <w:sz w:val="16"/>
      <w:szCs w:val="16"/>
    </w:rPr>
  </w:style>
  <w:style w:type="paragraph" w:styleId="Signature">
    <w:name w:val="Signature"/>
    <w:qFormat/>
    <w:pPr>
      <w:ind w:left="4320"/>
    </w:pPr>
  </w:style>
  <w:style w:type="paragraph" w:styleId="BodyText2">
    <w:name w:val="Body Text 2"/>
    <w:link w:val="BodyText2Char"/>
    <w:qFormat/>
    <w:pPr>
      <w:spacing w:after="120" w:line="480" w:lineRule="auto"/>
    </w:pPr>
  </w:style>
  <w:style w:type="paragraph" w:styleId="Header">
    <w:name w:val="header"/>
    <w:qFormat/>
    <w:pPr>
      <w:tabs>
        <w:tab w:val="center" w:pos="4320"/>
        <w:tab w:val="right" w:pos="8640"/>
      </w:tabs>
    </w:pPr>
  </w:style>
  <w:style w:type="paragraph" w:styleId="Footer">
    <w:name w:val="footer"/>
    <w:qFormat/>
    <w:pPr>
      <w:tabs>
        <w:tab w:val="center" w:pos="4320"/>
        <w:tab w:val="right" w:pos="8640"/>
      </w:tabs>
    </w:pPr>
  </w:style>
  <w:style w:type="paragraph" w:styleId="BalloonText">
    <w:name w:val="Balloon Text"/>
    <w:link w:val="BalloonTextChar"/>
    <w:qFormat/>
    <w:rPr>
      <w:rFonts w:ascii="Tahoma" w:hAnsi="Tahoma" w:cs="Tahoma"/>
      <w:sz w:val="16"/>
      <w:szCs w:val="16"/>
    </w:rPr>
  </w:style>
  <w:style w:type="table" w:styleId="TableGrid">
    <w:name w:val="Table Grid"/>
    <w:basedOn w:val="TableNormal1"/>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Normal"/>
    <w:qFormat/>
    <w:tblPr>
      <w:tblCellMar>
        <w:top w:w="100" w:type="dxa"/>
        <w:left w:w="100" w:type="dxa"/>
        <w:bottom w:w="100" w:type="dxa"/>
        <w:right w:w="100" w:type="dxa"/>
      </w:tblCellMar>
    </w:tblPr>
  </w:style>
  <w:style w:type="paragraph" w:customStyle="1" w:styleId="Author">
    <w:name w:val="Author"/>
    <w:qFormat/>
    <w:pPr>
      <w:spacing w:line="280" w:lineRule="exact"/>
      <w:jc w:val="right"/>
    </w:pPr>
    <w:rPr>
      <w:b/>
      <w:sz w:val="24"/>
    </w:rPr>
  </w:style>
  <w:style w:type="paragraph" w:customStyle="1" w:styleId="Affiliation">
    <w:name w:val="Affiliation"/>
    <w:qFormat/>
    <w:pPr>
      <w:spacing w:after="240" w:line="240" w:lineRule="exact"/>
      <w:jc w:val="right"/>
    </w:pPr>
  </w:style>
  <w:style w:type="paragraph" w:customStyle="1" w:styleId="Body">
    <w:name w:val="Body"/>
    <w:qFormat/>
    <w:pPr>
      <w:spacing w:after="240"/>
      <w:jc w:val="both"/>
    </w:pPr>
  </w:style>
  <w:style w:type="paragraph" w:customStyle="1" w:styleId="AbstHead">
    <w:name w:val="Abst Head"/>
    <w:basedOn w:val="MainHead"/>
    <w:qFormat/>
    <w:rPr>
      <w:sz w:val="22"/>
    </w:rPr>
  </w:style>
  <w:style w:type="paragraph" w:customStyle="1" w:styleId="MainHead">
    <w:name w:val="Main Head"/>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qFormat/>
    <w:pPr>
      <w:spacing w:after="960" w:line="200" w:lineRule="exact"/>
    </w:pPr>
    <w:rPr>
      <w:sz w:val="16"/>
    </w:rPr>
  </w:style>
  <w:style w:type="paragraph" w:customStyle="1" w:styleId="Reference">
    <w:name w:val="Reference"/>
    <w:basedOn w:val="Body"/>
    <w:qFormat/>
    <w:pPr>
      <w:spacing w:after="0" w:line="240" w:lineRule="exact"/>
    </w:pPr>
  </w:style>
  <w:style w:type="paragraph" w:customStyle="1" w:styleId="Head1">
    <w:name w:val="Head1"/>
    <w:basedOn w:val="MainHead"/>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Style69">
    <w:name w:val="_Style 69"/>
    <w:basedOn w:val="TableNormal1"/>
    <w:qFormat/>
    <w:tblPr>
      <w:tblCellMar>
        <w:top w:w="0" w:type="dxa"/>
        <w:left w:w="115" w:type="dxa"/>
        <w:bottom w:w="0" w:type="dxa"/>
        <w:right w:w="115" w:type="dxa"/>
      </w:tblCellMar>
    </w:tblPr>
  </w:style>
  <w:style w:type="table" w:customStyle="1" w:styleId="Style70">
    <w:name w:val="_Style 70"/>
    <w:basedOn w:val="TableNormal1"/>
    <w:qFormat/>
    <w:tblPr/>
  </w:style>
  <w:style w:type="table" w:customStyle="1" w:styleId="Style71">
    <w:name w:val="_Style 71"/>
    <w:basedOn w:val="TableNormal1"/>
    <w:qFormat/>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546576"/>
    <w:rPr>
      <w:color w:val="605E5C"/>
      <w:shd w:val="clear" w:color="auto" w:fill="E1DFDD"/>
    </w:rPr>
  </w:style>
  <w:style w:type="paragraph" w:styleId="ListParagraph">
    <w:name w:val="List Paragraph"/>
    <w:basedOn w:val="Normal"/>
    <w:uiPriority w:val="34"/>
    <w:qFormat/>
    <w:rsid w:val="00BC17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993230">
      <w:bodyDiv w:val="1"/>
      <w:marLeft w:val="0"/>
      <w:marRight w:val="0"/>
      <w:marTop w:val="0"/>
      <w:marBottom w:val="0"/>
      <w:divBdr>
        <w:top w:val="none" w:sz="0" w:space="0" w:color="auto"/>
        <w:left w:val="none" w:sz="0" w:space="0" w:color="auto"/>
        <w:bottom w:val="none" w:sz="0" w:space="0" w:color="auto"/>
        <w:right w:val="none" w:sz="0" w:space="0" w:color="auto"/>
      </w:divBdr>
      <w:divsChild>
        <w:div w:id="465128384">
          <w:marLeft w:val="0"/>
          <w:marRight w:val="0"/>
          <w:marTop w:val="0"/>
          <w:marBottom w:val="0"/>
          <w:divBdr>
            <w:top w:val="none" w:sz="0" w:space="0" w:color="auto"/>
            <w:left w:val="none" w:sz="0" w:space="0" w:color="auto"/>
            <w:bottom w:val="none" w:sz="0" w:space="0" w:color="auto"/>
            <w:right w:val="none" w:sz="0" w:space="0" w:color="auto"/>
          </w:divBdr>
          <w:divsChild>
            <w:div w:id="1690178657">
              <w:marLeft w:val="0"/>
              <w:marRight w:val="0"/>
              <w:marTop w:val="0"/>
              <w:marBottom w:val="0"/>
              <w:divBdr>
                <w:top w:val="none" w:sz="0" w:space="0" w:color="auto"/>
                <w:left w:val="none" w:sz="0" w:space="0" w:color="auto"/>
                <w:bottom w:val="none" w:sz="0" w:space="0" w:color="auto"/>
                <w:right w:val="none" w:sz="0" w:space="0" w:color="auto"/>
              </w:divBdr>
              <w:divsChild>
                <w:div w:id="566309737">
                  <w:marLeft w:val="0"/>
                  <w:marRight w:val="0"/>
                  <w:marTop w:val="0"/>
                  <w:marBottom w:val="0"/>
                  <w:divBdr>
                    <w:top w:val="none" w:sz="0" w:space="0" w:color="auto"/>
                    <w:left w:val="none" w:sz="0" w:space="0" w:color="auto"/>
                    <w:bottom w:val="none" w:sz="0" w:space="0" w:color="auto"/>
                    <w:right w:val="none" w:sz="0" w:space="0" w:color="auto"/>
                  </w:divBdr>
                  <w:divsChild>
                    <w:div w:id="112886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2543">
      <w:bodyDiv w:val="1"/>
      <w:marLeft w:val="0"/>
      <w:marRight w:val="0"/>
      <w:marTop w:val="0"/>
      <w:marBottom w:val="0"/>
      <w:divBdr>
        <w:top w:val="none" w:sz="0" w:space="0" w:color="auto"/>
        <w:left w:val="none" w:sz="0" w:space="0" w:color="auto"/>
        <w:bottom w:val="none" w:sz="0" w:space="0" w:color="auto"/>
        <w:right w:val="none" w:sz="0" w:space="0" w:color="auto"/>
      </w:divBdr>
      <w:divsChild>
        <w:div w:id="538902749">
          <w:marLeft w:val="0"/>
          <w:marRight w:val="0"/>
          <w:marTop w:val="0"/>
          <w:marBottom w:val="0"/>
          <w:divBdr>
            <w:top w:val="none" w:sz="0" w:space="0" w:color="auto"/>
            <w:left w:val="none" w:sz="0" w:space="0" w:color="auto"/>
            <w:bottom w:val="none" w:sz="0" w:space="0" w:color="auto"/>
            <w:right w:val="none" w:sz="0" w:space="0" w:color="auto"/>
          </w:divBdr>
          <w:divsChild>
            <w:div w:id="191404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1614">
      <w:bodyDiv w:val="1"/>
      <w:marLeft w:val="0"/>
      <w:marRight w:val="0"/>
      <w:marTop w:val="0"/>
      <w:marBottom w:val="0"/>
      <w:divBdr>
        <w:top w:val="none" w:sz="0" w:space="0" w:color="auto"/>
        <w:left w:val="none" w:sz="0" w:space="0" w:color="auto"/>
        <w:bottom w:val="none" w:sz="0" w:space="0" w:color="auto"/>
        <w:right w:val="none" w:sz="0" w:space="0" w:color="auto"/>
      </w:divBdr>
      <w:divsChild>
        <w:div w:id="113544306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56716095">
      <w:bodyDiv w:val="1"/>
      <w:marLeft w:val="0"/>
      <w:marRight w:val="0"/>
      <w:marTop w:val="0"/>
      <w:marBottom w:val="0"/>
      <w:divBdr>
        <w:top w:val="none" w:sz="0" w:space="0" w:color="auto"/>
        <w:left w:val="none" w:sz="0" w:space="0" w:color="auto"/>
        <w:bottom w:val="none" w:sz="0" w:space="0" w:color="auto"/>
        <w:right w:val="none" w:sz="0" w:space="0" w:color="auto"/>
      </w:divBdr>
      <w:divsChild>
        <w:div w:id="1963727262">
          <w:marLeft w:val="0"/>
          <w:marRight w:val="0"/>
          <w:marTop w:val="0"/>
          <w:marBottom w:val="0"/>
          <w:divBdr>
            <w:top w:val="none" w:sz="0" w:space="0" w:color="auto"/>
            <w:left w:val="none" w:sz="0" w:space="0" w:color="auto"/>
            <w:bottom w:val="none" w:sz="0" w:space="0" w:color="auto"/>
            <w:right w:val="none" w:sz="0" w:space="0" w:color="auto"/>
          </w:divBdr>
          <w:divsChild>
            <w:div w:id="1261452959">
              <w:marLeft w:val="0"/>
              <w:marRight w:val="0"/>
              <w:marTop w:val="0"/>
              <w:marBottom w:val="0"/>
              <w:divBdr>
                <w:top w:val="none" w:sz="0" w:space="0" w:color="auto"/>
                <w:left w:val="none" w:sz="0" w:space="0" w:color="auto"/>
                <w:bottom w:val="none" w:sz="0" w:space="0" w:color="auto"/>
                <w:right w:val="none" w:sz="0" w:space="0" w:color="auto"/>
              </w:divBdr>
              <w:divsChild>
                <w:div w:id="1317489454">
                  <w:marLeft w:val="0"/>
                  <w:marRight w:val="0"/>
                  <w:marTop w:val="0"/>
                  <w:marBottom w:val="0"/>
                  <w:divBdr>
                    <w:top w:val="none" w:sz="0" w:space="0" w:color="auto"/>
                    <w:left w:val="none" w:sz="0" w:space="0" w:color="auto"/>
                    <w:bottom w:val="none" w:sz="0" w:space="0" w:color="auto"/>
                    <w:right w:val="none" w:sz="0" w:space="0" w:color="auto"/>
                  </w:divBdr>
                  <w:divsChild>
                    <w:div w:id="10732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4334">
      <w:bodyDiv w:val="1"/>
      <w:marLeft w:val="0"/>
      <w:marRight w:val="0"/>
      <w:marTop w:val="0"/>
      <w:marBottom w:val="0"/>
      <w:divBdr>
        <w:top w:val="none" w:sz="0" w:space="0" w:color="auto"/>
        <w:left w:val="none" w:sz="0" w:space="0" w:color="auto"/>
        <w:bottom w:val="none" w:sz="0" w:space="0" w:color="auto"/>
        <w:right w:val="none" w:sz="0" w:space="0" w:color="auto"/>
      </w:divBdr>
      <w:divsChild>
        <w:div w:id="55398152">
          <w:marLeft w:val="0"/>
          <w:marRight w:val="0"/>
          <w:marTop w:val="0"/>
          <w:marBottom w:val="0"/>
          <w:divBdr>
            <w:top w:val="none" w:sz="0" w:space="0" w:color="auto"/>
            <w:left w:val="none" w:sz="0" w:space="0" w:color="auto"/>
            <w:bottom w:val="none" w:sz="0" w:space="0" w:color="auto"/>
            <w:right w:val="none" w:sz="0" w:space="0" w:color="auto"/>
          </w:divBdr>
          <w:divsChild>
            <w:div w:id="999387759">
              <w:marLeft w:val="0"/>
              <w:marRight w:val="0"/>
              <w:marTop w:val="0"/>
              <w:marBottom w:val="0"/>
              <w:divBdr>
                <w:top w:val="none" w:sz="0" w:space="0" w:color="auto"/>
                <w:left w:val="none" w:sz="0" w:space="0" w:color="auto"/>
                <w:bottom w:val="none" w:sz="0" w:space="0" w:color="auto"/>
                <w:right w:val="none" w:sz="0" w:space="0" w:color="auto"/>
              </w:divBdr>
              <w:divsChild>
                <w:div w:id="1494493809">
                  <w:marLeft w:val="0"/>
                  <w:marRight w:val="0"/>
                  <w:marTop w:val="0"/>
                  <w:marBottom w:val="0"/>
                  <w:divBdr>
                    <w:top w:val="none" w:sz="0" w:space="0" w:color="auto"/>
                    <w:left w:val="none" w:sz="0" w:space="0" w:color="auto"/>
                    <w:bottom w:val="none" w:sz="0" w:space="0" w:color="auto"/>
                    <w:right w:val="none" w:sz="0" w:space="0" w:color="auto"/>
                  </w:divBdr>
                  <w:divsChild>
                    <w:div w:id="10576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5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doi.org/10.1016/j.lfs.2024.123224" TargetMode="External"/><Relationship Id="rId39" Type="http://schemas.openxmlformats.org/officeDocument/2006/relationships/hyperlink" Target="https://doi.org/10.1111/jre.13090" TargetMode="External"/><Relationship Id="rId21" Type="http://schemas.openxmlformats.org/officeDocument/2006/relationships/hyperlink" Target="https://doi.org/10.1016/j.archoralbio.2016.10.018" TargetMode="External"/><Relationship Id="rId34" Type="http://schemas.openxmlformats.org/officeDocument/2006/relationships/hyperlink" Target="https://doi.org/10.3389/fphys.2021.709438" TargetMode="External"/><Relationship Id="rId42" Type="http://schemas.openxmlformats.org/officeDocument/2006/relationships/hyperlink" Target="https://doi.org/10.1016/j.jdent.2024.105057"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doi.org/10.5624/isd.20210087" TargetMode="External"/><Relationship Id="rId11" Type="http://schemas.openxmlformats.org/officeDocument/2006/relationships/footer" Target="footer2.xml"/><Relationship Id="rId24" Type="http://schemas.openxmlformats.org/officeDocument/2006/relationships/hyperlink" Target="https://doi.org/10.5624/isd.20210058" TargetMode="External"/><Relationship Id="rId32" Type="http://schemas.openxmlformats.org/officeDocument/2006/relationships/hyperlink" Target="https://doi.org/10.1111/odi.14739" TargetMode="External"/><Relationship Id="rId37" Type="http://schemas.openxmlformats.org/officeDocument/2006/relationships/hyperlink" Target="https://doi.org/10.1038/srep00826" TargetMode="External"/><Relationship Id="rId40" Type="http://schemas.openxmlformats.org/officeDocument/2006/relationships/hyperlink" Target="https://doi.org/10.1111/iej.14234"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02/jbmr.141" TargetMode="External"/><Relationship Id="rId28" Type="http://schemas.openxmlformats.org/officeDocument/2006/relationships/hyperlink" Target="https://doi.org/10.1371/journal.pone.0309390" TargetMode="External"/><Relationship Id="rId36" Type="http://schemas.openxmlformats.org/officeDocument/2006/relationships/hyperlink" Target="https://doi.org/10.1007/s00011-023-01711-5"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doi.org/10.1111/iej.14118" TargetMode="External"/><Relationship Id="rId44" Type="http://schemas.openxmlformats.org/officeDocument/2006/relationships/hyperlink" Target="https://doi.org/10.3390/computation10010008" TargetMode="Externa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yperlink" Target="https://doi.org/10.1016/j.actbio.2015.10.031" TargetMode="External"/><Relationship Id="rId27" Type="http://schemas.openxmlformats.org/officeDocument/2006/relationships/hyperlink" Target="https://doi.org/10.1007/s41894-024-00141-8" TargetMode="External"/><Relationship Id="rId30" Type="http://schemas.openxmlformats.org/officeDocument/2006/relationships/hyperlink" Target="https://doi.org/10.1002/cre2.806" TargetMode="External"/><Relationship Id="rId35" Type="http://schemas.openxmlformats.org/officeDocument/2006/relationships/hyperlink" Target="https://doi.org/10.1902/jop.1998.69.5.584" TargetMode="External"/><Relationship Id="rId43" Type="http://schemas.openxmlformats.org/officeDocument/2006/relationships/hyperlink" Target="https://doi.org/10.5051/jpis.2203420171" TargetMode="External"/><Relationship Id="rId48"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s://doi.org/10.1259/dmfr.20210243" TargetMode="External"/><Relationship Id="rId33" Type="http://schemas.openxmlformats.org/officeDocument/2006/relationships/hyperlink" Target="https://doi.org/10.1016/j.pdpdt.2018.11.003" TargetMode="External"/><Relationship Id="rId38" Type="http://schemas.openxmlformats.org/officeDocument/2006/relationships/hyperlink" Target="https://doi.org/10.1590/1678-775720140259" TargetMode="External"/><Relationship Id="rId46" Type="http://schemas.openxmlformats.org/officeDocument/2006/relationships/header" Target="header5.xml"/><Relationship Id="rId20" Type="http://schemas.openxmlformats.org/officeDocument/2006/relationships/image" Target="media/image5.png"/><Relationship Id="rId41" Type="http://schemas.openxmlformats.org/officeDocument/2006/relationships/hyperlink" Target="https://doi.org/10.1016/j.mtadv.2020.10008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Y/2ZeuQWmH27GoRO1cP7XlYAog==">CgMxLjAaJAoBMBIfCh0IB0IZCgVBcmltbxIQQXJpYWwgVW5pY29kZSBNUxokCgExEh8KHQgHQhkKBUFyaW1vEhBBcmlhbCBVbmljb2RlIE1TGiQKATISHwodCAdCGQoFQXJpbW8SEEFyaWFsIFVuaWNvZGUgTVMyDmgucnh1ZHNld2tldDE0Mg5oLnZxdXcxemt3ZjFuNjIOaC55ZnB2NHQ3eGF2c3QyDmgucXZvdzc0N3k2cHR2Mg5oLmlzMTZ5bjF1enYzczINaC5tb3c3cWhkN3FrYjIOaC4zb2hncnEyaG4yNzY4AHIhMWtXQWVKZm1aTGlfY1k0M0swY1oxNHdxamFlODJtQ2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5677</Words>
  <Characters>32365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user</cp:lastModifiedBy>
  <cp:revision>9</cp:revision>
  <dcterms:created xsi:type="dcterms:W3CDTF">2014-10-25T14:34:00Z</dcterms:created>
  <dcterms:modified xsi:type="dcterms:W3CDTF">2025-12-28T06:50:00Z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1046-12.2.0.23155</vt:lpwstr>
  </property>
  <property fmtid="{D5CDD505-2E9C-101B-9397-08002B2CF9AE}" pid="3" name="ICV">
    <vt:lpwstr>E2FCEAA62C314FB2BD1135E1770848FB_12</vt:lpwstr>
  </property>
</Properties>
</file>