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8D045" w14:textId="26BF729C" w:rsidR="00C07982" w:rsidRDefault="000C5BCA" w:rsidP="00360D49">
      <w:pPr>
        <w:spacing w:line="480" w:lineRule="auto"/>
        <w:ind w:left="360"/>
        <w:contextualSpacing/>
        <w:jc w:val="both"/>
        <w:rPr>
          <w:b/>
          <w:bCs/>
          <w:sz w:val="24"/>
          <w:szCs w:val="24"/>
        </w:rPr>
      </w:pPr>
      <w:r w:rsidRPr="000C5BCA">
        <w:rPr>
          <w:b/>
          <w:bCs/>
          <w:sz w:val="24"/>
          <w:szCs w:val="24"/>
        </w:rPr>
        <w:t>Lignocellulose Degradation of Cotton Stalks through Solid State Fermentation Using Fungal Isolates</w:t>
      </w:r>
    </w:p>
    <w:p w14:paraId="5A8B383F" w14:textId="31D62511" w:rsidR="00D87797" w:rsidRPr="00360D49" w:rsidRDefault="00D87797" w:rsidP="00360D49">
      <w:pPr>
        <w:spacing w:line="480" w:lineRule="auto"/>
        <w:ind w:left="360"/>
        <w:contextualSpacing/>
        <w:jc w:val="both"/>
        <w:rPr>
          <w:b/>
          <w:sz w:val="24"/>
          <w:szCs w:val="24"/>
        </w:rPr>
      </w:pPr>
      <w:r w:rsidRPr="00360D49">
        <w:rPr>
          <w:b/>
          <w:bCs/>
          <w:sz w:val="24"/>
          <w:szCs w:val="24"/>
        </w:rPr>
        <w:t>Abstract:</w:t>
      </w:r>
    </w:p>
    <w:p w14:paraId="7F3105EA" w14:textId="77777777" w:rsidR="00940976" w:rsidRDefault="00940976" w:rsidP="00990E45">
      <w:pPr>
        <w:spacing w:line="480" w:lineRule="auto"/>
        <w:ind w:left="360"/>
        <w:contextualSpacing/>
        <w:jc w:val="both"/>
        <w:rPr>
          <w:bCs/>
          <w:sz w:val="24"/>
          <w:szCs w:val="24"/>
        </w:rPr>
      </w:pPr>
      <w:r>
        <w:rPr>
          <w:b/>
          <w:sz w:val="24"/>
          <w:szCs w:val="24"/>
        </w:rPr>
        <w:t xml:space="preserve">Background and Aim: </w:t>
      </w:r>
      <w:r w:rsidR="00990E45" w:rsidRPr="00990E45">
        <w:rPr>
          <w:bCs/>
          <w:sz w:val="24"/>
          <w:szCs w:val="24"/>
        </w:rPr>
        <w:t xml:space="preserve">Lignocellulosic biomass such as cotton stalks represents an abundant agricultural residue with significant potential for conversion into value-added products; however, its utilization is limited due to high lignin content. This study aimed to isolate and identify efficient lignocellulolytic fungi capable of enhancing cotton stalk degradation through solid-state fermentation (SSF). </w:t>
      </w:r>
    </w:p>
    <w:p w14:paraId="18971C6E" w14:textId="77777777" w:rsidR="00940976" w:rsidRDefault="00940976" w:rsidP="00990E45">
      <w:pPr>
        <w:spacing w:line="480" w:lineRule="auto"/>
        <w:ind w:left="360"/>
        <w:contextualSpacing/>
        <w:jc w:val="both"/>
        <w:rPr>
          <w:bCs/>
          <w:sz w:val="24"/>
          <w:szCs w:val="24"/>
        </w:rPr>
      </w:pPr>
      <w:r>
        <w:rPr>
          <w:b/>
          <w:sz w:val="24"/>
          <w:szCs w:val="24"/>
        </w:rPr>
        <w:t>Methodology:</w:t>
      </w:r>
      <w:r>
        <w:rPr>
          <w:bCs/>
          <w:sz w:val="24"/>
          <w:szCs w:val="24"/>
        </w:rPr>
        <w:t xml:space="preserve"> </w:t>
      </w:r>
    </w:p>
    <w:p w14:paraId="76EC279B" w14:textId="42F0526E" w:rsidR="00990E45" w:rsidRPr="00990E45" w:rsidRDefault="00990E45" w:rsidP="00990E45">
      <w:pPr>
        <w:spacing w:line="480" w:lineRule="auto"/>
        <w:ind w:left="360"/>
        <w:contextualSpacing/>
        <w:jc w:val="both"/>
        <w:rPr>
          <w:bCs/>
          <w:sz w:val="24"/>
          <w:szCs w:val="24"/>
        </w:rPr>
      </w:pPr>
      <w:r w:rsidRPr="00990E45">
        <w:rPr>
          <w:bCs/>
          <w:sz w:val="24"/>
          <w:szCs w:val="24"/>
        </w:rPr>
        <w:t>A total of 26 fungal isolates were obtained from soil samples collected in Nagpur District, Maharashtra, India, and screened for cellulolytic and ligninolytic activities. Promising isolates were identified through ITS gene sequencing, and their enzymatic activities including carboxymethyl cellulase (</w:t>
      </w:r>
      <w:proofErr w:type="spellStart"/>
      <w:r w:rsidRPr="00990E45">
        <w:rPr>
          <w:bCs/>
          <w:sz w:val="24"/>
          <w:szCs w:val="24"/>
        </w:rPr>
        <w:t>CMCase</w:t>
      </w:r>
      <w:proofErr w:type="spellEnd"/>
      <w:r w:rsidRPr="00990E45">
        <w:rPr>
          <w:bCs/>
          <w:sz w:val="24"/>
          <w:szCs w:val="24"/>
        </w:rPr>
        <w:t xml:space="preserve">), β-glucosidase, and filter </w:t>
      </w:r>
      <w:proofErr w:type="spellStart"/>
      <w:r w:rsidRPr="00990E45">
        <w:rPr>
          <w:bCs/>
          <w:sz w:val="24"/>
          <w:szCs w:val="24"/>
        </w:rPr>
        <w:t>paperase</w:t>
      </w:r>
      <w:proofErr w:type="spellEnd"/>
      <w:r w:rsidRPr="00990E45">
        <w:rPr>
          <w:bCs/>
          <w:sz w:val="24"/>
          <w:szCs w:val="24"/>
        </w:rPr>
        <w:t xml:space="preserve"> (</w:t>
      </w:r>
      <w:proofErr w:type="spellStart"/>
      <w:r w:rsidRPr="00990E45">
        <w:rPr>
          <w:bCs/>
          <w:sz w:val="24"/>
          <w:szCs w:val="24"/>
        </w:rPr>
        <w:t>FPase</w:t>
      </w:r>
      <w:proofErr w:type="spellEnd"/>
      <w:r w:rsidRPr="00990E45">
        <w:rPr>
          <w:bCs/>
          <w:sz w:val="24"/>
          <w:szCs w:val="24"/>
        </w:rPr>
        <w:t>) were evaluated under SSF conditions.</w:t>
      </w:r>
    </w:p>
    <w:p w14:paraId="5CB86ECD" w14:textId="77777777" w:rsidR="00990E45" w:rsidRPr="00990E45" w:rsidRDefault="00990E45" w:rsidP="00990E45">
      <w:pPr>
        <w:spacing w:line="480" w:lineRule="auto"/>
        <w:ind w:left="360"/>
        <w:contextualSpacing/>
        <w:jc w:val="both"/>
        <w:rPr>
          <w:b/>
          <w:sz w:val="24"/>
          <w:szCs w:val="24"/>
        </w:rPr>
      </w:pPr>
      <w:r w:rsidRPr="00990E45">
        <w:rPr>
          <w:b/>
          <w:sz w:val="24"/>
          <w:szCs w:val="24"/>
        </w:rPr>
        <w:t>Results</w:t>
      </w:r>
    </w:p>
    <w:p w14:paraId="2A7F944D" w14:textId="381FD5FF" w:rsidR="00990E45" w:rsidRPr="00990E45" w:rsidRDefault="00990E45" w:rsidP="00990E45">
      <w:pPr>
        <w:spacing w:line="480" w:lineRule="auto"/>
        <w:ind w:left="360"/>
        <w:contextualSpacing/>
        <w:jc w:val="both"/>
        <w:rPr>
          <w:bCs/>
          <w:sz w:val="24"/>
          <w:szCs w:val="24"/>
        </w:rPr>
      </w:pPr>
      <w:r w:rsidRPr="00990E45">
        <w:rPr>
          <w:bCs/>
          <w:sz w:val="24"/>
          <w:szCs w:val="24"/>
        </w:rPr>
        <w:t xml:space="preserve">Four efficient fungal isolates were identified as </w:t>
      </w:r>
      <w:r w:rsidRPr="00A1726A">
        <w:rPr>
          <w:bCs/>
          <w:i/>
          <w:iCs/>
          <w:sz w:val="24"/>
          <w:szCs w:val="24"/>
        </w:rPr>
        <w:t xml:space="preserve">Trichoderma </w:t>
      </w:r>
      <w:proofErr w:type="spellStart"/>
      <w:r w:rsidRPr="00A1726A">
        <w:rPr>
          <w:bCs/>
          <w:i/>
          <w:iCs/>
          <w:sz w:val="24"/>
          <w:szCs w:val="24"/>
        </w:rPr>
        <w:t>asperellum</w:t>
      </w:r>
      <w:proofErr w:type="spellEnd"/>
      <w:r w:rsidRPr="00990E45">
        <w:rPr>
          <w:bCs/>
          <w:sz w:val="24"/>
          <w:szCs w:val="24"/>
        </w:rPr>
        <w:t xml:space="preserve">, </w:t>
      </w:r>
      <w:r w:rsidRPr="00A1726A">
        <w:rPr>
          <w:bCs/>
          <w:i/>
          <w:iCs/>
          <w:sz w:val="24"/>
          <w:szCs w:val="24"/>
        </w:rPr>
        <w:t>Trichoderma</w:t>
      </w:r>
      <w:r w:rsidRPr="00990E45">
        <w:rPr>
          <w:bCs/>
          <w:sz w:val="24"/>
          <w:szCs w:val="24"/>
        </w:rPr>
        <w:t xml:space="preserve"> sp., </w:t>
      </w:r>
      <w:r w:rsidRPr="00A1726A">
        <w:rPr>
          <w:bCs/>
          <w:i/>
          <w:iCs/>
          <w:sz w:val="24"/>
          <w:szCs w:val="24"/>
        </w:rPr>
        <w:t xml:space="preserve">Penicillium </w:t>
      </w:r>
      <w:proofErr w:type="spellStart"/>
      <w:r w:rsidRPr="00A1726A">
        <w:rPr>
          <w:bCs/>
          <w:i/>
          <w:iCs/>
          <w:sz w:val="24"/>
          <w:szCs w:val="24"/>
        </w:rPr>
        <w:t>chrysogenum</w:t>
      </w:r>
      <w:proofErr w:type="spellEnd"/>
      <w:r w:rsidRPr="00990E45">
        <w:rPr>
          <w:bCs/>
          <w:sz w:val="24"/>
          <w:szCs w:val="24"/>
        </w:rPr>
        <w:t xml:space="preserve">, and </w:t>
      </w:r>
      <w:r w:rsidRPr="00A1726A">
        <w:rPr>
          <w:bCs/>
          <w:i/>
          <w:iCs/>
          <w:sz w:val="24"/>
          <w:szCs w:val="24"/>
        </w:rPr>
        <w:t>Alternaria</w:t>
      </w:r>
      <w:r w:rsidRPr="00990E45">
        <w:rPr>
          <w:bCs/>
          <w:sz w:val="24"/>
          <w:szCs w:val="24"/>
        </w:rPr>
        <w:t xml:space="preserve"> sp. Among them, </w:t>
      </w:r>
      <w:r w:rsidRPr="00A1726A">
        <w:rPr>
          <w:bCs/>
          <w:i/>
          <w:iCs/>
          <w:sz w:val="24"/>
          <w:szCs w:val="24"/>
        </w:rPr>
        <w:t>Alternaria</w:t>
      </w:r>
      <w:r w:rsidRPr="00990E45">
        <w:rPr>
          <w:bCs/>
          <w:sz w:val="24"/>
          <w:szCs w:val="24"/>
        </w:rPr>
        <w:t xml:space="preserve"> sp. CICR4 exhibited the highest </w:t>
      </w:r>
      <w:proofErr w:type="spellStart"/>
      <w:r w:rsidRPr="00990E45">
        <w:rPr>
          <w:bCs/>
          <w:sz w:val="24"/>
          <w:szCs w:val="24"/>
        </w:rPr>
        <w:t>CMCase</w:t>
      </w:r>
      <w:proofErr w:type="spellEnd"/>
      <w:r w:rsidRPr="00990E45">
        <w:rPr>
          <w:bCs/>
          <w:sz w:val="24"/>
          <w:szCs w:val="24"/>
        </w:rPr>
        <w:t xml:space="preserve"> activity (30.46 IU mL⁻¹</w:t>
      </w:r>
      <w:r w:rsidR="00A1726A" w:rsidRPr="00990E45">
        <w:rPr>
          <w:bCs/>
          <w:sz w:val="24"/>
          <w:szCs w:val="24"/>
        </w:rPr>
        <w:t>),</w:t>
      </w:r>
      <w:r w:rsidRPr="00990E45">
        <w:rPr>
          <w:bCs/>
          <w:sz w:val="24"/>
          <w:szCs w:val="24"/>
        </w:rPr>
        <w:t xml:space="preserve"> while </w:t>
      </w:r>
      <w:r w:rsidRPr="00A1726A">
        <w:rPr>
          <w:bCs/>
          <w:i/>
          <w:iCs/>
          <w:sz w:val="24"/>
          <w:szCs w:val="24"/>
        </w:rPr>
        <w:t xml:space="preserve">T. </w:t>
      </w:r>
      <w:proofErr w:type="spellStart"/>
      <w:r w:rsidRPr="00A1726A">
        <w:rPr>
          <w:bCs/>
          <w:i/>
          <w:iCs/>
          <w:sz w:val="24"/>
          <w:szCs w:val="24"/>
        </w:rPr>
        <w:t>asperellum</w:t>
      </w:r>
      <w:proofErr w:type="spellEnd"/>
      <w:r w:rsidRPr="00990E45">
        <w:rPr>
          <w:bCs/>
          <w:sz w:val="24"/>
          <w:szCs w:val="24"/>
        </w:rPr>
        <w:t xml:space="preserve"> CICR1 showed the maximum β-glucosidase activity (40.8 IU mL⁻¹). </w:t>
      </w:r>
      <w:r w:rsidRPr="00A1726A">
        <w:rPr>
          <w:bCs/>
          <w:i/>
          <w:iCs/>
          <w:sz w:val="24"/>
          <w:szCs w:val="24"/>
        </w:rPr>
        <w:t>Alternaria</w:t>
      </w:r>
      <w:r w:rsidRPr="00990E45">
        <w:rPr>
          <w:bCs/>
          <w:sz w:val="24"/>
          <w:szCs w:val="24"/>
        </w:rPr>
        <w:t xml:space="preserve"> sp. CICR4 demonstrated the highest </w:t>
      </w:r>
      <w:proofErr w:type="spellStart"/>
      <w:r w:rsidRPr="00990E45">
        <w:rPr>
          <w:bCs/>
          <w:sz w:val="24"/>
          <w:szCs w:val="24"/>
        </w:rPr>
        <w:t>FPase</w:t>
      </w:r>
      <w:proofErr w:type="spellEnd"/>
      <w:r w:rsidRPr="00990E45">
        <w:rPr>
          <w:bCs/>
          <w:sz w:val="24"/>
          <w:szCs w:val="24"/>
        </w:rPr>
        <w:t xml:space="preserve"> activity (25.6 IU mL⁻¹). Temperature optimization indicated that 30 °C was the most </w:t>
      </w:r>
      <w:proofErr w:type="spellStart"/>
      <w:r w:rsidRPr="00990E45">
        <w:rPr>
          <w:bCs/>
          <w:sz w:val="24"/>
          <w:szCs w:val="24"/>
        </w:rPr>
        <w:t>favorable</w:t>
      </w:r>
      <w:proofErr w:type="spellEnd"/>
      <w:r w:rsidRPr="00990E45">
        <w:rPr>
          <w:bCs/>
          <w:sz w:val="24"/>
          <w:szCs w:val="24"/>
        </w:rPr>
        <w:t xml:space="preserve"> condition for maximum enzyme production. Under solid-state fermentation of cotton stalks, co-culturing </w:t>
      </w:r>
      <w:r w:rsidRPr="00A1726A">
        <w:rPr>
          <w:bCs/>
          <w:i/>
          <w:iCs/>
          <w:sz w:val="24"/>
          <w:szCs w:val="24"/>
        </w:rPr>
        <w:t xml:space="preserve">P. </w:t>
      </w:r>
      <w:proofErr w:type="spellStart"/>
      <w:r w:rsidRPr="00A1726A">
        <w:rPr>
          <w:bCs/>
          <w:i/>
          <w:iCs/>
          <w:sz w:val="24"/>
          <w:szCs w:val="24"/>
        </w:rPr>
        <w:t>chrysogenum</w:t>
      </w:r>
      <w:proofErr w:type="spellEnd"/>
      <w:r w:rsidRPr="00990E45">
        <w:rPr>
          <w:bCs/>
          <w:sz w:val="24"/>
          <w:szCs w:val="24"/>
        </w:rPr>
        <w:t xml:space="preserve"> CICR3 with </w:t>
      </w:r>
      <w:r w:rsidRPr="00A1726A">
        <w:rPr>
          <w:bCs/>
          <w:i/>
          <w:iCs/>
          <w:sz w:val="24"/>
          <w:szCs w:val="24"/>
        </w:rPr>
        <w:t xml:space="preserve">T. </w:t>
      </w:r>
      <w:proofErr w:type="spellStart"/>
      <w:r w:rsidRPr="00A1726A">
        <w:rPr>
          <w:bCs/>
          <w:i/>
          <w:iCs/>
          <w:sz w:val="24"/>
          <w:szCs w:val="24"/>
        </w:rPr>
        <w:t>asperellum</w:t>
      </w:r>
      <w:proofErr w:type="spellEnd"/>
      <w:r w:rsidRPr="00990E45">
        <w:rPr>
          <w:bCs/>
          <w:sz w:val="24"/>
          <w:szCs w:val="24"/>
        </w:rPr>
        <w:t xml:space="preserve"> CICR1 significantly enhanced enzymatic activities, resulting in </w:t>
      </w:r>
      <w:proofErr w:type="spellStart"/>
      <w:r w:rsidRPr="00990E45">
        <w:rPr>
          <w:bCs/>
          <w:sz w:val="24"/>
          <w:szCs w:val="24"/>
        </w:rPr>
        <w:t>CMCase</w:t>
      </w:r>
      <w:proofErr w:type="spellEnd"/>
      <w:r w:rsidRPr="00990E45">
        <w:rPr>
          <w:bCs/>
          <w:sz w:val="24"/>
          <w:szCs w:val="24"/>
        </w:rPr>
        <w:t xml:space="preserve"> activity of 28.4 IU mL⁻¹, β-glucosidase activity of 21.7 IU mL⁻¹, and </w:t>
      </w:r>
      <w:proofErr w:type="spellStart"/>
      <w:r w:rsidRPr="00990E45">
        <w:rPr>
          <w:bCs/>
          <w:sz w:val="24"/>
          <w:szCs w:val="24"/>
        </w:rPr>
        <w:t>FPase</w:t>
      </w:r>
      <w:proofErr w:type="spellEnd"/>
      <w:r w:rsidRPr="00990E45">
        <w:rPr>
          <w:bCs/>
          <w:sz w:val="24"/>
          <w:szCs w:val="24"/>
        </w:rPr>
        <w:t xml:space="preserve"> activity of 24.4 IU mL⁻¹. </w:t>
      </w:r>
    </w:p>
    <w:p w14:paraId="7B69220A" w14:textId="77777777" w:rsidR="00990E45" w:rsidRPr="00990E45" w:rsidRDefault="00990E45" w:rsidP="00990E45">
      <w:pPr>
        <w:spacing w:line="480" w:lineRule="auto"/>
        <w:ind w:left="360"/>
        <w:contextualSpacing/>
        <w:jc w:val="both"/>
        <w:rPr>
          <w:b/>
          <w:sz w:val="24"/>
          <w:szCs w:val="24"/>
        </w:rPr>
      </w:pPr>
      <w:r w:rsidRPr="00990E45">
        <w:rPr>
          <w:b/>
          <w:sz w:val="24"/>
          <w:szCs w:val="24"/>
        </w:rPr>
        <w:lastRenderedPageBreak/>
        <w:t>Conclusion</w:t>
      </w:r>
    </w:p>
    <w:p w14:paraId="15144E4A" w14:textId="77777777" w:rsidR="00990E45" w:rsidRDefault="00990E45" w:rsidP="00990E45">
      <w:pPr>
        <w:spacing w:line="480" w:lineRule="auto"/>
        <w:ind w:left="360"/>
        <w:contextualSpacing/>
        <w:jc w:val="both"/>
        <w:rPr>
          <w:b/>
          <w:sz w:val="24"/>
          <w:szCs w:val="24"/>
        </w:rPr>
      </w:pPr>
      <w:r w:rsidRPr="00990E45">
        <w:rPr>
          <w:bCs/>
          <w:sz w:val="24"/>
          <w:szCs w:val="24"/>
        </w:rPr>
        <w:t xml:space="preserve">The study demonstrates that selected lignocellulolytic fungi, particularly </w:t>
      </w:r>
      <w:r w:rsidRPr="00A1726A">
        <w:rPr>
          <w:bCs/>
          <w:i/>
          <w:iCs/>
          <w:sz w:val="24"/>
          <w:szCs w:val="24"/>
        </w:rPr>
        <w:t xml:space="preserve">T. </w:t>
      </w:r>
      <w:proofErr w:type="spellStart"/>
      <w:r w:rsidRPr="00A1726A">
        <w:rPr>
          <w:bCs/>
          <w:i/>
          <w:iCs/>
          <w:sz w:val="24"/>
          <w:szCs w:val="24"/>
        </w:rPr>
        <w:t>asperellum</w:t>
      </w:r>
      <w:proofErr w:type="spellEnd"/>
      <w:r w:rsidRPr="00990E45">
        <w:rPr>
          <w:bCs/>
          <w:sz w:val="24"/>
          <w:szCs w:val="24"/>
        </w:rPr>
        <w:t xml:space="preserve"> CICR1 and </w:t>
      </w:r>
      <w:r w:rsidRPr="00A1726A">
        <w:rPr>
          <w:bCs/>
          <w:i/>
          <w:iCs/>
          <w:sz w:val="24"/>
          <w:szCs w:val="24"/>
        </w:rPr>
        <w:t xml:space="preserve">P. </w:t>
      </w:r>
      <w:proofErr w:type="spellStart"/>
      <w:r w:rsidRPr="00A1726A">
        <w:rPr>
          <w:bCs/>
          <w:i/>
          <w:iCs/>
          <w:sz w:val="24"/>
          <w:szCs w:val="24"/>
        </w:rPr>
        <w:t>chrysogenum</w:t>
      </w:r>
      <w:proofErr w:type="spellEnd"/>
      <w:r w:rsidRPr="00990E45">
        <w:rPr>
          <w:bCs/>
          <w:sz w:val="24"/>
          <w:szCs w:val="24"/>
        </w:rPr>
        <w:t xml:space="preserve"> CICR3, possess strong enzymatic potential for efficient degradation of cotton stalks under solid-state fermentation. The synergistic interaction observed in co-culture significantly enhances cellulolytic enzyme production, indicating a promising strategy for sustainable lignocellulosic biomass </w:t>
      </w:r>
      <w:proofErr w:type="spellStart"/>
      <w:r w:rsidRPr="00990E45">
        <w:rPr>
          <w:bCs/>
          <w:sz w:val="24"/>
          <w:szCs w:val="24"/>
        </w:rPr>
        <w:t>valorization</w:t>
      </w:r>
      <w:proofErr w:type="spellEnd"/>
      <w:r w:rsidRPr="00990E45">
        <w:rPr>
          <w:bCs/>
          <w:sz w:val="24"/>
          <w:szCs w:val="24"/>
        </w:rPr>
        <w:t xml:space="preserve"> and agricultural waste management.</w:t>
      </w:r>
    </w:p>
    <w:p w14:paraId="55B1C3AE" w14:textId="067D6EE7" w:rsidR="00B1574F" w:rsidRPr="00360D49" w:rsidRDefault="00D87797" w:rsidP="00990E45">
      <w:pPr>
        <w:spacing w:line="480" w:lineRule="auto"/>
        <w:ind w:left="360"/>
        <w:contextualSpacing/>
        <w:jc w:val="both"/>
        <w:rPr>
          <w:bCs/>
          <w:i/>
          <w:iCs/>
          <w:sz w:val="24"/>
          <w:szCs w:val="24"/>
        </w:rPr>
      </w:pPr>
      <w:r w:rsidRPr="00360D49">
        <w:rPr>
          <w:b/>
          <w:bCs/>
          <w:sz w:val="24"/>
          <w:szCs w:val="24"/>
        </w:rPr>
        <w:t>Keywords:</w:t>
      </w:r>
      <w:r w:rsidRPr="00360D49">
        <w:rPr>
          <w:bCs/>
          <w:sz w:val="24"/>
          <w:szCs w:val="24"/>
        </w:rPr>
        <w:t xml:space="preserve"> Lignocellulose degradation, cotton stalks, solid-state fermentation, </w:t>
      </w:r>
      <w:r w:rsidRPr="00360D49">
        <w:rPr>
          <w:bCs/>
          <w:i/>
          <w:iCs/>
          <w:sz w:val="24"/>
          <w:szCs w:val="24"/>
        </w:rPr>
        <w:t xml:space="preserve">Trichoderma </w:t>
      </w:r>
      <w:r w:rsidR="00D131CC" w:rsidRPr="00360D49">
        <w:rPr>
          <w:bCs/>
          <w:i/>
          <w:iCs/>
          <w:sz w:val="24"/>
          <w:szCs w:val="24"/>
        </w:rPr>
        <w:t>sp. Penicillium sp.</w:t>
      </w:r>
    </w:p>
    <w:p w14:paraId="48080379" w14:textId="77777777" w:rsidR="00B1574F" w:rsidRPr="004E4C1B" w:rsidRDefault="00B1574F" w:rsidP="00360D49">
      <w:pPr>
        <w:pStyle w:val="ListParagraph"/>
        <w:widowControl/>
        <w:autoSpaceDE/>
        <w:autoSpaceDN/>
        <w:spacing w:line="480" w:lineRule="auto"/>
        <w:ind w:left="720"/>
        <w:contextualSpacing/>
        <w:jc w:val="both"/>
        <w:rPr>
          <w:bCs/>
          <w:sz w:val="24"/>
          <w:szCs w:val="24"/>
        </w:rPr>
      </w:pPr>
    </w:p>
    <w:p w14:paraId="5CFA2328" w14:textId="4D54A226" w:rsidR="00B1574F" w:rsidRPr="004E4C1B" w:rsidRDefault="00C07982" w:rsidP="00360D49">
      <w:pPr>
        <w:pStyle w:val="ListParagraph"/>
        <w:widowControl/>
        <w:autoSpaceDE/>
        <w:autoSpaceDN/>
        <w:spacing w:line="480" w:lineRule="auto"/>
        <w:ind w:left="720"/>
        <w:contextualSpacing/>
        <w:jc w:val="both"/>
        <w:rPr>
          <w:bCs/>
          <w:sz w:val="24"/>
          <w:szCs w:val="24"/>
        </w:rPr>
      </w:pPr>
      <w:r>
        <w:rPr>
          <w:bCs/>
          <w:sz w:val="24"/>
          <w:szCs w:val="24"/>
        </w:rPr>
        <w:t>GRAPHICAL ABSTRACT</w:t>
      </w:r>
    </w:p>
    <w:p w14:paraId="402EEACE" w14:textId="0F7F7FD4" w:rsidR="00D87797" w:rsidRPr="00360D49" w:rsidRDefault="00B1574F" w:rsidP="00360D49">
      <w:pPr>
        <w:spacing w:line="480" w:lineRule="auto"/>
        <w:ind w:left="360"/>
        <w:contextualSpacing/>
        <w:jc w:val="center"/>
        <w:rPr>
          <w:b/>
          <w:bCs/>
          <w:sz w:val="24"/>
          <w:szCs w:val="24"/>
        </w:rPr>
      </w:pPr>
      <w:r w:rsidRPr="004E4C1B">
        <w:rPr>
          <w:noProof/>
        </w:rPr>
        <w:drawing>
          <wp:inline distT="0" distB="0" distL="0" distR="0" wp14:anchorId="794E6D61" wp14:editId="56AECE16">
            <wp:extent cx="3448793" cy="3242733"/>
            <wp:effectExtent l="0" t="0" r="0" b="0"/>
            <wp:docPr id="296195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2334" cy="3264868"/>
                    </a:xfrm>
                    <a:prstGeom prst="rect">
                      <a:avLst/>
                    </a:prstGeom>
                    <a:noFill/>
                    <a:ln>
                      <a:noFill/>
                    </a:ln>
                  </pic:spPr>
                </pic:pic>
              </a:graphicData>
            </a:graphic>
          </wp:inline>
        </w:drawing>
      </w:r>
      <w:r w:rsidR="00D87797" w:rsidRPr="00360D49">
        <w:rPr>
          <w:b/>
          <w:bCs/>
          <w:sz w:val="24"/>
          <w:szCs w:val="24"/>
        </w:rPr>
        <w:br w:type="page"/>
      </w:r>
    </w:p>
    <w:p w14:paraId="1518BEB1" w14:textId="4756B675" w:rsidR="00805EEA" w:rsidRPr="00360D49" w:rsidRDefault="00663EB9" w:rsidP="00360D49">
      <w:pPr>
        <w:spacing w:line="480" w:lineRule="auto"/>
        <w:ind w:left="360"/>
        <w:jc w:val="both"/>
        <w:rPr>
          <w:b/>
          <w:sz w:val="24"/>
          <w:szCs w:val="24"/>
        </w:rPr>
      </w:pPr>
      <w:r w:rsidRPr="00360D49">
        <w:rPr>
          <w:b/>
          <w:sz w:val="24"/>
          <w:szCs w:val="24"/>
        </w:rPr>
        <w:lastRenderedPageBreak/>
        <w:t>Introduction</w:t>
      </w:r>
    </w:p>
    <w:p w14:paraId="16230CEE" w14:textId="4727C225" w:rsidR="007D2832" w:rsidRPr="00360D49" w:rsidRDefault="007D2832" w:rsidP="00360D49">
      <w:pPr>
        <w:spacing w:line="480" w:lineRule="auto"/>
        <w:ind w:left="360"/>
        <w:jc w:val="both"/>
        <w:rPr>
          <w:sz w:val="24"/>
          <w:szCs w:val="24"/>
          <w:lang w:val="en-US"/>
        </w:rPr>
      </w:pPr>
      <w:r w:rsidRPr="00360D49">
        <w:rPr>
          <w:sz w:val="24"/>
          <w:szCs w:val="24"/>
        </w:rPr>
        <w:t>Lignocellulosic crop residues serve as feed</w:t>
      </w:r>
      <w:r w:rsidR="009B1D53" w:rsidRPr="00360D49">
        <w:rPr>
          <w:sz w:val="24"/>
          <w:szCs w:val="24"/>
        </w:rPr>
        <w:t>-</w:t>
      </w:r>
      <w:r w:rsidRPr="00360D49">
        <w:rPr>
          <w:sz w:val="24"/>
          <w:szCs w:val="24"/>
        </w:rPr>
        <w:t>stock for agricultural and industrial applications (</w:t>
      </w:r>
      <w:proofErr w:type="spellStart"/>
      <w:r w:rsidRPr="00360D49">
        <w:rPr>
          <w:sz w:val="24"/>
          <w:szCs w:val="24"/>
        </w:rPr>
        <w:t>Hiloidhari</w:t>
      </w:r>
      <w:proofErr w:type="spellEnd"/>
      <w:r w:rsidRPr="00360D49">
        <w:rPr>
          <w:sz w:val="24"/>
          <w:szCs w:val="24"/>
        </w:rPr>
        <w:t xml:space="preserve"> et al.</w:t>
      </w:r>
      <w:r w:rsidR="00496D66" w:rsidRPr="00360D49">
        <w:rPr>
          <w:sz w:val="24"/>
          <w:szCs w:val="24"/>
        </w:rPr>
        <w:t>,</w:t>
      </w:r>
      <w:r w:rsidRPr="00360D49">
        <w:rPr>
          <w:sz w:val="24"/>
          <w:szCs w:val="24"/>
        </w:rPr>
        <w:t xml:space="preserve"> 2014; Zhang et al., 2018) and represent a huge potential for the generation of high-value products (Ning et al., 2021) through the action of specific physical, chemical, or biological processes, including the utility of microorganisms and their enzymes for </w:t>
      </w:r>
      <w:r w:rsidR="000A6756" w:rsidRPr="00360D49">
        <w:rPr>
          <w:sz w:val="24"/>
          <w:szCs w:val="24"/>
        </w:rPr>
        <w:t>feed</w:t>
      </w:r>
      <w:r w:rsidR="009B1D53" w:rsidRPr="00360D49">
        <w:rPr>
          <w:sz w:val="24"/>
          <w:szCs w:val="24"/>
        </w:rPr>
        <w:t>-</w:t>
      </w:r>
      <w:r w:rsidR="000A6756" w:rsidRPr="00360D49">
        <w:rPr>
          <w:sz w:val="24"/>
          <w:szCs w:val="24"/>
        </w:rPr>
        <w:t xml:space="preserve">stock </w:t>
      </w:r>
      <w:r w:rsidRPr="00360D49">
        <w:rPr>
          <w:sz w:val="24"/>
          <w:szCs w:val="24"/>
        </w:rPr>
        <w:t>hydrolysis (Irmak, 2016). Growing concern</w:t>
      </w:r>
      <w:r w:rsidR="000A6756" w:rsidRPr="00360D49">
        <w:rPr>
          <w:sz w:val="24"/>
          <w:szCs w:val="24"/>
        </w:rPr>
        <w:t>s</w:t>
      </w:r>
      <w:r w:rsidRPr="00360D49">
        <w:rPr>
          <w:sz w:val="24"/>
          <w:szCs w:val="24"/>
        </w:rPr>
        <w:t xml:space="preserve"> relat</w:t>
      </w:r>
      <w:r w:rsidR="000A6756" w:rsidRPr="00360D49">
        <w:rPr>
          <w:sz w:val="24"/>
          <w:szCs w:val="24"/>
        </w:rPr>
        <w:t>ed</w:t>
      </w:r>
      <w:r w:rsidRPr="00360D49">
        <w:rPr>
          <w:sz w:val="24"/>
          <w:szCs w:val="24"/>
        </w:rPr>
        <w:t xml:space="preserve"> to the deterioration of soil health due to the deficiency of organic manures for agricultural use also led researchers to evaluate the potential of lignocellulosic-based residues for the generation of organic manures to reduce or supplement inorganic fertilizer usage in agriculture (</w:t>
      </w:r>
      <w:proofErr w:type="spellStart"/>
      <w:r w:rsidRPr="00360D49">
        <w:rPr>
          <w:sz w:val="24"/>
          <w:szCs w:val="24"/>
        </w:rPr>
        <w:t>Velmourougane</w:t>
      </w:r>
      <w:proofErr w:type="spellEnd"/>
      <w:r w:rsidRPr="00360D49">
        <w:rPr>
          <w:sz w:val="24"/>
          <w:szCs w:val="24"/>
        </w:rPr>
        <w:t xml:space="preserve"> &amp; Blaise, 2017). </w:t>
      </w:r>
    </w:p>
    <w:p w14:paraId="6F6C4081" w14:textId="0056D906" w:rsidR="00BA4BDB" w:rsidRPr="00360D49" w:rsidRDefault="000A6756" w:rsidP="00360D49">
      <w:pPr>
        <w:spacing w:line="480" w:lineRule="auto"/>
        <w:ind w:left="360"/>
        <w:jc w:val="both"/>
        <w:rPr>
          <w:sz w:val="24"/>
          <w:szCs w:val="24"/>
        </w:rPr>
      </w:pPr>
      <w:r w:rsidRPr="00360D49">
        <w:rPr>
          <w:sz w:val="24"/>
          <w:szCs w:val="24"/>
        </w:rPr>
        <w:t>Cotton stalks are a prime lignocellulosic agricultural waste with potential agricultural and industrial applications</w:t>
      </w:r>
      <w:r w:rsidRPr="00360D49" w:rsidDel="000A6756">
        <w:rPr>
          <w:sz w:val="24"/>
          <w:szCs w:val="24"/>
        </w:rPr>
        <w:t xml:space="preserve"> </w:t>
      </w:r>
      <w:r w:rsidR="007D2832" w:rsidRPr="00360D49">
        <w:rPr>
          <w:sz w:val="24"/>
          <w:szCs w:val="24"/>
        </w:rPr>
        <w:t>(</w:t>
      </w:r>
      <w:proofErr w:type="spellStart"/>
      <w:r w:rsidR="007D2832" w:rsidRPr="00360D49">
        <w:rPr>
          <w:sz w:val="24"/>
          <w:szCs w:val="24"/>
        </w:rPr>
        <w:t>Mandhyan</w:t>
      </w:r>
      <w:proofErr w:type="spellEnd"/>
      <w:r w:rsidR="007D2832" w:rsidRPr="00360D49">
        <w:rPr>
          <w:sz w:val="24"/>
          <w:szCs w:val="24"/>
        </w:rPr>
        <w:t xml:space="preserve">, 2016; </w:t>
      </w:r>
      <w:proofErr w:type="spellStart"/>
      <w:r w:rsidR="007D2832" w:rsidRPr="00360D49">
        <w:rPr>
          <w:bCs/>
          <w:sz w:val="24"/>
          <w:szCs w:val="24"/>
        </w:rPr>
        <w:t>Dukare</w:t>
      </w:r>
      <w:proofErr w:type="spellEnd"/>
      <w:r w:rsidR="007D2832" w:rsidRPr="00360D49">
        <w:rPr>
          <w:bCs/>
          <w:sz w:val="24"/>
          <w:szCs w:val="24"/>
        </w:rPr>
        <w:t xml:space="preserve"> et al., 2024)</w:t>
      </w:r>
      <w:r w:rsidR="007D2832" w:rsidRPr="00360D49">
        <w:rPr>
          <w:sz w:val="24"/>
          <w:szCs w:val="24"/>
        </w:rPr>
        <w:t>. Although cotton stalks are seasonal wastes, depending on the cotton species, soil, climate, and agronomic practices, about 2-4 tons of stalks are generated per hectare of land (</w:t>
      </w:r>
      <w:proofErr w:type="spellStart"/>
      <w:r w:rsidR="007D2832" w:rsidRPr="00360D49">
        <w:rPr>
          <w:sz w:val="24"/>
          <w:szCs w:val="24"/>
        </w:rPr>
        <w:t>Velmourougane</w:t>
      </w:r>
      <w:proofErr w:type="spellEnd"/>
      <w:r w:rsidR="007D2832" w:rsidRPr="00360D49">
        <w:rPr>
          <w:sz w:val="24"/>
          <w:szCs w:val="24"/>
        </w:rPr>
        <w:t xml:space="preserve"> et al.</w:t>
      </w:r>
      <w:r w:rsidR="00F64B70" w:rsidRPr="00360D49">
        <w:rPr>
          <w:sz w:val="24"/>
          <w:szCs w:val="24"/>
        </w:rPr>
        <w:t>,</w:t>
      </w:r>
      <w:r w:rsidR="007D2832" w:rsidRPr="00360D49">
        <w:rPr>
          <w:sz w:val="24"/>
          <w:szCs w:val="24"/>
        </w:rPr>
        <w:t xml:space="preserve"> 2021). Although some quant</w:t>
      </w:r>
      <w:r w:rsidRPr="00360D49">
        <w:rPr>
          <w:sz w:val="24"/>
          <w:szCs w:val="24"/>
        </w:rPr>
        <w:t>ities</w:t>
      </w:r>
      <w:r w:rsidR="007D2832" w:rsidRPr="00360D49">
        <w:rPr>
          <w:sz w:val="24"/>
          <w:szCs w:val="24"/>
        </w:rPr>
        <w:t xml:space="preserve"> of cotton stalks </w:t>
      </w:r>
      <w:r w:rsidRPr="00360D49">
        <w:rPr>
          <w:sz w:val="24"/>
          <w:szCs w:val="24"/>
        </w:rPr>
        <w:t xml:space="preserve">are </w:t>
      </w:r>
      <w:r w:rsidR="007D2832" w:rsidRPr="00360D49">
        <w:rPr>
          <w:sz w:val="24"/>
          <w:szCs w:val="24"/>
        </w:rPr>
        <w:t>used for industrial applications</w:t>
      </w:r>
      <w:r w:rsidRPr="00360D49">
        <w:rPr>
          <w:sz w:val="24"/>
          <w:szCs w:val="24"/>
        </w:rPr>
        <w:t>,</w:t>
      </w:r>
      <w:r w:rsidR="007D2832" w:rsidRPr="00360D49">
        <w:rPr>
          <w:sz w:val="24"/>
          <w:szCs w:val="24"/>
        </w:rPr>
        <w:t xml:space="preserve"> such as the </w:t>
      </w:r>
      <w:r w:rsidRPr="00360D49">
        <w:rPr>
          <w:sz w:val="24"/>
          <w:szCs w:val="24"/>
        </w:rPr>
        <w:t xml:space="preserve">particle board </w:t>
      </w:r>
      <w:r w:rsidR="002B4CCD" w:rsidRPr="00360D49">
        <w:rPr>
          <w:sz w:val="24"/>
          <w:szCs w:val="24"/>
        </w:rPr>
        <w:t>preparation,</w:t>
      </w:r>
      <w:r w:rsidR="007D2832" w:rsidRPr="00360D49">
        <w:rPr>
          <w:sz w:val="24"/>
          <w:szCs w:val="24"/>
        </w:rPr>
        <w:t xml:space="preserve"> briquetting, </w:t>
      </w:r>
      <w:r w:rsidRPr="00360D49">
        <w:rPr>
          <w:sz w:val="24"/>
          <w:szCs w:val="24"/>
        </w:rPr>
        <w:t xml:space="preserve">and </w:t>
      </w:r>
      <w:r w:rsidR="007D2832" w:rsidRPr="00360D49">
        <w:rPr>
          <w:sz w:val="24"/>
          <w:szCs w:val="24"/>
        </w:rPr>
        <w:t>biogas generation</w:t>
      </w:r>
      <w:r w:rsidRPr="00360D49">
        <w:rPr>
          <w:sz w:val="24"/>
          <w:szCs w:val="24"/>
        </w:rPr>
        <w:t>, the</w:t>
      </w:r>
      <w:r w:rsidR="007D2832" w:rsidRPr="00360D49">
        <w:rPr>
          <w:sz w:val="24"/>
          <w:szCs w:val="24"/>
        </w:rPr>
        <w:t xml:space="preserve"> bulk of farm</w:t>
      </w:r>
      <w:r w:rsidRPr="00360D49">
        <w:rPr>
          <w:sz w:val="24"/>
          <w:szCs w:val="24"/>
        </w:rPr>
        <w:t>-</w:t>
      </w:r>
      <w:r w:rsidR="007D2832" w:rsidRPr="00360D49">
        <w:rPr>
          <w:sz w:val="24"/>
          <w:szCs w:val="24"/>
        </w:rPr>
        <w:t xml:space="preserve">generated cotton stalks are used as domestic fuel or burned off </w:t>
      </w:r>
      <w:r w:rsidRPr="00360D49">
        <w:rPr>
          <w:sz w:val="24"/>
          <w:szCs w:val="24"/>
        </w:rPr>
        <w:t xml:space="preserve">in </w:t>
      </w:r>
      <w:r w:rsidR="007D2832" w:rsidRPr="00360D49">
        <w:rPr>
          <w:sz w:val="24"/>
          <w:szCs w:val="24"/>
        </w:rPr>
        <w:t xml:space="preserve">the field, </w:t>
      </w:r>
      <w:r w:rsidRPr="00360D49">
        <w:rPr>
          <w:sz w:val="24"/>
          <w:szCs w:val="24"/>
        </w:rPr>
        <w:t>thereby</w:t>
      </w:r>
      <w:r w:rsidR="000D636E" w:rsidRPr="00360D49">
        <w:rPr>
          <w:sz w:val="24"/>
          <w:szCs w:val="24"/>
        </w:rPr>
        <w:t xml:space="preserve"> </w:t>
      </w:r>
      <w:r w:rsidR="007D2832" w:rsidRPr="00360D49">
        <w:rPr>
          <w:sz w:val="24"/>
          <w:szCs w:val="24"/>
        </w:rPr>
        <w:t xml:space="preserve">creating detrimental effects on soil and </w:t>
      </w:r>
      <w:r w:rsidRPr="00360D49">
        <w:rPr>
          <w:sz w:val="24"/>
          <w:szCs w:val="24"/>
        </w:rPr>
        <w:t xml:space="preserve">the </w:t>
      </w:r>
      <w:r w:rsidR="007D2832" w:rsidRPr="00360D49">
        <w:rPr>
          <w:sz w:val="24"/>
          <w:szCs w:val="24"/>
        </w:rPr>
        <w:t>environment (</w:t>
      </w:r>
      <w:proofErr w:type="spellStart"/>
      <w:r w:rsidR="007D2832" w:rsidRPr="00360D49">
        <w:rPr>
          <w:sz w:val="24"/>
          <w:szCs w:val="24"/>
        </w:rPr>
        <w:t>Isci</w:t>
      </w:r>
      <w:proofErr w:type="spellEnd"/>
      <w:r w:rsidR="007D2832" w:rsidRPr="00360D49">
        <w:rPr>
          <w:sz w:val="24"/>
          <w:szCs w:val="24"/>
        </w:rPr>
        <w:t xml:space="preserve"> </w:t>
      </w:r>
      <w:r w:rsidR="00F64B70" w:rsidRPr="00360D49">
        <w:rPr>
          <w:sz w:val="24"/>
          <w:szCs w:val="24"/>
        </w:rPr>
        <w:t>&amp;</w:t>
      </w:r>
      <w:r w:rsidR="007D2832" w:rsidRPr="00360D49">
        <w:rPr>
          <w:sz w:val="24"/>
          <w:szCs w:val="24"/>
        </w:rPr>
        <w:t xml:space="preserve"> </w:t>
      </w:r>
      <w:proofErr w:type="spellStart"/>
      <w:r w:rsidR="007D2832" w:rsidRPr="00360D49">
        <w:rPr>
          <w:sz w:val="24"/>
          <w:szCs w:val="24"/>
        </w:rPr>
        <w:t>Demirer</w:t>
      </w:r>
      <w:proofErr w:type="spellEnd"/>
      <w:r w:rsidR="007D2832" w:rsidRPr="00360D49">
        <w:rPr>
          <w:sz w:val="24"/>
          <w:szCs w:val="24"/>
        </w:rPr>
        <w:t xml:space="preserve">, 2007; </w:t>
      </w:r>
      <w:proofErr w:type="spellStart"/>
      <w:r w:rsidR="007D2832" w:rsidRPr="00360D49">
        <w:rPr>
          <w:sz w:val="24"/>
          <w:szCs w:val="24"/>
        </w:rPr>
        <w:t>Balasubramanya</w:t>
      </w:r>
      <w:proofErr w:type="spellEnd"/>
      <w:r w:rsidR="007D2832" w:rsidRPr="00360D49">
        <w:rPr>
          <w:sz w:val="24"/>
          <w:szCs w:val="24"/>
        </w:rPr>
        <w:t xml:space="preserve"> et al.</w:t>
      </w:r>
      <w:r w:rsidR="009D3A0B" w:rsidRPr="00360D49">
        <w:rPr>
          <w:sz w:val="24"/>
          <w:szCs w:val="24"/>
        </w:rPr>
        <w:t>,</w:t>
      </w:r>
      <w:r w:rsidR="007D2832" w:rsidRPr="00360D49">
        <w:rPr>
          <w:sz w:val="24"/>
          <w:szCs w:val="24"/>
        </w:rPr>
        <w:t xml:space="preserve"> 2008).</w:t>
      </w:r>
      <w:r w:rsidR="009A5975" w:rsidRPr="00360D49">
        <w:rPr>
          <w:sz w:val="24"/>
          <w:szCs w:val="24"/>
        </w:rPr>
        <w:t xml:space="preserve"> </w:t>
      </w:r>
      <w:r w:rsidR="00E70690" w:rsidRPr="00360D49">
        <w:rPr>
          <w:sz w:val="24"/>
          <w:szCs w:val="24"/>
        </w:rPr>
        <w:t>Cotton plant stalk is composed of 68% holocellulose, 26% lignin, and 7% ash (Keshav et al.</w:t>
      </w:r>
      <w:r w:rsidR="009D3A0B" w:rsidRPr="00360D49">
        <w:rPr>
          <w:sz w:val="24"/>
          <w:szCs w:val="24"/>
        </w:rPr>
        <w:t>,</w:t>
      </w:r>
      <w:r w:rsidR="00E70690" w:rsidRPr="00360D49">
        <w:rPr>
          <w:sz w:val="24"/>
          <w:szCs w:val="24"/>
        </w:rPr>
        <w:t xml:space="preserve"> 2021). The higher lignin content in cotton stalks makes them less amenable to bioconversion, especially through biological means, and makes them underutilized (Xing et al., 2018; Li et al., 2021). Among several delignification processes for lignocellulosic crop residues, including cotton stalks, biological options utilizing </w:t>
      </w:r>
      <w:r w:rsidR="00E70690" w:rsidRPr="00360D49">
        <w:rPr>
          <w:sz w:val="24"/>
          <w:szCs w:val="24"/>
        </w:rPr>
        <w:lastRenderedPageBreak/>
        <w:t xml:space="preserve">microorganisms represent the most amenable, cost-effective, and ecofriendly option as an environmental stand point (Li </w:t>
      </w:r>
      <w:r w:rsidR="009D3A0B" w:rsidRPr="00360D49">
        <w:rPr>
          <w:sz w:val="24"/>
          <w:szCs w:val="24"/>
        </w:rPr>
        <w:t>&amp;</w:t>
      </w:r>
      <w:r w:rsidR="00E70690" w:rsidRPr="00360D49">
        <w:rPr>
          <w:sz w:val="24"/>
          <w:szCs w:val="24"/>
        </w:rPr>
        <w:t xml:space="preserve"> Zhang, 2014; Wang et al.</w:t>
      </w:r>
      <w:r w:rsidR="009D3A0B" w:rsidRPr="00360D49">
        <w:rPr>
          <w:sz w:val="24"/>
          <w:szCs w:val="24"/>
        </w:rPr>
        <w:t>,</w:t>
      </w:r>
      <w:r w:rsidR="00E70690" w:rsidRPr="00360D49">
        <w:rPr>
          <w:sz w:val="24"/>
          <w:szCs w:val="24"/>
        </w:rPr>
        <w:t xml:space="preserve"> 2019). </w:t>
      </w:r>
      <w:r w:rsidR="003B6A98" w:rsidRPr="00360D49">
        <w:rPr>
          <w:sz w:val="24"/>
          <w:szCs w:val="24"/>
        </w:rPr>
        <w:t xml:space="preserve">Our study focuses on identifying and evaluating indigenous fungal isolates from cotton-growing soils, which have not been extensively explored for their potential to produce cellulases and laccases specifically targeting cotton stalks. </w:t>
      </w:r>
      <w:r w:rsidRPr="00360D49">
        <w:rPr>
          <w:sz w:val="24"/>
          <w:szCs w:val="24"/>
        </w:rPr>
        <w:t>F</w:t>
      </w:r>
      <w:r w:rsidR="00E70690" w:rsidRPr="00360D49">
        <w:rPr>
          <w:sz w:val="24"/>
          <w:szCs w:val="24"/>
        </w:rPr>
        <w:t xml:space="preserve">ungi play a prominent role in the degradation of </w:t>
      </w:r>
      <w:r w:rsidR="00E70690" w:rsidRPr="00360D49">
        <w:rPr>
          <w:bCs/>
          <w:sz w:val="24"/>
          <w:szCs w:val="24"/>
        </w:rPr>
        <w:t>recalcitrant </w:t>
      </w:r>
      <w:r w:rsidR="00E70690" w:rsidRPr="00360D49">
        <w:rPr>
          <w:sz w:val="24"/>
          <w:szCs w:val="24"/>
        </w:rPr>
        <w:t xml:space="preserve">lignocellulosic agricultural wastes through the production of </w:t>
      </w:r>
      <w:r w:rsidR="00E70690" w:rsidRPr="00360D49">
        <w:rPr>
          <w:bCs/>
          <w:sz w:val="24"/>
          <w:szCs w:val="24"/>
        </w:rPr>
        <w:t>lignocellulolytic enzymes (Li et al.</w:t>
      </w:r>
      <w:r w:rsidR="009D3A0B" w:rsidRPr="00360D49">
        <w:rPr>
          <w:bCs/>
          <w:sz w:val="24"/>
          <w:szCs w:val="24"/>
        </w:rPr>
        <w:t>,</w:t>
      </w:r>
      <w:r w:rsidR="00E70690" w:rsidRPr="00360D49">
        <w:rPr>
          <w:bCs/>
          <w:sz w:val="24"/>
          <w:szCs w:val="24"/>
        </w:rPr>
        <w:t xml:space="preserve"> 2022). Several fungi, including </w:t>
      </w:r>
      <w:proofErr w:type="spellStart"/>
      <w:r w:rsidR="00E70690" w:rsidRPr="00360D49">
        <w:rPr>
          <w:i/>
          <w:iCs/>
          <w:sz w:val="24"/>
          <w:szCs w:val="24"/>
        </w:rPr>
        <w:t>Pleurotus</w:t>
      </w:r>
      <w:proofErr w:type="spellEnd"/>
      <w:r w:rsidR="00E70690" w:rsidRPr="00360D49">
        <w:rPr>
          <w:i/>
          <w:iCs/>
          <w:sz w:val="24"/>
          <w:szCs w:val="24"/>
        </w:rPr>
        <w:t xml:space="preserve"> </w:t>
      </w:r>
      <w:proofErr w:type="spellStart"/>
      <w:r w:rsidR="00E70690" w:rsidRPr="00360D49">
        <w:rPr>
          <w:i/>
          <w:iCs/>
          <w:sz w:val="24"/>
          <w:szCs w:val="24"/>
        </w:rPr>
        <w:t>ostreatus</w:t>
      </w:r>
      <w:proofErr w:type="spellEnd"/>
      <w:r w:rsidR="00E70690" w:rsidRPr="00360D49">
        <w:rPr>
          <w:sz w:val="24"/>
          <w:szCs w:val="24"/>
        </w:rPr>
        <w:t xml:space="preserve">, </w:t>
      </w:r>
      <w:proofErr w:type="spellStart"/>
      <w:r w:rsidR="00E70690" w:rsidRPr="00360D49">
        <w:rPr>
          <w:i/>
          <w:iCs/>
          <w:sz w:val="24"/>
          <w:szCs w:val="24"/>
        </w:rPr>
        <w:t>Phanerochaete</w:t>
      </w:r>
      <w:proofErr w:type="spellEnd"/>
      <w:r w:rsidR="00E70690" w:rsidRPr="00360D49">
        <w:rPr>
          <w:i/>
          <w:iCs/>
          <w:sz w:val="24"/>
          <w:szCs w:val="24"/>
        </w:rPr>
        <w:t xml:space="preserve"> </w:t>
      </w:r>
      <w:proofErr w:type="spellStart"/>
      <w:r w:rsidR="00E70690" w:rsidRPr="00360D49">
        <w:rPr>
          <w:i/>
          <w:iCs/>
          <w:sz w:val="24"/>
          <w:szCs w:val="24"/>
        </w:rPr>
        <w:t>chrysosporium</w:t>
      </w:r>
      <w:proofErr w:type="spellEnd"/>
      <w:r w:rsidR="00E70690" w:rsidRPr="00360D49">
        <w:rPr>
          <w:i/>
          <w:iCs/>
          <w:sz w:val="24"/>
          <w:szCs w:val="24"/>
        </w:rPr>
        <w:t xml:space="preserve">, </w:t>
      </w:r>
      <w:proofErr w:type="spellStart"/>
      <w:r w:rsidR="00E70690" w:rsidRPr="00360D49">
        <w:rPr>
          <w:i/>
          <w:iCs/>
          <w:sz w:val="24"/>
          <w:szCs w:val="24"/>
        </w:rPr>
        <w:t>Agaricus</w:t>
      </w:r>
      <w:proofErr w:type="spellEnd"/>
      <w:r w:rsidR="00E70690" w:rsidRPr="00360D49">
        <w:rPr>
          <w:i/>
          <w:iCs/>
          <w:sz w:val="24"/>
          <w:szCs w:val="24"/>
        </w:rPr>
        <w:t xml:space="preserve"> </w:t>
      </w:r>
      <w:proofErr w:type="spellStart"/>
      <w:r w:rsidR="00E70690" w:rsidRPr="00360D49">
        <w:rPr>
          <w:i/>
          <w:iCs/>
          <w:sz w:val="24"/>
          <w:szCs w:val="24"/>
        </w:rPr>
        <w:t>bisporus</w:t>
      </w:r>
      <w:proofErr w:type="spellEnd"/>
      <w:r w:rsidR="00E70690" w:rsidRPr="00360D49">
        <w:rPr>
          <w:i/>
          <w:iCs/>
          <w:sz w:val="24"/>
          <w:szCs w:val="24"/>
        </w:rPr>
        <w:t>,</w:t>
      </w:r>
      <w:r w:rsidRPr="00360D49">
        <w:rPr>
          <w:sz w:val="24"/>
          <w:szCs w:val="24"/>
        </w:rPr>
        <w:t xml:space="preserve"> and </w:t>
      </w:r>
      <w:r w:rsidR="00E70690" w:rsidRPr="00360D49">
        <w:rPr>
          <w:i/>
          <w:iCs/>
          <w:sz w:val="24"/>
          <w:szCs w:val="24"/>
        </w:rPr>
        <w:t>Trichoderma</w:t>
      </w:r>
      <w:r w:rsidR="00E70690" w:rsidRPr="00360D49">
        <w:rPr>
          <w:sz w:val="24"/>
          <w:szCs w:val="24"/>
        </w:rPr>
        <w:t xml:space="preserve"> spp. </w:t>
      </w:r>
      <w:r w:rsidR="00F92200" w:rsidRPr="00360D49">
        <w:rPr>
          <w:sz w:val="24"/>
          <w:szCs w:val="24"/>
        </w:rPr>
        <w:t>The lignocellulolytic activities of</w:t>
      </w:r>
      <w:r w:rsidR="00F92200" w:rsidRPr="00360D49">
        <w:rPr>
          <w:i/>
          <w:iCs/>
          <w:sz w:val="24"/>
          <w:szCs w:val="24"/>
        </w:rPr>
        <w:t xml:space="preserve"> Aspergillus </w:t>
      </w:r>
      <w:proofErr w:type="spellStart"/>
      <w:r w:rsidR="00F92200" w:rsidRPr="00360D49">
        <w:rPr>
          <w:i/>
          <w:iCs/>
          <w:sz w:val="24"/>
          <w:szCs w:val="24"/>
        </w:rPr>
        <w:t>niger</w:t>
      </w:r>
      <w:proofErr w:type="spellEnd"/>
      <w:r w:rsidR="00F92200" w:rsidRPr="00360D49">
        <w:rPr>
          <w:i/>
          <w:iCs/>
          <w:sz w:val="24"/>
          <w:szCs w:val="24"/>
        </w:rPr>
        <w:t xml:space="preserve"> </w:t>
      </w:r>
      <w:r w:rsidR="00F92200" w:rsidRPr="00360D49">
        <w:rPr>
          <w:sz w:val="24"/>
          <w:szCs w:val="24"/>
        </w:rPr>
        <w:t>have been extensively studied (Fernandez-</w:t>
      </w:r>
      <w:proofErr w:type="spellStart"/>
      <w:r w:rsidR="00F92200" w:rsidRPr="00360D49">
        <w:rPr>
          <w:sz w:val="24"/>
          <w:szCs w:val="24"/>
        </w:rPr>
        <w:t>Fueyo</w:t>
      </w:r>
      <w:proofErr w:type="spellEnd"/>
      <w:r w:rsidR="00F92200" w:rsidRPr="00360D49">
        <w:rPr>
          <w:sz w:val="24"/>
          <w:szCs w:val="24"/>
        </w:rPr>
        <w:t xml:space="preserve"> et al., 2016; Gupta et al., 2016; Weng et al., 2021; Gill et al., 2022; </w:t>
      </w:r>
      <w:proofErr w:type="spellStart"/>
      <w:r w:rsidR="00F92200" w:rsidRPr="00360D49">
        <w:rPr>
          <w:sz w:val="24"/>
          <w:szCs w:val="24"/>
        </w:rPr>
        <w:t>Suryadi</w:t>
      </w:r>
      <w:proofErr w:type="spellEnd"/>
      <w:r w:rsidR="00F92200" w:rsidRPr="00360D49">
        <w:rPr>
          <w:sz w:val="24"/>
          <w:szCs w:val="24"/>
        </w:rPr>
        <w:t xml:space="preserve"> et al., 2022; </w:t>
      </w:r>
      <w:proofErr w:type="spellStart"/>
      <w:r w:rsidR="00F92200" w:rsidRPr="00360D49">
        <w:rPr>
          <w:sz w:val="24"/>
          <w:szCs w:val="24"/>
        </w:rPr>
        <w:t>Velmourougane</w:t>
      </w:r>
      <w:proofErr w:type="spellEnd"/>
      <w:r w:rsidR="00F92200" w:rsidRPr="00360D49">
        <w:rPr>
          <w:sz w:val="24"/>
          <w:szCs w:val="24"/>
        </w:rPr>
        <w:t xml:space="preserve"> et al., 2022; Li et al., 2025)</w:t>
      </w:r>
      <w:r w:rsidR="00E70690" w:rsidRPr="00360D49">
        <w:rPr>
          <w:sz w:val="24"/>
          <w:szCs w:val="24"/>
        </w:rPr>
        <w:t xml:space="preserve">. However, further research is ongoing to identify potential lignocellulolytic microorganisms that could be useful for </w:t>
      </w:r>
      <w:r w:rsidR="00F92200" w:rsidRPr="00360D49">
        <w:rPr>
          <w:sz w:val="24"/>
          <w:szCs w:val="24"/>
        </w:rPr>
        <w:t xml:space="preserve">the </w:t>
      </w:r>
      <w:r w:rsidR="00E70690" w:rsidRPr="00360D49">
        <w:rPr>
          <w:sz w:val="24"/>
          <w:szCs w:val="24"/>
        </w:rPr>
        <w:t>efficient bioconversion of cotton stalk</w:t>
      </w:r>
      <w:r w:rsidR="00F92200" w:rsidRPr="00360D49">
        <w:rPr>
          <w:sz w:val="24"/>
          <w:szCs w:val="24"/>
        </w:rPr>
        <w:t>s</w:t>
      </w:r>
      <w:r w:rsidR="00E70690" w:rsidRPr="00360D49">
        <w:rPr>
          <w:sz w:val="24"/>
          <w:szCs w:val="24"/>
        </w:rPr>
        <w:t xml:space="preserve"> for further agricultural or industrial applications.</w:t>
      </w:r>
      <w:r w:rsidR="003A1314" w:rsidRPr="00360D49">
        <w:rPr>
          <w:sz w:val="24"/>
          <w:szCs w:val="24"/>
        </w:rPr>
        <w:t xml:space="preserve"> The current work advances existing knowledge by screening multiple native fungal isolates for enzyme activities under solid-state fermentation conditions, providing insight into their potential practical applications for cotton stalk bioconversion</w:t>
      </w:r>
      <w:r w:rsidR="00D06CC1" w:rsidRPr="00360D49">
        <w:rPr>
          <w:sz w:val="24"/>
          <w:szCs w:val="24"/>
        </w:rPr>
        <w:t>.</w:t>
      </w:r>
    </w:p>
    <w:p w14:paraId="7492A1BA" w14:textId="77777777" w:rsidR="00E6338E" w:rsidRPr="004E4C1B" w:rsidRDefault="00E6338E" w:rsidP="00360D49">
      <w:pPr>
        <w:spacing w:after="0" w:line="480" w:lineRule="auto"/>
        <w:jc w:val="both"/>
        <w:rPr>
          <w:rFonts w:ascii="Times New Roman" w:hAnsi="Times New Roman" w:cs="Times New Roman"/>
          <w:b/>
          <w:bCs/>
          <w:sz w:val="24"/>
          <w:szCs w:val="24"/>
        </w:rPr>
      </w:pPr>
    </w:p>
    <w:p w14:paraId="43692A4D" w14:textId="67D64C19" w:rsidR="005D7873" w:rsidRPr="00360D49" w:rsidRDefault="005D7873" w:rsidP="00360D49">
      <w:pPr>
        <w:spacing w:line="480" w:lineRule="auto"/>
        <w:ind w:left="360"/>
        <w:jc w:val="both"/>
        <w:rPr>
          <w:b/>
          <w:bCs/>
          <w:sz w:val="24"/>
          <w:szCs w:val="24"/>
        </w:rPr>
      </w:pPr>
      <w:r w:rsidRPr="00360D49">
        <w:rPr>
          <w:b/>
          <w:bCs/>
          <w:sz w:val="24"/>
          <w:szCs w:val="24"/>
        </w:rPr>
        <w:t>Material</w:t>
      </w:r>
      <w:r w:rsidR="00F92200" w:rsidRPr="00360D49">
        <w:rPr>
          <w:b/>
          <w:bCs/>
          <w:sz w:val="24"/>
          <w:szCs w:val="24"/>
        </w:rPr>
        <w:t>s</w:t>
      </w:r>
      <w:r w:rsidRPr="00360D49">
        <w:rPr>
          <w:b/>
          <w:bCs/>
          <w:sz w:val="24"/>
          <w:szCs w:val="24"/>
        </w:rPr>
        <w:t xml:space="preserve"> and Methods</w:t>
      </w:r>
    </w:p>
    <w:p w14:paraId="1F912F9F" w14:textId="17C0649C" w:rsidR="00823B52" w:rsidRPr="00360D49" w:rsidRDefault="00823B52" w:rsidP="00360D49">
      <w:pPr>
        <w:spacing w:line="480" w:lineRule="auto"/>
        <w:ind w:left="360"/>
        <w:jc w:val="both"/>
        <w:rPr>
          <w:b/>
          <w:iCs/>
          <w:sz w:val="24"/>
          <w:szCs w:val="24"/>
        </w:rPr>
      </w:pPr>
      <w:r w:rsidRPr="00360D49">
        <w:rPr>
          <w:b/>
          <w:iCs/>
          <w:sz w:val="24"/>
          <w:szCs w:val="24"/>
        </w:rPr>
        <w:t xml:space="preserve">Isolation of </w:t>
      </w:r>
      <w:r w:rsidR="00A608FD" w:rsidRPr="00360D49">
        <w:rPr>
          <w:b/>
          <w:iCs/>
          <w:sz w:val="24"/>
          <w:szCs w:val="24"/>
        </w:rPr>
        <w:t>fung</w:t>
      </w:r>
      <w:r w:rsidR="000C34A0" w:rsidRPr="00360D49">
        <w:rPr>
          <w:b/>
          <w:iCs/>
          <w:sz w:val="24"/>
          <w:szCs w:val="24"/>
        </w:rPr>
        <w:t xml:space="preserve">al </w:t>
      </w:r>
      <w:r w:rsidR="00F92200" w:rsidRPr="00360D49">
        <w:rPr>
          <w:b/>
          <w:iCs/>
          <w:sz w:val="24"/>
          <w:szCs w:val="24"/>
        </w:rPr>
        <w:t>strains</w:t>
      </w:r>
    </w:p>
    <w:p w14:paraId="0B449A59" w14:textId="541692D2" w:rsidR="00927AE9" w:rsidRPr="00360D49" w:rsidRDefault="00927AE9" w:rsidP="00360D49">
      <w:pPr>
        <w:spacing w:line="480" w:lineRule="auto"/>
        <w:ind w:left="360"/>
        <w:jc w:val="both"/>
        <w:rPr>
          <w:bCs/>
          <w:iCs/>
          <w:sz w:val="24"/>
          <w:szCs w:val="24"/>
        </w:rPr>
      </w:pPr>
      <w:r w:rsidRPr="00360D49">
        <w:rPr>
          <w:bCs/>
          <w:iCs/>
          <w:sz w:val="24"/>
          <w:szCs w:val="24"/>
        </w:rPr>
        <w:t>Soil samples were collected from seven locations in Nagpur district, Maharashtra (Table 1), at a depth of 10-15 cm. The collected samples were stored at 4</w:t>
      </w:r>
      <w:r w:rsidRPr="00360D49">
        <w:rPr>
          <w:bCs/>
          <w:iCs/>
          <w:sz w:val="24"/>
          <w:szCs w:val="24"/>
          <w:vertAlign w:val="superscript"/>
        </w:rPr>
        <w:t>°</w:t>
      </w:r>
      <w:r w:rsidRPr="00360D49">
        <w:rPr>
          <w:bCs/>
          <w:iCs/>
          <w:sz w:val="24"/>
          <w:szCs w:val="24"/>
        </w:rPr>
        <w:t>C until analysis. Standard serial dilution was performed with 1g of sample, and 1mL of 10</w:t>
      </w:r>
      <w:r w:rsidRPr="00360D49">
        <w:rPr>
          <w:bCs/>
          <w:iCs/>
          <w:sz w:val="24"/>
          <w:szCs w:val="24"/>
          <w:vertAlign w:val="superscript"/>
        </w:rPr>
        <w:t>-3</w:t>
      </w:r>
      <w:r w:rsidRPr="00360D49">
        <w:rPr>
          <w:bCs/>
          <w:iCs/>
          <w:sz w:val="24"/>
          <w:szCs w:val="24"/>
        </w:rPr>
        <w:t xml:space="preserve"> dilution with triplicate were spread on potato dextrose agar medium (</w:t>
      </w:r>
      <w:proofErr w:type="spellStart"/>
      <w:r w:rsidRPr="00360D49">
        <w:rPr>
          <w:bCs/>
          <w:iCs/>
          <w:sz w:val="24"/>
          <w:szCs w:val="24"/>
        </w:rPr>
        <w:t>HiMedia</w:t>
      </w:r>
      <w:proofErr w:type="spellEnd"/>
      <w:r w:rsidRPr="00360D49">
        <w:rPr>
          <w:bCs/>
          <w:iCs/>
          <w:sz w:val="24"/>
          <w:szCs w:val="24"/>
        </w:rPr>
        <w:t xml:space="preserve"> Laboratories, India) and </w:t>
      </w:r>
      <w:r w:rsidRPr="00360D49">
        <w:rPr>
          <w:bCs/>
          <w:iCs/>
          <w:sz w:val="24"/>
          <w:szCs w:val="24"/>
        </w:rPr>
        <w:lastRenderedPageBreak/>
        <w:t>incubated at 28 ± 2°C to isolate the fungi. The fungal colonies were further purified using the streak plate method on to the same medium and identified morphologically using phase-contrast microscopy. The fungal isolates were stored at 4</w:t>
      </w:r>
      <w:r w:rsidRPr="00360D49">
        <w:rPr>
          <w:bCs/>
          <w:iCs/>
          <w:sz w:val="24"/>
          <w:szCs w:val="24"/>
          <w:vertAlign w:val="superscript"/>
        </w:rPr>
        <w:t>°</w:t>
      </w:r>
      <w:r w:rsidRPr="00360D49">
        <w:rPr>
          <w:bCs/>
          <w:iCs/>
          <w:sz w:val="24"/>
          <w:szCs w:val="24"/>
        </w:rPr>
        <w:t>C until further analysis</w:t>
      </w:r>
    </w:p>
    <w:p w14:paraId="4E1C93BE" w14:textId="77777777" w:rsidR="00927AE9" w:rsidRPr="004E4C1B" w:rsidRDefault="00927AE9" w:rsidP="00360D49">
      <w:pPr>
        <w:spacing w:after="0" w:line="480" w:lineRule="auto"/>
        <w:jc w:val="both"/>
        <w:rPr>
          <w:rFonts w:ascii="Times New Roman" w:hAnsi="Times New Roman" w:cs="Times New Roman"/>
          <w:bCs/>
          <w:iCs/>
          <w:sz w:val="24"/>
          <w:szCs w:val="24"/>
        </w:rPr>
      </w:pPr>
    </w:p>
    <w:p w14:paraId="5E68A586" w14:textId="77777777" w:rsidR="00C4059E" w:rsidRPr="00360D49" w:rsidRDefault="00C4059E" w:rsidP="00360D49">
      <w:pPr>
        <w:spacing w:line="480" w:lineRule="auto"/>
        <w:ind w:left="360"/>
        <w:jc w:val="both"/>
        <w:rPr>
          <w:sz w:val="24"/>
          <w:szCs w:val="24"/>
          <w:lang w:val="en-US"/>
        </w:rPr>
      </w:pPr>
      <w:r w:rsidRPr="00360D49">
        <w:rPr>
          <w:b/>
          <w:bCs/>
          <w:iCs/>
          <w:sz w:val="24"/>
          <w:szCs w:val="24"/>
        </w:rPr>
        <w:t>Qualitative and quantitative screening of fungal isolates for cellulolytic activity</w:t>
      </w:r>
    </w:p>
    <w:p w14:paraId="2D0A6BEA" w14:textId="285E7A11" w:rsidR="006438BB" w:rsidRPr="00360D49" w:rsidRDefault="00F92200" w:rsidP="00360D49">
      <w:pPr>
        <w:spacing w:line="480" w:lineRule="auto"/>
        <w:ind w:left="360"/>
        <w:jc w:val="both"/>
        <w:rPr>
          <w:rFonts w:eastAsia="Times New Roman"/>
          <w:kern w:val="0"/>
          <w:sz w:val="24"/>
          <w:szCs w:val="24"/>
          <w:lang w:val="en-US"/>
          <w14:ligatures w14:val="none"/>
        </w:rPr>
      </w:pPr>
      <w:r w:rsidRPr="00360D49">
        <w:rPr>
          <w:bCs/>
          <w:iCs/>
          <w:sz w:val="24"/>
          <w:szCs w:val="24"/>
        </w:rPr>
        <w:t xml:space="preserve">A 5-mm fungal disc was placed on </w:t>
      </w:r>
      <w:r w:rsidR="00F85D5A" w:rsidRPr="00360D49">
        <w:rPr>
          <w:iCs/>
          <w:sz w:val="24"/>
          <w:szCs w:val="24"/>
        </w:rPr>
        <w:t>mineral salts medium with carboxymethyl cellulose (CMC) as the sole carbon source to induce cellulase</w:t>
      </w:r>
      <w:r w:rsidR="00B83DB4" w:rsidRPr="00360D49">
        <w:rPr>
          <w:bCs/>
          <w:iCs/>
          <w:sz w:val="24"/>
          <w:szCs w:val="24"/>
        </w:rPr>
        <w:t xml:space="preserve"> </w:t>
      </w:r>
      <w:r w:rsidR="00F85D5A" w:rsidRPr="00360D49">
        <w:rPr>
          <w:bCs/>
          <w:iCs/>
          <w:sz w:val="24"/>
          <w:szCs w:val="24"/>
        </w:rPr>
        <w:t>(</w:t>
      </w:r>
      <w:r w:rsidR="00B83DB4" w:rsidRPr="00360D49">
        <w:rPr>
          <w:bCs/>
          <w:iCs/>
          <w:sz w:val="24"/>
          <w:szCs w:val="24"/>
        </w:rPr>
        <w:t>1.4 g/L (NH</w:t>
      </w:r>
      <w:r w:rsidR="00B83DB4" w:rsidRPr="00360D49">
        <w:rPr>
          <w:bCs/>
          <w:iCs/>
          <w:sz w:val="24"/>
          <w:szCs w:val="24"/>
          <w:vertAlign w:val="subscript"/>
        </w:rPr>
        <w:t>4</w:t>
      </w:r>
      <w:r w:rsidR="00B83DB4" w:rsidRPr="00360D49">
        <w:rPr>
          <w:bCs/>
          <w:iCs/>
          <w:sz w:val="24"/>
          <w:szCs w:val="24"/>
        </w:rPr>
        <w:t>)</w:t>
      </w:r>
      <w:r w:rsidR="00B83DB4" w:rsidRPr="00360D49">
        <w:rPr>
          <w:bCs/>
          <w:iCs/>
          <w:sz w:val="24"/>
          <w:szCs w:val="24"/>
          <w:vertAlign w:val="subscript"/>
        </w:rPr>
        <w:t>2</w:t>
      </w:r>
      <w:r w:rsidR="00B83DB4" w:rsidRPr="00360D49">
        <w:rPr>
          <w:bCs/>
          <w:iCs/>
          <w:sz w:val="24"/>
          <w:szCs w:val="24"/>
        </w:rPr>
        <w:t>SO</w:t>
      </w:r>
      <w:r w:rsidR="00B83DB4" w:rsidRPr="00360D49">
        <w:rPr>
          <w:bCs/>
          <w:iCs/>
          <w:sz w:val="24"/>
          <w:szCs w:val="24"/>
          <w:vertAlign w:val="subscript"/>
        </w:rPr>
        <w:t>4</w:t>
      </w:r>
      <w:r w:rsidR="00B83DB4" w:rsidRPr="00360D49">
        <w:rPr>
          <w:bCs/>
          <w:iCs/>
          <w:sz w:val="24"/>
          <w:szCs w:val="24"/>
        </w:rPr>
        <w:t>, 2.0 g/L</w:t>
      </w:r>
      <w:r w:rsidR="00B83DB4" w:rsidRPr="00360D49">
        <w:rPr>
          <w:bCs/>
          <w:i/>
          <w:iCs/>
          <w:sz w:val="24"/>
          <w:szCs w:val="24"/>
        </w:rPr>
        <w:t xml:space="preserve"> </w:t>
      </w:r>
      <w:r w:rsidR="00B83DB4" w:rsidRPr="00360D49">
        <w:rPr>
          <w:bCs/>
          <w:iCs/>
          <w:sz w:val="24"/>
          <w:szCs w:val="24"/>
        </w:rPr>
        <w:t>KH</w:t>
      </w:r>
      <w:r w:rsidR="00B83DB4" w:rsidRPr="00360D49">
        <w:rPr>
          <w:bCs/>
          <w:iCs/>
          <w:sz w:val="24"/>
          <w:szCs w:val="24"/>
          <w:vertAlign w:val="subscript"/>
        </w:rPr>
        <w:t>2</w:t>
      </w:r>
      <w:r w:rsidR="00B83DB4" w:rsidRPr="00360D49">
        <w:rPr>
          <w:bCs/>
          <w:iCs/>
          <w:sz w:val="24"/>
          <w:szCs w:val="24"/>
        </w:rPr>
        <w:t>PO</w:t>
      </w:r>
      <w:r w:rsidR="00B83DB4" w:rsidRPr="00360D49">
        <w:rPr>
          <w:bCs/>
          <w:iCs/>
          <w:sz w:val="24"/>
          <w:szCs w:val="24"/>
          <w:vertAlign w:val="subscript"/>
        </w:rPr>
        <w:t>4</w:t>
      </w:r>
      <w:r w:rsidR="00B83DB4" w:rsidRPr="00360D49">
        <w:rPr>
          <w:bCs/>
          <w:iCs/>
          <w:sz w:val="24"/>
          <w:szCs w:val="24"/>
        </w:rPr>
        <w:t>, 0.4 g/L CaCl</w:t>
      </w:r>
      <w:r w:rsidR="00B83DB4" w:rsidRPr="00360D49">
        <w:rPr>
          <w:bCs/>
          <w:iCs/>
          <w:sz w:val="24"/>
          <w:szCs w:val="24"/>
          <w:vertAlign w:val="subscript"/>
        </w:rPr>
        <w:t>2</w:t>
      </w:r>
      <w:r w:rsidR="00B83DB4" w:rsidRPr="00360D49">
        <w:rPr>
          <w:bCs/>
          <w:iCs/>
          <w:sz w:val="24"/>
          <w:szCs w:val="24"/>
        </w:rPr>
        <w:t>, 0.3 g/L MgSO</w:t>
      </w:r>
      <w:r w:rsidR="00B83DB4" w:rsidRPr="00360D49">
        <w:rPr>
          <w:bCs/>
          <w:iCs/>
          <w:sz w:val="24"/>
          <w:szCs w:val="24"/>
          <w:vertAlign w:val="subscript"/>
        </w:rPr>
        <w:t>4</w:t>
      </w:r>
      <w:r w:rsidR="00B83DB4" w:rsidRPr="00360D49">
        <w:rPr>
          <w:bCs/>
          <w:iCs/>
          <w:sz w:val="24"/>
          <w:szCs w:val="24"/>
        </w:rPr>
        <w:t>, 1.56 mg/L MnSO</w:t>
      </w:r>
      <w:r w:rsidR="00B83DB4" w:rsidRPr="00360D49">
        <w:rPr>
          <w:bCs/>
          <w:iCs/>
          <w:sz w:val="24"/>
          <w:szCs w:val="24"/>
          <w:vertAlign w:val="subscript"/>
        </w:rPr>
        <w:t>4</w:t>
      </w:r>
      <w:r w:rsidR="00B83DB4" w:rsidRPr="00360D49">
        <w:rPr>
          <w:bCs/>
          <w:iCs/>
          <w:sz w:val="24"/>
          <w:szCs w:val="24"/>
        </w:rPr>
        <w:t>.H</w:t>
      </w:r>
      <w:r w:rsidR="00B83DB4" w:rsidRPr="00360D49">
        <w:rPr>
          <w:bCs/>
          <w:iCs/>
          <w:sz w:val="24"/>
          <w:szCs w:val="24"/>
          <w:vertAlign w:val="subscript"/>
        </w:rPr>
        <w:t>2</w:t>
      </w:r>
      <w:r w:rsidR="00B83DB4" w:rsidRPr="00360D49">
        <w:rPr>
          <w:bCs/>
          <w:iCs/>
          <w:sz w:val="24"/>
          <w:szCs w:val="24"/>
        </w:rPr>
        <w:t>O, 5.0 mg/L FeSO</w:t>
      </w:r>
      <w:r w:rsidR="00B83DB4" w:rsidRPr="00360D49">
        <w:rPr>
          <w:bCs/>
          <w:iCs/>
          <w:sz w:val="24"/>
          <w:szCs w:val="24"/>
          <w:vertAlign w:val="subscript"/>
        </w:rPr>
        <w:t>4</w:t>
      </w:r>
      <w:r w:rsidR="00B83DB4" w:rsidRPr="00360D49">
        <w:rPr>
          <w:bCs/>
          <w:iCs/>
          <w:sz w:val="24"/>
          <w:szCs w:val="24"/>
        </w:rPr>
        <w:t>.7H</w:t>
      </w:r>
      <w:r w:rsidR="00B83DB4" w:rsidRPr="00360D49">
        <w:rPr>
          <w:bCs/>
          <w:iCs/>
          <w:sz w:val="24"/>
          <w:szCs w:val="24"/>
          <w:vertAlign w:val="subscript"/>
        </w:rPr>
        <w:t>2</w:t>
      </w:r>
      <w:r w:rsidR="00B83DB4" w:rsidRPr="00360D49">
        <w:rPr>
          <w:bCs/>
          <w:iCs/>
          <w:sz w:val="24"/>
          <w:szCs w:val="24"/>
        </w:rPr>
        <w:t>O, 1.4 mg/L ZnSO</w:t>
      </w:r>
      <w:r w:rsidR="00B83DB4" w:rsidRPr="00360D49">
        <w:rPr>
          <w:bCs/>
          <w:iCs/>
          <w:sz w:val="24"/>
          <w:szCs w:val="24"/>
          <w:vertAlign w:val="subscript"/>
        </w:rPr>
        <w:t>4</w:t>
      </w:r>
      <w:r w:rsidR="00B83DB4" w:rsidRPr="00360D49">
        <w:rPr>
          <w:bCs/>
          <w:iCs/>
          <w:sz w:val="24"/>
          <w:szCs w:val="24"/>
        </w:rPr>
        <w:t>.7H</w:t>
      </w:r>
      <w:r w:rsidR="00B83DB4" w:rsidRPr="00360D49">
        <w:rPr>
          <w:bCs/>
          <w:iCs/>
          <w:sz w:val="24"/>
          <w:szCs w:val="24"/>
          <w:vertAlign w:val="subscript"/>
        </w:rPr>
        <w:t>2</w:t>
      </w:r>
      <w:r w:rsidR="00B83DB4" w:rsidRPr="00360D49">
        <w:rPr>
          <w:bCs/>
          <w:iCs/>
          <w:sz w:val="24"/>
          <w:szCs w:val="24"/>
        </w:rPr>
        <w:t>O and 2.0 mg/L CoCl</w:t>
      </w:r>
      <w:r w:rsidR="00B83DB4" w:rsidRPr="00360D49">
        <w:rPr>
          <w:bCs/>
          <w:iCs/>
          <w:sz w:val="24"/>
          <w:szCs w:val="24"/>
          <w:vertAlign w:val="subscript"/>
        </w:rPr>
        <w:t>2</w:t>
      </w:r>
      <w:r w:rsidR="00B83DB4" w:rsidRPr="00360D49">
        <w:rPr>
          <w:bCs/>
          <w:iCs/>
          <w:sz w:val="24"/>
          <w:szCs w:val="24"/>
        </w:rPr>
        <w:t xml:space="preserve"> containing 10.0 g/l of CMC (pH 5.0)</w:t>
      </w:r>
      <w:r w:rsidR="00F85D5A" w:rsidRPr="00360D49">
        <w:rPr>
          <w:bCs/>
          <w:iCs/>
          <w:sz w:val="24"/>
          <w:szCs w:val="24"/>
        </w:rPr>
        <w:t>)</w:t>
      </w:r>
      <w:r w:rsidRPr="00360D49">
        <w:rPr>
          <w:bCs/>
          <w:iCs/>
          <w:sz w:val="24"/>
          <w:szCs w:val="24"/>
        </w:rPr>
        <w:t xml:space="preserve"> and incubated at 30°C for 4 days to evaluate cellulolytic activity</w:t>
      </w:r>
      <w:r w:rsidR="00C4059E" w:rsidRPr="00360D49">
        <w:rPr>
          <w:rFonts w:eastAsia="Times New Roman"/>
          <w:bCs/>
          <w:iCs/>
          <w:kern w:val="0"/>
          <w:sz w:val="24"/>
          <w:szCs w:val="24"/>
          <w14:ligatures w14:val="none"/>
        </w:rPr>
        <w:t xml:space="preserve">. </w:t>
      </w:r>
      <w:r w:rsidR="003148E8" w:rsidRPr="00360D49">
        <w:rPr>
          <w:rFonts w:eastAsia="Times New Roman"/>
          <w:bCs/>
          <w:iCs/>
          <w:kern w:val="0"/>
          <w:sz w:val="24"/>
          <w:szCs w:val="24"/>
          <w14:ligatures w14:val="none"/>
        </w:rPr>
        <w:t>A 5ml volume of 0.25% Congo red was then added to each plate. After 2min, the solution was discarded and the cultures were washed with 1-2ml of 1 M NaCl. The observed clear hydrolytic zone around the fungal colony indicated cellulase production</w:t>
      </w:r>
      <w:r w:rsidR="00C84258" w:rsidRPr="00360D49">
        <w:rPr>
          <w:rFonts w:eastAsia="Times New Roman"/>
          <w:bCs/>
          <w:iCs/>
          <w:kern w:val="0"/>
          <w:sz w:val="24"/>
          <w:szCs w:val="24"/>
          <w14:ligatures w14:val="none"/>
        </w:rPr>
        <w:t xml:space="preserve"> </w:t>
      </w:r>
      <w:r w:rsidR="00C4059E" w:rsidRPr="00360D49">
        <w:rPr>
          <w:rFonts w:eastAsia="Times New Roman"/>
          <w:bCs/>
          <w:iCs/>
          <w:kern w:val="0"/>
          <w:sz w:val="24"/>
          <w:szCs w:val="24"/>
          <w14:ligatures w14:val="none"/>
        </w:rPr>
        <w:t>(Fig.</w:t>
      </w:r>
      <w:r w:rsidR="00940976">
        <w:rPr>
          <w:rFonts w:eastAsia="Times New Roman"/>
          <w:bCs/>
          <w:iCs/>
          <w:kern w:val="0"/>
          <w:sz w:val="24"/>
          <w:szCs w:val="24"/>
          <w14:ligatures w14:val="none"/>
        </w:rPr>
        <w:t xml:space="preserve"> 2</w:t>
      </w:r>
      <w:r w:rsidR="00C4059E" w:rsidRPr="00360D49">
        <w:rPr>
          <w:rFonts w:eastAsia="Times New Roman"/>
          <w:bCs/>
          <w:iCs/>
          <w:kern w:val="0"/>
          <w:sz w:val="24"/>
          <w:szCs w:val="24"/>
          <w14:ligatures w14:val="none"/>
        </w:rPr>
        <w:t xml:space="preserve">). The cellulolytic index of fungal isolates was calculated </w:t>
      </w:r>
      <w:r w:rsidRPr="00360D49">
        <w:rPr>
          <w:rFonts w:eastAsia="Times New Roman"/>
          <w:bCs/>
          <w:iCs/>
          <w:kern w:val="0"/>
          <w:sz w:val="24"/>
          <w:szCs w:val="24"/>
          <w14:ligatures w14:val="none"/>
        </w:rPr>
        <w:t>according to</w:t>
      </w:r>
      <w:r w:rsidR="00C4059E" w:rsidRPr="00360D49">
        <w:rPr>
          <w:rFonts w:eastAsia="Times New Roman"/>
          <w:bCs/>
          <w:iCs/>
          <w:kern w:val="0"/>
          <w:sz w:val="24"/>
          <w:szCs w:val="24"/>
          <w14:ligatures w14:val="none"/>
        </w:rPr>
        <w:t xml:space="preserve"> the protocol described by </w:t>
      </w:r>
      <w:proofErr w:type="spellStart"/>
      <w:r w:rsidR="00C4059E" w:rsidRPr="00360D49">
        <w:rPr>
          <w:rFonts w:eastAsia="Times New Roman"/>
          <w:kern w:val="0"/>
          <w:sz w:val="24"/>
          <w:szCs w:val="24"/>
          <w14:ligatures w14:val="none"/>
        </w:rPr>
        <w:t>Namnuch</w:t>
      </w:r>
      <w:proofErr w:type="spellEnd"/>
      <w:r w:rsidR="00C4059E" w:rsidRPr="00360D49">
        <w:rPr>
          <w:rFonts w:eastAsia="Times New Roman"/>
          <w:kern w:val="0"/>
          <w:sz w:val="24"/>
          <w:szCs w:val="24"/>
          <w14:ligatures w14:val="none"/>
        </w:rPr>
        <w:t xml:space="preserve"> et al. (2021). </w:t>
      </w:r>
    </w:p>
    <w:p w14:paraId="5643448A" w14:textId="5D344E05" w:rsidR="00C4059E" w:rsidRPr="00360D49" w:rsidRDefault="00C4059E" w:rsidP="00360D49">
      <w:pPr>
        <w:spacing w:line="480" w:lineRule="auto"/>
        <w:ind w:left="360"/>
        <w:jc w:val="both"/>
        <w:rPr>
          <w:sz w:val="24"/>
          <w:szCs w:val="24"/>
          <w:lang w:val="en-US"/>
        </w:rPr>
      </w:pPr>
      <w:r w:rsidRPr="00360D49">
        <w:rPr>
          <w:bCs/>
          <w:iCs/>
          <w:sz w:val="24"/>
          <w:szCs w:val="24"/>
        </w:rPr>
        <w:t xml:space="preserve">For quantitative assays, fungal isolates grown for 7 days were inoculated into </w:t>
      </w:r>
      <w:r w:rsidR="00A3499C" w:rsidRPr="00360D49">
        <w:rPr>
          <w:iCs/>
          <w:sz w:val="24"/>
          <w:szCs w:val="24"/>
        </w:rPr>
        <w:t>mineral salts medium with</w:t>
      </w:r>
      <w:r w:rsidR="00B61023" w:rsidRPr="00360D49">
        <w:rPr>
          <w:iCs/>
          <w:sz w:val="24"/>
          <w:szCs w:val="24"/>
        </w:rPr>
        <w:t xml:space="preserve"> CMC</w:t>
      </w:r>
      <w:r w:rsidR="00B61023" w:rsidRPr="00360D49">
        <w:rPr>
          <w:bCs/>
          <w:sz w:val="24"/>
          <w:szCs w:val="24"/>
        </w:rPr>
        <w:t xml:space="preserve"> </w:t>
      </w:r>
      <w:r w:rsidRPr="00360D49">
        <w:rPr>
          <w:bCs/>
          <w:sz w:val="24"/>
          <w:szCs w:val="24"/>
        </w:rPr>
        <w:t xml:space="preserve">(pH 5.0)] and incubated at </w:t>
      </w:r>
      <w:r w:rsidRPr="00360D49">
        <w:rPr>
          <w:bCs/>
          <w:iCs/>
          <w:sz w:val="24"/>
          <w:szCs w:val="24"/>
        </w:rPr>
        <w:t>30</w:t>
      </w:r>
      <w:r w:rsidRPr="00360D49">
        <w:rPr>
          <w:bCs/>
          <w:iCs/>
          <w:sz w:val="24"/>
          <w:szCs w:val="24"/>
          <w:vertAlign w:val="superscript"/>
        </w:rPr>
        <w:t>°</w:t>
      </w:r>
      <w:r w:rsidRPr="00360D49">
        <w:rPr>
          <w:bCs/>
          <w:iCs/>
          <w:sz w:val="24"/>
          <w:szCs w:val="24"/>
        </w:rPr>
        <w:t>C under</w:t>
      </w:r>
      <w:r w:rsidRPr="00360D49">
        <w:rPr>
          <w:bCs/>
          <w:sz w:val="24"/>
          <w:szCs w:val="24"/>
        </w:rPr>
        <w:t xml:space="preserve"> shaking (150 rpm) for 7 days. The respective fungal crude enzymes were extracted by centrifugation (10,000 rpm, </w:t>
      </w:r>
      <w:r w:rsidRPr="00360D49">
        <w:rPr>
          <w:bCs/>
          <w:iCs/>
          <w:sz w:val="24"/>
          <w:szCs w:val="24"/>
        </w:rPr>
        <w:t>4</w:t>
      </w:r>
      <w:r w:rsidRPr="00360D49">
        <w:rPr>
          <w:bCs/>
          <w:iCs/>
          <w:sz w:val="24"/>
          <w:szCs w:val="24"/>
          <w:vertAlign w:val="superscript"/>
        </w:rPr>
        <w:t>°</w:t>
      </w:r>
      <w:r w:rsidRPr="00360D49">
        <w:rPr>
          <w:bCs/>
          <w:iCs/>
          <w:sz w:val="24"/>
          <w:szCs w:val="24"/>
        </w:rPr>
        <w:t>C</w:t>
      </w:r>
      <w:r w:rsidRPr="00360D49">
        <w:rPr>
          <w:bCs/>
          <w:sz w:val="24"/>
          <w:szCs w:val="24"/>
        </w:rPr>
        <w:t>, 15 min) and assayed for endoglucanase (</w:t>
      </w:r>
      <w:proofErr w:type="spellStart"/>
      <w:r w:rsidRPr="00360D49">
        <w:rPr>
          <w:bCs/>
          <w:sz w:val="24"/>
          <w:szCs w:val="24"/>
        </w:rPr>
        <w:t>CMCase</w:t>
      </w:r>
      <w:proofErr w:type="spellEnd"/>
      <w:r w:rsidRPr="00360D49">
        <w:rPr>
          <w:bCs/>
          <w:sz w:val="24"/>
          <w:szCs w:val="24"/>
        </w:rPr>
        <w:t xml:space="preserve">), </w:t>
      </w:r>
      <w:proofErr w:type="spellStart"/>
      <w:r w:rsidRPr="00360D49">
        <w:rPr>
          <w:bCs/>
          <w:sz w:val="24"/>
          <w:szCs w:val="24"/>
        </w:rPr>
        <w:t>exoglucanase</w:t>
      </w:r>
      <w:proofErr w:type="spellEnd"/>
      <w:r w:rsidRPr="00360D49">
        <w:rPr>
          <w:bCs/>
          <w:sz w:val="24"/>
          <w:szCs w:val="24"/>
        </w:rPr>
        <w:t xml:space="preserve"> (</w:t>
      </w:r>
      <w:proofErr w:type="spellStart"/>
      <w:r w:rsidRPr="00360D49">
        <w:rPr>
          <w:bCs/>
          <w:sz w:val="24"/>
          <w:szCs w:val="24"/>
        </w:rPr>
        <w:t>FPase</w:t>
      </w:r>
      <w:proofErr w:type="spellEnd"/>
      <w:r w:rsidRPr="00360D49">
        <w:rPr>
          <w:bCs/>
          <w:sz w:val="24"/>
          <w:szCs w:val="24"/>
        </w:rPr>
        <w:t>) (</w:t>
      </w:r>
      <w:proofErr w:type="spellStart"/>
      <w:r w:rsidRPr="00360D49">
        <w:rPr>
          <w:bCs/>
          <w:sz w:val="24"/>
          <w:szCs w:val="24"/>
        </w:rPr>
        <w:t>Namnuch</w:t>
      </w:r>
      <w:proofErr w:type="spellEnd"/>
      <w:r w:rsidRPr="00360D49">
        <w:rPr>
          <w:bCs/>
          <w:sz w:val="24"/>
          <w:szCs w:val="24"/>
        </w:rPr>
        <w:t xml:space="preserve"> et al., 2021), and β-glucosidase activities (Karthika et al., 2020). </w:t>
      </w:r>
      <w:r w:rsidR="00F92200" w:rsidRPr="00360D49">
        <w:rPr>
          <w:bCs/>
          <w:sz w:val="24"/>
          <w:szCs w:val="24"/>
        </w:rPr>
        <w:t>E</w:t>
      </w:r>
      <w:r w:rsidRPr="00360D49">
        <w:rPr>
          <w:bCs/>
          <w:sz w:val="24"/>
          <w:szCs w:val="24"/>
        </w:rPr>
        <w:t xml:space="preserve">ndoglucanase activity was quantified by incubating the diluted crude enzyme with 1% CMC in sodium citrate buffer (pH 4.8) at </w:t>
      </w:r>
      <w:r w:rsidRPr="00360D49">
        <w:rPr>
          <w:bCs/>
          <w:iCs/>
          <w:sz w:val="24"/>
          <w:szCs w:val="24"/>
        </w:rPr>
        <w:t>50</w:t>
      </w:r>
      <w:r w:rsidRPr="00360D49">
        <w:rPr>
          <w:bCs/>
          <w:iCs/>
          <w:sz w:val="24"/>
          <w:szCs w:val="24"/>
          <w:vertAlign w:val="superscript"/>
        </w:rPr>
        <w:t>°</w:t>
      </w:r>
      <w:r w:rsidRPr="00360D49">
        <w:rPr>
          <w:bCs/>
          <w:iCs/>
          <w:sz w:val="24"/>
          <w:szCs w:val="24"/>
        </w:rPr>
        <w:t>C for</w:t>
      </w:r>
      <w:r w:rsidRPr="00360D49">
        <w:rPr>
          <w:bCs/>
          <w:sz w:val="24"/>
          <w:szCs w:val="24"/>
        </w:rPr>
        <w:t xml:space="preserve"> 30 min, followed by the addition of 3,5-dinitrosalicylic acid (DNS) reagent and boiling. </w:t>
      </w:r>
      <w:r w:rsidR="00F92200" w:rsidRPr="00360D49">
        <w:rPr>
          <w:bCs/>
          <w:sz w:val="24"/>
          <w:szCs w:val="24"/>
        </w:rPr>
        <w:t xml:space="preserve">The </w:t>
      </w:r>
      <w:proofErr w:type="spellStart"/>
      <w:r w:rsidRPr="00360D49">
        <w:rPr>
          <w:bCs/>
          <w:sz w:val="24"/>
          <w:szCs w:val="24"/>
        </w:rPr>
        <w:t>FPase</w:t>
      </w:r>
      <w:proofErr w:type="spellEnd"/>
      <w:r w:rsidRPr="00360D49">
        <w:rPr>
          <w:bCs/>
          <w:sz w:val="24"/>
          <w:szCs w:val="24"/>
        </w:rPr>
        <w:t xml:space="preserve"> activity was quantified using filter paper strips in sodium citrate buffer for 60 min. The β- glucosidase activity was estimated using P-Nitrophenyl β-</w:t>
      </w:r>
      <w:r w:rsidRPr="00360D49">
        <w:rPr>
          <w:bCs/>
          <w:sz w:val="24"/>
          <w:szCs w:val="24"/>
        </w:rPr>
        <w:lastRenderedPageBreak/>
        <w:t>D-glucopyranoside (PNPG) as a substrate and quantifying p-nitrophenol release at 400 nm.</w:t>
      </w:r>
      <w:r w:rsidR="00A744BD" w:rsidRPr="00360D49">
        <w:rPr>
          <w:bCs/>
          <w:sz w:val="24"/>
          <w:szCs w:val="24"/>
        </w:rPr>
        <w:t xml:space="preserve"> </w:t>
      </w:r>
      <w:r w:rsidRPr="00360D49">
        <w:rPr>
          <w:bCs/>
          <w:sz w:val="24"/>
          <w:szCs w:val="24"/>
        </w:rPr>
        <w:t xml:space="preserve">The effects of temperature on the </w:t>
      </w:r>
      <w:r w:rsidRPr="00360D49">
        <w:rPr>
          <w:bCs/>
          <w:iCs/>
          <w:sz w:val="24"/>
          <w:szCs w:val="24"/>
        </w:rPr>
        <w:t>cellulolytic enzyme activities</w:t>
      </w:r>
      <w:r w:rsidRPr="00360D49">
        <w:rPr>
          <w:bCs/>
          <w:sz w:val="24"/>
          <w:szCs w:val="24"/>
        </w:rPr>
        <w:t xml:space="preserve"> of selected fungal isolates were quantified using standard established procedures. </w:t>
      </w:r>
    </w:p>
    <w:p w14:paraId="2CF11174" w14:textId="0E36A302" w:rsidR="00927266" w:rsidRPr="004E4C1B" w:rsidRDefault="00927266" w:rsidP="00360D49">
      <w:pPr>
        <w:spacing w:after="0" w:line="480" w:lineRule="auto"/>
        <w:jc w:val="both"/>
        <w:rPr>
          <w:rFonts w:ascii="Times New Roman" w:hAnsi="Times New Roman" w:cs="Times New Roman"/>
          <w:sz w:val="24"/>
          <w:szCs w:val="24"/>
        </w:rPr>
      </w:pPr>
    </w:p>
    <w:p w14:paraId="43B8034C" w14:textId="77777777" w:rsidR="00C4059E" w:rsidRPr="00360D49" w:rsidRDefault="00C4059E" w:rsidP="00360D49">
      <w:pPr>
        <w:spacing w:line="480" w:lineRule="auto"/>
        <w:ind w:left="360"/>
        <w:jc w:val="both"/>
        <w:rPr>
          <w:sz w:val="24"/>
          <w:szCs w:val="24"/>
          <w:lang w:val="en-US"/>
        </w:rPr>
      </w:pPr>
      <w:r w:rsidRPr="00360D49">
        <w:rPr>
          <w:b/>
          <w:bCs/>
          <w:iCs/>
          <w:sz w:val="24"/>
          <w:szCs w:val="24"/>
        </w:rPr>
        <w:t>Qualitative and quantitative screening of fungal isolates for </w:t>
      </w:r>
      <w:r w:rsidRPr="00360D49">
        <w:rPr>
          <w:b/>
          <w:bCs/>
          <w:sz w:val="24"/>
          <w:szCs w:val="24"/>
        </w:rPr>
        <w:t>lignolytic</w:t>
      </w:r>
      <w:r w:rsidRPr="00360D49">
        <w:rPr>
          <w:b/>
          <w:bCs/>
          <w:iCs/>
          <w:sz w:val="24"/>
          <w:szCs w:val="24"/>
        </w:rPr>
        <w:t xml:space="preserve"> activity</w:t>
      </w:r>
    </w:p>
    <w:p w14:paraId="056353A1" w14:textId="40CBA6C4" w:rsidR="00C4059E" w:rsidRPr="00360D49" w:rsidRDefault="00C4059E" w:rsidP="00360D49">
      <w:pPr>
        <w:spacing w:line="480" w:lineRule="auto"/>
        <w:ind w:left="360"/>
        <w:jc w:val="both"/>
        <w:rPr>
          <w:sz w:val="24"/>
          <w:szCs w:val="24"/>
          <w:lang w:val="en-US"/>
        </w:rPr>
      </w:pPr>
      <w:r w:rsidRPr="00360D49">
        <w:rPr>
          <w:sz w:val="24"/>
          <w:szCs w:val="24"/>
        </w:rPr>
        <w:t xml:space="preserve">To </w:t>
      </w:r>
      <w:r w:rsidRPr="00360D49">
        <w:rPr>
          <w:bCs/>
          <w:iCs/>
          <w:sz w:val="24"/>
          <w:szCs w:val="24"/>
        </w:rPr>
        <w:t>evaluate</w:t>
      </w:r>
      <w:r w:rsidRPr="00360D49">
        <w:rPr>
          <w:sz w:val="24"/>
          <w:szCs w:val="24"/>
        </w:rPr>
        <w:t xml:space="preserve"> fungal lignolytic activities, guaiacol (Fen et al., 2014) and ABTS (2-azino-bis 3- ethylbenzothiazoline-6-sulphonic acid) (</w:t>
      </w:r>
      <w:proofErr w:type="spellStart"/>
      <w:r w:rsidRPr="00360D49">
        <w:rPr>
          <w:sz w:val="24"/>
          <w:szCs w:val="24"/>
        </w:rPr>
        <w:t>Dhouib</w:t>
      </w:r>
      <w:proofErr w:type="spellEnd"/>
      <w:r w:rsidRPr="00360D49">
        <w:rPr>
          <w:sz w:val="24"/>
          <w:szCs w:val="24"/>
        </w:rPr>
        <w:t xml:space="preserve"> et al., 2005) methods were used. In the guaiacol method, 5-mm fungal discs were placed on agar medium containing guaiacol, incubated at </w:t>
      </w:r>
      <w:r w:rsidRPr="00360D49">
        <w:rPr>
          <w:bCs/>
          <w:iCs/>
          <w:sz w:val="24"/>
          <w:szCs w:val="24"/>
        </w:rPr>
        <w:t>30</w:t>
      </w:r>
      <w:r w:rsidRPr="00360D49">
        <w:rPr>
          <w:bCs/>
          <w:iCs/>
          <w:sz w:val="24"/>
          <w:szCs w:val="24"/>
          <w:vertAlign w:val="superscript"/>
        </w:rPr>
        <w:t>°</w:t>
      </w:r>
      <w:r w:rsidRPr="00360D49">
        <w:rPr>
          <w:bCs/>
          <w:iCs/>
          <w:sz w:val="24"/>
          <w:szCs w:val="24"/>
        </w:rPr>
        <w:t>C</w:t>
      </w:r>
      <w:r w:rsidRPr="00360D49">
        <w:rPr>
          <w:sz w:val="24"/>
          <w:szCs w:val="24"/>
        </w:rPr>
        <w:t>, and monitored for laccase activity by observing the reddish-brown zone around the disc. In the ABTS method, 5-mm fungal disks were placed on the ABTS-enriched medium, and laccase activity was monitored by observing green halos around the fungal discs, which indicated ABTS oxidizing activity. </w:t>
      </w:r>
      <w:r w:rsidRPr="00360D49">
        <w:rPr>
          <w:bCs/>
          <w:iCs/>
          <w:sz w:val="24"/>
          <w:szCs w:val="24"/>
        </w:rPr>
        <w:t>For quantitative assay of laccase activity, the reaction mixture comprising of </w:t>
      </w:r>
      <w:r w:rsidRPr="00360D49">
        <w:rPr>
          <w:bCs/>
          <w:sz w:val="24"/>
          <w:szCs w:val="24"/>
        </w:rPr>
        <w:t xml:space="preserve">500 </w:t>
      </w:r>
      <w:r w:rsidR="00E62437" w:rsidRPr="00360D49">
        <w:rPr>
          <w:bCs/>
          <w:sz w:val="24"/>
          <w:szCs w:val="24"/>
        </w:rPr>
        <w:t xml:space="preserve">µL </w:t>
      </w:r>
      <w:r w:rsidRPr="00360D49">
        <w:rPr>
          <w:bCs/>
          <w:sz w:val="24"/>
          <w:szCs w:val="24"/>
        </w:rPr>
        <w:t xml:space="preserve">of sodium citrate buffer, 500 </w:t>
      </w:r>
      <w:r w:rsidR="00E62437" w:rsidRPr="00360D49">
        <w:rPr>
          <w:bCs/>
          <w:sz w:val="24"/>
          <w:szCs w:val="24"/>
        </w:rPr>
        <w:t xml:space="preserve">µL </w:t>
      </w:r>
      <w:r w:rsidRPr="00360D49">
        <w:rPr>
          <w:bCs/>
          <w:sz w:val="24"/>
          <w:szCs w:val="24"/>
        </w:rPr>
        <w:t xml:space="preserve">of fungal culture filtrate, and 100 </w:t>
      </w:r>
      <w:r w:rsidR="00E62437" w:rsidRPr="00360D49">
        <w:rPr>
          <w:bCs/>
          <w:sz w:val="24"/>
          <w:szCs w:val="24"/>
        </w:rPr>
        <w:t xml:space="preserve">µL </w:t>
      </w:r>
      <w:r w:rsidRPr="00360D49">
        <w:rPr>
          <w:bCs/>
          <w:sz w:val="24"/>
          <w:szCs w:val="24"/>
        </w:rPr>
        <w:t>of ABTS (</w:t>
      </w:r>
      <w:r w:rsidRPr="00360D49">
        <w:rPr>
          <w:bCs/>
          <w:iCs/>
          <w:sz w:val="24"/>
          <w:szCs w:val="24"/>
        </w:rPr>
        <w:t>5 mM ABTS in sodium citrate buffer; pH 4.8) was prepared. </w:t>
      </w:r>
      <w:r w:rsidRPr="00360D49">
        <w:rPr>
          <w:bCs/>
          <w:sz w:val="24"/>
          <w:szCs w:val="24"/>
        </w:rPr>
        <w:t xml:space="preserve">The absorbance of the reaction was measured for around 3 min with a time interval of 30 s at 420 nm using an ELISA plate reader. The laccase enzyme activity was expressed as IU </w:t>
      </w:r>
      <w:r w:rsidR="00E62437" w:rsidRPr="00360D49">
        <w:rPr>
          <w:bCs/>
          <w:sz w:val="24"/>
          <w:szCs w:val="24"/>
        </w:rPr>
        <w:t>mL</w:t>
      </w:r>
      <w:r w:rsidRPr="00360D49">
        <w:rPr>
          <w:bCs/>
          <w:sz w:val="24"/>
          <w:szCs w:val="24"/>
          <w:vertAlign w:val="superscript"/>
        </w:rPr>
        <w:t>-1</w:t>
      </w:r>
      <w:r w:rsidRPr="00360D49">
        <w:rPr>
          <w:bCs/>
          <w:sz w:val="24"/>
          <w:szCs w:val="24"/>
        </w:rPr>
        <w:t>, defined as the amount of enzyme oxidizing ABTS per minute </w:t>
      </w:r>
      <w:r w:rsidRPr="00360D49">
        <w:rPr>
          <w:sz w:val="24"/>
          <w:szCs w:val="24"/>
        </w:rPr>
        <w:t>(</w:t>
      </w:r>
      <w:r w:rsidRPr="00360D49">
        <w:rPr>
          <w:sz w:val="24"/>
          <w:szCs w:val="24"/>
          <w:shd w:val="clear" w:color="auto" w:fill="FFFFFF"/>
        </w:rPr>
        <w:t>Bourbonnais et al., 1998).</w:t>
      </w:r>
    </w:p>
    <w:p w14:paraId="14834523" w14:textId="77777777" w:rsidR="00884DFC" w:rsidRPr="004E4C1B" w:rsidRDefault="00884DFC" w:rsidP="00360D49">
      <w:pPr>
        <w:spacing w:after="0" w:line="480" w:lineRule="auto"/>
        <w:jc w:val="both"/>
        <w:rPr>
          <w:rFonts w:ascii="Times New Roman" w:hAnsi="Times New Roman" w:cs="Times New Roman"/>
          <w:sz w:val="24"/>
          <w:szCs w:val="24"/>
        </w:rPr>
      </w:pPr>
    </w:p>
    <w:p w14:paraId="02807944" w14:textId="77777777" w:rsidR="005D7873" w:rsidRPr="00360D49" w:rsidRDefault="005D7873" w:rsidP="00360D49">
      <w:pPr>
        <w:spacing w:line="480" w:lineRule="auto"/>
        <w:ind w:left="360"/>
        <w:jc w:val="both"/>
        <w:rPr>
          <w:vanish/>
          <w:sz w:val="24"/>
          <w:szCs w:val="24"/>
        </w:rPr>
      </w:pPr>
      <w:r w:rsidRPr="00360D49">
        <w:rPr>
          <w:vanish/>
          <w:sz w:val="24"/>
          <w:szCs w:val="24"/>
        </w:rPr>
        <w:t>Bottom of Form</w:t>
      </w:r>
    </w:p>
    <w:p w14:paraId="15B8DD14" w14:textId="2108E785" w:rsidR="005D7873" w:rsidRPr="00360D49" w:rsidRDefault="005D7873" w:rsidP="00360D49">
      <w:pPr>
        <w:spacing w:line="480" w:lineRule="auto"/>
        <w:ind w:left="360"/>
        <w:jc w:val="both"/>
        <w:rPr>
          <w:b/>
          <w:sz w:val="24"/>
          <w:szCs w:val="24"/>
        </w:rPr>
      </w:pPr>
      <w:r w:rsidRPr="00360D49">
        <w:rPr>
          <w:b/>
          <w:sz w:val="24"/>
          <w:szCs w:val="24"/>
        </w:rPr>
        <w:t xml:space="preserve">Screening </w:t>
      </w:r>
      <w:r w:rsidR="00884DFC" w:rsidRPr="00360D49">
        <w:rPr>
          <w:b/>
          <w:iCs/>
          <w:sz w:val="24"/>
          <w:szCs w:val="24"/>
        </w:rPr>
        <w:t xml:space="preserve">fungal isolates for </w:t>
      </w:r>
      <w:r w:rsidR="00C5376D" w:rsidRPr="00360D49">
        <w:rPr>
          <w:b/>
          <w:sz w:val="24"/>
          <w:szCs w:val="24"/>
        </w:rPr>
        <w:t>Indole Acetic Acid</w:t>
      </w:r>
      <w:r w:rsidR="00E62437" w:rsidRPr="00360D49">
        <w:rPr>
          <w:b/>
          <w:sz w:val="24"/>
          <w:szCs w:val="24"/>
        </w:rPr>
        <w:t xml:space="preserve"> (IAA)</w:t>
      </w:r>
      <w:r w:rsidR="00C5376D" w:rsidRPr="00360D49">
        <w:rPr>
          <w:b/>
          <w:sz w:val="24"/>
          <w:szCs w:val="24"/>
        </w:rPr>
        <w:t xml:space="preserve"> </w:t>
      </w:r>
      <w:r w:rsidRPr="00360D49">
        <w:rPr>
          <w:b/>
          <w:sz w:val="24"/>
          <w:szCs w:val="24"/>
        </w:rPr>
        <w:t>production</w:t>
      </w:r>
    </w:p>
    <w:p w14:paraId="0B859A06" w14:textId="08BE9F92" w:rsidR="00884DFC" w:rsidRPr="00360D49" w:rsidRDefault="00C4059E" w:rsidP="00360D49">
      <w:pPr>
        <w:spacing w:line="480" w:lineRule="auto"/>
        <w:ind w:left="360"/>
        <w:jc w:val="both"/>
        <w:rPr>
          <w:bCs/>
          <w:sz w:val="24"/>
          <w:szCs w:val="24"/>
        </w:rPr>
      </w:pPr>
      <w:r w:rsidRPr="00360D49">
        <w:rPr>
          <w:bCs/>
          <w:sz w:val="24"/>
          <w:szCs w:val="24"/>
        </w:rPr>
        <w:t xml:space="preserve">Seven-day-old fungal cultures were mixed with </w:t>
      </w:r>
      <w:r w:rsidR="00F92200" w:rsidRPr="00360D49">
        <w:rPr>
          <w:bCs/>
          <w:sz w:val="24"/>
          <w:szCs w:val="24"/>
        </w:rPr>
        <w:t xml:space="preserve">a </w:t>
      </w:r>
      <w:r w:rsidRPr="00360D49">
        <w:rPr>
          <w:bCs/>
          <w:sz w:val="24"/>
          <w:szCs w:val="24"/>
        </w:rPr>
        <w:t xml:space="preserve">double volume of Salkowski reagent (1 </w:t>
      </w:r>
      <w:r w:rsidR="00E62437" w:rsidRPr="00360D49">
        <w:rPr>
          <w:bCs/>
          <w:sz w:val="24"/>
          <w:szCs w:val="24"/>
        </w:rPr>
        <w:t xml:space="preserve">mL </w:t>
      </w:r>
      <w:r w:rsidRPr="00360D49">
        <w:rPr>
          <w:bCs/>
          <w:sz w:val="24"/>
          <w:szCs w:val="24"/>
        </w:rPr>
        <w:t>of 0.5 mol/</w:t>
      </w:r>
      <w:r w:rsidR="00E62437" w:rsidRPr="00360D49">
        <w:rPr>
          <w:bCs/>
          <w:sz w:val="24"/>
          <w:szCs w:val="24"/>
        </w:rPr>
        <w:t xml:space="preserve">L </w:t>
      </w:r>
      <w:r w:rsidRPr="00360D49">
        <w:rPr>
          <w:bCs/>
          <w:sz w:val="24"/>
          <w:szCs w:val="24"/>
        </w:rPr>
        <w:t>FeCl</w:t>
      </w:r>
      <w:r w:rsidRPr="00360D49">
        <w:rPr>
          <w:bCs/>
          <w:sz w:val="24"/>
          <w:szCs w:val="24"/>
          <w:vertAlign w:val="subscript"/>
        </w:rPr>
        <w:t>3</w:t>
      </w:r>
      <w:r w:rsidRPr="00360D49">
        <w:rPr>
          <w:bCs/>
          <w:sz w:val="24"/>
          <w:szCs w:val="24"/>
        </w:rPr>
        <w:t xml:space="preserve"> in 50 ml of 35% HClO</w:t>
      </w:r>
      <w:r w:rsidRPr="00360D49">
        <w:rPr>
          <w:bCs/>
          <w:sz w:val="24"/>
          <w:szCs w:val="24"/>
          <w:vertAlign w:val="subscript"/>
        </w:rPr>
        <w:t>4</w:t>
      </w:r>
      <w:r w:rsidRPr="00360D49">
        <w:rPr>
          <w:bCs/>
          <w:sz w:val="24"/>
          <w:szCs w:val="24"/>
        </w:rPr>
        <w:t xml:space="preserve">) and incubated in the dark for 30 min. </w:t>
      </w:r>
      <w:r w:rsidR="00F92200" w:rsidRPr="00360D49">
        <w:rPr>
          <w:bCs/>
          <w:sz w:val="24"/>
          <w:szCs w:val="24"/>
        </w:rPr>
        <w:t xml:space="preserve">IAA </w:t>
      </w:r>
      <w:r w:rsidRPr="00360D49">
        <w:rPr>
          <w:bCs/>
          <w:sz w:val="24"/>
          <w:szCs w:val="24"/>
        </w:rPr>
        <w:lastRenderedPageBreak/>
        <w:t xml:space="preserve">production was estimated by measuring the absorbance at 530 nm using an ELISA plate reader (Gordon </w:t>
      </w:r>
      <w:r w:rsidR="00E74A3B" w:rsidRPr="00360D49">
        <w:rPr>
          <w:bCs/>
          <w:sz w:val="24"/>
          <w:szCs w:val="24"/>
        </w:rPr>
        <w:t>&amp;</w:t>
      </w:r>
      <w:r w:rsidRPr="00360D49">
        <w:rPr>
          <w:bCs/>
          <w:sz w:val="24"/>
          <w:szCs w:val="24"/>
        </w:rPr>
        <w:t xml:space="preserve"> Weber et al., 1951).</w:t>
      </w:r>
    </w:p>
    <w:p w14:paraId="30DB794B" w14:textId="77777777" w:rsidR="00DE58AC" w:rsidRPr="004E4C1B" w:rsidRDefault="00DE58AC" w:rsidP="00360D49">
      <w:pPr>
        <w:spacing w:after="0" w:line="480" w:lineRule="auto"/>
        <w:jc w:val="both"/>
        <w:rPr>
          <w:rFonts w:ascii="Times New Roman" w:hAnsi="Times New Roman" w:cs="Times New Roman"/>
          <w:b/>
          <w:iCs/>
          <w:sz w:val="24"/>
          <w:szCs w:val="24"/>
        </w:rPr>
      </w:pPr>
    </w:p>
    <w:p w14:paraId="6063814C" w14:textId="77777777" w:rsidR="00DE58AC" w:rsidRPr="00360D49" w:rsidRDefault="00DE58AC" w:rsidP="00360D49">
      <w:pPr>
        <w:spacing w:line="480" w:lineRule="auto"/>
        <w:ind w:left="360"/>
        <w:jc w:val="both"/>
        <w:rPr>
          <w:sz w:val="24"/>
          <w:szCs w:val="24"/>
          <w:lang w:val="en-US"/>
        </w:rPr>
      </w:pPr>
      <w:r w:rsidRPr="00360D49">
        <w:rPr>
          <w:b/>
          <w:bCs/>
          <w:iCs/>
          <w:sz w:val="24"/>
          <w:szCs w:val="24"/>
        </w:rPr>
        <w:t>Quantitative estimation of enzyme activity in solid-state cotton stalk fermentation</w:t>
      </w:r>
    </w:p>
    <w:p w14:paraId="646426CF" w14:textId="0D61788A" w:rsidR="00DE58AC" w:rsidRPr="00360D49" w:rsidRDefault="00DE58AC" w:rsidP="00360D49">
      <w:pPr>
        <w:spacing w:line="480" w:lineRule="auto"/>
        <w:ind w:left="360"/>
        <w:jc w:val="both"/>
        <w:rPr>
          <w:sz w:val="24"/>
          <w:szCs w:val="24"/>
          <w:lang w:val="en-US"/>
        </w:rPr>
      </w:pPr>
      <w:r w:rsidRPr="00360D49">
        <w:rPr>
          <w:bCs/>
          <w:iCs/>
          <w:sz w:val="24"/>
          <w:szCs w:val="24"/>
        </w:rPr>
        <w:t>Chopped cotton stalks (5 cm</w:t>
      </w:r>
      <w:r w:rsidR="00F92200" w:rsidRPr="00360D49">
        <w:rPr>
          <w:bCs/>
          <w:iCs/>
          <w:sz w:val="24"/>
          <w:szCs w:val="24"/>
        </w:rPr>
        <w:t xml:space="preserve"> in</w:t>
      </w:r>
      <w:r w:rsidRPr="00360D49">
        <w:rPr>
          <w:bCs/>
          <w:iCs/>
          <w:sz w:val="24"/>
          <w:szCs w:val="24"/>
        </w:rPr>
        <w:t xml:space="preserve"> size) were used as a substrate for solid-state fermentation (SSF) to evaluate the lignocellulolytic potential of fungal isolates. For the SSF studies, 10g of cotton stalk in conical flasks was added with 7 ml of inorganic nutrient solution [</w:t>
      </w:r>
      <w:r w:rsidRPr="00360D49">
        <w:rPr>
          <w:sz w:val="24"/>
          <w:szCs w:val="24"/>
        </w:rPr>
        <w:t>2 g (NH</w:t>
      </w:r>
      <w:r w:rsidRPr="00360D49">
        <w:rPr>
          <w:sz w:val="24"/>
          <w:szCs w:val="24"/>
          <w:vertAlign w:val="subscript"/>
        </w:rPr>
        <w:t>4</w:t>
      </w:r>
      <w:r w:rsidRPr="00360D49">
        <w:rPr>
          <w:sz w:val="24"/>
          <w:szCs w:val="24"/>
        </w:rPr>
        <w:t>)</w:t>
      </w:r>
      <w:r w:rsidRPr="00360D49">
        <w:rPr>
          <w:sz w:val="24"/>
          <w:szCs w:val="24"/>
          <w:vertAlign w:val="subscript"/>
        </w:rPr>
        <w:t>2</w:t>
      </w:r>
      <w:r w:rsidRPr="00360D49">
        <w:rPr>
          <w:sz w:val="24"/>
          <w:szCs w:val="24"/>
        </w:rPr>
        <w:t>SO</w:t>
      </w:r>
      <w:r w:rsidRPr="00360D49">
        <w:rPr>
          <w:sz w:val="24"/>
          <w:szCs w:val="24"/>
          <w:vertAlign w:val="subscript"/>
        </w:rPr>
        <w:t>4</w:t>
      </w:r>
      <w:r w:rsidRPr="00360D49">
        <w:rPr>
          <w:sz w:val="24"/>
          <w:szCs w:val="24"/>
        </w:rPr>
        <w:t>, 2 g KH</w:t>
      </w:r>
      <w:r w:rsidRPr="00360D49">
        <w:rPr>
          <w:sz w:val="24"/>
          <w:szCs w:val="24"/>
          <w:vertAlign w:val="subscript"/>
        </w:rPr>
        <w:t>2</w:t>
      </w:r>
      <w:r w:rsidRPr="00360D49">
        <w:rPr>
          <w:sz w:val="24"/>
          <w:szCs w:val="24"/>
        </w:rPr>
        <w:t>PO</w:t>
      </w:r>
      <w:r w:rsidRPr="00360D49">
        <w:rPr>
          <w:sz w:val="24"/>
          <w:szCs w:val="24"/>
          <w:vertAlign w:val="subscript"/>
        </w:rPr>
        <w:t>4</w:t>
      </w:r>
      <w:r w:rsidRPr="00360D49">
        <w:rPr>
          <w:sz w:val="24"/>
          <w:szCs w:val="24"/>
        </w:rPr>
        <w:t>, 0.3 g MgSO</w:t>
      </w:r>
      <w:r w:rsidRPr="00360D49">
        <w:rPr>
          <w:sz w:val="24"/>
          <w:szCs w:val="24"/>
          <w:vertAlign w:val="subscript"/>
        </w:rPr>
        <w:t>4</w:t>
      </w:r>
      <w:r w:rsidRPr="00360D49">
        <w:rPr>
          <w:sz w:val="24"/>
          <w:szCs w:val="24"/>
        </w:rPr>
        <w:t>, 0.3 g CaCl</w:t>
      </w:r>
      <w:r w:rsidRPr="00360D49">
        <w:rPr>
          <w:sz w:val="24"/>
          <w:szCs w:val="24"/>
          <w:vertAlign w:val="subscript"/>
        </w:rPr>
        <w:t>2</w:t>
      </w:r>
      <w:r w:rsidRPr="00360D49">
        <w:rPr>
          <w:sz w:val="24"/>
          <w:szCs w:val="24"/>
        </w:rPr>
        <w:t>, 0.5 g NaCl, 0.005 g FeSO</w:t>
      </w:r>
      <w:r w:rsidRPr="00360D49">
        <w:rPr>
          <w:sz w:val="24"/>
          <w:szCs w:val="24"/>
          <w:vertAlign w:val="subscript"/>
        </w:rPr>
        <w:t>4</w:t>
      </w:r>
      <w:r w:rsidRPr="00360D49">
        <w:rPr>
          <w:sz w:val="24"/>
          <w:szCs w:val="24"/>
        </w:rPr>
        <w:t>, 0.016 g MnSO</w:t>
      </w:r>
      <w:r w:rsidRPr="00360D49">
        <w:rPr>
          <w:sz w:val="24"/>
          <w:szCs w:val="24"/>
          <w:vertAlign w:val="subscript"/>
        </w:rPr>
        <w:t>4</w:t>
      </w:r>
      <w:r w:rsidRPr="00360D49">
        <w:rPr>
          <w:sz w:val="24"/>
          <w:szCs w:val="24"/>
        </w:rPr>
        <w:t>, 0.017 g ZnCl</w:t>
      </w:r>
      <w:r w:rsidRPr="00360D49">
        <w:rPr>
          <w:sz w:val="24"/>
          <w:szCs w:val="24"/>
          <w:vertAlign w:val="subscript"/>
        </w:rPr>
        <w:t>2</w:t>
      </w:r>
      <w:r w:rsidRPr="00360D49">
        <w:rPr>
          <w:sz w:val="24"/>
          <w:szCs w:val="24"/>
        </w:rPr>
        <w:t xml:space="preserve"> per L] and fungal isolates</w:t>
      </w:r>
      <w:r w:rsidR="00A202A8" w:rsidRPr="00360D49">
        <w:rPr>
          <w:sz w:val="24"/>
          <w:szCs w:val="24"/>
        </w:rPr>
        <w:t xml:space="preserve"> (</w:t>
      </w:r>
      <w:r w:rsidR="00D1554D" w:rsidRPr="00360D49">
        <w:rPr>
          <w:sz w:val="24"/>
          <w:szCs w:val="24"/>
        </w:rPr>
        <w:t>1</w:t>
      </w:r>
      <w:r w:rsidR="009315FC" w:rsidRPr="00360D49">
        <w:rPr>
          <w:sz w:val="24"/>
          <w:szCs w:val="24"/>
        </w:rPr>
        <w:t>×10</w:t>
      </w:r>
      <w:r w:rsidR="009315FC" w:rsidRPr="00360D49">
        <w:rPr>
          <w:sz w:val="24"/>
          <w:szCs w:val="24"/>
          <w:vertAlign w:val="superscript"/>
        </w:rPr>
        <w:t>7</w:t>
      </w:r>
      <w:r w:rsidR="00BF4291" w:rsidRPr="00360D49">
        <w:rPr>
          <w:sz w:val="24"/>
          <w:szCs w:val="24"/>
        </w:rPr>
        <w:t>spores/g of subst</w:t>
      </w:r>
      <w:r w:rsidR="00E514E1" w:rsidRPr="00360D49">
        <w:rPr>
          <w:sz w:val="24"/>
          <w:szCs w:val="24"/>
        </w:rPr>
        <w:t>ra</w:t>
      </w:r>
      <w:r w:rsidR="00BF4291" w:rsidRPr="00360D49">
        <w:rPr>
          <w:sz w:val="24"/>
          <w:szCs w:val="24"/>
        </w:rPr>
        <w:t>te</w:t>
      </w:r>
      <w:r w:rsidR="00A202A8" w:rsidRPr="00360D49">
        <w:rPr>
          <w:sz w:val="24"/>
          <w:szCs w:val="24"/>
        </w:rPr>
        <w:t>)</w:t>
      </w:r>
      <w:r w:rsidRPr="00360D49">
        <w:rPr>
          <w:sz w:val="24"/>
          <w:szCs w:val="24"/>
        </w:rPr>
        <w:t xml:space="preserve">. After the SSF (21 days), 80 ml of sterile distilled water was added to the mixture, and the mixture was incubated for 2 h in a shaking incubator at 180 rpm. </w:t>
      </w:r>
      <w:r w:rsidR="00F92200" w:rsidRPr="00360D49">
        <w:rPr>
          <w:sz w:val="24"/>
          <w:szCs w:val="24"/>
        </w:rPr>
        <w:t>C</w:t>
      </w:r>
      <w:r w:rsidRPr="00360D49">
        <w:rPr>
          <w:sz w:val="24"/>
          <w:szCs w:val="24"/>
        </w:rPr>
        <w:t>ellulases and </w:t>
      </w:r>
      <w:r w:rsidRPr="00360D49">
        <w:rPr>
          <w:iCs/>
          <w:sz w:val="24"/>
          <w:szCs w:val="24"/>
        </w:rPr>
        <w:t>laccase were </w:t>
      </w:r>
      <w:r w:rsidRPr="00360D49">
        <w:rPr>
          <w:sz w:val="24"/>
          <w:szCs w:val="24"/>
        </w:rPr>
        <w:t xml:space="preserve">extracted from the SSF mixture </w:t>
      </w:r>
      <w:r w:rsidR="00F92200" w:rsidRPr="00360D49">
        <w:rPr>
          <w:sz w:val="24"/>
          <w:szCs w:val="24"/>
        </w:rPr>
        <w:t xml:space="preserve">by </w:t>
      </w:r>
      <w:r w:rsidRPr="00360D49">
        <w:rPr>
          <w:sz w:val="24"/>
          <w:szCs w:val="24"/>
        </w:rPr>
        <w:t>centrifugation at 3500 rpm for 10 min. Quantitative assays of cellulases (</w:t>
      </w:r>
      <w:proofErr w:type="spellStart"/>
      <w:r w:rsidRPr="00360D49">
        <w:rPr>
          <w:sz w:val="24"/>
          <w:szCs w:val="24"/>
        </w:rPr>
        <w:t>CMCase</w:t>
      </w:r>
      <w:proofErr w:type="spellEnd"/>
      <w:r w:rsidRPr="00360D49">
        <w:rPr>
          <w:sz w:val="24"/>
          <w:szCs w:val="24"/>
        </w:rPr>
        <w:t xml:space="preserve">, </w:t>
      </w:r>
      <w:proofErr w:type="spellStart"/>
      <w:r w:rsidRPr="00360D49">
        <w:rPr>
          <w:sz w:val="24"/>
          <w:szCs w:val="24"/>
        </w:rPr>
        <w:t>FPase</w:t>
      </w:r>
      <w:proofErr w:type="spellEnd"/>
      <w:r w:rsidRPr="00360D49">
        <w:rPr>
          <w:sz w:val="24"/>
          <w:szCs w:val="24"/>
        </w:rPr>
        <w:t>, and β-glucosidase) and laccase were performed as described in the previous section.</w:t>
      </w:r>
    </w:p>
    <w:p w14:paraId="647F5328" w14:textId="77777777" w:rsidR="00F03075" w:rsidRPr="004E4C1B" w:rsidRDefault="00F03075" w:rsidP="00360D49">
      <w:pPr>
        <w:spacing w:after="0" w:line="480" w:lineRule="auto"/>
        <w:jc w:val="both"/>
        <w:rPr>
          <w:rFonts w:ascii="Times New Roman" w:hAnsi="Times New Roman" w:cs="Times New Roman"/>
          <w:bCs/>
          <w:iCs/>
          <w:sz w:val="24"/>
          <w:szCs w:val="24"/>
        </w:rPr>
      </w:pPr>
    </w:p>
    <w:p w14:paraId="33EDA97E" w14:textId="4039FF28" w:rsidR="00DE58AC" w:rsidRPr="00360D49" w:rsidRDefault="00DE58AC" w:rsidP="00360D49">
      <w:pPr>
        <w:spacing w:line="480" w:lineRule="auto"/>
        <w:ind w:left="360"/>
        <w:jc w:val="both"/>
        <w:rPr>
          <w:sz w:val="24"/>
          <w:szCs w:val="24"/>
          <w:lang w:val="en-US"/>
        </w:rPr>
      </w:pPr>
      <w:r w:rsidRPr="00360D49">
        <w:rPr>
          <w:b/>
          <w:bCs/>
          <w:sz w:val="24"/>
          <w:szCs w:val="24"/>
        </w:rPr>
        <w:t xml:space="preserve">Amplification and sequencing of </w:t>
      </w:r>
      <w:r w:rsidR="00F92200" w:rsidRPr="00360D49">
        <w:rPr>
          <w:b/>
          <w:bCs/>
          <w:sz w:val="24"/>
          <w:szCs w:val="24"/>
        </w:rPr>
        <w:t xml:space="preserve">the </w:t>
      </w:r>
      <w:r w:rsidRPr="00360D49">
        <w:rPr>
          <w:b/>
          <w:bCs/>
          <w:sz w:val="24"/>
          <w:szCs w:val="24"/>
        </w:rPr>
        <w:t>ITS regions</w:t>
      </w:r>
    </w:p>
    <w:p w14:paraId="3F8C1393" w14:textId="1366D40F" w:rsidR="00DE58AC" w:rsidRPr="00360D49" w:rsidRDefault="00F92200" w:rsidP="00360D49">
      <w:pPr>
        <w:spacing w:line="480" w:lineRule="auto"/>
        <w:ind w:left="360"/>
        <w:jc w:val="both"/>
        <w:rPr>
          <w:sz w:val="24"/>
          <w:szCs w:val="24"/>
          <w:lang w:val="en-US"/>
        </w:rPr>
      </w:pPr>
      <w:r w:rsidRPr="00360D49">
        <w:rPr>
          <w:bCs/>
          <w:sz w:val="24"/>
          <w:szCs w:val="24"/>
        </w:rPr>
        <w:t>Total fungal DNA was isolated for fungal identification, as</w:t>
      </w:r>
      <w:r w:rsidR="00973A8B" w:rsidRPr="00360D49">
        <w:rPr>
          <w:bCs/>
          <w:sz w:val="24"/>
          <w:szCs w:val="24"/>
        </w:rPr>
        <w:t xml:space="preserve"> </w:t>
      </w:r>
      <w:r w:rsidR="00DE58AC" w:rsidRPr="00360D49">
        <w:rPr>
          <w:bCs/>
          <w:sz w:val="24"/>
          <w:szCs w:val="24"/>
        </w:rPr>
        <w:t>described by </w:t>
      </w:r>
      <w:r w:rsidR="00DE58AC" w:rsidRPr="00360D49">
        <w:rPr>
          <w:sz w:val="24"/>
          <w:szCs w:val="24"/>
        </w:rPr>
        <w:t xml:space="preserve">Gonzalez-Mendoza et al. (2010). The internal transcribed spacer (ITS) region was amplified using PCR with the primers ITS1 and ITS4, as described by White et al. (1990). The 25 </w:t>
      </w:r>
      <w:proofErr w:type="spellStart"/>
      <w:r w:rsidR="00DE58AC" w:rsidRPr="00360D49">
        <w:rPr>
          <w:sz w:val="24"/>
          <w:szCs w:val="24"/>
        </w:rPr>
        <w:t>μl</w:t>
      </w:r>
      <w:proofErr w:type="spellEnd"/>
      <w:r w:rsidR="00DE58AC" w:rsidRPr="00360D49">
        <w:rPr>
          <w:sz w:val="24"/>
          <w:szCs w:val="24"/>
        </w:rPr>
        <w:t xml:space="preserve"> PCR reaction contained the primers, Taq DNA polymerase, dNTPs, MgCl</w:t>
      </w:r>
      <w:r w:rsidR="00DE58AC" w:rsidRPr="00F47139">
        <w:rPr>
          <w:sz w:val="24"/>
          <w:szCs w:val="24"/>
          <w:vertAlign w:val="subscript"/>
        </w:rPr>
        <w:t>2</w:t>
      </w:r>
      <w:r w:rsidR="00DE58AC" w:rsidRPr="00360D49">
        <w:rPr>
          <w:sz w:val="24"/>
          <w:szCs w:val="24"/>
        </w:rPr>
        <w:t xml:space="preserve">, buffer, and DNA template. Thermal cycling included denaturation at 95°C for 8 min, followed by 30 cycles of 95°C for 1 min, 57°C for 1 min, and 72°C for 1 min, with a final extension at 72°C for 8 min. The PCR products were purified using a </w:t>
      </w:r>
      <w:proofErr w:type="spellStart"/>
      <w:r w:rsidR="00DE58AC" w:rsidRPr="00360D49">
        <w:rPr>
          <w:sz w:val="24"/>
          <w:szCs w:val="24"/>
        </w:rPr>
        <w:t>QIAquick</w:t>
      </w:r>
      <w:proofErr w:type="spellEnd"/>
      <w:r w:rsidR="00DE58AC" w:rsidRPr="00360D49">
        <w:rPr>
          <w:sz w:val="24"/>
          <w:szCs w:val="24"/>
        </w:rPr>
        <w:t xml:space="preserve"> PCR Purification Kit </w:t>
      </w:r>
      <w:r w:rsidR="00547DB1" w:rsidRPr="00360D49">
        <w:rPr>
          <w:sz w:val="24"/>
          <w:szCs w:val="24"/>
        </w:rPr>
        <w:t xml:space="preserve">(Eurofins Genomics, </w:t>
      </w:r>
      <w:r w:rsidR="00547DB1" w:rsidRPr="00360D49">
        <w:rPr>
          <w:sz w:val="24"/>
          <w:szCs w:val="24"/>
        </w:rPr>
        <w:lastRenderedPageBreak/>
        <w:t>Bengaluru, India)</w:t>
      </w:r>
      <w:r w:rsidR="00DE58AC" w:rsidRPr="00360D49">
        <w:rPr>
          <w:sz w:val="24"/>
          <w:szCs w:val="24"/>
        </w:rPr>
        <w:t xml:space="preserve">. The sequences were </w:t>
      </w:r>
      <w:proofErr w:type="spellStart"/>
      <w:r w:rsidR="00DE58AC" w:rsidRPr="00360D49">
        <w:rPr>
          <w:sz w:val="24"/>
          <w:szCs w:val="24"/>
        </w:rPr>
        <w:t>analyzed</w:t>
      </w:r>
      <w:proofErr w:type="spellEnd"/>
      <w:r w:rsidR="00DE58AC" w:rsidRPr="00360D49">
        <w:rPr>
          <w:sz w:val="24"/>
          <w:szCs w:val="24"/>
        </w:rPr>
        <w:t xml:space="preserve">, and contigs were assembled using </w:t>
      </w:r>
      <w:proofErr w:type="spellStart"/>
      <w:r w:rsidR="00DE58AC" w:rsidRPr="00360D49">
        <w:rPr>
          <w:sz w:val="24"/>
          <w:szCs w:val="24"/>
        </w:rPr>
        <w:t>BioEdit</w:t>
      </w:r>
      <w:proofErr w:type="spellEnd"/>
      <w:r w:rsidR="00DE58AC" w:rsidRPr="00360D49">
        <w:rPr>
          <w:sz w:val="24"/>
          <w:szCs w:val="24"/>
        </w:rPr>
        <w:t xml:space="preserve"> v7.1.9. The sequences were compared with the NCBI GenBank nucleotide database using BLAST to confirm identity based on maximum sequence similarity.</w:t>
      </w:r>
    </w:p>
    <w:p w14:paraId="59ACEE99" w14:textId="77777777" w:rsidR="00DE58AC" w:rsidRPr="004E4C1B" w:rsidRDefault="00DE58AC" w:rsidP="00360D49">
      <w:pPr>
        <w:spacing w:after="0" w:line="480" w:lineRule="auto"/>
        <w:jc w:val="both"/>
        <w:rPr>
          <w:rFonts w:ascii="Times New Roman" w:hAnsi="Times New Roman" w:cs="Times New Roman"/>
          <w:b/>
          <w:bCs/>
          <w:sz w:val="24"/>
          <w:szCs w:val="24"/>
        </w:rPr>
      </w:pPr>
    </w:p>
    <w:p w14:paraId="2E32EF8B" w14:textId="77777777" w:rsidR="00551AF7" w:rsidRPr="00360D49" w:rsidRDefault="00551AF7" w:rsidP="00360D49">
      <w:pPr>
        <w:spacing w:line="480" w:lineRule="auto"/>
        <w:ind w:left="360"/>
        <w:jc w:val="both"/>
        <w:rPr>
          <w:b/>
          <w:bCs/>
          <w:sz w:val="24"/>
          <w:szCs w:val="24"/>
        </w:rPr>
      </w:pPr>
      <w:r w:rsidRPr="00360D49">
        <w:rPr>
          <w:b/>
          <w:bCs/>
          <w:sz w:val="24"/>
          <w:szCs w:val="24"/>
        </w:rPr>
        <w:t>Results and Discussion</w:t>
      </w:r>
    </w:p>
    <w:p w14:paraId="731C7AF7" w14:textId="77777777" w:rsidR="00551AF7" w:rsidRPr="00360D49" w:rsidRDefault="00551AF7" w:rsidP="00360D49">
      <w:pPr>
        <w:spacing w:line="480" w:lineRule="auto"/>
        <w:ind w:left="360"/>
        <w:jc w:val="both"/>
        <w:rPr>
          <w:b/>
          <w:bCs/>
          <w:sz w:val="24"/>
          <w:szCs w:val="24"/>
        </w:rPr>
      </w:pPr>
      <w:r w:rsidRPr="00360D49">
        <w:rPr>
          <w:b/>
          <w:bCs/>
          <w:sz w:val="24"/>
          <w:szCs w:val="24"/>
        </w:rPr>
        <w:t>Isolation, Screening, and Molecular Characterization</w:t>
      </w:r>
    </w:p>
    <w:p w14:paraId="26A63CE9" w14:textId="77777777" w:rsidR="00551AF7" w:rsidRPr="00360D49" w:rsidRDefault="00551AF7" w:rsidP="00360D49">
      <w:pPr>
        <w:spacing w:line="480" w:lineRule="auto"/>
        <w:ind w:left="360"/>
        <w:jc w:val="both"/>
        <w:rPr>
          <w:sz w:val="24"/>
          <w:szCs w:val="24"/>
        </w:rPr>
      </w:pPr>
      <w:r w:rsidRPr="00360D49">
        <w:rPr>
          <w:sz w:val="24"/>
          <w:szCs w:val="24"/>
        </w:rPr>
        <w:t xml:space="preserve">A total of 26 fungal strains were isolated from soil samples collected in Nagpur District, Maharashtra. Based on qualitative screening for lignocellulolytic activity, four promising isolates were selected for further quantitative evaluation. These isolates were identified through ITS gene sequencing as </w:t>
      </w:r>
      <w:r w:rsidRPr="00360D49">
        <w:rPr>
          <w:i/>
          <w:iCs/>
          <w:sz w:val="24"/>
          <w:szCs w:val="24"/>
        </w:rPr>
        <w:t xml:space="preserve">Trichoderma </w:t>
      </w:r>
      <w:proofErr w:type="spellStart"/>
      <w:r w:rsidRPr="00360D49">
        <w:rPr>
          <w:i/>
          <w:iCs/>
          <w:sz w:val="24"/>
          <w:szCs w:val="24"/>
        </w:rPr>
        <w:t>asperellum</w:t>
      </w:r>
      <w:proofErr w:type="spellEnd"/>
      <w:r w:rsidRPr="00360D49">
        <w:rPr>
          <w:sz w:val="24"/>
          <w:szCs w:val="24"/>
        </w:rPr>
        <w:t xml:space="preserve"> (GenBank OQ165158), </w:t>
      </w:r>
      <w:r w:rsidRPr="00360D49">
        <w:rPr>
          <w:i/>
          <w:iCs/>
          <w:sz w:val="24"/>
          <w:szCs w:val="24"/>
        </w:rPr>
        <w:t>Trichoderma</w:t>
      </w:r>
      <w:r w:rsidRPr="00360D49">
        <w:rPr>
          <w:sz w:val="24"/>
          <w:szCs w:val="24"/>
        </w:rPr>
        <w:t xml:space="preserve"> sp. (GenBank OQ165165), </w:t>
      </w:r>
      <w:r w:rsidRPr="00360D49">
        <w:rPr>
          <w:i/>
          <w:iCs/>
          <w:sz w:val="24"/>
          <w:szCs w:val="24"/>
        </w:rPr>
        <w:t xml:space="preserve">Penicillium </w:t>
      </w:r>
      <w:proofErr w:type="spellStart"/>
      <w:r w:rsidRPr="00360D49">
        <w:rPr>
          <w:i/>
          <w:iCs/>
          <w:sz w:val="24"/>
          <w:szCs w:val="24"/>
        </w:rPr>
        <w:t>chrysogenum</w:t>
      </w:r>
      <w:proofErr w:type="spellEnd"/>
      <w:r w:rsidRPr="00360D49">
        <w:rPr>
          <w:sz w:val="24"/>
          <w:szCs w:val="24"/>
        </w:rPr>
        <w:t xml:space="preserve"> (GenBank OQ168243), and </w:t>
      </w:r>
      <w:r w:rsidRPr="00360D49">
        <w:rPr>
          <w:i/>
          <w:iCs/>
          <w:sz w:val="24"/>
          <w:szCs w:val="24"/>
        </w:rPr>
        <w:t>Alternaria</w:t>
      </w:r>
      <w:r w:rsidRPr="00360D49">
        <w:rPr>
          <w:sz w:val="24"/>
          <w:szCs w:val="24"/>
        </w:rPr>
        <w:t xml:space="preserve"> sp. (GenBank OQ165167). Among them,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and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exhibited notable lignocellulolytic activity in guaiacol and ABTS assays, indicating strong oxidative enzyme systems essential for lignin degradation. Their cellulolytic enzymatic indices were 1.18 and 1.39, respectively. Although </w:t>
      </w:r>
      <w:r w:rsidRPr="00360D49">
        <w:rPr>
          <w:i/>
          <w:iCs/>
          <w:sz w:val="24"/>
          <w:szCs w:val="24"/>
        </w:rPr>
        <w:t>Trichoderma</w:t>
      </w:r>
      <w:r w:rsidRPr="00360D49">
        <w:rPr>
          <w:sz w:val="24"/>
          <w:szCs w:val="24"/>
        </w:rPr>
        <w:t xml:space="preserve"> sp. CICR2 and </w:t>
      </w:r>
      <w:r w:rsidRPr="00360D49">
        <w:rPr>
          <w:i/>
          <w:iCs/>
          <w:sz w:val="24"/>
          <w:szCs w:val="24"/>
        </w:rPr>
        <w:t>Alternaria</w:t>
      </w:r>
      <w:r w:rsidRPr="00360D49">
        <w:rPr>
          <w:sz w:val="24"/>
          <w:szCs w:val="24"/>
        </w:rPr>
        <w:t xml:space="preserve"> sp. CICR4 did not show lignolytic activity, they exhibited comparable cellulolytic indices (1.18 and 1.20), confirming their potential in cellulose hydrolysis.</w:t>
      </w:r>
    </w:p>
    <w:p w14:paraId="527B6EC4" w14:textId="77777777" w:rsidR="00551AF7" w:rsidRPr="00360D49" w:rsidRDefault="00551AF7" w:rsidP="00360D49">
      <w:pPr>
        <w:spacing w:line="480" w:lineRule="auto"/>
        <w:ind w:left="360"/>
        <w:jc w:val="both"/>
        <w:rPr>
          <w:sz w:val="24"/>
          <w:szCs w:val="24"/>
        </w:rPr>
      </w:pPr>
      <w:r w:rsidRPr="00360D49">
        <w:rPr>
          <w:sz w:val="24"/>
          <w:szCs w:val="24"/>
        </w:rPr>
        <w:t xml:space="preserve">These observations align with previous reports highlighting </w:t>
      </w:r>
      <w:r w:rsidRPr="00360D49">
        <w:rPr>
          <w:i/>
          <w:iCs/>
          <w:sz w:val="24"/>
          <w:szCs w:val="24"/>
        </w:rPr>
        <w:t>Trichoderma</w:t>
      </w:r>
      <w:r w:rsidRPr="00360D49">
        <w:rPr>
          <w:sz w:val="24"/>
          <w:szCs w:val="24"/>
        </w:rPr>
        <w:t xml:space="preserve"> and </w:t>
      </w:r>
      <w:r w:rsidRPr="00360D49">
        <w:rPr>
          <w:i/>
          <w:iCs/>
          <w:sz w:val="24"/>
          <w:szCs w:val="24"/>
        </w:rPr>
        <w:t>Penicillium</w:t>
      </w:r>
      <w:r w:rsidRPr="00360D49">
        <w:rPr>
          <w:sz w:val="24"/>
          <w:szCs w:val="24"/>
        </w:rPr>
        <w:t xml:space="preserve"> as dominant soil fungi with remarkable lignocellulolytic capabilities (Vaishnav et al., 2018; </w:t>
      </w:r>
      <w:proofErr w:type="spellStart"/>
      <w:r w:rsidRPr="00360D49">
        <w:rPr>
          <w:sz w:val="24"/>
          <w:szCs w:val="24"/>
        </w:rPr>
        <w:t>Vassileva</w:t>
      </w:r>
      <w:proofErr w:type="spellEnd"/>
      <w:r w:rsidRPr="00360D49">
        <w:rPr>
          <w:sz w:val="24"/>
          <w:szCs w:val="24"/>
        </w:rPr>
        <w:t xml:space="preserve"> et al., 2022). Their presence in cultivated soils enhances nutrient cycling and soil microbiome health, which are crucial for sustainable agriculture (Lima et al., 2024).</w:t>
      </w:r>
    </w:p>
    <w:p w14:paraId="645530EA" w14:textId="77777777" w:rsidR="00551AF7" w:rsidRPr="00360D49" w:rsidRDefault="00551AF7" w:rsidP="00360D49">
      <w:pPr>
        <w:spacing w:line="480" w:lineRule="auto"/>
        <w:ind w:left="360"/>
        <w:jc w:val="both"/>
        <w:rPr>
          <w:b/>
          <w:bCs/>
          <w:sz w:val="24"/>
          <w:szCs w:val="24"/>
        </w:rPr>
      </w:pPr>
      <w:r w:rsidRPr="00360D49">
        <w:rPr>
          <w:b/>
          <w:bCs/>
          <w:sz w:val="24"/>
          <w:szCs w:val="24"/>
        </w:rPr>
        <w:t>Indole Acetic Acid (IAA) Production</w:t>
      </w:r>
    </w:p>
    <w:p w14:paraId="33426770" w14:textId="77777777" w:rsidR="00551AF7" w:rsidRPr="00360D49" w:rsidRDefault="00551AF7" w:rsidP="00360D49">
      <w:pPr>
        <w:spacing w:line="480" w:lineRule="auto"/>
        <w:ind w:left="360"/>
        <w:jc w:val="both"/>
        <w:rPr>
          <w:sz w:val="24"/>
          <w:szCs w:val="24"/>
        </w:rPr>
      </w:pPr>
      <w:r w:rsidRPr="00360D49">
        <w:rPr>
          <w:sz w:val="24"/>
          <w:szCs w:val="24"/>
        </w:rPr>
        <w:lastRenderedPageBreak/>
        <w:t xml:space="preserve">Among the four isolates tested for IAA production, </w:t>
      </w:r>
      <w:r w:rsidRPr="00360D49">
        <w:rPr>
          <w:i/>
          <w:iCs/>
          <w:sz w:val="24"/>
          <w:szCs w:val="24"/>
        </w:rPr>
        <w:t>Trichoderma</w:t>
      </w:r>
      <w:r w:rsidRPr="00360D49">
        <w:rPr>
          <w:sz w:val="24"/>
          <w:szCs w:val="24"/>
        </w:rPr>
        <w:t xml:space="preserve"> sp. CICR2 produced the highest IAA concentration (31.6 µg mL⁻¹), followed by </w:t>
      </w:r>
      <w:r w:rsidRPr="00360D49">
        <w:rPr>
          <w:i/>
          <w:iCs/>
          <w:sz w:val="24"/>
          <w:szCs w:val="24"/>
        </w:rPr>
        <w:t>Alternaria</w:t>
      </w:r>
      <w:r w:rsidRPr="00360D49">
        <w:rPr>
          <w:sz w:val="24"/>
          <w:szCs w:val="24"/>
        </w:rPr>
        <w:t xml:space="preserve"> sp. CICR4 (25.8 µg mL⁻¹), while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recorded the lowest (19.2 µg mL⁻¹). The ability of these isolates to produce IAA suggests their potential as plant growth-promoting fungi (PGPF), offering dual benefits in both waste degradation and soil fertility enhancement.</w:t>
      </w:r>
    </w:p>
    <w:p w14:paraId="1586F2C8" w14:textId="77777777" w:rsidR="00551AF7" w:rsidRPr="00360D49" w:rsidRDefault="00551AF7" w:rsidP="00360D49">
      <w:pPr>
        <w:spacing w:line="480" w:lineRule="auto"/>
        <w:ind w:left="360"/>
        <w:jc w:val="both"/>
        <w:rPr>
          <w:b/>
          <w:bCs/>
          <w:sz w:val="24"/>
          <w:szCs w:val="24"/>
        </w:rPr>
      </w:pPr>
      <w:r w:rsidRPr="00360D49">
        <w:rPr>
          <w:b/>
          <w:bCs/>
          <w:sz w:val="24"/>
          <w:szCs w:val="24"/>
        </w:rPr>
        <w:t>Cellulolytic Enzyme Activities</w:t>
      </w:r>
    </w:p>
    <w:p w14:paraId="751C93E2" w14:textId="4651EACC" w:rsidR="00551AF7" w:rsidRPr="00360D49" w:rsidRDefault="00551AF7" w:rsidP="00360D49">
      <w:pPr>
        <w:spacing w:line="480" w:lineRule="auto"/>
        <w:ind w:left="360"/>
        <w:jc w:val="both"/>
        <w:rPr>
          <w:sz w:val="24"/>
          <w:szCs w:val="24"/>
        </w:rPr>
      </w:pPr>
      <w:r w:rsidRPr="00360D49">
        <w:rPr>
          <w:sz w:val="24"/>
          <w:szCs w:val="24"/>
        </w:rPr>
        <w:t xml:space="preserve">Quantitative analysis revealed significant variation in enzyme production among the isolates. </w:t>
      </w:r>
      <w:r w:rsidR="005910A3" w:rsidRPr="00360D49">
        <w:rPr>
          <w:i/>
          <w:iCs/>
          <w:color w:val="000000"/>
          <w:sz w:val="24"/>
          <w:szCs w:val="24"/>
        </w:rPr>
        <w:t xml:space="preserve">Alternaria sp. </w:t>
      </w:r>
      <w:r w:rsidR="005910A3" w:rsidRPr="00360D49">
        <w:rPr>
          <w:color w:val="000000"/>
          <w:sz w:val="24"/>
          <w:szCs w:val="24"/>
        </w:rPr>
        <w:t>CICR4</w:t>
      </w:r>
      <w:r w:rsidR="005910A3">
        <w:rPr>
          <w:color w:val="000000"/>
          <w:sz w:val="24"/>
          <w:szCs w:val="24"/>
        </w:rPr>
        <w:t xml:space="preserve"> </w:t>
      </w:r>
      <w:r w:rsidRPr="00360D49">
        <w:rPr>
          <w:sz w:val="24"/>
          <w:szCs w:val="24"/>
        </w:rPr>
        <w:t xml:space="preserve">exhibited the highest </w:t>
      </w:r>
      <w:proofErr w:type="spellStart"/>
      <w:r w:rsidRPr="00360D49">
        <w:rPr>
          <w:sz w:val="24"/>
          <w:szCs w:val="24"/>
        </w:rPr>
        <w:t>CMCase</w:t>
      </w:r>
      <w:proofErr w:type="spellEnd"/>
      <w:r w:rsidRPr="00360D49">
        <w:rPr>
          <w:sz w:val="24"/>
          <w:szCs w:val="24"/>
        </w:rPr>
        <w:t xml:space="preserve"> activity (</w:t>
      </w:r>
      <w:r w:rsidR="005910A3">
        <w:rPr>
          <w:sz w:val="24"/>
          <w:szCs w:val="24"/>
        </w:rPr>
        <w:t>30.46</w:t>
      </w:r>
      <w:r w:rsidRPr="00360D49">
        <w:rPr>
          <w:sz w:val="24"/>
          <w:szCs w:val="24"/>
        </w:rPr>
        <w:t xml:space="preserve"> IU mL⁻¹), followed by </w:t>
      </w:r>
      <w:r w:rsidR="00C6233B" w:rsidRPr="00360D49">
        <w:rPr>
          <w:i/>
          <w:iCs/>
          <w:color w:val="000000"/>
          <w:sz w:val="24"/>
          <w:szCs w:val="24"/>
        </w:rPr>
        <w:t xml:space="preserve">Trichoderma sp. </w:t>
      </w:r>
      <w:r w:rsidR="00C6233B" w:rsidRPr="00360D49">
        <w:rPr>
          <w:color w:val="000000"/>
          <w:sz w:val="24"/>
          <w:szCs w:val="24"/>
        </w:rPr>
        <w:t>CICR2</w:t>
      </w:r>
      <w:r w:rsidR="00C6233B" w:rsidRPr="00360D49">
        <w:rPr>
          <w:i/>
          <w:iCs/>
          <w:color w:val="000000"/>
          <w:sz w:val="24"/>
          <w:szCs w:val="24"/>
        </w:rPr>
        <w:t xml:space="preserve"> </w:t>
      </w:r>
      <w:r w:rsidRPr="00360D49">
        <w:rPr>
          <w:sz w:val="24"/>
          <w:szCs w:val="24"/>
        </w:rPr>
        <w:t>(2</w:t>
      </w:r>
      <w:r w:rsidR="00C6233B">
        <w:rPr>
          <w:sz w:val="24"/>
          <w:szCs w:val="24"/>
        </w:rPr>
        <w:t>3</w:t>
      </w:r>
      <w:r w:rsidRPr="00360D49">
        <w:rPr>
          <w:sz w:val="24"/>
          <w:szCs w:val="24"/>
        </w:rPr>
        <w:t>.3</w:t>
      </w:r>
      <w:r w:rsidR="00C6233B">
        <w:rPr>
          <w:sz w:val="24"/>
          <w:szCs w:val="24"/>
        </w:rPr>
        <w:t>5</w:t>
      </w:r>
      <w:r w:rsidRPr="00360D49">
        <w:rPr>
          <w:sz w:val="24"/>
          <w:szCs w:val="24"/>
        </w:rPr>
        <w:t xml:space="preserve"> IU mL⁻¹). In contrast, </w:t>
      </w:r>
      <w:r w:rsidR="00C6233B" w:rsidRPr="00360D49">
        <w:rPr>
          <w:i/>
          <w:iCs/>
          <w:color w:val="000000"/>
          <w:sz w:val="24"/>
          <w:szCs w:val="24"/>
        </w:rPr>
        <w:t xml:space="preserve">T. </w:t>
      </w:r>
      <w:proofErr w:type="spellStart"/>
      <w:r w:rsidR="00C6233B" w:rsidRPr="00360D49">
        <w:rPr>
          <w:i/>
          <w:iCs/>
          <w:color w:val="000000"/>
          <w:sz w:val="24"/>
          <w:szCs w:val="24"/>
        </w:rPr>
        <w:t>asperellum</w:t>
      </w:r>
      <w:proofErr w:type="spellEnd"/>
      <w:r w:rsidR="00C6233B" w:rsidRPr="00360D49">
        <w:rPr>
          <w:i/>
          <w:iCs/>
          <w:color w:val="000000"/>
          <w:sz w:val="24"/>
          <w:szCs w:val="24"/>
        </w:rPr>
        <w:t xml:space="preserve"> </w:t>
      </w:r>
      <w:r w:rsidR="00C6233B" w:rsidRPr="00360D49">
        <w:rPr>
          <w:color w:val="000000"/>
          <w:sz w:val="24"/>
          <w:szCs w:val="24"/>
        </w:rPr>
        <w:t>CICR1</w:t>
      </w:r>
      <w:r w:rsidR="00C6233B">
        <w:rPr>
          <w:color w:val="000000"/>
          <w:sz w:val="24"/>
          <w:szCs w:val="24"/>
        </w:rPr>
        <w:t xml:space="preserve"> </w:t>
      </w:r>
      <w:r w:rsidRPr="00360D49">
        <w:rPr>
          <w:sz w:val="24"/>
          <w:szCs w:val="24"/>
        </w:rPr>
        <w:t xml:space="preserve">showed the lowest </w:t>
      </w:r>
      <w:proofErr w:type="spellStart"/>
      <w:r w:rsidRPr="00360D49">
        <w:rPr>
          <w:sz w:val="24"/>
          <w:szCs w:val="24"/>
        </w:rPr>
        <w:t>CMCase</w:t>
      </w:r>
      <w:proofErr w:type="spellEnd"/>
      <w:r w:rsidRPr="00360D49">
        <w:rPr>
          <w:sz w:val="24"/>
          <w:szCs w:val="24"/>
        </w:rPr>
        <w:t xml:space="preserve"> activity (</w:t>
      </w:r>
      <w:r w:rsidR="005F174B">
        <w:rPr>
          <w:sz w:val="24"/>
          <w:szCs w:val="24"/>
        </w:rPr>
        <w:t xml:space="preserve">8.63 </w:t>
      </w:r>
      <w:r w:rsidRPr="00360D49">
        <w:rPr>
          <w:sz w:val="24"/>
          <w:szCs w:val="24"/>
        </w:rPr>
        <w:t xml:space="preserve">IU mL⁻¹). The highest β-glucosidase activity was recorded in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(40.8 IU mL⁻¹), followed by </w:t>
      </w:r>
      <w:r w:rsidRPr="00360D49">
        <w:rPr>
          <w:i/>
          <w:iCs/>
          <w:sz w:val="24"/>
          <w:szCs w:val="24"/>
        </w:rPr>
        <w:t>Trichoderma</w:t>
      </w:r>
      <w:r w:rsidRPr="00360D49">
        <w:rPr>
          <w:sz w:val="24"/>
          <w:szCs w:val="24"/>
        </w:rPr>
        <w:t xml:space="preserve"> sp. CICR2 (22.9 IU mL⁻¹). Conversely,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exhibited the lowest β-glucosidase activity (9.2 IU mL⁻¹). </w:t>
      </w:r>
      <w:r w:rsidRPr="00360D49">
        <w:rPr>
          <w:i/>
          <w:iCs/>
          <w:sz w:val="24"/>
          <w:szCs w:val="24"/>
        </w:rPr>
        <w:t>Alternaria</w:t>
      </w:r>
      <w:r w:rsidRPr="00360D49">
        <w:rPr>
          <w:sz w:val="24"/>
          <w:szCs w:val="24"/>
        </w:rPr>
        <w:t xml:space="preserve"> sp. CICR4 demonstrated superior </w:t>
      </w:r>
      <w:proofErr w:type="spellStart"/>
      <w:r w:rsidRPr="00360D49">
        <w:rPr>
          <w:sz w:val="24"/>
          <w:szCs w:val="24"/>
        </w:rPr>
        <w:t>FPase</w:t>
      </w:r>
      <w:proofErr w:type="spellEnd"/>
      <w:r w:rsidRPr="00360D49">
        <w:rPr>
          <w:sz w:val="24"/>
          <w:szCs w:val="24"/>
        </w:rPr>
        <w:t xml:space="preserve"> activity (25.6 IU mL⁻¹), followed by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(23.6 IU mL⁻¹), indicating its ability to degrade crystalline cellulose components effectively.</w:t>
      </w:r>
    </w:p>
    <w:p w14:paraId="64622BE7" w14:textId="77777777" w:rsidR="00551AF7" w:rsidRPr="00360D49" w:rsidRDefault="00551AF7" w:rsidP="00360D49">
      <w:pPr>
        <w:spacing w:line="480" w:lineRule="auto"/>
        <w:ind w:left="360"/>
        <w:jc w:val="both"/>
        <w:rPr>
          <w:sz w:val="24"/>
          <w:szCs w:val="24"/>
        </w:rPr>
      </w:pPr>
      <w:r w:rsidRPr="00360D49">
        <w:rPr>
          <w:sz w:val="24"/>
          <w:szCs w:val="24"/>
        </w:rPr>
        <w:t xml:space="preserve">These findings indicate that different fungal isolates possess distinct enzymatic strengths, a characteristic that can be strategically harnessed in biotechnological applications. Similar enzyme diversity has been observed in </w:t>
      </w:r>
      <w:r w:rsidRPr="00360D49">
        <w:rPr>
          <w:i/>
          <w:iCs/>
          <w:sz w:val="24"/>
          <w:szCs w:val="24"/>
        </w:rPr>
        <w:t>Trichoderma</w:t>
      </w:r>
      <w:r w:rsidRPr="00360D49">
        <w:rPr>
          <w:sz w:val="24"/>
          <w:szCs w:val="24"/>
        </w:rPr>
        <w:t xml:space="preserve"> and </w:t>
      </w:r>
      <w:r w:rsidRPr="00360D49">
        <w:rPr>
          <w:i/>
          <w:iCs/>
          <w:sz w:val="24"/>
          <w:szCs w:val="24"/>
        </w:rPr>
        <w:t>Penicillium</w:t>
      </w:r>
      <w:r w:rsidRPr="00360D49">
        <w:rPr>
          <w:sz w:val="24"/>
          <w:szCs w:val="24"/>
        </w:rPr>
        <w:t xml:space="preserve"> species by Müller et al. (2021), underscoring their role in efficient lignocellulose breakdown.</w:t>
      </w:r>
    </w:p>
    <w:p w14:paraId="253B1EDA" w14:textId="77777777" w:rsidR="00551AF7" w:rsidRPr="00360D49" w:rsidRDefault="00551AF7" w:rsidP="00360D49">
      <w:pPr>
        <w:spacing w:line="480" w:lineRule="auto"/>
        <w:ind w:left="360"/>
        <w:jc w:val="both"/>
        <w:rPr>
          <w:b/>
          <w:bCs/>
          <w:sz w:val="24"/>
          <w:szCs w:val="24"/>
        </w:rPr>
      </w:pPr>
      <w:r w:rsidRPr="00360D49">
        <w:rPr>
          <w:b/>
          <w:bCs/>
          <w:sz w:val="24"/>
          <w:szCs w:val="24"/>
        </w:rPr>
        <w:t>Effect of Temperature on Cellulolytic Enzyme Activity</w:t>
      </w:r>
    </w:p>
    <w:p w14:paraId="681B542E" w14:textId="77777777" w:rsidR="00551AF7" w:rsidRPr="00360D49" w:rsidRDefault="00551AF7" w:rsidP="00360D49">
      <w:pPr>
        <w:spacing w:line="480" w:lineRule="auto"/>
        <w:ind w:left="360"/>
        <w:jc w:val="both"/>
        <w:rPr>
          <w:sz w:val="24"/>
          <w:szCs w:val="24"/>
        </w:rPr>
      </w:pPr>
      <w:r w:rsidRPr="00360D49">
        <w:rPr>
          <w:sz w:val="24"/>
          <w:szCs w:val="24"/>
        </w:rPr>
        <w:t xml:space="preserve">Temperature significantly influenced enzyme production across the isolates. </w:t>
      </w:r>
      <w:r w:rsidRPr="00360D49">
        <w:rPr>
          <w:i/>
          <w:iCs/>
          <w:sz w:val="24"/>
          <w:szCs w:val="24"/>
        </w:rPr>
        <w:t>Alternaria</w:t>
      </w:r>
      <w:r w:rsidRPr="00360D49">
        <w:rPr>
          <w:sz w:val="24"/>
          <w:szCs w:val="24"/>
        </w:rPr>
        <w:t xml:space="preserve"> sp. CICR4 showed the highest </w:t>
      </w:r>
      <w:proofErr w:type="spellStart"/>
      <w:r w:rsidRPr="00360D49">
        <w:rPr>
          <w:sz w:val="24"/>
          <w:szCs w:val="24"/>
        </w:rPr>
        <w:t>CMCase</w:t>
      </w:r>
      <w:proofErr w:type="spellEnd"/>
      <w:r w:rsidRPr="00360D49">
        <w:rPr>
          <w:sz w:val="24"/>
          <w:szCs w:val="24"/>
        </w:rPr>
        <w:t xml:space="preserve"> activity at both 30°C (30.4 IU mL⁻¹) and 35°C (21.9 IU </w:t>
      </w:r>
      <w:r w:rsidRPr="00360D49">
        <w:rPr>
          <w:sz w:val="24"/>
          <w:szCs w:val="24"/>
        </w:rPr>
        <w:lastRenderedPageBreak/>
        <w:t xml:space="preserve">mL⁻¹). </w:t>
      </w:r>
      <w:r w:rsidRPr="00360D49">
        <w:rPr>
          <w:i/>
          <w:iCs/>
          <w:sz w:val="24"/>
          <w:szCs w:val="24"/>
        </w:rPr>
        <w:t>Trichoderma</w:t>
      </w:r>
      <w:r w:rsidRPr="00360D49">
        <w:rPr>
          <w:sz w:val="24"/>
          <w:szCs w:val="24"/>
        </w:rPr>
        <w:t xml:space="preserve"> sp. CICR2 displayed reduced activity at higher temperature, decreasing from 23.3 IU mL⁻¹ (30°C) to 2.5 IU mL⁻¹ (35°C). The β-glucosidase activity was strongly temperature-dependent, with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exhibiting maximum activity (40.8 IU mL⁻¹) at 30°C, while </w:t>
      </w:r>
      <w:r w:rsidRPr="00360D49">
        <w:rPr>
          <w:i/>
          <w:iCs/>
          <w:sz w:val="24"/>
          <w:szCs w:val="24"/>
        </w:rPr>
        <w:t>Alternaria</w:t>
      </w:r>
      <w:r w:rsidRPr="00360D49">
        <w:rPr>
          <w:sz w:val="24"/>
          <w:szCs w:val="24"/>
        </w:rPr>
        <w:t xml:space="preserve"> sp. CICR4 retained moderate activity (10.5 IU mL⁻¹) at 35°C. </w:t>
      </w:r>
      <w:proofErr w:type="spellStart"/>
      <w:r w:rsidRPr="00360D49">
        <w:rPr>
          <w:sz w:val="24"/>
          <w:szCs w:val="24"/>
        </w:rPr>
        <w:t>FPase</w:t>
      </w:r>
      <w:proofErr w:type="spellEnd"/>
      <w:r w:rsidRPr="00360D49">
        <w:rPr>
          <w:sz w:val="24"/>
          <w:szCs w:val="24"/>
        </w:rPr>
        <w:t xml:space="preserve"> activity also peaked in </w:t>
      </w:r>
      <w:r w:rsidRPr="00360D49">
        <w:rPr>
          <w:i/>
          <w:iCs/>
          <w:sz w:val="24"/>
          <w:szCs w:val="24"/>
        </w:rPr>
        <w:t>Alternaria</w:t>
      </w:r>
      <w:r w:rsidRPr="00360D49">
        <w:rPr>
          <w:sz w:val="24"/>
          <w:szCs w:val="24"/>
        </w:rPr>
        <w:t xml:space="preserve"> sp. CICR4 (25.6 IU mL⁻¹) and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(23.6 IU mL⁻¹) at 30°C, but declined at elevated temperatures.</w:t>
      </w:r>
    </w:p>
    <w:p w14:paraId="7B795162" w14:textId="77777777" w:rsidR="00551AF7" w:rsidRPr="00360D49" w:rsidRDefault="00551AF7" w:rsidP="00360D49">
      <w:pPr>
        <w:spacing w:line="480" w:lineRule="auto"/>
        <w:ind w:left="360"/>
        <w:jc w:val="both"/>
        <w:rPr>
          <w:sz w:val="24"/>
          <w:szCs w:val="24"/>
        </w:rPr>
      </w:pPr>
      <w:r w:rsidRPr="00360D49">
        <w:rPr>
          <w:sz w:val="24"/>
          <w:szCs w:val="24"/>
        </w:rPr>
        <w:t>These results suggest that moderate temperatures (around 30°C) are optimal for maximum cellulolytic enzyme production in these fungal species. The sensitivity of enzymatic activity to temperature variations reflects the adaptive metabolic mechanisms of soil fungi involved in biomass degradation.</w:t>
      </w:r>
    </w:p>
    <w:p w14:paraId="78341349" w14:textId="77777777" w:rsidR="00551AF7" w:rsidRPr="00360D49" w:rsidRDefault="00551AF7" w:rsidP="00360D49">
      <w:pPr>
        <w:spacing w:line="480" w:lineRule="auto"/>
        <w:ind w:left="360"/>
        <w:jc w:val="both"/>
        <w:rPr>
          <w:b/>
          <w:bCs/>
          <w:sz w:val="24"/>
          <w:szCs w:val="24"/>
        </w:rPr>
      </w:pPr>
      <w:r w:rsidRPr="00360D49">
        <w:rPr>
          <w:b/>
          <w:bCs/>
          <w:sz w:val="24"/>
          <w:szCs w:val="24"/>
        </w:rPr>
        <w:t>Lignocellulolytic Activities under Solid-State Fermentation (SSF)</w:t>
      </w:r>
    </w:p>
    <w:p w14:paraId="00D4CCF0" w14:textId="77777777" w:rsidR="00551AF7" w:rsidRPr="00360D49" w:rsidRDefault="00551AF7" w:rsidP="00360D49">
      <w:pPr>
        <w:spacing w:line="480" w:lineRule="auto"/>
        <w:ind w:left="360"/>
        <w:jc w:val="both"/>
        <w:rPr>
          <w:sz w:val="24"/>
          <w:szCs w:val="24"/>
        </w:rPr>
      </w:pPr>
      <w:r w:rsidRPr="00360D49">
        <w:rPr>
          <w:sz w:val="24"/>
          <w:szCs w:val="24"/>
        </w:rPr>
        <w:t xml:space="preserve">Under solid-state fermentation of cotton stalks, only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and their co-culture were evaluated due to the absence of laccase activity in </w:t>
      </w:r>
      <w:r w:rsidRPr="00360D49">
        <w:rPr>
          <w:i/>
          <w:iCs/>
          <w:sz w:val="24"/>
          <w:szCs w:val="24"/>
        </w:rPr>
        <w:t>Alternaria</w:t>
      </w:r>
      <w:r w:rsidRPr="00360D49">
        <w:rPr>
          <w:sz w:val="24"/>
          <w:szCs w:val="24"/>
        </w:rPr>
        <w:t xml:space="preserve"> sp. CICR4. The co-culture treatment exhibited a significant improvement in enzyme activities compared to individual inoculations. </w:t>
      </w:r>
      <w:proofErr w:type="spellStart"/>
      <w:r w:rsidRPr="00360D49">
        <w:rPr>
          <w:sz w:val="24"/>
          <w:szCs w:val="24"/>
        </w:rPr>
        <w:t>CMCase</w:t>
      </w:r>
      <w:proofErr w:type="spellEnd"/>
      <w:r w:rsidRPr="00360D49">
        <w:rPr>
          <w:sz w:val="24"/>
          <w:szCs w:val="24"/>
        </w:rPr>
        <w:t xml:space="preserve"> activity increased to 28.4 IU mL⁻¹ in co-culture, representing a 32% and 89% enhancement over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and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alone, respectively. Similarly, β-glucosidase activity increased to 21.7 IU mL⁻¹ in co-culture, a 29–30% improvement over the individual inoculations. </w:t>
      </w:r>
      <w:proofErr w:type="spellStart"/>
      <w:r w:rsidRPr="00360D49">
        <w:rPr>
          <w:sz w:val="24"/>
          <w:szCs w:val="24"/>
        </w:rPr>
        <w:t>FPase</w:t>
      </w:r>
      <w:proofErr w:type="spellEnd"/>
      <w:r w:rsidRPr="00360D49">
        <w:rPr>
          <w:sz w:val="24"/>
          <w:szCs w:val="24"/>
        </w:rPr>
        <w:t xml:space="preserve"> activity also rose markedly to 24.4 IU mL⁻¹, corresponding to 52% and 105% increases compared with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and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respectively.</w:t>
      </w:r>
    </w:p>
    <w:p w14:paraId="7EC6B893" w14:textId="77777777" w:rsidR="00551AF7" w:rsidRPr="00360D49" w:rsidRDefault="00551AF7" w:rsidP="00360D49">
      <w:pPr>
        <w:spacing w:line="480" w:lineRule="auto"/>
        <w:ind w:left="360"/>
        <w:jc w:val="both"/>
        <w:rPr>
          <w:sz w:val="24"/>
          <w:szCs w:val="24"/>
        </w:rPr>
      </w:pPr>
      <w:r w:rsidRPr="00360D49">
        <w:rPr>
          <w:sz w:val="24"/>
          <w:szCs w:val="24"/>
        </w:rPr>
        <w:t xml:space="preserve">Interestingly, co-culturing resulted in a 14% reduction in laccase activity compared with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alone, possibly due to competitive interactions between the isolates. </w:t>
      </w:r>
      <w:r w:rsidRPr="00360D49">
        <w:rPr>
          <w:sz w:val="24"/>
          <w:szCs w:val="24"/>
        </w:rPr>
        <w:lastRenderedPageBreak/>
        <w:t>These findings align with Guo et al. (2024) and Kolasa et al. (2014), who reported that co-culturing complementary fungi can synergistically enhance enzyme yields by promoting cross-feeding and cooperative metabolism, though not all enzyme systems benefit equally.</w:t>
      </w:r>
    </w:p>
    <w:p w14:paraId="2FB25272" w14:textId="77777777" w:rsidR="00551AF7" w:rsidRPr="00360D49" w:rsidRDefault="00551AF7" w:rsidP="00360D49">
      <w:pPr>
        <w:spacing w:line="480" w:lineRule="auto"/>
        <w:ind w:left="360"/>
        <w:jc w:val="both"/>
        <w:rPr>
          <w:sz w:val="24"/>
          <w:szCs w:val="24"/>
        </w:rPr>
      </w:pPr>
      <w:r w:rsidRPr="00360D49">
        <w:rPr>
          <w:sz w:val="24"/>
          <w:szCs w:val="24"/>
        </w:rPr>
        <w:t xml:space="preserve">The results emphasize the strong lignocellulolytic potential of the isolated fungal strains, particularly </w:t>
      </w:r>
      <w:r w:rsidRPr="00360D49">
        <w:rPr>
          <w:i/>
          <w:iCs/>
          <w:sz w:val="24"/>
          <w:szCs w:val="24"/>
        </w:rPr>
        <w:t xml:space="preserve">Trichoderma </w:t>
      </w:r>
      <w:proofErr w:type="spellStart"/>
      <w:r w:rsidRPr="00360D49">
        <w:rPr>
          <w:i/>
          <w:iCs/>
          <w:sz w:val="24"/>
          <w:szCs w:val="24"/>
        </w:rPr>
        <w:t>asperellum</w:t>
      </w:r>
      <w:proofErr w:type="spellEnd"/>
      <w:r w:rsidRPr="00360D49">
        <w:rPr>
          <w:sz w:val="24"/>
          <w:szCs w:val="24"/>
        </w:rPr>
        <w:t xml:space="preserve"> CICR1 and </w:t>
      </w:r>
      <w:r w:rsidRPr="00360D49">
        <w:rPr>
          <w:i/>
          <w:iCs/>
          <w:sz w:val="24"/>
          <w:szCs w:val="24"/>
        </w:rPr>
        <w:t xml:space="preserve">Penicillium </w:t>
      </w:r>
      <w:proofErr w:type="spellStart"/>
      <w:r w:rsidRPr="00360D49">
        <w:rPr>
          <w:i/>
          <w:iCs/>
          <w:sz w:val="24"/>
          <w:szCs w:val="24"/>
        </w:rPr>
        <w:t>chrysogenum</w:t>
      </w:r>
      <w:proofErr w:type="spellEnd"/>
      <w:r w:rsidRPr="00360D49">
        <w:rPr>
          <w:sz w:val="24"/>
          <w:szCs w:val="24"/>
        </w:rPr>
        <w:t xml:space="preserve"> CICR3. The enhanced enzymatic activities observed under co-culture conditions highlight the synergistic interactions between these fungi, leading to more efficient cellulose and hemicellulose degradation. Co-culturing promotes complementary enzyme production pathways, thereby accelerating lignocellulose decomposition and improving substrate utilization efficiency.</w:t>
      </w:r>
    </w:p>
    <w:p w14:paraId="6711B2E2" w14:textId="77777777" w:rsidR="00551AF7" w:rsidRPr="00360D49" w:rsidRDefault="00551AF7" w:rsidP="00360D49">
      <w:pPr>
        <w:spacing w:line="480" w:lineRule="auto"/>
        <w:ind w:left="360"/>
        <w:jc w:val="both"/>
        <w:rPr>
          <w:sz w:val="24"/>
          <w:szCs w:val="24"/>
        </w:rPr>
      </w:pPr>
      <w:r w:rsidRPr="00360D49">
        <w:rPr>
          <w:sz w:val="24"/>
          <w:szCs w:val="24"/>
        </w:rPr>
        <w:t xml:space="preserve">The ability of these fungi to produce IAA further strengthens their potential role as bioresources in sustainable agriculture, contributing to both waste </w:t>
      </w:r>
      <w:proofErr w:type="spellStart"/>
      <w:r w:rsidRPr="00360D49">
        <w:rPr>
          <w:sz w:val="24"/>
          <w:szCs w:val="24"/>
        </w:rPr>
        <w:t>valorization</w:t>
      </w:r>
      <w:proofErr w:type="spellEnd"/>
      <w:r w:rsidRPr="00360D49">
        <w:rPr>
          <w:sz w:val="24"/>
          <w:szCs w:val="24"/>
        </w:rPr>
        <w:t xml:space="preserve"> and soil fertility enhancement. As noted by Choudhary et al. (2015, 2016), fungal-mediated degradation of agricultural residues offers a viable alternative to burning, reducing greenhouse gas emissions and improving soil organic matter.</w:t>
      </w:r>
    </w:p>
    <w:p w14:paraId="2D086F48" w14:textId="77777777" w:rsidR="00551AF7" w:rsidRPr="00360D49" w:rsidRDefault="00551AF7" w:rsidP="00360D49">
      <w:pPr>
        <w:spacing w:line="480" w:lineRule="auto"/>
        <w:ind w:left="360"/>
        <w:jc w:val="both"/>
        <w:rPr>
          <w:sz w:val="24"/>
          <w:szCs w:val="24"/>
        </w:rPr>
      </w:pPr>
      <w:r w:rsidRPr="00360D49">
        <w:rPr>
          <w:sz w:val="24"/>
          <w:szCs w:val="24"/>
        </w:rPr>
        <w:t>The findings also demonstrate that enzyme activities are strain-specific and temperature-dependent, indicating the importance of optimizing fermentation conditions for maximum bioconversion efficiency. The consistency of these results with previous studies (</w:t>
      </w:r>
      <w:proofErr w:type="spellStart"/>
      <w:r w:rsidRPr="00360D49">
        <w:rPr>
          <w:sz w:val="24"/>
          <w:szCs w:val="24"/>
        </w:rPr>
        <w:t>Civzele</w:t>
      </w:r>
      <w:proofErr w:type="spellEnd"/>
      <w:r w:rsidRPr="00360D49">
        <w:rPr>
          <w:sz w:val="24"/>
          <w:szCs w:val="24"/>
        </w:rPr>
        <w:t xml:space="preserve"> &amp; </w:t>
      </w:r>
      <w:proofErr w:type="spellStart"/>
      <w:r w:rsidRPr="00360D49">
        <w:rPr>
          <w:sz w:val="24"/>
          <w:szCs w:val="24"/>
        </w:rPr>
        <w:t>Mezule</w:t>
      </w:r>
      <w:proofErr w:type="spellEnd"/>
      <w:r w:rsidRPr="00360D49">
        <w:rPr>
          <w:sz w:val="24"/>
          <w:szCs w:val="24"/>
        </w:rPr>
        <w:t xml:space="preserve">, 2024; Lima et al., 2024) confirms that </w:t>
      </w:r>
      <w:r w:rsidRPr="00360D49">
        <w:rPr>
          <w:i/>
          <w:iCs/>
          <w:sz w:val="24"/>
          <w:szCs w:val="24"/>
        </w:rPr>
        <w:t>Trichoderma</w:t>
      </w:r>
      <w:r w:rsidRPr="00360D49">
        <w:rPr>
          <w:sz w:val="24"/>
          <w:szCs w:val="24"/>
        </w:rPr>
        <w:t xml:space="preserve"> and </w:t>
      </w:r>
      <w:r w:rsidRPr="00360D49">
        <w:rPr>
          <w:i/>
          <w:iCs/>
          <w:sz w:val="24"/>
          <w:szCs w:val="24"/>
        </w:rPr>
        <w:t>Penicillium</w:t>
      </w:r>
      <w:r w:rsidRPr="00360D49">
        <w:rPr>
          <w:sz w:val="24"/>
          <w:szCs w:val="24"/>
        </w:rPr>
        <w:t xml:space="preserve"> species remain among the most promising candidates for large-scale lignocellulosic waste bioconversion.</w:t>
      </w:r>
    </w:p>
    <w:p w14:paraId="567D00A2" w14:textId="77777777" w:rsidR="00551AF7" w:rsidRPr="00360D49" w:rsidRDefault="00551AF7" w:rsidP="00360D49">
      <w:pPr>
        <w:spacing w:line="480" w:lineRule="auto"/>
        <w:ind w:left="360"/>
        <w:jc w:val="both"/>
        <w:rPr>
          <w:sz w:val="24"/>
          <w:szCs w:val="24"/>
        </w:rPr>
      </w:pPr>
      <w:r w:rsidRPr="00360D49">
        <w:rPr>
          <w:sz w:val="24"/>
          <w:szCs w:val="24"/>
        </w:rPr>
        <w:t xml:space="preserve">The study successfully identified and characterized four lignocellulolytic fungi with significant enzymatic potential for degrading cotton stalks under solid-state fermentation. Among them, </w:t>
      </w:r>
      <w:r w:rsidRPr="00360D49">
        <w:rPr>
          <w:i/>
          <w:iCs/>
          <w:sz w:val="24"/>
          <w:szCs w:val="24"/>
        </w:rPr>
        <w:t xml:space="preserve">P. </w:t>
      </w:r>
      <w:proofErr w:type="spellStart"/>
      <w:r w:rsidRPr="00360D49">
        <w:rPr>
          <w:i/>
          <w:iCs/>
          <w:sz w:val="24"/>
          <w:szCs w:val="24"/>
        </w:rPr>
        <w:t>chrysogenum</w:t>
      </w:r>
      <w:proofErr w:type="spellEnd"/>
      <w:r w:rsidRPr="00360D49">
        <w:rPr>
          <w:sz w:val="24"/>
          <w:szCs w:val="24"/>
        </w:rPr>
        <w:t xml:space="preserve"> CICR3 and </w:t>
      </w:r>
      <w:r w:rsidRPr="00360D49">
        <w:rPr>
          <w:i/>
          <w:iCs/>
          <w:sz w:val="24"/>
          <w:szCs w:val="24"/>
        </w:rPr>
        <w:t xml:space="preserve">T. </w:t>
      </w:r>
      <w:proofErr w:type="spellStart"/>
      <w:r w:rsidRPr="00360D49">
        <w:rPr>
          <w:i/>
          <w:iCs/>
          <w:sz w:val="24"/>
          <w:szCs w:val="24"/>
        </w:rPr>
        <w:t>asperellum</w:t>
      </w:r>
      <w:proofErr w:type="spellEnd"/>
      <w:r w:rsidRPr="00360D49">
        <w:rPr>
          <w:sz w:val="24"/>
          <w:szCs w:val="24"/>
        </w:rPr>
        <w:t xml:space="preserve"> CICR1 demonstrated the highest </w:t>
      </w:r>
      <w:r w:rsidRPr="00360D49">
        <w:rPr>
          <w:sz w:val="24"/>
          <w:szCs w:val="24"/>
        </w:rPr>
        <w:lastRenderedPageBreak/>
        <w:t xml:space="preserve">enzymatic efficiencies, and their co-culture exhibited synergistic improvements in cellulase and </w:t>
      </w:r>
      <w:proofErr w:type="spellStart"/>
      <w:r w:rsidRPr="00360D49">
        <w:rPr>
          <w:sz w:val="24"/>
          <w:szCs w:val="24"/>
        </w:rPr>
        <w:t>FPase</w:t>
      </w:r>
      <w:proofErr w:type="spellEnd"/>
      <w:r w:rsidRPr="00360D49">
        <w:rPr>
          <w:sz w:val="24"/>
          <w:szCs w:val="24"/>
        </w:rPr>
        <w:t xml:space="preserve"> activities. These findings underscore the potential of fungal-based bioconversion as an eco-friendly strategy for managing lignocellulosic agricultural residues. Future research should focus on optimizing SSF parameters and exploring large-scale applications for bioresource recovery and sustainable soil management.</w:t>
      </w:r>
    </w:p>
    <w:p w14:paraId="2FF28FA6" w14:textId="77777777" w:rsidR="005C1ECD" w:rsidRPr="005C1ECD" w:rsidRDefault="005C1ECD" w:rsidP="005C1ECD">
      <w:pPr>
        <w:spacing w:line="480" w:lineRule="auto"/>
        <w:ind w:left="360"/>
        <w:rPr>
          <w:sz w:val="24"/>
          <w:szCs w:val="24"/>
        </w:rPr>
      </w:pPr>
      <w:r w:rsidRPr="005C1ECD">
        <w:rPr>
          <w:b/>
          <w:bCs/>
          <w:sz w:val="24"/>
          <w:szCs w:val="24"/>
        </w:rPr>
        <w:t>Conclusion</w:t>
      </w:r>
    </w:p>
    <w:p w14:paraId="077DA68E" w14:textId="77777777" w:rsidR="005C1ECD" w:rsidRPr="005C1ECD" w:rsidRDefault="005C1ECD" w:rsidP="005C1ECD">
      <w:pPr>
        <w:spacing w:line="480" w:lineRule="auto"/>
        <w:ind w:left="360"/>
        <w:jc w:val="both"/>
        <w:rPr>
          <w:sz w:val="24"/>
          <w:szCs w:val="24"/>
        </w:rPr>
      </w:pPr>
      <w:r w:rsidRPr="005C1ECD">
        <w:rPr>
          <w:sz w:val="24"/>
          <w:szCs w:val="24"/>
        </w:rPr>
        <w:t xml:space="preserve">This study successfully isolated and identified several lignocellulolytic fungal strains from cotton-growing soils, demonstrating their potential for degrading lignocellulosic biomass. The selected fungal isolates showed distinct enzymatic capabilities, indicating their effectiveness in cellulose and lignin degradation. Enzyme production was influenced by environmental factors, with moderate temperature conditions </w:t>
      </w:r>
      <w:proofErr w:type="spellStart"/>
      <w:r w:rsidRPr="005C1ECD">
        <w:rPr>
          <w:sz w:val="24"/>
          <w:szCs w:val="24"/>
        </w:rPr>
        <w:t>favoring</w:t>
      </w:r>
      <w:proofErr w:type="spellEnd"/>
      <w:r w:rsidRPr="005C1ECD">
        <w:rPr>
          <w:sz w:val="24"/>
          <w:szCs w:val="24"/>
        </w:rPr>
        <w:t xml:space="preserve"> higher enzymatic activity. Co-culturing of selected fungi enhanced lignocellulolytic enzyme production, suggesting synergistic interactions that improve substrate degradation efficiency. Overall, the findings highlight the potential of these fungal isolates as eco-friendly biological agents for sustainable management and </w:t>
      </w:r>
      <w:proofErr w:type="spellStart"/>
      <w:r w:rsidRPr="005C1ECD">
        <w:rPr>
          <w:sz w:val="24"/>
          <w:szCs w:val="24"/>
        </w:rPr>
        <w:t>valorization</w:t>
      </w:r>
      <w:proofErr w:type="spellEnd"/>
      <w:r w:rsidRPr="005C1ECD">
        <w:rPr>
          <w:sz w:val="24"/>
          <w:szCs w:val="24"/>
        </w:rPr>
        <w:t xml:space="preserve"> of cotton stalk residues.</w:t>
      </w:r>
    </w:p>
    <w:p w14:paraId="14F2DADA" w14:textId="77777777" w:rsidR="00940976" w:rsidRPr="00940976" w:rsidRDefault="00940976" w:rsidP="00940976">
      <w:pPr>
        <w:spacing w:line="480" w:lineRule="auto"/>
        <w:jc w:val="both"/>
        <w:rPr>
          <w:rFonts w:ascii="Times New Roman" w:hAnsi="Times New Roman" w:cs="Times New Roman"/>
          <w:b/>
          <w:sz w:val="24"/>
          <w:szCs w:val="24"/>
        </w:rPr>
      </w:pPr>
      <w:r w:rsidRPr="00940976">
        <w:rPr>
          <w:rFonts w:ascii="Times New Roman" w:hAnsi="Times New Roman" w:cs="Times New Roman"/>
          <w:b/>
          <w:sz w:val="24"/>
          <w:szCs w:val="24"/>
        </w:rPr>
        <w:t>Disclaimer (Artificial intelligence)</w:t>
      </w:r>
    </w:p>
    <w:p w14:paraId="43C2A56D" w14:textId="77777777" w:rsidR="00940976" w:rsidRPr="00940976" w:rsidRDefault="00940976" w:rsidP="00940976">
      <w:pPr>
        <w:spacing w:line="480" w:lineRule="auto"/>
        <w:jc w:val="both"/>
        <w:rPr>
          <w:rFonts w:ascii="Times New Roman" w:hAnsi="Times New Roman" w:cs="Times New Roman"/>
          <w:sz w:val="24"/>
          <w:szCs w:val="24"/>
        </w:rPr>
      </w:pPr>
      <w:r w:rsidRPr="00940976">
        <w:rPr>
          <w:rFonts w:ascii="Times New Roman" w:hAnsi="Times New Roman" w:cs="Times New Roman"/>
          <w:sz w:val="24"/>
          <w:szCs w:val="24"/>
        </w:rPr>
        <w:t xml:space="preserve">Option 1: </w:t>
      </w:r>
    </w:p>
    <w:p w14:paraId="104729AC" w14:textId="1D512456" w:rsidR="00AD2C49" w:rsidRPr="004E4C1B" w:rsidRDefault="00940976" w:rsidP="00940976">
      <w:pPr>
        <w:spacing w:line="480" w:lineRule="auto"/>
        <w:jc w:val="both"/>
        <w:rPr>
          <w:rFonts w:ascii="Times New Roman" w:hAnsi="Times New Roman" w:cs="Times New Roman"/>
          <w:sz w:val="24"/>
          <w:szCs w:val="24"/>
        </w:rPr>
      </w:pPr>
      <w:r w:rsidRPr="00940976">
        <w:rPr>
          <w:rFonts w:ascii="Times New Roman" w:hAnsi="Times New Roman" w:cs="Times New Roman"/>
          <w:sz w:val="24"/>
          <w:szCs w:val="24"/>
        </w:rPr>
        <w:t>Author(s) hereby declare that NO generative AI technologies such as Large Language Models (</w:t>
      </w:r>
      <w:proofErr w:type="spellStart"/>
      <w:r w:rsidRPr="00940976">
        <w:rPr>
          <w:rFonts w:ascii="Times New Roman" w:hAnsi="Times New Roman" w:cs="Times New Roman"/>
          <w:sz w:val="24"/>
          <w:szCs w:val="24"/>
        </w:rPr>
        <w:t>ChatGPT</w:t>
      </w:r>
      <w:proofErr w:type="spellEnd"/>
      <w:r w:rsidRPr="00940976">
        <w:rPr>
          <w:rFonts w:ascii="Times New Roman" w:hAnsi="Times New Roman" w:cs="Times New Roman"/>
          <w:sz w:val="24"/>
          <w:szCs w:val="24"/>
        </w:rPr>
        <w:t>, COPILOT, etc.) and text-to-image generators have been used during the writing or editing of this manuscript.</w:t>
      </w:r>
    </w:p>
    <w:p w14:paraId="5C529A76" w14:textId="77777777" w:rsidR="009F5F50" w:rsidRPr="00360D49" w:rsidRDefault="009F5F50" w:rsidP="00360D49">
      <w:pPr>
        <w:spacing w:line="480" w:lineRule="auto"/>
        <w:ind w:left="360"/>
        <w:jc w:val="both"/>
        <w:rPr>
          <w:b/>
          <w:iCs/>
          <w:sz w:val="24"/>
          <w:szCs w:val="24"/>
        </w:rPr>
      </w:pPr>
      <w:bookmarkStart w:id="0" w:name="_Hlk207009720"/>
      <w:r w:rsidRPr="00360D49">
        <w:rPr>
          <w:b/>
          <w:iCs/>
          <w:sz w:val="24"/>
          <w:szCs w:val="24"/>
        </w:rPr>
        <w:t>References</w:t>
      </w:r>
    </w:p>
    <w:bookmarkEnd w:id="0"/>
    <w:p w14:paraId="1166A738" w14:textId="6B4FD719" w:rsidR="007B7A32" w:rsidRPr="00EA756A" w:rsidRDefault="007B7A32" w:rsidP="00EA756A">
      <w:pPr>
        <w:pStyle w:val="ListParagraph"/>
        <w:numPr>
          <w:ilvl w:val="0"/>
          <w:numId w:val="12"/>
        </w:numPr>
        <w:spacing w:line="480" w:lineRule="auto"/>
        <w:jc w:val="both"/>
        <w:rPr>
          <w:sz w:val="24"/>
          <w:szCs w:val="24"/>
        </w:rPr>
      </w:pPr>
      <w:proofErr w:type="spellStart"/>
      <w:r w:rsidRPr="00EA756A">
        <w:rPr>
          <w:sz w:val="24"/>
          <w:szCs w:val="24"/>
        </w:rPr>
        <w:t>Balasubramanya</w:t>
      </w:r>
      <w:proofErr w:type="spellEnd"/>
      <w:r w:rsidRPr="00EA756A">
        <w:rPr>
          <w:sz w:val="24"/>
          <w:szCs w:val="24"/>
        </w:rPr>
        <w:t xml:space="preserve">, R. H., Shaikh, A. J. and Sreenivasan, S.: Cotton crop and industry </w:t>
      </w:r>
      <w:r w:rsidRPr="00EA756A">
        <w:rPr>
          <w:sz w:val="24"/>
          <w:szCs w:val="24"/>
        </w:rPr>
        <w:lastRenderedPageBreak/>
        <w:t>waste. In: K. L. Chadha and M. S. Swaminathan (Eds.). Environment and agriculture. Malhotra Publishing House, New Delhi, (2008).</w:t>
      </w:r>
    </w:p>
    <w:p w14:paraId="2A29C7EB" w14:textId="77777777" w:rsidR="007B7A32" w:rsidRPr="004E4C1B" w:rsidRDefault="007B7A32" w:rsidP="00360D49">
      <w:pPr>
        <w:spacing w:after="0" w:line="480" w:lineRule="auto"/>
        <w:jc w:val="both"/>
        <w:rPr>
          <w:rFonts w:ascii="Times New Roman" w:hAnsi="Times New Roman" w:cs="Times New Roman"/>
          <w:sz w:val="24"/>
          <w:szCs w:val="24"/>
        </w:rPr>
      </w:pPr>
    </w:p>
    <w:p w14:paraId="1FE73B2B"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Bourbonnais, R., Leech, D. and Paice, M. G.: Electrochemical analysis of the interactions of laccase mediators with lignin model compounds. </w:t>
      </w:r>
      <w:proofErr w:type="spellStart"/>
      <w:r w:rsidRPr="00EA756A">
        <w:rPr>
          <w:i/>
          <w:iCs/>
          <w:sz w:val="24"/>
          <w:szCs w:val="24"/>
        </w:rPr>
        <w:t>Biochim</w:t>
      </w:r>
      <w:proofErr w:type="spellEnd"/>
      <w:r w:rsidRPr="00EA756A">
        <w:rPr>
          <w:i/>
          <w:iCs/>
          <w:sz w:val="24"/>
          <w:szCs w:val="24"/>
        </w:rPr>
        <w:t xml:space="preserve">. </w:t>
      </w:r>
      <w:proofErr w:type="spellStart"/>
      <w:r w:rsidRPr="00EA756A">
        <w:rPr>
          <w:i/>
          <w:iCs/>
          <w:sz w:val="24"/>
          <w:szCs w:val="24"/>
        </w:rPr>
        <w:t>Biophys</w:t>
      </w:r>
      <w:proofErr w:type="spellEnd"/>
      <w:r w:rsidRPr="00EA756A">
        <w:rPr>
          <w:i/>
          <w:iCs/>
          <w:sz w:val="24"/>
          <w:szCs w:val="24"/>
        </w:rPr>
        <w:t>. Acta-Gen. Subj</w:t>
      </w:r>
      <w:r w:rsidRPr="00EA756A">
        <w:rPr>
          <w:sz w:val="24"/>
          <w:szCs w:val="24"/>
        </w:rPr>
        <w:t xml:space="preserve">., </w:t>
      </w:r>
      <w:r w:rsidRPr="00EA756A">
        <w:rPr>
          <w:b/>
          <w:bCs/>
          <w:sz w:val="24"/>
          <w:szCs w:val="24"/>
        </w:rPr>
        <w:t>1379(3)</w:t>
      </w:r>
      <w:r w:rsidRPr="00EA756A">
        <w:rPr>
          <w:sz w:val="24"/>
          <w:szCs w:val="24"/>
        </w:rPr>
        <w:t>, 381–390 (1998).</w:t>
      </w:r>
    </w:p>
    <w:p w14:paraId="04D5AE53" w14:textId="553BF3EF" w:rsidR="007B7A32" w:rsidRPr="00EA756A" w:rsidRDefault="00AD1991" w:rsidP="00EA756A">
      <w:pPr>
        <w:pStyle w:val="ListParagraph"/>
        <w:numPr>
          <w:ilvl w:val="0"/>
          <w:numId w:val="12"/>
        </w:numPr>
        <w:spacing w:line="480" w:lineRule="auto"/>
        <w:jc w:val="both"/>
        <w:rPr>
          <w:sz w:val="24"/>
          <w:szCs w:val="24"/>
        </w:rPr>
      </w:pPr>
      <w:r w:rsidRPr="00EA756A">
        <w:rPr>
          <w:sz w:val="24"/>
          <w:szCs w:val="24"/>
        </w:rPr>
        <w:t xml:space="preserve">Bulgari, D., Alias, C., Peron, G., Ribaudo, G., </w:t>
      </w:r>
      <w:proofErr w:type="spellStart"/>
      <w:r w:rsidRPr="00EA756A">
        <w:rPr>
          <w:sz w:val="24"/>
          <w:szCs w:val="24"/>
        </w:rPr>
        <w:t>Gianoncelli</w:t>
      </w:r>
      <w:proofErr w:type="spellEnd"/>
      <w:r w:rsidRPr="00EA756A">
        <w:rPr>
          <w:sz w:val="24"/>
          <w:szCs w:val="24"/>
        </w:rPr>
        <w:t xml:space="preserve">, A., Savino, S., </w:t>
      </w:r>
      <w:proofErr w:type="spellStart"/>
      <w:r w:rsidRPr="00EA756A">
        <w:rPr>
          <w:sz w:val="24"/>
          <w:szCs w:val="24"/>
        </w:rPr>
        <w:t>Boureghda</w:t>
      </w:r>
      <w:proofErr w:type="spellEnd"/>
      <w:r w:rsidRPr="00EA756A">
        <w:rPr>
          <w:sz w:val="24"/>
          <w:szCs w:val="24"/>
        </w:rPr>
        <w:t xml:space="preserve">, H., </w:t>
      </w:r>
      <w:proofErr w:type="spellStart"/>
      <w:r w:rsidRPr="00EA756A">
        <w:rPr>
          <w:sz w:val="24"/>
          <w:szCs w:val="24"/>
        </w:rPr>
        <w:t>Bouznad</w:t>
      </w:r>
      <w:proofErr w:type="spellEnd"/>
      <w:r w:rsidRPr="00EA756A">
        <w:rPr>
          <w:sz w:val="24"/>
          <w:szCs w:val="24"/>
        </w:rPr>
        <w:t xml:space="preserve">, Z., Monti, E., &amp; Gobbi, E. (2023). Solid-state fermentation of Trichoderma spp.: A new way to </w:t>
      </w:r>
      <w:proofErr w:type="spellStart"/>
      <w:r w:rsidRPr="00EA756A">
        <w:rPr>
          <w:sz w:val="24"/>
          <w:szCs w:val="24"/>
        </w:rPr>
        <w:t>valorize</w:t>
      </w:r>
      <w:proofErr w:type="spellEnd"/>
      <w:r w:rsidRPr="00EA756A">
        <w:rPr>
          <w:sz w:val="24"/>
          <w:szCs w:val="24"/>
        </w:rPr>
        <w:t xml:space="preserve"> the agricultural digestate and produce value-added bioproducts. Journal of Agricultural and Food Chemistry, 71(9), 3994–4004.</w:t>
      </w:r>
    </w:p>
    <w:p w14:paraId="148D677E"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Choudhary, M., Sharma, P. and Garg, N.: Crop residue degradation by autochthonous fungi isolated from cropping system management scenarios. </w:t>
      </w:r>
      <w:r w:rsidRPr="00EA756A">
        <w:rPr>
          <w:i/>
          <w:iCs/>
          <w:sz w:val="24"/>
          <w:szCs w:val="24"/>
        </w:rPr>
        <w:t>Bioresources</w:t>
      </w:r>
      <w:r w:rsidRPr="00EA756A">
        <w:rPr>
          <w:sz w:val="24"/>
          <w:szCs w:val="24"/>
        </w:rPr>
        <w:t xml:space="preserve">, </w:t>
      </w:r>
      <w:r w:rsidRPr="00EA756A">
        <w:rPr>
          <w:b/>
          <w:bCs/>
          <w:sz w:val="24"/>
          <w:szCs w:val="24"/>
        </w:rPr>
        <w:t>10(3),</w:t>
      </w:r>
      <w:r w:rsidRPr="00EA756A">
        <w:rPr>
          <w:sz w:val="24"/>
          <w:szCs w:val="24"/>
        </w:rPr>
        <w:t xml:space="preserve"> 5809–5819 (2015).</w:t>
      </w:r>
    </w:p>
    <w:p w14:paraId="0FC80F3D" w14:textId="77777777" w:rsidR="007B7A32" w:rsidRPr="004E4C1B" w:rsidRDefault="007B7A32" w:rsidP="00360D49">
      <w:pPr>
        <w:spacing w:after="0" w:line="480" w:lineRule="auto"/>
        <w:jc w:val="both"/>
        <w:rPr>
          <w:rFonts w:ascii="Times New Roman" w:hAnsi="Times New Roman" w:cs="Times New Roman"/>
          <w:sz w:val="24"/>
          <w:szCs w:val="24"/>
        </w:rPr>
      </w:pPr>
    </w:p>
    <w:p w14:paraId="08FD4F0F"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Choudhary, M., Sharma, P. C., Jat, H. S., Nehra, V., McDonald, A. J. and Garg, N.: Crop residue degradation by fungi isolated from conservation agriculture fields under rice–wheat system of North-West India. </w:t>
      </w:r>
      <w:r w:rsidRPr="00EA756A">
        <w:rPr>
          <w:i/>
          <w:iCs/>
          <w:sz w:val="24"/>
          <w:szCs w:val="24"/>
        </w:rPr>
        <w:t>Int. J. Recycling Org. Waste Agric</w:t>
      </w:r>
      <w:r w:rsidRPr="00EA756A">
        <w:rPr>
          <w:sz w:val="24"/>
          <w:szCs w:val="24"/>
        </w:rPr>
        <w:t xml:space="preserve">., </w:t>
      </w:r>
      <w:r w:rsidRPr="00EA756A">
        <w:rPr>
          <w:b/>
          <w:bCs/>
          <w:sz w:val="24"/>
          <w:szCs w:val="24"/>
        </w:rPr>
        <w:t>5</w:t>
      </w:r>
      <w:r w:rsidRPr="00EA756A">
        <w:rPr>
          <w:sz w:val="24"/>
          <w:szCs w:val="24"/>
        </w:rPr>
        <w:t>, 349–360 (2016).</w:t>
      </w:r>
    </w:p>
    <w:p w14:paraId="78CEB941" w14:textId="77777777" w:rsidR="007B7A32" w:rsidRPr="004E4C1B" w:rsidRDefault="007B7A32" w:rsidP="00360D49">
      <w:pPr>
        <w:spacing w:after="0" w:line="480" w:lineRule="auto"/>
        <w:jc w:val="both"/>
        <w:rPr>
          <w:rFonts w:ascii="Times New Roman" w:hAnsi="Times New Roman" w:cs="Times New Roman"/>
          <w:sz w:val="24"/>
          <w:szCs w:val="24"/>
        </w:rPr>
      </w:pPr>
    </w:p>
    <w:p w14:paraId="2DA5E568" w14:textId="77777777" w:rsidR="007B7A32" w:rsidRPr="00EA756A" w:rsidRDefault="007B7A32" w:rsidP="00EA756A">
      <w:pPr>
        <w:pStyle w:val="ListParagraph"/>
        <w:numPr>
          <w:ilvl w:val="0"/>
          <w:numId w:val="12"/>
        </w:numPr>
        <w:spacing w:line="480" w:lineRule="auto"/>
        <w:jc w:val="both"/>
        <w:rPr>
          <w:sz w:val="24"/>
          <w:szCs w:val="24"/>
        </w:rPr>
      </w:pPr>
      <w:proofErr w:type="spellStart"/>
      <w:r w:rsidRPr="00EA756A">
        <w:rPr>
          <w:sz w:val="24"/>
          <w:szCs w:val="24"/>
        </w:rPr>
        <w:t>Civzele</w:t>
      </w:r>
      <w:proofErr w:type="spellEnd"/>
      <w:r w:rsidRPr="00EA756A">
        <w:rPr>
          <w:sz w:val="24"/>
          <w:szCs w:val="24"/>
        </w:rPr>
        <w:t xml:space="preserve">, A. and </w:t>
      </w:r>
      <w:proofErr w:type="spellStart"/>
      <w:r w:rsidRPr="00EA756A">
        <w:rPr>
          <w:sz w:val="24"/>
          <w:szCs w:val="24"/>
        </w:rPr>
        <w:t>Mežule</w:t>
      </w:r>
      <w:proofErr w:type="spellEnd"/>
      <w:r w:rsidRPr="00EA756A">
        <w:rPr>
          <w:sz w:val="24"/>
          <w:szCs w:val="24"/>
        </w:rPr>
        <w:t xml:space="preserve">, L.: Isolation and screening of wood-decaying fungi for lignocellulolytic enzyme production and bioremediation processes. </w:t>
      </w:r>
      <w:r w:rsidRPr="00EA756A">
        <w:rPr>
          <w:i/>
          <w:iCs/>
          <w:sz w:val="24"/>
          <w:szCs w:val="24"/>
        </w:rPr>
        <w:t>Front. Fungal Biol</w:t>
      </w:r>
      <w:r w:rsidRPr="00EA756A">
        <w:rPr>
          <w:sz w:val="24"/>
          <w:szCs w:val="24"/>
        </w:rPr>
        <w:t xml:space="preserve">., </w:t>
      </w:r>
      <w:r w:rsidRPr="00EA756A">
        <w:rPr>
          <w:b/>
          <w:bCs/>
          <w:sz w:val="24"/>
          <w:szCs w:val="24"/>
        </w:rPr>
        <w:t>5,</w:t>
      </w:r>
      <w:r w:rsidRPr="00EA756A">
        <w:rPr>
          <w:sz w:val="24"/>
          <w:szCs w:val="24"/>
        </w:rPr>
        <w:t xml:space="preserve"> 1494182 (2024).</w:t>
      </w:r>
    </w:p>
    <w:p w14:paraId="505E84BF" w14:textId="77777777" w:rsidR="007B7A32" w:rsidRPr="004E4C1B" w:rsidRDefault="007B7A32" w:rsidP="00360D49">
      <w:pPr>
        <w:spacing w:after="0" w:line="480" w:lineRule="auto"/>
        <w:jc w:val="both"/>
        <w:rPr>
          <w:rFonts w:ascii="Times New Roman" w:hAnsi="Times New Roman" w:cs="Times New Roman"/>
          <w:sz w:val="24"/>
          <w:szCs w:val="24"/>
        </w:rPr>
      </w:pPr>
    </w:p>
    <w:p w14:paraId="5517758B" w14:textId="77777777" w:rsidR="007B7A32" w:rsidRPr="00EA756A" w:rsidRDefault="007B7A32" w:rsidP="00EA756A">
      <w:pPr>
        <w:pStyle w:val="ListParagraph"/>
        <w:numPr>
          <w:ilvl w:val="0"/>
          <w:numId w:val="12"/>
        </w:numPr>
        <w:spacing w:line="480" w:lineRule="auto"/>
        <w:jc w:val="both"/>
        <w:rPr>
          <w:sz w:val="24"/>
          <w:szCs w:val="24"/>
        </w:rPr>
      </w:pPr>
      <w:proofErr w:type="spellStart"/>
      <w:r w:rsidRPr="00EA756A">
        <w:rPr>
          <w:sz w:val="24"/>
          <w:szCs w:val="24"/>
        </w:rPr>
        <w:t>Dhouib</w:t>
      </w:r>
      <w:proofErr w:type="spellEnd"/>
      <w:r w:rsidRPr="00EA756A">
        <w:rPr>
          <w:sz w:val="24"/>
          <w:szCs w:val="24"/>
        </w:rPr>
        <w:t xml:space="preserve">, A., Hamza, M., Zouari, H., </w:t>
      </w:r>
      <w:proofErr w:type="spellStart"/>
      <w:r w:rsidRPr="00EA756A">
        <w:rPr>
          <w:sz w:val="24"/>
          <w:szCs w:val="24"/>
        </w:rPr>
        <w:t>Mechichi</w:t>
      </w:r>
      <w:proofErr w:type="spellEnd"/>
      <w:r w:rsidRPr="00EA756A">
        <w:rPr>
          <w:sz w:val="24"/>
          <w:szCs w:val="24"/>
        </w:rPr>
        <w:t xml:space="preserve">, T., </w:t>
      </w:r>
      <w:proofErr w:type="spellStart"/>
      <w:r w:rsidRPr="00EA756A">
        <w:rPr>
          <w:sz w:val="24"/>
          <w:szCs w:val="24"/>
        </w:rPr>
        <w:t>Hmidi</w:t>
      </w:r>
      <w:proofErr w:type="spellEnd"/>
      <w:r w:rsidRPr="00EA756A">
        <w:rPr>
          <w:sz w:val="24"/>
          <w:szCs w:val="24"/>
        </w:rPr>
        <w:t xml:space="preserve">, R., Labat, M., Martinez, M. J. and Sayadi, S.: Screening for ligninolytic enzyme production by diverse fungi from </w:t>
      </w:r>
      <w:r w:rsidRPr="00EA756A">
        <w:rPr>
          <w:sz w:val="24"/>
          <w:szCs w:val="24"/>
        </w:rPr>
        <w:lastRenderedPageBreak/>
        <w:t xml:space="preserve">Tunisia. </w:t>
      </w:r>
      <w:r w:rsidRPr="00EA756A">
        <w:rPr>
          <w:i/>
          <w:iCs/>
          <w:sz w:val="24"/>
          <w:szCs w:val="24"/>
        </w:rPr>
        <w:t xml:space="preserve">World J. </w:t>
      </w:r>
      <w:proofErr w:type="spellStart"/>
      <w:r w:rsidRPr="00EA756A">
        <w:rPr>
          <w:i/>
          <w:iCs/>
          <w:sz w:val="24"/>
          <w:szCs w:val="24"/>
        </w:rPr>
        <w:t>Microbiol</w:t>
      </w:r>
      <w:proofErr w:type="spellEnd"/>
      <w:r w:rsidRPr="00EA756A">
        <w:rPr>
          <w:i/>
          <w:iCs/>
          <w:sz w:val="24"/>
          <w:szCs w:val="24"/>
        </w:rPr>
        <w:t xml:space="preserve">. </w:t>
      </w:r>
      <w:proofErr w:type="spellStart"/>
      <w:r w:rsidRPr="00EA756A">
        <w:rPr>
          <w:i/>
          <w:iCs/>
          <w:sz w:val="24"/>
          <w:szCs w:val="24"/>
        </w:rPr>
        <w:t>Biotechnol</w:t>
      </w:r>
      <w:proofErr w:type="spellEnd"/>
      <w:r w:rsidRPr="00EA756A">
        <w:rPr>
          <w:i/>
          <w:iCs/>
          <w:sz w:val="24"/>
          <w:szCs w:val="24"/>
        </w:rPr>
        <w:t>.</w:t>
      </w:r>
      <w:r w:rsidRPr="00EA756A">
        <w:rPr>
          <w:sz w:val="24"/>
          <w:szCs w:val="24"/>
        </w:rPr>
        <w:t xml:space="preserve">, </w:t>
      </w:r>
      <w:r w:rsidRPr="00EA756A">
        <w:rPr>
          <w:b/>
          <w:bCs/>
          <w:sz w:val="24"/>
          <w:szCs w:val="24"/>
        </w:rPr>
        <w:t>21(8),</w:t>
      </w:r>
      <w:r w:rsidRPr="00EA756A">
        <w:rPr>
          <w:sz w:val="24"/>
          <w:szCs w:val="24"/>
        </w:rPr>
        <w:t xml:space="preserve"> 1415–1423 (2005).</w:t>
      </w:r>
    </w:p>
    <w:p w14:paraId="00052D64" w14:textId="77777777" w:rsidR="007B7A32" w:rsidRPr="004E4C1B" w:rsidRDefault="007B7A32" w:rsidP="00360D49">
      <w:pPr>
        <w:spacing w:after="0" w:line="480" w:lineRule="auto"/>
        <w:jc w:val="both"/>
        <w:rPr>
          <w:rFonts w:ascii="Times New Roman" w:hAnsi="Times New Roman" w:cs="Times New Roman"/>
          <w:sz w:val="24"/>
          <w:szCs w:val="24"/>
        </w:rPr>
      </w:pPr>
    </w:p>
    <w:p w14:paraId="61AB0B46" w14:textId="77777777" w:rsidR="007B7A32" w:rsidRPr="00EA756A" w:rsidRDefault="007B7A32" w:rsidP="00EA756A">
      <w:pPr>
        <w:pStyle w:val="ListParagraph"/>
        <w:numPr>
          <w:ilvl w:val="0"/>
          <w:numId w:val="12"/>
        </w:numPr>
        <w:spacing w:line="480" w:lineRule="auto"/>
        <w:jc w:val="both"/>
        <w:rPr>
          <w:sz w:val="24"/>
          <w:szCs w:val="24"/>
        </w:rPr>
      </w:pPr>
      <w:proofErr w:type="spellStart"/>
      <w:r w:rsidRPr="00EA756A">
        <w:rPr>
          <w:sz w:val="24"/>
          <w:szCs w:val="24"/>
        </w:rPr>
        <w:t>Dukare</w:t>
      </w:r>
      <w:proofErr w:type="spellEnd"/>
      <w:r w:rsidRPr="00EA756A">
        <w:rPr>
          <w:sz w:val="24"/>
          <w:szCs w:val="24"/>
        </w:rPr>
        <w:t xml:space="preserve">, A., Yadav, R., </w:t>
      </w:r>
      <w:proofErr w:type="spellStart"/>
      <w:r w:rsidRPr="00EA756A">
        <w:rPr>
          <w:sz w:val="24"/>
          <w:szCs w:val="24"/>
        </w:rPr>
        <w:t>Kautkar</w:t>
      </w:r>
      <w:proofErr w:type="spellEnd"/>
      <w:r w:rsidRPr="00EA756A">
        <w:rPr>
          <w:sz w:val="24"/>
          <w:szCs w:val="24"/>
        </w:rPr>
        <w:t xml:space="preserve">, S., Kuppusamy, P., Sharma, K., Shaikh, A., Pawar, A., </w:t>
      </w:r>
      <w:proofErr w:type="spellStart"/>
      <w:r w:rsidRPr="00EA756A">
        <w:rPr>
          <w:sz w:val="24"/>
          <w:szCs w:val="24"/>
        </w:rPr>
        <w:t>Gadade</w:t>
      </w:r>
      <w:proofErr w:type="spellEnd"/>
      <w:r w:rsidRPr="00EA756A">
        <w:rPr>
          <w:sz w:val="24"/>
          <w:szCs w:val="24"/>
        </w:rPr>
        <w:t xml:space="preserve">, A., Vigneshwaran, N., Saxena, S. and Shukla, S. K.: Waste to wealth: Microbial-based sustainable valorisation of cotton biomass, processing waste and by-products for bioenergy and other value-added products to promote circular economy. </w:t>
      </w:r>
      <w:r w:rsidRPr="00EA756A">
        <w:rPr>
          <w:i/>
          <w:iCs/>
          <w:sz w:val="24"/>
          <w:szCs w:val="24"/>
        </w:rPr>
        <w:t>Waste Manag. Bull</w:t>
      </w:r>
      <w:r w:rsidRPr="00EA756A">
        <w:rPr>
          <w:sz w:val="24"/>
          <w:szCs w:val="24"/>
        </w:rPr>
        <w:t xml:space="preserve">., </w:t>
      </w:r>
      <w:r w:rsidRPr="00EA756A">
        <w:rPr>
          <w:b/>
          <w:bCs/>
          <w:sz w:val="24"/>
          <w:szCs w:val="24"/>
        </w:rPr>
        <w:t>2(4),</w:t>
      </w:r>
      <w:r w:rsidRPr="00EA756A">
        <w:rPr>
          <w:sz w:val="24"/>
          <w:szCs w:val="24"/>
        </w:rPr>
        <w:t xml:space="preserve"> 262–280 (2024).</w:t>
      </w:r>
    </w:p>
    <w:p w14:paraId="79DC743D" w14:textId="77777777" w:rsidR="007B7A32" w:rsidRPr="004E4C1B" w:rsidRDefault="007B7A32" w:rsidP="00360D49">
      <w:pPr>
        <w:spacing w:after="0" w:line="480" w:lineRule="auto"/>
        <w:jc w:val="both"/>
        <w:rPr>
          <w:rFonts w:ascii="Times New Roman" w:hAnsi="Times New Roman" w:cs="Times New Roman"/>
          <w:sz w:val="24"/>
          <w:szCs w:val="24"/>
        </w:rPr>
      </w:pPr>
    </w:p>
    <w:p w14:paraId="196440DF" w14:textId="7B1A6562"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Fen, L., </w:t>
      </w:r>
      <w:proofErr w:type="spellStart"/>
      <w:r w:rsidRPr="00EA756A">
        <w:rPr>
          <w:sz w:val="24"/>
          <w:szCs w:val="24"/>
        </w:rPr>
        <w:t>Xuwei</w:t>
      </w:r>
      <w:proofErr w:type="spellEnd"/>
      <w:r w:rsidRPr="00EA756A">
        <w:rPr>
          <w:sz w:val="24"/>
          <w:szCs w:val="24"/>
        </w:rPr>
        <w:t xml:space="preserve">, Z., </w:t>
      </w:r>
      <w:proofErr w:type="spellStart"/>
      <w:r w:rsidRPr="00EA756A">
        <w:rPr>
          <w:sz w:val="24"/>
          <w:szCs w:val="24"/>
        </w:rPr>
        <w:t>Nanyi</w:t>
      </w:r>
      <w:proofErr w:type="spellEnd"/>
      <w:r w:rsidRPr="00EA756A">
        <w:rPr>
          <w:sz w:val="24"/>
          <w:szCs w:val="24"/>
        </w:rPr>
        <w:t xml:space="preserve">, L., Zhang, P., Zhang, S., Zhao, X., Li, P., Zhu, Q. and Lin, H.: Screening of lignocellulose-degrading superior mushroom strains and determination of their </w:t>
      </w:r>
      <w:proofErr w:type="spellStart"/>
      <w:r w:rsidRPr="00EA756A">
        <w:rPr>
          <w:sz w:val="24"/>
          <w:szCs w:val="24"/>
        </w:rPr>
        <w:t>CMCase</w:t>
      </w:r>
      <w:proofErr w:type="spellEnd"/>
      <w:r w:rsidRPr="00EA756A">
        <w:rPr>
          <w:sz w:val="24"/>
          <w:szCs w:val="24"/>
        </w:rPr>
        <w:t xml:space="preserve"> and laccase activity. </w:t>
      </w:r>
      <w:r w:rsidRPr="00EA756A">
        <w:rPr>
          <w:i/>
          <w:iCs/>
          <w:sz w:val="24"/>
          <w:szCs w:val="24"/>
        </w:rPr>
        <w:t>Sci. World</w:t>
      </w:r>
      <w:r w:rsidRPr="00EA756A">
        <w:rPr>
          <w:sz w:val="24"/>
          <w:szCs w:val="24"/>
        </w:rPr>
        <w:t xml:space="preserve"> J., 1–8 (2014).</w:t>
      </w:r>
    </w:p>
    <w:p w14:paraId="36197677" w14:textId="77777777" w:rsidR="007B7A32" w:rsidRPr="004E4C1B" w:rsidRDefault="007B7A32" w:rsidP="00360D49">
      <w:pPr>
        <w:spacing w:after="0" w:line="480" w:lineRule="auto"/>
        <w:jc w:val="both"/>
        <w:rPr>
          <w:rFonts w:ascii="Times New Roman" w:hAnsi="Times New Roman" w:cs="Times New Roman"/>
          <w:sz w:val="24"/>
          <w:szCs w:val="24"/>
        </w:rPr>
      </w:pPr>
    </w:p>
    <w:p w14:paraId="09E289B4"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Fernandez-</w:t>
      </w:r>
      <w:proofErr w:type="spellStart"/>
      <w:r w:rsidRPr="00EA756A">
        <w:rPr>
          <w:sz w:val="24"/>
          <w:szCs w:val="24"/>
        </w:rPr>
        <w:t>Fueyo</w:t>
      </w:r>
      <w:proofErr w:type="spellEnd"/>
      <w:r w:rsidRPr="00EA756A">
        <w:rPr>
          <w:sz w:val="24"/>
          <w:szCs w:val="24"/>
        </w:rPr>
        <w:t>, E., Ruiz-Dueñas, F. J., López-</w:t>
      </w:r>
      <w:proofErr w:type="spellStart"/>
      <w:r w:rsidRPr="00EA756A">
        <w:rPr>
          <w:sz w:val="24"/>
          <w:szCs w:val="24"/>
        </w:rPr>
        <w:t>Lucendo</w:t>
      </w:r>
      <w:proofErr w:type="spellEnd"/>
      <w:r w:rsidRPr="00EA756A">
        <w:rPr>
          <w:sz w:val="24"/>
          <w:szCs w:val="24"/>
        </w:rPr>
        <w:t xml:space="preserve">, M. F., Pérez-Boada, M., </w:t>
      </w:r>
      <w:proofErr w:type="spellStart"/>
      <w:r w:rsidRPr="00EA756A">
        <w:rPr>
          <w:sz w:val="24"/>
          <w:szCs w:val="24"/>
        </w:rPr>
        <w:t>Rencoret</w:t>
      </w:r>
      <w:proofErr w:type="spellEnd"/>
      <w:r w:rsidRPr="00EA756A">
        <w:rPr>
          <w:sz w:val="24"/>
          <w:szCs w:val="24"/>
        </w:rPr>
        <w:t xml:space="preserve">, J., Gutiérrez, A., </w:t>
      </w:r>
      <w:proofErr w:type="spellStart"/>
      <w:r w:rsidRPr="00EA756A">
        <w:rPr>
          <w:sz w:val="24"/>
          <w:szCs w:val="24"/>
        </w:rPr>
        <w:t>Pisabarro</w:t>
      </w:r>
      <w:proofErr w:type="spellEnd"/>
      <w:r w:rsidRPr="00EA756A">
        <w:rPr>
          <w:sz w:val="24"/>
          <w:szCs w:val="24"/>
        </w:rPr>
        <w:t xml:space="preserve">, A. G., Ramírez, L. and Martínez, A. T.: A </w:t>
      </w:r>
      <w:proofErr w:type="spellStart"/>
      <w:r w:rsidRPr="00EA756A">
        <w:rPr>
          <w:sz w:val="24"/>
          <w:szCs w:val="24"/>
        </w:rPr>
        <w:t>secretomic</w:t>
      </w:r>
      <w:proofErr w:type="spellEnd"/>
      <w:r w:rsidRPr="00EA756A">
        <w:rPr>
          <w:sz w:val="24"/>
          <w:szCs w:val="24"/>
        </w:rPr>
        <w:t xml:space="preserve"> view of woody and nonwoody lignocellulose degradation by Pleurotus ostreatus. </w:t>
      </w:r>
      <w:proofErr w:type="spellStart"/>
      <w:r w:rsidRPr="00EA756A">
        <w:rPr>
          <w:i/>
          <w:iCs/>
          <w:sz w:val="24"/>
          <w:szCs w:val="24"/>
        </w:rPr>
        <w:t>Biotechnol</w:t>
      </w:r>
      <w:proofErr w:type="spellEnd"/>
      <w:r w:rsidRPr="00EA756A">
        <w:rPr>
          <w:i/>
          <w:iCs/>
          <w:sz w:val="24"/>
          <w:szCs w:val="24"/>
        </w:rPr>
        <w:t>. Biofuels</w:t>
      </w:r>
      <w:r w:rsidRPr="00EA756A">
        <w:rPr>
          <w:sz w:val="24"/>
          <w:szCs w:val="24"/>
        </w:rPr>
        <w:t xml:space="preserve">, </w:t>
      </w:r>
      <w:r w:rsidRPr="00EA756A">
        <w:rPr>
          <w:b/>
          <w:bCs/>
          <w:sz w:val="24"/>
          <w:szCs w:val="24"/>
        </w:rPr>
        <w:t>9</w:t>
      </w:r>
      <w:r w:rsidRPr="00EA756A">
        <w:rPr>
          <w:sz w:val="24"/>
          <w:szCs w:val="24"/>
        </w:rPr>
        <w:t>, 49 (2016).</w:t>
      </w:r>
    </w:p>
    <w:p w14:paraId="52C96308" w14:textId="77777777" w:rsidR="007B7A32" w:rsidRPr="004E4C1B" w:rsidRDefault="007B7A32" w:rsidP="00360D49">
      <w:pPr>
        <w:spacing w:after="0" w:line="480" w:lineRule="auto"/>
        <w:jc w:val="both"/>
        <w:rPr>
          <w:rFonts w:ascii="Times New Roman" w:hAnsi="Times New Roman" w:cs="Times New Roman"/>
          <w:sz w:val="24"/>
          <w:szCs w:val="24"/>
        </w:rPr>
      </w:pPr>
    </w:p>
    <w:p w14:paraId="12E8FCEE"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Gill, M. K., Kocher, G. S. and Panesar, A. S.: Evaluation of fungal consortium </w:t>
      </w:r>
      <w:proofErr w:type="spellStart"/>
      <w:r w:rsidRPr="00EA756A">
        <w:rPr>
          <w:sz w:val="24"/>
          <w:szCs w:val="24"/>
        </w:rPr>
        <w:t>lignozyme</w:t>
      </w:r>
      <w:proofErr w:type="spellEnd"/>
      <w:r w:rsidRPr="00EA756A">
        <w:rPr>
          <w:sz w:val="24"/>
          <w:szCs w:val="24"/>
        </w:rPr>
        <w:t xml:space="preserve"> for </w:t>
      </w:r>
      <w:proofErr w:type="spellStart"/>
      <w:r w:rsidRPr="00EA756A">
        <w:rPr>
          <w:sz w:val="24"/>
          <w:szCs w:val="24"/>
        </w:rPr>
        <w:t>biodelignification</w:t>
      </w:r>
      <w:proofErr w:type="spellEnd"/>
      <w:r w:rsidRPr="00EA756A">
        <w:rPr>
          <w:sz w:val="24"/>
          <w:szCs w:val="24"/>
        </w:rPr>
        <w:t xml:space="preserve"> of agricultural residues. </w:t>
      </w:r>
      <w:r w:rsidRPr="00EA756A">
        <w:rPr>
          <w:i/>
          <w:iCs/>
          <w:sz w:val="24"/>
          <w:szCs w:val="24"/>
        </w:rPr>
        <w:t xml:space="preserve">Biofuels Bioprod. </w:t>
      </w:r>
      <w:proofErr w:type="spellStart"/>
      <w:r w:rsidRPr="00EA756A">
        <w:rPr>
          <w:i/>
          <w:iCs/>
          <w:sz w:val="24"/>
          <w:szCs w:val="24"/>
        </w:rPr>
        <w:t>Biorefin</w:t>
      </w:r>
      <w:proofErr w:type="spellEnd"/>
      <w:r w:rsidRPr="00EA756A">
        <w:rPr>
          <w:sz w:val="24"/>
          <w:szCs w:val="24"/>
        </w:rPr>
        <w:t xml:space="preserve">., </w:t>
      </w:r>
      <w:r w:rsidRPr="00EA756A">
        <w:rPr>
          <w:b/>
          <w:bCs/>
          <w:sz w:val="24"/>
          <w:szCs w:val="24"/>
        </w:rPr>
        <w:t>16(6),</w:t>
      </w:r>
      <w:r w:rsidRPr="00EA756A">
        <w:rPr>
          <w:sz w:val="24"/>
          <w:szCs w:val="24"/>
        </w:rPr>
        <w:t xml:space="preserve"> 2424–2438 (2022).</w:t>
      </w:r>
    </w:p>
    <w:p w14:paraId="0F3BF3D5" w14:textId="77777777" w:rsidR="007B7A32" w:rsidRPr="004E4C1B" w:rsidRDefault="007B7A32" w:rsidP="00360D49">
      <w:pPr>
        <w:spacing w:after="0" w:line="480" w:lineRule="auto"/>
        <w:jc w:val="both"/>
        <w:rPr>
          <w:rFonts w:ascii="Times New Roman" w:hAnsi="Times New Roman" w:cs="Times New Roman"/>
          <w:sz w:val="24"/>
          <w:szCs w:val="24"/>
        </w:rPr>
      </w:pPr>
    </w:p>
    <w:p w14:paraId="0A05DCCB"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González Mendoza, D., Argumedo Delira, R., Morales Trejo, A., Pulido Herrera, A., Cervantes Díaz, L., Grimaldo Juarez, O. and Alarcón, A.: A rapid method for isolation of total DNA from pathogenic filamentous plant fungi. </w:t>
      </w:r>
      <w:r w:rsidRPr="00EA756A">
        <w:rPr>
          <w:i/>
          <w:iCs/>
          <w:sz w:val="24"/>
          <w:szCs w:val="24"/>
        </w:rPr>
        <w:t>Genet. Mol. Res</w:t>
      </w:r>
      <w:r w:rsidRPr="00EA756A">
        <w:rPr>
          <w:sz w:val="24"/>
          <w:szCs w:val="24"/>
        </w:rPr>
        <w:t xml:space="preserve">., </w:t>
      </w:r>
      <w:r w:rsidRPr="00EA756A">
        <w:rPr>
          <w:b/>
          <w:bCs/>
          <w:sz w:val="24"/>
          <w:szCs w:val="24"/>
        </w:rPr>
        <w:t>9(1),</w:t>
      </w:r>
      <w:r w:rsidRPr="00EA756A">
        <w:rPr>
          <w:sz w:val="24"/>
          <w:szCs w:val="24"/>
        </w:rPr>
        <w:t xml:space="preserve"> 162–166 (2010).</w:t>
      </w:r>
    </w:p>
    <w:p w14:paraId="1DF403E2" w14:textId="77777777" w:rsidR="007B7A32" w:rsidRPr="004E4C1B" w:rsidRDefault="007B7A32" w:rsidP="00360D49">
      <w:pPr>
        <w:spacing w:after="0" w:line="480" w:lineRule="auto"/>
        <w:jc w:val="both"/>
        <w:rPr>
          <w:rFonts w:ascii="Times New Roman" w:hAnsi="Times New Roman" w:cs="Times New Roman"/>
          <w:sz w:val="24"/>
          <w:szCs w:val="24"/>
        </w:rPr>
      </w:pPr>
    </w:p>
    <w:p w14:paraId="3545A80E"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Gordon, S. A. and Weber, R. P.: </w:t>
      </w:r>
      <w:proofErr w:type="spellStart"/>
      <w:r w:rsidRPr="00EA756A">
        <w:rPr>
          <w:sz w:val="24"/>
          <w:szCs w:val="24"/>
        </w:rPr>
        <w:t>Colourimetric</w:t>
      </w:r>
      <w:proofErr w:type="spellEnd"/>
      <w:r w:rsidRPr="00EA756A">
        <w:rPr>
          <w:sz w:val="24"/>
          <w:szCs w:val="24"/>
        </w:rPr>
        <w:t xml:space="preserve"> estimation of indoleacetic acid. </w:t>
      </w:r>
      <w:r w:rsidRPr="00EA756A">
        <w:rPr>
          <w:i/>
          <w:iCs/>
          <w:sz w:val="24"/>
          <w:szCs w:val="24"/>
        </w:rPr>
        <w:t>Plant Physiol</w:t>
      </w:r>
      <w:r w:rsidRPr="00EA756A">
        <w:rPr>
          <w:sz w:val="24"/>
          <w:szCs w:val="24"/>
        </w:rPr>
        <w:t xml:space="preserve">., </w:t>
      </w:r>
      <w:r w:rsidRPr="00EA756A">
        <w:rPr>
          <w:b/>
          <w:bCs/>
          <w:sz w:val="24"/>
          <w:szCs w:val="24"/>
        </w:rPr>
        <w:t>26(1),</w:t>
      </w:r>
      <w:r w:rsidRPr="00EA756A">
        <w:rPr>
          <w:sz w:val="24"/>
          <w:szCs w:val="24"/>
        </w:rPr>
        <w:t xml:space="preserve"> 192–195 (1951).</w:t>
      </w:r>
    </w:p>
    <w:p w14:paraId="4C4CE858" w14:textId="77777777" w:rsidR="007B7A32" w:rsidRPr="004E4C1B" w:rsidRDefault="007B7A32" w:rsidP="00360D49">
      <w:pPr>
        <w:spacing w:after="0" w:line="480" w:lineRule="auto"/>
        <w:jc w:val="both"/>
        <w:rPr>
          <w:rFonts w:ascii="Times New Roman" w:hAnsi="Times New Roman" w:cs="Times New Roman"/>
          <w:sz w:val="24"/>
          <w:szCs w:val="24"/>
        </w:rPr>
      </w:pPr>
    </w:p>
    <w:p w14:paraId="3D7A47D8"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Guo, L., Xi, B. and Lu, L.: Strategies to enhance production of metabolites in microbial co-culture systems. </w:t>
      </w:r>
      <w:proofErr w:type="spellStart"/>
      <w:r w:rsidRPr="00EA756A">
        <w:rPr>
          <w:i/>
          <w:iCs/>
          <w:sz w:val="24"/>
          <w:szCs w:val="24"/>
        </w:rPr>
        <w:t>Bioresour</w:t>
      </w:r>
      <w:proofErr w:type="spellEnd"/>
      <w:r w:rsidRPr="00EA756A">
        <w:rPr>
          <w:i/>
          <w:iCs/>
          <w:sz w:val="24"/>
          <w:szCs w:val="24"/>
        </w:rPr>
        <w:t>. Technol.,</w:t>
      </w:r>
      <w:r w:rsidRPr="00EA756A">
        <w:rPr>
          <w:sz w:val="24"/>
          <w:szCs w:val="24"/>
        </w:rPr>
        <w:t xml:space="preserve"> </w:t>
      </w:r>
      <w:r w:rsidRPr="00EA756A">
        <w:rPr>
          <w:b/>
          <w:bCs/>
          <w:sz w:val="24"/>
          <w:szCs w:val="24"/>
        </w:rPr>
        <w:t>406</w:t>
      </w:r>
      <w:r w:rsidRPr="00EA756A">
        <w:rPr>
          <w:sz w:val="24"/>
          <w:szCs w:val="24"/>
        </w:rPr>
        <w:t>, 131049 (2024).</w:t>
      </w:r>
    </w:p>
    <w:p w14:paraId="1722F513" w14:textId="77777777" w:rsidR="007B7A32" w:rsidRPr="004E4C1B" w:rsidRDefault="007B7A32" w:rsidP="00360D49">
      <w:pPr>
        <w:spacing w:after="0" w:line="480" w:lineRule="auto"/>
        <w:jc w:val="both"/>
        <w:rPr>
          <w:rFonts w:ascii="Times New Roman" w:hAnsi="Times New Roman" w:cs="Times New Roman"/>
          <w:sz w:val="24"/>
          <w:szCs w:val="24"/>
        </w:rPr>
      </w:pPr>
    </w:p>
    <w:p w14:paraId="332097F2"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Gupta, V. K., Kubicek, C. P., Berrin, J. G., Wilson, D. W., Couturier, M., Berlin, A., Filho, E. X. and Ezeji, T.: Fungal enzymes for bio-products from sustainable and waste biomass. </w:t>
      </w:r>
      <w:r w:rsidRPr="00EA756A">
        <w:rPr>
          <w:i/>
          <w:iCs/>
          <w:sz w:val="24"/>
          <w:szCs w:val="24"/>
        </w:rPr>
        <w:t xml:space="preserve">Trends </w:t>
      </w:r>
      <w:proofErr w:type="spellStart"/>
      <w:r w:rsidRPr="00EA756A">
        <w:rPr>
          <w:i/>
          <w:iCs/>
          <w:sz w:val="24"/>
          <w:szCs w:val="24"/>
        </w:rPr>
        <w:t>Biochem</w:t>
      </w:r>
      <w:proofErr w:type="spellEnd"/>
      <w:r w:rsidRPr="00EA756A">
        <w:rPr>
          <w:i/>
          <w:iCs/>
          <w:sz w:val="24"/>
          <w:szCs w:val="24"/>
        </w:rPr>
        <w:t>. Sci.,</w:t>
      </w:r>
      <w:r w:rsidRPr="00EA756A">
        <w:rPr>
          <w:sz w:val="24"/>
          <w:szCs w:val="24"/>
        </w:rPr>
        <w:t xml:space="preserve"> </w:t>
      </w:r>
      <w:r w:rsidRPr="00EA756A">
        <w:rPr>
          <w:b/>
          <w:bCs/>
          <w:sz w:val="24"/>
          <w:szCs w:val="24"/>
        </w:rPr>
        <w:t>41(7),</w:t>
      </w:r>
      <w:r w:rsidRPr="00EA756A">
        <w:rPr>
          <w:sz w:val="24"/>
          <w:szCs w:val="24"/>
        </w:rPr>
        <w:t xml:space="preserve"> 633–645 (2016).</w:t>
      </w:r>
    </w:p>
    <w:p w14:paraId="0471E1AE" w14:textId="77777777" w:rsidR="007B7A32" w:rsidRPr="004E4C1B" w:rsidRDefault="007B7A32" w:rsidP="00360D49">
      <w:pPr>
        <w:spacing w:after="0" w:line="480" w:lineRule="auto"/>
        <w:jc w:val="both"/>
        <w:rPr>
          <w:rFonts w:ascii="Times New Roman" w:hAnsi="Times New Roman" w:cs="Times New Roman"/>
          <w:sz w:val="24"/>
          <w:szCs w:val="24"/>
        </w:rPr>
      </w:pPr>
    </w:p>
    <w:p w14:paraId="1FEB7D9F" w14:textId="77777777" w:rsidR="007B7A32" w:rsidRPr="00EA756A" w:rsidRDefault="007B7A32" w:rsidP="00EA756A">
      <w:pPr>
        <w:pStyle w:val="ListParagraph"/>
        <w:numPr>
          <w:ilvl w:val="0"/>
          <w:numId w:val="12"/>
        </w:numPr>
        <w:spacing w:line="480" w:lineRule="auto"/>
        <w:jc w:val="both"/>
        <w:rPr>
          <w:sz w:val="24"/>
          <w:szCs w:val="24"/>
        </w:rPr>
      </w:pPr>
      <w:proofErr w:type="spellStart"/>
      <w:r w:rsidRPr="00EA756A">
        <w:rPr>
          <w:sz w:val="24"/>
          <w:szCs w:val="24"/>
        </w:rPr>
        <w:t>Hiloidhari</w:t>
      </w:r>
      <w:proofErr w:type="spellEnd"/>
      <w:r w:rsidRPr="00EA756A">
        <w:rPr>
          <w:sz w:val="24"/>
          <w:szCs w:val="24"/>
        </w:rPr>
        <w:t xml:space="preserve">, M., Das, D. and Baruah, D. C.: Bio-energy potential from crop residue biomass in India. </w:t>
      </w:r>
      <w:r w:rsidRPr="00EA756A">
        <w:rPr>
          <w:i/>
          <w:iCs/>
          <w:sz w:val="24"/>
          <w:szCs w:val="24"/>
        </w:rPr>
        <w:t>Renew. Sust. Energy Rev.,</w:t>
      </w:r>
      <w:r w:rsidRPr="00EA756A">
        <w:rPr>
          <w:sz w:val="24"/>
          <w:szCs w:val="24"/>
        </w:rPr>
        <w:t xml:space="preserve"> </w:t>
      </w:r>
      <w:r w:rsidRPr="00EA756A">
        <w:rPr>
          <w:b/>
          <w:bCs/>
          <w:sz w:val="24"/>
          <w:szCs w:val="24"/>
        </w:rPr>
        <w:t>32</w:t>
      </w:r>
      <w:r w:rsidRPr="00EA756A">
        <w:rPr>
          <w:sz w:val="24"/>
          <w:szCs w:val="24"/>
        </w:rPr>
        <w:t>, 504–512 (2014).</w:t>
      </w:r>
    </w:p>
    <w:p w14:paraId="283EF316" w14:textId="77777777" w:rsidR="007B7A32" w:rsidRPr="004E4C1B" w:rsidRDefault="007B7A32" w:rsidP="00360D49">
      <w:pPr>
        <w:spacing w:after="0" w:line="480" w:lineRule="auto"/>
        <w:jc w:val="both"/>
        <w:rPr>
          <w:rFonts w:ascii="Times New Roman" w:hAnsi="Times New Roman" w:cs="Times New Roman"/>
          <w:sz w:val="24"/>
          <w:szCs w:val="24"/>
        </w:rPr>
      </w:pPr>
    </w:p>
    <w:p w14:paraId="120060EC"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Irmak, S.: Biomass as raw material for production of high value products. In: Biomass Volume Estimation and </w:t>
      </w:r>
      <w:proofErr w:type="spellStart"/>
      <w:r w:rsidRPr="00EA756A">
        <w:rPr>
          <w:sz w:val="24"/>
          <w:szCs w:val="24"/>
        </w:rPr>
        <w:t>Valorization</w:t>
      </w:r>
      <w:proofErr w:type="spellEnd"/>
      <w:r w:rsidRPr="00EA756A">
        <w:rPr>
          <w:sz w:val="24"/>
          <w:szCs w:val="24"/>
        </w:rPr>
        <w:t xml:space="preserve"> to Energy. </w:t>
      </w:r>
      <w:proofErr w:type="spellStart"/>
      <w:r w:rsidRPr="00EA756A">
        <w:rPr>
          <w:sz w:val="24"/>
          <w:szCs w:val="24"/>
        </w:rPr>
        <w:t>IntechOpen</w:t>
      </w:r>
      <w:proofErr w:type="spellEnd"/>
      <w:r w:rsidRPr="00EA756A">
        <w:rPr>
          <w:sz w:val="24"/>
          <w:szCs w:val="24"/>
        </w:rPr>
        <w:t>, London, pp. 201–225 (2016).</w:t>
      </w:r>
    </w:p>
    <w:p w14:paraId="3392ED9D" w14:textId="77777777" w:rsidR="007B7A32" w:rsidRPr="004E4C1B" w:rsidRDefault="007B7A32" w:rsidP="00360D49">
      <w:pPr>
        <w:spacing w:after="0" w:line="480" w:lineRule="auto"/>
        <w:jc w:val="both"/>
        <w:rPr>
          <w:rFonts w:ascii="Times New Roman" w:hAnsi="Times New Roman" w:cs="Times New Roman"/>
          <w:sz w:val="24"/>
          <w:szCs w:val="24"/>
        </w:rPr>
      </w:pPr>
    </w:p>
    <w:p w14:paraId="26B27C80"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Isci, A. and Demirer, G. N.: Biogas production potential from cotton wastes. </w:t>
      </w:r>
      <w:r w:rsidRPr="00EA756A">
        <w:rPr>
          <w:i/>
          <w:iCs/>
          <w:sz w:val="24"/>
          <w:szCs w:val="24"/>
        </w:rPr>
        <w:t>Renew. Energy,</w:t>
      </w:r>
      <w:r w:rsidRPr="00EA756A">
        <w:rPr>
          <w:sz w:val="24"/>
          <w:szCs w:val="24"/>
        </w:rPr>
        <w:t xml:space="preserve"> 32(5), 750–757 (2007).</w:t>
      </w:r>
    </w:p>
    <w:p w14:paraId="285EF386" w14:textId="77777777" w:rsidR="007B7A32" w:rsidRPr="004E4C1B" w:rsidRDefault="007B7A32" w:rsidP="00360D49">
      <w:pPr>
        <w:spacing w:after="0" w:line="480" w:lineRule="auto"/>
        <w:jc w:val="both"/>
        <w:rPr>
          <w:rFonts w:ascii="Times New Roman" w:hAnsi="Times New Roman" w:cs="Times New Roman"/>
          <w:sz w:val="24"/>
          <w:szCs w:val="24"/>
        </w:rPr>
      </w:pPr>
    </w:p>
    <w:p w14:paraId="5DB117EC"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Karthika, A., </w:t>
      </w:r>
      <w:proofErr w:type="spellStart"/>
      <w:r w:rsidRPr="00EA756A">
        <w:rPr>
          <w:sz w:val="24"/>
          <w:szCs w:val="24"/>
        </w:rPr>
        <w:t>Seenivasagan</w:t>
      </w:r>
      <w:proofErr w:type="spellEnd"/>
      <w:r w:rsidRPr="00EA756A">
        <w:rPr>
          <w:sz w:val="24"/>
          <w:szCs w:val="24"/>
        </w:rPr>
        <w:t xml:space="preserve">, R., Kasimani, R., Babalola, O. O. and Vasanthy, M.: Cellulolytic bacteria isolation, screening and optimization of enzyme production from vermicompost of paper-cup waste. </w:t>
      </w:r>
      <w:r w:rsidRPr="00EA756A">
        <w:rPr>
          <w:i/>
          <w:iCs/>
          <w:sz w:val="24"/>
          <w:szCs w:val="24"/>
        </w:rPr>
        <w:t>Waste Manag.,</w:t>
      </w:r>
      <w:r w:rsidRPr="00EA756A">
        <w:rPr>
          <w:sz w:val="24"/>
          <w:szCs w:val="24"/>
        </w:rPr>
        <w:t xml:space="preserve"> </w:t>
      </w:r>
      <w:r w:rsidRPr="00EA756A">
        <w:rPr>
          <w:b/>
          <w:bCs/>
          <w:sz w:val="24"/>
          <w:szCs w:val="24"/>
        </w:rPr>
        <w:t>116</w:t>
      </w:r>
      <w:r w:rsidRPr="00EA756A">
        <w:rPr>
          <w:sz w:val="24"/>
          <w:szCs w:val="24"/>
        </w:rPr>
        <w:t>, 58–65 (2020).</w:t>
      </w:r>
    </w:p>
    <w:p w14:paraId="6DEF9412" w14:textId="77777777" w:rsidR="007B7A32" w:rsidRPr="004E4C1B" w:rsidRDefault="007B7A32" w:rsidP="00360D49">
      <w:pPr>
        <w:spacing w:after="0" w:line="480" w:lineRule="auto"/>
        <w:jc w:val="both"/>
        <w:rPr>
          <w:rFonts w:ascii="Times New Roman" w:hAnsi="Times New Roman" w:cs="Times New Roman"/>
          <w:sz w:val="24"/>
          <w:szCs w:val="24"/>
        </w:rPr>
      </w:pPr>
    </w:p>
    <w:p w14:paraId="1B10607E"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lastRenderedPageBreak/>
        <w:t xml:space="preserve">Keshav, P. K., </w:t>
      </w:r>
      <w:proofErr w:type="spellStart"/>
      <w:r w:rsidRPr="00EA756A">
        <w:rPr>
          <w:sz w:val="24"/>
          <w:szCs w:val="24"/>
        </w:rPr>
        <w:t>Banoth</w:t>
      </w:r>
      <w:proofErr w:type="spellEnd"/>
      <w:r w:rsidRPr="00EA756A">
        <w:rPr>
          <w:sz w:val="24"/>
          <w:szCs w:val="24"/>
        </w:rPr>
        <w:t xml:space="preserve">, C., </w:t>
      </w:r>
      <w:proofErr w:type="spellStart"/>
      <w:r w:rsidRPr="00EA756A">
        <w:rPr>
          <w:sz w:val="24"/>
          <w:szCs w:val="24"/>
        </w:rPr>
        <w:t>Kethavath</w:t>
      </w:r>
      <w:proofErr w:type="spellEnd"/>
      <w:r w:rsidRPr="00EA756A">
        <w:rPr>
          <w:sz w:val="24"/>
          <w:szCs w:val="24"/>
        </w:rPr>
        <w:t xml:space="preserve">, S. N. and Bhukya, B.: Lignocellulosic ethanol production from cotton stalk: An overview on pretreatment, saccharification and fermentation methods for improved bioconversion process. </w:t>
      </w:r>
      <w:r w:rsidRPr="00EA756A">
        <w:rPr>
          <w:i/>
          <w:iCs/>
          <w:sz w:val="24"/>
          <w:szCs w:val="24"/>
        </w:rPr>
        <w:t>Biomass Conv. Biorefinery</w:t>
      </w:r>
      <w:r w:rsidRPr="00EA756A">
        <w:rPr>
          <w:sz w:val="24"/>
          <w:szCs w:val="24"/>
        </w:rPr>
        <w:t xml:space="preserve"> (2021).</w:t>
      </w:r>
    </w:p>
    <w:p w14:paraId="5E526F41" w14:textId="77777777" w:rsidR="007B7A32" w:rsidRPr="004E4C1B" w:rsidRDefault="007B7A32" w:rsidP="00360D49">
      <w:pPr>
        <w:spacing w:after="0" w:line="480" w:lineRule="auto"/>
        <w:jc w:val="both"/>
        <w:rPr>
          <w:rFonts w:ascii="Times New Roman" w:hAnsi="Times New Roman" w:cs="Times New Roman"/>
          <w:sz w:val="24"/>
          <w:szCs w:val="24"/>
        </w:rPr>
      </w:pPr>
    </w:p>
    <w:p w14:paraId="1B82F445"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Kolasa, M., Ahring, B. K., Lübeck, P. S. and Lübeck, M.: Co-cultivation of Trichoderma </w:t>
      </w:r>
      <w:proofErr w:type="spellStart"/>
      <w:r w:rsidRPr="00EA756A">
        <w:rPr>
          <w:sz w:val="24"/>
          <w:szCs w:val="24"/>
        </w:rPr>
        <w:t>reesei</w:t>
      </w:r>
      <w:proofErr w:type="spellEnd"/>
      <w:r w:rsidRPr="00EA756A">
        <w:rPr>
          <w:sz w:val="24"/>
          <w:szCs w:val="24"/>
        </w:rPr>
        <w:t xml:space="preserve"> RutC30 with three black Aspergillus strains facilitates efficient hydrolysis of pre-treated wheat straw and shows promises for on-site enzyme production. </w:t>
      </w:r>
      <w:proofErr w:type="spellStart"/>
      <w:r w:rsidRPr="00EA756A">
        <w:rPr>
          <w:i/>
          <w:iCs/>
          <w:sz w:val="24"/>
          <w:szCs w:val="24"/>
        </w:rPr>
        <w:t>Bioresour</w:t>
      </w:r>
      <w:proofErr w:type="spellEnd"/>
      <w:r w:rsidRPr="00EA756A">
        <w:rPr>
          <w:i/>
          <w:iCs/>
          <w:sz w:val="24"/>
          <w:szCs w:val="24"/>
        </w:rPr>
        <w:t>. Technol</w:t>
      </w:r>
      <w:r w:rsidRPr="00EA756A">
        <w:rPr>
          <w:sz w:val="24"/>
          <w:szCs w:val="24"/>
        </w:rPr>
        <w:t xml:space="preserve">., </w:t>
      </w:r>
      <w:r w:rsidRPr="00EA756A">
        <w:rPr>
          <w:b/>
          <w:bCs/>
          <w:sz w:val="24"/>
          <w:szCs w:val="24"/>
        </w:rPr>
        <w:t>169</w:t>
      </w:r>
      <w:r w:rsidRPr="00EA756A">
        <w:rPr>
          <w:sz w:val="24"/>
          <w:szCs w:val="24"/>
        </w:rPr>
        <w:t>, 143–148 (2014).</w:t>
      </w:r>
    </w:p>
    <w:p w14:paraId="09E1C4E0" w14:textId="77777777" w:rsidR="007B7A32" w:rsidRPr="004E4C1B" w:rsidRDefault="007B7A32" w:rsidP="00360D49">
      <w:pPr>
        <w:spacing w:after="0" w:line="480" w:lineRule="auto"/>
        <w:jc w:val="both"/>
        <w:rPr>
          <w:rFonts w:ascii="Times New Roman" w:hAnsi="Times New Roman" w:cs="Times New Roman"/>
          <w:sz w:val="24"/>
          <w:szCs w:val="24"/>
        </w:rPr>
      </w:pPr>
    </w:p>
    <w:p w14:paraId="354A75A1"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Li, F., Zhang, J., Ma, F., Chen, Q., Xiao, Q., Zhang, X., Xie, S. and Yu, H.: Lytic polysaccharide monooxygenases promote oxidative cleavage of lignin and lignin-carbohydrate complexes during fungal degradation of lignocellulose</w:t>
      </w:r>
      <w:r w:rsidRPr="00EA756A">
        <w:rPr>
          <w:i/>
          <w:iCs/>
          <w:sz w:val="24"/>
          <w:szCs w:val="24"/>
        </w:rPr>
        <w:t xml:space="preserve">. Environ. </w:t>
      </w:r>
      <w:proofErr w:type="spellStart"/>
      <w:r w:rsidRPr="00EA756A">
        <w:rPr>
          <w:i/>
          <w:iCs/>
          <w:sz w:val="24"/>
          <w:szCs w:val="24"/>
        </w:rPr>
        <w:t>Microbiol</w:t>
      </w:r>
      <w:proofErr w:type="spellEnd"/>
      <w:r w:rsidRPr="00EA756A">
        <w:rPr>
          <w:i/>
          <w:iCs/>
          <w:sz w:val="24"/>
          <w:szCs w:val="24"/>
        </w:rPr>
        <w:t>.,</w:t>
      </w:r>
      <w:r w:rsidRPr="00EA756A">
        <w:rPr>
          <w:sz w:val="24"/>
          <w:szCs w:val="24"/>
        </w:rPr>
        <w:t xml:space="preserve"> </w:t>
      </w:r>
      <w:r w:rsidRPr="00EA756A">
        <w:rPr>
          <w:b/>
          <w:bCs/>
          <w:sz w:val="24"/>
          <w:szCs w:val="24"/>
        </w:rPr>
        <w:t>23(9),</w:t>
      </w:r>
      <w:r w:rsidRPr="00EA756A">
        <w:rPr>
          <w:sz w:val="24"/>
          <w:szCs w:val="24"/>
        </w:rPr>
        <w:t xml:space="preserve"> 4547–4560 (2021).</w:t>
      </w:r>
    </w:p>
    <w:p w14:paraId="048F7A6F" w14:textId="77777777" w:rsidR="007B7A32" w:rsidRPr="004E4C1B" w:rsidRDefault="007B7A32" w:rsidP="00360D49">
      <w:pPr>
        <w:spacing w:after="0" w:line="480" w:lineRule="auto"/>
        <w:jc w:val="both"/>
        <w:rPr>
          <w:rFonts w:ascii="Times New Roman" w:hAnsi="Times New Roman" w:cs="Times New Roman"/>
          <w:sz w:val="24"/>
          <w:szCs w:val="24"/>
        </w:rPr>
      </w:pPr>
    </w:p>
    <w:p w14:paraId="0F5898BE"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Li, G., Wang, Y., Yu, D., Zhu, P., Zhao, G., Liu, C. and Zhao, H.: Ligninolytic characteristics of Pleurotus ostreatus cultivated in cotton stalk media. </w:t>
      </w:r>
      <w:r w:rsidRPr="00EA756A">
        <w:rPr>
          <w:i/>
          <w:iCs/>
          <w:sz w:val="24"/>
          <w:szCs w:val="24"/>
        </w:rPr>
        <w:t xml:space="preserve">Front. </w:t>
      </w:r>
      <w:proofErr w:type="spellStart"/>
      <w:r w:rsidRPr="00EA756A">
        <w:rPr>
          <w:i/>
          <w:iCs/>
          <w:sz w:val="24"/>
          <w:szCs w:val="24"/>
        </w:rPr>
        <w:t>Microbiol</w:t>
      </w:r>
      <w:proofErr w:type="spellEnd"/>
      <w:r w:rsidRPr="00EA756A">
        <w:rPr>
          <w:i/>
          <w:iCs/>
          <w:sz w:val="24"/>
          <w:szCs w:val="24"/>
        </w:rPr>
        <w:t>.,</w:t>
      </w:r>
      <w:r w:rsidRPr="00EA756A">
        <w:rPr>
          <w:sz w:val="24"/>
          <w:szCs w:val="24"/>
        </w:rPr>
        <w:t xml:space="preserve"> </w:t>
      </w:r>
      <w:r w:rsidRPr="00EA756A">
        <w:rPr>
          <w:b/>
          <w:bCs/>
          <w:sz w:val="24"/>
          <w:szCs w:val="24"/>
        </w:rPr>
        <w:t>13</w:t>
      </w:r>
      <w:r w:rsidRPr="00EA756A">
        <w:rPr>
          <w:sz w:val="24"/>
          <w:szCs w:val="24"/>
        </w:rPr>
        <w:t>, 1035040 (2022).</w:t>
      </w:r>
    </w:p>
    <w:p w14:paraId="54E86F23" w14:textId="77777777" w:rsidR="007B7A32" w:rsidRPr="004E4C1B" w:rsidRDefault="007B7A32" w:rsidP="00360D49">
      <w:pPr>
        <w:spacing w:after="0" w:line="480" w:lineRule="auto"/>
        <w:jc w:val="both"/>
        <w:rPr>
          <w:rFonts w:ascii="Times New Roman" w:hAnsi="Times New Roman" w:cs="Times New Roman"/>
          <w:sz w:val="24"/>
          <w:szCs w:val="24"/>
        </w:rPr>
      </w:pPr>
    </w:p>
    <w:p w14:paraId="73FC81CE"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Li, K., Xu, Y., Guo, K., Cui, W., Li, Y. and Hou, M.: Improving the nutritional value and safety of cotton stalk feed via response surface methodology and co-fermentation techniques. </w:t>
      </w:r>
      <w:r w:rsidRPr="00EA756A">
        <w:rPr>
          <w:i/>
          <w:iCs/>
          <w:sz w:val="24"/>
          <w:szCs w:val="24"/>
        </w:rPr>
        <w:t>Fermentation</w:t>
      </w:r>
      <w:r w:rsidRPr="00EA756A">
        <w:rPr>
          <w:sz w:val="24"/>
          <w:szCs w:val="24"/>
        </w:rPr>
        <w:t xml:space="preserve">, </w:t>
      </w:r>
      <w:r w:rsidRPr="00EA756A">
        <w:rPr>
          <w:b/>
          <w:bCs/>
          <w:sz w:val="24"/>
          <w:szCs w:val="24"/>
        </w:rPr>
        <w:t>11(3)</w:t>
      </w:r>
      <w:r w:rsidRPr="00EA756A">
        <w:rPr>
          <w:sz w:val="24"/>
          <w:szCs w:val="24"/>
        </w:rPr>
        <w:t>, 124 (2025).</w:t>
      </w:r>
    </w:p>
    <w:p w14:paraId="390CB1D9" w14:textId="77777777" w:rsidR="007B7A32" w:rsidRPr="004E4C1B" w:rsidRDefault="007B7A32" w:rsidP="00360D49">
      <w:pPr>
        <w:spacing w:after="0" w:line="480" w:lineRule="auto"/>
        <w:jc w:val="both"/>
        <w:rPr>
          <w:rFonts w:ascii="Times New Roman" w:hAnsi="Times New Roman" w:cs="Times New Roman"/>
          <w:sz w:val="24"/>
          <w:szCs w:val="24"/>
        </w:rPr>
      </w:pPr>
    </w:p>
    <w:p w14:paraId="370FAEF8"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Li, Y. and Zhang, Q.: Biodegradation of cotton stalk by three white-rot fungi and the effects on composition and structure changes of cotton stalk. </w:t>
      </w:r>
      <w:r w:rsidRPr="00EA756A">
        <w:rPr>
          <w:i/>
          <w:iCs/>
          <w:sz w:val="24"/>
          <w:szCs w:val="24"/>
        </w:rPr>
        <w:t>J. Sci. Ind. Res.,</w:t>
      </w:r>
      <w:r w:rsidRPr="00EA756A">
        <w:rPr>
          <w:sz w:val="24"/>
          <w:szCs w:val="24"/>
        </w:rPr>
        <w:t xml:space="preserve"> </w:t>
      </w:r>
      <w:r w:rsidRPr="00EA756A">
        <w:rPr>
          <w:b/>
          <w:bCs/>
          <w:sz w:val="24"/>
          <w:szCs w:val="24"/>
        </w:rPr>
        <w:t>73(11),</w:t>
      </w:r>
      <w:r w:rsidRPr="00EA756A">
        <w:rPr>
          <w:sz w:val="24"/>
          <w:szCs w:val="24"/>
        </w:rPr>
        <w:t xml:space="preserve"> </w:t>
      </w:r>
      <w:r w:rsidRPr="00EA756A">
        <w:rPr>
          <w:sz w:val="24"/>
          <w:szCs w:val="24"/>
        </w:rPr>
        <w:lastRenderedPageBreak/>
        <w:t>719–723 (2014).</w:t>
      </w:r>
    </w:p>
    <w:p w14:paraId="6FB83177" w14:textId="77777777" w:rsidR="007B7A32" w:rsidRPr="004E4C1B" w:rsidRDefault="007B7A32" w:rsidP="00360D49">
      <w:pPr>
        <w:spacing w:after="0" w:line="480" w:lineRule="auto"/>
        <w:jc w:val="both"/>
        <w:rPr>
          <w:rFonts w:ascii="Times New Roman" w:hAnsi="Times New Roman" w:cs="Times New Roman"/>
          <w:sz w:val="24"/>
          <w:szCs w:val="24"/>
        </w:rPr>
      </w:pPr>
    </w:p>
    <w:p w14:paraId="084E861D"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Lima, P. C., Karimian, P., Johnston, E. and Hartley, C. J.: The use of Trichoderma spp. for the bioconversion of agro-industrial waste biomass via fermentation: A review. </w:t>
      </w:r>
      <w:r w:rsidRPr="00EA756A">
        <w:rPr>
          <w:i/>
          <w:iCs/>
          <w:sz w:val="24"/>
          <w:szCs w:val="24"/>
        </w:rPr>
        <w:t>Fermentation</w:t>
      </w:r>
      <w:r w:rsidRPr="00EA756A">
        <w:rPr>
          <w:sz w:val="24"/>
          <w:szCs w:val="24"/>
        </w:rPr>
        <w:t xml:space="preserve">, </w:t>
      </w:r>
      <w:r w:rsidRPr="00EA756A">
        <w:rPr>
          <w:b/>
          <w:bCs/>
          <w:sz w:val="24"/>
          <w:szCs w:val="24"/>
        </w:rPr>
        <w:t>10(9),</w:t>
      </w:r>
      <w:r w:rsidRPr="00EA756A">
        <w:rPr>
          <w:sz w:val="24"/>
          <w:szCs w:val="24"/>
        </w:rPr>
        <w:t xml:space="preserve"> 442 (2024).</w:t>
      </w:r>
    </w:p>
    <w:p w14:paraId="477BBEF5" w14:textId="77777777" w:rsidR="007B7A32" w:rsidRPr="004E4C1B" w:rsidRDefault="007B7A32" w:rsidP="00360D49">
      <w:pPr>
        <w:spacing w:after="0" w:line="480" w:lineRule="auto"/>
        <w:jc w:val="both"/>
        <w:rPr>
          <w:rFonts w:ascii="Times New Roman" w:hAnsi="Times New Roman" w:cs="Times New Roman"/>
          <w:sz w:val="24"/>
          <w:szCs w:val="24"/>
        </w:rPr>
      </w:pPr>
    </w:p>
    <w:p w14:paraId="13B21D04" w14:textId="77777777" w:rsidR="007B7A32" w:rsidRPr="004E4C1B" w:rsidRDefault="007B7A32" w:rsidP="00360D49">
      <w:pPr>
        <w:spacing w:after="0" w:line="480" w:lineRule="auto"/>
        <w:jc w:val="both"/>
        <w:rPr>
          <w:rFonts w:ascii="Times New Roman" w:hAnsi="Times New Roman" w:cs="Times New Roman"/>
          <w:sz w:val="24"/>
          <w:szCs w:val="24"/>
        </w:rPr>
      </w:pPr>
    </w:p>
    <w:p w14:paraId="330FE31E" w14:textId="77777777" w:rsidR="007B7A32" w:rsidRPr="00EA756A" w:rsidRDefault="007B7A32" w:rsidP="00EA756A">
      <w:pPr>
        <w:pStyle w:val="ListParagraph"/>
        <w:numPr>
          <w:ilvl w:val="0"/>
          <w:numId w:val="12"/>
        </w:numPr>
        <w:spacing w:line="480" w:lineRule="auto"/>
        <w:jc w:val="both"/>
        <w:rPr>
          <w:sz w:val="24"/>
          <w:szCs w:val="24"/>
        </w:rPr>
      </w:pPr>
      <w:proofErr w:type="spellStart"/>
      <w:r w:rsidRPr="00EA756A">
        <w:rPr>
          <w:sz w:val="24"/>
          <w:szCs w:val="24"/>
        </w:rPr>
        <w:t>Mandhyan</w:t>
      </w:r>
      <w:proofErr w:type="spellEnd"/>
      <w:r w:rsidRPr="00EA756A">
        <w:rPr>
          <w:sz w:val="24"/>
          <w:szCs w:val="24"/>
        </w:rPr>
        <w:t xml:space="preserve">, P. K., Patil, P. G., Sankaranarayanan, K., Gurjar, R. M., Ghadge, S. V. and </w:t>
      </w:r>
      <w:proofErr w:type="spellStart"/>
      <w:r w:rsidRPr="00EA756A">
        <w:rPr>
          <w:sz w:val="24"/>
          <w:szCs w:val="24"/>
        </w:rPr>
        <w:t>Nachane</w:t>
      </w:r>
      <w:proofErr w:type="spellEnd"/>
      <w:r w:rsidRPr="00EA756A">
        <w:rPr>
          <w:sz w:val="24"/>
          <w:szCs w:val="24"/>
        </w:rPr>
        <w:t xml:space="preserve">, R. P.: Cotton value chain. </w:t>
      </w:r>
      <w:r w:rsidRPr="00EA756A">
        <w:rPr>
          <w:i/>
          <w:iCs/>
          <w:sz w:val="24"/>
          <w:szCs w:val="24"/>
        </w:rPr>
        <w:t>Cotton Res. J</w:t>
      </w:r>
      <w:r w:rsidRPr="00EA756A">
        <w:rPr>
          <w:sz w:val="24"/>
          <w:szCs w:val="24"/>
        </w:rPr>
        <w:t xml:space="preserve">., </w:t>
      </w:r>
      <w:r w:rsidRPr="00EA756A">
        <w:rPr>
          <w:b/>
          <w:bCs/>
          <w:sz w:val="24"/>
          <w:szCs w:val="24"/>
        </w:rPr>
        <w:t>7(1),</w:t>
      </w:r>
      <w:r w:rsidRPr="00EA756A">
        <w:rPr>
          <w:sz w:val="24"/>
          <w:szCs w:val="24"/>
        </w:rPr>
        <w:t xml:space="preserve"> 17–35 (2016).</w:t>
      </w:r>
    </w:p>
    <w:p w14:paraId="0388C660" w14:textId="77777777" w:rsidR="007B7A32" w:rsidRPr="004E4C1B" w:rsidRDefault="007B7A32" w:rsidP="00360D49">
      <w:pPr>
        <w:spacing w:after="0" w:line="480" w:lineRule="auto"/>
        <w:jc w:val="both"/>
        <w:rPr>
          <w:rFonts w:ascii="Times New Roman" w:hAnsi="Times New Roman" w:cs="Times New Roman"/>
          <w:sz w:val="24"/>
          <w:szCs w:val="24"/>
        </w:rPr>
      </w:pPr>
    </w:p>
    <w:p w14:paraId="312F0780"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Müller, A., Kowalczyk, J. and Mäkelä, M.: Applications of fungal cellulases. In: O. Zaragoza and A. Casadevall (Eds.). </w:t>
      </w:r>
      <w:proofErr w:type="spellStart"/>
      <w:r w:rsidRPr="00EA756A">
        <w:rPr>
          <w:i/>
          <w:iCs/>
          <w:sz w:val="24"/>
          <w:szCs w:val="24"/>
        </w:rPr>
        <w:t>Encyclopedia</w:t>
      </w:r>
      <w:proofErr w:type="spellEnd"/>
      <w:r w:rsidRPr="00EA756A">
        <w:rPr>
          <w:i/>
          <w:iCs/>
          <w:sz w:val="24"/>
          <w:szCs w:val="24"/>
        </w:rPr>
        <w:t xml:space="preserve"> of Mycology</w:t>
      </w:r>
      <w:r w:rsidRPr="00EA756A">
        <w:rPr>
          <w:sz w:val="24"/>
          <w:szCs w:val="24"/>
        </w:rPr>
        <w:t>. Elsevier, pp. 295–304 (2021).</w:t>
      </w:r>
    </w:p>
    <w:p w14:paraId="743F7CEF" w14:textId="77777777" w:rsidR="007B7A32" w:rsidRPr="004E4C1B" w:rsidRDefault="007B7A32" w:rsidP="00360D49">
      <w:pPr>
        <w:spacing w:after="0" w:line="480" w:lineRule="auto"/>
        <w:jc w:val="both"/>
        <w:rPr>
          <w:rFonts w:ascii="Times New Roman" w:hAnsi="Times New Roman" w:cs="Times New Roman"/>
          <w:sz w:val="24"/>
          <w:szCs w:val="24"/>
        </w:rPr>
      </w:pPr>
    </w:p>
    <w:p w14:paraId="42A8C8F2" w14:textId="77777777" w:rsidR="007B7A32" w:rsidRPr="00EA756A" w:rsidRDefault="007B7A32" w:rsidP="00EA756A">
      <w:pPr>
        <w:pStyle w:val="ListParagraph"/>
        <w:numPr>
          <w:ilvl w:val="0"/>
          <w:numId w:val="12"/>
        </w:numPr>
        <w:spacing w:line="480" w:lineRule="auto"/>
        <w:jc w:val="both"/>
        <w:rPr>
          <w:sz w:val="24"/>
          <w:szCs w:val="24"/>
        </w:rPr>
      </w:pPr>
      <w:proofErr w:type="spellStart"/>
      <w:r w:rsidRPr="00EA756A">
        <w:rPr>
          <w:sz w:val="24"/>
          <w:szCs w:val="24"/>
        </w:rPr>
        <w:t>Namnuch</w:t>
      </w:r>
      <w:proofErr w:type="spellEnd"/>
      <w:r w:rsidRPr="00EA756A">
        <w:rPr>
          <w:sz w:val="24"/>
          <w:szCs w:val="24"/>
        </w:rPr>
        <w:t xml:space="preserve">, N., </w:t>
      </w:r>
      <w:proofErr w:type="spellStart"/>
      <w:r w:rsidRPr="00EA756A">
        <w:rPr>
          <w:sz w:val="24"/>
          <w:szCs w:val="24"/>
        </w:rPr>
        <w:t>Thammasittirong</w:t>
      </w:r>
      <w:proofErr w:type="spellEnd"/>
      <w:r w:rsidRPr="00EA756A">
        <w:rPr>
          <w:sz w:val="24"/>
          <w:szCs w:val="24"/>
        </w:rPr>
        <w:t xml:space="preserve">, A. and </w:t>
      </w:r>
      <w:proofErr w:type="spellStart"/>
      <w:r w:rsidRPr="00EA756A">
        <w:rPr>
          <w:sz w:val="24"/>
          <w:szCs w:val="24"/>
        </w:rPr>
        <w:t>Thammasittirong</w:t>
      </w:r>
      <w:proofErr w:type="spellEnd"/>
      <w:r w:rsidRPr="00EA756A">
        <w:rPr>
          <w:sz w:val="24"/>
          <w:szCs w:val="24"/>
        </w:rPr>
        <w:t xml:space="preserve">, S. N. R.: Lignocellulose hydrolytic enzymes production by Aspergillus flavus KUB2 using submerged fermentation of sugarcane bagasse waste. </w:t>
      </w:r>
      <w:r w:rsidRPr="00EA756A">
        <w:rPr>
          <w:i/>
          <w:iCs/>
          <w:sz w:val="24"/>
          <w:szCs w:val="24"/>
        </w:rPr>
        <w:t>Mycology</w:t>
      </w:r>
      <w:r w:rsidRPr="00EA756A">
        <w:rPr>
          <w:sz w:val="24"/>
          <w:szCs w:val="24"/>
        </w:rPr>
        <w:t xml:space="preserve">, </w:t>
      </w:r>
      <w:r w:rsidRPr="00EA756A">
        <w:rPr>
          <w:b/>
          <w:bCs/>
          <w:sz w:val="24"/>
          <w:szCs w:val="24"/>
        </w:rPr>
        <w:t>12(2),</w:t>
      </w:r>
      <w:r w:rsidRPr="00EA756A">
        <w:rPr>
          <w:sz w:val="24"/>
          <w:szCs w:val="24"/>
        </w:rPr>
        <w:t xml:space="preserve"> 119–127 (2021).</w:t>
      </w:r>
    </w:p>
    <w:p w14:paraId="6031C9F3" w14:textId="77777777" w:rsidR="007B7A32" w:rsidRPr="004E4C1B" w:rsidRDefault="007B7A32" w:rsidP="00360D49">
      <w:pPr>
        <w:spacing w:after="0" w:line="480" w:lineRule="auto"/>
        <w:jc w:val="both"/>
        <w:rPr>
          <w:rFonts w:ascii="Times New Roman" w:hAnsi="Times New Roman" w:cs="Times New Roman"/>
          <w:sz w:val="24"/>
          <w:szCs w:val="24"/>
        </w:rPr>
      </w:pPr>
    </w:p>
    <w:p w14:paraId="711D478A"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Ning, P., Yang, G., Hu, L., Sun, J., Shi, L., Zhou, Y., Wang, Z. and Yang, J.: Recent advances in the </w:t>
      </w:r>
      <w:proofErr w:type="spellStart"/>
      <w:r w:rsidRPr="00EA756A">
        <w:rPr>
          <w:sz w:val="24"/>
          <w:szCs w:val="24"/>
        </w:rPr>
        <w:t>valorization</w:t>
      </w:r>
      <w:proofErr w:type="spellEnd"/>
      <w:r w:rsidRPr="00EA756A">
        <w:rPr>
          <w:sz w:val="24"/>
          <w:szCs w:val="24"/>
        </w:rPr>
        <w:t xml:space="preserve"> of plant biomass. </w:t>
      </w:r>
      <w:proofErr w:type="spellStart"/>
      <w:r w:rsidRPr="00EA756A">
        <w:rPr>
          <w:i/>
          <w:iCs/>
          <w:sz w:val="24"/>
          <w:szCs w:val="24"/>
        </w:rPr>
        <w:t>Biotechnol</w:t>
      </w:r>
      <w:proofErr w:type="spellEnd"/>
      <w:r w:rsidRPr="00EA756A">
        <w:rPr>
          <w:i/>
          <w:iCs/>
          <w:sz w:val="24"/>
          <w:szCs w:val="24"/>
        </w:rPr>
        <w:t>. Biofuels</w:t>
      </w:r>
      <w:r w:rsidRPr="00EA756A">
        <w:rPr>
          <w:sz w:val="24"/>
          <w:szCs w:val="24"/>
        </w:rPr>
        <w:t xml:space="preserve">, </w:t>
      </w:r>
      <w:r w:rsidRPr="00EA756A">
        <w:rPr>
          <w:b/>
          <w:bCs/>
          <w:sz w:val="24"/>
          <w:szCs w:val="24"/>
        </w:rPr>
        <w:t>14</w:t>
      </w:r>
      <w:r w:rsidRPr="00EA756A">
        <w:rPr>
          <w:sz w:val="24"/>
          <w:szCs w:val="24"/>
        </w:rPr>
        <w:t>, 102 (2021).</w:t>
      </w:r>
    </w:p>
    <w:p w14:paraId="0B4E784A" w14:textId="77777777" w:rsidR="007B7A32" w:rsidRPr="004E4C1B" w:rsidRDefault="007B7A32" w:rsidP="00360D49">
      <w:pPr>
        <w:spacing w:after="0" w:line="480" w:lineRule="auto"/>
        <w:jc w:val="both"/>
        <w:rPr>
          <w:rFonts w:ascii="Times New Roman" w:hAnsi="Times New Roman" w:cs="Times New Roman"/>
          <w:sz w:val="24"/>
          <w:szCs w:val="24"/>
        </w:rPr>
      </w:pPr>
    </w:p>
    <w:p w14:paraId="5C696BCC" w14:textId="77777777" w:rsidR="007B7A32" w:rsidRPr="00EA756A" w:rsidRDefault="007B7A32" w:rsidP="00EA756A">
      <w:pPr>
        <w:pStyle w:val="ListParagraph"/>
        <w:numPr>
          <w:ilvl w:val="0"/>
          <w:numId w:val="12"/>
        </w:numPr>
        <w:spacing w:line="480" w:lineRule="auto"/>
        <w:jc w:val="both"/>
        <w:rPr>
          <w:sz w:val="24"/>
          <w:szCs w:val="24"/>
        </w:rPr>
      </w:pPr>
      <w:proofErr w:type="spellStart"/>
      <w:r w:rsidRPr="00EA756A">
        <w:rPr>
          <w:sz w:val="24"/>
          <w:szCs w:val="24"/>
        </w:rPr>
        <w:t>Suryadi</w:t>
      </w:r>
      <w:proofErr w:type="spellEnd"/>
      <w:r w:rsidRPr="00EA756A">
        <w:rPr>
          <w:sz w:val="24"/>
          <w:szCs w:val="24"/>
        </w:rPr>
        <w:t xml:space="preserve">, H., </w:t>
      </w:r>
      <w:proofErr w:type="spellStart"/>
      <w:r w:rsidRPr="00EA756A">
        <w:rPr>
          <w:sz w:val="24"/>
          <w:szCs w:val="24"/>
        </w:rPr>
        <w:t>Judono</w:t>
      </w:r>
      <w:proofErr w:type="spellEnd"/>
      <w:r w:rsidRPr="00EA756A">
        <w:rPr>
          <w:sz w:val="24"/>
          <w:szCs w:val="24"/>
        </w:rPr>
        <w:t xml:space="preserve">, J. J., Putri, M. R., </w:t>
      </w:r>
      <w:proofErr w:type="spellStart"/>
      <w:r w:rsidRPr="00EA756A">
        <w:rPr>
          <w:sz w:val="24"/>
          <w:szCs w:val="24"/>
        </w:rPr>
        <w:t>Eclessia</w:t>
      </w:r>
      <w:proofErr w:type="spellEnd"/>
      <w:r w:rsidRPr="00EA756A">
        <w:rPr>
          <w:sz w:val="24"/>
          <w:szCs w:val="24"/>
        </w:rPr>
        <w:t xml:space="preserve">, A. D., Ulhaq, J. M., Agustina, D. N. and Sumiati, T.: </w:t>
      </w:r>
      <w:proofErr w:type="spellStart"/>
      <w:r w:rsidRPr="00EA756A">
        <w:rPr>
          <w:sz w:val="24"/>
          <w:szCs w:val="24"/>
        </w:rPr>
        <w:t>Biodelignification</w:t>
      </w:r>
      <w:proofErr w:type="spellEnd"/>
      <w:r w:rsidRPr="00EA756A">
        <w:rPr>
          <w:sz w:val="24"/>
          <w:szCs w:val="24"/>
        </w:rPr>
        <w:t xml:space="preserve"> of lignocellulose using ligninolytic enzymes from white-rot fungi. </w:t>
      </w:r>
      <w:proofErr w:type="spellStart"/>
      <w:r w:rsidRPr="00EA756A">
        <w:rPr>
          <w:i/>
          <w:iCs/>
          <w:sz w:val="24"/>
          <w:szCs w:val="24"/>
        </w:rPr>
        <w:t>Heliyon</w:t>
      </w:r>
      <w:proofErr w:type="spellEnd"/>
      <w:r w:rsidRPr="00EA756A">
        <w:rPr>
          <w:sz w:val="24"/>
          <w:szCs w:val="24"/>
        </w:rPr>
        <w:t xml:space="preserve">, </w:t>
      </w:r>
      <w:r w:rsidRPr="00EA756A">
        <w:rPr>
          <w:b/>
          <w:bCs/>
          <w:sz w:val="24"/>
          <w:szCs w:val="24"/>
        </w:rPr>
        <w:t>8(5</w:t>
      </w:r>
      <w:r w:rsidRPr="00EA756A">
        <w:rPr>
          <w:sz w:val="24"/>
          <w:szCs w:val="24"/>
        </w:rPr>
        <w:t>), e08865 (2022).</w:t>
      </w:r>
    </w:p>
    <w:p w14:paraId="535964CC" w14:textId="77777777" w:rsidR="007B7A32" w:rsidRPr="004E4C1B" w:rsidRDefault="007B7A32" w:rsidP="00360D49">
      <w:pPr>
        <w:spacing w:after="0" w:line="480" w:lineRule="auto"/>
        <w:jc w:val="both"/>
        <w:rPr>
          <w:rFonts w:ascii="Times New Roman" w:hAnsi="Times New Roman" w:cs="Times New Roman"/>
          <w:sz w:val="24"/>
          <w:szCs w:val="24"/>
        </w:rPr>
      </w:pPr>
    </w:p>
    <w:p w14:paraId="277CD155"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lastRenderedPageBreak/>
        <w:t xml:space="preserve">Vaishnav, N., Singh, A., Adsul, M., Dixit, P., Sandhu, S. K., Mathur, A., Puri, S. K. and Singhania, R. R.: Penicillium: The next emerging champion for cellulase production. </w:t>
      </w:r>
      <w:proofErr w:type="spellStart"/>
      <w:r w:rsidRPr="00EA756A">
        <w:rPr>
          <w:i/>
          <w:iCs/>
          <w:sz w:val="24"/>
          <w:szCs w:val="24"/>
        </w:rPr>
        <w:t>Bioresour</w:t>
      </w:r>
      <w:proofErr w:type="spellEnd"/>
      <w:r w:rsidRPr="00EA756A">
        <w:rPr>
          <w:i/>
          <w:iCs/>
          <w:sz w:val="24"/>
          <w:szCs w:val="24"/>
        </w:rPr>
        <w:t>. Technol. Rep</w:t>
      </w:r>
      <w:r w:rsidRPr="00EA756A">
        <w:rPr>
          <w:sz w:val="24"/>
          <w:szCs w:val="24"/>
        </w:rPr>
        <w:t xml:space="preserve">., </w:t>
      </w:r>
      <w:r w:rsidRPr="00EA756A">
        <w:rPr>
          <w:b/>
          <w:bCs/>
          <w:sz w:val="24"/>
          <w:szCs w:val="24"/>
        </w:rPr>
        <w:t>2,</w:t>
      </w:r>
      <w:r w:rsidRPr="00EA756A">
        <w:rPr>
          <w:sz w:val="24"/>
          <w:szCs w:val="24"/>
        </w:rPr>
        <w:t xml:space="preserve"> 131–140 (2018).</w:t>
      </w:r>
    </w:p>
    <w:p w14:paraId="7A7780F1" w14:textId="77777777" w:rsidR="007B7A32" w:rsidRPr="004E4C1B" w:rsidRDefault="007B7A32" w:rsidP="00360D49">
      <w:pPr>
        <w:spacing w:after="0" w:line="480" w:lineRule="auto"/>
        <w:jc w:val="both"/>
        <w:rPr>
          <w:rFonts w:ascii="Times New Roman" w:hAnsi="Times New Roman" w:cs="Times New Roman"/>
          <w:sz w:val="24"/>
          <w:szCs w:val="24"/>
        </w:rPr>
      </w:pPr>
    </w:p>
    <w:p w14:paraId="559AA04D" w14:textId="77777777" w:rsidR="007B7A32" w:rsidRPr="00EA756A" w:rsidRDefault="007B7A32" w:rsidP="00EA756A">
      <w:pPr>
        <w:pStyle w:val="ListParagraph"/>
        <w:numPr>
          <w:ilvl w:val="0"/>
          <w:numId w:val="12"/>
        </w:numPr>
        <w:spacing w:line="480" w:lineRule="auto"/>
        <w:jc w:val="both"/>
        <w:rPr>
          <w:sz w:val="24"/>
          <w:szCs w:val="24"/>
        </w:rPr>
      </w:pPr>
      <w:proofErr w:type="spellStart"/>
      <w:r w:rsidRPr="00EA756A">
        <w:rPr>
          <w:sz w:val="24"/>
          <w:szCs w:val="24"/>
        </w:rPr>
        <w:t>Vassileva</w:t>
      </w:r>
      <w:proofErr w:type="spellEnd"/>
      <w:r w:rsidRPr="00EA756A">
        <w:rPr>
          <w:sz w:val="24"/>
          <w:szCs w:val="24"/>
        </w:rPr>
        <w:t xml:space="preserve">, M., Mendes, G. O., </w:t>
      </w:r>
      <w:proofErr w:type="spellStart"/>
      <w:r w:rsidRPr="00EA756A">
        <w:rPr>
          <w:sz w:val="24"/>
          <w:szCs w:val="24"/>
        </w:rPr>
        <w:t>Deriu</w:t>
      </w:r>
      <w:proofErr w:type="spellEnd"/>
      <w:r w:rsidRPr="00EA756A">
        <w:rPr>
          <w:sz w:val="24"/>
          <w:szCs w:val="24"/>
        </w:rPr>
        <w:t xml:space="preserve">, M. A., </w:t>
      </w:r>
      <w:proofErr w:type="spellStart"/>
      <w:r w:rsidRPr="00EA756A">
        <w:rPr>
          <w:sz w:val="24"/>
          <w:szCs w:val="24"/>
        </w:rPr>
        <w:t>Franquès</w:t>
      </w:r>
      <w:proofErr w:type="spellEnd"/>
      <w:r w:rsidRPr="00EA756A">
        <w:rPr>
          <w:sz w:val="24"/>
          <w:szCs w:val="24"/>
        </w:rPr>
        <w:t xml:space="preserve">, J. and Vassilev, N.: Fungi, P-solubilization, and plant nutrition. </w:t>
      </w:r>
      <w:r w:rsidRPr="00EA756A">
        <w:rPr>
          <w:i/>
          <w:iCs/>
          <w:sz w:val="24"/>
          <w:szCs w:val="24"/>
        </w:rPr>
        <w:t>Microorganisms</w:t>
      </w:r>
      <w:r w:rsidRPr="00EA756A">
        <w:rPr>
          <w:sz w:val="24"/>
          <w:szCs w:val="24"/>
        </w:rPr>
        <w:t xml:space="preserve">, </w:t>
      </w:r>
      <w:r w:rsidRPr="00EA756A">
        <w:rPr>
          <w:b/>
          <w:bCs/>
          <w:sz w:val="24"/>
          <w:szCs w:val="24"/>
        </w:rPr>
        <w:t>10(9),</w:t>
      </w:r>
      <w:r w:rsidRPr="00EA756A">
        <w:rPr>
          <w:sz w:val="24"/>
          <w:szCs w:val="24"/>
        </w:rPr>
        <w:t xml:space="preserve"> 1716 (2022).</w:t>
      </w:r>
    </w:p>
    <w:p w14:paraId="28048277" w14:textId="77777777" w:rsidR="007B7A32" w:rsidRPr="004E4C1B" w:rsidRDefault="007B7A32" w:rsidP="00360D49">
      <w:pPr>
        <w:spacing w:after="0" w:line="480" w:lineRule="auto"/>
        <w:jc w:val="both"/>
        <w:rPr>
          <w:rFonts w:ascii="Times New Roman" w:hAnsi="Times New Roman" w:cs="Times New Roman"/>
          <w:sz w:val="24"/>
          <w:szCs w:val="24"/>
        </w:rPr>
      </w:pPr>
    </w:p>
    <w:p w14:paraId="500DD690" w14:textId="77777777" w:rsidR="007B7A32" w:rsidRPr="00EA756A" w:rsidRDefault="007B7A32" w:rsidP="00EA756A">
      <w:pPr>
        <w:pStyle w:val="ListParagraph"/>
        <w:numPr>
          <w:ilvl w:val="0"/>
          <w:numId w:val="12"/>
        </w:numPr>
        <w:spacing w:line="480" w:lineRule="auto"/>
        <w:jc w:val="both"/>
        <w:rPr>
          <w:sz w:val="24"/>
          <w:szCs w:val="24"/>
        </w:rPr>
      </w:pPr>
      <w:proofErr w:type="spellStart"/>
      <w:r w:rsidRPr="00EA756A">
        <w:rPr>
          <w:sz w:val="24"/>
          <w:szCs w:val="24"/>
        </w:rPr>
        <w:t>Velmourougane</w:t>
      </w:r>
      <w:proofErr w:type="spellEnd"/>
      <w:r w:rsidRPr="00EA756A">
        <w:rPr>
          <w:sz w:val="24"/>
          <w:szCs w:val="24"/>
        </w:rPr>
        <w:t xml:space="preserve">, K. and Blaise, D.: Soil health, crop productivity and sustainability challenges. In: R. Bhat (Ed.). Sustainability challenges in the </w:t>
      </w:r>
      <w:proofErr w:type="spellStart"/>
      <w:r w:rsidRPr="00EA756A">
        <w:rPr>
          <w:sz w:val="24"/>
          <w:szCs w:val="24"/>
        </w:rPr>
        <w:t>agro</w:t>
      </w:r>
      <w:proofErr w:type="spellEnd"/>
      <w:r w:rsidRPr="00EA756A">
        <w:rPr>
          <w:sz w:val="24"/>
          <w:szCs w:val="24"/>
        </w:rPr>
        <w:t>-food sector. John Wiley &amp; Sons, pp. 509–531 (2017).</w:t>
      </w:r>
    </w:p>
    <w:p w14:paraId="3DED2928" w14:textId="77777777" w:rsidR="007B7A32" w:rsidRPr="004E4C1B" w:rsidRDefault="007B7A32" w:rsidP="00360D49">
      <w:pPr>
        <w:spacing w:after="0" w:line="480" w:lineRule="auto"/>
        <w:jc w:val="both"/>
        <w:rPr>
          <w:rFonts w:ascii="Times New Roman" w:hAnsi="Times New Roman" w:cs="Times New Roman"/>
          <w:sz w:val="24"/>
          <w:szCs w:val="24"/>
        </w:rPr>
      </w:pPr>
    </w:p>
    <w:p w14:paraId="4E50AB03" w14:textId="77777777" w:rsidR="007B7A32" w:rsidRPr="00EA756A" w:rsidRDefault="007B7A32" w:rsidP="00EA756A">
      <w:pPr>
        <w:pStyle w:val="ListParagraph"/>
        <w:numPr>
          <w:ilvl w:val="0"/>
          <w:numId w:val="12"/>
        </w:numPr>
        <w:spacing w:line="480" w:lineRule="auto"/>
        <w:jc w:val="both"/>
        <w:rPr>
          <w:sz w:val="24"/>
          <w:szCs w:val="24"/>
        </w:rPr>
      </w:pPr>
      <w:proofErr w:type="spellStart"/>
      <w:r w:rsidRPr="00EA756A">
        <w:rPr>
          <w:sz w:val="24"/>
          <w:szCs w:val="24"/>
        </w:rPr>
        <w:t>Velmourougane</w:t>
      </w:r>
      <w:proofErr w:type="spellEnd"/>
      <w:r w:rsidRPr="00EA756A">
        <w:rPr>
          <w:sz w:val="24"/>
          <w:szCs w:val="24"/>
        </w:rPr>
        <w:t xml:space="preserve">, K., Blaise, D., Savitha, S. and Waghmare, V. N.: </w:t>
      </w:r>
      <w:proofErr w:type="spellStart"/>
      <w:r w:rsidRPr="00EA756A">
        <w:rPr>
          <w:sz w:val="24"/>
          <w:szCs w:val="24"/>
        </w:rPr>
        <w:t>Valorization</w:t>
      </w:r>
      <w:proofErr w:type="spellEnd"/>
      <w:r w:rsidRPr="00EA756A">
        <w:rPr>
          <w:sz w:val="24"/>
          <w:szCs w:val="24"/>
        </w:rPr>
        <w:t xml:space="preserve"> of cotton wastes for agricultural and industrial applications: Present status and future prospects. In: R. Bhat (Ed.). </w:t>
      </w:r>
      <w:proofErr w:type="spellStart"/>
      <w:r w:rsidRPr="00EA756A">
        <w:rPr>
          <w:sz w:val="24"/>
          <w:szCs w:val="24"/>
        </w:rPr>
        <w:t>Valorization</w:t>
      </w:r>
      <w:proofErr w:type="spellEnd"/>
      <w:r w:rsidRPr="00EA756A">
        <w:rPr>
          <w:sz w:val="24"/>
          <w:szCs w:val="24"/>
        </w:rPr>
        <w:t xml:space="preserve"> of Agri-Food Wastes &amp; By-Products. Elsevier, pp. 665–692 (2021).</w:t>
      </w:r>
    </w:p>
    <w:p w14:paraId="07BD76DF" w14:textId="77777777" w:rsidR="007B7A32" w:rsidRPr="004E4C1B" w:rsidRDefault="007B7A32" w:rsidP="00360D49">
      <w:pPr>
        <w:spacing w:after="0" w:line="480" w:lineRule="auto"/>
        <w:jc w:val="both"/>
        <w:rPr>
          <w:rFonts w:ascii="Times New Roman" w:hAnsi="Times New Roman" w:cs="Times New Roman"/>
          <w:sz w:val="24"/>
          <w:szCs w:val="24"/>
        </w:rPr>
      </w:pPr>
    </w:p>
    <w:p w14:paraId="0A860841" w14:textId="77777777" w:rsidR="007B7A32" w:rsidRPr="00EA756A" w:rsidRDefault="007B7A32" w:rsidP="00EA756A">
      <w:pPr>
        <w:pStyle w:val="ListParagraph"/>
        <w:numPr>
          <w:ilvl w:val="0"/>
          <w:numId w:val="12"/>
        </w:numPr>
        <w:spacing w:line="480" w:lineRule="auto"/>
        <w:jc w:val="both"/>
        <w:rPr>
          <w:sz w:val="24"/>
          <w:szCs w:val="24"/>
        </w:rPr>
      </w:pPr>
      <w:proofErr w:type="spellStart"/>
      <w:r w:rsidRPr="00EA756A">
        <w:rPr>
          <w:sz w:val="24"/>
          <w:szCs w:val="24"/>
        </w:rPr>
        <w:t>Velmourougane</w:t>
      </w:r>
      <w:proofErr w:type="spellEnd"/>
      <w:r w:rsidRPr="00EA756A">
        <w:rPr>
          <w:sz w:val="24"/>
          <w:szCs w:val="24"/>
        </w:rPr>
        <w:t xml:space="preserve">, K., Manikandan, A., Blaise, D. and </w:t>
      </w:r>
      <w:proofErr w:type="spellStart"/>
      <w:r w:rsidRPr="00EA756A">
        <w:rPr>
          <w:sz w:val="24"/>
          <w:szCs w:val="24"/>
        </w:rPr>
        <w:t>Mageshwaran</w:t>
      </w:r>
      <w:proofErr w:type="spellEnd"/>
      <w:r w:rsidRPr="00EA756A">
        <w:rPr>
          <w:sz w:val="24"/>
          <w:szCs w:val="24"/>
        </w:rPr>
        <w:t xml:space="preserve">, V.: Cotton stalk compost as a substitution to farmyard manure along with mineral fertilisers and microbials enhanced </w:t>
      </w:r>
      <w:proofErr w:type="spellStart"/>
      <w:r w:rsidRPr="00EA756A">
        <w:rPr>
          <w:sz w:val="24"/>
          <w:szCs w:val="24"/>
        </w:rPr>
        <w:t>Bt</w:t>
      </w:r>
      <w:proofErr w:type="spellEnd"/>
      <w:r w:rsidRPr="00EA756A">
        <w:rPr>
          <w:sz w:val="24"/>
          <w:szCs w:val="24"/>
        </w:rPr>
        <w:t xml:space="preserve"> cotton productivity and fibre quality in rain-fed </w:t>
      </w:r>
      <w:proofErr w:type="spellStart"/>
      <w:r w:rsidRPr="00EA756A">
        <w:rPr>
          <w:sz w:val="24"/>
          <w:szCs w:val="24"/>
        </w:rPr>
        <w:t>Vertisols</w:t>
      </w:r>
      <w:proofErr w:type="spellEnd"/>
      <w:r w:rsidRPr="00EA756A">
        <w:rPr>
          <w:sz w:val="24"/>
          <w:szCs w:val="24"/>
        </w:rPr>
        <w:t xml:space="preserve">. </w:t>
      </w:r>
      <w:r w:rsidRPr="00EA756A">
        <w:rPr>
          <w:i/>
          <w:iCs/>
          <w:sz w:val="24"/>
          <w:szCs w:val="24"/>
        </w:rPr>
        <w:t>Waste Biomass Valor.,</w:t>
      </w:r>
      <w:r w:rsidRPr="00EA756A">
        <w:rPr>
          <w:sz w:val="24"/>
          <w:szCs w:val="24"/>
        </w:rPr>
        <w:t xml:space="preserve"> </w:t>
      </w:r>
      <w:r w:rsidRPr="00EA756A">
        <w:rPr>
          <w:b/>
          <w:bCs/>
          <w:sz w:val="24"/>
          <w:szCs w:val="24"/>
        </w:rPr>
        <w:t>13(6),</w:t>
      </w:r>
      <w:r w:rsidRPr="00EA756A">
        <w:rPr>
          <w:sz w:val="24"/>
          <w:szCs w:val="24"/>
        </w:rPr>
        <w:t xml:space="preserve"> 2847–2860 (2022).</w:t>
      </w:r>
    </w:p>
    <w:p w14:paraId="52F764C7" w14:textId="77777777" w:rsidR="007B7A32" w:rsidRPr="004E4C1B" w:rsidRDefault="007B7A32" w:rsidP="00360D49">
      <w:pPr>
        <w:spacing w:after="0" w:line="480" w:lineRule="auto"/>
        <w:jc w:val="both"/>
        <w:rPr>
          <w:rFonts w:ascii="Times New Roman" w:hAnsi="Times New Roman" w:cs="Times New Roman"/>
          <w:sz w:val="24"/>
          <w:szCs w:val="24"/>
        </w:rPr>
      </w:pPr>
    </w:p>
    <w:p w14:paraId="77E204D9"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Wang, F., Xu, L., Zhao, L., Ding, Z., Ma, H. and Terry, N.: Fungal laccase production from lignocellulosic agricultural wastes by solid-state fermentation: A review. </w:t>
      </w:r>
      <w:r w:rsidRPr="00EA756A">
        <w:rPr>
          <w:i/>
          <w:iCs/>
          <w:sz w:val="24"/>
          <w:szCs w:val="24"/>
        </w:rPr>
        <w:t>Microorganisms</w:t>
      </w:r>
      <w:r w:rsidRPr="00EA756A">
        <w:rPr>
          <w:sz w:val="24"/>
          <w:szCs w:val="24"/>
        </w:rPr>
        <w:t xml:space="preserve">, </w:t>
      </w:r>
      <w:r w:rsidRPr="00EA756A">
        <w:rPr>
          <w:b/>
          <w:bCs/>
          <w:sz w:val="24"/>
          <w:szCs w:val="24"/>
        </w:rPr>
        <w:t>7(12),</w:t>
      </w:r>
      <w:r w:rsidRPr="00EA756A">
        <w:rPr>
          <w:sz w:val="24"/>
          <w:szCs w:val="24"/>
        </w:rPr>
        <w:t xml:space="preserve"> 665 (2019).</w:t>
      </w:r>
    </w:p>
    <w:p w14:paraId="34E101E0" w14:textId="77777777" w:rsidR="007B7A32" w:rsidRPr="004E4C1B" w:rsidRDefault="007B7A32" w:rsidP="00360D49">
      <w:pPr>
        <w:spacing w:after="0" w:line="480" w:lineRule="auto"/>
        <w:jc w:val="both"/>
        <w:rPr>
          <w:rFonts w:ascii="Times New Roman" w:hAnsi="Times New Roman" w:cs="Times New Roman"/>
          <w:sz w:val="24"/>
          <w:szCs w:val="24"/>
        </w:rPr>
      </w:pPr>
    </w:p>
    <w:p w14:paraId="3711D0C2"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lastRenderedPageBreak/>
        <w:t xml:space="preserve">Weng, C., Peng, X. and Han, Y.: Depolymerisation and conversion of lignin to value-added bioproducts by microbial and enzymatic catalysis. </w:t>
      </w:r>
      <w:proofErr w:type="spellStart"/>
      <w:r w:rsidRPr="00EA756A">
        <w:rPr>
          <w:i/>
          <w:iCs/>
          <w:sz w:val="24"/>
          <w:szCs w:val="24"/>
        </w:rPr>
        <w:t>Biotechnol</w:t>
      </w:r>
      <w:proofErr w:type="spellEnd"/>
      <w:r w:rsidRPr="00EA756A">
        <w:rPr>
          <w:i/>
          <w:iCs/>
          <w:sz w:val="24"/>
          <w:szCs w:val="24"/>
        </w:rPr>
        <w:t>. Biofuels</w:t>
      </w:r>
      <w:r w:rsidRPr="00EA756A">
        <w:rPr>
          <w:sz w:val="24"/>
          <w:szCs w:val="24"/>
        </w:rPr>
        <w:t xml:space="preserve">, </w:t>
      </w:r>
      <w:r w:rsidRPr="00EA756A">
        <w:rPr>
          <w:b/>
          <w:bCs/>
          <w:sz w:val="24"/>
          <w:szCs w:val="24"/>
        </w:rPr>
        <w:t>14</w:t>
      </w:r>
      <w:r w:rsidRPr="00EA756A">
        <w:rPr>
          <w:sz w:val="24"/>
          <w:szCs w:val="24"/>
        </w:rPr>
        <w:t>, 84 (2021).</w:t>
      </w:r>
    </w:p>
    <w:p w14:paraId="418268E9" w14:textId="77777777" w:rsidR="007B7A32" w:rsidRPr="004E4C1B" w:rsidRDefault="007B7A32" w:rsidP="00360D49">
      <w:pPr>
        <w:spacing w:after="0" w:line="480" w:lineRule="auto"/>
        <w:jc w:val="both"/>
        <w:rPr>
          <w:rFonts w:ascii="Times New Roman" w:hAnsi="Times New Roman" w:cs="Times New Roman"/>
          <w:sz w:val="24"/>
          <w:szCs w:val="24"/>
        </w:rPr>
      </w:pPr>
    </w:p>
    <w:p w14:paraId="42FF8298"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White, T. J., Bruns, T., Lee, S. and Taylor, J.: Amplification and direct sequencing of fungal ribosomal RNA genes for phylogenetics. In: M. A. Innis, D. H. Gelfand and J. J. </w:t>
      </w:r>
      <w:proofErr w:type="spellStart"/>
      <w:r w:rsidRPr="00EA756A">
        <w:rPr>
          <w:sz w:val="24"/>
          <w:szCs w:val="24"/>
        </w:rPr>
        <w:t>Sninsky</w:t>
      </w:r>
      <w:proofErr w:type="spellEnd"/>
      <w:r w:rsidRPr="00EA756A">
        <w:rPr>
          <w:sz w:val="24"/>
          <w:szCs w:val="24"/>
        </w:rPr>
        <w:t xml:space="preserve"> (Eds</w:t>
      </w:r>
      <w:bookmarkStart w:id="1" w:name="_GoBack"/>
      <w:bookmarkEnd w:id="1"/>
      <w:r w:rsidRPr="00EA756A">
        <w:rPr>
          <w:sz w:val="24"/>
          <w:szCs w:val="24"/>
        </w:rPr>
        <w:t>.). PCR Protocols: A Guide to Methods &amp; Applications. Academic Press, pp. 315–322 (1990).</w:t>
      </w:r>
    </w:p>
    <w:p w14:paraId="5F41D3CA" w14:textId="77777777" w:rsidR="007B7A32" w:rsidRPr="004E4C1B" w:rsidRDefault="007B7A32" w:rsidP="00360D49">
      <w:pPr>
        <w:spacing w:after="0" w:line="480" w:lineRule="auto"/>
        <w:jc w:val="both"/>
        <w:rPr>
          <w:rFonts w:ascii="Times New Roman" w:hAnsi="Times New Roman" w:cs="Times New Roman"/>
          <w:sz w:val="24"/>
          <w:szCs w:val="24"/>
        </w:rPr>
      </w:pPr>
    </w:p>
    <w:p w14:paraId="7B66CCAA"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Xing, W., Xu, G., Dong, J., Han, R. and Ni, Y.: Novel di-hydrogen-bonding deep eutectic solvents: Pretreatment of rice straw for butanol fermentation featuring enzyme recycling and high solvent yield. </w:t>
      </w:r>
      <w:r w:rsidRPr="00EA756A">
        <w:rPr>
          <w:i/>
          <w:iCs/>
          <w:sz w:val="24"/>
          <w:szCs w:val="24"/>
        </w:rPr>
        <w:t>Chem. Eng. J</w:t>
      </w:r>
      <w:r w:rsidRPr="00EA756A">
        <w:rPr>
          <w:sz w:val="24"/>
          <w:szCs w:val="24"/>
        </w:rPr>
        <w:t xml:space="preserve">., </w:t>
      </w:r>
      <w:r w:rsidRPr="00EA756A">
        <w:rPr>
          <w:b/>
          <w:bCs/>
          <w:sz w:val="24"/>
          <w:szCs w:val="24"/>
        </w:rPr>
        <w:t>333</w:t>
      </w:r>
      <w:r w:rsidRPr="00EA756A">
        <w:rPr>
          <w:sz w:val="24"/>
          <w:szCs w:val="24"/>
        </w:rPr>
        <w:t>, 712–720 (2018).</w:t>
      </w:r>
    </w:p>
    <w:p w14:paraId="31C67F42" w14:textId="77777777" w:rsidR="007B7A32" w:rsidRPr="004E4C1B" w:rsidRDefault="007B7A32" w:rsidP="00360D49">
      <w:pPr>
        <w:spacing w:after="0" w:line="480" w:lineRule="auto"/>
        <w:jc w:val="both"/>
        <w:rPr>
          <w:rFonts w:ascii="Times New Roman" w:hAnsi="Times New Roman" w:cs="Times New Roman"/>
          <w:sz w:val="24"/>
          <w:szCs w:val="24"/>
        </w:rPr>
      </w:pPr>
    </w:p>
    <w:p w14:paraId="52489953" w14:textId="77777777" w:rsidR="007B7A32" w:rsidRPr="00EA756A" w:rsidRDefault="007B7A32" w:rsidP="00EA756A">
      <w:pPr>
        <w:pStyle w:val="ListParagraph"/>
        <w:numPr>
          <w:ilvl w:val="0"/>
          <w:numId w:val="12"/>
        </w:numPr>
        <w:spacing w:line="480" w:lineRule="auto"/>
        <w:jc w:val="both"/>
        <w:rPr>
          <w:sz w:val="24"/>
          <w:szCs w:val="24"/>
        </w:rPr>
      </w:pPr>
      <w:r w:rsidRPr="00EA756A">
        <w:rPr>
          <w:sz w:val="24"/>
          <w:szCs w:val="24"/>
        </w:rPr>
        <w:t xml:space="preserve">Zhang, H., Ning, Z., Khalid, H., Zhang, R., Liu, G. and Chen, C.: Enhancement of methane production from cotton stalk using different pretreatment techniques. </w:t>
      </w:r>
      <w:r w:rsidRPr="00EA756A">
        <w:rPr>
          <w:i/>
          <w:iCs/>
          <w:sz w:val="24"/>
          <w:szCs w:val="24"/>
        </w:rPr>
        <w:t>Sci. Rep.,</w:t>
      </w:r>
      <w:r w:rsidRPr="00EA756A">
        <w:rPr>
          <w:sz w:val="24"/>
          <w:szCs w:val="24"/>
        </w:rPr>
        <w:t xml:space="preserve"> </w:t>
      </w:r>
      <w:r w:rsidRPr="00EA756A">
        <w:rPr>
          <w:b/>
          <w:bCs/>
          <w:sz w:val="24"/>
          <w:szCs w:val="24"/>
        </w:rPr>
        <w:t>8(1),</w:t>
      </w:r>
      <w:r w:rsidRPr="00EA756A">
        <w:rPr>
          <w:sz w:val="24"/>
          <w:szCs w:val="24"/>
        </w:rPr>
        <w:t xml:space="preserve"> 21413 (2018).</w:t>
      </w:r>
    </w:p>
    <w:p w14:paraId="200FF07D" w14:textId="77777777" w:rsidR="00940976" w:rsidRDefault="00940976" w:rsidP="00360D49">
      <w:pPr>
        <w:spacing w:line="480" w:lineRule="auto"/>
        <w:ind w:left="360"/>
        <w:jc w:val="both"/>
        <w:rPr>
          <w:sz w:val="24"/>
          <w:szCs w:val="24"/>
        </w:rPr>
      </w:pPr>
    </w:p>
    <w:p w14:paraId="096F644F" w14:textId="0D841B17" w:rsidR="00940976" w:rsidRPr="00360D49" w:rsidRDefault="00940976" w:rsidP="00360D49">
      <w:pPr>
        <w:spacing w:line="480" w:lineRule="auto"/>
        <w:ind w:left="360"/>
        <w:jc w:val="both"/>
        <w:rPr>
          <w:sz w:val="24"/>
          <w:szCs w:val="24"/>
        </w:rPr>
        <w:sectPr w:rsidR="00940976" w:rsidRPr="00360D49" w:rsidSect="00360D49">
          <w:headerReference w:type="even" r:id="rId9"/>
          <w:headerReference w:type="default" r:id="rId10"/>
          <w:headerReference w:type="first" r:id="rId11"/>
          <w:type w:val="continuous"/>
          <w:pgSz w:w="11906" w:h="16838"/>
          <w:pgMar w:top="1440" w:right="1440" w:bottom="1440" w:left="1440" w:header="709" w:footer="709" w:gutter="0"/>
          <w:cols w:space="708"/>
          <w:docGrid w:linePitch="360"/>
        </w:sectPr>
      </w:pPr>
    </w:p>
    <w:tbl>
      <w:tblPr>
        <w:tblStyle w:val="TableGridLight"/>
        <w:tblpPr w:leftFromText="180" w:rightFromText="180" w:vertAnchor="text" w:horzAnchor="margin" w:tblpY="644"/>
        <w:tblW w:w="3042" w:type="pct"/>
        <w:tblLook w:val="04A0" w:firstRow="1" w:lastRow="0" w:firstColumn="1" w:lastColumn="0" w:noHBand="0" w:noVBand="1"/>
      </w:tblPr>
      <w:tblGrid>
        <w:gridCol w:w="698"/>
        <w:gridCol w:w="2841"/>
        <w:gridCol w:w="4947"/>
      </w:tblGrid>
      <w:tr w:rsidR="00940976" w:rsidRPr="004E4C1B" w14:paraId="2C63EA85" w14:textId="77777777" w:rsidTr="00940976">
        <w:trPr>
          <w:trHeight w:hRule="exact" w:val="294"/>
        </w:trPr>
        <w:tc>
          <w:tcPr>
            <w:tcW w:w="411" w:type="pct"/>
          </w:tcPr>
          <w:p w14:paraId="1CF7AB61" w14:textId="77777777" w:rsidR="00940976" w:rsidRPr="00360D49" w:rsidRDefault="00940976" w:rsidP="0037225E">
            <w:pPr>
              <w:spacing w:line="360" w:lineRule="auto"/>
              <w:ind w:left="360"/>
              <w:rPr>
                <w:color w:val="000000" w:themeColor="text1"/>
                <w:sz w:val="24"/>
                <w:szCs w:val="24"/>
              </w:rPr>
            </w:pPr>
          </w:p>
        </w:tc>
        <w:tc>
          <w:tcPr>
            <w:tcW w:w="1674" w:type="pct"/>
          </w:tcPr>
          <w:p w14:paraId="64766813" w14:textId="77777777" w:rsidR="00940976" w:rsidRPr="00360D49" w:rsidRDefault="00940976" w:rsidP="0037225E">
            <w:pPr>
              <w:spacing w:line="360" w:lineRule="auto"/>
              <w:ind w:left="360"/>
              <w:rPr>
                <w:color w:val="000000" w:themeColor="text1"/>
                <w:sz w:val="24"/>
                <w:szCs w:val="24"/>
              </w:rPr>
            </w:pPr>
            <w:r w:rsidRPr="00360D49">
              <w:rPr>
                <w:color w:val="000000" w:themeColor="text1"/>
                <w:sz w:val="24"/>
                <w:szCs w:val="24"/>
              </w:rPr>
              <w:t>Lat and long details</w:t>
            </w:r>
          </w:p>
        </w:tc>
        <w:tc>
          <w:tcPr>
            <w:tcW w:w="2915" w:type="pct"/>
          </w:tcPr>
          <w:p w14:paraId="2D8397D1" w14:textId="77777777" w:rsidR="00940976" w:rsidRPr="00360D49" w:rsidRDefault="00940976" w:rsidP="0037225E">
            <w:pPr>
              <w:spacing w:line="360" w:lineRule="auto"/>
              <w:ind w:left="360"/>
              <w:rPr>
                <w:color w:val="000000" w:themeColor="text1"/>
                <w:sz w:val="24"/>
                <w:szCs w:val="24"/>
              </w:rPr>
            </w:pPr>
            <w:r w:rsidRPr="00360D49">
              <w:rPr>
                <w:color w:val="000000" w:themeColor="text1"/>
                <w:sz w:val="24"/>
                <w:szCs w:val="24"/>
              </w:rPr>
              <w:t>Sampling area</w:t>
            </w:r>
          </w:p>
        </w:tc>
      </w:tr>
      <w:tr w:rsidR="00940976" w:rsidRPr="004E4C1B" w14:paraId="298DA0BB" w14:textId="77777777" w:rsidTr="00940976">
        <w:trPr>
          <w:trHeight w:hRule="exact" w:val="282"/>
        </w:trPr>
        <w:tc>
          <w:tcPr>
            <w:tcW w:w="411" w:type="pct"/>
          </w:tcPr>
          <w:p w14:paraId="1028AFA2" w14:textId="77777777" w:rsidR="00940976" w:rsidRPr="00360D49" w:rsidRDefault="00940976" w:rsidP="0037225E">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1</w:t>
            </w:r>
          </w:p>
        </w:tc>
        <w:tc>
          <w:tcPr>
            <w:tcW w:w="1674" w:type="pct"/>
          </w:tcPr>
          <w:p w14:paraId="03E69FFD" w14:textId="77777777" w:rsidR="00940976" w:rsidRPr="00360D49" w:rsidRDefault="00940976" w:rsidP="0037225E">
            <w:pPr>
              <w:spacing w:line="360" w:lineRule="auto"/>
              <w:ind w:left="360"/>
              <w:textAlignment w:val="baseline"/>
              <w:outlineLvl w:val="0"/>
              <w:rPr>
                <w:b/>
                <w:bCs/>
                <w:color w:val="000000"/>
                <w:sz w:val="24"/>
                <w:szCs w:val="24"/>
                <w:lang w:eastAsia="en-IN"/>
              </w:rPr>
            </w:pPr>
            <w:bookmarkStart w:id="2" w:name="_Toc71141566"/>
            <w:r w:rsidRPr="00360D49">
              <w:rPr>
                <w:color w:val="000000"/>
                <w:kern w:val="36"/>
                <w:sz w:val="24"/>
                <w:szCs w:val="24"/>
                <w:lang w:eastAsia="en-IN"/>
              </w:rPr>
              <w:t>21°04’56.</w:t>
            </w:r>
            <w:proofErr w:type="gramStart"/>
            <w:r w:rsidRPr="00360D49">
              <w:rPr>
                <w:color w:val="000000"/>
                <w:kern w:val="36"/>
                <w:sz w:val="24"/>
                <w:szCs w:val="24"/>
                <w:lang w:eastAsia="en-IN"/>
              </w:rPr>
              <w:t>0”N</w:t>
            </w:r>
            <w:proofErr w:type="gramEnd"/>
            <w:r w:rsidRPr="00360D49">
              <w:rPr>
                <w:color w:val="000000"/>
                <w:kern w:val="36"/>
                <w:sz w:val="24"/>
                <w:szCs w:val="24"/>
                <w:lang w:eastAsia="en-IN"/>
              </w:rPr>
              <w:t xml:space="preserve"> 79°06’59.4”E</w:t>
            </w:r>
            <w:bookmarkStart w:id="3" w:name="_Toc71141567"/>
            <w:bookmarkEnd w:id="2"/>
            <w:bookmarkEnd w:id="3"/>
          </w:p>
          <w:p w14:paraId="419460FC" w14:textId="77777777" w:rsidR="00940976" w:rsidRPr="004E4C1B" w:rsidRDefault="00940976" w:rsidP="0037225E">
            <w:pPr>
              <w:spacing w:line="360" w:lineRule="auto"/>
              <w:rPr>
                <w:rFonts w:ascii="Times New Roman" w:hAnsi="Times New Roman" w:cs="Times New Roman"/>
                <w:sz w:val="24"/>
                <w:szCs w:val="24"/>
                <w:lang w:val="en-US"/>
              </w:rPr>
            </w:pPr>
          </w:p>
        </w:tc>
        <w:tc>
          <w:tcPr>
            <w:tcW w:w="2915" w:type="pct"/>
          </w:tcPr>
          <w:p w14:paraId="74598699" w14:textId="77777777" w:rsidR="00940976" w:rsidRPr="00360D49" w:rsidRDefault="00940976" w:rsidP="0037225E">
            <w:pPr>
              <w:spacing w:line="360" w:lineRule="auto"/>
              <w:ind w:left="360"/>
              <w:rPr>
                <w:sz w:val="24"/>
                <w:szCs w:val="24"/>
              </w:rPr>
            </w:pPr>
            <w:proofErr w:type="spellStart"/>
            <w:r w:rsidRPr="00360D49">
              <w:rPr>
                <w:sz w:val="24"/>
                <w:szCs w:val="24"/>
              </w:rPr>
              <w:t>Besa-Pipla</w:t>
            </w:r>
            <w:proofErr w:type="spellEnd"/>
            <w:r w:rsidRPr="00360D49">
              <w:rPr>
                <w:sz w:val="24"/>
                <w:szCs w:val="24"/>
              </w:rPr>
              <w:t xml:space="preserve">, </w:t>
            </w:r>
            <w:proofErr w:type="spellStart"/>
            <w:r w:rsidRPr="00360D49">
              <w:rPr>
                <w:sz w:val="24"/>
                <w:szCs w:val="24"/>
              </w:rPr>
              <w:t>Manewada</w:t>
            </w:r>
            <w:proofErr w:type="spellEnd"/>
            <w:r w:rsidRPr="00360D49">
              <w:rPr>
                <w:sz w:val="24"/>
                <w:szCs w:val="24"/>
              </w:rPr>
              <w:t>, Nagpur, Maharashtra</w:t>
            </w:r>
          </w:p>
        </w:tc>
      </w:tr>
      <w:tr w:rsidR="00940976" w:rsidRPr="004E4C1B" w14:paraId="7078E147" w14:textId="77777777" w:rsidTr="00940976">
        <w:trPr>
          <w:trHeight w:hRule="exact" w:val="286"/>
        </w:trPr>
        <w:tc>
          <w:tcPr>
            <w:tcW w:w="411" w:type="pct"/>
          </w:tcPr>
          <w:p w14:paraId="395BF73B" w14:textId="77777777" w:rsidR="00940976" w:rsidRPr="00360D49" w:rsidRDefault="00940976" w:rsidP="0037225E">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2</w:t>
            </w:r>
          </w:p>
        </w:tc>
        <w:tc>
          <w:tcPr>
            <w:tcW w:w="1674" w:type="pct"/>
          </w:tcPr>
          <w:p w14:paraId="18286F59" w14:textId="77777777" w:rsidR="00940976" w:rsidRPr="00360D49" w:rsidRDefault="00940976" w:rsidP="0037225E">
            <w:pPr>
              <w:spacing w:line="360" w:lineRule="auto"/>
              <w:ind w:left="360"/>
              <w:textAlignment w:val="baseline"/>
              <w:outlineLvl w:val="0"/>
              <w:rPr>
                <w:b/>
                <w:bCs/>
                <w:color w:val="000000"/>
                <w:sz w:val="24"/>
                <w:szCs w:val="24"/>
                <w:lang w:eastAsia="en-IN"/>
              </w:rPr>
            </w:pPr>
            <w:bookmarkStart w:id="4" w:name="_Toc71141568"/>
            <w:r w:rsidRPr="00360D49">
              <w:rPr>
                <w:color w:val="000000"/>
                <w:kern w:val="36"/>
                <w:sz w:val="24"/>
                <w:szCs w:val="24"/>
                <w:lang w:eastAsia="en-IN"/>
              </w:rPr>
              <w:t>21°10’08.</w:t>
            </w:r>
            <w:proofErr w:type="gramStart"/>
            <w:r w:rsidRPr="00360D49">
              <w:rPr>
                <w:color w:val="000000"/>
                <w:kern w:val="36"/>
                <w:sz w:val="24"/>
                <w:szCs w:val="24"/>
                <w:lang w:eastAsia="en-IN"/>
              </w:rPr>
              <w:t>0”N</w:t>
            </w:r>
            <w:proofErr w:type="gramEnd"/>
            <w:r w:rsidRPr="00360D49">
              <w:rPr>
                <w:color w:val="000000"/>
                <w:kern w:val="36"/>
                <w:sz w:val="24"/>
                <w:szCs w:val="24"/>
                <w:lang w:eastAsia="en-IN"/>
              </w:rPr>
              <w:t xml:space="preserve"> 79°03’50.9”E</w:t>
            </w:r>
            <w:bookmarkStart w:id="5" w:name="_Toc71141569"/>
            <w:bookmarkEnd w:id="4"/>
            <w:bookmarkEnd w:id="5"/>
          </w:p>
          <w:p w14:paraId="624465CC" w14:textId="77777777" w:rsidR="00940976" w:rsidRPr="004E4C1B" w:rsidRDefault="00940976" w:rsidP="0037225E">
            <w:pPr>
              <w:spacing w:line="360" w:lineRule="auto"/>
              <w:rPr>
                <w:rFonts w:ascii="Times New Roman" w:hAnsi="Times New Roman" w:cs="Times New Roman"/>
                <w:sz w:val="24"/>
                <w:szCs w:val="24"/>
                <w:lang w:val="en-US"/>
              </w:rPr>
            </w:pPr>
          </w:p>
        </w:tc>
        <w:tc>
          <w:tcPr>
            <w:tcW w:w="2915" w:type="pct"/>
          </w:tcPr>
          <w:p w14:paraId="75023359" w14:textId="77777777" w:rsidR="00940976" w:rsidRPr="00360D49" w:rsidRDefault="00940976" w:rsidP="0037225E">
            <w:pPr>
              <w:spacing w:line="360" w:lineRule="auto"/>
              <w:ind w:left="360"/>
              <w:rPr>
                <w:sz w:val="24"/>
                <w:szCs w:val="24"/>
              </w:rPr>
            </w:pPr>
            <w:r w:rsidRPr="00360D49">
              <w:rPr>
                <w:sz w:val="24"/>
                <w:szCs w:val="24"/>
              </w:rPr>
              <w:t>Seminary Hills, Nagpur, Maharashtra</w:t>
            </w:r>
          </w:p>
        </w:tc>
      </w:tr>
      <w:tr w:rsidR="00940976" w:rsidRPr="004E4C1B" w14:paraId="49F5E1BB" w14:textId="77777777" w:rsidTr="00940976">
        <w:trPr>
          <w:trHeight w:hRule="exact" w:val="290"/>
        </w:trPr>
        <w:tc>
          <w:tcPr>
            <w:tcW w:w="411" w:type="pct"/>
          </w:tcPr>
          <w:p w14:paraId="68675C0C" w14:textId="77777777" w:rsidR="00940976" w:rsidRPr="00360D49" w:rsidRDefault="00940976" w:rsidP="0037225E">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3</w:t>
            </w:r>
          </w:p>
        </w:tc>
        <w:tc>
          <w:tcPr>
            <w:tcW w:w="1674" w:type="pct"/>
          </w:tcPr>
          <w:p w14:paraId="604330EB" w14:textId="77777777" w:rsidR="00940976" w:rsidRPr="00360D49" w:rsidRDefault="00940976" w:rsidP="0037225E">
            <w:pPr>
              <w:spacing w:line="360" w:lineRule="auto"/>
              <w:ind w:left="360"/>
              <w:textAlignment w:val="baseline"/>
              <w:outlineLvl w:val="0"/>
              <w:rPr>
                <w:b/>
                <w:bCs/>
                <w:color w:val="000000"/>
                <w:sz w:val="24"/>
                <w:szCs w:val="24"/>
                <w:lang w:eastAsia="en-IN"/>
              </w:rPr>
            </w:pPr>
            <w:bookmarkStart w:id="6" w:name="_Toc71141570"/>
            <w:r w:rsidRPr="00360D49">
              <w:rPr>
                <w:color w:val="000000"/>
                <w:kern w:val="36"/>
                <w:sz w:val="24"/>
                <w:szCs w:val="24"/>
                <w:lang w:eastAsia="en-IN"/>
              </w:rPr>
              <w:t>21°06’00.</w:t>
            </w:r>
            <w:proofErr w:type="gramStart"/>
            <w:r w:rsidRPr="00360D49">
              <w:rPr>
                <w:color w:val="000000"/>
                <w:kern w:val="36"/>
                <w:sz w:val="24"/>
                <w:szCs w:val="24"/>
                <w:lang w:eastAsia="en-IN"/>
              </w:rPr>
              <w:t>7”N</w:t>
            </w:r>
            <w:proofErr w:type="gramEnd"/>
            <w:r w:rsidRPr="00360D49">
              <w:rPr>
                <w:color w:val="000000"/>
                <w:kern w:val="36"/>
                <w:sz w:val="24"/>
                <w:szCs w:val="24"/>
                <w:lang w:eastAsia="en-IN"/>
              </w:rPr>
              <w:t xml:space="preserve"> 79°03’24.2”E</w:t>
            </w:r>
            <w:bookmarkStart w:id="7" w:name="_Toc71141571"/>
            <w:bookmarkEnd w:id="6"/>
            <w:bookmarkEnd w:id="7"/>
          </w:p>
          <w:p w14:paraId="0CB88B2E" w14:textId="77777777" w:rsidR="00940976" w:rsidRPr="004E4C1B" w:rsidRDefault="00940976" w:rsidP="0037225E">
            <w:pPr>
              <w:spacing w:line="360" w:lineRule="auto"/>
              <w:rPr>
                <w:rFonts w:ascii="Times New Roman" w:hAnsi="Times New Roman" w:cs="Times New Roman"/>
                <w:sz w:val="24"/>
                <w:szCs w:val="24"/>
                <w:lang w:val="en-US"/>
              </w:rPr>
            </w:pPr>
          </w:p>
        </w:tc>
        <w:tc>
          <w:tcPr>
            <w:tcW w:w="2915" w:type="pct"/>
          </w:tcPr>
          <w:p w14:paraId="1EC01517" w14:textId="77777777" w:rsidR="00940976" w:rsidRPr="00360D49" w:rsidRDefault="00940976" w:rsidP="0037225E">
            <w:pPr>
              <w:spacing w:line="360" w:lineRule="auto"/>
              <w:ind w:left="360"/>
              <w:rPr>
                <w:sz w:val="24"/>
                <w:szCs w:val="24"/>
              </w:rPr>
            </w:pPr>
            <w:proofErr w:type="spellStart"/>
            <w:r w:rsidRPr="00360D49">
              <w:rPr>
                <w:sz w:val="24"/>
                <w:szCs w:val="24"/>
              </w:rPr>
              <w:t>Amrai</w:t>
            </w:r>
            <w:proofErr w:type="spellEnd"/>
            <w:r w:rsidRPr="00360D49">
              <w:rPr>
                <w:sz w:val="24"/>
                <w:szCs w:val="24"/>
              </w:rPr>
              <w:t xml:space="preserve">, </w:t>
            </w:r>
            <w:proofErr w:type="spellStart"/>
            <w:r w:rsidRPr="00360D49">
              <w:rPr>
                <w:sz w:val="24"/>
                <w:szCs w:val="24"/>
              </w:rPr>
              <w:t>Parate</w:t>
            </w:r>
            <w:proofErr w:type="spellEnd"/>
            <w:r w:rsidRPr="00360D49">
              <w:rPr>
                <w:sz w:val="24"/>
                <w:szCs w:val="24"/>
              </w:rPr>
              <w:t xml:space="preserve"> Nagar, </w:t>
            </w:r>
            <w:proofErr w:type="spellStart"/>
            <w:r w:rsidRPr="00360D49">
              <w:rPr>
                <w:sz w:val="24"/>
                <w:szCs w:val="24"/>
              </w:rPr>
              <w:t>Sonegaon</w:t>
            </w:r>
            <w:proofErr w:type="spellEnd"/>
            <w:r w:rsidRPr="00360D49">
              <w:rPr>
                <w:sz w:val="24"/>
                <w:szCs w:val="24"/>
              </w:rPr>
              <w:t>, Nagpur, Maharashtra</w:t>
            </w:r>
          </w:p>
        </w:tc>
      </w:tr>
      <w:tr w:rsidR="00940976" w:rsidRPr="004E4C1B" w14:paraId="15175E9D" w14:textId="77777777" w:rsidTr="00940976">
        <w:trPr>
          <w:trHeight w:hRule="exact" w:val="280"/>
        </w:trPr>
        <w:tc>
          <w:tcPr>
            <w:tcW w:w="411" w:type="pct"/>
          </w:tcPr>
          <w:p w14:paraId="78E19C9F" w14:textId="77777777" w:rsidR="00940976" w:rsidRPr="00360D49" w:rsidRDefault="00940976" w:rsidP="0037225E">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4</w:t>
            </w:r>
          </w:p>
        </w:tc>
        <w:tc>
          <w:tcPr>
            <w:tcW w:w="1674" w:type="pct"/>
          </w:tcPr>
          <w:p w14:paraId="024269DD" w14:textId="77777777" w:rsidR="00940976" w:rsidRPr="00360D49" w:rsidRDefault="00940976" w:rsidP="0037225E">
            <w:pPr>
              <w:spacing w:line="360" w:lineRule="auto"/>
              <w:ind w:left="360"/>
              <w:textAlignment w:val="baseline"/>
              <w:outlineLvl w:val="0"/>
              <w:rPr>
                <w:b/>
                <w:bCs/>
                <w:color w:val="000000"/>
                <w:sz w:val="24"/>
                <w:szCs w:val="24"/>
                <w:lang w:eastAsia="en-IN"/>
              </w:rPr>
            </w:pPr>
            <w:bookmarkStart w:id="8" w:name="_Toc71141572"/>
            <w:r w:rsidRPr="00360D49">
              <w:rPr>
                <w:color w:val="000000"/>
                <w:kern w:val="36"/>
                <w:sz w:val="24"/>
                <w:szCs w:val="24"/>
                <w:lang w:eastAsia="en-IN"/>
              </w:rPr>
              <w:t>21°08’38.</w:t>
            </w:r>
            <w:proofErr w:type="gramStart"/>
            <w:r w:rsidRPr="00360D49">
              <w:rPr>
                <w:color w:val="000000"/>
                <w:kern w:val="36"/>
                <w:sz w:val="24"/>
                <w:szCs w:val="24"/>
                <w:lang w:eastAsia="en-IN"/>
              </w:rPr>
              <w:t>2”N</w:t>
            </w:r>
            <w:proofErr w:type="gramEnd"/>
            <w:r w:rsidRPr="00360D49">
              <w:rPr>
                <w:color w:val="000000"/>
                <w:kern w:val="36"/>
                <w:sz w:val="24"/>
                <w:szCs w:val="24"/>
                <w:lang w:eastAsia="en-IN"/>
              </w:rPr>
              <w:t xml:space="preserve"> 79°04’27.5”E</w:t>
            </w:r>
            <w:bookmarkStart w:id="9" w:name="_Toc71141573"/>
            <w:bookmarkEnd w:id="8"/>
            <w:bookmarkEnd w:id="9"/>
          </w:p>
          <w:p w14:paraId="48E3FE8E" w14:textId="77777777" w:rsidR="00940976" w:rsidRPr="004E4C1B" w:rsidRDefault="00940976" w:rsidP="0037225E">
            <w:pPr>
              <w:tabs>
                <w:tab w:val="left" w:pos="4002"/>
              </w:tabs>
              <w:spacing w:line="360" w:lineRule="auto"/>
              <w:rPr>
                <w:rFonts w:ascii="Times New Roman" w:hAnsi="Times New Roman" w:cs="Times New Roman"/>
                <w:sz w:val="24"/>
                <w:szCs w:val="24"/>
                <w:lang w:val="en-US"/>
              </w:rPr>
            </w:pPr>
          </w:p>
        </w:tc>
        <w:tc>
          <w:tcPr>
            <w:tcW w:w="2915" w:type="pct"/>
          </w:tcPr>
          <w:p w14:paraId="6DA95B10" w14:textId="77777777" w:rsidR="00940976" w:rsidRPr="00360D49" w:rsidRDefault="00940976" w:rsidP="0037225E">
            <w:pPr>
              <w:spacing w:line="360" w:lineRule="auto"/>
              <w:ind w:left="360"/>
              <w:rPr>
                <w:sz w:val="24"/>
                <w:szCs w:val="24"/>
              </w:rPr>
            </w:pPr>
            <w:proofErr w:type="spellStart"/>
            <w:r w:rsidRPr="00360D49">
              <w:rPr>
                <w:sz w:val="24"/>
                <w:szCs w:val="24"/>
              </w:rPr>
              <w:t>Gorepeth</w:t>
            </w:r>
            <w:proofErr w:type="spellEnd"/>
            <w:r w:rsidRPr="00360D49">
              <w:rPr>
                <w:sz w:val="24"/>
                <w:szCs w:val="24"/>
              </w:rPr>
              <w:t>, Nagpur, Maharashtra</w:t>
            </w:r>
          </w:p>
        </w:tc>
      </w:tr>
      <w:tr w:rsidR="00940976" w:rsidRPr="004E4C1B" w14:paraId="1B4A14AF" w14:textId="77777777" w:rsidTr="00940976">
        <w:trPr>
          <w:trHeight w:hRule="exact" w:val="283"/>
        </w:trPr>
        <w:tc>
          <w:tcPr>
            <w:tcW w:w="411" w:type="pct"/>
          </w:tcPr>
          <w:p w14:paraId="3C9572CB" w14:textId="77777777" w:rsidR="00940976" w:rsidRPr="00360D49" w:rsidRDefault="00940976" w:rsidP="0037225E">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5</w:t>
            </w:r>
          </w:p>
        </w:tc>
        <w:tc>
          <w:tcPr>
            <w:tcW w:w="1674" w:type="pct"/>
          </w:tcPr>
          <w:p w14:paraId="4C61B3B5" w14:textId="77777777" w:rsidR="00940976" w:rsidRPr="00360D49" w:rsidRDefault="00940976" w:rsidP="0037225E">
            <w:pPr>
              <w:spacing w:line="360" w:lineRule="auto"/>
              <w:ind w:left="360"/>
              <w:textAlignment w:val="baseline"/>
              <w:outlineLvl w:val="0"/>
              <w:rPr>
                <w:b/>
                <w:bCs/>
                <w:color w:val="000000"/>
                <w:sz w:val="24"/>
                <w:szCs w:val="24"/>
                <w:lang w:eastAsia="en-IN"/>
              </w:rPr>
            </w:pPr>
            <w:bookmarkStart w:id="10" w:name="_Toc71141574"/>
            <w:r w:rsidRPr="00360D49">
              <w:rPr>
                <w:color w:val="000000"/>
                <w:kern w:val="36"/>
                <w:sz w:val="24"/>
                <w:szCs w:val="24"/>
                <w:lang w:eastAsia="en-IN"/>
              </w:rPr>
              <w:t>21°03’21.</w:t>
            </w:r>
            <w:proofErr w:type="gramStart"/>
            <w:r w:rsidRPr="00360D49">
              <w:rPr>
                <w:color w:val="000000"/>
                <w:kern w:val="36"/>
                <w:sz w:val="24"/>
                <w:szCs w:val="24"/>
                <w:lang w:eastAsia="en-IN"/>
              </w:rPr>
              <w:t>4”N</w:t>
            </w:r>
            <w:proofErr w:type="gramEnd"/>
            <w:r w:rsidRPr="00360D49">
              <w:rPr>
                <w:color w:val="000000"/>
                <w:kern w:val="36"/>
                <w:sz w:val="24"/>
                <w:szCs w:val="24"/>
                <w:lang w:eastAsia="en-IN"/>
              </w:rPr>
              <w:t xml:space="preserve"> 79°06’54.2”E</w:t>
            </w:r>
            <w:bookmarkStart w:id="11" w:name="_Toc71141575"/>
            <w:bookmarkEnd w:id="10"/>
            <w:bookmarkEnd w:id="11"/>
          </w:p>
          <w:p w14:paraId="5B37F80D" w14:textId="77777777" w:rsidR="00940976" w:rsidRPr="004E4C1B" w:rsidRDefault="00940976" w:rsidP="0037225E">
            <w:pPr>
              <w:spacing w:line="360" w:lineRule="auto"/>
              <w:rPr>
                <w:rFonts w:ascii="Times New Roman" w:hAnsi="Times New Roman" w:cs="Times New Roman"/>
                <w:sz w:val="24"/>
                <w:szCs w:val="24"/>
                <w:lang w:val="en-US"/>
              </w:rPr>
            </w:pPr>
          </w:p>
        </w:tc>
        <w:tc>
          <w:tcPr>
            <w:tcW w:w="2915" w:type="pct"/>
          </w:tcPr>
          <w:p w14:paraId="0D33E7A3" w14:textId="77777777" w:rsidR="00940976" w:rsidRPr="00360D49" w:rsidRDefault="00940976" w:rsidP="0037225E">
            <w:pPr>
              <w:spacing w:line="360" w:lineRule="auto"/>
              <w:ind w:left="360"/>
              <w:rPr>
                <w:sz w:val="24"/>
                <w:szCs w:val="24"/>
              </w:rPr>
            </w:pPr>
            <w:proofErr w:type="spellStart"/>
            <w:r w:rsidRPr="00360D49">
              <w:rPr>
                <w:sz w:val="24"/>
                <w:szCs w:val="24"/>
              </w:rPr>
              <w:t>Kanhalgaon</w:t>
            </w:r>
            <w:proofErr w:type="spellEnd"/>
            <w:r w:rsidRPr="00360D49">
              <w:rPr>
                <w:sz w:val="24"/>
                <w:szCs w:val="24"/>
              </w:rPr>
              <w:t>, Nagpur, Maharashtra</w:t>
            </w:r>
          </w:p>
        </w:tc>
      </w:tr>
      <w:tr w:rsidR="00940976" w:rsidRPr="004E4C1B" w14:paraId="3481057B" w14:textId="77777777" w:rsidTr="00940976">
        <w:trPr>
          <w:trHeight w:hRule="exact" w:val="274"/>
        </w:trPr>
        <w:tc>
          <w:tcPr>
            <w:tcW w:w="411" w:type="pct"/>
          </w:tcPr>
          <w:p w14:paraId="04084775" w14:textId="77777777" w:rsidR="00940976" w:rsidRPr="00360D49" w:rsidRDefault="00940976" w:rsidP="0037225E">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6</w:t>
            </w:r>
          </w:p>
        </w:tc>
        <w:tc>
          <w:tcPr>
            <w:tcW w:w="1674" w:type="pct"/>
          </w:tcPr>
          <w:p w14:paraId="4CAA0ABA" w14:textId="77777777" w:rsidR="00940976" w:rsidRPr="00360D49" w:rsidRDefault="00940976" w:rsidP="0037225E">
            <w:pPr>
              <w:spacing w:line="360" w:lineRule="auto"/>
              <w:ind w:left="360"/>
              <w:textAlignment w:val="baseline"/>
              <w:outlineLvl w:val="0"/>
              <w:rPr>
                <w:sz w:val="24"/>
                <w:szCs w:val="24"/>
                <w:lang w:val="en-US"/>
              </w:rPr>
            </w:pPr>
            <w:bookmarkStart w:id="12" w:name="_Toc71141576"/>
            <w:r w:rsidRPr="00360D49">
              <w:rPr>
                <w:color w:val="000000"/>
                <w:kern w:val="36"/>
                <w:sz w:val="24"/>
                <w:szCs w:val="24"/>
                <w:lang w:eastAsia="en-IN"/>
              </w:rPr>
              <w:t>21°09’41.</w:t>
            </w:r>
            <w:proofErr w:type="gramStart"/>
            <w:r w:rsidRPr="00360D49">
              <w:rPr>
                <w:color w:val="000000"/>
                <w:kern w:val="36"/>
                <w:sz w:val="24"/>
                <w:szCs w:val="24"/>
                <w:lang w:eastAsia="en-IN"/>
              </w:rPr>
              <w:t>1”N</w:t>
            </w:r>
            <w:proofErr w:type="gramEnd"/>
            <w:r w:rsidRPr="00360D49">
              <w:rPr>
                <w:color w:val="000000"/>
                <w:kern w:val="36"/>
                <w:sz w:val="24"/>
                <w:szCs w:val="24"/>
                <w:lang w:eastAsia="en-IN"/>
              </w:rPr>
              <w:t xml:space="preserve"> 79°03’55.9”E</w:t>
            </w:r>
            <w:bookmarkStart w:id="13" w:name="_Toc71141577"/>
            <w:bookmarkEnd w:id="12"/>
            <w:bookmarkEnd w:id="13"/>
          </w:p>
        </w:tc>
        <w:tc>
          <w:tcPr>
            <w:tcW w:w="2915" w:type="pct"/>
          </w:tcPr>
          <w:p w14:paraId="326A5664" w14:textId="77777777" w:rsidR="00940976" w:rsidRPr="00360D49" w:rsidRDefault="00940976" w:rsidP="0037225E">
            <w:pPr>
              <w:spacing w:line="360" w:lineRule="auto"/>
              <w:ind w:left="360"/>
              <w:rPr>
                <w:sz w:val="24"/>
                <w:szCs w:val="24"/>
              </w:rPr>
            </w:pPr>
            <w:r w:rsidRPr="00360D49">
              <w:rPr>
                <w:sz w:val="24"/>
                <w:szCs w:val="24"/>
              </w:rPr>
              <w:t>Seminary Hills, Nagpur, Maharashtra</w:t>
            </w:r>
          </w:p>
        </w:tc>
      </w:tr>
      <w:tr w:rsidR="00940976" w:rsidRPr="004E4C1B" w14:paraId="7599FB26" w14:textId="77777777" w:rsidTr="00940976">
        <w:trPr>
          <w:trHeight w:hRule="exact" w:val="292"/>
        </w:trPr>
        <w:tc>
          <w:tcPr>
            <w:tcW w:w="411" w:type="pct"/>
          </w:tcPr>
          <w:p w14:paraId="54BC20A4" w14:textId="77777777" w:rsidR="00940976" w:rsidRPr="00360D49" w:rsidRDefault="00940976" w:rsidP="0037225E">
            <w:pPr>
              <w:spacing w:line="360" w:lineRule="auto"/>
              <w:ind w:left="360"/>
              <w:textAlignment w:val="baseline"/>
              <w:outlineLvl w:val="0"/>
              <w:rPr>
                <w:color w:val="000000"/>
                <w:kern w:val="36"/>
                <w:sz w:val="24"/>
                <w:szCs w:val="24"/>
                <w:lang w:eastAsia="en-IN"/>
              </w:rPr>
            </w:pPr>
            <w:r w:rsidRPr="00360D49">
              <w:rPr>
                <w:color w:val="000000"/>
                <w:kern w:val="36"/>
                <w:sz w:val="24"/>
                <w:szCs w:val="24"/>
                <w:lang w:eastAsia="en-IN"/>
              </w:rPr>
              <w:t>7</w:t>
            </w:r>
          </w:p>
        </w:tc>
        <w:tc>
          <w:tcPr>
            <w:tcW w:w="1674" w:type="pct"/>
          </w:tcPr>
          <w:p w14:paraId="503D0F11" w14:textId="77777777" w:rsidR="00940976" w:rsidRPr="00360D49" w:rsidRDefault="00940976" w:rsidP="0037225E">
            <w:pPr>
              <w:spacing w:line="360" w:lineRule="auto"/>
              <w:ind w:left="360"/>
              <w:textAlignment w:val="baseline"/>
              <w:outlineLvl w:val="0"/>
              <w:rPr>
                <w:b/>
                <w:bCs/>
                <w:color w:val="000000"/>
                <w:sz w:val="24"/>
                <w:szCs w:val="24"/>
                <w:lang w:eastAsia="en-IN"/>
              </w:rPr>
            </w:pPr>
            <w:bookmarkStart w:id="14" w:name="_Toc71141578"/>
            <w:r w:rsidRPr="00360D49">
              <w:rPr>
                <w:color w:val="000000"/>
                <w:kern w:val="36"/>
                <w:sz w:val="24"/>
                <w:szCs w:val="24"/>
                <w:lang w:eastAsia="en-IN"/>
              </w:rPr>
              <w:t>21°02’11.</w:t>
            </w:r>
            <w:proofErr w:type="gramStart"/>
            <w:r w:rsidRPr="00360D49">
              <w:rPr>
                <w:color w:val="000000"/>
                <w:kern w:val="36"/>
                <w:sz w:val="24"/>
                <w:szCs w:val="24"/>
                <w:lang w:eastAsia="en-IN"/>
              </w:rPr>
              <w:t>2”N</w:t>
            </w:r>
            <w:proofErr w:type="gramEnd"/>
            <w:r w:rsidRPr="00360D49">
              <w:rPr>
                <w:color w:val="000000"/>
                <w:kern w:val="36"/>
                <w:sz w:val="24"/>
                <w:szCs w:val="24"/>
                <w:lang w:eastAsia="en-IN"/>
              </w:rPr>
              <w:t xml:space="preserve"> 79°03’21.6"E</w:t>
            </w:r>
            <w:bookmarkStart w:id="15" w:name="_Toc71141579"/>
            <w:bookmarkEnd w:id="14"/>
            <w:bookmarkEnd w:id="15"/>
          </w:p>
          <w:p w14:paraId="5177D0B2" w14:textId="77777777" w:rsidR="00940976" w:rsidRPr="004E4C1B" w:rsidRDefault="00940976" w:rsidP="0037225E">
            <w:pPr>
              <w:spacing w:line="360" w:lineRule="auto"/>
              <w:rPr>
                <w:rFonts w:ascii="Times New Roman" w:hAnsi="Times New Roman" w:cs="Times New Roman"/>
                <w:sz w:val="24"/>
                <w:szCs w:val="24"/>
                <w:lang w:val="en-US"/>
              </w:rPr>
            </w:pPr>
          </w:p>
        </w:tc>
        <w:tc>
          <w:tcPr>
            <w:tcW w:w="2915" w:type="pct"/>
          </w:tcPr>
          <w:p w14:paraId="7C8E2E7A" w14:textId="77777777" w:rsidR="00940976" w:rsidRPr="00360D49" w:rsidRDefault="00940976" w:rsidP="0037225E">
            <w:pPr>
              <w:spacing w:line="360" w:lineRule="auto"/>
              <w:ind w:left="360"/>
              <w:rPr>
                <w:sz w:val="24"/>
                <w:szCs w:val="24"/>
              </w:rPr>
            </w:pPr>
            <w:r w:rsidRPr="00360D49">
              <w:rPr>
                <w:sz w:val="24"/>
                <w:szCs w:val="24"/>
              </w:rPr>
              <w:t xml:space="preserve">ICAR-CICR, </w:t>
            </w:r>
            <w:proofErr w:type="spellStart"/>
            <w:r w:rsidRPr="00360D49">
              <w:rPr>
                <w:sz w:val="24"/>
                <w:szCs w:val="24"/>
              </w:rPr>
              <w:t>Panjari</w:t>
            </w:r>
            <w:proofErr w:type="spellEnd"/>
            <w:r w:rsidRPr="00360D49">
              <w:rPr>
                <w:sz w:val="24"/>
                <w:szCs w:val="24"/>
              </w:rPr>
              <w:t xml:space="preserve"> farm, Nagpur, Maharashtra</w:t>
            </w:r>
          </w:p>
        </w:tc>
      </w:tr>
    </w:tbl>
    <w:p w14:paraId="22140B75" w14:textId="78D30FEB" w:rsidR="00940976" w:rsidRDefault="00940976" w:rsidP="00360D49">
      <w:pPr>
        <w:ind w:left="360"/>
        <w:rPr>
          <w:b/>
          <w:bCs/>
          <w:sz w:val="24"/>
          <w:szCs w:val="24"/>
        </w:rPr>
      </w:pPr>
      <w:r w:rsidRPr="00940976">
        <w:rPr>
          <w:b/>
          <w:bCs/>
          <w:sz w:val="24"/>
          <w:szCs w:val="24"/>
        </w:rPr>
        <w:t>Table 1 Details of soil sampling locations</w:t>
      </w:r>
    </w:p>
    <w:p w14:paraId="358C1831" w14:textId="77777777" w:rsidR="00940976" w:rsidRDefault="00940976" w:rsidP="00360D49">
      <w:pPr>
        <w:ind w:left="360"/>
        <w:rPr>
          <w:b/>
          <w:bCs/>
          <w:sz w:val="24"/>
          <w:szCs w:val="24"/>
        </w:rPr>
      </w:pPr>
    </w:p>
    <w:p w14:paraId="504757F5" w14:textId="77777777" w:rsidR="00940976" w:rsidRDefault="00940976" w:rsidP="00360D49">
      <w:pPr>
        <w:ind w:left="360"/>
        <w:rPr>
          <w:b/>
          <w:bCs/>
          <w:sz w:val="24"/>
          <w:szCs w:val="24"/>
        </w:rPr>
      </w:pPr>
    </w:p>
    <w:p w14:paraId="75F4B64F" w14:textId="77777777" w:rsidR="00940976" w:rsidRDefault="00940976" w:rsidP="00360D49">
      <w:pPr>
        <w:ind w:left="360"/>
        <w:rPr>
          <w:b/>
          <w:bCs/>
          <w:sz w:val="24"/>
          <w:szCs w:val="24"/>
        </w:rPr>
      </w:pPr>
    </w:p>
    <w:p w14:paraId="30D0FDD4" w14:textId="77777777" w:rsidR="00940976" w:rsidRDefault="00940976" w:rsidP="00360D49">
      <w:pPr>
        <w:ind w:left="360"/>
        <w:rPr>
          <w:b/>
          <w:bCs/>
          <w:sz w:val="24"/>
          <w:szCs w:val="24"/>
        </w:rPr>
      </w:pPr>
    </w:p>
    <w:p w14:paraId="2D10A1B2" w14:textId="77777777" w:rsidR="00940976" w:rsidRDefault="00940976" w:rsidP="00360D49">
      <w:pPr>
        <w:ind w:left="360"/>
        <w:rPr>
          <w:b/>
          <w:bCs/>
          <w:sz w:val="24"/>
          <w:szCs w:val="24"/>
        </w:rPr>
      </w:pPr>
    </w:p>
    <w:p w14:paraId="1AC4B1A6" w14:textId="77777777" w:rsidR="00940976" w:rsidRDefault="00940976" w:rsidP="00360D49">
      <w:pPr>
        <w:ind w:left="360"/>
        <w:rPr>
          <w:b/>
          <w:bCs/>
          <w:sz w:val="24"/>
          <w:szCs w:val="24"/>
        </w:rPr>
      </w:pPr>
    </w:p>
    <w:p w14:paraId="45412C59" w14:textId="5654A39A" w:rsidR="002244AF" w:rsidRPr="00360D49" w:rsidRDefault="002244AF" w:rsidP="00360D49">
      <w:pPr>
        <w:ind w:left="360"/>
        <w:rPr>
          <w:sz w:val="24"/>
          <w:szCs w:val="24"/>
        </w:rPr>
      </w:pPr>
      <w:r w:rsidRPr="00360D49">
        <w:rPr>
          <w:b/>
          <w:bCs/>
          <w:sz w:val="24"/>
          <w:szCs w:val="24"/>
        </w:rPr>
        <w:t xml:space="preserve">Table </w:t>
      </w:r>
      <w:r w:rsidR="00940976">
        <w:rPr>
          <w:b/>
          <w:bCs/>
          <w:sz w:val="24"/>
          <w:szCs w:val="24"/>
        </w:rPr>
        <w:t>2</w:t>
      </w:r>
      <w:r w:rsidRPr="00360D49">
        <w:rPr>
          <w:b/>
          <w:bCs/>
          <w:sz w:val="24"/>
          <w:szCs w:val="24"/>
        </w:rPr>
        <w:t xml:space="preserve"> </w:t>
      </w:r>
      <w:r w:rsidRPr="00360D49">
        <w:rPr>
          <w:sz w:val="24"/>
          <w:szCs w:val="24"/>
        </w:rPr>
        <w:t xml:space="preserve">Qualitative </w:t>
      </w:r>
      <w:r w:rsidR="00261149" w:rsidRPr="00360D49">
        <w:rPr>
          <w:sz w:val="24"/>
          <w:szCs w:val="24"/>
        </w:rPr>
        <w:t xml:space="preserve">and quantitative </w:t>
      </w:r>
      <w:r w:rsidRPr="00360D49">
        <w:rPr>
          <w:sz w:val="24"/>
          <w:szCs w:val="24"/>
        </w:rPr>
        <w:t>screening of fungal isolates for lignocellulolytic enzyme activit</w:t>
      </w:r>
      <w:r w:rsidR="00261149" w:rsidRPr="00360D49">
        <w:rPr>
          <w:sz w:val="24"/>
          <w:szCs w:val="24"/>
        </w:rPr>
        <w:t>ies</w:t>
      </w:r>
    </w:p>
    <w:tbl>
      <w:tblPr>
        <w:tblStyle w:val="TableGrid"/>
        <w:tblW w:w="5085" w:type="pct"/>
        <w:tblLook w:val="04A0" w:firstRow="1" w:lastRow="0" w:firstColumn="1" w:lastColumn="0" w:noHBand="0" w:noVBand="1"/>
      </w:tblPr>
      <w:tblGrid>
        <w:gridCol w:w="2545"/>
        <w:gridCol w:w="1680"/>
        <w:gridCol w:w="1674"/>
        <w:gridCol w:w="1814"/>
        <w:gridCol w:w="2099"/>
        <w:gridCol w:w="1501"/>
        <w:gridCol w:w="1441"/>
        <w:gridCol w:w="1431"/>
      </w:tblGrid>
      <w:tr w:rsidR="00625D0E" w:rsidRPr="004E4C1B" w14:paraId="76D20967" w14:textId="77777777" w:rsidTr="00D30D5D">
        <w:trPr>
          <w:trHeight w:val="692"/>
        </w:trPr>
        <w:tc>
          <w:tcPr>
            <w:tcW w:w="937" w:type="pct"/>
            <w:vMerge w:val="restart"/>
            <w:vAlign w:val="center"/>
          </w:tcPr>
          <w:p w14:paraId="5E1300CB" w14:textId="47D0235E" w:rsidR="00625D0E" w:rsidRPr="00360D49" w:rsidRDefault="00625D0E" w:rsidP="00360D49">
            <w:pPr>
              <w:ind w:left="360"/>
              <w:jc w:val="center"/>
              <w:rPr>
                <w:b/>
                <w:bCs/>
                <w:iCs/>
                <w:sz w:val="24"/>
                <w:szCs w:val="24"/>
              </w:rPr>
            </w:pPr>
            <w:bookmarkStart w:id="16" w:name="_Hlk193356763"/>
            <w:bookmarkStart w:id="17" w:name="_Hlk194745305"/>
            <w:bookmarkEnd w:id="16"/>
            <w:r w:rsidRPr="00360D49">
              <w:rPr>
                <w:b/>
                <w:bCs/>
                <w:color w:val="000000"/>
                <w:sz w:val="24"/>
                <w:szCs w:val="24"/>
              </w:rPr>
              <w:t>Fungal isolates</w:t>
            </w:r>
          </w:p>
        </w:tc>
        <w:tc>
          <w:tcPr>
            <w:tcW w:w="632" w:type="pct"/>
            <w:vMerge w:val="restart"/>
            <w:vAlign w:val="center"/>
          </w:tcPr>
          <w:p w14:paraId="1A124AFC" w14:textId="0E9E2C4B" w:rsidR="00625D0E" w:rsidRPr="00360D49" w:rsidRDefault="00625D0E" w:rsidP="00360D49">
            <w:pPr>
              <w:ind w:left="360"/>
              <w:jc w:val="center"/>
              <w:rPr>
                <w:b/>
                <w:bCs/>
                <w:iCs/>
                <w:sz w:val="24"/>
                <w:szCs w:val="24"/>
              </w:rPr>
            </w:pPr>
            <w:r w:rsidRPr="00360D49">
              <w:rPr>
                <w:b/>
                <w:bCs/>
                <w:sz w:val="24"/>
                <w:szCs w:val="24"/>
              </w:rPr>
              <w:t>NCBI GenBank Accession No.</w:t>
            </w:r>
          </w:p>
        </w:tc>
        <w:tc>
          <w:tcPr>
            <w:tcW w:w="595" w:type="pct"/>
            <w:vMerge w:val="restart"/>
            <w:vAlign w:val="center"/>
          </w:tcPr>
          <w:p w14:paraId="4AD353DA" w14:textId="79A7FB7C" w:rsidR="00625D0E" w:rsidRPr="00360D49" w:rsidRDefault="00625D0E" w:rsidP="00360D49">
            <w:pPr>
              <w:ind w:left="360"/>
              <w:jc w:val="center"/>
              <w:rPr>
                <w:b/>
                <w:bCs/>
                <w:iCs/>
                <w:sz w:val="24"/>
                <w:szCs w:val="24"/>
              </w:rPr>
            </w:pPr>
            <w:r w:rsidRPr="00360D49">
              <w:rPr>
                <w:b/>
                <w:bCs/>
                <w:sz w:val="24"/>
                <w:szCs w:val="24"/>
              </w:rPr>
              <w:t>Cellulolytic enzyme index</w:t>
            </w:r>
          </w:p>
        </w:tc>
        <w:tc>
          <w:tcPr>
            <w:tcW w:w="714" w:type="pct"/>
            <w:vMerge w:val="restart"/>
            <w:vAlign w:val="center"/>
          </w:tcPr>
          <w:p w14:paraId="2844B5C7" w14:textId="190C60A0" w:rsidR="00625D0E" w:rsidRPr="00360D49" w:rsidRDefault="00625D0E" w:rsidP="00360D49">
            <w:pPr>
              <w:ind w:left="360"/>
              <w:jc w:val="center"/>
              <w:rPr>
                <w:b/>
                <w:bCs/>
                <w:iCs/>
                <w:sz w:val="24"/>
                <w:szCs w:val="24"/>
              </w:rPr>
            </w:pPr>
            <w:proofErr w:type="spellStart"/>
            <w:r w:rsidRPr="00360D49">
              <w:rPr>
                <w:b/>
                <w:bCs/>
                <w:color w:val="000000"/>
                <w:sz w:val="24"/>
                <w:szCs w:val="24"/>
              </w:rPr>
              <w:t>CMCase</w:t>
            </w:r>
            <w:proofErr w:type="spellEnd"/>
            <w:r w:rsidRPr="00360D49">
              <w:rPr>
                <w:b/>
                <w:bCs/>
                <w:color w:val="000000"/>
                <w:sz w:val="24"/>
                <w:szCs w:val="24"/>
              </w:rPr>
              <w:t xml:space="preserve"> (IU ml</w:t>
            </w:r>
            <w:r w:rsidRPr="00360D49">
              <w:rPr>
                <w:b/>
                <w:bCs/>
                <w:color w:val="000000"/>
                <w:sz w:val="24"/>
                <w:szCs w:val="24"/>
                <w:vertAlign w:val="superscript"/>
              </w:rPr>
              <w:t>-1</w:t>
            </w:r>
            <w:r w:rsidRPr="00360D49">
              <w:rPr>
                <w:b/>
                <w:bCs/>
                <w:color w:val="000000"/>
                <w:sz w:val="24"/>
                <w:szCs w:val="24"/>
              </w:rPr>
              <w:t>)</w:t>
            </w:r>
          </w:p>
        </w:tc>
        <w:tc>
          <w:tcPr>
            <w:tcW w:w="690" w:type="pct"/>
            <w:vMerge w:val="restart"/>
            <w:vAlign w:val="center"/>
          </w:tcPr>
          <w:p w14:paraId="6EFE5620" w14:textId="14415C97" w:rsidR="00625D0E" w:rsidRPr="00360D49" w:rsidRDefault="00625D0E" w:rsidP="00360D49">
            <w:pPr>
              <w:ind w:left="360"/>
              <w:jc w:val="center"/>
              <w:rPr>
                <w:b/>
                <w:bCs/>
                <w:iCs/>
                <w:sz w:val="24"/>
                <w:szCs w:val="24"/>
              </w:rPr>
            </w:pPr>
            <w:r w:rsidRPr="00360D49">
              <w:rPr>
                <w:b/>
                <w:bCs/>
                <w:color w:val="000000"/>
                <w:sz w:val="24"/>
                <w:szCs w:val="24"/>
              </w:rPr>
              <w:t>β-</w:t>
            </w:r>
            <w:proofErr w:type="spellStart"/>
            <w:r w:rsidRPr="00360D49">
              <w:rPr>
                <w:b/>
                <w:bCs/>
                <w:color w:val="000000"/>
                <w:sz w:val="24"/>
                <w:szCs w:val="24"/>
              </w:rPr>
              <w:t>Glucosidasease</w:t>
            </w:r>
            <w:proofErr w:type="spellEnd"/>
            <w:r w:rsidRPr="00360D49">
              <w:rPr>
                <w:b/>
                <w:bCs/>
                <w:color w:val="000000"/>
                <w:sz w:val="24"/>
                <w:szCs w:val="24"/>
              </w:rPr>
              <w:t xml:space="preserve"> (IU ml</w:t>
            </w:r>
            <w:r w:rsidRPr="00360D49">
              <w:rPr>
                <w:b/>
                <w:bCs/>
                <w:color w:val="000000"/>
                <w:sz w:val="24"/>
                <w:szCs w:val="24"/>
                <w:vertAlign w:val="superscript"/>
              </w:rPr>
              <w:t>-1</w:t>
            </w:r>
            <w:r w:rsidRPr="00360D49">
              <w:rPr>
                <w:b/>
                <w:bCs/>
                <w:color w:val="000000"/>
                <w:sz w:val="24"/>
                <w:szCs w:val="24"/>
              </w:rPr>
              <w:t>)</w:t>
            </w:r>
          </w:p>
        </w:tc>
        <w:tc>
          <w:tcPr>
            <w:tcW w:w="569" w:type="pct"/>
            <w:vMerge w:val="restart"/>
            <w:vAlign w:val="center"/>
          </w:tcPr>
          <w:p w14:paraId="101AE4FB" w14:textId="52F972EC" w:rsidR="00625D0E" w:rsidRPr="00360D49" w:rsidRDefault="00625D0E" w:rsidP="00360D49">
            <w:pPr>
              <w:ind w:left="360"/>
              <w:jc w:val="center"/>
              <w:rPr>
                <w:b/>
                <w:bCs/>
                <w:color w:val="000000"/>
                <w:sz w:val="24"/>
                <w:szCs w:val="24"/>
              </w:rPr>
            </w:pPr>
            <w:proofErr w:type="spellStart"/>
            <w:r w:rsidRPr="00360D49">
              <w:rPr>
                <w:b/>
                <w:bCs/>
                <w:color w:val="000000"/>
                <w:sz w:val="24"/>
                <w:szCs w:val="24"/>
              </w:rPr>
              <w:t>Fpase</w:t>
            </w:r>
            <w:proofErr w:type="spellEnd"/>
          </w:p>
          <w:p w14:paraId="2E3B0ABA" w14:textId="504928E3" w:rsidR="00625D0E" w:rsidRPr="00360D49" w:rsidRDefault="00625D0E" w:rsidP="00360D49">
            <w:pPr>
              <w:ind w:left="360"/>
              <w:jc w:val="center"/>
              <w:rPr>
                <w:b/>
                <w:bCs/>
                <w:iCs/>
                <w:sz w:val="24"/>
                <w:szCs w:val="24"/>
              </w:rPr>
            </w:pP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c>
          <w:tcPr>
            <w:tcW w:w="863" w:type="pct"/>
            <w:gridSpan w:val="2"/>
            <w:vAlign w:val="center"/>
          </w:tcPr>
          <w:p w14:paraId="5CEC9EE2" w14:textId="0191A384" w:rsidR="00625D0E" w:rsidRPr="00360D49" w:rsidRDefault="00625D0E" w:rsidP="00360D49">
            <w:pPr>
              <w:ind w:left="360"/>
              <w:jc w:val="center"/>
              <w:rPr>
                <w:b/>
                <w:bCs/>
                <w:iCs/>
                <w:sz w:val="24"/>
                <w:szCs w:val="24"/>
              </w:rPr>
            </w:pPr>
            <w:r w:rsidRPr="00360D49">
              <w:rPr>
                <w:b/>
                <w:bCs/>
                <w:sz w:val="24"/>
                <w:szCs w:val="24"/>
              </w:rPr>
              <w:t>Lignolytic assay</w:t>
            </w:r>
          </w:p>
        </w:tc>
      </w:tr>
      <w:tr w:rsidR="00625D0E" w:rsidRPr="004E4C1B" w14:paraId="02F52828" w14:textId="77777777" w:rsidTr="002244AF">
        <w:trPr>
          <w:trHeight w:val="70"/>
        </w:trPr>
        <w:tc>
          <w:tcPr>
            <w:tcW w:w="937" w:type="pct"/>
            <w:vMerge/>
          </w:tcPr>
          <w:p w14:paraId="73F77F08" w14:textId="77777777" w:rsidR="00625D0E" w:rsidRPr="00360D49" w:rsidRDefault="00625D0E" w:rsidP="00360D49">
            <w:pPr>
              <w:ind w:left="360"/>
              <w:jc w:val="both"/>
              <w:rPr>
                <w:sz w:val="24"/>
                <w:szCs w:val="24"/>
              </w:rPr>
            </w:pPr>
          </w:p>
        </w:tc>
        <w:tc>
          <w:tcPr>
            <w:tcW w:w="632" w:type="pct"/>
            <w:vMerge/>
          </w:tcPr>
          <w:p w14:paraId="78D159C7" w14:textId="77777777" w:rsidR="00625D0E" w:rsidRPr="00360D49" w:rsidRDefault="00625D0E" w:rsidP="00360D49">
            <w:pPr>
              <w:ind w:left="360"/>
              <w:jc w:val="both"/>
              <w:rPr>
                <w:sz w:val="24"/>
                <w:szCs w:val="24"/>
              </w:rPr>
            </w:pPr>
          </w:p>
        </w:tc>
        <w:tc>
          <w:tcPr>
            <w:tcW w:w="595" w:type="pct"/>
            <w:vMerge/>
          </w:tcPr>
          <w:p w14:paraId="126E1B83" w14:textId="77777777" w:rsidR="00625D0E" w:rsidRPr="00360D49" w:rsidRDefault="00625D0E" w:rsidP="00360D49">
            <w:pPr>
              <w:ind w:left="360"/>
              <w:jc w:val="both"/>
              <w:rPr>
                <w:sz w:val="24"/>
                <w:szCs w:val="24"/>
              </w:rPr>
            </w:pPr>
          </w:p>
        </w:tc>
        <w:tc>
          <w:tcPr>
            <w:tcW w:w="714" w:type="pct"/>
            <w:vMerge/>
          </w:tcPr>
          <w:p w14:paraId="25221994" w14:textId="77777777" w:rsidR="00625D0E" w:rsidRPr="00360D49" w:rsidRDefault="00625D0E" w:rsidP="00360D49">
            <w:pPr>
              <w:ind w:left="360"/>
              <w:jc w:val="both"/>
              <w:rPr>
                <w:color w:val="000000"/>
                <w:sz w:val="24"/>
                <w:szCs w:val="24"/>
              </w:rPr>
            </w:pPr>
          </w:p>
        </w:tc>
        <w:tc>
          <w:tcPr>
            <w:tcW w:w="690" w:type="pct"/>
            <w:vMerge/>
          </w:tcPr>
          <w:p w14:paraId="283C03F4" w14:textId="77777777" w:rsidR="00625D0E" w:rsidRPr="00360D49" w:rsidRDefault="00625D0E" w:rsidP="00360D49">
            <w:pPr>
              <w:ind w:left="360"/>
              <w:jc w:val="both"/>
              <w:rPr>
                <w:color w:val="000000"/>
                <w:sz w:val="24"/>
                <w:szCs w:val="24"/>
              </w:rPr>
            </w:pPr>
          </w:p>
        </w:tc>
        <w:tc>
          <w:tcPr>
            <w:tcW w:w="569" w:type="pct"/>
            <w:vMerge/>
          </w:tcPr>
          <w:p w14:paraId="21708288" w14:textId="77777777" w:rsidR="00625D0E" w:rsidRPr="00360D49" w:rsidRDefault="00625D0E" w:rsidP="00360D49">
            <w:pPr>
              <w:ind w:left="360"/>
              <w:jc w:val="both"/>
              <w:rPr>
                <w:color w:val="000000"/>
                <w:sz w:val="24"/>
                <w:szCs w:val="24"/>
              </w:rPr>
            </w:pPr>
          </w:p>
        </w:tc>
        <w:tc>
          <w:tcPr>
            <w:tcW w:w="442" w:type="pct"/>
          </w:tcPr>
          <w:p w14:paraId="744C5B8B" w14:textId="09873BF3" w:rsidR="00625D0E" w:rsidRPr="00360D49" w:rsidRDefault="00625D0E" w:rsidP="00360D49">
            <w:pPr>
              <w:ind w:left="360"/>
              <w:jc w:val="center"/>
              <w:rPr>
                <w:b/>
                <w:bCs/>
                <w:sz w:val="24"/>
                <w:szCs w:val="24"/>
              </w:rPr>
            </w:pPr>
            <w:r w:rsidRPr="00360D49">
              <w:rPr>
                <w:b/>
                <w:bCs/>
                <w:sz w:val="24"/>
                <w:szCs w:val="24"/>
              </w:rPr>
              <w:t>Guaiacol</w:t>
            </w:r>
          </w:p>
        </w:tc>
        <w:tc>
          <w:tcPr>
            <w:tcW w:w="421" w:type="pct"/>
          </w:tcPr>
          <w:p w14:paraId="3060CFEB" w14:textId="2413973F" w:rsidR="00625D0E" w:rsidRPr="00360D49" w:rsidRDefault="00625D0E" w:rsidP="00360D49">
            <w:pPr>
              <w:ind w:left="360"/>
              <w:jc w:val="center"/>
              <w:rPr>
                <w:b/>
                <w:bCs/>
                <w:iCs/>
                <w:sz w:val="24"/>
                <w:szCs w:val="24"/>
              </w:rPr>
            </w:pPr>
            <w:r w:rsidRPr="00360D49">
              <w:rPr>
                <w:b/>
                <w:bCs/>
                <w:sz w:val="24"/>
                <w:szCs w:val="24"/>
              </w:rPr>
              <w:t>ABTS</w:t>
            </w:r>
          </w:p>
        </w:tc>
      </w:tr>
      <w:tr w:rsidR="008520B5" w:rsidRPr="004E4C1B" w14:paraId="5624C97F" w14:textId="77777777" w:rsidTr="0038481E">
        <w:trPr>
          <w:trHeight w:val="70"/>
        </w:trPr>
        <w:tc>
          <w:tcPr>
            <w:tcW w:w="937" w:type="pct"/>
          </w:tcPr>
          <w:p w14:paraId="72BFB884" w14:textId="5974F273" w:rsidR="008520B5" w:rsidRPr="00360D49" w:rsidRDefault="008520B5" w:rsidP="00360D49">
            <w:pPr>
              <w:ind w:left="360"/>
              <w:jc w:val="both"/>
              <w:rPr>
                <w:bCs/>
                <w:iCs/>
                <w:sz w:val="24"/>
                <w:szCs w:val="24"/>
              </w:rPr>
            </w:pPr>
            <w:r w:rsidRPr="00360D49">
              <w:rPr>
                <w:i/>
                <w:iCs/>
                <w:color w:val="000000"/>
                <w:sz w:val="24"/>
                <w:szCs w:val="24"/>
              </w:rPr>
              <w:t xml:space="preserve">T. </w:t>
            </w:r>
            <w:proofErr w:type="spellStart"/>
            <w:r w:rsidRPr="00360D49">
              <w:rPr>
                <w:i/>
                <w:iCs/>
                <w:color w:val="000000"/>
                <w:sz w:val="24"/>
                <w:szCs w:val="24"/>
              </w:rPr>
              <w:t>asperellum</w:t>
            </w:r>
            <w:proofErr w:type="spellEnd"/>
            <w:r w:rsidRPr="00360D49">
              <w:rPr>
                <w:i/>
                <w:iCs/>
                <w:color w:val="000000"/>
                <w:sz w:val="24"/>
                <w:szCs w:val="24"/>
              </w:rPr>
              <w:t xml:space="preserve"> </w:t>
            </w:r>
            <w:r w:rsidRPr="00360D49">
              <w:rPr>
                <w:color w:val="000000"/>
                <w:sz w:val="24"/>
                <w:szCs w:val="24"/>
              </w:rPr>
              <w:t>CICR1</w:t>
            </w:r>
          </w:p>
        </w:tc>
        <w:tc>
          <w:tcPr>
            <w:tcW w:w="632" w:type="pct"/>
          </w:tcPr>
          <w:p w14:paraId="401682C9" w14:textId="32A0FAAF" w:rsidR="008520B5" w:rsidRPr="00360D49" w:rsidRDefault="005526DD" w:rsidP="00360D49">
            <w:pPr>
              <w:ind w:left="360"/>
              <w:jc w:val="center"/>
              <w:rPr>
                <w:rFonts w:ascii="Times New Roman" w:hAnsi="Times New Roman" w:cs="Times New Roman"/>
                <w:bCs/>
                <w:iCs/>
                <w:sz w:val="24"/>
                <w:szCs w:val="24"/>
              </w:rPr>
            </w:pPr>
            <w:hyperlink r:id="rId12" w:history="1">
              <w:r w:rsidR="008520B5" w:rsidRPr="00360D49">
                <w:rPr>
                  <w:rStyle w:val="Hyperlink"/>
                  <w:rFonts w:ascii="Times New Roman" w:hAnsi="Times New Roman" w:cs="Times New Roman"/>
                  <w:color w:val="000000" w:themeColor="text1"/>
                  <w:sz w:val="24"/>
                  <w:szCs w:val="24"/>
                  <w:u w:val="none"/>
                  <w:lang w:val="en-US"/>
                </w:rPr>
                <w:t>OQ165158</w:t>
              </w:r>
            </w:hyperlink>
          </w:p>
        </w:tc>
        <w:tc>
          <w:tcPr>
            <w:tcW w:w="595" w:type="pct"/>
          </w:tcPr>
          <w:p w14:paraId="3AA422F9" w14:textId="69736857" w:rsidR="008520B5" w:rsidRPr="00360D49" w:rsidRDefault="008520B5" w:rsidP="00360D49">
            <w:pPr>
              <w:ind w:left="360"/>
              <w:jc w:val="center"/>
              <w:rPr>
                <w:bCs/>
                <w:iCs/>
                <w:sz w:val="24"/>
                <w:szCs w:val="24"/>
              </w:rPr>
            </w:pPr>
            <w:r w:rsidRPr="00360D49">
              <w:rPr>
                <w:sz w:val="24"/>
                <w:szCs w:val="24"/>
              </w:rPr>
              <w:t>1.18</w:t>
            </w:r>
            <w:r w:rsidRPr="00360D49">
              <w:rPr>
                <w:sz w:val="24"/>
                <w:szCs w:val="24"/>
                <w:vertAlign w:val="superscript"/>
              </w:rPr>
              <w:t>c</w:t>
            </w:r>
          </w:p>
        </w:tc>
        <w:tc>
          <w:tcPr>
            <w:tcW w:w="714" w:type="pct"/>
            <w:vAlign w:val="bottom"/>
          </w:tcPr>
          <w:p w14:paraId="45DE8F03" w14:textId="41F27A10" w:rsidR="008520B5" w:rsidRPr="00360D49" w:rsidRDefault="008520B5" w:rsidP="00360D49">
            <w:pPr>
              <w:ind w:left="360"/>
              <w:jc w:val="center"/>
              <w:rPr>
                <w:bCs/>
                <w:iCs/>
                <w:sz w:val="24"/>
                <w:szCs w:val="24"/>
              </w:rPr>
            </w:pPr>
            <w:r w:rsidRPr="00360D49">
              <w:rPr>
                <w:rFonts w:eastAsia="Calibri"/>
                <w:sz w:val="24"/>
                <w:szCs w:val="24"/>
              </w:rPr>
              <w:t>8.63 ± 0.08</w:t>
            </w:r>
            <w:r w:rsidRPr="00360D49">
              <w:rPr>
                <w:rFonts w:eastAsia="Calibri"/>
                <w:sz w:val="24"/>
                <w:szCs w:val="24"/>
                <w:vertAlign w:val="superscript"/>
              </w:rPr>
              <w:t>d</w:t>
            </w:r>
          </w:p>
        </w:tc>
        <w:tc>
          <w:tcPr>
            <w:tcW w:w="690" w:type="pct"/>
          </w:tcPr>
          <w:p w14:paraId="062136CB" w14:textId="7F202C54" w:rsidR="008520B5" w:rsidRPr="00360D49" w:rsidRDefault="008520B5" w:rsidP="00360D49">
            <w:pPr>
              <w:ind w:left="360"/>
              <w:jc w:val="center"/>
              <w:rPr>
                <w:bCs/>
                <w:iCs/>
                <w:sz w:val="24"/>
                <w:szCs w:val="24"/>
              </w:rPr>
            </w:pPr>
            <w:r w:rsidRPr="00360D49">
              <w:rPr>
                <w:sz w:val="24"/>
                <w:szCs w:val="24"/>
              </w:rPr>
              <w:t xml:space="preserve">40.80 </w:t>
            </w:r>
            <w:r w:rsidRPr="00360D49">
              <w:rPr>
                <w:color w:val="000000"/>
                <w:sz w:val="24"/>
                <w:szCs w:val="24"/>
              </w:rPr>
              <w:t>± 0.84</w:t>
            </w:r>
            <w:r w:rsidRPr="00360D49">
              <w:rPr>
                <w:sz w:val="24"/>
                <w:szCs w:val="24"/>
                <w:vertAlign w:val="superscript"/>
              </w:rPr>
              <w:t>a</w:t>
            </w:r>
          </w:p>
        </w:tc>
        <w:tc>
          <w:tcPr>
            <w:tcW w:w="569" w:type="pct"/>
            <w:vAlign w:val="bottom"/>
          </w:tcPr>
          <w:p w14:paraId="433FAEE9" w14:textId="57B4CD6B" w:rsidR="008520B5" w:rsidRPr="00360D49" w:rsidRDefault="008520B5" w:rsidP="00360D49">
            <w:pPr>
              <w:ind w:left="360"/>
              <w:jc w:val="center"/>
              <w:rPr>
                <w:bCs/>
                <w:iCs/>
                <w:sz w:val="24"/>
                <w:szCs w:val="24"/>
              </w:rPr>
            </w:pPr>
            <w:r w:rsidRPr="00360D49">
              <w:rPr>
                <w:rFonts w:eastAsia="Calibri"/>
                <w:sz w:val="24"/>
                <w:szCs w:val="24"/>
              </w:rPr>
              <w:t>23.60 ± 0.56</w:t>
            </w:r>
            <w:r w:rsidRPr="00360D49">
              <w:rPr>
                <w:rFonts w:eastAsia="Calibri"/>
                <w:sz w:val="24"/>
                <w:szCs w:val="24"/>
                <w:vertAlign w:val="superscript"/>
              </w:rPr>
              <w:t>b</w:t>
            </w:r>
          </w:p>
        </w:tc>
        <w:tc>
          <w:tcPr>
            <w:tcW w:w="442" w:type="pct"/>
          </w:tcPr>
          <w:p w14:paraId="7D25FE14" w14:textId="6D15CF46" w:rsidR="008520B5" w:rsidRPr="00360D49" w:rsidRDefault="008520B5" w:rsidP="00360D49">
            <w:pPr>
              <w:ind w:left="360"/>
              <w:jc w:val="center"/>
              <w:rPr>
                <w:bCs/>
                <w:iCs/>
                <w:sz w:val="24"/>
                <w:szCs w:val="24"/>
              </w:rPr>
            </w:pPr>
            <w:r w:rsidRPr="00360D49">
              <w:rPr>
                <w:sz w:val="24"/>
                <w:szCs w:val="24"/>
              </w:rPr>
              <w:t>Positive</w:t>
            </w:r>
          </w:p>
        </w:tc>
        <w:tc>
          <w:tcPr>
            <w:tcW w:w="421" w:type="pct"/>
          </w:tcPr>
          <w:p w14:paraId="35913283" w14:textId="78BDB3A0" w:rsidR="008520B5" w:rsidRPr="00360D49" w:rsidRDefault="008520B5" w:rsidP="00360D49">
            <w:pPr>
              <w:ind w:left="360"/>
              <w:jc w:val="center"/>
              <w:rPr>
                <w:bCs/>
                <w:iCs/>
                <w:sz w:val="24"/>
                <w:szCs w:val="24"/>
              </w:rPr>
            </w:pPr>
            <w:r w:rsidRPr="00360D49">
              <w:rPr>
                <w:sz w:val="24"/>
                <w:szCs w:val="24"/>
              </w:rPr>
              <w:t>Positive</w:t>
            </w:r>
          </w:p>
        </w:tc>
      </w:tr>
      <w:tr w:rsidR="008520B5" w:rsidRPr="004E4C1B" w14:paraId="203717C1" w14:textId="77777777" w:rsidTr="0038481E">
        <w:trPr>
          <w:trHeight w:val="70"/>
        </w:trPr>
        <w:tc>
          <w:tcPr>
            <w:tcW w:w="937" w:type="pct"/>
          </w:tcPr>
          <w:p w14:paraId="5C52E76D" w14:textId="116F16C0" w:rsidR="008520B5" w:rsidRPr="00360D49" w:rsidRDefault="008520B5" w:rsidP="00360D49">
            <w:pPr>
              <w:ind w:left="360"/>
              <w:jc w:val="both"/>
              <w:rPr>
                <w:bCs/>
                <w:iCs/>
                <w:sz w:val="24"/>
                <w:szCs w:val="24"/>
              </w:rPr>
            </w:pPr>
            <w:r w:rsidRPr="00360D49">
              <w:rPr>
                <w:i/>
                <w:iCs/>
                <w:color w:val="000000"/>
                <w:sz w:val="24"/>
                <w:szCs w:val="24"/>
              </w:rPr>
              <w:t xml:space="preserve">Trichoderma sp. </w:t>
            </w:r>
            <w:r w:rsidRPr="00360D49">
              <w:rPr>
                <w:color w:val="000000"/>
                <w:sz w:val="24"/>
                <w:szCs w:val="24"/>
              </w:rPr>
              <w:t>CICR2</w:t>
            </w:r>
            <w:r w:rsidRPr="00360D49">
              <w:rPr>
                <w:i/>
                <w:iCs/>
                <w:color w:val="000000"/>
                <w:sz w:val="24"/>
                <w:szCs w:val="24"/>
              </w:rPr>
              <w:t xml:space="preserve"> </w:t>
            </w:r>
          </w:p>
        </w:tc>
        <w:tc>
          <w:tcPr>
            <w:tcW w:w="632" w:type="pct"/>
          </w:tcPr>
          <w:p w14:paraId="738515B7" w14:textId="64BDD2E7" w:rsidR="008520B5" w:rsidRPr="00360D49" w:rsidRDefault="005526DD" w:rsidP="00360D49">
            <w:pPr>
              <w:ind w:left="360"/>
              <w:jc w:val="center"/>
              <w:rPr>
                <w:rFonts w:ascii="Times New Roman" w:hAnsi="Times New Roman" w:cs="Times New Roman"/>
                <w:bCs/>
                <w:iCs/>
                <w:sz w:val="24"/>
                <w:szCs w:val="24"/>
              </w:rPr>
            </w:pPr>
            <w:hyperlink r:id="rId13" w:history="1">
              <w:r w:rsidR="008520B5" w:rsidRPr="00360D49">
                <w:rPr>
                  <w:rStyle w:val="Hyperlink"/>
                  <w:rFonts w:ascii="Times New Roman" w:hAnsi="Times New Roman" w:cs="Times New Roman"/>
                  <w:color w:val="000000" w:themeColor="text1"/>
                  <w:sz w:val="24"/>
                  <w:szCs w:val="24"/>
                  <w:u w:val="none"/>
                  <w:lang w:val="en-US"/>
                </w:rPr>
                <w:t>OQ165165</w:t>
              </w:r>
            </w:hyperlink>
          </w:p>
        </w:tc>
        <w:tc>
          <w:tcPr>
            <w:tcW w:w="595" w:type="pct"/>
          </w:tcPr>
          <w:p w14:paraId="539EF482" w14:textId="0EC2FD13" w:rsidR="008520B5" w:rsidRPr="00360D49" w:rsidRDefault="008520B5" w:rsidP="00360D49">
            <w:pPr>
              <w:ind w:left="360"/>
              <w:jc w:val="center"/>
              <w:rPr>
                <w:bCs/>
                <w:iCs/>
                <w:sz w:val="24"/>
                <w:szCs w:val="24"/>
              </w:rPr>
            </w:pPr>
            <w:r w:rsidRPr="00360D49">
              <w:rPr>
                <w:sz w:val="24"/>
                <w:szCs w:val="24"/>
              </w:rPr>
              <w:t>1.18</w:t>
            </w:r>
            <w:r w:rsidRPr="00360D49">
              <w:rPr>
                <w:sz w:val="24"/>
                <w:szCs w:val="24"/>
                <w:vertAlign w:val="superscript"/>
              </w:rPr>
              <w:t>c</w:t>
            </w:r>
          </w:p>
        </w:tc>
        <w:tc>
          <w:tcPr>
            <w:tcW w:w="714" w:type="pct"/>
            <w:vAlign w:val="bottom"/>
          </w:tcPr>
          <w:p w14:paraId="1416EFC7" w14:textId="024FDE6F" w:rsidR="008520B5" w:rsidRPr="00360D49" w:rsidRDefault="008520B5" w:rsidP="00360D49">
            <w:pPr>
              <w:ind w:left="360"/>
              <w:jc w:val="center"/>
              <w:rPr>
                <w:bCs/>
                <w:iCs/>
                <w:sz w:val="24"/>
                <w:szCs w:val="24"/>
              </w:rPr>
            </w:pPr>
            <w:r w:rsidRPr="00360D49">
              <w:rPr>
                <w:rFonts w:eastAsia="Calibri"/>
                <w:sz w:val="24"/>
                <w:szCs w:val="24"/>
              </w:rPr>
              <w:t>23.35 ± 0.17</w:t>
            </w:r>
            <w:r w:rsidRPr="00360D49">
              <w:rPr>
                <w:rFonts w:eastAsia="Calibri"/>
                <w:sz w:val="24"/>
                <w:szCs w:val="24"/>
                <w:vertAlign w:val="superscript"/>
              </w:rPr>
              <w:t>b</w:t>
            </w:r>
          </w:p>
        </w:tc>
        <w:tc>
          <w:tcPr>
            <w:tcW w:w="690" w:type="pct"/>
          </w:tcPr>
          <w:p w14:paraId="4EF962E2" w14:textId="2678F785" w:rsidR="008520B5" w:rsidRPr="00360D49" w:rsidRDefault="008520B5" w:rsidP="00360D49">
            <w:pPr>
              <w:ind w:left="360"/>
              <w:jc w:val="center"/>
              <w:rPr>
                <w:bCs/>
                <w:iCs/>
                <w:sz w:val="24"/>
                <w:szCs w:val="24"/>
              </w:rPr>
            </w:pPr>
            <w:r w:rsidRPr="00360D49">
              <w:rPr>
                <w:color w:val="000000"/>
                <w:sz w:val="24"/>
                <w:szCs w:val="24"/>
              </w:rPr>
              <w:t>22.90 ± 1.16</w:t>
            </w:r>
            <w:r w:rsidRPr="00360D49">
              <w:rPr>
                <w:color w:val="000000"/>
                <w:sz w:val="24"/>
                <w:szCs w:val="24"/>
                <w:vertAlign w:val="superscript"/>
              </w:rPr>
              <w:t>b</w:t>
            </w:r>
          </w:p>
        </w:tc>
        <w:tc>
          <w:tcPr>
            <w:tcW w:w="569" w:type="pct"/>
            <w:vAlign w:val="bottom"/>
          </w:tcPr>
          <w:p w14:paraId="50535DC7" w14:textId="0846D4E4" w:rsidR="008520B5" w:rsidRPr="00360D49" w:rsidRDefault="008520B5" w:rsidP="00360D49">
            <w:pPr>
              <w:ind w:left="360"/>
              <w:jc w:val="center"/>
              <w:rPr>
                <w:bCs/>
                <w:iCs/>
                <w:sz w:val="24"/>
                <w:szCs w:val="24"/>
              </w:rPr>
            </w:pPr>
            <w:r w:rsidRPr="00360D49">
              <w:rPr>
                <w:rFonts w:eastAsia="Calibri"/>
                <w:sz w:val="24"/>
                <w:szCs w:val="24"/>
              </w:rPr>
              <w:t>12.50 ± 1.45</w:t>
            </w:r>
            <w:r w:rsidRPr="00360D49">
              <w:rPr>
                <w:rFonts w:eastAsia="Calibri"/>
                <w:sz w:val="24"/>
                <w:szCs w:val="24"/>
                <w:vertAlign w:val="superscript"/>
              </w:rPr>
              <w:t>c</w:t>
            </w:r>
          </w:p>
        </w:tc>
        <w:tc>
          <w:tcPr>
            <w:tcW w:w="442" w:type="pct"/>
          </w:tcPr>
          <w:p w14:paraId="294187CA" w14:textId="20A1036D" w:rsidR="008520B5" w:rsidRPr="00360D49" w:rsidRDefault="008520B5" w:rsidP="00360D49">
            <w:pPr>
              <w:ind w:left="360"/>
              <w:jc w:val="center"/>
              <w:rPr>
                <w:bCs/>
                <w:iCs/>
                <w:sz w:val="24"/>
                <w:szCs w:val="24"/>
              </w:rPr>
            </w:pPr>
            <w:r w:rsidRPr="00360D49">
              <w:rPr>
                <w:sz w:val="24"/>
                <w:szCs w:val="24"/>
              </w:rPr>
              <w:t>Negative</w:t>
            </w:r>
          </w:p>
        </w:tc>
        <w:tc>
          <w:tcPr>
            <w:tcW w:w="421" w:type="pct"/>
          </w:tcPr>
          <w:p w14:paraId="52032AD2" w14:textId="5C0D41A4" w:rsidR="008520B5" w:rsidRPr="00360D49" w:rsidRDefault="008520B5" w:rsidP="00360D49">
            <w:pPr>
              <w:ind w:left="360"/>
              <w:jc w:val="center"/>
              <w:rPr>
                <w:bCs/>
                <w:iCs/>
                <w:sz w:val="24"/>
                <w:szCs w:val="24"/>
              </w:rPr>
            </w:pPr>
            <w:r w:rsidRPr="00360D49">
              <w:rPr>
                <w:sz w:val="24"/>
                <w:szCs w:val="24"/>
              </w:rPr>
              <w:t>Negative</w:t>
            </w:r>
          </w:p>
        </w:tc>
      </w:tr>
      <w:tr w:rsidR="008520B5" w:rsidRPr="004E4C1B" w14:paraId="6AECD54E" w14:textId="77777777" w:rsidTr="0038481E">
        <w:trPr>
          <w:trHeight w:val="70"/>
        </w:trPr>
        <w:tc>
          <w:tcPr>
            <w:tcW w:w="937" w:type="pct"/>
          </w:tcPr>
          <w:p w14:paraId="7C971855" w14:textId="3E987D7C" w:rsidR="008520B5" w:rsidRPr="00360D49" w:rsidRDefault="008520B5" w:rsidP="00360D49">
            <w:pPr>
              <w:ind w:left="360"/>
              <w:jc w:val="both"/>
              <w:rPr>
                <w:bCs/>
                <w:iCs/>
                <w:sz w:val="24"/>
                <w:szCs w:val="24"/>
              </w:rPr>
            </w:pPr>
            <w:r w:rsidRPr="00360D49">
              <w:rPr>
                <w:i/>
                <w:iCs/>
                <w:color w:val="000000"/>
                <w:sz w:val="24"/>
                <w:szCs w:val="24"/>
              </w:rPr>
              <w:t xml:space="preserve">P. </w:t>
            </w:r>
            <w:proofErr w:type="spellStart"/>
            <w:r w:rsidRPr="00360D49">
              <w:rPr>
                <w:i/>
                <w:iCs/>
                <w:color w:val="000000"/>
                <w:sz w:val="24"/>
                <w:szCs w:val="24"/>
              </w:rPr>
              <w:t>chrysogenum</w:t>
            </w:r>
            <w:proofErr w:type="spellEnd"/>
            <w:r w:rsidRPr="00360D49">
              <w:rPr>
                <w:i/>
                <w:iCs/>
                <w:color w:val="000000"/>
                <w:sz w:val="24"/>
                <w:szCs w:val="24"/>
              </w:rPr>
              <w:t xml:space="preserve"> </w:t>
            </w:r>
            <w:r w:rsidRPr="00360D49">
              <w:rPr>
                <w:color w:val="000000"/>
                <w:sz w:val="24"/>
                <w:szCs w:val="24"/>
              </w:rPr>
              <w:t>CICR3</w:t>
            </w:r>
          </w:p>
        </w:tc>
        <w:tc>
          <w:tcPr>
            <w:tcW w:w="632" w:type="pct"/>
          </w:tcPr>
          <w:p w14:paraId="4B8D712F" w14:textId="793BE6B6" w:rsidR="008520B5" w:rsidRPr="00360D49" w:rsidRDefault="008520B5" w:rsidP="00360D49">
            <w:pPr>
              <w:ind w:left="360"/>
              <w:jc w:val="center"/>
              <w:rPr>
                <w:bCs/>
                <w:iCs/>
                <w:sz w:val="24"/>
                <w:szCs w:val="24"/>
              </w:rPr>
            </w:pPr>
            <w:r w:rsidRPr="00360D49">
              <w:rPr>
                <w:color w:val="222222"/>
                <w:sz w:val="24"/>
                <w:szCs w:val="24"/>
                <w:shd w:val="clear" w:color="auto" w:fill="FFFFFF"/>
              </w:rPr>
              <w:t>OQ168243</w:t>
            </w:r>
          </w:p>
        </w:tc>
        <w:tc>
          <w:tcPr>
            <w:tcW w:w="595" w:type="pct"/>
          </w:tcPr>
          <w:p w14:paraId="0C3BFF1B" w14:textId="2BD19FDC" w:rsidR="008520B5" w:rsidRPr="00360D49" w:rsidRDefault="008520B5" w:rsidP="00360D49">
            <w:pPr>
              <w:ind w:left="360"/>
              <w:jc w:val="center"/>
              <w:rPr>
                <w:bCs/>
                <w:iCs/>
                <w:sz w:val="24"/>
                <w:szCs w:val="24"/>
              </w:rPr>
            </w:pPr>
            <w:r w:rsidRPr="00360D49">
              <w:rPr>
                <w:sz w:val="24"/>
                <w:szCs w:val="24"/>
              </w:rPr>
              <w:t>1.39</w:t>
            </w:r>
            <w:r w:rsidRPr="00360D49">
              <w:rPr>
                <w:sz w:val="24"/>
                <w:szCs w:val="24"/>
                <w:vertAlign w:val="superscript"/>
              </w:rPr>
              <w:t>a</w:t>
            </w:r>
          </w:p>
        </w:tc>
        <w:tc>
          <w:tcPr>
            <w:tcW w:w="714" w:type="pct"/>
            <w:vAlign w:val="bottom"/>
          </w:tcPr>
          <w:p w14:paraId="74B658EA" w14:textId="380FC487" w:rsidR="008520B5" w:rsidRPr="00360D49" w:rsidRDefault="008520B5" w:rsidP="00360D49">
            <w:pPr>
              <w:ind w:left="360"/>
              <w:jc w:val="center"/>
              <w:rPr>
                <w:bCs/>
                <w:iCs/>
                <w:sz w:val="24"/>
                <w:szCs w:val="24"/>
              </w:rPr>
            </w:pPr>
            <w:r w:rsidRPr="00360D49">
              <w:rPr>
                <w:rFonts w:eastAsia="Calibri"/>
                <w:sz w:val="24"/>
                <w:szCs w:val="24"/>
              </w:rPr>
              <w:t>16.36 ± 0.14</w:t>
            </w:r>
            <w:r w:rsidRPr="00360D49">
              <w:rPr>
                <w:rFonts w:eastAsia="Calibri"/>
                <w:sz w:val="24"/>
                <w:szCs w:val="24"/>
                <w:vertAlign w:val="superscript"/>
              </w:rPr>
              <w:t>c</w:t>
            </w:r>
          </w:p>
        </w:tc>
        <w:tc>
          <w:tcPr>
            <w:tcW w:w="690" w:type="pct"/>
          </w:tcPr>
          <w:p w14:paraId="127E0C5C" w14:textId="1AF5C146" w:rsidR="008520B5" w:rsidRPr="00360D49" w:rsidRDefault="008520B5" w:rsidP="00360D49">
            <w:pPr>
              <w:ind w:left="360"/>
              <w:jc w:val="center"/>
              <w:rPr>
                <w:bCs/>
                <w:iCs/>
                <w:sz w:val="24"/>
                <w:szCs w:val="24"/>
              </w:rPr>
            </w:pPr>
            <w:r w:rsidRPr="00360D49">
              <w:rPr>
                <w:color w:val="000000"/>
                <w:sz w:val="24"/>
                <w:szCs w:val="24"/>
              </w:rPr>
              <w:t>9.20 ± 0.05</w:t>
            </w:r>
            <w:r w:rsidRPr="00360D49">
              <w:rPr>
                <w:color w:val="000000"/>
                <w:sz w:val="24"/>
                <w:szCs w:val="24"/>
                <w:vertAlign w:val="superscript"/>
              </w:rPr>
              <w:t>c</w:t>
            </w:r>
          </w:p>
        </w:tc>
        <w:tc>
          <w:tcPr>
            <w:tcW w:w="569" w:type="pct"/>
            <w:vAlign w:val="bottom"/>
          </w:tcPr>
          <w:p w14:paraId="08ACE8F0" w14:textId="6476100D" w:rsidR="008520B5" w:rsidRPr="00360D49" w:rsidRDefault="008520B5" w:rsidP="00360D49">
            <w:pPr>
              <w:ind w:left="360"/>
              <w:jc w:val="center"/>
              <w:rPr>
                <w:bCs/>
                <w:iCs/>
                <w:sz w:val="24"/>
                <w:szCs w:val="24"/>
              </w:rPr>
            </w:pPr>
            <w:r w:rsidRPr="00360D49">
              <w:rPr>
                <w:rFonts w:eastAsia="Calibri"/>
                <w:sz w:val="24"/>
                <w:szCs w:val="24"/>
              </w:rPr>
              <w:t>12.70 ± 0.75</w:t>
            </w:r>
            <w:r w:rsidRPr="00360D49">
              <w:rPr>
                <w:rFonts w:eastAsia="Calibri"/>
                <w:sz w:val="24"/>
                <w:szCs w:val="24"/>
                <w:vertAlign w:val="superscript"/>
              </w:rPr>
              <w:t>c</w:t>
            </w:r>
          </w:p>
        </w:tc>
        <w:tc>
          <w:tcPr>
            <w:tcW w:w="442" w:type="pct"/>
          </w:tcPr>
          <w:p w14:paraId="6C70E58C" w14:textId="039C10A4" w:rsidR="008520B5" w:rsidRPr="00360D49" w:rsidRDefault="008520B5" w:rsidP="00360D49">
            <w:pPr>
              <w:ind w:left="360"/>
              <w:jc w:val="center"/>
              <w:rPr>
                <w:bCs/>
                <w:iCs/>
                <w:sz w:val="24"/>
                <w:szCs w:val="24"/>
              </w:rPr>
            </w:pPr>
            <w:r w:rsidRPr="00360D49">
              <w:rPr>
                <w:sz w:val="24"/>
                <w:szCs w:val="24"/>
              </w:rPr>
              <w:t>Positive</w:t>
            </w:r>
          </w:p>
        </w:tc>
        <w:tc>
          <w:tcPr>
            <w:tcW w:w="421" w:type="pct"/>
          </w:tcPr>
          <w:p w14:paraId="42232C10" w14:textId="153711D0" w:rsidR="008520B5" w:rsidRPr="00360D49" w:rsidRDefault="008520B5" w:rsidP="00360D49">
            <w:pPr>
              <w:ind w:left="360"/>
              <w:jc w:val="center"/>
              <w:rPr>
                <w:bCs/>
                <w:iCs/>
                <w:sz w:val="24"/>
                <w:szCs w:val="24"/>
              </w:rPr>
            </w:pPr>
            <w:r w:rsidRPr="00360D49">
              <w:rPr>
                <w:sz w:val="24"/>
                <w:szCs w:val="24"/>
              </w:rPr>
              <w:t>Positive</w:t>
            </w:r>
          </w:p>
        </w:tc>
      </w:tr>
      <w:tr w:rsidR="008520B5" w:rsidRPr="004E4C1B" w14:paraId="613441ED" w14:textId="77777777" w:rsidTr="0038481E">
        <w:trPr>
          <w:trHeight w:val="70"/>
        </w:trPr>
        <w:tc>
          <w:tcPr>
            <w:tcW w:w="937" w:type="pct"/>
          </w:tcPr>
          <w:p w14:paraId="1AC001CE" w14:textId="1BA38024" w:rsidR="008520B5" w:rsidRPr="00360D49" w:rsidRDefault="008520B5" w:rsidP="00360D49">
            <w:pPr>
              <w:ind w:left="360"/>
              <w:jc w:val="both"/>
              <w:rPr>
                <w:bCs/>
                <w:iCs/>
                <w:sz w:val="24"/>
                <w:szCs w:val="24"/>
              </w:rPr>
            </w:pPr>
            <w:r w:rsidRPr="00360D49">
              <w:rPr>
                <w:i/>
                <w:iCs/>
                <w:color w:val="000000"/>
                <w:sz w:val="24"/>
                <w:szCs w:val="24"/>
              </w:rPr>
              <w:t xml:space="preserve">Alternaria sp. </w:t>
            </w:r>
            <w:r w:rsidRPr="00360D49">
              <w:rPr>
                <w:color w:val="000000"/>
                <w:sz w:val="24"/>
                <w:szCs w:val="24"/>
              </w:rPr>
              <w:t>CICR4</w:t>
            </w:r>
          </w:p>
        </w:tc>
        <w:tc>
          <w:tcPr>
            <w:tcW w:w="632" w:type="pct"/>
          </w:tcPr>
          <w:p w14:paraId="5312080A" w14:textId="776F8E76" w:rsidR="008520B5" w:rsidRPr="00360D49" w:rsidRDefault="008520B5" w:rsidP="00360D49">
            <w:pPr>
              <w:ind w:left="360"/>
              <w:jc w:val="center"/>
              <w:rPr>
                <w:bCs/>
                <w:iCs/>
                <w:sz w:val="24"/>
                <w:szCs w:val="24"/>
              </w:rPr>
            </w:pPr>
            <w:r w:rsidRPr="00360D49">
              <w:rPr>
                <w:color w:val="222222"/>
                <w:sz w:val="24"/>
                <w:szCs w:val="24"/>
                <w:shd w:val="clear" w:color="auto" w:fill="FFFFFF"/>
              </w:rPr>
              <w:t>OQ165167</w:t>
            </w:r>
          </w:p>
        </w:tc>
        <w:tc>
          <w:tcPr>
            <w:tcW w:w="595" w:type="pct"/>
          </w:tcPr>
          <w:p w14:paraId="75CB370E" w14:textId="23EE79CA" w:rsidR="008520B5" w:rsidRPr="00360D49" w:rsidRDefault="008520B5" w:rsidP="00360D49">
            <w:pPr>
              <w:ind w:left="360"/>
              <w:jc w:val="center"/>
              <w:rPr>
                <w:bCs/>
                <w:iCs/>
                <w:sz w:val="24"/>
                <w:szCs w:val="24"/>
              </w:rPr>
            </w:pPr>
            <w:r w:rsidRPr="00360D49">
              <w:rPr>
                <w:sz w:val="24"/>
                <w:szCs w:val="24"/>
              </w:rPr>
              <w:t>1.20</w:t>
            </w:r>
            <w:r w:rsidRPr="00360D49">
              <w:rPr>
                <w:sz w:val="24"/>
                <w:szCs w:val="24"/>
                <w:vertAlign w:val="superscript"/>
              </w:rPr>
              <w:t>b</w:t>
            </w:r>
          </w:p>
        </w:tc>
        <w:tc>
          <w:tcPr>
            <w:tcW w:w="714" w:type="pct"/>
            <w:vAlign w:val="bottom"/>
          </w:tcPr>
          <w:p w14:paraId="100C029C" w14:textId="437C350F" w:rsidR="008520B5" w:rsidRPr="00360D49" w:rsidRDefault="008520B5" w:rsidP="00360D49">
            <w:pPr>
              <w:ind w:left="360"/>
              <w:jc w:val="center"/>
              <w:rPr>
                <w:bCs/>
                <w:iCs/>
                <w:sz w:val="24"/>
                <w:szCs w:val="24"/>
              </w:rPr>
            </w:pPr>
            <w:r w:rsidRPr="00360D49">
              <w:rPr>
                <w:rFonts w:eastAsia="Calibri"/>
                <w:sz w:val="24"/>
                <w:szCs w:val="24"/>
              </w:rPr>
              <w:t>30.46 ± 0.33</w:t>
            </w:r>
            <w:r w:rsidRPr="00360D49">
              <w:rPr>
                <w:rFonts w:eastAsia="Calibri"/>
                <w:sz w:val="24"/>
                <w:szCs w:val="24"/>
                <w:vertAlign w:val="superscript"/>
              </w:rPr>
              <w:t>a</w:t>
            </w:r>
          </w:p>
        </w:tc>
        <w:tc>
          <w:tcPr>
            <w:tcW w:w="690" w:type="pct"/>
          </w:tcPr>
          <w:p w14:paraId="37CCCB27" w14:textId="7E726056" w:rsidR="008520B5" w:rsidRPr="00360D49" w:rsidRDefault="008520B5" w:rsidP="00360D49">
            <w:pPr>
              <w:ind w:left="360"/>
              <w:jc w:val="center"/>
              <w:rPr>
                <w:bCs/>
                <w:iCs/>
                <w:sz w:val="24"/>
                <w:szCs w:val="24"/>
              </w:rPr>
            </w:pPr>
            <w:r w:rsidRPr="00360D49">
              <w:rPr>
                <w:color w:val="000000"/>
                <w:sz w:val="24"/>
                <w:szCs w:val="24"/>
              </w:rPr>
              <w:t>19.80 ± 0.62</w:t>
            </w:r>
            <w:r w:rsidRPr="00360D49">
              <w:rPr>
                <w:color w:val="000000"/>
                <w:sz w:val="24"/>
                <w:szCs w:val="24"/>
                <w:vertAlign w:val="superscript"/>
              </w:rPr>
              <w:t>d</w:t>
            </w:r>
          </w:p>
        </w:tc>
        <w:tc>
          <w:tcPr>
            <w:tcW w:w="569" w:type="pct"/>
            <w:vAlign w:val="bottom"/>
          </w:tcPr>
          <w:p w14:paraId="469A5EA6" w14:textId="1FF907B2" w:rsidR="008520B5" w:rsidRPr="00360D49" w:rsidRDefault="008520B5" w:rsidP="00360D49">
            <w:pPr>
              <w:ind w:left="360"/>
              <w:jc w:val="center"/>
              <w:rPr>
                <w:bCs/>
                <w:iCs/>
                <w:sz w:val="24"/>
                <w:szCs w:val="24"/>
              </w:rPr>
            </w:pPr>
            <w:r w:rsidRPr="00360D49">
              <w:rPr>
                <w:rFonts w:eastAsia="Calibri"/>
                <w:sz w:val="24"/>
                <w:szCs w:val="24"/>
              </w:rPr>
              <w:t>25.60 ± 1.57</w:t>
            </w:r>
            <w:r w:rsidRPr="00360D49">
              <w:rPr>
                <w:rFonts w:eastAsia="Calibri"/>
                <w:sz w:val="24"/>
                <w:szCs w:val="24"/>
                <w:vertAlign w:val="superscript"/>
              </w:rPr>
              <w:t>a</w:t>
            </w:r>
          </w:p>
        </w:tc>
        <w:tc>
          <w:tcPr>
            <w:tcW w:w="442" w:type="pct"/>
          </w:tcPr>
          <w:p w14:paraId="2B2DEB16" w14:textId="7CB30ECF" w:rsidR="008520B5" w:rsidRPr="00360D49" w:rsidRDefault="008520B5" w:rsidP="00360D49">
            <w:pPr>
              <w:ind w:left="360"/>
              <w:jc w:val="center"/>
              <w:rPr>
                <w:bCs/>
                <w:iCs/>
                <w:sz w:val="24"/>
                <w:szCs w:val="24"/>
              </w:rPr>
            </w:pPr>
            <w:r w:rsidRPr="00360D49">
              <w:rPr>
                <w:sz w:val="24"/>
                <w:szCs w:val="24"/>
              </w:rPr>
              <w:t>Negative</w:t>
            </w:r>
          </w:p>
        </w:tc>
        <w:tc>
          <w:tcPr>
            <w:tcW w:w="421" w:type="pct"/>
          </w:tcPr>
          <w:p w14:paraId="1BA06A3C" w14:textId="7C4C0884" w:rsidR="008520B5" w:rsidRPr="00360D49" w:rsidRDefault="008520B5" w:rsidP="00360D49">
            <w:pPr>
              <w:ind w:left="360"/>
              <w:jc w:val="center"/>
              <w:rPr>
                <w:bCs/>
                <w:iCs/>
                <w:sz w:val="24"/>
                <w:szCs w:val="24"/>
              </w:rPr>
            </w:pPr>
            <w:r w:rsidRPr="00360D49">
              <w:rPr>
                <w:sz w:val="24"/>
                <w:szCs w:val="24"/>
              </w:rPr>
              <w:t>Negative</w:t>
            </w:r>
          </w:p>
        </w:tc>
      </w:tr>
      <w:tr w:rsidR="008520B5" w:rsidRPr="004E4C1B" w14:paraId="7FFD3C78" w14:textId="77777777" w:rsidTr="0038481E">
        <w:trPr>
          <w:trHeight w:val="70"/>
        </w:trPr>
        <w:tc>
          <w:tcPr>
            <w:tcW w:w="937" w:type="pct"/>
          </w:tcPr>
          <w:p w14:paraId="1560D414" w14:textId="2620D7A6" w:rsidR="008520B5" w:rsidRPr="00360D49" w:rsidRDefault="008520B5" w:rsidP="00360D49">
            <w:pPr>
              <w:ind w:left="360"/>
              <w:jc w:val="both"/>
              <w:rPr>
                <w:bCs/>
                <w:sz w:val="24"/>
                <w:szCs w:val="24"/>
              </w:rPr>
            </w:pPr>
            <w:r w:rsidRPr="00360D49">
              <w:rPr>
                <w:color w:val="000000"/>
                <w:sz w:val="24"/>
                <w:szCs w:val="24"/>
              </w:rPr>
              <w:t>LSD</w:t>
            </w:r>
            <w:r w:rsidRPr="00360D49">
              <w:rPr>
                <w:color w:val="000000"/>
                <w:sz w:val="24"/>
                <w:szCs w:val="24"/>
                <w:vertAlign w:val="subscript"/>
              </w:rPr>
              <w:t>0.05</w:t>
            </w:r>
          </w:p>
        </w:tc>
        <w:tc>
          <w:tcPr>
            <w:tcW w:w="632" w:type="pct"/>
          </w:tcPr>
          <w:p w14:paraId="3EB4C62D" w14:textId="77777777" w:rsidR="008520B5" w:rsidRPr="00360D49" w:rsidRDefault="008520B5" w:rsidP="00360D49">
            <w:pPr>
              <w:ind w:left="360"/>
              <w:jc w:val="center"/>
              <w:rPr>
                <w:bCs/>
                <w:iCs/>
                <w:sz w:val="24"/>
                <w:szCs w:val="24"/>
              </w:rPr>
            </w:pPr>
          </w:p>
        </w:tc>
        <w:tc>
          <w:tcPr>
            <w:tcW w:w="595" w:type="pct"/>
          </w:tcPr>
          <w:p w14:paraId="38238E0E" w14:textId="7FE60387" w:rsidR="008520B5" w:rsidRPr="00360D49" w:rsidRDefault="008520B5" w:rsidP="00360D49">
            <w:pPr>
              <w:ind w:left="360"/>
              <w:jc w:val="center"/>
              <w:rPr>
                <w:bCs/>
                <w:iCs/>
                <w:sz w:val="24"/>
                <w:szCs w:val="24"/>
              </w:rPr>
            </w:pPr>
            <w:r w:rsidRPr="00360D49">
              <w:rPr>
                <w:bCs/>
                <w:iCs/>
                <w:sz w:val="24"/>
                <w:szCs w:val="24"/>
              </w:rPr>
              <w:t>0.03</w:t>
            </w:r>
          </w:p>
        </w:tc>
        <w:tc>
          <w:tcPr>
            <w:tcW w:w="714" w:type="pct"/>
            <w:vAlign w:val="bottom"/>
          </w:tcPr>
          <w:p w14:paraId="470D8388" w14:textId="6666CC45" w:rsidR="008520B5" w:rsidRPr="00360D49" w:rsidRDefault="008520B5" w:rsidP="00360D49">
            <w:pPr>
              <w:ind w:left="360"/>
              <w:jc w:val="center"/>
              <w:rPr>
                <w:bCs/>
                <w:iCs/>
                <w:sz w:val="24"/>
                <w:szCs w:val="24"/>
              </w:rPr>
            </w:pPr>
            <w:r w:rsidRPr="00360D49">
              <w:rPr>
                <w:rFonts w:eastAsia="Calibri"/>
                <w:sz w:val="24"/>
                <w:szCs w:val="24"/>
              </w:rPr>
              <w:t>0.30</w:t>
            </w:r>
          </w:p>
        </w:tc>
        <w:tc>
          <w:tcPr>
            <w:tcW w:w="690" w:type="pct"/>
          </w:tcPr>
          <w:p w14:paraId="6C7BC714" w14:textId="19F9BC3A" w:rsidR="008520B5" w:rsidRPr="00360D49" w:rsidRDefault="008520B5" w:rsidP="00360D49">
            <w:pPr>
              <w:ind w:left="360"/>
              <w:jc w:val="center"/>
              <w:rPr>
                <w:bCs/>
                <w:iCs/>
                <w:sz w:val="24"/>
                <w:szCs w:val="24"/>
              </w:rPr>
            </w:pPr>
            <w:r w:rsidRPr="00360D49">
              <w:rPr>
                <w:color w:val="000000"/>
                <w:sz w:val="24"/>
                <w:szCs w:val="24"/>
              </w:rPr>
              <w:t>1.05</w:t>
            </w:r>
          </w:p>
        </w:tc>
        <w:tc>
          <w:tcPr>
            <w:tcW w:w="569" w:type="pct"/>
            <w:vAlign w:val="bottom"/>
          </w:tcPr>
          <w:p w14:paraId="63913FD4" w14:textId="03453CB9" w:rsidR="008520B5" w:rsidRPr="00360D49" w:rsidRDefault="008520B5" w:rsidP="00360D49">
            <w:pPr>
              <w:ind w:left="360"/>
              <w:jc w:val="center"/>
              <w:rPr>
                <w:bCs/>
                <w:iCs/>
                <w:sz w:val="24"/>
                <w:szCs w:val="24"/>
              </w:rPr>
            </w:pPr>
            <w:r w:rsidRPr="00360D49">
              <w:rPr>
                <w:rFonts w:eastAsia="Calibri"/>
                <w:sz w:val="24"/>
                <w:szCs w:val="24"/>
              </w:rPr>
              <w:t>1.58</w:t>
            </w:r>
          </w:p>
        </w:tc>
        <w:tc>
          <w:tcPr>
            <w:tcW w:w="442" w:type="pct"/>
          </w:tcPr>
          <w:p w14:paraId="564A81B4" w14:textId="2444F485" w:rsidR="008520B5" w:rsidRPr="00360D49" w:rsidRDefault="008520B5" w:rsidP="00360D49">
            <w:pPr>
              <w:ind w:left="360"/>
              <w:jc w:val="center"/>
              <w:rPr>
                <w:bCs/>
                <w:iCs/>
                <w:sz w:val="24"/>
                <w:szCs w:val="24"/>
              </w:rPr>
            </w:pPr>
          </w:p>
        </w:tc>
        <w:tc>
          <w:tcPr>
            <w:tcW w:w="421" w:type="pct"/>
          </w:tcPr>
          <w:p w14:paraId="035EC07E" w14:textId="4EA8294B" w:rsidR="008520B5" w:rsidRPr="00360D49" w:rsidRDefault="008520B5" w:rsidP="00360D49">
            <w:pPr>
              <w:ind w:left="360"/>
              <w:jc w:val="center"/>
              <w:rPr>
                <w:bCs/>
                <w:iCs/>
                <w:sz w:val="24"/>
                <w:szCs w:val="24"/>
              </w:rPr>
            </w:pPr>
          </w:p>
        </w:tc>
      </w:tr>
    </w:tbl>
    <w:bookmarkEnd w:id="17"/>
    <w:p w14:paraId="14C6C0D3" w14:textId="27E01B1F" w:rsidR="002244AF" w:rsidRPr="00360D49" w:rsidRDefault="002244AF" w:rsidP="00360D49">
      <w:pPr>
        <w:ind w:left="360"/>
        <w:jc w:val="both"/>
        <w:rPr>
          <w:i/>
          <w:iCs/>
          <w:sz w:val="24"/>
          <w:szCs w:val="24"/>
        </w:rPr>
      </w:pPr>
      <w:r w:rsidRPr="00360D49">
        <w:rPr>
          <w:i/>
          <w:iCs/>
          <w:sz w:val="24"/>
          <w:szCs w:val="24"/>
        </w:rPr>
        <w:t>All the values are mean of 4 replications. Means followed by a common letter in a column are not significantly different according to the Tukey's honestly significance difference (HSD) test (p&lt;0.05).</w:t>
      </w:r>
    </w:p>
    <w:p w14:paraId="1FE29B65" w14:textId="61DF3973" w:rsidR="002244AF" w:rsidRPr="004E4C1B" w:rsidRDefault="002244AF" w:rsidP="00360D49">
      <w:pPr>
        <w:rPr>
          <w:rFonts w:ascii="Times New Roman" w:hAnsi="Times New Roman" w:cs="Times New Roman"/>
          <w:b/>
          <w:bCs/>
          <w:sz w:val="24"/>
          <w:szCs w:val="24"/>
        </w:rPr>
      </w:pPr>
    </w:p>
    <w:p w14:paraId="2894E49D" w14:textId="6867854B" w:rsidR="005341F6" w:rsidRPr="00360D49" w:rsidRDefault="005341F6" w:rsidP="00360D49">
      <w:pPr>
        <w:spacing w:line="360" w:lineRule="auto"/>
        <w:ind w:left="360"/>
        <w:jc w:val="both"/>
        <w:rPr>
          <w:bCs/>
          <w:iCs/>
          <w:sz w:val="24"/>
          <w:szCs w:val="24"/>
        </w:rPr>
      </w:pPr>
      <w:r w:rsidRPr="00360D49">
        <w:rPr>
          <w:b/>
          <w:iCs/>
          <w:sz w:val="24"/>
          <w:szCs w:val="24"/>
        </w:rPr>
        <w:lastRenderedPageBreak/>
        <w:t xml:space="preserve">Table </w:t>
      </w:r>
      <w:r w:rsidR="00940976">
        <w:rPr>
          <w:b/>
          <w:iCs/>
          <w:sz w:val="24"/>
          <w:szCs w:val="24"/>
        </w:rPr>
        <w:t>3</w:t>
      </w:r>
      <w:r w:rsidRPr="00360D49">
        <w:rPr>
          <w:b/>
          <w:iCs/>
          <w:sz w:val="24"/>
          <w:szCs w:val="24"/>
        </w:rPr>
        <w:t xml:space="preserve"> </w:t>
      </w:r>
      <w:bookmarkStart w:id="18" w:name="_Hlk194745976"/>
      <w:r w:rsidRPr="00360D49">
        <w:rPr>
          <w:bCs/>
          <w:iCs/>
          <w:sz w:val="24"/>
          <w:szCs w:val="24"/>
        </w:rPr>
        <w:t>Effect of temperature on fungal cellulolytic enzyme activities</w:t>
      </w:r>
    </w:p>
    <w:tbl>
      <w:tblPr>
        <w:tblStyle w:val="TableGrid1"/>
        <w:tblW w:w="447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1592"/>
        <w:gridCol w:w="1579"/>
        <w:gridCol w:w="1591"/>
        <w:gridCol w:w="1581"/>
        <w:gridCol w:w="1589"/>
        <w:gridCol w:w="1576"/>
      </w:tblGrid>
      <w:tr w:rsidR="005341F6" w:rsidRPr="004E4C1B" w14:paraId="4DF6A877" w14:textId="77777777" w:rsidTr="00B021E3">
        <w:trPr>
          <w:trHeight w:hRule="exact" w:val="370"/>
        </w:trPr>
        <w:tc>
          <w:tcPr>
            <w:tcW w:w="1188" w:type="pct"/>
            <w:vMerge w:val="restart"/>
            <w:tcBorders>
              <w:top w:val="single" w:sz="4" w:space="0" w:color="auto"/>
              <w:left w:val="single" w:sz="4" w:space="0" w:color="auto"/>
              <w:right w:val="single" w:sz="4" w:space="0" w:color="auto"/>
            </w:tcBorders>
            <w:vAlign w:val="center"/>
          </w:tcPr>
          <w:p w14:paraId="59E49607" w14:textId="0AF1B9D9" w:rsidR="005341F6" w:rsidRPr="00360D49" w:rsidRDefault="005341F6" w:rsidP="00360D49">
            <w:pPr>
              <w:ind w:left="360"/>
              <w:jc w:val="center"/>
              <w:rPr>
                <w:rFonts w:eastAsia="Calibri"/>
                <w:b/>
                <w:bCs/>
                <w:sz w:val="24"/>
                <w:szCs w:val="24"/>
              </w:rPr>
            </w:pPr>
            <w:bookmarkStart w:id="19" w:name="_Hlk194746423"/>
            <w:bookmarkEnd w:id="18"/>
            <w:r w:rsidRPr="00360D49">
              <w:rPr>
                <w:b/>
                <w:bCs/>
                <w:color w:val="000000"/>
                <w:sz w:val="24"/>
                <w:szCs w:val="24"/>
              </w:rPr>
              <w:t>Fungal isolates</w:t>
            </w:r>
          </w:p>
        </w:tc>
        <w:tc>
          <w:tcPr>
            <w:tcW w:w="1271" w:type="pct"/>
            <w:gridSpan w:val="2"/>
            <w:tcBorders>
              <w:top w:val="single" w:sz="4" w:space="0" w:color="auto"/>
              <w:left w:val="single" w:sz="4" w:space="0" w:color="auto"/>
              <w:bottom w:val="single" w:sz="4" w:space="0" w:color="auto"/>
              <w:right w:val="single" w:sz="4" w:space="0" w:color="auto"/>
            </w:tcBorders>
            <w:vAlign w:val="center"/>
          </w:tcPr>
          <w:p w14:paraId="315C78B0" w14:textId="733F0024" w:rsidR="005341F6" w:rsidRPr="00360D49" w:rsidRDefault="005341F6" w:rsidP="00360D49">
            <w:pPr>
              <w:ind w:left="360"/>
              <w:jc w:val="center"/>
              <w:rPr>
                <w:rFonts w:eastAsia="Calibri"/>
                <w:b/>
                <w:bCs/>
                <w:sz w:val="24"/>
                <w:szCs w:val="24"/>
              </w:rPr>
            </w:pPr>
            <w:proofErr w:type="spellStart"/>
            <w:r w:rsidRPr="00360D49">
              <w:rPr>
                <w:rFonts w:eastAsia="Calibri"/>
                <w:b/>
                <w:bCs/>
                <w:sz w:val="24"/>
                <w:szCs w:val="24"/>
              </w:rPr>
              <w:t>CMCase</w:t>
            </w:r>
            <w:proofErr w:type="spellEnd"/>
            <w:r w:rsidRPr="00360D49">
              <w:rPr>
                <w:rFonts w:eastAsia="Calibri"/>
                <w:b/>
                <w:bCs/>
                <w:sz w:val="24"/>
                <w:szCs w:val="24"/>
              </w:rPr>
              <w:t xml:space="preserve"> </w:t>
            </w: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c>
          <w:tcPr>
            <w:tcW w:w="1272" w:type="pct"/>
            <w:gridSpan w:val="2"/>
            <w:tcBorders>
              <w:top w:val="single" w:sz="4" w:space="0" w:color="auto"/>
              <w:left w:val="single" w:sz="4" w:space="0" w:color="auto"/>
              <w:bottom w:val="single" w:sz="4" w:space="0" w:color="auto"/>
              <w:right w:val="single" w:sz="4" w:space="0" w:color="auto"/>
            </w:tcBorders>
            <w:vAlign w:val="center"/>
          </w:tcPr>
          <w:p w14:paraId="438ED23A" w14:textId="2AAE7351" w:rsidR="005341F6" w:rsidRPr="00360D49" w:rsidRDefault="005341F6" w:rsidP="00360D49">
            <w:pPr>
              <w:ind w:left="360"/>
              <w:jc w:val="center"/>
              <w:rPr>
                <w:rFonts w:eastAsia="Calibri"/>
                <w:b/>
                <w:bCs/>
                <w:sz w:val="24"/>
                <w:szCs w:val="24"/>
              </w:rPr>
            </w:pPr>
            <w:r w:rsidRPr="00360D49">
              <w:rPr>
                <w:b/>
                <w:bCs/>
                <w:sz w:val="24"/>
                <w:szCs w:val="24"/>
              </w:rPr>
              <w:t xml:space="preserve">β-glucosidase </w:t>
            </w:r>
            <w:r w:rsidRPr="00360D49">
              <w:rPr>
                <w:rFonts w:eastAsia="Times New Roman"/>
                <w:b/>
                <w:bCs/>
                <w:color w:val="000000"/>
                <w:sz w:val="24"/>
                <w:szCs w:val="24"/>
                <w:lang w:val="en-US"/>
              </w:rPr>
              <w:t>(IU ml</w:t>
            </w:r>
            <w:r w:rsidRPr="00360D49">
              <w:rPr>
                <w:rFonts w:eastAsia="Times New Roman"/>
                <w:b/>
                <w:bCs/>
                <w:color w:val="000000"/>
                <w:sz w:val="24"/>
                <w:szCs w:val="24"/>
                <w:vertAlign w:val="superscript"/>
                <w:lang w:val="en-US"/>
              </w:rPr>
              <w:t>-1</w:t>
            </w:r>
            <w:r w:rsidRPr="00360D49">
              <w:rPr>
                <w:rFonts w:eastAsia="Times New Roman"/>
                <w:b/>
                <w:bCs/>
                <w:color w:val="000000"/>
                <w:sz w:val="24"/>
                <w:szCs w:val="24"/>
                <w:lang w:val="en-US"/>
              </w:rPr>
              <w:t>)</w:t>
            </w:r>
          </w:p>
        </w:tc>
        <w:tc>
          <w:tcPr>
            <w:tcW w:w="1269" w:type="pct"/>
            <w:gridSpan w:val="2"/>
            <w:tcBorders>
              <w:top w:val="single" w:sz="4" w:space="0" w:color="auto"/>
              <w:left w:val="single" w:sz="4" w:space="0" w:color="auto"/>
              <w:bottom w:val="single" w:sz="4" w:space="0" w:color="auto"/>
              <w:right w:val="single" w:sz="4" w:space="0" w:color="auto"/>
            </w:tcBorders>
            <w:vAlign w:val="center"/>
          </w:tcPr>
          <w:p w14:paraId="5923D030" w14:textId="4161EFDA" w:rsidR="005341F6" w:rsidRPr="00360D49" w:rsidRDefault="005341F6" w:rsidP="00360D49">
            <w:pPr>
              <w:ind w:left="360"/>
              <w:jc w:val="center"/>
              <w:rPr>
                <w:rFonts w:eastAsia="Calibri"/>
                <w:b/>
                <w:bCs/>
                <w:sz w:val="24"/>
                <w:szCs w:val="24"/>
              </w:rPr>
            </w:pPr>
            <w:proofErr w:type="spellStart"/>
            <w:r w:rsidRPr="00360D49">
              <w:rPr>
                <w:rFonts w:eastAsia="Calibri"/>
                <w:b/>
                <w:bCs/>
                <w:sz w:val="24"/>
                <w:szCs w:val="24"/>
              </w:rPr>
              <w:t>FPase</w:t>
            </w:r>
            <w:proofErr w:type="spellEnd"/>
            <w:r w:rsidRPr="00360D49">
              <w:rPr>
                <w:rFonts w:eastAsia="Calibri"/>
                <w:b/>
                <w:bCs/>
                <w:sz w:val="24"/>
                <w:szCs w:val="24"/>
              </w:rPr>
              <w:t xml:space="preserve"> </w:t>
            </w: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r>
      <w:tr w:rsidR="005341F6" w:rsidRPr="004E4C1B" w14:paraId="5DB6305D" w14:textId="77777777" w:rsidTr="00B021E3">
        <w:trPr>
          <w:trHeight w:hRule="exact" w:val="288"/>
        </w:trPr>
        <w:tc>
          <w:tcPr>
            <w:tcW w:w="1188" w:type="pct"/>
            <w:vMerge/>
            <w:tcBorders>
              <w:left w:val="single" w:sz="4" w:space="0" w:color="auto"/>
              <w:bottom w:val="single" w:sz="4" w:space="0" w:color="auto"/>
              <w:right w:val="single" w:sz="4" w:space="0" w:color="auto"/>
            </w:tcBorders>
            <w:vAlign w:val="center"/>
          </w:tcPr>
          <w:p w14:paraId="0AA9ADB5" w14:textId="77777777" w:rsidR="005341F6" w:rsidRPr="00360D49" w:rsidRDefault="005341F6" w:rsidP="00360D49">
            <w:pPr>
              <w:ind w:left="360"/>
              <w:jc w:val="center"/>
              <w:rPr>
                <w:rFonts w:eastAsia="Calibri"/>
                <w:b/>
                <w:bCs/>
                <w:sz w:val="24"/>
                <w:szCs w:val="24"/>
              </w:rPr>
            </w:pPr>
          </w:p>
        </w:tc>
        <w:tc>
          <w:tcPr>
            <w:tcW w:w="638" w:type="pct"/>
            <w:tcBorders>
              <w:top w:val="single" w:sz="4" w:space="0" w:color="auto"/>
              <w:left w:val="single" w:sz="4" w:space="0" w:color="auto"/>
              <w:bottom w:val="single" w:sz="4" w:space="0" w:color="auto"/>
              <w:right w:val="single" w:sz="4" w:space="0" w:color="auto"/>
            </w:tcBorders>
            <w:vAlign w:val="center"/>
          </w:tcPr>
          <w:p w14:paraId="2A79AF61" w14:textId="77777777" w:rsidR="005341F6" w:rsidRPr="00360D49" w:rsidRDefault="005341F6" w:rsidP="00360D49">
            <w:pPr>
              <w:ind w:left="360"/>
              <w:jc w:val="center"/>
              <w:rPr>
                <w:rFonts w:eastAsia="Calibri"/>
                <w:b/>
                <w:bCs/>
                <w:sz w:val="24"/>
                <w:szCs w:val="24"/>
              </w:rPr>
            </w:pPr>
            <w:bookmarkStart w:id="20" w:name="_Hlk194746345"/>
            <w:r w:rsidRPr="00360D49">
              <w:rPr>
                <w:rFonts w:eastAsia="Calibri"/>
                <w:b/>
                <w:bCs/>
                <w:sz w:val="24"/>
                <w:szCs w:val="24"/>
              </w:rPr>
              <w:t>30ºC</w:t>
            </w:r>
            <w:bookmarkEnd w:id="20"/>
          </w:p>
        </w:tc>
        <w:tc>
          <w:tcPr>
            <w:tcW w:w="633" w:type="pct"/>
            <w:tcBorders>
              <w:top w:val="single" w:sz="4" w:space="0" w:color="auto"/>
              <w:left w:val="single" w:sz="4" w:space="0" w:color="auto"/>
              <w:bottom w:val="single" w:sz="4" w:space="0" w:color="auto"/>
              <w:right w:val="single" w:sz="4" w:space="0" w:color="auto"/>
            </w:tcBorders>
            <w:vAlign w:val="center"/>
          </w:tcPr>
          <w:p w14:paraId="1949DFAD"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35ºC</w:t>
            </w:r>
          </w:p>
        </w:tc>
        <w:tc>
          <w:tcPr>
            <w:tcW w:w="638" w:type="pct"/>
            <w:tcBorders>
              <w:top w:val="single" w:sz="4" w:space="0" w:color="auto"/>
              <w:left w:val="single" w:sz="4" w:space="0" w:color="auto"/>
              <w:bottom w:val="single" w:sz="4" w:space="0" w:color="auto"/>
              <w:right w:val="single" w:sz="4" w:space="0" w:color="auto"/>
            </w:tcBorders>
            <w:vAlign w:val="center"/>
          </w:tcPr>
          <w:p w14:paraId="4216B59B"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30ºC</w:t>
            </w:r>
          </w:p>
        </w:tc>
        <w:tc>
          <w:tcPr>
            <w:tcW w:w="634" w:type="pct"/>
            <w:tcBorders>
              <w:top w:val="single" w:sz="4" w:space="0" w:color="auto"/>
              <w:left w:val="single" w:sz="4" w:space="0" w:color="auto"/>
              <w:bottom w:val="single" w:sz="4" w:space="0" w:color="auto"/>
              <w:right w:val="single" w:sz="4" w:space="0" w:color="auto"/>
            </w:tcBorders>
            <w:vAlign w:val="center"/>
          </w:tcPr>
          <w:p w14:paraId="7C41D944"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35ºC</w:t>
            </w:r>
          </w:p>
        </w:tc>
        <w:tc>
          <w:tcPr>
            <w:tcW w:w="637" w:type="pct"/>
            <w:tcBorders>
              <w:top w:val="single" w:sz="4" w:space="0" w:color="auto"/>
              <w:left w:val="single" w:sz="4" w:space="0" w:color="auto"/>
              <w:bottom w:val="single" w:sz="4" w:space="0" w:color="auto"/>
              <w:right w:val="single" w:sz="4" w:space="0" w:color="auto"/>
            </w:tcBorders>
            <w:vAlign w:val="center"/>
          </w:tcPr>
          <w:p w14:paraId="0538FD5E"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30ºC</w:t>
            </w:r>
          </w:p>
        </w:tc>
        <w:tc>
          <w:tcPr>
            <w:tcW w:w="632" w:type="pct"/>
            <w:tcBorders>
              <w:top w:val="single" w:sz="4" w:space="0" w:color="auto"/>
              <w:left w:val="single" w:sz="4" w:space="0" w:color="auto"/>
              <w:bottom w:val="single" w:sz="4" w:space="0" w:color="auto"/>
              <w:right w:val="single" w:sz="4" w:space="0" w:color="auto"/>
            </w:tcBorders>
            <w:vAlign w:val="center"/>
          </w:tcPr>
          <w:p w14:paraId="765CB5C5" w14:textId="77777777" w:rsidR="005341F6" w:rsidRPr="00360D49" w:rsidRDefault="005341F6" w:rsidP="00360D49">
            <w:pPr>
              <w:ind w:left="360"/>
              <w:jc w:val="center"/>
              <w:rPr>
                <w:rFonts w:eastAsia="Calibri"/>
                <w:b/>
                <w:bCs/>
                <w:sz w:val="24"/>
                <w:szCs w:val="24"/>
              </w:rPr>
            </w:pPr>
            <w:r w:rsidRPr="00360D49">
              <w:rPr>
                <w:rFonts w:eastAsia="Calibri"/>
                <w:b/>
                <w:bCs/>
                <w:sz w:val="24"/>
                <w:szCs w:val="24"/>
              </w:rPr>
              <w:t>35ºC</w:t>
            </w:r>
          </w:p>
        </w:tc>
      </w:tr>
      <w:tr w:rsidR="00987F97" w:rsidRPr="004E4C1B" w14:paraId="18A682D0" w14:textId="77777777" w:rsidTr="00814712">
        <w:trPr>
          <w:trHeight w:hRule="exact" w:val="288"/>
        </w:trPr>
        <w:tc>
          <w:tcPr>
            <w:tcW w:w="1188" w:type="pct"/>
            <w:tcBorders>
              <w:top w:val="single" w:sz="4" w:space="0" w:color="auto"/>
              <w:left w:val="single" w:sz="4" w:space="0" w:color="auto"/>
              <w:bottom w:val="single" w:sz="4" w:space="0" w:color="auto"/>
              <w:right w:val="single" w:sz="4" w:space="0" w:color="auto"/>
            </w:tcBorders>
          </w:tcPr>
          <w:p w14:paraId="316A4BE8" w14:textId="6D4FE57A" w:rsidR="00987F97" w:rsidRPr="00360D49" w:rsidRDefault="00987F97" w:rsidP="00360D49">
            <w:pPr>
              <w:ind w:left="360"/>
              <w:rPr>
                <w:iCs/>
                <w:sz w:val="24"/>
                <w:szCs w:val="24"/>
              </w:rPr>
            </w:pPr>
            <w:r w:rsidRPr="00360D49">
              <w:rPr>
                <w:i/>
                <w:sz w:val="24"/>
                <w:szCs w:val="24"/>
              </w:rPr>
              <w:t>T.</w:t>
            </w:r>
            <w:r w:rsidRPr="00360D49">
              <w:rPr>
                <w:i/>
                <w:spacing w:val="-1"/>
                <w:sz w:val="24"/>
                <w:szCs w:val="24"/>
              </w:rPr>
              <w:t xml:space="preserve"> </w:t>
            </w:r>
            <w:proofErr w:type="spellStart"/>
            <w:r w:rsidRPr="00360D49">
              <w:rPr>
                <w:i/>
                <w:sz w:val="24"/>
                <w:szCs w:val="24"/>
              </w:rPr>
              <w:t>asperellum</w:t>
            </w:r>
            <w:proofErr w:type="spellEnd"/>
            <w:r w:rsidRPr="00360D49">
              <w:rPr>
                <w:i/>
                <w:sz w:val="24"/>
                <w:szCs w:val="24"/>
              </w:rPr>
              <w:t xml:space="preserve"> </w:t>
            </w:r>
            <w:r w:rsidRPr="00360D49">
              <w:rPr>
                <w:iCs/>
                <w:sz w:val="24"/>
                <w:szCs w:val="24"/>
              </w:rPr>
              <w:t>CICR1</w:t>
            </w:r>
          </w:p>
        </w:tc>
        <w:tc>
          <w:tcPr>
            <w:tcW w:w="638" w:type="pct"/>
            <w:tcBorders>
              <w:top w:val="single" w:sz="4" w:space="0" w:color="auto"/>
              <w:left w:val="single" w:sz="4" w:space="0" w:color="auto"/>
              <w:bottom w:val="single" w:sz="4" w:space="0" w:color="auto"/>
              <w:right w:val="single" w:sz="4" w:space="0" w:color="auto"/>
            </w:tcBorders>
            <w:vAlign w:val="bottom"/>
          </w:tcPr>
          <w:p w14:paraId="55EEE13E" w14:textId="318A8473" w:rsidR="00987F97" w:rsidRPr="00360D49" w:rsidRDefault="00987F97" w:rsidP="00360D49">
            <w:pPr>
              <w:ind w:left="360"/>
              <w:jc w:val="center"/>
              <w:rPr>
                <w:rFonts w:eastAsia="Calibri"/>
                <w:sz w:val="24"/>
                <w:szCs w:val="24"/>
                <w:vertAlign w:val="superscript"/>
              </w:rPr>
            </w:pPr>
            <w:r w:rsidRPr="00360D49">
              <w:rPr>
                <w:rFonts w:eastAsia="Calibri"/>
                <w:sz w:val="24"/>
                <w:szCs w:val="24"/>
              </w:rPr>
              <w:t>8.63 ± 0.08</w:t>
            </w:r>
            <w:r w:rsidRPr="00360D49">
              <w:rPr>
                <w:rFonts w:eastAsia="Calibri"/>
                <w:sz w:val="24"/>
                <w:szCs w:val="24"/>
                <w:vertAlign w:val="superscript"/>
              </w:rPr>
              <w:t>d</w:t>
            </w:r>
          </w:p>
        </w:tc>
        <w:tc>
          <w:tcPr>
            <w:tcW w:w="633" w:type="pct"/>
            <w:tcBorders>
              <w:top w:val="single" w:sz="4" w:space="0" w:color="auto"/>
              <w:left w:val="single" w:sz="4" w:space="0" w:color="auto"/>
              <w:bottom w:val="single" w:sz="4" w:space="0" w:color="auto"/>
              <w:right w:val="single" w:sz="4" w:space="0" w:color="auto"/>
            </w:tcBorders>
            <w:vAlign w:val="bottom"/>
          </w:tcPr>
          <w:p w14:paraId="4843D8D2" w14:textId="02462F6E" w:rsidR="00987F97" w:rsidRPr="00360D49" w:rsidRDefault="00987F97" w:rsidP="00360D49">
            <w:pPr>
              <w:ind w:left="360"/>
              <w:jc w:val="center"/>
              <w:rPr>
                <w:rFonts w:eastAsia="Calibri"/>
                <w:sz w:val="24"/>
                <w:szCs w:val="24"/>
                <w:vertAlign w:val="superscript"/>
              </w:rPr>
            </w:pPr>
            <w:r w:rsidRPr="00360D49">
              <w:rPr>
                <w:rFonts w:eastAsia="Calibri"/>
                <w:sz w:val="24"/>
                <w:szCs w:val="24"/>
              </w:rPr>
              <w:t>7.26 ± 0.27</w:t>
            </w:r>
            <w:r w:rsidRPr="00360D49">
              <w:rPr>
                <w:rFonts w:eastAsia="Calibri"/>
                <w:sz w:val="24"/>
                <w:szCs w:val="24"/>
                <w:vertAlign w:val="superscript"/>
              </w:rPr>
              <w:t>c</w:t>
            </w:r>
          </w:p>
        </w:tc>
        <w:tc>
          <w:tcPr>
            <w:tcW w:w="638" w:type="pct"/>
            <w:tcBorders>
              <w:top w:val="single" w:sz="4" w:space="0" w:color="auto"/>
              <w:left w:val="single" w:sz="4" w:space="0" w:color="auto"/>
              <w:bottom w:val="single" w:sz="4" w:space="0" w:color="auto"/>
              <w:right w:val="single" w:sz="4" w:space="0" w:color="auto"/>
            </w:tcBorders>
          </w:tcPr>
          <w:p w14:paraId="6DE1CD33" w14:textId="32738C1F" w:rsidR="00987F97" w:rsidRPr="00360D49" w:rsidRDefault="00987F97" w:rsidP="00360D49">
            <w:pPr>
              <w:ind w:left="360"/>
              <w:jc w:val="center"/>
              <w:rPr>
                <w:rFonts w:eastAsia="Calibri"/>
                <w:sz w:val="24"/>
                <w:szCs w:val="24"/>
                <w:vertAlign w:val="superscript"/>
              </w:rPr>
            </w:pPr>
            <w:r w:rsidRPr="00360D49">
              <w:rPr>
                <w:sz w:val="24"/>
                <w:szCs w:val="24"/>
              </w:rPr>
              <w:t xml:space="preserve">40.80 </w:t>
            </w:r>
            <w:r w:rsidRPr="00360D49">
              <w:rPr>
                <w:color w:val="000000"/>
                <w:sz w:val="24"/>
                <w:szCs w:val="24"/>
              </w:rPr>
              <w:t>± 0.84</w:t>
            </w:r>
            <w:r w:rsidRPr="00360D49">
              <w:rPr>
                <w:sz w:val="24"/>
                <w:szCs w:val="24"/>
                <w:vertAlign w:val="superscript"/>
              </w:rPr>
              <w:t>a</w:t>
            </w:r>
          </w:p>
        </w:tc>
        <w:tc>
          <w:tcPr>
            <w:tcW w:w="634" w:type="pct"/>
            <w:tcBorders>
              <w:top w:val="single" w:sz="4" w:space="0" w:color="auto"/>
              <w:left w:val="single" w:sz="4" w:space="0" w:color="auto"/>
              <w:bottom w:val="single" w:sz="4" w:space="0" w:color="auto"/>
              <w:right w:val="single" w:sz="4" w:space="0" w:color="auto"/>
            </w:tcBorders>
            <w:vAlign w:val="bottom"/>
          </w:tcPr>
          <w:p w14:paraId="0A8A005D" w14:textId="2D6D25A3" w:rsidR="00987F97" w:rsidRPr="00360D49" w:rsidRDefault="00987F97" w:rsidP="00360D49">
            <w:pPr>
              <w:ind w:left="360"/>
              <w:jc w:val="center"/>
              <w:rPr>
                <w:rFonts w:eastAsia="Calibri"/>
                <w:sz w:val="24"/>
                <w:szCs w:val="24"/>
                <w:vertAlign w:val="superscript"/>
              </w:rPr>
            </w:pPr>
            <w:r w:rsidRPr="00360D49">
              <w:rPr>
                <w:rFonts w:eastAsia="Calibri"/>
                <w:sz w:val="24"/>
                <w:szCs w:val="24"/>
              </w:rPr>
              <w:t>5.50 ± 0.45</w:t>
            </w:r>
            <w:r w:rsidRPr="00360D49">
              <w:rPr>
                <w:rFonts w:eastAsia="Calibri"/>
                <w:sz w:val="24"/>
                <w:szCs w:val="24"/>
                <w:vertAlign w:val="superscript"/>
              </w:rPr>
              <w:t>d</w:t>
            </w:r>
          </w:p>
        </w:tc>
        <w:tc>
          <w:tcPr>
            <w:tcW w:w="637" w:type="pct"/>
            <w:tcBorders>
              <w:top w:val="single" w:sz="4" w:space="0" w:color="auto"/>
              <w:left w:val="single" w:sz="4" w:space="0" w:color="auto"/>
              <w:bottom w:val="single" w:sz="4" w:space="0" w:color="auto"/>
              <w:right w:val="single" w:sz="4" w:space="0" w:color="auto"/>
            </w:tcBorders>
            <w:vAlign w:val="bottom"/>
          </w:tcPr>
          <w:p w14:paraId="6B3C9360" w14:textId="26110E31" w:rsidR="00987F97" w:rsidRPr="00360D49" w:rsidRDefault="00987F97" w:rsidP="00360D49">
            <w:pPr>
              <w:ind w:left="360"/>
              <w:jc w:val="center"/>
              <w:rPr>
                <w:rFonts w:eastAsia="Calibri"/>
                <w:sz w:val="24"/>
                <w:szCs w:val="24"/>
                <w:vertAlign w:val="superscript"/>
              </w:rPr>
            </w:pPr>
            <w:r w:rsidRPr="00360D49">
              <w:rPr>
                <w:rFonts w:eastAsia="Calibri"/>
                <w:sz w:val="24"/>
                <w:szCs w:val="24"/>
              </w:rPr>
              <w:t>23.60 ± 0.56</w:t>
            </w:r>
            <w:r w:rsidRPr="00360D49">
              <w:rPr>
                <w:rFonts w:eastAsia="Calibri"/>
                <w:sz w:val="24"/>
                <w:szCs w:val="24"/>
                <w:vertAlign w:val="superscript"/>
              </w:rPr>
              <w:t>b</w:t>
            </w:r>
          </w:p>
        </w:tc>
        <w:tc>
          <w:tcPr>
            <w:tcW w:w="632" w:type="pct"/>
            <w:tcBorders>
              <w:top w:val="single" w:sz="4" w:space="0" w:color="auto"/>
              <w:left w:val="single" w:sz="4" w:space="0" w:color="auto"/>
              <w:bottom w:val="single" w:sz="4" w:space="0" w:color="auto"/>
              <w:right w:val="single" w:sz="4" w:space="0" w:color="auto"/>
            </w:tcBorders>
            <w:vAlign w:val="bottom"/>
          </w:tcPr>
          <w:p w14:paraId="0DEEAE6F" w14:textId="20D34EFB" w:rsidR="00987F97" w:rsidRPr="00360D49" w:rsidRDefault="00987F97" w:rsidP="00360D49">
            <w:pPr>
              <w:ind w:left="360"/>
              <w:jc w:val="center"/>
              <w:rPr>
                <w:rFonts w:eastAsia="Calibri"/>
                <w:sz w:val="24"/>
                <w:szCs w:val="24"/>
                <w:vertAlign w:val="superscript"/>
              </w:rPr>
            </w:pPr>
            <w:r w:rsidRPr="00360D49">
              <w:rPr>
                <w:rFonts w:eastAsia="Calibri"/>
                <w:sz w:val="24"/>
                <w:szCs w:val="24"/>
              </w:rPr>
              <w:t>7.90 ± 0.28</w:t>
            </w:r>
            <w:r w:rsidRPr="00360D49">
              <w:rPr>
                <w:rFonts w:eastAsia="Calibri"/>
                <w:sz w:val="24"/>
                <w:szCs w:val="24"/>
                <w:vertAlign w:val="superscript"/>
              </w:rPr>
              <w:t>b</w:t>
            </w:r>
          </w:p>
        </w:tc>
      </w:tr>
      <w:tr w:rsidR="00987F97" w:rsidRPr="004E4C1B" w14:paraId="7676F09C" w14:textId="77777777" w:rsidTr="00814712">
        <w:trPr>
          <w:trHeight w:hRule="exact" w:val="288"/>
        </w:trPr>
        <w:tc>
          <w:tcPr>
            <w:tcW w:w="1188" w:type="pct"/>
            <w:tcBorders>
              <w:top w:val="single" w:sz="4" w:space="0" w:color="auto"/>
              <w:left w:val="single" w:sz="4" w:space="0" w:color="auto"/>
              <w:bottom w:val="single" w:sz="4" w:space="0" w:color="auto"/>
              <w:right w:val="single" w:sz="4" w:space="0" w:color="auto"/>
            </w:tcBorders>
          </w:tcPr>
          <w:p w14:paraId="46F518AA" w14:textId="2D23667E" w:rsidR="00987F97" w:rsidRPr="00360D49" w:rsidRDefault="00987F97" w:rsidP="00360D49">
            <w:pPr>
              <w:ind w:left="360"/>
              <w:rPr>
                <w:iCs/>
                <w:sz w:val="24"/>
                <w:szCs w:val="24"/>
              </w:rPr>
            </w:pPr>
            <w:r w:rsidRPr="00360D49">
              <w:rPr>
                <w:i/>
                <w:sz w:val="24"/>
                <w:szCs w:val="24"/>
              </w:rPr>
              <w:t>Trichoderma</w:t>
            </w:r>
            <w:r w:rsidRPr="00360D49">
              <w:rPr>
                <w:i/>
                <w:spacing w:val="-1"/>
                <w:sz w:val="24"/>
                <w:szCs w:val="24"/>
              </w:rPr>
              <w:t xml:space="preserve"> </w:t>
            </w:r>
            <w:r w:rsidRPr="00360D49">
              <w:rPr>
                <w:iCs/>
                <w:spacing w:val="-1"/>
                <w:sz w:val="24"/>
                <w:szCs w:val="24"/>
              </w:rPr>
              <w:t xml:space="preserve">sp. </w:t>
            </w:r>
            <w:bookmarkStart w:id="21" w:name="_Hlk194746579"/>
            <w:r w:rsidRPr="00360D49">
              <w:rPr>
                <w:iCs/>
                <w:spacing w:val="-1"/>
                <w:sz w:val="24"/>
                <w:szCs w:val="24"/>
              </w:rPr>
              <w:t>CICR2</w:t>
            </w:r>
            <w:r w:rsidRPr="00360D49">
              <w:rPr>
                <w:i/>
                <w:spacing w:val="-1"/>
                <w:sz w:val="24"/>
                <w:szCs w:val="24"/>
              </w:rPr>
              <w:t xml:space="preserve"> </w:t>
            </w:r>
            <w:bookmarkEnd w:id="21"/>
          </w:p>
        </w:tc>
        <w:tc>
          <w:tcPr>
            <w:tcW w:w="638" w:type="pct"/>
            <w:tcBorders>
              <w:top w:val="single" w:sz="4" w:space="0" w:color="auto"/>
              <w:left w:val="single" w:sz="4" w:space="0" w:color="auto"/>
              <w:bottom w:val="single" w:sz="4" w:space="0" w:color="auto"/>
              <w:right w:val="single" w:sz="4" w:space="0" w:color="auto"/>
            </w:tcBorders>
            <w:vAlign w:val="bottom"/>
          </w:tcPr>
          <w:p w14:paraId="43C006F4" w14:textId="0E9164AA" w:rsidR="00987F97" w:rsidRPr="00360D49" w:rsidRDefault="00987F97" w:rsidP="00360D49">
            <w:pPr>
              <w:ind w:left="360"/>
              <w:jc w:val="center"/>
              <w:rPr>
                <w:rFonts w:eastAsia="Calibri"/>
                <w:sz w:val="24"/>
                <w:szCs w:val="24"/>
                <w:vertAlign w:val="superscript"/>
              </w:rPr>
            </w:pPr>
            <w:r w:rsidRPr="00360D49">
              <w:rPr>
                <w:rFonts w:eastAsia="Calibri"/>
                <w:sz w:val="24"/>
                <w:szCs w:val="24"/>
              </w:rPr>
              <w:t>23.35 ± 0.17</w:t>
            </w:r>
            <w:r w:rsidRPr="00360D49">
              <w:rPr>
                <w:rFonts w:eastAsia="Calibri"/>
                <w:sz w:val="24"/>
                <w:szCs w:val="24"/>
                <w:vertAlign w:val="superscript"/>
              </w:rPr>
              <w:t>b</w:t>
            </w:r>
          </w:p>
        </w:tc>
        <w:tc>
          <w:tcPr>
            <w:tcW w:w="633" w:type="pct"/>
            <w:tcBorders>
              <w:top w:val="single" w:sz="4" w:space="0" w:color="auto"/>
              <w:left w:val="single" w:sz="4" w:space="0" w:color="auto"/>
              <w:bottom w:val="single" w:sz="4" w:space="0" w:color="auto"/>
              <w:right w:val="single" w:sz="4" w:space="0" w:color="auto"/>
            </w:tcBorders>
            <w:vAlign w:val="bottom"/>
          </w:tcPr>
          <w:p w14:paraId="38D78646" w14:textId="7707B313" w:rsidR="00987F97" w:rsidRPr="00360D49" w:rsidRDefault="00987F97" w:rsidP="00360D49">
            <w:pPr>
              <w:ind w:left="360"/>
              <w:jc w:val="center"/>
              <w:rPr>
                <w:rFonts w:eastAsia="Calibri"/>
                <w:sz w:val="24"/>
                <w:szCs w:val="24"/>
                <w:vertAlign w:val="superscript"/>
              </w:rPr>
            </w:pPr>
            <w:r w:rsidRPr="00360D49">
              <w:rPr>
                <w:rFonts w:eastAsia="Calibri"/>
                <w:sz w:val="24"/>
                <w:szCs w:val="24"/>
              </w:rPr>
              <w:t>2.45 ± 0.37</w:t>
            </w:r>
            <w:r w:rsidRPr="00360D49">
              <w:rPr>
                <w:rFonts w:eastAsia="Calibri"/>
                <w:sz w:val="24"/>
                <w:szCs w:val="24"/>
                <w:vertAlign w:val="superscript"/>
              </w:rPr>
              <w:t>d</w:t>
            </w:r>
          </w:p>
        </w:tc>
        <w:tc>
          <w:tcPr>
            <w:tcW w:w="638" w:type="pct"/>
            <w:tcBorders>
              <w:top w:val="single" w:sz="4" w:space="0" w:color="auto"/>
              <w:left w:val="single" w:sz="4" w:space="0" w:color="auto"/>
              <w:bottom w:val="single" w:sz="4" w:space="0" w:color="auto"/>
              <w:right w:val="single" w:sz="4" w:space="0" w:color="auto"/>
            </w:tcBorders>
          </w:tcPr>
          <w:p w14:paraId="3F46F7C8" w14:textId="683567CC" w:rsidR="00987F97" w:rsidRPr="00360D49" w:rsidRDefault="00987F97" w:rsidP="00360D49">
            <w:pPr>
              <w:ind w:left="360"/>
              <w:jc w:val="center"/>
              <w:rPr>
                <w:rFonts w:eastAsia="Calibri"/>
                <w:sz w:val="24"/>
                <w:szCs w:val="24"/>
                <w:vertAlign w:val="superscript"/>
              </w:rPr>
            </w:pPr>
            <w:r w:rsidRPr="00360D49">
              <w:rPr>
                <w:color w:val="000000"/>
                <w:sz w:val="24"/>
                <w:szCs w:val="24"/>
              </w:rPr>
              <w:t>22.90 ± 1.16</w:t>
            </w:r>
            <w:r w:rsidRPr="00360D49">
              <w:rPr>
                <w:color w:val="000000"/>
                <w:sz w:val="24"/>
                <w:szCs w:val="24"/>
                <w:vertAlign w:val="superscript"/>
              </w:rPr>
              <w:t>b</w:t>
            </w:r>
          </w:p>
        </w:tc>
        <w:tc>
          <w:tcPr>
            <w:tcW w:w="634" w:type="pct"/>
            <w:tcBorders>
              <w:top w:val="single" w:sz="4" w:space="0" w:color="auto"/>
              <w:left w:val="single" w:sz="4" w:space="0" w:color="auto"/>
              <w:bottom w:val="single" w:sz="4" w:space="0" w:color="auto"/>
              <w:right w:val="single" w:sz="4" w:space="0" w:color="auto"/>
            </w:tcBorders>
            <w:vAlign w:val="bottom"/>
          </w:tcPr>
          <w:p w14:paraId="209C9105" w14:textId="57E7DC9F" w:rsidR="00987F97" w:rsidRPr="00360D49" w:rsidRDefault="00987F97" w:rsidP="00360D49">
            <w:pPr>
              <w:ind w:left="360"/>
              <w:jc w:val="center"/>
              <w:rPr>
                <w:rFonts w:eastAsia="Calibri"/>
                <w:sz w:val="24"/>
                <w:szCs w:val="24"/>
              </w:rPr>
            </w:pPr>
            <w:r w:rsidRPr="00360D49">
              <w:rPr>
                <w:rFonts w:eastAsia="Calibri"/>
                <w:sz w:val="24"/>
                <w:szCs w:val="24"/>
              </w:rPr>
              <w:t>6.40 ± 0.34</w:t>
            </w:r>
            <w:r w:rsidRPr="00360D49">
              <w:rPr>
                <w:rFonts w:eastAsia="Calibri"/>
                <w:sz w:val="24"/>
                <w:szCs w:val="24"/>
                <w:vertAlign w:val="superscript"/>
              </w:rPr>
              <w:t>c</w:t>
            </w:r>
          </w:p>
        </w:tc>
        <w:tc>
          <w:tcPr>
            <w:tcW w:w="637" w:type="pct"/>
            <w:tcBorders>
              <w:top w:val="single" w:sz="4" w:space="0" w:color="auto"/>
              <w:left w:val="single" w:sz="4" w:space="0" w:color="auto"/>
              <w:bottom w:val="single" w:sz="4" w:space="0" w:color="auto"/>
              <w:right w:val="single" w:sz="4" w:space="0" w:color="auto"/>
            </w:tcBorders>
            <w:vAlign w:val="bottom"/>
          </w:tcPr>
          <w:p w14:paraId="31742CBB" w14:textId="5CDA377E" w:rsidR="00987F97" w:rsidRPr="00360D49" w:rsidRDefault="00987F97" w:rsidP="00360D49">
            <w:pPr>
              <w:ind w:left="360"/>
              <w:jc w:val="center"/>
              <w:rPr>
                <w:rFonts w:eastAsia="Calibri"/>
                <w:sz w:val="24"/>
                <w:szCs w:val="24"/>
                <w:vertAlign w:val="superscript"/>
              </w:rPr>
            </w:pPr>
            <w:r w:rsidRPr="00360D49">
              <w:rPr>
                <w:rFonts w:eastAsia="Calibri"/>
                <w:sz w:val="24"/>
                <w:szCs w:val="24"/>
              </w:rPr>
              <w:t>12.50 ± 1.45</w:t>
            </w:r>
            <w:r w:rsidRPr="00360D49">
              <w:rPr>
                <w:rFonts w:eastAsia="Calibri"/>
                <w:sz w:val="24"/>
                <w:szCs w:val="24"/>
                <w:vertAlign w:val="superscript"/>
              </w:rPr>
              <w:t>c</w:t>
            </w:r>
          </w:p>
        </w:tc>
        <w:tc>
          <w:tcPr>
            <w:tcW w:w="632" w:type="pct"/>
            <w:tcBorders>
              <w:top w:val="single" w:sz="4" w:space="0" w:color="auto"/>
              <w:left w:val="single" w:sz="4" w:space="0" w:color="auto"/>
              <w:bottom w:val="single" w:sz="4" w:space="0" w:color="auto"/>
              <w:right w:val="single" w:sz="4" w:space="0" w:color="auto"/>
            </w:tcBorders>
            <w:vAlign w:val="bottom"/>
          </w:tcPr>
          <w:p w14:paraId="50E4D973" w14:textId="6DA5E93C" w:rsidR="00987F97" w:rsidRPr="00360D49" w:rsidRDefault="00987F97" w:rsidP="00360D49">
            <w:pPr>
              <w:ind w:left="360"/>
              <w:jc w:val="center"/>
              <w:rPr>
                <w:rFonts w:eastAsia="Calibri"/>
                <w:sz w:val="24"/>
                <w:szCs w:val="24"/>
                <w:vertAlign w:val="superscript"/>
              </w:rPr>
            </w:pPr>
            <w:r w:rsidRPr="00360D49">
              <w:rPr>
                <w:rFonts w:eastAsia="Calibri"/>
                <w:sz w:val="24"/>
                <w:szCs w:val="24"/>
              </w:rPr>
              <w:t>14.60 ± 0.51</w:t>
            </w:r>
            <w:r w:rsidRPr="00360D49">
              <w:rPr>
                <w:rFonts w:eastAsia="Calibri"/>
                <w:sz w:val="24"/>
                <w:szCs w:val="24"/>
                <w:vertAlign w:val="superscript"/>
              </w:rPr>
              <w:t>a</w:t>
            </w:r>
          </w:p>
        </w:tc>
      </w:tr>
      <w:tr w:rsidR="00987F97" w:rsidRPr="004E4C1B" w14:paraId="0AE8F1EE" w14:textId="77777777" w:rsidTr="00814712">
        <w:trPr>
          <w:trHeight w:hRule="exact" w:val="288"/>
        </w:trPr>
        <w:tc>
          <w:tcPr>
            <w:tcW w:w="1188" w:type="pct"/>
            <w:tcBorders>
              <w:top w:val="single" w:sz="4" w:space="0" w:color="auto"/>
              <w:left w:val="single" w:sz="4" w:space="0" w:color="auto"/>
              <w:bottom w:val="single" w:sz="4" w:space="0" w:color="auto"/>
              <w:right w:val="single" w:sz="4" w:space="0" w:color="auto"/>
            </w:tcBorders>
          </w:tcPr>
          <w:p w14:paraId="4BF976B9" w14:textId="33A60F93" w:rsidR="00987F97" w:rsidRPr="00360D49" w:rsidRDefault="00987F97" w:rsidP="00360D49">
            <w:pPr>
              <w:ind w:left="360"/>
              <w:rPr>
                <w:iCs/>
                <w:sz w:val="24"/>
                <w:szCs w:val="24"/>
              </w:rPr>
            </w:pPr>
            <w:r w:rsidRPr="00360D49">
              <w:rPr>
                <w:i/>
                <w:sz w:val="24"/>
                <w:szCs w:val="24"/>
              </w:rPr>
              <w:t xml:space="preserve">P. </w:t>
            </w:r>
            <w:proofErr w:type="spellStart"/>
            <w:r w:rsidRPr="00360D49">
              <w:rPr>
                <w:i/>
                <w:sz w:val="24"/>
                <w:szCs w:val="24"/>
              </w:rPr>
              <w:t>chrysogenum</w:t>
            </w:r>
            <w:proofErr w:type="spellEnd"/>
            <w:r w:rsidRPr="00360D49">
              <w:rPr>
                <w:i/>
                <w:sz w:val="24"/>
                <w:szCs w:val="24"/>
              </w:rPr>
              <w:t xml:space="preserve"> </w:t>
            </w:r>
            <w:r w:rsidRPr="00360D49">
              <w:rPr>
                <w:iCs/>
                <w:sz w:val="24"/>
                <w:szCs w:val="24"/>
              </w:rPr>
              <w:t>CICR3</w:t>
            </w:r>
          </w:p>
        </w:tc>
        <w:tc>
          <w:tcPr>
            <w:tcW w:w="638" w:type="pct"/>
            <w:tcBorders>
              <w:top w:val="single" w:sz="4" w:space="0" w:color="auto"/>
              <w:left w:val="single" w:sz="4" w:space="0" w:color="auto"/>
              <w:bottom w:val="single" w:sz="4" w:space="0" w:color="auto"/>
              <w:right w:val="single" w:sz="4" w:space="0" w:color="auto"/>
            </w:tcBorders>
            <w:vAlign w:val="bottom"/>
          </w:tcPr>
          <w:p w14:paraId="3C4C8055" w14:textId="05F3E898" w:rsidR="00987F97" w:rsidRPr="00360D49" w:rsidRDefault="00987F97" w:rsidP="00360D49">
            <w:pPr>
              <w:ind w:left="360"/>
              <w:jc w:val="center"/>
              <w:rPr>
                <w:rFonts w:eastAsia="Calibri"/>
                <w:sz w:val="24"/>
                <w:szCs w:val="24"/>
                <w:vertAlign w:val="superscript"/>
              </w:rPr>
            </w:pPr>
            <w:r w:rsidRPr="00360D49">
              <w:rPr>
                <w:rFonts w:eastAsia="Calibri"/>
                <w:sz w:val="24"/>
                <w:szCs w:val="24"/>
              </w:rPr>
              <w:t>16.36 ± 0.14</w:t>
            </w:r>
            <w:r w:rsidRPr="00360D49">
              <w:rPr>
                <w:rFonts w:eastAsia="Calibri"/>
                <w:sz w:val="24"/>
                <w:szCs w:val="24"/>
                <w:vertAlign w:val="superscript"/>
              </w:rPr>
              <w:t>c</w:t>
            </w:r>
          </w:p>
        </w:tc>
        <w:tc>
          <w:tcPr>
            <w:tcW w:w="633" w:type="pct"/>
            <w:tcBorders>
              <w:top w:val="single" w:sz="4" w:space="0" w:color="auto"/>
              <w:left w:val="single" w:sz="4" w:space="0" w:color="auto"/>
              <w:bottom w:val="single" w:sz="4" w:space="0" w:color="auto"/>
              <w:right w:val="single" w:sz="4" w:space="0" w:color="auto"/>
            </w:tcBorders>
            <w:vAlign w:val="bottom"/>
          </w:tcPr>
          <w:p w14:paraId="5DE410A6" w14:textId="7262335F" w:rsidR="00987F97" w:rsidRPr="00360D49" w:rsidRDefault="00987F97" w:rsidP="00360D49">
            <w:pPr>
              <w:ind w:left="360"/>
              <w:jc w:val="center"/>
              <w:rPr>
                <w:rFonts w:eastAsia="Calibri"/>
                <w:sz w:val="24"/>
                <w:szCs w:val="24"/>
                <w:vertAlign w:val="superscript"/>
              </w:rPr>
            </w:pPr>
            <w:r w:rsidRPr="00360D49">
              <w:rPr>
                <w:rFonts w:eastAsia="Calibri"/>
                <w:sz w:val="24"/>
                <w:szCs w:val="24"/>
              </w:rPr>
              <w:t>12.81± 1.59</w:t>
            </w:r>
            <w:r w:rsidRPr="00360D49">
              <w:rPr>
                <w:rFonts w:eastAsia="Calibri"/>
                <w:sz w:val="24"/>
                <w:szCs w:val="24"/>
                <w:vertAlign w:val="superscript"/>
              </w:rPr>
              <w:t>b</w:t>
            </w:r>
          </w:p>
        </w:tc>
        <w:tc>
          <w:tcPr>
            <w:tcW w:w="638" w:type="pct"/>
            <w:tcBorders>
              <w:top w:val="single" w:sz="4" w:space="0" w:color="auto"/>
              <w:left w:val="single" w:sz="4" w:space="0" w:color="auto"/>
              <w:bottom w:val="single" w:sz="4" w:space="0" w:color="auto"/>
              <w:right w:val="single" w:sz="4" w:space="0" w:color="auto"/>
            </w:tcBorders>
          </w:tcPr>
          <w:p w14:paraId="115F8CFF" w14:textId="0608407A" w:rsidR="00987F97" w:rsidRPr="00360D49" w:rsidRDefault="00987F97" w:rsidP="00360D49">
            <w:pPr>
              <w:ind w:left="360"/>
              <w:jc w:val="center"/>
              <w:rPr>
                <w:rFonts w:eastAsia="Calibri"/>
                <w:sz w:val="24"/>
                <w:szCs w:val="24"/>
                <w:vertAlign w:val="superscript"/>
              </w:rPr>
            </w:pPr>
            <w:r w:rsidRPr="00360D49">
              <w:rPr>
                <w:color w:val="000000"/>
                <w:sz w:val="24"/>
                <w:szCs w:val="24"/>
              </w:rPr>
              <w:t>9.20 ± 0.05</w:t>
            </w:r>
            <w:r w:rsidRPr="00360D49">
              <w:rPr>
                <w:color w:val="000000"/>
                <w:sz w:val="24"/>
                <w:szCs w:val="24"/>
                <w:vertAlign w:val="superscript"/>
              </w:rPr>
              <w:t>c</w:t>
            </w:r>
          </w:p>
        </w:tc>
        <w:tc>
          <w:tcPr>
            <w:tcW w:w="634" w:type="pct"/>
            <w:tcBorders>
              <w:top w:val="single" w:sz="4" w:space="0" w:color="auto"/>
              <w:left w:val="single" w:sz="4" w:space="0" w:color="auto"/>
              <w:bottom w:val="single" w:sz="4" w:space="0" w:color="auto"/>
              <w:right w:val="single" w:sz="4" w:space="0" w:color="auto"/>
            </w:tcBorders>
            <w:vAlign w:val="bottom"/>
          </w:tcPr>
          <w:p w14:paraId="19B0BA34" w14:textId="42541B52" w:rsidR="00987F97" w:rsidRPr="00360D49" w:rsidRDefault="00987F97" w:rsidP="00360D49">
            <w:pPr>
              <w:ind w:left="360"/>
              <w:jc w:val="center"/>
              <w:rPr>
                <w:rFonts w:eastAsia="Calibri"/>
                <w:sz w:val="24"/>
                <w:szCs w:val="24"/>
                <w:vertAlign w:val="superscript"/>
              </w:rPr>
            </w:pPr>
            <w:r w:rsidRPr="00360D49">
              <w:rPr>
                <w:rFonts w:eastAsia="Calibri"/>
                <w:sz w:val="24"/>
                <w:szCs w:val="24"/>
              </w:rPr>
              <w:t>4.60 ± 0.27</w:t>
            </w:r>
            <w:r w:rsidRPr="00360D49">
              <w:rPr>
                <w:rFonts w:eastAsia="Calibri"/>
                <w:sz w:val="24"/>
                <w:szCs w:val="24"/>
                <w:vertAlign w:val="superscript"/>
              </w:rPr>
              <w:t>e</w:t>
            </w:r>
          </w:p>
        </w:tc>
        <w:tc>
          <w:tcPr>
            <w:tcW w:w="637" w:type="pct"/>
            <w:tcBorders>
              <w:top w:val="single" w:sz="4" w:space="0" w:color="auto"/>
              <w:left w:val="single" w:sz="4" w:space="0" w:color="auto"/>
              <w:bottom w:val="single" w:sz="4" w:space="0" w:color="auto"/>
              <w:right w:val="single" w:sz="4" w:space="0" w:color="auto"/>
            </w:tcBorders>
            <w:vAlign w:val="bottom"/>
          </w:tcPr>
          <w:p w14:paraId="2BE40CC5" w14:textId="3668F631" w:rsidR="00987F97" w:rsidRPr="00360D49" w:rsidRDefault="00987F97" w:rsidP="00360D49">
            <w:pPr>
              <w:ind w:left="360"/>
              <w:jc w:val="center"/>
              <w:rPr>
                <w:rFonts w:eastAsia="Calibri"/>
                <w:sz w:val="24"/>
                <w:szCs w:val="24"/>
                <w:vertAlign w:val="superscript"/>
              </w:rPr>
            </w:pPr>
            <w:r w:rsidRPr="00360D49">
              <w:rPr>
                <w:rFonts w:eastAsia="Calibri"/>
                <w:sz w:val="24"/>
                <w:szCs w:val="24"/>
              </w:rPr>
              <w:t>12.70 ± 0.75</w:t>
            </w:r>
            <w:r w:rsidRPr="00360D49">
              <w:rPr>
                <w:rFonts w:eastAsia="Calibri"/>
                <w:sz w:val="24"/>
                <w:szCs w:val="24"/>
                <w:vertAlign w:val="superscript"/>
              </w:rPr>
              <w:t>c</w:t>
            </w:r>
          </w:p>
        </w:tc>
        <w:tc>
          <w:tcPr>
            <w:tcW w:w="632" w:type="pct"/>
            <w:tcBorders>
              <w:top w:val="single" w:sz="4" w:space="0" w:color="auto"/>
              <w:left w:val="single" w:sz="4" w:space="0" w:color="auto"/>
              <w:bottom w:val="single" w:sz="4" w:space="0" w:color="auto"/>
              <w:right w:val="single" w:sz="4" w:space="0" w:color="auto"/>
            </w:tcBorders>
            <w:vAlign w:val="bottom"/>
          </w:tcPr>
          <w:p w14:paraId="66CABE07" w14:textId="20045463" w:rsidR="00987F97" w:rsidRPr="00360D49" w:rsidRDefault="00987F97" w:rsidP="00360D49">
            <w:pPr>
              <w:ind w:left="360"/>
              <w:jc w:val="center"/>
              <w:rPr>
                <w:rFonts w:eastAsia="Calibri"/>
                <w:sz w:val="24"/>
                <w:szCs w:val="24"/>
                <w:vertAlign w:val="superscript"/>
              </w:rPr>
            </w:pPr>
            <w:r w:rsidRPr="00360D49">
              <w:rPr>
                <w:rFonts w:eastAsia="Calibri"/>
                <w:sz w:val="24"/>
                <w:szCs w:val="24"/>
              </w:rPr>
              <w:t>6.60 ± 0.34</w:t>
            </w:r>
            <w:r w:rsidRPr="00360D49">
              <w:rPr>
                <w:rFonts w:eastAsia="Calibri"/>
                <w:sz w:val="24"/>
                <w:szCs w:val="24"/>
                <w:vertAlign w:val="superscript"/>
              </w:rPr>
              <w:t>c</w:t>
            </w:r>
          </w:p>
        </w:tc>
      </w:tr>
      <w:tr w:rsidR="00987F97" w:rsidRPr="004E4C1B" w14:paraId="68E96B0A" w14:textId="77777777" w:rsidTr="00814712">
        <w:trPr>
          <w:trHeight w:hRule="exact" w:val="288"/>
        </w:trPr>
        <w:tc>
          <w:tcPr>
            <w:tcW w:w="1188" w:type="pct"/>
            <w:tcBorders>
              <w:top w:val="single" w:sz="4" w:space="0" w:color="auto"/>
              <w:left w:val="single" w:sz="4" w:space="0" w:color="auto"/>
              <w:bottom w:val="single" w:sz="4" w:space="0" w:color="auto"/>
              <w:right w:val="single" w:sz="4" w:space="0" w:color="auto"/>
            </w:tcBorders>
          </w:tcPr>
          <w:p w14:paraId="2595F3B5" w14:textId="04B05332" w:rsidR="00987F97" w:rsidRPr="00360D49" w:rsidRDefault="00987F97" w:rsidP="00360D49">
            <w:pPr>
              <w:ind w:left="360"/>
              <w:rPr>
                <w:iCs/>
                <w:sz w:val="24"/>
                <w:szCs w:val="24"/>
              </w:rPr>
            </w:pPr>
            <w:r w:rsidRPr="00360D49">
              <w:rPr>
                <w:i/>
                <w:sz w:val="24"/>
                <w:szCs w:val="24"/>
              </w:rPr>
              <w:t xml:space="preserve">Alternaria </w:t>
            </w:r>
            <w:r w:rsidRPr="00360D49">
              <w:rPr>
                <w:iCs/>
                <w:sz w:val="24"/>
                <w:szCs w:val="24"/>
              </w:rPr>
              <w:t>sp</w:t>
            </w:r>
            <w:r w:rsidRPr="00360D49">
              <w:rPr>
                <w:i/>
                <w:sz w:val="24"/>
                <w:szCs w:val="24"/>
              </w:rPr>
              <w:t>.</w:t>
            </w:r>
            <w:r w:rsidRPr="00360D49">
              <w:rPr>
                <w:iCs/>
                <w:sz w:val="24"/>
                <w:szCs w:val="24"/>
              </w:rPr>
              <w:t xml:space="preserve"> CICR4</w:t>
            </w:r>
          </w:p>
        </w:tc>
        <w:tc>
          <w:tcPr>
            <w:tcW w:w="638" w:type="pct"/>
            <w:tcBorders>
              <w:top w:val="single" w:sz="4" w:space="0" w:color="auto"/>
              <w:left w:val="single" w:sz="4" w:space="0" w:color="auto"/>
              <w:bottom w:val="single" w:sz="4" w:space="0" w:color="auto"/>
              <w:right w:val="single" w:sz="4" w:space="0" w:color="auto"/>
            </w:tcBorders>
            <w:vAlign w:val="bottom"/>
          </w:tcPr>
          <w:p w14:paraId="04B31BBB" w14:textId="109707DC" w:rsidR="00987F97" w:rsidRPr="00360D49" w:rsidRDefault="00987F97" w:rsidP="00360D49">
            <w:pPr>
              <w:ind w:left="360"/>
              <w:jc w:val="center"/>
              <w:rPr>
                <w:rFonts w:eastAsia="Calibri"/>
                <w:sz w:val="24"/>
                <w:szCs w:val="24"/>
                <w:vertAlign w:val="superscript"/>
              </w:rPr>
            </w:pPr>
            <w:r w:rsidRPr="00360D49">
              <w:rPr>
                <w:rFonts w:eastAsia="Calibri"/>
                <w:sz w:val="24"/>
                <w:szCs w:val="24"/>
              </w:rPr>
              <w:t>30.46 ± 0.33</w:t>
            </w:r>
            <w:r w:rsidRPr="00360D49">
              <w:rPr>
                <w:rFonts w:eastAsia="Calibri"/>
                <w:sz w:val="24"/>
                <w:szCs w:val="24"/>
                <w:vertAlign w:val="superscript"/>
              </w:rPr>
              <w:t>a</w:t>
            </w:r>
          </w:p>
        </w:tc>
        <w:tc>
          <w:tcPr>
            <w:tcW w:w="633" w:type="pct"/>
            <w:tcBorders>
              <w:top w:val="single" w:sz="4" w:space="0" w:color="auto"/>
              <w:left w:val="single" w:sz="4" w:space="0" w:color="auto"/>
              <w:bottom w:val="single" w:sz="4" w:space="0" w:color="auto"/>
              <w:right w:val="single" w:sz="4" w:space="0" w:color="auto"/>
            </w:tcBorders>
            <w:vAlign w:val="bottom"/>
          </w:tcPr>
          <w:p w14:paraId="663B9884" w14:textId="5A73F820" w:rsidR="00987F97" w:rsidRPr="00360D49" w:rsidRDefault="00987F97" w:rsidP="00360D49">
            <w:pPr>
              <w:ind w:left="360"/>
              <w:jc w:val="center"/>
              <w:rPr>
                <w:rFonts w:eastAsia="Calibri"/>
                <w:sz w:val="24"/>
                <w:szCs w:val="24"/>
                <w:vertAlign w:val="superscript"/>
              </w:rPr>
            </w:pPr>
            <w:r w:rsidRPr="00360D49">
              <w:rPr>
                <w:rFonts w:eastAsia="Calibri"/>
                <w:sz w:val="24"/>
                <w:szCs w:val="24"/>
              </w:rPr>
              <w:t>21.98 ± 0.58</w:t>
            </w:r>
            <w:r w:rsidRPr="00360D49">
              <w:rPr>
                <w:rFonts w:eastAsia="Calibri"/>
                <w:sz w:val="24"/>
                <w:szCs w:val="24"/>
                <w:vertAlign w:val="superscript"/>
              </w:rPr>
              <w:t>a</w:t>
            </w:r>
          </w:p>
        </w:tc>
        <w:tc>
          <w:tcPr>
            <w:tcW w:w="638" w:type="pct"/>
            <w:tcBorders>
              <w:top w:val="single" w:sz="4" w:space="0" w:color="auto"/>
              <w:left w:val="single" w:sz="4" w:space="0" w:color="auto"/>
              <w:bottom w:val="single" w:sz="4" w:space="0" w:color="auto"/>
              <w:right w:val="single" w:sz="4" w:space="0" w:color="auto"/>
            </w:tcBorders>
          </w:tcPr>
          <w:p w14:paraId="1756FA04" w14:textId="2168FE4B" w:rsidR="00987F97" w:rsidRPr="00360D49" w:rsidRDefault="00987F97" w:rsidP="00360D49">
            <w:pPr>
              <w:ind w:left="360"/>
              <w:jc w:val="center"/>
              <w:rPr>
                <w:rFonts w:eastAsia="Calibri"/>
                <w:sz w:val="24"/>
                <w:szCs w:val="24"/>
                <w:vertAlign w:val="superscript"/>
              </w:rPr>
            </w:pPr>
            <w:r w:rsidRPr="00360D49">
              <w:rPr>
                <w:color w:val="000000"/>
                <w:sz w:val="24"/>
                <w:szCs w:val="24"/>
              </w:rPr>
              <w:t>19.80 ± 0.62</w:t>
            </w:r>
            <w:r w:rsidRPr="00360D49">
              <w:rPr>
                <w:color w:val="000000"/>
                <w:sz w:val="24"/>
                <w:szCs w:val="24"/>
                <w:vertAlign w:val="superscript"/>
              </w:rPr>
              <w:t>d</w:t>
            </w:r>
          </w:p>
        </w:tc>
        <w:tc>
          <w:tcPr>
            <w:tcW w:w="634" w:type="pct"/>
            <w:tcBorders>
              <w:top w:val="single" w:sz="4" w:space="0" w:color="auto"/>
              <w:left w:val="single" w:sz="4" w:space="0" w:color="auto"/>
              <w:bottom w:val="single" w:sz="4" w:space="0" w:color="auto"/>
              <w:right w:val="single" w:sz="4" w:space="0" w:color="auto"/>
            </w:tcBorders>
            <w:vAlign w:val="bottom"/>
          </w:tcPr>
          <w:p w14:paraId="7EC21ACE" w14:textId="7F655CAD" w:rsidR="00987F97" w:rsidRPr="00360D49" w:rsidRDefault="00987F97" w:rsidP="00360D49">
            <w:pPr>
              <w:ind w:left="360"/>
              <w:jc w:val="center"/>
              <w:rPr>
                <w:rFonts w:eastAsia="Calibri"/>
                <w:sz w:val="24"/>
                <w:szCs w:val="24"/>
                <w:vertAlign w:val="superscript"/>
              </w:rPr>
            </w:pPr>
            <w:r w:rsidRPr="00360D49">
              <w:rPr>
                <w:rFonts w:eastAsia="Calibri"/>
                <w:sz w:val="24"/>
                <w:szCs w:val="24"/>
              </w:rPr>
              <w:t>10.50 ± 0.70</w:t>
            </w:r>
            <w:r w:rsidRPr="00360D49">
              <w:rPr>
                <w:rFonts w:eastAsia="Calibri"/>
                <w:sz w:val="24"/>
                <w:szCs w:val="24"/>
                <w:vertAlign w:val="superscript"/>
              </w:rPr>
              <w:t>a</w:t>
            </w:r>
          </w:p>
        </w:tc>
        <w:tc>
          <w:tcPr>
            <w:tcW w:w="637" w:type="pct"/>
            <w:tcBorders>
              <w:top w:val="single" w:sz="4" w:space="0" w:color="auto"/>
              <w:left w:val="single" w:sz="4" w:space="0" w:color="auto"/>
              <w:bottom w:val="single" w:sz="4" w:space="0" w:color="auto"/>
              <w:right w:val="single" w:sz="4" w:space="0" w:color="auto"/>
            </w:tcBorders>
            <w:vAlign w:val="bottom"/>
          </w:tcPr>
          <w:p w14:paraId="778B493E" w14:textId="2E3EB57B" w:rsidR="00987F97" w:rsidRPr="00360D49" w:rsidRDefault="00987F97" w:rsidP="00360D49">
            <w:pPr>
              <w:ind w:left="360"/>
              <w:jc w:val="center"/>
              <w:rPr>
                <w:rFonts w:eastAsia="Calibri"/>
                <w:sz w:val="24"/>
                <w:szCs w:val="24"/>
                <w:vertAlign w:val="superscript"/>
              </w:rPr>
            </w:pPr>
            <w:r w:rsidRPr="00360D49">
              <w:rPr>
                <w:rFonts w:eastAsia="Calibri"/>
                <w:sz w:val="24"/>
                <w:szCs w:val="24"/>
              </w:rPr>
              <w:t>25.60 ± 1.57</w:t>
            </w:r>
            <w:r w:rsidRPr="00360D49">
              <w:rPr>
                <w:rFonts w:eastAsia="Calibri"/>
                <w:sz w:val="24"/>
                <w:szCs w:val="24"/>
                <w:vertAlign w:val="superscript"/>
              </w:rPr>
              <w:t>a</w:t>
            </w:r>
          </w:p>
        </w:tc>
        <w:tc>
          <w:tcPr>
            <w:tcW w:w="632" w:type="pct"/>
            <w:tcBorders>
              <w:top w:val="single" w:sz="4" w:space="0" w:color="auto"/>
              <w:left w:val="single" w:sz="4" w:space="0" w:color="auto"/>
              <w:bottom w:val="single" w:sz="4" w:space="0" w:color="auto"/>
              <w:right w:val="single" w:sz="4" w:space="0" w:color="auto"/>
            </w:tcBorders>
            <w:vAlign w:val="bottom"/>
          </w:tcPr>
          <w:p w14:paraId="3585CBD5" w14:textId="10AFA23F" w:rsidR="00987F97" w:rsidRPr="00360D49" w:rsidRDefault="00987F97" w:rsidP="00360D49">
            <w:pPr>
              <w:ind w:left="360"/>
              <w:jc w:val="center"/>
              <w:rPr>
                <w:rFonts w:eastAsia="Calibri"/>
                <w:sz w:val="24"/>
                <w:szCs w:val="24"/>
                <w:vertAlign w:val="superscript"/>
              </w:rPr>
            </w:pPr>
            <w:r w:rsidRPr="00360D49">
              <w:rPr>
                <w:rFonts w:eastAsia="Calibri"/>
                <w:sz w:val="24"/>
                <w:szCs w:val="24"/>
              </w:rPr>
              <w:t>15.10 ± 0.41</w:t>
            </w:r>
            <w:r w:rsidRPr="00360D49">
              <w:rPr>
                <w:rFonts w:eastAsia="Calibri"/>
                <w:sz w:val="24"/>
                <w:szCs w:val="24"/>
                <w:vertAlign w:val="superscript"/>
              </w:rPr>
              <w:t>a</w:t>
            </w:r>
          </w:p>
        </w:tc>
      </w:tr>
      <w:tr w:rsidR="00987F97" w:rsidRPr="004E4C1B" w14:paraId="1566557B" w14:textId="77777777" w:rsidTr="00814712">
        <w:trPr>
          <w:trHeight w:hRule="exact" w:val="288"/>
        </w:trPr>
        <w:tc>
          <w:tcPr>
            <w:tcW w:w="1188" w:type="pct"/>
            <w:tcBorders>
              <w:top w:val="single" w:sz="4" w:space="0" w:color="auto"/>
              <w:left w:val="single" w:sz="4" w:space="0" w:color="auto"/>
              <w:right w:val="single" w:sz="4" w:space="0" w:color="auto"/>
            </w:tcBorders>
          </w:tcPr>
          <w:p w14:paraId="552F246D" w14:textId="7BA328A7" w:rsidR="00987F97" w:rsidRPr="00360D49" w:rsidRDefault="00987F97" w:rsidP="00360D49">
            <w:pPr>
              <w:ind w:left="360"/>
              <w:rPr>
                <w:sz w:val="24"/>
                <w:szCs w:val="24"/>
              </w:rPr>
            </w:pPr>
            <w:r w:rsidRPr="00360D49">
              <w:rPr>
                <w:color w:val="000000"/>
                <w:sz w:val="24"/>
                <w:szCs w:val="24"/>
              </w:rPr>
              <w:t>LSD</w:t>
            </w:r>
            <w:r w:rsidRPr="00360D49">
              <w:rPr>
                <w:color w:val="000000"/>
                <w:sz w:val="24"/>
                <w:szCs w:val="24"/>
                <w:vertAlign w:val="subscript"/>
              </w:rPr>
              <w:t>0.05</w:t>
            </w:r>
          </w:p>
        </w:tc>
        <w:tc>
          <w:tcPr>
            <w:tcW w:w="638" w:type="pct"/>
            <w:tcBorders>
              <w:top w:val="single" w:sz="4" w:space="0" w:color="auto"/>
              <w:left w:val="single" w:sz="4" w:space="0" w:color="auto"/>
              <w:right w:val="single" w:sz="4" w:space="0" w:color="auto"/>
            </w:tcBorders>
            <w:vAlign w:val="bottom"/>
          </w:tcPr>
          <w:p w14:paraId="0C955E44" w14:textId="77777777" w:rsidR="00987F97" w:rsidRPr="00360D49" w:rsidRDefault="00987F97" w:rsidP="00360D49">
            <w:pPr>
              <w:ind w:left="360"/>
              <w:jc w:val="center"/>
              <w:rPr>
                <w:rFonts w:eastAsia="Calibri"/>
                <w:sz w:val="24"/>
                <w:szCs w:val="24"/>
              </w:rPr>
            </w:pPr>
            <w:r w:rsidRPr="00360D49">
              <w:rPr>
                <w:rFonts w:eastAsia="Calibri"/>
                <w:sz w:val="24"/>
                <w:szCs w:val="24"/>
              </w:rPr>
              <w:t>0.30</w:t>
            </w:r>
          </w:p>
        </w:tc>
        <w:tc>
          <w:tcPr>
            <w:tcW w:w="633" w:type="pct"/>
            <w:tcBorders>
              <w:top w:val="single" w:sz="4" w:space="0" w:color="auto"/>
              <w:left w:val="single" w:sz="4" w:space="0" w:color="auto"/>
              <w:bottom w:val="single" w:sz="4" w:space="0" w:color="auto"/>
              <w:right w:val="single" w:sz="4" w:space="0" w:color="auto"/>
            </w:tcBorders>
            <w:vAlign w:val="bottom"/>
          </w:tcPr>
          <w:p w14:paraId="594E030F" w14:textId="77777777" w:rsidR="00987F97" w:rsidRPr="00360D49" w:rsidRDefault="00987F97" w:rsidP="00360D49">
            <w:pPr>
              <w:ind w:left="360"/>
              <w:jc w:val="center"/>
              <w:rPr>
                <w:rFonts w:eastAsia="Calibri"/>
                <w:sz w:val="24"/>
                <w:szCs w:val="24"/>
              </w:rPr>
            </w:pPr>
            <w:r w:rsidRPr="00360D49">
              <w:rPr>
                <w:rFonts w:eastAsia="Calibri"/>
                <w:sz w:val="24"/>
                <w:szCs w:val="24"/>
              </w:rPr>
              <w:t>1.18</w:t>
            </w:r>
          </w:p>
        </w:tc>
        <w:tc>
          <w:tcPr>
            <w:tcW w:w="638" w:type="pct"/>
            <w:tcBorders>
              <w:top w:val="single" w:sz="4" w:space="0" w:color="auto"/>
              <w:left w:val="single" w:sz="4" w:space="0" w:color="auto"/>
              <w:right w:val="single" w:sz="4" w:space="0" w:color="auto"/>
            </w:tcBorders>
          </w:tcPr>
          <w:p w14:paraId="20D844AC" w14:textId="4497E48A" w:rsidR="00987F97" w:rsidRPr="00360D49" w:rsidRDefault="00987F97" w:rsidP="00360D49">
            <w:pPr>
              <w:ind w:left="360"/>
              <w:jc w:val="center"/>
              <w:rPr>
                <w:rFonts w:eastAsia="Calibri"/>
                <w:sz w:val="24"/>
                <w:szCs w:val="24"/>
              </w:rPr>
            </w:pPr>
            <w:r w:rsidRPr="00360D49">
              <w:rPr>
                <w:color w:val="000000"/>
                <w:sz w:val="24"/>
                <w:szCs w:val="24"/>
              </w:rPr>
              <w:t>1.05</w:t>
            </w:r>
          </w:p>
        </w:tc>
        <w:tc>
          <w:tcPr>
            <w:tcW w:w="634" w:type="pct"/>
            <w:tcBorders>
              <w:top w:val="single" w:sz="4" w:space="0" w:color="auto"/>
              <w:left w:val="single" w:sz="4" w:space="0" w:color="auto"/>
              <w:right w:val="single" w:sz="4" w:space="0" w:color="auto"/>
            </w:tcBorders>
            <w:vAlign w:val="bottom"/>
          </w:tcPr>
          <w:p w14:paraId="23CF3561" w14:textId="77777777" w:rsidR="00987F97" w:rsidRPr="00360D49" w:rsidRDefault="00987F97" w:rsidP="00360D49">
            <w:pPr>
              <w:ind w:left="360"/>
              <w:jc w:val="center"/>
              <w:rPr>
                <w:rFonts w:eastAsia="Calibri"/>
                <w:sz w:val="24"/>
                <w:szCs w:val="24"/>
              </w:rPr>
            </w:pPr>
            <w:r w:rsidRPr="00360D49">
              <w:rPr>
                <w:rFonts w:eastAsia="Calibri"/>
                <w:sz w:val="24"/>
                <w:szCs w:val="24"/>
              </w:rPr>
              <w:t>0.69</w:t>
            </w:r>
          </w:p>
        </w:tc>
        <w:tc>
          <w:tcPr>
            <w:tcW w:w="637" w:type="pct"/>
            <w:tcBorders>
              <w:top w:val="single" w:sz="4" w:space="0" w:color="auto"/>
              <w:left w:val="single" w:sz="4" w:space="0" w:color="auto"/>
              <w:right w:val="single" w:sz="4" w:space="0" w:color="auto"/>
            </w:tcBorders>
            <w:vAlign w:val="bottom"/>
          </w:tcPr>
          <w:p w14:paraId="5F3F9B3C" w14:textId="77777777" w:rsidR="00987F97" w:rsidRPr="00360D49" w:rsidRDefault="00987F97" w:rsidP="00360D49">
            <w:pPr>
              <w:ind w:left="360"/>
              <w:jc w:val="center"/>
              <w:rPr>
                <w:rFonts w:eastAsia="Calibri"/>
                <w:sz w:val="24"/>
                <w:szCs w:val="24"/>
              </w:rPr>
            </w:pPr>
            <w:r w:rsidRPr="00360D49">
              <w:rPr>
                <w:rFonts w:eastAsia="Calibri"/>
                <w:sz w:val="24"/>
                <w:szCs w:val="24"/>
              </w:rPr>
              <w:t>1.58</w:t>
            </w:r>
          </w:p>
        </w:tc>
        <w:tc>
          <w:tcPr>
            <w:tcW w:w="632" w:type="pct"/>
            <w:tcBorders>
              <w:top w:val="single" w:sz="4" w:space="0" w:color="auto"/>
              <w:left w:val="single" w:sz="4" w:space="0" w:color="auto"/>
              <w:right w:val="single" w:sz="4" w:space="0" w:color="auto"/>
            </w:tcBorders>
            <w:vAlign w:val="bottom"/>
          </w:tcPr>
          <w:p w14:paraId="26333433" w14:textId="77777777" w:rsidR="00987F97" w:rsidRPr="00360D49" w:rsidRDefault="00987F97" w:rsidP="00360D49">
            <w:pPr>
              <w:ind w:left="360"/>
              <w:jc w:val="center"/>
              <w:rPr>
                <w:rFonts w:eastAsia="Calibri"/>
                <w:sz w:val="24"/>
                <w:szCs w:val="24"/>
              </w:rPr>
            </w:pPr>
            <w:r w:rsidRPr="00360D49">
              <w:rPr>
                <w:rFonts w:eastAsia="Calibri"/>
                <w:sz w:val="24"/>
                <w:szCs w:val="24"/>
              </w:rPr>
              <w:t>0.60</w:t>
            </w:r>
          </w:p>
        </w:tc>
      </w:tr>
    </w:tbl>
    <w:bookmarkEnd w:id="19"/>
    <w:p w14:paraId="6CADEC83" w14:textId="77777777" w:rsidR="005341F6" w:rsidRPr="00360D49" w:rsidRDefault="005341F6" w:rsidP="00360D49">
      <w:pPr>
        <w:ind w:left="360"/>
        <w:jc w:val="both"/>
        <w:rPr>
          <w:i/>
          <w:iCs/>
          <w:sz w:val="24"/>
          <w:szCs w:val="24"/>
        </w:rPr>
      </w:pPr>
      <w:r w:rsidRPr="00360D49">
        <w:rPr>
          <w:i/>
          <w:iCs/>
          <w:sz w:val="24"/>
          <w:szCs w:val="24"/>
        </w:rPr>
        <w:t>All the values are mean of 4 replications. Means followed by a common letter in a column are not significantly different according to the Tukey's honestly significance difference (HSD) test (p&lt;0.05).</w:t>
      </w:r>
    </w:p>
    <w:p w14:paraId="0605E024" w14:textId="77777777" w:rsidR="00637675" w:rsidRPr="004E4C1B" w:rsidRDefault="00637675" w:rsidP="00360D49">
      <w:pPr>
        <w:spacing w:after="0" w:line="240" w:lineRule="auto"/>
        <w:jc w:val="both"/>
        <w:rPr>
          <w:rFonts w:ascii="Times New Roman" w:hAnsi="Times New Roman" w:cs="Times New Roman"/>
          <w:kern w:val="0"/>
          <w:sz w:val="24"/>
          <w:szCs w:val="24"/>
          <w:lang w:val="en-US"/>
        </w:rPr>
      </w:pPr>
    </w:p>
    <w:p w14:paraId="51CE8AEC" w14:textId="77777777" w:rsidR="00637675" w:rsidRPr="004E4C1B" w:rsidRDefault="00637675" w:rsidP="00360D49">
      <w:pPr>
        <w:spacing w:after="0" w:line="240" w:lineRule="auto"/>
        <w:jc w:val="both"/>
        <w:rPr>
          <w:rFonts w:ascii="Times New Roman" w:hAnsi="Times New Roman" w:cs="Times New Roman"/>
          <w:kern w:val="0"/>
          <w:sz w:val="24"/>
          <w:szCs w:val="24"/>
          <w:lang w:val="en-US"/>
        </w:rPr>
      </w:pPr>
    </w:p>
    <w:p w14:paraId="4F47E04F" w14:textId="77777777" w:rsidR="00637675" w:rsidRPr="004E4C1B" w:rsidRDefault="00637675" w:rsidP="00360D49">
      <w:pPr>
        <w:spacing w:after="0" w:line="240" w:lineRule="auto"/>
        <w:jc w:val="both"/>
        <w:rPr>
          <w:rFonts w:ascii="Times New Roman" w:hAnsi="Times New Roman" w:cs="Times New Roman"/>
          <w:kern w:val="0"/>
          <w:sz w:val="24"/>
          <w:szCs w:val="24"/>
          <w:lang w:val="en-US"/>
        </w:rPr>
      </w:pPr>
    </w:p>
    <w:p w14:paraId="0DD186C1" w14:textId="77777777" w:rsidR="00637675" w:rsidRPr="004E4C1B" w:rsidRDefault="00637675" w:rsidP="00360D49">
      <w:pPr>
        <w:spacing w:after="0" w:line="240" w:lineRule="auto"/>
        <w:jc w:val="both"/>
        <w:rPr>
          <w:rFonts w:ascii="Times New Roman" w:hAnsi="Times New Roman" w:cs="Times New Roman"/>
          <w:sz w:val="24"/>
          <w:szCs w:val="24"/>
        </w:rPr>
      </w:pPr>
    </w:p>
    <w:p w14:paraId="1C4CAE8D" w14:textId="44D11D81" w:rsidR="005341F6" w:rsidRPr="004E4C1B" w:rsidRDefault="005341F6" w:rsidP="00360D49">
      <w:pPr>
        <w:rPr>
          <w:rFonts w:ascii="Times New Roman" w:hAnsi="Times New Roman" w:cs="Times New Roman"/>
          <w:b/>
          <w:bCs/>
          <w:sz w:val="24"/>
          <w:szCs w:val="24"/>
        </w:rPr>
      </w:pPr>
    </w:p>
    <w:p w14:paraId="6FF1542F" w14:textId="77777777" w:rsidR="00482664" w:rsidRPr="00360D49" w:rsidRDefault="00482664" w:rsidP="00360D49">
      <w:pPr>
        <w:ind w:left="360"/>
        <w:rPr>
          <w:b/>
          <w:iCs/>
          <w:sz w:val="24"/>
          <w:szCs w:val="24"/>
        </w:rPr>
      </w:pPr>
      <w:r w:rsidRPr="00360D49">
        <w:rPr>
          <w:b/>
          <w:iCs/>
          <w:sz w:val="24"/>
          <w:szCs w:val="24"/>
        </w:rPr>
        <w:br w:type="page"/>
      </w:r>
    </w:p>
    <w:p w14:paraId="062AECE7" w14:textId="666EB83E" w:rsidR="005341F6" w:rsidRPr="004E4C1B" w:rsidRDefault="005341F6" w:rsidP="00360D49">
      <w:pPr>
        <w:spacing w:after="0" w:line="240" w:lineRule="auto"/>
        <w:jc w:val="both"/>
        <w:rPr>
          <w:rFonts w:ascii="Times New Roman" w:hAnsi="Times New Roman" w:cs="Times New Roman"/>
          <w:kern w:val="0"/>
          <w:sz w:val="24"/>
          <w:szCs w:val="24"/>
          <w:lang w:val="en-US"/>
        </w:rPr>
      </w:pPr>
    </w:p>
    <w:p w14:paraId="409F104B" w14:textId="77777777" w:rsidR="005341F6" w:rsidRPr="004E4C1B" w:rsidRDefault="005341F6" w:rsidP="00360D49">
      <w:pPr>
        <w:spacing w:after="0" w:line="240" w:lineRule="auto"/>
        <w:jc w:val="both"/>
        <w:rPr>
          <w:rFonts w:ascii="Times New Roman" w:hAnsi="Times New Roman" w:cs="Times New Roman"/>
          <w:kern w:val="0"/>
          <w:sz w:val="24"/>
          <w:szCs w:val="24"/>
          <w:lang w:val="en-US"/>
        </w:rPr>
      </w:pPr>
    </w:p>
    <w:p w14:paraId="13320196" w14:textId="2BDA75D1" w:rsidR="005341F6" w:rsidRPr="00360D49" w:rsidRDefault="005341F6" w:rsidP="00360D49">
      <w:pPr>
        <w:ind w:left="360"/>
        <w:jc w:val="both"/>
        <w:rPr>
          <w:sz w:val="24"/>
          <w:szCs w:val="24"/>
        </w:rPr>
      </w:pPr>
      <w:r w:rsidRPr="00360D49">
        <w:rPr>
          <w:b/>
          <w:bCs/>
          <w:sz w:val="24"/>
          <w:szCs w:val="24"/>
        </w:rPr>
        <w:t xml:space="preserve">Table </w:t>
      </w:r>
      <w:r w:rsidR="00940976">
        <w:rPr>
          <w:b/>
          <w:bCs/>
          <w:sz w:val="24"/>
          <w:szCs w:val="24"/>
        </w:rPr>
        <w:t>4</w:t>
      </w:r>
      <w:r w:rsidRPr="00360D49">
        <w:rPr>
          <w:b/>
          <w:bCs/>
          <w:sz w:val="24"/>
          <w:szCs w:val="24"/>
        </w:rPr>
        <w:t xml:space="preserve"> </w:t>
      </w:r>
      <w:r w:rsidRPr="00360D49">
        <w:rPr>
          <w:sz w:val="24"/>
          <w:szCs w:val="24"/>
        </w:rPr>
        <w:t xml:space="preserve">Solid substrate fermentation of cotton stalk using fungal isolates for lignocellulolytic activity </w:t>
      </w:r>
    </w:p>
    <w:p w14:paraId="00738F18" w14:textId="77777777" w:rsidR="005341F6" w:rsidRPr="004E4C1B" w:rsidRDefault="005341F6" w:rsidP="00360D49">
      <w:pPr>
        <w:spacing w:after="0"/>
        <w:jc w:val="both"/>
        <w:rPr>
          <w:rFonts w:ascii="Times New Roman" w:hAnsi="Times New Roman" w:cs="Times New Roman"/>
          <w:b/>
          <w:bCs/>
          <w:sz w:val="24"/>
          <w:szCs w:val="24"/>
        </w:rPr>
      </w:pPr>
    </w:p>
    <w:tbl>
      <w:tblPr>
        <w:tblStyle w:val="TableGrid"/>
        <w:tblW w:w="4775" w:type="pct"/>
        <w:tblLayout w:type="fixed"/>
        <w:tblLook w:val="04A0" w:firstRow="1" w:lastRow="0" w:firstColumn="1" w:lastColumn="0" w:noHBand="0" w:noVBand="1"/>
      </w:tblPr>
      <w:tblGrid>
        <w:gridCol w:w="4888"/>
        <w:gridCol w:w="2094"/>
        <w:gridCol w:w="2579"/>
        <w:gridCol w:w="1830"/>
        <w:gridCol w:w="1929"/>
      </w:tblGrid>
      <w:tr w:rsidR="005341F6" w:rsidRPr="004E4C1B" w14:paraId="583AA22F" w14:textId="77777777" w:rsidTr="006A0C6F">
        <w:trPr>
          <w:trHeight w:val="70"/>
        </w:trPr>
        <w:tc>
          <w:tcPr>
            <w:tcW w:w="1835" w:type="pct"/>
          </w:tcPr>
          <w:p w14:paraId="6C4536A6" w14:textId="57F8EB91" w:rsidR="005341F6" w:rsidRPr="00360D49" w:rsidRDefault="005341F6" w:rsidP="00360D49">
            <w:pPr>
              <w:ind w:left="360"/>
              <w:rPr>
                <w:b/>
                <w:bCs/>
                <w:sz w:val="24"/>
                <w:szCs w:val="24"/>
              </w:rPr>
            </w:pPr>
            <w:bookmarkStart w:id="22" w:name="_Hlk194749988"/>
            <w:r w:rsidRPr="00360D49">
              <w:rPr>
                <w:b/>
                <w:bCs/>
                <w:sz w:val="24"/>
                <w:szCs w:val="24"/>
              </w:rPr>
              <w:t>Treatments</w:t>
            </w:r>
          </w:p>
        </w:tc>
        <w:tc>
          <w:tcPr>
            <w:tcW w:w="786" w:type="pct"/>
          </w:tcPr>
          <w:p w14:paraId="364E8195" w14:textId="278578CD" w:rsidR="005341F6" w:rsidRPr="00360D49" w:rsidRDefault="005341F6" w:rsidP="00360D49">
            <w:pPr>
              <w:ind w:left="360"/>
              <w:jc w:val="center"/>
              <w:rPr>
                <w:b/>
                <w:bCs/>
                <w:sz w:val="24"/>
                <w:szCs w:val="24"/>
              </w:rPr>
            </w:pPr>
            <w:proofErr w:type="spellStart"/>
            <w:r w:rsidRPr="00360D49">
              <w:rPr>
                <w:b/>
                <w:bCs/>
                <w:sz w:val="24"/>
                <w:szCs w:val="24"/>
              </w:rPr>
              <w:t>CMCase</w:t>
            </w:r>
            <w:proofErr w:type="spellEnd"/>
            <w:r w:rsidRPr="00360D49">
              <w:rPr>
                <w:b/>
                <w:bCs/>
                <w:sz w:val="24"/>
                <w:szCs w:val="24"/>
              </w:rPr>
              <w:t xml:space="preserve"> </w:t>
            </w: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c>
          <w:tcPr>
            <w:tcW w:w="968" w:type="pct"/>
          </w:tcPr>
          <w:p w14:paraId="7CCDF922" w14:textId="0963EE9B" w:rsidR="005341F6" w:rsidRPr="00360D49" w:rsidRDefault="005341F6" w:rsidP="00360D49">
            <w:pPr>
              <w:ind w:left="360"/>
              <w:jc w:val="center"/>
              <w:rPr>
                <w:b/>
                <w:bCs/>
                <w:sz w:val="24"/>
                <w:szCs w:val="24"/>
              </w:rPr>
            </w:pPr>
            <w:r w:rsidRPr="00360D49">
              <w:rPr>
                <w:b/>
                <w:bCs/>
                <w:sz w:val="24"/>
                <w:szCs w:val="24"/>
              </w:rPr>
              <w:t xml:space="preserve">β-glucosidase </w:t>
            </w:r>
            <w:r w:rsidRPr="00360D49">
              <w:rPr>
                <w:rFonts w:eastAsia="Times New Roman"/>
                <w:b/>
                <w:bCs/>
                <w:color w:val="000000"/>
                <w:kern w:val="0"/>
                <w:sz w:val="24"/>
                <w:szCs w:val="24"/>
                <w:lang w:val="en-US"/>
                <w14:ligatures w14:val="none"/>
              </w:rPr>
              <w:t>(IU ml</w:t>
            </w:r>
            <w:r w:rsidRPr="00360D49">
              <w:rPr>
                <w:rFonts w:eastAsia="Times New Roman"/>
                <w:b/>
                <w:bCs/>
                <w:color w:val="000000"/>
                <w:kern w:val="0"/>
                <w:sz w:val="24"/>
                <w:szCs w:val="24"/>
                <w:vertAlign w:val="superscript"/>
                <w:lang w:val="en-US"/>
                <w14:ligatures w14:val="none"/>
              </w:rPr>
              <w:t>-1</w:t>
            </w:r>
            <w:r w:rsidRPr="00360D49">
              <w:rPr>
                <w:rFonts w:eastAsia="Times New Roman"/>
                <w:b/>
                <w:bCs/>
                <w:color w:val="000000"/>
                <w:kern w:val="0"/>
                <w:sz w:val="24"/>
                <w:szCs w:val="24"/>
                <w:lang w:val="en-US"/>
                <w14:ligatures w14:val="none"/>
              </w:rPr>
              <w:t>)</w:t>
            </w:r>
          </w:p>
        </w:tc>
        <w:tc>
          <w:tcPr>
            <w:tcW w:w="687" w:type="pct"/>
          </w:tcPr>
          <w:p w14:paraId="04DB7C8D" w14:textId="026720A8" w:rsidR="005341F6" w:rsidRPr="00360D49" w:rsidRDefault="005341F6" w:rsidP="00360D49">
            <w:pPr>
              <w:ind w:left="360"/>
              <w:jc w:val="center"/>
              <w:rPr>
                <w:b/>
                <w:bCs/>
                <w:sz w:val="24"/>
                <w:szCs w:val="24"/>
              </w:rPr>
            </w:pPr>
            <w:proofErr w:type="spellStart"/>
            <w:r w:rsidRPr="00360D49">
              <w:rPr>
                <w:b/>
                <w:bCs/>
                <w:sz w:val="24"/>
                <w:szCs w:val="24"/>
              </w:rPr>
              <w:t>FPase</w:t>
            </w:r>
            <w:proofErr w:type="spellEnd"/>
            <w:r w:rsidRPr="00360D49">
              <w:rPr>
                <w:b/>
                <w:bCs/>
                <w:sz w:val="24"/>
                <w:szCs w:val="24"/>
              </w:rPr>
              <w:t xml:space="preserve"> </w:t>
            </w:r>
            <w:r w:rsidRPr="00360D49">
              <w:rPr>
                <w:b/>
                <w:bCs/>
                <w:color w:val="000000"/>
                <w:sz w:val="24"/>
                <w:szCs w:val="24"/>
              </w:rPr>
              <w:t>(IU ml</w:t>
            </w:r>
            <w:r w:rsidRPr="00360D49">
              <w:rPr>
                <w:b/>
                <w:bCs/>
                <w:color w:val="000000"/>
                <w:sz w:val="24"/>
                <w:szCs w:val="24"/>
                <w:vertAlign w:val="superscript"/>
              </w:rPr>
              <w:t>-1</w:t>
            </w:r>
            <w:r w:rsidRPr="00360D49">
              <w:rPr>
                <w:b/>
                <w:bCs/>
                <w:color w:val="000000"/>
                <w:sz w:val="24"/>
                <w:szCs w:val="24"/>
              </w:rPr>
              <w:t>)</w:t>
            </w:r>
          </w:p>
        </w:tc>
        <w:tc>
          <w:tcPr>
            <w:tcW w:w="724" w:type="pct"/>
          </w:tcPr>
          <w:p w14:paraId="7345CF9D" w14:textId="67887724" w:rsidR="005341F6" w:rsidRPr="00360D49" w:rsidRDefault="005341F6" w:rsidP="00360D49">
            <w:pPr>
              <w:ind w:left="360"/>
              <w:jc w:val="center"/>
              <w:rPr>
                <w:b/>
                <w:bCs/>
                <w:sz w:val="24"/>
                <w:szCs w:val="24"/>
              </w:rPr>
            </w:pPr>
            <w:r w:rsidRPr="00360D49">
              <w:rPr>
                <w:b/>
                <w:bCs/>
                <w:sz w:val="24"/>
                <w:szCs w:val="24"/>
              </w:rPr>
              <w:t>Laccase</w:t>
            </w:r>
            <w:r w:rsidR="006A0C6F" w:rsidRPr="00360D49">
              <w:rPr>
                <w:b/>
                <w:bCs/>
                <w:sz w:val="24"/>
                <w:szCs w:val="24"/>
              </w:rPr>
              <w:t xml:space="preserve"> </w:t>
            </w:r>
            <w:r w:rsidR="006A0C6F" w:rsidRPr="00360D49">
              <w:rPr>
                <w:rFonts w:eastAsia="Times New Roman"/>
                <w:b/>
                <w:bCs/>
                <w:color w:val="000000"/>
                <w:kern w:val="0"/>
                <w:sz w:val="24"/>
                <w:szCs w:val="24"/>
                <w:lang w:val="en-US"/>
                <w14:ligatures w14:val="none"/>
              </w:rPr>
              <w:t>(IU ml</w:t>
            </w:r>
            <w:r w:rsidR="006A0C6F" w:rsidRPr="00360D49">
              <w:rPr>
                <w:rFonts w:eastAsia="Times New Roman"/>
                <w:b/>
                <w:bCs/>
                <w:color w:val="000000"/>
                <w:kern w:val="0"/>
                <w:sz w:val="24"/>
                <w:szCs w:val="24"/>
                <w:vertAlign w:val="superscript"/>
                <w:lang w:val="en-US"/>
                <w14:ligatures w14:val="none"/>
              </w:rPr>
              <w:t>-1</w:t>
            </w:r>
            <w:r w:rsidR="006A0C6F" w:rsidRPr="00360D49">
              <w:rPr>
                <w:rFonts w:eastAsia="Times New Roman"/>
                <w:b/>
                <w:bCs/>
                <w:color w:val="000000"/>
                <w:kern w:val="0"/>
                <w:sz w:val="24"/>
                <w:szCs w:val="24"/>
                <w:lang w:val="en-US"/>
                <w14:ligatures w14:val="none"/>
              </w:rPr>
              <w:t>)</w:t>
            </w:r>
          </w:p>
        </w:tc>
      </w:tr>
      <w:tr w:rsidR="005341F6" w:rsidRPr="004E4C1B" w14:paraId="1A595C70" w14:textId="77777777" w:rsidTr="006A0C6F">
        <w:trPr>
          <w:trHeight w:val="256"/>
        </w:trPr>
        <w:tc>
          <w:tcPr>
            <w:tcW w:w="1835" w:type="pct"/>
          </w:tcPr>
          <w:p w14:paraId="5C6CD17E" w14:textId="1DDDCC1D" w:rsidR="005341F6" w:rsidRPr="00360D49" w:rsidRDefault="005341F6" w:rsidP="00360D49">
            <w:pPr>
              <w:ind w:left="360"/>
              <w:rPr>
                <w:i/>
                <w:sz w:val="24"/>
                <w:szCs w:val="24"/>
              </w:rPr>
            </w:pPr>
            <w:r w:rsidRPr="00360D49">
              <w:rPr>
                <w:i/>
                <w:sz w:val="24"/>
                <w:szCs w:val="24"/>
              </w:rPr>
              <w:t>P.</w:t>
            </w:r>
            <w:r w:rsidRPr="00360D49">
              <w:rPr>
                <w:i/>
                <w:spacing w:val="-1"/>
                <w:sz w:val="24"/>
                <w:szCs w:val="24"/>
              </w:rPr>
              <w:t xml:space="preserve"> </w:t>
            </w:r>
            <w:proofErr w:type="spellStart"/>
            <w:r w:rsidRPr="00360D49">
              <w:rPr>
                <w:i/>
                <w:sz w:val="24"/>
                <w:szCs w:val="24"/>
              </w:rPr>
              <w:t>chrysogenum</w:t>
            </w:r>
            <w:proofErr w:type="spellEnd"/>
            <w:r w:rsidRPr="00360D49">
              <w:rPr>
                <w:i/>
                <w:sz w:val="24"/>
                <w:szCs w:val="24"/>
              </w:rPr>
              <w:t xml:space="preserve"> </w:t>
            </w:r>
            <w:r w:rsidRPr="00360D49">
              <w:rPr>
                <w:iCs/>
                <w:sz w:val="24"/>
                <w:szCs w:val="24"/>
              </w:rPr>
              <w:t>CICR3</w:t>
            </w:r>
          </w:p>
        </w:tc>
        <w:tc>
          <w:tcPr>
            <w:tcW w:w="786" w:type="pct"/>
          </w:tcPr>
          <w:p w14:paraId="55ADC89B"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21.58±0.63</w:t>
            </w:r>
            <w:r w:rsidRPr="00360D49">
              <w:rPr>
                <w:color w:val="000000"/>
                <w:sz w:val="24"/>
                <w:szCs w:val="24"/>
                <w:vertAlign w:val="superscript"/>
              </w:rPr>
              <w:t>b</w:t>
            </w:r>
          </w:p>
        </w:tc>
        <w:tc>
          <w:tcPr>
            <w:tcW w:w="968" w:type="pct"/>
          </w:tcPr>
          <w:p w14:paraId="06F5C97D"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16.70±0.70</w:t>
            </w:r>
            <w:r w:rsidRPr="00360D49">
              <w:rPr>
                <w:color w:val="000000"/>
                <w:sz w:val="24"/>
                <w:szCs w:val="24"/>
                <w:vertAlign w:val="superscript"/>
              </w:rPr>
              <w:t>c</w:t>
            </w:r>
          </w:p>
        </w:tc>
        <w:tc>
          <w:tcPr>
            <w:tcW w:w="687" w:type="pct"/>
          </w:tcPr>
          <w:p w14:paraId="1E3F7875"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16.10±0.42</w:t>
            </w:r>
            <w:r w:rsidRPr="00360D49">
              <w:rPr>
                <w:color w:val="000000"/>
                <w:sz w:val="24"/>
                <w:szCs w:val="24"/>
                <w:vertAlign w:val="superscript"/>
              </w:rPr>
              <w:t>b</w:t>
            </w:r>
          </w:p>
        </w:tc>
        <w:tc>
          <w:tcPr>
            <w:tcW w:w="724" w:type="pct"/>
          </w:tcPr>
          <w:p w14:paraId="03FCF540" w14:textId="77777777" w:rsidR="005341F6" w:rsidRPr="00360D49" w:rsidRDefault="005341F6" w:rsidP="00360D49">
            <w:pPr>
              <w:ind w:left="360"/>
              <w:rPr>
                <w:sz w:val="24"/>
                <w:szCs w:val="24"/>
                <w:vertAlign w:val="superscript"/>
              </w:rPr>
            </w:pPr>
            <w:r w:rsidRPr="00360D49">
              <w:rPr>
                <w:sz w:val="24"/>
                <w:szCs w:val="24"/>
              </w:rPr>
              <w:t>111.73</w:t>
            </w:r>
            <w:r w:rsidRPr="00360D49">
              <w:rPr>
                <w:color w:val="000000"/>
                <w:sz w:val="24"/>
                <w:szCs w:val="24"/>
              </w:rPr>
              <w:t>±0.79</w:t>
            </w:r>
            <w:r w:rsidRPr="00360D49">
              <w:rPr>
                <w:color w:val="000000"/>
                <w:sz w:val="24"/>
                <w:szCs w:val="24"/>
                <w:vertAlign w:val="superscript"/>
              </w:rPr>
              <w:t>a</w:t>
            </w:r>
          </w:p>
        </w:tc>
      </w:tr>
      <w:tr w:rsidR="005341F6" w:rsidRPr="004E4C1B" w14:paraId="12C7EFDB" w14:textId="77777777" w:rsidTr="006A0C6F">
        <w:trPr>
          <w:trHeight w:val="256"/>
        </w:trPr>
        <w:tc>
          <w:tcPr>
            <w:tcW w:w="1835" w:type="pct"/>
          </w:tcPr>
          <w:p w14:paraId="713BF366" w14:textId="60EC436F" w:rsidR="005341F6" w:rsidRPr="00360D49" w:rsidRDefault="005341F6" w:rsidP="00360D49">
            <w:pPr>
              <w:ind w:left="360"/>
              <w:rPr>
                <w:i/>
                <w:sz w:val="24"/>
                <w:szCs w:val="24"/>
              </w:rPr>
            </w:pPr>
            <w:r w:rsidRPr="00360D49">
              <w:rPr>
                <w:i/>
                <w:sz w:val="24"/>
                <w:szCs w:val="24"/>
              </w:rPr>
              <w:t>T.</w:t>
            </w:r>
            <w:r w:rsidRPr="00360D49">
              <w:rPr>
                <w:i/>
                <w:spacing w:val="-1"/>
                <w:sz w:val="24"/>
                <w:szCs w:val="24"/>
              </w:rPr>
              <w:t xml:space="preserve"> </w:t>
            </w:r>
            <w:proofErr w:type="spellStart"/>
            <w:r w:rsidRPr="00360D49">
              <w:rPr>
                <w:i/>
                <w:sz w:val="24"/>
                <w:szCs w:val="24"/>
              </w:rPr>
              <w:t>asperellum</w:t>
            </w:r>
            <w:proofErr w:type="spellEnd"/>
            <w:r w:rsidRPr="00360D49">
              <w:rPr>
                <w:i/>
                <w:sz w:val="24"/>
                <w:szCs w:val="24"/>
              </w:rPr>
              <w:t xml:space="preserve"> </w:t>
            </w:r>
            <w:r w:rsidRPr="00360D49">
              <w:rPr>
                <w:iCs/>
                <w:sz w:val="24"/>
                <w:szCs w:val="24"/>
              </w:rPr>
              <w:t>CICR1</w:t>
            </w:r>
          </w:p>
        </w:tc>
        <w:tc>
          <w:tcPr>
            <w:tcW w:w="786" w:type="pct"/>
          </w:tcPr>
          <w:p w14:paraId="23F59188"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15.10±0.40</w:t>
            </w:r>
            <w:r w:rsidRPr="00360D49">
              <w:rPr>
                <w:color w:val="000000"/>
                <w:sz w:val="24"/>
                <w:szCs w:val="24"/>
                <w:vertAlign w:val="superscript"/>
              </w:rPr>
              <w:t>c</w:t>
            </w:r>
          </w:p>
        </w:tc>
        <w:tc>
          <w:tcPr>
            <w:tcW w:w="968" w:type="pct"/>
          </w:tcPr>
          <w:p w14:paraId="1EDCE374"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16.80±0.53</w:t>
            </w:r>
            <w:r w:rsidRPr="00360D49">
              <w:rPr>
                <w:color w:val="000000"/>
                <w:sz w:val="24"/>
                <w:szCs w:val="24"/>
                <w:vertAlign w:val="superscript"/>
              </w:rPr>
              <w:t>b</w:t>
            </w:r>
          </w:p>
        </w:tc>
        <w:tc>
          <w:tcPr>
            <w:tcW w:w="687" w:type="pct"/>
          </w:tcPr>
          <w:p w14:paraId="1B0E92D7"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11.90±0.95</w:t>
            </w:r>
            <w:r w:rsidRPr="00360D49">
              <w:rPr>
                <w:color w:val="000000"/>
                <w:sz w:val="24"/>
                <w:szCs w:val="24"/>
                <w:vertAlign w:val="superscript"/>
              </w:rPr>
              <w:t>c</w:t>
            </w:r>
          </w:p>
        </w:tc>
        <w:tc>
          <w:tcPr>
            <w:tcW w:w="724" w:type="pct"/>
          </w:tcPr>
          <w:p w14:paraId="1923F057" w14:textId="77777777" w:rsidR="005341F6" w:rsidRPr="00360D49" w:rsidRDefault="005341F6" w:rsidP="00360D49">
            <w:pPr>
              <w:ind w:left="360"/>
              <w:rPr>
                <w:sz w:val="24"/>
                <w:szCs w:val="24"/>
                <w:vertAlign w:val="superscript"/>
              </w:rPr>
            </w:pPr>
            <w:r w:rsidRPr="00360D49">
              <w:rPr>
                <w:sz w:val="24"/>
                <w:szCs w:val="24"/>
              </w:rPr>
              <w:t>92.59</w:t>
            </w:r>
            <w:r w:rsidRPr="00360D49">
              <w:rPr>
                <w:color w:val="000000"/>
                <w:sz w:val="24"/>
                <w:szCs w:val="24"/>
              </w:rPr>
              <w:t>±1.54</w:t>
            </w:r>
            <w:r w:rsidRPr="00360D49">
              <w:rPr>
                <w:color w:val="000000"/>
                <w:sz w:val="24"/>
                <w:szCs w:val="24"/>
                <w:vertAlign w:val="superscript"/>
              </w:rPr>
              <w:t>c</w:t>
            </w:r>
          </w:p>
        </w:tc>
      </w:tr>
      <w:tr w:rsidR="005341F6" w:rsidRPr="004E4C1B" w14:paraId="574427A8" w14:textId="77777777" w:rsidTr="006A0C6F">
        <w:trPr>
          <w:trHeight w:val="70"/>
        </w:trPr>
        <w:tc>
          <w:tcPr>
            <w:tcW w:w="1835" w:type="pct"/>
          </w:tcPr>
          <w:p w14:paraId="6AAE8150" w14:textId="1D445764" w:rsidR="005341F6" w:rsidRPr="00360D49" w:rsidRDefault="005341F6" w:rsidP="00360D49">
            <w:pPr>
              <w:ind w:left="360"/>
              <w:rPr>
                <w:i/>
                <w:sz w:val="24"/>
                <w:szCs w:val="24"/>
              </w:rPr>
            </w:pPr>
            <w:r w:rsidRPr="00360D49">
              <w:rPr>
                <w:i/>
                <w:sz w:val="24"/>
                <w:szCs w:val="24"/>
              </w:rPr>
              <w:t>P.</w:t>
            </w:r>
            <w:r w:rsidRPr="00360D49">
              <w:rPr>
                <w:i/>
                <w:spacing w:val="-1"/>
                <w:sz w:val="24"/>
                <w:szCs w:val="24"/>
              </w:rPr>
              <w:t xml:space="preserve"> </w:t>
            </w:r>
            <w:proofErr w:type="spellStart"/>
            <w:r w:rsidRPr="00360D49">
              <w:rPr>
                <w:i/>
                <w:sz w:val="24"/>
                <w:szCs w:val="24"/>
              </w:rPr>
              <w:t>chrysogenum</w:t>
            </w:r>
            <w:proofErr w:type="spellEnd"/>
            <w:r w:rsidRPr="00360D49">
              <w:rPr>
                <w:i/>
                <w:sz w:val="24"/>
                <w:szCs w:val="24"/>
              </w:rPr>
              <w:t xml:space="preserve"> </w:t>
            </w:r>
            <w:r w:rsidRPr="00360D49">
              <w:rPr>
                <w:iCs/>
                <w:sz w:val="24"/>
                <w:szCs w:val="24"/>
              </w:rPr>
              <w:t>CICR3</w:t>
            </w:r>
            <w:r w:rsidRPr="00360D49">
              <w:rPr>
                <w:i/>
                <w:sz w:val="24"/>
                <w:szCs w:val="24"/>
              </w:rPr>
              <w:t xml:space="preserve"> + T.</w:t>
            </w:r>
            <w:r w:rsidRPr="00360D49">
              <w:rPr>
                <w:i/>
                <w:spacing w:val="-1"/>
                <w:sz w:val="24"/>
                <w:szCs w:val="24"/>
              </w:rPr>
              <w:t xml:space="preserve"> </w:t>
            </w:r>
            <w:proofErr w:type="spellStart"/>
            <w:r w:rsidRPr="00360D49">
              <w:rPr>
                <w:i/>
                <w:sz w:val="24"/>
                <w:szCs w:val="24"/>
              </w:rPr>
              <w:t>asperellum</w:t>
            </w:r>
            <w:proofErr w:type="spellEnd"/>
            <w:r w:rsidRPr="00360D49">
              <w:rPr>
                <w:i/>
                <w:sz w:val="24"/>
                <w:szCs w:val="24"/>
              </w:rPr>
              <w:t xml:space="preserve"> </w:t>
            </w:r>
            <w:r w:rsidRPr="00360D49">
              <w:rPr>
                <w:iCs/>
                <w:sz w:val="24"/>
                <w:szCs w:val="24"/>
              </w:rPr>
              <w:t>CICR1</w:t>
            </w:r>
          </w:p>
        </w:tc>
        <w:tc>
          <w:tcPr>
            <w:tcW w:w="786" w:type="pct"/>
          </w:tcPr>
          <w:p w14:paraId="43A3DC83"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28.48±1.43</w:t>
            </w:r>
            <w:r w:rsidRPr="00360D49">
              <w:rPr>
                <w:color w:val="000000"/>
                <w:sz w:val="24"/>
                <w:szCs w:val="24"/>
                <w:vertAlign w:val="superscript"/>
              </w:rPr>
              <w:t>a</w:t>
            </w:r>
          </w:p>
        </w:tc>
        <w:tc>
          <w:tcPr>
            <w:tcW w:w="968" w:type="pct"/>
          </w:tcPr>
          <w:p w14:paraId="004F7080"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21.70±0.43</w:t>
            </w:r>
            <w:r w:rsidRPr="00360D49">
              <w:rPr>
                <w:color w:val="000000"/>
                <w:sz w:val="24"/>
                <w:szCs w:val="24"/>
                <w:vertAlign w:val="superscript"/>
              </w:rPr>
              <w:t>a</w:t>
            </w:r>
          </w:p>
        </w:tc>
        <w:tc>
          <w:tcPr>
            <w:tcW w:w="687" w:type="pct"/>
          </w:tcPr>
          <w:p w14:paraId="029B88FD"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24.40±1.40</w:t>
            </w:r>
            <w:r w:rsidRPr="00360D49">
              <w:rPr>
                <w:color w:val="000000"/>
                <w:sz w:val="24"/>
                <w:szCs w:val="24"/>
                <w:vertAlign w:val="superscript"/>
              </w:rPr>
              <w:t>a</w:t>
            </w:r>
          </w:p>
        </w:tc>
        <w:tc>
          <w:tcPr>
            <w:tcW w:w="724" w:type="pct"/>
          </w:tcPr>
          <w:p w14:paraId="23E30504" w14:textId="77777777" w:rsidR="005341F6" w:rsidRPr="00360D49" w:rsidRDefault="005341F6" w:rsidP="00360D49">
            <w:pPr>
              <w:ind w:left="360"/>
              <w:rPr>
                <w:sz w:val="24"/>
                <w:szCs w:val="24"/>
                <w:vertAlign w:val="superscript"/>
              </w:rPr>
            </w:pPr>
            <w:r w:rsidRPr="00360D49">
              <w:rPr>
                <w:sz w:val="24"/>
                <w:szCs w:val="24"/>
              </w:rPr>
              <w:t>95.68</w:t>
            </w:r>
            <w:r w:rsidRPr="00360D49">
              <w:rPr>
                <w:color w:val="000000"/>
                <w:sz w:val="24"/>
                <w:szCs w:val="24"/>
              </w:rPr>
              <w:t>±1.19</w:t>
            </w:r>
            <w:r w:rsidRPr="00360D49">
              <w:rPr>
                <w:color w:val="000000"/>
                <w:sz w:val="24"/>
                <w:szCs w:val="24"/>
                <w:vertAlign w:val="superscript"/>
              </w:rPr>
              <w:t>b</w:t>
            </w:r>
          </w:p>
        </w:tc>
      </w:tr>
      <w:tr w:rsidR="005341F6" w:rsidRPr="004E4C1B" w14:paraId="494B116E" w14:textId="77777777" w:rsidTr="006A0C6F">
        <w:trPr>
          <w:trHeight w:val="268"/>
        </w:trPr>
        <w:tc>
          <w:tcPr>
            <w:tcW w:w="1835" w:type="pct"/>
          </w:tcPr>
          <w:p w14:paraId="6CB24157" w14:textId="77777777" w:rsidR="005341F6" w:rsidRPr="00360D49" w:rsidRDefault="005341F6" w:rsidP="00360D49">
            <w:pPr>
              <w:ind w:left="360"/>
              <w:rPr>
                <w:iCs/>
                <w:sz w:val="24"/>
                <w:szCs w:val="24"/>
              </w:rPr>
            </w:pPr>
            <w:r w:rsidRPr="00360D49">
              <w:rPr>
                <w:iCs/>
                <w:sz w:val="24"/>
                <w:szCs w:val="24"/>
              </w:rPr>
              <w:t>Control</w:t>
            </w:r>
          </w:p>
        </w:tc>
        <w:tc>
          <w:tcPr>
            <w:tcW w:w="786" w:type="pct"/>
          </w:tcPr>
          <w:p w14:paraId="0D819EF2"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0.27±0.03</w:t>
            </w:r>
            <w:r w:rsidRPr="00360D49">
              <w:rPr>
                <w:color w:val="000000"/>
                <w:sz w:val="24"/>
                <w:szCs w:val="24"/>
                <w:vertAlign w:val="superscript"/>
              </w:rPr>
              <w:t>d</w:t>
            </w:r>
          </w:p>
        </w:tc>
        <w:tc>
          <w:tcPr>
            <w:tcW w:w="968" w:type="pct"/>
          </w:tcPr>
          <w:p w14:paraId="40BB529A"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7.30±0.16</w:t>
            </w:r>
            <w:r w:rsidRPr="00360D49">
              <w:rPr>
                <w:color w:val="000000"/>
                <w:sz w:val="24"/>
                <w:szCs w:val="24"/>
                <w:vertAlign w:val="superscript"/>
              </w:rPr>
              <w:t>d</w:t>
            </w:r>
          </w:p>
        </w:tc>
        <w:tc>
          <w:tcPr>
            <w:tcW w:w="687" w:type="pct"/>
          </w:tcPr>
          <w:p w14:paraId="6D5CA99F" w14:textId="77777777" w:rsidR="005341F6" w:rsidRPr="00360D49" w:rsidRDefault="005341F6" w:rsidP="00360D49">
            <w:pPr>
              <w:ind w:left="360"/>
              <w:jc w:val="center"/>
              <w:rPr>
                <w:color w:val="000000"/>
                <w:sz w:val="24"/>
                <w:szCs w:val="24"/>
                <w:vertAlign w:val="superscript"/>
              </w:rPr>
            </w:pPr>
            <w:r w:rsidRPr="00360D49">
              <w:rPr>
                <w:color w:val="000000"/>
                <w:sz w:val="24"/>
                <w:szCs w:val="24"/>
              </w:rPr>
              <w:t>3.90±0.24</w:t>
            </w:r>
            <w:r w:rsidRPr="00360D49">
              <w:rPr>
                <w:color w:val="000000"/>
                <w:sz w:val="24"/>
                <w:szCs w:val="24"/>
                <w:vertAlign w:val="superscript"/>
              </w:rPr>
              <w:t>d</w:t>
            </w:r>
          </w:p>
        </w:tc>
        <w:tc>
          <w:tcPr>
            <w:tcW w:w="724" w:type="pct"/>
          </w:tcPr>
          <w:p w14:paraId="16E42423" w14:textId="77777777" w:rsidR="005341F6" w:rsidRPr="00360D49" w:rsidRDefault="005341F6" w:rsidP="00360D49">
            <w:pPr>
              <w:ind w:left="360"/>
              <w:rPr>
                <w:sz w:val="24"/>
                <w:szCs w:val="24"/>
                <w:vertAlign w:val="superscript"/>
              </w:rPr>
            </w:pPr>
            <w:r w:rsidRPr="00360D49">
              <w:rPr>
                <w:sz w:val="24"/>
                <w:szCs w:val="24"/>
              </w:rPr>
              <w:t>6.17</w:t>
            </w:r>
            <w:r w:rsidRPr="00360D49">
              <w:rPr>
                <w:color w:val="000000"/>
                <w:sz w:val="24"/>
                <w:szCs w:val="24"/>
              </w:rPr>
              <w:t>±0.27</w:t>
            </w:r>
            <w:r w:rsidRPr="00360D49">
              <w:rPr>
                <w:color w:val="000000"/>
                <w:sz w:val="24"/>
                <w:szCs w:val="24"/>
                <w:vertAlign w:val="superscript"/>
              </w:rPr>
              <w:t>d</w:t>
            </w:r>
          </w:p>
        </w:tc>
      </w:tr>
      <w:tr w:rsidR="005341F6" w:rsidRPr="004E4C1B" w14:paraId="0758DE22" w14:textId="77777777" w:rsidTr="006A0C6F">
        <w:trPr>
          <w:trHeight w:val="268"/>
        </w:trPr>
        <w:tc>
          <w:tcPr>
            <w:tcW w:w="1835" w:type="pct"/>
          </w:tcPr>
          <w:p w14:paraId="5FE88412" w14:textId="479E8165" w:rsidR="005341F6" w:rsidRPr="00360D49" w:rsidRDefault="005341F6" w:rsidP="00360D49">
            <w:pPr>
              <w:ind w:left="360"/>
              <w:rPr>
                <w:iCs/>
                <w:sz w:val="24"/>
                <w:szCs w:val="24"/>
              </w:rPr>
            </w:pPr>
            <w:r w:rsidRPr="00360D49">
              <w:rPr>
                <w:iCs/>
                <w:color w:val="000000"/>
                <w:sz w:val="24"/>
                <w:szCs w:val="24"/>
              </w:rPr>
              <w:t>LSD</w:t>
            </w:r>
            <w:r w:rsidRPr="00360D49">
              <w:rPr>
                <w:iCs/>
                <w:color w:val="000000"/>
                <w:sz w:val="24"/>
                <w:szCs w:val="24"/>
                <w:vertAlign w:val="subscript"/>
              </w:rPr>
              <w:t>0.05</w:t>
            </w:r>
          </w:p>
        </w:tc>
        <w:tc>
          <w:tcPr>
            <w:tcW w:w="786" w:type="pct"/>
          </w:tcPr>
          <w:p w14:paraId="761FA1F1" w14:textId="77777777" w:rsidR="005341F6" w:rsidRPr="00360D49" w:rsidRDefault="005341F6" w:rsidP="00360D49">
            <w:pPr>
              <w:ind w:left="360"/>
              <w:jc w:val="center"/>
              <w:rPr>
                <w:color w:val="000000"/>
                <w:sz w:val="24"/>
                <w:szCs w:val="24"/>
              </w:rPr>
            </w:pPr>
            <w:r w:rsidRPr="00360D49">
              <w:rPr>
                <w:color w:val="000000"/>
                <w:sz w:val="24"/>
                <w:szCs w:val="24"/>
              </w:rPr>
              <w:t>1.08</w:t>
            </w:r>
          </w:p>
        </w:tc>
        <w:tc>
          <w:tcPr>
            <w:tcW w:w="968" w:type="pct"/>
          </w:tcPr>
          <w:p w14:paraId="3694A0F9" w14:textId="77777777" w:rsidR="005341F6" w:rsidRPr="00360D49" w:rsidRDefault="005341F6" w:rsidP="00360D49">
            <w:pPr>
              <w:ind w:left="360"/>
              <w:jc w:val="center"/>
              <w:rPr>
                <w:color w:val="000000"/>
                <w:sz w:val="24"/>
                <w:szCs w:val="24"/>
              </w:rPr>
            </w:pPr>
            <w:r w:rsidRPr="00360D49">
              <w:rPr>
                <w:color w:val="000000"/>
                <w:sz w:val="24"/>
                <w:szCs w:val="24"/>
              </w:rPr>
              <w:t>0.66</w:t>
            </w:r>
          </w:p>
        </w:tc>
        <w:tc>
          <w:tcPr>
            <w:tcW w:w="687" w:type="pct"/>
          </w:tcPr>
          <w:p w14:paraId="7EF04533" w14:textId="77777777" w:rsidR="005341F6" w:rsidRPr="00360D49" w:rsidRDefault="005341F6" w:rsidP="00360D49">
            <w:pPr>
              <w:ind w:left="360"/>
              <w:jc w:val="center"/>
              <w:rPr>
                <w:color w:val="000000"/>
                <w:sz w:val="24"/>
                <w:szCs w:val="24"/>
              </w:rPr>
            </w:pPr>
            <w:r w:rsidRPr="00360D49">
              <w:rPr>
                <w:color w:val="000000"/>
                <w:sz w:val="24"/>
                <w:szCs w:val="24"/>
              </w:rPr>
              <w:t>1.17</w:t>
            </w:r>
          </w:p>
        </w:tc>
        <w:tc>
          <w:tcPr>
            <w:tcW w:w="724" w:type="pct"/>
          </w:tcPr>
          <w:p w14:paraId="629BA013" w14:textId="77777777" w:rsidR="005341F6" w:rsidRPr="00360D49" w:rsidRDefault="005341F6" w:rsidP="00360D49">
            <w:pPr>
              <w:ind w:left="360"/>
              <w:rPr>
                <w:sz w:val="24"/>
                <w:szCs w:val="24"/>
              </w:rPr>
            </w:pPr>
            <w:r w:rsidRPr="00360D49">
              <w:rPr>
                <w:sz w:val="24"/>
                <w:szCs w:val="24"/>
              </w:rPr>
              <w:t>1.42</w:t>
            </w:r>
          </w:p>
        </w:tc>
      </w:tr>
    </w:tbl>
    <w:bookmarkEnd w:id="22"/>
    <w:p w14:paraId="51E11576" w14:textId="77777777" w:rsidR="00F952AA" w:rsidRPr="00360D49" w:rsidRDefault="00F952AA" w:rsidP="00360D49">
      <w:pPr>
        <w:ind w:left="360"/>
        <w:jc w:val="both"/>
        <w:rPr>
          <w:i/>
          <w:iCs/>
          <w:sz w:val="24"/>
          <w:szCs w:val="24"/>
        </w:rPr>
      </w:pPr>
      <w:r w:rsidRPr="00360D49">
        <w:rPr>
          <w:i/>
          <w:iCs/>
          <w:sz w:val="24"/>
          <w:szCs w:val="24"/>
        </w:rPr>
        <w:t>All the values are mean of 4 replications. Means followed by a common letter in a column are not significantly different according to the Tukey's honestly significance difference (HSD) test (p&lt;0.05).</w:t>
      </w:r>
    </w:p>
    <w:p w14:paraId="056A162B" w14:textId="3FFCD319" w:rsidR="00F952AA" w:rsidRPr="004E4C1B" w:rsidRDefault="00F952AA" w:rsidP="00360D49">
      <w:pPr>
        <w:spacing w:after="0" w:line="240" w:lineRule="auto"/>
        <w:jc w:val="both"/>
        <w:rPr>
          <w:rFonts w:ascii="Times New Roman" w:hAnsi="Times New Roman" w:cs="Times New Roman"/>
          <w:sz w:val="24"/>
          <w:szCs w:val="24"/>
        </w:rPr>
      </w:pPr>
    </w:p>
    <w:p w14:paraId="613B3D12" w14:textId="38A2D752" w:rsidR="004A63AE" w:rsidRPr="004E4C1B" w:rsidRDefault="004A63AE" w:rsidP="00360D49">
      <w:pPr>
        <w:spacing w:after="0" w:line="240" w:lineRule="auto"/>
        <w:jc w:val="both"/>
        <w:rPr>
          <w:rFonts w:ascii="Times New Roman" w:hAnsi="Times New Roman" w:cs="Times New Roman"/>
          <w:sz w:val="24"/>
          <w:szCs w:val="24"/>
        </w:rPr>
      </w:pPr>
    </w:p>
    <w:p w14:paraId="5A2B4153" w14:textId="4875F381" w:rsidR="004A63AE" w:rsidRPr="004E4C1B" w:rsidRDefault="004A63AE" w:rsidP="00360D49">
      <w:pPr>
        <w:spacing w:after="0" w:line="240" w:lineRule="auto"/>
        <w:jc w:val="both"/>
        <w:rPr>
          <w:rFonts w:ascii="Times New Roman" w:hAnsi="Times New Roman" w:cs="Times New Roman"/>
          <w:sz w:val="24"/>
          <w:szCs w:val="24"/>
        </w:rPr>
      </w:pPr>
    </w:p>
    <w:p w14:paraId="700B7A58" w14:textId="0361840C" w:rsidR="004A63AE" w:rsidRPr="004E4C1B" w:rsidRDefault="004A63AE" w:rsidP="00360D49">
      <w:pPr>
        <w:spacing w:after="0" w:line="240" w:lineRule="auto"/>
        <w:jc w:val="both"/>
        <w:rPr>
          <w:rFonts w:ascii="Times New Roman" w:hAnsi="Times New Roman" w:cs="Times New Roman"/>
          <w:sz w:val="24"/>
          <w:szCs w:val="24"/>
        </w:rPr>
      </w:pPr>
    </w:p>
    <w:p w14:paraId="74B83E88" w14:textId="77777777" w:rsidR="00CD2B09" w:rsidRPr="004E4C1B" w:rsidRDefault="00CD2B09" w:rsidP="00360D49">
      <w:pPr>
        <w:spacing w:after="0" w:line="240" w:lineRule="auto"/>
        <w:jc w:val="both"/>
        <w:rPr>
          <w:rFonts w:ascii="Times New Roman" w:hAnsi="Times New Roman" w:cs="Times New Roman"/>
          <w:sz w:val="24"/>
          <w:szCs w:val="24"/>
        </w:rPr>
      </w:pPr>
    </w:p>
    <w:p w14:paraId="5735DC20" w14:textId="77777777" w:rsidR="00CD2B09" w:rsidRPr="004E4C1B" w:rsidRDefault="00CD2B09" w:rsidP="00360D49">
      <w:pPr>
        <w:spacing w:after="0" w:line="240" w:lineRule="auto"/>
        <w:jc w:val="both"/>
        <w:rPr>
          <w:rFonts w:ascii="Times New Roman" w:hAnsi="Times New Roman" w:cs="Times New Roman"/>
          <w:sz w:val="24"/>
          <w:szCs w:val="24"/>
        </w:rPr>
      </w:pPr>
    </w:p>
    <w:p w14:paraId="70482D90" w14:textId="77777777" w:rsidR="00CD2B09" w:rsidRPr="004E4C1B" w:rsidRDefault="00CD2B09" w:rsidP="00360D49">
      <w:pPr>
        <w:spacing w:after="0" w:line="240" w:lineRule="auto"/>
        <w:jc w:val="both"/>
        <w:rPr>
          <w:rFonts w:ascii="Times New Roman" w:hAnsi="Times New Roman" w:cs="Times New Roman"/>
          <w:sz w:val="24"/>
          <w:szCs w:val="24"/>
        </w:rPr>
      </w:pPr>
    </w:p>
    <w:p w14:paraId="4F13806C" w14:textId="36636AA0" w:rsidR="004322E5" w:rsidRPr="00360D49" w:rsidRDefault="004322E5" w:rsidP="00360D49">
      <w:pPr>
        <w:ind w:left="360"/>
        <w:rPr>
          <w:sz w:val="24"/>
          <w:szCs w:val="24"/>
        </w:rPr>
      </w:pPr>
      <w:r w:rsidRPr="00360D49">
        <w:rPr>
          <w:sz w:val="24"/>
          <w:szCs w:val="24"/>
        </w:rPr>
        <w:br w:type="page"/>
      </w:r>
    </w:p>
    <w:p w14:paraId="2AF392E9" w14:textId="2597C178" w:rsidR="004A63AE" w:rsidRPr="004E4C1B" w:rsidRDefault="004A63AE" w:rsidP="00360D49">
      <w:pPr>
        <w:spacing w:after="0" w:line="240" w:lineRule="auto"/>
        <w:jc w:val="both"/>
        <w:rPr>
          <w:rFonts w:ascii="Times New Roman" w:hAnsi="Times New Roman" w:cs="Times New Roman"/>
          <w:sz w:val="24"/>
          <w:szCs w:val="24"/>
        </w:rPr>
      </w:pPr>
      <w:r w:rsidRPr="004E4C1B">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14:anchorId="49E5CEC4" wp14:editId="103A1B8F">
                <wp:simplePos x="0" y="0"/>
                <wp:positionH relativeFrom="column">
                  <wp:posOffset>0</wp:posOffset>
                </wp:positionH>
                <wp:positionV relativeFrom="paragraph">
                  <wp:posOffset>0</wp:posOffset>
                </wp:positionV>
                <wp:extent cx="8365067" cy="1077218"/>
                <wp:effectExtent l="0" t="0" r="0" b="0"/>
                <wp:wrapNone/>
                <wp:docPr id="4" name="TextBox 3">
                  <a:extLst xmlns:a="http://schemas.openxmlformats.org/drawingml/2006/main">
                    <a:ext uri="{FF2B5EF4-FFF2-40B4-BE49-F238E27FC236}">
                      <a16:creationId xmlns:a16="http://schemas.microsoft.com/office/drawing/2014/main" id="{CF0A5D6A-325A-408E-A1A4-8FB92640F930}"/>
                    </a:ext>
                  </a:extLst>
                </wp:docPr>
                <wp:cNvGraphicFramePr/>
                <a:graphic xmlns:a="http://schemas.openxmlformats.org/drawingml/2006/main">
                  <a:graphicData uri="http://schemas.microsoft.com/office/word/2010/wordprocessingShape">
                    <wps:wsp>
                      <wps:cNvSpPr txBox="1"/>
                      <wps:spPr>
                        <a:xfrm>
                          <a:off x="0" y="0"/>
                          <a:ext cx="8365067" cy="1077218"/>
                        </a:xfrm>
                        <a:prstGeom prst="rect">
                          <a:avLst/>
                        </a:prstGeom>
                        <a:noFill/>
                      </wps:spPr>
                      <wps:txbx>
                        <w:txbxContent>
                          <w:p w14:paraId="5F46437B" w14:textId="1E1C31B0" w:rsidR="004A63AE" w:rsidRPr="00A17E83" w:rsidRDefault="004A63AE" w:rsidP="004A63AE">
                            <w:pPr>
                              <w:jc w:val="both"/>
                              <w:rPr>
                                <w:rFonts w:ascii="Times New Roman" w:eastAsia="Calibri" w:hAnsi="Times New Roman" w:cs="Times New Roman"/>
                                <w:b/>
                                <w:bCs/>
                                <w:color w:val="000000" w:themeColor="text1"/>
                                <w:kern w:val="24"/>
                                <w:sz w:val="24"/>
                                <w:szCs w:val="24"/>
                              </w:rPr>
                            </w:pPr>
                            <w:r w:rsidRPr="00A17E83">
                              <w:rPr>
                                <w:rFonts w:ascii="Times New Roman" w:eastAsia="Calibri" w:hAnsi="Times New Roman" w:cs="Times New Roman"/>
                                <w:b/>
                                <w:bCs/>
                                <w:color w:val="000000" w:themeColor="text1"/>
                                <w:kern w:val="24"/>
                                <w:sz w:val="24"/>
                                <w:szCs w:val="24"/>
                              </w:rPr>
                              <w:t xml:space="preserve">Fig. </w:t>
                            </w:r>
                            <w:r w:rsidR="00C54ACF">
                              <w:rPr>
                                <w:rFonts w:ascii="Times New Roman" w:eastAsia="Calibri" w:hAnsi="Times New Roman" w:cs="Times New Roman"/>
                                <w:b/>
                                <w:bCs/>
                                <w:color w:val="000000" w:themeColor="text1"/>
                                <w:kern w:val="24"/>
                                <w:sz w:val="24"/>
                                <w:szCs w:val="24"/>
                              </w:rPr>
                              <w:t>1</w:t>
                            </w:r>
                            <w:r w:rsidRPr="00A17E83">
                              <w:rPr>
                                <w:rFonts w:ascii="Times New Roman" w:eastAsia="Calibri" w:hAnsi="Times New Roman" w:cs="Times New Roman"/>
                                <w:b/>
                                <w:bCs/>
                                <w:color w:val="000000" w:themeColor="text1"/>
                                <w:kern w:val="24"/>
                                <w:sz w:val="24"/>
                                <w:szCs w:val="24"/>
                              </w:rPr>
                              <w:t xml:space="preserve"> </w:t>
                            </w:r>
                            <w:r w:rsidRPr="00A17E83">
                              <w:rPr>
                                <w:rFonts w:ascii="Times New Roman" w:eastAsia="Calibri" w:hAnsi="Times New Roman" w:cs="Times New Roman"/>
                                <w:color w:val="000000" w:themeColor="text1"/>
                                <w:kern w:val="24"/>
                                <w:sz w:val="24"/>
                                <w:szCs w:val="24"/>
                              </w:rPr>
                              <w:t>Indole acetic acid (IAA) production potential of fungal isolates used in the study.</w:t>
                            </w:r>
                            <w:r w:rsidRPr="00A17E83">
                              <w:rPr>
                                <w:rFonts w:ascii="Times New Roman" w:eastAsia="Calibri" w:hAnsi="Times New Roman" w:cs="Times New Roman"/>
                                <w:b/>
                                <w:bCs/>
                                <w:color w:val="000000" w:themeColor="text1"/>
                                <w:kern w:val="24"/>
                                <w:sz w:val="24"/>
                                <w:szCs w:val="24"/>
                              </w:rPr>
                              <w:t xml:space="preserve"> </w:t>
                            </w:r>
                          </w:p>
                        </w:txbxContent>
                      </wps:txbx>
                      <wps:bodyPr wrap="square">
                        <a:spAutoFit/>
                      </wps:bodyPr>
                    </wps:wsp>
                  </a:graphicData>
                </a:graphic>
              </wp:anchor>
            </w:drawing>
          </mc:Choice>
          <mc:Fallback>
            <w:pict>
              <v:shapetype w14:anchorId="49E5CEC4" id="_x0000_t202" coordsize="21600,21600" o:spt="202" path="m,l,21600r21600,l21600,xe">
                <v:stroke joinstyle="miter"/>
                <v:path gradientshapeok="t" o:connecttype="rect"/>
              </v:shapetype>
              <v:shape id="TextBox 3" o:spid="_x0000_s1026" type="#_x0000_t202" style="position:absolute;left:0;text-align:left;margin-left:0;margin-top:0;width:658.65pt;height:8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" filled="f" stroked="f">
                <v:textbox style="mso-fit-shape-to-text:t">
                  <w:txbxContent>
                    <w:p w14:paraId="5F46437B" w14:textId="1E1C31B0" w:rsidR="004A63AE" w:rsidRPr="00A17E83" w:rsidRDefault="004A63AE" w:rsidP="004A63AE">
                      <w:pPr>
                        <w:jc w:val="both"/>
                        <w:rPr>
                          <w:rFonts w:ascii="Times New Roman" w:eastAsia="Calibri" w:hAnsi="Times New Roman" w:cs="Times New Roman"/>
                          <w:b/>
                          <w:bCs/>
                          <w:color w:val="000000" w:themeColor="text1"/>
                          <w:kern w:val="24"/>
                          <w:sz w:val="24"/>
                          <w:szCs w:val="24"/>
                        </w:rPr>
                      </w:pPr>
                      <w:r w:rsidRPr="00A17E83">
                        <w:rPr>
                          <w:rFonts w:ascii="Times New Roman" w:eastAsia="Calibri" w:hAnsi="Times New Roman" w:cs="Times New Roman"/>
                          <w:b/>
                          <w:bCs/>
                          <w:color w:val="000000" w:themeColor="text1"/>
                          <w:kern w:val="24"/>
                          <w:sz w:val="24"/>
                          <w:szCs w:val="24"/>
                        </w:rPr>
                        <w:t xml:space="preserve">Fig. </w:t>
                      </w:r>
                      <w:r w:rsidR="00C54ACF">
                        <w:rPr>
                          <w:rFonts w:ascii="Times New Roman" w:eastAsia="Calibri" w:hAnsi="Times New Roman" w:cs="Times New Roman"/>
                          <w:b/>
                          <w:bCs/>
                          <w:color w:val="000000" w:themeColor="text1"/>
                          <w:kern w:val="24"/>
                          <w:sz w:val="24"/>
                          <w:szCs w:val="24"/>
                        </w:rPr>
                        <w:t>1</w:t>
                      </w:r>
                      <w:r w:rsidRPr="00A17E83">
                        <w:rPr>
                          <w:rFonts w:ascii="Times New Roman" w:eastAsia="Calibri" w:hAnsi="Times New Roman" w:cs="Times New Roman"/>
                          <w:b/>
                          <w:bCs/>
                          <w:color w:val="000000" w:themeColor="text1"/>
                          <w:kern w:val="24"/>
                          <w:sz w:val="24"/>
                          <w:szCs w:val="24"/>
                        </w:rPr>
                        <w:t xml:space="preserve"> </w:t>
                      </w:r>
                      <w:r w:rsidRPr="00A17E83">
                        <w:rPr>
                          <w:rFonts w:ascii="Times New Roman" w:eastAsia="Calibri" w:hAnsi="Times New Roman" w:cs="Times New Roman"/>
                          <w:color w:val="000000" w:themeColor="text1"/>
                          <w:kern w:val="24"/>
                          <w:sz w:val="24"/>
                          <w:szCs w:val="24"/>
                        </w:rPr>
                        <w:t>Indole acetic acid (IAA) production potential of fungal isolates used in the study.</w:t>
                      </w:r>
                      <w:r w:rsidRPr="00A17E83">
                        <w:rPr>
                          <w:rFonts w:ascii="Times New Roman" w:eastAsia="Calibri" w:hAnsi="Times New Roman" w:cs="Times New Roman"/>
                          <w:b/>
                          <w:bCs/>
                          <w:color w:val="000000" w:themeColor="text1"/>
                          <w:kern w:val="24"/>
                          <w:sz w:val="24"/>
                          <w:szCs w:val="24"/>
                        </w:rPr>
                        <w:t xml:space="preserve"> </w:t>
                      </w:r>
                    </w:p>
                  </w:txbxContent>
                </v:textbox>
              </v:shape>
            </w:pict>
          </mc:Fallback>
        </mc:AlternateContent>
      </w:r>
    </w:p>
    <w:p w14:paraId="07E4D2E9" w14:textId="707BE80B" w:rsidR="004A63AE" w:rsidRPr="004E4C1B" w:rsidRDefault="004A63AE" w:rsidP="00360D49">
      <w:pPr>
        <w:spacing w:after="0" w:line="240" w:lineRule="auto"/>
        <w:jc w:val="both"/>
        <w:rPr>
          <w:rFonts w:ascii="Times New Roman" w:hAnsi="Times New Roman" w:cs="Times New Roman"/>
          <w:sz w:val="24"/>
          <w:szCs w:val="24"/>
        </w:rPr>
      </w:pPr>
    </w:p>
    <w:p w14:paraId="5C81DF10" w14:textId="7D574665" w:rsidR="004A63AE" w:rsidRPr="004E4C1B" w:rsidRDefault="004A63AE" w:rsidP="00360D49">
      <w:pPr>
        <w:spacing w:after="0" w:line="240" w:lineRule="auto"/>
        <w:jc w:val="both"/>
        <w:rPr>
          <w:rFonts w:ascii="Times New Roman" w:hAnsi="Times New Roman" w:cs="Times New Roman"/>
          <w:sz w:val="24"/>
          <w:szCs w:val="24"/>
        </w:rPr>
      </w:pPr>
    </w:p>
    <w:p w14:paraId="18348BE0" w14:textId="36D25E80" w:rsidR="004A63AE" w:rsidRPr="004E4C1B" w:rsidRDefault="004A63AE" w:rsidP="00360D49">
      <w:pPr>
        <w:spacing w:after="0" w:line="240" w:lineRule="auto"/>
        <w:jc w:val="both"/>
        <w:rPr>
          <w:rFonts w:ascii="Times New Roman" w:hAnsi="Times New Roman" w:cs="Times New Roman"/>
          <w:sz w:val="24"/>
          <w:szCs w:val="24"/>
        </w:rPr>
      </w:pPr>
    </w:p>
    <w:p w14:paraId="0CB899A5" w14:textId="20EB11B4" w:rsidR="004A63AE" w:rsidRPr="004E4C1B" w:rsidRDefault="004A63AE" w:rsidP="00360D49">
      <w:pPr>
        <w:spacing w:after="0" w:line="240" w:lineRule="auto"/>
        <w:jc w:val="both"/>
        <w:rPr>
          <w:rFonts w:ascii="Times New Roman" w:hAnsi="Times New Roman" w:cs="Times New Roman"/>
          <w:sz w:val="24"/>
          <w:szCs w:val="24"/>
        </w:rPr>
      </w:pPr>
    </w:p>
    <w:p w14:paraId="6649D8CB"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6709C16E" w14:textId="0AC09432" w:rsidR="004A63AE" w:rsidRPr="00360D49" w:rsidRDefault="004A63AE" w:rsidP="00360D49">
      <w:pPr>
        <w:ind w:left="360"/>
        <w:jc w:val="center"/>
        <w:rPr>
          <w:rFonts w:ascii="Times New Roman" w:hAnsi="Times New Roman" w:cs="Times New Roman"/>
          <w:b/>
          <w:bCs/>
          <w:sz w:val="24"/>
          <w:szCs w:val="24"/>
          <w:lang w:val="en-US"/>
        </w:rPr>
      </w:pPr>
      <w:r w:rsidRPr="004E4C1B">
        <w:rPr>
          <w:noProof/>
        </w:rPr>
        <w:drawing>
          <wp:inline distT="0" distB="0" distL="0" distR="0" wp14:anchorId="58D76C1F" wp14:editId="5FD508D4">
            <wp:extent cx="5819775" cy="3124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9775" cy="3124200"/>
                    </a:xfrm>
                    <a:prstGeom prst="rect">
                      <a:avLst/>
                    </a:prstGeom>
                    <a:noFill/>
                    <a:ln>
                      <a:noFill/>
                    </a:ln>
                  </pic:spPr>
                </pic:pic>
              </a:graphicData>
            </a:graphic>
          </wp:inline>
        </w:drawing>
      </w:r>
    </w:p>
    <w:p w14:paraId="6E7370A2"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01F82B87"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316B9FD9"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1556C4C0" w14:textId="77777777" w:rsidR="004A63AE" w:rsidRPr="004E4C1B" w:rsidRDefault="004A63AE" w:rsidP="00360D49">
      <w:pPr>
        <w:spacing w:after="0" w:line="240" w:lineRule="auto"/>
        <w:jc w:val="both"/>
        <w:rPr>
          <w:rFonts w:ascii="Times New Roman" w:hAnsi="Times New Roman" w:cs="Times New Roman"/>
          <w:b/>
          <w:bCs/>
          <w:sz w:val="24"/>
          <w:szCs w:val="24"/>
          <w:lang w:val="en-US"/>
        </w:rPr>
      </w:pPr>
    </w:p>
    <w:p w14:paraId="6FCAF796" w14:textId="247376ED" w:rsidR="00CD2B09" w:rsidRPr="00940976" w:rsidRDefault="00940976" w:rsidP="00360D49">
      <w:pPr>
        <w:spacing w:after="0" w:line="240" w:lineRule="auto"/>
        <w:jc w:val="both"/>
        <w:rPr>
          <w:rFonts w:ascii="Times New Roman" w:hAnsi="Times New Roman" w:cs="Times New Roman"/>
          <w:bCs/>
          <w:sz w:val="24"/>
          <w:szCs w:val="24"/>
          <w:lang w:val="en-US"/>
        </w:rPr>
      </w:pPr>
      <w:r w:rsidRPr="00940976">
        <w:rPr>
          <w:rFonts w:ascii="Times New Roman" w:hAnsi="Times New Roman" w:cs="Times New Roman"/>
          <w:bCs/>
          <w:sz w:val="24"/>
          <w:szCs w:val="24"/>
          <w:lang w:val="en-US"/>
        </w:rPr>
        <w:t>Foot note: Error bars indicate the standard deviation of the means from three biological replicates, each having five technical replicates; Histograms with different letters are statistically different according to the Tukey’s honestly significance difference (HSD) test (p&lt;0.05)</w:t>
      </w:r>
    </w:p>
    <w:p w14:paraId="21F7C9C2" w14:textId="77777777" w:rsidR="00CD2B09" w:rsidRPr="004E4C1B" w:rsidRDefault="00CD2B09" w:rsidP="00360D49">
      <w:pPr>
        <w:spacing w:after="0" w:line="240" w:lineRule="auto"/>
        <w:jc w:val="both"/>
        <w:rPr>
          <w:rFonts w:ascii="Times New Roman" w:hAnsi="Times New Roman" w:cs="Times New Roman"/>
          <w:b/>
          <w:bCs/>
          <w:sz w:val="24"/>
          <w:szCs w:val="24"/>
          <w:lang w:val="en-US"/>
        </w:rPr>
      </w:pPr>
    </w:p>
    <w:p w14:paraId="2CFE4C7E" w14:textId="77777777" w:rsidR="00637675" w:rsidRPr="004E4C1B" w:rsidRDefault="00637675" w:rsidP="00360D49">
      <w:pPr>
        <w:spacing w:after="0" w:line="240" w:lineRule="auto"/>
        <w:jc w:val="both"/>
        <w:rPr>
          <w:rFonts w:ascii="Times New Roman" w:hAnsi="Times New Roman" w:cs="Times New Roman"/>
          <w:b/>
          <w:bCs/>
          <w:sz w:val="24"/>
          <w:szCs w:val="24"/>
          <w:lang w:val="en-US"/>
        </w:rPr>
      </w:pPr>
    </w:p>
    <w:p w14:paraId="417EFB87" w14:textId="3F8450D8" w:rsidR="004A63AE" w:rsidRPr="004E4C1B" w:rsidRDefault="004A63AE" w:rsidP="00360D49">
      <w:pPr>
        <w:spacing w:after="0" w:line="240" w:lineRule="auto"/>
        <w:jc w:val="both"/>
        <w:rPr>
          <w:rFonts w:ascii="Times New Roman" w:hAnsi="Times New Roman" w:cs="Times New Roman"/>
          <w:sz w:val="24"/>
          <w:szCs w:val="24"/>
        </w:rPr>
      </w:pPr>
    </w:p>
    <w:p w14:paraId="0FF3339D" w14:textId="77777777" w:rsidR="006E0E63" w:rsidRPr="004E4C1B" w:rsidRDefault="006E0E63" w:rsidP="00360D49">
      <w:pPr>
        <w:spacing w:after="0" w:line="240" w:lineRule="auto"/>
        <w:jc w:val="both"/>
        <w:rPr>
          <w:rFonts w:ascii="Times New Roman" w:hAnsi="Times New Roman" w:cs="Times New Roman"/>
          <w:sz w:val="24"/>
          <w:szCs w:val="24"/>
        </w:rPr>
      </w:pPr>
    </w:p>
    <w:p w14:paraId="75AB0557" w14:textId="77777777" w:rsidR="006E0E63" w:rsidRPr="004E4C1B" w:rsidRDefault="006E0E63" w:rsidP="00360D49">
      <w:pPr>
        <w:spacing w:after="0" w:line="240" w:lineRule="auto"/>
        <w:jc w:val="both"/>
        <w:rPr>
          <w:rFonts w:ascii="Times New Roman" w:hAnsi="Times New Roman" w:cs="Times New Roman"/>
          <w:sz w:val="24"/>
          <w:szCs w:val="24"/>
        </w:rPr>
      </w:pPr>
    </w:p>
    <w:p w14:paraId="2F0C57E5" w14:textId="77777777" w:rsidR="006E0E63" w:rsidRPr="004E4C1B" w:rsidRDefault="006E0E63" w:rsidP="00360D49">
      <w:pPr>
        <w:spacing w:after="0" w:line="240" w:lineRule="auto"/>
        <w:jc w:val="both"/>
        <w:rPr>
          <w:rFonts w:ascii="Times New Roman" w:hAnsi="Times New Roman" w:cs="Times New Roman"/>
          <w:sz w:val="24"/>
          <w:szCs w:val="24"/>
        </w:rPr>
      </w:pPr>
    </w:p>
    <w:p w14:paraId="7197D169" w14:textId="77777777" w:rsidR="006E0E63" w:rsidRPr="004E4C1B" w:rsidRDefault="006E0E63" w:rsidP="00360D49">
      <w:pPr>
        <w:spacing w:after="0" w:line="240" w:lineRule="auto"/>
        <w:jc w:val="both"/>
        <w:rPr>
          <w:rFonts w:ascii="Times New Roman" w:hAnsi="Times New Roman" w:cs="Times New Roman"/>
          <w:sz w:val="24"/>
          <w:szCs w:val="24"/>
        </w:rPr>
      </w:pPr>
    </w:p>
    <w:p w14:paraId="6D122BBB" w14:textId="77777777" w:rsidR="006E0E63" w:rsidRPr="004E4C1B" w:rsidRDefault="006E0E63" w:rsidP="00360D49">
      <w:pPr>
        <w:spacing w:after="0" w:line="240" w:lineRule="auto"/>
        <w:jc w:val="both"/>
        <w:rPr>
          <w:rFonts w:ascii="Times New Roman" w:hAnsi="Times New Roman" w:cs="Times New Roman"/>
          <w:sz w:val="24"/>
          <w:szCs w:val="24"/>
        </w:rPr>
      </w:pPr>
    </w:p>
    <w:p w14:paraId="2D1A5880" w14:textId="77777777" w:rsidR="006E0E63" w:rsidRPr="004E4C1B" w:rsidRDefault="006E0E63" w:rsidP="00360D49">
      <w:pPr>
        <w:spacing w:after="0" w:line="240" w:lineRule="auto"/>
        <w:jc w:val="both"/>
        <w:rPr>
          <w:rFonts w:ascii="Times New Roman" w:hAnsi="Times New Roman" w:cs="Times New Roman"/>
          <w:sz w:val="24"/>
          <w:szCs w:val="24"/>
        </w:rPr>
      </w:pPr>
    </w:p>
    <w:p w14:paraId="3B9F5AC3" w14:textId="77777777" w:rsidR="006E0E63" w:rsidRPr="004E4C1B" w:rsidRDefault="006E0E63" w:rsidP="00360D49">
      <w:pPr>
        <w:spacing w:after="0" w:line="240" w:lineRule="auto"/>
        <w:jc w:val="both"/>
        <w:rPr>
          <w:rFonts w:ascii="Times New Roman" w:hAnsi="Times New Roman" w:cs="Times New Roman"/>
          <w:sz w:val="24"/>
          <w:szCs w:val="24"/>
        </w:rPr>
      </w:pPr>
    </w:p>
    <w:p w14:paraId="5121761C" w14:textId="77777777" w:rsidR="006E0E63" w:rsidRPr="004E4C1B" w:rsidRDefault="006E0E63" w:rsidP="00360D49">
      <w:pPr>
        <w:spacing w:after="0" w:line="240" w:lineRule="auto"/>
        <w:jc w:val="both"/>
        <w:rPr>
          <w:rFonts w:ascii="Times New Roman" w:hAnsi="Times New Roman" w:cs="Times New Roman"/>
          <w:sz w:val="24"/>
          <w:szCs w:val="24"/>
        </w:rPr>
      </w:pPr>
    </w:p>
    <w:p w14:paraId="6AF1352C" w14:textId="77777777" w:rsidR="006E0E63" w:rsidRPr="004E4C1B" w:rsidRDefault="006E0E63" w:rsidP="00360D49">
      <w:pPr>
        <w:spacing w:after="0" w:line="240" w:lineRule="auto"/>
        <w:jc w:val="both"/>
        <w:rPr>
          <w:rFonts w:ascii="Times New Roman" w:hAnsi="Times New Roman" w:cs="Times New Roman"/>
          <w:sz w:val="24"/>
          <w:szCs w:val="24"/>
        </w:rPr>
      </w:pPr>
    </w:p>
    <w:p w14:paraId="6CB3C14F" w14:textId="77777777" w:rsidR="006E0E63" w:rsidRPr="004E4C1B" w:rsidRDefault="006E0E63" w:rsidP="00360D49">
      <w:pPr>
        <w:spacing w:after="0" w:line="240" w:lineRule="auto"/>
        <w:jc w:val="both"/>
        <w:rPr>
          <w:rFonts w:ascii="Times New Roman" w:hAnsi="Times New Roman" w:cs="Times New Roman"/>
          <w:sz w:val="24"/>
          <w:szCs w:val="24"/>
        </w:rPr>
      </w:pPr>
    </w:p>
    <w:p w14:paraId="2CBEC2F3" w14:textId="77777777" w:rsidR="006E0E63" w:rsidRPr="004E4C1B" w:rsidRDefault="006E0E63" w:rsidP="00360D49">
      <w:pPr>
        <w:spacing w:after="0" w:line="240" w:lineRule="auto"/>
        <w:jc w:val="both"/>
        <w:rPr>
          <w:rFonts w:ascii="Times New Roman" w:hAnsi="Times New Roman" w:cs="Times New Roman"/>
          <w:sz w:val="24"/>
          <w:szCs w:val="24"/>
        </w:rPr>
      </w:pPr>
    </w:p>
    <w:p w14:paraId="001B0191" w14:textId="77777777" w:rsidR="006E0E63" w:rsidRPr="004E4C1B" w:rsidRDefault="006E0E63" w:rsidP="00360D49">
      <w:pPr>
        <w:spacing w:after="0" w:line="240" w:lineRule="auto"/>
        <w:jc w:val="both"/>
        <w:rPr>
          <w:rFonts w:ascii="Times New Roman" w:hAnsi="Times New Roman" w:cs="Times New Roman"/>
          <w:sz w:val="24"/>
          <w:szCs w:val="24"/>
        </w:rPr>
      </w:pPr>
    </w:p>
    <w:p w14:paraId="5788C0F4" w14:textId="77777777" w:rsidR="006E0E63" w:rsidRPr="004E4C1B" w:rsidRDefault="006E0E63" w:rsidP="00360D49">
      <w:pPr>
        <w:spacing w:after="0" w:line="240" w:lineRule="auto"/>
        <w:jc w:val="both"/>
        <w:rPr>
          <w:rFonts w:ascii="Times New Roman" w:hAnsi="Times New Roman" w:cs="Times New Roman"/>
          <w:sz w:val="24"/>
          <w:szCs w:val="24"/>
        </w:rPr>
      </w:pPr>
    </w:p>
    <w:p w14:paraId="40D6AEE6" w14:textId="77777777" w:rsidR="006E0E63" w:rsidRPr="004E4C1B" w:rsidRDefault="006E0E63" w:rsidP="00360D49">
      <w:pPr>
        <w:spacing w:after="0" w:line="240" w:lineRule="auto"/>
        <w:jc w:val="both"/>
        <w:rPr>
          <w:rFonts w:ascii="Times New Roman" w:hAnsi="Times New Roman" w:cs="Times New Roman"/>
          <w:sz w:val="24"/>
          <w:szCs w:val="24"/>
        </w:rPr>
      </w:pPr>
    </w:p>
    <w:p w14:paraId="3CAFC456" w14:textId="77777777" w:rsidR="006E0E63" w:rsidRPr="004E4C1B" w:rsidRDefault="006E0E63" w:rsidP="00360D49">
      <w:pPr>
        <w:spacing w:after="0" w:line="240" w:lineRule="auto"/>
        <w:jc w:val="both"/>
        <w:rPr>
          <w:rFonts w:ascii="Times New Roman" w:hAnsi="Times New Roman" w:cs="Times New Roman"/>
          <w:sz w:val="24"/>
          <w:szCs w:val="24"/>
        </w:rPr>
      </w:pPr>
    </w:p>
    <w:p w14:paraId="688342F3" w14:textId="77777777" w:rsidR="006E0E63" w:rsidRPr="004E4C1B" w:rsidRDefault="006E0E63" w:rsidP="00360D49">
      <w:pPr>
        <w:spacing w:after="0" w:line="240" w:lineRule="auto"/>
        <w:jc w:val="both"/>
        <w:rPr>
          <w:rFonts w:ascii="Times New Roman" w:hAnsi="Times New Roman" w:cs="Times New Roman"/>
          <w:sz w:val="24"/>
          <w:szCs w:val="24"/>
        </w:rPr>
      </w:pPr>
    </w:p>
    <w:p w14:paraId="036A18F5" w14:textId="77777777" w:rsidR="006E0E63" w:rsidRPr="004E4C1B" w:rsidRDefault="006E0E63" w:rsidP="00360D49">
      <w:pPr>
        <w:spacing w:after="0" w:line="240" w:lineRule="auto"/>
        <w:jc w:val="both"/>
        <w:rPr>
          <w:rFonts w:ascii="Times New Roman" w:hAnsi="Times New Roman" w:cs="Times New Roman"/>
          <w:sz w:val="24"/>
          <w:szCs w:val="24"/>
        </w:rPr>
      </w:pPr>
    </w:p>
    <w:p w14:paraId="3E0FA09F" w14:textId="77777777" w:rsidR="006E0E63" w:rsidRPr="004E4C1B" w:rsidRDefault="006E0E63" w:rsidP="00360D49">
      <w:pPr>
        <w:spacing w:after="0" w:line="240" w:lineRule="auto"/>
        <w:jc w:val="both"/>
        <w:rPr>
          <w:rFonts w:ascii="Times New Roman" w:hAnsi="Times New Roman" w:cs="Times New Roman"/>
          <w:sz w:val="24"/>
          <w:szCs w:val="24"/>
        </w:rPr>
      </w:pPr>
    </w:p>
    <w:p w14:paraId="0A4D585B" w14:textId="77777777" w:rsidR="006E0E63" w:rsidRPr="004E4C1B" w:rsidRDefault="006E0E63" w:rsidP="00360D49">
      <w:pPr>
        <w:spacing w:after="0" w:line="240" w:lineRule="auto"/>
        <w:jc w:val="both"/>
        <w:rPr>
          <w:rFonts w:ascii="Times New Roman" w:hAnsi="Times New Roman" w:cs="Times New Roman"/>
          <w:sz w:val="24"/>
          <w:szCs w:val="24"/>
        </w:rPr>
      </w:pPr>
    </w:p>
    <w:p w14:paraId="37451721" w14:textId="77777777" w:rsidR="006E0E63" w:rsidRPr="004E4C1B" w:rsidRDefault="006E0E63" w:rsidP="00360D49">
      <w:pPr>
        <w:spacing w:after="0" w:line="240" w:lineRule="auto"/>
        <w:jc w:val="both"/>
        <w:rPr>
          <w:rFonts w:ascii="Times New Roman" w:hAnsi="Times New Roman" w:cs="Times New Roman"/>
          <w:sz w:val="24"/>
          <w:szCs w:val="24"/>
        </w:rPr>
      </w:pPr>
    </w:p>
    <w:p w14:paraId="23CEB266" w14:textId="77777777" w:rsidR="006E0E63" w:rsidRPr="004E4C1B" w:rsidRDefault="006E0E63" w:rsidP="00360D49">
      <w:pPr>
        <w:spacing w:after="0" w:line="240" w:lineRule="auto"/>
        <w:jc w:val="both"/>
        <w:rPr>
          <w:rFonts w:ascii="Times New Roman" w:hAnsi="Times New Roman" w:cs="Times New Roman"/>
          <w:sz w:val="24"/>
          <w:szCs w:val="24"/>
        </w:rPr>
      </w:pPr>
    </w:p>
    <w:p w14:paraId="228F6840" w14:textId="77777777" w:rsidR="006E0E63" w:rsidRPr="004E4C1B" w:rsidRDefault="006E0E63" w:rsidP="00360D49">
      <w:pPr>
        <w:spacing w:after="0" w:line="240" w:lineRule="auto"/>
        <w:jc w:val="both"/>
        <w:rPr>
          <w:rFonts w:ascii="Times New Roman" w:hAnsi="Times New Roman" w:cs="Times New Roman"/>
          <w:sz w:val="24"/>
          <w:szCs w:val="24"/>
        </w:rPr>
      </w:pPr>
    </w:p>
    <w:p w14:paraId="5DB4E330" w14:textId="77777777" w:rsidR="006E0E63" w:rsidRPr="004E4C1B" w:rsidRDefault="006E0E63" w:rsidP="00360D49">
      <w:pPr>
        <w:spacing w:after="0" w:line="240" w:lineRule="auto"/>
        <w:jc w:val="both"/>
        <w:rPr>
          <w:rFonts w:ascii="Times New Roman" w:hAnsi="Times New Roman" w:cs="Times New Roman"/>
          <w:sz w:val="24"/>
          <w:szCs w:val="24"/>
        </w:rPr>
      </w:pPr>
    </w:p>
    <w:p w14:paraId="66AA2EF2" w14:textId="77777777" w:rsidR="006E0E63" w:rsidRPr="004E4C1B" w:rsidRDefault="006E0E63" w:rsidP="00360D49">
      <w:pPr>
        <w:spacing w:after="0" w:line="240" w:lineRule="auto"/>
        <w:jc w:val="both"/>
        <w:rPr>
          <w:rFonts w:ascii="Times New Roman" w:hAnsi="Times New Roman" w:cs="Times New Roman"/>
          <w:sz w:val="24"/>
          <w:szCs w:val="24"/>
        </w:rPr>
      </w:pPr>
    </w:p>
    <w:p w14:paraId="5B1F3F8A" w14:textId="77777777" w:rsidR="006E0E63" w:rsidRPr="004E4C1B" w:rsidRDefault="006E0E63" w:rsidP="00360D49">
      <w:pPr>
        <w:spacing w:after="0" w:line="240" w:lineRule="auto"/>
        <w:jc w:val="both"/>
        <w:rPr>
          <w:rFonts w:ascii="Times New Roman" w:hAnsi="Times New Roman" w:cs="Times New Roman"/>
          <w:sz w:val="24"/>
          <w:szCs w:val="24"/>
        </w:rPr>
      </w:pPr>
    </w:p>
    <w:p w14:paraId="0EC060C5" w14:textId="77777777" w:rsidR="006E0E63" w:rsidRPr="004E4C1B" w:rsidRDefault="006E0E63" w:rsidP="00360D49">
      <w:pPr>
        <w:spacing w:after="0" w:line="240" w:lineRule="auto"/>
        <w:jc w:val="both"/>
        <w:rPr>
          <w:rFonts w:ascii="Times New Roman" w:hAnsi="Times New Roman" w:cs="Times New Roman"/>
          <w:sz w:val="24"/>
          <w:szCs w:val="24"/>
        </w:rPr>
      </w:pPr>
    </w:p>
    <w:p w14:paraId="7AE5FFBB" w14:textId="77777777" w:rsidR="006E0E63" w:rsidRPr="004E4C1B" w:rsidRDefault="006E0E63" w:rsidP="00360D49">
      <w:pPr>
        <w:spacing w:after="0" w:line="240" w:lineRule="auto"/>
        <w:jc w:val="both"/>
        <w:rPr>
          <w:rFonts w:ascii="Times New Roman" w:hAnsi="Times New Roman" w:cs="Times New Roman"/>
          <w:sz w:val="24"/>
          <w:szCs w:val="24"/>
        </w:rPr>
      </w:pPr>
    </w:p>
    <w:p w14:paraId="1E1FA52B" w14:textId="77777777" w:rsidR="006E0E63" w:rsidRPr="004E4C1B" w:rsidRDefault="006E0E63" w:rsidP="00360D49">
      <w:pPr>
        <w:spacing w:after="0" w:line="240" w:lineRule="auto"/>
        <w:jc w:val="both"/>
        <w:rPr>
          <w:rFonts w:ascii="Times New Roman" w:hAnsi="Times New Roman" w:cs="Times New Roman"/>
          <w:sz w:val="24"/>
          <w:szCs w:val="24"/>
        </w:rPr>
      </w:pPr>
    </w:p>
    <w:p w14:paraId="6CA3E836" w14:textId="77777777" w:rsidR="00637675" w:rsidRPr="004E4C1B" w:rsidRDefault="00637675" w:rsidP="00360D49">
      <w:pPr>
        <w:spacing w:after="0" w:line="240" w:lineRule="auto"/>
        <w:jc w:val="both"/>
        <w:rPr>
          <w:rFonts w:ascii="Times New Roman" w:hAnsi="Times New Roman" w:cs="Times New Roman"/>
          <w:sz w:val="24"/>
          <w:szCs w:val="24"/>
        </w:rPr>
      </w:pPr>
    </w:p>
    <w:p w14:paraId="77EE676A" w14:textId="77777777" w:rsidR="00637675" w:rsidRPr="004E4C1B" w:rsidRDefault="00637675" w:rsidP="00360D49">
      <w:pPr>
        <w:spacing w:after="0" w:line="240" w:lineRule="auto"/>
        <w:jc w:val="both"/>
        <w:rPr>
          <w:rFonts w:ascii="Times New Roman" w:hAnsi="Times New Roman" w:cs="Times New Roman"/>
          <w:sz w:val="24"/>
          <w:szCs w:val="24"/>
        </w:rPr>
      </w:pPr>
    </w:p>
    <w:p w14:paraId="6AD2C4B8" w14:textId="77777777" w:rsidR="006E0E63" w:rsidRPr="004E4C1B" w:rsidRDefault="006E0E63" w:rsidP="00360D49">
      <w:pPr>
        <w:spacing w:after="0" w:line="240" w:lineRule="auto"/>
        <w:jc w:val="both"/>
        <w:rPr>
          <w:rFonts w:ascii="Times New Roman" w:hAnsi="Times New Roman" w:cs="Times New Roman"/>
          <w:sz w:val="24"/>
          <w:szCs w:val="24"/>
        </w:rPr>
      </w:pPr>
    </w:p>
    <w:p w14:paraId="353E0423" w14:textId="77777777" w:rsidR="006E0E63" w:rsidRPr="004E4C1B" w:rsidRDefault="006E0E63" w:rsidP="00360D49">
      <w:pPr>
        <w:spacing w:after="0" w:line="240" w:lineRule="auto"/>
        <w:jc w:val="both"/>
        <w:rPr>
          <w:rFonts w:ascii="Times New Roman" w:hAnsi="Times New Roman" w:cs="Times New Roman"/>
          <w:sz w:val="24"/>
          <w:szCs w:val="24"/>
        </w:rPr>
      </w:pPr>
    </w:p>
    <w:p w14:paraId="1547134B" w14:textId="1A5F5923" w:rsidR="006E0E63" w:rsidRPr="00360D49" w:rsidRDefault="006E0E63" w:rsidP="00360D49">
      <w:pPr>
        <w:ind w:left="360"/>
        <w:jc w:val="both"/>
        <w:rPr>
          <w:sz w:val="24"/>
          <w:szCs w:val="24"/>
        </w:rPr>
      </w:pPr>
      <w:r w:rsidRPr="00360D49">
        <w:rPr>
          <w:b/>
          <w:bCs/>
          <w:sz w:val="24"/>
          <w:szCs w:val="24"/>
        </w:rPr>
        <w:t xml:space="preserve">Fig. </w:t>
      </w:r>
      <w:r w:rsidR="00940976">
        <w:rPr>
          <w:b/>
          <w:bCs/>
          <w:sz w:val="24"/>
          <w:szCs w:val="24"/>
        </w:rPr>
        <w:t>2</w:t>
      </w:r>
      <w:r w:rsidRPr="00360D49">
        <w:rPr>
          <w:b/>
          <w:bCs/>
          <w:sz w:val="24"/>
          <w:szCs w:val="24"/>
        </w:rPr>
        <w:t xml:space="preserve"> </w:t>
      </w:r>
      <w:r w:rsidRPr="00360D49">
        <w:rPr>
          <w:sz w:val="24"/>
          <w:szCs w:val="24"/>
        </w:rPr>
        <w:t xml:space="preserve">Qualitative screening of fungal isolates for cellulase and laccase activity. a, cellulase activity in carboxy methyl cellulose agar medium; b, laccase activity in guaiacol- enriched agar medium; c, laccase activity in ABTS-enriched medium </w:t>
      </w:r>
    </w:p>
    <w:p w14:paraId="33D88A86" w14:textId="77777777" w:rsidR="006E0E63" w:rsidRPr="004E4C1B" w:rsidRDefault="006E0E63" w:rsidP="00360D49">
      <w:pPr>
        <w:spacing w:after="0" w:line="240" w:lineRule="auto"/>
        <w:jc w:val="both"/>
        <w:rPr>
          <w:rFonts w:ascii="Times New Roman" w:hAnsi="Times New Roman" w:cs="Times New Roman"/>
          <w:sz w:val="24"/>
          <w:szCs w:val="24"/>
        </w:rPr>
      </w:pPr>
    </w:p>
    <w:p w14:paraId="2EA35218" w14:textId="0135D075" w:rsidR="004A63AE" w:rsidRPr="00360D49" w:rsidRDefault="004A63AE" w:rsidP="00360D49">
      <w:pPr>
        <w:ind w:left="360"/>
        <w:jc w:val="center"/>
        <w:rPr>
          <w:rFonts w:ascii="Times New Roman" w:hAnsi="Times New Roman" w:cs="Times New Roman"/>
          <w:sz w:val="24"/>
          <w:szCs w:val="24"/>
        </w:rPr>
      </w:pPr>
      <w:r w:rsidRPr="004E4C1B">
        <w:rPr>
          <w:noProof/>
        </w:rPr>
        <w:drawing>
          <wp:inline distT="0" distB="0" distL="0" distR="0" wp14:anchorId="3E03C8F0" wp14:editId="71C3D7AC">
            <wp:extent cx="7648575" cy="2514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48575" cy="2514600"/>
                    </a:xfrm>
                    <a:prstGeom prst="rect">
                      <a:avLst/>
                    </a:prstGeom>
                    <a:noFill/>
                    <a:ln>
                      <a:noFill/>
                    </a:ln>
                  </pic:spPr>
                </pic:pic>
              </a:graphicData>
            </a:graphic>
          </wp:inline>
        </w:drawing>
      </w:r>
    </w:p>
    <w:sectPr w:rsidR="004A63AE" w:rsidRPr="00360D49" w:rsidSect="00360D49">
      <w:type w:val="continuous"/>
      <w:pgSz w:w="16838" w:h="11906" w:orient="landscape"/>
      <w:pgMar w:top="1440" w:right="1440" w:bottom="1440"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F4D95C" w16cex:dateUtc="2026-03-09T12:33:00Z"/>
  <w16cex:commentExtensible w16cex:durableId="0EBE4860" w16cex:dateUtc="2026-03-16T09:59:00Z"/>
  <w16cex:commentExtensible w16cex:durableId="4230FF17" w16cex:dateUtc="2026-03-09T13:18:00Z"/>
  <w16cex:commentExtensible w16cex:durableId="139C95EC" w16cex:dateUtc="2026-03-16T09:51:00Z"/>
  <w16cex:commentExtensible w16cex:durableId="2D84002F" w16cex:dateUtc="2026-03-09T13:05:00Z"/>
  <w16cex:commentExtensible w16cex:durableId="22E5AB4C" w16cex:dateUtc="2026-03-16T09:53:00Z"/>
  <w16cex:commentExtensible w16cex:durableId="2D14B6FD" w16cex:dateUtc="2026-03-09T12:36:00Z"/>
  <w16cex:commentExtensible w16cex:durableId="03FD704C" w16cex:dateUtc="2026-03-16T09:53:00Z"/>
  <w16cex:commentExtensible w16cex:durableId="7466DF32" w16cex:dateUtc="2026-03-09T13:07:00Z"/>
  <w16cex:commentExtensible w16cex:durableId="686131E5" w16cex:dateUtc="2026-03-16T09:54:00Z"/>
  <w16cex:commentExtensible w16cex:durableId="5DCC7A05" w16cex:dateUtc="2026-03-09T12:50:00Z"/>
  <w16cex:commentExtensible w16cex:durableId="2169D6DF" w16cex:dateUtc="2026-03-16T09:55:00Z"/>
  <w16cex:commentExtensible w16cex:durableId="260B45F4" w16cex:dateUtc="2026-03-09T12:41:00Z"/>
  <w16cex:commentExtensible w16cex:durableId="3FC7DCDC" w16cex:dateUtc="2026-03-16T09:57:00Z"/>
  <w16cex:commentExtensible w16cex:durableId="1FBBCC3D" w16cex:dateUtc="2026-03-09T12:58:00Z"/>
  <w16cex:commentExtensible w16cex:durableId="5E6895E6" w16cex:dateUtc="2026-03-16T10:00:00Z"/>
  <w16cex:commentExtensible w16cex:durableId="0666779C" w16cex:dateUtc="2026-03-09T13: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7A886" w14:textId="77777777" w:rsidR="005526DD" w:rsidRDefault="005526DD" w:rsidP="00BF2CB9">
      <w:pPr>
        <w:spacing w:after="0" w:line="240" w:lineRule="auto"/>
      </w:pPr>
      <w:r>
        <w:separator/>
      </w:r>
    </w:p>
  </w:endnote>
  <w:endnote w:type="continuationSeparator" w:id="0">
    <w:p w14:paraId="3890B985" w14:textId="77777777" w:rsidR="005526DD" w:rsidRDefault="005526DD" w:rsidP="00B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4F949" w14:textId="77777777" w:rsidR="005526DD" w:rsidRDefault="005526DD" w:rsidP="00BF2CB9">
      <w:pPr>
        <w:spacing w:after="0" w:line="240" w:lineRule="auto"/>
      </w:pPr>
      <w:r>
        <w:separator/>
      </w:r>
    </w:p>
  </w:footnote>
  <w:footnote w:type="continuationSeparator" w:id="0">
    <w:p w14:paraId="05FE06D6" w14:textId="77777777" w:rsidR="005526DD" w:rsidRDefault="005526DD" w:rsidP="00BF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FD24F" w14:textId="373A69EB" w:rsidR="00BF2CB9" w:rsidRDefault="005526DD">
    <w:pPr>
      <w:pStyle w:val="Header"/>
    </w:pPr>
    <w:r>
      <w:rPr>
        <w:noProof/>
      </w:rPr>
      <w:pict w14:anchorId="1E8A3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55704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5C56" w14:textId="6693C26F" w:rsidR="00BF2CB9" w:rsidRDefault="005526DD">
    <w:pPr>
      <w:pStyle w:val="Header"/>
    </w:pPr>
    <w:r>
      <w:rPr>
        <w:noProof/>
      </w:rPr>
      <w:pict w14:anchorId="3AA4F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55704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96EB" w14:textId="0B20E19D" w:rsidR="00BF2CB9" w:rsidRDefault="005526DD">
    <w:pPr>
      <w:pStyle w:val="Header"/>
    </w:pPr>
    <w:r>
      <w:rPr>
        <w:noProof/>
      </w:rPr>
      <w:pict w14:anchorId="41058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555704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D301D"/>
    <w:multiLevelType w:val="multilevel"/>
    <w:tmpl w:val="15000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F4622"/>
    <w:multiLevelType w:val="multilevel"/>
    <w:tmpl w:val="251F4622"/>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D11F9D"/>
    <w:multiLevelType w:val="multilevel"/>
    <w:tmpl w:val="28582A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3" w15:restartNumberingAfterBreak="0">
    <w:nsid w:val="358727C8"/>
    <w:multiLevelType w:val="hybridMultilevel"/>
    <w:tmpl w:val="AFD8764E"/>
    <w:lvl w:ilvl="0" w:tplc="1DF48AAE">
      <w:start w:val="1"/>
      <w:numFmt w:val="bullet"/>
      <w:lvlText w:val=""/>
      <w:lvlJc w:val="left"/>
      <w:pPr>
        <w:ind w:left="720" w:hanging="360"/>
      </w:pPr>
      <w:rPr>
        <w:rFonts w:ascii="Symbol" w:hAnsi="Symbol"/>
      </w:rPr>
    </w:lvl>
    <w:lvl w:ilvl="1" w:tplc="C7F467AC">
      <w:start w:val="1"/>
      <w:numFmt w:val="bullet"/>
      <w:lvlText w:val=""/>
      <w:lvlJc w:val="left"/>
      <w:pPr>
        <w:ind w:left="720" w:hanging="360"/>
      </w:pPr>
      <w:rPr>
        <w:rFonts w:ascii="Symbol" w:hAnsi="Symbol"/>
      </w:rPr>
    </w:lvl>
    <w:lvl w:ilvl="2" w:tplc="B0A40628">
      <w:start w:val="1"/>
      <w:numFmt w:val="bullet"/>
      <w:lvlText w:val=""/>
      <w:lvlJc w:val="left"/>
      <w:pPr>
        <w:ind w:left="720" w:hanging="360"/>
      </w:pPr>
      <w:rPr>
        <w:rFonts w:ascii="Symbol" w:hAnsi="Symbol"/>
      </w:rPr>
    </w:lvl>
    <w:lvl w:ilvl="3" w:tplc="AE36DB84">
      <w:start w:val="1"/>
      <w:numFmt w:val="bullet"/>
      <w:lvlText w:val=""/>
      <w:lvlJc w:val="left"/>
      <w:pPr>
        <w:ind w:left="720" w:hanging="360"/>
      </w:pPr>
      <w:rPr>
        <w:rFonts w:ascii="Symbol" w:hAnsi="Symbol"/>
      </w:rPr>
    </w:lvl>
    <w:lvl w:ilvl="4" w:tplc="D88CF722">
      <w:start w:val="1"/>
      <w:numFmt w:val="bullet"/>
      <w:lvlText w:val=""/>
      <w:lvlJc w:val="left"/>
      <w:pPr>
        <w:ind w:left="720" w:hanging="360"/>
      </w:pPr>
      <w:rPr>
        <w:rFonts w:ascii="Symbol" w:hAnsi="Symbol"/>
      </w:rPr>
    </w:lvl>
    <w:lvl w:ilvl="5" w:tplc="814498DC">
      <w:start w:val="1"/>
      <w:numFmt w:val="bullet"/>
      <w:lvlText w:val=""/>
      <w:lvlJc w:val="left"/>
      <w:pPr>
        <w:ind w:left="720" w:hanging="360"/>
      </w:pPr>
      <w:rPr>
        <w:rFonts w:ascii="Symbol" w:hAnsi="Symbol"/>
      </w:rPr>
    </w:lvl>
    <w:lvl w:ilvl="6" w:tplc="A6208A04">
      <w:start w:val="1"/>
      <w:numFmt w:val="bullet"/>
      <w:lvlText w:val=""/>
      <w:lvlJc w:val="left"/>
      <w:pPr>
        <w:ind w:left="720" w:hanging="360"/>
      </w:pPr>
      <w:rPr>
        <w:rFonts w:ascii="Symbol" w:hAnsi="Symbol"/>
      </w:rPr>
    </w:lvl>
    <w:lvl w:ilvl="7" w:tplc="2244166A">
      <w:start w:val="1"/>
      <w:numFmt w:val="bullet"/>
      <w:lvlText w:val=""/>
      <w:lvlJc w:val="left"/>
      <w:pPr>
        <w:ind w:left="720" w:hanging="360"/>
      </w:pPr>
      <w:rPr>
        <w:rFonts w:ascii="Symbol" w:hAnsi="Symbol"/>
      </w:rPr>
    </w:lvl>
    <w:lvl w:ilvl="8" w:tplc="61E274B6">
      <w:start w:val="1"/>
      <w:numFmt w:val="bullet"/>
      <w:lvlText w:val=""/>
      <w:lvlJc w:val="left"/>
      <w:pPr>
        <w:ind w:left="720" w:hanging="360"/>
      </w:pPr>
      <w:rPr>
        <w:rFonts w:ascii="Symbol" w:hAnsi="Symbol"/>
      </w:rPr>
    </w:lvl>
  </w:abstractNum>
  <w:abstractNum w:abstractNumId="4" w15:restartNumberingAfterBreak="0">
    <w:nsid w:val="3CFB2832"/>
    <w:multiLevelType w:val="hybridMultilevel"/>
    <w:tmpl w:val="1C10D9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634C5"/>
    <w:multiLevelType w:val="hybridMultilevel"/>
    <w:tmpl w:val="342CCD1E"/>
    <w:lvl w:ilvl="0" w:tplc="9274E7FE">
      <w:start w:val="1"/>
      <w:numFmt w:val="bullet"/>
      <w:lvlText w:val=""/>
      <w:lvlJc w:val="left"/>
      <w:pPr>
        <w:ind w:left="1080" w:hanging="360"/>
      </w:pPr>
      <w:rPr>
        <w:rFonts w:ascii="Symbol" w:hAnsi="Symbol"/>
      </w:rPr>
    </w:lvl>
    <w:lvl w:ilvl="1" w:tplc="96B63F08">
      <w:start w:val="1"/>
      <w:numFmt w:val="bullet"/>
      <w:lvlText w:val=""/>
      <w:lvlJc w:val="left"/>
      <w:pPr>
        <w:ind w:left="1080" w:hanging="360"/>
      </w:pPr>
      <w:rPr>
        <w:rFonts w:ascii="Symbol" w:hAnsi="Symbol"/>
      </w:rPr>
    </w:lvl>
    <w:lvl w:ilvl="2" w:tplc="9CE80474">
      <w:start w:val="1"/>
      <w:numFmt w:val="bullet"/>
      <w:lvlText w:val=""/>
      <w:lvlJc w:val="left"/>
      <w:pPr>
        <w:ind w:left="1080" w:hanging="360"/>
      </w:pPr>
      <w:rPr>
        <w:rFonts w:ascii="Symbol" w:hAnsi="Symbol"/>
      </w:rPr>
    </w:lvl>
    <w:lvl w:ilvl="3" w:tplc="2E027D62">
      <w:start w:val="1"/>
      <w:numFmt w:val="bullet"/>
      <w:lvlText w:val=""/>
      <w:lvlJc w:val="left"/>
      <w:pPr>
        <w:ind w:left="1080" w:hanging="360"/>
      </w:pPr>
      <w:rPr>
        <w:rFonts w:ascii="Symbol" w:hAnsi="Symbol"/>
      </w:rPr>
    </w:lvl>
    <w:lvl w:ilvl="4" w:tplc="83EEE2AE">
      <w:start w:val="1"/>
      <w:numFmt w:val="bullet"/>
      <w:lvlText w:val=""/>
      <w:lvlJc w:val="left"/>
      <w:pPr>
        <w:ind w:left="1080" w:hanging="360"/>
      </w:pPr>
      <w:rPr>
        <w:rFonts w:ascii="Symbol" w:hAnsi="Symbol"/>
      </w:rPr>
    </w:lvl>
    <w:lvl w:ilvl="5" w:tplc="E954FFA2">
      <w:start w:val="1"/>
      <w:numFmt w:val="bullet"/>
      <w:lvlText w:val=""/>
      <w:lvlJc w:val="left"/>
      <w:pPr>
        <w:ind w:left="1080" w:hanging="360"/>
      </w:pPr>
      <w:rPr>
        <w:rFonts w:ascii="Symbol" w:hAnsi="Symbol"/>
      </w:rPr>
    </w:lvl>
    <w:lvl w:ilvl="6" w:tplc="7B9A651A">
      <w:start w:val="1"/>
      <w:numFmt w:val="bullet"/>
      <w:lvlText w:val=""/>
      <w:lvlJc w:val="left"/>
      <w:pPr>
        <w:ind w:left="1080" w:hanging="360"/>
      </w:pPr>
      <w:rPr>
        <w:rFonts w:ascii="Symbol" w:hAnsi="Symbol"/>
      </w:rPr>
    </w:lvl>
    <w:lvl w:ilvl="7" w:tplc="1BAAAC42">
      <w:start w:val="1"/>
      <w:numFmt w:val="bullet"/>
      <w:lvlText w:val=""/>
      <w:lvlJc w:val="left"/>
      <w:pPr>
        <w:ind w:left="1080" w:hanging="360"/>
      </w:pPr>
      <w:rPr>
        <w:rFonts w:ascii="Symbol" w:hAnsi="Symbol"/>
      </w:rPr>
    </w:lvl>
    <w:lvl w:ilvl="8" w:tplc="E78A5722">
      <w:start w:val="1"/>
      <w:numFmt w:val="bullet"/>
      <w:lvlText w:val=""/>
      <w:lvlJc w:val="left"/>
      <w:pPr>
        <w:ind w:left="1080" w:hanging="360"/>
      </w:pPr>
      <w:rPr>
        <w:rFonts w:ascii="Symbol" w:hAnsi="Symbol"/>
      </w:rPr>
    </w:lvl>
  </w:abstractNum>
  <w:abstractNum w:abstractNumId="6" w15:restartNumberingAfterBreak="0">
    <w:nsid w:val="46F03346"/>
    <w:multiLevelType w:val="multilevel"/>
    <w:tmpl w:val="5D76E78C"/>
    <w:lvl w:ilvl="0">
      <w:start w:val="1"/>
      <w:numFmt w:val="decimal"/>
      <w:lvlText w:val="%1."/>
      <w:lvlJc w:val="left"/>
      <w:pPr>
        <w:ind w:left="460" w:hanging="360"/>
      </w:pPr>
      <w:rPr>
        <w:rFonts w:hint="default"/>
      </w:rPr>
    </w:lvl>
    <w:lvl w:ilvl="1">
      <w:start w:val="2"/>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7" w15:restartNumberingAfterBreak="0">
    <w:nsid w:val="49D10A15"/>
    <w:multiLevelType w:val="hybridMultilevel"/>
    <w:tmpl w:val="2BBE7798"/>
    <w:lvl w:ilvl="0" w:tplc="70585AAE">
      <w:start w:val="1"/>
      <w:numFmt w:val="decimal"/>
      <w:lvlText w:val="%1."/>
      <w:lvlJc w:val="left"/>
      <w:pPr>
        <w:ind w:left="720" w:hanging="360"/>
      </w:pPr>
      <w:rPr>
        <w:rFonts w:asciiTheme="minorHAnsi" w:hAnsiTheme="minorHAnsi" w:cstheme="minorBidi"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CF33881"/>
    <w:multiLevelType w:val="hybridMultilevel"/>
    <w:tmpl w:val="8C0632DE"/>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A05ABF"/>
    <w:multiLevelType w:val="hybridMultilevel"/>
    <w:tmpl w:val="56568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52F91"/>
    <w:multiLevelType w:val="multilevel"/>
    <w:tmpl w:val="F412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B2193D"/>
    <w:multiLevelType w:val="multilevel"/>
    <w:tmpl w:val="71B2193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10"/>
  </w:num>
  <w:num w:numId="4">
    <w:abstractNumId w:val="1"/>
  </w:num>
  <w:num w:numId="5">
    <w:abstractNumId w:val="11"/>
  </w:num>
  <w:num w:numId="6">
    <w:abstractNumId w:val="0"/>
  </w:num>
  <w:num w:numId="7">
    <w:abstractNumId w:val="5"/>
  </w:num>
  <w:num w:numId="8">
    <w:abstractNumId w:val="3"/>
  </w:num>
  <w:num w:numId="9">
    <w:abstractNumId w:val="7"/>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19"/>
    <w:rsid w:val="000016DB"/>
    <w:rsid w:val="00015FA6"/>
    <w:rsid w:val="00017006"/>
    <w:rsid w:val="000261C7"/>
    <w:rsid w:val="00031D61"/>
    <w:rsid w:val="00034032"/>
    <w:rsid w:val="00034B64"/>
    <w:rsid w:val="0003627B"/>
    <w:rsid w:val="000400E2"/>
    <w:rsid w:val="0005393F"/>
    <w:rsid w:val="00053C4F"/>
    <w:rsid w:val="000543B1"/>
    <w:rsid w:val="000601A0"/>
    <w:rsid w:val="00061B9E"/>
    <w:rsid w:val="00061EC1"/>
    <w:rsid w:val="00064796"/>
    <w:rsid w:val="000676BE"/>
    <w:rsid w:val="00071305"/>
    <w:rsid w:val="0007713F"/>
    <w:rsid w:val="00082665"/>
    <w:rsid w:val="00084EE2"/>
    <w:rsid w:val="000A380B"/>
    <w:rsid w:val="000A6756"/>
    <w:rsid w:val="000B0CBA"/>
    <w:rsid w:val="000B2AEE"/>
    <w:rsid w:val="000B5564"/>
    <w:rsid w:val="000C170A"/>
    <w:rsid w:val="000C34A0"/>
    <w:rsid w:val="000C5BCA"/>
    <w:rsid w:val="000D14B6"/>
    <w:rsid w:val="000D636E"/>
    <w:rsid w:val="000E0EDE"/>
    <w:rsid w:val="000E3077"/>
    <w:rsid w:val="000F0102"/>
    <w:rsid w:val="000F4431"/>
    <w:rsid w:val="000F53A8"/>
    <w:rsid w:val="000F7331"/>
    <w:rsid w:val="00104566"/>
    <w:rsid w:val="00104D0D"/>
    <w:rsid w:val="00106B10"/>
    <w:rsid w:val="00112101"/>
    <w:rsid w:val="00115E97"/>
    <w:rsid w:val="00115ECD"/>
    <w:rsid w:val="00116E60"/>
    <w:rsid w:val="00125929"/>
    <w:rsid w:val="00130179"/>
    <w:rsid w:val="001334F5"/>
    <w:rsid w:val="00134B9C"/>
    <w:rsid w:val="00144D4E"/>
    <w:rsid w:val="00144FED"/>
    <w:rsid w:val="0014794E"/>
    <w:rsid w:val="001513DF"/>
    <w:rsid w:val="001534F2"/>
    <w:rsid w:val="00155C18"/>
    <w:rsid w:val="00161158"/>
    <w:rsid w:val="00163FA0"/>
    <w:rsid w:val="00164D60"/>
    <w:rsid w:val="001718D4"/>
    <w:rsid w:val="00171C4A"/>
    <w:rsid w:val="00182101"/>
    <w:rsid w:val="0019181D"/>
    <w:rsid w:val="001923E2"/>
    <w:rsid w:val="001933B3"/>
    <w:rsid w:val="00196BEE"/>
    <w:rsid w:val="001A023D"/>
    <w:rsid w:val="001B0D63"/>
    <w:rsid w:val="001B4CBC"/>
    <w:rsid w:val="001B5525"/>
    <w:rsid w:val="001B6BE1"/>
    <w:rsid w:val="001C0DA1"/>
    <w:rsid w:val="001C2798"/>
    <w:rsid w:val="001C6CD7"/>
    <w:rsid w:val="001D39EA"/>
    <w:rsid w:val="001E5581"/>
    <w:rsid w:val="001F1BFB"/>
    <w:rsid w:val="00200B29"/>
    <w:rsid w:val="00204A07"/>
    <w:rsid w:val="00214249"/>
    <w:rsid w:val="0021635F"/>
    <w:rsid w:val="00220C24"/>
    <w:rsid w:val="00222880"/>
    <w:rsid w:val="00222F79"/>
    <w:rsid w:val="002244AF"/>
    <w:rsid w:val="00226524"/>
    <w:rsid w:val="00232BD7"/>
    <w:rsid w:val="002345A3"/>
    <w:rsid w:val="00236C25"/>
    <w:rsid w:val="00237109"/>
    <w:rsid w:val="002379AC"/>
    <w:rsid w:val="00254DC7"/>
    <w:rsid w:val="00255F4F"/>
    <w:rsid w:val="002567A6"/>
    <w:rsid w:val="00261149"/>
    <w:rsid w:val="00262544"/>
    <w:rsid w:val="002645FA"/>
    <w:rsid w:val="00270985"/>
    <w:rsid w:val="00275A79"/>
    <w:rsid w:val="002864D2"/>
    <w:rsid w:val="0029055B"/>
    <w:rsid w:val="00296B05"/>
    <w:rsid w:val="00297E64"/>
    <w:rsid w:val="002B1056"/>
    <w:rsid w:val="002B4CCD"/>
    <w:rsid w:val="002C100C"/>
    <w:rsid w:val="002C2429"/>
    <w:rsid w:val="002D2709"/>
    <w:rsid w:val="002E25FB"/>
    <w:rsid w:val="002E3177"/>
    <w:rsid w:val="002E607F"/>
    <w:rsid w:val="002F0E59"/>
    <w:rsid w:val="002F4B0C"/>
    <w:rsid w:val="002F7358"/>
    <w:rsid w:val="00301FC1"/>
    <w:rsid w:val="00303616"/>
    <w:rsid w:val="003056C0"/>
    <w:rsid w:val="00305C9D"/>
    <w:rsid w:val="00306124"/>
    <w:rsid w:val="00306AC3"/>
    <w:rsid w:val="00311E01"/>
    <w:rsid w:val="0031365F"/>
    <w:rsid w:val="0031488E"/>
    <w:rsid w:val="003148E8"/>
    <w:rsid w:val="00315124"/>
    <w:rsid w:val="003164E1"/>
    <w:rsid w:val="00321B5C"/>
    <w:rsid w:val="003251FA"/>
    <w:rsid w:val="00326134"/>
    <w:rsid w:val="00330225"/>
    <w:rsid w:val="00330845"/>
    <w:rsid w:val="003379B4"/>
    <w:rsid w:val="00342FF2"/>
    <w:rsid w:val="003457E6"/>
    <w:rsid w:val="00355B1C"/>
    <w:rsid w:val="00360080"/>
    <w:rsid w:val="00360756"/>
    <w:rsid w:val="00360D49"/>
    <w:rsid w:val="00364A2C"/>
    <w:rsid w:val="0036688F"/>
    <w:rsid w:val="00370313"/>
    <w:rsid w:val="00373839"/>
    <w:rsid w:val="0037444A"/>
    <w:rsid w:val="00375265"/>
    <w:rsid w:val="00377823"/>
    <w:rsid w:val="003815E0"/>
    <w:rsid w:val="003859AC"/>
    <w:rsid w:val="003860F0"/>
    <w:rsid w:val="00390C34"/>
    <w:rsid w:val="00392817"/>
    <w:rsid w:val="00396BD9"/>
    <w:rsid w:val="00397737"/>
    <w:rsid w:val="003A1314"/>
    <w:rsid w:val="003A1FAA"/>
    <w:rsid w:val="003B4424"/>
    <w:rsid w:val="003B58D5"/>
    <w:rsid w:val="003B5AF8"/>
    <w:rsid w:val="003B6A98"/>
    <w:rsid w:val="003B75D5"/>
    <w:rsid w:val="003C3FCC"/>
    <w:rsid w:val="003C6E24"/>
    <w:rsid w:val="003C7E21"/>
    <w:rsid w:val="003D03B8"/>
    <w:rsid w:val="003D7917"/>
    <w:rsid w:val="003E183B"/>
    <w:rsid w:val="003E3F2E"/>
    <w:rsid w:val="003E60E0"/>
    <w:rsid w:val="003F0BC6"/>
    <w:rsid w:val="003F0E5F"/>
    <w:rsid w:val="003F16E8"/>
    <w:rsid w:val="003F4FA7"/>
    <w:rsid w:val="00412E45"/>
    <w:rsid w:val="00413895"/>
    <w:rsid w:val="0041514B"/>
    <w:rsid w:val="0041529A"/>
    <w:rsid w:val="00417F75"/>
    <w:rsid w:val="00420B30"/>
    <w:rsid w:val="00424F5F"/>
    <w:rsid w:val="00430D7E"/>
    <w:rsid w:val="004322E5"/>
    <w:rsid w:val="00433FEE"/>
    <w:rsid w:val="00437E5B"/>
    <w:rsid w:val="0044329E"/>
    <w:rsid w:val="004475BF"/>
    <w:rsid w:val="00450CE4"/>
    <w:rsid w:val="00452931"/>
    <w:rsid w:val="00454B04"/>
    <w:rsid w:val="004553C8"/>
    <w:rsid w:val="00455401"/>
    <w:rsid w:val="0045613D"/>
    <w:rsid w:val="00456FC8"/>
    <w:rsid w:val="00461353"/>
    <w:rsid w:val="004624FF"/>
    <w:rsid w:val="00462599"/>
    <w:rsid w:val="0047145E"/>
    <w:rsid w:val="004821FA"/>
    <w:rsid w:val="00482664"/>
    <w:rsid w:val="00482851"/>
    <w:rsid w:val="004833CC"/>
    <w:rsid w:val="004907B9"/>
    <w:rsid w:val="00490856"/>
    <w:rsid w:val="004926D4"/>
    <w:rsid w:val="00492D80"/>
    <w:rsid w:val="00496D66"/>
    <w:rsid w:val="004A09EF"/>
    <w:rsid w:val="004A5766"/>
    <w:rsid w:val="004A63AE"/>
    <w:rsid w:val="004B5092"/>
    <w:rsid w:val="004B74F0"/>
    <w:rsid w:val="004C22D2"/>
    <w:rsid w:val="004C26D5"/>
    <w:rsid w:val="004C2FBA"/>
    <w:rsid w:val="004C33FC"/>
    <w:rsid w:val="004C6A62"/>
    <w:rsid w:val="004D4821"/>
    <w:rsid w:val="004D606E"/>
    <w:rsid w:val="004E0274"/>
    <w:rsid w:val="004E2AC9"/>
    <w:rsid w:val="004E4AF9"/>
    <w:rsid w:val="004E4C1B"/>
    <w:rsid w:val="004F0CB0"/>
    <w:rsid w:val="004F66A0"/>
    <w:rsid w:val="00503E57"/>
    <w:rsid w:val="00505729"/>
    <w:rsid w:val="00507AFF"/>
    <w:rsid w:val="00522D4A"/>
    <w:rsid w:val="005258B4"/>
    <w:rsid w:val="00525DD0"/>
    <w:rsid w:val="00531467"/>
    <w:rsid w:val="00531624"/>
    <w:rsid w:val="00531775"/>
    <w:rsid w:val="00531E3A"/>
    <w:rsid w:val="005341F6"/>
    <w:rsid w:val="00535E09"/>
    <w:rsid w:val="00547DB1"/>
    <w:rsid w:val="00550422"/>
    <w:rsid w:val="00551AF7"/>
    <w:rsid w:val="005526DD"/>
    <w:rsid w:val="00553E3A"/>
    <w:rsid w:val="00557C6B"/>
    <w:rsid w:val="00560985"/>
    <w:rsid w:val="00561091"/>
    <w:rsid w:val="005634AC"/>
    <w:rsid w:val="00564077"/>
    <w:rsid w:val="00564EB0"/>
    <w:rsid w:val="00565425"/>
    <w:rsid w:val="00571C8A"/>
    <w:rsid w:val="00573442"/>
    <w:rsid w:val="0057486C"/>
    <w:rsid w:val="00583175"/>
    <w:rsid w:val="00583719"/>
    <w:rsid w:val="0058645E"/>
    <w:rsid w:val="00590E4B"/>
    <w:rsid w:val="005910A3"/>
    <w:rsid w:val="00591487"/>
    <w:rsid w:val="00597DFC"/>
    <w:rsid w:val="005A7B0D"/>
    <w:rsid w:val="005B085B"/>
    <w:rsid w:val="005B0DD3"/>
    <w:rsid w:val="005B54F3"/>
    <w:rsid w:val="005B5748"/>
    <w:rsid w:val="005C0B85"/>
    <w:rsid w:val="005C1ECD"/>
    <w:rsid w:val="005D317D"/>
    <w:rsid w:val="005D6534"/>
    <w:rsid w:val="005D7701"/>
    <w:rsid w:val="005D7873"/>
    <w:rsid w:val="005E0977"/>
    <w:rsid w:val="005E0D11"/>
    <w:rsid w:val="005E3963"/>
    <w:rsid w:val="005E41D6"/>
    <w:rsid w:val="005E50DA"/>
    <w:rsid w:val="005E5E02"/>
    <w:rsid w:val="005E6064"/>
    <w:rsid w:val="005F1734"/>
    <w:rsid w:val="005F174B"/>
    <w:rsid w:val="005F177F"/>
    <w:rsid w:val="005F3BDE"/>
    <w:rsid w:val="00605E1E"/>
    <w:rsid w:val="0060685E"/>
    <w:rsid w:val="00613016"/>
    <w:rsid w:val="00615EA2"/>
    <w:rsid w:val="00616EE1"/>
    <w:rsid w:val="00616FE4"/>
    <w:rsid w:val="00617496"/>
    <w:rsid w:val="00623A9B"/>
    <w:rsid w:val="00624E5E"/>
    <w:rsid w:val="00625D0E"/>
    <w:rsid w:val="006276FE"/>
    <w:rsid w:val="00630E6D"/>
    <w:rsid w:val="00631AFA"/>
    <w:rsid w:val="006324FC"/>
    <w:rsid w:val="00635C9D"/>
    <w:rsid w:val="00637675"/>
    <w:rsid w:val="00640A78"/>
    <w:rsid w:val="00641B98"/>
    <w:rsid w:val="006438BB"/>
    <w:rsid w:val="00646C3D"/>
    <w:rsid w:val="006473B0"/>
    <w:rsid w:val="006515DF"/>
    <w:rsid w:val="00655313"/>
    <w:rsid w:val="00663EB9"/>
    <w:rsid w:val="00665669"/>
    <w:rsid w:val="0066723C"/>
    <w:rsid w:val="00672715"/>
    <w:rsid w:val="006814FD"/>
    <w:rsid w:val="006826BE"/>
    <w:rsid w:val="00687472"/>
    <w:rsid w:val="00691C58"/>
    <w:rsid w:val="00691D40"/>
    <w:rsid w:val="0069479B"/>
    <w:rsid w:val="006A08A9"/>
    <w:rsid w:val="006A0C6F"/>
    <w:rsid w:val="006A35FC"/>
    <w:rsid w:val="006A66BA"/>
    <w:rsid w:val="006B1893"/>
    <w:rsid w:val="006B313E"/>
    <w:rsid w:val="006B786B"/>
    <w:rsid w:val="006C24F5"/>
    <w:rsid w:val="006C43CC"/>
    <w:rsid w:val="006C7695"/>
    <w:rsid w:val="006D268F"/>
    <w:rsid w:val="006D2D81"/>
    <w:rsid w:val="006D4818"/>
    <w:rsid w:val="006D4E26"/>
    <w:rsid w:val="006D52AA"/>
    <w:rsid w:val="006E0E63"/>
    <w:rsid w:val="006E20CF"/>
    <w:rsid w:val="006F1F84"/>
    <w:rsid w:val="006F364E"/>
    <w:rsid w:val="007010B8"/>
    <w:rsid w:val="00704DFE"/>
    <w:rsid w:val="00705D14"/>
    <w:rsid w:val="00712FDE"/>
    <w:rsid w:val="00713FB6"/>
    <w:rsid w:val="00715D92"/>
    <w:rsid w:val="00720C21"/>
    <w:rsid w:val="00722A93"/>
    <w:rsid w:val="00724C68"/>
    <w:rsid w:val="00725F8F"/>
    <w:rsid w:val="0072715F"/>
    <w:rsid w:val="00737F3D"/>
    <w:rsid w:val="0074406C"/>
    <w:rsid w:val="00752768"/>
    <w:rsid w:val="00752D0D"/>
    <w:rsid w:val="007556C9"/>
    <w:rsid w:val="00761F9C"/>
    <w:rsid w:val="00762D02"/>
    <w:rsid w:val="007643B0"/>
    <w:rsid w:val="00772DA8"/>
    <w:rsid w:val="0078134E"/>
    <w:rsid w:val="007864FE"/>
    <w:rsid w:val="0079096C"/>
    <w:rsid w:val="0079373B"/>
    <w:rsid w:val="00794756"/>
    <w:rsid w:val="007A56B1"/>
    <w:rsid w:val="007A5D43"/>
    <w:rsid w:val="007A7EEB"/>
    <w:rsid w:val="007B3EA4"/>
    <w:rsid w:val="007B3F85"/>
    <w:rsid w:val="007B7A32"/>
    <w:rsid w:val="007C1EBC"/>
    <w:rsid w:val="007C4D3E"/>
    <w:rsid w:val="007C51D0"/>
    <w:rsid w:val="007D2832"/>
    <w:rsid w:val="007D42AB"/>
    <w:rsid w:val="007D4A87"/>
    <w:rsid w:val="007D5F4D"/>
    <w:rsid w:val="007D6212"/>
    <w:rsid w:val="007F23B0"/>
    <w:rsid w:val="00801616"/>
    <w:rsid w:val="00805EEA"/>
    <w:rsid w:val="00811D50"/>
    <w:rsid w:val="00813C55"/>
    <w:rsid w:val="00823B52"/>
    <w:rsid w:val="008315AF"/>
    <w:rsid w:val="008318C3"/>
    <w:rsid w:val="00831B0C"/>
    <w:rsid w:val="00832367"/>
    <w:rsid w:val="00832B7B"/>
    <w:rsid w:val="0083575C"/>
    <w:rsid w:val="00843FA0"/>
    <w:rsid w:val="00844C4F"/>
    <w:rsid w:val="00845538"/>
    <w:rsid w:val="008520B5"/>
    <w:rsid w:val="00863DAE"/>
    <w:rsid w:val="008663FF"/>
    <w:rsid w:val="00871B69"/>
    <w:rsid w:val="00873EC4"/>
    <w:rsid w:val="00876295"/>
    <w:rsid w:val="00884C4B"/>
    <w:rsid w:val="00884DFC"/>
    <w:rsid w:val="0089291B"/>
    <w:rsid w:val="00893CC1"/>
    <w:rsid w:val="00894895"/>
    <w:rsid w:val="00896DE6"/>
    <w:rsid w:val="008A0A6F"/>
    <w:rsid w:val="008A5540"/>
    <w:rsid w:val="008A61CE"/>
    <w:rsid w:val="008B3766"/>
    <w:rsid w:val="008B3E60"/>
    <w:rsid w:val="008B4F2F"/>
    <w:rsid w:val="008B76A0"/>
    <w:rsid w:val="008C06C8"/>
    <w:rsid w:val="008C1A7D"/>
    <w:rsid w:val="008C6F75"/>
    <w:rsid w:val="008D39D7"/>
    <w:rsid w:val="008E13EF"/>
    <w:rsid w:val="008E1778"/>
    <w:rsid w:val="008E2329"/>
    <w:rsid w:val="008E5161"/>
    <w:rsid w:val="008E6DF3"/>
    <w:rsid w:val="008F1321"/>
    <w:rsid w:val="008F14D1"/>
    <w:rsid w:val="008F1F66"/>
    <w:rsid w:val="008F26CE"/>
    <w:rsid w:val="008F3731"/>
    <w:rsid w:val="008F65CA"/>
    <w:rsid w:val="008F7A71"/>
    <w:rsid w:val="00910BE8"/>
    <w:rsid w:val="00910E2C"/>
    <w:rsid w:val="00913712"/>
    <w:rsid w:val="00916D69"/>
    <w:rsid w:val="00927266"/>
    <w:rsid w:val="00927710"/>
    <w:rsid w:val="00927AE9"/>
    <w:rsid w:val="0093080F"/>
    <w:rsid w:val="00930B2D"/>
    <w:rsid w:val="009315FC"/>
    <w:rsid w:val="0093454B"/>
    <w:rsid w:val="00940976"/>
    <w:rsid w:val="00941E68"/>
    <w:rsid w:val="00944861"/>
    <w:rsid w:val="00947C3F"/>
    <w:rsid w:val="00950081"/>
    <w:rsid w:val="009523FD"/>
    <w:rsid w:val="0095667C"/>
    <w:rsid w:val="00956EC5"/>
    <w:rsid w:val="00962688"/>
    <w:rsid w:val="0096442C"/>
    <w:rsid w:val="009666D1"/>
    <w:rsid w:val="00967581"/>
    <w:rsid w:val="009709F2"/>
    <w:rsid w:val="00973A8B"/>
    <w:rsid w:val="00975B9B"/>
    <w:rsid w:val="00976F25"/>
    <w:rsid w:val="0098043C"/>
    <w:rsid w:val="00983EFB"/>
    <w:rsid w:val="00983F1D"/>
    <w:rsid w:val="00987D90"/>
    <w:rsid w:val="00987F97"/>
    <w:rsid w:val="00990E45"/>
    <w:rsid w:val="00991A06"/>
    <w:rsid w:val="009A2194"/>
    <w:rsid w:val="009A3D3B"/>
    <w:rsid w:val="009A3E6C"/>
    <w:rsid w:val="009A5975"/>
    <w:rsid w:val="009B1102"/>
    <w:rsid w:val="009B1200"/>
    <w:rsid w:val="009B14EE"/>
    <w:rsid w:val="009B1D53"/>
    <w:rsid w:val="009B6BFB"/>
    <w:rsid w:val="009C0341"/>
    <w:rsid w:val="009C0A51"/>
    <w:rsid w:val="009D0BF1"/>
    <w:rsid w:val="009D3A0B"/>
    <w:rsid w:val="009E0D92"/>
    <w:rsid w:val="009E245B"/>
    <w:rsid w:val="009E2D6A"/>
    <w:rsid w:val="009E4986"/>
    <w:rsid w:val="009E682A"/>
    <w:rsid w:val="009F0348"/>
    <w:rsid w:val="009F073F"/>
    <w:rsid w:val="009F0C0C"/>
    <w:rsid w:val="009F0C40"/>
    <w:rsid w:val="009F5F50"/>
    <w:rsid w:val="009F720C"/>
    <w:rsid w:val="00A01236"/>
    <w:rsid w:val="00A01B81"/>
    <w:rsid w:val="00A03550"/>
    <w:rsid w:val="00A06F40"/>
    <w:rsid w:val="00A1357E"/>
    <w:rsid w:val="00A16B17"/>
    <w:rsid w:val="00A1726A"/>
    <w:rsid w:val="00A17E83"/>
    <w:rsid w:val="00A202A8"/>
    <w:rsid w:val="00A32A1B"/>
    <w:rsid w:val="00A3499C"/>
    <w:rsid w:val="00A34D14"/>
    <w:rsid w:val="00A40207"/>
    <w:rsid w:val="00A40E7D"/>
    <w:rsid w:val="00A424B7"/>
    <w:rsid w:val="00A44895"/>
    <w:rsid w:val="00A45159"/>
    <w:rsid w:val="00A46F84"/>
    <w:rsid w:val="00A53DB2"/>
    <w:rsid w:val="00A608FD"/>
    <w:rsid w:val="00A609EF"/>
    <w:rsid w:val="00A62AB4"/>
    <w:rsid w:val="00A6785E"/>
    <w:rsid w:val="00A723C2"/>
    <w:rsid w:val="00A744BD"/>
    <w:rsid w:val="00A82D69"/>
    <w:rsid w:val="00A8340E"/>
    <w:rsid w:val="00A84CF0"/>
    <w:rsid w:val="00A86230"/>
    <w:rsid w:val="00A919EB"/>
    <w:rsid w:val="00A92AFF"/>
    <w:rsid w:val="00AA2E54"/>
    <w:rsid w:val="00AA3277"/>
    <w:rsid w:val="00AA762E"/>
    <w:rsid w:val="00AA7847"/>
    <w:rsid w:val="00AC03D5"/>
    <w:rsid w:val="00AC1938"/>
    <w:rsid w:val="00AC2870"/>
    <w:rsid w:val="00AC452D"/>
    <w:rsid w:val="00AC7710"/>
    <w:rsid w:val="00AC7DE3"/>
    <w:rsid w:val="00AD0397"/>
    <w:rsid w:val="00AD1736"/>
    <w:rsid w:val="00AD1991"/>
    <w:rsid w:val="00AD2C49"/>
    <w:rsid w:val="00AD599E"/>
    <w:rsid w:val="00AD5C4A"/>
    <w:rsid w:val="00AE70FB"/>
    <w:rsid w:val="00AF0DE5"/>
    <w:rsid w:val="00AF2813"/>
    <w:rsid w:val="00AF301D"/>
    <w:rsid w:val="00AF417B"/>
    <w:rsid w:val="00B021E3"/>
    <w:rsid w:val="00B02D83"/>
    <w:rsid w:val="00B05014"/>
    <w:rsid w:val="00B057D6"/>
    <w:rsid w:val="00B0613A"/>
    <w:rsid w:val="00B15405"/>
    <w:rsid w:val="00B1574F"/>
    <w:rsid w:val="00B16799"/>
    <w:rsid w:val="00B16E2A"/>
    <w:rsid w:val="00B17092"/>
    <w:rsid w:val="00B22D80"/>
    <w:rsid w:val="00B27272"/>
    <w:rsid w:val="00B314EB"/>
    <w:rsid w:val="00B42FB1"/>
    <w:rsid w:val="00B4325E"/>
    <w:rsid w:val="00B4484F"/>
    <w:rsid w:val="00B46D8F"/>
    <w:rsid w:val="00B556AC"/>
    <w:rsid w:val="00B61023"/>
    <w:rsid w:val="00B76C6F"/>
    <w:rsid w:val="00B800F5"/>
    <w:rsid w:val="00B83DB4"/>
    <w:rsid w:val="00B86FB3"/>
    <w:rsid w:val="00B8776F"/>
    <w:rsid w:val="00B91227"/>
    <w:rsid w:val="00B93557"/>
    <w:rsid w:val="00BA14D5"/>
    <w:rsid w:val="00BA2BD3"/>
    <w:rsid w:val="00BA3B37"/>
    <w:rsid w:val="00BA4BDB"/>
    <w:rsid w:val="00BA6136"/>
    <w:rsid w:val="00BA6987"/>
    <w:rsid w:val="00BA6EAC"/>
    <w:rsid w:val="00BA74DD"/>
    <w:rsid w:val="00BB0FD5"/>
    <w:rsid w:val="00BB2F6B"/>
    <w:rsid w:val="00BB3EFB"/>
    <w:rsid w:val="00BB6071"/>
    <w:rsid w:val="00BC019F"/>
    <w:rsid w:val="00BC239C"/>
    <w:rsid w:val="00BC49B4"/>
    <w:rsid w:val="00BD5EF7"/>
    <w:rsid w:val="00BD64CC"/>
    <w:rsid w:val="00BE3F60"/>
    <w:rsid w:val="00BF12EC"/>
    <w:rsid w:val="00BF2CB9"/>
    <w:rsid w:val="00BF4291"/>
    <w:rsid w:val="00BF6762"/>
    <w:rsid w:val="00BF7BBF"/>
    <w:rsid w:val="00C03CD3"/>
    <w:rsid w:val="00C07982"/>
    <w:rsid w:val="00C101A4"/>
    <w:rsid w:val="00C14BB9"/>
    <w:rsid w:val="00C160B0"/>
    <w:rsid w:val="00C168D2"/>
    <w:rsid w:val="00C17B5F"/>
    <w:rsid w:val="00C24EC8"/>
    <w:rsid w:val="00C37A10"/>
    <w:rsid w:val="00C4059E"/>
    <w:rsid w:val="00C410D1"/>
    <w:rsid w:val="00C46013"/>
    <w:rsid w:val="00C5376D"/>
    <w:rsid w:val="00C5446C"/>
    <w:rsid w:val="00C5447E"/>
    <w:rsid w:val="00C54ACF"/>
    <w:rsid w:val="00C600CC"/>
    <w:rsid w:val="00C6233B"/>
    <w:rsid w:val="00C65269"/>
    <w:rsid w:val="00C656F7"/>
    <w:rsid w:val="00C65A21"/>
    <w:rsid w:val="00C71AF4"/>
    <w:rsid w:val="00C724CB"/>
    <w:rsid w:val="00C7578F"/>
    <w:rsid w:val="00C762FD"/>
    <w:rsid w:val="00C76C9D"/>
    <w:rsid w:val="00C77E33"/>
    <w:rsid w:val="00C84258"/>
    <w:rsid w:val="00C84484"/>
    <w:rsid w:val="00C86266"/>
    <w:rsid w:val="00C873B2"/>
    <w:rsid w:val="00CA0292"/>
    <w:rsid w:val="00CA2092"/>
    <w:rsid w:val="00CA318C"/>
    <w:rsid w:val="00CC7AE7"/>
    <w:rsid w:val="00CD2B09"/>
    <w:rsid w:val="00CE07FF"/>
    <w:rsid w:val="00CF1A3B"/>
    <w:rsid w:val="00CF7EFF"/>
    <w:rsid w:val="00D02B55"/>
    <w:rsid w:val="00D06CC1"/>
    <w:rsid w:val="00D11232"/>
    <w:rsid w:val="00D131CC"/>
    <w:rsid w:val="00D1554D"/>
    <w:rsid w:val="00D170CB"/>
    <w:rsid w:val="00D23315"/>
    <w:rsid w:val="00D27F07"/>
    <w:rsid w:val="00D30D5D"/>
    <w:rsid w:val="00D31100"/>
    <w:rsid w:val="00D35BB5"/>
    <w:rsid w:val="00D3772F"/>
    <w:rsid w:val="00D45724"/>
    <w:rsid w:val="00D45F92"/>
    <w:rsid w:val="00D46804"/>
    <w:rsid w:val="00D47449"/>
    <w:rsid w:val="00D54487"/>
    <w:rsid w:val="00D5574A"/>
    <w:rsid w:val="00D56555"/>
    <w:rsid w:val="00D60A9A"/>
    <w:rsid w:val="00D64BF2"/>
    <w:rsid w:val="00D70C3F"/>
    <w:rsid w:val="00D72A6E"/>
    <w:rsid w:val="00D761E8"/>
    <w:rsid w:val="00D77A38"/>
    <w:rsid w:val="00D8701D"/>
    <w:rsid w:val="00D87797"/>
    <w:rsid w:val="00D90F2A"/>
    <w:rsid w:val="00D91D55"/>
    <w:rsid w:val="00D947EE"/>
    <w:rsid w:val="00DA1219"/>
    <w:rsid w:val="00DA612C"/>
    <w:rsid w:val="00DB3D3F"/>
    <w:rsid w:val="00DB6340"/>
    <w:rsid w:val="00DD2F50"/>
    <w:rsid w:val="00DD3657"/>
    <w:rsid w:val="00DD53E1"/>
    <w:rsid w:val="00DD7035"/>
    <w:rsid w:val="00DE569E"/>
    <w:rsid w:val="00DE58AC"/>
    <w:rsid w:val="00DF09CC"/>
    <w:rsid w:val="00DF3E52"/>
    <w:rsid w:val="00DF4E3A"/>
    <w:rsid w:val="00E079E7"/>
    <w:rsid w:val="00E131A6"/>
    <w:rsid w:val="00E13992"/>
    <w:rsid w:val="00E159DF"/>
    <w:rsid w:val="00E17BA5"/>
    <w:rsid w:val="00E2012F"/>
    <w:rsid w:val="00E239D8"/>
    <w:rsid w:val="00E2528C"/>
    <w:rsid w:val="00E25EFC"/>
    <w:rsid w:val="00E30F2D"/>
    <w:rsid w:val="00E3238D"/>
    <w:rsid w:val="00E32F39"/>
    <w:rsid w:val="00E3313A"/>
    <w:rsid w:val="00E344FC"/>
    <w:rsid w:val="00E42DBC"/>
    <w:rsid w:val="00E43043"/>
    <w:rsid w:val="00E45DD6"/>
    <w:rsid w:val="00E46D73"/>
    <w:rsid w:val="00E507EE"/>
    <w:rsid w:val="00E514E1"/>
    <w:rsid w:val="00E51A7A"/>
    <w:rsid w:val="00E52165"/>
    <w:rsid w:val="00E5262B"/>
    <w:rsid w:val="00E54CE8"/>
    <w:rsid w:val="00E55313"/>
    <w:rsid w:val="00E55DFA"/>
    <w:rsid w:val="00E62437"/>
    <w:rsid w:val="00E6338E"/>
    <w:rsid w:val="00E6504C"/>
    <w:rsid w:val="00E6579C"/>
    <w:rsid w:val="00E70690"/>
    <w:rsid w:val="00E7493F"/>
    <w:rsid w:val="00E74A3B"/>
    <w:rsid w:val="00E767A1"/>
    <w:rsid w:val="00E81C78"/>
    <w:rsid w:val="00E917D9"/>
    <w:rsid w:val="00E92BDD"/>
    <w:rsid w:val="00E9793D"/>
    <w:rsid w:val="00EA22CE"/>
    <w:rsid w:val="00EA2AAB"/>
    <w:rsid w:val="00EA2B4E"/>
    <w:rsid w:val="00EA756A"/>
    <w:rsid w:val="00EC3D52"/>
    <w:rsid w:val="00EC7CDF"/>
    <w:rsid w:val="00ED17C5"/>
    <w:rsid w:val="00ED1857"/>
    <w:rsid w:val="00ED373E"/>
    <w:rsid w:val="00ED4A20"/>
    <w:rsid w:val="00ED4C81"/>
    <w:rsid w:val="00ED6193"/>
    <w:rsid w:val="00EE0835"/>
    <w:rsid w:val="00EE3B15"/>
    <w:rsid w:val="00EF128F"/>
    <w:rsid w:val="00EF1B34"/>
    <w:rsid w:val="00EF4DC8"/>
    <w:rsid w:val="00EF5122"/>
    <w:rsid w:val="00EF7135"/>
    <w:rsid w:val="00F03075"/>
    <w:rsid w:val="00F059AE"/>
    <w:rsid w:val="00F0676C"/>
    <w:rsid w:val="00F071DB"/>
    <w:rsid w:val="00F1556E"/>
    <w:rsid w:val="00F2388D"/>
    <w:rsid w:val="00F32CA0"/>
    <w:rsid w:val="00F44628"/>
    <w:rsid w:val="00F45C74"/>
    <w:rsid w:val="00F47139"/>
    <w:rsid w:val="00F511C7"/>
    <w:rsid w:val="00F6498F"/>
    <w:rsid w:val="00F64AFB"/>
    <w:rsid w:val="00F64B70"/>
    <w:rsid w:val="00F75C80"/>
    <w:rsid w:val="00F764C7"/>
    <w:rsid w:val="00F80827"/>
    <w:rsid w:val="00F83A91"/>
    <w:rsid w:val="00F85D5A"/>
    <w:rsid w:val="00F86C28"/>
    <w:rsid w:val="00F875C2"/>
    <w:rsid w:val="00F9178E"/>
    <w:rsid w:val="00F92200"/>
    <w:rsid w:val="00F952AA"/>
    <w:rsid w:val="00F970ED"/>
    <w:rsid w:val="00FA36C4"/>
    <w:rsid w:val="00FA4726"/>
    <w:rsid w:val="00FA668F"/>
    <w:rsid w:val="00FB5A16"/>
    <w:rsid w:val="00FC08E2"/>
    <w:rsid w:val="00FC3F68"/>
    <w:rsid w:val="00FC4162"/>
    <w:rsid w:val="00FC4193"/>
    <w:rsid w:val="00FC5033"/>
    <w:rsid w:val="00FD15B8"/>
    <w:rsid w:val="00FD161A"/>
    <w:rsid w:val="00FD1A2D"/>
    <w:rsid w:val="00FD2726"/>
    <w:rsid w:val="00FD51D2"/>
    <w:rsid w:val="00FD56B4"/>
    <w:rsid w:val="00FD5923"/>
    <w:rsid w:val="00FE0698"/>
    <w:rsid w:val="00FE0A29"/>
    <w:rsid w:val="00FE0AAF"/>
    <w:rsid w:val="00FF32FB"/>
    <w:rsid w:val="00FF5155"/>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E81BFB"/>
  <w15:chartTrackingRefBased/>
  <w15:docId w15:val="{AEE8418D-3DDE-41DA-8E7E-AAF8A078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490856"/>
    <w:pPr>
      <w:widowControl w:val="0"/>
      <w:autoSpaceDE w:val="0"/>
      <w:autoSpaceDN w:val="0"/>
      <w:spacing w:after="0" w:line="240" w:lineRule="auto"/>
      <w:ind w:left="100"/>
      <w:outlineLvl w:val="0"/>
    </w:pPr>
    <w:rPr>
      <w:rFonts w:ascii="Times New Roman" w:eastAsia="Times New Roman" w:hAnsi="Times New Roman" w:cs="Times New Roman"/>
      <w:b/>
      <w:bCs/>
      <w:kern w:val="0"/>
      <w:sz w:val="24"/>
      <w:szCs w:val="24"/>
      <w:lang w:val="en-US"/>
      <w14:ligatures w14:val="none"/>
    </w:rPr>
  </w:style>
  <w:style w:type="paragraph" w:styleId="Heading2">
    <w:name w:val="heading 2"/>
    <w:basedOn w:val="Normal"/>
    <w:next w:val="Normal"/>
    <w:link w:val="Heading2Char"/>
    <w:uiPriority w:val="9"/>
    <w:semiHidden/>
    <w:unhideWhenUsed/>
    <w:qFormat/>
    <w:rsid w:val="005D78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3F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1AF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0856"/>
    <w:rPr>
      <w:rFonts w:ascii="Times New Roman" w:eastAsia="Times New Roman" w:hAnsi="Times New Roman" w:cs="Times New Roman"/>
      <w:b/>
      <w:bCs/>
      <w:kern w:val="0"/>
      <w:sz w:val="24"/>
      <w:szCs w:val="24"/>
      <w:lang w:val="en-US"/>
      <w14:ligatures w14:val="none"/>
    </w:rPr>
  </w:style>
  <w:style w:type="character" w:styleId="Hyperlink">
    <w:name w:val="Hyperlink"/>
    <w:basedOn w:val="DefaultParagraphFont"/>
    <w:uiPriority w:val="99"/>
    <w:unhideWhenUsed/>
    <w:rsid w:val="00663EB9"/>
    <w:rPr>
      <w:color w:val="0563C1" w:themeColor="hyperlink"/>
      <w:u w:val="single"/>
    </w:rPr>
  </w:style>
  <w:style w:type="character" w:styleId="UnresolvedMention">
    <w:name w:val="Unresolved Mention"/>
    <w:basedOn w:val="DefaultParagraphFont"/>
    <w:uiPriority w:val="99"/>
    <w:semiHidden/>
    <w:unhideWhenUsed/>
    <w:rsid w:val="009F720C"/>
    <w:rPr>
      <w:color w:val="605E5C"/>
      <w:shd w:val="clear" w:color="auto" w:fill="E1DFDD"/>
    </w:rPr>
  </w:style>
  <w:style w:type="character" w:customStyle="1" w:styleId="Heading2Char">
    <w:name w:val="Heading 2 Char"/>
    <w:basedOn w:val="DefaultParagraphFont"/>
    <w:link w:val="Heading2"/>
    <w:uiPriority w:val="9"/>
    <w:semiHidden/>
    <w:rsid w:val="005D787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5D7873"/>
    <w:pPr>
      <w:widowControl w:val="0"/>
      <w:autoSpaceDE w:val="0"/>
      <w:autoSpaceDN w:val="0"/>
      <w:spacing w:after="0" w:line="240" w:lineRule="auto"/>
      <w:ind w:left="100"/>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5D7873"/>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5D787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B22D8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22D80"/>
    <w:rPr>
      <w:b/>
      <w:bCs/>
    </w:rPr>
  </w:style>
  <w:style w:type="character" w:customStyle="1" w:styleId="Heading3Char">
    <w:name w:val="Heading 3 Char"/>
    <w:basedOn w:val="DefaultParagraphFont"/>
    <w:link w:val="Heading3"/>
    <w:uiPriority w:val="9"/>
    <w:semiHidden/>
    <w:rsid w:val="00433FEE"/>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13992"/>
    <w:pPr>
      <w:spacing w:after="0" w:line="240" w:lineRule="auto"/>
    </w:pPr>
  </w:style>
  <w:style w:type="character" w:styleId="CommentReference">
    <w:name w:val="annotation reference"/>
    <w:basedOn w:val="DefaultParagraphFont"/>
    <w:uiPriority w:val="99"/>
    <w:semiHidden/>
    <w:unhideWhenUsed/>
    <w:rsid w:val="00687472"/>
    <w:rPr>
      <w:sz w:val="16"/>
      <w:szCs w:val="16"/>
    </w:rPr>
  </w:style>
  <w:style w:type="paragraph" w:styleId="CommentText">
    <w:name w:val="annotation text"/>
    <w:basedOn w:val="Normal"/>
    <w:link w:val="CommentTextChar"/>
    <w:uiPriority w:val="99"/>
    <w:unhideWhenUsed/>
    <w:rsid w:val="00687472"/>
    <w:pPr>
      <w:spacing w:line="240" w:lineRule="auto"/>
    </w:pPr>
    <w:rPr>
      <w:sz w:val="20"/>
      <w:szCs w:val="20"/>
    </w:rPr>
  </w:style>
  <w:style w:type="character" w:customStyle="1" w:styleId="CommentTextChar">
    <w:name w:val="Comment Text Char"/>
    <w:basedOn w:val="DefaultParagraphFont"/>
    <w:link w:val="CommentText"/>
    <w:uiPriority w:val="99"/>
    <w:rsid w:val="00687472"/>
    <w:rPr>
      <w:sz w:val="20"/>
      <w:szCs w:val="20"/>
    </w:rPr>
  </w:style>
  <w:style w:type="paragraph" w:styleId="CommentSubject">
    <w:name w:val="annotation subject"/>
    <w:basedOn w:val="CommentText"/>
    <w:next w:val="CommentText"/>
    <w:link w:val="CommentSubjectChar"/>
    <w:uiPriority w:val="99"/>
    <w:semiHidden/>
    <w:unhideWhenUsed/>
    <w:rsid w:val="00687472"/>
    <w:rPr>
      <w:b/>
      <w:bCs/>
    </w:rPr>
  </w:style>
  <w:style w:type="character" w:customStyle="1" w:styleId="CommentSubjectChar">
    <w:name w:val="Comment Subject Char"/>
    <w:basedOn w:val="CommentTextChar"/>
    <w:link w:val="CommentSubject"/>
    <w:uiPriority w:val="99"/>
    <w:semiHidden/>
    <w:rsid w:val="00687472"/>
    <w:rPr>
      <w:b/>
      <w:bCs/>
      <w:sz w:val="20"/>
      <w:szCs w:val="20"/>
    </w:rPr>
  </w:style>
  <w:style w:type="table" w:styleId="TableGrid">
    <w:name w:val="Table Grid"/>
    <w:basedOn w:val="TableNormal"/>
    <w:uiPriority w:val="59"/>
    <w:rsid w:val="0041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41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E41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tml-italic">
    <w:name w:val="html-italic"/>
    <w:basedOn w:val="DefaultParagraphFont"/>
    <w:rsid w:val="00BA4BDB"/>
  </w:style>
  <w:style w:type="character" w:styleId="FollowedHyperlink">
    <w:name w:val="FollowedHyperlink"/>
    <w:basedOn w:val="DefaultParagraphFont"/>
    <w:uiPriority w:val="99"/>
    <w:semiHidden/>
    <w:unhideWhenUsed/>
    <w:rsid w:val="00222880"/>
    <w:rPr>
      <w:color w:val="954F72" w:themeColor="followedHyperlink"/>
      <w:u w:val="single"/>
    </w:rPr>
  </w:style>
  <w:style w:type="character" w:styleId="LineNumber">
    <w:name w:val="line number"/>
    <w:basedOn w:val="DefaultParagraphFont"/>
    <w:uiPriority w:val="99"/>
    <w:semiHidden/>
    <w:unhideWhenUsed/>
    <w:rsid w:val="00F6498F"/>
  </w:style>
  <w:style w:type="character" w:customStyle="1" w:styleId="Heading4Char">
    <w:name w:val="Heading 4 Char"/>
    <w:basedOn w:val="DefaultParagraphFont"/>
    <w:link w:val="Heading4"/>
    <w:uiPriority w:val="9"/>
    <w:semiHidden/>
    <w:rsid w:val="00551AF7"/>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BF2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B9"/>
  </w:style>
  <w:style w:type="paragraph" w:styleId="Footer">
    <w:name w:val="footer"/>
    <w:basedOn w:val="Normal"/>
    <w:link w:val="FooterChar"/>
    <w:uiPriority w:val="99"/>
    <w:unhideWhenUsed/>
    <w:rsid w:val="00BF2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B9"/>
  </w:style>
  <w:style w:type="paragraph" w:styleId="BalloonText">
    <w:name w:val="Balloon Text"/>
    <w:basedOn w:val="Normal"/>
    <w:link w:val="BalloonTextChar"/>
    <w:uiPriority w:val="99"/>
    <w:semiHidden/>
    <w:unhideWhenUsed/>
    <w:rsid w:val="00987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391">
      <w:bodyDiv w:val="1"/>
      <w:marLeft w:val="0"/>
      <w:marRight w:val="0"/>
      <w:marTop w:val="0"/>
      <w:marBottom w:val="0"/>
      <w:divBdr>
        <w:top w:val="none" w:sz="0" w:space="0" w:color="auto"/>
        <w:left w:val="none" w:sz="0" w:space="0" w:color="auto"/>
        <w:bottom w:val="none" w:sz="0" w:space="0" w:color="auto"/>
        <w:right w:val="none" w:sz="0" w:space="0" w:color="auto"/>
      </w:divBdr>
    </w:div>
    <w:div w:id="26104570">
      <w:bodyDiv w:val="1"/>
      <w:marLeft w:val="0"/>
      <w:marRight w:val="0"/>
      <w:marTop w:val="0"/>
      <w:marBottom w:val="0"/>
      <w:divBdr>
        <w:top w:val="none" w:sz="0" w:space="0" w:color="auto"/>
        <w:left w:val="none" w:sz="0" w:space="0" w:color="auto"/>
        <w:bottom w:val="none" w:sz="0" w:space="0" w:color="auto"/>
        <w:right w:val="none" w:sz="0" w:space="0" w:color="auto"/>
      </w:divBdr>
    </w:div>
    <w:div w:id="51126315">
      <w:bodyDiv w:val="1"/>
      <w:marLeft w:val="0"/>
      <w:marRight w:val="0"/>
      <w:marTop w:val="0"/>
      <w:marBottom w:val="0"/>
      <w:divBdr>
        <w:top w:val="none" w:sz="0" w:space="0" w:color="auto"/>
        <w:left w:val="none" w:sz="0" w:space="0" w:color="auto"/>
        <w:bottom w:val="none" w:sz="0" w:space="0" w:color="auto"/>
        <w:right w:val="none" w:sz="0" w:space="0" w:color="auto"/>
      </w:divBdr>
    </w:div>
    <w:div w:id="56250127">
      <w:bodyDiv w:val="1"/>
      <w:marLeft w:val="0"/>
      <w:marRight w:val="0"/>
      <w:marTop w:val="0"/>
      <w:marBottom w:val="0"/>
      <w:divBdr>
        <w:top w:val="none" w:sz="0" w:space="0" w:color="auto"/>
        <w:left w:val="none" w:sz="0" w:space="0" w:color="auto"/>
        <w:bottom w:val="none" w:sz="0" w:space="0" w:color="auto"/>
        <w:right w:val="none" w:sz="0" w:space="0" w:color="auto"/>
      </w:divBdr>
    </w:div>
    <w:div w:id="58211085">
      <w:bodyDiv w:val="1"/>
      <w:marLeft w:val="0"/>
      <w:marRight w:val="0"/>
      <w:marTop w:val="0"/>
      <w:marBottom w:val="0"/>
      <w:divBdr>
        <w:top w:val="none" w:sz="0" w:space="0" w:color="auto"/>
        <w:left w:val="none" w:sz="0" w:space="0" w:color="auto"/>
        <w:bottom w:val="none" w:sz="0" w:space="0" w:color="auto"/>
        <w:right w:val="none" w:sz="0" w:space="0" w:color="auto"/>
      </w:divBdr>
    </w:div>
    <w:div w:id="90441011">
      <w:bodyDiv w:val="1"/>
      <w:marLeft w:val="0"/>
      <w:marRight w:val="0"/>
      <w:marTop w:val="0"/>
      <w:marBottom w:val="0"/>
      <w:divBdr>
        <w:top w:val="none" w:sz="0" w:space="0" w:color="auto"/>
        <w:left w:val="none" w:sz="0" w:space="0" w:color="auto"/>
        <w:bottom w:val="none" w:sz="0" w:space="0" w:color="auto"/>
        <w:right w:val="none" w:sz="0" w:space="0" w:color="auto"/>
      </w:divBdr>
    </w:div>
    <w:div w:id="102968256">
      <w:bodyDiv w:val="1"/>
      <w:marLeft w:val="0"/>
      <w:marRight w:val="0"/>
      <w:marTop w:val="0"/>
      <w:marBottom w:val="0"/>
      <w:divBdr>
        <w:top w:val="none" w:sz="0" w:space="0" w:color="auto"/>
        <w:left w:val="none" w:sz="0" w:space="0" w:color="auto"/>
        <w:bottom w:val="none" w:sz="0" w:space="0" w:color="auto"/>
        <w:right w:val="none" w:sz="0" w:space="0" w:color="auto"/>
      </w:divBdr>
    </w:div>
    <w:div w:id="106315945">
      <w:bodyDiv w:val="1"/>
      <w:marLeft w:val="0"/>
      <w:marRight w:val="0"/>
      <w:marTop w:val="0"/>
      <w:marBottom w:val="0"/>
      <w:divBdr>
        <w:top w:val="none" w:sz="0" w:space="0" w:color="auto"/>
        <w:left w:val="none" w:sz="0" w:space="0" w:color="auto"/>
        <w:bottom w:val="none" w:sz="0" w:space="0" w:color="auto"/>
        <w:right w:val="none" w:sz="0" w:space="0" w:color="auto"/>
      </w:divBdr>
    </w:div>
    <w:div w:id="169610820">
      <w:bodyDiv w:val="1"/>
      <w:marLeft w:val="0"/>
      <w:marRight w:val="0"/>
      <w:marTop w:val="0"/>
      <w:marBottom w:val="0"/>
      <w:divBdr>
        <w:top w:val="none" w:sz="0" w:space="0" w:color="auto"/>
        <w:left w:val="none" w:sz="0" w:space="0" w:color="auto"/>
        <w:bottom w:val="none" w:sz="0" w:space="0" w:color="auto"/>
        <w:right w:val="none" w:sz="0" w:space="0" w:color="auto"/>
      </w:divBdr>
    </w:div>
    <w:div w:id="175116606">
      <w:bodyDiv w:val="1"/>
      <w:marLeft w:val="0"/>
      <w:marRight w:val="0"/>
      <w:marTop w:val="0"/>
      <w:marBottom w:val="0"/>
      <w:divBdr>
        <w:top w:val="none" w:sz="0" w:space="0" w:color="auto"/>
        <w:left w:val="none" w:sz="0" w:space="0" w:color="auto"/>
        <w:bottom w:val="none" w:sz="0" w:space="0" w:color="auto"/>
        <w:right w:val="none" w:sz="0" w:space="0" w:color="auto"/>
      </w:divBdr>
    </w:div>
    <w:div w:id="376206358">
      <w:bodyDiv w:val="1"/>
      <w:marLeft w:val="0"/>
      <w:marRight w:val="0"/>
      <w:marTop w:val="0"/>
      <w:marBottom w:val="0"/>
      <w:divBdr>
        <w:top w:val="none" w:sz="0" w:space="0" w:color="auto"/>
        <w:left w:val="none" w:sz="0" w:space="0" w:color="auto"/>
        <w:bottom w:val="none" w:sz="0" w:space="0" w:color="auto"/>
        <w:right w:val="none" w:sz="0" w:space="0" w:color="auto"/>
      </w:divBdr>
    </w:div>
    <w:div w:id="437258861">
      <w:bodyDiv w:val="1"/>
      <w:marLeft w:val="0"/>
      <w:marRight w:val="0"/>
      <w:marTop w:val="0"/>
      <w:marBottom w:val="0"/>
      <w:divBdr>
        <w:top w:val="none" w:sz="0" w:space="0" w:color="auto"/>
        <w:left w:val="none" w:sz="0" w:space="0" w:color="auto"/>
        <w:bottom w:val="none" w:sz="0" w:space="0" w:color="auto"/>
        <w:right w:val="none" w:sz="0" w:space="0" w:color="auto"/>
      </w:divBdr>
    </w:div>
    <w:div w:id="451048761">
      <w:bodyDiv w:val="1"/>
      <w:marLeft w:val="0"/>
      <w:marRight w:val="0"/>
      <w:marTop w:val="0"/>
      <w:marBottom w:val="0"/>
      <w:divBdr>
        <w:top w:val="none" w:sz="0" w:space="0" w:color="auto"/>
        <w:left w:val="none" w:sz="0" w:space="0" w:color="auto"/>
        <w:bottom w:val="none" w:sz="0" w:space="0" w:color="auto"/>
        <w:right w:val="none" w:sz="0" w:space="0" w:color="auto"/>
      </w:divBdr>
    </w:div>
    <w:div w:id="46539079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523639166">
      <w:bodyDiv w:val="1"/>
      <w:marLeft w:val="0"/>
      <w:marRight w:val="0"/>
      <w:marTop w:val="0"/>
      <w:marBottom w:val="0"/>
      <w:divBdr>
        <w:top w:val="none" w:sz="0" w:space="0" w:color="auto"/>
        <w:left w:val="none" w:sz="0" w:space="0" w:color="auto"/>
        <w:bottom w:val="none" w:sz="0" w:space="0" w:color="auto"/>
        <w:right w:val="none" w:sz="0" w:space="0" w:color="auto"/>
      </w:divBdr>
    </w:div>
    <w:div w:id="544873941">
      <w:bodyDiv w:val="1"/>
      <w:marLeft w:val="0"/>
      <w:marRight w:val="0"/>
      <w:marTop w:val="0"/>
      <w:marBottom w:val="0"/>
      <w:divBdr>
        <w:top w:val="none" w:sz="0" w:space="0" w:color="auto"/>
        <w:left w:val="none" w:sz="0" w:space="0" w:color="auto"/>
        <w:bottom w:val="none" w:sz="0" w:space="0" w:color="auto"/>
        <w:right w:val="none" w:sz="0" w:space="0" w:color="auto"/>
      </w:divBdr>
    </w:div>
    <w:div w:id="556551735">
      <w:bodyDiv w:val="1"/>
      <w:marLeft w:val="0"/>
      <w:marRight w:val="0"/>
      <w:marTop w:val="0"/>
      <w:marBottom w:val="0"/>
      <w:divBdr>
        <w:top w:val="none" w:sz="0" w:space="0" w:color="auto"/>
        <w:left w:val="none" w:sz="0" w:space="0" w:color="auto"/>
        <w:bottom w:val="none" w:sz="0" w:space="0" w:color="auto"/>
        <w:right w:val="none" w:sz="0" w:space="0" w:color="auto"/>
      </w:divBdr>
    </w:div>
    <w:div w:id="599483787">
      <w:bodyDiv w:val="1"/>
      <w:marLeft w:val="0"/>
      <w:marRight w:val="0"/>
      <w:marTop w:val="0"/>
      <w:marBottom w:val="0"/>
      <w:divBdr>
        <w:top w:val="none" w:sz="0" w:space="0" w:color="auto"/>
        <w:left w:val="none" w:sz="0" w:space="0" w:color="auto"/>
        <w:bottom w:val="none" w:sz="0" w:space="0" w:color="auto"/>
        <w:right w:val="none" w:sz="0" w:space="0" w:color="auto"/>
      </w:divBdr>
    </w:div>
    <w:div w:id="644311577">
      <w:bodyDiv w:val="1"/>
      <w:marLeft w:val="0"/>
      <w:marRight w:val="0"/>
      <w:marTop w:val="0"/>
      <w:marBottom w:val="0"/>
      <w:divBdr>
        <w:top w:val="none" w:sz="0" w:space="0" w:color="auto"/>
        <w:left w:val="none" w:sz="0" w:space="0" w:color="auto"/>
        <w:bottom w:val="none" w:sz="0" w:space="0" w:color="auto"/>
        <w:right w:val="none" w:sz="0" w:space="0" w:color="auto"/>
      </w:divBdr>
    </w:div>
    <w:div w:id="678391337">
      <w:bodyDiv w:val="1"/>
      <w:marLeft w:val="0"/>
      <w:marRight w:val="0"/>
      <w:marTop w:val="0"/>
      <w:marBottom w:val="0"/>
      <w:divBdr>
        <w:top w:val="none" w:sz="0" w:space="0" w:color="auto"/>
        <w:left w:val="none" w:sz="0" w:space="0" w:color="auto"/>
        <w:bottom w:val="none" w:sz="0" w:space="0" w:color="auto"/>
        <w:right w:val="none" w:sz="0" w:space="0" w:color="auto"/>
      </w:divBdr>
    </w:div>
    <w:div w:id="681712215">
      <w:bodyDiv w:val="1"/>
      <w:marLeft w:val="0"/>
      <w:marRight w:val="0"/>
      <w:marTop w:val="0"/>
      <w:marBottom w:val="0"/>
      <w:divBdr>
        <w:top w:val="none" w:sz="0" w:space="0" w:color="auto"/>
        <w:left w:val="none" w:sz="0" w:space="0" w:color="auto"/>
        <w:bottom w:val="none" w:sz="0" w:space="0" w:color="auto"/>
        <w:right w:val="none" w:sz="0" w:space="0" w:color="auto"/>
      </w:divBdr>
    </w:div>
    <w:div w:id="700787663">
      <w:bodyDiv w:val="1"/>
      <w:marLeft w:val="0"/>
      <w:marRight w:val="0"/>
      <w:marTop w:val="0"/>
      <w:marBottom w:val="0"/>
      <w:divBdr>
        <w:top w:val="none" w:sz="0" w:space="0" w:color="auto"/>
        <w:left w:val="none" w:sz="0" w:space="0" w:color="auto"/>
        <w:bottom w:val="none" w:sz="0" w:space="0" w:color="auto"/>
        <w:right w:val="none" w:sz="0" w:space="0" w:color="auto"/>
      </w:divBdr>
    </w:div>
    <w:div w:id="704446902">
      <w:bodyDiv w:val="1"/>
      <w:marLeft w:val="0"/>
      <w:marRight w:val="0"/>
      <w:marTop w:val="0"/>
      <w:marBottom w:val="0"/>
      <w:divBdr>
        <w:top w:val="none" w:sz="0" w:space="0" w:color="auto"/>
        <w:left w:val="none" w:sz="0" w:space="0" w:color="auto"/>
        <w:bottom w:val="none" w:sz="0" w:space="0" w:color="auto"/>
        <w:right w:val="none" w:sz="0" w:space="0" w:color="auto"/>
      </w:divBdr>
    </w:div>
    <w:div w:id="820266796">
      <w:bodyDiv w:val="1"/>
      <w:marLeft w:val="0"/>
      <w:marRight w:val="0"/>
      <w:marTop w:val="0"/>
      <w:marBottom w:val="0"/>
      <w:divBdr>
        <w:top w:val="none" w:sz="0" w:space="0" w:color="auto"/>
        <w:left w:val="none" w:sz="0" w:space="0" w:color="auto"/>
        <w:bottom w:val="none" w:sz="0" w:space="0" w:color="auto"/>
        <w:right w:val="none" w:sz="0" w:space="0" w:color="auto"/>
      </w:divBdr>
    </w:div>
    <w:div w:id="861550758">
      <w:bodyDiv w:val="1"/>
      <w:marLeft w:val="0"/>
      <w:marRight w:val="0"/>
      <w:marTop w:val="0"/>
      <w:marBottom w:val="0"/>
      <w:divBdr>
        <w:top w:val="none" w:sz="0" w:space="0" w:color="auto"/>
        <w:left w:val="none" w:sz="0" w:space="0" w:color="auto"/>
        <w:bottom w:val="none" w:sz="0" w:space="0" w:color="auto"/>
        <w:right w:val="none" w:sz="0" w:space="0" w:color="auto"/>
      </w:divBdr>
    </w:div>
    <w:div w:id="920330110">
      <w:bodyDiv w:val="1"/>
      <w:marLeft w:val="0"/>
      <w:marRight w:val="0"/>
      <w:marTop w:val="0"/>
      <w:marBottom w:val="0"/>
      <w:divBdr>
        <w:top w:val="none" w:sz="0" w:space="0" w:color="auto"/>
        <w:left w:val="none" w:sz="0" w:space="0" w:color="auto"/>
        <w:bottom w:val="none" w:sz="0" w:space="0" w:color="auto"/>
        <w:right w:val="none" w:sz="0" w:space="0" w:color="auto"/>
      </w:divBdr>
    </w:div>
    <w:div w:id="955479331">
      <w:bodyDiv w:val="1"/>
      <w:marLeft w:val="0"/>
      <w:marRight w:val="0"/>
      <w:marTop w:val="0"/>
      <w:marBottom w:val="0"/>
      <w:divBdr>
        <w:top w:val="none" w:sz="0" w:space="0" w:color="auto"/>
        <w:left w:val="none" w:sz="0" w:space="0" w:color="auto"/>
        <w:bottom w:val="none" w:sz="0" w:space="0" w:color="auto"/>
        <w:right w:val="none" w:sz="0" w:space="0" w:color="auto"/>
      </w:divBdr>
    </w:div>
    <w:div w:id="1032806083">
      <w:bodyDiv w:val="1"/>
      <w:marLeft w:val="0"/>
      <w:marRight w:val="0"/>
      <w:marTop w:val="0"/>
      <w:marBottom w:val="0"/>
      <w:divBdr>
        <w:top w:val="none" w:sz="0" w:space="0" w:color="auto"/>
        <w:left w:val="none" w:sz="0" w:space="0" w:color="auto"/>
        <w:bottom w:val="none" w:sz="0" w:space="0" w:color="auto"/>
        <w:right w:val="none" w:sz="0" w:space="0" w:color="auto"/>
      </w:divBdr>
    </w:div>
    <w:div w:id="1051080736">
      <w:bodyDiv w:val="1"/>
      <w:marLeft w:val="0"/>
      <w:marRight w:val="0"/>
      <w:marTop w:val="0"/>
      <w:marBottom w:val="0"/>
      <w:divBdr>
        <w:top w:val="none" w:sz="0" w:space="0" w:color="auto"/>
        <w:left w:val="none" w:sz="0" w:space="0" w:color="auto"/>
        <w:bottom w:val="none" w:sz="0" w:space="0" w:color="auto"/>
        <w:right w:val="none" w:sz="0" w:space="0" w:color="auto"/>
      </w:divBdr>
    </w:div>
    <w:div w:id="1054278992">
      <w:bodyDiv w:val="1"/>
      <w:marLeft w:val="0"/>
      <w:marRight w:val="0"/>
      <w:marTop w:val="0"/>
      <w:marBottom w:val="0"/>
      <w:divBdr>
        <w:top w:val="none" w:sz="0" w:space="0" w:color="auto"/>
        <w:left w:val="none" w:sz="0" w:space="0" w:color="auto"/>
        <w:bottom w:val="none" w:sz="0" w:space="0" w:color="auto"/>
        <w:right w:val="none" w:sz="0" w:space="0" w:color="auto"/>
      </w:divBdr>
    </w:div>
    <w:div w:id="1059014595">
      <w:bodyDiv w:val="1"/>
      <w:marLeft w:val="0"/>
      <w:marRight w:val="0"/>
      <w:marTop w:val="0"/>
      <w:marBottom w:val="0"/>
      <w:divBdr>
        <w:top w:val="none" w:sz="0" w:space="0" w:color="auto"/>
        <w:left w:val="none" w:sz="0" w:space="0" w:color="auto"/>
        <w:bottom w:val="none" w:sz="0" w:space="0" w:color="auto"/>
        <w:right w:val="none" w:sz="0" w:space="0" w:color="auto"/>
      </w:divBdr>
    </w:div>
    <w:div w:id="1069226088">
      <w:bodyDiv w:val="1"/>
      <w:marLeft w:val="0"/>
      <w:marRight w:val="0"/>
      <w:marTop w:val="0"/>
      <w:marBottom w:val="0"/>
      <w:divBdr>
        <w:top w:val="none" w:sz="0" w:space="0" w:color="auto"/>
        <w:left w:val="none" w:sz="0" w:space="0" w:color="auto"/>
        <w:bottom w:val="none" w:sz="0" w:space="0" w:color="auto"/>
        <w:right w:val="none" w:sz="0" w:space="0" w:color="auto"/>
      </w:divBdr>
    </w:div>
    <w:div w:id="1079255531">
      <w:bodyDiv w:val="1"/>
      <w:marLeft w:val="0"/>
      <w:marRight w:val="0"/>
      <w:marTop w:val="0"/>
      <w:marBottom w:val="0"/>
      <w:divBdr>
        <w:top w:val="none" w:sz="0" w:space="0" w:color="auto"/>
        <w:left w:val="none" w:sz="0" w:space="0" w:color="auto"/>
        <w:bottom w:val="none" w:sz="0" w:space="0" w:color="auto"/>
        <w:right w:val="none" w:sz="0" w:space="0" w:color="auto"/>
      </w:divBdr>
    </w:div>
    <w:div w:id="1145657503">
      <w:bodyDiv w:val="1"/>
      <w:marLeft w:val="0"/>
      <w:marRight w:val="0"/>
      <w:marTop w:val="0"/>
      <w:marBottom w:val="0"/>
      <w:divBdr>
        <w:top w:val="none" w:sz="0" w:space="0" w:color="auto"/>
        <w:left w:val="none" w:sz="0" w:space="0" w:color="auto"/>
        <w:bottom w:val="none" w:sz="0" w:space="0" w:color="auto"/>
        <w:right w:val="none" w:sz="0" w:space="0" w:color="auto"/>
      </w:divBdr>
    </w:div>
    <w:div w:id="1176654389">
      <w:bodyDiv w:val="1"/>
      <w:marLeft w:val="0"/>
      <w:marRight w:val="0"/>
      <w:marTop w:val="0"/>
      <w:marBottom w:val="0"/>
      <w:divBdr>
        <w:top w:val="none" w:sz="0" w:space="0" w:color="auto"/>
        <w:left w:val="none" w:sz="0" w:space="0" w:color="auto"/>
        <w:bottom w:val="none" w:sz="0" w:space="0" w:color="auto"/>
        <w:right w:val="none" w:sz="0" w:space="0" w:color="auto"/>
      </w:divBdr>
    </w:div>
    <w:div w:id="1214002909">
      <w:bodyDiv w:val="1"/>
      <w:marLeft w:val="0"/>
      <w:marRight w:val="0"/>
      <w:marTop w:val="0"/>
      <w:marBottom w:val="0"/>
      <w:divBdr>
        <w:top w:val="none" w:sz="0" w:space="0" w:color="auto"/>
        <w:left w:val="none" w:sz="0" w:space="0" w:color="auto"/>
        <w:bottom w:val="none" w:sz="0" w:space="0" w:color="auto"/>
        <w:right w:val="none" w:sz="0" w:space="0" w:color="auto"/>
      </w:divBdr>
    </w:div>
    <w:div w:id="1322002147">
      <w:bodyDiv w:val="1"/>
      <w:marLeft w:val="0"/>
      <w:marRight w:val="0"/>
      <w:marTop w:val="0"/>
      <w:marBottom w:val="0"/>
      <w:divBdr>
        <w:top w:val="none" w:sz="0" w:space="0" w:color="auto"/>
        <w:left w:val="none" w:sz="0" w:space="0" w:color="auto"/>
        <w:bottom w:val="none" w:sz="0" w:space="0" w:color="auto"/>
        <w:right w:val="none" w:sz="0" w:space="0" w:color="auto"/>
      </w:divBdr>
    </w:div>
    <w:div w:id="1330600470">
      <w:bodyDiv w:val="1"/>
      <w:marLeft w:val="0"/>
      <w:marRight w:val="0"/>
      <w:marTop w:val="0"/>
      <w:marBottom w:val="0"/>
      <w:divBdr>
        <w:top w:val="none" w:sz="0" w:space="0" w:color="auto"/>
        <w:left w:val="none" w:sz="0" w:space="0" w:color="auto"/>
        <w:bottom w:val="none" w:sz="0" w:space="0" w:color="auto"/>
        <w:right w:val="none" w:sz="0" w:space="0" w:color="auto"/>
      </w:divBdr>
    </w:div>
    <w:div w:id="1374302970">
      <w:bodyDiv w:val="1"/>
      <w:marLeft w:val="0"/>
      <w:marRight w:val="0"/>
      <w:marTop w:val="0"/>
      <w:marBottom w:val="0"/>
      <w:divBdr>
        <w:top w:val="none" w:sz="0" w:space="0" w:color="auto"/>
        <w:left w:val="none" w:sz="0" w:space="0" w:color="auto"/>
        <w:bottom w:val="none" w:sz="0" w:space="0" w:color="auto"/>
        <w:right w:val="none" w:sz="0" w:space="0" w:color="auto"/>
      </w:divBdr>
    </w:div>
    <w:div w:id="1449085078">
      <w:bodyDiv w:val="1"/>
      <w:marLeft w:val="0"/>
      <w:marRight w:val="0"/>
      <w:marTop w:val="0"/>
      <w:marBottom w:val="0"/>
      <w:divBdr>
        <w:top w:val="none" w:sz="0" w:space="0" w:color="auto"/>
        <w:left w:val="none" w:sz="0" w:space="0" w:color="auto"/>
        <w:bottom w:val="none" w:sz="0" w:space="0" w:color="auto"/>
        <w:right w:val="none" w:sz="0" w:space="0" w:color="auto"/>
      </w:divBdr>
    </w:div>
    <w:div w:id="1456564669">
      <w:bodyDiv w:val="1"/>
      <w:marLeft w:val="0"/>
      <w:marRight w:val="0"/>
      <w:marTop w:val="0"/>
      <w:marBottom w:val="0"/>
      <w:divBdr>
        <w:top w:val="none" w:sz="0" w:space="0" w:color="auto"/>
        <w:left w:val="none" w:sz="0" w:space="0" w:color="auto"/>
        <w:bottom w:val="none" w:sz="0" w:space="0" w:color="auto"/>
        <w:right w:val="none" w:sz="0" w:space="0" w:color="auto"/>
      </w:divBdr>
    </w:div>
    <w:div w:id="1521042914">
      <w:bodyDiv w:val="1"/>
      <w:marLeft w:val="0"/>
      <w:marRight w:val="0"/>
      <w:marTop w:val="0"/>
      <w:marBottom w:val="0"/>
      <w:divBdr>
        <w:top w:val="none" w:sz="0" w:space="0" w:color="auto"/>
        <w:left w:val="none" w:sz="0" w:space="0" w:color="auto"/>
        <w:bottom w:val="none" w:sz="0" w:space="0" w:color="auto"/>
        <w:right w:val="none" w:sz="0" w:space="0" w:color="auto"/>
      </w:divBdr>
    </w:div>
    <w:div w:id="1546019115">
      <w:bodyDiv w:val="1"/>
      <w:marLeft w:val="0"/>
      <w:marRight w:val="0"/>
      <w:marTop w:val="0"/>
      <w:marBottom w:val="0"/>
      <w:divBdr>
        <w:top w:val="none" w:sz="0" w:space="0" w:color="auto"/>
        <w:left w:val="none" w:sz="0" w:space="0" w:color="auto"/>
        <w:bottom w:val="none" w:sz="0" w:space="0" w:color="auto"/>
        <w:right w:val="none" w:sz="0" w:space="0" w:color="auto"/>
      </w:divBdr>
    </w:div>
    <w:div w:id="1582565925">
      <w:bodyDiv w:val="1"/>
      <w:marLeft w:val="0"/>
      <w:marRight w:val="0"/>
      <w:marTop w:val="0"/>
      <w:marBottom w:val="0"/>
      <w:divBdr>
        <w:top w:val="none" w:sz="0" w:space="0" w:color="auto"/>
        <w:left w:val="none" w:sz="0" w:space="0" w:color="auto"/>
        <w:bottom w:val="none" w:sz="0" w:space="0" w:color="auto"/>
        <w:right w:val="none" w:sz="0" w:space="0" w:color="auto"/>
      </w:divBdr>
    </w:div>
    <w:div w:id="1637446216">
      <w:bodyDiv w:val="1"/>
      <w:marLeft w:val="0"/>
      <w:marRight w:val="0"/>
      <w:marTop w:val="0"/>
      <w:marBottom w:val="0"/>
      <w:divBdr>
        <w:top w:val="none" w:sz="0" w:space="0" w:color="auto"/>
        <w:left w:val="none" w:sz="0" w:space="0" w:color="auto"/>
        <w:bottom w:val="none" w:sz="0" w:space="0" w:color="auto"/>
        <w:right w:val="none" w:sz="0" w:space="0" w:color="auto"/>
      </w:divBdr>
    </w:div>
    <w:div w:id="1645625797">
      <w:bodyDiv w:val="1"/>
      <w:marLeft w:val="0"/>
      <w:marRight w:val="0"/>
      <w:marTop w:val="0"/>
      <w:marBottom w:val="0"/>
      <w:divBdr>
        <w:top w:val="none" w:sz="0" w:space="0" w:color="auto"/>
        <w:left w:val="none" w:sz="0" w:space="0" w:color="auto"/>
        <w:bottom w:val="none" w:sz="0" w:space="0" w:color="auto"/>
        <w:right w:val="none" w:sz="0" w:space="0" w:color="auto"/>
      </w:divBdr>
    </w:div>
    <w:div w:id="1673293277">
      <w:bodyDiv w:val="1"/>
      <w:marLeft w:val="0"/>
      <w:marRight w:val="0"/>
      <w:marTop w:val="0"/>
      <w:marBottom w:val="0"/>
      <w:divBdr>
        <w:top w:val="none" w:sz="0" w:space="0" w:color="auto"/>
        <w:left w:val="none" w:sz="0" w:space="0" w:color="auto"/>
        <w:bottom w:val="none" w:sz="0" w:space="0" w:color="auto"/>
        <w:right w:val="none" w:sz="0" w:space="0" w:color="auto"/>
      </w:divBdr>
    </w:div>
    <w:div w:id="1718625806">
      <w:bodyDiv w:val="1"/>
      <w:marLeft w:val="0"/>
      <w:marRight w:val="0"/>
      <w:marTop w:val="0"/>
      <w:marBottom w:val="0"/>
      <w:divBdr>
        <w:top w:val="none" w:sz="0" w:space="0" w:color="auto"/>
        <w:left w:val="none" w:sz="0" w:space="0" w:color="auto"/>
        <w:bottom w:val="none" w:sz="0" w:space="0" w:color="auto"/>
        <w:right w:val="none" w:sz="0" w:space="0" w:color="auto"/>
      </w:divBdr>
    </w:div>
    <w:div w:id="1725181809">
      <w:bodyDiv w:val="1"/>
      <w:marLeft w:val="0"/>
      <w:marRight w:val="0"/>
      <w:marTop w:val="0"/>
      <w:marBottom w:val="0"/>
      <w:divBdr>
        <w:top w:val="none" w:sz="0" w:space="0" w:color="auto"/>
        <w:left w:val="none" w:sz="0" w:space="0" w:color="auto"/>
        <w:bottom w:val="none" w:sz="0" w:space="0" w:color="auto"/>
        <w:right w:val="none" w:sz="0" w:space="0" w:color="auto"/>
      </w:divBdr>
    </w:div>
    <w:div w:id="1807621591">
      <w:bodyDiv w:val="1"/>
      <w:marLeft w:val="0"/>
      <w:marRight w:val="0"/>
      <w:marTop w:val="0"/>
      <w:marBottom w:val="0"/>
      <w:divBdr>
        <w:top w:val="none" w:sz="0" w:space="0" w:color="auto"/>
        <w:left w:val="none" w:sz="0" w:space="0" w:color="auto"/>
        <w:bottom w:val="none" w:sz="0" w:space="0" w:color="auto"/>
        <w:right w:val="none" w:sz="0" w:space="0" w:color="auto"/>
      </w:divBdr>
    </w:div>
    <w:div w:id="1816296954">
      <w:bodyDiv w:val="1"/>
      <w:marLeft w:val="0"/>
      <w:marRight w:val="0"/>
      <w:marTop w:val="0"/>
      <w:marBottom w:val="0"/>
      <w:divBdr>
        <w:top w:val="none" w:sz="0" w:space="0" w:color="auto"/>
        <w:left w:val="none" w:sz="0" w:space="0" w:color="auto"/>
        <w:bottom w:val="none" w:sz="0" w:space="0" w:color="auto"/>
        <w:right w:val="none" w:sz="0" w:space="0" w:color="auto"/>
      </w:divBdr>
    </w:div>
    <w:div w:id="1834682598">
      <w:bodyDiv w:val="1"/>
      <w:marLeft w:val="0"/>
      <w:marRight w:val="0"/>
      <w:marTop w:val="0"/>
      <w:marBottom w:val="0"/>
      <w:divBdr>
        <w:top w:val="none" w:sz="0" w:space="0" w:color="auto"/>
        <w:left w:val="none" w:sz="0" w:space="0" w:color="auto"/>
        <w:bottom w:val="none" w:sz="0" w:space="0" w:color="auto"/>
        <w:right w:val="none" w:sz="0" w:space="0" w:color="auto"/>
      </w:divBdr>
    </w:div>
    <w:div w:id="1864175003">
      <w:bodyDiv w:val="1"/>
      <w:marLeft w:val="0"/>
      <w:marRight w:val="0"/>
      <w:marTop w:val="0"/>
      <w:marBottom w:val="0"/>
      <w:divBdr>
        <w:top w:val="none" w:sz="0" w:space="0" w:color="auto"/>
        <w:left w:val="none" w:sz="0" w:space="0" w:color="auto"/>
        <w:bottom w:val="none" w:sz="0" w:space="0" w:color="auto"/>
        <w:right w:val="none" w:sz="0" w:space="0" w:color="auto"/>
      </w:divBdr>
    </w:div>
    <w:div w:id="1956205188">
      <w:bodyDiv w:val="1"/>
      <w:marLeft w:val="0"/>
      <w:marRight w:val="0"/>
      <w:marTop w:val="0"/>
      <w:marBottom w:val="0"/>
      <w:divBdr>
        <w:top w:val="none" w:sz="0" w:space="0" w:color="auto"/>
        <w:left w:val="none" w:sz="0" w:space="0" w:color="auto"/>
        <w:bottom w:val="none" w:sz="0" w:space="0" w:color="auto"/>
        <w:right w:val="none" w:sz="0" w:space="0" w:color="auto"/>
      </w:divBdr>
    </w:div>
    <w:div w:id="1957248880">
      <w:bodyDiv w:val="1"/>
      <w:marLeft w:val="0"/>
      <w:marRight w:val="0"/>
      <w:marTop w:val="0"/>
      <w:marBottom w:val="0"/>
      <w:divBdr>
        <w:top w:val="none" w:sz="0" w:space="0" w:color="auto"/>
        <w:left w:val="none" w:sz="0" w:space="0" w:color="auto"/>
        <w:bottom w:val="none" w:sz="0" w:space="0" w:color="auto"/>
        <w:right w:val="none" w:sz="0" w:space="0" w:color="auto"/>
      </w:divBdr>
    </w:div>
    <w:div w:id="2000423520">
      <w:bodyDiv w:val="1"/>
      <w:marLeft w:val="0"/>
      <w:marRight w:val="0"/>
      <w:marTop w:val="0"/>
      <w:marBottom w:val="0"/>
      <w:divBdr>
        <w:top w:val="none" w:sz="0" w:space="0" w:color="auto"/>
        <w:left w:val="none" w:sz="0" w:space="0" w:color="auto"/>
        <w:bottom w:val="none" w:sz="0" w:space="0" w:color="auto"/>
        <w:right w:val="none" w:sz="0" w:space="0" w:color="auto"/>
      </w:divBdr>
    </w:div>
    <w:div w:id="2025552475">
      <w:bodyDiv w:val="1"/>
      <w:marLeft w:val="0"/>
      <w:marRight w:val="0"/>
      <w:marTop w:val="0"/>
      <w:marBottom w:val="0"/>
      <w:divBdr>
        <w:top w:val="none" w:sz="0" w:space="0" w:color="auto"/>
        <w:left w:val="none" w:sz="0" w:space="0" w:color="auto"/>
        <w:bottom w:val="none" w:sz="0" w:space="0" w:color="auto"/>
        <w:right w:val="none" w:sz="0" w:space="0" w:color="auto"/>
      </w:divBdr>
    </w:div>
    <w:div w:id="2030714293">
      <w:bodyDiv w:val="1"/>
      <w:marLeft w:val="0"/>
      <w:marRight w:val="0"/>
      <w:marTop w:val="0"/>
      <w:marBottom w:val="0"/>
      <w:divBdr>
        <w:top w:val="none" w:sz="0" w:space="0" w:color="auto"/>
        <w:left w:val="none" w:sz="0" w:space="0" w:color="auto"/>
        <w:bottom w:val="none" w:sz="0" w:space="0" w:color="auto"/>
        <w:right w:val="none" w:sz="0" w:space="0" w:color="auto"/>
      </w:divBdr>
    </w:div>
    <w:div w:id="2047025337">
      <w:bodyDiv w:val="1"/>
      <w:marLeft w:val="0"/>
      <w:marRight w:val="0"/>
      <w:marTop w:val="0"/>
      <w:marBottom w:val="0"/>
      <w:divBdr>
        <w:top w:val="none" w:sz="0" w:space="0" w:color="auto"/>
        <w:left w:val="none" w:sz="0" w:space="0" w:color="auto"/>
        <w:bottom w:val="none" w:sz="0" w:space="0" w:color="auto"/>
        <w:right w:val="none" w:sz="0" w:space="0" w:color="auto"/>
      </w:divBdr>
    </w:div>
    <w:div w:id="21037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nuccore/OQ165165"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ncbi.nlm.nih.gov/nuccore/OQ1651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1082E-BB48-4CC6-8211-25F4C3FE2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25</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32531</CharactersWithSpaces>
  <SharedDoc>false</SharedDoc>
  <HLinks>
    <vt:vector size="150" baseType="variant">
      <vt:variant>
        <vt:i4>786458</vt:i4>
      </vt:variant>
      <vt:variant>
        <vt:i4>72</vt:i4>
      </vt:variant>
      <vt:variant>
        <vt:i4>0</vt:i4>
      </vt:variant>
      <vt:variant>
        <vt:i4>5</vt:i4>
      </vt:variant>
      <vt:variant>
        <vt:lpwstr>https://www.ncbi.nlm.nih.gov/nuccore/OQ165165</vt:lpwstr>
      </vt:variant>
      <vt:variant>
        <vt:lpwstr/>
      </vt:variant>
      <vt:variant>
        <vt:i4>983066</vt:i4>
      </vt:variant>
      <vt:variant>
        <vt:i4>69</vt:i4>
      </vt:variant>
      <vt:variant>
        <vt:i4>0</vt:i4>
      </vt:variant>
      <vt:variant>
        <vt:i4>5</vt:i4>
      </vt:variant>
      <vt:variant>
        <vt:lpwstr>https://www.ncbi.nlm.nih.gov/nuccore/OQ165158</vt:lpwstr>
      </vt:variant>
      <vt:variant>
        <vt:lpwstr/>
      </vt:variant>
      <vt:variant>
        <vt:i4>1376348</vt:i4>
      </vt:variant>
      <vt:variant>
        <vt:i4>66</vt:i4>
      </vt:variant>
      <vt:variant>
        <vt:i4>0</vt:i4>
      </vt:variant>
      <vt:variant>
        <vt:i4>5</vt:i4>
      </vt:variant>
      <vt:variant>
        <vt:lpwstr>https://doi.org/10.5772/65507</vt:lpwstr>
      </vt:variant>
      <vt:variant>
        <vt:lpwstr/>
      </vt:variant>
      <vt:variant>
        <vt:i4>7077941</vt:i4>
      </vt:variant>
      <vt:variant>
        <vt:i4>63</vt:i4>
      </vt:variant>
      <vt:variant>
        <vt:i4>0</vt:i4>
      </vt:variant>
      <vt:variant>
        <vt:i4>5</vt:i4>
      </vt:variant>
      <vt:variant>
        <vt:lpwstr>https://doi.org/10.1038/s41598-018-21413-x</vt:lpwstr>
      </vt:variant>
      <vt:variant>
        <vt:lpwstr/>
      </vt:variant>
      <vt:variant>
        <vt:i4>2031684</vt:i4>
      </vt:variant>
      <vt:variant>
        <vt:i4>60</vt:i4>
      </vt:variant>
      <vt:variant>
        <vt:i4>0</vt:i4>
      </vt:variant>
      <vt:variant>
        <vt:i4>5</vt:i4>
      </vt:variant>
      <vt:variant>
        <vt:lpwstr>https://doi.org/10.3390/fermentation11030124</vt:lpwstr>
      </vt:variant>
      <vt:variant>
        <vt:lpwstr/>
      </vt:variant>
      <vt:variant>
        <vt:i4>655474</vt:i4>
      </vt:variant>
      <vt:variant>
        <vt:i4>57</vt:i4>
      </vt:variant>
      <vt:variant>
        <vt:i4>0</vt:i4>
      </vt:variant>
      <vt:variant>
        <vt:i4>5</vt:i4>
      </vt:variant>
      <vt:variant>
        <vt:lpwstr>https://uknowledge.uky.edu/bae_facpub/169</vt:lpwstr>
      </vt:variant>
      <vt:variant>
        <vt:lpwstr/>
      </vt:variant>
      <vt:variant>
        <vt:i4>6881334</vt:i4>
      </vt:variant>
      <vt:variant>
        <vt:i4>54</vt:i4>
      </vt:variant>
      <vt:variant>
        <vt:i4>0</vt:i4>
      </vt:variant>
      <vt:variant>
        <vt:i4>5</vt:i4>
      </vt:variant>
      <vt:variant>
        <vt:lpwstr>https://doi.org/10.1186/s13068-021-01934-w</vt:lpwstr>
      </vt:variant>
      <vt:variant>
        <vt:lpwstr/>
      </vt:variant>
      <vt:variant>
        <vt:i4>7143470</vt:i4>
      </vt:variant>
      <vt:variant>
        <vt:i4>51</vt:i4>
      </vt:variant>
      <vt:variant>
        <vt:i4>0</vt:i4>
      </vt:variant>
      <vt:variant>
        <vt:i4>5</vt:i4>
      </vt:variant>
      <vt:variant>
        <vt:lpwstr>https://doi.org/10.3390/microorganisms10091716</vt:lpwstr>
      </vt:variant>
      <vt:variant>
        <vt:lpwstr/>
      </vt:variant>
      <vt:variant>
        <vt:i4>5308432</vt:i4>
      </vt:variant>
      <vt:variant>
        <vt:i4>48</vt:i4>
      </vt:variant>
      <vt:variant>
        <vt:i4>0</vt:i4>
      </vt:variant>
      <vt:variant>
        <vt:i4>5</vt:i4>
      </vt:variant>
      <vt:variant>
        <vt:lpwstr>https://doi.org/10.3390/microorganisms8030442</vt:lpwstr>
      </vt:variant>
      <vt:variant>
        <vt:lpwstr/>
      </vt:variant>
      <vt:variant>
        <vt:i4>2097201</vt:i4>
      </vt:variant>
      <vt:variant>
        <vt:i4>45</vt:i4>
      </vt:variant>
      <vt:variant>
        <vt:i4>0</vt:i4>
      </vt:variant>
      <vt:variant>
        <vt:i4>5</vt:i4>
      </vt:variant>
      <vt:variant>
        <vt:lpwstr>https://doi.org/10.1186/s13068-021-01949-3</vt:lpwstr>
      </vt:variant>
      <vt:variant>
        <vt:lpwstr/>
      </vt:variant>
      <vt:variant>
        <vt:i4>4128809</vt:i4>
      </vt:variant>
      <vt:variant>
        <vt:i4>42</vt:i4>
      </vt:variant>
      <vt:variant>
        <vt:i4>0</vt:i4>
      </vt:variant>
      <vt:variant>
        <vt:i4>5</vt:i4>
      </vt:variant>
      <vt:variant>
        <vt:lpwstr>https://doi.org/10.1016/B978-0-12-819990-9.00044-5</vt:lpwstr>
      </vt:variant>
      <vt:variant>
        <vt:lpwstr/>
      </vt:variant>
      <vt:variant>
        <vt:i4>1507394</vt:i4>
      </vt:variant>
      <vt:variant>
        <vt:i4>39</vt:i4>
      </vt:variant>
      <vt:variant>
        <vt:i4>0</vt:i4>
      </vt:variant>
      <vt:variant>
        <vt:i4>5</vt:i4>
      </vt:variant>
      <vt:variant>
        <vt:lpwstr>https://doi.org/10.3390/fermentation10090442</vt:lpwstr>
      </vt:variant>
      <vt:variant>
        <vt:lpwstr/>
      </vt:variant>
      <vt:variant>
        <vt:i4>3342368</vt:i4>
      </vt:variant>
      <vt:variant>
        <vt:i4>36</vt:i4>
      </vt:variant>
      <vt:variant>
        <vt:i4>0</vt:i4>
      </vt:variant>
      <vt:variant>
        <vt:i4>5</vt:i4>
      </vt:variant>
      <vt:variant>
        <vt:lpwstr>https://doi.org/10.1016/j.biortech.2014.06.082</vt:lpwstr>
      </vt:variant>
      <vt:variant>
        <vt:lpwstr/>
      </vt:variant>
      <vt:variant>
        <vt:i4>3735590</vt:i4>
      </vt:variant>
      <vt:variant>
        <vt:i4>33</vt:i4>
      </vt:variant>
      <vt:variant>
        <vt:i4>0</vt:i4>
      </vt:variant>
      <vt:variant>
        <vt:i4>5</vt:i4>
      </vt:variant>
      <vt:variant>
        <vt:lpwstr>https://doi.org/10.1016/j.tibs.2016.04.006</vt:lpwstr>
      </vt:variant>
      <vt:variant>
        <vt:lpwstr/>
      </vt:variant>
      <vt:variant>
        <vt:i4>4063282</vt:i4>
      </vt:variant>
      <vt:variant>
        <vt:i4>30</vt:i4>
      </vt:variant>
      <vt:variant>
        <vt:i4>0</vt:i4>
      </vt:variant>
      <vt:variant>
        <vt:i4>5</vt:i4>
      </vt:variant>
      <vt:variant>
        <vt:lpwstr>https://doi.org/10.1016/j.biortech.2024.131049</vt:lpwstr>
      </vt:variant>
      <vt:variant>
        <vt:lpwstr/>
      </vt:variant>
      <vt:variant>
        <vt:i4>6815799</vt:i4>
      </vt:variant>
      <vt:variant>
        <vt:i4>27</vt:i4>
      </vt:variant>
      <vt:variant>
        <vt:i4>0</vt:i4>
      </vt:variant>
      <vt:variant>
        <vt:i4>5</vt:i4>
      </vt:variant>
      <vt:variant>
        <vt:lpwstr>https://doi.org/10.1104/pp.26.1.192</vt:lpwstr>
      </vt:variant>
      <vt:variant>
        <vt:lpwstr/>
      </vt:variant>
      <vt:variant>
        <vt:i4>2424887</vt:i4>
      </vt:variant>
      <vt:variant>
        <vt:i4>24</vt:i4>
      </vt:variant>
      <vt:variant>
        <vt:i4>0</vt:i4>
      </vt:variant>
      <vt:variant>
        <vt:i4>5</vt:i4>
      </vt:variant>
      <vt:variant>
        <vt:lpwstr>https://doi.org/10.1186/s12934-024-02454-6</vt:lpwstr>
      </vt:variant>
      <vt:variant>
        <vt:lpwstr/>
      </vt:variant>
      <vt:variant>
        <vt:i4>5570572</vt:i4>
      </vt:variant>
      <vt:variant>
        <vt:i4>21</vt:i4>
      </vt:variant>
      <vt:variant>
        <vt:i4>0</vt:i4>
      </vt:variant>
      <vt:variant>
        <vt:i4>5</vt:i4>
      </vt:variant>
      <vt:variant>
        <vt:lpwstr>https://doi.org/10.1016/j.wmb.2024.11.011</vt:lpwstr>
      </vt:variant>
      <vt:variant>
        <vt:lpwstr/>
      </vt:variant>
      <vt:variant>
        <vt:i4>7471164</vt:i4>
      </vt:variant>
      <vt:variant>
        <vt:i4>18</vt:i4>
      </vt:variant>
      <vt:variant>
        <vt:i4>0</vt:i4>
      </vt:variant>
      <vt:variant>
        <vt:i4>5</vt:i4>
      </vt:variant>
      <vt:variant>
        <vt:lpwstr>https://doi.org/10.1042/BJ20091254</vt:lpwstr>
      </vt:variant>
      <vt:variant>
        <vt:lpwstr/>
      </vt:variant>
      <vt:variant>
        <vt:i4>3145783</vt:i4>
      </vt:variant>
      <vt:variant>
        <vt:i4>15</vt:i4>
      </vt:variant>
      <vt:variant>
        <vt:i4>0</vt:i4>
      </vt:variant>
      <vt:variant>
        <vt:i4>5</vt:i4>
      </vt:variant>
      <vt:variant>
        <vt:lpwstr>https://doi.org/10.3389/ffunb.2024.1494182</vt:lpwstr>
      </vt:variant>
      <vt:variant>
        <vt:lpwstr/>
      </vt:variant>
      <vt:variant>
        <vt:i4>3342386</vt:i4>
      </vt:variant>
      <vt:variant>
        <vt:i4>12</vt:i4>
      </vt:variant>
      <vt:variant>
        <vt:i4>0</vt:i4>
      </vt:variant>
      <vt:variant>
        <vt:i4>5</vt:i4>
      </vt:variant>
      <vt:variant>
        <vt:lpwstr>https://doi.org/10.1016/j.biortech.2021.126065</vt:lpwstr>
      </vt:variant>
      <vt:variant>
        <vt:lpwstr/>
      </vt:variant>
      <vt:variant>
        <vt:i4>7733283</vt:i4>
      </vt:variant>
      <vt:variant>
        <vt:i4>9</vt:i4>
      </vt:variant>
      <vt:variant>
        <vt:i4>0</vt:i4>
      </vt:variant>
      <vt:variant>
        <vt:i4>5</vt:i4>
      </vt:variant>
      <vt:variant>
        <vt:lpwstr>https://doi.org/10.5586/am.5512</vt:lpwstr>
      </vt:variant>
      <vt:variant>
        <vt:lpwstr/>
      </vt:variant>
      <vt:variant>
        <vt:i4>7798886</vt:i4>
      </vt:variant>
      <vt:variant>
        <vt:i4>6</vt:i4>
      </vt:variant>
      <vt:variant>
        <vt:i4>0</vt:i4>
      </vt:variant>
      <vt:variant>
        <vt:i4>5</vt:i4>
      </vt:variant>
      <vt:variant>
        <vt:lpwstr>https://doi.org/10.3390/jof9020239</vt:lpwstr>
      </vt:variant>
      <vt:variant>
        <vt:lpwstr/>
      </vt:variant>
      <vt:variant>
        <vt:i4>2818100</vt:i4>
      </vt:variant>
      <vt:variant>
        <vt:i4>3</vt:i4>
      </vt:variant>
      <vt:variant>
        <vt:i4>0</vt:i4>
      </vt:variant>
      <vt:variant>
        <vt:i4>5</vt:i4>
      </vt:variant>
      <vt:variant>
        <vt:lpwstr>https://doi.org/10.1186/s40543-020-00217-7</vt:lpwstr>
      </vt:variant>
      <vt:variant>
        <vt:lpwstr/>
      </vt:variant>
      <vt:variant>
        <vt:i4>5242916</vt:i4>
      </vt:variant>
      <vt:variant>
        <vt:i4>0</vt:i4>
      </vt:variant>
      <vt:variant>
        <vt:i4>0</vt:i4>
      </vt:variant>
      <vt:variant>
        <vt:i4>5</vt:i4>
      </vt:variant>
      <vt:variant>
        <vt:lpwstr>mailto:savitha.santosh-icar@icar.org.in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Editor-1183</cp:lastModifiedBy>
  <cp:revision>26</cp:revision>
  <dcterms:created xsi:type="dcterms:W3CDTF">2026-03-09T13:34:00Z</dcterms:created>
  <dcterms:modified xsi:type="dcterms:W3CDTF">2026-03-18T11:20:00Z</dcterms:modified>
</cp:coreProperties>
</file>