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840B" w14:textId="51EF9803" w:rsidR="000754BB" w:rsidRPr="002E0A5B" w:rsidRDefault="000754BB" w:rsidP="000754BB">
      <w:pPr>
        <w:spacing w:before="0" w:beforeAutospacing="0" w:after="160" w:afterAutospacing="0" w:line="278" w:lineRule="auto"/>
        <w:jc w:val="center"/>
        <w:rPr>
          <w:rFonts w:ascii="Times New Roman" w:hAnsi="Times New Roman" w:cs="Times New Roman"/>
          <w:kern w:val="2"/>
          <w:sz w:val="24"/>
          <w:szCs w:val="24"/>
          <w14:ligatures w14:val="standardContextual"/>
        </w:rPr>
      </w:pPr>
    </w:p>
    <w:p w14:paraId="75F108AC" w14:textId="77777777" w:rsidR="000754BB" w:rsidRPr="002E0A5B" w:rsidRDefault="000754BB" w:rsidP="000754BB">
      <w:pPr>
        <w:spacing w:before="0" w:beforeAutospacing="0" w:after="160" w:afterAutospacing="0" w:line="278" w:lineRule="auto"/>
        <w:jc w:val="center"/>
        <w:rPr>
          <w:rFonts w:ascii="Times New Roman" w:hAnsi="Times New Roman" w:cs="Times New Roman"/>
          <w:kern w:val="2"/>
          <w:sz w:val="24"/>
          <w:szCs w:val="24"/>
          <w14:ligatures w14:val="standardContextual"/>
        </w:rPr>
      </w:pPr>
    </w:p>
    <w:p w14:paraId="3F805F68" w14:textId="6556D2A2" w:rsidR="000754BB" w:rsidRPr="00930D12" w:rsidRDefault="008E3D5C"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Bacteriological analysis of water </w:t>
      </w:r>
      <w:r w:rsidRPr="00681675">
        <w:rPr>
          <w:rFonts w:ascii="Times New Roman" w:hAnsi="Times New Roman" w:cs="Times New Roman"/>
          <w:sz w:val="24"/>
          <w:szCs w:val="24"/>
          <w:highlight w:val="yellow"/>
        </w:rPr>
        <w:t>stored</w:t>
      </w:r>
      <w:r w:rsidRPr="00930D12">
        <w:rPr>
          <w:rFonts w:ascii="Times New Roman" w:hAnsi="Times New Roman" w:cs="Times New Roman"/>
          <w:sz w:val="24"/>
          <w:szCs w:val="24"/>
        </w:rPr>
        <w:t xml:space="preserve"> in tanks </w:t>
      </w:r>
      <w:r w:rsidRPr="008E3D5C">
        <w:rPr>
          <w:rFonts w:ascii="Times New Roman" w:hAnsi="Times New Roman" w:cs="Times New Roman"/>
          <w:sz w:val="24"/>
          <w:szCs w:val="24"/>
        </w:rPr>
        <w:t>in and around</w:t>
      </w:r>
      <w:r>
        <w:rPr>
          <w:rFonts w:ascii="Times New Roman" w:hAnsi="Times New Roman" w:cs="Times New Roman"/>
          <w:sz w:val="24"/>
          <w:szCs w:val="24"/>
        </w:rPr>
        <w:t xml:space="preserve"> selected</w:t>
      </w:r>
      <w:r w:rsidRPr="008E3D5C">
        <w:rPr>
          <w:rFonts w:ascii="Times New Roman" w:hAnsi="Times New Roman" w:cs="Times New Roman"/>
          <w:sz w:val="24"/>
          <w:szCs w:val="24"/>
        </w:rPr>
        <w:t xml:space="preserve"> hostels of the C. K. </w:t>
      </w:r>
      <w:proofErr w:type="spellStart"/>
      <w:r w:rsidRPr="008E3D5C">
        <w:rPr>
          <w:rFonts w:ascii="Times New Roman" w:hAnsi="Times New Roman" w:cs="Times New Roman"/>
          <w:sz w:val="24"/>
          <w:szCs w:val="24"/>
        </w:rPr>
        <w:t>Tedam</w:t>
      </w:r>
      <w:proofErr w:type="spellEnd"/>
      <w:r w:rsidRPr="008E3D5C">
        <w:rPr>
          <w:rFonts w:ascii="Times New Roman" w:hAnsi="Times New Roman" w:cs="Times New Roman"/>
          <w:sz w:val="24"/>
          <w:szCs w:val="24"/>
        </w:rPr>
        <w:t xml:space="preserve"> University of Technology and Applied Sciences (C. K. T. UTAS) in </w:t>
      </w:r>
      <w:proofErr w:type="spellStart"/>
      <w:r w:rsidRPr="008E3D5C">
        <w:rPr>
          <w:rFonts w:ascii="Times New Roman" w:hAnsi="Times New Roman" w:cs="Times New Roman"/>
          <w:sz w:val="24"/>
          <w:szCs w:val="24"/>
        </w:rPr>
        <w:t>Navrongo</w:t>
      </w:r>
      <w:proofErr w:type="spellEnd"/>
      <w:r w:rsidRPr="008E3D5C">
        <w:rPr>
          <w:rFonts w:ascii="Times New Roman" w:hAnsi="Times New Roman" w:cs="Times New Roman"/>
          <w:sz w:val="24"/>
          <w:szCs w:val="24"/>
        </w:rPr>
        <w:t>, Ghana</w:t>
      </w:r>
    </w:p>
    <w:p w14:paraId="0D09DF79" w14:textId="77777777" w:rsidR="000754BB" w:rsidRPr="00930D12" w:rsidRDefault="000754BB" w:rsidP="00930D12">
      <w:pPr>
        <w:jc w:val="both"/>
        <w:rPr>
          <w:rFonts w:ascii="Times New Roman" w:hAnsi="Times New Roman" w:cs="Times New Roman"/>
          <w:b/>
          <w:bCs/>
          <w:sz w:val="24"/>
          <w:szCs w:val="24"/>
        </w:rPr>
      </w:pPr>
      <w:bookmarkStart w:id="0" w:name="_Toc208068215"/>
      <w:r w:rsidRPr="00930D12">
        <w:rPr>
          <w:rFonts w:ascii="Times New Roman" w:hAnsi="Times New Roman" w:cs="Times New Roman"/>
          <w:b/>
          <w:bCs/>
          <w:sz w:val="24"/>
          <w:szCs w:val="24"/>
        </w:rPr>
        <w:t>ABSTRACT</w:t>
      </w:r>
      <w:bookmarkStart w:id="1" w:name="_GoBack"/>
      <w:bookmarkEnd w:id="0"/>
      <w:bookmarkEnd w:id="1"/>
    </w:p>
    <w:p w14:paraId="71184312" w14:textId="69B84277" w:rsidR="000754BB" w:rsidRPr="00930D12" w:rsidRDefault="00C35226"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The use of unsafe water supplies and microbial contaminated water for various domestic purposes may pose serious health challenge to users. </w:t>
      </w:r>
      <w:r w:rsidR="00681675" w:rsidRPr="00681675">
        <w:rPr>
          <w:rFonts w:ascii="Times New Roman" w:hAnsi="Times New Roman" w:cs="Times New Roman"/>
          <w:sz w:val="24"/>
          <w:szCs w:val="24"/>
        </w:rPr>
        <w:t xml:space="preserve"> </w:t>
      </w:r>
      <w:r w:rsidR="00681675" w:rsidRPr="00681675">
        <w:rPr>
          <w:rFonts w:ascii="Times New Roman" w:hAnsi="Times New Roman" w:cs="Times New Roman"/>
          <w:sz w:val="24"/>
          <w:szCs w:val="24"/>
          <w:highlight w:val="yellow"/>
        </w:rPr>
        <w:t>Bacteriological analysis of water is critical for public health, as it identifies disease -causing pathogens to prevent water-borne diseases such as cholera, typhoid and dysentery</w:t>
      </w:r>
      <w:r w:rsidR="00681675" w:rsidRPr="00681675">
        <w:rPr>
          <w:rFonts w:ascii="Times New Roman" w:hAnsi="Times New Roman" w:cs="Times New Roman"/>
          <w:sz w:val="24"/>
          <w:szCs w:val="24"/>
        </w:rPr>
        <w:t>.</w:t>
      </w:r>
      <w:r w:rsidR="00681675" w:rsidRPr="00930D12">
        <w:rPr>
          <w:rFonts w:ascii="Times New Roman" w:hAnsi="Times New Roman" w:cs="Times New Roman"/>
          <w:sz w:val="24"/>
          <w:szCs w:val="24"/>
        </w:rPr>
        <w:t xml:space="preserve"> The</w:t>
      </w:r>
      <w:r w:rsidR="000C4C38" w:rsidRPr="00930D12">
        <w:rPr>
          <w:rFonts w:ascii="Times New Roman" w:hAnsi="Times New Roman" w:cs="Times New Roman"/>
          <w:sz w:val="24"/>
          <w:szCs w:val="24"/>
        </w:rPr>
        <w:t xml:space="preserve"> </w:t>
      </w:r>
      <w:r w:rsidRPr="00930D12">
        <w:rPr>
          <w:rFonts w:ascii="Times New Roman" w:hAnsi="Times New Roman" w:cs="Times New Roman"/>
          <w:sz w:val="24"/>
          <w:szCs w:val="24"/>
        </w:rPr>
        <w:t xml:space="preserve">aim of the </w:t>
      </w:r>
      <w:r w:rsidR="00144C8F" w:rsidRPr="00930D12">
        <w:rPr>
          <w:rFonts w:ascii="Times New Roman" w:hAnsi="Times New Roman" w:cs="Times New Roman"/>
          <w:sz w:val="24"/>
          <w:szCs w:val="24"/>
        </w:rPr>
        <w:t xml:space="preserve">research </w:t>
      </w:r>
      <w:r w:rsidRPr="00930D12">
        <w:rPr>
          <w:rFonts w:ascii="Times New Roman" w:hAnsi="Times New Roman" w:cs="Times New Roman"/>
          <w:sz w:val="24"/>
          <w:szCs w:val="24"/>
        </w:rPr>
        <w:t>was to determine</w:t>
      </w:r>
      <w:r w:rsidR="00144C8F" w:rsidRPr="00930D12">
        <w:rPr>
          <w:rFonts w:ascii="Times New Roman" w:hAnsi="Times New Roman" w:cs="Times New Roman"/>
          <w:sz w:val="24"/>
          <w:szCs w:val="24"/>
        </w:rPr>
        <w:t xml:space="preserve"> the</w:t>
      </w:r>
      <w:r w:rsidR="000C4C38" w:rsidRPr="00930D12">
        <w:rPr>
          <w:rFonts w:ascii="Times New Roman" w:hAnsi="Times New Roman" w:cs="Times New Roman"/>
          <w:sz w:val="24"/>
          <w:szCs w:val="24"/>
        </w:rPr>
        <w:t xml:space="preserve"> bacteriological </w:t>
      </w:r>
      <w:r w:rsidRPr="00930D12">
        <w:rPr>
          <w:rFonts w:ascii="Times New Roman" w:hAnsi="Times New Roman" w:cs="Times New Roman"/>
          <w:sz w:val="24"/>
          <w:szCs w:val="24"/>
        </w:rPr>
        <w:t>quality</w:t>
      </w:r>
      <w:r w:rsidR="000C4C38" w:rsidRPr="00930D12">
        <w:rPr>
          <w:rFonts w:ascii="Times New Roman" w:hAnsi="Times New Roman" w:cs="Times New Roman"/>
          <w:sz w:val="24"/>
          <w:szCs w:val="24"/>
        </w:rPr>
        <w:t xml:space="preserve"> </w:t>
      </w:r>
      <w:r w:rsidRPr="00930D12">
        <w:rPr>
          <w:rFonts w:ascii="Times New Roman" w:hAnsi="Times New Roman" w:cs="Times New Roman"/>
          <w:sz w:val="24"/>
          <w:szCs w:val="24"/>
        </w:rPr>
        <w:t xml:space="preserve">of water </w:t>
      </w:r>
      <w:r w:rsidR="000C4C38" w:rsidRPr="00930D12">
        <w:rPr>
          <w:rFonts w:ascii="Times New Roman" w:hAnsi="Times New Roman" w:cs="Times New Roman"/>
          <w:sz w:val="24"/>
          <w:szCs w:val="24"/>
        </w:rPr>
        <w:t>stored in tanks in</w:t>
      </w:r>
      <w:r w:rsidRPr="00930D12">
        <w:rPr>
          <w:rFonts w:ascii="Times New Roman" w:hAnsi="Times New Roman" w:cs="Times New Roman"/>
          <w:sz w:val="24"/>
          <w:szCs w:val="24"/>
        </w:rPr>
        <w:t xml:space="preserve"> and around </w:t>
      </w:r>
      <w:r w:rsidR="009B1572" w:rsidRPr="00930D12">
        <w:rPr>
          <w:rFonts w:ascii="Times New Roman" w:hAnsi="Times New Roman" w:cs="Times New Roman"/>
          <w:sz w:val="24"/>
          <w:szCs w:val="24"/>
        </w:rPr>
        <w:t xml:space="preserve">hostels of </w:t>
      </w:r>
      <w:r w:rsidR="000C4C38" w:rsidRPr="00930D12">
        <w:rPr>
          <w:rFonts w:ascii="Times New Roman" w:hAnsi="Times New Roman" w:cs="Times New Roman"/>
          <w:sz w:val="24"/>
          <w:szCs w:val="24"/>
        </w:rPr>
        <w:t xml:space="preserve">the C. K. Tedam University of Technology and Applied Sciences (C. K. T. UTAS) in </w:t>
      </w:r>
      <w:proofErr w:type="spellStart"/>
      <w:r w:rsidR="000C4C38" w:rsidRPr="00930D12">
        <w:rPr>
          <w:rFonts w:ascii="Times New Roman" w:hAnsi="Times New Roman" w:cs="Times New Roman"/>
          <w:sz w:val="24"/>
          <w:szCs w:val="24"/>
        </w:rPr>
        <w:t>Navrongo</w:t>
      </w:r>
      <w:proofErr w:type="spellEnd"/>
      <w:r w:rsidR="000C4C38" w:rsidRPr="00930D12">
        <w:rPr>
          <w:rFonts w:ascii="Times New Roman" w:hAnsi="Times New Roman" w:cs="Times New Roman"/>
          <w:sz w:val="24"/>
          <w:szCs w:val="24"/>
        </w:rPr>
        <w:t>, Ghana.</w:t>
      </w:r>
      <w:r w:rsidR="00144C8F" w:rsidRPr="00930D12">
        <w:rPr>
          <w:rFonts w:ascii="Times New Roman" w:hAnsi="Times New Roman" w:cs="Times New Roman"/>
          <w:sz w:val="24"/>
          <w:szCs w:val="24"/>
        </w:rPr>
        <w:t xml:space="preserve"> </w:t>
      </w:r>
      <w:r w:rsidR="009074E6" w:rsidRPr="00930D12">
        <w:rPr>
          <w:rFonts w:ascii="Times New Roman" w:hAnsi="Times New Roman" w:cs="Times New Roman"/>
          <w:sz w:val="24"/>
          <w:szCs w:val="24"/>
        </w:rPr>
        <w:t xml:space="preserve">Questionnaires were used to obtained information about the poly tanks and the usage of water from the tanks by students of the selected hostels. </w:t>
      </w:r>
      <w:r w:rsidR="00144C8F" w:rsidRPr="00930D12">
        <w:rPr>
          <w:rFonts w:ascii="Times New Roman" w:hAnsi="Times New Roman" w:cs="Times New Roman"/>
          <w:sz w:val="24"/>
          <w:szCs w:val="24"/>
        </w:rPr>
        <w:t>S</w:t>
      </w:r>
      <w:r w:rsidR="000C4C38" w:rsidRPr="00930D12">
        <w:rPr>
          <w:rFonts w:ascii="Times New Roman" w:hAnsi="Times New Roman" w:cs="Times New Roman"/>
          <w:sz w:val="24"/>
          <w:szCs w:val="24"/>
        </w:rPr>
        <w:t>amples</w:t>
      </w:r>
      <w:r w:rsidR="00144C8F" w:rsidRPr="00930D12">
        <w:rPr>
          <w:rFonts w:ascii="Times New Roman" w:hAnsi="Times New Roman" w:cs="Times New Roman"/>
          <w:sz w:val="24"/>
          <w:szCs w:val="24"/>
        </w:rPr>
        <w:t xml:space="preserve"> </w:t>
      </w:r>
      <w:r w:rsidR="009074E6" w:rsidRPr="00930D12">
        <w:rPr>
          <w:rFonts w:ascii="Times New Roman" w:hAnsi="Times New Roman" w:cs="Times New Roman"/>
          <w:sz w:val="24"/>
          <w:szCs w:val="24"/>
        </w:rPr>
        <w:t>of water</w:t>
      </w:r>
      <w:r w:rsidR="000C4C38" w:rsidRPr="00930D12">
        <w:rPr>
          <w:rFonts w:ascii="Times New Roman" w:hAnsi="Times New Roman" w:cs="Times New Roman"/>
          <w:sz w:val="24"/>
          <w:szCs w:val="24"/>
        </w:rPr>
        <w:t xml:space="preserve"> were collected from hostels</w:t>
      </w:r>
      <w:r w:rsidR="00144C8F" w:rsidRPr="00930D12">
        <w:rPr>
          <w:rFonts w:ascii="Times New Roman" w:hAnsi="Times New Roman" w:cs="Times New Roman"/>
          <w:sz w:val="24"/>
          <w:szCs w:val="24"/>
        </w:rPr>
        <w:t xml:space="preserve"> of interest</w:t>
      </w:r>
      <w:r w:rsidR="000C4C38" w:rsidRPr="00930D12">
        <w:rPr>
          <w:rFonts w:ascii="Times New Roman" w:hAnsi="Times New Roman" w:cs="Times New Roman"/>
          <w:sz w:val="24"/>
          <w:szCs w:val="24"/>
        </w:rPr>
        <w:t xml:space="preserve"> and analyzed</w:t>
      </w:r>
      <w:r w:rsidR="00144C8F" w:rsidRPr="00930D12">
        <w:rPr>
          <w:rFonts w:ascii="Times New Roman" w:hAnsi="Times New Roman" w:cs="Times New Roman"/>
          <w:sz w:val="24"/>
          <w:szCs w:val="24"/>
        </w:rPr>
        <w:t xml:space="preserve"> for total viable bacteria count, total coliforms and </w:t>
      </w:r>
      <w:proofErr w:type="spellStart"/>
      <w:r w:rsidR="00144C8F" w:rsidRPr="00930D12">
        <w:rPr>
          <w:rFonts w:ascii="Times New Roman" w:hAnsi="Times New Roman" w:cs="Times New Roman"/>
          <w:sz w:val="24"/>
          <w:szCs w:val="24"/>
        </w:rPr>
        <w:t>f</w:t>
      </w:r>
      <w:r w:rsidR="000F34B7">
        <w:rPr>
          <w:rFonts w:ascii="Times New Roman" w:hAnsi="Times New Roman" w:cs="Times New Roman"/>
          <w:sz w:val="24"/>
          <w:szCs w:val="24"/>
        </w:rPr>
        <w:t>a</w:t>
      </w:r>
      <w:r w:rsidR="00144C8F" w:rsidRPr="00930D12">
        <w:rPr>
          <w:rFonts w:ascii="Times New Roman" w:hAnsi="Times New Roman" w:cs="Times New Roman"/>
          <w:sz w:val="24"/>
          <w:szCs w:val="24"/>
        </w:rPr>
        <w:t>ecal</w:t>
      </w:r>
      <w:proofErr w:type="spellEnd"/>
      <w:r w:rsidR="00144C8F" w:rsidRPr="00930D12">
        <w:rPr>
          <w:rFonts w:ascii="Times New Roman" w:hAnsi="Times New Roman" w:cs="Times New Roman"/>
          <w:sz w:val="24"/>
          <w:szCs w:val="24"/>
        </w:rPr>
        <w:t xml:space="preserve"> coliforms</w:t>
      </w:r>
      <w:r w:rsidR="000C4C38" w:rsidRPr="00930D12">
        <w:rPr>
          <w:rFonts w:ascii="Times New Roman" w:hAnsi="Times New Roman" w:cs="Times New Roman"/>
          <w:sz w:val="24"/>
          <w:szCs w:val="24"/>
        </w:rPr>
        <w:t xml:space="preserve"> using standard microbiological techniques. Samples were </w:t>
      </w:r>
      <w:r w:rsidR="00144C8F" w:rsidRPr="00930D12">
        <w:rPr>
          <w:rFonts w:ascii="Times New Roman" w:hAnsi="Times New Roman" w:cs="Times New Roman"/>
          <w:sz w:val="24"/>
          <w:szCs w:val="24"/>
        </w:rPr>
        <w:t>plated</w:t>
      </w:r>
      <w:r w:rsidR="000C4C38" w:rsidRPr="00930D12">
        <w:rPr>
          <w:rFonts w:ascii="Times New Roman" w:hAnsi="Times New Roman" w:cs="Times New Roman"/>
          <w:sz w:val="24"/>
          <w:szCs w:val="24"/>
        </w:rPr>
        <w:t xml:space="preserve"> on MacConkey, </w:t>
      </w:r>
      <w:proofErr w:type="spellStart"/>
      <w:r w:rsidR="000C4C38" w:rsidRPr="00930D12">
        <w:rPr>
          <w:rFonts w:ascii="Times New Roman" w:hAnsi="Times New Roman" w:cs="Times New Roman"/>
          <w:sz w:val="24"/>
          <w:szCs w:val="24"/>
        </w:rPr>
        <w:t>Chromocult</w:t>
      </w:r>
      <w:proofErr w:type="spellEnd"/>
      <w:r w:rsidR="000C4C38" w:rsidRPr="00930D12">
        <w:rPr>
          <w:rFonts w:ascii="Times New Roman" w:hAnsi="Times New Roman" w:cs="Times New Roman"/>
          <w:sz w:val="24"/>
          <w:szCs w:val="24"/>
        </w:rPr>
        <w:t xml:space="preserve"> Coliform and Nutrient Agar, and isolates were</w:t>
      </w:r>
      <w:r w:rsidR="00144C8F" w:rsidRPr="00930D12">
        <w:rPr>
          <w:rFonts w:ascii="Times New Roman" w:hAnsi="Times New Roman" w:cs="Times New Roman"/>
          <w:sz w:val="24"/>
          <w:szCs w:val="24"/>
        </w:rPr>
        <w:t xml:space="preserve"> subjected to Gram staining and other series of biochemical tests for identification and characterization</w:t>
      </w:r>
      <w:r w:rsidR="000C4C38" w:rsidRPr="00930D12">
        <w:rPr>
          <w:rFonts w:ascii="Times New Roman" w:hAnsi="Times New Roman" w:cs="Times New Roman"/>
          <w:sz w:val="24"/>
          <w:szCs w:val="24"/>
        </w:rPr>
        <w:t xml:space="preserve">. The </w:t>
      </w:r>
      <w:r w:rsidR="00895857" w:rsidRPr="00930D12">
        <w:rPr>
          <w:rFonts w:ascii="Times New Roman" w:hAnsi="Times New Roman" w:cs="Times New Roman"/>
          <w:sz w:val="24"/>
          <w:szCs w:val="24"/>
        </w:rPr>
        <w:t>outcome of the study showed</w:t>
      </w:r>
      <w:r w:rsidR="000C4C38" w:rsidRPr="00930D12">
        <w:rPr>
          <w:rFonts w:ascii="Times New Roman" w:hAnsi="Times New Roman" w:cs="Times New Roman"/>
          <w:sz w:val="24"/>
          <w:szCs w:val="24"/>
        </w:rPr>
        <w:t xml:space="preserve"> the presence of Bacillus spp., Klebsiella spp., Staphylococcus spp. </w:t>
      </w:r>
      <w:r w:rsidR="0094040C" w:rsidRPr="00930D12">
        <w:rPr>
          <w:rFonts w:ascii="Times New Roman" w:hAnsi="Times New Roman" w:cs="Times New Roman"/>
          <w:sz w:val="24"/>
          <w:szCs w:val="24"/>
        </w:rPr>
        <w:t>a</w:t>
      </w:r>
      <w:r w:rsidR="000C4C38" w:rsidRPr="00930D12">
        <w:rPr>
          <w:rFonts w:ascii="Times New Roman" w:hAnsi="Times New Roman" w:cs="Times New Roman"/>
          <w:sz w:val="24"/>
          <w:szCs w:val="24"/>
        </w:rPr>
        <w:t>nd Micrococcus spp., while Escherichia coli was absent</w:t>
      </w:r>
      <w:r w:rsidR="00895857" w:rsidRPr="00930D12">
        <w:rPr>
          <w:rFonts w:ascii="Times New Roman" w:hAnsi="Times New Roman" w:cs="Times New Roman"/>
          <w:sz w:val="24"/>
          <w:szCs w:val="24"/>
        </w:rPr>
        <w:t xml:space="preserve"> in all the water samples</w:t>
      </w:r>
      <w:r w:rsidR="000C4C38" w:rsidRPr="00930D12">
        <w:rPr>
          <w:rFonts w:ascii="Times New Roman" w:hAnsi="Times New Roman" w:cs="Times New Roman"/>
          <w:sz w:val="24"/>
          <w:szCs w:val="24"/>
        </w:rPr>
        <w:t xml:space="preserve">. Total viable counts obtained </w:t>
      </w:r>
      <w:r w:rsidR="00ED7F1C" w:rsidRPr="00930D12">
        <w:rPr>
          <w:rFonts w:ascii="Times New Roman" w:hAnsi="Times New Roman" w:cs="Times New Roman"/>
          <w:sz w:val="24"/>
          <w:szCs w:val="24"/>
        </w:rPr>
        <w:t>were</w:t>
      </w:r>
      <w:r w:rsidR="000C4C38" w:rsidRPr="00930D12">
        <w:rPr>
          <w:rFonts w:ascii="Times New Roman" w:hAnsi="Times New Roman" w:cs="Times New Roman"/>
          <w:sz w:val="24"/>
          <w:szCs w:val="24"/>
        </w:rPr>
        <w:t xml:space="preserve"> from 14cfu/mL to 147cfu/mL and total coliform counts</w:t>
      </w:r>
      <w:r w:rsidR="00ED7F1C" w:rsidRPr="00930D12">
        <w:rPr>
          <w:rFonts w:ascii="Times New Roman" w:hAnsi="Times New Roman" w:cs="Times New Roman"/>
          <w:sz w:val="24"/>
          <w:szCs w:val="24"/>
        </w:rPr>
        <w:t xml:space="preserve"> ranges </w:t>
      </w:r>
      <w:r w:rsidR="000C4C38" w:rsidRPr="00930D12">
        <w:rPr>
          <w:rFonts w:ascii="Times New Roman" w:hAnsi="Times New Roman" w:cs="Times New Roman"/>
          <w:sz w:val="24"/>
          <w:szCs w:val="24"/>
        </w:rPr>
        <w:t>from 1</w:t>
      </w:r>
      <w:r w:rsidR="00ED7F1C" w:rsidRPr="00930D12">
        <w:rPr>
          <w:rFonts w:ascii="Times New Roman" w:hAnsi="Times New Roman" w:cs="Times New Roman"/>
          <w:sz w:val="24"/>
          <w:szCs w:val="24"/>
        </w:rPr>
        <w:t xml:space="preserve">cfu/mL to </w:t>
      </w:r>
      <w:r w:rsidR="000C4C38" w:rsidRPr="00930D12">
        <w:rPr>
          <w:rFonts w:ascii="Times New Roman" w:hAnsi="Times New Roman" w:cs="Times New Roman"/>
          <w:sz w:val="24"/>
          <w:szCs w:val="24"/>
        </w:rPr>
        <w:t>3cfu/</w:t>
      </w:r>
      <w:proofErr w:type="spellStart"/>
      <w:r w:rsidR="000C4C38" w:rsidRPr="00930D12">
        <w:rPr>
          <w:rFonts w:ascii="Times New Roman" w:hAnsi="Times New Roman" w:cs="Times New Roman"/>
          <w:sz w:val="24"/>
          <w:szCs w:val="24"/>
        </w:rPr>
        <w:t>mL.</w:t>
      </w:r>
      <w:proofErr w:type="spellEnd"/>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These outcomes</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showed</w:t>
      </w:r>
      <w:r w:rsidR="000C4C38" w:rsidRPr="00930D12">
        <w:rPr>
          <w:rFonts w:ascii="Times New Roman" w:hAnsi="Times New Roman" w:cs="Times New Roman"/>
          <w:sz w:val="24"/>
          <w:szCs w:val="24"/>
        </w:rPr>
        <w:t xml:space="preserve"> that </w:t>
      </w:r>
      <w:r w:rsidR="00ED7F1C" w:rsidRPr="00930D12">
        <w:rPr>
          <w:rFonts w:ascii="Times New Roman" w:hAnsi="Times New Roman" w:cs="Times New Roman"/>
          <w:sz w:val="24"/>
          <w:szCs w:val="24"/>
        </w:rPr>
        <w:t>water stored</w:t>
      </w:r>
      <w:r w:rsidR="000C4C38" w:rsidRPr="00930D12">
        <w:rPr>
          <w:rFonts w:ascii="Times New Roman" w:hAnsi="Times New Roman" w:cs="Times New Roman"/>
          <w:sz w:val="24"/>
          <w:szCs w:val="24"/>
        </w:rPr>
        <w:t xml:space="preserve"> in hostel</w:t>
      </w:r>
      <w:r w:rsidR="00ED7F1C" w:rsidRPr="00930D12">
        <w:rPr>
          <w:rFonts w:ascii="Times New Roman" w:hAnsi="Times New Roman" w:cs="Times New Roman"/>
          <w:sz w:val="24"/>
          <w:szCs w:val="24"/>
        </w:rPr>
        <w:t>’s</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poly-</w:t>
      </w:r>
      <w:r w:rsidR="000C4C38" w:rsidRPr="00930D12">
        <w:rPr>
          <w:rFonts w:ascii="Times New Roman" w:hAnsi="Times New Roman" w:cs="Times New Roman"/>
          <w:sz w:val="24"/>
          <w:szCs w:val="24"/>
        </w:rPr>
        <w:t>tanks</w:t>
      </w:r>
      <w:r w:rsidR="0094040C" w:rsidRPr="00930D12">
        <w:rPr>
          <w:rFonts w:ascii="Times New Roman" w:hAnsi="Times New Roman" w:cs="Times New Roman"/>
          <w:sz w:val="24"/>
          <w:szCs w:val="24"/>
        </w:rPr>
        <w:t xml:space="preserve"> especial</w:t>
      </w:r>
      <w:r w:rsidR="00344678" w:rsidRPr="00930D12">
        <w:rPr>
          <w:rFonts w:ascii="Times New Roman" w:hAnsi="Times New Roman" w:cs="Times New Roman"/>
          <w:sz w:val="24"/>
          <w:szCs w:val="24"/>
        </w:rPr>
        <w:t>ly</w:t>
      </w:r>
      <w:r w:rsidR="0094040C" w:rsidRPr="00930D12">
        <w:rPr>
          <w:rFonts w:ascii="Times New Roman" w:hAnsi="Times New Roman" w:cs="Times New Roman"/>
          <w:sz w:val="24"/>
          <w:szCs w:val="24"/>
        </w:rPr>
        <w:t xml:space="preserve"> ones that have not been washed over long period of time</w:t>
      </w:r>
      <w:r w:rsidR="000C4C38" w:rsidRPr="00930D12">
        <w:rPr>
          <w:rFonts w:ascii="Times New Roman" w:hAnsi="Times New Roman" w:cs="Times New Roman"/>
          <w:sz w:val="24"/>
          <w:szCs w:val="24"/>
        </w:rPr>
        <w:t xml:space="preserve"> </w:t>
      </w:r>
      <w:r w:rsidR="00ED7F1C" w:rsidRPr="00930D12">
        <w:rPr>
          <w:rFonts w:ascii="Times New Roman" w:hAnsi="Times New Roman" w:cs="Times New Roman"/>
          <w:sz w:val="24"/>
          <w:szCs w:val="24"/>
        </w:rPr>
        <w:t>contains</w:t>
      </w:r>
      <w:r w:rsidR="000C4C38" w:rsidRPr="00930D12">
        <w:rPr>
          <w:rFonts w:ascii="Times New Roman" w:hAnsi="Times New Roman" w:cs="Times New Roman"/>
          <w:sz w:val="24"/>
          <w:szCs w:val="24"/>
        </w:rPr>
        <w:t xml:space="preserve"> </w:t>
      </w:r>
      <w:r w:rsidR="000C4C38" w:rsidRPr="00681675">
        <w:rPr>
          <w:rFonts w:ascii="Times New Roman" w:hAnsi="Times New Roman" w:cs="Times New Roman"/>
          <w:sz w:val="24"/>
          <w:szCs w:val="24"/>
          <w:highlight w:val="yellow"/>
        </w:rPr>
        <w:t>b</w:t>
      </w:r>
      <w:r w:rsidR="006446A1" w:rsidRPr="00681675">
        <w:rPr>
          <w:rFonts w:ascii="Times New Roman" w:hAnsi="Times New Roman" w:cs="Times New Roman"/>
          <w:sz w:val="24"/>
          <w:szCs w:val="24"/>
          <w:highlight w:val="yellow"/>
        </w:rPr>
        <w:t>acteria</w:t>
      </w:r>
      <w:r w:rsidR="006446A1" w:rsidRPr="00930D12">
        <w:rPr>
          <w:rFonts w:ascii="Times New Roman" w:hAnsi="Times New Roman" w:cs="Times New Roman"/>
          <w:sz w:val="24"/>
          <w:szCs w:val="24"/>
        </w:rPr>
        <w:t xml:space="preserve"> species that </w:t>
      </w:r>
      <w:r w:rsidR="00ED7F1C" w:rsidRPr="00930D12">
        <w:rPr>
          <w:rFonts w:ascii="Times New Roman" w:hAnsi="Times New Roman" w:cs="Times New Roman"/>
          <w:sz w:val="24"/>
          <w:szCs w:val="24"/>
        </w:rPr>
        <w:t>make</w:t>
      </w:r>
      <w:r w:rsidR="006446A1" w:rsidRPr="00930D12">
        <w:rPr>
          <w:rFonts w:ascii="Times New Roman" w:hAnsi="Times New Roman" w:cs="Times New Roman"/>
          <w:sz w:val="24"/>
          <w:szCs w:val="24"/>
        </w:rPr>
        <w:t xml:space="preserve"> it </w:t>
      </w:r>
      <w:r w:rsidR="00681675" w:rsidRPr="00681675">
        <w:rPr>
          <w:rFonts w:ascii="Times New Roman" w:hAnsi="Times New Roman" w:cs="Times New Roman"/>
          <w:sz w:val="24"/>
          <w:szCs w:val="24"/>
          <w:highlight w:val="yellow"/>
        </w:rPr>
        <w:t>unsafe</w:t>
      </w:r>
      <w:r w:rsidR="006446A1" w:rsidRPr="00930D12">
        <w:rPr>
          <w:rFonts w:ascii="Times New Roman" w:hAnsi="Times New Roman" w:cs="Times New Roman"/>
          <w:sz w:val="24"/>
          <w:szCs w:val="24"/>
        </w:rPr>
        <w:t xml:space="preserve"> for direct consumption without further treatment. </w:t>
      </w:r>
      <w:r w:rsidR="00681675" w:rsidRPr="00681675">
        <w:rPr>
          <w:rFonts w:ascii="Times New Roman" w:hAnsi="Times New Roman" w:cs="Times New Roman"/>
          <w:sz w:val="24"/>
          <w:szCs w:val="24"/>
          <w:highlight w:val="yellow"/>
        </w:rPr>
        <w:t xml:space="preserve">The bacteriological assessment of water stored in hostel tanks within and around C. K. T. UTAS revealed that, although </w:t>
      </w:r>
      <w:proofErr w:type="spellStart"/>
      <w:r w:rsidR="00681675" w:rsidRPr="00681675">
        <w:rPr>
          <w:rFonts w:ascii="Times New Roman" w:hAnsi="Times New Roman" w:cs="Times New Roman"/>
          <w:sz w:val="24"/>
          <w:szCs w:val="24"/>
          <w:highlight w:val="yellow"/>
        </w:rPr>
        <w:t>faecal</w:t>
      </w:r>
      <w:proofErr w:type="spellEnd"/>
      <w:r w:rsidR="00681675" w:rsidRPr="00681675">
        <w:rPr>
          <w:rFonts w:ascii="Times New Roman" w:hAnsi="Times New Roman" w:cs="Times New Roman"/>
          <w:sz w:val="24"/>
          <w:szCs w:val="24"/>
          <w:highlight w:val="yellow"/>
        </w:rPr>
        <w:t xml:space="preserve"> coliforms and E. coli were absent, the presence of total coliforms and other bacteria such as Bacillus spp., Klebsiella spp., Staphylococcus spp. and Micrococcus spp. are evidence of secondary contamination that occurs due to poor storage and handling</w:t>
      </w:r>
      <w:r w:rsidR="00681675" w:rsidRPr="00681675">
        <w:rPr>
          <w:rFonts w:ascii="Times New Roman" w:hAnsi="Times New Roman" w:cs="Times New Roman"/>
          <w:sz w:val="24"/>
          <w:szCs w:val="24"/>
        </w:rPr>
        <w:t xml:space="preserve">. </w:t>
      </w:r>
      <w:r w:rsidR="006446A1" w:rsidRPr="00930D12">
        <w:rPr>
          <w:rFonts w:ascii="Times New Roman" w:hAnsi="Times New Roman" w:cs="Times New Roman"/>
          <w:sz w:val="24"/>
          <w:szCs w:val="24"/>
        </w:rPr>
        <w:t xml:space="preserve">The findings </w:t>
      </w:r>
      <w:r w:rsidR="00ED7F1C" w:rsidRPr="00930D12">
        <w:rPr>
          <w:rFonts w:ascii="Times New Roman" w:hAnsi="Times New Roman" w:cs="Times New Roman"/>
          <w:sz w:val="24"/>
          <w:szCs w:val="24"/>
        </w:rPr>
        <w:t>show</w:t>
      </w:r>
      <w:r w:rsidR="00344678" w:rsidRPr="00930D12">
        <w:rPr>
          <w:rFonts w:ascii="Times New Roman" w:hAnsi="Times New Roman" w:cs="Times New Roman"/>
          <w:sz w:val="24"/>
          <w:szCs w:val="24"/>
        </w:rPr>
        <w:t>ed</w:t>
      </w:r>
      <w:r w:rsidR="006446A1" w:rsidRPr="00930D12">
        <w:rPr>
          <w:rFonts w:ascii="Times New Roman" w:hAnsi="Times New Roman" w:cs="Times New Roman"/>
          <w:sz w:val="24"/>
          <w:szCs w:val="24"/>
        </w:rPr>
        <w:t xml:space="preserve"> the need for </w:t>
      </w:r>
      <w:r w:rsidR="00ED7F1C" w:rsidRPr="00930D12">
        <w:rPr>
          <w:rFonts w:ascii="Times New Roman" w:hAnsi="Times New Roman" w:cs="Times New Roman"/>
          <w:sz w:val="24"/>
          <w:szCs w:val="24"/>
        </w:rPr>
        <w:t>regular</w:t>
      </w:r>
      <w:r w:rsidR="006446A1" w:rsidRPr="00930D12">
        <w:rPr>
          <w:rFonts w:ascii="Times New Roman" w:hAnsi="Times New Roman" w:cs="Times New Roman"/>
          <w:sz w:val="24"/>
          <w:szCs w:val="24"/>
        </w:rPr>
        <w:t xml:space="preserve"> cleaning and monitoring of water storage </w:t>
      </w:r>
      <w:r w:rsidR="00ED7F1C" w:rsidRPr="00930D12">
        <w:rPr>
          <w:rFonts w:ascii="Times New Roman" w:hAnsi="Times New Roman" w:cs="Times New Roman"/>
          <w:sz w:val="24"/>
          <w:szCs w:val="24"/>
        </w:rPr>
        <w:t>tanks</w:t>
      </w:r>
      <w:r w:rsidR="006446A1" w:rsidRPr="00930D12">
        <w:rPr>
          <w:rFonts w:ascii="Times New Roman" w:hAnsi="Times New Roman" w:cs="Times New Roman"/>
          <w:sz w:val="24"/>
          <w:szCs w:val="24"/>
        </w:rPr>
        <w:t xml:space="preserve"> to prevent waterborne diseases. </w:t>
      </w:r>
    </w:p>
    <w:p w14:paraId="1E4AF067" w14:textId="3981A940" w:rsidR="009B1572" w:rsidRPr="00930D12" w:rsidRDefault="006446A1" w:rsidP="00930D12">
      <w:pPr>
        <w:jc w:val="both"/>
        <w:rPr>
          <w:rFonts w:ascii="Times New Roman" w:hAnsi="Times New Roman" w:cs="Times New Roman"/>
          <w:sz w:val="24"/>
          <w:szCs w:val="24"/>
        </w:rPr>
      </w:pPr>
      <w:r w:rsidRPr="00930D12">
        <w:rPr>
          <w:rFonts w:ascii="Times New Roman" w:hAnsi="Times New Roman" w:cs="Times New Roman"/>
          <w:b/>
          <w:bCs/>
          <w:sz w:val="24"/>
          <w:szCs w:val="24"/>
        </w:rPr>
        <w:t xml:space="preserve">Keywords: </w:t>
      </w:r>
      <w:r w:rsidRPr="00930D12">
        <w:rPr>
          <w:rFonts w:ascii="Times New Roman" w:hAnsi="Times New Roman" w:cs="Times New Roman"/>
          <w:sz w:val="24"/>
          <w:szCs w:val="24"/>
        </w:rPr>
        <w:t xml:space="preserve">Water quality, Bacteriologic analysis, </w:t>
      </w:r>
      <w:r w:rsidR="00F54343" w:rsidRPr="00930D12">
        <w:rPr>
          <w:rFonts w:ascii="Times New Roman" w:hAnsi="Times New Roman" w:cs="Times New Roman"/>
          <w:sz w:val="24"/>
          <w:szCs w:val="24"/>
        </w:rPr>
        <w:t>polythene</w:t>
      </w:r>
      <w:r w:rsidRPr="00930D12">
        <w:rPr>
          <w:rFonts w:ascii="Times New Roman" w:hAnsi="Times New Roman" w:cs="Times New Roman"/>
          <w:sz w:val="24"/>
          <w:szCs w:val="24"/>
        </w:rPr>
        <w:t xml:space="preserve"> tanks</w:t>
      </w:r>
      <w:r w:rsidR="00F54343" w:rsidRPr="00930D12">
        <w:rPr>
          <w:rFonts w:ascii="Times New Roman" w:hAnsi="Times New Roman" w:cs="Times New Roman"/>
          <w:sz w:val="24"/>
          <w:szCs w:val="24"/>
        </w:rPr>
        <w:t xml:space="preserve"> (poly-tanks)</w:t>
      </w:r>
      <w:r w:rsidRPr="00930D12">
        <w:rPr>
          <w:rFonts w:ascii="Times New Roman" w:hAnsi="Times New Roman" w:cs="Times New Roman"/>
          <w:sz w:val="24"/>
          <w:szCs w:val="24"/>
        </w:rPr>
        <w:t>, Coliforms, Hostels</w:t>
      </w:r>
      <w:bookmarkStart w:id="2" w:name="_Toc208068221"/>
    </w:p>
    <w:p w14:paraId="3F2315DD" w14:textId="77777777" w:rsidR="009B1572" w:rsidRPr="00930D12" w:rsidRDefault="000754BB" w:rsidP="00930D12">
      <w:pPr>
        <w:jc w:val="both"/>
        <w:rPr>
          <w:rFonts w:ascii="Times New Roman" w:hAnsi="Times New Roman" w:cs="Times New Roman"/>
          <w:b/>
          <w:bCs/>
          <w:sz w:val="24"/>
          <w:szCs w:val="24"/>
        </w:rPr>
      </w:pPr>
      <w:r w:rsidRPr="00930D12">
        <w:rPr>
          <w:rFonts w:ascii="Times New Roman" w:hAnsi="Times New Roman" w:cs="Times New Roman"/>
          <w:b/>
          <w:bCs/>
          <w:sz w:val="24"/>
          <w:szCs w:val="24"/>
        </w:rPr>
        <w:t>INTRODUCTION</w:t>
      </w:r>
      <w:bookmarkEnd w:id="2"/>
    </w:p>
    <w:p w14:paraId="77B71210" w14:textId="64EB5BB9" w:rsidR="00EA0E43" w:rsidRPr="00930D12" w:rsidRDefault="00EA0E43" w:rsidP="00930D12">
      <w:pPr>
        <w:jc w:val="both"/>
        <w:rPr>
          <w:rFonts w:ascii="Times New Roman" w:hAnsi="Times New Roman" w:cs="Times New Roman"/>
          <w:sz w:val="24"/>
          <w:szCs w:val="24"/>
        </w:rPr>
      </w:pPr>
      <w:r w:rsidRPr="00930D12">
        <w:rPr>
          <w:rFonts w:ascii="Times New Roman" w:eastAsiaTheme="majorEastAsia" w:hAnsi="Times New Roman" w:cs="Times New Roman"/>
          <w:bCs/>
          <w:sz w:val="24"/>
          <w:szCs w:val="24"/>
        </w:rPr>
        <w:t xml:space="preserve">Water is universally accepted as a great natural resource that supports all kinds of life </w:t>
      </w:r>
      <w:r w:rsidR="0094040C" w:rsidRPr="00930D12">
        <w:rPr>
          <w:rFonts w:ascii="Times New Roman" w:eastAsiaTheme="majorEastAsia" w:hAnsi="Times New Roman" w:cs="Times New Roman"/>
          <w:bCs/>
          <w:sz w:val="24"/>
          <w:szCs w:val="24"/>
        </w:rPr>
        <w:t>o</w:t>
      </w:r>
      <w:r w:rsidRPr="00930D12">
        <w:rPr>
          <w:rFonts w:ascii="Times New Roman" w:eastAsiaTheme="majorEastAsia" w:hAnsi="Times New Roman" w:cs="Times New Roman"/>
          <w:bCs/>
          <w:sz w:val="24"/>
          <w:szCs w:val="24"/>
        </w:rPr>
        <w:t>n the planet</w:t>
      </w:r>
      <w:r w:rsidR="0094040C" w:rsidRPr="00930D12">
        <w:rPr>
          <w:rFonts w:ascii="Times New Roman" w:eastAsiaTheme="majorEastAsia" w:hAnsi="Times New Roman" w:cs="Times New Roman"/>
          <w:bCs/>
          <w:sz w:val="24"/>
          <w:szCs w:val="24"/>
        </w:rPr>
        <w:t xml:space="preserve"> earth</w:t>
      </w:r>
      <w:r w:rsidRPr="00930D12">
        <w:rPr>
          <w:rFonts w:ascii="Times New Roman" w:eastAsiaTheme="majorEastAsia" w:hAnsi="Times New Roman" w:cs="Times New Roman"/>
          <w:bCs/>
          <w:sz w:val="24"/>
          <w:szCs w:val="24"/>
        </w:rPr>
        <w:t xml:space="preserve">. In addition to the physiological significance, water is also significant in agriculture, industry, household and environmental balance. Nonetheless, safe drinking water is a worldwide problem and especially in the developing nations, whereby, poor sanitation and substandard water management practices are piling up waterborne diseases burden. The World Health Organization (WHO, 2023; Cabral, 2010) revealed that over 1.7 billion individuals in the world continue to use </w:t>
      </w:r>
      <w:r w:rsidRPr="00930D12">
        <w:rPr>
          <w:rFonts w:ascii="Times New Roman" w:eastAsiaTheme="majorEastAsia" w:hAnsi="Times New Roman" w:cs="Times New Roman"/>
          <w:bCs/>
          <w:sz w:val="24"/>
          <w:szCs w:val="24"/>
        </w:rPr>
        <w:lastRenderedPageBreak/>
        <w:t xml:space="preserve">water, which contains </w:t>
      </w:r>
      <w:proofErr w:type="spellStart"/>
      <w:r w:rsidRPr="00930D12">
        <w:rPr>
          <w:rFonts w:ascii="Times New Roman" w:eastAsiaTheme="majorEastAsia" w:hAnsi="Times New Roman" w:cs="Times New Roman"/>
          <w:bCs/>
          <w:sz w:val="24"/>
          <w:szCs w:val="24"/>
        </w:rPr>
        <w:t>faecal</w:t>
      </w:r>
      <w:proofErr w:type="spellEnd"/>
      <w:r w:rsidRPr="00930D12">
        <w:rPr>
          <w:rFonts w:ascii="Times New Roman" w:eastAsiaTheme="majorEastAsia" w:hAnsi="Times New Roman" w:cs="Times New Roman"/>
          <w:bCs/>
          <w:sz w:val="24"/>
          <w:szCs w:val="24"/>
        </w:rPr>
        <w:t xml:space="preserve"> waste and predispose them to such infections as cholera, typhoid fever and diarrhea. </w:t>
      </w:r>
    </w:p>
    <w:p w14:paraId="3C3A564A" w14:textId="5A36762C" w:rsidR="00490DE2" w:rsidRDefault="00EE4FE8"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 xml:space="preserve">In Ghana and many parts of sub-Saharan Africa, potable water scarcity has compelled communities and institutions to rely on storage tanks (Poly-tanks) as supplementary means of water preservation during periods of interrupted supply. While this practice provides temporary relief, it also introduces new risks of secondary contamination arising from poor maintenance, microbial regrowth and environmental exposure. Numerous studies (Brick et al., 2004; Eniola et al., 2007; </w:t>
      </w:r>
      <w:proofErr w:type="spellStart"/>
      <w:r w:rsidRPr="00930D12">
        <w:rPr>
          <w:rFonts w:ascii="Times New Roman" w:eastAsiaTheme="majorEastAsia" w:hAnsi="Times New Roman" w:cs="Times New Roman"/>
          <w:bCs/>
          <w:sz w:val="24"/>
          <w:szCs w:val="24"/>
        </w:rPr>
        <w:t>Adetunde</w:t>
      </w:r>
      <w:proofErr w:type="spellEnd"/>
      <w:r w:rsidRPr="00930D12">
        <w:rPr>
          <w:rFonts w:ascii="Times New Roman" w:eastAsiaTheme="majorEastAsia" w:hAnsi="Times New Roman" w:cs="Times New Roman"/>
          <w:bCs/>
          <w:sz w:val="24"/>
          <w:szCs w:val="24"/>
        </w:rPr>
        <w:t xml:space="preserve"> and Glover, 2010) have reported that water stored in overhead tanks or poly-tanks can harbor various microorganisms, including heterotrophic bacteria and coliforms, which thrive in stagnant water, sediment deposits and biofilms that form on the tank’s inner surfaces.</w:t>
      </w:r>
    </w:p>
    <w:p w14:paraId="1DA674E1" w14:textId="0B4FD331" w:rsidR="00065C86" w:rsidRPr="00930D12" w:rsidRDefault="00EE4FE8"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 xml:space="preserve"> </w:t>
      </w:r>
      <w:r w:rsidR="00A343C8" w:rsidRPr="00930D12">
        <w:rPr>
          <w:rFonts w:ascii="Times New Roman" w:eastAsiaTheme="majorEastAsia" w:hAnsi="Times New Roman" w:cs="Times New Roman"/>
          <w:bCs/>
          <w:sz w:val="24"/>
          <w:szCs w:val="24"/>
        </w:rPr>
        <w:t xml:space="preserve">    </w:t>
      </w:r>
      <w:r w:rsidR="00065C86" w:rsidRPr="00930D12">
        <w:rPr>
          <w:rFonts w:ascii="Times New Roman" w:eastAsiaTheme="majorEastAsia" w:hAnsi="Times New Roman" w:cs="Times New Roman"/>
          <w:bCs/>
          <w:sz w:val="24"/>
          <w:szCs w:val="24"/>
        </w:rPr>
        <w:t>Bacteriological contamination of stored water is particularly concerning because microorganisms such as Escherichia coli, Klebsiella, Bacillus, Pseudomonas, Staphylococcus and Micrococcus species are known indicators of water quality deterioration and potential health risk</w:t>
      </w:r>
      <w:r w:rsidR="0088561D" w:rsidRPr="00930D12">
        <w:rPr>
          <w:rFonts w:ascii="Times New Roman" w:eastAsiaTheme="majorEastAsia" w:hAnsi="Times New Roman" w:cs="Times New Roman"/>
          <w:bCs/>
          <w:sz w:val="24"/>
          <w:szCs w:val="24"/>
        </w:rPr>
        <w:t xml:space="preserve"> </w:t>
      </w:r>
      <w:r w:rsidR="0088561D" w:rsidRPr="00930D12">
        <w:rPr>
          <w:rFonts w:ascii="Times New Roman" w:hAnsi="Times New Roman" w:cs="Times New Roman"/>
          <w:sz w:val="24"/>
          <w:szCs w:val="24"/>
        </w:rPr>
        <w:fldChar w:fldCharType="begin"/>
      </w:r>
      <w:r w:rsidR="0088561D" w:rsidRPr="00930D12">
        <w:rPr>
          <w:rFonts w:ascii="Times New Roman" w:hAnsi="Times New Roman" w:cs="Times New Roman"/>
          <w:sz w:val="24"/>
          <w:szCs w:val="24"/>
        </w:rPr>
        <w:instrText xml:space="preserve"> ADDIN ZOTERO_ITEM CSL_CITATION {"citationID":"cfOeUY9B","properties":{"formattedCitation":"(Birmingham et al., 2021)","plainCitation":"(Birmingham et al., 2021)","noteIndex":0},"citationItems":[{"id":98,"uris":["http://zotero.org/users/local/AOvtt2fA/items/6UQB4Z99"],"itemData":{"id":98,"type":"article-journal","container-title":"PUBMED","DOI":"10.1016/S0140-6736(96)08478-4","language":"en","title":"Systematic Study and Meta-Analysis of Risk Factors Associated with Cholera outbreaks in Africa","volume":"11","author":[{"family":"Birmingham","given":"M.E"},{"family":"Lee","given":"L.A"},{"family":"Ndayimirije","given":"N."},{"family":"Nkurikiye","given":"S."},{"family":"Hersh","given":"B.S"},{"family":"Wells","given":"J.G"},{"family":"Deming","given":"M.S"}],"issued":{"date-parts":[["2021",6]]}}}],"schema":"https://github.com/citation-style-language/schema/raw/master/csl-citation.json"} </w:instrText>
      </w:r>
      <w:r w:rsidR="0088561D" w:rsidRPr="00930D12">
        <w:rPr>
          <w:rFonts w:ascii="Times New Roman" w:hAnsi="Times New Roman" w:cs="Times New Roman"/>
          <w:sz w:val="24"/>
          <w:szCs w:val="24"/>
        </w:rPr>
        <w:fldChar w:fldCharType="separate"/>
      </w:r>
      <w:r w:rsidR="0088561D" w:rsidRPr="00930D12">
        <w:rPr>
          <w:rFonts w:ascii="Times New Roman" w:hAnsi="Times New Roman" w:cs="Times New Roman"/>
          <w:sz w:val="24"/>
          <w:szCs w:val="24"/>
        </w:rPr>
        <w:t>(</w:t>
      </w:r>
      <w:r w:rsidR="008355A4">
        <w:rPr>
          <w:rFonts w:ascii="Times New Roman" w:hAnsi="Times New Roman" w:cs="Times New Roman"/>
          <w:sz w:val="24"/>
          <w:szCs w:val="24"/>
        </w:rPr>
        <w:t>Paye</w:t>
      </w:r>
      <w:r w:rsidR="0088561D" w:rsidRPr="00930D12">
        <w:rPr>
          <w:rFonts w:ascii="Times New Roman" w:hAnsi="Times New Roman" w:cs="Times New Roman"/>
          <w:sz w:val="24"/>
          <w:szCs w:val="24"/>
        </w:rPr>
        <w:t xml:space="preserve"> </w:t>
      </w:r>
      <w:r w:rsidR="0088561D" w:rsidRPr="00930D12">
        <w:rPr>
          <w:rFonts w:ascii="Times New Roman" w:hAnsi="Times New Roman" w:cs="Times New Roman"/>
          <w:i/>
          <w:iCs/>
          <w:sz w:val="24"/>
          <w:szCs w:val="24"/>
        </w:rPr>
        <w:t>et al.,</w:t>
      </w:r>
      <w:r w:rsidR="0088561D" w:rsidRPr="00930D12">
        <w:rPr>
          <w:rFonts w:ascii="Times New Roman" w:hAnsi="Times New Roman" w:cs="Times New Roman"/>
          <w:sz w:val="24"/>
          <w:szCs w:val="24"/>
        </w:rPr>
        <w:t xml:space="preserve"> 2021</w:t>
      </w:r>
      <w:r w:rsidR="008355A4">
        <w:rPr>
          <w:rFonts w:ascii="Times New Roman" w:hAnsi="Times New Roman" w:cs="Times New Roman"/>
          <w:sz w:val="24"/>
          <w:szCs w:val="24"/>
        </w:rPr>
        <w:t>; Uwishema et al,.2021</w:t>
      </w:r>
      <w:r w:rsidR="0088561D" w:rsidRPr="00930D12">
        <w:rPr>
          <w:rFonts w:ascii="Times New Roman" w:hAnsi="Times New Roman" w:cs="Times New Roman"/>
          <w:sz w:val="24"/>
          <w:szCs w:val="24"/>
        </w:rPr>
        <w:t>)</w:t>
      </w:r>
      <w:r w:rsidR="0088561D" w:rsidRPr="00930D12">
        <w:rPr>
          <w:rFonts w:ascii="Times New Roman" w:hAnsi="Times New Roman" w:cs="Times New Roman"/>
          <w:sz w:val="24"/>
          <w:szCs w:val="24"/>
        </w:rPr>
        <w:fldChar w:fldCharType="end"/>
      </w:r>
      <w:r w:rsidR="00065C86" w:rsidRPr="00930D12">
        <w:rPr>
          <w:rFonts w:ascii="Times New Roman" w:eastAsiaTheme="majorEastAsia" w:hAnsi="Times New Roman" w:cs="Times New Roman"/>
          <w:bCs/>
          <w:sz w:val="24"/>
          <w:szCs w:val="24"/>
        </w:rPr>
        <w:t xml:space="preserve">. E. coli is a principal </w:t>
      </w:r>
      <w:proofErr w:type="spellStart"/>
      <w:r w:rsidR="00065C86" w:rsidRPr="00930D12">
        <w:rPr>
          <w:rFonts w:ascii="Times New Roman" w:eastAsiaTheme="majorEastAsia" w:hAnsi="Times New Roman" w:cs="Times New Roman"/>
          <w:bCs/>
          <w:sz w:val="24"/>
          <w:szCs w:val="24"/>
        </w:rPr>
        <w:t>faecal</w:t>
      </w:r>
      <w:proofErr w:type="spellEnd"/>
      <w:r w:rsidR="00065C86" w:rsidRPr="00930D12">
        <w:rPr>
          <w:rFonts w:ascii="Times New Roman" w:eastAsiaTheme="majorEastAsia" w:hAnsi="Times New Roman" w:cs="Times New Roman"/>
          <w:bCs/>
          <w:sz w:val="24"/>
          <w:szCs w:val="24"/>
        </w:rPr>
        <w:t xml:space="preserve"> indicator organism whose presence reflects recent </w:t>
      </w:r>
      <w:proofErr w:type="spellStart"/>
      <w:r w:rsidR="00065C86" w:rsidRPr="00930D12">
        <w:rPr>
          <w:rFonts w:ascii="Times New Roman" w:eastAsiaTheme="majorEastAsia" w:hAnsi="Times New Roman" w:cs="Times New Roman"/>
          <w:bCs/>
          <w:sz w:val="24"/>
          <w:szCs w:val="24"/>
        </w:rPr>
        <w:t>faecal</w:t>
      </w:r>
      <w:proofErr w:type="spellEnd"/>
      <w:r w:rsidR="00065C86" w:rsidRPr="00930D12">
        <w:rPr>
          <w:rFonts w:ascii="Times New Roman" w:eastAsiaTheme="majorEastAsia" w:hAnsi="Times New Roman" w:cs="Times New Roman"/>
          <w:bCs/>
          <w:sz w:val="24"/>
          <w:szCs w:val="24"/>
        </w:rPr>
        <w:t xml:space="preserve"> contamination and possible occurrence of enteric pathogens (WHO, 2012). Even in the absence of E. coli, the detection of total coliforms or high heterotrophic plate counts (HPC) suggests bact</w:t>
      </w:r>
      <w:r w:rsidR="00F13AD8" w:rsidRPr="00930D12">
        <w:rPr>
          <w:rFonts w:ascii="Times New Roman" w:eastAsiaTheme="majorEastAsia" w:hAnsi="Times New Roman" w:cs="Times New Roman"/>
          <w:bCs/>
          <w:sz w:val="24"/>
          <w:szCs w:val="24"/>
        </w:rPr>
        <w:t>erial regrowth and possible hygiene lapses in the storage system (Ogba et al., 2021).</w:t>
      </w:r>
    </w:p>
    <w:p w14:paraId="52BE4054" w14:textId="572D571B" w:rsidR="0046220E" w:rsidRPr="00930D12" w:rsidRDefault="0046220E"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t xml:space="preserve">The </w:t>
      </w:r>
      <w:r w:rsidR="004056E0" w:rsidRPr="00930D12">
        <w:rPr>
          <w:rFonts w:ascii="Times New Roman" w:eastAsiaTheme="majorEastAsia" w:hAnsi="Times New Roman" w:cs="Times New Roman"/>
          <w:bCs/>
          <w:sz w:val="24"/>
          <w:szCs w:val="24"/>
        </w:rPr>
        <w:t xml:space="preserve">design, material and maintenance of storage tanks greatly influence water quality. </w:t>
      </w:r>
      <w:r w:rsidR="00FA0766" w:rsidRPr="00930D12">
        <w:rPr>
          <w:rFonts w:ascii="Times New Roman" w:eastAsiaTheme="majorEastAsia" w:hAnsi="Times New Roman" w:cs="Times New Roman"/>
          <w:bCs/>
          <w:sz w:val="24"/>
          <w:szCs w:val="24"/>
        </w:rPr>
        <w:t>Schafer</w:t>
      </w:r>
      <w:r w:rsidR="005A1375">
        <w:rPr>
          <w:rFonts w:ascii="Times New Roman" w:eastAsiaTheme="majorEastAsia" w:hAnsi="Times New Roman" w:cs="Times New Roman"/>
          <w:bCs/>
          <w:sz w:val="24"/>
          <w:szCs w:val="24"/>
        </w:rPr>
        <w:t xml:space="preserve"> and </w:t>
      </w:r>
      <w:proofErr w:type="spellStart"/>
      <w:r w:rsidR="005A1375">
        <w:rPr>
          <w:rFonts w:ascii="Times New Roman" w:eastAsiaTheme="majorEastAsia" w:hAnsi="Times New Roman" w:cs="Times New Roman"/>
          <w:bCs/>
          <w:sz w:val="24"/>
          <w:szCs w:val="24"/>
        </w:rPr>
        <w:t>Michelicic</w:t>
      </w:r>
      <w:proofErr w:type="spellEnd"/>
      <w:r w:rsidR="00FA0766" w:rsidRPr="00930D12">
        <w:rPr>
          <w:rFonts w:ascii="Times New Roman" w:eastAsiaTheme="majorEastAsia" w:hAnsi="Times New Roman" w:cs="Times New Roman"/>
          <w:bCs/>
          <w:sz w:val="24"/>
          <w:szCs w:val="24"/>
        </w:rPr>
        <w:t xml:space="preserve"> (2012) have also found that polyethylene tanks tend to become re-contaminated by microbes because of the increased water temperature and the growth of biofilms compared to concrete or fiberglass tanks. It was also shown that long storage period, low residual chlorine value and presence of sediments increase bacteria in household water tanks to a large extent (</w:t>
      </w:r>
      <w:proofErr w:type="spellStart"/>
      <w:r w:rsidR="00FA0766" w:rsidRPr="00930D12">
        <w:rPr>
          <w:rFonts w:ascii="Times New Roman" w:eastAsiaTheme="majorEastAsia" w:hAnsi="Times New Roman" w:cs="Times New Roman"/>
          <w:bCs/>
          <w:sz w:val="24"/>
          <w:szCs w:val="24"/>
        </w:rPr>
        <w:t>Tokajian</w:t>
      </w:r>
      <w:proofErr w:type="spellEnd"/>
      <w:r w:rsidR="00FA0766" w:rsidRPr="00930D12">
        <w:rPr>
          <w:rFonts w:ascii="Times New Roman" w:eastAsiaTheme="majorEastAsia" w:hAnsi="Times New Roman" w:cs="Times New Roman"/>
          <w:bCs/>
          <w:sz w:val="24"/>
          <w:szCs w:val="24"/>
        </w:rPr>
        <w:t xml:space="preserve"> and </w:t>
      </w:r>
      <w:proofErr w:type="spellStart"/>
      <w:r w:rsidR="00FA0766" w:rsidRPr="00930D12">
        <w:rPr>
          <w:rFonts w:ascii="Times New Roman" w:eastAsiaTheme="majorEastAsia" w:hAnsi="Times New Roman" w:cs="Times New Roman"/>
          <w:bCs/>
          <w:sz w:val="24"/>
          <w:szCs w:val="24"/>
        </w:rPr>
        <w:t>Hashwa</w:t>
      </w:r>
      <w:proofErr w:type="spellEnd"/>
      <w:r w:rsidR="00FA0766" w:rsidRPr="00930D12">
        <w:rPr>
          <w:rFonts w:ascii="Times New Roman" w:eastAsiaTheme="majorEastAsia" w:hAnsi="Times New Roman" w:cs="Times New Roman"/>
          <w:bCs/>
          <w:sz w:val="24"/>
          <w:szCs w:val="24"/>
        </w:rPr>
        <w:t>, 2003</w:t>
      </w:r>
      <w:r w:rsidR="005A1375">
        <w:rPr>
          <w:rFonts w:ascii="Times New Roman" w:eastAsiaTheme="majorEastAsia" w:hAnsi="Times New Roman" w:cs="Times New Roman"/>
          <w:bCs/>
          <w:sz w:val="24"/>
          <w:szCs w:val="24"/>
        </w:rPr>
        <w:t>;2004</w:t>
      </w:r>
      <w:r w:rsidR="00FA0766" w:rsidRPr="00930D12">
        <w:rPr>
          <w:rFonts w:ascii="Times New Roman" w:eastAsiaTheme="majorEastAsia" w:hAnsi="Times New Roman" w:cs="Times New Roman"/>
          <w:bCs/>
          <w:sz w:val="24"/>
          <w:szCs w:val="24"/>
        </w:rPr>
        <w:t xml:space="preserve">). </w:t>
      </w:r>
      <w:proofErr w:type="spellStart"/>
      <w:r w:rsidR="00FA0766" w:rsidRPr="00930D12">
        <w:rPr>
          <w:rFonts w:ascii="Times New Roman" w:eastAsiaTheme="majorEastAsia" w:hAnsi="Times New Roman" w:cs="Times New Roman"/>
          <w:bCs/>
          <w:sz w:val="24"/>
          <w:szCs w:val="24"/>
        </w:rPr>
        <w:t>Adetunde</w:t>
      </w:r>
      <w:proofErr w:type="spellEnd"/>
      <w:r w:rsidR="00FA0766" w:rsidRPr="00930D12">
        <w:rPr>
          <w:rFonts w:ascii="Times New Roman" w:eastAsiaTheme="majorEastAsia" w:hAnsi="Times New Roman" w:cs="Times New Roman"/>
          <w:bCs/>
          <w:sz w:val="24"/>
          <w:szCs w:val="24"/>
        </w:rPr>
        <w:t xml:space="preserve"> and Glover (2010) established that in Ghana, majority of student hostels and households use groundwater which is not treated and is stored in plastic tanks that are not always cleaned and disinfected.  </w:t>
      </w:r>
    </w:p>
    <w:p w14:paraId="724BDB7F" w14:textId="2DF4AFC3" w:rsidR="00BC02C0" w:rsidRPr="00930D12" w:rsidRDefault="001913E7"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This is of great concern especially in the university fraternities like C. K. Tedam University of Technology and Applied Sciences (C. K. T. UTAS) in </w:t>
      </w:r>
      <w:proofErr w:type="spellStart"/>
      <w:r w:rsidRPr="00930D12">
        <w:rPr>
          <w:rFonts w:ascii="Times New Roman" w:hAnsi="Times New Roman" w:cs="Times New Roman"/>
          <w:sz w:val="24"/>
          <w:szCs w:val="24"/>
        </w:rPr>
        <w:t>Navrongo</w:t>
      </w:r>
      <w:proofErr w:type="spellEnd"/>
      <w:r w:rsidRPr="00930D12">
        <w:rPr>
          <w:rFonts w:ascii="Times New Roman" w:hAnsi="Times New Roman" w:cs="Times New Roman"/>
          <w:sz w:val="24"/>
          <w:szCs w:val="24"/>
        </w:rPr>
        <w:t>, where the increasing number of students places strain on the water resources available. Poly-tanks supplied by either Ghana Water Company Limited or boreholes are important to the hostels around and within the campus. Most of these tanks are not covered, they are placed on elevated platforms and rarely washed, therefore creating the best environment where microbes can thrive (</w:t>
      </w:r>
      <w:proofErr w:type="spellStart"/>
      <w:r w:rsidR="0073650B">
        <w:rPr>
          <w:rFonts w:ascii="Times New Roman" w:hAnsi="Times New Roman" w:cs="Times New Roman"/>
          <w:sz w:val="24"/>
          <w:szCs w:val="24"/>
        </w:rPr>
        <w:t>Binibor</w:t>
      </w:r>
      <w:proofErr w:type="spellEnd"/>
      <w:r w:rsidRPr="00930D12">
        <w:rPr>
          <w:rFonts w:ascii="Times New Roman" w:hAnsi="Times New Roman" w:cs="Times New Roman"/>
          <w:sz w:val="24"/>
          <w:szCs w:val="24"/>
        </w:rPr>
        <w:t xml:space="preserve"> et al., 202</w:t>
      </w:r>
      <w:r w:rsidR="0073650B">
        <w:rPr>
          <w:rFonts w:ascii="Times New Roman" w:hAnsi="Times New Roman" w:cs="Times New Roman"/>
          <w:sz w:val="24"/>
          <w:szCs w:val="24"/>
        </w:rPr>
        <w:t>5</w:t>
      </w:r>
      <w:r w:rsidRPr="00930D12">
        <w:rPr>
          <w:rFonts w:ascii="Times New Roman" w:hAnsi="Times New Roman" w:cs="Times New Roman"/>
          <w:sz w:val="24"/>
          <w:szCs w:val="24"/>
        </w:rPr>
        <w:t xml:space="preserve">). The eventual re-contamination of treated water stored is potentially dangerous to the health of students and residents, especially through consumption of untreated or poorly treated water or use of this water to cook food and brush their teeth (Jones, 2015). </w:t>
      </w:r>
      <w:r w:rsidR="00BC02C0" w:rsidRPr="00930D12">
        <w:rPr>
          <w:rFonts w:ascii="Times New Roman" w:hAnsi="Times New Roman" w:cs="Times New Roman"/>
          <w:sz w:val="24"/>
          <w:szCs w:val="24"/>
        </w:rPr>
        <w:t xml:space="preserve"> </w:t>
      </w:r>
    </w:p>
    <w:p w14:paraId="73E93CD3" w14:textId="48770254" w:rsidR="00BC02C0" w:rsidRPr="00930D12" w:rsidRDefault="00CC501C" w:rsidP="00930D12">
      <w:pPr>
        <w:jc w:val="both"/>
        <w:rPr>
          <w:rFonts w:ascii="Times New Roman" w:hAnsi="Times New Roman" w:cs="Times New Roman"/>
          <w:sz w:val="24"/>
          <w:szCs w:val="24"/>
        </w:rPr>
      </w:pPr>
      <w:r w:rsidRPr="00930D12">
        <w:rPr>
          <w:rFonts w:ascii="Times New Roman" w:eastAsiaTheme="majorEastAsia" w:hAnsi="Times New Roman" w:cs="Times New Roman"/>
          <w:bCs/>
          <w:sz w:val="24"/>
          <w:szCs w:val="24"/>
        </w:rPr>
        <w:t xml:space="preserve">Although the quality of microbial sources of surface and groundwater in Ghana has been reported </w:t>
      </w:r>
      <w:r w:rsidR="005A1375" w:rsidRPr="00930D12">
        <w:rPr>
          <w:rFonts w:ascii="Times New Roman" w:eastAsiaTheme="majorEastAsia" w:hAnsi="Times New Roman" w:cs="Times New Roman"/>
          <w:bCs/>
          <w:sz w:val="24"/>
          <w:szCs w:val="24"/>
        </w:rPr>
        <w:t>(</w:t>
      </w:r>
      <w:proofErr w:type="spellStart"/>
      <w:r w:rsidR="005A1375" w:rsidRPr="00930D12">
        <w:rPr>
          <w:rFonts w:ascii="Times New Roman" w:eastAsiaTheme="majorEastAsia" w:hAnsi="Times New Roman" w:cs="Times New Roman"/>
          <w:bCs/>
          <w:sz w:val="24"/>
          <w:szCs w:val="24"/>
        </w:rPr>
        <w:t>Aligu</w:t>
      </w:r>
      <w:proofErr w:type="spellEnd"/>
      <w:r w:rsidRPr="00930D12">
        <w:rPr>
          <w:rFonts w:ascii="Times New Roman" w:eastAsiaTheme="majorEastAsia" w:hAnsi="Times New Roman" w:cs="Times New Roman"/>
          <w:bCs/>
          <w:sz w:val="24"/>
          <w:szCs w:val="24"/>
        </w:rPr>
        <w:t xml:space="preserve"> et al., 2021; </w:t>
      </w:r>
      <w:proofErr w:type="spellStart"/>
      <w:r w:rsidRPr="00930D12">
        <w:rPr>
          <w:rFonts w:ascii="Times New Roman" w:eastAsiaTheme="majorEastAsia" w:hAnsi="Times New Roman" w:cs="Times New Roman"/>
          <w:bCs/>
          <w:sz w:val="24"/>
          <w:szCs w:val="24"/>
        </w:rPr>
        <w:t>Napacho</w:t>
      </w:r>
      <w:proofErr w:type="spellEnd"/>
      <w:r w:rsidRPr="00930D12">
        <w:rPr>
          <w:rFonts w:ascii="Times New Roman" w:eastAsiaTheme="majorEastAsia" w:hAnsi="Times New Roman" w:cs="Times New Roman"/>
          <w:bCs/>
          <w:sz w:val="24"/>
          <w:szCs w:val="24"/>
        </w:rPr>
        <w:t xml:space="preserve"> and </w:t>
      </w:r>
      <w:proofErr w:type="spellStart"/>
      <w:r w:rsidRPr="00930D12">
        <w:rPr>
          <w:rFonts w:ascii="Times New Roman" w:eastAsiaTheme="majorEastAsia" w:hAnsi="Times New Roman" w:cs="Times New Roman"/>
          <w:bCs/>
          <w:sz w:val="24"/>
          <w:szCs w:val="24"/>
        </w:rPr>
        <w:t>Manyele</w:t>
      </w:r>
      <w:proofErr w:type="spellEnd"/>
      <w:r w:rsidRPr="00930D12">
        <w:rPr>
          <w:rFonts w:ascii="Times New Roman" w:eastAsiaTheme="majorEastAsia" w:hAnsi="Times New Roman" w:cs="Times New Roman"/>
          <w:bCs/>
          <w:sz w:val="24"/>
          <w:szCs w:val="24"/>
        </w:rPr>
        <w:t xml:space="preserve">, 2010), there is a lack of information on the microbial condition of water when stored in domestic or institutional tanks. This is a major loophole in water </w:t>
      </w:r>
      <w:r w:rsidRPr="00930D12">
        <w:rPr>
          <w:rFonts w:ascii="Times New Roman" w:eastAsiaTheme="majorEastAsia" w:hAnsi="Times New Roman" w:cs="Times New Roman"/>
          <w:bCs/>
          <w:sz w:val="24"/>
          <w:szCs w:val="24"/>
        </w:rPr>
        <w:lastRenderedPageBreak/>
        <w:t xml:space="preserve">quality monitoring since stored water may act as a second source of contamination despite having microbiologically-safe source water. The microbial composition and load of stored water is thus essential in the assessment of the risk of infringing on the health of the populace, as well as the prevention of </w:t>
      </w:r>
      <w:r w:rsidR="00490DE2">
        <w:rPr>
          <w:rFonts w:ascii="Times New Roman" w:eastAsiaTheme="majorEastAsia" w:hAnsi="Times New Roman" w:cs="Times New Roman"/>
          <w:bCs/>
          <w:sz w:val="24"/>
          <w:szCs w:val="24"/>
        </w:rPr>
        <w:t>outbreaks of infections and diseases</w:t>
      </w:r>
      <w:r w:rsidRPr="00930D12">
        <w:rPr>
          <w:rFonts w:ascii="Times New Roman" w:hAnsi="Times New Roman" w:cs="Times New Roman"/>
          <w:sz w:val="24"/>
          <w:szCs w:val="24"/>
        </w:rPr>
        <w:t xml:space="preserve">. </w:t>
      </w:r>
      <w:r w:rsidR="00BC02C0" w:rsidRPr="00930D12">
        <w:rPr>
          <w:rFonts w:ascii="Times New Roman" w:hAnsi="Times New Roman" w:cs="Times New Roman"/>
          <w:sz w:val="24"/>
          <w:szCs w:val="24"/>
        </w:rPr>
        <w:t xml:space="preserve">     </w:t>
      </w:r>
    </w:p>
    <w:p w14:paraId="46F8F668" w14:textId="76A825D0" w:rsidR="007E3A7E" w:rsidRPr="00930D12" w:rsidRDefault="00581549" w:rsidP="00930D12">
      <w:pPr>
        <w:jc w:val="both"/>
        <w:rPr>
          <w:rFonts w:ascii="Times New Roman" w:hAnsi="Times New Roman" w:cs="Times New Roman"/>
          <w:sz w:val="24"/>
          <w:szCs w:val="24"/>
        </w:rPr>
      </w:pPr>
      <w:r w:rsidRPr="00930D12">
        <w:rPr>
          <w:rFonts w:ascii="Times New Roman" w:hAnsi="Times New Roman" w:cs="Times New Roman"/>
          <w:sz w:val="24"/>
          <w:szCs w:val="24"/>
        </w:rPr>
        <w:t xml:space="preserve">It is against this background that the present study was undertaken to determine the bacteriological quality of the water that was stored in hostel tanks both in and around the C. K. T. UTAS, </w:t>
      </w:r>
      <w:proofErr w:type="spellStart"/>
      <w:r w:rsidRPr="00930D12">
        <w:rPr>
          <w:rFonts w:ascii="Times New Roman" w:hAnsi="Times New Roman" w:cs="Times New Roman"/>
          <w:sz w:val="24"/>
          <w:szCs w:val="24"/>
        </w:rPr>
        <w:t>Navrongo</w:t>
      </w:r>
      <w:proofErr w:type="spellEnd"/>
      <w:r w:rsidRPr="00930D12">
        <w:rPr>
          <w:rFonts w:ascii="Times New Roman" w:hAnsi="Times New Roman" w:cs="Times New Roman"/>
          <w:sz w:val="24"/>
          <w:szCs w:val="24"/>
        </w:rPr>
        <w:t xml:space="preserve"> in Ghana. In particular, the </w:t>
      </w:r>
      <w:r w:rsidR="00217288" w:rsidRPr="00930D12">
        <w:rPr>
          <w:rFonts w:ascii="Times New Roman" w:hAnsi="Times New Roman" w:cs="Times New Roman"/>
          <w:sz w:val="24"/>
          <w:szCs w:val="24"/>
        </w:rPr>
        <w:t>objectives</w:t>
      </w:r>
      <w:r w:rsidRPr="00930D12">
        <w:rPr>
          <w:rFonts w:ascii="Times New Roman" w:hAnsi="Times New Roman" w:cs="Times New Roman"/>
          <w:sz w:val="24"/>
          <w:szCs w:val="24"/>
        </w:rPr>
        <w:t xml:space="preserve"> of the study were to obtain the total viable bacterial counts and coliform in the stored water, as well as to determine the bacteria species present in the water through the use of cultural and biochemical characterization techniques. The results will be used to form a baseline data on how to ensure better hygiene of water storage and as well as assist institutional and </w:t>
      </w:r>
      <w:r w:rsidR="009F145C">
        <w:rPr>
          <w:rFonts w:ascii="Times New Roman" w:hAnsi="Times New Roman" w:cs="Times New Roman"/>
          <w:sz w:val="24"/>
          <w:szCs w:val="24"/>
        </w:rPr>
        <w:t xml:space="preserve">the </w:t>
      </w:r>
      <w:r w:rsidRPr="00930D12">
        <w:rPr>
          <w:rFonts w:ascii="Times New Roman" w:hAnsi="Times New Roman" w:cs="Times New Roman"/>
          <w:sz w:val="24"/>
          <w:szCs w:val="24"/>
        </w:rPr>
        <w:t xml:space="preserve">municipal </w:t>
      </w:r>
      <w:r w:rsidR="009F145C">
        <w:rPr>
          <w:rFonts w:ascii="Times New Roman" w:hAnsi="Times New Roman" w:cs="Times New Roman"/>
          <w:sz w:val="24"/>
          <w:szCs w:val="24"/>
        </w:rPr>
        <w:t>in</w:t>
      </w:r>
      <w:r w:rsidRPr="00930D12">
        <w:rPr>
          <w:rFonts w:ascii="Times New Roman" w:hAnsi="Times New Roman" w:cs="Times New Roman"/>
          <w:sz w:val="24"/>
          <w:szCs w:val="24"/>
        </w:rPr>
        <w:t xml:space="preserve"> eliminating waterborne illnesses on university residents.</w:t>
      </w:r>
    </w:p>
    <w:p w14:paraId="5607FB47" w14:textId="77777777" w:rsidR="009B1572" w:rsidRPr="00930D12" w:rsidRDefault="00274B73" w:rsidP="00930D12">
      <w:pPr>
        <w:jc w:val="both"/>
        <w:rPr>
          <w:rFonts w:ascii="Times New Roman" w:hAnsi="Times New Roman" w:cs="Times New Roman"/>
          <w:b/>
          <w:bCs/>
          <w:sz w:val="24"/>
          <w:szCs w:val="24"/>
        </w:rPr>
      </w:pPr>
      <w:r w:rsidRPr="00930D12">
        <w:rPr>
          <w:rFonts w:ascii="Times New Roman" w:hAnsi="Times New Roman" w:cs="Times New Roman"/>
          <w:b/>
          <w:bCs/>
          <w:sz w:val="24"/>
          <w:szCs w:val="24"/>
        </w:rPr>
        <w:t>METHODOLOGY</w:t>
      </w:r>
    </w:p>
    <w:p w14:paraId="46004FE7" w14:textId="072A036D" w:rsidR="000754BB" w:rsidRDefault="009B1572" w:rsidP="00930D12">
      <w:pPr>
        <w:jc w:val="both"/>
        <w:rPr>
          <w:rFonts w:ascii="Times New Roman" w:hAnsi="Times New Roman" w:cs="Times New Roman"/>
          <w:bCs/>
          <w:sz w:val="24"/>
          <w:szCs w:val="24"/>
        </w:rPr>
      </w:pPr>
      <w:r w:rsidRPr="00930D12">
        <w:rPr>
          <w:rFonts w:ascii="Times New Roman" w:hAnsi="Times New Roman" w:cs="Times New Roman"/>
          <w:sz w:val="24"/>
          <w:szCs w:val="24"/>
        </w:rPr>
        <w:t>Before water samples were taken for analysis, prepared questionnaires were administered to students to find out their use of water from the various tanks. Managers of the selected hostels</w:t>
      </w:r>
      <w:r w:rsidRPr="00930D12">
        <w:rPr>
          <w:rFonts w:ascii="Times New Roman" w:hAnsi="Times New Roman" w:cs="Times New Roman"/>
          <w:bCs/>
          <w:sz w:val="24"/>
          <w:szCs w:val="24"/>
        </w:rPr>
        <w:t xml:space="preserve"> were equally </w:t>
      </w:r>
      <w:r w:rsidR="006F356C" w:rsidRPr="00930D12">
        <w:rPr>
          <w:rFonts w:ascii="Times New Roman" w:hAnsi="Times New Roman" w:cs="Times New Roman"/>
          <w:bCs/>
          <w:sz w:val="24"/>
          <w:szCs w:val="24"/>
        </w:rPr>
        <w:t>interviewed for information about the poly tanks.</w:t>
      </w:r>
      <w:r w:rsidR="00681675" w:rsidRPr="00681675">
        <w:t xml:space="preserve"> </w:t>
      </w:r>
      <w:r w:rsidR="00681675" w:rsidRPr="00681675">
        <w:rPr>
          <w:rFonts w:ascii="Times New Roman" w:hAnsi="Times New Roman" w:cs="Times New Roman"/>
          <w:bCs/>
          <w:sz w:val="24"/>
          <w:szCs w:val="24"/>
          <w:highlight w:val="yellow"/>
        </w:rPr>
        <w:t>A simple random sampling procedure was conducted to select 120 individuals from the study population. 24 students each were interviewed from each hostel making a total of 120. Data were collected over a period of three (3) months, March, April and May, 2025</w:t>
      </w:r>
      <w:r w:rsidR="00681675">
        <w:rPr>
          <w:rFonts w:ascii="Times New Roman" w:hAnsi="Times New Roman" w:cs="Times New Roman"/>
          <w:bCs/>
          <w:sz w:val="24"/>
          <w:szCs w:val="24"/>
        </w:rPr>
        <w:t>.</w:t>
      </w:r>
      <w:r w:rsidRPr="00930D12">
        <w:rPr>
          <w:rFonts w:ascii="Times New Roman" w:hAnsi="Times New Roman" w:cs="Times New Roman"/>
          <w:bCs/>
          <w:sz w:val="24"/>
          <w:szCs w:val="24"/>
        </w:rPr>
        <w:t xml:space="preserve"> </w:t>
      </w:r>
      <w:r w:rsidR="000D52B1" w:rsidRPr="00930D12">
        <w:rPr>
          <w:rFonts w:ascii="Times New Roman" w:hAnsi="Times New Roman" w:cs="Times New Roman"/>
          <w:bCs/>
          <w:sz w:val="24"/>
          <w:szCs w:val="24"/>
        </w:rPr>
        <w:t xml:space="preserve">Five water samples were collected from </w:t>
      </w:r>
      <w:r w:rsidR="006F356C" w:rsidRPr="00930D12">
        <w:rPr>
          <w:rFonts w:ascii="Times New Roman" w:hAnsi="Times New Roman" w:cs="Times New Roman"/>
          <w:bCs/>
          <w:sz w:val="24"/>
          <w:szCs w:val="24"/>
        </w:rPr>
        <w:t xml:space="preserve">each </w:t>
      </w:r>
      <w:r w:rsidR="000D52B1" w:rsidRPr="00930D12">
        <w:rPr>
          <w:rFonts w:ascii="Times New Roman" w:hAnsi="Times New Roman" w:cs="Times New Roman"/>
          <w:bCs/>
          <w:sz w:val="24"/>
          <w:szCs w:val="24"/>
        </w:rPr>
        <w:t xml:space="preserve">hostel tank (Love, Dollar, </w:t>
      </w:r>
      <w:r w:rsidR="00830972" w:rsidRPr="00930D12">
        <w:rPr>
          <w:rFonts w:ascii="Times New Roman" w:hAnsi="Times New Roman" w:cs="Times New Roman"/>
          <w:bCs/>
          <w:sz w:val="24"/>
          <w:szCs w:val="24"/>
        </w:rPr>
        <w:t>Vatican City</w:t>
      </w:r>
      <w:r w:rsidR="000D52B1" w:rsidRPr="00930D12">
        <w:rPr>
          <w:rFonts w:ascii="Times New Roman" w:hAnsi="Times New Roman" w:cs="Times New Roman"/>
          <w:bCs/>
          <w:sz w:val="24"/>
          <w:szCs w:val="24"/>
        </w:rPr>
        <w:t>, Washington and VIP hostels) in the C. K. T. UTAS vicinity. Samples were collected aseptically into sterile bottles after flaming the tap nozzles and allowing the water to flow for a few seconds. Serial dilutions (10</w:t>
      </w:r>
      <w:r w:rsidR="000D52B1" w:rsidRPr="00930D12">
        <w:rPr>
          <w:rFonts w:ascii="Times New Roman" w:hAnsi="Times New Roman" w:cs="Times New Roman"/>
          <w:bCs/>
          <w:sz w:val="24"/>
          <w:szCs w:val="24"/>
          <w:vertAlign w:val="superscript"/>
        </w:rPr>
        <w:t>-1</w:t>
      </w:r>
      <w:r w:rsidR="000D52B1" w:rsidRPr="00930D12">
        <w:rPr>
          <w:rFonts w:ascii="Times New Roman" w:hAnsi="Times New Roman" w:cs="Times New Roman"/>
          <w:bCs/>
          <w:sz w:val="24"/>
          <w:szCs w:val="24"/>
        </w:rPr>
        <w:t xml:space="preserve"> – 10</w:t>
      </w:r>
      <w:r w:rsidR="000D52B1" w:rsidRPr="00930D12">
        <w:rPr>
          <w:rFonts w:ascii="Times New Roman" w:hAnsi="Times New Roman" w:cs="Times New Roman"/>
          <w:bCs/>
          <w:sz w:val="24"/>
          <w:szCs w:val="24"/>
          <w:vertAlign w:val="superscript"/>
        </w:rPr>
        <w:t>-5</w:t>
      </w:r>
      <w:r w:rsidR="000D52B1" w:rsidRPr="00930D12">
        <w:rPr>
          <w:rFonts w:ascii="Times New Roman" w:hAnsi="Times New Roman" w:cs="Times New Roman"/>
          <w:bCs/>
          <w:sz w:val="24"/>
          <w:szCs w:val="24"/>
        </w:rPr>
        <w:t>) were prepared, and</w:t>
      </w:r>
      <w:r w:rsidR="00E85973" w:rsidRPr="00930D12">
        <w:rPr>
          <w:rFonts w:ascii="Times New Roman" w:hAnsi="Times New Roman" w:cs="Times New Roman"/>
          <w:bCs/>
          <w:sz w:val="24"/>
          <w:szCs w:val="24"/>
        </w:rPr>
        <w:t xml:space="preserve"> 1ml</w:t>
      </w:r>
      <w:r w:rsidR="000D52B1" w:rsidRPr="00930D12">
        <w:rPr>
          <w:rFonts w:ascii="Times New Roman" w:hAnsi="Times New Roman" w:cs="Times New Roman"/>
          <w:bCs/>
          <w:sz w:val="24"/>
          <w:szCs w:val="24"/>
        </w:rPr>
        <w:t xml:space="preserve"> aliquots were cultured on Nutrient Agar, MacConkey Agar and </w:t>
      </w:r>
      <w:proofErr w:type="spellStart"/>
      <w:r w:rsidR="000D52B1" w:rsidRPr="00930D12">
        <w:rPr>
          <w:rFonts w:ascii="Times New Roman" w:hAnsi="Times New Roman" w:cs="Times New Roman"/>
          <w:bCs/>
          <w:sz w:val="24"/>
          <w:szCs w:val="24"/>
        </w:rPr>
        <w:t>Chromocult</w:t>
      </w:r>
      <w:proofErr w:type="spellEnd"/>
      <w:r w:rsidR="000D52B1" w:rsidRPr="00930D12">
        <w:rPr>
          <w:rFonts w:ascii="Times New Roman" w:hAnsi="Times New Roman" w:cs="Times New Roman"/>
          <w:bCs/>
          <w:sz w:val="24"/>
          <w:szCs w:val="24"/>
        </w:rPr>
        <w:t xml:space="preserve"> Coliform Agar</w:t>
      </w:r>
      <w:r w:rsidR="00E85973" w:rsidRPr="00930D12">
        <w:rPr>
          <w:rFonts w:ascii="Times New Roman" w:hAnsi="Times New Roman" w:cs="Times New Roman"/>
          <w:bCs/>
          <w:sz w:val="24"/>
          <w:szCs w:val="24"/>
        </w:rPr>
        <w:t xml:space="preserve"> using pour plates </w:t>
      </w:r>
      <w:r w:rsidR="00681675" w:rsidRPr="00930D12">
        <w:rPr>
          <w:rFonts w:ascii="Times New Roman" w:hAnsi="Times New Roman" w:cs="Times New Roman"/>
          <w:bCs/>
          <w:sz w:val="24"/>
          <w:szCs w:val="24"/>
        </w:rPr>
        <w:t>method</w:t>
      </w:r>
      <w:r w:rsidR="00681675" w:rsidRPr="00681675">
        <w:rPr>
          <w:rFonts w:ascii="Times New Roman" w:hAnsi="Times New Roman" w:cs="Times New Roman"/>
          <w:bCs/>
          <w:sz w:val="24"/>
          <w:szCs w:val="24"/>
          <w:highlight w:val="yellow"/>
        </w:rPr>
        <w:t>. Each agar was prepared according the manufacturer’s instructions and then autoclaved at 1210C for 15 minutes at 15lbs pressure (Tanaka et al., 2014), one plate each was left uninoculated as negative control.</w:t>
      </w:r>
      <w:r w:rsidR="00681675" w:rsidRPr="00681675">
        <w:rPr>
          <w:rFonts w:ascii="Times New Roman" w:hAnsi="Times New Roman" w:cs="Times New Roman"/>
          <w:bCs/>
          <w:sz w:val="24"/>
          <w:szCs w:val="24"/>
        </w:rPr>
        <w:t xml:space="preserve"> </w:t>
      </w:r>
      <w:r w:rsidR="00681675">
        <w:rPr>
          <w:rFonts w:ascii="Times New Roman" w:hAnsi="Times New Roman" w:cs="Times New Roman"/>
          <w:bCs/>
          <w:sz w:val="24"/>
          <w:szCs w:val="24"/>
        </w:rPr>
        <w:t xml:space="preserve"> </w:t>
      </w:r>
      <w:r w:rsidR="000D52B1" w:rsidRPr="00930D12">
        <w:rPr>
          <w:rFonts w:ascii="Times New Roman" w:hAnsi="Times New Roman" w:cs="Times New Roman"/>
          <w:bCs/>
          <w:sz w:val="24"/>
          <w:szCs w:val="24"/>
        </w:rPr>
        <w:t xml:space="preserve"> </w:t>
      </w:r>
      <w:r w:rsidR="00442F17" w:rsidRPr="00930D12">
        <w:rPr>
          <w:rFonts w:ascii="Times New Roman" w:hAnsi="Times New Roman" w:cs="Times New Roman"/>
          <w:bCs/>
          <w:sz w:val="24"/>
          <w:szCs w:val="24"/>
        </w:rPr>
        <w:t>Incubation was done in plates at 37</w:t>
      </w:r>
      <w:r w:rsidR="00442F17" w:rsidRPr="00930D12">
        <w:rPr>
          <w:rFonts w:ascii="Times New Roman" w:hAnsi="Times New Roman" w:cs="Times New Roman"/>
          <w:bCs/>
          <w:sz w:val="24"/>
          <w:szCs w:val="24"/>
          <w:vertAlign w:val="superscript"/>
        </w:rPr>
        <w:t>0</w:t>
      </w:r>
      <w:r w:rsidR="00442F17" w:rsidRPr="00930D12">
        <w:rPr>
          <w:rFonts w:ascii="Times New Roman" w:hAnsi="Times New Roman" w:cs="Times New Roman"/>
          <w:bCs/>
          <w:sz w:val="24"/>
          <w:szCs w:val="24"/>
        </w:rPr>
        <w:t>C over a period of 24 - 48 hours followed by counting colony-forming units (CFU). Isolates were cloned and undergone gram stain and biochemical profile, such as catalase, citrate, coagulase, motility and triple sugar iron (TSI) cultures</w:t>
      </w:r>
      <w:r w:rsidR="00681675">
        <w:rPr>
          <w:rFonts w:ascii="Times New Roman" w:hAnsi="Times New Roman" w:cs="Times New Roman"/>
          <w:bCs/>
          <w:sz w:val="24"/>
          <w:szCs w:val="24"/>
        </w:rPr>
        <w:t xml:space="preserve"> </w:t>
      </w:r>
      <w:r w:rsidR="00681675" w:rsidRPr="00681675">
        <w:rPr>
          <w:rFonts w:ascii="Times New Roman" w:hAnsi="Times New Roman" w:cs="Times New Roman"/>
          <w:bCs/>
          <w:sz w:val="24"/>
          <w:szCs w:val="24"/>
          <w:highlight w:val="yellow"/>
        </w:rPr>
        <w:t>(Chigbu and Sobolev,2007).</w:t>
      </w:r>
    </w:p>
    <w:p w14:paraId="2780FE88" w14:textId="48E2FB30" w:rsidR="00631139" w:rsidRDefault="00631139" w:rsidP="00930D12">
      <w:pPr>
        <w:jc w:val="both"/>
        <w:rPr>
          <w:rFonts w:ascii="Times New Roman" w:hAnsi="Times New Roman" w:cs="Times New Roman"/>
          <w:b/>
          <w:sz w:val="24"/>
          <w:szCs w:val="24"/>
        </w:rPr>
      </w:pPr>
      <w:r w:rsidRPr="00631139">
        <w:rPr>
          <w:rFonts w:ascii="Times New Roman" w:hAnsi="Times New Roman" w:cs="Times New Roman"/>
          <w:b/>
          <w:sz w:val="24"/>
          <w:szCs w:val="24"/>
        </w:rPr>
        <w:t>DATA ANALYSIS</w:t>
      </w:r>
    </w:p>
    <w:p w14:paraId="7EC978FA" w14:textId="22B93257" w:rsidR="00631139" w:rsidRPr="00631139" w:rsidRDefault="00631139" w:rsidP="00930D12">
      <w:pPr>
        <w:jc w:val="both"/>
        <w:rPr>
          <w:rFonts w:ascii="Times New Roman" w:hAnsi="Times New Roman" w:cs="Times New Roman"/>
          <w:bCs/>
          <w:sz w:val="24"/>
          <w:szCs w:val="24"/>
        </w:rPr>
      </w:pPr>
      <w:r>
        <w:rPr>
          <w:rFonts w:ascii="Times New Roman" w:hAnsi="Times New Roman" w:cs="Times New Roman"/>
          <w:bCs/>
          <w:sz w:val="24"/>
          <w:szCs w:val="24"/>
        </w:rPr>
        <w:t>The study employed descriptive statistics such as mean and percentages in the analysis of the results.</w:t>
      </w:r>
      <w:r w:rsidR="00DA16CB">
        <w:rPr>
          <w:rFonts w:ascii="Times New Roman" w:hAnsi="Times New Roman" w:cs="Times New Roman"/>
          <w:bCs/>
          <w:sz w:val="24"/>
          <w:szCs w:val="24"/>
        </w:rPr>
        <w:t xml:space="preserve"> In addition, the student’s t-test was employed to determine significant differences between the parameters.  P- values &gt; 0.05 were considered as statistically insignificant difference.</w:t>
      </w:r>
    </w:p>
    <w:p w14:paraId="6DAB3F6B" w14:textId="4DA9021C" w:rsidR="000754BB" w:rsidRPr="00930D12" w:rsidRDefault="000754BB" w:rsidP="00930D12">
      <w:pPr>
        <w:jc w:val="both"/>
        <w:rPr>
          <w:rFonts w:ascii="Times New Roman" w:hAnsi="Times New Roman" w:cs="Times New Roman"/>
          <w:b/>
          <w:bCs/>
          <w:sz w:val="24"/>
          <w:szCs w:val="24"/>
        </w:rPr>
      </w:pPr>
      <w:bookmarkStart w:id="3" w:name="_Toc208068248"/>
      <w:r w:rsidRPr="00930D12">
        <w:rPr>
          <w:rFonts w:ascii="Times New Roman" w:hAnsi="Times New Roman" w:cs="Times New Roman"/>
          <w:b/>
          <w:bCs/>
          <w:sz w:val="24"/>
          <w:szCs w:val="24"/>
        </w:rPr>
        <w:t>RESULTS</w:t>
      </w:r>
      <w:bookmarkEnd w:id="3"/>
    </w:p>
    <w:p w14:paraId="1CFF8C33" w14:textId="413BBAB2" w:rsidR="006F356C" w:rsidRPr="00930D12" w:rsidRDefault="006F356C" w:rsidP="00930D12">
      <w:pPr>
        <w:jc w:val="both"/>
        <w:rPr>
          <w:rFonts w:ascii="Times New Roman" w:hAnsi="Times New Roman" w:cs="Times New Roman"/>
          <w:bCs/>
          <w:sz w:val="24"/>
          <w:szCs w:val="24"/>
        </w:rPr>
      </w:pPr>
      <w:r w:rsidRPr="00930D12">
        <w:rPr>
          <w:rFonts w:ascii="Times New Roman" w:hAnsi="Times New Roman" w:cs="Times New Roman"/>
          <w:bCs/>
          <w:sz w:val="24"/>
          <w:szCs w:val="24"/>
        </w:rPr>
        <w:t>Table 1 indicate the use of poly tank water by students of the selected hostels. It can be seen from the table that 20(16.7%) of the students use the water for drinking purposes, whilst all of the students of the selected hostels use the water for cooking, bathing and washing.</w:t>
      </w:r>
    </w:p>
    <w:p w14:paraId="6E996762" w14:textId="7E94BED2" w:rsidR="006F356C" w:rsidRPr="00930D12" w:rsidRDefault="006F356C" w:rsidP="00930D12">
      <w:pPr>
        <w:jc w:val="both"/>
        <w:rPr>
          <w:rFonts w:ascii="Times New Roman" w:eastAsiaTheme="majorEastAsia" w:hAnsi="Times New Roman" w:cs="Times New Roman"/>
          <w:bCs/>
          <w:sz w:val="24"/>
          <w:szCs w:val="24"/>
        </w:rPr>
      </w:pPr>
      <w:r w:rsidRPr="00930D12">
        <w:rPr>
          <w:rFonts w:ascii="Times New Roman" w:eastAsiaTheme="majorEastAsia" w:hAnsi="Times New Roman" w:cs="Times New Roman"/>
          <w:bCs/>
          <w:sz w:val="24"/>
          <w:szCs w:val="24"/>
        </w:rPr>
        <w:lastRenderedPageBreak/>
        <w:t>Table 1. Various use of tank water among study hostels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F356C" w14:paraId="43948701" w14:textId="77777777" w:rsidTr="0049145D">
        <w:tc>
          <w:tcPr>
            <w:tcW w:w="3116" w:type="dxa"/>
            <w:tcBorders>
              <w:top w:val="single" w:sz="4" w:space="0" w:color="auto"/>
              <w:bottom w:val="single" w:sz="4" w:space="0" w:color="auto"/>
            </w:tcBorders>
          </w:tcPr>
          <w:p w14:paraId="644A86B8" w14:textId="6CDF3DE1" w:rsidR="006F356C" w:rsidRPr="0049145D" w:rsidRDefault="0049145D"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t>Uses</w:t>
            </w:r>
          </w:p>
        </w:tc>
        <w:tc>
          <w:tcPr>
            <w:tcW w:w="3117" w:type="dxa"/>
            <w:tcBorders>
              <w:top w:val="single" w:sz="4" w:space="0" w:color="auto"/>
              <w:bottom w:val="single" w:sz="4" w:space="0" w:color="auto"/>
            </w:tcBorders>
          </w:tcPr>
          <w:p w14:paraId="1A1F2B52" w14:textId="5CAE5B2F" w:rsidR="006F356C" w:rsidRPr="0049145D" w:rsidRDefault="006F356C"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t>Frequency</w:t>
            </w:r>
          </w:p>
        </w:tc>
        <w:tc>
          <w:tcPr>
            <w:tcW w:w="3117" w:type="dxa"/>
            <w:tcBorders>
              <w:top w:val="single" w:sz="4" w:space="0" w:color="auto"/>
              <w:bottom w:val="single" w:sz="4" w:space="0" w:color="auto"/>
            </w:tcBorders>
          </w:tcPr>
          <w:p w14:paraId="38CDA089" w14:textId="1E710B1C" w:rsidR="006F356C" w:rsidRPr="0049145D" w:rsidRDefault="006F356C" w:rsidP="006F356C">
            <w:pPr>
              <w:keepNext/>
              <w:keepLines/>
              <w:spacing w:before="360" w:beforeAutospacing="0" w:after="80" w:afterAutospacing="0" w:line="278" w:lineRule="auto"/>
              <w:outlineLvl w:val="0"/>
              <w:rPr>
                <w:rFonts w:ascii="Times New Roman" w:eastAsiaTheme="majorEastAsia" w:hAnsi="Times New Roman" w:cs="Times New Roman"/>
                <w:b/>
                <w:kern w:val="2"/>
                <w:sz w:val="24"/>
                <w:szCs w:val="24"/>
                <w14:ligatures w14:val="standardContextual"/>
              </w:rPr>
            </w:pPr>
            <w:r w:rsidRPr="0049145D">
              <w:rPr>
                <w:rFonts w:ascii="Times New Roman" w:eastAsiaTheme="majorEastAsia" w:hAnsi="Times New Roman" w:cs="Times New Roman"/>
                <w:b/>
                <w:kern w:val="2"/>
                <w:sz w:val="24"/>
                <w:szCs w:val="24"/>
                <w14:ligatures w14:val="standardContextual"/>
              </w:rPr>
              <w:t>Percentage</w:t>
            </w:r>
          </w:p>
        </w:tc>
      </w:tr>
      <w:tr w:rsidR="006F356C" w14:paraId="0B7475A1" w14:textId="77777777" w:rsidTr="0049145D">
        <w:tc>
          <w:tcPr>
            <w:tcW w:w="3116" w:type="dxa"/>
            <w:tcBorders>
              <w:top w:val="single" w:sz="4" w:space="0" w:color="auto"/>
            </w:tcBorders>
          </w:tcPr>
          <w:p w14:paraId="340C0609" w14:textId="659BBDF2" w:rsid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Drinking</w:t>
            </w:r>
          </w:p>
        </w:tc>
        <w:tc>
          <w:tcPr>
            <w:tcW w:w="3117" w:type="dxa"/>
            <w:tcBorders>
              <w:top w:val="single" w:sz="4" w:space="0" w:color="auto"/>
            </w:tcBorders>
          </w:tcPr>
          <w:p w14:paraId="4C50447C" w14:textId="417DFB4E"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20</w:t>
            </w:r>
          </w:p>
        </w:tc>
        <w:tc>
          <w:tcPr>
            <w:tcW w:w="3117" w:type="dxa"/>
            <w:tcBorders>
              <w:top w:val="single" w:sz="4" w:space="0" w:color="auto"/>
            </w:tcBorders>
          </w:tcPr>
          <w:p w14:paraId="3E60323F" w14:textId="3364CB3B"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16.7</w:t>
            </w:r>
          </w:p>
        </w:tc>
      </w:tr>
      <w:tr w:rsidR="006F356C" w14:paraId="092888FB" w14:textId="77777777" w:rsidTr="0049145D">
        <w:tc>
          <w:tcPr>
            <w:tcW w:w="3116" w:type="dxa"/>
          </w:tcPr>
          <w:p w14:paraId="0DD153B2" w14:textId="6776C7D8" w:rsid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Cooking</w:t>
            </w:r>
          </w:p>
        </w:tc>
        <w:tc>
          <w:tcPr>
            <w:tcW w:w="3117" w:type="dxa"/>
          </w:tcPr>
          <w:p w14:paraId="32847B9A" w14:textId="243A6B26"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1F8695AB" w14:textId="6002CFD0"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r w:rsidR="006F356C" w14:paraId="23CCC2D9" w14:textId="77777777" w:rsidTr="0049145D">
        <w:tc>
          <w:tcPr>
            <w:tcW w:w="3116" w:type="dxa"/>
          </w:tcPr>
          <w:p w14:paraId="731BC013" w14:textId="3C29E3E9"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Bathing</w:t>
            </w:r>
          </w:p>
        </w:tc>
        <w:tc>
          <w:tcPr>
            <w:tcW w:w="3117" w:type="dxa"/>
          </w:tcPr>
          <w:p w14:paraId="0AA49044" w14:textId="1E312B02"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663F41D0" w14:textId="48CBED76"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r w:rsidR="006F356C" w14:paraId="0E28A808" w14:textId="77777777" w:rsidTr="0049145D">
        <w:tc>
          <w:tcPr>
            <w:tcW w:w="3116" w:type="dxa"/>
          </w:tcPr>
          <w:p w14:paraId="015BC319" w14:textId="2A5E3F7D"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Washing</w:t>
            </w:r>
          </w:p>
        </w:tc>
        <w:tc>
          <w:tcPr>
            <w:tcW w:w="3117" w:type="dxa"/>
          </w:tcPr>
          <w:p w14:paraId="38583567" w14:textId="2848FB14"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120</w:t>
            </w:r>
          </w:p>
        </w:tc>
        <w:tc>
          <w:tcPr>
            <w:tcW w:w="3117" w:type="dxa"/>
          </w:tcPr>
          <w:p w14:paraId="2B05876A" w14:textId="2C50C33D" w:rsidR="006F356C" w:rsidRDefault="0049145D"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r>
              <w:rPr>
                <w:rFonts w:ascii="Times New Roman" w:eastAsiaTheme="majorEastAsia" w:hAnsi="Times New Roman" w:cs="Times New Roman"/>
                <w:bCs/>
                <w:kern w:val="2"/>
                <w:sz w:val="24"/>
                <w:szCs w:val="24"/>
                <w14:ligatures w14:val="standardContextual"/>
              </w:rPr>
              <w:t>100</w:t>
            </w:r>
          </w:p>
        </w:tc>
      </w:tr>
    </w:tbl>
    <w:p w14:paraId="07718D2E" w14:textId="77777777" w:rsidR="006F356C" w:rsidRPr="006F356C" w:rsidRDefault="006F356C" w:rsidP="006F356C">
      <w:pPr>
        <w:keepNext/>
        <w:keepLines/>
        <w:spacing w:before="360" w:beforeAutospacing="0" w:after="80" w:afterAutospacing="0" w:line="278" w:lineRule="auto"/>
        <w:outlineLvl w:val="0"/>
        <w:rPr>
          <w:rFonts w:ascii="Times New Roman" w:eastAsiaTheme="majorEastAsia" w:hAnsi="Times New Roman" w:cs="Times New Roman"/>
          <w:bCs/>
          <w:kern w:val="2"/>
          <w:sz w:val="24"/>
          <w:szCs w:val="24"/>
          <w14:ligatures w14:val="standardContextual"/>
        </w:rPr>
      </w:pPr>
    </w:p>
    <w:p w14:paraId="67C2C7CF" w14:textId="2BBF9F3D" w:rsidR="003246A4" w:rsidRPr="00930D12" w:rsidRDefault="00F028F3"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Bacteriological examination revealed that there was a difference in bacteria contamination of the hostel water samples. 14 to 147 </w:t>
      </w:r>
      <w:proofErr w:type="spellStart"/>
      <w:r w:rsidRPr="00930D12">
        <w:rPr>
          <w:rFonts w:ascii="Times New Roman" w:hAnsi="Times New Roman" w:cs="Times New Roman"/>
          <w:sz w:val="24"/>
          <w:szCs w:val="24"/>
        </w:rPr>
        <w:t>cfu</w:t>
      </w:r>
      <w:proofErr w:type="spellEnd"/>
      <w:r w:rsidRPr="00930D12">
        <w:rPr>
          <w:rFonts w:ascii="Times New Roman" w:hAnsi="Times New Roman" w:cs="Times New Roman"/>
          <w:sz w:val="24"/>
          <w:szCs w:val="24"/>
        </w:rPr>
        <w:t xml:space="preserve">/mL were the total viable bacterial counts, and 1-3 </w:t>
      </w:r>
      <w:proofErr w:type="spellStart"/>
      <w:r w:rsidRPr="00930D12">
        <w:rPr>
          <w:rFonts w:ascii="Times New Roman" w:hAnsi="Times New Roman" w:cs="Times New Roman"/>
          <w:sz w:val="24"/>
          <w:szCs w:val="24"/>
        </w:rPr>
        <w:t>cfu</w:t>
      </w:r>
      <w:proofErr w:type="spellEnd"/>
      <w:r w:rsidRPr="00930D12">
        <w:rPr>
          <w:rFonts w:ascii="Times New Roman" w:hAnsi="Times New Roman" w:cs="Times New Roman"/>
          <w:sz w:val="24"/>
          <w:szCs w:val="24"/>
        </w:rPr>
        <w:t xml:space="preserve">/mL were the total coliform counts, which are indicated in Table </w:t>
      </w:r>
      <w:r w:rsidR="0049145D" w:rsidRPr="00930D12">
        <w:rPr>
          <w:rFonts w:ascii="Times New Roman" w:hAnsi="Times New Roman" w:cs="Times New Roman"/>
          <w:sz w:val="24"/>
          <w:szCs w:val="24"/>
        </w:rPr>
        <w:t>2</w:t>
      </w:r>
      <w:r w:rsidRPr="00930D12">
        <w:rPr>
          <w:rFonts w:ascii="Times New Roman" w:hAnsi="Times New Roman" w:cs="Times New Roman"/>
          <w:sz w:val="24"/>
          <w:szCs w:val="24"/>
        </w:rPr>
        <w:t xml:space="preserve">. All samples did not have Escherichia coli, showing that there was no </w:t>
      </w:r>
      <w:proofErr w:type="spellStart"/>
      <w:r w:rsidRPr="00930D12">
        <w:rPr>
          <w:rFonts w:ascii="Times New Roman" w:hAnsi="Times New Roman" w:cs="Times New Roman"/>
          <w:sz w:val="24"/>
          <w:szCs w:val="24"/>
        </w:rPr>
        <w:t>f</w:t>
      </w:r>
      <w:r w:rsidR="009F145C">
        <w:rPr>
          <w:rFonts w:ascii="Times New Roman" w:hAnsi="Times New Roman" w:cs="Times New Roman"/>
          <w:sz w:val="24"/>
          <w:szCs w:val="24"/>
        </w:rPr>
        <w:t>a</w:t>
      </w:r>
      <w:r w:rsidRPr="00930D12">
        <w:rPr>
          <w:rFonts w:ascii="Times New Roman" w:hAnsi="Times New Roman" w:cs="Times New Roman"/>
          <w:sz w:val="24"/>
          <w:szCs w:val="24"/>
        </w:rPr>
        <w:t>ecal</w:t>
      </w:r>
      <w:proofErr w:type="spellEnd"/>
      <w:r w:rsidRPr="00930D12">
        <w:rPr>
          <w:rFonts w:ascii="Times New Roman" w:hAnsi="Times New Roman" w:cs="Times New Roman"/>
          <w:sz w:val="24"/>
          <w:szCs w:val="24"/>
        </w:rPr>
        <w:t xml:space="preserve"> contamination. Bacillus spp., Klebsiella spp., Staphylococcus spp. </w:t>
      </w:r>
      <w:r w:rsidR="007A5034" w:rsidRPr="00930D12">
        <w:rPr>
          <w:rFonts w:ascii="Times New Roman" w:hAnsi="Times New Roman" w:cs="Times New Roman"/>
          <w:sz w:val="24"/>
          <w:szCs w:val="24"/>
        </w:rPr>
        <w:t xml:space="preserve">and Micrococcus spp.  </w:t>
      </w:r>
      <w:r w:rsidRPr="00930D12">
        <w:rPr>
          <w:rFonts w:ascii="Times New Roman" w:hAnsi="Times New Roman" w:cs="Times New Roman"/>
          <w:sz w:val="24"/>
          <w:szCs w:val="24"/>
        </w:rPr>
        <w:t xml:space="preserve">were the most common bacteria isolates that were identified. </w:t>
      </w:r>
    </w:p>
    <w:p w14:paraId="64E146AC" w14:textId="39C8E088" w:rsidR="00A10F75" w:rsidRPr="00930D12" w:rsidRDefault="00A10F75"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Table </w:t>
      </w:r>
      <w:r w:rsidR="0049145D" w:rsidRPr="00930D12">
        <w:rPr>
          <w:rFonts w:ascii="Times New Roman" w:hAnsi="Times New Roman" w:cs="Times New Roman"/>
          <w:sz w:val="24"/>
          <w:szCs w:val="24"/>
        </w:rPr>
        <w:t>2</w:t>
      </w:r>
      <w:r w:rsidRPr="00930D12">
        <w:rPr>
          <w:rFonts w:ascii="Times New Roman" w:hAnsi="Times New Roman" w:cs="Times New Roman"/>
          <w:sz w:val="24"/>
          <w:szCs w:val="24"/>
        </w:rPr>
        <w:t xml:space="preserve">: Summary of </w:t>
      </w:r>
      <w:r w:rsidR="004030AC" w:rsidRPr="00930D12">
        <w:rPr>
          <w:rFonts w:ascii="Times New Roman" w:hAnsi="Times New Roman" w:cs="Times New Roman"/>
          <w:sz w:val="24"/>
          <w:szCs w:val="24"/>
        </w:rPr>
        <w:t>Total viable and coliform counts</w:t>
      </w:r>
      <w:r w:rsidR="007A5034" w:rsidRPr="00930D12">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5723A" w14:paraId="37884008" w14:textId="77777777" w:rsidTr="007A5034">
        <w:tc>
          <w:tcPr>
            <w:tcW w:w="3116" w:type="dxa"/>
            <w:tcBorders>
              <w:top w:val="single" w:sz="4" w:space="0" w:color="auto"/>
              <w:bottom w:val="single" w:sz="4" w:space="0" w:color="auto"/>
            </w:tcBorders>
            <w:vAlign w:val="center"/>
          </w:tcPr>
          <w:p w14:paraId="232C7A17" w14:textId="198E5F21"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Sample Source</w:t>
            </w:r>
          </w:p>
        </w:tc>
        <w:tc>
          <w:tcPr>
            <w:tcW w:w="3117" w:type="dxa"/>
            <w:tcBorders>
              <w:top w:val="single" w:sz="4" w:space="0" w:color="auto"/>
              <w:bottom w:val="single" w:sz="4" w:space="0" w:color="auto"/>
            </w:tcBorders>
            <w:vAlign w:val="center"/>
          </w:tcPr>
          <w:p w14:paraId="7C5491FA" w14:textId="7771E78A"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Total Viable Count (</w:t>
            </w:r>
            <w:proofErr w:type="spellStart"/>
            <w:r>
              <w:rPr>
                <w:rFonts w:ascii="Times New Roman" w:hAnsi="Times New Roman" w:cs="Times New Roman"/>
                <w:b/>
                <w:bCs/>
                <w:kern w:val="2"/>
                <w:sz w:val="24"/>
                <w:szCs w:val="24"/>
                <w14:ligatures w14:val="standardContextual"/>
              </w:rPr>
              <w:t>cfu</w:t>
            </w:r>
            <w:proofErr w:type="spellEnd"/>
            <w:r>
              <w:rPr>
                <w:rFonts w:ascii="Times New Roman" w:hAnsi="Times New Roman" w:cs="Times New Roman"/>
                <w:b/>
                <w:bCs/>
                <w:kern w:val="2"/>
                <w:sz w:val="24"/>
                <w:szCs w:val="24"/>
                <w14:ligatures w14:val="standardContextual"/>
              </w:rPr>
              <w:t>/mL)</w:t>
            </w:r>
          </w:p>
        </w:tc>
        <w:tc>
          <w:tcPr>
            <w:tcW w:w="3117" w:type="dxa"/>
            <w:tcBorders>
              <w:top w:val="single" w:sz="4" w:space="0" w:color="auto"/>
              <w:bottom w:val="single" w:sz="4" w:space="0" w:color="auto"/>
            </w:tcBorders>
            <w:vAlign w:val="center"/>
          </w:tcPr>
          <w:p w14:paraId="53712AEA" w14:textId="7C9CB2C2" w:rsidR="00A5723A" w:rsidRDefault="00A5723A" w:rsidP="008F0FF7">
            <w:pPr>
              <w:spacing w:beforeAutospacing="0" w:afterAutospacing="0" w:line="48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Total Coliform Count (</w:t>
            </w:r>
            <w:proofErr w:type="spellStart"/>
            <w:r>
              <w:rPr>
                <w:rFonts w:ascii="Times New Roman" w:hAnsi="Times New Roman" w:cs="Times New Roman"/>
                <w:b/>
                <w:bCs/>
                <w:kern w:val="2"/>
                <w:sz w:val="24"/>
                <w:szCs w:val="24"/>
                <w14:ligatures w14:val="standardContextual"/>
              </w:rPr>
              <w:t>cfu</w:t>
            </w:r>
            <w:proofErr w:type="spellEnd"/>
            <w:r>
              <w:rPr>
                <w:rFonts w:ascii="Times New Roman" w:hAnsi="Times New Roman" w:cs="Times New Roman"/>
                <w:b/>
                <w:bCs/>
                <w:kern w:val="2"/>
                <w:sz w:val="24"/>
                <w:szCs w:val="24"/>
                <w14:ligatures w14:val="standardContextual"/>
              </w:rPr>
              <w:t>/mL)</w:t>
            </w:r>
          </w:p>
        </w:tc>
      </w:tr>
      <w:tr w:rsidR="00A5723A" w14:paraId="4103A4DC" w14:textId="77777777" w:rsidTr="007A5034">
        <w:tc>
          <w:tcPr>
            <w:tcW w:w="3116" w:type="dxa"/>
            <w:tcBorders>
              <w:top w:val="single" w:sz="4" w:space="0" w:color="auto"/>
            </w:tcBorders>
            <w:vAlign w:val="center"/>
          </w:tcPr>
          <w:p w14:paraId="010D3167" w14:textId="3A6827EE" w:rsidR="00A5723A" w:rsidRPr="00A5723A" w:rsidRDefault="00A5723A" w:rsidP="008F0FF7">
            <w:pPr>
              <w:spacing w:beforeAutospacing="0" w:afterAutospacing="0" w:line="48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Love Hostel</w:t>
            </w:r>
          </w:p>
        </w:tc>
        <w:tc>
          <w:tcPr>
            <w:tcW w:w="3117" w:type="dxa"/>
            <w:tcBorders>
              <w:top w:val="single" w:sz="4" w:space="0" w:color="auto"/>
            </w:tcBorders>
            <w:vAlign w:val="center"/>
          </w:tcPr>
          <w:p w14:paraId="722CDC42" w14:textId="7A1986C9" w:rsidR="00A5723A" w:rsidRPr="00A5723A"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14</w:t>
            </w:r>
            <w:r w:rsidRPr="00D03B79">
              <w:rPr>
                <w:rFonts w:ascii="Times New Roman" w:hAnsi="Times New Roman" w:cs="Times New Roman"/>
                <w:kern w:val="2"/>
                <w:sz w:val="24"/>
                <w:szCs w:val="24"/>
                <w:vertAlign w:val="superscript"/>
                <w14:ligatures w14:val="standardContextual"/>
              </w:rPr>
              <w:t>a</w:t>
            </w:r>
            <w:r w:rsidRPr="00D03B79">
              <w:rPr>
                <w:rFonts w:ascii="Times New Roman" w:hAnsi="Times New Roman" w:cs="Times New Roman"/>
                <w:kern w:val="2"/>
                <w:sz w:val="24"/>
                <w:szCs w:val="24"/>
                <w14:ligatures w14:val="standardContextual"/>
              </w:rPr>
              <w:t>±1.0</w:t>
            </w:r>
          </w:p>
        </w:tc>
        <w:tc>
          <w:tcPr>
            <w:tcW w:w="3117" w:type="dxa"/>
            <w:tcBorders>
              <w:top w:val="single" w:sz="4" w:space="0" w:color="auto"/>
            </w:tcBorders>
            <w:vAlign w:val="center"/>
          </w:tcPr>
          <w:p w14:paraId="3E0AD7C0" w14:textId="399DA37C" w:rsidR="00A5723A" w:rsidRPr="004C6338"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1</w:t>
            </w:r>
            <w:r w:rsidRPr="00D03B79">
              <w:rPr>
                <w:rFonts w:ascii="Times New Roman" w:hAnsi="Times New Roman" w:cs="Times New Roman"/>
                <w:kern w:val="2"/>
                <w:sz w:val="24"/>
                <w:szCs w:val="24"/>
                <w:vertAlign w:val="superscript"/>
                <w14:ligatures w14:val="standardContextual"/>
              </w:rPr>
              <w:t>a</w:t>
            </w:r>
            <w:r w:rsidRPr="00D03B79">
              <w:rPr>
                <w:rFonts w:ascii="Times New Roman" w:hAnsi="Times New Roman" w:cs="Times New Roman"/>
                <w:kern w:val="2"/>
                <w:sz w:val="24"/>
                <w:szCs w:val="24"/>
                <w14:ligatures w14:val="standardContextual"/>
              </w:rPr>
              <w:t>±0.2</w:t>
            </w:r>
          </w:p>
        </w:tc>
      </w:tr>
      <w:tr w:rsidR="00A5723A" w14:paraId="789E6BF7" w14:textId="77777777" w:rsidTr="007A5034">
        <w:tc>
          <w:tcPr>
            <w:tcW w:w="3116" w:type="dxa"/>
            <w:vAlign w:val="center"/>
          </w:tcPr>
          <w:p w14:paraId="43D86A08" w14:textId="1785E412"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Dollar Hostel</w:t>
            </w:r>
          </w:p>
        </w:tc>
        <w:tc>
          <w:tcPr>
            <w:tcW w:w="3117" w:type="dxa"/>
            <w:vAlign w:val="center"/>
          </w:tcPr>
          <w:p w14:paraId="60689423" w14:textId="78660110" w:rsidR="00A5723A" w:rsidRPr="005D0FF0"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85</w:t>
            </w:r>
            <w:r w:rsidRPr="00D03B79">
              <w:rPr>
                <w:rFonts w:ascii="Times New Roman" w:hAnsi="Times New Roman" w:cs="Times New Roman"/>
                <w:kern w:val="2"/>
                <w:sz w:val="24"/>
                <w:szCs w:val="24"/>
                <w:vertAlign w:val="superscript"/>
                <w14:ligatures w14:val="standardContextual"/>
              </w:rPr>
              <w:t>b</w:t>
            </w:r>
            <w:r w:rsidRPr="00D03B79">
              <w:rPr>
                <w:rFonts w:ascii="Times New Roman" w:hAnsi="Times New Roman" w:cs="Times New Roman"/>
                <w:kern w:val="2"/>
                <w:sz w:val="24"/>
                <w:szCs w:val="24"/>
                <w14:ligatures w14:val="standardContextual"/>
              </w:rPr>
              <w:t>±10</w:t>
            </w:r>
          </w:p>
        </w:tc>
        <w:tc>
          <w:tcPr>
            <w:tcW w:w="3117" w:type="dxa"/>
            <w:vAlign w:val="center"/>
          </w:tcPr>
          <w:p w14:paraId="2707FDC0" w14:textId="5B8726EB" w:rsidR="00A5723A" w:rsidRPr="005D0FF0"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3</w:t>
            </w:r>
            <w:r w:rsidRPr="00D03B79">
              <w:rPr>
                <w:rFonts w:ascii="Times New Roman" w:hAnsi="Times New Roman" w:cs="Times New Roman"/>
                <w:kern w:val="2"/>
                <w:sz w:val="24"/>
                <w:szCs w:val="24"/>
                <w:vertAlign w:val="superscript"/>
                <w14:ligatures w14:val="standardContextual"/>
              </w:rPr>
              <w:t>a</w:t>
            </w:r>
            <w:r w:rsidRPr="00D03B79">
              <w:rPr>
                <w:rFonts w:ascii="Times New Roman" w:hAnsi="Times New Roman" w:cs="Times New Roman"/>
                <w:kern w:val="2"/>
                <w:sz w:val="24"/>
                <w:szCs w:val="24"/>
                <w14:ligatures w14:val="standardContextual"/>
              </w:rPr>
              <w:t>±1.0</w:t>
            </w:r>
          </w:p>
        </w:tc>
      </w:tr>
      <w:tr w:rsidR="00A5723A" w14:paraId="051813E5" w14:textId="77777777" w:rsidTr="007A5034">
        <w:tc>
          <w:tcPr>
            <w:tcW w:w="3116" w:type="dxa"/>
            <w:vAlign w:val="center"/>
          </w:tcPr>
          <w:p w14:paraId="70A0CBED" w14:textId="085C7A66"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Vatican City Hostel</w:t>
            </w:r>
          </w:p>
        </w:tc>
        <w:tc>
          <w:tcPr>
            <w:tcW w:w="3117" w:type="dxa"/>
            <w:vAlign w:val="center"/>
          </w:tcPr>
          <w:p w14:paraId="63BC4432" w14:textId="6ADE6B77" w:rsidR="00A5723A" w:rsidRPr="005D0FF0"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147</w:t>
            </w:r>
            <w:r w:rsidRPr="00D03B79">
              <w:rPr>
                <w:rFonts w:ascii="Times New Roman" w:hAnsi="Times New Roman" w:cs="Times New Roman"/>
                <w:kern w:val="2"/>
                <w:sz w:val="24"/>
                <w:szCs w:val="24"/>
                <w:vertAlign w:val="superscript"/>
                <w14:ligatures w14:val="standardContextual"/>
              </w:rPr>
              <w:t>bc</w:t>
            </w:r>
            <w:r w:rsidRPr="00D03B79">
              <w:rPr>
                <w:rFonts w:ascii="Times New Roman" w:hAnsi="Times New Roman" w:cs="Times New Roman"/>
                <w:kern w:val="2"/>
                <w:sz w:val="24"/>
                <w:szCs w:val="24"/>
                <w14:ligatures w14:val="standardContextual"/>
              </w:rPr>
              <w:t>±10</w:t>
            </w:r>
          </w:p>
        </w:tc>
        <w:tc>
          <w:tcPr>
            <w:tcW w:w="3117" w:type="dxa"/>
            <w:vAlign w:val="center"/>
          </w:tcPr>
          <w:p w14:paraId="4891312B" w14:textId="1710B7F3" w:rsidR="00A5723A" w:rsidRPr="005D0FF0"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2</w:t>
            </w:r>
            <w:r w:rsidRPr="00D03B79">
              <w:rPr>
                <w:rFonts w:ascii="Times New Roman" w:hAnsi="Times New Roman" w:cs="Times New Roman"/>
                <w:kern w:val="2"/>
                <w:sz w:val="24"/>
                <w:szCs w:val="24"/>
                <w:vertAlign w:val="superscript"/>
                <w14:ligatures w14:val="standardContextual"/>
              </w:rPr>
              <w:t>a</w:t>
            </w:r>
            <w:r w:rsidRPr="00D03B79">
              <w:rPr>
                <w:rFonts w:ascii="Times New Roman" w:hAnsi="Times New Roman" w:cs="Times New Roman"/>
                <w:kern w:val="2"/>
                <w:sz w:val="24"/>
                <w:szCs w:val="24"/>
                <w14:ligatures w14:val="standardContextual"/>
              </w:rPr>
              <w:t>±1.0</w:t>
            </w:r>
          </w:p>
        </w:tc>
      </w:tr>
      <w:tr w:rsidR="00A5723A" w14:paraId="40446F86" w14:textId="77777777" w:rsidTr="007A5034">
        <w:tc>
          <w:tcPr>
            <w:tcW w:w="3116" w:type="dxa"/>
            <w:vAlign w:val="center"/>
          </w:tcPr>
          <w:p w14:paraId="07BFE06F" w14:textId="56115EB3"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Washington Hostel</w:t>
            </w:r>
          </w:p>
        </w:tc>
        <w:tc>
          <w:tcPr>
            <w:tcW w:w="3117" w:type="dxa"/>
            <w:vAlign w:val="center"/>
          </w:tcPr>
          <w:p w14:paraId="6711A431" w14:textId="21F4CCA7" w:rsidR="00A5723A" w:rsidRPr="005D0FF0"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63</w:t>
            </w:r>
            <w:r w:rsidRPr="00D03B79">
              <w:rPr>
                <w:rFonts w:ascii="Times New Roman" w:hAnsi="Times New Roman" w:cs="Times New Roman"/>
                <w:kern w:val="2"/>
                <w:sz w:val="24"/>
                <w:szCs w:val="24"/>
                <w:vertAlign w:val="superscript"/>
                <w14:ligatures w14:val="standardContextual"/>
              </w:rPr>
              <w:t>c</w:t>
            </w:r>
            <w:r w:rsidRPr="00D03B79">
              <w:rPr>
                <w:rFonts w:ascii="Times New Roman" w:hAnsi="Times New Roman" w:cs="Times New Roman"/>
                <w:kern w:val="2"/>
                <w:sz w:val="24"/>
                <w:szCs w:val="24"/>
                <w14:ligatures w14:val="standardContextual"/>
              </w:rPr>
              <w:t>±5.0</w:t>
            </w:r>
          </w:p>
        </w:tc>
        <w:tc>
          <w:tcPr>
            <w:tcW w:w="3117" w:type="dxa"/>
            <w:vAlign w:val="center"/>
          </w:tcPr>
          <w:p w14:paraId="2AD4C98A" w14:textId="33918BB1" w:rsidR="00A5723A" w:rsidRPr="005D0FF0"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3</w:t>
            </w:r>
            <w:r w:rsidRPr="00D03B79">
              <w:rPr>
                <w:rFonts w:ascii="Times New Roman" w:hAnsi="Times New Roman" w:cs="Times New Roman"/>
                <w:kern w:val="2"/>
                <w:sz w:val="24"/>
                <w:szCs w:val="24"/>
                <w:vertAlign w:val="superscript"/>
                <w14:ligatures w14:val="standardContextual"/>
              </w:rPr>
              <w:t>a</w:t>
            </w:r>
            <w:r w:rsidRPr="00D03B79">
              <w:rPr>
                <w:rFonts w:ascii="Times New Roman" w:hAnsi="Times New Roman" w:cs="Times New Roman"/>
                <w:kern w:val="2"/>
                <w:sz w:val="24"/>
                <w:szCs w:val="24"/>
                <w14:ligatures w14:val="standardContextual"/>
              </w:rPr>
              <w:t>±1.0</w:t>
            </w:r>
          </w:p>
        </w:tc>
      </w:tr>
      <w:tr w:rsidR="00A5723A" w14:paraId="73B8F4F7" w14:textId="77777777" w:rsidTr="007A5034">
        <w:tc>
          <w:tcPr>
            <w:tcW w:w="3116" w:type="dxa"/>
            <w:vAlign w:val="center"/>
          </w:tcPr>
          <w:p w14:paraId="1C7750F5" w14:textId="45DBF00E" w:rsidR="00A5723A" w:rsidRPr="005D0FF0" w:rsidRDefault="005D0FF0"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5D0FF0">
              <w:rPr>
                <w:rFonts w:ascii="Times New Roman" w:hAnsi="Times New Roman" w:cs="Times New Roman"/>
                <w:kern w:val="2"/>
                <w:sz w:val="24"/>
                <w:szCs w:val="24"/>
                <w14:ligatures w14:val="standardContextual"/>
              </w:rPr>
              <w:t>VIP Hostel</w:t>
            </w:r>
          </w:p>
        </w:tc>
        <w:tc>
          <w:tcPr>
            <w:tcW w:w="3117" w:type="dxa"/>
            <w:vAlign w:val="center"/>
          </w:tcPr>
          <w:p w14:paraId="28698259" w14:textId="36EB3932" w:rsidR="00A5723A" w:rsidRPr="005D0FF0"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72</w:t>
            </w:r>
            <w:r w:rsidRPr="00D03B79">
              <w:rPr>
                <w:rFonts w:ascii="Times New Roman" w:hAnsi="Times New Roman" w:cs="Times New Roman"/>
                <w:kern w:val="2"/>
                <w:sz w:val="24"/>
                <w:szCs w:val="24"/>
                <w:vertAlign w:val="superscript"/>
                <w14:ligatures w14:val="standardContextual"/>
              </w:rPr>
              <w:t>b</w:t>
            </w:r>
            <w:r w:rsidRPr="00D03B79">
              <w:rPr>
                <w:rFonts w:ascii="Times New Roman" w:hAnsi="Times New Roman" w:cs="Times New Roman"/>
                <w:kern w:val="2"/>
                <w:sz w:val="24"/>
                <w:szCs w:val="24"/>
                <w14:ligatures w14:val="standardContextual"/>
              </w:rPr>
              <w:t>±10</w:t>
            </w:r>
          </w:p>
        </w:tc>
        <w:tc>
          <w:tcPr>
            <w:tcW w:w="3117" w:type="dxa"/>
            <w:vAlign w:val="center"/>
          </w:tcPr>
          <w:p w14:paraId="72BA64C6" w14:textId="53B1634E" w:rsidR="00A5723A" w:rsidRPr="005D0FF0" w:rsidRDefault="00D03B79" w:rsidP="008F0FF7">
            <w:pPr>
              <w:spacing w:beforeAutospacing="0" w:afterAutospacing="0" w:line="480" w:lineRule="auto"/>
              <w:jc w:val="center"/>
              <w:rPr>
                <w:rFonts w:ascii="Times New Roman" w:hAnsi="Times New Roman" w:cs="Times New Roman"/>
                <w:kern w:val="2"/>
                <w:sz w:val="24"/>
                <w:szCs w:val="24"/>
                <w14:ligatures w14:val="standardContextual"/>
              </w:rPr>
            </w:pPr>
            <w:r w:rsidRPr="00D03B79">
              <w:rPr>
                <w:rFonts w:ascii="Times New Roman" w:hAnsi="Times New Roman" w:cs="Times New Roman"/>
                <w:kern w:val="2"/>
                <w:sz w:val="24"/>
                <w:szCs w:val="24"/>
                <w14:ligatures w14:val="standardContextual"/>
              </w:rPr>
              <w:t>1</w:t>
            </w:r>
            <w:r w:rsidRPr="00D03B79">
              <w:rPr>
                <w:rFonts w:ascii="Times New Roman" w:hAnsi="Times New Roman" w:cs="Times New Roman"/>
                <w:kern w:val="2"/>
                <w:sz w:val="24"/>
                <w:szCs w:val="24"/>
                <w:vertAlign w:val="superscript"/>
                <w14:ligatures w14:val="standardContextual"/>
              </w:rPr>
              <w:t>a</w:t>
            </w:r>
            <w:r w:rsidRPr="00D03B79">
              <w:rPr>
                <w:rFonts w:ascii="Times New Roman" w:hAnsi="Times New Roman" w:cs="Times New Roman"/>
                <w:kern w:val="2"/>
                <w:sz w:val="24"/>
                <w:szCs w:val="24"/>
                <w14:ligatures w14:val="standardContextual"/>
              </w:rPr>
              <w:t>±0.5</w:t>
            </w:r>
          </w:p>
        </w:tc>
      </w:tr>
    </w:tbl>
    <w:p w14:paraId="277C38E0" w14:textId="77777777" w:rsidR="00681675" w:rsidRPr="00681675" w:rsidRDefault="00681675" w:rsidP="00681675">
      <w:pPr>
        <w:spacing w:before="0" w:beforeAutospacing="0" w:after="0" w:afterAutospacing="0" w:line="480" w:lineRule="auto"/>
        <w:jc w:val="both"/>
        <w:rPr>
          <w:rFonts w:ascii="Times New Roman" w:hAnsi="Times New Roman" w:cs="Times New Roman"/>
          <w:kern w:val="2"/>
          <w:sz w:val="24"/>
          <w:szCs w:val="24"/>
          <w:highlight w:val="yellow"/>
          <w14:ligatures w14:val="standardContextual"/>
        </w:rPr>
      </w:pPr>
      <w:r w:rsidRPr="00681675">
        <w:rPr>
          <w:rFonts w:ascii="Times New Roman" w:hAnsi="Times New Roman" w:cs="Times New Roman"/>
          <w:kern w:val="2"/>
          <w:sz w:val="24"/>
          <w:szCs w:val="24"/>
          <w:highlight w:val="yellow"/>
          <w14:ligatures w14:val="standardContextual"/>
        </w:rPr>
        <w:lastRenderedPageBreak/>
        <w:t>Mean ± standard error of mean</w:t>
      </w:r>
    </w:p>
    <w:p w14:paraId="31E9A06D" w14:textId="639EB833" w:rsidR="00A5723A" w:rsidRDefault="00681675" w:rsidP="00681675">
      <w:pPr>
        <w:spacing w:before="0" w:beforeAutospacing="0" w:after="0" w:afterAutospacing="0" w:line="480" w:lineRule="auto"/>
        <w:jc w:val="both"/>
        <w:rPr>
          <w:rFonts w:ascii="Times New Roman" w:hAnsi="Times New Roman" w:cs="Times New Roman"/>
          <w:b/>
          <w:bCs/>
          <w:kern w:val="2"/>
          <w:sz w:val="24"/>
          <w:szCs w:val="24"/>
          <w14:ligatures w14:val="standardContextual"/>
        </w:rPr>
      </w:pPr>
      <w:r w:rsidRPr="00681675">
        <w:rPr>
          <w:rFonts w:ascii="Times New Roman" w:hAnsi="Times New Roman" w:cs="Times New Roman"/>
          <w:kern w:val="2"/>
          <w:sz w:val="24"/>
          <w:szCs w:val="24"/>
          <w:highlight w:val="yellow"/>
          <w14:ligatures w14:val="standardContextual"/>
        </w:rPr>
        <w:t>Mean values followed by different alphabets for the same parameter are significantly different at 95% confidence level using T- test statistical analysis</w:t>
      </w:r>
      <w:r w:rsidRPr="00681675">
        <w:rPr>
          <w:rFonts w:ascii="Times New Roman" w:hAnsi="Times New Roman" w:cs="Times New Roman"/>
          <w:b/>
          <w:bCs/>
          <w:kern w:val="2"/>
          <w:sz w:val="24"/>
          <w:szCs w:val="24"/>
          <w:highlight w:val="yellow"/>
          <w14:ligatures w14:val="standardContextual"/>
        </w:rPr>
        <w:t>.</w:t>
      </w:r>
    </w:p>
    <w:p w14:paraId="4EF3D0D4" w14:textId="3058F931" w:rsidR="00C156F9" w:rsidRDefault="00BC02C0" w:rsidP="00930D12">
      <w:pPr>
        <w:spacing w:before="0" w:beforeAutospacing="0" w:after="0" w:afterAutospacing="0" w:line="360" w:lineRule="auto"/>
        <w:jc w:val="both"/>
        <w:rPr>
          <w:rFonts w:ascii="Times New Roman" w:hAnsi="Times New Roman" w:cs="Times New Roman"/>
          <w:b/>
          <w:bCs/>
          <w:kern w:val="2"/>
          <w:sz w:val="24"/>
          <w:szCs w:val="24"/>
          <w14:ligatures w14:val="standardContextual"/>
        </w:rPr>
      </w:pPr>
      <w:r w:rsidRPr="00BC02C0">
        <w:rPr>
          <w:rFonts w:ascii="Times New Roman" w:hAnsi="Times New Roman" w:cs="Times New Roman"/>
          <w:kern w:val="2"/>
          <w:sz w:val="24"/>
          <w:szCs w:val="24"/>
          <w14:ligatures w14:val="standardContextual"/>
        </w:rPr>
        <w:t>Biochemical identification of isolates indicated that there were Gram-positive and Gram-negative bacteria in the stored water samples.</w:t>
      </w:r>
      <w:r w:rsidR="00CD2101">
        <w:rPr>
          <w:rFonts w:ascii="Times New Roman" w:hAnsi="Times New Roman" w:cs="Times New Roman"/>
          <w:kern w:val="2"/>
          <w:sz w:val="24"/>
          <w:szCs w:val="24"/>
          <w14:ligatures w14:val="standardContextual"/>
        </w:rPr>
        <w:t xml:space="preserve"> The results (Table </w:t>
      </w:r>
      <w:r w:rsidR="0049145D">
        <w:rPr>
          <w:rFonts w:ascii="Times New Roman" w:hAnsi="Times New Roman" w:cs="Times New Roman"/>
          <w:kern w:val="2"/>
          <w:sz w:val="24"/>
          <w:szCs w:val="24"/>
          <w14:ligatures w14:val="standardContextual"/>
        </w:rPr>
        <w:t>3</w:t>
      </w:r>
      <w:r w:rsidR="00CD2101">
        <w:rPr>
          <w:rFonts w:ascii="Times New Roman" w:hAnsi="Times New Roman" w:cs="Times New Roman"/>
          <w:kern w:val="2"/>
          <w:sz w:val="24"/>
          <w:szCs w:val="24"/>
          <w14:ligatures w14:val="standardContextual"/>
        </w:rPr>
        <w:t xml:space="preserve">) showed that Bacillus spp. were motile, catalase-positive rods, while Klebsiella spp. were non-motile, Gram-negative rods that utilized citrate and produce gas on TSI medium. Staphylococcus spp. were identified as Gram-positive, catalase and coagulase positive cocci arranged in clusters, whereas Micrococcus spp. appeared as Gram-positive cocci in tetrads, catalase-positive but coagulase and citrate negative. These biochemical profiles are consistent with typical characteristics of the respective genera (Cheesbrough, 2006), confirming the occurrence of both environmental and human-associated bacteria in the stored water samples. </w:t>
      </w:r>
    </w:p>
    <w:p w14:paraId="79962D2C" w14:textId="5991FFDE" w:rsidR="00064D3F" w:rsidRPr="0049145D" w:rsidRDefault="00064D3F" w:rsidP="00930D12">
      <w:pPr>
        <w:tabs>
          <w:tab w:val="left" w:pos="1008"/>
        </w:tabs>
        <w:spacing w:line="360" w:lineRule="auto"/>
        <w:jc w:val="both"/>
        <w:rPr>
          <w:rFonts w:ascii="Times New Roman" w:hAnsi="Times New Roman" w:cs="Times New Roman"/>
          <w:kern w:val="2"/>
          <w:sz w:val="24"/>
          <w:szCs w:val="24"/>
          <w14:ligatures w14:val="standardContextual"/>
        </w:rPr>
      </w:pPr>
      <w:r w:rsidRPr="0049145D">
        <w:rPr>
          <w:rFonts w:ascii="Times New Roman" w:hAnsi="Times New Roman" w:cs="Times New Roman"/>
          <w:kern w:val="2"/>
          <w:sz w:val="24"/>
          <w:szCs w:val="24"/>
          <w14:ligatures w14:val="standardContextual"/>
        </w:rPr>
        <w:t xml:space="preserve">Table </w:t>
      </w:r>
      <w:r w:rsidR="0049145D" w:rsidRPr="0049145D">
        <w:rPr>
          <w:rFonts w:ascii="Times New Roman" w:hAnsi="Times New Roman" w:cs="Times New Roman"/>
          <w:kern w:val="2"/>
          <w:sz w:val="24"/>
          <w:szCs w:val="24"/>
          <w14:ligatures w14:val="standardContextual"/>
        </w:rPr>
        <w:t>3</w:t>
      </w:r>
      <w:r w:rsidRPr="0049145D">
        <w:rPr>
          <w:rFonts w:ascii="Times New Roman" w:hAnsi="Times New Roman" w:cs="Times New Roman"/>
          <w:kern w:val="2"/>
          <w:sz w:val="24"/>
          <w:szCs w:val="24"/>
          <w14:ligatures w14:val="standardContextual"/>
        </w:rPr>
        <w:t>: Summary of Biochemical Characteristics of Bacterial Isolates from Stored Water Samples</w:t>
      </w:r>
    </w:p>
    <w:tbl>
      <w:tblPr>
        <w:tblStyle w:val="TableGrid"/>
        <w:tblW w:w="98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1123"/>
        <w:gridCol w:w="1096"/>
        <w:gridCol w:w="1270"/>
        <w:gridCol w:w="1296"/>
        <w:gridCol w:w="1043"/>
        <w:gridCol w:w="1602"/>
        <w:gridCol w:w="1723"/>
      </w:tblGrid>
      <w:tr w:rsidR="00C156F9" w14:paraId="27ED82D8" w14:textId="77777777" w:rsidTr="007A5034">
        <w:trPr>
          <w:trHeight w:val="864"/>
        </w:trPr>
        <w:tc>
          <w:tcPr>
            <w:tcW w:w="1083" w:type="dxa"/>
            <w:tcBorders>
              <w:top w:val="single" w:sz="4" w:space="0" w:color="auto"/>
              <w:bottom w:val="single" w:sz="4" w:space="0" w:color="auto"/>
            </w:tcBorders>
            <w:vAlign w:val="center"/>
          </w:tcPr>
          <w:p w14:paraId="1A236FD0" w14:textId="38C25898"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Bacterial Isolate</w:t>
            </w:r>
          </w:p>
        </w:tc>
        <w:tc>
          <w:tcPr>
            <w:tcW w:w="1109" w:type="dxa"/>
            <w:tcBorders>
              <w:top w:val="single" w:sz="4" w:space="0" w:color="auto"/>
              <w:bottom w:val="single" w:sz="4" w:space="0" w:color="auto"/>
            </w:tcBorders>
            <w:vAlign w:val="center"/>
          </w:tcPr>
          <w:p w14:paraId="5C854CA3" w14:textId="3250E3D4"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Gram Reaction</w:t>
            </w:r>
          </w:p>
        </w:tc>
        <w:tc>
          <w:tcPr>
            <w:tcW w:w="1029" w:type="dxa"/>
            <w:tcBorders>
              <w:top w:val="single" w:sz="4" w:space="0" w:color="auto"/>
              <w:bottom w:val="single" w:sz="4" w:space="0" w:color="auto"/>
            </w:tcBorders>
            <w:vAlign w:val="center"/>
          </w:tcPr>
          <w:p w14:paraId="00D9ED66" w14:textId="2F79047B"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Catalase Test</w:t>
            </w:r>
          </w:p>
        </w:tc>
        <w:tc>
          <w:tcPr>
            <w:tcW w:w="1216" w:type="dxa"/>
            <w:tcBorders>
              <w:top w:val="single" w:sz="4" w:space="0" w:color="auto"/>
              <w:bottom w:val="single" w:sz="4" w:space="0" w:color="auto"/>
            </w:tcBorders>
            <w:vAlign w:val="center"/>
          </w:tcPr>
          <w:p w14:paraId="43750FE9" w14:textId="006CBF3C"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Coagulase Test</w:t>
            </w:r>
          </w:p>
        </w:tc>
        <w:tc>
          <w:tcPr>
            <w:tcW w:w="1243" w:type="dxa"/>
            <w:tcBorders>
              <w:top w:val="single" w:sz="4" w:space="0" w:color="auto"/>
              <w:bottom w:val="single" w:sz="4" w:space="0" w:color="auto"/>
            </w:tcBorders>
            <w:vAlign w:val="center"/>
          </w:tcPr>
          <w:p w14:paraId="7CF03DC6" w14:textId="2B869C19"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Citrate Utilization</w:t>
            </w:r>
          </w:p>
        </w:tc>
        <w:tc>
          <w:tcPr>
            <w:tcW w:w="1003" w:type="dxa"/>
            <w:tcBorders>
              <w:top w:val="single" w:sz="4" w:space="0" w:color="auto"/>
              <w:bottom w:val="single" w:sz="4" w:space="0" w:color="auto"/>
            </w:tcBorders>
            <w:vAlign w:val="center"/>
          </w:tcPr>
          <w:p w14:paraId="277EE252" w14:textId="50EFEFD6"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Motility</w:t>
            </w:r>
          </w:p>
        </w:tc>
        <w:tc>
          <w:tcPr>
            <w:tcW w:w="1602" w:type="dxa"/>
            <w:tcBorders>
              <w:top w:val="single" w:sz="4" w:space="0" w:color="auto"/>
              <w:bottom w:val="single" w:sz="4" w:space="0" w:color="auto"/>
            </w:tcBorders>
            <w:vAlign w:val="center"/>
          </w:tcPr>
          <w:p w14:paraId="49BD3456" w14:textId="71A6C7A0"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TSI Reaction</w:t>
            </w:r>
          </w:p>
        </w:tc>
        <w:tc>
          <w:tcPr>
            <w:tcW w:w="1584" w:type="dxa"/>
            <w:tcBorders>
              <w:top w:val="single" w:sz="4" w:space="0" w:color="auto"/>
              <w:bottom w:val="single" w:sz="4" w:space="0" w:color="auto"/>
            </w:tcBorders>
            <w:vAlign w:val="center"/>
          </w:tcPr>
          <w:p w14:paraId="7A8DAB31" w14:textId="62AE8252" w:rsidR="00064D3F" w:rsidRPr="007A5034" w:rsidRDefault="00064D3F" w:rsidP="00C156F9">
            <w:pPr>
              <w:tabs>
                <w:tab w:val="left" w:pos="1008"/>
              </w:tabs>
              <w:jc w:val="center"/>
              <w:rPr>
                <w:rFonts w:ascii="Times New Roman" w:hAnsi="Times New Roman" w:cs="Times New Roman"/>
                <w:b/>
                <w:bCs/>
                <w:kern w:val="2"/>
                <w:sz w:val="24"/>
                <w:szCs w:val="24"/>
                <w14:ligatures w14:val="standardContextual"/>
              </w:rPr>
            </w:pPr>
            <w:r w:rsidRPr="007A5034">
              <w:rPr>
                <w:rFonts w:ascii="Times New Roman" w:hAnsi="Times New Roman" w:cs="Times New Roman"/>
                <w:b/>
                <w:bCs/>
                <w:kern w:val="2"/>
                <w:sz w:val="24"/>
                <w:szCs w:val="24"/>
                <w14:ligatures w14:val="standardContextual"/>
              </w:rPr>
              <w:t>Probable Identity</w:t>
            </w:r>
          </w:p>
        </w:tc>
      </w:tr>
      <w:tr w:rsidR="00C156F9" w14:paraId="7C8A2113" w14:textId="77777777" w:rsidTr="007A5034">
        <w:trPr>
          <w:trHeight w:val="864"/>
        </w:trPr>
        <w:tc>
          <w:tcPr>
            <w:tcW w:w="1083" w:type="dxa"/>
            <w:tcBorders>
              <w:top w:val="single" w:sz="4" w:space="0" w:color="auto"/>
            </w:tcBorders>
            <w:vAlign w:val="center"/>
          </w:tcPr>
          <w:p w14:paraId="5DC15EAD" w14:textId="4BEB10A8"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1</w:t>
            </w:r>
          </w:p>
        </w:tc>
        <w:tc>
          <w:tcPr>
            <w:tcW w:w="1109" w:type="dxa"/>
            <w:tcBorders>
              <w:top w:val="single" w:sz="4" w:space="0" w:color="auto"/>
            </w:tcBorders>
            <w:vAlign w:val="center"/>
          </w:tcPr>
          <w:p w14:paraId="5E59F441" w14:textId="22F58E8E"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rods</w:t>
            </w:r>
          </w:p>
        </w:tc>
        <w:tc>
          <w:tcPr>
            <w:tcW w:w="1029" w:type="dxa"/>
            <w:tcBorders>
              <w:top w:val="single" w:sz="4" w:space="0" w:color="auto"/>
            </w:tcBorders>
            <w:vAlign w:val="center"/>
          </w:tcPr>
          <w:p w14:paraId="3BFC408C" w14:textId="416AB4A7"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tcBorders>
              <w:top w:val="single" w:sz="4" w:space="0" w:color="auto"/>
            </w:tcBorders>
            <w:vAlign w:val="center"/>
          </w:tcPr>
          <w:p w14:paraId="57451A04" w14:textId="35A1470E"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tcBorders>
              <w:top w:val="single" w:sz="4" w:space="0" w:color="auto"/>
            </w:tcBorders>
            <w:vAlign w:val="center"/>
          </w:tcPr>
          <w:p w14:paraId="1103FF85" w14:textId="072FBC81"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tcBorders>
              <w:top w:val="single" w:sz="4" w:space="0" w:color="auto"/>
            </w:tcBorders>
            <w:vAlign w:val="center"/>
          </w:tcPr>
          <w:p w14:paraId="616E52A7" w14:textId="4D5F613A"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tcBorders>
              <w:top w:val="single" w:sz="4" w:space="0" w:color="auto"/>
            </w:tcBorders>
            <w:vAlign w:val="center"/>
          </w:tcPr>
          <w:p w14:paraId="6065B97E" w14:textId="6849A358" w:rsidR="00064D3F" w:rsidRDefault="00064D3F"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A/A (acid/acid)</w:t>
            </w:r>
          </w:p>
        </w:tc>
        <w:tc>
          <w:tcPr>
            <w:tcW w:w="1584" w:type="dxa"/>
            <w:tcBorders>
              <w:top w:val="single" w:sz="4" w:space="0" w:color="auto"/>
            </w:tcBorders>
            <w:vAlign w:val="center"/>
          </w:tcPr>
          <w:p w14:paraId="3989F509" w14:textId="7A0D25A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Bacillus Spp.</w:t>
            </w:r>
          </w:p>
        </w:tc>
      </w:tr>
      <w:tr w:rsidR="00C156F9" w14:paraId="06A98599" w14:textId="77777777" w:rsidTr="007A5034">
        <w:trPr>
          <w:trHeight w:val="864"/>
        </w:trPr>
        <w:tc>
          <w:tcPr>
            <w:tcW w:w="1083" w:type="dxa"/>
            <w:vAlign w:val="center"/>
          </w:tcPr>
          <w:p w14:paraId="5A23C8B1" w14:textId="1FD0B7E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2</w:t>
            </w:r>
          </w:p>
        </w:tc>
        <w:tc>
          <w:tcPr>
            <w:tcW w:w="1109" w:type="dxa"/>
            <w:vAlign w:val="center"/>
          </w:tcPr>
          <w:p w14:paraId="29D712A2" w14:textId="20DC477C"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rods</w:t>
            </w:r>
          </w:p>
        </w:tc>
        <w:tc>
          <w:tcPr>
            <w:tcW w:w="1029" w:type="dxa"/>
            <w:vAlign w:val="center"/>
          </w:tcPr>
          <w:p w14:paraId="3AF28CA5" w14:textId="3DAF329E"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060A6DD6" w14:textId="0535B7A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592460B0" w14:textId="78D477B5"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639E37BF" w14:textId="0A01515E"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47CD853C" w14:textId="46B02F7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A/A (acid/acid), Gas</w:t>
            </w:r>
          </w:p>
        </w:tc>
        <w:tc>
          <w:tcPr>
            <w:tcW w:w="1584" w:type="dxa"/>
            <w:vAlign w:val="center"/>
          </w:tcPr>
          <w:p w14:paraId="327D2963" w14:textId="684A00C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Klebsiella spp.</w:t>
            </w:r>
          </w:p>
        </w:tc>
      </w:tr>
      <w:tr w:rsidR="00C156F9" w14:paraId="0D5808A1" w14:textId="77777777" w:rsidTr="007A5034">
        <w:trPr>
          <w:trHeight w:val="864"/>
        </w:trPr>
        <w:tc>
          <w:tcPr>
            <w:tcW w:w="1083" w:type="dxa"/>
            <w:vAlign w:val="center"/>
          </w:tcPr>
          <w:p w14:paraId="3076EEC3" w14:textId="3806B13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3</w:t>
            </w:r>
          </w:p>
        </w:tc>
        <w:tc>
          <w:tcPr>
            <w:tcW w:w="1109" w:type="dxa"/>
            <w:vAlign w:val="center"/>
          </w:tcPr>
          <w:p w14:paraId="5DB280CF" w14:textId="4CACFB0B"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Cocci (clusters)</w:t>
            </w:r>
          </w:p>
        </w:tc>
        <w:tc>
          <w:tcPr>
            <w:tcW w:w="1029" w:type="dxa"/>
            <w:vAlign w:val="center"/>
          </w:tcPr>
          <w:p w14:paraId="24047A77" w14:textId="2327BB6D"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5ADAE4F8" w14:textId="464E03B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1A8EF1B6" w14:textId="7E49F95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78DB9101" w14:textId="32D7079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1A56D4EB" w14:textId="5AE8DF9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K/A (alkaline/acid)</w:t>
            </w:r>
          </w:p>
        </w:tc>
        <w:tc>
          <w:tcPr>
            <w:tcW w:w="1584" w:type="dxa"/>
            <w:vAlign w:val="center"/>
          </w:tcPr>
          <w:p w14:paraId="1032F119" w14:textId="03AB9399"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Staphylococcus spp.</w:t>
            </w:r>
          </w:p>
        </w:tc>
      </w:tr>
      <w:tr w:rsidR="00C156F9" w14:paraId="621BAB06" w14:textId="77777777" w:rsidTr="007A5034">
        <w:trPr>
          <w:trHeight w:val="864"/>
        </w:trPr>
        <w:tc>
          <w:tcPr>
            <w:tcW w:w="1083" w:type="dxa"/>
            <w:vAlign w:val="center"/>
          </w:tcPr>
          <w:p w14:paraId="054FB2FA" w14:textId="252C5750"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Isolate 4</w:t>
            </w:r>
          </w:p>
        </w:tc>
        <w:tc>
          <w:tcPr>
            <w:tcW w:w="1109" w:type="dxa"/>
            <w:vAlign w:val="center"/>
          </w:tcPr>
          <w:p w14:paraId="5D91D3EC" w14:textId="13A1A25A"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Gram +</w:t>
            </w:r>
            <w:proofErr w:type="spellStart"/>
            <w:r>
              <w:rPr>
                <w:rFonts w:ascii="Times New Roman" w:hAnsi="Times New Roman" w:cs="Times New Roman"/>
                <w:kern w:val="2"/>
                <w:sz w:val="24"/>
                <w:szCs w:val="24"/>
                <w14:ligatures w14:val="standardContextual"/>
              </w:rPr>
              <w:t>ve</w:t>
            </w:r>
            <w:proofErr w:type="spellEnd"/>
            <w:r>
              <w:rPr>
                <w:rFonts w:ascii="Times New Roman" w:hAnsi="Times New Roman" w:cs="Times New Roman"/>
                <w:kern w:val="2"/>
                <w:sz w:val="24"/>
                <w:szCs w:val="24"/>
                <w14:ligatures w14:val="standardContextual"/>
              </w:rPr>
              <w:t xml:space="preserve"> cocci (tetrads)</w:t>
            </w:r>
          </w:p>
        </w:tc>
        <w:tc>
          <w:tcPr>
            <w:tcW w:w="1029" w:type="dxa"/>
            <w:vAlign w:val="center"/>
          </w:tcPr>
          <w:p w14:paraId="3E7BD9EE" w14:textId="3ADE1842"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16" w:type="dxa"/>
            <w:vAlign w:val="center"/>
          </w:tcPr>
          <w:p w14:paraId="30644718" w14:textId="7555735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243" w:type="dxa"/>
            <w:vAlign w:val="center"/>
          </w:tcPr>
          <w:p w14:paraId="12083013" w14:textId="6A36C8DD"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003" w:type="dxa"/>
            <w:vAlign w:val="center"/>
          </w:tcPr>
          <w:p w14:paraId="5F28FFE6" w14:textId="52C4B4A7"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p>
        </w:tc>
        <w:tc>
          <w:tcPr>
            <w:tcW w:w="1602" w:type="dxa"/>
            <w:vAlign w:val="center"/>
          </w:tcPr>
          <w:p w14:paraId="42EE00D5" w14:textId="30E61F04"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K/K (no fermentation)</w:t>
            </w:r>
          </w:p>
        </w:tc>
        <w:tc>
          <w:tcPr>
            <w:tcW w:w="1584" w:type="dxa"/>
            <w:vAlign w:val="center"/>
          </w:tcPr>
          <w:p w14:paraId="3FA2C2E5" w14:textId="15F0D33F" w:rsidR="00064D3F" w:rsidRDefault="00C156F9" w:rsidP="00C156F9">
            <w:pPr>
              <w:tabs>
                <w:tab w:val="left" w:pos="1008"/>
              </w:tabs>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Micrococcus spp.</w:t>
            </w:r>
          </w:p>
        </w:tc>
      </w:tr>
    </w:tbl>
    <w:p w14:paraId="5E931297" w14:textId="5111C35C" w:rsidR="00064D3F" w:rsidRPr="00064D3F" w:rsidRDefault="00064D3F" w:rsidP="00064D3F">
      <w:pPr>
        <w:tabs>
          <w:tab w:val="left" w:pos="1008"/>
        </w:tabs>
        <w:rPr>
          <w:rFonts w:ascii="Times New Roman" w:hAnsi="Times New Roman" w:cs="Times New Roman"/>
          <w:sz w:val="24"/>
          <w:szCs w:val="24"/>
        </w:rPr>
        <w:sectPr w:rsidR="00064D3F" w:rsidRPr="00064D3F" w:rsidSect="000754BB">
          <w:footerReference w:type="default" r:id="rId7"/>
          <w:pgSz w:w="12240" w:h="15840"/>
          <w:pgMar w:top="1440" w:right="1440" w:bottom="1440" w:left="1440" w:header="720" w:footer="720" w:gutter="0"/>
          <w:pgNumType w:start="1"/>
          <w:cols w:space="720"/>
          <w:docGrid w:linePitch="360"/>
        </w:sectPr>
      </w:pPr>
    </w:p>
    <w:p w14:paraId="27E44314" w14:textId="0511F2DE" w:rsidR="000754BB" w:rsidRPr="00930D12" w:rsidRDefault="000754BB" w:rsidP="00930D12">
      <w:pPr>
        <w:spacing w:line="360" w:lineRule="auto"/>
        <w:jc w:val="both"/>
        <w:rPr>
          <w:rFonts w:ascii="Times New Roman" w:hAnsi="Times New Roman" w:cs="Times New Roman"/>
          <w:b/>
          <w:bCs/>
          <w:sz w:val="24"/>
          <w:szCs w:val="24"/>
        </w:rPr>
      </w:pPr>
      <w:bookmarkStart w:id="4" w:name="_Toc208068251"/>
      <w:r w:rsidRPr="00930D12">
        <w:rPr>
          <w:rFonts w:ascii="Times New Roman" w:hAnsi="Times New Roman" w:cs="Times New Roman"/>
          <w:b/>
          <w:bCs/>
          <w:sz w:val="24"/>
          <w:szCs w:val="24"/>
        </w:rPr>
        <w:lastRenderedPageBreak/>
        <w:t>DISCUSSION</w:t>
      </w:r>
      <w:bookmarkEnd w:id="4"/>
    </w:p>
    <w:p w14:paraId="3ED6C71C" w14:textId="5E882A93" w:rsidR="00344678" w:rsidRPr="00930D12" w:rsidRDefault="00344678" w:rsidP="00930D12">
      <w:pPr>
        <w:spacing w:line="360" w:lineRule="auto"/>
        <w:jc w:val="both"/>
        <w:rPr>
          <w:rFonts w:ascii="Times New Roman" w:eastAsiaTheme="majorEastAsia" w:hAnsi="Times New Roman" w:cs="Times New Roman"/>
          <w:bCs/>
          <w:kern w:val="2"/>
          <w:sz w:val="24"/>
          <w:szCs w:val="24"/>
          <w14:ligatures w14:val="standardContextual"/>
        </w:rPr>
      </w:pPr>
      <w:r w:rsidRPr="00930D12">
        <w:rPr>
          <w:rFonts w:ascii="Times New Roman" w:eastAsiaTheme="majorEastAsia" w:hAnsi="Times New Roman" w:cs="Times New Roman"/>
          <w:bCs/>
          <w:kern w:val="2"/>
          <w:sz w:val="24"/>
          <w:szCs w:val="24"/>
          <w14:ligatures w14:val="standardContextual"/>
        </w:rPr>
        <w:t xml:space="preserve">Water that is free from disease causing organisms and chemicals that are harmful to human health is said to be potable. It can be observed that about 16.7% of the students in the selected hostels use the water in the poly tanks for drinking purpose whilst all the students in the selected hostels use it for cooking, bathing and washing. Poly tanks that were cleaned recently had lower total coliforms and </w:t>
      </w:r>
      <w:proofErr w:type="spellStart"/>
      <w:r w:rsidRPr="00930D12">
        <w:rPr>
          <w:rFonts w:ascii="Times New Roman" w:eastAsiaTheme="majorEastAsia" w:hAnsi="Times New Roman" w:cs="Times New Roman"/>
          <w:bCs/>
          <w:kern w:val="2"/>
          <w:sz w:val="24"/>
          <w:szCs w:val="24"/>
          <w14:ligatures w14:val="standardContextual"/>
        </w:rPr>
        <w:t>faecal</w:t>
      </w:r>
      <w:proofErr w:type="spellEnd"/>
      <w:r w:rsidRPr="00930D12">
        <w:rPr>
          <w:rFonts w:ascii="Times New Roman" w:eastAsiaTheme="majorEastAsia" w:hAnsi="Times New Roman" w:cs="Times New Roman"/>
          <w:bCs/>
          <w:kern w:val="2"/>
          <w:sz w:val="24"/>
          <w:szCs w:val="24"/>
          <w14:ligatures w14:val="standardContextual"/>
        </w:rPr>
        <w:t xml:space="preserve"> coliform counts. These findings are consistent with Levesque et al</w:t>
      </w:r>
      <w:r w:rsidR="00FA5E3A" w:rsidRPr="00930D12">
        <w:rPr>
          <w:rFonts w:ascii="Times New Roman" w:eastAsiaTheme="majorEastAsia" w:hAnsi="Times New Roman" w:cs="Times New Roman"/>
          <w:bCs/>
          <w:kern w:val="2"/>
          <w:sz w:val="24"/>
          <w:szCs w:val="24"/>
          <w14:ligatures w14:val="standardContextual"/>
        </w:rPr>
        <w:t xml:space="preserve">, 2008 who reported that cleaning and emptying is a way to significantly lower poly tank water contamination. All the same, it should be noted that build-up of sediments in water tanks </w:t>
      </w:r>
      <w:r w:rsidR="00930D12" w:rsidRPr="00930D12">
        <w:rPr>
          <w:rFonts w:ascii="Times New Roman" w:eastAsiaTheme="majorEastAsia" w:hAnsi="Times New Roman" w:cs="Times New Roman"/>
          <w:bCs/>
          <w:kern w:val="2"/>
          <w:sz w:val="24"/>
          <w:szCs w:val="24"/>
          <w14:ligatures w14:val="standardContextual"/>
        </w:rPr>
        <w:t>can serve as source of supply of suitable nutrients for bacteria to grow and multiply as reported by House and Reed (1997).</w:t>
      </w:r>
    </w:p>
    <w:p w14:paraId="2C03EAA2" w14:textId="0320DAE4" w:rsidR="00844E51" w:rsidRPr="00930D12" w:rsidRDefault="00327E33"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bacteriological assessment of water stored in hostel tanks around C. K. T. UTAS revealed deviations from drinking-water safety standards, reflecting poor handling and storage hygiene. Although </w:t>
      </w:r>
      <w:proofErr w:type="spellStart"/>
      <w:r w:rsidRPr="00930D12">
        <w:rPr>
          <w:rFonts w:ascii="Times New Roman" w:hAnsi="Times New Roman" w:cs="Times New Roman"/>
          <w:sz w:val="24"/>
          <w:szCs w:val="24"/>
        </w:rPr>
        <w:t>faecal</w:t>
      </w:r>
      <w:proofErr w:type="spellEnd"/>
      <w:r w:rsidRPr="00930D12">
        <w:rPr>
          <w:rFonts w:ascii="Times New Roman" w:hAnsi="Times New Roman" w:cs="Times New Roman"/>
          <w:sz w:val="24"/>
          <w:szCs w:val="24"/>
        </w:rPr>
        <w:t xml:space="preserve"> coliforms and E. coli were absent</w:t>
      </w:r>
      <w:r w:rsidR="00514ED5" w:rsidRPr="00930D12">
        <w:rPr>
          <w:rFonts w:ascii="Times New Roman" w:hAnsi="Times New Roman" w:cs="Times New Roman"/>
          <w:sz w:val="24"/>
          <w:szCs w:val="24"/>
        </w:rPr>
        <w:t xml:space="preserve">, thus indicating no direct </w:t>
      </w:r>
      <w:proofErr w:type="spellStart"/>
      <w:r w:rsidR="00514ED5" w:rsidRPr="00930D12">
        <w:rPr>
          <w:rFonts w:ascii="Times New Roman" w:hAnsi="Times New Roman" w:cs="Times New Roman"/>
          <w:sz w:val="24"/>
          <w:szCs w:val="24"/>
        </w:rPr>
        <w:t>faecal</w:t>
      </w:r>
      <w:proofErr w:type="spellEnd"/>
      <w:r w:rsidR="00514ED5" w:rsidRPr="00930D12">
        <w:rPr>
          <w:rFonts w:ascii="Times New Roman" w:hAnsi="Times New Roman" w:cs="Times New Roman"/>
          <w:sz w:val="24"/>
          <w:szCs w:val="24"/>
        </w:rPr>
        <w:t xml:space="preserve"> contamination and suggesting that the source </w:t>
      </w:r>
      <w:r w:rsidR="00C05C86" w:rsidRPr="00930D12">
        <w:rPr>
          <w:rFonts w:ascii="Times New Roman" w:hAnsi="Times New Roman" w:cs="Times New Roman"/>
          <w:sz w:val="24"/>
          <w:szCs w:val="24"/>
        </w:rPr>
        <w:t xml:space="preserve">of </w:t>
      </w:r>
      <w:r w:rsidR="00514ED5" w:rsidRPr="00930D12">
        <w:rPr>
          <w:rFonts w:ascii="Times New Roman" w:hAnsi="Times New Roman" w:cs="Times New Roman"/>
          <w:sz w:val="24"/>
          <w:szCs w:val="24"/>
        </w:rPr>
        <w:t>water was microbiologically safe, the detection of total coliforms in some samples (</w:t>
      </w:r>
      <w:r w:rsidR="00C05C86" w:rsidRPr="00930D12">
        <w:rPr>
          <w:rFonts w:ascii="Times New Roman" w:hAnsi="Times New Roman" w:cs="Times New Roman"/>
          <w:sz w:val="24"/>
          <w:szCs w:val="24"/>
        </w:rPr>
        <w:t>Dollar</w:t>
      </w:r>
      <w:r w:rsidR="00514ED5" w:rsidRPr="00930D12">
        <w:rPr>
          <w:rFonts w:ascii="Times New Roman" w:hAnsi="Times New Roman" w:cs="Times New Roman"/>
          <w:sz w:val="24"/>
          <w:szCs w:val="24"/>
        </w:rPr>
        <w:t xml:space="preserve">, </w:t>
      </w:r>
      <w:r w:rsidR="00C05C86" w:rsidRPr="00930D12">
        <w:rPr>
          <w:rFonts w:ascii="Times New Roman" w:hAnsi="Times New Roman" w:cs="Times New Roman"/>
          <w:sz w:val="24"/>
          <w:szCs w:val="24"/>
        </w:rPr>
        <w:t>Washington</w:t>
      </w:r>
      <w:r w:rsidR="00514ED5" w:rsidRPr="00930D12">
        <w:rPr>
          <w:rFonts w:ascii="Times New Roman" w:hAnsi="Times New Roman" w:cs="Times New Roman"/>
          <w:sz w:val="24"/>
          <w:szCs w:val="24"/>
        </w:rPr>
        <w:t xml:space="preserve"> and </w:t>
      </w:r>
      <w:r w:rsidR="00C05C86" w:rsidRPr="00396226">
        <w:rPr>
          <w:rFonts w:ascii="Times New Roman" w:hAnsi="Times New Roman" w:cs="Times New Roman"/>
          <w:sz w:val="24"/>
          <w:szCs w:val="24"/>
          <w:highlight w:val="yellow"/>
        </w:rPr>
        <w:t>Vatican</w:t>
      </w:r>
      <w:r w:rsidR="00514ED5" w:rsidRPr="00930D12">
        <w:rPr>
          <w:rFonts w:ascii="Times New Roman" w:hAnsi="Times New Roman" w:cs="Times New Roman"/>
          <w:sz w:val="24"/>
          <w:szCs w:val="24"/>
        </w:rPr>
        <w:t xml:space="preserve">) exceeded both the Ghana Standard (≤ 50 CFU/mL) and the WHO guideline </w:t>
      </w:r>
      <w:r w:rsidR="009F145C">
        <w:rPr>
          <w:rFonts w:ascii="Times New Roman" w:hAnsi="Times New Roman" w:cs="Times New Roman"/>
          <w:sz w:val="24"/>
          <w:szCs w:val="24"/>
        </w:rPr>
        <w:t xml:space="preserve">value </w:t>
      </w:r>
      <w:r w:rsidR="00514ED5" w:rsidRPr="00930D12">
        <w:rPr>
          <w:rFonts w:ascii="Times New Roman" w:hAnsi="Times New Roman" w:cs="Times New Roman"/>
          <w:sz w:val="24"/>
          <w:szCs w:val="24"/>
        </w:rPr>
        <w:t>of 0 CFU/mL (Edberg et al., 2000; WHO, 2017). Their presence implies environment contamination and possible integrity loss of the distribution or storage systems</w:t>
      </w:r>
      <w:r w:rsidR="00BC02C0" w:rsidRPr="00930D12">
        <w:rPr>
          <w:rFonts w:ascii="Times New Roman" w:hAnsi="Times New Roman" w:cs="Times New Roman"/>
          <w:sz w:val="24"/>
          <w:szCs w:val="24"/>
        </w:rPr>
        <w:t xml:space="preserve">. For several </w:t>
      </w:r>
      <w:r w:rsidR="000F26B7" w:rsidRPr="00930D12">
        <w:rPr>
          <w:rFonts w:ascii="Times New Roman" w:hAnsi="Times New Roman" w:cs="Times New Roman"/>
          <w:sz w:val="24"/>
          <w:szCs w:val="24"/>
        </w:rPr>
        <w:t>years residents</w:t>
      </w:r>
      <w:r w:rsidR="00BC02C0" w:rsidRPr="00930D12">
        <w:rPr>
          <w:rFonts w:ascii="Times New Roman" w:hAnsi="Times New Roman" w:cs="Times New Roman"/>
          <w:sz w:val="24"/>
          <w:szCs w:val="24"/>
        </w:rPr>
        <w:t xml:space="preserve"> reported that tanks were not cleaned and this supported the probability of biofilm formation and re-growth of micro-</w:t>
      </w:r>
      <w:r w:rsidR="00C05C86" w:rsidRPr="00930D12">
        <w:rPr>
          <w:rFonts w:ascii="Times New Roman" w:hAnsi="Times New Roman" w:cs="Times New Roman"/>
          <w:sz w:val="24"/>
          <w:szCs w:val="24"/>
        </w:rPr>
        <w:t>organisms.</w:t>
      </w:r>
      <w:r w:rsidR="00514ED5" w:rsidRPr="00930D12">
        <w:rPr>
          <w:rFonts w:ascii="Times New Roman" w:hAnsi="Times New Roman" w:cs="Times New Roman"/>
          <w:sz w:val="24"/>
          <w:szCs w:val="24"/>
        </w:rPr>
        <w:t xml:space="preserve"> The high Total Viable Counts (TVC &gt; 100 CFU/mL) observed in all samples also exceeded WHO limits and </w:t>
      </w:r>
      <w:r w:rsidR="00C05C86" w:rsidRPr="00930D12">
        <w:rPr>
          <w:rFonts w:ascii="Times New Roman" w:hAnsi="Times New Roman" w:cs="Times New Roman"/>
          <w:sz w:val="24"/>
          <w:szCs w:val="24"/>
        </w:rPr>
        <w:t>suggests</w:t>
      </w:r>
      <w:r w:rsidR="00514ED5" w:rsidRPr="00930D12">
        <w:rPr>
          <w:rFonts w:ascii="Times New Roman" w:hAnsi="Times New Roman" w:cs="Times New Roman"/>
          <w:sz w:val="24"/>
          <w:szCs w:val="24"/>
        </w:rPr>
        <w:t xml:space="preserve"> poor sanitary conditions, prolonged stagnation and </w:t>
      </w:r>
      <w:proofErr w:type="spellStart"/>
      <w:r w:rsidR="00514ED5" w:rsidRPr="00930D12">
        <w:rPr>
          <w:rFonts w:ascii="Times New Roman" w:hAnsi="Times New Roman" w:cs="Times New Roman"/>
          <w:sz w:val="24"/>
          <w:szCs w:val="24"/>
        </w:rPr>
        <w:t>favourable</w:t>
      </w:r>
      <w:proofErr w:type="spellEnd"/>
      <w:r w:rsidR="00514ED5" w:rsidRPr="00930D12">
        <w:rPr>
          <w:rFonts w:ascii="Times New Roman" w:hAnsi="Times New Roman" w:cs="Times New Roman"/>
          <w:sz w:val="24"/>
          <w:szCs w:val="24"/>
        </w:rPr>
        <w:t xml:space="preserve"> conditions for bacterial proliferation (</w:t>
      </w:r>
      <w:proofErr w:type="spellStart"/>
      <w:r w:rsidR="00514ED5" w:rsidRPr="00930D12">
        <w:rPr>
          <w:rFonts w:ascii="Times New Roman" w:hAnsi="Times New Roman" w:cs="Times New Roman"/>
          <w:sz w:val="24"/>
          <w:szCs w:val="24"/>
        </w:rPr>
        <w:t>Ferraira</w:t>
      </w:r>
      <w:proofErr w:type="spellEnd"/>
      <w:r w:rsidR="00514ED5" w:rsidRPr="00930D12">
        <w:rPr>
          <w:rFonts w:ascii="Times New Roman" w:hAnsi="Times New Roman" w:cs="Times New Roman"/>
          <w:sz w:val="24"/>
          <w:szCs w:val="24"/>
        </w:rPr>
        <w:t xml:space="preserve"> et al., 1994; Pavlov et al., 2004). Similar observations have been made by Ogba et al. (2021)</w:t>
      </w:r>
      <w:r w:rsidR="00B161CF">
        <w:rPr>
          <w:rFonts w:ascii="Times New Roman" w:hAnsi="Times New Roman" w:cs="Times New Roman"/>
          <w:sz w:val="24"/>
          <w:szCs w:val="24"/>
        </w:rPr>
        <w:t xml:space="preserve"> and also Manga et al, (2021)</w:t>
      </w:r>
      <w:r w:rsidR="00514ED5" w:rsidRPr="00930D12">
        <w:rPr>
          <w:rFonts w:ascii="Times New Roman" w:hAnsi="Times New Roman" w:cs="Times New Roman"/>
          <w:sz w:val="24"/>
          <w:szCs w:val="24"/>
        </w:rPr>
        <w:t xml:space="preserve"> in stored household water. </w:t>
      </w:r>
    </w:p>
    <w:p w14:paraId="1A46BE96" w14:textId="1E9DBDC5" w:rsidR="000754BB" w:rsidRPr="00930D12" w:rsidRDefault="002C5159"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bacterial isolates identified (Klebsiella spp., Staphylococcus spp., Bacillus spp., and Micrococcus spp.) indicate multiple contamination pathways. Klebsiella spp. are opportunistic pathogens capable of surviving in water distribution systems and biofilms (Percival and Williams, 2014), while Staphylococcus spp., part of normal </w:t>
      </w:r>
      <w:r w:rsidR="00ED284B" w:rsidRPr="00930D12">
        <w:rPr>
          <w:rFonts w:ascii="Times New Roman" w:hAnsi="Times New Roman" w:cs="Times New Roman"/>
          <w:sz w:val="24"/>
          <w:szCs w:val="24"/>
        </w:rPr>
        <w:t>skin flora, point to human-handling contamination (</w:t>
      </w:r>
      <w:proofErr w:type="spellStart"/>
      <w:r w:rsidR="00ED284B" w:rsidRPr="00930D12">
        <w:rPr>
          <w:rFonts w:ascii="Times New Roman" w:hAnsi="Times New Roman" w:cs="Times New Roman"/>
          <w:sz w:val="24"/>
          <w:szCs w:val="24"/>
        </w:rPr>
        <w:t>Odonkor</w:t>
      </w:r>
      <w:proofErr w:type="spellEnd"/>
      <w:r w:rsidR="00ED284B" w:rsidRPr="00930D12">
        <w:rPr>
          <w:rFonts w:ascii="Times New Roman" w:hAnsi="Times New Roman" w:cs="Times New Roman"/>
          <w:sz w:val="24"/>
          <w:szCs w:val="24"/>
        </w:rPr>
        <w:t xml:space="preserve"> and </w:t>
      </w:r>
      <w:proofErr w:type="spellStart"/>
      <w:r w:rsidR="00ED284B" w:rsidRPr="00930D12">
        <w:rPr>
          <w:rFonts w:ascii="Times New Roman" w:hAnsi="Times New Roman" w:cs="Times New Roman"/>
          <w:sz w:val="24"/>
          <w:szCs w:val="24"/>
        </w:rPr>
        <w:t>Ampofo</w:t>
      </w:r>
      <w:proofErr w:type="spellEnd"/>
      <w:r w:rsidR="00ED284B" w:rsidRPr="00930D12">
        <w:rPr>
          <w:rFonts w:ascii="Times New Roman" w:hAnsi="Times New Roman" w:cs="Times New Roman"/>
          <w:sz w:val="24"/>
          <w:szCs w:val="24"/>
        </w:rPr>
        <w:t>, 2013). Bacillus and Micrococcus species are environmental organisms commonly introduced through dust, air or unsealed vents (</w:t>
      </w:r>
      <w:proofErr w:type="spellStart"/>
      <w:r w:rsidR="00ED284B" w:rsidRPr="00930D12">
        <w:rPr>
          <w:rFonts w:ascii="Times New Roman" w:hAnsi="Times New Roman" w:cs="Times New Roman"/>
          <w:sz w:val="24"/>
          <w:szCs w:val="24"/>
        </w:rPr>
        <w:t>Momba</w:t>
      </w:r>
      <w:proofErr w:type="spellEnd"/>
      <w:r w:rsidR="00ED284B" w:rsidRPr="00930D12">
        <w:rPr>
          <w:rFonts w:ascii="Times New Roman" w:hAnsi="Times New Roman" w:cs="Times New Roman"/>
          <w:sz w:val="24"/>
          <w:szCs w:val="24"/>
        </w:rPr>
        <w:t xml:space="preserve"> et al., 2006). The consistent recovery of these bacteria together with high TVC, demonstrates that the primary concern is inadequate tank maintenance rather than source-water </w:t>
      </w:r>
      <w:r w:rsidR="00EE6C58" w:rsidRPr="00930D12">
        <w:rPr>
          <w:rFonts w:ascii="Times New Roman" w:hAnsi="Times New Roman" w:cs="Times New Roman"/>
          <w:sz w:val="24"/>
          <w:szCs w:val="24"/>
        </w:rPr>
        <w:t xml:space="preserve">quality. </w:t>
      </w:r>
      <w:r w:rsidR="00A77533" w:rsidRPr="00930D12">
        <w:rPr>
          <w:rFonts w:ascii="Times New Roman" w:hAnsi="Times New Roman" w:cs="Times New Roman"/>
          <w:sz w:val="24"/>
          <w:szCs w:val="24"/>
        </w:rPr>
        <w:t xml:space="preserve">Regular </w:t>
      </w:r>
      <w:r w:rsidR="00A77533" w:rsidRPr="00930D12">
        <w:rPr>
          <w:rFonts w:ascii="Times New Roman" w:hAnsi="Times New Roman" w:cs="Times New Roman"/>
          <w:sz w:val="24"/>
          <w:szCs w:val="24"/>
        </w:rPr>
        <w:lastRenderedPageBreak/>
        <w:t>cleaning, disinfection and monitor</w:t>
      </w:r>
      <w:r w:rsidR="009F145C">
        <w:rPr>
          <w:rFonts w:ascii="Times New Roman" w:hAnsi="Times New Roman" w:cs="Times New Roman"/>
          <w:sz w:val="24"/>
          <w:szCs w:val="24"/>
        </w:rPr>
        <w:t>ing</w:t>
      </w:r>
      <w:r w:rsidR="00A77533" w:rsidRPr="00930D12">
        <w:rPr>
          <w:rFonts w:ascii="Times New Roman" w:hAnsi="Times New Roman" w:cs="Times New Roman"/>
          <w:sz w:val="24"/>
          <w:szCs w:val="24"/>
        </w:rPr>
        <w:t xml:space="preserve"> of storage tanks are therefore essential to prevent microbial regrowth and ensure the safety of stored water for consumption. </w:t>
      </w:r>
    </w:p>
    <w:p w14:paraId="26DDB8DD" w14:textId="7347FF24" w:rsidR="00C05C86" w:rsidRDefault="00C05C86" w:rsidP="00930D12">
      <w:pPr>
        <w:spacing w:line="360" w:lineRule="auto"/>
        <w:jc w:val="both"/>
        <w:rPr>
          <w:rFonts w:ascii="Times New Roman" w:hAnsi="Times New Roman" w:cs="Times New Roman"/>
          <w:b/>
          <w:bCs/>
          <w:sz w:val="24"/>
          <w:szCs w:val="24"/>
        </w:rPr>
      </w:pPr>
      <w:r w:rsidRPr="00930D12">
        <w:rPr>
          <w:rFonts w:ascii="Times New Roman" w:hAnsi="Times New Roman" w:cs="Times New Roman"/>
          <w:b/>
          <w:bCs/>
          <w:sz w:val="24"/>
          <w:szCs w:val="24"/>
        </w:rPr>
        <w:t>Conclusions</w:t>
      </w:r>
      <w:r w:rsidR="000F26B7" w:rsidRPr="00930D12">
        <w:rPr>
          <w:rFonts w:ascii="Times New Roman" w:hAnsi="Times New Roman" w:cs="Times New Roman"/>
          <w:b/>
          <w:bCs/>
          <w:sz w:val="24"/>
          <w:szCs w:val="24"/>
        </w:rPr>
        <w:t xml:space="preserve"> and recommendations</w:t>
      </w:r>
    </w:p>
    <w:p w14:paraId="480EBF87" w14:textId="41E9B2E3" w:rsidR="000F34B7" w:rsidRPr="000F34B7" w:rsidRDefault="000F34B7" w:rsidP="00930D12">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study it can be observed that</w:t>
      </w:r>
      <w:r w:rsidR="009F145C">
        <w:rPr>
          <w:rFonts w:ascii="Times New Roman" w:hAnsi="Times New Roman" w:cs="Times New Roman"/>
          <w:sz w:val="24"/>
          <w:szCs w:val="24"/>
        </w:rPr>
        <w:t xml:space="preserve"> a</w:t>
      </w:r>
      <w:r>
        <w:rPr>
          <w:rFonts w:ascii="Times New Roman" w:hAnsi="Times New Roman" w:cs="Times New Roman"/>
          <w:sz w:val="24"/>
          <w:szCs w:val="24"/>
        </w:rPr>
        <w:t xml:space="preserve"> sizeable number of the students in the selected hostels use the water in the poly tanks for drinking purposes. Therefore, contamination of the storage poly tanks water posed public health concern. </w:t>
      </w:r>
    </w:p>
    <w:p w14:paraId="35627A2F" w14:textId="26C4B56F" w:rsidR="00BC02C0" w:rsidRPr="00930D12" w:rsidRDefault="008328DE"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 xml:space="preserve">The bacteriological assessment of water stored in hostel tanks within and around C. K. T. UTAS revealed that, although </w:t>
      </w:r>
      <w:proofErr w:type="spellStart"/>
      <w:r w:rsidRPr="00930D12">
        <w:rPr>
          <w:rFonts w:ascii="Times New Roman" w:hAnsi="Times New Roman" w:cs="Times New Roman"/>
          <w:sz w:val="24"/>
          <w:szCs w:val="24"/>
        </w:rPr>
        <w:t>faecal</w:t>
      </w:r>
      <w:proofErr w:type="spellEnd"/>
      <w:r w:rsidRPr="00930D12">
        <w:rPr>
          <w:rFonts w:ascii="Times New Roman" w:hAnsi="Times New Roman" w:cs="Times New Roman"/>
          <w:sz w:val="24"/>
          <w:szCs w:val="24"/>
        </w:rPr>
        <w:t xml:space="preserve"> coliforms and E. coli were absent, the presence of total coliforms and other bacteria such as Bacillus spp., Klebsiella spp., Staphylococcus spp</w:t>
      </w:r>
      <w:r w:rsidR="00BC02C0" w:rsidRPr="00930D12">
        <w:rPr>
          <w:rFonts w:ascii="Times New Roman" w:hAnsi="Times New Roman" w:cs="Times New Roman"/>
          <w:sz w:val="24"/>
          <w:szCs w:val="24"/>
        </w:rPr>
        <w:t>. and Micrococcus spp. are evidence of secondary contamination that occurs due to poor storage and handling. High total viable counts above</w:t>
      </w:r>
      <w:r w:rsidR="009F145C">
        <w:rPr>
          <w:rFonts w:ascii="Times New Roman" w:hAnsi="Times New Roman" w:cs="Times New Roman"/>
          <w:sz w:val="24"/>
          <w:szCs w:val="24"/>
        </w:rPr>
        <w:t xml:space="preserve"> Ghana standard authority limits</w:t>
      </w:r>
      <w:r w:rsidR="00BC02C0" w:rsidRPr="00930D12">
        <w:rPr>
          <w:rFonts w:ascii="Times New Roman" w:hAnsi="Times New Roman" w:cs="Times New Roman"/>
          <w:sz w:val="24"/>
          <w:szCs w:val="24"/>
        </w:rPr>
        <w:t xml:space="preserve"> </w:t>
      </w:r>
      <w:r w:rsidR="009F145C">
        <w:rPr>
          <w:rFonts w:ascii="Times New Roman" w:hAnsi="Times New Roman" w:cs="Times New Roman"/>
          <w:sz w:val="24"/>
          <w:szCs w:val="24"/>
        </w:rPr>
        <w:t xml:space="preserve">and </w:t>
      </w:r>
      <w:r w:rsidR="00BC02C0" w:rsidRPr="00930D12">
        <w:rPr>
          <w:rFonts w:ascii="Times New Roman" w:hAnsi="Times New Roman" w:cs="Times New Roman"/>
          <w:sz w:val="24"/>
          <w:szCs w:val="24"/>
        </w:rPr>
        <w:t xml:space="preserve">WHO </w:t>
      </w:r>
      <w:r w:rsidR="009F145C">
        <w:rPr>
          <w:rFonts w:ascii="Times New Roman" w:hAnsi="Times New Roman" w:cs="Times New Roman"/>
          <w:sz w:val="24"/>
          <w:szCs w:val="24"/>
        </w:rPr>
        <w:t>guideline values</w:t>
      </w:r>
      <w:r w:rsidR="00BC02C0" w:rsidRPr="00930D12">
        <w:rPr>
          <w:rFonts w:ascii="Times New Roman" w:hAnsi="Times New Roman" w:cs="Times New Roman"/>
          <w:sz w:val="24"/>
          <w:szCs w:val="24"/>
        </w:rPr>
        <w:t xml:space="preserve"> also indicate the possibility of microbial regrowth and biofilm development in the tanks</w:t>
      </w:r>
      <w:r w:rsidR="00822076">
        <w:rPr>
          <w:rFonts w:ascii="Times New Roman" w:hAnsi="Times New Roman" w:cs="Times New Roman"/>
          <w:sz w:val="24"/>
          <w:szCs w:val="24"/>
        </w:rPr>
        <w:t xml:space="preserve"> and may pose health risk to users.</w:t>
      </w:r>
      <w:r w:rsidR="00BC02C0" w:rsidRPr="00930D12">
        <w:rPr>
          <w:rFonts w:ascii="Times New Roman" w:hAnsi="Times New Roman" w:cs="Times New Roman"/>
          <w:sz w:val="24"/>
          <w:szCs w:val="24"/>
        </w:rPr>
        <w:t xml:space="preserve"> These results prove</w:t>
      </w:r>
      <w:r w:rsidR="000F34B7">
        <w:rPr>
          <w:rFonts w:ascii="Times New Roman" w:hAnsi="Times New Roman" w:cs="Times New Roman"/>
          <w:sz w:val="24"/>
          <w:szCs w:val="24"/>
        </w:rPr>
        <w:t>d</w:t>
      </w:r>
      <w:r w:rsidR="00BC02C0" w:rsidRPr="00930D12">
        <w:rPr>
          <w:rFonts w:ascii="Times New Roman" w:hAnsi="Times New Roman" w:cs="Times New Roman"/>
          <w:sz w:val="24"/>
          <w:szCs w:val="24"/>
        </w:rPr>
        <w:t xml:space="preserve"> that the source water is usually safe but it is </w:t>
      </w:r>
      <w:r w:rsidR="00C05C86" w:rsidRPr="00930D12">
        <w:rPr>
          <w:rFonts w:ascii="Times New Roman" w:hAnsi="Times New Roman" w:cs="Times New Roman"/>
          <w:sz w:val="24"/>
          <w:szCs w:val="24"/>
        </w:rPr>
        <w:t>contaminated</w:t>
      </w:r>
      <w:r w:rsidR="00BC02C0" w:rsidRPr="00930D12">
        <w:rPr>
          <w:rFonts w:ascii="Times New Roman" w:hAnsi="Times New Roman" w:cs="Times New Roman"/>
          <w:sz w:val="24"/>
          <w:szCs w:val="24"/>
        </w:rPr>
        <w:t xml:space="preserve"> during storage because of poor cleaning, exposed tanks and stagnation. </w:t>
      </w:r>
    </w:p>
    <w:p w14:paraId="7CDC3296" w14:textId="28565C84" w:rsidR="008328DE" w:rsidRPr="00930D12" w:rsidRDefault="00BC02C0" w:rsidP="00930D12">
      <w:pPr>
        <w:spacing w:line="360" w:lineRule="auto"/>
        <w:jc w:val="both"/>
        <w:rPr>
          <w:rFonts w:ascii="Times New Roman" w:hAnsi="Times New Roman" w:cs="Times New Roman"/>
          <w:sz w:val="24"/>
          <w:szCs w:val="24"/>
        </w:rPr>
      </w:pPr>
      <w:r w:rsidRPr="00930D12">
        <w:rPr>
          <w:rFonts w:ascii="Times New Roman" w:hAnsi="Times New Roman" w:cs="Times New Roman"/>
          <w:sz w:val="24"/>
          <w:szCs w:val="24"/>
        </w:rPr>
        <w:t>Consistent</w:t>
      </w:r>
      <w:r w:rsidR="002A43D8" w:rsidRPr="00930D12">
        <w:rPr>
          <w:rFonts w:ascii="Times New Roman" w:hAnsi="Times New Roman" w:cs="Times New Roman"/>
          <w:sz w:val="24"/>
          <w:szCs w:val="24"/>
        </w:rPr>
        <w:t xml:space="preserve"> cleaning and disinfection of water </w:t>
      </w:r>
      <w:r w:rsidRPr="00930D12">
        <w:rPr>
          <w:rFonts w:ascii="Times New Roman" w:hAnsi="Times New Roman" w:cs="Times New Roman"/>
          <w:sz w:val="24"/>
          <w:szCs w:val="24"/>
        </w:rPr>
        <w:t>poly-</w:t>
      </w:r>
      <w:r w:rsidR="002A43D8" w:rsidRPr="00930D12">
        <w:rPr>
          <w:rFonts w:ascii="Times New Roman" w:hAnsi="Times New Roman" w:cs="Times New Roman"/>
          <w:sz w:val="24"/>
          <w:szCs w:val="24"/>
        </w:rPr>
        <w:t xml:space="preserve">tanks, </w:t>
      </w:r>
      <w:r w:rsidR="002638FE" w:rsidRPr="00930D12">
        <w:rPr>
          <w:rFonts w:ascii="Times New Roman" w:hAnsi="Times New Roman" w:cs="Times New Roman"/>
          <w:sz w:val="24"/>
          <w:szCs w:val="24"/>
        </w:rPr>
        <w:t>enforcement</w:t>
      </w:r>
      <w:r w:rsidR="002A43D8" w:rsidRPr="00930D12">
        <w:rPr>
          <w:rFonts w:ascii="Times New Roman" w:hAnsi="Times New Roman" w:cs="Times New Roman"/>
          <w:sz w:val="24"/>
          <w:szCs w:val="24"/>
        </w:rPr>
        <w:t xml:space="preserve"> of water storage hygiene protocols and routine bacteriological </w:t>
      </w:r>
      <w:r w:rsidRPr="00930D12">
        <w:rPr>
          <w:rFonts w:ascii="Times New Roman" w:hAnsi="Times New Roman" w:cs="Times New Roman"/>
          <w:sz w:val="24"/>
          <w:szCs w:val="24"/>
        </w:rPr>
        <w:t>analysis</w:t>
      </w:r>
      <w:r w:rsidR="002A43D8" w:rsidRPr="00930D12">
        <w:rPr>
          <w:rFonts w:ascii="Times New Roman" w:hAnsi="Times New Roman" w:cs="Times New Roman"/>
          <w:sz w:val="24"/>
          <w:szCs w:val="24"/>
        </w:rPr>
        <w:t xml:space="preserve"> are therefore recommended to ensure that water supplied to hostel</w:t>
      </w:r>
      <w:r w:rsidRPr="00930D12">
        <w:rPr>
          <w:rFonts w:ascii="Times New Roman" w:hAnsi="Times New Roman" w:cs="Times New Roman"/>
          <w:sz w:val="24"/>
          <w:szCs w:val="24"/>
        </w:rPr>
        <w:t>’s</w:t>
      </w:r>
      <w:r w:rsidR="002A43D8" w:rsidRPr="00930D12">
        <w:rPr>
          <w:rFonts w:ascii="Times New Roman" w:hAnsi="Times New Roman" w:cs="Times New Roman"/>
          <w:sz w:val="24"/>
          <w:szCs w:val="24"/>
        </w:rPr>
        <w:t xml:space="preserve"> residents remains </w:t>
      </w:r>
      <w:r w:rsidRPr="00930D12">
        <w:rPr>
          <w:rFonts w:ascii="Times New Roman" w:hAnsi="Times New Roman" w:cs="Times New Roman"/>
          <w:sz w:val="24"/>
          <w:szCs w:val="24"/>
        </w:rPr>
        <w:t>potable</w:t>
      </w:r>
      <w:r w:rsidR="002A43D8" w:rsidRPr="00930D12">
        <w:rPr>
          <w:rFonts w:ascii="Times New Roman" w:hAnsi="Times New Roman" w:cs="Times New Roman"/>
          <w:sz w:val="24"/>
          <w:szCs w:val="24"/>
        </w:rPr>
        <w:t xml:space="preserve"> for domestic use. Public health authorities and institutional management should </w:t>
      </w:r>
      <w:r w:rsidRPr="00930D12">
        <w:rPr>
          <w:rFonts w:ascii="Times New Roman" w:hAnsi="Times New Roman" w:cs="Times New Roman"/>
          <w:sz w:val="24"/>
          <w:szCs w:val="24"/>
        </w:rPr>
        <w:t>increase</w:t>
      </w:r>
      <w:r w:rsidR="002A43D8" w:rsidRPr="00930D12">
        <w:rPr>
          <w:rFonts w:ascii="Times New Roman" w:hAnsi="Times New Roman" w:cs="Times New Roman"/>
          <w:sz w:val="24"/>
          <w:szCs w:val="24"/>
        </w:rPr>
        <w:t xml:space="preserve"> awareness campaigns on proper </w:t>
      </w:r>
      <w:r w:rsidRPr="00930D12">
        <w:rPr>
          <w:rFonts w:ascii="Times New Roman" w:hAnsi="Times New Roman" w:cs="Times New Roman"/>
          <w:sz w:val="24"/>
          <w:szCs w:val="24"/>
        </w:rPr>
        <w:t>poly-</w:t>
      </w:r>
      <w:r w:rsidR="002A43D8" w:rsidRPr="00930D12">
        <w:rPr>
          <w:rFonts w:ascii="Times New Roman" w:hAnsi="Times New Roman" w:cs="Times New Roman"/>
          <w:sz w:val="24"/>
          <w:szCs w:val="24"/>
        </w:rPr>
        <w:t xml:space="preserve">tank maintenance and adopt preventive strategies to minimize </w:t>
      </w:r>
      <w:r w:rsidR="002638FE" w:rsidRPr="00930D12">
        <w:rPr>
          <w:rFonts w:ascii="Times New Roman" w:hAnsi="Times New Roman" w:cs="Times New Roman"/>
          <w:sz w:val="24"/>
          <w:szCs w:val="24"/>
        </w:rPr>
        <w:t xml:space="preserve">microbial contamination in stored water systems. </w:t>
      </w:r>
      <w:r w:rsidR="008328DE" w:rsidRPr="00930D12">
        <w:rPr>
          <w:rFonts w:ascii="Times New Roman" w:hAnsi="Times New Roman" w:cs="Times New Roman"/>
          <w:sz w:val="24"/>
          <w:szCs w:val="24"/>
        </w:rPr>
        <w:t xml:space="preserve"> </w:t>
      </w:r>
    </w:p>
    <w:p w14:paraId="4586C3B9" w14:textId="77777777" w:rsidR="00420136" w:rsidRPr="00CA3906" w:rsidRDefault="00420136" w:rsidP="00420136">
      <w:pPr>
        <w:rPr>
          <w:b/>
          <w:highlight w:val="yellow"/>
        </w:rPr>
      </w:pPr>
      <w:r w:rsidRPr="00CA3906">
        <w:rPr>
          <w:b/>
          <w:highlight w:val="yellow"/>
        </w:rPr>
        <w:t>Disclaimer (Artificial intelligence)</w:t>
      </w:r>
    </w:p>
    <w:p w14:paraId="5E0F74FC" w14:textId="77777777" w:rsidR="00420136" w:rsidRPr="00740879" w:rsidRDefault="00420136" w:rsidP="0042013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70A3997" w14:textId="77777777" w:rsidR="000754BB" w:rsidRPr="002E0A5B" w:rsidRDefault="000754BB" w:rsidP="000754BB">
      <w:pPr>
        <w:rPr>
          <w:rFonts w:ascii="Times New Roman" w:hAnsi="Times New Roman" w:cs="Times New Roman"/>
          <w:sz w:val="24"/>
          <w:szCs w:val="24"/>
        </w:rPr>
      </w:pPr>
    </w:p>
    <w:p w14:paraId="4E501911" w14:textId="77777777" w:rsidR="000754BB" w:rsidRPr="002E0A5B" w:rsidRDefault="000754BB" w:rsidP="000754BB">
      <w:pPr>
        <w:rPr>
          <w:rFonts w:ascii="Times New Roman" w:hAnsi="Times New Roman" w:cs="Times New Roman"/>
          <w:sz w:val="24"/>
          <w:szCs w:val="24"/>
        </w:rPr>
      </w:pPr>
    </w:p>
    <w:p w14:paraId="70BD381F" w14:textId="77777777" w:rsidR="000F34B7" w:rsidRDefault="000F34B7" w:rsidP="000F34B7">
      <w:pPr>
        <w:rPr>
          <w:rFonts w:ascii="Times New Roman" w:hAnsi="Times New Roman" w:cs="Times New Roman"/>
          <w:sz w:val="24"/>
          <w:szCs w:val="24"/>
        </w:rPr>
      </w:pPr>
    </w:p>
    <w:p w14:paraId="7EBD7EA6" w14:textId="77777777" w:rsidR="000754BB" w:rsidRPr="002E0A5B" w:rsidRDefault="000754BB" w:rsidP="000754BB">
      <w:pPr>
        <w:rPr>
          <w:rFonts w:ascii="Times New Roman" w:hAnsi="Times New Roman" w:cs="Times New Roman"/>
          <w:sz w:val="24"/>
          <w:szCs w:val="24"/>
        </w:rPr>
      </w:pPr>
    </w:p>
    <w:p w14:paraId="46B09CEB" w14:textId="77777777" w:rsidR="000754BB" w:rsidRPr="002E0A5B" w:rsidRDefault="000754BB" w:rsidP="000754BB">
      <w:pPr>
        <w:rPr>
          <w:rFonts w:ascii="Times New Roman" w:hAnsi="Times New Roman" w:cs="Times New Roman"/>
          <w:sz w:val="24"/>
          <w:szCs w:val="24"/>
        </w:rPr>
      </w:pPr>
    </w:p>
    <w:p w14:paraId="0080AB88" w14:textId="77777777" w:rsidR="000754BB" w:rsidRPr="002E0A5B" w:rsidRDefault="000754BB" w:rsidP="000754BB">
      <w:pPr>
        <w:rPr>
          <w:rFonts w:ascii="Times New Roman" w:hAnsi="Times New Roman" w:cs="Times New Roman"/>
          <w:sz w:val="24"/>
          <w:szCs w:val="24"/>
        </w:rPr>
      </w:pPr>
    </w:p>
    <w:p w14:paraId="634130CF" w14:textId="507208E5" w:rsidR="000754BB" w:rsidRDefault="000754BB" w:rsidP="000754BB">
      <w:pPr>
        <w:rPr>
          <w:rFonts w:ascii="Times New Roman" w:hAnsi="Times New Roman" w:cs="Times New Roman"/>
          <w:sz w:val="24"/>
          <w:szCs w:val="24"/>
        </w:rPr>
      </w:pPr>
    </w:p>
    <w:p w14:paraId="5DAB3944" w14:textId="77777777" w:rsidR="000754BB" w:rsidRPr="002E0A5B" w:rsidRDefault="000754BB" w:rsidP="000754BB">
      <w:pPr>
        <w:rPr>
          <w:rFonts w:ascii="Times New Roman" w:hAnsi="Times New Roman" w:cs="Times New Roman"/>
          <w:sz w:val="24"/>
          <w:szCs w:val="24"/>
        </w:rPr>
      </w:pPr>
    </w:p>
    <w:p w14:paraId="2131CC8E" w14:textId="77777777" w:rsidR="000754BB" w:rsidRPr="002E0A5B" w:rsidRDefault="000754BB" w:rsidP="00CA0BD1">
      <w:pPr>
        <w:keepNext/>
        <w:keepLines/>
        <w:spacing w:before="360" w:beforeAutospacing="0" w:after="80" w:afterAutospacing="0" w:line="278" w:lineRule="auto"/>
        <w:jc w:val="center"/>
        <w:outlineLvl w:val="0"/>
        <w:rPr>
          <w:rFonts w:ascii="Times New Roman" w:eastAsiaTheme="majorEastAsia" w:hAnsi="Times New Roman" w:cs="Times New Roman"/>
          <w:b/>
          <w:kern w:val="2"/>
          <w:sz w:val="24"/>
          <w:szCs w:val="24"/>
          <w14:ligatures w14:val="standardContextual"/>
        </w:rPr>
      </w:pPr>
      <w:bookmarkStart w:id="5" w:name="_Toc208068257"/>
      <w:r w:rsidRPr="002E0A5B">
        <w:rPr>
          <w:rFonts w:ascii="Times New Roman" w:eastAsiaTheme="majorEastAsia" w:hAnsi="Times New Roman" w:cs="Times New Roman"/>
          <w:b/>
          <w:kern w:val="2"/>
          <w:sz w:val="24"/>
          <w:szCs w:val="24"/>
          <w14:ligatures w14:val="standardContextual"/>
        </w:rPr>
        <w:t>REFERENCES</w:t>
      </w:r>
      <w:bookmarkEnd w:id="5"/>
    </w:p>
    <w:p w14:paraId="3AC4C2D3" w14:textId="511BF3C0"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Adetunde</w:t>
      </w:r>
      <w:proofErr w:type="spellEnd"/>
      <w:r w:rsidRPr="00884D47">
        <w:rPr>
          <w:rFonts w:ascii="Times New Roman" w:hAnsi="Times New Roman" w:cs="Times New Roman"/>
          <w:iCs/>
          <w:sz w:val="24"/>
          <w:szCs w:val="24"/>
        </w:rPr>
        <w:t xml:space="preserve">, L. A., &amp; Glover, R. L. K. (2010). Bacteriological Quality of Borehole Water Used by Students of University for Development Studies, </w:t>
      </w:r>
      <w:proofErr w:type="spellStart"/>
      <w:r w:rsidRPr="00884D47">
        <w:rPr>
          <w:rFonts w:ascii="Times New Roman" w:hAnsi="Times New Roman" w:cs="Times New Roman"/>
          <w:iCs/>
          <w:sz w:val="24"/>
          <w:szCs w:val="24"/>
        </w:rPr>
        <w:t>Navrongo</w:t>
      </w:r>
      <w:proofErr w:type="spellEnd"/>
      <w:r w:rsidRPr="00884D47">
        <w:rPr>
          <w:rFonts w:ascii="Times New Roman" w:hAnsi="Times New Roman" w:cs="Times New Roman"/>
          <w:iCs/>
          <w:sz w:val="24"/>
          <w:szCs w:val="24"/>
        </w:rPr>
        <w:t xml:space="preserve"> Campus in Upper-East Region of Ghana.</w:t>
      </w:r>
      <w:r w:rsidR="00D03B79">
        <w:rPr>
          <w:rFonts w:ascii="Times New Roman" w:hAnsi="Times New Roman" w:cs="Times New Roman"/>
          <w:iCs/>
          <w:sz w:val="24"/>
          <w:szCs w:val="24"/>
        </w:rPr>
        <w:t xml:space="preserve"> </w:t>
      </w:r>
      <w:r w:rsidR="00D03B79" w:rsidRPr="00D03B79">
        <w:rPr>
          <w:rFonts w:ascii="Times New Roman" w:hAnsi="Times New Roman" w:cs="Times New Roman"/>
          <w:i/>
          <w:sz w:val="24"/>
          <w:szCs w:val="24"/>
          <w:highlight w:val="green"/>
        </w:rPr>
        <w:t>Current Research Journal of Biological Sciences</w:t>
      </w:r>
      <w:r w:rsidR="00D03B79" w:rsidRPr="00D03B79">
        <w:rPr>
          <w:rFonts w:ascii="Times New Roman" w:hAnsi="Times New Roman" w:cs="Times New Roman"/>
          <w:iCs/>
          <w:sz w:val="24"/>
          <w:szCs w:val="24"/>
          <w:highlight w:val="green"/>
        </w:rPr>
        <w:t xml:space="preserve"> 2(6): 361-364.</w:t>
      </w:r>
    </w:p>
    <w:p w14:paraId="185D7DF2"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Aliyu, E.-H., Adamu, A. M., Mohammed, U., </w:t>
      </w:r>
      <w:proofErr w:type="spellStart"/>
      <w:r w:rsidRPr="00884D47">
        <w:rPr>
          <w:rFonts w:ascii="Times New Roman" w:hAnsi="Times New Roman" w:cs="Times New Roman"/>
          <w:iCs/>
          <w:sz w:val="24"/>
          <w:szCs w:val="24"/>
        </w:rPr>
        <w:t>Yauta</w:t>
      </w:r>
      <w:proofErr w:type="spellEnd"/>
      <w:r w:rsidRPr="00884D47">
        <w:rPr>
          <w:rFonts w:ascii="Times New Roman" w:hAnsi="Times New Roman" w:cs="Times New Roman"/>
          <w:iCs/>
          <w:sz w:val="24"/>
          <w:szCs w:val="24"/>
        </w:rPr>
        <w:t xml:space="preserve">, S. A., &amp; Musa, M. M. (2021). Bacteriological </w:t>
      </w:r>
      <w:proofErr w:type="gramStart"/>
      <w:r w:rsidRPr="00884D47">
        <w:rPr>
          <w:rFonts w:ascii="Times New Roman" w:hAnsi="Times New Roman" w:cs="Times New Roman"/>
          <w:iCs/>
          <w:sz w:val="24"/>
          <w:szCs w:val="24"/>
        </w:rPr>
        <w:t>And</w:t>
      </w:r>
      <w:proofErr w:type="gramEnd"/>
      <w:r w:rsidRPr="00884D47">
        <w:rPr>
          <w:rFonts w:ascii="Times New Roman" w:hAnsi="Times New Roman" w:cs="Times New Roman"/>
          <w:iCs/>
          <w:sz w:val="24"/>
          <w:szCs w:val="24"/>
        </w:rPr>
        <w:t xml:space="preserve"> Physicochemical Quality Assessment of Domestic Water Sources In </w:t>
      </w:r>
      <w:proofErr w:type="spellStart"/>
      <w:r w:rsidRPr="00884D47">
        <w:rPr>
          <w:rFonts w:ascii="Times New Roman" w:hAnsi="Times New Roman" w:cs="Times New Roman"/>
          <w:iCs/>
          <w:sz w:val="24"/>
          <w:szCs w:val="24"/>
        </w:rPr>
        <w:t>Ashaka</w:t>
      </w:r>
      <w:proofErr w:type="spellEnd"/>
      <w:r w:rsidRPr="00884D47">
        <w:rPr>
          <w:rFonts w:ascii="Times New Roman" w:hAnsi="Times New Roman" w:cs="Times New Roman"/>
          <w:iCs/>
          <w:sz w:val="24"/>
          <w:szCs w:val="24"/>
        </w:rPr>
        <w:t>, Gombe State, Nigeria</w:t>
      </w:r>
      <w:r w:rsidRPr="00D03B79">
        <w:rPr>
          <w:rFonts w:ascii="Times New Roman" w:hAnsi="Times New Roman" w:cs="Times New Roman"/>
          <w:i/>
          <w:sz w:val="24"/>
          <w:szCs w:val="24"/>
        </w:rPr>
        <w:t>. Journal of Tourism, Hospitality and Applied Science</w:t>
      </w:r>
      <w:r w:rsidRPr="00884D47">
        <w:rPr>
          <w:rFonts w:ascii="Times New Roman" w:hAnsi="Times New Roman" w:cs="Times New Roman"/>
          <w:iCs/>
          <w:sz w:val="24"/>
          <w:szCs w:val="24"/>
        </w:rPr>
        <w:t>, 3(I (2021)).</w:t>
      </w:r>
    </w:p>
    <w:p w14:paraId="6EDB5E8E" w14:textId="13D6B391" w:rsidR="00FD270F" w:rsidRDefault="00FD270F"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American Public Health Association (APHA) (2012). Standard methods for the examination of water and wastewater. 20th ed. American Public Health Association, American Water Works Association and Water Environment Federation. New York, NY.</w:t>
      </w:r>
    </w:p>
    <w:p w14:paraId="468479C4" w14:textId="185C0AAF" w:rsidR="005C3F5A" w:rsidRPr="00884D47" w:rsidRDefault="005C3F5A" w:rsidP="005C3F5A">
      <w:pPr>
        <w:ind w:left="720" w:hanging="810"/>
        <w:rPr>
          <w:rFonts w:ascii="Times New Roman" w:hAnsi="Times New Roman" w:cs="Times New Roman"/>
          <w:iCs/>
          <w:sz w:val="24"/>
          <w:szCs w:val="24"/>
        </w:rPr>
      </w:pPr>
      <w:proofErr w:type="spellStart"/>
      <w:r w:rsidRPr="005C3F5A">
        <w:rPr>
          <w:rFonts w:ascii="Times New Roman" w:hAnsi="Times New Roman" w:cs="Times New Roman"/>
          <w:iCs/>
          <w:sz w:val="24"/>
          <w:szCs w:val="24"/>
        </w:rPr>
        <w:t>Binibor</w:t>
      </w:r>
      <w:proofErr w:type="spellEnd"/>
      <w:r w:rsidRPr="005C3F5A">
        <w:rPr>
          <w:rFonts w:ascii="Times New Roman" w:hAnsi="Times New Roman" w:cs="Times New Roman"/>
          <w:iCs/>
          <w:sz w:val="24"/>
          <w:szCs w:val="24"/>
        </w:rPr>
        <w:t>, P. I., Nwachukwu, N. A., Ndulue, G. U., Ndukwe, D. U., Ngwu, A. O. V., &amp; Usman, O. H. (2025). Investigating the effect of</w:t>
      </w:r>
      <w:r>
        <w:rPr>
          <w:rFonts w:ascii="Times New Roman" w:hAnsi="Times New Roman" w:cs="Times New Roman"/>
          <w:iCs/>
          <w:sz w:val="24"/>
          <w:szCs w:val="24"/>
        </w:rPr>
        <w:t xml:space="preserve"> </w:t>
      </w:r>
      <w:r w:rsidRPr="005C3F5A">
        <w:rPr>
          <w:rFonts w:ascii="Times New Roman" w:hAnsi="Times New Roman" w:cs="Times New Roman"/>
          <w:iCs/>
          <w:sz w:val="24"/>
          <w:szCs w:val="24"/>
        </w:rPr>
        <w:t xml:space="preserve">storage materials on the quality of potable water. </w:t>
      </w:r>
      <w:r w:rsidRPr="005C3F5A">
        <w:rPr>
          <w:rFonts w:ascii="Times New Roman" w:hAnsi="Times New Roman" w:cs="Times New Roman"/>
          <w:i/>
          <w:sz w:val="24"/>
          <w:szCs w:val="24"/>
        </w:rPr>
        <w:t>European Journal of Sustainable Development Research</w:t>
      </w:r>
      <w:r w:rsidRPr="005C3F5A">
        <w:rPr>
          <w:rFonts w:ascii="Times New Roman" w:hAnsi="Times New Roman" w:cs="Times New Roman"/>
          <w:iCs/>
          <w:sz w:val="24"/>
          <w:szCs w:val="24"/>
        </w:rPr>
        <w:t>, 9(3</w:t>
      </w:r>
      <w:r w:rsidRPr="00D03B79">
        <w:rPr>
          <w:rFonts w:ascii="Times New Roman" w:hAnsi="Times New Roman" w:cs="Times New Roman"/>
          <w:iCs/>
          <w:sz w:val="24"/>
          <w:szCs w:val="24"/>
          <w:highlight w:val="green"/>
        </w:rPr>
        <w:t>),</w:t>
      </w:r>
      <w:r w:rsidR="00D03B79" w:rsidRPr="00D03B79">
        <w:rPr>
          <w:highlight w:val="green"/>
        </w:rPr>
        <w:t xml:space="preserve"> </w:t>
      </w:r>
      <w:r w:rsidR="00D03B79" w:rsidRPr="00D03B79">
        <w:rPr>
          <w:rFonts w:ascii="Times New Roman" w:hAnsi="Times New Roman" w:cs="Times New Roman"/>
          <w:iCs/>
          <w:sz w:val="24"/>
          <w:szCs w:val="24"/>
          <w:highlight w:val="green"/>
        </w:rPr>
        <w:t>2542-4742</w:t>
      </w:r>
      <w:r w:rsidR="00D03B79" w:rsidRPr="00D03B79">
        <w:rPr>
          <w:rFonts w:ascii="Times New Roman" w:hAnsi="Times New Roman" w:cs="Times New Roman"/>
          <w:iCs/>
          <w:sz w:val="24"/>
          <w:szCs w:val="24"/>
        </w:rPr>
        <w:t xml:space="preserve">. </w:t>
      </w:r>
      <w:r w:rsidRPr="005C3F5A">
        <w:rPr>
          <w:rFonts w:ascii="Times New Roman" w:hAnsi="Times New Roman" w:cs="Times New Roman"/>
          <w:iCs/>
          <w:sz w:val="24"/>
          <w:szCs w:val="24"/>
        </w:rPr>
        <w:t xml:space="preserve"> em0310.</w:t>
      </w:r>
      <w:r>
        <w:rPr>
          <w:rFonts w:ascii="Times New Roman" w:hAnsi="Times New Roman" w:cs="Times New Roman"/>
          <w:iCs/>
          <w:sz w:val="24"/>
          <w:szCs w:val="24"/>
        </w:rPr>
        <w:t xml:space="preserve"> </w:t>
      </w:r>
      <w:r w:rsidRPr="005C3F5A">
        <w:rPr>
          <w:rFonts w:ascii="Times New Roman" w:hAnsi="Times New Roman" w:cs="Times New Roman"/>
          <w:iCs/>
          <w:sz w:val="24"/>
          <w:szCs w:val="24"/>
        </w:rPr>
        <w:t>https://doi.org/10.29333/ejosdr/16355</w:t>
      </w:r>
    </w:p>
    <w:p w14:paraId="54D634D0" w14:textId="1E12A395" w:rsidR="005C2386" w:rsidRPr="00884D47" w:rsidRDefault="005C2386"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Brick T, Primrose B, Chandrasekhar R, Roy S, </w:t>
      </w:r>
      <w:proofErr w:type="spellStart"/>
      <w:r w:rsidRPr="00884D47">
        <w:rPr>
          <w:rFonts w:ascii="Times New Roman" w:hAnsi="Times New Roman" w:cs="Times New Roman"/>
          <w:iCs/>
          <w:sz w:val="24"/>
          <w:szCs w:val="24"/>
        </w:rPr>
        <w:t>Muliyil</w:t>
      </w:r>
      <w:proofErr w:type="spellEnd"/>
      <w:r w:rsidRPr="00884D47">
        <w:rPr>
          <w:rFonts w:ascii="Times New Roman" w:hAnsi="Times New Roman" w:cs="Times New Roman"/>
          <w:iCs/>
          <w:sz w:val="24"/>
          <w:szCs w:val="24"/>
        </w:rPr>
        <w:t xml:space="preserve"> J, Kang G (2004) Water contamination in urban south India: household storage practices and their implications for water safety and enteric infections. </w:t>
      </w:r>
      <w:r w:rsidRPr="00D03B79">
        <w:rPr>
          <w:rFonts w:ascii="Times New Roman" w:hAnsi="Times New Roman" w:cs="Times New Roman"/>
          <w:i/>
          <w:sz w:val="24"/>
          <w:szCs w:val="24"/>
        </w:rPr>
        <w:t>Int J</w:t>
      </w:r>
      <w:r w:rsidR="00D03B79">
        <w:rPr>
          <w:rFonts w:ascii="Times New Roman" w:hAnsi="Times New Roman" w:cs="Times New Roman"/>
          <w:i/>
          <w:sz w:val="24"/>
          <w:szCs w:val="24"/>
        </w:rPr>
        <w:t>.</w:t>
      </w:r>
      <w:r w:rsidRPr="00D03B79">
        <w:rPr>
          <w:rFonts w:ascii="Times New Roman" w:hAnsi="Times New Roman" w:cs="Times New Roman"/>
          <w:i/>
          <w:sz w:val="24"/>
          <w:szCs w:val="24"/>
        </w:rPr>
        <w:t xml:space="preserve"> </w:t>
      </w:r>
      <w:proofErr w:type="spellStart"/>
      <w:r w:rsidRPr="00D03B79">
        <w:rPr>
          <w:rFonts w:ascii="Times New Roman" w:hAnsi="Times New Roman" w:cs="Times New Roman"/>
          <w:i/>
          <w:sz w:val="24"/>
          <w:szCs w:val="24"/>
        </w:rPr>
        <w:t>Hyg</w:t>
      </w:r>
      <w:proofErr w:type="spellEnd"/>
      <w:r w:rsidRPr="00D03B79">
        <w:rPr>
          <w:rFonts w:ascii="Times New Roman" w:hAnsi="Times New Roman" w:cs="Times New Roman"/>
          <w:i/>
          <w:sz w:val="24"/>
          <w:szCs w:val="24"/>
        </w:rPr>
        <w:t xml:space="preserve"> Environ Health</w:t>
      </w:r>
      <w:r w:rsidRPr="00884D47">
        <w:rPr>
          <w:rFonts w:ascii="Times New Roman" w:hAnsi="Times New Roman" w:cs="Times New Roman"/>
          <w:iCs/>
          <w:sz w:val="24"/>
          <w:szCs w:val="24"/>
        </w:rPr>
        <w:t xml:space="preserve"> 207(5):473–480</w:t>
      </w:r>
    </w:p>
    <w:p w14:paraId="50481818" w14:textId="77B10669" w:rsidR="00BD23E3" w:rsidRDefault="00BD23E3" w:rsidP="00267BAD">
      <w:pPr>
        <w:ind w:left="720" w:hanging="810"/>
      </w:pPr>
      <w:r w:rsidRPr="00884D47">
        <w:rPr>
          <w:rFonts w:ascii="Times New Roman" w:hAnsi="Times New Roman" w:cs="Times New Roman"/>
          <w:iCs/>
          <w:sz w:val="24"/>
          <w:szCs w:val="24"/>
        </w:rPr>
        <w:t xml:space="preserve">Cabral, J. P. S. (2010). Water Microbiology. Bacterial Pathogens and Water. International </w:t>
      </w:r>
      <w:r w:rsidRPr="00D03B79">
        <w:rPr>
          <w:rFonts w:ascii="Times New Roman" w:hAnsi="Times New Roman" w:cs="Times New Roman"/>
          <w:i/>
          <w:sz w:val="24"/>
          <w:szCs w:val="24"/>
        </w:rPr>
        <w:t>Journal of Environmental Research and Public Health</w:t>
      </w:r>
      <w:r w:rsidRPr="00884D47">
        <w:rPr>
          <w:rFonts w:ascii="Times New Roman" w:hAnsi="Times New Roman" w:cs="Times New Roman"/>
          <w:iCs/>
          <w:sz w:val="24"/>
          <w:szCs w:val="24"/>
        </w:rPr>
        <w:t xml:space="preserve">. </w:t>
      </w:r>
      <w:hyperlink r:id="rId8" w:history="1">
        <w:r w:rsidRPr="00884D47">
          <w:rPr>
            <w:rStyle w:val="Hyperlink"/>
            <w:rFonts w:ascii="Times New Roman" w:hAnsi="Times New Roman" w:cs="Times New Roman"/>
            <w:iCs/>
            <w:sz w:val="24"/>
            <w:szCs w:val="24"/>
          </w:rPr>
          <w:t>https://doi.org/10.3390/ijerph7103657</w:t>
        </w:r>
      </w:hyperlink>
      <w:r w:rsidR="00D03B79">
        <w:t>.</w:t>
      </w:r>
    </w:p>
    <w:p w14:paraId="5AE18C7A" w14:textId="67BF4AB4" w:rsidR="00D03B79" w:rsidRPr="00884D47" w:rsidRDefault="00D03B79" w:rsidP="00267BAD">
      <w:pPr>
        <w:ind w:left="720" w:hanging="810"/>
        <w:rPr>
          <w:rFonts w:ascii="Times New Roman" w:hAnsi="Times New Roman" w:cs="Times New Roman"/>
          <w:iCs/>
          <w:sz w:val="24"/>
          <w:szCs w:val="24"/>
        </w:rPr>
      </w:pPr>
      <w:r w:rsidRPr="00D03B79">
        <w:rPr>
          <w:rFonts w:ascii="Times New Roman" w:hAnsi="Times New Roman" w:cs="Times New Roman"/>
          <w:iCs/>
          <w:sz w:val="24"/>
          <w:szCs w:val="24"/>
          <w:highlight w:val="green"/>
        </w:rPr>
        <w:t>Chigbu, P., &amp; Sobolev, D. (2007). Bacteriological analysis of water. In Handbook of water analysis (pp. 111-148). CRC Press.</w:t>
      </w:r>
    </w:p>
    <w:p w14:paraId="154AD64D" w14:textId="77777777" w:rsidR="003D38F2" w:rsidRPr="00884D47" w:rsidRDefault="003D38F2" w:rsidP="00267BAD">
      <w:pPr>
        <w:ind w:left="720" w:hanging="810"/>
        <w:rPr>
          <w:rFonts w:ascii="Times New Roman" w:hAnsi="Times New Roman" w:cs="Times New Roman"/>
          <w:iCs/>
          <w:sz w:val="24"/>
          <w:szCs w:val="24"/>
        </w:rPr>
      </w:pPr>
    </w:p>
    <w:p w14:paraId="7638BBE3" w14:textId="2BC2A569" w:rsidR="003D38F2"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Edberg, S. C., Karlin, E. W., &amp; Allen, M. J. (2000). Escherichia coli: The best biological drinking water indicator for public health protection. </w:t>
      </w:r>
      <w:r w:rsidRPr="00D03B79">
        <w:rPr>
          <w:rFonts w:ascii="Times New Roman" w:hAnsi="Times New Roman" w:cs="Times New Roman"/>
          <w:i/>
          <w:sz w:val="24"/>
          <w:szCs w:val="24"/>
        </w:rPr>
        <w:t>Journal of Applied Microbiology,</w:t>
      </w:r>
      <w:r w:rsidRPr="00884D47">
        <w:rPr>
          <w:rFonts w:ascii="Times New Roman" w:hAnsi="Times New Roman" w:cs="Times New Roman"/>
          <w:iCs/>
          <w:sz w:val="24"/>
          <w:szCs w:val="24"/>
        </w:rPr>
        <w:t xml:space="preserve"> 106–116.</w:t>
      </w:r>
    </w:p>
    <w:p w14:paraId="2B525CFE"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lastRenderedPageBreak/>
        <w:t xml:space="preserve">Ferreira, A. C., Morais, P. A., Gomes, C., &amp; Costa, M. S. D. (1994). Alterations in total bacteria </w:t>
      </w:r>
      <w:proofErr w:type="spellStart"/>
      <w:r w:rsidRPr="00884D47">
        <w:rPr>
          <w:rFonts w:ascii="Times New Roman" w:hAnsi="Times New Roman" w:cs="Times New Roman"/>
          <w:iCs/>
          <w:sz w:val="24"/>
          <w:szCs w:val="24"/>
        </w:rPr>
        <w:t>iodonitrophenylterazolium</w:t>
      </w:r>
      <w:proofErr w:type="spellEnd"/>
      <w:r w:rsidRPr="00884D47">
        <w:rPr>
          <w:rFonts w:ascii="Times New Roman" w:hAnsi="Times New Roman" w:cs="Times New Roman"/>
          <w:iCs/>
          <w:sz w:val="24"/>
          <w:szCs w:val="24"/>
        </w:rPr>
        <w:t xml:space="preserve"> (INT) positive bacteria and heterotrophic plate counts of bottled mineral water. </w:t>
      </w:r>
      <w:r w:rsidRPr="00D03B79">
        <w:rPr>
          <w:rFonts w:ascii="Times New Roman" w:hAnsi="Times New Roman" w:cs="Times New Roman"/>
          <w:i/>
          <w:sz w:val="24"/>
          <w:szCs w:val="24"/>
        </w:rPr>
        <w:t>Canadian Journal of Microbiology</w:t>
      </w:r>
      <w:r w:rsidRPr="00884D47">
        <w:rPr>
          <w:rFonts w:ascii="Times New Roman" w:hAnsi="Times New Roman" w:cs="Times New Roman"/>
          <w:iCs/>
          <w:sz w:val="24"/>
          <w:szCs w:val="24"/>
        </w:rPr>
        <w:t>, 72–77.</w:t>
      </w:r>
    </w:p>
    <w:p w14:paraId="1B446B2E" w14:textId="070F1208" w:rsidR="008A0EA2" w:rsidRPr="00884D47" w:rsidRDefault="008A0EA2" w:rsidP="00267BAD">
      <w:pPr>
        <w:ind w:left="720" w:hanging="810"/>
        <w:rPr>
          <w:rFonts w:ascii="Times New Roman" w:hAnsi="Times New Roman" w:cs="Times New Roman"/>
          <w:iCs/>
          <w:sz w:val="24"/>
          <w:szCs w:val="24"/>
        </w:rPr>
      </w:pPr>
      <w:r w:rsidRPr="008A0EA2">
        <w:rPr>
          <w:rFonts w:ascii="Times New Roman" w:hAnsi="Times New Roman" w:cs="Times New Roman"/>
          <w:iCs/>
          <w:sz w:val="24"/>
          <w:szCs w:val="24"/>
        </w:rPr>
        <w:t>House SJ, Reed RA (1997). Emergency water sources: Guidelines for selection and treatment. Loughborough, UK, Water, Engineering and Development Centre (WEDC).</w:t>
      </w:r>
    </w:p>
    <w:p w14:paraId="7E7E23C0" w14:textId="18E7050B"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Jones, S. (2015, April 24). Preventing contamination in water storage tanks. </w:t>
      </w:r>
      <w:hyperlink r:id="rId9" w:history="1">
        <w:r w:rsidR="00382A7F" w:rsidRPr="00884D47">
          <w:rPr>
            <w:rStyle w:val="Hyperlink"/>
            <w:rFonts w:ascii="Times New Roman" w:hAnsi="Times New Roman" w:cs="Times New Roman"/>
            <w:iCs/>
            <w:sz w:val="24"/>
            <w:szCs w:val="24"/>
          </w:rPr>
          <w:t>https://esemag.com/water/water-storage-tanks-contamination/</w:t>
        </w:r>
      </w:hyperlink>
    </w:p>
    <w:p w14:paraId="3C4B69B0" w14:textId="48F3B518" w:rsidR="008A0EA2" w:rsidRDefault="008A0EA2" w:rsidP="00267BAD">
      <w:pPr>
        <w:ind w:left="720" w:hanging="810"/>
        <w:rPr>
          <w:rFonts w:ascii="Times New Roman" w:hAnsi="Times New Roman" w:cs="Times New Roman"/>
          <w:iCs/>
          <w:sz w:val="24"/>
          <w:szCs w:val="24"/>
        </w:rPr>
      </w:pPr>
      <w:r w:rsidRPr="008A0EA2">
        <w:rPr>
          <w:rFonts w:ascii="Times New Roman" w:hAnsi="Times New Roman" w:cs="Times New Roman"/>
          <w:iCs/>
          <w:sz w:val="24"/>
          <w:szCs w:val="24"/>
        </w:rPr>
        <w:t xml:space="preserve">Lévesque B, Pereg D, Watkinson E, Maguire JS, Bissonnette L, Gingras S, </w:t>
      </w:r>
      <w:proofErr w:type="spellStart"/>
      <w:r w:rsidRPr="008A0EA2">
        <w:rPr>
          <w:rFonts w:ascii="Times New Roman" w:hAnsi="Times New Roman" w:cs="Times New Roman"/>
          <w:iCs/>
          <w:sz w:val="24"/>
          <w:szCs w:val="24"/>
        </w:rPr>
        <w:t>Rouja</w:t>
      </w:r>
      <w:proofErr w:type="spellEnd"/>
      <w:r w:rsidRPr="008A0EA2">
        <w:rPr>
          <w:rFonts w:ascii="Times New Roman" w:hAnsi="Times New Roman" w:cs="Times New Roman"/>
          <w:iCs/>
          <w:sz w:val="24"/>
          <w:szCs w:val="24"/>
        </w:rPr>
        <w:t xml:space="preserve"> P, Bergeron MG, </w:t>
      </w:r>
      <w:proofErr w:type="spellStart"/>
      <w:r w:rsidRPr="008A0EA2">
        <w:rPr>
          <w:rFonts w:ascii="Times New Roman" w:hAnsi="Times New Roman" w:cs="Times New Roman"/>
          <w:iCs/>
          <w:sz w:val="24"/>
          <w:szCs w:val="24"/>
        </w:rPr>
        <w:t>Dewailly</w:t>
      </w:r>
      <w:proofErr w:type="spellEnd"/>
      <w:r w:rsidRPr="008A0EA2">
        <w:rPr>
          <w:rFonts w:ascii="Times New Roman" w:hAnsi="Times New Roman" w:cs="Times New Roman"/>
          <w:iCs/>
          <w:sz w:val="24"/>
          <w:szCs w:val="24"/>
        </w:rPr>
        <w:t xml:space="preserve"> E (2008). Assessment of microbiological quality of drinking water from household tanks in Bermuda. </w:t>
      </w:r>
      <w:r w:rsidRPr="00E83123">
        <w:rPr>
          <w:rFonts w:ascii="Times New Roman" w:hAnsi="Times New Roman" w:cs="Times New Roman"/>
          <w:i/>
          <w:sz w:val="24"/>
          <w:szCs w:val="24"/>
        </w:rPr>
        <w:t>Can. J. Microbiol</w:t>
      </w:r>
      <w:r w:rsidRPr="008A0EA2">
        <w:rPr>
          <w:rFonts w:ascii="Times New Roman" w:hAnsi="Times New Roman" w:cs="Times New Roman"/>
          <w:iCs/>
          <w:sz w:val="24"/>
          <w:szCs w:val="24"/>
        </w:rPr>
        <w:t xml:space="preserve">. 54(6):495-500. </w:t>
      </w:r>
      <w:proofErr w:type="spellStart"/>
      <w:r w:rsidRPr="008A0EA2">
        <w:rPr>
          <w:rFonts w:ascii="Times New Roman" w:hAnsi="Times New Roman" w:cs="Times New Roman"/>
          <w:iCs/>
          <w:sz w:val="24"/>
          <w:szCs w:val="24"/>
        </w:rPr>
        <w:t>doi</w:t>
      </w:r>
      <w:proofErr w:type="spellEnd"/>
      <w:r w:rsidRPr="008A0EA2">
        <w:rPr>
          <w:rFonts w:ascii="Times New Roman" w:hAnsi="Times New Roman" w:cs="Times New Roman"/>
          <w:iCs/>
          <w:sz w:val="24"/>
          <w:szCs w:val="24"/>
        </w:rPr>
        <w:t>: 10.1139/w08-038.</w:t>
      </w:r>
    </w:p>
    <w:p w14:paraId="390F538B" w14:textId="7C45665D" w:rsidR="00B161CF" w:rsidRPr="00884D47" w:rsidRDefault="00B161CF" w:rsidP="00267BAD">
      <w:pPr>
        <w:ind w:left="720" w:hanging="810"/>
        <w:rPr>
          <w:rFonts w:ascii="Times New Roman" w:hAnsi="Times New Roman" w:cs="Times New Roman"/>
          <w:iCs/>
          <w:sz w:val="24"/>
          <w:szCs w:val="24"/>
        </w:rPr>
      </w:pPr>
      <w:r w:rsidRPr="00B161CF">
        <w:rPr>
          <w:rFonts w:ascii="Times New Roman" w:hAnsi="Times New Roman" w:cs="Times New Roman"/>
          <w:iCs/>
          <w:sz w:val="24"/>
          <w:szCs w:val="24"/>
        </w:rPr>
        <w:t xml:space="preserve">Manga, M., Ngobi, T. G., Okenyi, L., Acheng, P., Namakula, H., </w:t>
      </w:r>
      <w:proofErr w:type="spellStart"/>
      <w:r w:rsidRPr="00B161CF">
        <w:rPr>
          <w:rFonts w:ascii="Times New Roman" w:hAnsi="Times New Roman" w:cs="Times New Roman"/>
          <w:iCs/>
          <w:sz w:val="24"/>
          <w:szCs w:val="24"/>
        </w:rPr>
        <w:t>Kyaterekera</w:t>
      </w:r>
      <w:proofErr w:type="spellEnd"/>
      <w:r w:rsidRPr="00B161CF">
        <w:rPr>
          <w:rFonts w:ascii="Times New Roman" w:hAnsi="Times New Roman" w:cs="Times New Roman"/>
          <w:iCs/>
          <w:sz w:val="24"/>
          <w:szCs w:val="24"/>
        </w:rPr>
        <w:t xml:space="preserve">, E., Nansubuga, I., &amp; Nathan Kibwami. (2021). The Effect of Household Storage Tanks/Vessels and User Practices on the Quality of Water: A Systematic Review of Literature. </w:t>
      </w:r>
      <w:r w:rsidRPr="00E83123">
        <w:rPr>
          <w:rFonts w:ascii="Times New Roman" w:hAnsi="Times New Roman" w:cs="Times New Roman"/>
          <w:i/>
          <w:sz w:val="24"/>
          <w:szCs w:val="24"/>
        </w:rPr>
        <w:t>Environmental Systems Research</w:t>
      </w:r>
      <w:r w:rsidRPr="00B161CF">
        <w:rPr>
          <w:rFonts w:ascii="Times New Roman" w:hAnsi="Times New Roman" w:cs="Times New Roman"/>
          <w:iCs/>
          <w:sz w:val="24"/>
          <w:szCs w:val="24"/>
        </w:rPr>
        <w:t>, 26. https://doi.org/10.1186</w:t>
      </w:r>
    </w:p>
    <w:p w14:paraId="107F9B9E" w14:textId="77777777"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Momba</w:t>
      </w:r>
      <w:proofErr w:type="spellEnd"/>
      <w:r w:rsidRPr="00884D47">
        <w:rPr>
          <w:rFonts w:ascii="Times New Roman" w:hAnsi="Times New Roman" w:cs="Times New Roman"/>
          <w:iCs/>
          <w:sz w:val="24"/>
          <w:szCs w:val="24"/>
        </w:rPr>
        <w:t>, M. N. B., Obi, C. L., &amp; Thompson, P. (2006). Assessment of microbiological quality of groundwater used as a source of drinking water in rural areas of the eastern cape, South Africa. Water SA, 3, 427–432.</w:t>
      </w:r>
    </w:p>
    <w:p w14:paraId="0E19D0D5" w14:textId="10E8298F" w:rsidR="00382A7F" w:rsidRPr="00884D47" w:rsidRDefault="00382A7F"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Napacho</w:t>
      </w:r>
      <w:proofErr w:type="spellEnd"/>
      <w:r w:rsidRPr="00884D47">
        <w:rPr>
          <w:rFonts w:ascii="Times New Roman" w:hAnsi="Times New Roman" w:cs="Times New Roman"/>
          <w:iCs/>
          <w:sz w:val="24"/>
          <w:szCs w:val="24"/>
        </w:rPr>
        <w:t xml:space="preserve">, Z. A. and </w:t>
      </w:r>
      <w:proofErr w:type="spellStart"/>
      <w:r w:rsidRPr="00884D47">
        <w:rPr>
          <w:rFonts w:ascii="Times New Roman" w:hAnsi="Times New Roman" w:cs="Times New Roman"/>
          <w:iCs/>
          <w:sz w:val="24"/>
          <w:szCs w:val="24"/>
        </w:rPr>
        <w:t>Manyele</w:t>
      </w:r>
      <w:proofErr w:type="spellEnd"/>
      <w:r w:rsidRPr="00884D47">
        <w:rPr>
          <w:rFonts w:ascii="Times New Roman" w:hAnsi="Times New Roman" w:cs="Times New Roman"/>
          <w:iCs/>
          <w:sz w:val="24"/>
          <w:szCs w:val="24"/>
        </w:rPr>
        <w:t xml:space="preserve">, S. V. (2010). Quality assessment of drinking water in Temeke District (part II): Characterization of chemical parameters. </w:t>
      </w:r>
      <w:r w:rsidRPr="00E83123">
        <w:rPr>
          <w:rFonts w:ascii="Times New Roman" w:hAnsi="Times New Roman" w:cs="Times New Roman"/>
          <w:i/>
          <w:sz w:val="24"/>
          <w:szCs w:val="24"/>
        </w:rPr>
        <w:t>African journal of environmental science and technology</w:t>
      </w:r>
      <w:r w:rsidRPr="00884D47">
        <w:rPr>
          <w:rFonts w:ascii="Times New Roman" w:hAnsi="Times New Roman" w:cs="Times New Roman"/>
          <w:iCs/>
          <w:sz w:val="24"/>
          <w:szCs w:val="24"/>
        </w:rPr>
        <w:t>, 4(11), 775-789.</w:t>
      </w:r>
    </w:p>
    <w:p w14:paraId="0A81C7C8" w14:textId="77777777" w:rsidR="000754BB" w:rsidRPr="00884D47" w:rsidRDefault="000754BB"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Odonkor</w:t>
      </w:r>
      <w:proofErr w:type="spellEnd"/>
      <w:r w:rsidRPr="00884D47">
        <w:rPr>
          <w:rFonts w:ascii="Times New Roman" w:hAnsi="Times New Roman" w:cs="Times New Roman"/>
          <w:iCs/>
          <w:sz w:val="24"/>
          <w:szCs w:val="24"/>
        </w:rPr>
        <w:t xml:space="preserve">, S. T., &amp; Ampofo, J. K. (2013). Bacillus cereus and staphylococcus aureus in ready—To -eat rice and meat dishes: A case of food poisoning in Accra, Ghana. </w:t>
      </w:r>
      <w:r w:rsidRPr="00E83123">
        <w:rPr>
          <w:rFonts w:ascii="Times New Roman" w:hAnsi="Times New Roman" w:cs="Times New Roman"/>
          <w:i/>
          <w:sz w:val="24"/>
          <w:szCs w:val="24"/>
        </w:rPr>
        <w:t>Journal of Medical and Biomedical Sciences</w:t>
      </w:r>
      <w:r w:rsidRPr="00884D47">
        <w:rPr>
          <w:rFonts w:ascii="Times New Roman" w:hAnsi="Times New Roman" w:cs="Times New Roman"/>
          <w:iCs/>
          <w:sz w:val="24"/>
          <w:szCs w:val="24"/>
        </w:rPr>
        <w:t>, 1, 14–20.</w:t>
      </w:r>
    </w:p>
    <w:p w14:paraId="2FD9ECCB" w14:textId="77777777"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 xml:space="preserve">Ogba, O. M., </w:t>
      </w:r>
      <w:proofErr w:type="spellStart"/>
      <w:r w:rsidRPr="00884D47">
        <w:rPr>
          <w:rFonts w:ascii="Times New Roman" w:hAnsi="Times New Roman" w:cs="Times New Roman"/>
          <w:iCs/>
          <w:sz w:val="24"/>
          <w:szCs w:val="24"/>
        </w:rPr>
        <w:t>Olorode</w:t>
      </w:r>
      <w:proofErr w:type="spellEnd"/>
      <w:r w:rsidRPr="00884D47">
        <w:rPr>
          <w:rFonts w:ascii="Times New Roman" w:hAnsi="Times New Roman" w:cs="Times New Roman"/>
          <w:iCs/>
          <w:sz w:val="24"/>
          <w:szCs w:val="24"/>
        </w:rPr>
        <w:t xml:space="preserve">, O. A., Okon, M. P., &amp; Umoh, N. O. (2021). Bacteriological Quality Analysis of Water in Storage Tanks in A University Community, South Southern—Nigeria. </w:t>
      </w:r>
      <w:r w:rsidRPr="00E83123">
        <w:rPr>
          <w:rFonts w:ascii="Times New Roman" w:hAnsi="Times New Roman" w:cs="Times New Roman"/>
          <w:i/>
          <w:sz w:val="24"/>
          <w:szCs w:val="24"/>
        </w:rPr>
        <w:t>Sokoto Journal of Medical Laboratory Science</w:t>
      </w:r>
      <w:r w:rsidRPr="00884D47">
        <w:rPr>
          <w:rFonts w:ascii="Times New Roman" w:hAnsi="Times New Roman" w:cs="Times New Roman"/>
          <w:iCs/>
          <w:sz w:val="24"/>
          <w:szCs w:val="24"/>
        </w:rPr>
        <w:t xml:space="preserve"> 2021;6(3): 16 - 23, 6.</w:t>
      </w:r>
    </w:p>
    <w:p w14:paraId="6DD49BA8" w14:textId="77777777" w:rsidR="000754BB"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Pavlov, D., C.M.E., de W., Grabow, W. O. K., &amp; Ehlers, M. M. (2004). Potentially pathogenic features of heterotrophic plate count bacteria isolated from and untreated drinking water. International Journal of Food Microbiology, 3, 275–287.</w:t>
      </w:r>
    </w:p>
    <w:p w14:paraId="71D157D4" w14:textId="66B5B3A0" w:rsidR="008355A4" w:rsidRDefault="008355A4" w:rsidP="00267BAD">
      <w:pPr>
        <w:ind w:left="720" w:hanging="810"/>
        <w:rPr>
          <w:rFonts w:ascii="Times New Roman" w:hAnsi="Times New Roman" w:cs="Times New Roman"/>
          <w:iCs/>
          <w:sz w:val="24"/>
          <w:szCs w:val="24"/>
        </w:rPr>
      </w:pPr>
      <w:r w:rsidRPr="008355A4">
        <w:rPr>
          <w:rFonts w:ascii="Times New Roman" w:hAnsi="Times New Roman" w:cs="Times New Roman"/>
          <w:iCs/>
          <w:sz w:val="24"/>
          <w:szCs w:val="24"/>
        </w:rPr>
        <w:t xml:space="preserve">Paye, N.G., Miller, R.H.B., Zhou, C.C., </w:t>
      </w:r>
      <w:proofErr w:type="spellStart"/>
      <w:r w:rsidRPr="008355A4">
        <w:rPr>
          <w:rFonts w:ascii="Times New Roman" w:hAnsi="Times New Roman" w:cs="Times New Roman"/>
          <w:iCs/>
          <w:sz w:val="24"/>
          <w:szCs w:val="24"/>
        </w:rPr>
        <w:t>Weamie</w:t>
      </w:r>
      <w:proofErr w:type="spellEnd"/>
      <w:r w:rsidRPr="008355A4">
        <w:rPr>
          <w:rFonts w:ascii="Times New Roman" w:hAnsi="Times New Roman" w:cs="Times New Roman"/>
          <w:iCs/>
          <w:sz w:val="24"/>
          <w:szCs w:val="24"/>
        </w:rPr>
        <w:t xml:space="preserve">, S.J.Y. and Davies, T.A. (2021) Systematic Study and Meta-Analysis of Risk Factors Associated with Cholera Outbreaks in Africa: A Review. </w:t>
      </w:r>
      <w:r w:rsidRPr="00E83123">
        <w:rPr>
          <w:rFonts w:ascii="Times New Roman" w:hAnsi="Times New Roman" w:cs="Times New Roman"/>
          <w:i/>
          <w:sz w:val="24"/>
          <w:szCs w:val="24"/>
        </w:rPr>
        <w:t>Advances in Infectious Diseases</w:t>
      </w:r>
      <w:r w:rsidRPr="008355A4">
        <w:rPr>
          <w:rFonts w:ascii="Times New Roman" w:hAnsi="Times New Roman" w:cs="Times New Roman"/>
          <w:iCs/>
          <w:sz w:val="24"/>
          <w:szCs w:val="24"/>
        </w:rPr>
        <w:t>, 11, 240-260. https://doi.org/10.4236/aid.2021.112022</w:t>
      </w:r>
    </w:p>
    <w:p w14:paraId="63FB3C26" w14:textId="29A07C49" w:rsidR="005A1375" w:rsidRDefault="005A1375" w:rsidP="00267BAD">
      <w:pPr>
        <w:ind w:left="720" w:hanging="810"/>
        <w:rPr>
          <w:rFonts w:ascii="Times New Roman" w:hAnsi="Times New Roman" w:cs="Times New Roman"/>
          <w:iCs/>
          <w:sz w:val="24"/>
          <w:szCs w:val="24"/>
        </w:rPr>
      </w:pPr>
      <w:r w:rsidRPr="005A1375">
        <w:rPr>
          <w:rFonts w:ascii="Times New Roman" w:hAnsi="Times New Roman" w:cs="Times New Roman"/>
          <w:iCs/>
          <w:sz w:val="24"/>
          <w:szCs w:val="24"/>
        </w:rPr>
        <w:t xml:space="preserve">Percival, S. L., &amp; Williams, D. W. (2014). Klebsiella in microbiology of waterborne diseases. </w:t>
      </w:r>
      <w:r w:rsidRPr="00E83123">
        <w:rPr>
          <w:rFonts w:ascii="Times New Roman" w:hAnsi="Times New Roman" w:cs="Times New Roman"/>
          <w:i/>
          <w:sz w:val="24"/>
          <w:szCs w:val="24"/>
        </w:rPr>
        <w:t>Academic Press</w:t>
      </w:r>
      <w:r w:rsidRPr="005A1375">
        <w:rPr>
          <w:rFonts w:ascii="Times New Roman" w:hAnsi="Times New Roman" w:cs="Times New Roman"/>
          <w:iCs/>
          <w:sz w:val="24"/>
          <w:szCs w:val="24"/>
        </w:rPr>
        <w:t>, 155–165.</w:t>
      </w:r>
    </w:p>
    <w:p w14:paraId="4ED354DF" w14:textId="5786E743" w:rsidR="00C11E20" w:rsidRDefault="00C11E20"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lastRenderedPageBreak/>
        <w:t>S</w:t>
      </w:r>
      <w:r w:rsidR="007429AA">
        <w:rPr>
          <w:rFonts w:ascii="Times New Roman" w:hAnsi="Times New Roman" w:cs="Times New Roman"/>
          <w:iCs/>
          <w:sz w:val="24"/>
          <w:szCs w:val="24"/>
        </w:rPr>
        <w:t>chafer</w:t>
      </w:r>
      <w:r w:rsidRPr="00884D47">
        <w:rPr>
          <w:rFonts w:ascii="Times New Roman" w:hAnsi="Times New Roman" w:cs="Times New Roman"/>
          <w:iCs/>
          <w:sz w:val="24"/>
          <w:szCs w:val="24"/>
        </w:rPr>
        <w:t xml:space="preserve"> C</w:t>
      </w:r>
      <w:r w:rsidR="007429AA">
        <w:rPr>
          <w:rFonts w:ascii="Times New Roman" w:hAnsi="Times New Roman" w:cs="Times New Roman"/>
          <w:iCs/>
          <w:sz w:val="24"/>
          <w:szCs w:val="24"/>
        </w:rPr>
        <w:t xml:space="preserve">. </w:t>
      </w:r>
      <w:r w:rsidRPr="00884D47">
        <w:rPr>
          <w:rFonts w:ascii="Times New Roman" w:hAnsi="Times New Roman" w:cs="Times New Roman"/>
          <w:iCs/>
          <w:sz w:val="24"/>
          <w:szCs w:val="24"/>
        </w:rPr>
        <w:t xml:space="preserve">A and </w:t>
      </w:r>
      <w:proofErr w:type="spellStart"/>
      <w:r w:rsidRPr="00884D47">
        <w:rPr>
          <w:rFonts w:ascii="Times New Roman" w:hAnsi="Times New Roman" w:cs="Times New Roman"/>
          <w:iCs/>
          <w:sz w:val="24"/>
          <w:szCs w:val="24"/>
        </w:rPr>
        <w:t>M</w:t>
      </w:r>
      <w:r w:rsidR="007429AA">
        <w:rPr>
          <w:rFonts w:ascii="Times New Roman" w:hAnsi="Times New Roman" w:cs="Times New Roman"/>
          <w:iCs/>
          <w:sz w:val="24"/>
          <w:szCs w:val="24"/>
        </w:rPr>
        <w:t>ichelicic</w:t>
      </w:r>
      <w:proofErr w:type="spellEnd"/>
      <w:r w:rsidRPr="00884D47">
        <w:rPr>
          <w:rFonts w:ascii="Times New Roman" w:hAnsi="Times New Roman" w:cs="Times New Roman"/>
          <w:iCs/>
          <w:sz w:val="24"/>
          <w:szCs w:val="24"/>
        </w:rPr>
        <w:t xml:space="preserve"> J</w:t>
      </w:r>
      <w:r w:rsidR="007429AA">
        <w:rPr>
          <w:rFonts w:ascii="Times New Roman" w:hAnsi="Times New Roman" w:cs="Times New Roman"/>
          <w:iCs/>
          <w:sz w:val="24"/>
          <w:szCs w:val="24"/>
        </w:rPr>
        <w:t xml:space="preserve">. </w:t>
      </w:r>
      <w:r w:rsidRPr="00884D47">
        <w:rPr>
          <w:rFonts w:ascii="Times New Roman" w:hAnsi="Times New Roman" w:cs="Times New Roman"/>
          <w:iCs/>
          <w:sz w:val="24"/>
          <w:szCs w:val="24"/>
        </w:rPr>
        <w:t xml:space="preserve">R (2012) Effect of storage tank material and maintenance on household water quality. </w:t>
      </w:r>
      <w:r w:rsidRPr="00E83123">
        <w:rPr>
          <w:rFonts w:ascii="Times New Roman" w:hAnsi="Times New Roman" w:cs="Times New Roman"/>
          <w:i/>
          <w:sz w:val="24"/>
          <w:szCs w:val="24"/>
        </w:rPr>
        <w:t>J. Am. Water Works Assoc</w:t>
      </w:r>
      <w:r w:rsidRPr="00884D47">
        <w:rPr>
          <w:rFonts w:ascii="Times New Roman" w:hAnsi="Times New Roman" w:cs="Times New Roman"/>
          <w:iCs/>
          <w:sz w:val="24"/>
          <w:szCs w:val="24"/>
        </w:rPr>
        <w:t xml:space="preserve">. 104 (9). </w:t>
      </w:r>
      <w:hyperlink r:id="rId10" w:history="1">
        <w:r w:rsidR="00E83123" w:rsidRPr="00A87E3C">
          <w:rPr>
            <w:rStyle w:val="Hyperlink"/>
            <w:rFonts w:ascii="Times New Roman" w:hAnsi="Times New Roman" w:cs="Times New Roman"/>
            <w:iCs/>
            <w:sz w:val="24"/>
            <w:szCs w:val="24"/>
          </w:rPr>
          <w:t>https://doi.org/10.5942/jawwa.2012.104.0125</w:t>
        </w:r>
      </w:hyperlink>
      <w:r w:rsidR="00E83123">
        <w:rPr>
          <w:rFonts w:ascii="Times New Roman" w:hAnsi="Times New Roman" w:cs="Times New Roman"/>
          <w:iCs/>
          <w:sz w:val="24"/>
          <w:szCs w:val="24"/>
        </w:rPr>
        <w:t>.</w:t>
      </w:r>
    </w:p>
    <w:p w14:paraId="5F88ABC8" w14:textId="72EC9150" w:rsidR="00E83123" w:rsidRPr="00884D47" w:rsidRDefault="00E83123" w:rsidP="00267BAD">
      <w:pPr>
        <w:ind w:left="720" w:hanging="810"/>
        <w:rPr>
          <w:rFonts w:ascii="Times New Roman" w:hAnsi="Times New Roman" w:cs="Times New Roman"/>
          <w:iCs/>
          <w:sz w:val="24"/>
          <w:szCs w:val="24"/>
        </w:rPr>
      </w:pPr>
      <w:r w:rsidRPr="00E83123">
        <w:rPr>
          <w:rFonts w:ascii="Times New Roman" w:hAnsi="Times New Roman" w:cs="Times New Roman"/>
          <w:iCs/>
          <w:sz w:val="24"/>
          <w:szCs w:val="24"/>
          <w:highlight w:val="green"/>
        </w:rPr>
        <w:t xml:space="preserve">Tanaka, T., Kawasaki, K., Daimon, S., Kitagawa, W., Yamamoto, K., Tamaki, H., Tanaka, M., Nakatsu, C. H., &amp; </w:t>
      </w:r>
      <w:proofErr w:type="spellStart"/>
      <w:r w:rsidRPr="00E83123">
        <w:rPr>
          <w:rFonts w:ascii="Times New Roman" w:hAnsi="Times New Roman" w:cs="Times New Roman"/>
          <w:iCs/>
          <w:sz w:val="24"/>
          <w:szCs w:val="24"/>
          <w:highlight w:val="green"/>
        </w:rPr>
        <w:t>Kamagata</w:t>
      </w:r>
      <w:proofErr w:type="spellEnd"/>
      <w:r w:rsidRPr="00E83123">
        <w:rPr>
          <w:rFonts w:ascii="Times New Roman" w:hAnsi="Times New Roman" w:cs="Times New Roman"/>
          <w:iCs/>
          <w:sz w:val="24"/>
          <w:szCs w:val="24"/>
          <w:highlight w:val="green"/>
        </w:rPr>
        <w:t xml:space="preserve">, Y. (2014). A hidden pitfall in the preparation of agar media undermines microorganism cultivability. </w:t>
      </w:r>
      <w:r w:rsidRPr="00E83123">
        <w:rPr>
          <w:rFonts w:ascii="Times New Roman" w:hAnsi="Times New Roman" w:cs="Times New Roman"/>
          <w:i/>
          <w:sz w:val="24"/>
          <w:szCs w:val="24"/>
          <w:highlight w:val="green"/>
        </w:rPr>
        <w:t>Applied and Environmental Microbiology,</w:t>
      </w:r>
      <w:r w:rsidRPr="00E83123">
        <w:rPr>
          <w:rFonts w:ascii="Times New Roman" w:hAnsi="Times New Roman" w:cs="Times New Roman"/>
          <w:iCs/>
          <w:sz w:val="24"/>
          <w:szCs w:val="24"/>
          <w:highlight w:val="green"/>
        </w:rPr>
        <w:t xml:space="preserve"> 80(24), 7659–7666. https://doi.org/10.1128/AEM.02741-14</w:t>
      </w:r>
    </w:p>
    <w:p w14:paraId="5B579A3D" w14:textId="20002D2E" w:rsidR="003D38F2" w:rsidRPr="00884D47" w:rsidRDefault="003D38F2"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Tokajian</w:t>
      </w:r>
      <w:proofErr w:type="spellEnd"/>
      <w:r w:rsidRPr="00884D47">
        <w:rPr>
          <w:rFonts w:ascii="Times New Roman" w:hAnsi="Times New Roman" w:cs="Times New Roman"/>
          <w:iCs/>
          <w:sz w:val="24"/>
          <w:szCs w:val="24"/>
        </w:rPr>
        <w:t xml:space="preserve"> S. and Hashwa F. 2003. Water quality problems associated with intermittent water supply. </w:t>
      </w:r>
      <w:r w:rsidRPr="00E83123">
        <w:rPr>
          <w:rFonts w:ascii="Times New Roman" w:hAnsi="Times New Roman" w:cs="Times New Roman"/>
          <w:i/>
          <w:sz w:val="24"/>
          <w:szCs w:val="24"/>
        </w:rPr>
        <w:t>Water Science and Technology</w:t>
      </w:r>
      <w:r w:rsidRPr="00884D47">
        <w:rPr>
          <w:rFonts w:ascii="Times New Roman" w:hAnsi="Times New Roman" w:cs="Times New Roman"/>
          <w:iCs/>
          <w:sz w:val="24"/>
          <w:szCs w:val="24"/>
        </w:rPr>
        <w:t>, 47(3) 229-234 London. U.K.</w:t>
      </w:r>
    </w:p>
    <w:p w14:paraId="4EAE2F86" w14:textId="1C5101E9" w:rsidR="003D38F2" w:rsidRDefault="003D38F2" w:rsidP="00267BAD">
      <w:pPr>
        <w:ind w:left="720" w:hanging="810"/>
        <w:rPr>
          <w:rFonts w:ascii="Times New Roman" w:hAnsi="Times New Roman" w:cs="Times New Roman"/>
          <w:iCs/>
          <w:sz w:val="24"/>
          <w:szCs w:val="24"/>
        </w:rPr>
      </w:pPr>
      <w:proofErr w:type="spellStart"/>
      <w:r w:rsidRPr="00884D47">
        <w:rPr>
          <w:rFonts w:ascii="Times New Roman" w:hAnsi="Times New Roman" w:cs="Times New Roman"/>
          <w:iCs/>
          <w:sz w:val="24"/>
          <w:szCs w:val="24"/>
        </w:rPr>
        <w:t>Tokajian</w:t>
      </w:r>
      <w:proofErr w:type="spellEnd"/>
      <w:r w:rsidRPr="00884D47">
        <w:rPr>
          <w:rFonts w:ascii="Times New Roman" w:hAnsi="Times New Roman" w:cs="Times New Roman"/>
          <w:iCs/>
          <w:sz w:val="24"/>
          <w:szCs w:val="24"/>
        </w:rPr>
        <w:t xml:space="preserve">, S., and Hashwa, F., 2004. Microbial Quality and Genotypic Speciation of heterotrophic bacteria isolated from potable water stored in household tanks. </w:t>
      </w:r>
      <w:r w:rsidRPr="00E83123">
        <w:rPr>
          <w:rFonts w:ascii="Times New Roman" w:hAnsi="Times New Roman" w:cs="Times New Roman"/>
          <w:i/>
          <w:sz w:val="24"/>
          <w:szCs w:val="24"/>
        </w:rPr>
        <w:t>Journal of Canada</w:t>
      </w:r>
      <w:r w:rsidRPr="00884D47">
        <w:rPr>
          <w:rFonts w:ascii="Times New Roman" w:hAnsi="Times New Roman" w:cs="Times New Roman"/>
          <w:iCs/>
          <w:sz w:val="24"/>
          <w:szCs w:val="24"/>
        </w:rPr>
        <w:t>, 39(1), 64-73 Canada.</w:t>
      </w:r>
    </w:p>
    <w:p w14:paraId="47C8CF7A" w14:textId="51E93B19" w:rsidR="008355A4" w:rsidRPr="00884D47" w:rsidRDefault="008355A4" w:rsidP="008355A4">
      <w:pPr>
        <w:ind w:left="720" w:hanging="810"/>
        <w:rPr>
          <w:rFonts w:ascii="Times New Roman" w:hAnsi="Times New Roman" w:cs="Times New Roman"/>
          <w:iCs/>
          <w:sz w:val="24"/>
          <w:szCs w:val="24"/>
        </w:rPr>
      </w:pPr>
      <w:proofErr w:type="spellStart"/>
      <w:r w:rsidRPr="008355A4">
        <w:rPr>
          <w:rFonts w:ascii="Times New Roman" w:hAnsi="Times New Roman" w:cs="Times New Roman"/>
          <w:iCs/>
          <w:sz w:val="24"/>
          <w:szCs w:val="24"/>
        </w:rPr>
        <w:t>Uwishema</w:t>
      </w:r>
      <w:proofErr w:type="spellEnd"/>
      <w:r w:rsidRPr="008355A4">
        <w:rPr>
          <w:rFonts w:ascii="Times New Roman" w:hAnsi="Times New Roman" w:cs="Times New Roman"/>
          <w:iCs/>
          <w:sz w:val="24"/>
          <w:szCs w:val="24"/>
        </w:rPr>
        <w:t xml:space="preserve">, O, Okereke, M, </w:t>
      </w:r>
      <w:proofErr w:type="spellStart"/>
      <w:r w:rsidRPr="008355A4">
        <w:rPr>
          <w:rFonts w:ascii="Times New Roman" w:hAnsi="Times New Roman" w:cs="Times New Roman"/>
          <w:iCs/>
          <w:sz w:val="24"/>
          <w:szCs w:val="24"/>
        </w:rPr>
        <w:t>Onyeaka</w:t>
      </w:r>
      <w:proofErr w:type="spellEnd"/>
      <w:r w:rsidRPr="008355A4">
        <w:rPr>
          <w:rFonts w:ascii="Times New Roman" w:hAnsi="Times New Roman" w:cs="Times New Roman"/>
          <w:iCs/>
          <w:sz w:val="24"/>
          <w:szCs w:val="24"/>
        </w:rPr>
        <w:t xml:space="preserve">, H, Hasan, MM, Donatus, D, Martin, Z, </w:t>
      </w:r>
      <w:proofErr w:type="spellStart"/>
      <w:r w:rsidRPr="008355A4">
        <w:rPr>
          <w:rFonts w:ascii="Times New Roman" w:hAnsi="Times New Roman" w:cs="Times New Roman"/>
          <w:iCs/>
          <w:sz w:val="24"/>
          <w:szCs w:val="24"/>
        </w:rPr>
        <w:t>Oluwatomisin</w:t>
      </w:r>
      <w:proofErr w:type="spellEnd"/>
      <w:r w:rsidRPr="008355A4">
        <w:rPr>
          <w:rFonts w:ascii="Times New Roman" w:hAnsi="Times New Roman" w:cs="Times New Roman"/>
          <w:iCs/>
          <w:sz w:val="24"/>
          <w:szCs w:val="24"/>
        </w:rPr>
        <w:t>, L</w:t>
      </w:r>
      <w:r>
        <w:rPr>
          <w:rFonts w:ascii="Times New Roman" w:hAnsi="Times New Roman" w:cs="Times New Roman"/>
          <w:iCs/>
          <w:sz w:val="24"/>
          <w:szCs w:val="24"/>
        </w:rPr>
        <w:t>.</w:t>
      </w:r>
      <w:r w:rsidRPr="008355A4">
        <w:rPr>
          <w:rFonts w:ascii="Times New Roman" w:hAnsi="Times New Roman" w:cs="Times New Roman"/>
          <w:iCs/>
          <w:sz w:val="24"/>
          <w:szCs w:val="24"/>
        </w:rPr>
        <w:t xml:space="preserve">A, </w:t>
      </w:r>
      <w:proofErr w:type="spellStart"/>
      <w:r w:rsidRPr="008355A4">
        <w:rPr>
          <w:rFonts w:ascii="Times New Roman" w:hAnsi="Times New Roman" w:cs="Times New Roman"/>
          <w:iCs/>
          <w:sz w:val="24"/>
          <w:szCs w:val="24"/>
        </w:rPr>
        <w:t>Mhanna</w:t>
      </w:r>
      <w:proofErr w:type="spellEnd"/>
      <w:r w:rsidRPr="008355A4">
        <w:rPr>
          <w:rFonts w:ascii="Times New Roman" w:hAnsi="Times New Roman" w:cs="Times New Roman"/>
          <w:iCs/>
          <w:sz w:val="24"/>
          <w:szCs w:val="24"/>
        </w:rPr>
        <w:t>, M,</w:t>
      </w:r>
      <w:r>
        <w:rPr>
          <w:rFonts w:ascii="Times New Roman" w:hAnsi="Times New Roman" w:cs="Times New Roman"/>
          <w:iCs/>
          <w:sz w:val="24"/>
          <w:szCs w:val="24"/>
        </w:rPr>
        <w:t xml:space="preserve"> </w:t>
      </w:r>
      <w:r w:rsidRPr="008355A4">
        <w:rPr>
          <w:rFonts w:ascii="Times New Roman" w:hAnsi="Times New Roman" w:cs="Times New Roman"/>
          <w:iCs/>
          <w:sz w:val="24"/>
          <w:szCs w:val="24"/>
        </w:rPr>
        <w:t xml:space="preserve">Olumide, AO, Sun, J &amp; </w:t>
      </w:r>
      <w:proofErr w:type="spellStart"/>
      <w:r w:rsidRPr="008355A4">
        <w:rPr>
          <w:rFonts w:ascii="Times New Roman" w:hAnsi="Times New Roman" w:cs="Times New Roman"/>
          <w:iCs/>
          <w:sz w:val="24"/>
          <w:szCs w:val="24"/>
        </w:rPr>
        <w:t>Adanur</w:t>
      </w:r>
      <w:proofErr w:type="spellEnd"/>
      <w:r w:rsidRPr="008355A4">
        <w:rPr>
          <w:rFonts w:ascii="Times New Roman" w:hAnsi="Times New Roman" w:cs="Times New Roman"/>
          <w:iCs/>
          <w:sz w:val="24"/>
          <w:szCs w:val="24"/>
        </w:rPr>
        <w:t xml:space="preserve">, I </w:t>
      </w:r>
      <w:r>
        <w:rPr>
          <w:rFonts w:ascii="Times New Roman" w:hAnsi="Times New Roman" w:cs="Times New Roman"/>
          <w:iCs/>
          <w:sz w:val="24"/>
          <w:szCs w:val="24"/>
        </w:rPr>
        <w:t>(</w:t>
      </w:r>
      <w:r w:rsidRPr="008355A4">
        <w:rPr>
          <w:rFonts w:ascii="Times New Roman" w:hAnsi="Times New Roman" w:cs="Times New Roman"/>
          <w:iCs/>
          <w:sz w:val="24"/>
          <w:szCs w:val="24"/>
        </w:rPr>
        <w:t>2021</w:t>
      </w:r>
      <w:r>
        <w:rPr>
          <w:rFonts w:ascii="Times New Roman" w:hAnsi="Times New Roman" w:cs="Times New Roman"/>
          <w:iCs/>
          <w:sz w:val="24"/>
          <w:szCs w:val="24"/>
        </w:rPr>
        <w:t>)</w:t>
      </w:r>
      <w:r w:rsidRPr="008355A4">
        <w:rPr>
          <w:rFonts w:ascii="Times New Roman" w:hAnsi="Times New Roman" w:cs="Times New Roman"/>
          <w:iCs/>
          <w:sz w:val="24"/>
          <w:szCs w:val="24"/>
        </w:rPr>
        <w:t xml:space="preserve"> 'Threats and outbreaks of cholera in Africa amidst COVID-19 pandemic:</w:t>
      </w:r>
      <w:r>
        <w:rPr>
          <w:rFonts w:ascii="Times New Roman" w:hAnsi="Times New Roman" w:cs="Times New Roman"/>
          <w:iCs/>
          <w:sz w:val="24"/>
          <w:szCs w:val="24"/>
        </w:rPr>
        <w:t xml:space="preserve"> </w:t>
      </w:r>
      <w:r w:rsidRPr="008355A4">
        <w:rPr>
          <w:rFonts w:ascii="Times New Roman" w:hAnsi="Times New Roman" w:cs="Times New Roman"/>
          <w:iCs/>
          <w:sz w:val="24"/>
          <w:szCs w:val="24"/>
        </w:rPr>
        <w:t xml:space="preserve">a double burden on Africa’s health systems', </w:t>
      </w:r>
      <w:r w:rsidRPr="00E83123">
        <w:rPr>
          <w:rFonts w:ascii="Times New Roman" w:hAnsi="Times New Roman" w:cs="Times New Roman"/>
          <w:i/>
          <w:sz w:val="24"/>
          <w:szCs w:val="24"/>
        </w:rPr>
        <w:t>Tropical Medicine and Health</w:t>
      </w:r>
      <w:r w:rsidRPr="008355A4">
        <w:rPr>
          <w:rFonts w:ascii="Times New Roman" w:hAnsi="Times New Roman" w:cs="Times New Roman"/>
          <w:iCs/>
          <w:sz w:val="24"/>
          <w:szCs w:val="24"/>
        </w:rPr>
        <w:t>, 49, 1, 93.</w:t>
      </w:r>
      <w:r>
        <w:rPr>
          <w:rFonts w:ascii="Times New Roman" w:hAnsi="Times New Roman" w:cs="Times New Roman"/>
          <w:iCs/>
          <w:sz w:val="24"/>
          <w:szCs w:val="24"/>
        </w:rPr>
        <w:t xml:space="preserve"> </w:t>
      </w:r>
      <w:r w:rsidRPr="008355A4">
        <w:rPr>
          <w:rFonts w:ascii="Times New Roman" w:hAnsi="Times New Roman" w:cs="Times New Roman"/>
          <w:iCs/>
          <w:sz w:val="24"/>
          <w:szCs w:val="24"/>
        </w:rPr>
        <w:t>https://doi.org/10.1186/s41182-021-00376-2</w:t>
      </w:r>
    </w:p>
    <w:p w14:paraId="77991B8B" w14:textId="29710790" w:rsidR="000754BB" w:rsidRPr="00884D47"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W.H.O. (2023). Drinking-water. https://www.who.int/news-room/fact-sheets/detail/drinking-water</w:t>
      </w:r>
    </w:p>
    <w:p w14:paraId="103FE517" w14:textId="628D107F" w:rsidR="000754BB" w:rsidRDefault="000754BB" w:rsidP="00267BAD">
      <w:pPr>
        <w:ind w:left="720" w:hanging="810"/>
        <w:rPr>
          <w:rFonts w:ascii="Times New Roman" w:hAnsi="Times New Roman" w:cs="Times New Roman"/>
          <w:iCs/>
          <w:sz w:val="24"/>
          <w:szCs w:val="24"/>
        </w:rPr>
      </w:pPr>
      <w:r w:rsidRPr="00884D47">
        <w:rPr>
          <w:rFonts w:ascii="Times New Roman" w:hAnsi="Times New Roman" w:cs="Times New Roman"/>
          <w:iCs/>
          <w:sz w:val="24"/>
          <w:szCs w:val="24"/>
        </w:rPr>
        <w:t>WH O. (2012). Guidelines For Drinking Water Quality (4th Ed.).</w:t>
      </w:r>
    </w:p>
    <w:p w14:paraId="3CA43E2D" w14:textId="50CD5284" w:rsidR="00B161CF" w:rsidRDefault="00B161CF" w:rsidP="00B161CF">
      <w:pPr>
        <w:ind w:left="720" w:hanging="810"/>
        <w:rPr>
          <w:rFonts w:ascii="Times New Roman" w:hAnsi="Times New Roman" w:cs="Times New Roman"/>
          <w:iCs/>
          <w:sz w:val="24"/>
          <w:szCs w:val="24"/>
        </w:rPr>
      </w:pPr>
      <w:r w:rsidRPr="00B161CF">
        <w:rPr>
          <w:rFonts w:ascii="Times New Roman" w:hAnsi="Times New Roman" w:cs="Times New Roman"/>
          <w:iCs/>
          <w:sz w:val="24"/>
          <w:szCs w:val="24"/>
        </w:rPr>
        <w:t>WHO (2017) Guidelines for Drinking-Water Quality (4th ed., Incorporating First Addendum). World Health Organization.</w:t>
      </w:r>
      <w:r>
        <w:rPr>
          <w:rFonts w:ascii="Times New Roman" w:hAnsi="Times New Roman" w:cs="Times New Roman"/>
          <w:iCs/>
          <w:sz w:val="24"/>
          <w:szCs w:val="24"/>
        </w:rPr>
        <w:t xml:space="preserve"> </w:t>
      </w:r>
      <w:hyperlink r:id="rId11" w:history="1">
        <w:r w:rsidRPr="00AD0BFD">
          <w:rPr>
            <w:rStyle w:val="Hyperlink"/>
            <w:rFonts w:ascii="Times New Roman" w:hAnsi="Times New Roman" w:cs="Times New Roman"/>
            <w:iCs/>
            <w:sz w:val="24"/>
            <w:szCs w:val="24"/>
          </w:rPr>
          <w:t>https://apps.who.int/iris/handle/10665/258887</w:t>
        </w:r>
      </w:hyperlink>
      <w:r>
        <w:rPr>
          <w:rFonts w:ascii="Times New Roman" w:hAnsi="Times New Roman" w:cs="Times New Roman"/>
          <w:iCs/>
          <w:sz w:val="24"/>
          <w:szCs w:val="24"/>
        </w:rPr>
        <w:t>.</w:t>
      </w:r>
    </w:p>
    <w:p w14:paraId="77088839" w14:textId="77777777" w:rsidR="00B161CF" w:rsidRPr="00884D47" w:rsidRDefault="00B161CF" w:rsidP="00B161CF">
      <w:pPr>
        <w:ind w:left="720" w:hanging="810"/>
        <w:rPr>
          <w:rFonts w:ascii="Times New Roman" w:hAnsi="Times New Roman" w:cs="Times New Roman"/>
          <w:iCs/>
          <w:sz w:val="24"/>
          <w:szCs w:val="24"/>
        </w:rPr>
      </w:pPr>
    </w:p>
    <w:p w14:paraId="4408B68B" w14:textId="77777777" w:rsidR="000754BB" w:rsidRPr="00884D47" w:rsidRDefault="000754BB" w:rsidP="000754BB">
      <w:pPr>
        <w:rPr>
          <w:rFonts w:ascii="Times New Roman" w:hAnsi="Times New Roman" w:cs="Times New Roman"/>
          <w:iCs/>
          <w:sz w:val="24"/>
          <w:szCs w:val="24"/>
        </w:rPr>
      </w:pPr>
    </w:p>
    <w:p w14:paraId="1D4FDBB3" w14:textId="035C51F2" w:rsidR="000754BB" w:rsidRDefault="000754BB" w:rsidP="000754BB">
      <w:pPr>
        <w:rPr>
          <w:rFonts w:ascii="Times New Roman" w:hAnsi="Times New Roman" w:cs="Times New Roman"/>
          <w:iCs/>
          <w:sz w:val="24"/>
          <w:szCs w:val="24"/>
        </w:rPr>
      </w:pPr>
    </w:p>
    <w:p w14:paraId="07C0607F" w14:textId="7A42A8B9" w:rsidR="00D87998" w:rsidRDefault="00D87998" w:rsidP="000754BB">
      <w:pPr>
        <w:rPr>
          <w:rFonts w:ascii="Times New Roman" w:hAnsi="Times New Roman" w:cs="Times New Roman"/>
          <w:iCs/>
          <w:sz w:val="24"/>
          <w:szCs w:val="24"/>
        </w:rPr>
      </w:pPr>
    </w:p>
    <w:p w14:paraId="6A4FB113" w14:textId="0E490716" w:rsidR="00D87998" w:rsidRDefault="00D87998" w:rsidP="000754BB">
      <w:pPr>
        <w:rPr>
          <w:rFonts w:ascii="Times New Roman" w:hAnsi="Times New Roman" w:cs="Times New Roman"/>
          <w:iCs/>
          <w:sz w:val="24"/>
          <w:szCs w:val="24"/>
        </w:rPr>
      </w:pPr>
    </w:p>
    <w:p w14:paraId="22A1A106" w14:textId="2DAB2857" w:rsidR="00D87998" w:rsidRDefault="00D87998" w:rsidP="000754BB">
      <w:pPr>
        <w:rPr>
          <w:rFonts w:ascii="Times New Roman" w:hAnsi="Times New Roman" w:cs="Times New Roman"/>
          <w:iCs/>
          <w:sz w:val="24"/>
          <w:szCs w:val="24"/>
        </w:rPr>
      </w:pPr>
    </w:p>
    <w:p w14:paraId="1A375E2F" w14:textId="5924FCFA" w:rsidR="00D87998" w:rsidRDefault="00D87998" w:rsidP="000754BB">
      <w:pPr>
        <w:rPr>
          <w:rFonts w:ascii="Times New Roman" w:hAnsi="Times New Roman" w:cs="Times New Roman"/>
          <w:iCs/>
          <w:sz w:val="24"/>
          <w:szCs w:val="24"/>
        </w:rPr>
      </w:pPr>
    </w:p>
    <w:p w14:paraId="430E55D4" w14:textId="77777777" w:rsidR="00D87998" w:rsidRPr="00884D47" w:rsidRDefault="00D87998" w:rsidP="000754BB">
      <w:pPr>
        <w:rPr>
          <w:rFonts w:ascii="Times New Roman" w:hAnsi="Times New Roman" w:cs="Times New Roman"/>
          <w:iCs/>
          <w:sz w:val="24"/>
          <w:szCs w:val="24"/>
        </w:rPr>
      </w:pPr>
    </w:p>
    <w:sectPr w:rsidR="00D87998" w:rsidRPr="00884D47" w:rsidSect="003B273D">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2B05E" w14:textId="77777777" w:rsidR="00CE6AF3" w:rsidRPr="002E0A5B" w:rsidRDefault="00CE6AF3" w:rsidP="000754BB">
      <w:pPr>
        <w:spacing w:before="0" w:after="0" w:line="240" w:lineRule="auto"/>
      </w:pPr>
      <w:r w:rsidRPr="002E0A5B">
        <w:separator/>
      </w:r>
    </w:p>
  </w:endnote>
  <w:endnote w:type="continuationSeparator" w:id="0">
    <w:p w14:paraId="2EA017DC" w14:textId="77777777" w:rsidR="00CE6AF3" w:rsidRPr="002E0A5B" w:rsidRDefault="00CE6AF3" w:rsidP="000754BB">
      <w:pPr>
        <w:spacing w:before="0" w:after="0" w:line="240" w:lineRule="auto"/>
      </w:pPr>
      <w:r w:rsidRPr="002E0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140096"/>
      <w:docPartObj>
        <w:docPartGallery w:val="Page Numbers (Bottom of Page)"/>
        <w:docPartUnique/>
      </w:docPartObj>
    </w:sdtPr>
    <w:sdtEndPr/>
    <w:sdtContent>
      <w:p w14:paraId="1A130F99" w14:textId="66BD7B3C" w:rsidR="00C82EBA" w:rsidRPr="002E0A5B" w:rsidRDefault="00C82EBA">
        <w:pPr>
          <w:pStyle w:val="Footer"/>
          <w:jc w:val="center"/>
        </w:pPr>
        <w:r w:rsidRPr="002E0A5B">
          <w:fldChar w:fldCharType="begin"/>
        </w:r>
        <w:r w:rsidRPr="002E0A5B">
          <w:instrText xml:space="preserve"> PAGE   \* MERGEFORMAT </w:instrText>
        </w:r>
        <w:r w:rsidRPr="002E0A5B">
          <w:fldChar w:fldCharType="separate"/>
        </w:r>
        <w:r w:rsidR="00FF2800">
          <w:rPr>
            <w:noProof/>
          </w:rPr>
          <w:t>23</w:t>
        </w:r>
        <w:r w:rsidRPr="002E0A5B">
          <w:fldChar w:fldCharType="end"/>
        </w:r>
      </w:p>
    </w:sdtContent>
  </w:sdt>
  <w:p w14:paraId="684A2537" w14:textId="77777777" w:rsidR="00C82EBA" w:rsidRPr="002E0A5B" w:rsidRDefault="00C82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969896"/>
      <w:docPartObj>
        <w:docPartGallery w:val="Page Numbers (Bottom of Page)"/>
        <w:docPartUnique/>
      </w:docPartObj>
    </w:sdtPr>
    <w:sdtEndPr/>
    <w:sdtContent>
      <w:p w14:paraId="596C292B" w14:textId="62D8F093" w:rsidR="00C82EBA" w:rsidRPr="002E0A5B" w:rsidRDefault="00C82EBA">
        <w:pPr>
          <w:pStyle w:val="Footer"/>
          <w:jc w:val="center"/>
        </w:pPr>
        <w:r w:rsidRPr="002E0A5B">
          <w:fldChar w:fldCharType="begin"/>
        </w:r>
        <w:r w:rsidRPr="002E0A5B">
          <w:instrText xml:space="preserve"> PAGE   \* MERGEFORMAT </w:instrText>
        </w:r>
        <w:r w:rsidRPr="002E0A5B">
          <w:fldChar w:fldCharType="separate"/>
        </w:r>
        <w:r w:rsidR="00FF2800">
          <w:rPr>
            <w:noProof/>
          </w:rPr>
          <w:t>51</w:t>
        </w:r>
        <w:r w:rsidRPr="002E0A5B">
          <w:fldChar w:fldCharType="end"/>
        </w:r>
      </w:p>
    </w:sdtContent>
  </w:sdt>
  <w:p w14:paraId="25742F43" w14:textId="77777777" w:rsidR="00C82EBA" w:rsidRPr="002E0A5B" w:rsidRDefault="00C8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E7124" w14:textId="77777777" w:rsidR="00CE6AF3" w:rsidRPr="002E0A5B" w:rsidRDefault="00CE6AF3" w:rsidP="000754BB">
      <w:pPr>
        <w:spacing w:before="0" w:after="0" w:line="240" w:lineRule="auto"/>
      </w:pPr>
      <w:r w:rsidRPr="002E0A5B">
        <w:separator/>
      </w:r>
    </w:p>
  </w:footnote>
  <w:footnote w:type="continuationSeparator" w:id="0">
    <w:p w14:paraId="5C035BB3" w14:textId="77777777" w:rsidR="00CE6AF3" w:rsidRPr="002E0A5B" w:rsidRDefault="00CE6AF3" w:rsidP="000754BB">
      <w:pPr>
        <w:spacing w:before="0" w:after="0" w:line="240" w:lineRule="auto"/>
      </w:pPr>
      <w:r w:rsidRPr="002E0A5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4BB"/>
    <w:rsid w:val="00005D3A"/>
    <w:rsid w:val="00016CB3"/>
    <w:rsid w:val="0002488B"/>
    <w:rsid w:val="00025D44"/>
    <w:rsid w:val="00064D3F"/>
    <w:rsid w:val="00065C86"/>
    <w:rsid w:val="000754BB"/>
    <w:rsid w:val="000762DA"/>
    <w:rsid w:val="0008120B"/>
    <w:rsid w:val="00091FF1"/>
    <w:rsid w:val="000C4C38"/>
    <w:rsid w:val="000D50BF"/>
    <w:rsid w:val="000D52B1"/>
    <w:rsid w:val="000F26B7"/>
    <w:rsid w:val="000F34B7"/>
    <w:rsid w:val="00104E0D"/>
    <w:rsid w:val="0011328D"/>
    <w:rsid w:val="0013394B"/>
    <w:rsid w:val="00144C8F"/>
    <w:rsid w:val="00146055"/>
    <w:rsid w:val="0017311B"/>
    <w:rsid w:val="00187FAE"/>
    <w:rsid w:val="001913E7"/>
    <w:rsid w:val="001939B7"/>
    <w:rsid w:val="001D45C9"/>
    <w:rsid w:val="001D693F"/>
    <w:rsid w:val="001E0AFC"/>
    <w:rsid w:val="00217288"/>
    <w:rsid w:val="00222DFE"/>
    <w:rsid w:val="00237C64"/>
    <w:rsid w:val="0025433F"/>
    <w:rsid w:val="00256987"/>
    <w:rsid w:val="002638FE"/>
    <w:rsid w:val="00267BAD"/>
    <w:rsid w:val="00270C1E"/>
    <w:rsid w:val="00274B73"/>
    <w:rsid w:val="00291E9B"/>
    <w:rsid w:val="002A43D8"/>
    <w:rsid w:val="002C2EC9"/>
    <w:rsid w:val="002C5159"/>
    <w:rsid w:val="002D18E3"/>
    <w:rsid w:val="002E0A5B"/>
    <w:rsid w:val="002E3C76"/>
    <w:rsid w:val="00320029"/>
    <w:rsid w:val="003246A4"/>
    <w:rsid w:val="00327E33"/>
    <w:rsid w:val="00333E7C"/>
    <w:rsid w:val="00340578"/>
    <w:rsid w:val="00344678"/>
    <w:rsid w:val="00353FCB"/>
    <w:rsid w:val="0036139F"/>
    <w:rsid w:val="00382A7F"/>
    <w:rsid w:val="003913D7"/>
    <w:rsid w:val="00396226"/>
    <w:rsid w:val="003B20CD"/>
    <w:rsid w:val="003B273D"/>
    <w:rsid w:val="003B4DE8"/>
    <w:rsid w:val="003B6A60"/>
    <w:rsid w:val="003B721A"/>
    <w:rsid w:val="003D38F2"/>
    <w:rsid w:val="003F6E16"/>
    <w:rsid w:val="004030AC"/>
    <w:rsid w:val="004056E0"/>
    <w:rsid w:val="00420136"/>
    <w:rsid w:val="00427A75"/>
    <w:rsid w:val="00437EDB"/>
    <w:rsid w:val="00442F17"/>
    <w:rsid w:val="0046220E"/>
    <w:rsid w:val="00464A1B"/>
    <w:rsid w:val="0046549F"/>
    <w:rsid w:val="00473032"/>
    <w:rsid w:val="00473CF9"/>
    <w:rsid w:val="0047474D"/>
    <w:rsid w:val="0048404A"/>
    <w:rsid w:val="00490DE2"/>
    <w:rsid w:val="0049145D"/>
    <w:rsid w:val="004A7DC3"/>
    <w:rsid w:val="004C15DA"/>
    <w:rsid w:val="004C6338"/>
    <w:rsid w:val="004D62DB"/>
    <w:rsid w:val="004E6504"/>
    <w:rsid w:val="00502347"/>
    <w:rsid w:val="005142E4"/>
    <w:rsid w:val="00514ED5"/>
    <w:rsid w:val="00517B50"/>
    <w:rsid w:val="00523D2F"/>
    <w:rsid w:val="005371DB"/>
    <w:rsid w:val="00546723"/>
    <w:rsid w:val="0055059D"/>
    <w:rsid w:val="00565FBA"/>
    <w:rsid w:val="00581549"/>
    <w:rsid w:val="00583944"/>
    <w:rsid w:val="0059609F"/>
    <w:rsid w:val="005A1375"/>
    <w:rsid w:val="005A2607"/>
    <w:rsid w:val="005B0032"/>
    <w:rsid w:val="005B450B"/>
    <w:rsid w:val="005C2386"/>
    <w:rsid w:val="005C3F5A"/>
    <w:rsid w:val="005C4906"/>
    <w:rsid w:val="005D0FF0"/>
    <w:rsid w:val="005D41AB"/>
    <w:rsid w:val="006127F4"/>
    <w:rsid w:val="00631139"/>
    <w:rsid w:val="006446A1"/>
    <w:rsid w:val="00662505"/>
    <w:rsid w:val="00675613"/>
    <w:rsid w:val="00681675"/>
    <w:rsid w:val="006B61E5"/>
    <w:rsid w:val="006C0C82"/>
    <w:rsid w:val="006E1AC5"/>
    <w:rsid w:val="006F356C"/>
    <w:rsid w:val="007246C0"/>
    <w:rsid w:val="0073650B"/>
    <w:rsid w:val="007406A2"/>
    <w:rsid w:val="007429AA"/>
    <w:rsid w:val="0075396C"/>
    <w:rsid w:val="0076178D"/>
    <w:rsid w:val="007A38B6"/>
    <w:rsid w:val="007A5034"/>
    <w:rsid w:val="007B2EA1"/>
    <w:rsid w:val="007C5599"/>
    <w:rsid w:val="007D3DB2"/>
    <w:rsid w:val="007E3A7E"/>
    <w:rsid w:val="007E4416"/>
    <w:rsid w:val="007F33E7"/>
    <w:rsid w:val="008210A8"/>
    <w:rsid w:val="00822076"/>
    <w:rsid w:val="00830972"/>
    <w:rsid w:val="008328DE"/>
    <w:rsid w:val="008350A5"/>
    <w:rsid w:val="008355A4"/>
    <w:rsid w:val="0084000B"/>
    <w:rsid w:val="00844E51"/>
    <w:rsid w:val="00867DB6"/>
    <w:rsid w:val="00882C3C"/>
    <w:rsid w:val="00884D47"/>
    <w:rsid w:val="0088561D"/>
    <w:rsid w:val="008863F7"/>
    <w:rsid w:val="00895857"/>
    <w:rsid w:val="008A0EA2"/>
    <w:rsid w:val="008E2C01"/>
    <w:rsid w:val="008E3BA6"/>
    <w:rsid w:val="008E3D5C"/>
    <w:rsid w:val="008F0FF7"/>
    <w:rsid w:val="00901B55"/>
    <w:rsid w:val="009045BB"/>
    <w:rsid w:val="009074E6"/>
    <w:rsid w:val="00930D12"/>
    <w:rsid w:val="0094040C"/>
    <w:rsid w:val="00943CEB"/>
    <w:rsid w:val="00951C2E"/>
    <w:rsid w:val="00983993"/>
    <w:rsid w:val="009A536F"/>
    <w:rsid w:val="009B1572"/>
    <w:rsid w:val="009F145C"/>
    <w:rsid w:val="00A10F75"/>
    <w:rsid w:val="00A343C8"/>
    <w:rsid w:val="00A53319"/>
    <w:rsid w:val="00A5723A"/>
    <w:rsid w:val="00A73771"/>
    <w:rsid w:val="00A73E7E"/>
    <w:rsid w:val="00A77533"/>
    <w:rsid w:val="00AC4357"/>
    <w:rsid w:val="00AE1461"/>
    <w:rsid w:val="00AE3676"/>
    <w:rsid w:val="00B02F97"/>
    <w:rsid w:val="00B05696"/>
    <w:rsid w:val="00B1379F"/>
    <w:rsid w:val="00B161CF"/>
    <w:rsid w:val="00B216F6"/>
    <w:rsid w:val="00B51C10"/>
    <w:rsid w:val="00B6340E"/>
    <w:rsid w:val="00B87904"/>
    <w:rsid w:val="00B914FD"/>
    <w:rsid w:val="00BC02C0"/>
    <w:rsid w:val="00BD23E3"/>
    <w:rsid w:val="00BD3C4D"/>
    <w:rsid w:val="00C05C86"/>
    <w:rsid w:val="00C11E20"/>
    <w:rsid w:val="00C123F4"/>
    <w:rsid w:val="00C156F9"/>
    <w:rsid w:val="00C2568A"/>
    <w:rsid w:val="00C27D34"/>
    <w:rsid w:val="00C33AD4"/>
    <w:rsid w:val="00C35226"/>
    <w:rsid w:val="00C37155"/>
    <w:rsid w:val="00C42528"/>
    <w:rsid w:val="00C4719E"/>
    <w:rsid w:val="00C60BE5"/>
    <w:rsid w:val="00C82985"/>
    <w:rsid w:val="00C82EBA"/>
    <w:rsid w:val="00C85594"/>
    <w:rsid w:val="00C9323A"/>
    <w:rsid w:val="00CA0BD1"/>
    <w:rsid w:val="00CA5D79"/>
    <w:rsid w:val="00CB4284"/>
    <w:rsid w:val="00CC501C"/>
    <w:rsid w:val="00CC5DB0"/>
    <w:rsid w:val="00CD2101"/>
    <w:rsid w:val="00CD74A2"/>
    <w:rsid w:val="00CE376B"/>
    <w:rsid w:val="00CE3812"/>
    <w:rsid w:val="00CE6AF3"/>
    <w:rsid w:val="00D03B79"/>
    <w:rsid w:val="00D06F9A"/>
    <w:rsid w:val="00D07C19"/>
    <w:rsid w:val="00D15163"/>
    <w:rsid w:val="00D20F89"/>
    <w:rsid w:val="00D34FE6"/>
    <w:rsid w:val="00D5054E"/>
    <w:rsid w:val="00D62E81"/>
    <w:rsid w:val="00D700B1"/>
    <w:rsid w:val="00D71DA6"/>
    <w:rsid w:val="00D87998"/>
    <w:rsid w:val="00D90B57"/>
    <w:rsid w:val="00DA16CB"/>
    <w:rsid w:val="00DA33D6"/>
    <w:rsid w:val="00DA5735"/>
    <w:rsid w:val="00DC2D59"/>
    <w:rsid w:val="00DC72CA"/>
    <w:rsid w:val="00DD3938"/>
    <w:rsid w:val="00DE774D"/>
    <w:rsid w:val="00E00B59"/>
    <w:rsid w:val="00E02C8D"/>
    <w:rsid w:val="00E24886"/>
    <w:rsid w:val="00E65DF0"/>
    <w:rsid w:val="00E83123"/>
    <w:rsid w:val="00E84D3B"/>
    <w:rsid w:val="00E85973"/>
    <w:rsid w:val="00E95703"/>
    <w:rsid w:val="00EA0E43"/>
    <w:rsid w:val="00EC3F7D"/>
    <w:rsid w:val="00ED284B"/>
    <w:rsid w:val="00ED7F1C"/>
    <w:rsid w:val="00EE1D82"/>
    <w:rsid w:val="00EE4FE8"/>
    <w:rsid w:val="00EE6C58"/>
    <w:rsid w:val="00F028F3"/>
    <w:rsid w:val="00F13AD8"/>
    <w:rsid w:val="00F46C19"/>
    <w:rsid w:val="00F51082"/>
    <w:rsid w:val="00F53979"/>
    <w:rsid w:val="00F54343"/>
    <w:rsid w:val="00F55B17"/>
    <w:rsid w:val="00F62F18"/>
    <w:rsid w:val="00F66140"/>
    <w:rsid w:val="00F77EED"/>
    <w:rsid w:val="00F85FAB"/>
    <w:rsid w:val="00FA0766"/>
    <w:rsid w:val="00FA2D5E"/>
    <w:rsid w:val="00FA5E3A"/>
    <w:rsid w:val="00FB2508"/>
    <w:rsid w:val="00FB3B8F"/>
    <w:rsid w:val="00FB79D5"/>
    <w:rsid w:val="00FD270F"/>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38644"/>
  <w15:chartTrackingRefBased/>
  <w15:docId w15:val="{253B8CA8-4F85-4F29-8009-0BF33191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D59"/>
  </w:style>
  <w:style w:type="paragraph" w:styleId="Heading1">
    <w:name w:val="heading 1"/>
    <w:basedOn w:val="Normal"/>
    <w:next w:val="Normal"/>
    <w:link w:val="Heading1Char"/>
    <w:uiPriority w:val="9"/>
    <w:qFormat/>
    <w:rsid w:val="00D71DA6"/>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54B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754BB"/>
    <w:pPr>
      <w:tabs>
        <w:tab w:val="center" w:pos="4680"/>
        <w:tab w:val="right" w:pos="9360"/>
      </w:tabs>
      <w:spacing w:before="0" w:beforeAutospacing="0" w:after="0" w:afterAutospacing="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754BB"/>
    <w:rPr>
      <w:kern w:val="2"/>
      <w:sz w:val="24"/>
      <w:szCs w:val="24"/>
      <w14:ligatures w14:val="standardContextual"/>
    </w:rPr>
  </w:style>
  <w:style w:type="table" w:customStyle="1" w:styleId="TableGrid1">
    <w:name w:val="Table Grid1"/>
    <w:basedOn w:val="TableNormal"/>
    <w:next w:val="TableGrid"/>
    <w:uiPriority w:val="39"/>
    <w:rsid w:val="000754BB"/>
    <w:pPr>
      <w:spacing w:before="0" w:beforeAutospacing="0" w:after="0" w:afterAutospacing="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4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754BB"/>
  </w:style>
  <w:style w:type="character" w:customStyle="1" w:styleId="Heading1Char">
    <w:name w:val="Heading 1 Char"/>
    <w:basedOn w:val="DefaultParagraphFont"/>
    <w:link w:val="Heading1"/>
    <w:uiPriority w:val="9"/>
    <w:rsid w:val="00D71DA6"/>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AE3676"/>
    <w:pPr>
      <w:spacing w:beforeAutospacing="0" w:afterAutospacing="0"/>
      <w:outlineLvl w:val="9"/>
    </w:pPr>
  </w:style>
  <w:style w:type="paragraph" w:styleId="TOC1">
    <w:name w:val="toc 1"/>
    <w:basedOn w:val="Normal"/>
    <w:next w:val="Normal"/>
    <w:autoRedefine/>
    <w:uiPriority w:val="39"/>
    <w:unhideWhenUsed/>
    <w:rsid w:val="00AE3676"/>
  </w:style>
  <w:style w:type="character" w:styleId="Hyperlink">
    <w:name w:val="Hyperlink"/>
    <w:basedOn w:val="DefaultParagraphFont"/>
    <w:uiPriority w:val="99"/>
    <w:unhideWhenUsed/>
    <w:rsid w:val="00AE3676"/>
    <w:rPr>
      <w:color w:val="0563C1" w:themeColor="hyperlink"/>
      <w:u w:val="single"/>
    </w:rPr>
  </w:style>
  <w:style w:type="paragraph" w:styleId="Caption">
    <w:name w:val="caption"/>
    <w:basedOn w:val="Normal"/>
    <w:next w:val="Normal"/>
    <w:uiPriority w:val="35"/>
    <w:unhideWhenUsed/>
    <w:qFormat/>
    <w:rsid w:val="00C82EBA"/>
    <w:pPr>
      <w:spacing w:before="0"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E3676"/>
    <w:pPr>
      <w:spacing w:after="0"/>
    </w:pPr>
  </w:style>
  <w:style w:type="character" w:customStyle="1" w:styleId="UnresolvedMention1">
    <w:name w:val="Unresolved Mention1"/>
    <w:basedOn w:val="DefaultParagraphFont"/>
    <w:uiPriority w:val="99"/>
    <w:semiHidden/>
    <w:unhideWhenUsed/>
    <w:rsid w:val="00E84D3B"/>
    <w:rPr>
      <w:color w:val="605E5C"/>
      <w:shd w:val="clear" w:color="auto" w:fill="E1DFDD"/>
    </w:rPr>
  </w:style>
  <w:style w:type="paragraph" w:styleId="NoSpacing">
    <w:name w:val="No Spacing"/>
    <w:uiPriority w:val="1"/>
    <w:qFormat/>
    <w:rsid w:val="00BC02C0"/>
    <w:pPr>
      <w:spacing w:before="0" w:after="0" w:line="240" w:lineRule="auto"/>
    </w:pPr>
  </w:style>
  <w:style w:type="character" w:styleId="UnresolvedMention">
    <w:name w:val="Unresolved Mention"/>
    <w:basedOn w:val="DefaultParagraphFont"/>
    <w:uiPriority w:val="99"/>
    <w:semiHidden/>
    <w:unhideWhenUsed/>
    <w:rsid w:val="00B1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71036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s.who.int/iris/handle/10665/258887" TargetMode="External"/><Relationship Id="rId5" Type="http://schemas.openxmlformats.org/officeDocument/2006/relationships/footnotes" Target="footnotes.xml"/><Relationship Id="rId10" Type="http://schemas.openxmlformats.org/officeDocument/2006/relationships/hyperlink" Target="https://doi.org/10.5942/jawwa.2012.104.0125" TargetMode="External"/><Relationship Id="rId4" Type="http://schemas.openxmlformats.org/officeDocument/2006/relationships/webSettings" Target="webSettings.xml"/><Relationship Id="rId9" Type="http://schemas.openxmlformats.org/officeDocument/2006/relationships/hyperlink" Target="https://esemag.com/water/water-storage-tanks-contamin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F90B4-5D66-4E40-BB9A-6005C9AB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ALIPIO EBENEZER</dc:creator>
  <cp:keywords/>
  <dc:description/>
  <cp:lastModifiedBy>Editor-1183</cp:lastModifiedBy>
  <cp:revision>5</cp:revision>
  <cp:lastPrinted>2025-11-10T13:42:00Z</cp:lastPrinted>
  <dcterms:created xsi:type="dcterms:W3CDTF">2026-02-19T08:49:00Z</dcterms:created>
  <dcterms:modified xsi:type="dcterms:W3CDTF">2026-02-23T11:16:00Z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5ae6f6a1-aee4-4d92-b9b3-b4d90063ebfb</vt:lpwstr>
  </property>
</Properties>
</file>