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19932B" w14:textId="2214EEEB" w:rsidR="000839BB" w:rsidRPr="00F566D4" w:rsidRDefault="003472F8" w:rsidP="00F566D4">
      <w:pPr>
        <w:jc w:val="right"/>
        <w:rPr>
          <w:rFonts w:ascii="Arial" w:hAnsi="Arial" w:cs="Arial"/>
          <w:b/>
          <w:sz w:val="28"/>
          <w:szCs w:val="28"/>
        </w:rPr>
      </w:pPr>
      <w:r w:rsidRPr="003472F8">
        <w:rPr>
          <w:rFonts w:ascii="Arial" w:hAnsi="Arial" w:cs="Arial"/>
          <w:b/>
          <w:sz w:val="28"/>
          <w:szCs w:val="28"/>
          <w:highlight w:val="yellow"/>
        </w:rPr>
        <w:t>An Integrated Assessment of Ecosystem Services and Biodiversity in the Balleyara Department, Niger</w:t>
      </w:r>
    </w:p>
    <w:p w14:paraId="3264AFAC" w14:textId="77777777" w:rsidR="00C83038" w:rsidRPr="00BC3BEB" w:rsidRDefault="00C83038" w:rsidP="00DC487D">
      <w:pPr>
        <w:jc w:val="right"/>
        <w:rPr>
          <w:rFonts w:ascii="Arial" w:hAnsi="Arial" w:cs="Arial"/>
          <w:b/>
          <w:sz w:val="24"/>
          <w:szCs w:val="24"/>
          <w:lang w:val="en-US"/>
        </w:rPr>
      </w:pPr>
    </w:p>
    <w:p w14:paraId="42D34CC9" w14:textId="63BA6E7B" w:rsidR="00BD6BC2" w:rsidRPr="00502572" w:rsidRDefault="00F97EEC" w:rsidP="00D54EF9">
      <w:pPr>
        <w:rPr>
          <w:rFonts w:ascii="Arial" w:hAnsi="Arial" w:cs="Arial"/>
          <w:b/>
        </w:rPr>
      </w:pPr>
      <w:r w:rsidRPr="00502572">
        <w:rPr>
          <w:rFonts w:ascii="Arial" w:hAnsi="Arial" w:cs="Arial"/>
          <w:b/>
        </w:rPr>
        <w:t>ABSTRACT</w:t>
      </w:r>
    </w:p>
    <w:p w14:paraId="65B61706" w14:textId="13F588BC" w:rsidR="000971F7" w:rsidRPr="00292767" w:rsidRDefault="00EB17FE" w:rsidP="00875991">
      <w:pPr>
        <w:suppressLineNumbers/>
        <w:pBdr>
          <w:top w:val="single" w:sz="4" w:space="1" w:color="auto"/>
          <w:left w:val="single" w:sz="4" w:space="4" w:color="auto"/>
          <w:bottom w:val="single" w:sz="4" w:space="1" w:color="auto"/>
          <w:right w:val="single" w:sz="4" w:space="4" w:color="auto"/>
        </w:pBdr>
        <w:spacing w:line="276" w:lineRule="auto"/>
        <w:jc w:val="both"/>
        <w:rPr>
          <w:rFonts w:ascii="Arial" w:hAnsi="Arial" w:cs="Arial"/>
          <w:highlight w:val="yellow"/>
        </w:rPr>
      </w:pPr>
      <w:r w:rsidRPr="003472F8">
        <w:rPr>
          <w:rFonts w:ascii="Arial" w:eastAsia="Calibri" w:hAnsi="Arial" w:cs="Arial"/>
          <w:bCs/>
          <w:highlight w:val="yellow"/>
        </w:rPr>
        <w:t xml:space="preserve">Plant biodiversity plays a vital role in providing various benefits which affect positively the life of people mostly in dryland region like Niger. </w:t>
      </w:r>
      <w:bookmarkStart w:id="0" w:name="_Hlk220572092"/>
      <w:r w:rsidRPr="003472F8">
        <w:rPr>
          <w:rFonts w:ascii="Arial" w:eastAsia="Calibri" w:hAnsi="Arial" w:cs="Arial"/>
          <w:bCs/>
          <w:highlight w:val="yellow"/>
        </w:rPr>
        <w:t xml:space="preserve">Many studies exist about the types of the </w:t>
      </w:r>
      <w:r w:rsidR="00BF5449" w:rsidRPr="003472F8">
        <w:rPr>
          <w:rFonts w:ascii="Arial" w:eastAsia="Calibri" w:hAnsi="Arial" w:cs="Arial"/>
          <w:bCs/>
          <w:highlight w:val="yellow"/>
        </w:rPr>
        <w:t xml:space="preserve">ecosystems, their floristic composition and their functions but there is scarcity of studies from </w:t>
      </w:r>
      <w:r w:rsidR="00BF5449" w:rsidRPr="003472F8">
        <w:rPr>
          <w:rFonts w:ascii="Arial" w:eastAsia="Calibri" w:hAnsi="Arial" w:cs="Arial"/>
          <w:bCs/>
          <w:highlight w:val="yellow"/>
        </w:rPr>
        <w:t>specific geographic area</w:t>
      </w:r>
      <w:r w:rsidR="00BF5449" w:rsidRPr="003472F8">
        <w:rPr>
          <w:rFonts w:ascii="Arial" w:eastAsia="Calibri" w:hAnsi="Arial" w:cs="Arial"/>
          <w:bCs/>
          <w:highlight w:val="yellow"/>
        </w:rPr>
        <w:t xml:space="preserve"> such as West Africa Sahel. </w:t>
      </w:r>
      <w:r w:rsidR="00875991" w:rsidRPr="003472F8">
        <w:rPr>
          <w:rFonts w:ascii="Arial" w:eastAsia="Calibri" w:hAnsi="Arial" w:cs="Arial"/>
          <w:bCs/>
          <w:highlight w:val="yellow"/>
        </w:rPr>
        <w:t xml:space="preserve">Therefore, the study </w:t>
      </w:r>
      <w:bookmarkEnd w:id="0"/>
      <w:r w:rsidR="0035025B" w:rsidRPr="003472F8">
        <w:rPr>
          <w:rFonts w:ascii="Arial" w:hAnsi="Arial" w:cs="Arial"/>
          <w:highlight w:val="yellow"/>
        </w:rPr>
        <w:t>determine</w:t>
      </w:r>
      <w:r w:rsidR="00875991" w:rsidRPr="003472F8">
        <w:rPr>
          <w:rFonts w:ascii="Arial" w:hAnsi="Arial" w:cs="Arial"/>
          <w:highlight w:val="yellow"/>
        </w:rPr>
        <w:t>d</w:t>
      </w:r>
      <w:r w:rsidR="0035025B" w:rsidRPr="003472F8">
        <w:rPr>
          <w:rFonts w:ascii="Arial" w:hAnsi="Arial" w:cs="Arial"/>
          <w:highlight w:val="yellow"/>
        </w:rPr>
        <w:t xml:space="preserve"> the types of ecosystems</w:t>
      </w:r>
      <w:r w:rsidR="00875991" w:rsidRPr="003472F8">
        <w:rPr>
          <w:rFonts w:ascii="Arial" w:hAnsi="Arial" w:cs="Arial"/>
          <w:highlight w:val="yellow"/>
        </w:rPr>
        <w:t>, plant diversity</w:t>
      </w:r>
      <w:r w:rsidR="0035025B" w:rsidRPr="003472F8">
        <w:rPr>
          <w:rFonts w:ascii="Arial" w:hAnsi="Arial" w:cs="Arial"/>
          <w:highlight w:val="yellow"/>
        </w:rPr>
        <w:t xml:space="preserve"> and the services they provide to the </w:t>
      </w:r>
      <w:r w:rsidR="009239F6" w:rsidRPr="003472F8">
        <w:rPr>
          <w:rFonts w:ascii="Arial" w:hAnsi="Arial" w:cs="Arial"/>
          <w:highlight w:val="yellow"/>
        </w:rPr>
        <w:t xml:space="preserve">local </w:t>
      </w:r>
      <w:r w:rsidR="0035025B" w:rsidRPr="003472F8">
        <w:rPr>
          <w:rFonts w:ascii="Arial" w:hAnsi="Arial" w:cs="Arial"/>
          <w:highlight w:val="yellow"/>
        </w:rPr>
        <w:t xml:space="preserve">population </w:t>
      </w:r>
      <w:r w:rsidR="009239F6" w:rsidRPr="003472F8">
        <w:rPr>
          <w:rFonts w:ascii="Arial" w:hAnsi="Arial" w:cs="Arial"/>
          <w:highlight w:val="yellow"/>
        </w:rPr>
        <w:t>at</w:t>
      </w:r>
      <w:r w:rsidR="0035025B" w:rsidRPr="003472F8">
        <w:rPr>
          <w:rFonts w:ascii="Arial" w:hAnsi="Arial" w:cs="Arial"/>
          <w:highlight w:val="yellow"/>
        </w:rPr>
        <w:t xml:space="preserve"> Department of Balleyara</w:t>
      </w:r>
      <w:r w:rsidR="00875991" w:rsidRPr="003472F8">
        <w:rPr>
          <w:rFonts w:ascii="Arial" w:hAnsi="Arial" w:cs="Arial"/>
          <w:highlight w:val="yellow"/>
        </w:rPr>
        <w:t>. We used questionnaires and field observations for data collection.</w:t>
      </w:r>
      <w:r w:rsidR="00875991" w:rsidRPr="003472F8">
        <w:rPr>
          <w:rFonts w:ascii="Arial" w:eastAsia="Calibri" w:hAnsi="Arial" w:cs="Arial"/>
          <w:bCs/>
          <w:highlight w:val="yellow"/>
        </w:rPr>
        <w:t xml:space="preserve"> </w:t>
      </w:r>
      <w:r w:rsidR="009239F6" w:rsidRPr="003472F8">
        <w:rPr>
          <w:rFonts w:ascii="Arial" w:hAnsi="Arial" w:cs="Arial"/>
          <w:highlight w:val="yellow"/>
        </w:rPr>
        <w:t xml:space="preserve">The different ecosystem services have been identified through surveys on a sample of 10 villages. In each village, ten (10) persons composed of men and women were questioned, making a total of one hundred (100) </w:t>
      </w:r>
      <w:r w:rsidR="00875991" w:rsidRPr="003472F8">
        <w:rPr>
          <w:rFonts w:ascii="Arial" w:hAnsi="Arial" w:cs="Arial"/>
          <w:highlight w:val="yellow"/>
        </w:rPr>
        <w:t xml:space="preserve">people. </w:t>
      </w:r>
      <w:r w:rsidR="00F92969" w:rsidRPr="00F92969">
        <w:rPr>
          <w:rFonts w:ascii="Arial" w:hAnsi="Arial" w:cs="Arial"/>
          <w:highlight w:val="yellow"/>
        </w:rPr>
        <w:t>D</w:t>
      </w:r>
      <w:r w:rsidR="00F92969" w:rsidRPr="00F92969">
        <w:rPr>
          <w:rFonts w:ascii="Arial" w:hAnsi="Arial" w:cs="Arial"/>
          <w:highlight w:val="yellow"/>
        </w:rPr>
        <w:t>escriptive statistics</w:t>
      </w:r>
      <w:r w:rsidR="00F92969" w:rsidRPr="00F92969">
        <w:rPr>
          <w:rFonts w:ascii="Arial" w:hAnsi="Arial" w:cs="Arial"/>
          <w:highlight w:val="yellow"/>
        </w:rPr>
        <w:t xml:space="preserve"> such as p</w:t>
      </w:r>
      <w:r w:rsidR="00F92969" w:rsidRPr="00F92969">
        <w:rPr>
          <w:rFonts w:ascii="Arial" w:hAnsi="Arial" w:cs="Arial"/>
          <w:highlight w:val="yellow"/>
        </w:rPr>
        <w:t>ercentage</w:t>
      </w:r>
      <w:r w:rsidR="00F92969" w:rsidRPr="00F92969">
        <w:rPr>
          <w:rFonts w:ascii="Arial" w:hAnsi="Arial" w:cs="Arial"/>
          <w:highlight w:val="yellow"/>
        </w:rPr>
        <w:t xml:space="preserve"> was used for the data analysis.</w:t>
      </w:r>
      <w:r w:rsidR="00F92969">
        <w:rPr>
          <w:rFonts w:ascii="Arial" w:hAnsi="Arial" w:cs="Arial"/>
        </w:rPr>
        <w:t xml:space="preserve"> </w:t>
      </w:r>
      <w:r w:rsidR="00875991" w:rsidRPr="003472F8">
        <w:rPr>
          <w:rFonts w:ascii="Arial" w:hAnsi="Arial" w:cs="Arial"/>
          <w:highlight w:val="yellow"/>
        </w:rPr>
        <w:t>The</w:t>
      </w:r>
      <w:r w:rsidR="009239F6" w:rsidRPr="003472F8">
        <w:rPr>
          <w:rFonts w:ascii="Arial" w:hAnsi="Arial" w:cs="Arial"/>
          <w:highlight w:val="yellow"/>
        </w:rPr>
        <w:t xml:space="preserve"> main types of ecosystems identified are aquatic ecosystems and terrestrial ecosystems </w:t>
      </w:r>
      <w:r w:rsidR="00C91B3D" w:rsidRPr="003472F8">
        <w:rPr>
          <w:rFonts w:ascii="Arial" w:hAnsi="Arial" w:cs="Arial"/>
          <w:highlight w:val="yellow"/>
        </w:rPr>
        <w:t>and</w:t>
      </w:r>
      <w:r w:rsidR="009239F6" w:rsidRPr="003472F8">
        <w:rPr>
          <w:rFonts w:ascii="Arial" w:hAnsi="Arial" w:cs="Arial"/>
          <w:highlight w:val="yellow"/>
        </w:rPr>
        <w:t xml:space="preserve"> plantation of </w:t>
      </w:r>
      <w:r w:rsidR="009239F6" w:rsidRPr="003472F8">
        <w:rPr>
          <w:rFonts w:ascii="Arial" w:hAnsi="Arial" w:cs="Arial"/>
          <w:i/>
          <w:highlight w:val="yellow"/>
        </w:rPr>
        <w:t>Acacia senegal and Eucalyptus camaldulensis.</w:t>
      </w:r>
      <w:r w:rsidR="00153BE9">
        <w:rPr>
          <w:rFonts w:ascii="Arial" w:hAnsi="Arial" w:cs="Arial"/>
          <w:i/>
          <w:highlight w:val="yellow"/>
        </w:rPr>
        <w:t xml:space="preserve"> </w:t>
      </w:r>
      <w:r w:rsidR="00F92969" w:rsidRPr="00153BE9">
        <w:rPr>
          <w:rFonts w:ascii="Arial" w:hAnsi="Arial" w:cs="Arial"/>
          <w:sz w:val="20"/>
          <w:szCs w:val="20"/>
          <w:highlight w:val="yellow"/>
        </w:rPr>
        <w:t xml:space="preserve">The 61% of </w:t>
      </w:r>
      <w:r w:rsidR="00F92969" w:rsidRPr="00153BE9">
        <w:rPr>
          <w:rFonts w:ascii="Arial" w:hAnsi="Arial" w:cs="Arial"/>
          <w:sz w:val="20"/>
          <w:szCs w:val="20"/>
          <w:highlight w:val="yellow"/>
        </w:rPr>
        <w:t xml:space="preserve">the aquatic ecosystems </w:t>
      </w:r>
      <w:r w:rsidR="00F92969" w:rsidRPr="00153BE9">
        <w:rPr>
          <w:rFonts w:ascii="Arial" w:hAnsi="Arial" w:cs="Arial"/>
          <w:sz w:val="20"/>
          <w:szCs w:val="20"/>
          <w:highlight w:val="yellow"/>
        </w:rPr>
        <w:t>are permanent and 39% are semi-permanent with an average duration of 6 to 9 months</w:t>
      </w:r>
      <w:r w:rsidR="009239F6" w:rsidRPr="00153BE9">
        <w:rPr>
          <w:rFonts w:ascii="Arial" w:hAnsi="Arial" w:cs="Arial"/>
          <w:i/>
          <w:highlight w:val="yellow"/>
        </w:rPr>
        <w:t xml:space="preserve"> </w:t>
      </w:r>
      <w:r w:rsidR="009239F6" w:rsidRPr="003472F8">
        <w:rPr>
          <w:rFonts w:ascii="Arial" w:hAnsi="Arial" w:cs="Arial"/>
          <w:highlight w:val="yellow"/>
        </w:rPr>
        <w:t xml:space="preserve">The key ecosystem services identified are firewood, medicine, water, forage, green fertiliser etc. </w:t>
      </w:r>
      <w:r w:rsidR="00292767" w:rsidRPr="00292767">
        <w:rPr>
          <w:rFonts w:ascii="Arial" w:hAnsi="Arial" w:cs="Arial"/>
          <w:highlight w:val="yellow"/>
        </w:rPr>
        <w:t>The main woody species</w:t>
      </w:r>
      <w:r w:rsidR="00292767" w:rsidRPr="00292767">
        <w:rPr>
          <w:rFonts w:ascii="Arial" w:hAnsi="Arial" w:cs="Arial"/>
          <w:highlight w:val="yellow"/>
        </w:rPr>
        <w:t xml:space="preserve"> used for the fuelwood are Guiera</w:t>
      </w:r>
      <w:r w:rsidR="00292767" w:rsidRPr="00292767">
        <w:rPr>
          <w:rFonts w:ascii="Arial" w:hAnsi="Arial" w:cs="Arial"/>
          <w:i/>
          <w:iCs/>
          <w:highlight w:val="yellow"/>
        </w:rPr>
        <w:t xml:space="preserve"> senegalensis</w:t>
      </w:r>
      <w:r w:rsidR="00292767">
        <w:rPr>
          <w:rFonts w:ascii="Arial" w:hAnsi="Arial" w:cs="Arial"/>
          <w:i/>
          <w:iCs/>
          <w:highlight w:val="yellow"/>
        </w:rPr>
        <w:t xml:space="preserve"> (41%)</w:t>
      </w:r>
      <w:r w:rsidR="00292767" w:rsidRPr="00292767">
        <w:rPr>
          <w:rFonts w:ascii="Arial" w:hAnsi="Arial" w:cs="Arial"/>
          <w:highlight w:val="yellow"/>
        </w:rPr>
        <w:t xml:space="preserve">, </w:t>
      </w:r>
      <w:r w:rsidR="00292767" w:rsidRPr="00292767">
        <w:rPr>
          <w:rFonts w:ascii="Arial" w:hAnsi="Arial" w:cs="Arial"/>
          <w:i/>
          <w:iCs/>
          <w:highlight w:val="yellow"/>
        </w:rPr>
        <w:t>Combretum micranthum</w:t>
      </w:r>
      <w:r w:rsidR="00292767">
        <w:rPr>
          <w:rFonts w:ascii="Arial" w:hAnsi="Arial" w:cs="Arial"/>
          <w:i/>
          <w:iCs/>
          <w:highlight w:val="yellow"/>
        </w:rPr>
        <w:t xml:space="preserve"> </w:t>
      </w:r>
      <w:r w:rsidR="00292767">
        <w:rPr>
          <w:rFonts w:ascii="Arial" w:hAnsi="Arial" w:cs="Arial"/>
          <w:i/>
          <w:iCs/>
          <w:highlight w:val="yellow"/>
        </w:rPr>
        <w:t>(</w:t>
      </w:r>
      <w:r w:rsidR="00292767">
        <w:rPr>
          <w:rFonts w:ascii="Arial" w:hAnsi="Arial" w:cs="Arial"/>
          <w:i/>
          <w:iCs/>
          <w:highlight w:val="yellow"/>
        </w:rPr>
        <w:t>2</w:t>
      </w:r>
      <w:r w:rsidR="00292767">
        <w:rPr>
          <w:rFonts w:ascii="Arial" w:hAnsi="Arial" w:cs="Arial"/>
          <w:i/>
          <w:iCs/>
          <w:highlight w:val="yellow"/>
        </w:rPr>
        <w:t>4%)</w:t>
      </w:r>
      <w:r w:rsidR="00292767" w:rsidRPr="00292767">
        <w:rPr>
          <w:rFonts w:ascii="Arial" w:hAnsi="Arial" w:cs="Arial"/>
          <w:highlight w:val="yellow"/>
        </w:rPr>
        <w:t>,</w:t>
      </w:r>
      <w:r w:rsidR="00292767">
        <w:rPr>
          <w:rFonts w:ascii="Arial" w:hAnsi="Arial" w:cs="Arial"/>
          <w:highlight w:val="yellow"/>
        </w:rPr>
        <w:t xml:space="preserve"> </w:t>
      </w:r>
      <w:r w:rsidR="00292767" w:rsidRPr="00292767">
        <w:rPr>
          <w:rFonts w:ascii="Arial" w:hAnsi="Arial" w:cs="Arial"/>
          <w:i/>
          <w:iCs/>
          <w:highlight w:val="yellow"/>
        </w:rPr>
        <w:t>Faidherbia albida</w:t>
      </w:r>
      <w:r w:rsidR="00292767">
        <w:rPr>
          <w:rFonts w:ascii="Arial" w:hAnsi="Arial" w:cs="Arial"/>
          <w:i/>
          <w:iCs/>
          <w:highlight w:val="yellow"/>
        </w:rPr>
        <w:t xml:space="preserve"> </w:t>
      </w:r>
      <w:r w:rsidR="00292767">
        <w:rPr>
          <w:rFonts w:ascii="Arial" w:hAnsi="Arial" w:cs="Arial"/>
          <w:i/>
          <w:iCs/>
          <w:highlight w:val="yellow"/>
        </w:rPr>
        <w:t>(1</w:t>
      </w:r>
      <w:r w:rsidR="00292767">
        <w:rPr>
          <w:rFonts w:ascii="Arial" w:hAnsi="Arial" w:cs="Arial"/>
          <w:i/>
          <w:iCs/>
          <w:highlight w:val="yellow"/>
        </w:rPr>
        <w:t>5</w:t>
      </w:r>
      <w:r w:rsidR="00292767">
        <w:rPr>
          <w:rFonts w:ascii="Arial" w:hAnsi="Arial" w:cs="Arial"/>
          <w:i/>
          <w:iCs/>
          <w:highlight w:val="yellow"/>
        </w:rPr>
        <w:t>%)</w:t>
      </w:r>
      <w:r w:rsidR="00292767">
        <w:rPr>
          <w:rFonts w:ascii="Arial" w:hAnsi="Arial" w:cs="Arial"/>
          <w:highlight w:val="yellow"/>
        </w:rPr>
        <w:t xml:space="preserve"> </w:t>
      </w:r>
      <w:r w:rsidR="00153BE9" w:rsidRPr="00292767">
        <w:rPr>
          <w:rFonts w:ascii="Arial" w:hAnsi="Arial" w:cs="Arial"/>
          <w:highlight w:val="yellow"/>
        </w:rPr>
        <w:t>in the Department of Balleyara.</w:t>
      </w:r>
      <w:r w:rsidR="00292767">
        <w:rPr>
          <w:rFonts w:ascii="Arial" w:hAnsi="Arial" w:cs="Arial"/>
          <w:highlight w:val="yellow"/>
        </w:rPr>
        <w:t xml:space="preserve"> </w:t>
      </w:r>
      <w:r w:rsidR="002E1241">
        <w:rPr>
          <w:rFonts w:ascii="Arial" w:hAnsi="Arial" w:cs="Arial"/>
          <w:highlight w:val="yellow"/>
        </w:rPr>
        <w:t>The study recorded two exotic tree species</w:t>
      </w:r>
      <w:r w:rsidR="00F81885">
        <w:rPr>
          <w:rFonts w:ascii="Arial" w:hAnsi="Arial" w:cs="Arial"/>
          <w:highlight w:val="yellow"/>
        </w:rPr>
        <w:t xml:space="preserve"> (</w:t>
      </w:r>
      <w:r w:rsidR="00F81885" w:rsidRPr="00F81885">
        <w:rPr>
          <w:rFonts w:ascii="Arial" w:hAnsi="Arial" w:cs="Arial"/>
          <w:i/>
          <w:iCs/>
          <w:highlight w:val="yellow"/>
        </w:rPr>
        <w:t>Eucalyptus</w:t>
      </w:r>
      <w:r w:rsidR="00F81885" w:rsidRPr="00F81885">
        <w:rPr>
          <w:rFonts w:ascii="Arial" w:hAnsi="Arial" w:cs="Arial"/>
          <w:highlight w:val="yellow"/>
        </w:rPr>
        <w:t xml:space="preserve"> </w:t>
      </w:r>
      <w:r w:rsidR="00F81885" w:rsidRPr="00F81885">
        <w:rPr>
          <w:rFonts w:ascii="Arial" w:hAnsi="Arial" w:cs="Arial"/>
          <w:i/>
          <w:iCs/>
          <w:highlight w:val="yellow"/>
        </w:rPr>
        <w:t>camaldulensis</w:t>
      </w:r>
      <w:r w:rsidR="00F81885" w:rsidRPr="00F81885">
        <w:rPr>
          <w:rFonts w:ascii="Arial" w:hAnsi="Arial" w:cs="Arial"/>
          <w:highlight w:val="yellow"/>
        </w:rPr>
        <w:t xml:space="preserve"> and</w:t>
      </w:r>
      <w:r w:rsidR="00F81885" w:rsidRPr="00F81885">
        <w:rPr>
          <w:rFonts w:ascii="Arial" w:hAnsi="Arial" w:cs="Arial"/>
          <w:highlight w:val="yellow"/>
        </w:rPr>
        <w:t xml:space="preserve"> </w:t>
      </w:r>
      <w:r w:rsidR="00F81885" w:rsidRPr="00F81885">
        <w:rPr>
          <w:rFonts w:ascii="Arial" w:hAnsi="Arial" w:cs="Arial"/>
          <w:i/>
          <w:iCs/>
          <w:highlight w:val="yellow"/>
        </w:rPr>
        <w:t>Azadirachta indica</w:t>
      </w:r>
      <w:r w:rsidR="00F81885" w:rsidRPr="00F81885">
        <w:rPr>
          <w:rFonts w:ascii="Arial" w:hAnsi="Arial" w:cs="Arial"/>
          <w:highlight w:val="yellow"/>
        </w:rPr>
        <w:t>) wh</w:t>
      </w:r>
      <w:r w:rsidR="00F81885">
        <w:rPr>
          <w:rFonts w:ascii="Arial" w:hAnsi="Arial" w:cs="Arial"/>
          <w:highlight w:val="yellow"/>
        </w:rPr>
        <w:t xml:space="preserve">ich provided diverse ecosystem </w:t>
      </w:r>
      <w:r w:rsidR="00F566D4">
        <w:rPr>
          <w:rFonts w:ascii="Arial" w:hAnsi="Arial" w:cs="Arial"/>
          <w:highlight w:val="yellow"/>
        </w:rPr>
        <w:t>services.</w:t>
      </w:r>
      <w:r w:rsidR="00F566D4" w:rsidRPr="003472F8">
        <w:rPr>
          <w:rFonts w:ascii="Arial" w:hAnsi="Arial" w:cs="Arial"/>
          <w:highlight w:val="yellow"/>
        </w:rPr>
        <w:t xml:space="preserve"> Therefore</w:t>
      </w:r>
      <w:r w:rsidR="00C91B3D" w:rsidRPr="003472F8">
        <w:rPr>
          <w:rFonts w:ascii="Arial" w:hAnsi="Arial" w:cs="Arial"/>
          <w:highlight w:val="yellow"/>
        </w:rPr>
        <w:t xml:space="preserve">, </w:t>
      </w:r>
      <w:r w:rsidR="009239F6" w:rsidRPr="003472F8">
        <w:rPr>
          <w:rFonts w:ascii="Arial" w:hAnsi="Arial" w:cs="Arial"/>
          <w:highlight w:val="yellow"/>
        </w:rPr>
        <w:t xml:space="preserve">the ecosystems of the Department of Balleyara are rich and diversified and can contribute to the </w:t>
      </w:r>
      <w:r w:rsidR="00C91B3D" w:rsidRPr="003472F8">
        <w:rPr>
          <w:rFonts w:ascii="Arial" w:hAnsi="Arial" w:cs="Arial"/>
          <w:highlight w:val="yellow"/>
        </w:rPr>
        <w:t>wellbeing of</w:t>
      </w:r>
      <w:r w:rsidR="009239F6" w:rsidRPr="003472F8">
        <w:rPr>
          <w:rFonts w:ascii="Arial" w:hAnsi="Arial" w:cs="Arial"/>
          <w:highlight w:val="yellow"/>
        </w:rPr>
        <w:t xml:space="preserve"> the </w:t>
      </w:r>
      <w:r w:rsidR="00C91B3D" w:rsidRPr="003472F8">
        <w:rPr>
          <w:rFonts w:ascii="Arial" w:hAnsi="Arial" w:cs="Arial"/>
          <w:highlight w:val="yellow"/>
        </w:rPr>
        <w:t xml:space="preserve">local </w:t>
      </w:r>
      <w:r w:rsidR="009239F6" w:rsidRPr="003472F8">
        <w:rPr>
          <w:rFonts w:ascii="Arial" w:hAnsi="Arial" w:cs="Arial"/>
          <w:highlight w:val="yellow"/>
        </w:rPr>
        <w:t>population regard</w:t>
      </w:r>
      <w:r w:rsidR="00C91B3D" w:rsidRPr="003472F8">
        <w:rPr>
          <w:rFonts w:ascii="Arial" w:hAnsi="Arial" w:cs="Arial"/>
          <w:highlight w:val="yellow"/>
        </w:rPr>
        <w:t>ing</w:t>
      </w:r>
      <w:r w:rsidR="009239F6" w:rsidRPr="003472F8">
        <w:rPr>
          <w:rFonts w:ascii="Arial" w:hAnsi="Arial" w:cs="Arial"/>
          <w:highlight w:val="yellow"/>
        </w:rPr>
        <w:t xml:space="preserve"> to the services they offer. </w:t>
      </w:r>
      <w:r w:rsidR="000971F7" w:rsidRPr="003472F8">
        <w:rPr>
          <w:rFonts w:ascii="Arial" w:hAnsi="Arial" w:cs="Arial"/>
          <w:b/>
          <w:highlight w:val="yellow"/>
        </w:rPr>
        <w:t xml:space="preserve"> </w:t>
      </w:r>
      <w:r w:rsidR="000971F7" w:rsidRPr="003472F8">
        <w:rPr>
          <w:rFonts w:ascii="Arial" w:hAnsi="Arial" w:cs="Arial"/>
          <w:highlight w:val="yellow"/>
        </w:rPr>
        <w:t>The study provided the ethnobotanical and floristic knowledge which can be used as a reference level for the sustainable management of the ecosystems in the study.</w:t>
      </w:r>
      <w:r w:rsidR="00875991" w:rsidRPr="003472F8">
        <w:rPr>
          <w:rFonts w:ascii="Arial" w:hAnsi="Arial" w:cs="Arial"/>
          <w:highlight w:val="yellow"/>
        </w:rPr>
        <w:t xml:space="preserve"> </w:t>
      </w:r>
      <w:r w:rsidR="003472F8" w:rsidRPr="003472F8">
        <w:rPr>
          <w:rFonts w:ascii="Arial" w:hAnsi="Arial" w:cs="Arial"/>
          <w:highlight w:val="yellow"/>
        </w:rPr>
        <w:t>The study recommends also the use of ecosystem services to restore peace by reducing resource-driven conflict, fostering cooperation over shared natural assets, and rehabilitating livelihoods in conflicts zone like the Department of Balleyara in Niger.</w:t>
      </w:r>
    </w:p>
    <w:p w14:paraId="6964A8CA" w14:textId="77777777" w:rsidR="000971F7" w:rsidRPr="00502572" w:rsidRDefault="000971F7" w:rsidP="000971F7">
      <w:pPr>
        <w:rPr>
          <w:rFonts w:ascii="Arial" w:hAnsi="Arial" w:cs="Arial"/>
          <w:sz w:val="20"/>
          <w:szCs w:val="20"/>
        </w:rPr>
      </w:pPr>
      <w:r w:rsidRPr="00502572">
        <w:rPr>
          <w:rFonts w:ascii="Arial" w:hAnsi="Arial" w:cs="Arial"/>
          <w:b/>
          <w:sz w:val="20"/>
          <w:szCs w:val="20"/>
        </w:rPr>
        <w:t>Keywords:</w:t>
      </w:r>
      <w:r w:rsidRPr="00502572">
        <w:rPr>
          <w:rFonts w:ascii="Arial" w:hAnsi="Arial" w:cs="Arial"/>
          <w:sz w:val="20"/>
          <w:szCs w:val="20"/>
        </w:rPr>
        <w:t xml:space="preserve">  Sahel, Diversity, Ecosystem values, Tillaberi, Republic of Niger. </w:t>
      </w:r>
    </w:p>
    <w:p w14:paraId="2D4287EF" w14:textId="696C7C46" w:rsidR="00BD6BC2" w:rsidRPr="00502572" w:rsidRDefault="00AE4350" w:rsidP="00416CC6">
      <w:pPr>
        <w:pStyle w:val="Paragraphedeliste"/>
        <w:numPr>
          <w:ilvl w:val="0"/>
          <w:numId w:val="4"/>
        </w:numPr>
        <w:rPr>
          <w:rFonts w:ascii="Arial" w:hAnsi="Arial" w:cs="Arial"/>
          <w:b/>
        </w:rPr>
      </w:pPr>
      <w:r w:rsidRPr="00502572">
        <w:rPr>
          <w:rFonts w:ascii="Arial" w:hAnsi="Arial" w:cs="Arial"/>
          <w:b/>
        </w:rPr>
        <w:t>INTRODUCTION</w:t>
      </w:r>
    </w:p>
    <w:p w14:paraId="21A0BF31" w14:textId="4CECD20C" w:rsidR="00F648D2" w:rsidRPr="00047C16" w:rsidRDefault="00F50DE1" w:rsidP="00F648D2">
      <w:pPr>
        <w:spacing w:line="360" w:lineRule="auto"/>
        <w:jc w:val="both"/>
        <w:rPr>
          <w:rFonts w:ascii="Arial" w:hAnsi="Arial" w:cs="Arial"/>
          <w:sz w:val="20"/>
          <w:szCs w:val="20"/>
        </w:rPr>
      </w:pPr>
      <w:r w:rsidRPr="00502572">
        <w:rPr>
          <w:rFonts w:ascii="Arial" w:hAnsi="Arial" w:cs="Arial"/>
          <w:sz w:val="20"/>
          <w:szCs w:val="20"/>
        </w:rPr>
        <w:t xml:space="preserve">Human survival and well-being depend largely on </w:t>
      </w:r>
      <w:r w:rsidRPr="00F656E2">
        <w:rPr>
          <w:rFonts w:ascii="Arial" w:hAnsi="Arial" w:cs="Arial"/>
          <w:sz w:val="20"/>
          <w:szCs w:val="20"/>
          <w:highlight w:val="yellow"/>
        </w:rPr>
        <w:t>ecosystem</w:t>
      </w:r>
      <w:r w:rsidRPr="00502572">
        <w:rPr>
          <w:rFonts w:ascii="Arial" w:hAnsi="Arial" w:cs="Arial"/>
          <w:sz w:val="20"/>
          <w:szCs w:val="20"/>
        </w:rPr>
        <w:t xml:space="preserve"> services </w:t>
      </w:r>
      <w:r w:rsidR="00F97EEC" w:rsidRPr="00502572">
        <w:rPr>
          <w:rFonts w:ascii="Arial" w:hAnsi="Arial" w:cs="Arial"/>
          <w:sz w:val="20"/>
          <w:szCs w:val="20"/>
        </w:rPr>
        <w:t>in Sub</w:t>
      </w:r>
      <w:r w:rsidR="00CD5D08" w:rsidRPr="00502572">
        <w:rPr>
          <w:rFonts w:ascii="Arial" w:hAnsi="Arial" w:cs="Arial"/>
          <w:sz w:val="20"/>
          <w:szCs w:val="20"/>
        </w:rPr>
        <w:t>-</w:t>
      </w:r>
      <w:r w:rsidR="00F97EEC" w:rsidRPr="00502572">
        <w:rPr>
          <w:rFonts w:ascii="Arial" w:hAnsi="Arial" w:cs="Arial"/>
          <w:sz w:val="20"/>
          <w:szCs w:val="20"/>
        </w:rPr>
        <w:t>Sahara</w:t>
      </w:r>
      <w:r w:rsidR="00CD5D08" w:rsidRPr="00502572">
        <w:rPr>
          <w:rFonts w:ascii="Arial" w:hAnsi="Arial" w:cs="Arial"/>
          <w:sz w:val="20"/>
          <w:szCs w:val="20"/>
        </w:rPr>
        <w:t>n</w:t>
      </w:r>
      <w:r w:rsidR="00F97EEC" w:rsidRPr="00502572">
        <w:rPr>
          <w:rFonts w:ascii="Arial" w:hAnsi="Arial" w:cs="Arial"/>
          <w:sz w:val="20"/>
          <w:szCs w:val="20"/>
        </w:rPr>
        <w:t xml:space="preserve"> Africa</w:t>
      </w:r>
      <w:r w:rsidRPr="00502572">
        <w:rPr>
          <w:rFonts w:ascii="Arial" w:hAnsi="Arial" w:cs="Arial"/>
          <w:sz w:val="20"/>
          <w:szCs w:val="20"/>
        </w:rPr>
        <w:t xml:space="preserve">. Indeed, the particularly woody biodiversity of ecosystems is of great importance and has strong </w:t>
      </w:r>
      <w:r w:rsidR="00887D4E" w:rsidRPr="00502572">
        <w:rPr>
          <w:rFonts w:ascii="Arial" w:hAnsi="Arial" w:cs="Arial"/>
          <w:sz w:val="20"/>
          <w:szCs w:val="20"/>
        </w:rPr>
        <w:t>socio-</w:t>
      </w:r>
      <w:r w:rsidRPr="00502572">
        <w:rPr>
          <w:rFonts w:ascii="Arial" w:hAnsi="Arial" w:cs="Arial"/>
          <w:sz w:val="20"/>
          <w:szCs w:val="20"/>
        </w:rPr>
        <w:t xml:space="preserve">economic and cultural potential for the production of food, water, medicines, </w:t>
      </w:r>
      <w:r w:rsidR="002B1D24" w:rsidRPr="00502572">
        <w:rPr>
          <w:rFonts w:ascii="Arial" w:hAnsi="Arial" w:cs="Arial"/>
          <w:sz w:val="20"/>
          <w:szCs w:val="20"/>
        </w:rPr>
        <w:t xml:space="preserve">fuel, forage, clothing, </w:t>
      </w:r>
      <w:r w:rsidRPr="00502572">
        <w:rPr>
          <w:rFonts w:ascii="Arial" w:hAnsi="Arial" w:cs="Arial"/>
          <w:sz w:val="20"/>
          <w:szCs w:val="20"/>
        </w:rPr>
        <w:t xml:space="preserve">shelter </w:t>
      </w:r>
      <w:r w:rsidR="004D7A6B" w:rsidRPr="00502572">
        <w:rPr>
          <w:rFonts w:ascii="Arial" w:hAnsi="Arial" w:cs="Arial"/>
          <w:sz w:val="20"/>
          <w:szCs w:val="20"/>
        </w:rPr>
        <w:fldChar w:fldCharType="begin" w:fldLock="1"/>
      </w:r>
      <w:r w:rsidR="00C80401">
        <w:rPr>
          <w:rFonts w:ascii="Arial" w:hAnsi="Arial" w:cs="Arial"/>
          <w:sz w:val="20"/>
          <w:szCs w:val="20"/>
        </w:rPr>
        <w:instrText>ADDIN CSL_CITATION {"citationItems":[{"id":"ITEM-1","itemData":{"DOI":"https://www.researchgate.net/publication/304624157","author":[{"dropping-particle":"","family":"Moussa","given":"Soulé","non-dropping-particle":"","parse-names":false,"suffix":""}],"id":"ITEM-1","issued":{"date-parts":[["2013"]]},"title":"Inventaire des légumineuses des communes d’Aguié et Mayahi : composition systématique, chorologie, types biologiques et importance socioéconomique. Mémoire de Master2, Université de Maradi,Niger, 1-80p.","type":"thesis"},"uris":["http://www.mendeley.com/documents/?uuid=8934d79e-a5ef-4e1c-ac8f-f09b815bf673","http://www.mendeley.com/documents/?uuid=27163028-b343-4d85-b79c-6b0bf8859dfe"]},{"id":"ITEM-2","itemData":{"DOI":"10.1016/j.tree.2012.10.012","ISSN":"01695347","PMID":"23153724","abstract":"Rising demands for agricultural products will increase pressure to further intensify crop production, while negative environmental impacts have to be minimized. Ecological intensification entails the environmentally friendly replacement of anthropogenic inputs and/or enhancement of crop productivity, by including regulating and supporting ecosystem services management in agricultural practices. Effective ecological intensification requires an understanding of the relations between land use at different scales and the community composition of ecosystem service-providing organisms above and below ground, and the flow, stability, contribution to yield, and management costs of the multiple services delivered by these organisms. Research efforts and investments are particularly needed to reduce existing yield gaps by integrating context-appropriate bundles of ecosystem services into crop production systems. © 2012 Elsevier Ltd.","author":[{"dropping-particle":"","family":"Bommarco","given":"Riccardo","non-dropping-particle":"","parse-names":false,"suffix":""},{"dropping-particle":"","family":"Kleijn","given":"David","non-dropping-particle":"","parse-names":false,"suffix":""},{"dropping-particle":"","family":"Potts","given":"Simon G.","non-dropping-particle":"","parse-names":false,"suffix":""}],"container-title":"Trends in Ecology and Evolution","id":"ITEM-2","issue":"4","issued":{"date-parts":[["2013"]]},"page":"230-238","publisher":"Elsevier Ltd","title":"Ecological intensification: Harnessing ecosystem services for food security","type":"article-journal","volume":"28"},"uris":["http://www.mendeley.com/documents/?uuid=1fb06e35-d0bd-41ae-a969-611fc90f5b4b","http://www.mendeley.com/documents/?uuid=302b6bf4-a986-4b19-80da-6e502ef1bacb"]},{"id":"ITEM-3","itemData":{"DOI":"10.1016/b978-0-12-812134-4.00008-x","ISBN":"9780128121344","abstract":"Protecting biodiversity and improving the supply of, and equitable access to, ecosystem services is a vital global interest to sustain a healthy planet and deliver benefits to people. This chapter discusses key issues regarding plant genetic resources for food and agriculture (PGRFA), highlighting linkages between PGRFA, dietary diversity, and natural habitats, as well as the roles of gender and community in conservation. Diversely structured landscapes play a crucial role in supporting ecosystem services that maintain the productivity and stability of agroecosystems. To ensure that the global food system remains environmentally sustainable and generates a rich array of nutrients for human health, farm landscapes must be diverse and serve multiple purposes. We outline the need for economic valuation for ecosystem services, illustrated with two case studies on the global cost of land degradation and full benefits and costs of food production systems, noting that a comprehensive evaluation that goes beyond monetary value is needed.","author":[{"dropping-particle":"","family":"Zhang","given":"Wei","non-dropping-particle":"","parse-names":false,"suffix":""},{"dropping-particle":"","family":"Dulloo","given":"Ehsan","non-dropping-particle":"","parse-names":false,"suffix":""},{"dropping-particle":"","family":"Kennedy","given":"Gina","non-dropping-particle":"","parse-names":false,"suffix":""},{"dropping-particle":"","family":"Bailey","given":"Arwen","non-dropping-particle":"","parse-names":false,"suffix":""},{"dropping-particle":"","family":"Sandhu","given":"Harpinder","non-dropping-particle":"","parse-names":false,"suffix":""},{"dropping-particle":"","family":"Nkonya","given":"Ephraim","non-dropping-particle":"","parse-names":false,"suffix":""}],"container-title":"Sustainable Food and Agriculture","id":"ITEM-3","issued":{"date-parts":[["2019"]]},"number-of-pages":"137-152","publisher":"Elsevier Inc.","title":"Biodiversity and Ecosystem Services","type":"book"},"uris":["http://www.mendeley.com/documents/?uuid=c45da619-a146-46d5-8f92-c728c4f845b5","http://www.mendeley.com/documents/?uuid=a95924ae-a984-4f6c-8f99-38edaec9b4ac"]}],"mendeley":{"formattedCitation":"[1], [2], [3]","plainTextFormattedCitation":"[1], [2], [3]","previouslyFormattedCitation":"(Bommarco et al., 2013; Moussa, 2013; Zhang et al., 2019)"},"properties":{"noteIndex":0},"schema":"https://github.com/citation-style-language/schema/raw/master/csl-citation.json"}</w:instrText>
      </w:r>
      <w:r w:rsidR="004D7A6B" w:rsidRPr="00502572">
        <w:rPr>
          <w:rFonts w:ascii="Arial" w:hAnsi="Arial" w:cs="Arial"/>
          <w:sz w:val="20"/>
          <w:szCs w:val="20"/>
        </w:rPr>
        <w:fldChar w:fldCharType="separate"/>
      </w:r>
      <w:r w:rsidR="00C80401" w:rsidRPr="00C80401">
        <w:rPr>
          <w:rFonts w:ascii="Arial" w:hAnsi="Arial" w:cs="Arial"/>
          <w:noProof/>
          <w:sz w:val="20"/>
          <w:szCs w:val="20"/>
          <w:lang w:val="en-US"/>
        </w:rPr>
        <w:t>[1], [2], [3]</w:t>
      </w:r>
      <w:r w:rsidR="004D7A6B" w:rsidRPr="00502572">
        <w:rPr>
          <w:rFonts w:ascii="Arial" w:hAnsi="Arial" w:cs="Arial"/>
          <w:sz w:val="20"/>
          <w:szCs w:val="20"/>
        </w:rPr>
        <w:fldChar w:fldCharType="end"/>
      </w:r>
      <w:r w:rsidR="002B1D24" w:rsidRPr="00F46D0D">
        <w:rPr>
          <w:rFonts w:ascii="Arial" w:hAnsi="Arial" w:cs="Arial"/>
          <w:sz w:val="20"/>
          <w:szCs w:val="20"/>
          <w:lang w:val="en-US"/>
        </w:rPr>
        <w:t>. They also provide ecological services such as carbon sequestration</w:t>
      </w:r>
      <w:r w:rsidR="003D192C" w:rsidRPr="00F46D0D">
        <w:rPr>
          <w:rFonts w:ascii="Arial" w:hAnsi="Arial" w:cs="Arial"/>
          <w:sz w:val="20"/>
          <w:szCs w:val="20"/>
          <w:lang w:val="en-US"/>
        </w:rPr>
        <w:t xml:space="preserve"> </w:t>
      </w:r>
      <w:r w:rsidR="004D7A6B" w:rsidRPr="00502572">
        <w:rPr>
          <w:rFonts w:ascii="Arial" w:hAnsi="Arial" w:cs="Arial"/>
          <w:sz w:val="20"/>
          <w:szCs w:val="20"/>
          <w:lang w:val="fr-FR"/>
        </w:rPr>
        <w:fldChar w:fldCharType="begin" w:fldLock="1"/>
      </w:r>
      <w:r w:rsidR="00C80401">
        <w:rPr>
          <w:rFonts w:ascii="Arial" w:hAnsi="Arial" w:cs="Arial"/>
          <w:sz w:val="20"/>
          <w:szCs w:val="20"/>
          <w:lang w:val="en-US"/>
        </w:rPr>
        <w:instrText>ADDIN CSL_CITATION {"citationItems":[{"id":"ITEM-1","itemData":{"DOI":"10.1007/s10584-012-0438-0","ISBN":"1058401204380","ISSN":"01650009","abstract":"Establishing parkland agroforestry on currently treeless cropland in the West African Sahel may help mitigate climate change. To evaluate its potential, we used climatically suitable ranges for parklands for 19 climate scenarios, derived by ecological niche modeling, for estimating potential carbon stocks in parkland and treeless cropland. A biocarbon business model was used to evaluate profitability of hypothetical Terrestrial Carbon Projects (TCPs), across a range of farm sizes, farm numbers, carbon prices and benefit sharing mechanisms. Using climate analogues, we explored potential climate change trajectories for selected locations. If mature parklands covered their maximum range, carbon stocks in Sahelian productive land would be about 1,284 Tg, compared to 725 Tg in a treeless scenario. Due to slow increase rates of total system carbon by 0.4 Mg C ha(-1) a(-1), most TCPs at carbon prices that seem realistic today were not feasible, or required the participation of large numbers of farmers. For small farms, few TCP scenarios were feasible, and low Net Present Values for farmers made it unlikely that carbon payments would motivate many to participate in TCPs, unless additional benefits were provided. Climate analogue locations indicated an uncertain climate trajectory for the Sahel, but most scenarios projected increasing aridity and reduced suitability for parklands. The potentially severe impacts of climate change on Sahelian ecosystems and the uncertain profitability of TCPs make the Sahel highly risky for carbon investments. Given the likelihood of degrading environmental conditions, the search for appropriate adaptation strategies should take precedence over promoting mitigation activities.","author":[{"dropping-particle":"","family":"Luedeling","given":"Eike","non-dropping-particle":"","parse-names":false,"suffix":""},{"dropping-particle":"","family":"Neufeldt","given":"Henry","non-dropping-particle":"","parse-names":false,"suffix":""}],"container-title":"Climatic Change","id":"ITEM-1","issue":"3-4","issued":{"date-parts":[["2012"]]},"page":"443-461","title":"Carbon sequestration potential of parkland agroforestry in the Sahel","type":"article-journal","volume":"115"},"uris":["http://www.mendeley.com/documents/?uuid=36dd1445-53b5-4cdc-85bf-39d9602247ca","http://www.mendeley.com/documents/?uuid=1601a56b-d282-422b-b44a-a3b709fcf645"]},{"id":"ITEM-2","itemData":{"DOI":"10.1016/j.scs.2019.101653","ISSN":"22106707","author":[{"dropping-particle":"","family":"Moussa","given":"Soulé","non-dropping-particle":"","parse-names":false,"suffix":""},{"dropping-particle":"","family":"Kyereh","given":"Boateng","non-dropping-particle":"","parse-names":false,"suffix":""},{"dropping-particle":"","family":"Tougiani","given":"Abasse","non-dropping-particle":"","parse-names":false,"suffix":""},{"dropping-particle":"","family":"Kuyah","given":"Shem","non-dropping-particle":"","parse-names":false,"suffix":""},{"dropping-particle":"","family":"Mahamane","given":"Saadou","non-dropping-particle":"","parse-names":false,"suffix":""}],"container-title":"Sustainable Cities and Society","id":"ITEM-2","issued":{"date-parts":[["2019","6"]]},"page":"101653","publisher":"Elsevier BV","title":"West African Sahelian Cities as Source of Carbon Stocks: Evidence from Niger","type":"article-journal","volume":"50"},"uris":["http://www.mendeley.com/documents/?uuid=14c85864-a181-3aae-9019-d1c2c56b9ebd","http://www.mendeley.com/documents/?uuid=94e11eab-0c75-4e1f-8193-41cd622eebdd"]}],"mendeley":{"formattedCitation":"[4], [5]","plainTextFormattedCitation":"[4], [5]","previouslyFormattedCitation":"(Luedeling &amp; Neufeldt, 2012; Moussa et al., 2019)"},"properties":{"noteIndex":0},"schema":"https://github.com/citation-style-language/schema/raw/master/csl-citation.json"}</w:instrText>
      </w:r>
      <w:r w:rsidR="004D7A6B" w:rsidRPr="00502572">
        <w:rPr>
          <w:rFonts w:ascii="Arial" w:hAnsi="Arial" w:cs="Arial"/>
          <w:sz w:val="20"/>
          <w:szCs w:val="20"/>
          <w:lang w:val="fr-FR"/>
        </w:rPr>
        <w:fldChar w:fldCharType="separate"/>
      </w:r>
      <w:r w:rsidR="00C80401" w:rsidRPr="00C80401">
        <w:rPr>
          <w:rFonts w:ascii="Arial" w:hAnsi="Arial" w:cs="Arial"/>
          <w:noProof/>
          <w:sz w:val="20"/>
          <w:szCs w:val="20"/>
        </w:rPr>
        <w:t>[4], [5]</w:t>
      </w:r>
      <w:r w:rsidR="004D7A6B" w:rsidRPr="00502572">
        <w:rPr>
          <w:rFonts w:ascii="Arial" w:hAnsi="Arial" w:cs="Arial"/>
          <w:sz w:val="20"/>
          <w:szCs w:val="20"/>
          <w:lang w:val="fr-FR"/>
        </w:rPr>
        <w:fldChar w:fldCharType="end"/>
      </w:r>
      <w:r w:rsidR="002B1D24" w:rsidRPr="00502572">
        <w:rPr>
          <w:rFonts w:ascii="Arial" w:hAnsi="Arial" w:cs="Arial"/>
          <w:sz w:val="20"/>
          <w:szCs w:val="20"/>
        </w:rPr>
        <w:t xml:space="preserve">, temperature regulation </w:t>
      </w:r>
      <w:r w:rsidR="004D7A6B" w:rsidRPr="00502572">
        <w:rPr>
          <w:rFonts w:ascii="Arial" w:hAnsi="Arial" w:cs="Arial"/>
          <w:sz w:val="20"/>
          <w:szCs w:val="20"/>
        </w:rPr>
        <w:fldChar w:fldCharType="begin" w:fldLock="1"/>
      </w:r>
      <w:r w:rsidR="00C80401">
        <w:rPr>
          <w:rFonts w:ascii="Arial" w:hAnsi="Arial" w:cs="Arial"/>
          <w:sz w:val="20"/>
          <w:szCs w:val="20"/>
        </w:rPr>
        <w:instrText>ADDIN CSL_CITATION {"citationItems":[{"id":"ITEM-1","itemData":{"DOI":"10.1088/1748-9326/11/5/054020","ISBN":"1748-9326","ISSN":"17489326","abstract":"Many studies have used thermal data from remote sensing to characterize how land use and surface\\nproperties modify the climate of cities. However, relatively few studies have examined the impact of\\nelevated temperature on ecophysiological processes in urban areas. In this paper, we use time series\\nof Landsat data to characterize and quantify how geographic variation in Boston’s surface urban heat\\nisland (SUHI) affects the growing season of vegetation in and around the city, and explore how the\\nquality and character of vegetation patches in Boston affect local heat island intensity. Results\\nfrom this analysis show strong coupling between Boston’s SUHI and vegetation phenology at the scale\\nof both individual landscape units and for the region as a whole, with significant detectable\\nsignatures in both surface temperature and growing season length extending 15 km from Boston’s urban\\ncore. On average, land surface temperatures were about 7 °C warmer and the growing season was 18–22\\ndays longer in Boston relative to adjacent rural areas. Within Boston’s urban core, patterns of\\ntemperature and timing of phenology in areas with higher vegetation amounts (e.g., parks) were\\nsimilar to those in adjacent rural areas, suggesting that vegetation patches provide an important\\necosystem service that offsets the urban heat island at local scales. Local relationships between\\nphenology and temperature were affected by the intensity of urban land use surrounding vegetation\\npatches and possibly by the presence of exotic tree species that are common in urban areas. Results\\nfrom this analysis show how species composition, land cover configuration, and vegetation patch\\nsizes jointly influence the nature and magnitude of coupling between vegetation phenology and SUHIs,\\nand demonstrate that urban vegetation provides a significant ecosystem service in cities by\\ndecreasing the local intensity of SUHIs.","author":[{"dropping-particle":"","family":"Melaas","given":"Eli K.","non-dropping-particle":"","parse-names":false,"suffix":""},{"dropping-particle":"","family":"Wang","given":"Jonathan A.","non-dropping-particle":"","parse-names":false,"suffix":""},{"dropping-particle":"","family":"Miller","given":"David L.","non-dropping-particle":"","parse-names":false,"suffix":""},{"dropping-particle":"","family":"Friedl","given":"Mark A.","non-dropping-particle":"","parse-names":false,"suffix":""}],"container-title":"Environmental Research Letters","id":"ITEM-1","issue":"5","issued":{"date-parts":[["2016"]]},"page":"12","publisher":"IOP Publishing","title":"Interactions between urban vegetation and surface urban heat islands: A case study in the Boston metropolitan region","type":"article-journal","volume":"11"},"uris":["http://www.mendeley.com/documents/?uuid=d568f7a7-f6f8-4e3c-aca7-7f8938ebd497","http://www.mendeley.com/documents/?uuid=926ab0b3-1a05-4b6b-9d9f-9f8651ef1f27"]}],"mendeley":{"formattedCitation":"[6]","plainTextFormattedCitation":"[6]","previouslyFormattedCitation":"(Melaas et al., 2016)"},"properties":{"noteIndex":0},"schema":"https://github.com/citation-style-language/schema/raw/master/csl-citation.json"}</w:instrText>
      </w:r>
      <w:r w:rsidR="004D7A6B" w:rsidRPr="00502572">
        <w:rPr>
          <w:rFonts w:ascii="Arial" w:hAnsi="Arial" w:cs="Arial"/>
          <w:sz w:val="20"/>
          <w:szCs w:val="20"/>
        </w:rPr>
        <w:fldChar w:fldCharType="separate"/>
      </w:r>
      <w:r w:rsidR="00C80401" w:rsidRPr="00C80401">
        <w:rPr>
          <w:rFonts w:ascii="Arial" w:hAnsi="Arial" w:cs="Arial"/>
          <w:noProof/>
          <w:sz w:val="20"/>
          <w:szCs w:val="20"/>
        </w:rPr>
        <w:t>[6]</w:t>
      </w:r>
      <w:r w:rsidR="004D7A6B" w:rsidRPr="00502572">
        <w:rPr>
          <w:rFonts w:ascii="Arial" w:hAnsi="Arial" w:cs="Arial"/>
          <w:sz w:val="20"/>
          <w:szCs w:val="20"/>
        </w:rPr>
        <w:fldChar w:fldCharType="end"/>
      </w:r>
      <w:r w:rsidR="002B1D24" w:rsidRPr="00502572">
        <w:rPr>
          <w:rFonts w:ascii="Arial" w:hAnsi="Arial" w:cs="Arial"/>
          <w:sz w:val="20"/>
          <w:szCs w:val="20"/>
        </w:rPr>
        <w:t xml:space="preserve"> </w:t>
      </w:r>
      <w:r w:rsidR="00CD5D08" w:rsidRPr="00502572">
        <w:rPr>
          <w:rFonts w:ascii="Arial" w:hAnsi="Arial" w:cs="Arial"/>
          <w:sz w:val="20"/>
          <w:szCs w:val="20"/>
        </w:rPr>
        <w:t xml:space="preserve">and </w:t>
      </w:r>
      <w:r w:rsidR="002B1D24" w:rsidRPr="00502572">
        <w:rPr>
          <w:rFonts w:ascii="Arial" w:hAnsi="Arial" w:cs="Arial"/>
          <w:sz w:val="20"/>
          <w:szCs w:val="20"/>
        </w:rPr>
        <w:t>water cycle</w:t>
      </w:r>
      <w:r w:rsidR="00703223" w:rsidRPr="00502572">
        <w:rPr>
          <w:rFonts w:ascii="Arial" w:hAnsi="Arial" w:cs="Arial"/>
          <w:sz w:val="20"/>
          <w:szCs w:val="20"/>
        </w:rPr>
        <w:t xml:space="preserve"> </w:t>
      </w:r>
      <w:r w:rsidR="004D7A6B" w:rsidRPr="00502572">
        <w:rPr>
          <w:rFonts w:ascii="Arial" w:hAnsi="Arial" w:cs="Arial"/>
          <w:sz w:val="20"/>
          <w:szCs w:val="20"/>
        </w:rPr>
        <w:fldChar w:fldCharType="begin" w:fldLock="1"/>
      </w:r>
      <w:r w:rsidR="00C80401">
        <w:rPr>
          <w:rFonts w:ascii="Arial" w:hAnsi="Arial" w:cs="Arial"/>
          <w:sz w:val="20"/>
          <w:szCs w:val="20"/>
        </w:rPr>
        <w:instrText>ADDIN CSL_CITATION {"citationItems":[{"id":"ITEM-1","itemData":{"DOI":"10.1111/jiec.12755","ISSN":"15309290","abstract":"Life cycle assessment (LCA) has enabled consideration of environmental impacts beyond the narrow boundary of traditional engineering methods. This reduces the chance of shifting impacts outside the system boundary. However, sustainability also requires that supporting ecosystems are not adversely affected and remain capable of providing goods and services for supporting human activities. Conventional LCA does not account for this role of nature, and its metrics are best for comparing alternatives. These relative metrics do not provide information about absolute environmental sustainability, which requires comparison between the demand and supply of ecosystem services (ES). Techno-ecological synergy (TES) is a framework to account for ES, and has been demonstrated by application to systems such as buildings and manufacturing activities that have narrow system boundaries. This article develops an approach for techno-ecological synergy in life cycle assessment (TES-LCA) by expanding the steps in conventional LCA to incorporate the demand and supply of ecosystem goods and services at multiple spatial scales. This enables calculation of absolute environmental sustainability metrics, and helps identify opportunities for improving a life cycle not just by reducing impacts, but also by restoring and protecting ecosystems. TES-LCA of a biofuel life cycle demonstrates this approach by considering the ES of carbon sequestration, air quality regulation, and water provisioning. Results show that for the carbon sequestration ecosystem service, farming can be locally sustainable but unsustainable at the global or serviceshed scale. Air quality regulation is unsustainable at all scales, while water provisioning is sustainable at all scales for this study in the eastern part of the United States.","author":[{"dropping-particle":"","family":"Liu","given":"Xinyu","non-dropping-particle":"","parse-names":false,"suffix":""},{"dropping-particle":"","family":"Bakshi","given":"Bhavik R.","non-dropping-particle":"","parse-names":false,"suffix":""}],"container-title":"Journal of Industrial Ecology","id":"ITEM-1","issue":"2","issued":{"date-parts":[["2019"]]},"page":"347-360","title":"Ecosystem Services in Life Cycle Assessment while Encouraging Techno-Ecological Synergies","type":"article-journal","volume":"23"},"uris":["http://www.mendeley.com/documents/?uuid=065ba866-c933-418e-b2fb-83c4c694e19b","http://www.mendeley.com/documents/?uuid=d3797fd6-7388-4db8-a3f2-da88dd51d125"]}],"mendeley":{"formattedCitation":"[7]","plainTextFormattedCitation":"[7]","previouslyFormattedCitation":"(Liu &amp; Bakshi, 2019)"},"properties":{"noteIndex":0},"schema":"https://github.com/citation-style-language/schema/raw/master/csl-citation.json"}</w:instrText>
      </w:r>
      <w:r w:rsidR="004D7A6B" w:rsidRPr="00502572">
        <w:rPr>
          <w:rFonts w:ascii="Arial" w:hAnsi="Arial" w:cs="Arial"/>
          <w:sz w:val="20"/>
          <w:szCs w:val="20"/>
        </w:rPr>
        <w:fldChar w:fldCharType="separate"/>
      </w:r>
      <w:r w:rsidR="00C80401" w:rsidRPr="00C80401">
        <w:rPr>
          <w:rFonts w:ascii="Arial" w:hAnsi="Arial" w:cs="Arial"/>
          <w:noProof/>
          <w:sz w:val="20"/>
          <w:szCs w:val="20"/>
        </w:rPr>
        <w:t>[7]</w:t>
      </w:r>
      <w:r w:rsidR="004D7A6B" w:rsidRPr="00502572">
        <w:rPr>
          <w:rFonts w:ascii="Arial" w:hAnsi="Arial" w:cs="Arial"/>
          <w:sz w:val="20"/>
          <w:szCs w:val="20"/>
        </w:rPr>
        <w:fldChar w:fldCharType="end"/>
      </w:r>
      <w:r w:rsidR="002B1D24" w:rsidRPr="00502572">
        <w:rPr>
          <w:rFonts w:ascii="Arial" w:hAnsi="Arial" w:cs="Arial"/>
          <w:sz w:val="20"/>
          <w:szCs w:val="20"/>
        </w:rPr>
        <w:t xml:space="preserve">. </w:t>
      </w:r>
      <w:r w:rsidR="004A5A1E" w:rsidRPr="00502572">
        <w:rPr>
          <w:rFonts w:ascii="Arial" w:hAnsi="Arial" w:cs="Arial"/>
          <w:sz w:val="20"/>
          <w:szCs w:val="20"/>
        </w:rPr>
        <w:t xml:space="preserve">In addition to that, the </w:t>
      </w:r>
      <w:r w:rsidR="004A5A1E" w:rsidRPr="00F656E2">
        <w:rPr>
          <w:rFonts w:ascii="Arial" w:hAnsi="Arial" w:cs="Arial"/>
          <w:sz w:val="20"/>
          <w:szCs w:val="20"/>
          <w:highlight w:val="yellow"/>
        </w:rPr>
        <w:t>ecosystem</w:t>
      </w:r>
      <w:r w:rsidR="004A5A1E" w:rsidRPr="00502572">
        <w:rPr>
          <w:rFonts w:ascii="Arial" w:hAnsi="Arial" w:cs="Arial"/>
          <w:sz w:val="20"/>
          <w:szCs w:val="20"/>
        </w:rPr>
        <w:t xml:space="preserve"> services play a crucial role in climate change adaptation</w:t>
      </w:r>
      <w:r w:rsidR="00703223" w:rsidRPr="00502572">
        <w:rPr>
          <w:rFonts w:ascii="Arial" w:hAnsi="Arial" w:cs="Arial"/>
          <w:sz w:val="20"/>
          <w:szCs w:val="20"/>
        </w:rPr>
        <w:t xml:space="preserve"> </w:t>
      </w:r>
      <w:r w:rsidR="004D7A6B" w:rsidRPr="00502572">
        <w:rPr>
          <w:rFonts w:ascii="Arial" w:hAnsi="Arial" w:cs="Arial"/>
          <w:sz w:val="20"/>
          <w:szCs w:val="20"/>
        </w:rPr>
        <w:fldChar w:fldCharType="begin" w:fldLock="1"/>
      </w:r>
      <w:r w:rsidR="00C80401">
        <w:rPr>
          <w:rFonts w:ascii="Arial" w:hAnsi="Arial" w:cs="Arial"/>
          <w:sz w:val="20"/>
          <w:szCs w:val="20"/>
        </w:rPr>
        <w:instrText>ADDIN CSL_CITATION {"citationItems":[{"id":"ITEM-1","itemData":{"DOI":"10.1155/2019/3069254","ISSN":"2090908X","abstract":"Understanding local community perceptions on impacts, causes, and responses to climate change is vital for promotion of community resilience towards climate change. This study explored local ecological knowledge (LEK) held by local communities on climate change trends and impacts in the Middle Zambezi Biosphere Reserve (MZBR), Zimbabwe. The objectives of the study were to (i) investigate local community perceptions on trends and causes of climate change, (ii) identify biophysical impacts of climate change at the local level, and (iii) explore the ecosystem-based adaptation strategies towards climate change. The study used a mixed methods approach where a household questionnaire survey (n=320), key informant interviews (n=12), and focus group discussions (n=8) were used to collect data between April 2015 and October 2016. Results from the study show that local communities have observed decreasing rainfall and increasing temperatures as key indicators of climate change. Local communities observed water scarcity, changes in vegetation phenology, livestock and wildlife mortalities, and food shortages due to drought as the major impacts on their livelihoods. LEK can contribute to adaptive management strategies that enhance resilience of socioecological systems (SES) in the face of climate change by providing information on the status and use of biophysical components of the environment and by highlighting potential local adaptation strategies that can sustain key livelihood practices.","author":[{"dropping-particle":"","family":"Kupika","given":"Olga Laiza","non-dropping-particle":"","parse-names":false,"suffix":""},{"dropping-particle":"","family":"Gandiwa","given":"Edson","non-dropping-particle":"","parse-names":false,"suffix":""},{"dropping-particle":"","family":"Nhamo","given":"Godwell","non-dropping-particle":"","parse-names":false,"suffix":""},{"dropping-particle":"","family":"Kativu","given":"Shakkie","non-dropping-particle":"","parse-names":false,"suffix":""}],"container-title":"Scientifica","id":"ITEM-1","issued":{"date-parts":[["2019"]]},"title":"Local ecological knowledge on climate change and ecosystem-based adaptation strategies promote resilience in the Middle Zambezi Biosphere Reserve, Zimbabwe","type":"article-journal","volume":"2019"},"uris":["http://www.mendeley.com/documents/?uuid=37d3650e-5e1e-4a8e-a6a0-70378f336ab5","http://www.mendeley.com/documents/?uuid=b9f50fce-7898-4fb5-94ed-cc9945f21238"]},{"id":"ITEM-2","itemData":{"DOI":"10.1016/j.jclepro.2019.02.028","ISSN":"09596526","abstract":"Ecosystems and biodiversity provide many critical life support functions including clean water, food, climate regulation, and recreational services. Despite its significant values biodiversity in Pakistan is being lost at a significant rate particularly due to agriculture intensification. The intensive agriculture system leading to serious environmental damages including biodiversity loss, water pollution, soil degradation, disruption of carbon sink and increase in GHG emissions. There is a growing recognition of promoting Ecosystem-based Adaptation (EbA) strategies in smallholder agriculture; however, there is limited information about the existing EbA strategies by smallholder farmers and factors that influence the adoption of these practices. This article addresses research gap by using a survey data of 360 households from three districts of Pakistan. We explored existing EbA practices used by farmers and factors associated with the use of these practices. The list of ecosystem-based adaptation practices (EbA) was created on the basis of literature review and with the assistance of expert opinions. This study identified a number of risks associated with ecosystem degradation as perceived by smallholder farmers such as salinization, water pollution, soil erosion and decline in crop productivity. Due to overexploitation of underground water and extensive use of external inputs for agriculture use, the majority of farmers reported decline in water quality and depth of the underground water table. We used a double hurdle model for adoption and intensity of adaptation practices. The results show that farmers' social capital and institutional access increase the probability and intensity of adoption of EbA practices. The study suggests that a majority of smallholder farmers in Pakistan are already using certain EbA strategies, but there is still scope for larger implementation. Institutional policies and non-government organizations (NGOs) can increase broader use of EbA strategies by facilitating farmers’ access to subsidized tree nurseries, farmer-to-farmer information and promoting EbA policies in different socioeconomic and agro-ecological context.","author":[{"dropping-particle":"","family":"Shah","given":"Syed Irshad Ali","non-dropping-particle":"","parse-names":false,"suffix":""},{"dropping-particle":"","family":"Zhou","given":"Jiehong","non-dropping-particle":"","parse-names":false,"suffix":""},{"dropping-particle":"","family":"Shah","given":"Ashfaq Ahmad","non-dropping-particle":"","parse-names":false,"suffix":""}],"container-title":"Journal of Cleaner Production","id":"ITEM-2","issued":{"date-parts":[["2019"]]},"page":"673-684","publisher":"Elsevier Ltd","title":"Ecosystem-based Adaptation (EbA) practices in smallholder agriculture; emerging evidence from rural Pakistan","type":"article-journal","volume":"218"},"uris":["http://www.mendeley.com/documents/?uuid=55fd7e40-4443-42b9-979c-2b7564873cb8","http://www.mendeley.com/documents/?uuid=b41e3032-e41a-4aa7-b7c6-14024ed9de96"]},{"id":"ITEM-3","itemData":{"DOI":"10.1016/j.landurbplan.2018.06.001","ISBN":"01692046 (ISSN)","ISSN":"01692046","abstract":"Africa is urbanizing at an astonishing rate. To meet many of the Sustainable Development Goals there will be a requirement for cities in sub-Saharan Africa to plan for, and manage, the rapid rise in the urban population. Green infrastructure has the potential to provide multiple ecosystem services to benefit the urban population. The general objective of this review is to consolidate research undertaken on urban green infrastructure and the associated ecosystem services in sub-Saharan African cities. The 68 reviewed papers spanned 20 countries and included 74 urban areas. However, only 38% of sub-Saharan countries had any research carried out in them. The most represented ecosystem services were regulating and provisioning, with supporting services getting the least attention. Overall there was a lack of in-depth studies on all ecosystem services, especially supporting and cultural services. Seven overarching categories of barriers and challenges to the sustainable delivery of ecosystem services emerged from the reviewed papers, namely: (i) socio-cultural values, traditions and perceptions; (ii) lack of capacity; (iii) governance, urban planning and social inequality; (iv) lack of data and/or case studies; (v) ecosystem disservices; (vi) spatial trade-offs and conflicts; (vii) climate change. These barriers we identified will need to be addressed if the future, long-term sustainable provision of ecosystem services in sub-Saharan African cities is to be assured.","author":[{"dropping-particle":"","family":"Toit","given":"Marié J.","non-dropping-particle":"du","parse-names":false,"suffix":""},{"dropping-particle":"","family":"Cilliers","given":"Sarel S.","non-dropping-particle":"","parse-names":false,"suffix":""},{"dropping-particle":"","family":"Dallimer","given":"Martin","non-dropping-particle":"","parse-names":false,"suffix":""},{"dropping-particle":"","family":"Goddard","given":"Mark","non-dropping-particle":"","parse-names":false,"suffix":""},{"dropping-particle":"","family":"Guenat","given":"Solène","non-dropping-particle":"","parse-names":false,"suffix":""},{"dropping-particle":"","family":"Cornelius","given":"Susanna F.","non-dropping-particle":"","parse-names":false,"suffix":""}],"container-title":"Landscape and Urban Planning","id":"ITEM-3","issue":"June","issued":{"date-parts":[["2018"]]},"page":"249-261","publisher":"Elsevier","title":"Urban green infrastructure and ecosystem services in sub-Saharan Africa","type":"article-journal","volume":"180"},"uris":["http://www.mendeley.com/documents/?uuid=7ebca78a-dcc6-45be-84f4-be19d3d46f18","http://www.mendeley.com/documents/?uuid=550fcda8-c25b-4fe2-96ad-70fb6ece03ff"]}],"mendeley":{"formattedCitation":"[8], [9], [10]","plainTextFormattedCitation":"[8], [9], [10]","previouslyFormattedCitation":"(du Toit et al., 2018; Kupika et al., 2019; Shah et al., 2019)"},"properties":{"noteIndex":0},"schema":"https://github.com/citation-style-language/schema/raw/master/csl-citation.json"}</w:instrText>
      </w:r>
      <w:r w:rsidR="004D7A6B" w:rsidRPr="00502572">
        <w:rPr>
          <w:rFonts w:ascii="Arial" w:hAnsi="Arial" w:cs="Arial"/>
          <w:sz w:val="20"/>
          <w:szCs w:val="20"/>
        </w:rPr>
        <w:fldChar w:fldCharType="separate"/>
      </w:r>
      <w:r w:rsidR="00C80401" w:rsidRPr="00C80401">
        <w:rPr>
          <w:rFonts w:ascii="Arial" w:hAnsi="Arial" w:cs="Arial"/>
          <w:noProof/>
          <w:sz w:val="20"/>
          <w:szCs w:val="20"/>
          <w:lang w:val="fr-FR"/>
        </w:rPr>
        <w:t>[8], [9], [10]</w:t>
      </w:r>
      <w:r w:rsidR="004D7A6B" w:rsidRPr="00502572">
        <w:rPr>
          <w:rFonts w:ascii="Arial" w:hAnsi="Arial" w:cs="Arial"/>
          <w:sz w:val="20"/>
          <w:szCs w:val="20"/>
        </w:rPr>
        <w:fldChar w:fldCharType="end"/>
      </w:r>
      <w:r w:rsidR="003D192C" w:rsidRPr="00502572">
        <w:rPr>
          <w:rFonts w:ascii="Arial" w:hAnsi="Arial" w:cs="Arial"/>
          <w:sz w:val="20"/>
          <w:szCs w:val="20"/>
        </w:rPr>
        <w:t xml:space="preserve"> such in agricultural systems </w:t>
      </w:r>
      <w:r w:rsidR="004D7A6B" w:rsidRPr="00502572">
        <w:rPr>
          <w:rFonts w:ascii="Arial" w:hAnsi="Arial" w:cs="Arial"/>
          <w:sz w:val="20"/>
          <w:szCs w:val="20"/>
        </w:rPr>
        <w:fldChar w:fldCharType="begin" w:fldLock="1"/>
      </w:r>
      <w:r w:rsidR="00C80401">
        <w:rPr>
          <w:rFonts w:ascii="Arial" w:hAnsi="Arial" w:cs="Arial"/>
          <w:sz w:val="20"/>
          <w:szCs w:val="20"/>
        </w:rPr>
        <w:instrText>ADDIN CSL_CITATION {"citationItems":[{"id":"ITEM-1","itemData":{"DOI":"10.1111/jiec.12755","ISSN":"15309290","abstract":"Life cycle assessment (LCA) has enabled consideration of environmental impacts beyond the narrow boundary of traditional engineering methods. This reduces the chance of shifting impacts outside the system boundary. However, sustainability also requires that supporting ecosystems are not adversely affected and remain capable of providing goods and services for supporting human activities. Conventional LCA does not account for this role of nature, and its metrics are best for comparing alternatives. These relative metrics do not provide information about absolute environmental sustainability, which requires comparison between the demand and supply of ecosystem services (ES). Techno-ecological synergy (TES) is a framework to account for ES, and has been demonstrated by application to systems such as buildings and manufacturing activities that have narrow system boundaries. This article develops an approach for techno-ecological synergy in life cycle assessment (TES-LCA) by expanding the steps in conventional LCA to incorporate the demand and supply of ecosystem goods and services at multiple spatial scales. This enables calculation of absolute environmental sustainability metrics, and helps identify opportunities for improving a life cycle not just by reducing impacts, but also by restoring and protecting ecosystems. TES-LCA of a biofuel life cycle demonstrates this approach by considering the ES of carbon sequestration, air quality regulation, and water provisioning. Results show that for the carbon sequestration ecosystem service, farming can be locally sustainable but unsustainable at the global or serviceshed scale. Air quality regulation is unsustainable at all scales, while water provisioning is sustainable at all scales for this study in the eastern part of the United States.","author":[{"dropping-particle":"","family":"Liu","given":"Xinyu","non-dropping-particle":"","parse-names":false,"suffix":""},{"dropping-particle":"","family":"Bakshi","given":"Bhavik R.","non-dropping-particle":"","parse-names":false,"suffix":""}],"container-title":"Journal of Industrial Ecology","id":"ITEM-1","issue":"2","issued":{"date-parts":[["2019"]]},"page":"347-360","title":"Ecosystem Services in Life Cycle Assessment while Encouraging Techno-Ecological Synergies","type":"article-journal","volume":"23"},"uris":["http://www.mendeley.com/documents/?uuid=d3797fd6-7388-4db8-a3f2-da88dd51d125","http://www.mendeley.com/documents/?uuid=065ba866-c933-418e-b2fb-83c4c694e19b"]},{"id":"ITEM-2","itemData":{"DOI":"10.1016/j.jclepro.2019.02.028","ISSN":"09596526","abstract":"Ecosystems and biodiversity provide many critical life support functions including clean water, food, climate regulation, and recreational services. Despite its significant values biodiversity in Pakistan is being lost at a significant rate particularly due to agriculture intensification. The intensive agriculture system leading to serious environmental damages including biodiversity loss, water pollution, soil degradation, disruption of carbon sink and increase in GHG emissions. There is a growing recognition of promoting Ecosystem-based Adaptation (EbA) strategies in smallholder agriculture; however, there is limited information about the existing EbA strategies by smallholder farmers and factors that influence the adoption of these practices. This article addresses research gap by using a survey data of 360 households from three districts of Pakistan. We explored existing EbA practices used by farmers and factors associated with the use of these practices. The list of ecosystem-based adaptation practices (EbA) was created on the basis of literature review and with the assistance of expert opinions. This study identified a number of risks associated with ecosystem degradation as perceived by smallholder farmers such as salinization, water pollution, soil erosion and decline in crop productivity. Due to overexploitation of underground water and extensive use of external inputs for agriculture use, the majority of farmers reported decline in water quality and depth of the underground water table. We used a double hurdle model for adoption and intensity of adaptation practices. The results show that farmers' social capital and institutional access increase the probability and intensity of adoption of EbA practices. The study suggests that a majority of smallholder farmers in Pakistan are already using certain EbA strategies, but there is still scope for larger implementation. Institutional policies and non-government organizations (NGOs) can increase broader use of EbA strategies by facilitating farmers’ access to subsidized tree nurseries, farmer-to-farmer information and promoting EbA policies in different socioeconomic and agro-ecological context.","author":[{"dropping-particle":"","family":"Shah","given":"Syed Irshad Ali","non-dropping-particle":"","parse-names":false,"suffix":""},{"dropping-particle":"","family":"Zhou","given":"Jiehong","non-dropping-particle":"","parse-names":false,"suffix":""},{"dropping-particle":"","family":"Shah","given":"Ashfaq Ahmad","non-dropping-particle":"","parse-names":false,"suffix":""}],"container-title":"Journal of Cleaner Production","id":"ITEM-2","issued":{"date-parts":[["2019"]]},"page":"673-684","publisher":"Elsevier Ltd","title":"Ecosystem-based Adaptation (EbA) practices in smallholder agriculture; emerging evidence from rural Pakistan","type":"article-journal","volume":"218"},"uris":["http://www.mendeley.com/documents/?uuid=b41e3032-e41a-4aa7-b7c6-14024ed9de96","http://www.mendeley.com/documents/?uuid=55fd7e40-4443-42b9-979c-2b7564873cb8","http://www.mendeley.com/documents/?uuid=440cdf18-ce00-490f-8a11-7db5c45c1eca"]}],"mendeley":{"formattedCitation":"[7], [9]","plainTextFormattedCitation":"[7], [9]","previouslyFormattedCitation":"(Liu &amp; Bakshi, 2019; Shah et al., 2019)"},"properties":{"noteIndex":0},"schema":"https://github.com/citation-style-language/schema/raw/master/csl-citation.json"}</w:instrText>
      </w:r>
      <w:r w:rsidR="004D7A6B" w:rsidRPr="00502572">
        <w:rPr>
          <w:rFonts w:ascii="Arial" w:hAnsi="Arial" w:cs="Arial"/>
          <w:sz w:val="20"/>
          <w:szCs w:val="20"/>
        </w:rPr>
        <w:fldChar w:fldCharType="separate"/>
      </w:r>
      <w:r w:rsidR="00C80401" w:rsidRPr="00C80401">
        <w:rPr>
          <w:rFonts w:ascii="Arial" w:hAnsi="Arial" w:cs="Arial"/>
          <w:noProof/>
          <w:sz w:val="20"/>
          <w:szCs w:val="20"/>
        </w:rPr>
        <w:t>[7], [9]</w:t>
      </w:r>
      <w:r w:rsidR="004D7A6B" w:rsidRPr="00502572">
        <w:rPr>
          <w:rFonts w:ascii="Arial" w:hAnsi="Arial" w:cs="Arial"/>
          <w:sz w:val="20"/>
          <w:szCs w:val="20"/>
        </w:rPr>
        <w:fldChar w:fldCharType="end"/>
      </w:r>
      <w:r w:rsidR="004A5A1E" w:rsidRPr="00502572">
        <w:rPr>
          <w:rFonts w:ascii="Arial" w:hAnsi="Arial" w:cs="Arial"/>
          <w:sz w:val="20"/>
          <w:szCs w:val="20"/>
        </w:rPr>
        <w:t xml:space="preserve">. </w:t>
      </w:r>
      <w:r w:rsidR="004A5A1E" w:rsidRPr="00F656E2">
        <w:rPr>
          <w:rFonts w:ascii="Arial" w:hAnsi="Arial" w:cs="Arial"/>
          <w:sz w:val="20"/>
          <w:szCs w:val="20"/>
          <w:highlight w:val="yellow"/>
        </w:rPr>
        <w:t>Ecosystem</w:t>
      </w:r>
      <w:r w:rsidR="004A5A1E" w:rsidRPr="00502572">
        <w:rPr>
          <w:rFonts w:ascii="Arial" w:hAnsi="Arial" w:cs="Arial"/>
          <w:sz w:val="20"/>
          <w:szCs w:val="20"/>
        </w:rPr>
        <w:t xml:space="preserve"> services are central to meeting the United Nations Sustainable Development </w:t>
      </w:r>
      <w:r w:rsidR="00703223" w:rsidRPr="00502572">
        <w:rPr>
          <w:rFonts w:ascii="Arial" w:hAnsi="Arial" w:cs="Arial"/>
          <w:sz w:val="20"/>
          <w:szCs w:val="20"/>
        </w:rPr>
        <w:t>Goals</w:t>
      </w:r>
      <w:r w:rsidR="004661C7" w:rsidRPr="00502572">
        <w:rPr>
          <w:rFonts w:ascii="Arial" w:hAnsi="Arial" w:cs="Arial"/>
          <w:sz w:val="20"/>
          <w:szCs w:val="20"/>
        </w:rPr>
        <w:t xml:space="preserve"> </w:t>
      </w:r>
      <w:r w:rsidR="004D7A6B" w:rsidRPr="00502572">
        <w:rPr>
          <w:rFonts w:ascii="Arial" w:hAnsi="Arial" w:cs="Arial"/>
          <w:sz w:val="20"/>
          <w:szCs w:val="20"/>
        </w:rPr>
        <w:fldChar w:fldCharType="begin" w:fldLock="1"/>
      </w:r>
      <w:r w:rsidR="00C80401">
        <w:rPr>
          <w:rFonts w:ascii="Arial" w:hAnsi="Arial" w:cs="Arial"/>
          <w:sz w:val="20"/>
          <w:szCs w:val="20"/>
        </w:rPr>
        <w:instrText>ADDIN CSL_CITATION {"citationItems":[{"id":"ITEM-1","itemData":{"DOI":"10.1002/eap.1985","ISSN":"19395582","abstract":"The Sustainable Development Goals (SDGs) emphasize the global and multi-dimensional nature of sustainability and thus require improving our capacity to articulate and trace the impact of ecosystem change to measures of human well-being. Yet, the integrated nature of these goals is challenging to assess without similarly integrated assessment tools. We present a new modeling toolkit, “Mapping Ecosystem Services to Human well-being” (MESH), that integrates commonly used, stand-alone ecosystem services (ES) models from the InVEST suite of models to quantify and illustrate the trade-offs and synergies across five ecosystem services and up to 10 associated SDGs. Development of the software and its functionality were informed by a broad stakeholder consultation with ministries, non-governmental organizations and civil society groups in West Africa to identify common barriers to uptake and application of modeling tools in developing countries. In light of this process, key features included in MESH are (1) integration of multiple ecosystem service (ES) models into a common modeling framework supported by a curated base data set, (2) built-in scenario generation capacity to support policy analysis, (3) visualization of outcomes and trade-offs, and (4) mapping of ecosystem service change to SDG targets and goals. We illustrate the use of MESH in a case study in the Volta basin of West Africa comparing the effectiveness of three alternative conservation prioritization approaches: (1) land cover-based, (2) topographic-based, and (3) an ecosystem service-based approach to minimize the impact of agricultural expansion. We evaluate these approaches by linking changes in service supply to potential impacts on achievement of specific SDG goals and targets.","author":[{"dropping-particle":"","family":"Johnson","given":"Justin A.","non-dropping-particle":"","parse-names":false,"suffix":""},{"dropping-particle":"","family":"Jones","given":"Sarah K.","non-dropping-particle":"","parse-names":false,"suffix":""},{"dropping-particle":"","family":"Wood","given":"Sylvia L.R.","non-dropping-particle":"","parse-names":false,"suffix":""},{"dropping-particle":"","family":"Chaplin-Kramer","given":"Rebecca","non-dropping-particle":"","parse-names":false,"suffix":""},{"dropping-particle":"","family":"Hawthorne","given":"Peter L.","non-dropping-particle":"","parse-names":false,"suffix":""},{"dropping-particle":"","family":"Mulligan","given":"Mark","non-dropping-particle":"","parse-names":false,"suffix":""},{"dropping-particle":"","family":"Pennington","given":"Derric","non-dropping-particle":"","parse-names":false,"suffix":""},{"dropping-particle":"","family":"DeClerck","given":"Fabrice A.","non-dropping-particle":"","parse-names":false,"suffix":""}],"container-title":"Ecological Applications","id":"ITEM-1","issue":"8","issued":{"date-parts":[["2019"]]},"page":"1-14","title":"Mapping Ecosystem Services to Human Well-being: a toolkit to support integrated landscape management for the SDGs","type":"article-journal","volume":"29"},"uris":["http://www.mendeley.com/documents/?uuid=a3ee2c00-a2a0-43f2-bea4-e6ad06c972d9","http://www.mendeley.com/documents/?uuid=255ae6f8-5ded-4515-addd-14910076e755"]}],"mendeley":{"formattedCitation":"[11]","plainTextFormattedCitation":"[11]","previouslyFormattedCitation":"(Johnson et al., 2019)"},"properties":{"noteIndex":0},"schema":"https://github.com/citation-style-language/schema/raw/master/csl-citation.json"}</w:instrText>
      </w:r>
      <w:r w:rsidR="004D7A6B" w:rsidRPr="00502572">
        <w:rPr>
          <w:rFonts w:ascii="Arial" w:hAnsi="Arial" w:cs="Arial"/>
          <w:sz w:val="20"/>
          <w:szCs w:val="20"/>
        </w:rPr>
        <w:fldChar w:fldCharType="separate"/>
      </w:r>
      <w:r w:rsidR="00C80401" w:rsidRPr="00C80401">
        <w:rPr>
          <w:rFonts w:ascii="Arial" w:hAnsi="Arial" w:cs="Arial"/>
          <w:noProof/>
          <w:sz w:val="20"/>
          <w:szCs w:val="20"/>
        </w:rPr>
        <w:t>[11]</w:t>
      </w:r>
      <w:r w:rsidR="004D7A6B" w:rsidRPr="00502572">
        <w:rPr>
          <w:rFonts w:ascii="Arial" w:hAnsi="Arial" w:cs="Arial"/>
          <w:sz w:val="20"/>
          <w:szCs w:val="20"/>
        </w:rPr>
        <w:fldChar w:fldCharType="end"/>
      </w:r>
      <w:r w:rsidR="004661C7" w:rsidRPr="00502572">
        <w:rPr>
          <w:rFonts w:ascii="Arial" w:hAnsi="Arial" w:cs="Arial"/>
          <w:sz w:val="20"/>
          <w:szCs w:val="20"/>
        </w:rPr>
        <w:t xml:space="preserve">. Ecosystems </w:t>
      </w:r>
      <w:r w:rsidRPr="00502572">
        <w:rPr>
          <w:rFonts w:ascii="Arial" w:hAnsi="Arial" w:cs="Arial"/>
          <w:sz w:val="20"/>
          <w:szCs w:val="20"/>
        </w:rPr>
        <w:t>are linked to human well-being because of the different uses or services they provide. Ecosystems also have economic value beyond just agricultural production. To determine ecosystem services, the Millennium Ecosystem Assessment (ME</w:t>
      </w:r>
      <w:r w:rsidR="00CD5D08" w:rsidRPr="00502572">
        <w:rPr>
          <w:rFonts w:ascii="Arial" w:hAnsi="Arial" w:cs="Arial"/>
          <w:sz w:val="20"/>
          <w:szCs w:val="20"/>
        </w:rPr>
        <w:t>A</w:t>
      </w:r>
      <w:r w:rsidRPr="00502572">
        <w:rPr>
          <w:rFonts w:ascii="Arial" w:hAnsi="Arial" w:cs="Arial"/>
          <w:sz w:val="20"/>
          <w:szCs w:val="20"/>
        </w:rPr>
        <w:t>) between 20</w:t>
      </w:r>
      <w:r w:rsidR="004A5A1E" w:rsidRPr="00502572">
        <w:rPr>
          <w:rFonts w:ascii="Arial" w:hAnsi="Arial" w:cs="Arial"/>
          <w:sz w:val="20"/>
          <w:szCs w:val="20"/>
        </w:rPr>
        <w:t>01 and 2005 carried out a study, which identified</w:t>
      </w:r>
      <w:r w:rsidRPr="00502572">
        <w:rPr>
          <w:rFonts w:ascii="Arial" w:hAnsi="Arial" w:cs="Arial"/>
          <w:sz w:val="20"/>
          <w:szCs w:val="20"/>
        </w:rPr>
        <w:t xml:space="preserve"> 31 ecosystem services and classifies them into four categories: supply services, support services, regulatory services and cultural services. On this basis, it highlights the important role of ecosystems in the production of most of the </w:t>
      </w:r>
      <w:r w:rsidRPr="00502572">
        <w:rPr>
          <w:rFonts w:ascii="Arial" w:hAnsi="Arial" w:cs="Arial"/>
          <w:sz w:val="20"/>
          <w:szCs w:val="20"/>
        </w:rPr>
        <w:lastRenderedPageBreak/>
        <w:t xml:space="preserve">goods supplied to </w:t>
      </w:r>
      <w:r w:rsidR="00691F40" w:rsidRPr="00502572">
        <w:rPr>
          <w:rFonts w:ascii="Arial" w:hAnsi="Arial" w:cs="Arial"/>
          <w:sz w:val="20"/>
          <w:szCs w:val="20"/>
        </w:rPr>
        <w:t xml:space="preserve">society </w:t>
      </w:r>
      <w:r w:rsidR="004D7A6B" w:rsidRPr="00502572">
        <w:rPr>
          <w:rFonts w:ascii="Arial" w:hAnsi="Arial" w:cs="Arial"/>
          <w:sz w:val="20"/>
          <w:szCs w:val="20"/>
        </w:rPr>
        <w:fldChar w:fldCharType="begin" w:fldLock="1"/>
      </w:r>
      <w:r w:rsidR="00C80401">
        <w:rPr>
          <w:rFonts w:ascii="Arial" w:hAnsi="Arial" w:cs="Arial"/>
          <w:sz w:val="20"/>
          <w:szCs w:val="20"/>
        </w:rPr>
        <w:instrText>ADDIN CSL_CITATION {"citationItems":[{"id":"ITEM-1","itemData":{"DOI":"10.1016/b978-0-12-812134-4.00008-x","ISBN":"9780128121344","abstract":"Protecting biodiversity and improving the supply of, and equitable access to, ecosystem services is a vital global interest to sustain a healthy planet and deliver benefits to people. This chapter discusses key issues regarding plant genetic resources for food and agriculture (PGRFA), highlighting linkages between PGRFA, dietary diversity, and natural habitats, as well as the roles of gender and community in conservation. Diversely structured landscapes play a crucial role in supporting ecosystem services that maintain the productivity and stability of agroecosystems. To ensure that the global food system remains environmentally sustainable and generates a rich array of nutrients for human health, farm landscapes must be diverse and serve multiple purposes. We outline the need for economic valuation for ecosystem services, illustrated with two case studies on the global cost of land degradation and full benefits and costs of food production systems, noting that a comprehensive evaluation that goes beyond monetary value is needed.","author":[{"dropping-particle":"","family":"Zhang","given":"Wei","non-dropping-particle":"","parse-names":false,"suffix":""},{"dropping-particle":"","family":"Dulloo","given":"Ehsan","non-dropping-particle":"","parse-names":false,"suffix":""},{"dropping-particle":"","family":"Kennedy","given":"Gina","non-dropping-particle":"","parse-names":false,"suffix":""},{"dropping-particle":"","family":"Bailey","given":"Arwen","non-dropping-particle":"","parse-names":false,"suffix":""},{"dropping-particle":"","family":"Sandhu","given":"Harpinder","non-dropping-particle":"","parse-names":false,"suffix":""},{"dropping-particle":"","family":"Nkonya","given":"Ephraim","non-dropping-particle":"","parse-names":false,"suffix":""}],"container-title":"Sustainable Food and Agriculture","id":"ITEM-1","issued":{"date-parts":[["2019"]]},"number-of-pages":"137-152","publisher":"Elsevier Inc.","title":"Biodiversity and Ecosystem Services","type":"book"},"uris":["http://www.mendeley.com/documents/?uuid=a95924ae-a984-4f6c-8f99-38edaec9b4ac","http://www.mendeley.com/documents/?uuid=c45da619-a146-46d5-8f92-c728c4f845b5"]}],"mendeley":{"formattedCitation":"[3]","plainTextFormattedCitation":"[3]","previouslyFormattedCitation":"(Zhang et al., 2019)"},"properties":{"noteIndex":0},"schema":"https://github.com/citation-style-language/schema/raw/master/csl-citation.json"}</w:instrText>
      </w:r>
      <w:r w:rsidR="004D7A6B" w:rsidRPr="00502572">
        <w:rPr>
          <w:rFonts w:ascii="Arial" w:hAnsi="Arial" w:cs="Arial"/>
          <w:sz w:val="20"/>
          <w:szCs w:val="20"/>
        </w:rPr>
        <w:fldChar w:fldCharType="separate"/>
      </w:r>
      <w:r w:rsidR="00C80401" w:rsidRPr="00C80401">
        <w:rPr>
          <w:rFonts w:ascii="Arial" w:hAnsi="Arial" w:cs="Arial"/>
          <w:noProof/>
          <w:sz w:val="20"/>
          <w:szCs w:val="20"/>
        </w:rPr>
        <w:t>[3]</w:t>
      </w:r>
      <w:r w:rsidR="004D7A6B" w:rsidRPr="00502572">
        <w:rPr>
          <w:rFonts w:ascii="Arial" w:hAnsi="Arial" w:cs="Arial"/>
          <w:sz w:val="20"/>
          <w:szCs w:val="20"/>
        </w:rPr>
        <w:fldChar w:fldCharType="end"/>
      </w:r>
      <w:r w:rsidR="004A5A1E" w:rsidRPr="00502572">
        <w:rPr>
          <w:rFonts w:ascii="Arial" w:hAnsi="Arial" w:cs="Arial"/>
          <w:sz w:val="20"/>
          <w:szCs w:val="20"/>
        </w:rPr>
        <w:t xml:space="preserve">. </w:t>
      </w:r>
      <w:r w:rsidR="00691F40" w:rsidRPr="00502572">
        <w:rPr>
          <w:rFonts w:ascii="Arial" w:hAnsi="Arial" w:cs="Arial"/>
          <w:sz w:val="20"/>
          <w:szCs w:val="20"/>
        </w:rPr>
        <w:t>Nevertheless,</w:t>
      </w:r>
      <w:r w:rsidRPr="00502572">
        <w:rPr>
          <w:rFonts w:ascii="Arial" w:hAnsi="Arial" w:cs="Arial"/>
          <w:sz w:val="20"/>
          <w:szCs w:val="20"/>
        </w:rPr>
        <w:t xml:space="preserve"> well-being and poverty alleviation depend on the improvement of ecosystem management with a view to ensuring their conservation and sustainable use. </w:t>
      </w:r>
      <w:r w:rsidR="00691F40" w:rsidRPr="00502572">
        <w:rPr>
          <w:rFonts w:ascii="Arial" w:hAnsi="Arial" w:cs="Arial"/>
          <w:sz w:val="20"/>
          <w:szCs w:val="20"/>
        </w:rPr>
        <w:t>In Sahelian countries like Niger</w:t>
      </w:r>
      <w:r w:rsidRPr="00502572">
        <w:rPr>
          <w:rFonts w:ascii="Arial" w:hAnsi="Arial" w:cs="Arial"/>
          <w:sz w:val="20"/>
          <w:szCs w:val="20"/>
        </w:rPr>
        <w:t xml:space="preserve">, </w:t>
      </w:r>
      <w:r w:rsidR="00691F40" w:rsidRPr="00502572">
        <w:rPr>
          <w:rFonts w:ascii="Arial" w:hAnsi="Arial" w:cs="Arial"/>
          <w:sz w:val="20"/>
          <w:szCs w:val="20"/>
        </w:rPr>
        <w:t xml:space="preserve">the climate </w:t>
      </w:r>
      <w:r w:rsidRPr="00502572">
        <w:rPr>
          <w:rFonts w:ascii="Arial" w:hAnsi="Arial" w:cs="Arial"/>
          <w:sz w:val="20"/>
          <w:szCs w:val="20"/>
        </w:rPr>
        <w:t xml:space="preserve">is characterized by great interannual variability in rainfall, which results in recurrent dry </w:t>
      </w:r>
      <w:r w:rsidR="004A5A1E" w:rsidRPr="00502572">
        <w:rPr>
          <w:rFonts w:ascii="Arial" w:hAnsi="Arial" w:cs="Arial"/>
          <w:sz w:val="20"/>
          <w:szCs w:val="20"/>
        </w:rPr>
        <w:t>years, which</w:t>
      </w:r>
      <w:r w:rsidRPr="00502572">
        <w:rPr>
          <w:rFonts w:ascii="Arial" w:hAnsi="Arial" w:cs="Arial"/>
          <w:sz w:val="20"/>
          <w:szCs w:val="20"/>
        </w:rPr>
        <w:t xml:space="preserve"> are becoming more and more frequent. Indeed, through studies carried out on biodiversity </w:t>
      </w:r>
      <w:r w:rsidR="002D3228" w:rsidRPr="00502572">
        <w:rPr>
          <w:rFonts w:ascii="Arial" w:hAnsi="Arial" w:cs="Arial"/>
          <w:sz w:val="20"/>
          <w:szCs w:val="20"/>
        </w:rPr>
        <w:fldChar w:fldCharType="begin" w:fldLock="1"/>
      </w:r>
      <w:r w:rsidR="00C80401">
        <w:rPr>
          <w:rFonts w:ascii="Arial" w:hAnsi="Arial" w:cs="Arial"/>
          <w:sz w:val="20"/>
          <w:szCs w:val="20"/>
        </w:rPr>
        <w:instrText>ADDIN CSL_CITATION {"citationItems":[{"id":"ITEM-1","itemData":{"author":[{"dropping-particle":"","family":"Mahamane","given":"Ali","non-dropping-particle":"","parse-names":false,"suffix":""},{"dropping-particle":"","family":"Saadou","given":"Mahamane","non-dropping-particle":"","parse-names":false,"suffix":""},{"dropping-particle":"","family":"Danjimo, Mohamed Baïna Saley","given":"Karim","non-dropping-particle":"","parse-names":false,"suffix":""},{"dropping-particle":"","family":"Bakasso","given":"Yacoubou","non-dropping-particle":"","parse-names":false,"suffix":""},{"dropping-particle":"","family":"Diouf","given":"Abdoulaye","non-dropping-particle":"","parse-names":false,"suffix":""},{"dropping-particle":"","family":"Morou","given":"Boubé","non-dropping-particle":"","parse-names":false,"suffix":""},{"dropping-particle":"","family":"Inoussa, Maman Maarouhi Soumana","given":"Idrissa","non-dropping-particle":"","parse-names":false,"suffix":""},{"dropping-particle":"","family":"Tanimoune","given":"Arzika","non-dropping-particle":"","parse-names":false,"suffix":""}],"container-title":"Ann. Univ. Lomé (Togo), série Sciences, Tome XVIII","id":"ITEM-1","issued":{"date-parts":[["2009"]]},"page":"81-93","title":"BIODIVERSITE VEGETALE AU NIGER : ETAT DES CONNAISSANCES ACTUELLES","type":"article-journal"},"uris":["http://www.mendeley.com/documents/?uuid=82eb3806-ab59-4c31-8e30-3c26c909fc53","http://www.mendeley.com/documents/?uuid=486ed598-8bdd-4b98-91be-c198a795868d"]}],"mendeley":{"formattedCitation":"[12]","plainTextFormattedCitation":"[12]","previouslyFormattedCitation":"(Mahamane et al., 2009)"},"properties":{"noteIndex":0},"schema":"https://github.com/citation-style-language/schema/raw/master/csl-citation.json"}</w:instrText>
      </w:r>
      <w:r w:rsidR="002D3228" w:rsidRPr="00502572">
        <w:rPr>
          <w:rFonts w:ascii="Arial" w:hAnsi="Arial" w:cs="Arial"/>
          <w:sz w:val="20"/>
          <w:szCs w:val="20"/>
        </w:rPr>
        <w:fldChar w:fldCharType="separate"/>
      </w:r>
      <w:r w:rsidR="00C80401" w:rsidRPr="00C80401">
        <w:rPr>
          <w:rFonts w:ascii="Arial" w:hAnsi="Arial" w:cs="Arial"/>
          <w:noProof/>
          <w:sz w:val="20"/>
          <w:szCs w:val="20"/>
        </w:rPr>
        <w:t>[12]</w:t>
      </w:r>
      <w:r w:rsidR="002D3228" w:rsidRPr="00502572">
        <w:rPr>
          <w:rFonts w:ascii="Arial" w:hAnsi="Arial" w:cs="Arial"/>
          <w:sz w:val="20"/>
          <w:szCs w:val="20"/>
        </w:rPr>
        <w:fldChar w:fldCharType="end"/>
      </w:r>
      <w:r w:rsidRPr="00502572">
        <w:rPr>
          <w:rFonts w:ascii="Arial" w:hAnsi="Arial" w:cs="Arial"/>
          <w:sz w:val="20"/>
          <w:szCs w:val="20"/>
        </w:rPr>
        <w:t xml:space="preserve">, it clearly appears that the threats that cause the degradation and loss of natural ecosystems still persist and among these causes. This situation is very critical on a global scale, especially since the disappearance of natural ecosystems has reached a rate never observed before </w:t>
      </w:r>
      <w:r w:rsidR="00FE7E18" w:rsidRPr="00502572">
        <w:rPr>
          <w:rFonts w:ascii="Arial" w:hAnsi="Arial" w:cs="Arial"/>
          <w:sz w:val="20"/>
          <w:szCs w:val="20"/>
        </w:rPr>
        <w:fldChar w:fldCharType="begin" w:fldLock="1"/>
      </w:r>
      <w:r w:rsidR="00C80401">
        <w:rPr>
          <w:rFonts w:ascii="Arial" w:hAnsi="Arial" w:cs="Arial"/>
          <w:sz w:val="20"/>
          <w:szCs w:val="20"/>
        </w:rPr>
        <w:instrText>ADDIN CSL_CITATION {"citationItems":[{"id":"ITEM-1","itemData":{"DOI":"10.32859/era.20.13.1-18","ISSN":"15473465","abstract":"Background: Ecosystems provide countless services to humans. However, the source of ecosystem services is poorly perceived by local populations leding to overexploitation. This study aims to assess local perceptions of ecosystem services and their sources of supply. Methods: The study was conducted in three protected areas (PA) and their surrounding zones in eastern Burkina Faso. Open-ended interviews were conducted randomly on 148 persons to identify the benefits people obtain from PA. Local strategies for conservation were also identified. The benefits were classified into the four categories of ecosystem services (provisioning, regulating, cultural and supporting) and another category called \"other services\". Citation percentages were calculated, and statistical comparison test was carried out. A Principal Component Analysis (PCA) was conducted to break down the different services by PA. Results: Local people listed eigth protected areas offering 39 types of benefits, divided into the different categories. Provisioning services and category \"other services\" were the most quoted. The benefits vary from one area to another. The National Park of W offers the most benefits (64.10%). The conservation status of each PA influences the supply of benefits. Thus, most of the services classified by the Millennium Ecosystem Assessment are provided by the parcs, while those in the \"other services\" category are provided by the hunting zones. The populations recognize ecosystem services with their sources and proposed 25 solutions to ensure the sustainability of services. Conclusion: The local people point of view is important for reliable management plans taking into account their cultural knowledge and aspirations.","author":[{"dropping-particle":"","family":"Ouédraogo","given":"Issaka","non-dropping-particle":"","parse-names":false,"suffix":""},{"dropping-particle":"","family":"Sambaré","given":"Oumarou","non-dropping-particle":"","parse-names":false,"suffix":""},{"dropping-particle":"","family":"Savadogo","given":"Salfo","non-dropping-particle":"","parse-names":false,"suffix":""},{"dropping-particle":"","family":"Thiombiano","given":"Adjima","non-dropping-particle":"","parse-names":false,"suffix":""}],"container-title":"Ethnobotany Research and Applications","id":"ITEM-1","issued":{"date-parts":[["2020"]]},"page":"1-18","title":"Perceptions locales des services écosystémiques des aires protégées à l’Est du Burkina Faso","type":"article-journal","volume":"20"},"uris":["http://www.mendeley.com/documents/?uuid=df1892d6-c9ae-4116-a0bd-eb49c185a09d","http://www.mendeley.com/documents/?uuid=a9130360-e245-4579-a3da-eef39781d7fa"]}],"mendeley":{"formattedCitation":"[13]","plainTextFormattedCitation":"[13]","previouslyFormattedCitation":"(Ouédraogo et al., 2020)"},"properties":{"noteIndex":0},"schema":"https://github.com/citation-style-language/schema/raw/master/csl-citation.json"}</w:instrText>
      </w:r>
      <w:r w:rsidR="00FE7E18" w:rsidRPr="00502572">
        <w:rPr>
          <w:rFonts w:ascii="Arial" w:hAnsi="Arial" w:cs="Arial"/>
          <w:sz w:val="20"/>
          <w:szCs w:val="20"/>
        </w:rPr>
        <w:fldChar w:fldCharType="separate"/>
      </w:r>
      <w:r w:rsidR="00C80401" w:rsidRPr="00C80401">
        <w:rPr>
          <w:rFonts w:ascii="Arial" w:hAnsi="Arial" w:cs="Arial"/>
          <w:noProof/>
          <w:sz w:val="20"/>
          <w:szCs w:val="20"/>
        </w:rPr>
        <w:t>[13]</w:t>
      </w:r>
      <w:r w:rsidR="00FE7E18" w:rsidRPr="00502572">
        <w:rPr>
          <w:rFonts w:ascii="Arial" w:hAnsi="Arial" w:cs="Arial"/>
          <w:sz w:val="20"/>
          <w:szCs w:val="20"/>
        </w:rPr>
        <w:fldChar w:fldCharType="end"/>
      </w:r>
      <w:r w:rsidRPr="00502572">
        <w:rPr>
          <w:rFonts w:ascii="Arial" w:hAnsi="Arial" w:cs="Arial"/>
          <w:sz w:val="20"/>
          <w:szCs w:val="20"/>
        </w:rPr>
        <w:t>. Each year 70,000 to 80,000 h</w:t>
      </w:r>
      <w:r w:rsidR="00CD5D08" w:rsidRPr="00502572">
        <w:rPr>
          <w:rFonts w:ascii="Arial" w:hAnsi="Arial" w:cs="Arial"/>
          <w:sz w:val="20"/>
          <w:szCs w:val="20"/>
        </w:rPr>
        <w:t>ectares (h</w:t>
      </w:r>
      <w:r w:rsidRPr="00502572">
        <w:rPr>
          <w:rFonts w:ascii="Arial" w:hAnsi="Arial" w:cs="Arial"/>
          <w:sz w:val="20"/>
          <w:szCs w:val="20"/>
        </w:rPr>
        <w:t>a</w:t>
      </w:r>
      <w:r w:rsidR="00CD5D08" w:rsidRPr="00502572">
        <w:rPr>
          <w:rFonts w:ascii="Arial" w:hAnsi="Arial" w:cs="Arial"/>
          <w:sz w:val="20"/>
          <w:szCs w:val="20"/>
        </w:rPr>
        <w:t>)</w:t>
      </w:r>
      <w:r w:rsidRPr="00502572">
        <w:rPr>
          <w:rFonts w:ascii="Arial" w:hAnsi="Arial" w:cs="Arial"/>
          <w:sz w:val="20"/>
          <w:szCs w:val="20"/>
        </w:rPr>
        <w:t xml:space="preserve"> are removed from classified Niger forests under the effects of climate change combined with uncontrolled cutting of trees and especially the expansion of crops on forest land </w:t>
      </w:r>
      <w:r w:rsidR="00FE7E18" w:rsidRPr="00502572">
        <w:rPr>
          <w:rFonts w:ascii="Arial" w:hAnsi="Arial" w:cs="Arial"/>
          <w:sz w:val="20"/>
          <w:szCs w:val="20"/>
        </w:rPr>
        <w:fldChar w:fldCharType="begin" w:fldLock="1"/>
      </w:r>
      <w:r w:rsidR="00C80401">
        <w:rPr>
          <w:rFonts w:ascii="Arial" w:hAnsi="Arial" w:cs="Arial"/>
          <w:sz w:val="20"/>
          <w:szCs w:val="20"/>
        </w:rPr>
        <w:instrText>ADDIN CSL_CITATION {"citationItems":[{"id":"ITEM-1","itemData":{"DOI":"10.4314/ijbcs.v11i3.14","ISSN":"1991-8631","author":[{"dropping-particle":"","family":"Soukaradji","given":"Barmo","non-dropping-particle":"","parse-names":false,"suffix":""},{"dropping-particle":"","family":"Abdou","given":"Amani","non-dropping-particle":"","parse-names":false,"suffix":""},{"dropping-particle":"","family":"Lawali","given":"Sitou","non-dropping-particle":"","parse-names":false,"suffix":""},{"dropping-particle":"","family":"Aboubacar","given":"Ichaou","non-dropping-particle":"","parse-names":false,"suffix":""},{"dropping-particle":"","family":"Mahamane","given":"Ali","non-dropping-particle":"","parse-names":false,"suffix":""},{"dropping-particle":"","family":"Saadou","given":"Mahamane","non-dropping-particle":"","parse-names":false,"suffix":""}],"container-title":"International Journal of Biological and Chemical Sciences","id":"ITEM-1","issue":"3","issued":{"date-parts":[["2017"]]},"page":"1096","title":"Typologie des exploitations agricoles familiales : cas de la périphérie de la forêt protégée de Baban Rafi du Niger","type":"article-journal","volume":"11"},"uris":["http://www.mendeley.com/documents/?uuid=e8748887-9361-4989-9ade-475811417db3","http://www.mendeley.com/documents/?uuid=3f5baee9-94b0-4174-baf1-ed30b85b0412"]}],"mendeley":{"formattedCitation":"[14]","plainTextFormattedCitation":"[14]","previouslyFormattedCitation":"(Soukaradji et al., 2017)"},"properties":{"noteIndex":0},"schema":"https://github.com/citation-style-language/schema/raw/master/csl-citation.json"}</w:instrText>
      </w:r>
      <w:r w:rsidR="00FE7E18" w:rsidRPr="00502572">
        <w:rPr>
          <w:rFonts w:ascii="Arial" w:hAnsi="Arial" w:cs="Arial"/>
          <w:sz w:val="20"/>
          <w:szCs w:val="20"/>
        </w:rPr>
        <w:fldChar w:fldCharType="separate"/>
      </w:r>
      <w:r w:rsidR="00C80401" w:rsidRPr="00C80401">
        <w:rPr>
          <w:rFonts w:ascii="Arial" w:hAnsi="Arial" w:cs="Arial"/>
          <w:noProof/>
          <w:sz w:val="20"/>
          <w:szCs w:val="20"/>
        </w:rPr>
        <w:t>[14]</w:t>
      </w:r>
      <w:r w:rsidR="00FE7E18" w:rsidRPr="00502572">
        <w:rPr>
          <w:rFonts w:ascii="Arial" w:hAnsi="Arial" w:cs="Arial"/>
          <w:sz w:val="20"/>
          <w:szCs w:val="20"/>
        </w:rPr>
        <w:fldChar w:fldCharType="end"/>
      </w:r>
      <w:r w:rsidRPr="00502572">
        <w:rPr>
          <w:rFonts w:ascii="Arial" w:hAnsi="Arial" w:cs="Arial"/>
          <w:sz w:val="20"/>
          <w:szCs w:val="20"/>
        </w:rPr>
        <w:t xml:space="preserve">. For </w:t>
      </w:r>
      <w:r w:rsidR="00FE7E18" w:rsidRPr="00502572">
        <w:rPr>
          <w:rFonts w:ascii="Arial" w:hAnsi="Arial" w:cs="Arial"/>
          <w:sz w:val="20"/>
          <w:szCs w:val="20"/>
        </w:rPr>
        <w:fldChar w:fldCharType="begin" w:fldLock="1"/>
      </w:r>
      <w:r w:rsidR="00C80401">
        <w:rPr>
          <w:rFonts w:ascii="Arial" w:hAnsi="Arial" w:cs="Arial"/>
          <w:sz w:val="20"/>
          <w:szCs w:val="20"/>
        </w:rPr>
        <w:instrText>ADDIN CSL_CITATION {"citationItems":[{"id":"ITEM-1","itemData":{"author":[{"dropping-particle":"","family":"Banoin","given":"Maxime","non-dropping-particle":"","parse-names":false,"suffix":""},{"dropping-particle":"","family":"Guengant","given":"Jean-Pierre","non-dropping-particle":"","parse-names":false,"suffix":""}],"container-title":"Jachère et systèmes agraires. Atelier Niamey et dakar. IRD.","id":"ITEM-1","issued":{"date-parts":[["1998"]]},"page":"1-14","title":"Les systèmes agraires traditionnels nigériens dans l'impasse face à la démographie. In: Floret Christian et Pontanier Roger (eds.)","type":"article-journal"},"uris":["http://www.mendeley.com/documents/?uuid=b88744d4-7d77-403c-8073-a32282b92042","http://www.mendeley.com/documents/?uuid=7e2ce0b2-08b4-4cc8-a433-609b08b0c976"]}],"mendeley":{"formattedCitation":"[15]","plainTextFormattedCitation":"[15]","previouslyFormattedCitation":"(Banoin &amp; Guengant, 1998)"},"properties":{"noteIndex":0},"schema":"https://github.com/citation-style-language/schema/raw/master/csl-citation.json"}</w:instrText>
      </w:r>
      <w:r w:rsidR="00FE7E18" w:rsidRPr="00502572">
        <w:rPr>
          <w:rFonts w:ascii="Arial" w:hAnsi="Arial" w:cs="Arial"/>
          <w:sz w:val="20"/>
          <w:szCs w:val="20"/>
        </w:rPr>
        <w:fldChar w:fldCharType="separate"/>
      </w:r>
      <w:r w:rsidR="00C80401" w:rsidRPr="00C80401">
        <w:rPr>
          <w:rFonts w:ascii="Arial" w:hAnsi="Arial" w:cs="Arial"/>
          <w:noProof/>
          <w:sz w:val="20"/>
          <w:szCs w:val="20"/>
        </w:rPr>
        <w:t>[15]</w:t>
      </w:r>
      <w:r w:rsidR="00FE7E18" w:rsidRPr="00502572">
        <w:rPr>
          <w:rFonts w:ascii="Arial" w:hAnsi="Arial" w:cs="Arial"/>
          <w:sz w:val="20"/>
          <w:szCs w:val="20"/>
        </w:rPr>
        <w:fldChar w:fldCharType="end"/>
      </w:r>
      <w:r w:rsidRPr="00502572">
        <w:rPr>
          <w:rFonts w:ascii="Arial" w:hAnsi="Arial" w:cs="Arial"/>
          <w:sz w:val="20"/>
          <w:szCs w:val="20"/>
        </w:rPr>
        <w:t>, the degradation of Niger's ecosystems is mainly due to significant changes in land use following rapid population growth because they increase the demand for cro</w:t>
      </w:r>
      <w:r w:rsidR="00A373B2" w:rsidRPr="00502572">
        <w:rPr>
          <w:rFonts w:ascii="Arial" w:hAnsi="Arial" w:cs="Arial"/>
          <w:sz w:val="20"/>
          <w:szCs w:val="20"/>
        </w:rPr>
        <w:t xml:space="preserve">p space, the need for firewood </w:t>
      </w:r>
      <w:r w:rsidRPr="00502572">
        <w:rPr>
          <w:rFonts w:ascii="Arial" w:hAnsi="Arial" w:cs="Arial"/>
          <w:sz w:val="20"/>
          <w:szCs w:val="20"/>
        </w:rPr>
        <w:t xml:space="preserve">and levies for other purposes and the overexploitation of natural resources. </w:t>
      </w:r>
      <w:r w:rsidRPr="004A0C9D">
        <w:rPr>
          <w:rFonts w:ascii="Arial" w:hAnsi="Arial" w:cs="Arial"/>
          <w:sz w:val="20"/>
          <w:szCs w:val="20"/>
          <w:highlight w:val="yellow"/>
        </w:rPr>
        <w:t>Ecosystems are a source of great importance</w:t>
      </w:r>
      <w:r w:rsidR="006622CE" w:rsidRPr="004A0C9D">
        <w:rPr>
          <w:rFonts w:ascii="Arial" w:hAnsi="Arial" w:cs="Arial"/>
          <w:sz w:val="20"/>
          <w:szCs w:val="20"/>
          <w:highlight w:val="yellow"/>
        </w:rPr>
        <w:t xml:space="preserve"> in dryland region</w:t>
      </w:r>
      <w:r w:rsidR="00F46D0D">
        <w:rPr>
          <w:rFonts w:ascii="Arial" w:hAnsi="Arial" w:cs="Arial"/>
          <w:sz w:val="20"/>
          <w:szCs w:val="20"/>
          <w:highlight w:val="yellow"/>
        </w:rPr>
        <w:t xml:space="preserve"> like in Niger</w:t>
      </w:r>
      <w:r w:rsidRPr="004A0C9D">
        <w:rPr>
          <w:rFonts w:ascii="Arial" w:hAnsi="Arial" w:cs="Arial"/>
          <w:sz w:val="20"/>
          <w:szCs w:val="20"/>
          <w:highlight w:val="yellow"/>
        </w:rPr>
        <w:t xml:space="preserve"> because spontaneous and cultivated plant species are of great interest in the diet of populations, particularly during periods of famine and </w:t>
      </w:r>
      <w:r w:rsidR="00AD2414" w:rsidRPr="004A0C9D">
        <w:rPr>
          <w:rFonts w:ascii="Arial" w:hAnsi="Arial" w:cs="Arial"/>
          <w:sz w:val="20"/>
          <w:szCs w:val="20"/>
          <w:highlight w:val="yellow"/>
        </w:rPr>
        <w:t>hunger</w:t>
      </w:r>
      <w:r w:rsidR="006622CE" w:rsidRPr="004A0C9D">
        <w:rPr>
          <w:rFonts w:ascii="Arial" w:hAnsi="Arial" w:cs="Arial"/>
          <w:sz w:val="20"/>
          <w:szCs w:val="20"/>
          <w:highlight w:val="yellow"/>
        </w:rPr>
        <w:t xml:space="preserve"> when the wild plant species </w:t>
      </w:r>
      <w:r w:rsidRPr="004A0C9D">
        <w:rPr>
          <w:rFonts w:ascii="Arial" w:hAnsi="Arial" w:cs="Arial"/>
          <w:sz w:val="20"/>
          <w:szCs w:val="20"/>
          <w:highlight w:val="yellow"/>
        </w:rPr>
        <w:t>are used for animal feed,</w:t>
      </w:r>
      <w:r w:rsidR="006622CE" w:rsidRPr="004A0C9D">
        <w:rPr>
          <w:rFonts w:ascii="Arial" w:hAnsi="Arial" w:cs="Arial"/>
          <w:sz w:val="20"/>
          <w:szCs w:val="20"/>
          <w:highlight w:val="yellow"/>
        </w:rPr>
        <w:t xml:space="preserve"> for huma food</w:t>
      </w:r>
      <w:r w:rsidR="00F46D0D">
        <w:rPr>
          <w:rFonts w:ascii="Arial" w:hAnsi="Arial" w:cs="Arial"/>
          <w:sz w:val="20"/>
          <w:szCs w:val="20"/>
          <w:highlight w:val="yellow"/>
        </w:rPr>
        <w:t xml:space="preserve"> and </w:t>
      </w:r>
      <w:r w:rsidR="004A0C9D" w:rsidRPr="004A0C9D">
        <w:rPr>
          <w:rFonts w:ascii="Arial" w:hAnsi="Arial" w:cs="Arial"/>
          <w:sz w:val="20"/>
          <w:szCs w:val="20"/>
          <w:highlight w:val="yellow"/>
        </w:rPr>
        <w:t>in</w:t>
      </w:r>
      <w:r w:rsidRPr="004A0C9D">
        <w:rPr>
          <w:rFonts w:ascii="Arial" w:hAnsi="Arial" w:cs="Arial"/>
          <w:sz w:val="20"/>
          <w:szCs w:val="20"/>
          <w:highlight w:val="yellow"/>
        </w:rPr>
        <w:t xml:space="preserve"> </w:t>
      </w:r>
      <w:r w:rsidR="004A0C9D" w:rsidRPr="004A0C9D">
        <w:rPr>
          <w:rFonts w:ascii="Arial" w:hAnsi="Arial" w:cs="Arial"/>
          <w:sz w:val="20"/>
          <w:szCs w:val="20"/>
          <w:highlight w:val="yellow"/>
        </w:rPr>
        <w:t>pharmacopoeia</w:t>
      </w:r>
      <w:r w:rsidR="00F46D0D">
        <w:rPr>
          <w:rFonts w:ascii="Arial" w:hAnsi="Arial" w:cs="Arial"/>
          <w:sz w:val="20"/>
          <w:szCs w:val="20"/>
          <w:highlight w:val="yellow"/>
        </w:rPr>
        <w:t xml:space="preserve"> </w:t>
      </w:r>
      <w:r w:rsidR="00F46D0D">
        <w:rPr>
          <w:rFonts w:ascii="Arial" w:hAnsi="Arial" w:cs="Arial"/>
          <w:sz w:val="20"/>
          <w:szCs w:val="20"/>
          <w:highlight w:val="yellow"/>
        </w:rPr>
        <w:fldChar w:fldCharType="begin" w:fldLock="1"/>
      </w:r>
      <w:r w:rsidR="00C80401">
        <w:rPr>
          <w:rFonts w:ascii="Arial" w:hAnsi="Arial" w:cs="Arial"/>
          <w:sz w:val="20"/>
          <w:szCs w:val="20"/>
          <w:highlight w:val="yellow"/>
        </w:rPr>
        <w:instrText>ADDIN CSL_CITATION {"citationItems":[{"id":"ITEM-1","itemData":{"DOI":"10.9734/jaeri/2024/v25i6653","author":[{"dropping-particle":"","family":"Soumana","given":"Douma","non-dropping-particle":"","parse-names":false,"suffix":""},{"dropping-particle":"","family":"Soulé","given":"Moussa","non-dropping-particle":"","parse-names":false,"suffix":""}],"container-title":"Journal of Agriculture and Ecology Research International","id":"ITEM-1","issue":"6","issued":{"date-parts":[["2024"]]},"page":"216-232","title":"Degradation of Edible Woody Species Consumed during Periods of Food Shortage and Their Preferences among the Local Population in the Sudano- Sahelian Zones of Niger , West Africa Sahel","type":"article-journal","volume":"25"},"uris":["http://www.mendeley.com/documents/?uuid=dcfe6141-2e05-4043-9fb5-e123eae00877"]}],"mendeley":{"formattedCitation":"[16]","plainTextFormattedCitation":"[16]","previouslyFormattedCitation":"(Soumana &amp; Soulé, 2024)"},"properties":{"noteIndex":0},"schema":"https://github.com/citation-style-language/schema/raw/master/csl-citation.json"}</w:instrText>
      </w:r>
      <w:r w:rsidR="00F46D0D">
        <w:rPr>
          <w:rFonts w:ascii="Arial" w:hAnsi="Arial" w:cs="Arial"/>
          <w:sz w:val="20"/>
          <w:szCs w:val="20"/>
          <w:highlight w:val="yellow"/>
        </w:rPr>
        <w:fldChar w:fldCharType="separate"/>
      </w:r>
      <w:r w:rsidR="00C80401" w:rsidRPr="00C80401">
        <w:rPr>
          <w:rFonts w:ascii="Arial" w:hAnsi="Arial" w:cs="Arial"/>
          <w:noProof/>
          <w:sz w:val="20"/>
          <w:szCs w:val="20"/>
          <w:highlight w:val="yellow"/>
        </w:rPr>
        <w:t>[16]</w:t>
      </w:r>
      <w:r w:rsidR="00F46D0D">
        <w:rPr>
          <w:rFonts w:ascii="Arial" w:hAnsi="Arial" w:cs="Arial"/>
          <w:sz w:val="20"/>
          <w:szCs w:val="20"/>
          <w:highlight w:val="yellow"/>
        </w:rPr>
        <w:fldChar w:fldCharType="end"/>
      </w:r>
      <w:r w:rsidR="004A0C9D" w:rsidRPr="004A0C9D">
        <w:rPr>
          <w:rFonts w:ascii="Arial" w:hAnsi="Arial" w:cs="Arial"/>
          <w:sz w:val="20"/>
          <w:szCs w:val="20"/>
          <w:highlight w:val="yellow"/>
        </w:rPr>
        <w:t xml:space="preserve"> </w:t>
      </w:r>
      <w:r w:rsidRPr="004A0C9D">
        <w:rPr>
          <w:rFonts w:ascii="Arial" w:hAnsi="Arial" w:cs="Arial"/>
          <w:sz w:val="20"/>
          <w:szCs w:val="20"/>
          <w:highlight w:val="yellow"/>
        </w:rPr>
        <w:t>.</w:t>
      </w:r>
      <w:r w:rsidRPr="00502572">
        <w:rPr>
          <w:rFonts w:ascii="Arial" w:hAnsi="Arial" w:cs="Arial"/>
          <w:sz w:val="20"/>
          <w:szCs w:val="20"/>
        </w:rPr>
        <w:t xml:space="preserve"> According to </w:t>
      </w:r>
      <w:r w:rsidR="00235EFE" w:rsidRPr="00502572">
        <w:rPr>
          <w:rFonts w:ascii="Arial" w:hAnsi="Arial" w:cs="Arial"/>
          <w:sz w:val="20"/>
          <w:szCs w:val="20"/>
        </w:rPr>
        <w:fldChar w:fldCharType="begin" w:fldLock="1"/>
      </w:r>
      <w:r w:rsidR="00C80401">
        <w:rPr>
          <w:rFonts w:ascii="Arial" w:hAnsi="Arial" w:cs="Arial"/>
          <w:sz w:val="20"/>
          <w:szCs w:val="20"/>
        </w:rPr>
        <w:instrText>ADDIN CSL_CITATION {"citationItems":[{"id":"ITEM-1","itemData":{"author":[{"dropping-particle":"","family":"Mahamane","given":"Ali","non-dropping-particle":"","parse-names":false,"suffix":""},{"dropping-particle":"","family":"Saadou","given":"Mahamane","non-dropping-particle":"","parse-names":false,"suffix":""},{"dropping-particle":"","family":"Danjimo, Mohamed Baïna Saley","given":"Karim","non-dropping-particle":"","parse-names":false,"suffix":""},{"dropping-particle":"","family":"Bakasso","given":"Yacoubou","non-dropping-particle":"","parse-names":false,"suffix":""},{"dropping-particle":"","family":"Diouf","given":"Abdoulaye","non-dropping-particle":"","parse-names":false,"suffix":""},{"dropping-particle":"","family":"Morou","given":"Boubé","non-dropping-particle":"","parse-names":false,"suffix":""},{"dropping-particle":"","family":"Inoussa, Maman Maarouhi Soumana","given":"Idrissa","non-dropping-particle":"","parse-names":false,"suffix":""},{"dropping-particle":"","family":"Tanimoune","given":"Arzika","non-dropping-particle":"","parse-names":false,"suffix":""}],"container-title":"Ann. Univ. Lomé (Togo), série Sciences, Tome XVIII","id":"ITEM-1","issued":{"date-parts":[["2009"]]},"page":"81-93","title":"BIODIVERSITE VEGETALE AU NIGER : ETAT DES CONNAISSANCES ACTUELLES","type":"article-journal"},"uris":["http://www.mendeley.com/documents/?uuid=486ed598-8bdd-4b98-91be-c198a795868d","http://www.mendeley.com/documents/?uuid=82eb3806-ab59-4c31-8e30-3c26c909fc53"]}],"mendeley":{"formattedCitation":"[12]","plainTextFormattedCitation":"[12]","previouslyFormattedCitation":"(Mahamane et al., 2009)"},"properties":{"noteIndex":0},"schema":"https://github.com/citation-style-language/schema/raw/master/csl-citation.json"}</w:instrText>
      </w:r>
      <w:r w:rsidR="00235EFE" w:rsidRPr="00502572">
        <w:rPr>
          <w:rFonts w:ascii="Arial" w:hAnsi="Arial" w:cs="Arial"/>
          <w:sz w:val="20"/>
          <w:szCs w:val="20"/>
        </w:rPr>
        <w:fldChar w:fldCharType="separate"/>
      </w:r>
      <w:r w:rsidR="00C80401" w:rsidRPr="00C80401">
        <w:rPr>
          <w:rFonts w:ascii="Arial" w:hAnsi="Arial" w:cs="Arial"/>
          <w:noProof/>
          <w:sz w:val="20"/>
          <w:szCs w:val="20"/>
        </w:rPr>
        <w:t>[12]</w:t>
      </w:r>
      <w:r w:rsidR="00235EFE" w:rsidRPr="00502572">
        <w:rPr>
          <w:rFonts w:ascii="Arial" w:hAnsi="Arial" w:cs="Arial"/>
          <w:sz w:val="20"/>
          <w:szCs w:val="20"/>
        </w:rPr>
        <w:fldChar w:fldCharType="end"/>
      </w:r>
      <w:r w:rsidRPr="00502572">
        <w:rPr>
          <w:rFonts w:ascii="Arial" w:hAnsi="Arial" w:cs="Arial"/>
          <w:sz w:val="20"/>
          <w:szCs w:val="20"/>
        </w:rPr>
        <w:t>, in Niger, the studies carried out so far on biodiversity remain fragmentary and the description of ecosystems is not yet effective.</w:t>
      </w:r>
      <w:r w:rsidR="00F648D2" w:rsidRPr="00502572">
        <w:rPr>
          <w:rFonts w:ascii="Arial" w:hAnsi="Arial" w:cs="Arial"/>
          <w:sz w:val="20"/>
          <w:szCs w:val="20"/>
        </w:rPr>
        <w:t xml:space="preserve"> Niger is a West Africa Sahelian country where rural and urban population rely on ecosystem services</w:t>
      </w:r>
      <w:r w:rsidR="00047C16">
        <w:rPr>
          <w:rFonts w:ascii="Arial" w:hAnsi="Arial" w:cs="Arial"/>
          <w:sz w:val="20"/>
          <w:szCs w:val="20"/>
        </w:rPr>
        <w:t xml:space="preserve"> </w:t>
      </w:r>
      <w:r w:rsidR="00047C16">
        <w:rPr>
          <w:rFonts w:ascii="Arial" w:hAnsi="Arial" w:cs="Arial"/>
          <w:sz w:val="20"/>
          <w:szCs w:val="20"/>
        </w:rPr>
        <w:fldChar w:fldCharType="begin" w:fldLock="1"/>
      </w:r>
      <w:r w:rsidR="00C80401">
        <w:rPr>
          <w:rFonts w:ascii="Arial" w:hAnsi="Arial" w:cs="Arial"/>
          <w:sz w:val="20"/>
          <w:szCs w:val="20"/>
        </w:rPr>
        <w:instrText>ADDIN CSL_CITATION {"citationItems":[{"id":"ITEM-1","itemData":{"DOI":"10.9734/JALSI/2019/v22i430134","author":[{"dropping-particle":"","family":"Mamadou","given":"A J","non-dropping-particle":"","parse-names":false,"suffix":""},{"dropping-particle":"","family":"Douma","given":"S","non-dropping-particle":"","parse-names":false,"suffix":""},{"dropping-particle":"","family":"Inoussa","given":"M M","non-dropping-particle":"","parse-names":false,"suffix":""},{"dropping-particle":"","family":"Moussa","given":"S","non-dropping-particle":"","parse-names":false,"suffix":""},{"dropping-particle":"","family":"Mahamane","given":"A","non-dropping-particle":"","parse-names":false,"suffix":""}],"container-title":"Journal of Applied Life Sciences International","id":"ITEM-1","issue":"4","issued":{"date-parts":[["2020"]]},"page":"1-17","title":"Diversity , Life Forms , Chorology and Uses of Spontaneous Medicinal Plants in Niamey and Tillabéri Regions , Niger Republic","type":"article-journal","volume":"22"},"uris":["http://www.mendeley.com/documents/?uuid=5d061d77-e7ae-4321-8617-a4ac14206b1c"]},{"id":"ITEM-2","itemData":{"DOI":"https://www.researchgate.net/publication/304624157","author":[{"dropping-particle":"","family":"Moussa","given":"Soulé","non-dropping-particle":"","parse-names":false,"suffix":""}],"id":"ITEM-2","issued":{"date-parts":[["2013"]]},"title":"Inventaire des légumineuses des communes d’Aguié et Mayahi : composition systématique, chorologie, types biologiques et importance socioéconomique. Mémoire de Master2, Université de Maradi,Niger, 1-80p.","type":"thesis"},"uris":["http://www.mendeley.com/documents/?uuid=8934d79e-a5ef-4e1c-ac8f-f09b815bf673"]},{"id":"ITEM-3","itemData":{"author":[{"dropping-particle":"","family":"Soumaila","given":"Mounkaila","non-dropping-particle":"","parse-names":false,"suffix":""},{"dropping-particle":"","family":"Saley","given":"Karim","non-dropping-particle":"","parse-names":false,"suffix":""},{"dropping-particle":"","family":"Maarouhi","given":"Inoussa Maman","non-dropping-particle":"","parse-names":false,"suffix":""},{"dropping-particle":"","family":"Ali","given":"Mahamane","non-dropping-particle":"","parse-names":false,"suffix":""}],"container-title":"Asian Journal of Applied Sciences","id":"ITEM-3","issue":"05","issued":{"date-parts":[["2017"]]},"page":"812-821","title":"Diversity of Healing Plants Used in the Traditional Treatment of Malaria in four Municipalities of Niger Diversity of Healing Plants Used in the Traditional Treatment of Malaria in four Municipalities of Niger","type":"article-journal","volume":"05"},"uris":["http://www.mendeley.com/documents/?uuid=c1826ef5-8de5-40cb-83ad-430ba748c8ec"]}],"mendeley":{"formattedCitation":"[1], [17], [18]","plainTextFormattedCitation":"[1], [17], [18]","previouslyFormattedCitation":"(Mamadou et al., 2020; Moussa, 2013; Soumaila et al., 2017)"},"properties":{"noteIndex":0},"schema":"https://github.com/citation-style-language/schema/raw/master/csl-citation.json"}</w:instrText>
      </w:r>
      <w:r w:rsidR="00047C16">
        <w:rPr>
          <w:rFonts w:ascii="Arial" w:hAnsi="Arial" w:cs="Arial"/>
          <w:sz w:val="20"/>
          <w:szCs w:val="20"/>
        </w:rPr>
        <w:fldChar w:fldCharType="separate"/>
      </w:r>
      <w:r w:rsidR="00C80401" w:rsidRPr="00C80401">
        <w:rPr>
          <w:rFonts w:ascii="Arial" w:hAnsi="Arial" w:cs="Arial"/>
          <w:noProof/>
          <w:sz w:val="20"/>
          <w:szCs w:val="20"/>
        </w:rPr>
        <w:t>[1], [17], [18]</w:t>
      </w:r>
      <w:r w:rsidR="00047C16">
        <w:rPr>
          <w:rFonts w:ascii="Arial" w:hAnsi="Arial" w:cs="Arial"/>
          <w:sz w:val="20"/>
          <w:szCs w:val="20"/>
        </w:rPr>
        <w:fldChar w:fldCharType="end"/>
      </w:r>
      <w:r w:rsidR="00047C16">
        <w:rPr>
          <w:rFonts w:ascii="Arial" w:hAnsi="Arial" w:cs="Arial"/>
          <w:sz w:val="20"/>
          <w:szCs w:val="20"/>
        </w:rPr>
        <w:t xml:space="preserve">. </w:t>
      </w:r>
    </w:p>
    <w:p w14:paraId="108EB098" w14:textId="3F4CD85B" w:rsidR="00BF5449" w:rsidRPr="00502572" w:rsidRDefault="00BA750C" w:rsidP="00A404A2">
      <w:pPr>
        <w:spacing w:line="360" w:lineRule="auto"/>
        <w:jc w:val="both"/>
        <w:rPr>
          <w:rFonts w:ascii="Arial" w:hAnsi="Arial" w:cs="Arial"/>
          <w:sz w:val="20"/>
          <w:szCs w:val="20"/>
        </w:rPr>
      </w:pPr>
      <w:r w:rsidRPr="00F656E2">
        <w:rPr>
          <w:rFonts w:ascii="Arial" w:hAnsi="Arial" w:cs="Arial"/>
          <w:sz w:val="20"/>
          <w:szCs w:val="20"/>
          <w:highlight w:val="yellow"/>
        </w:rPr>
        <w:t>Knowledge on ecosystem services from West Africa Sahe</w:t>
      </w:r>
      <w:r w:rsidR="00F648D2" w:rsidRPr="00F656E2">
        <w:rPr>
          <w:rFonts w:ascii="Arial" w:hAnsi="Arial" w:cs="Arial"/>
          <w:sz w:val="20"/>
          <w:szCs w:val="20"/>
          <w:highlight w:val="yellow"/>
        </w:rPr>
        <w:t xml:space="preserve">l is scarce in the literature. </w:t>
      </w:r>
      <w:r w:rsidRPr="00F656E2">
        <w:rPr>
          <w:rFonts w:ascii="Arial" w:hAnsi="Arial" w:cs="Arial"/>
          <w:sz w:val="20"/>
          <w:szCs w:val="20"/>
          <w:highlight w:val="yellow"/>
        </w:rPr>
        <w:t>For instance, there is paucity of research that touches the typology of ecosystems and their services. In addition to that, the present study differs from the previous works by the combination of field observation and questionnaires in</w:t>
      </w:r>
      <w:r w:rsidR="00A12642" w:rsidRPr="00F656E2">
        <w:rPr>
          <w:rFonts w:ascii="Arial" w:hAnsi="Arial" w:cs="Arial"/>
          <w:sz w:val="20"/>
          <w:szCs w:val="20"/>
          <w:highlight w:val="yellow"/>
        </w:rPr>
        <w:t xml:space="preserve"> rural areas. </w:t>
      </w:r>
      <w:r w:rsidR="00F656E2" w:rsidRPr="00F656E2">
        <w:rPr>
          <w:rFonts w:ascii="Arial" w:hAnsi="Arial" w:cs="Arial"/>
          <w:sz w:val="20"/>
          <w:szCs w:val="20"/>
          <w:highlight w:val="yellow"/>
        </w:rPr>
        <w:t>This</w:t>
      </w:r>
      <w:r w:rsidR="00F656E2" w:rsidRPr="00F656E2">
        <w:rPr>
          <w:rFonts w:ascii="Arial" w:hAnsi="Arial" w:cs="Arial"/>
          <w:sz w:val="20"/>
          <w:szCs w:val="20"/>
          <w:highlight w:val="yellow"/>
        </w:rPr>
        <w:t xml:space="preserve"> study</w:t>
      </w:r>
      <w:r w:rsidR="00F656E2" w:rsidRPr="00F656E2">
        <w:rPr>
          <w:rFonts w:ascii="Arial" w:hAnsi="Arial" w:cs="Arial"/>
          <w:sz w:val="20"/>
          <w:szCs w:val="20"/>
          <w:highlight w:val="yellow"/>
        </w:rPr>
        <w:t xml:space="preserve"> addresses a critical gap in the scientific understanding of dryland ecosystems in the Sahel region, specifically within the Department of Balleyara, Niger</w:t>
      </w:r>
      <w:r w:rsidR="00F656E2" w:rsidRPr="00F656E2">
        <w:rPr>
          <w:rFonts w:ascii="Arial" w:hAnsi="Arial" w:cs="Arial"/>
          <w:sz w:val="20"/>
          <w:szCs w:val="20"/>
          <w:highlight w:val="yellow"/>
        </w:rPr>
        <w:t>.</w:t>
      </w:r>
      <w:r w:rsidR="00F656E2" w:rsidRPr="00F656E2">
        <w:rPr>
          <w:rFonts w:ascii="Arial" w:hAnsi="Arial" w:cs="Arial"/>
          <w:sz w:val="20"/>
          <w:szCs w:val="20"/>
          <w:highlight w:val="yellow"/>
        </w:rPr>
        <w:t xml:space="preserve"> Furthermore, it contributes a valuable case study to the global literature on ecosystem services, particularly from under-researched arid and semi-arid zones in West </w:t>
      </w:r>
      <w:r w:rsidR="009B65E9" w:rsidRPr="00F656E2">
        <w:rPr>
          <w:rFonts w:ascii="Arial" w:hAnsi="Arial" w:cs="Arial"/>
          <w:sz w:val="20"/>
          <w:szCs w:val="20"/>
          <w:highlight w:val="yellow"/>
        </w:rPr>
        <w:t>Africa. The</w:t>
      </w:r>
      <w:r w:rsidR="00F648D2" w:rsidRPr="00F656E2">
        <w:rPr>
          <w:rFonts w:ascii="Arial" w:hAnsi="Arial" w:cs="Arial"/>
          <w:sz w:val="20"/>
          <w:szCs w:val="20"/>
          <w:highlight w:val="yellow"/>
        </w:rPr>
        <w:t xml:space="preserve"> scientific data </w:t>
      </w:r>
      <w:r w:rsidR="00D94F36" w:rsidRPr="00F656E2">
        <w:rPr>
          <w:rFonts w:ascii="Arial" w:hAnsi="Arial" w:cs="Arial"/>
          <w:sz w:val="20"/>
          <w:szCs w:val="20"/>
          <w:highlight w:val="yellow"/>
        </w:rPr>
        <w:t xml:space="preserve">on typology and diversity of ecosystem services in West Africa Sahel can serve as important means for sustainable ecosystem management. </w:t>
      </w:r>
      <w:r w:rsidRPr="00F656E2">
        <w:rPr>
          <w:rFonts w:ascii="Arial" w:hAnsi="Arial" w:cs="Arial"/>
          <w:sz w:val="20"/>
          <w:szCs w:val="20"/>
          <w:highlight w:val="yellow"/>
        </w:rPr>
        <w:t>This study trie</w:t>
      </w:r>
      <w:r w:rsidR="00F656E2" w:rsidRPr="00F656E2">
        <w:rPr>
          <w:rFonts w:ascii="Arial" w:hAnsi="Arial" w:cs="Arial"/>
          <w:sz w:val="20"/>
          <w:szCs w:val="20"/>
          <w:highlight w:val="yellow"/>
        </w:rPr>
        <w:t xml:space="preserve">s </w:t>
      </w:r>
      <w:r w:rsidRPr="00F656E2">
        <w:rPr>
          <w:rFonts w:ascii="Arial" w:hAnsi="Arial" w:cs="Arial"/>
          <w:sz w:val="20"/>
          <w:szCs w:val="20"/>
          <w:highlight w:val="yellow"/>
        </w:rPr>
        <w:t xml:space="preserve">to determine the type of the ecosystems and their services in </w:t>
      </w:r>
      <w:r w:rsidR="00D94F36" w:rsidRPr="00F656E2">
        <w:rPr>
          <w:rFonts w:ascii="Arial" w:hAnsi="Arial" w:cs="Arial"/>
          <w:sz w:val="20"/>
          <w:szCs w:val="20"/>
          <w:highlight w:val="yellow"/>
        </w:rPr>
        <w:t xml:space="preserve">the </w:t>
      </w:r>
      <w:r w:rsidR="00CD5D08" w:rsidRPr="00F656E2">
        <w:rPr>
          <w:rFonts w:ascii="Arial" w:hAnsi="Arial" w:cs="Arial"/>
          <w:sz w:val="20"/>
          <w:szCs w:val="20"/>
          <w:highlight w:val="yellow"/>
        </w:rPr>
        <w:t>Department of</w:t>
      </w:r>
      <w:r w:rsidR="00D94F36" w:rsidRPr="00F656E2">
        <w:rPr>
          <w:rFonts w:ascii="Arial" w:hAnsi="Arial" w:cs="Arial"/>
          <w:sz w:val="20"/>
          <w:szCs w:val="20"/>
          <w:highlight w:val="yellow"/>
        </w:rPr>
        <w:t xml:space="preserve"> Balleyara, Niger</w:t>
      </w:r>
    </w:p>
    <w:p w14:paraId="72F4BD31" w14:textId="6DFC1795" w:rsidR="00BD6BC2" w:rsidRPr="00502572" w:rsidRDefault="00AE4350" w:rsidP="00416CC6">
      <w:pPr>
        <w:pStyle w:val="Paragraphedeliste"/>
        <w:numPr>
          <w:ilvl w:val="0"/>
          <w:numId w:val="4"/>
        </w:numPr>
        <w:rPr>
          <w:rFonts w:ascii="Arial" w:hAnsi="Arial" w:cs="Arial"/>
          <w:b/>
        </w:rPr>
      </w:pPr>
      <w:r w:rsidRPr="00502572">
        <w:rPr>
          <w:rFonts w:ascii="Arial" w:hAnsi="Arial" w:cs="Arial"/>
          <w:b/>
        </w:rPr>
        <w:t>MATERIAL AND METHODS</w:t>
      </w:r>
    </w:p>
    <w:p w14:paraId="66DCC707" w14:textId="7052877B" w:rsidR="001D1A3D" w:rsidRPr="00502572" w:rsidRDefault="001D1A3D" w:rsidP="001B7552">
      <w:pPr>
        <w:pStyle w:val="Paragraphedeliste"/>
        <w:numPr>
          <w:ilvl w:val="1"/>
          <w:numId w:val="6"/>
        </w:numPr>
        <w:jc w:val="both"/>
        <w:rPr>
          <w:rFonts w:ascii="Arial" w:hAnsi="Arial" w:cs="Arial"/>
          <w:b/>
          <w:sz w:val="20"/>
          <w:szCs w:val="20"/>
        </w:rPr>
      </w:pPr>
      <w:r w:rsidRPr="00502572">
        <w:rPr>
          <w:rFonts w:ascii="Arial" w:hAnsi="Arial" w:cs="Arial"/>
          <w:b/>
          <w:sz w:val="20"/>
          <w:szCs w:val="20"/>
        </w:rPr>
        <w:t>Study zone</w:t>
      </w:r>
    </w:p>
    <w:p w14:paraId="3ECC49BC" w14:textId="7564E617" w:rsidR="001D1A3D" w:rsidRPr="00502572" w:rsidRDefault="00A10DBD" w:rsidP="00416CC6">
      <w:pPr>
        <w:spacing w:line="360" w:lineRule="auto"/>
        <w:jc w:val="both"/>
        <w:rPr>
          <w:rFonts w:ascii="Arial" w:hAnsi="Arial" w:cs="Arial"/>
          <w:sz w:val="20"/>
          <w:szCs w:val="20"/>
        </w:rPr>
      </w:pPr>
      <w:r w:rsidRPr="00502572">
        <w:rPr>
          <w:rFonts w:ascii="Arial" w:hAnsi="Arial" w:cs="Arial"/>
          <w:sz w:val="20"/>
          <w:szCs w:val="20"/>
        </w:rPr>
        <w:t>T</w:t>
      </w:r>
      <w:r w:rsidR="00AE4350" w:rsidRPr="00502572">
        <w:rPr>
          <w:rFonts w:ascii="Arial" w:hAnsi="Arial" w:cs="Arial"/>
          <w:sz w:val="20"/>
          <w:szCs w:val="20"/>
        </w:rPr>
        <w:t xml:space="preserve">he study was conducted in the </w:t>
      </w:r>
      <w:r w:rsidR="00CD5D08" w:rsidRPr="00502572">
        <w:rPr>
          <w:rFonts w:ascii="Arial" w:hAnsi="Arial" w:cs="Arial"/>
          <w:sz w:val="20"/>
          <w:szCs w:val="20"/>
        </w:rPr>
        <w:t>Department of</w:t>
      </w:r>
      <w:r w:rsidRPr="00502572">
        <w:rPr>
          <w:rFonts w:ascii="Arial" w:hAnsi="Arial" w:cs="Arial"/>
          <w:sz w:val="20"/>
          <w:szCs w:val="20"/>
        </w:rPr>
        <w:t xml:space="preserve"> Balleyara in the Tillaberi</w:t>
      </w:r>
      <w:r w:rsidR="0042058C" w:rsidRPr="00502572">
        <w:rPr>
          <w:rFonts w:ascii="Arial" w:hAnsi="Arial" w:cs="Arial"/>
          <w:sz w:val="20"/>
          <w:szCs w:val="20"/>
        </w:rPr>
        <w:t xml:space="preserve"> region in Niger which is in</w:t>
      </w:r>
      <w:r w:rsidR="00AE4350" w:rsidRPr="00502572">
        <w:rPr>
          <w:rFonts w:ascii="Arial" w:hAnsi="Arial" w:cs="Arial"/>
          <w:sz w:val="20"/>
          <w:szCs w:val="20"/>
        </w:rPr>
        <w:t xml:space="preserve"> the Sahel agro-ecological zone</w:t>
      </w:r>
      <w:r w:rsidR="0042058C" w:rsidRPr="00502572">
        <w:rPr>
          <w:rFonts w:ascii="Arial" w:hAnsi="Arial" w:cs="Arial"/>
          <w:sz w:val="20"/>
          <w:szCs w:val="20"/>
        </w:rPr>
        <w:t xml:space="preserve">. </w:t>
      </w:r>
      <w:r w:rsidR="0066267F" w:rsidRPr="00502572">
        <w:rPr>
          <w:rFonts w:ascii="Arial" w:hAnsi="Arial" w:cs="Arial"/>
          <w:sz w:val="20"/>
          <w:szCs w:val="20"/>
        </w:rPr>
        <w:t>The study area is</w:t>
      </w:r>
      <w:r w:rsidR="001D1A3D" w:rsidRPr="00502572">
        <w:rPr>
          <w:rFonts w:ascii="Arial" w:hAnsi="Arial" w:cs="Arial"/>
          <w:sz w:val="20"/>
          <w:szCs w:val="20"/>
        </w:rPr>
        <w:t xml:space="preserve"> located 98 km </w:t>
      </w:r>
      <w:r w:rsidR="0042058C" w:rsidRPr="00502572">
        <w:rPr>
          <w:rFonts w:ascii="Arial" w:hAnsi="Arial" w:cs="Arial"/>
          <w:sz w:val="20"/>
          <w:szCs w:val="20"/>
        </w:rPr>
        <w:t>northeast</w:t>
      </w:r>
      <w:r w:rsidR="001D1A3D" w:rsidRPr="00502572">
        <w:rPr>
          <w:rFonts w:ascii="Arial" w:hAnsi="Arial" w:cs="Arial"/>
          <w:sz w:val="20"/>
          <w:szCs w:val="20"/>
        </w:rPr>
        <w:t xml:space="preserve"> of </w:t>
      </w:r>
      <w:r w:rsidR="00AE4350" w:rsidRPr="00502572">
        <w:rPr>
          <w:rFonts w:ascii="Arial" w:hAnsi="Arial" w:cs="Arial"/>
          <w:sz w:val="20"/>
          <w:szCs w:val="20"/>
        </w:rPr>
        <w:t xml:space="preserve">the capital </w:t>
      </w:r>
      <w:r w:rsidR="001D1A3D" w:rsidRPr="00502572">
        <w:rPr>
          <w:rFonts w:ascii="Arial" w:hAnsi="Arial" w:cs="Arial"/>
          <w:sz w:val="20"/>
          <w:szCs w:val="20"/>
        </w:rPr>
        <w:t xml:space="preserve">Niamey (Figure 1). The annual </w:t>
      </w:r>
      <w:r w:rsidR="00AE4350" w:rsidRPr="00502572">
        <w:rPr>
          <w:rFonts w:ascii="Arial" w:hAnsi="Arial" w:cs="Arial"/>
          <w:sz w:val="20"/>
          <w:szCs w:val="20"/>
        </w:rPr>
        <w:t>rainfall</w:t>
      </w:r>
      <w:r w:rsidR="001D1A3D" w:rsidRPr="00502572">
        <w:rPr>
          <w:rFonts w:ascii="Arial" w:hAnsi="Arial" w:cs="Arial"/>
          <w:sz w:val="20"/>
          <w:szCs w:val="20"/>
        </w:rPr>
        <w:t xml:space="preserve"> varies between 250 mm to 400 mm</w:t>
      </w:r>
      <w:r w:rsidR="00AE4350" w:rsidRPr="00502572">
        <w:rPr>
          <w:rFonts w:ascii="Arial" w:hAnsi="Arial" w:cs="Arial"/>
          <w:sz w:val="20"/>
          <w:szCs w:val="20"/>
        </w:rPr>
        <w:t>.</w:t>
      </w:r>
      <w:r w:rsidR="000812C0" w:rsidRPr="00502572">
        <w:rPr>
          <w:rFonts w:ascii="Arial" w:hAnsi="Arial" w:cs="Arial"/>
          <w:sz w:val="20"/>
          <w:szCs w:val="20"/>
        </w:rPr>
        <w:t xml:space="preserve"> </w:t>
      </w:r>
      <w:r w:rsidR="001D1A3D" w:rsidRPr="00502572">
        <w:rPr>
          <w:rFonts w:ascii="Arial" w:hAnsi="Arial" w:cs="Arial"/>
          <w:sz w:val="20"/>
          <w:szCs w:val="20"/>
        </w:rPr>
        <w:t>The rainy season lasts 3 to 4 months from June to September. Ave</w:t>
      </w:r>
      <w:r w:rsidR="00F94B4E" w:rsidRPr="00502572">
        <w:rPr>
          <w:rFonts w:ascii="Arial" w:hAnsi="Arial" w:cs="Arial"/>
          <w:sz w:val="20"/>
          <w:szCs w:val="20"/>
        </w:rPr>
        <w:t>rage temperatures range from 18º</w:t>
      </w:r>
      <w:r w:rsidR="00F94B4E" w:rsidRPr="00502572">
        <w:rPr>
          <w:rFonts w:ascii="Arial" w:hAnsi="Arial" w:cs="Arial"/>
          <w:sz w:val="20"/>
          <w:szCs w:val="20"/>
          <w:vertAlign w:val="superscript"/>
        </w:rPr>
        <w:t>C</w:t>
      </w:r>
      <w:r w:rsidR="00F94B4E" w:rsidRPr="00502572">
        <w:rPr>
          <w:rFonts w:ascii="Arial" w:hAnsi="Arial" w:cs="Arial"/>
          <w:sz w:val="20"/>
          <w:szCs w:val="20"/>
        </w:rPr>
        <w:t xml:space="preserve"> in January to 45º</w:t>
      </w:r>
      <w:r w:rsidR="001D1A3D" w:rsidRPr="00502572">
        <w:rPr>
          <w:rFonts w:ascii="Arial" w:hAnsi="Arial" w:cs="Arial"/>
          <w:sz w:val="20"/>
          <w:szCs w:val="20"/>
          <w:vertAlign w:val="superscript"/>
        </w:rPr>
        <w:t>C</w:t>
      </w:r>
      <w:r w:rsidR="001D1A3D" w:rsidRPr="00502572">
        <w:rPr>
          <w:rFonts w:ascii="Arial" w:hAnsi="Arial" w:cs="Arial"/>
          <w:sz w:val="20"/>
          <w:szCs w:val="20"/>
        </w:rPr>
        <w:t xml:space="preserve"> in April</w:t>
      </w:r>
      <w:r w:rsidR="00AE4350" w:rsidRPr="00502572">
        <w:rPr>
          <w:rFonts w:ascii="Arial" w:hAnsi="Arial" w:cs="Arial"/>
          <w:sz w:val="20"/>
          <w:szCs w:val="20"/>
        </w:rPr>
        <w:t xml:space="preserve"> </w:t>
      </w:r>
      <w:r w:rsidR="00AE4350" w:rsidRPr="00502572">
        <w:rPr>
          <w:rFonts w:ascii="Arial" w:hAnsi="Arial" w:cs="Arial"/>
          <w:sz w:val="20"/>
          <w:szCs w:val="20"/>
        </w:rPr>
        <w:fldChar w:fldCharType="begin" w:fldLock="1"/>
      </w:r>
      <w:r w:rsidR="00C80401">
        <w:rPr>
          <w:rFonts w:ascii="Arial" w:hAnsi="Arial" w:cs="Arial"/>
          <w:sz w:val="20"/>
          <w:szCs w:val="20"/>
        </w:rPr>
        <w:instrText>ADDIN CSL_CITATION {"citationItems":[{"id":"ITEM-1","itemData":{"author":[{"dropping-particle":"","family":"CNEDD","given":"","non-dropping-particle":"","parse-names":false,"suffix":""}],"id":"ITEM-1","issued":{"date-parts":[["2016"]]},"number-of-pages":"157","publisher-place":"Niamey","title":"Troisieme Communication Nationale a la Conference des Parties de la Convention Cadre des Nations Unies sur les Changements Climatiques. 1-157P. https://unfccc.int/sites/default/files/resource/nernc3_0.pdf.","type":"report"},"uris":["http://www.mendeley.com/documents/?uuid=7bab3fa7-ed55-4285-8b52-1a77224886eb","http://www.mendeley.com/documents/?uuid=fb2d8e06-db79-4ff9-ab51-b9e1e3ced14c"]}],"mendeley":{"formattedCitation":"[19]","plainTextFormattedCitation":"[19]","previouslyFormattedCitation":"(CNEDD, 2016)"},"properties":{"noteIndex":0},"schema":"https://github.com/citation-style-language/schema/raw/master/csl-citation.json"}</w:instrText>
      </w:r>
      <w:r w:rsidR="00AE4350" w:rsidRPr="00502572">
        <w:rPr>
          <w:rFonts w:ascii="Arial" w:hAnsi="Arial" w:cs="Arial"/>
          <w:sz w:val="20"/>
          <w:szCs w:val="20"/>
        </w:rPr>
        <w:fldChar w:fldCharType="separate"/>
      </w:r>
      <w:r w:rsidR="00C80401" w:rsidRPr="00C80401">
        <w:rPr>
          <w:rFonts w:ascii="Arial" w:hAnsi="Arial" w:cs="Arial"/>
          <w:noProof/>
          <w:sz w:val="20"/>
          <w:szCs w:val="20"/>
        </w:rPr>
        <w:t>[19]</w:t>
      </w:r>
      <w:r w:rsidR="00AE4350" w:rsidRPr="00502572">
        <w:rPr>
          <w:rFonts w:ascii="Arial" w:hAnsi="Arial" w:cs="Arial"/>
          <w:sz w:val="20"/>
          <w:szCs w:val="20"/>
        </w:rPr>
        <w:fldChar w:fldCharType="end"/>
      </w:r>
      <w:r w:rsidR="001D1A3D" w:rsidRPr="00502572">
        <w:rPr>
          <w:rFonts w:ascii="Arial" w:hAnsi="Arial" w:cs="Arial"/>
          <w:sz w:val="20"/>
          <w:szCs w:val="20"/>
        </w:rPr>
        <w:t>.</w:t>
      </w:r>
    </w:p>
    <w:p w14:paraId="261F1B49" w14:textId="30E3C44E" w:rsidR="001D1A3D" w:rsidRPr="00502572" w:rsidRDefault="00AA59FC" w:rsidP="001B7552">
      <w:pPr>
        <w:spacing w:before="240"/>
        <w:jc w:val="both"/>
        <w:rPr>
          <w:rFonts w:ascii="Arial" w:hAnsi="Arial" w:cs="Arial"/>
          <w:b/>
          <w:sz w:val="20"/>
          <w:szCs w:val="20"/>
        </w:rPr>
      </w:pPr>
      <w:r w:rsidRPr="00502572">
        <w:rPr>
          <w:rFonts w:ascii="Arial" w:hAnsi="Arial" w:cs="Arial"/>
          <w:noProof/>
          <w:sz w:val="20"/>
          <w:szCs w:val="20"/>
          <w:bdr w:val="single" w:sz="8" w:space="0" w:color="auto"/>
          <w:lang w:val="fr-FR" w:eastAsia="fr-FR"/>
        </w:rPr>
        <w:lastRenderedPageBreak/>
        <w:drawing>
          <wp:anchor distT="0" distB="0" distL="114300" distR="114300" simplePos="0" relativeHeight="251669504" behindDoc="0" locked="0" layoutInCell="1" allowOverlap="1" wp14:anchorId="00ACCF66" wp14:editId="61A9CAD0">
            <wp:simplePos x="928255" y="5860473"/>
            <wp:positionH relativeFrom="column">
              <wp:align>left</wp:align>
            </wp:positionH>
            <wp:positionV relativeFrom="paragraph">
              <wp:align>top</wp:align>
            </wp:positionV>
            <wp:extent cx="4955457" cy="3505200"/>
            <wp:effectExtent l="0" t="0" r="0" b="0"/>
            <wp:wrapSquare wrapText="bothSides"/>
            <wp:docPr id="7" name="Image 7" descr="C:\Users\DodoAmadou\Downloads\IMG-20240328-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doAmadou\Downloads\IMG-20240328-WA004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5457" cy="3505200"/>
                    </a:xfrm>
                    <a:prstGeom prst="rect">
                      <a:avLst/>
                    </a:prstGeom>
                    <a:noFill/>
                    <a:ln>
                      <a:noFill/>
                    </a:ln>
                  </pic:spPr>
                </pic:pic>
              </a:graphicData>
            </a:graphic>
          </wp:anchor>
        </w:drawing>
      </w:r>
      <w:r w:rsidR="00A54355" w:rsidRPr="00502572">
        <w:rPr>
          <w:rFonts w:ascii="Arial" w:hAnsi="Arial" w:cs="Arial"/>
          <w:sz w:val="20"/>
          <w:szCs w:val="20"/>
        </w:rPr>
        <w:br w:type="textWrapping" w:clear="all"/>
      </w:r>
      <w:r w:rsidR="00A10DBD" w:rsidRPr="00502572">
        <w:rPr>
          <w:rFonts w:ascii="Arial" w:hAnsi="Arial" w:cs="Arial"/>
          <w:b/>
          <w:sz w:val="20"/>
          <w:szCs w:val="20"/>
        </w:rPr>
        <w:t xml:space="preserve">Figure </w:t>
      </w:r>
      <w:r w:rsidR="007D7CAE" w:rsidRPr="00502572">
        <w:rPr>
          <w:rFonts w:ascii="Arial" w:hAnsi="Arial" w:cs="Arial"/>
          <w:b/>
          <w:sz w:val="20"/>
          <w:szCs w:val="20"/>
        </w:rPr>
        <w:t xml:space="preserve">1. </w:t>
      </w:r>
      <w:r w:rsidR="003C5F66" w:rsidRPr="00502572">
        <w:rPr>
          <w:rFonts w:ascii="Arial" w:hAnsi="Arial" w:cs="Arial"/>
          <w:b/>
          <w:sz w:val="20"/>
          <w:szCs w:val="20"/>
        </w:rPr>
        <w:t>Localisation of s</w:t>
      </w:r>
      <w:r w:rsidR="00A10DBD" w:rsidRPr="00502572">
        <w:rPr>
          <w:rFonts w:ascii="Arial" w:hAnsi="Arial" w:cs="Arial"/>
          <w:b/>
          <w:sz w:val="20"/>
          <w:szCs w:val="20"/>
        </w:rPr>
        <w:t>tudy area</w:t>
      </w:r>
      <w:r w:rsidR="00AE4350" w:rsidRPr="00502572">
        <w:rPr>
          <w:rFonts w:ascii="Arial" w:hAnsi="Arial" w:cs="Arial"/>
          <w:b/>
          <w:sz w:val="20"/>
          <w:szCs w:val="20"/>
        </w:rPr>
        <w:t xml:space="preserve"> </w:t>
      </w:r>
    </w:p>
    <w:p w14:paraId="1266946B" w14:textId="5E642EA2" w:rsidR="001D1A3D" w:rsidRPr="00502572" w:rsidRDefault="001D1A3D" w:rsidP="00416CC6">
      <w:pPr>
        <w:spacing w:line="360" w:lineRule="auto"/>
        <w:jc w:val="both"/>
        <w:rPr>
          <w:rFonts w:ascii="Arial" w:hAnsi="Arial" w:cs="Arial"/>
          <w:sz w:val="20"/>
          <w:szCs w:val="20"/>
        </w:rPr>
      </w:pPr>
      <w:r w:rsidRPr="00502572">
        <w:rPr>
          <w:rFonts w:ascii="Arial" w:hAnsi="Arial" w:cs="Arial"/>
          <w:sz w:val="20"/>
          <w:szCs w:val="20"/>
        </w:rPr>
        <w:t xml:space="preserve">The relief of the </w:t>
      </w:r>
      <w:r w:rsidR="00AD2414" w:rsidRPr="00502572">
        <w:rPr>
          <w:rFonts w:ascii="Arial" w:hAnsi="Arial" w:cs="Arial"/>
          <w:sz w:val="20"/>
          <w:szCs w:val="20"/>
        </w:rPr>
        <w:t>Department of</w:t>
      </w:r>
      <w:r w:rsidRPr="00502572">
        <w:rPr>
          <w:rFonts w:ascii="Arial" w:hAnsi="Arial" w:cs="Arial"/>
          <w:sz w:val="20"/>
          <w:szCs w:val="20"/>
        </w:rPr>
        <w:t xml:space="preserve"> Balleyara consists largely of the alluvial </w:t>
      </w:r>
      <w:r w:rsidR="007D7CAE" w:rsidRPr="00502572">
        <w:rPr>
          <w:rFonts w:ascii="Arial" w:hAnsi="Arial" w:cs="Arial"/>
          <w:sz w:val="20"/>
          <w:szCs w:val="20"/>
        </w:rPr>
        <w:t>system, which</w:t>
      </w:r>
      <w:r w:rsidR="00AE4350" w:rsidRPr="00502572">
        <w:rPr>
          <w:rFonts w:ascii="Arial" w:hAnsi="Arial" w:cs="Arial"/>
          <w:sz w:val="20"/>
          <w:szCs w:val="20"/>
        </w:rPr>
        <w:t xml:space="preserve"> covers 50.</w:t>
      </w:r>
      <w:r w:rsidRPr="00502572">
        <w:rPr>
          <w:rFonts w:ascii="Arial" w:hAnsi="Arial" w:cs="Arial"/>
          <w:sz w:val="20"/>
          <w:szCs w:val="20"/>
        </w:rPr>
        <w:t xml:space="preserve">655 hectares (ha) representing 38.54% of the total area, </w:t>
      </w:r>
      <w:r w:rsidR="007D7CAE" w:rsidRPr="00502572">
        <w:rPr>
          <w:rFonts w:ascii="Arial" w:hAnsi="Arial" w:cs="Arial"/>
          <w:sz w:val="20"/>
          <w:szCs w:val="20"/>
        </w:rPr>
        <w:t>and then</w:t>
      </w:r>
      <w:r w:rsidRPr="00502572">
        <w:rPr>
          <w:rFonts w:ascii="Arial" w:hAnsi="Arial" w:cs="Arial"/>
          <w:sz w:val="20"/>
          <w:szCs w:val="20"/>
        </w:rPr>
        <w:t xml:space="preserve"> come the plateaus 27.79% to the East and West of the </w:t>
      </w:r>
      <w:r w:rsidR="003D7612" w:rsidRPr="00502572">
        <w:rPr>
          <w:rFonts w:ascii="Arial" w:hAnsi="Arial" w:cs="Arial"/>
          <w:sz w:val="20"/>
          <w:szCs w:val="20"/>
        </w:rPr>
        <w:t>Department,</w:t>
      </w:r>
      <w:r w:rsidRPr="00502572">
        <w:rPr>
          <w:rFonts w:ascii="Arial" w:hAnsi="Arial" w:cs="Arial"/>
          <w:sz w:val="20"/>
          <w:szCs w:val="20"/>
        </w:rPr>
        <w:t xml:space="preserve"> the glacis 19.58%, </w:t>
      </w:r>
      <w:r w:rsidR="007D7CAE" w:rsidRPr="00502572">
        <w:rPr>
          <w:rFonts w:ascii="Arial" w:hAnsi="Arial" w:cs="Arial"/>
          <w:sz w:val="20"/>
          <w:szCs w:val="20"/>
        </w:rPr>
        <w:t>and the</w:t>
      </w:r>
      <w:r w:rsidRPr="00502572">
        <w:rPr>
          <w:rFonts w:ascii="Arial" w:hAnsi="Arial" w:cs="Arial"/>
          <w:sz w:val="20"/>
          <w:szCs w:val="20"/>
        </w:rPr>
        <w:t xml:space="preserve"> slopes 13.04%.</w:t>
      </w:r>
    </w:p>
    <w:p w14:paraId="1972BF0E" w14:textId="4350CE92" w:rsidR="004B5FE2" w:rsidRPr="00502572" w:rsidRDefault="00B10BE2" w:rsidP="00416CC6">
      <w:pPr>
        <w:spacing w:line="360" w:lineRule="auto"/>
        <w:jc w:val="both"/>
        <w:rPr>
          <w:rFonts w:ascii="Arial" w:hAnsi="Arial" w:cs="Arial"/>
          <w:sz w:val="20"/>
          <w:szCs w:val="20"/>
        </w:rPr>
      </w:pPr>
      <w:r w:rsidRPr="00502572">
        <w:rPr>
          <w:rFonts w:ascii="Arial" w:hAnsi="Arial" w:cs="Arial"/>
          <w:sz w:val="20"/>
          <w:szCs w:val="20"/>
        </w:rPr>
        <w:t xml:space="preserve">The </w:t>
      </w:r>
      <w:r w:rsidR="001D1A3D" w:rsidRPr="00502572">
        <w:rPr>
          <w:rFonts w:ascii="Arial" w:hAnsi="Arial" w:cs="Arial"/>
          <w:sz w:val="20"/>
          <w:szCs w:val="20"/>
        </w:rPr>
        <w:t>vegetation</w:t>
      </w:r>
      <w:r w:rsidRPr="00502572">
        <w:rPr>
          <w:rFonts w:ascii="Arial" w:hAnsi="Arial" w:cs="Arial"/>
          <w:sz w:val="20"/>
          <w:szCs w:val="20"/>
        </w:rPr>
        <w:t xml:space="preserve"> types consist</w:t>
      </w:r>
      <w:r w:rsidR="001D1A3D" w:rsidRPr="00502572">
        <w:rPr>
          <w:rFonts w:ascii="Arial" w:hAnsi="Arial" w:cs="Arial"/>
          <w:sz w:val="20"/>
          <w:szCs w:val="20"/>
        </w:rPr>
        <w:t xml:space="preserve"> of contracted formations with </w:t>
      </w:r>
      <w:r w:rsidR="00FF605A" w:rsidRPr="00502572">
        <w:rPr>
          <w:rFonts w:ascii="Arial" w:hAnsi="Arial" w:cs="Arial"/>
          <w:i/>
          <w:sz w:val="20"/>
          <w:szCs w:val="20"/>
        </w:rPr>
        <w:t>Combretaceae</w:t>
      </w:r>
      <w:r w:rsidR="001D1A3D" w:rsidRPr="00502572">
        <w:rPr>
          <w:rFonts w:ascii="Arial" w:hAnsi="Arial" w:cs="Arial"/>
          <w:sz w:val="20"/>
          <w:szCs w:val="20"/>
        </w:rPr>
        <w:t xml:space="preserve"> on the plateau. </w:t>
      </w:r>
      <w:r w:rsidR="004B5FE2" w:rsidRPr="00502572">
        <w:rPr>
          <w:rFonts w:ascii="Arial" w:hAnsi="Arial" w:cs="Arial"/>
          <w:sz w:val="20"/>
          <w:szCs w:val="20"/>
        </w:rPr>
        <w:t>T</w:t>
      </w:r>
      <w:r w:rsidR="001D1A3D" w:rsidRPr="00502572">
        <w:rPr>
          <w:rFonts w:ascii="Arial" w:hAnsi="Arial" w:cs="Arial"/>
          <w:sz w:val="20"/>
          <w:szCs w:val="20"/>
        </w:rPr>
        <w:t xml:space="preserve">he main </w:t>
      </w:r>
      <w:r w:rsidR="004B5FE2" w:rsidRPr="00502572">
        <w:rPr>
          <w:rFonts w:ascii="Arial" w:hAnsi="Arial" w:cs="Arial"/>
          <w:sz w:val="20"/>
          <w:szCs w:val="20"/>
        </w:rPr>
        <w:t xml:space="preserve">plant </w:t>
      </w:r>
      <w:r w:rsidR="001D1A3D" w:rsidRPr="00502572">
        <w:rPr>
          <w:rFonts w:ascii="Arial" w:hAnsi="Arial" w:cs="Arial"/>
          <w:sz w:val="20"/>
          <w:szCs w:val="20"/>
        </w:rPr>
        <w:t xml:space="preserve">species </w:t>
      </w:r>
      <w:r w:rsidR="004B5FE2" w:rsidRPr="00502572">
        <w:rPr>
          <w:rFonts w:ascii="Arial" w:hAnsi="Arial" w:cs="Arial"/>
          <w:sz w:val="20"/>
          <w:szCs w:val="20"/>
        </w:rPr>
        <w:t xml:space="preserve">recorded </w:t>
      </w:r>
      <w:r w:rsidR="001D1A3D" w:rsidRPr="00502572">
        <w:rPr>
          <w:rFonts w:ascii="Arial" w:hAnsi="Arial" w:cs="Arial"/>
          <w:sz w:val="20"/>
          <w:szCs w:val="20"/>
        </w:rPr>
        <w:t xml:space="preserve">are: </w:t>
      </w:r>
      <w:r w:rsidR="001D1A3D" w:rsidRPr="00502572">
        <w:rPr>
          <w:rFonts w:ascii="Arial" w:hAnsi="Arial" w:cs="Arial"/>
          <w:i/>
          <w:sz w:val="20"/>
          <w:szCs w:val="20"/>
        </w:rPr>
        <w:t>Guiera senegalensis</w:t>
      </w:r>
      <w:r w:rsidR="001D1A3D" w:rsidRPr="00502572">
        <w:rPr>
          <w:rFonts w:ascii="Arial" w:hAnsi="Arial" w:cs="Arial"/>
          <w:sz w:val="20"/>
          <w:szCs w:val="20"/>
        </w:rPr>
        <w:t xml:space="preserve"> J.F. Gmel., </w:t>
      </w:r>
      <w:r w:rsidR="001D1A3D" w:rsidRPr="00502572">
        <w:rPr>
          <w:rFonts w:ascii="Arial" w:hAnsi="Arial" w:cs="Arial"/>
          <w:i/>
          <w:sz w:val="20"/>
          <w:szCs w:val="20"/>
        </w:rPr>
        <w:t xml:space="preserve">Combretum micranthum </w:t>
      </w:r>
      <w:r w:rsidR="001D1A3D" w:rsidRPr="00502572">
        <w:rPr>
          <w:rFonts w:ascii="Arial" w:hAnsi="Arial" w:cs="Arial"/>
          <w:sz w:val="20"/>
          <w:szCs w:val="20"/>
        </w:rPr>
        <w:t xml:space="preserve">g. Don., </w:t>
      </w:r>
      <w:r w:rsidR="001D1A3D" w:rsidRPr="00502572">
        <w:rPr>
          <w:rFonts w:ascii="Arial" w:hAnsi="Arial" w:cs="Arial"/>
          <w:i/>
          <w:sz w:val="20"/>
          <w:szCs w:val="20"/>
        </w:rPr>
        <w:t xml:space="preserve">Combretum </w:t>
      </w:r>
      <w:r w:rsidR="00FF605A" w:rsidRPr="00502572">
        <w:rPr>
          <w:rFonts w:ascii="Arial" w:hAnsi="Arial" w:cs="Arial"/>
          <w:i/>
          <w:sz w:val="20"/>
          <w:szCs w:val="20"/>
        </w:rPr>
        <w:t>glutinosum</w:t>
      </w:r>
      <w:r w:rsidR="001D1A3D" w:rsidRPr="00502572">
        <w:rPr>
          <w:rFonts w:ascii="Arial" w:hAnsi="Arial" w:cs="Arial"/>
          <w:sz w:val="20"/>
          <w:szCs w:val="20"/>
        </w:rPr>
        <w:t xml:space="preserve"> Perr. ex DC., </w:t>
      </w:r>
      <w:r w:rsidR="001D1A3D" w:rsidRPr="00502572">
        <w:rPr>
          <w:rFonts w:ascii="Arial" w:hAnsi="Arial" w:cs="Arial"/>
          <w:i/>
          <w:sz w:val="20"/>
          <w:szCs w:val="20"/>
        </w:rPr>
        <w:t>Faidherbia albida</w:t>
      </w:r>
      <w:r w:rsidR="001D1A3D" w:rsidRPr="00502572">
        <w:rPr>
          <w:rFonts w:ascii="Arial" w:hAnsi="Arial" w:cs="Arial"/>
          <w:sz w:val="20"/>
          <w:szCs w:val="20"/>
        </w:rPr>
        <w:t xml:space="preserve"> Del., </w:t>
      </w:r>
      <w:r w:rsidR="001D1A3D" w:rsidRPr="00502572">
        <w:rPr>
          <w:rFonts w:ascii="Arial" w:hAnsi="Arial" w:cs="Arial"/>
          <w:i/>
          <w:sz w:val="20"/>
          <w:szCs w:val="20"/>
        </w:rPr>
        <w:t>Balanites aegyptiaca</w:t>
      </w:r>
      <w:r w:rsidR="001D1A3D" w:rsidRPr="00502572">
        <w:rPr>
          <w:rFonts w:ascii="Arial" w:hAnsi="Arial" w:cs="Arial"/>
          <w:sz w:val="20"/>
          <w:szCs w:val="20"/>
        </w:rPr>
        <w:t xml:space="preserve"> (L.) del.</w:t>
      </w:r>
      <w:r w:rsidR="004B5FE2" w:rsidRPr="00502572">
        <w:rPr>
          <w:rFonts w:ascii="Arial" w:hAnsi="Arial" w:cs="Arial"/>
          <w:sz w:val="20"/>
          <w:szCs w:val="20"/>
        </w:rPr>
        <w:t>.</w:t>
      </w:r>
    </w:p>
    <w:p w14:paraId="2D223F5A" w14:textId="125FE318" w:rsidR="001D1A3D" w:rsidRPr="00502572" w:rsidRDefault="001D1A3D" w:rsidP="00416CC6">
      <w:pPr>
        <w:spacing w:line="360" w:lineRule="auto"/>
        <w:jc w:val="both"/>
        <w:rPr>
          <w:rFonts w:ascii="Arial" w:hAnsi="Arial" w:cs="Arial"/>
          <w:sz w:val="20"/>
          <w:szCs w:val="20"/>
        </w:rPr>
      </w:pPr>
      <w:r w:rsidRPr="00502572">
        <w:rPr>
          <w:rFonts w:ascii="Arial" w:hAnsi="Arial" w:cs="Arial"/>
          <w:sz w:val="20"/>
          <w:szCs w:val="20"/>
        </w:rPr>
        <w:t xml:space="preserve">The </w:t>
      </w:r>
      <w:r w:rsidR="00AD2414" w:rsidRPr="00502572">
        <w:rPr>
          <w:rFonts w:ascii="Arial" w:hAnsi="Arial" w:cs="Arial"/>
          <w:sz w:val="20"/>
          <w:szCs w:val="20"/>
        </w:rPr>
        <w:t>Department of</w:t>
      </w:r>
      <w:r w:rsidR="00972063" w:rsidRPr="00502572">
        <w:rPr>
          <w:rFonts w:ascii="Arial" w:hAnsi="Arial" w:cs="Arial"/>
          <w:sz w:val="20"/>
          <w:szCs w:val="20"/>
        </w:rPr>
        <w:t xml:space="preserve"> Balleyara covers an area of </w:t>
      </w:r>
      <w:r w:rsidR="00235EFE" w:rsidRPr="00502572">
        <w:rPr>
          <w:rFonts w:ascii="Arial" w:hAnsi="Arial" w:cs="Arial"/>
          <w:sz w:val="20"/>
          <w:szCs w:val="20"/>
        </w:rPr>
        <w:t xml:space="preserve">1,314 km² </w:t>
      </w:r>
      <w:r w:rsidRPr="00502572">
        <w:rPr>
          <w:rFonts w:ascii="Arial" w:hAnsi="Arial" w:cs="Arial"/>
          <w:sz w:val="20"/>
          <w:szCs w:val="20"/>
        </w:rPr>
        <w:t>and is subdivided int</w:t>
      </w:r>
      <w:r w:rsidR="00B10BE2" w:rsidRPr="00502572">
        <w:rPr>
          <w:rFonts w:ascii="Arial" w:hAnsi="Arial" w:cs="Arial"/>
          <w:sz w:val="20"/>
          <w:szCs w:val="20"/>
        </w:rPr>
        <w:t xml:space="preserve">o five (5) sub-areas which are </w:t>
      </w:r>
      <w:r w:rsidRPr="00502572">
        <w:rPr>
          <w:rFonts w:ascii="Arial" w:hAnsi="Arial" w:cs="Arial"/>
          <w:sz w:val="20"/>
          <w:szCs w:val="20"/>
        </w:rPr>
        <w:t>Balleyara, Winditan, Sandiré, Tabla and Kabé.</w:t>
      </w:r>
      <w:r w:rsidR="00B10BE2" w:rsidRPr="00502572">
        <w:rPr>
          <w:rFonts w:ascii="Arial" w:hAnsi="Arial" w:cs="Arial"/>
          <w:sz w:val="20"/>
          <w:szCs w:val="20"/>
        </w:rPr>
        <w:t xml:space="preserve"> </w:t>
      </w:r>
      <w:r w:rsidRPr="00502572">
        <w:rPr>
          <w:rFonts w:ascii="Arial" w:hAnsi="Arial" w:cs="Arial"/>
          <w:sz w:val="20"/>
          <w:szCs w:val="20"/>
        </w:rPr>
        <w:t xml:space="preserve">The population </w:t>
      </w:r>
      <w:r w:rsidR="004B5FE2" w:rsidRPr="00502572">
        <w:rPr>
          <w:rFonts w:ascii="Arial" w:hAnsi="Arial" w:cs="Arial"/>
          <w:sz w:val="20"/>
          <w:szCs w:val="20"/>
        </w:rPr>
        <w:t>is 129.</w:t>
      </w:r>
      <w:r w:rsidR="00E37BF0" w:rsidRPr="00502572">
        <w:rPr>
          <w:rFonts w:ascii="Arial" w:hAnsi="Arial" w:cs="Arial"/>
          <w:sz w:val="20"/>
          <w:szCs w:val="20"/>
        </w:rPr>
        <w:t>086</w:t>
      </w:r>
      <w:r w:rsidR="00B10BE2" w:rsidRPr="00502572">
        <w:rPr>
          <w:rFonts w:ascii="Arial" w:hAnsi="Arial" w:cs="Arial"/>
          <w:sz w:val="20"/>
          <w:szCs w:val="20"/>
        </w:rPr>
        <w:t xml:space="preserve"> people</w:t>
      </w:r>
      <w:r w:rsidRPr="00502572">
        <w:rPr>
          <w:rFonts w:ascii="Arial" w:hAnsi="Arial" w:cs="Arial"/>
          <w:sz w:val="20"/>
          <w:szCs w:val="20"/>
        </w:rPr>
        <w:t xml:space="preserve"> </w:t>
      </w:r>
      <w:r w:rsidR="004D7A6B" w:rsidRPr="00502572">
        <w:rPr>
          <w:rFonts w:ascii="Arial" w:hAnsi="Arial" w:cs="Arial"/>
          <w:sz w:val="20"/>
          <w:szCs w:val="20"/>
        </w:rPr>
        <w:fldChar w:fldCharType="begin" w:fldLock="1"/>
      </w:r>
      <w:r w:rsidR="00C80401">
        <w:rPr>
          <w:rFonts w:ascii="Arial" w:hAnsi="Arial" w:cs="Arial"/>
          <w:sz w:val="20"/>
          <w:szCs w:val="20"/>
        </w:rPr>
        <w:instrText>ADDIN CSL_CITATION {"citationItems":[{"id":"ITEM-1","itemData":{"author":[{"dropping-particle":"","family":"Institut National de la Satistique du Niger (INS)","given":"","non-dropping-particle":"","parse-names":false,"suffix":""}],"id":"ITEM-1","issued":{"date-parts":[["2016"]]},"number-of-pages":"1-84","publisher-place":"Niamey","title":"Le Niger en Chiffres 2016. 1-84p. www.stat-niger.org/statistique/file/.../NigerEnChiffres2016.pdf","type":"report"},"uris":["http://www.mendeley.com/documents/?uuid=b90aed6c-5bd0-431c-9df7-7a2d8c5283bf","http://www.mendeley.com/documents/?uuid=ca5018af-33ac-45c4-8111-74557bb65633"]}],"mendeley":{"formattedCitation":"[20]","plainTextFormattedCitation":"[20]","previouslyFormattedCitation":"(Institut National de la Satistique du Niger (INS), 2016)"},"properties":{"noteIndex":0},"schema":"https://github.com/citation-style-language/schema/raw/master/csl-citation.json"}</w:instrText>
      </w:r>
      <w:r w:rsidR="004D7A6B" w:rsidRPr="00502572">
        <w:rPr>
          <w:rFonts w:ascii="Arial" w:hAnsi="Arial" w:cs="Arial"/>
          <w:sz w:val="20"/>
          <w:szCs w:val="20"/>
        </w:rPr>
        <w:fldChar w:fldCharType="separate"/>
      </w:r>
      <w:r w:rsidR="00C80401" w:rsidRPr="00C80401">
        <w:rPr>
          <w:rFonts w:ascii="Arial" w:hAnsi="Arial" w:cs="Arial"/>
          <w:noProof/>
          <w:sz w:val="20"/>
          <w:szCs w:val="20"/>
        </w:rPr>
        <w:t>[20]</w:t>
      </w:r>
      <w:r w:rsidR="004D7A6B" w:rsidRPr="00502572">
        <w:rPr>
          <w:rFonts w:ascii="Arial" w:hAnsi="Arial" w:cs="Arial"/>
          <w:sz w:val="20"/>
          <w:szCs w:val="20"/>
        </w:rPr>
        <w:fldChar w:fldCharType="end"/>
      </w:r>
      <w:r w:rsidR="00E37BF0" w:rsidRPr="00502572">
        <w:rPr>
          <w:rFonts w:ascii="Arial" w:hAnsi="Arial" w:cs="Arial"/>
          <w:sz w:val="20"/>
          <w:szCs w:val="20"/>
        </w:rPr>
        <w:t xml:space="preserve"> </w:t>
      </w:r>
      <w:r w:rsidRPr="00502572">
        <w:rPr>
          <w:rFonts w:ascii="Arial" w:hAnsi="Arial" w:cs="Arial"/>
          <w:sz w:val="20"/>
          <w:szCs w:val="20"/>
        </w:rPr>
        <w:t>with a growth rate of 3.1% and an average density of 81.53 inhabitants per km². The main activities of the population are agriculture, animal husbandry, handicrafts and commerce.</w:t>
      </w:r>
      <w:r w:rsidR="00B10BE2" w:rsidRPr="00502572">
        <w:rPr>
          <w:rFonts w:ascii="Arial" w:hAnsi="Arial" w:cs="Arial"/>
          <w:sz w:val="20"/>
          <w:szCs w:val="20"/>
        </w:rPr>
        <w:t xml:space="preserve"> </w:t>
      </w:r>
      <w:r w:rsidRPr="00502572">
        <w:rPr>
          <w:rFonts w:ascii="Arial" w:hAnsi="Arial" w:cs="Arial"/>
          <w:sz w:val="20"/>
          <w:szCs w:val="20"/>
        </w:rPr>
        <w:t xml:space="preserve">In addition to rainfed crops, there is a strong development of very </w:t>
      </w:r>
      <w:r w:rsidR="00B10BE2" w:rsidRPr="00502572">
        <w:rPr>
          <w:rFonts w:ascii="Arial" w:hAnsi="Arial" w:cs="Arial"/>
          <w:sz w:val="20"/>
          <w:szCs w:val="20"/>
        </w:rPr>
        <w:t>favourable</w:t>
      </w:r>
      <w:r w:rsidRPr="00502572">
        <w:rPr>
          <w:rFonts w:ascii="Arial" w:hAnsi="Arial" w:cs="Arial"/>
          <w:sz w:val="20"/>
          <w:szCs w:val="20"/>
        </w:rPr>
        <w:t xml:space="preserve"> vegetable and fruit crops in the valley area. The farming system practiced by the population is transhumant farming which generally concerns large ruminants and sedentary farming which concerns small ruminants and p</w:t>
      </w:r>
      <w:r w:rsidR="004B5FE2" w:rsidRPr="00502572">
        <w:rPr>
          <w:rFonts w:ascii="Arial" w:hAnsi="Arial" w:cs="Arial"/>
          <w:sz w:val="20"/>
          <w:szCs w:val="20"/>
        </w:rPr>
        <w:t>oultry</w:t>
      </w:r>
      <w:r w:rsidRPr="00502572">
        <w:rPr>
          <w:rFonts w:ascii="Arial" w:hAnsi="Arial" w:cs="Arial"/>
          <w:sz w:val="20"/>
          <w:szCs w:val="20"/>
        </w:rPr>
        <w:t>, practiced mainly by women. The artisanal production essentially relates to</w:t>
      </w:r>
      <w:r w:rsidR="00B10BE2" w:rsidRPr="00502572">
        <w:rPr>
          <w:rFonts w:ascii="Arial" w:hAnsi="Arial" w:cs="Arial"/>
          <w:sz w:val="20"/>
          <w:szCs w:val="20"/>
        </w:rPr>
        <w:t xml:space="preserve"> </w:t>
      </w:r>
      <w:r w:rsidRPr="00502572">
        <w:rPr>
          <w:rFonts w:ascii="Arial" w:hAnsi="Arial" w:cs="Arial"/>
          <w:sz w:val="20"/>
          <w:szCs w:val="20"/>
        </w:rPr>
        <w:t>the transformation of hides and skins by the shoemakers, the products of the forge and the production of natron.</w:t>
      </w:r>
    </w:p>
    <w:p w14:paraId="15E5380A" w14:textId="2B82420F" w:rsidR="001D1A3D" w:rsidRPr="00502572" w:rsidRDefault="001B7552" w:rsidP="001B7552">
      <w:pPr>
        <w:pStyle w:val="Paragraphedeliste"/>
        <w:numPr>
          <w:ilvl w:val="1"/>
          <w:numId w:val="5"/>
        </w:numPr>
        <w:jc w:val="both"/>
        <w:rPr>
          <w:rFonts w:ascii="Arial" w:hAnsi="Arial" w:cs="Arial"/>
          <w:b/>
          <w:sz w:val="20"/>
          <w:szCs w:val="20"/>
        </w:rPr>
      </w:pPr>
      <w:r w:rsidRPr="00502572">
        <w:rPr>
          <w:rFonts w:ascii="Arial" w:hAnsi="Arial" w:cs="Arial"/>
          <w:b/>
          <w:sz w:val="20"/>
          <w:szCs w:val="20"/>
        </w:rPr>
        <w:t>Data c</w:t>
      </w:r>
      <w:r w:rsidR="001D1A3D" w:rsidRPr="00502572">
        <w:rPr>
          <w:rFonts w:ascii="Arial" w:hAnsi="Arial" w:cs="Arial"/>
          <w:b/>
          <w:sz w:val="20"/>
          <w:szCs w:val="20"/>
        </w:rPr>
        <w:t xml:space="preserve">ollection </w:t>
      </w:r>
      <w:r w:rsidRPr="00502572">
        <w:rPr>
          <w:rFonts w:ascii="Arial" w:hAnsi="Arial" w:cs="Arial"/>
          <w:b/>
          <w:sz w:val="20"/>
          <w:szCs w:val="20"/>
        </w:rPr>
        <w:t>and analysis</w:t>
      </w:r>
    </w:p>
    <w:p w14:paraId="15A39108" w14:textId="32953F4F" w:rsidR="001D1A3D" w:rsidRPr="00502572" w:rsidRDefault="00686F5A" w:rsidP="00416CC6">
      <w:pPr>
        <w:spacing w:line="360" w:lineRule="auto"/>
        <w:jc w:val="both"/>
        <w:rPr>
          <w:rFonts w:ascii="Arial" w:hAnsi="Arial" w:cs="Arial"/>
          <w:sz w:val="20"/>
          <w:szCs w:val="20"/>
        </w:rPr>
      </w:pPr>
      <w:r w:rsidRPr="00502572">
        <w:rPr>
          <w:rFonts w:ascii="Arial" w:hAnsi="Arial" w:cs="Arial"/>
          <w:sz w:val="20"/>
          <w:szCs w:val="20"/>
        </w:rPr>
        <w:t xml:space="preserve">In this study, </w:t>
      </w:r>
      <w:r w:rsidR="00A12642" w:rsidRPr="00502572">
        <w:rPr>
          <w:rFonts w:ascii="Arial" w:hAnsi="Arial" w:cs="Arial"/>
          <w:sz w:val="20"/>
          <w:szCs w:val="20"/>
        </w:rPr>
        <w:t xml:space="preserve">two main approaches </w:t>
      </w:r>
      <w:r w:rsidRPr="00502572">
        <w:rPr>
          <w:rFonts w:ascii="Arial" w:hAnsi="Arial" w:cs="Arial"/>
          <w:sz w:val="20"/>
          <w:szCs w:val="20"/>
        </w:rPr>
        <w:t xml:space="preserve">were been used </w:t>
      </w:r>
      <w:r w:rsidR="00A12642" w:rsidRPr="00502572">
        <w:rPr>
          <w:rFonts w:ascii="Arial" w:hAnsi="Arial" w:cs="Arial"/>
          <w:sz w:val="20"/>
          <w:szCs w:val="20"/>
        </w:rPr>
        <w:t xml:space="preserve">for the data collection.  A questionnaire used to </w:t>
      </w:r>
      <w:r w:rsidR="00C502AE" w:rsidRPr="00502572">
        <w:rPr>
          <w:rFonts w:ascii="Arial" w:hAnsi="Arial" w:cs="Arial"/>
          <w:sz w:val="20"/>
          <w:szCs w:val="20"/>
        </w:rPr>
        <w:t xml:space="preserve">collect data on the </w:t>
      </w:r>
      <w:r w:rsidR="00C502AE" w:rsidRPr="00BC3BEB">
        <w:rPr>
          <w:rFonts w:ascii="Arial" w:hAnsi="Arial" w:cs="Arial"/>
          <w:sz w:val="20"/>
          <w:szCs w:val="20"/>
          <w:highlight w:val="yellow"/>
        </w:rPr>
        <w:t>ecosystem</w:t>
      </w:r>
      <w:r w:rsidR="00C502AE" w:rsidRPr="00502572">
        <w:rPr>
          <w:rFonts w:ascii="Arial" w:hAnsi="Arial" w:cs="Arial"/>
          <w:sz w:val="20"/>
          <w:szCs w:val="20"/>
        </w:rPr>
        <w:t xml:space="preserve"> services. In order to collect as much information as possible, </w:t>
      </w:r>
      <w:r w:rsidR="00AA59FC" w:rsidRPr="00502572">
        <w:rPr>
          <w:rFonts w:ascii="Arial" w:hAnsi="Arial" w:cs="Arial"/>
          <w:sz w:val="20"/>
          <w:szCs w:val="20"/>
        </w:rPr>
        <w:t xml:space="preserve">the representative sample of villages from the study area was selected randomly. In total, through </w:t>
      </w:r>
      <w:r w:rsidR="009B65E9" w:rsidRPr="00502572">
        <w:rPr>
          <w:rFonts w:ascii="Arial" w:hAnsi="Arial" w:cs="Arial"/>
          <w:sz w:val="20"/>
          <w:szCs w:val="20"/>
        </w:rPr>
        <w:t>t</w:t>
      </w:r>
      <w:r w:rsidR="009B65E9" w:rsidRPr="009B65E9">
        <w:rPr>
          <w:rFonts w:ascii="Arial" w:hAnsi="Arial" w:cs="Arial"/>
          <w:sz w:val="20"/>
          <w:szCs w:val="20"/>
          <w:highlight w:val="yellow"/>
        </w:rPr>
        <w:t>hese</w:t>
      </w:r>
      <w:r w:rsidR="009B65E9" w:rsidRPr="00502572">
        <w:rPr>
          <w:rFonts w:ascii="Arial" w:hAnsi="Arial" w:cs="Arial"/>
          <w:sz w:val="20"/>
          <w:szCs w:val="20"/>
        </w:rPr>
        <w:t xml:space="preserve"> </w:t>
      </w:r>
      <w:r w:rsidR="009B65E9">
        <w:rPr>
          <w:rFonts w:ascii="Arial" w:hAnsi="Arial" w:cs="Arial"/>
          <w:sz w:val="20"/>
          <w:szCs w:val="20"/>
        </w:rPr>
        <w:t>ten</w:t>
      </w:r>
      <w:r w:rsidR="009B65E9" w:rsidRPr="00502572">
        <w:rPr>
          <w:rFonts w:ascii="Arial" w:hAnsi="Arial" w:cs="Arial"/>
          <w:sz w:val="20"/>
          <w:szCs w:val="20"/>
        </w:rPr>
        <w:t xml:space="preserve"> (</w:t>
      </w:r>
      <w:r w:rsidR="009B65E9">
        <w:rPr>
          <w:rFonts w:ascii="Arial" w:hAnsi="Arial" w:cs="Arial"/>
          <w:sz w:val="20"/>
          <w:szCs w:val="20"/>
        </w:rPr>
        <w:t>10</w:t>
      </w:r>
      <w:r w:rsidR="009B65E9" w:rsidRPr="00502572">
        <w:rPr>
          <w:rFonts w:ascii="Arial" w:hAnsi="Arial" w:cs="Arial"/>
          <w:sz w:val="20"/>
          <w:szCs w:val="20"/>
        </w:rPr>
        <w:t>) villages</w:t>
      </w:r>
      <w:r w:rsidR="00C502AE" w:rsidRPr="00502572">
        <w:rPr>
          <w:rFonts w:ascii="Arial" w:hAnsi="Arial" w:cs="Arial"/>
          <w:sz w:val="20"/>
          <w:szCs w:val="20"/>
        </w:rPr>
        <w:t xml:space="preserve"> were selected and considered as a representative sample of the study area. For the realization of this survey, the accelerated method of participative research (MARP) </w:t>
      </w:r>
      <w:r w:rsidRPr="00502572">
        <w:rPr>
          <w:rFonts w:ascii="Arial" w:hAnsi="Arial" w:cs="Arial"/>
          <w:sz w:val="20"/>
          <w:szCs w:val="20"/>
        </w:rPr>
        <w:t xml:space="preserve">is applied. Also, </w:t>
      </w:r>
      <w:r w:rsidR="00C502AE" w:rsidRPr="00502572">
        <w:rPr>
          <w:rFonts w:ascii="Arial" w:hAnsi="Arial" w:cs="Arial"/>
          <w:sz w:val="20"/>
          <w:szCs w:val="20"/>
        </w:rPr>
        <w:t>the questioning by individual of ten people made up of men and women in each village</w:t>
      </w:r>
      <w:r w:rsidRPr="00502572">
        <w:rPr>
          <w:rFonts w:ascii="Arial" w:hAnsi="Arial" w:cs="Arial"/>
          <w:sz w:val="20"/>
          <w:szCs w:val="20"/>
        </w:rPr>
        <w:t xml:space="preserve"> with a total of </w:t>
      </w:r>
      <w:r w:rsidR="00C502AE" w:rsidRPr="00502572">
        <w:rPr>
          <w:rFonts w:ascii="Arial" w:hAnsi="Arial" w:cs="Arial"/>
          <w:sz w:val="20"/>
          <w:szCs w:val="20"/>
        </w:rPr>
        <w:t xml:space="preserve">one </w:t>
      </w:r>
      <w:r w:rsidR="00C502AE" w:rsidRPr="00502572">
        <w:rPr>
          <w:rFonts w:ascii="Arial" w:hAnsi="Arial" w:cs="Arial"/>
          <w:sz w:val="20"/>
          <w:szCs w:val="20"/>
        </w:rPr>
        <w:lastRenderedPageBreak/>
        <w:t xml:space="preserve">hundred (100) people questioned. The MARP consists in bringing together the villagers and asking them questions. </w:t>
      </w:r>
      <w:r w:rsidRPr="00502572">
        <w:rPr>
          <w:rFonts w:ascii="Arial" w:hAnsi="Arial" w:cs="Arial"/>
          <w:sz w:val="20"/>
          <w:szCs w:val="20"/>
        </w:rPr>
        <w:t xml:space="preserve">At the next step, </w:t>
      </w:r>
      <w:r w:rsidR="00C502AE" w:rsidRPr="00502572">
        <w:rPr>
          <w:rFonts w:ascii="Arial" w:hAnsi="Arial" w:cs="Arial"/>
          <w:sz w:val="20"/>
          <w:szCs w:val="20"/>
        </w:rPr>
        <w:t xml:space="preserve">we used direct field observations to collect also the data on the </w:t>
      </w:r>
      <w:r w:rsidR="00C502AE" w:rsidRPr="00153BE9">
        <w:rPr>
          <w:rFonts w:ascii="Arial" w:hAnsi="Arial" w:cs="Arial"/>
          <w:sz w:val="20"/>
          <w:szCs w:val="20"/>
          <w:highlight w:val="yellow"/>
        </w:rPr>
        <w:t>ecosystem</w:t>
      </w:r>
      <w:r w:rsidR="00C502AE" w:rsidRPr="00502572">
        <w:rPr>
          <w:rFonts w:ascii="Arial" w:hAnsi="Arial" w:cs="Arial"/>
          <w:sz w:val="20"/>
          <w:szCs w:val="20"/>
        </w:rPr>
        <w:t xml:space="preserve"> types and their services </w:t>
      </w:r>
      <w:r w:rsidRPr="00502572">
        <w:rPr>
          <w:rFonts w:ascii="Arial" w:hAnsi="Arial" w:cs="Arial"/>
          <w:sz w:val="20"/>
          <w:szCs w:val="20"/>
        </w:rPr>
        <w:t>for local people</w:t>
      </w:r>
      <w:r w:rsidR="00C502AE" w:rsidRPr="00502572">
        <w:rPr>
          <w:rFonts w:ascii="Arial" w:hAnsi="Arial" w:cs="Arial"/>
          <w:sz w:val="20"/>
          <w:szCs w:val="20"/>
        </w:rPr>
        <w:t xml:space="preserve">. </w:t>
      </w:r>
      <w:r w:rsidR="00F92969" w:rsidRPr="00F92969">
        <w:rPr>
          <w:rFonts w:ascii="Arial" w:hAnsi="Arial" w:cs="Arial"/>
          <w:highlight w:val="yellow"/>
        </w:rPr>
        <w:t>Descriptive statistics such as percentage was used for the data analysis.</w:t>
      </w:r>
      <w:r w:rsidR="00153BE9">
        <w:rPr>
          <w:rFonts w:ascii="Arial" w:hAnsi="Arial" w:cs="Arial"/>
        </w:rPr>
        <w:t xml:space="preserve"> </w:t>
      </w:r>
      <w:r w:rsidR="00F92969" w:rsidRPr="00153BE9">
        <w:rPr>
          <w:rFonts w:ascii="Arial" w:hAnsi="Arial" w:cs="Arial"/>
          <w:highlight w:val="yellow"/>
        </w:rPr>
        <w:t xml:space="preserve">For example, </w:t>
      </w:r>
      <w:r w:rsidR="00153BE9" w:rsidRPr="00153BE9">
        <w:rPr>
          <w:rFonts w:ascii="Arial" w:hAnsi="Arial" w:cs="Arial"/>
          <w:highlight w:val="yellow"/>
        </w:rPr>
        <w:t>we calculated the p</w:t>
      </w:r>
      <w:r w:rsidR="00153BE9" w:rsidRPr="00153BE9">
        <w:rPr>
          <w:rFonts w:ascii="Arial" w:hAnsi="Arial" w:cs="Arial"/>
          <w:highlight w:val="yellow"/>
        </w:rPr>
        <w:t>ercentage of plant species used in traditional pharmacopoeia</w:t>
      </w:r>
      <w:r w:rsidR="00153BE9" w:rsidRPr="00153BE9">
        <w:rPr>
          <w:rFonts w:ascii="Arial" w:hAnsi="Arial" w:cs="Arial"/>
          <w:highlight w:val="yellow"/>
        </w:rPr>
        <w:t>, the p</w:t>
      </w:r>
      <w:r w:rsidR="00153BE9" w:rsidRPr="00153BE9">
        <w:rPr>
          <w:rFonts w:ascii="Arial" w:hAnsi="Arial" w:cs="Arial"/>
          <w:highlight w:val="yellow"/>
        </w:rPr>
        <w:t>ercentage of main species used as fuelwood</w:t>
      </w:r>
      <w:r w:rsidR="00153BE9" w:rsidRPr="00153BE9">
        <w:rPr>
          <w:rFonts w:ascii="Arial" w:hAnsi="Arial" w:cs="Arial"/>
          <w:highlight w:val="yellow"/>
        </w:rPr>
        <w:t>, etc.</w:t>
      </w:r>
      <w:r w:rsidR="00153BE9" w:rsidRPr="00153BE9">
        <w:rPr>
          <w:rFonts w:ascii="Arial" w:hAnsi="Arial" w:cs="Arial"/>
          <w:highlight w:val="yellow"/>
        </w:rPr>
        <w:t xml:space="preserve"> in the Department of Balleyara.</w:t>
      </w:r>
      <w:r w:rsidR="005F561B">
        <w:rPr>
          <w:rFonts w:ascii="Arial" w:hAnsi="Arial" w:cs="Arial"/>
        </w:rPr>
        <w:t xml:space="preserve"> </w:t>
      </w:r>
      <w:r w:rsidR="00700D4D" w:rsidRPr="005F561B">
        <w:rPr>
          <w:rFonts w:ascii="Arial" w:hAnsi="Arial" w:cs="Arial"/>
          <w:highlight w:val="yellow"/>
        </w:rPr>
        <w:t xml:space="preserve">We used also the pictures to illustrate </w:t>
      </w:r>
      <w:r w:rsidR="005F561B" w:rsidRPr="005F561B">
        <w:rPr>
          <w:rFonts w:ascii="Arial" w:hAnsi="Arial" w:cs="Arial"/>
          <w:highlight w:val="yellow"/>
        </w:rPr>
        <w:t xml:space="preserve">types of </w:t>
      </w:r>
      <w:r w:rsidR="005F561B">
        <w:rPr>
          <w:rFonts w:ascii="Arial" w:hAnsi="Arial" w:cs="Arial"/>
          <w:highlight w:val="yellow"/>
        </w:rPr>
        <w:t xml:space="preserve">the </w:t>
      </w:r>
      <w:r w:rsidR="005F561B" w:rsidRPr="005F561B">
        <w:rPr>
          <w:rFonts w:ascii="Arial" w:hAnsi="Arial" w:cs="Arial"/>
          <w:highlight w:val="yellow"/>
        </w:rPr>
        <w:t>ecosystem, functions and threats of the identified ecosystems</w:t>
      </w:r>
      <w:r w:rsidR="005F561B">
        <w:rPr>
          <w:rFonts w:ascii="Arial" w:hAnsi="Arial" w:cs="Arial"/>
        </w:rPr>
        <w:t xml:space="preserve">. </w:t>
      </w:r>
    </w:p>
    <w:p w14:paraId="6E8F1F38" w14:textId="52608483" w:rsidR="00BD6BC2" w:rsidRPr="00502572" w:rsidRDefault="007D4E02" w:rsidP="001B7552">
      <w:pPr>
        <w:pStyle w:val="Paragraphedeliste"/>
        <w:numPr>
          <w:ilvl w:val="0"/>
          <w:numId w:val="4"/>
        </w:numPr>
        <w:spacing w:line="360" w:lineRule="auto"/>
        <w:rPr>
          <w:rFonts w:ascii="Arial" w:hAnsi="Arial" w:cs="Arial"/>
          <w:b/>
        </w:rPr>
      </w:pPr>
      <w:r w:rsidRPr="00502572">
        <w:rPr>
          <w:rFonts w:ascii="Arial" w:hAnsi="Arial" w:cs="Arial"/>
          <w:b/>
        </w:rPr>
        <w:t>RESULTS</w:t>
      </w:r>
    </w:p>
    <w:p w14:paraId="03AD932B" w14:textId="332DC597" w:rsidR="00BA27D3" w:rsidRPr="00502572" w:rsidRDefault="005359A4" w:rsidP="00D01FF0">
      <w:pPr>
        <w:spacing w:line="360" w:lineRule="auto"/>
        <w:jc w:val="both"/>
        <w:rPr>
          <w:rFonts w:ascii="Arial" w:hAnsi="Arial" w:cs="Arial"/>
          <w:b/>
          <w:sz w:val="20"/>
          <w:szCs w:val="20"/>
        </w:rPr>
      </w:pPr>
      <w:r w:rsidRPr="00502572">
        <w:rPr>
          <w:rFonts w:ascii="Arial" w:hAnsi="Arial" w:cs="Arial"/>
          <w:b/>
          <w:sz w:val="20"/>
          <w:szCs w:val="20"/>
        </w:rPr>
        <w:t xml:space="preserve">3.1 </w:t>
      </w:r>
      <w:r w:rsidR="00BA27D3" w:rsidRPr="00502572">
        <w:rPr>
          <w:rFonts w:ascii="Arial" w:hAnsi="Arial" w:cs="Arial"/>
          <w:b/>
          <w:sz w:val="20"/>
          <w:szCs w:val="20"/>
        </w:rPr>
        <w:t>Typology of ecosystems</w:t>
      </w:r>
    </w:p>
    <w:p w14:paraId="33DE6C35" w14:textId="7672D852" w:rsidR="00B232A8" w:rsidRPr="00502572" w:rsidRDefault="0065077D" w:rsidP="00171EBA">
      <w:pPr>
        <w:spacing w:line="360" w:lineRule="auto"/>
        <w:jc w:val="both"/>
        <w:rPr>
          <w:rFonts w:ascii="Arial" w:hAnsi="Arial" w:cs="Arial"/>
          <w:sz w:val="20"/>
          <w:szCs w:val="20"/>
        </w:rPr>
      </w:pPr>
      <w:r w:rsidRPr="00502572">
        <w:rPr>
          <w:rFonts w:ascii="Arial" w:hAnsi="Arial" w:cs="Arial"/>
          <w:sz w:val="20"/>
          <w:szCs w:val="20"/>
        </w:rPr>
        <w:t xml:space="preserve">The study identified two </w:t>
      </w:r>
      <w:r w:rsidR="00834737" w:rsidRPr="00502572">
        <w:rPr>
          <w:rFonts w:ascii="Arial" w:hAnsi="Arial" w:cs="Arial"/>
          <w:sz w:val="20"/>
          <w:szCs w:val="20"/>
        </w:rPr>
        <w:t>categories</w:t>
      </w:r>
      <w:r w:rsidRPr="00502572">
        <w:rPr>
          <w:rFonts w:ascii="Arial" w:hAnsi="Arial" w:cs="Arial"/>
          <w:sz w:val="20"/>
          <w:szCs w:val="20"/>
        </w:rPr>
        <w:t xml:space="preserve"> </w:t>
      </w:r>
      <w:r w:rsidR="00834737" w:rsidRPr="00502572">
        <w:rPr>
          <w:rFonts w:ascii="Arial" w:hAnsi="Arial" w:cs="Arial"/>
          <w:sz w:val="20"/>
          <w:szCs w:val="20"/>
        </w:rPr>
        <w:t xml:space="preserve">of </w:t>
      </w:r>
      <w:r w:rsidRPr="00502572">
        <w:rPr>
          <w:rFonts w:ascii="Arial" w:hAnsi="Arial" w:cs="Arial"/>
          <w:sz w:val="20"/>
          <w:szCs w:val="20"/>
        </w:rPr>
        <w:t xml:space="preserve">ecosystems, which are aquatic and </w:t>
      </w:r>
      <w:r w:rsidR="0066267F" w:rsidRPr="00502572">
        <w:rPr>
          <w:rFonts w:ascii="Arial" w:hAnsi="Arial" w:cs="Arial"/>
          <w:sz w:val="20"/>
          <w:szCs w:val="20"/>
        </w:rPr>
        <w:t>land ecosystems</w:t>
      </w:r>
      <w:r w:rsidRPr="00502572">
        <w:rPr>
          <w:rFonts w:ascii="Arial" w:hAnsi="Arial" w:cs="Arial"/>
          <w:sz w:val="20"/>
          <w:szCs w:val="20"/>
        </w:rPr>
        <w:t xml:space="preserve"> in the </w:t>
      </w:r>
      <w:r w:rsidR="001302BE" w:rsidRPr="00502572">
        <w:rPr>
          <w:rFonts w:ascii="Arial" w:hAnsi="Arial" w:cs="Arial"/>
          <w:sz w:val="20"/>
          <w:szCs w:val="20"/>
        </w:rPr>
        <w:t xml:space="preserve">Department </w:t>
      </w:r>
      <w:r w:rsidR="00BA27D3" w:rsidRPr="00502572">
        <w:rPr>
          <w:rFonts w:ascii="Arial" w:hAnsi="Arial" w:cs="Arial"/>
          <w:sz w:val="20"/>
          <w:szCs w:val="20"/>
        </w:rPr>
        <w:t xml:space="preserve">of </w:t>
      </w:r>
      <w:r w:rsidRPr="00502572">
        <w:rPr>
          <w:rFonts w:ascii="Arial" w:hAnsi="Arial" w:cs="Arial"/>
          <w:sz w:val="20"/>
          <w:szCs w:val="20"/>
        </w:rPr>
        <w:t xml:space="preserve">Balleyara. </w:t>
      </w:r>
    </w:p>
    <w:p w14:paraId="094A6A79" w14:textId="1BE37FBB" w:rsidR="00B232A8" w:rsidRPr="00502572" w:rsidRDefault="005359A4" w:rsidP="00B232A8">
      <w:pPr>
        <w:spacing w:after="0" w:line="360" w:lineRule="auto"/>
        <w:jc w:val="both"/>
        <w:rPr>
          <w:rFonts w:ascii="Arial" w:hAnsi="Arial" w:cs="Arial"/>
          <w:b/>
          <w:sz w:val="20"/>
          <w:szCs w:val="20"/>
        </w:rPr>
      </w:pPr>
      <w:r w:rsidRPr="00502572">
        <w:rPr>
          <w:rFonts w:ascii="Arial" w:hAnsi="Arial" w:cs="Arial"/>
          <w:b/>
          <w:sz w:val="20"/>
          <w:szCs w:val="20"/>
        </w:rPr>
        <w:t>3.1.1 Terrestrial ecosystems</w:t>
      </w:r>
    </w:p>
    <w:p w14:paraId="34F39AC9" w14:textId="3C304DEF" w:rsidR="00BA27D3" w:rsidRPr="00502572" w:rsidRDefault="0065077D" w:rsidP="00171EBA">
      <w:pPr>
        <w:spacing w:line="360" w:lineRule="auto"/>
        <w:jc w:val="both"/>
        <w:rPr>
          <w:rFonts w:ascii="Arial" w:hAnsi="Arial" w:cs="Arial"/>
          <w:sz w:val="20"/>
          <w:szCs w:val="20"/>
        </w:rPr>
      </w:pPr>
      <w:r w:rsidRPr="00502572">
        <w:rPr>
          <w:rFonts w:ascii="Arial" w:hAnsi="Arial" w:cs="Arial"/>
          <w:sz w:val="20"/>
          <w:szCs w:val="20"/>
        </w:rPr>
        <w:t xml:space="preserve">The </w:t>
      </w:r>
      <w:r w:rsidR="0054658C" w:rsidRPr="00502572">
        <w:rPr>
          <w:rFonts w:ascii="Arial" w:hAnsi="Arial" w:cs="Arial"/>
          <w:sz w:val="20"/>
          <w:szCs w:val="20"/>
        </w:rPr>
        <w:t xml:space="preserve">terrestrial </w:t>
      </w:r>
      <w:r w:rsidRPr="00502572">
        <w:rPr>
          <w:rFonts w:ascii="Arial" w:hAnsi="Arial" w:cs="Arial"/>
          <w:sz w:val="20"/>
          <w:szCs w:val="20"/>
        </w:rPr>
        <w:t>ecosystems consist of agrofore</w:t>
      </w:r>
      <w:r w:rsidR="00834737" w:rsidRPr="00502572">
        <w:rPr>
          <w:rFonts w:ascii="Arial" w:hAnsi="Arial" w:cs="Arial"/>
          <w:sz w:val="20"/>
          <w:szCs w:val="20"/>
        </w:rPr>
        <w:t>stry parklands, gardens, steppe vegetation</w:t>
      </w:r>
      <w:r w:rsidRPr="00502572">
        <w:rPr>
          <w:rFonts w:ascii="Arial" w:hAnsi="Arial" w:cs="Arial"/>
          <w:sz w:val="20"/>
          <w:szCs w:val="20"/>
        </w:rPr>
        <w:t xml:space="preserve">, </w:t>
      </w:r>
      <w:r w:rsidR="00834737" w:rsidRPr="00502572">
        <w:rPr>
          <w:rFonts w:ascii="Arial" w:hAnsi="Arial" w:cs="Arial"/>
          <w:sz w:val="20"/>
          <w:szCs w:val="20"/>
        </w:rPr>
        <w:t>tree</w:t>
      </w:r>
      <w:r w:rsidRPr="00502572">
        <w:rPr>
          <w:rFonts w:ascii="Arial" w:hAnsi="Arial" w:cs="Arial"/>
          <w:sz w:val="20"/>
          <w:szCs w:val="20"/>
        </w:rPr>
        <w:t xml:space="preserve"> plantati</w:t>
      </w:r>
      <w:r w:rsidR="00834737" w:rsidRPr="00502572">
        <w:rPr>
          <w:rFonts w:ascii="Arial" w:hAnsi="Arial" w:cs="Arial"/>
          <w:sz w:val="20"/>
          <w:szCs w:val="20"/>
        </w:rPr>
        <w:t>on</w:t>
      </w:r>
      <w:r w:rsidRPr="00502572">
        <w:rPr>
          <w:rFonts w:ascii="Arial" w:hAnsi="Arial" w:cs="Arial"/>
          <w:sz w:val="20"/>
          <w:szCs w:val="20"/>
        </w:rPr>
        <w:t xml:space="preserve"> of </w:t>
      </w:r>
      <w:r w:rsidRPr="00153BE9">
        <w:rPr>
          <w:rFonts w:ascii="Arial" w:hAnsi="Arial" w:cs="Arial"/>
          <w:i/>
          <w:sz w:val="20"/>
          <w:szCs w:val="20"/>
        </w:rPr>
        <w:t>Acacia senegal</w:t>
      </w:r>
      <w:r w:rsidRPr="00502572">
        <w:rPr>
          <w:rFonts w:ascii="Arial" w:hAnsi="Arial" w:cs="Arial"/>
          <w:i/>
          <w:sz w:val="20"/>
          <w:szCs w:val="20"/>
        </w:rPr>
        <w:t xml:space="preserve"> </w:t>
      </w:r>
      <w:r w:rsidRPr="00502572">
        <w:rPr>
          <w:rFonts w:ascii="Arial" w:hAnsi="Arial" w:cs="Arial"/>
          <w:sz w:val="20"/>
          <w:szCs w:val="20"/>
        </w:rPr>
        <w:t>and</w:t>
      </w:r>
      <w:r w:rsidRPr="00502572">
        <w:rPr>
          <w:rFonts w:ascii="Arial" w:hAnsi="Arial" w:cs="Arial"/>
          <w:i/>
          <w:sz w:val="20"/>
          <w:szCs w:val="20"/>
        </w:rPr>
        <w:t xml:space="preserve"> </w:t>
      </w:r>
      <w:bookmarkStart w:id="1" w:name="_Hlk220577355"/>
      <w:r w:rsidRPr="00502572">
        <w:rPr>
          <w:rFonts w:ascii="Arial" w:hAnsi="Arial" w:cs="Arial"/>
          <w:i/>
          <w:sz w:val="20"/>
          <w:szCs w:val="20"/>
        </w:rPr>
        <w:t>Eucalyptus camaldulensis</w:t>
      </w:r>
      <w:bookmarkEnd w:id="1"/>
      <w:r w:rsidRPr="00502572">
        <w:rPr>
          <w:rFonts w:ascii="Arial" w:hAnsi="Arial" w:cs="Arial"/>
          <w:i/>
          <w:sz w:val="20"/>
          <w:szCs w:val="20"/>
        </w:rPr>
        <w:t xml:space="preserve">. </w:t>
      </w:r>
      <w:r w:rsidRPr="00502572">
        <w:rPr>
          <w:rFonts w:ascii="Arial" w:hAnsi="Arial" w:cs="Arial"/>
          <w:sz w:val="20"/>
          <w:szCs w:val="20"/>
        </w:rPr>
        <w:t xml:space="preserve">The cultivated ecosystems such as gardens </w:t>
      </w:r>
      <w:r w:rsidR="00BA27D3" w:rsidRPr="00502572">
        <w:rPr>
          <w:rFonts w:ascii="Arial" w:hAnsi="Arial" w:cs="Arial"/>
          <w:sz w:val="20"/>
          <w:szCs w:val="20"/>
        </w:rPr>
        <w:t>are occupied by market gardening and arboricultu</w:t>
      </w:r>
      <w:r w:rsidRPr="00502572">
        <w:rPr>
          <w:rFonts w:ascii="Arial" w:hAnsi="Arial" w:cs="Arial"/>
          <w:sz w:val="20"/>
          <w:szCs w:val="20"/>
        </w:rPr>
        <w:t xml:space="preserve">re. The cultivated species are </w:t>
      </w:r>
      <w:r w:rsidR="00BA27D3" w:rsidRPr="00502572">
        <w:rPr>
          <w:rFonts w:ascii="Arial" w:hAnsi="Arial" w:cs="Arial"/>
          <w:sz w:val="20"/>
          <w:szCs w:val="20"/>
        </w:rPr>
        <w:t xml:space="preserve">sweet potato, tomato, lettuce, cassava, cabbage, onion, potato, carrot, eggplant, pepper, zucchini, melon, chili, </w:t>
      </w:r>
      <w:r w:rsidRPr="00502572">
        <w:rPr>
          <w:rFonts w:ascii="Arial" w:hAnsi="Arial" w:cs="Arial"/>
          <w:sz w:val="20"/>
          <w:szCs w:val="20"/>
        </w:rPr>
        <w:t xml:space="preserve">Moringa and sugar cane. Figure </w:t>
      </w:r>
      <w:r w:rsidR="00B232A8" w:rsidRPr="00502572">
        <w:rPr>
          <w:rFonts w:ascii="Arial" w:hAnsi="Arial" w:cs="Arial"/>
          <w:sz w:val="20"/>
          <w:szCs w:val="20"/>
        </w:rPr>
        <w:t>3</w:t>
      </w:r>
      <w:r w:rsidRPr="00502572">
        <w:rPr>
          <w:rFonts w:ascii="Arial" w:hAnsi="Arial" w:cs="Arial"/>
          <w:sz w:val="20"/>
          <w:szCs w:val="20"/>
        </w:rPr>
        <w:t xml:space="preserve"> shows the </w:t>
      </w:r>
      <w:r w:rsidR="00BA27D3" w:rsidRPr="00502572">
        <w:rPr>
          <w:rFonts w:ascii="Arial" w:hAnsi="Arial" w:cs="Arial"/>
          <w:sz w:val="20"/>
          <w:szCs w:val="20"/>
        </w:rPr>
        <w:t>plots of cabb</w:t>
      </w:r>
      <w:r w:rsidRPr="00502572">
        <w:rPr>
          <w:rFonts w:ascii="Arial" w:hAnsi="Arial" w:cs="Arial"/>
          <w:sz w:val="20"/>
          <w:szCs w:val="20"/>
        </w:rPr>
        <w:t xml:space="preserve">age </w:t>
      </w:r>
      <w:r w:rsidR="00834737" w:rsidRPr="00502572">
        <w:rPr>
          <w:rFonts w:ascii="Arial" w:hAnsi="Arial" w:cs="Arial"/>
          <w:sz w:val="20"/>
          <w:szCs w:val="20"/>
        </w:rPr>
        <w:t>on</w:t>
      </w:r>
      <w:r w:rsidRPr="00502572">
        <w:rPr>
          <w:rFonts w:ascii="Arial" w:hAnsi="Arial" w:cs="Arial"/>
          <w:sz w:val="20"/>
          <w:szCs w:val="20"/>
        </w:rPr>
        <w:t xml:space="preserve"> the </w:t>
      </w:r>
      <w:r w:rsidR="00834737" w:rsidRPr="00502572">
        <w:rPr>
          <w:rFonts w:ascii="Arial" w:hAnsi="Arial" w:cs="Arial"/>
          <w:sz w:val="20"/>
          <w:szCs w:val="20"/>
        </w:rPr>
        <w:t xml:space="preserve">land </w:t>
      </w:r>
      <w:r w:rsidR="00834737" w:rsidRPr="00502572">
        <w:rPr>
          <w:rFonts w:ascii="Arial" w:hAnsi="Arial" w:cs="Arial"/>
          <w:i/>
          <w:sz w:val="20"/>
          <w:szCs w:val="20"/>
        </w:rPr>
        <w:t>Zongo</w:t>
      </w:r>
      <w:r w:rsidR="00834737" w:rsidRPr="00502572">
        <w:rPr>
          <w:rFonts w:ascii="Arial" w:hAnsi="Arial" w:cs="Arial"/>
          <w:sz w:val="20"/>
          <w:szCs w:val="20"/>
        </w:rPr>
        <w:t xml:space="preserve"> </w:t>
      </w:r>
      <w:r w:rsidRPr="00502572">
        <w:rPr>
          <w:rFonts w:ascii="Arial" w:hAnsi="Arial" w:cs="Arial"/>
          <w:sz w:val="20"/>
          <w:szCs w:val="20"/>
        </w:rPr>
        <w:t xml:space="preserve">village for </w:t>
      </w:r>
      <w:r w:rsidR="00BA27D3" w:rsidRPr="00502572">
        <w:rPr>
          <w:rFonts w:ascii="Arial" w:hAnsi="Arial" w:cs="Arial"/>
          <w:sz w:val="20"/>
          <w:szCs w:val="20"/>
        </w:rPr>
        <w:t xml:space="preserve">sale and </w:t>
      </w:r>
      <w:r w:rsidRPr="00502572">
        <w:rPr>
          <w:rFonts w:ascii="Arial" w:hAnsi="Arial" w:cs="Arial"/>
          <w:sz w:val="20"/>
          <w:szCs w:val="20"/>
        </w:rPr>
        <w:t xml:space="preserve">household </w:t>
      </w:r>
      <w:r w:rsidR="00BA27D3" w:rsidRPr="00502572">
        <w:rPr>
          <w:rFonts w:ascii="Arial" w:hAnsi="Arial" w:cs="Arial"/>
          <w:sz w:val="20"/>
          <w:szCs w:val="20"/>
        </w:rPr>
        <w:t xml:space="preserve">consumption. As for fruit arboriculture, it is practiced in gardens. The </w:t>
      </w:r>
      <w:r w:rsidR="0066267F" w:rsidRPr="00502572">
        <w:rPr>
          <w:rFonts w:ascii="Arial" w:hAnsi="Arial" w:cs="Arial"/>
          <w:sz w:val="20"/>
          <w:szCs w:val="20"/>
        </w:rPr>
        <w:t>establishment</w:t>
      </w:r>
      <w:r w:rsidR="00BA27D3" w:rsidRPr="00502572">
        <w:rPr>
          <w:rFonts w:ascii="Arial" w:hAnsi="Arial" w:cs="Arial"/>
          <w:sz w:val="20"/>
          <w:szCs w:val="20"/>
        </w:rPr>
        <w:t xml:space="preserve"> of this culture is weak in all the sub-zones, but largely</w:t>
      </w:r>
      <w:r w:rsidR="0066267F" w:rsidRPr="00502572">
        <w:rPr>
          <w:rFonts w:ascii="Arial" w:hAnsi="Arial" w:cs="Arial"/>
          <w:sz w:val="20"/>
          <w:szCs w:val="20"/>
        </w:rPr>
        <w:t xml:space="preserve"> used</w:t>
      </w:r>
      <w:r w:rsidR="00BA27D3" w:rsidRPr="00502572">
        <w:rPr>
          <w:rFonts w:ascii="Arial" w:hAnsi="Arial" w:cs="Arial"/>
          <w:sz w:val="20"/>
          <w:szCs w:val="20"/>
        </w:rPr>
        <w:t xml:space="preserve"> in the sub-zone of </w:t>
      </w:r>
      <w:r w:rsidR="00BA27D3" w:rsidRPr="00153BE9">
        <w:rPr>
          <w:rFonts w:ascii="Arial" w:hAnsi="Arial" w:cs="Arial"/>
          <w:iCs/>
          <w:sz w:val="20"/>
          <w:szCs w:val="20"/>
        </w:rPr>
        <w:t>Balleyar</w:t>
      </w:r>
      <w:r w:rsidR="00BA27D3" w:rsidRPr="00502572">
        <w:rPr>
          <w:rFonts w:ascii="Arial" w:hAnsi="Arial" w:cs="Arial"/>
          <w:i/>
          <w:sz w:val="20"/>
          <w:szCs w:val="20"/>
        </w:rPr>
        <w:t>a</w:t>
      </w:r>
      <w:r w:rsidR="00BA27D3" w:rsidRPr="00502572">
        <w:rPr>
          <w:rFonts w:ascii="Arial" w:hAnsi="Arial" w:cs="Arial"/>
          <w:sz w:val="20"/>
          <w:szCs w:val="20"/>
        </w:rPr>
        <w:t xml:space="preserve">, </w:t>
      </w:r>
      <w:r w:rsidR="00BA27D3" w:rsidRPr="00153BE9">
        <w:rPr>
          <w:rFonts w:ascii="Arial" w:hAnsi="Arial" w:cs="Arial"/>
          <w:iCs/>
          <w:sz w:val="20"/>
          <w:szCs w:val="20"/>
        </w:rPr>
        <w:t xml:space="preserve">Sandiré </w:t>
      </w:r>
      <w:r w:rsidR="00BA27D3" w:rsidRPr="00502572">
        <w:rPr>
          <w:rFonts w:ascii="Arial" w:hAnsi="Arial" w:cs="Arial"/>
          <w:sz w:val="20"/>
          <w:szCs w:val="20"/>
        </w:rPr>
        <w:t xml:space="preserve">and </w:t>
      </w:r>
      <w:r w:rsidR="00BA27D3" w:rsidRPr="00153BE9">
        <w:rPr>
          <w:rFonts w:ascii="Arial" w:hAnsi="Arial" w:cs="Arial"/>
          <w:iCs/>
          <w:sz w:val="20"/>
          <w:szCs w:val="20"/>
        </w:rPr>
        <w:t>Tabla</w:t>
      </w:r>
      <w:r w:rsidR="00BA27D3" w:rsidRPr="00502572">
        <w:rPr>
          <w:rFonts w:ascii="Arial" w:hAnsi="Arial" w:cs="Arial"/>
          <w:sz w:val="20"/>
          <w:szCs w:val="20"/>
        </w:rPr>
        <w:t xml:space="preserve">. The main </w:t>
      </w:r>
      <w:r w:rsidR="00171EBA" w:rsidRPr="00502572">
        <w:rPr>
          <w:rFonts w:ascii="Arial" w:hAnsi="Arial" w:cs="Arial"/>
          <w:sz w:val="20"/>
          <w:szCs w:val="20"/>
        </w:rPr>
        <w:t xml:space="preserve">woody </w:t>
      </w:r>
      <w:r w:rsidR="0066267F" w:rsidRPr="00502572">
        <w:rPr>
          <w:rFonts w:ascii="Arial" w:hAnsi="Arial" w:cs="Arial"/>
          <w:sz w:val="20"/>
          <w:szCs w:val="20"/>
        </w:rPr>
        <w:t>species encountered are the Mango tree, the Jujube tree, the Cashew tree and the L</w:t>
      </w:r>
      <w:r w:rsidR="00BA27D3" w:rsidRPr="00502572">
        <w:rPr>
          <w:rFonts w:ascii="Arial" w:hAnsi="Arial" w:cs="Arial"/>
          <w:sz w:val="20"/>
          <w:szCs w:val="20"/>
        </w:rPr>
        <w:t xml:space="preserve">emon tree </w:t>
      </w:r>
      <w:r w:rsidR="0066267F" w:rsidRPr="00502572">
        <w:rPr>
          <w:rFonts w:ascii="Arial" w:hAnsi="Arial" w:cs="Arial"/>
          <w:sz w:val="20"/>
          <w:szCs w:val="20"/>
        </w:rPr>
        <w:t>with a strong dominance of the M</w:t>
      </w:r>
      <w:r w:rsidR="00BA27D3" w:rsidRPr="00502572">
        <w:rPr>
          <w:rFonts w:ascii="Arial" w:hAnsi="Arial" w:cs="Arial"/>
          <w:sz w:val="20"/>
          <w:szCs w:val="20"/>
        </w:rPr>
        <w:t xml:space="preserve">ango tree. These products are intended for sale and offer a very significant additional income for the </w:t>
      </w:r>
      <w:r w:rsidR="00B232A8" w:rsidRPr="00502572">
        <w:rPr>
          <w:rFonts w:ascii="Arial" w:hAnsi="Arial" w:cs="Arial"/>
          <w:sz w:val="20"/>
          <w:szCs w:val="20"/>
        </w:rPr>
        <w:t xml:space="preserve">local </w:t>
      </w:r>
      <w:r w:rsidR="00BA27D3" w:rsidRPr="00502572">
        <w:rPr>
          <w:rFonts w:ascii="Arial" w:hAnsi="Arial" w:cs="Arial"/>
          <w:sz w:val="20"/>
          <w:szCs w:val="20"/>
        </w:rPr>
        <w:t>popula</w:t>
      </w:r>
      <w:r w:rsidR="00171EBA" w:rsidRPr="00502572">
        <w:rPr>
          <w:rFonts w:ascii="Arial" w:hAnsi="Arial" w:cs="Arial"/>
          <w:sz w:val="20"/>
          <w:szCs w:val="20"/>
        </w:rPr>
        <w:t xml:space="preserve">tion. Arboriculture gardens are </w:t>
      </w:r>
      <w:r w:rsidR="00BA27D3" w:rsidRPr="00502572">
        <w:rPr>
          <w:rFonts w:ascii="Arial" w:hAnsi="Arial" w:cs="Arial"/>
          <w:sz w:val="20"/>
          <w:szCs w:val="20"/>
        </w:rPr>
        <w:t>strongly represented in the</w:t>
      </w:r>
      <w:r w:rsidR="00171EBA" w:rsidRPr="00502572">
        <w:rPr>
          <w:rFonts w:ascii="Arial" w:hAnsi="Arial" w:cs="Arial"/>
          <w:sz w:val="20"/>
          <w:szCs w:val="20"/>
        </w:rPr>
        <w:t xml:space="preserve"> locality of </w:t>
      </w:r>
      <w:r w:rsidR="00171EBA" w:rsidRPr="00153BE9">
        <w:rPr>
          <w:rFonts w:ascii="Arial" w:hAnsi="Arial" w:cs="Arial"/>
          <w:iCs/>
          <w:sz w:val="20"/>
          <w:szCs w:val="20"/>
        </w:rPr>
        <w:t xml:space="preserve">Balleyara </w:t>
      </w:r>
      <w:r w:rsidR="00171EBA" w:rsidRPr="00502572">
        <w:rPr>
          <w:rFonts w:ascii="Arial" w:hAnsi="Arial" w:cs="Arial"/>
          <w:sz w:val="20"/>
          <w:szCs w:val="20"/>
        </w:rPr>
        <w:t xml:space="preserve">(Figure </w:t>
      </w:r>
      <w:r w:rsidR="00235EFE" w:rsidRPr="00502572">
        <w:rPr>
          <w:rFonts w:ascii="Arial" w:hAnsi="Arial" w:cs="Arial"/>
          <w:sz w:val="20"/>
          <w:szCs w:val="20"/>
        </w:rPr>
        <w:t>2</w:t>
      </w:r>
      <w:r w:rsidR="00171EBA" w:rsidRPr="00502572">
        <w:rPr>
          <w:rFonts w:ascii="Arial" w:hAnsi="Arial" w:cs="Arial"/>
          <w:sz w:val="20"/>
          <w:szCs w:val="20"/>
        </w:rPr>
        <w:t>).</w:t>
      </w:r>
    </w:p>
    <w:p w14:paraId="4F6AE7D5" w14:textId="1D37E594" w:rsidR="007423F9" w:rsidRPr="00502572" w:rsidRDefault="005359A4" w:rsidP="00BA27D3">
      <w:pPr>
        <w:jc w:val="both"/>
        <w:rPr>
          <w:rFonts w:ascii="Arial" w:hAnsi="Arial" w:cs="Arial"/>
          <w:sz w:val="20"/>
          <w:szCs w:val="20"/>
        </w:rPr>
      </w:pPr>
      <w:r w:rsidRPr="00502572">
        <w:rPr>
          <w:rFonts w:ascii="Arial" w:hAnsi="Arial" w:cs="Arial"/>
          <w:noProof/>
          <w:sz w:val="20"/>
          <w:szCs w:val="20"/>
          <w:lang w:val="fr-FR" w:eastAsia="fr-FR"/>
        </w:rPr>
        <w:drawing>
          <wp:anchor distT="0" distB="0" distL="114300" distR="114300" simplePos="0" relativeHeight="251660288" behindDoc="0" locked="0" layoutInCell="1" allowOverlap="1" wp14:anchorId="404FDF98" wp14:editId="6D0280BF">
            <wp:simplePos x="0" y="0"/>
            <wp:positionH relativeFrom="column">
              <wp:posOffset>2980690</wp:posOffset>
            </wp:positionH>
            <wp:positionV relativeFrom="paragraph">
              <wp:posOffset>56515</wp:posOffset>
            </wp:positionV>
            <wp:extent cx="2456180" cy="2095500"/>
            <wp:effectExtent l="0" t="0" r="1270" b="0"/>
            <wp:wrapNone/>
            <wp:docPr id="3" name="Image 0" descr="photo maraichage1.jpg"/>
            <wp:cNvGraphicFramePr/>
            <a:graphic xmlns:a="http://schemas.openxmlformats.org/drawingml/2006/main">
              <a:graphicData uri="http://schemas.openxmlformats.org/drawingml/2006/picture">
                <pic:pic xmlns:pic="http://schemas.openxmlformats.org/drawingml/2006/picture">
                  <pic:nvPicPr>
                    <pic:cNvPr id="3" name="Image 0" descr="photo maraichage1.jpg"/>
                    <pic:cNvPicPr/>
                  </pic:nvPicPr>
                  <pic:blipFill>
                    <a:blip r:embed="rId9" cstate="print"/>
                    <a:stretch>
                      <a:fillRect/>
                    </a:stretch>
                  </pic:blipFill>
                  <pic:spPr>
                    <a:xfrm>
                      <a:off x="0" y="0"/>
                      <a:ext cx="2456180" cy="2095500"/>
                    </a:xfrm>
                    <a:prstGeom prst="rect">
                      <a:avLst/>
                    </a:prstGeom>
                  </pic:spPr>
                </pic:pic>
              </a:graphicData>
            </a:graphic>
          </wp:anchor>
        </w:drawing>
      </w:r>
    </w:p>
    <w:p w14:paraId="534CADEF" w14:textId="3032857D" w:rsidR="007423F9" w:rsidRPr="00502572" w:rsidRDefault="00834737" w:rsidP="00BA27D3">
      <w:pPr>
        <w:jc w:val="both"/>
        <w:rPr>
          <w:rFonts w:ascii="Arial" w:hAnsi="Arial" w:cs="Arial"/>
          <w:sz w:val="20"/>
          <w:szCs w:val="20"/>
        </w:rPr>
      </w:pPr>
      <w:r w:rsidRPr="00502572">
        <w:rPr>
          <w:rFonts w:ascii="Arial" w:hAnsi="Arial" w:cs="Arial"/>
          <w:noProof/>
          <w:sz w:val="20"/>
          <w:szCs w:val="20"/>
          <w:lang w:val="fr-FR" w:eastAsia="fr-FR"/>
        </w:rPr>
        <w:drawing>
          <wp:anchor distT="0" distB="0" distL="114300" distR="114300" simplePos="0" relativeHeight="251659264" behindDoc="0" locked="0" layoutInCell="1" allowOverlap="1" wp14:anchorId="19D7D2C2" wp14:editId="4CCB8A79">
            <wp:simplePos x="0" y="0"/>
            <wp:positionH relativeFrom="column">
              <wp:posOffset>109855</wp:posOffset>
            </wp:positionH>
            <wp:positionV relativeFrom="paragraph">
              <wp:posOffset>-195580</wp:posOffset>
            </wp:positionV>
            <wp:extent cx="2865120" cy="2095500"/>
            <wp:effectExtent l="0" t="0" r="0" b="0"/>
            <wp:wrapNone/>
            <wp:docPr id="4" name="Image 1" descr="IMG_20170102_120515.jpg"/>
            <wp:cNvGraphicFramePr/>
            <a:graphic xmlns:a="http://schemas.openxmlformats.org/drawingml/2006/main">
              <a:graphicData uri="http://schemas.openxmlformats.org/drawingml/2006/picture">
                <pic:pic xmlns:pic="http://schemas.openxmlformats.org/drawingml/2006/picture">
                  <pic:nvPicPr>
                    <pic:cNvPr id="4" name="Image 1" descr="IMG_20170102_120515.jpg"/>
                    <pic:cNvPicPr/>
                  </pic:nvPicPr>
                  <pic:blipFill>
                    <a:blip r:embed="rId10" cstate="print"/>
                    <a:stretch>
                      <a:fillRect/>
                    </a:stretch>
                  </pic:blipFill>
                  <pic:spPr>
                    <a:xfrm>
                      <a:off x="0" y="0"/>
                      <a:ext cx="2865120" cy="2095500"/>
                    </a:xfrm>
                    <a:prstGeom prst="rect">
                      <a:avLst/>
                    </a:prstGeom>
                  </pic:spPr>
                </pic:pic>
              </a:graphicData>
            </a:graphic>
          </wp:anchor>
        </w:drawing>
      </w:r>
    </w:p>
    <w:p w14:paraId="3FB979FF" w14:textId="77777777" w:rsidR="007423F9" w:rsidRPr="00502572" w:rsidRDefault="007423F9" w:rsidP="00BA27D3">
      <w:pPr>
        <w:jc w:val="both"/>
        <w:rPr>
          <w:rFonts w:ascii="Arial" w:hAnsi="Arial" w:cs="Arial"/>
          <w:sz w:val="20"/>
          <w:szCs w:val="20"/>
        </w:rPr>
      </w:pPr>
    </w:p>
    <w:p w14:paraId="498A131D" w14:textId="77777777" w:rsidR="007423F9" w:rsidRPr="00502572" w:rsidRDefault="007423F9" w:rsidP="00BA27D3">
      <w:pPr>
        <w:jc w:val="both"/>
        <w:rPr>
          <w:rFonts w:ascii="Arial" w:hAnsi="Arial" w:cs="Arial"/>
          <w:sz w:val="20"/>
          <w:szCs w:val="20"/>
        </w:rPr>
      </w:pPr>
    </w:p>
    <w:p w14:paraId="510C1374" w14:textId="77777777" w:rsidR="00BA27D3" w:rsidRPr="00502572" w:rsidRDefault="00BA27D3" w:rsidP="00BA27D3">
      <w:pPr>
        <w:jc w:val="both"/>
        <w:rPr>
          <w:rFonts w:ascii="Arial" w:hAnsi="Arial" w:cs="Arial"/>
          <w:sz w:val="20"/>
          <w:szCs w:val="20"/>
        </w:rPr>
      </w:pPr>
    </w:p>
    <w:p w14:paraId="575333C3" w14:textId="77777777" w:rsidR="007423F9" w:rsidRPr="00502572" w:rsidRDefault="007423F9" w:rsidP="00BA27D3">
      <w:pPr>
        <w:jc w:val="both"/>
        <w:rPr>
          <w:rFonts w:ascii="Arial" w:hAnsi="Arial" w:cs="Arial"/>
          <w:sz w:val="20"/>
          <w:szCs w:val="20"/>
        </w:rPr>
      </w:pPr>
    </w:p>
    <w:p w14:paraId="2DF5ABE3" w14:textId="77777777" w:rsidR="007423F9" w:rsidRPr="00502572" w:rsidRDefault="007423F9" w:rsidP="00BA27D3">
      <w:pPr>
        <w:jc w:val="both"/>
        <w:rPr>
          <w:rFonts w:ascii="Arial" w:hAnsi="Arial" w:cs="Arial"/>
          <w:sz w:val="20"/>
          <w:szCs w:val="20"/>
        </w:rPr>
      </w:pPr>
    </w:p>
    <w:p w14:paraId="44CFFA75" w14:textId="77777777" w:rsidR="007423F9" w:rsidRPr="00502572" w:rsidRDefault="007423F9" w:rsidP="00BA27D3">
      <w:pPr>
        <w:jc w:val="both"/>
        <w:rPr>
          <w:rFonts w:ascii="Arial" w:hAnsi="Arial" w:cs="Arial"/>
          <w:sz w:val="20"/>
          <w:szCs w:val="20"/>
        </w:rPr>
      </w:pPr>
    </w:p>
    <w:p w14:paraId="3F83BE9A" w14:textId="77777777" w:rsidR="005359A4" w:rsidRPr="00502572" w:rsidRDefault="005359A4" w:rsidP="00BA27D3">
      <w:pPr>
        <w:jc w:val="both"/>
        <w:rPr>
          <w:rFonts w:ascii="Arial" w:hAnsi="Arial" w:cs="Arial"/>
          <w:sz w:val="20"/>
          <w:szCs w:val="20"/>
        </w:rPr>
      </w:pPr>
    </w:p>
    <w:p w14:paraId="79C82FEB" w14:textId="167431CC" w:rsidR="00171EBA" w:rsidRPr="00502572" w:rsidRDefault="00171EBA" w:rsidP="00BA27D3">
      <w:pPr>
        <w:jc w:val="both"/>
        <w:rPr>
          <w:rFonts w:ascii="Arial" w:hAnsi="Arial" w:cs="Arial"/>
          <w:b/>
          <w:sz w:val="20"/>
          <w:szCs w:val="20"/>
        </w:rPr>
      </w:pPr>
      <w:r w:rsidRPr="00502572">
        <w:rPr>
          <w:rFonts w:ascii="Arial" w:hAnsi="Arial" w:cs="Arial"/>
          <w:b/>
          <w:sz w:val="20"/>
          <w:szCs w:val="20"/>
        </w:rPr>
        <w:t xml:space="preserve"> Figure </w:t>
      </w:r>
      <w:r w:rsidR="00235EFE" w:rsidRPr="00502572">
        <w:rPr>
          <w:rFonts w:ascii="Arial" w:hAnsi="Arial" w:cs="Arial"/>
          <w:b/>
          <w:sz w:val="20"/>
          <w:szCs w:val="20"/>
        </w:rPr>
        <w:t>2</w:t>
      </w:r>
      <w:r w:rsidRPr="00502572">
        <w:rPr>
          <w:rFonts w:ascii="Arial" w:hAnsi="Arial" w:cs="Arial"/>
          <w:b/>
          <w:sz w:val="20"/>
          <w:szCs w:val="20"/>
        </w:rPr>
        <w:t xml:space="preserve">: Gardens ecosystems </w:t>
      </w:r>
      <w:r w:rsidR="00B232A8" w:rsidRPr="00502572">
        <w:rPr>
          <w:rFonts w:ascii="Arial" w:hAnsi="Arial" w:cs="Arial"/>
          <w:b/>
          <w:sz w:val="20"/>
          <w:szCs w:val="20"/>
        </w:rPr>
        <w:t>at Balayara village</w:t>
      </w:r>
    </w:p>
    <w:p w14:paraId="1E18367F" w14:textId="0CEB2E5B" w:rsidR="00D63B23" w:rsidRPr="00502572" w:rsidRDefault="00D63B23" w:rsidP="00D63B23">
      <w:pPr>
        <w:spacing w:line="360" w:lineRule="auto"/>
        <w:jc w:val="both"/>
        <w:rPr>
          <w:rFonts w:ascii="Arial" w:hAnsi="Arial" w:cs="Arial"/>
          <w:sz w:val="20"/>
          <w:szCs w:val="20"/>
        </w:rPr>
      </w:pPr>
      <w:r w:rsidRPr="00502572">
        <w:rPr>
          <w:rFonts w:ascii="Arial" w:hAnsi="Arial" w:cs="Arial"/>
          <w:sz w:val="20"/>
          <w:szCs w:val="20"/>
        </w:rPr>
        <w:t xml:space="preserve">Agroforestry </w:t>
      </w:r>
      <w:r w:rsidR="00831283" w:rsidRPr="00502572">
        <w:rPr>
          <w:rFonts w:ascii="Arial" w:hAnsi="Arial" w:cs="Arial"/>
          <w:sz w:val="20"/>
          <w:szCs w:val="20"/>
        </w:rPr>
        <w:t xml:space="preserve">parklands is one </w:t>
      </w:r>
      <w:r w:rsidR="00834737" w:rsidRPr="00502572">
        <w:rPr>
          <w:rFonts w:ascii="Arial" w:hAnsi="Arial" w:cs="Arial"/>
          <w:sz w:val="20"/>
          <w:szCs w:val="20"/>
        </w:rPr>
        <w:t xml:space="preserve">of </w:t>
      </w:r>
      <w:r w:rsidR="00831283" w:rsidRPr="00502572">
        <w:rPr>
          <w:rFonts w:ascii="Arial" w:hAnsi="Arial" w:cs="Arial"/>
          <w:sz w:val="20"/>
          <w:szCs w:val="20"/>
        </w:rPr>
        <w:t xml:space="preserve">the identified types of the ecosystem in the </w:t>
      </w:r>
      <w:r w:rsidR="00AD2414" w:rsidRPr="00502572">
        <w:rPr>
          <w:rFonts w:ascii="Arial" w:hAnsi="Arial" w:cs="Arial"/>
          <w:sz w:val="20"/>
          <w:szCs w:val="20"/>
        </w:rPr>
        <w:t>Department of</w:t>
      </w:r>
      <w:r w:rsidR="00831283" w:rsidRPr="00502572">
        <w:rPr>
          <w:rFonts w:ascii="Arial" w:hAnsi="Arial" w:cs="Arial"/>
          <w:sz w:val="20"/>
          <w:szCs w:val="20"/>
        </w:rPr>
        <w:t xml:space="preserve"> Balleyara. Agroforestry parklands in the </w:t>
      </w:r>
      <w:r w:rsidR="005F561B" w:rsidRPr="00502572">
        <w:rPr>
          <w:rFonts w:ascii="Arial" w:hAnsi="Arial" w:cs="Arial"/>
          <w:sz w:val="20"/>
          <w:szCs w:val="20"/>
        </w:rPr>
        <w:t>Department of</w:t>
      </w:r>
      <w:r w:rsidR="00831283" w:rsidRPr="00502572">
        <w:rPr>
          <w:rFonts w:ascii="Arial" w:hAnsi="Arial" w:cs="Arial"/>
          <w:sz w:val="20"/>
          <w:szCs w:val="20"/>
        </w:rPr>
        <w:t xml:space="preserve"> Balleyara consists of agricultural l</w:t>
      </w:r>
      <w:r w:rsidRPr="00502572">
        <w:rPr>
          <w:rFonts w:ascii="Arial" w:hAnsi="Arial" w:cs="Arial"/>
          <w:sz w:val="20"/>
          <w:szCs w:val="20"/>
        </w:rPr>
        <w:t>and use such as farmlands with diverse purpose crop</w:t>
      </w:r>
      <w:r w:rsidR="00B232A8" w:rsidRPr="00502572">
        <w:rPr>
          <w:rFonts w:ascii="Arial" w:hAnsi="Arial" w:cs="Arial"/>
          <w:sz w:val="20"/>
          <w:szCs w:val="20"/>
        </w:rPr>
        <w:t>s</w:t>
      </w:r>
      <w:r w:rsidRPr="00502572">
        <w:rPr>
          <w:rFonts w:ascii="Arial" w:hAnsi="Arial" w:cs="Arial"/>
          <w:sz w:val="20"/>
          <w:szCs w:val="20"/>
        </w:rPr>
        <w:t xml:space="preserve"> such as tree crop, cereals crop for sale or household </w:t>
      </w:r>
      <w:r w:rsidRPr="00502572">
        <w:rPr>
          <w:rFonts w:ascii="Arial" w:hAnsi="Arial" w:cs="Arial"/>
          <w:sz w:val="20"/>
          <w:szCs w:val="20"/>
        </w:rPr>
        <w:lastRenderedPageBreak/>
        <w:t xml:space="preserve">consumption. Such ecosystems benefit from the human activities such as </w:t>
      </w:r>
      <w:r w:rsidR="003715DF" w:rsidRPr="00502572">
        <w:rPr>
          <w:rFonts w:ascii="Arial" w:hAnsi="Arial" w:cs="Arial"/>
          <w:sz w:val="20"/>
          <w:szCs w:val="20"/>
        </w:rPr>
        <w:t xml:space="preserve">Farmer-Managed Natural Regeneration (FMNR) </w:t>
      </w:r>
      <w:r w:rsidRPr="00502572">
        <w:rPr>
          <w:rFonts w:ascii="Arial" w:hAnsi="Arial" w:cs="Arial"/>
          <w:sz w:val="20"/>
          <w:szCs w:val="20"/>
        </w:rPr>
        <w:t>for increasing woody species diversity and vegetation cover for various services in agroforestry parklands</w:t>
      </w:r>
      <w:r w:rsidR="00235EFE" w:rsidRPr="00502572">
        <w:rPr>
          <w:rFonts w:ascii="Arial" w:hAnsi="Arial" w:cs="Arial"/>
          <w:sz w:val="20"/>
          <w:szCs w:val="20"/>
        </w:rPr>
        <w:t xml:space="preserve"> (Figure 3</w:t>
      </w:r>
      <w:r w:rsidR="00B232A8" w:rsidRPr="00502572">
        <w:rPr>
          <w:rFonts w:ascii="Arial" w:hAnsi="Arial" w:cs="Arial"/>
          <w:sz w:val="20"/>
          <w:szCs w:val="20"/>
        </w:rPr>
        <w:t>)</w:t>
      </w:r>
      <w:r w:rsidRPr="00502572">
        <w:rPr>
          <w:rFonts w:ascii="Arial" w:hAnsi="Arial" w:cs="Arial"/>
          <w:sz w:val="20"/>
          <w:szCs w:val="20"/>
        </w:rPr>
        <w:t>.</w:t>
      </w:r>
    </w:p>
    <w:p w14:paraId="5F4D0911" w14:textId="20173707" w:rsidR="00D63B23" w:rsidRPr="00502572" w:rsidRDefault="00CC7440" w:rsidP="00BA27D3">
      <w:pPr>
        <w:jc w:val="both"/>
        <w:rPr>
          <w:rFonts w:ascii="Arial" w:hAnsi="Arial" w:cs="Arial"/>
          <w:sz w:val="20"/>
          <w:szCs w:val="20"/>
        </w:rPr>
      </w:pPr>
      <w:r w:rsidRPr="00502572">
        <w:rPr>
          <w:rFonts w:ascii="Arial" w:hAnsi="Arial" w:cs="Arial"/>
          <w:noProof/>
          <w:sz w:val="20"/>
          <w:szCs w:val="20"/>
          <w:lang w:val="fr-FR" w:eastAsia="fr-FR"/>
        </w:rPr>
        <w:drawing>
          <wp:anchor distT="0" distB="0" distL="114300" distR="114300" simplePos="0" relativeHeight="251663360" behindDoc="0" locked="0" layoutInCell="1" allowOverlap="1" wp14:anchorId="1F86F7AF" wp14:editId="5ADEDEA3">
            <wp:simplePos x="0" y="0"/>
            <wp:positionH relativeFrom="column">
              <wp:posOffset>7620</wp:posOffset>
            </wp:positionH>
            <wp:positionV relativeFrom="paragraph">
              <wp:posOffset>205740</wp:posOffset>
            </wp:positionV>
            <wp:extent cx="2476500" cy="1902460"/>
            <wp:effectExtent l="0" t="0" r="0" b="2540"/>
            <wp:wrapSquare wrapText="bothSides"/>
            <wp:docPr id="13" name="Image 7" descr="pratique de la RNA dans un champ à goum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tique de la RNA dans un champ à goumbi.jpg"/>
                    <pic:cNvPicPr/>
                  </pic:nvPicPr>
                  <pic:blipFill>
                    <a:blip r:embed="rId11" cstate="print"/>
                    <a:stretch>
                      <a:fillRect/>
                    </a:stretch>
                  </pic:blipFill>
                  <pic:spPr>
                    <a:xfrm>
                      <a:off x="0" y="0"/>
                      <a:ext cx="2476500" cy="1902460"/>
                    </a:xfrm>
                    <a:prstGeom prst="rect">
                      <a:avLst/>
                    </a:prstGeom>
                  </pic:spPr>
                </pic:pic>
              </a:graphicData>
            </a:graphic>
          </wp:anchor>
        </w:drawing>
      </w:r>
      <w:r w:rsidR="00D63B23" w:rsidRPr="00502572">
        <w:rPr>
          <w:rFonts w:ascii="Arial" w:hAnsi="Arial" w:cs="Arial"/>
          <w:noProof/>
          <w:sz w:val="20"/>
          <w:szCs w:val="20"/>
          <w:lang w:val="fr-FR" w:eastAsia="fr-FR"/>
        </w:rPr>
        <w:drawing>
          <wp:anchor distT="0" distB="0" distL="114300" distR="114300" simplePos="0" relativeHeight="251662336" behindDoc="0" locked="0" layoutInCell="1" allowOverlap="1" wp14:anchorId="7F52A4AF" wp14:editId="25AD9626">
            <wp:simplePos x="0" y="0"/>
            <wp:positionH relativeFrom="column">
              <wp:posOffset>2529205</wp:posOffset>
            </wp:positionH>
            <wp:positionV relativeFrom="paragraph">
              <wp:posOffset>198120</wp:posOffset>
            </wp:positionV>
            <wp:extent cx="2510790" cy="1902460"/>
            <wp:effectExtent l="0" t="0" r="3810" b="2540"/>
            <wp:wrapSquare wrapText="bothSides"/>
            <wp:docPr id="11" name="Image 3" descr="IMG_20161231_122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231_122853.jpg"/>
                    <pic:cNvPicPr/>
                  </pic:nvPicPr>
                  <pic:blipFill>
                    <a:blip r:embed="rId12" cstate="print"/>
                    <a:stretch>
                      <a:fillRect/>
                    </a:stretch>
                  </pic:blipFill>
                  <pic:spPr>
                    <a:xfrm>
                      <a:off x="0" y="0"/>
                      <a:ext cx="2510790" cy="1902460"/>
                    </a:xfrm>
                    <a:prstGeom prst="rect">
                      <a:avLst/>
                    </a:prstGeom>
                  </pic:spPr>
                </pic:pic>
              </a:graphicData>
            </a:graphic>
          </wp:anchor>
        </w:drawing>
      </w:r>
    </w:p>
    <w:p w14:paraId="2961B9DA" w14:textId="61414594" w:rsidR="00D63B23" w:rsidRPr="00502572" w:rsidRDefault="00D63B23" w:rsidP="00BA27D3">
      <w:pPr>
        <w:jc w:val="both"/>
        <w:rPr>
          <w:rFonts w:ascii="Arial" w:hAnsi="Arial" w:cs="Arial"/>
          <w:sz w:val="20"/>
          <w:szCs w:val="20"/>
        </w:rPr>
      </w:pPr>
    </w:p>
    <w:p w14:paraId="2523B085" w14:textId="77777777" w:rsidR="00D63B23" w:rsidRPr="00502572" w:rsidRDefault="00D63B23" w:rsidP="00BA27D3">
      <w:pPr>
        <w:jc w:val="both"/>
        <w:rPr>
          <w:rFonts w:ascii="Arial" w:hAnsi="Arial" w:cs="Arial"/>
          <w:sz w:val="20"/>
          <w:szCs w:val="20"/>
        </w:rPr>
      </w:pPr>
    </w:p>
    <w:p w14:paraId="6537AD5D" w14:textId="77777777" w:rsidR="00D63B23" w:rsidRPr="00502572" w:rsidRDefault="00D63B23" w:rsidP="00BA27D3">
      <w:pPr>
        <w:jc w:val="both"/>
        <w:rPr>
          <w:rFonts w:ascii="Arial" w:hAnsi="Arial" w:cs="Arial"/>
          <w:sz w:val="20"/>
          <w:szCs w:val="20"/>
        </w:rPr>
      </w:pPr>
    </w:p>
    <w:p w14:paraId="2402BAD4" w14:textId="77777777" w:rsidR="00D63B23" w:rsidRPr="00502572" w:rsidRDefault="00D63B23" w:rsidP="00BA27D3">
      <w:pPr>
        <w:jc w:val="both"/>
        <w:rPr>
          <w:rFonts w:ascii="Arial" w:hAnsi="Arial" w:cs="Arial"/>
          <w:sz w:val="20"/>
          <w:szCs w:val="20"/>
        </w:rPr>
      </w:pPr>
    </w:p>
    <w:p w14:paraId="17C61C07" w14:textId="77777777" w:rsidR="00D63B23" w:rsidRPr="00502572" w:rsidRDefault="00D63B23" w:rsidP="00BA27D3">
      <w:pPr>
        <w:jc w:val="both"/>
        <w:rPr>
          <w:rFonts w:ascii="Arial" w:hAnsi="Arial" w:cs="Arial"/>
          <w:sz w:val="20"/>
          <w:szCs w:val="20"/>
        </w:rPr>
      </w:pPr>
    </w:p>
    <w:p w14:paraId="5B7797C5" w14:textId="77777777" w:rsidR="00B232A8" w:rsidRPr="00502572" w:rsidRDefault="00B232A8" w:rsidP="00BA27D3">
      <w:pPr>
        <w:jc w:val="both"/>
        <w:rPr>
          <w:rFonts w:ascii="Arial" w:hAnsi="Arial" w:cs="Arial"/>
          <w:sz w:val="20"/>
          <w:szCs w:val="20"/>
        </w:rPr>
      </w:pPr>
    </w:p>
    <w:p w14:paraId="540E1C99" w14:textId="77777777" w:rsidR="005359A4" w:rsidRPr="00502572" w:rsidRDefault="005359A4" w:rsidP="00BA27D3">
      <w:pPr>
        <w:jc w:val="both"/>
        <w:rPr>
          <w:rFonts w:ascii="Arial" w:hAnsi="Arial" w:cs="Arial"/>
          <w:sz w:val="20"/>
          <w:szCs w:val="20"/>
        </w:rPr>
      </w:pPr>
    </w:p>
    <w:p w14:paraId="74C65CC9" w14:textId="77777777" w:rsidR="00CC7440" w:rsidRPr="00502572" w:rsidRDefault="00CC7440" w:rsidP="00BA27D3">
      <w:pPr>
        <w:jc w:val="both"/>
        <w:rPr>
          <w:rFonts w:ascii="Arial" w:hAnsi="Arial" w:cs="Arial"/>
          <w:sz w:val="20"/>
          <w:szCs w:val="20"/>
        </w:rPr>
      </w:pPr>
    </w:p>
    <w:p w14:paraId="262DF72F" w14:textId="53B5A41B" w:rsidR="00171EBA" w:rsidRPr="00502572" w:rsidRDefault="00831283" w:rsidP="00BA27D3">
      <w:pPr>
        <w:jc w:val="both"/>
        <w:rPr>
          <w:rFonts w:ascii="Arial" w:hAnsi="Arial" w:cs="Arial"/>
          <w:b/>
          <w:sz w:val="20"/>
          <w:szCs w:val="20"/>
        </w:rPr>
      </w:pPr>
      <w:r w:rsidRPr="00502572">
        <w:rPr>
          <w:rFonts w:ascii="Arial" w:hAnsi="Arial" w:cs="Arial"/>
          <w:b/>
          <w:sz w:val="20"/>
          <w:szCs w:val="20"/>
        </w:rPr>
        <w:t xml:space="preserve">Figure </w:t>
      </w:r>
      <w:r w:rsidR="00235EFE" w:rsidRPr="00502572">
        <w:rPr>
          <w:rFonts w:ascii="Arial" w:hAnsi="Arial" w:cs="Arial"/>
          <w:b/>
          <w:sz w:val="20"/>
          <w:szCs w:val="20"/>
        </w:rPr>
        <w:t>3</w:t>
      </w:r>
      <w:r w:rsidR="00D63B23" w:rsidRPr="00502572">
        <w:rPr>
          <w:rFonts w:ascii="Arial" w:hAnsi="Arial" w:cs="Arial"/>
          <w:b/>
          <w:sz w:val="20"/>
          <w:szCs w:val="20"/>
        </w:rPr>
        <w:t>:</w:t>
      </w:r>
      <w:r w:rsidRPr="00502572">
        <w:rPr>
          <w:rFonts w:ascii="Arial" w:hAnsi="Arial" w:cs="Arial"/>
          <w:b/>
          <w:sz w:val="20"/>
          <w:szCs w:val="20"/>
        </w:rPr>
        <w:t xml:space="preserve"> Agroforestry parklands </w:t>
      </w:r>
      <w:r w:rsidR="00CC7440" w:rsidRPr="00502572">
        <w:rPr>
          <w:rFonts w:ascii="Arial" w:hAnsi="Arial" w:cs="Arial"/>
          <w:b/>
          <w:sz w:val="20"/>
          <w:szCs w:val="20"/>
        </w:rPr>
        <w:t>in Balleyara area</w:t>
      </w:r>
    </w:p>
    <w:p w14:paraId="4C709A38" w14:textId="045366E7" w:rsidR="002A4DEC" w:rsidRPr="00502572" w:rsidRDefault="00B220F8" w:rsidP="002A4DEC">
      <w:pPr>
        <w:spacing w:line="360" w:lineRule="auto"/>
        <w:jc w:val="both"/>
        <w:rPr>
          <w:rFonts w:ascii="Arial" w:hAnsi="Arial" w:cs="Arial"/>
          <w:sz w:val="20"/>
          <w:szCs w:val="20"/>
        </w:rPr>
      </w:pPr>
      <w:r w:rsidRPr="00502572">
        <w:rPr>
          <w:rFonts w:ascii="Arial" w:hAnsi="Arial" w:cs="Arial"/>
          <w:sz w:val="20"/>
          <w:szCs w:val="20"/>
        </w:rPr>
        <w:t xml:space="preserve">Some </w:t>
      </w:r>
      <w:r w:rsidR="009B65E9" w:rsidRPr="009B65E9">
        <w:rPr>
          <w:rFonts w:ascii="Arial" w:hAnsi="Arial" w:cs="Arial"/>
          <w:sz w:val="20"/>
          <w:szCs w:val="20"/>
          <w:highlight w:val="yellow"/>
        </w:rPr>
        <w:t>examples</w:t>
      </w:r>
      <w:r w:rsidRPr="00502572">
        <w:rPr>
          <w:rFonts w:ascii="Arial" w:hAnsi="Arial" w:cs="Arial"/>
          <w:sz w:val="20"/>
          <w:szCs w:val="20"/>
        </w:rPr>
        <w:t xml:space="preserve"> of the typology of the agroforestry parklands based on the dominant tree species, the study has </w:t>
      </w:r>
      <w:r w:rsidR="002A4DEC" w:rsidRPr="00502572">
        <w:rPr>
          <w:rFonts w:ascii="Arial" w:hAnsi="Arial" w:cs="Arial"/>
          <w:sz w:val="20"/>
          <w:szCs w:val="20"/>
        </w:rPr>
        <w:t xml:space="preserve">identified </w:t>
      </w:r>
      <w:r w:rsidRPr="00502572">
        <w:rPr>
          <w:rFonts w:ascii="Arial" w:hAnsi="Arial" w:cs="Arial"/>
          <w:sz w:val="20"/>
          <w:szCs w:val="20"/>
        </w:rPr>
        <w:t xml:space="preserve">agroforestry parklands of </w:t>
      </w:r>
      <w:r w:rsidRPr="00502572">
        <w:rPr>
          <w:rFonts w:ascii="Arial" w:hAnsi="Arial" w:cs="Arial"/>
          <w:i/>
          <w:iCs/>
          <w:sz w:val="20"/>
          <w:szCs w:val="20"/>
        </w:rPr>
        <w:t>Faidherbia albida</w:t>
      </w:r>
      <w:r w:rsidRPr="00502572">
        <w:rPr>
          <w:rFonts w:ascii="Arial" w:hAnsi="Arial" w:cs="Arial"/>
          <w:iCs/>
          <w:sz w:val="20"/>
          <w:szCs w:val="20"/>
        </w:rPr>
        <w:t xml:space="preserve"> and </w:t>
      </w:r>
      <w:r w:rsidRPr="00502572">
        <w:rPr>
          <w:rFonts w:ascii="Arial" w:hAnsi="Arial" w:cs="Arial"/>
          <w:i/>
          <w:noProof/>
          <w:sz w:val="20"/>
          <w:szCs w:val="20"/>
        </w:rPr>
        <w:t>Balanites aegyptiaca</w:t>
      </w:r>
      <w:r w:rsidRPr="00502572">
        <w:rPr>
          <w:rFonts w:ascii="Arial" w:hAnsi="Arial" w:cs="Arial"/>
          <w:i/>
          <w:sz w:val="20"/>
          <w:szCs w:val="20"/>
        </w:rPr>
        <w:t xml:space="preserve"> </w:t>
      </w:r>
      <w:r w:rsidRPr="00502572">
        <w:rPr>
          <w:rFonts w:ascii="Arial" w:hAnsi="Arial" w:cs="Arial"/>
          <w:sz w:val="20"/>
          <w:szCs w:val="20"/>
        </w:rPr>
        <w:t xml:space="preserve">in the </w:t>
      </w:r>
      <w:r w:rsidR="00AD2414" w:rsidRPr="00502572">
        <w:rPr>
          <w:rFonts w:ascii="Arial" w:hAnsi="Arial" w:cs="Arial"/>
          <w:sz w:val="20"/>
          <w:szCs w:val="20"/>
        </w:rPr>
        <w:t>Department of</w:t>
      </w:r>
      <w:r w:rsidRPr="00502572">
        <w:rPr>
          <w:rFonts w:ascii="Arial" w:hAnsi="Arial" w:cs="Arial"/>
          <w:sz w:val="20"/>
          <w:szCs w:val="20"/>
        </w:rPr>
        <w:t xml:space="preserve"> Balleyara</w:t>
      </w:r>
      <w:r w:rsidRPr="00502572">
        <w:rPr>
          <w:rFonts w:ascii="Arial" w:hAnsi="Arial" w:cs="Arial"/>
          <w:i/>
          <w:sz w:val="20"/>
          <w:szCs w:val="20"/>
        </w:rPr>
        <w:t xml:space="preserve"> </w:t>
      </w:r>
      <w:r w:rsidR="00834737" w:rsidRPr="00502572">
        <w:rPr>
          <w:rFonts w:ascii="Arial" w:hAnsi="Arial" w:cs="Arial"/>
          <w:sz w:val="20"/>
          <w:szCs w:val="20"/>
        </w:rPr>
        <w:t>(</w:t>
      </w:r>
      <w:r w:rsidR="00235EFE" w:rsidRPr="00502572">
        <w:rPr>
          <w:rFonts w:ascii="Arial" w:hAnsi="Arial" w:cs="Arial"/>
          <w:sz w:val="20"/>
          <w:szCs w:val="20"/>
        </w:rPr>
        <w:t>Figure 4</w:t>
      </w:r>
      <w:r w:rsidRPr="00502572">
        <w:rPr>
          <w:rFonts w:ascii="Arial" w:hAnsi="Arial" w:cs="Arial"/>
          <w:sz w:val="20"/>
          <w:szCs w:val="20"/>
        </w:rPr>
        <w:t xml:space="preserve"> and </w:t>
      </w:r>
      <w:r w:rsidR="00235EFE" w:rsidRPr="00502572">
        <w:rPr>
          <w:rFonts w:ascii="Arial" w:hAnsi="Arial" w:cs="Arial"/>
          <w:sz w:val="20"/>
          <w:szCs w:val="20"/>
        </w:rPr>
        <w:t>5</w:t>
      </w:r>
      <w:r w:rsidR="00834737" w:rsidRPr="00502572">
        <w:rPr>
          <w:rFonts w:ascii="Arial" w:hAnsi="Arial" w:cs="Arial"/>
          <w:sz w:val="20"/>
          <w:szCs w:val="20"/>
        </w:rPr>
        <w:t>)</w:t>
      </w:r>
      <w:r w:rsidRPr="00502572">
        <w:rPr>
          <w:rFonts w:ascii="Arial" w:hAnsi="Arial" w:cs="Arial"/>
          <w:i/>
          <w:sz w:val="20"/>
          <w:szCs w:val="20"/>
        </w:rPr>
        <w:t xml:space="preserve">. </w:t>
      </w:r>
      <w:r w:rsidR="002A4DEC" w:rsidRPr="00502572">
        <w:rPr>
          <w:rFonts w:ascii="Arial" w:hAnsi="Arial" w:cs="Arial"/>
          <w:iCs/>
          <w:sz w:val="20"/>
          <w:szCs w:val="20"/>
        </w:rPr>
        <w:t xml:space="preserve">The agroforestry parklands are land use systems in which famers leave some multiple purpose woody species for the provision of various services such </w:t>
      </w:r>
      <w:r w:rsidR="002A4DEC" w:rsidRPr="00502572">
        <w:rPr>
          <w:rFonts w:ascii="Arial" w:hAnsi="Arial" w:cs="Arial"/>
          <w:sz w:val="20"/>
          <w:szCs w:val="20"/>
        </w:rPr>
        <w:t xml:space="preserve">to diversify subsistence production, and to create income, but also to </w:t>
      </w:r>
      <w:r w:rsidR="00E06E8A" w:rsidRPr="00502572">
        <w:rPr>
          <w:rFonts w:ascii="Arial" w:hAnsi="Arial" w:cs="Arial"/>
          <w:sz w:val="20"/>
          <w:szCs w:val="20"/>
        </w:rPr>
        <w:t>increase the</w:t>
      </w:r>
      <w:r w:rsidR="002A4DEC" w:rsidRPr="00502572">
        <w:rPr>
          <w:rFonts w:ascii="Arial" w:hAnsi="Arial" w:cs="Arial"/>
          <w:sz w:val="20"/>
          <w:szCs w:val="20"/>
        </w:rPr>
        <w:t xml:space="preserve"> yield of rain-fed crops. This is the case of the agroforestry parklands of </w:t>
      </w:r>
      <w:r w:rsidR="002A4DEC" w:rsidRPr="00502572">
        <w:rPr>
          <w:rFonts w:ascii="Arial" w:hAnsi="Arial" w:cs="Arial"/>
          <w:i/>
          <w:sz w:val="20"/>
          <w:szCs w:val="20"/>
        </w:rPr>
        <w:t>Faidherbia albida</w:t>
      </w:r>
      <w:r w:rsidR="00A22555" w:rsidRPr="00502572">
        <w:rPr>
          <w:rFonts w:ascii="Arial" w:hAnsi="Arial" w:cs="Arial"/>
          <w:sz w:val="20"/>
          <w:szCs w:val="20"/>
        </w:rPr>
        <w:t xml:space="preserve"> (F</w:t>
      </w:r>
      <w:r w:rsidR="002A4DEC" w:rsidRPr="00502572">
        <w:rPr>
          <w:rFonts w:ascii="Arial" w:hAnsi="Arial" w:cs="Arial"/>
          <w:sz w:val="20"/>
          <w:szCs w:val="20"/>
        </w:rPr>
        <w:t xml:space="preserve">igure </w:t>
      </w:r>
      <w:r w:rsidR="00235EFE" w:rsidRPr="00502572">
        <w:rPr>
          <w:rFonts w:ascii="Arial" w:hAnsi="Arial" w:cs="Arial"/>
          <w:sz w:val="20"/>
          <w:szCs w:val="20"/>
        </w:rPr>
        <w:t>5</w:t>
      </w:r>
      <w:r w:rsidR="002A4DEC" w:rsidRPr="00502572">
        <w:rPr>
          <w:rFonts w:ascii="Arial" w:hAnsi="Arial" w:cs="Arial"/>
          <w:sz w:val="20"/>
          <w:szCs w:val="20"/>
        </w:rPr>
        <w:t xml:space="preserve">) and </w:t>
      </w:r>
      <w:r w:rsidR="002A4DEC" w:rsidRPr="00502572">
        <w:rPr>
          <w:rFonts w:ascii="Arial" w:hAnsi="Arial" w:cs="Arial"/>
          <w:i/>
          <w:noProof/>
          <w:sz w:val="20"/>
          <w:szCs w:val="20"/>
        </w:rPr>
        <w:t>Balanites aegyptiaca</w:t>
      </w:r>
      <w:r w:rsidR="002A4DEC" w:rsidRPr="00502572">
        <w:rPr>
          <w:rFonts w:ascii="Arial" w:hAnsi="Arial" w:cs="Arial"/>
          <w:i/>
          <w:sz w:val="20"/>
          <w:szCs w:val="20"/>
        </w:rPr>
        <w:t xml:space="preserve">; </w:t>
      </w:r>
      <w:r w:rsidR="002A4DEC" w:rsidRPr="00502572">
        <w:rPr>
          <w:rFonts w:ascii="Arial" w:hAnsi="Arial" w:cs="Arial"/>
          <w:sz w:val="20"/>
          <w:szCs w:val="20"/>
        </w:rPr>
        <w:t xml:space="preserve">they are almost in all the sub-areas of the </w:t>
      </w:r>
      <w:r w:rsidR="005359A4" w:rsidRPr="00502572">
        <w:rPr>
          <w:rFonts w:ascii="Arial" w:hAnsi="Arial" w:cs="Arial"/>
          <w:sz w:val="20"/>
          <w:szCs w:val="20"/>
        </w:rPr>
        <w:t>Department</w:t>
      </w:r>
      <w:r w:rsidR="002A4DEC" w:rsidRPr="00502572">
        <w:rPr>
          <w:rFonts w:ascii="Arial" w:hAnsi="Arial" w:cs="Arial"/>
          <w:sz w:val="20"/>
          <w:szCs w:val="20"/>
        </w:rPr>
        <w:t>.</w:t>
      </w:r>
    </w:p>
    <w:p w14:paraId="3D57E6E4" w14:textId="77777777" w:rsidR="005359A4" w:rsidRPr="00502572" w:rsidRDefault="005359A4" w:rsidP="005359A4">
      <w:pPr>
        <w:spacing w:line="360" w:lineRule="auto"/>
        <w:jc w:val="both"/>
        <w:rPr>
          <w:rFonts w:ascii="Arial" w:hAnsi="Arial" w:cs="Arial"/>
          <w:b/>
          <w:sz w:val="20"/>
          <w:szCs w:val="20"/>
        </w:rPr>
      </w:pPr>
      <w:r w:rsidRPr="00502572">
        <w:rPr>
          <w:rFonts w:ascii="Arial" w:hAnsi="Arial" w:cs="Arial"/>
          <w:b/>
          <w:noProof/>
          <w:sz w:val="20"/>
          <w:szCs w:val="20"/>
          <w:lang w:val="fr-FR" w:eastAsia="fr-FR"/>
        </w:rPr>
        <w:drawing>
          <wp:anchor distT="0" distB="0" distL="114300" distR="114300" simplePos="0" relativeHeight="251665408" behindDoc="0" locked="0" layoutInCell="1" allowOverlap="1" wp14:anchorId="6F6B989B" wp14:editId="2D5984AB">
            <wp:simplePos x="0" y="0"/>
            <wp:positionH relativeFrom="column">
              <wp:posOffset>68580</wp:posOffset>
            </wp:positionH>
            <wp:positionV relativeFrom="paragraph">
              <wp:posOffset>57150</wp:posOffset>
            </wp:positionV>
            <wp:extent cx="2545080" cy="2447925"/>
            <wp:effectExtent l="0" t="0" r="7620" b="9525"/>
            <wp:wrapSquare wrapText="bothSides"/>
            <wp:docPr id="34" name="Image 12" descr="parcs agro forestier a acacia Albida à kog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cs agro forestier a acacia Albida à kogori.jpg"/>
                    <pic:cNvPicPr/>
                  </pic:nvPicPr>
                  <pic:blipFill>
                    <a:blip r:embed="rId13" cstate="print"/>
                    <a:stretch>
                      <a:fillRect/>
                    </a:stretch>
                  </pic:blipFill>
                  <pic:spPr>
                    <a:xfrm>
                      <a:off x="0" y="0"/>
                      <a:ext cx="2545080" cy="2447925"/>
                    </a:xfrm>
                    <a:prstGeom prst="rect">
                      <a:avLst/>
                    </a:prstGeom>
                  </pic:spPr>
                </pic:pic>
              </a:graphicData>
            </a:graphic>
          </wp:anchor>
        </w:drawing>
      </w:r>
    </w:p>
    <w:p w14:paraId="2E683395" w14:textId="77777777" w:rsidR="005359A4" w:rsidRPr="00502572" w:rsidRDefault="005359A4" w:rsidP="005359A4">
      <w:pPr>
        <w:spacing w:line="360" w:lineRule="auto"/>
        <w:jc w:val="both"/>
        <w:rPr>
          <w:rFonts w:ascii="Arial" w:hAnsi="Arial" w:cs="Arial"/>
          <w:b/>
          <w:sz w:val="20"/>
          <w:szCs w:val="20"/>
        </w:rPr>
      </w:pPr>
    </w:p>
    <w:p w14:paraId="718E74E7" w14:textId="77777777" w:rsidR="005359A4" w:rsidRPr="00502572" w:rsidRDefault="005359A4" w:rsidP="005359A4">
      <w:pPr>
        <w:spacing w:line="360" w:lineRule="auto"/>
        <w:jc w:val="both"/>
        <w:rPr>
          <w:rFonts w:ascii="Arial" w:hAnsi="Arial" w:cs="Arial"/>
          <w:b/>
          <w:sz w:val="20"/>
          <w:szCs w:val="20"/>
        </w:rPr>
      </w:pPr>
    </w:p>
    <w:p w14:paraId="138D4C06" w14:textId="77777777" w:rsidR="005359A4" w:rsidRPr="00502572" w:rsidRDefault="005359A4" w:rsidP="005359A4">
      <w:pPr>
        <w:spacing w:line="360" w:lineRule="auto"/>
        <w:jc w:val="both"/>
        <w:rPr>
          <w:rFonts w:ascii="Arial" w:hAnsi="Arial" w:cs="Arial"/>
          <w:b/>
          <w:sz w:val="20"/>
          <w:szCs w:val="20"/>
        </w:rPr>
      </w:pPr>
    </w:p>
    <w:p w14:paraId="5D635CA8" w14:textId="77777777" w:rsidR="005359A4" w:rsidRPr="00502572" w:rsidRDefault="005359A4" w:rsidP="005359A4">
      <w:pPr>
        <w:spacing w:line="360" w:lineRule="auto"/>
        <w:jc w:val="both"/>
        <w:rPr>
          <w:rFonts w:ascii="Arial" w:hAnsi="Arial" w:cs="Arial"/>
          <w:b/>
          <w:sz w:val="20"/>
          <w:szCs w:val="20"/>
        </w:rPr>
      </w:pPr>
    </w:p>
    <w:p w14:paraId="004A9D11" w14:textId="77777777" w:rsidR="005359A4" w:rsidRPr="00502572" w:rsidRDefault="005359A4" w:rsidP="005359A4">
      <w:pPr>
        <w:spacing w:line="360" w:lineRule="auto"/>
        <w:jc w:val="both"/>
        <w:rPr>
          <w:rFonts w:ascii="Arial" w:hAnsi="Arial" w:cs="Arial"/>
          <w:b/>
          <w:sz w:val="20"/>
          <w:szCs w:val="20"/>
        </w:rPr>
      </w:pPr>
    </w:p>
    <w:p w14:paraId="578BCDC0" w14:textId="77777777" w:rsidR="005359A4" w:rsidRPr="00502572" w:rsidRDefault="005359A4" w:rsidP="005359A4">
      <w:pPr>
        <w:spacing w:line="360" w:lineRule="auto"/>
        <w:jc w:val="both"/>
        <w:rPr>
          <w:rFonts w:ascii="Arial" w:hAnsi="Arial" w:cs="Arial"/>
          <w:b/>
          <w:sz w:val="20"/>
          <w:szCs w:val="20"/>
        </w:rPr>
      </w:pPr>
    </w:p>
    <w:p w14:paraId="5EE00897" w14:textId="77777777" w:rsidR="005359A4" w:rsidRPr="00502572" w:rsidRDefault="005359A4" w:rsidP="005359A4">
      <w:pPr>
        <w:spacing w:line="360" w:lineRule="auto"/>
        <w:jc w:val="both"/>
        <w:rPr>
          <w:rFonts w:ascii="Arial" w:hAnsi="Arial" w:cs="Arial"/>
          <w:b/>
          <w:sz w:val="20"/>
          <w:szCs w:val="20"/>
        </w:rPr>
      </w:pPr>
    </w:p>
    <w:p w14:paraId="2B379989" w14:textId="61768AC8" w:rsidR="005359A4" w:rsidRPr="00502572" w:rsidRDefault="00235EFE" w:rsidP="005359A4">
      <w:pPr>
        <w:spacing w:line="360" w:lineRule="auto"/>
        <w:jc w:val="both"/>
        <w:rPr>
          <w:rFonts w:ascii="Arial" w:hAnsi="Arial" w:cs="Arial"/>
          <w:b/>
          <w:sz w:val="20"/>
          <w:szCs w:val="20"/>
        </w:rPr>
      </w:pPr>
      <w:r w:rsidRPr="00502572">
        <w:rPr>
          <w:rFonts w:ascii="Arial" w:hAnsi="Arial" w:cs="Arial"/>
          <w:b/>
          <w:sz w:val="20"/>
          <w:szCs w:val="20"/>
        </w:rPr>
        <w:t>Figure 4</w:t>
      </w:r>
      <w:r w:rsidR="00B86343" w:rsidRPr="00502572">
        <w:rPr>
          <w:rFonts w:ascii="Arial" w:hAnsi="Arial" w:cs="Arial"/>
          <w:b/>
          <w:sz w:val="20"/>
          <w:szCs w:val="20"/>
        </w:rPr>
        <w:t xml:space="preserve">: </w:t>
      </w:r>
      <w:r w:rsidR="00326445" w:rsidRPr="00502572">
        <w:rPr>
          <w:rFonts w:ascii="Arial" w:hAnsi="Arial" w:cs="Arial"/>
          <w:b/>
          <w:sz w:val="20"/>
          <w:szCs w:val="20"/>
        </w:rPr>
        <w:t>A</w:t>
      </w:r>
      <w:r w:rsidR="00B86343" w:rsidRPr="00502572">
        <w:rPr>
          <w:rFonts w:ascii="Arial" w:hAnsi="Arial" w:cs="Arial"/>
          <w:b/>
          <w:sz w:val="20"/>
          <w:szCs w:val="20"/>
        </w:rPr>
        <w:t xml:space="preserve">groforestry </w:t>
      </w:r>
      <w:r w:rsidR="00ED241C" w:rsidRPr="00502572">
        <w:rPr>
          <w:rFonts w:ascii="Arial" w:hAnsi="Arial" w:cs="Arial"/>
          <w:b/>
          <w:sz w:val="20"/>
          <w:szCs w:val="20"/>
        </w:rPr>
        <w:t xml:space="preserve">parklands of </w:t>
      </w:r>
      <w:r w:rsidR="00ED241C" w:rsidRPr="00502572">
        <w:rPr>
          <w:rFonts w:ascii="Arial" w:hAnsi="Arial" w:cs="Arial"/>
          <w:b/>
          <w:i/>
          <w:iCs/>
          <w:sz w:val="20"/>
          <w:szCs w:val="20"/>
        </w:rPr>
        <w:t>Faidherbia albida</w:t>
      </w:r>
      <w:r w:rsidR="00ED241C" w:rsidRPr="00502572">
        <w:rPr>
          <w:rFonts w:ascii="Arial" w:hAnsi="Arial" w:cs="Arial"/>
          <w:b/>
          <w:sz w:val="20"/>
          <w:szCs w:val="20"/>
        </w:rPr>
        <w:t xml:space="preserve"> </w:t>
      </w:r>
    </w:p>
    <w:p w14:paraId="16C9AC1E" w14:textId="77777777" w:rsidR="005359A4" w:rsidRPr="00502572" w:rsidRDefault="005359A4" w:rsidP="00ED241C">
      <w:pPr>
        <w:spacing w:line="240" w:lineRule="auto"/>
        <w:rPr>
          <w:rFonts w:ascii="Arial" w:hAnsi="Arial" w:cs="Arial"/>
          <w:b/>
          <w:sz w:val="20"/>
          <w:szCs w:val="20"/>
        </w:rPr>
      </w:pPr>
    </w:p>
    <w:p w14:paraId="1D964F98" w14:textId="6C1F5083" w:rsidR="005359A4" w:rsidRPr="00502572" w:rsidRDefault="005359A4" w:rsidP="00ED241C">
      <w:pPr>
        <w:spacing w:line="240" w:lineRule="auto"/>
        <w:rPr>
          <w:rFonts w:ascii="Arial" w:hAnsi="Arial" w:cs="Arial"/>
          <w:b/>
          <w:sz w:val="20"/>
          <w:szCs w:val="20"/>
        </w:rPr>
      </w:pPr>
      <w:r w:rsidRPr="00502572">
        <w:rPr>
          <w:rFonts w:ascii="Arial" w:hAnsi="Arial" w:cs="Arial"/>
          <w:b/>
          <w:noProof/>
          <w:sz w:val="20"/>
          <w:szCs w:val="20"/>
          <w:lang w:val="fr-FR" w:eastAsia="fr-FR"/>
        </w:rPr>
        <w:lastRenderedPageBreak/>
        <w:drawing>
          <wp:inline distT="0" distB="0" distL="0" distR="0" wp14:anchorId="0860B312" wp14:editId="00C26839">
            <wp:extent cx="2647023" cy="2369820"/>
            <wp:effectExtent l="0" t="0" r="1270" b="0"/>
            <wp:docPr id="8" name="Image 19" descr="IMG_20170104_131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104_131506.jpg"/>
                    <pic:cNvPicPr/>
                  </pic:nvPicPr>
                  <pic:blipFill>
                    <a:blip r:embed="rId14" cstate="print"/>
                    <a:stretch>
                      <a:fillRect/>
                    </a:stretch>
                  </pic:blipFill>
                  <pic:spPr>
                    <a:xfrm>
                      <a:off x="0" y="0"/>
                      <a:ext cx="2685709" cy="2404455"/>
                    </a:xfrm>
                    <a:prstGeom prst="rect">
                      <a:avLst/>
                    </a:prstGeom>
                  </pic:spPr>
                </pic:pic>
              </a:graphicData>
            </a:graphic>
          </wp:inline>
        </w:drawing>
      </w:r>
    </w:p>
    <w:p w14:paraId="25006DE9" w14:textId="7D7A41C1" w:rsidR="00B86343" w:rsidRPr="00502572" w:rsidRDefault="00235EFE" w:rsidP="00ED241C">
      <w:pPr>
        <w:spacing w:line="240" w:lineRule="auto"/>
        <w:rPr>
          <w:rFonts w:ascii="Arial" w:hAnsi="Arial" w:cs="Arial"/>
          <w:b/>
          <w:i/>
          <w:sz w:val="20"/>
          <w:szCs w:val="20"/>
        </w:rPr>
      </w:pPr>
      <w:r w:rsidRPr="00502572">
        <w:rPr>
          <w:rFonts w:ascii="Arial" w:hAnsi="Arial" w:cs="Arial"/>
          <w:b/>
          <w:sz w:val="20"/>
          <w:szCs w:val="20"/>
        </w:rPr>
        <w:t>Figure 5</w:t>
      </w:r>
      <w:r w:rsidR="00326445" w:rsidRPr="00502572">
        <w:rPr>
          <w:rFonts w:ascii="Arial" w:hAnsi="Arial" w:cs="Arial"/>
          <w:b/>
          <w:sz w:val="20"/>
          <w:szCs w:val="20"/>
        </w:rPr>
        <w:t xml:space="preserve">: Agroforestry parklands of </w:t>
      </w:r>
      <w:r w:rsidR="00326445" w:rsidRPr="00502572">
        <w:rPr>
          <w:rFonts w:ascii="Arial" w:hAnsi="Arial" w:cs="Arial"/>
          <w:b/>
          <w:i/>
          <w:sz w:val="20"/>
          <w:szCs w:val="20"/>
        </w:rPr>
        <w:t>Balanites aegyptiaca</w:t>
      </w:r>
      <w:r w:rsidR="001E09D1" w:rsidRPr="00502572">
        <w:rPr>
          <w:rFonts w:ascii="Arial" w:hAnsi="Arial" w:cs="Arial"/>
          <w:b/>
          <w:i/>
          <w:sz w:val="20"/>
          <w:szCs w:val="20"/>
        </w:rPr>
        <w:t>.</w:t>
      </w:r>
    </w:p>
    <w:p w14:paraId="60DC9D44" w14:textId="41B5BE10" w:rsidR="00ED241C" w:rsidRPr="00502572" w:rsidRDefault="005359A4" w:rsidP="00BA27D3">
      <w:pPr>
        <w:jc w:val="both"/>
        <w:rPr>
          <w:rFonts w:ascii="Arial" w:hAnsi="Arial" w:cs="Arial"/>
          <w:sz w:val="20"/>
          <w:szCs w:val="20"/>
        </w:rPr>
      </w:pPr>
      <w:r w:rsidRPr="00502572">
        <w:rPr>
          <w:rFonts w:ascii="Arial" w:hAnsi="Arial" w:cs="Arial"/>
          <w:b/>
          <w:sz w:val="20"/>
          <w:szCs w:val="20"/>
        </w:rPr>
        <w:t xml:space="preserve">3.1.2 </w:t>
      </w:r>
      <w:r w:rsidR="00ED241C" w:rsidRPr="00502572">
        <w:rPr>
          <w:rFonts w:ascii="Arial" w:hAnsi="Arial" w:cs="Arial"/>
          <w:b/>
          <w:sz w:val="20"/>
          <w:szCs w:val="20"/>
        </w:rPr>
        <w:t>S</w:t>
      </w:r>
      <w:r w:rsidR="001E09D1" w:rsidRPr="00502572">
        <w:rPr>
          <w:rFonts w:ascii="Arial" w:hAnsi="Arial" w:cs="Arial"/>
          <w:b/>
          <w:sz w:val="20"/>
          <w:szCs w:val="20"/>
        </w:rPr>
        <w:t>teppes</w:t>
      </w:r>
      <w:r w:rsidR="00B232A8" w:rsidRPr="00502572">
        <w:rPr>
          <w:rFonts w:ascii="Arial" w:hAnsi="Arial" w:cs="Arial"/>
          <w:b/>
          <w:sz w:val="20"/>
          <w:szCs w:val="20"/>
        </w:rPr>
        <w:t xml:space="preserve"> </w:t>
      </w:r>
      <w:r w:rsidR="00ED241C" w:rsidRPr="00502572">
        <w:rPr>
          <w:rFonts w:ascii="Arial" w:hAnsi="Arial" w:cs="Arial"/>
          <w:b/>
          <w:sz w:val="20"/>
          <w:szCs w:val="20"/>
        </w:rPr>
        <w:t>vegetation</w:t>
      </w:r>
      <w:r w:rsidR="00ED241C" w:rsidRPr="00502572">
        <w:rPr>
          <w:rFonts w:ascii="Arial" w:hAnsi="Arial" w:cs="Arial"/>
          <w:sz w:val="20"/>
          <w:szCs w:val="20"/>
        </w:rPr>
        <w:t xml:space="preserve"> </w:t>
      </w:r>
    </w:p>
    <w:p w14:paraId="73BFFBBF" w14:textId="6352F03B" w:rsidR="001E09D1" w:rsidRPr="00502572" w:rsidRDefault="00ED241C" w:rsidP="00BA27D3">
      <w:pPr>
        <w:jc w:val="both"/>
        <w:rPr>
          <w:rFonts w:ascii="Arial" w:hAnsi="Arial" w:cs="Arial"/>
          <w:sz w:val="20"/>
          <w:szCs w:val="20"/>
        </w:rPr>
      </w:pPr>
      <w:r w:rsidRPr="00502572">
        <w:rPr>
          <w:rFonts w:ascii="Arial" w:hAnsi="Arial" w:cs="Arial"/>
          <w:sz w:val="20"/>
          <w:szCs w:val="20"/>
        </w:rPr>
        <w:t>A</w:t>
      </w:r>
      <w:r w:rsidR="001E09D1" w:rsidRPr="00502572">
        <w:rPr>
          <w:rFonts w:ascii="Arial" w:hAnsi="Arial" w:cs="Arial"/>
          <w:sz w:val="20"/>
          <w:szCs w:val="20"/>
        </w:rPr>
        <w:t xml:space="preserve">s part of </w:t>
      </w:r>
      <w:r w:rsidR="00AC13DB" w:rsidRPr="00502572">
        <w:rPr>
          <w:rFonts w:ascii="Arial" w:hAnsi="Arial" w:cs="Arial"/>
          <w:sz w:val="20"/>
          <w:szCs w:val="20"/>
        </w:rPr>
        <w:t>terrestrial</w:t>
      </w:r>
      <w:r w:rsidR="00B232A8" w:rsidRPr="00502572">
        <w:rPr>
          <w:rFonts w:ascii="Arial" w:hAnsi="Arial" w:cs="Arial"/>
          <w:sz w:val="20"/>
          <w:szCs w:val="20"/>
        </w:rPr>
        <w:t xml:space="preserve"> ecosystem</w:t>
      </w:r>
      <w:r w:rsidR="001E09D1" w:rsidRPr="00502572">
        <w:rPr>
          <w:rFonts w:ascii="Arial" w:hAnsi="Arial" w:cs="Arial"/>
          <w:sz w:val="20"/>
          <w:szCs w:val="20"/>
        </w:rPr>
        <w:t xml:space="preserve"> types in the </w:t>
      </w:r>
      <w:r w:rsidR="001302BE" w:rsidRPr="00502572">
        <w:rPr>
          <w:rFonts w:ascii="Arial" w:hAnsi="Arial" w:cs="Arial"/>
          <w:sz w:val="20"/>
          <w:szCs w:val="20"/>
        </w:rPr>
        <w:t>Department</w:t>
      </w:r>
      <w:r w:rsidR="001E09D1" w:rsidRPr="00502572">
        <w:rPr>
          <w:rFonts w:ascii="Arial" w:hAnsi="Arial" w:cs="Arial"/>
          <w:sz w:val="20"/>
          <w:szCs w:val="20"/>
        </w:rPr>
        <w:t xml:space="preserve"> of Balleyara in Niger</w:t>
      </w:r>
      <w:r w:rsidRPr="00502572">
        <w:rPr>
          <w:rFonts w:ascii="Arial" w:hAnsi="Arial" w:cs="Arial"/>
          <w:sz w:val="20"/>
          <w:szCs w:val="20"/>
        </w:rPr>
        <w:t>, the steppe vegetation had also been identified in the area</w:t>
      </w:r>
      <w:r w:rsidR="001E09D1" w:rsidRPr="00502572">
        <w:rPr>
          <w:rFonts w:ascii="Arial" w:hAnsi="Arial" w:cs="Arial"/>
          <w:sz w:val="20"/>
          <w:szCs w:val="20"/>
        </w:rPr>
        <w:t xml:space="preserve">. </w:t>
      </w:r>
      <w:r w:rsidR="00235EFE" w:rsidRPr="00502572">
        <w:rPr>
          <w:rFonts w:ascii="Arial" w:hAnsi="Arial" w:cs="Arial"/>
          <w:sz w:val="20"/>
          <w:szCs w:val="20"/>
        </w:rPr>
        <w:t>The figure 6</w:t>
      </w:r>
      <w:r w:rsidR="00E01945" w:rsidRPr="00502572">
        <w:rPr>
          <w:rFonts w:ascii="Arial" w:hAnsi="Arial" w:cs="Arial"/>
          <w:sz w:val="20"/>
          <w:szCs w:val="20"/>
        </w:rPr>
        <w:t xml:space="preserve"> shows the steppe dominated by the grassland and the existence of shrub layers.</w:t>
      </w:r>
    </w:p>
    <w:p w14:paraId="11A30FB2" w14:textId="6E158CDD" w:rsidR="001E09D1" w:rsidRPr="00502572" w:rsidRDefault="00A76E06" w:rsidP="00BA27D3">
      <w:pPr>
        <w:jc w:val="both"/>
        <w:rPr>
          <w:rFonts w:ascii="Arial" w:hAnsi="Arial" w:cs="Arial"/>
          <w:sz w:val="20"/>
          <w:szCs w:val="20"/>
        </w:rPr>
      </w:pPr>
      <w:r w:rsidRPr="00502572">
        <w:rPr>
          <w:rFonts w:ascii="Arial" w:hAnsi="Arial" w:cs="Arial"/>
          <w:noProof/>
          <w:sz w:val="20"/>
          <w:szCs w:val="20"/>
          <w:lang w:val="fr-FR" w:eastAsia="fr-FR"/>
        </w:rPr>
        <w:drawing>
          <wp:anchor distT="0" distB="0" distL="114300" distR="114300" simplePos="0" relativeHeight="251667456" behindDoc="0" locked="0" layoutInCell="1" allowOverlap="1" wp14:anchorId="33D9E582" wp14:editId="494679A1">
            <wp:simplePos x="0" y="0"/>
            <wp:positionH relativeFrom="column">
              <wp:posOffset>2943225</wp:posOffset>
            </wp:positionH>
            <wp:positionV relativeFrom="paragraph">
              <wp:posOffset>288925</wp:posOffset>
            </wp:positionV>
            <wp:extent cx="2886075" cy="2095500"/>
            <wp:effectExtent l="19050" t="0" r="9525" b="0"/>
            <wp:wrapSquare wrapText="bothSides"/>
            <wp:docPr id="32" name="Image 8" descr="IMG_20170125_122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125_122614.jpg"/>
                    <pic:cNvPicPr/>
                  </pic:nvPicPr>
                  <pic:blipFill>
                    <a:blip r:embed="rId15" cstate="print"/>
                    <a:stretch>
                      <a:fillRect/>
                    </a:stretch>
                  </pic:blipFill>
                  <pic:spPr>
                    <a:xfrm>
                      <a:off x="0" y="0"/>
                      <a:ext cx="2886075" cy="2095500"/>
                    </a:xfrm>
                    <a:prstGeom prst="rect">
                      <a:avLst/>
                    </a:prstGeom>
                  </pic:spPr>
                </pic:pic>
              </a:graphicData>
            </a:graphic>
          </wp:anchor>
        </w:drawing>
      </w:r>
      <w:r w:rsidRPr="00502572">
        <w:rPr>
          <w:rFonts w:ascii="Arial" w:hAnsi="Arial" w:cs="Arial"/>
          <w:noProof/>
          <w:sz w:val="20"/>
          <w:szCs w:val="20"/>
          <w:lang w:val="fr-FR" w:eastAsia="fr-FR"/>
        </w:rPr>
        <w:drawing>
          <wp:anchor distT="0" distB="0" distL="114300" distR="114300" simplePos="0" relativeHeight="251668480" behindDoc="0" locked="0" layoutInCell="1" allowOverlap="1" wp14:anchorId="2FB4E151" wp14:editId="4934B35F">
            <wp:simplePos x="0" y="0"/>
            <wp:positionH relativeFrom="column">
              <wp:posOffset>0</wp:posOffset>
            </wp:positionH>
            <wp:positionV relativeFrom="paragraph">
              <wp:posOffset>288925</wp:posOffset>
            </wp:positionV>
            <wp:extent cx="2867025" cy="2095500"/>
            <wp:effectExtent l="19050" t="0" r="9525" b="0"/>
            <wp:wrapSquare wrapText="bothSides"/>
            <wp:docPr id="33" name="Image 9" descr="subu kwa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u kwarey.jpg"/>
                    <pic:cNvPicPr/>
                  </pic:nvPicPr>
                  <pic:blipFill>
                    <a:blip r:embed="rId16" cstate="print"/>
                    <a:stretch>
                      <a:fillRect/>
                    </a:stretch>
                  </pic:blipFill>
                  <pic:spPr>
                    <a:xfrm>
                      <a:off x="0" y="0"/>
                      <a:ext cx="2867025" cy="2095500"/>
                    </a:xfrm>
                    <a:prstGeom prst="rect">
                      <a:avLst/>
                    </a:prstGeom>
                  </pic:spPr>
                </pic:pic>
              </a:graphicData>
            </a:graphic>
          </wp:anchor>
        </w:drawing>
      </w:r>
    </w:p>
    <w:p w14:paraId="379DE38D" w14:textId="5C782A64" w:rsidR="00691F40" w:rsidRPr="00502572" w:rsidRDefault="00235EFE" w:rsidP="00827DFE">
      <w:pPr>
        <w:spacing w:before="240"/>
        <w:jc w:val="both"/>
        <w:rPr>
          <w:rFonts w:ascii="Arial" w:hAnsi="Arial" w:cs="Arial"/>
          <w:sz w:val="20"/>
          <w:szCs w:val="20"/>
        </w:rPr>
      </w:pPr>
      <w:r w:rsidRPr="00502572">
        <w:rPr>
          <w:rFonts w:ascii="Arial" w:hAnsi="Arial" w:cs="Arial"/>
          <w:b/>
          <w:sz w:val="20"/>
          <w:szCs w:val="20"/>
        </w:rPr>
        <w:t>Figure 6</w:t>
      </w:r>
      <w:r w:rsidR="00E01945" w:rsidRPr="00502572">
        <w:rPr>
          <w:rFonts w:ascii="Arial" w:hAnsi="Arial" w:cs="Arial"/>
          <w:b/>
          <w:sz w:val="20"/>
          <w:szCs w:val="20"/>
        </w:rPr>
        <w:t>. Steppe</w:t>
      </w:r>
      <w:r w:rsidR="003C5F66" w:rsidRPr="00502572">
        <w:rPr>
          <w:rFonts w:ascii="Arial" w:hAnsi="Arial" w:cs="Arial"/>
          <w:b/>
          <w:sz w:val="20"/>
          <w:szCs w:val="20"/>
        </w:rPr>
        <w:t xml:space="preserve"> ecosystem</w:t>
      </w:r>
      <w:r w:rsidR="00B232A8" w:rsidRPr="00502572">
        <w:rPr>
          <w:rFonts w:ascii="Arial" w:hAnsi="Arial" w:cs="Arial"/>
          <w:b/>
          <w:sz w:val="20"/>
          <w:szCs w:val="20"/>
        </w:rPr>
        <w:t xml:space="preserve"> in the study area</w:t>
      </w:r>
      <w:r w:rsidR="00E01945" w:rsidRPr="00502572">
        <w:rPr>
          <w:rFonts w:ascii="Arial" w:hAnsi="Arial" w:cs="Arial"/>
          <w:sz w:val="20"/>
          <w:szCs w:val="20"/>
        </w:rPr>
        <w:t>.</w:t>
      </w:r>
    </w:p>
    <w:p w14:paraId="4F757760" w14:textId="52D7F74A" w:rsidR="00B232A8" w:rsidRPr="00502572" w:rsidRDefault="005359A4" w:rsidP="00FC17E1">
      <w:pPr>
        <w:spacing w:line="360" w:lineRule="auto"/>
        <w:jc w:val="both"/>
        <w:rPr>
          <w:rFonts w:ascii="Arial" w:hAnsi="Arial" w:cs="Arial"/>
          <w:sz w:val="20"/>
          <w:szCs w:val="20"/>
        </w:rPr>
      </w:pPr>
      <w:r w:rsidRPr="00502572">
        <w:rPr>
          <w:rFonts w:ascii="Arial" w:hAnsi="Arial" w:cs="Arial"/>
          <w:b/>
          <w:sz w:val="20"/>
          <w:szCs w:val="20"/>
        </w:rPr>
        <w:t xml:space="preserve">3.1.3 </w:t>
      </w:r>
      <w:r w:rsidR="00ED241C" w:rsidRPr="00502572">
        <w:rPr>
          <w:rFonts w:ascii="Arial" w:hAnsi="Arial" w:cs="Arial"/>
          <w:b/>
          <w:sz w:val="20"/>
          <w:szCs w:val="20"/>
        </w:rPr>
        <w:t>A</w:t>
      </w:r>
      <w:r w:rsidR="00691F40" w:rsidRPr="00502572">
        <w:rPr>
          <w:rFonts w:ascii="Arial" w:hAnsi="Arial" w:cs="Arial"/>
          <w:b/>
          <w:sz w:val="20"/>
          <w:szCs w:val="20"/>
        </w:rPr>
        <w:t>quatic ecosystems</w:t>
      </w:r>
      <w:r w:rsidR="00691F40" w:rsidRPr="00502572">
        <w:rPr>
          <w:rFonts w:ascii="Arial" w:hAnsi="Arial" w:cs="Arial"/>
          <w:sz w:val="20"/>
          <w:szCs w:val="20"/>
        </w:rPr>
        <w:t xml:space="preserve"> </w:t>
      </w:r>
    </w:p>
    <w:p w14:paraId="3F2F616E" w14:textId="0799588B" w:rsidR="00691F40" w:rsidRPr="00502572" w:rsidRDefault="00B232A8" w:rsidP="00FC17E1">
      <w:pPr>
        <w:spacing w:line="360" w:lineRule="auto"/>
        <w:jc w:val="both"/>
        <w:rPr>
          <w:rFonts w:ascii="Arial" w:hAnsi="Arial" w:cs="Arial"/>
          <w:sz w:val="20"/>
          <w:szCs w:val="20"/>
        </w:rPr>
      </w:pPr>
      <w:r w:rsidRPr="00502572">
        <w:rPr>
          <w:rFonts w:ascii="Arial" w:hAnsi="Arial" w:cs="Arial"/>
          <w:sz w:val="20"/>
          <w:szCs w:val="20"/>
        </w:rPr>
        <w:t xml:space="preserve">Aquatic </w:t>
      </w:r>
      <w:r w:rsidRPr="005F561B">
        <w:rPr>
          <w:rFonts w:ascii="Arial" w:hAnsi="Arial" w:cs="Arial"/>
          <w:sz w:val="20"/>
          <w:szCs w:val="20"/>
          <w:highlight w:val="yellow"/>
        </w:rPr>
        <w:t>ecosystem</w:t>
      </w:r>
      <w:r w:rsidRPr="00502572">
        <w:rPr>
          <w:rFonts w:ascii="Arial" w:hAnsi="Arial" w:cs="Arial"/>
          <w:sz w:val="20"/>
          <w:szCs w:val="20"/>
        </w:rPr>
        <w:t xml:space="preserve"> </w:t>
      </w:r>
      <w:r w:rsidR="00351C15" w:rsidRPr="00502572">
        <w:rPr>
          <w:rFonts w:ascii="Arial" w:hAnsi="Arial" w:cs="Arial"/>
          <w:sz w:val="20"/>
          <w:szCs w:val="20"/>
        </w:rPr>
        <w:t xml:space="preserve">types such as </w:t>
      </w:r>
      <w:r w:rsidR="00FC17E1" w:rsidRPr="00502572">
        <w:rPr>
          <w:rFonts w:ascii="Arial" w:hAnsi="Arial" w:cs="Arial"/>
          <w:sz w:val="20"/>
          <w:szCs w:val="20"/>
        </w:rPr>
        <w:t xml:space="preserve">the </w:t>
      </w:r>
      <w:r w:rsidR="005F561B">
        <w:rPr>
          <w:rFonts w:ascii="Arial" w:hAnsi="Arial" w:cs="Arial"/>
          <w:sz w:val="20"/>
          <w:szCs w:val="20"/>
        </w:rPr>
        <w:t>s</w:t>
      </w:r>
      <w:r w:rsidR="00FC17E1" w:rsidRPr="00502572">
        <w:rPr>
          <w:rFonts w:ascii="Arial" w:hAnsi="Arial" w:cs="Arial"/>
          <w:sz w:val="20"/>
          <w:szCs w:val="20"/>
        </w:rPr>
        <w:t xml:space="preserve">emi-permanent pond in izagagadan village in the </w:t>
      </w:r>
      <w:r w:rsidR="001302BE" w:rsidRPr="00502572">
        <w:rPr>
          <w:rFonts w:ascii="Arial" w:hAnsi="Arial" w:cs="Arial"/>
          <w:sz w:val="20"/>
          <w:szCs w:val="20"/>
        </w:rPr>
        <w:t xml:space="preserve">Department </w:t>
      </w:r>
      <w:r w:rsidR="00FC17E1" w:rsidRPr="00502572">
        <w:rPr>
          <w:rFonts w:ascii="Arial" w:hAnsi="Arial" w:cs="Arial"/>
          <w:sz w:val="20"/>
          <w:szCs w:val="20"/>
        </w:rPr>
        <w:t>of Balleyara</w:t>
      </w:r>
      <w:r w:rsidR="00ED241C" w:rsidRPr="00502572">
        <w:rPr>
          <w:rFonts w:ascii="Arial" w:hAnsi="Arial" w:cs="Arial"/>
          <w:sz w:val="20"/>
          <w:szCs w:val="20"/>
        </w:rPr>
        <w:t xml:space="preserve"> (Figure </w:t>
      </w:r>
      <w:r w:rsidR="00235EFE" w:rsidRPr="00502572">
        <w:rPr>
          <w:rFonts w:ascii="Arial" w:hAnsi="Arial" w:cs="Arial"/>
          <w:sz w:val="20"/>
          <w:szCs w:val="20"/>
        </w:rPr>
        <w:t>7</w:t>
      </w:r>
      <w:r w:rsidR="00ED241C" w:rsidRPr="00502572">
        <w:rPr>
          <w:rFonts w:ascii="Arial" w:hAnsi="Arial" w:cs="Arial"/>
          <w:sz w:val="20"/>
          <w:szCs w:val="20"/>
        </w:rPr>
        <w:t>)</w:t>
      </w:r>
      <w:r w:rsidR="00FC17E1" w:rsidRPr="00502572">
        <w:rPr>
          <w:rFonts w:ascii="Arial" w:hAnsi="Arial" w:cs="Arial"/>
          <w:sz w:val="20"/>
          <w:szCs w:val="20"/>
        </w:rPr>
        <w:t xml:space="preserve">.  </w:t>
      </w:r>
      <w:r w:rsidR="00351C15" w:rsidRPr="00502572">
        <w:rPr>
          <w:rFonts w:ascii="Arial" w:hAnsi="Arial" w:cs="Arial"/>
          <w:sz w:val="20"/>
          <w:szCs w:val="20"/>
        </w:rPr>
        <w:t xml:space="preserve">The </w:t>
      </w:r>
      <w:r w:rsidR="001302BE" w:rsidRPr="00502572">
        <w:rPr>
          <w:rFonts w:ascii="Arial" w:hAnsi="Arial" w:cs="Arial"/>
          <w:sz w:val="20"/>
          <w:szCs w:val="20"/>
        </w:rPr>
        <w:t xml:space="preserve">Department </w:t>
      </w:r>
      <w:r w:rsidR="00351C15" w:rsidRPr="00502572">
        <w:rPr>
          <w:rFonts w:ascii="Arial" w:hAnsi="Arial" w:cs="Arial"/>
          <w:sz w:val="20"/>
          <w:szCs w:val="20"/>
        </w:rPr>
        <w:t>of Balleyara abounds in a significant quantity of pools con</w:t>
      </w:r>
      <w:r w:rsidR="00972063" w:rsidRPr="00502572">
        <w:rPr>
          <w:rFonts w:ascii="Arial" w:hAnsi="Arial" w:cs="Arial"/>
          <w:sz w:val="20"/>
          <w:szCs w:val="20"/>
        </w:rPr>
        <w:t xml:space="preserve">centrated in the area of </w:t>
      </w:r>
      <w:r w:rsidR="00FC17E1" w:rsidRPr="00502572">
        <w:rPr>
          <w:rFonts w:ascii="Arial" w:hAnsi="Arial" w:cs="Arial"/>
          <w:sz w:val="20"/>
          <w:szCs w:val="20"/>
        </w:rPr>
        <w:t>the D</w:t>
      </w:r>
      <w:r w:rsidR="00ED241C" w:rsidRPr="00502572">
        <w:rPr>
          <w:rFonts w:ascii="Arial" w:hAnsi="Arial" w:cs="Arial"/>
          <w:sz w:val="20"/>
          <w:szCs w:val="20"/>
        </w:rPr>
        <w:t xml:space="preserve">allol </w:t>
      </w:r>
      <w:r w:rsidR="00351C15" w:rsidRPr="00502572">
        <w:rPr>
          <w:rFonts w:ascii="Arial" w:hAnsi="Arial" w:cs="Arial"/>
          <w:sz w:val="20"/>
          <w:szCs w:val="20"/>
        </w:rPr>
        <w:t xml:space="preserve">valley. The 61% of these ponds are permanent ponds and 39% are semi-permanent ponds with an average duration of 6 to 9 months. However, the majority of these ponds are </w:t>
      </w:r>
      <w:r w:rsidR="00FC17E1" w:rsidRPr="00502572">
        <w:rPr>
          <w:rFonts w:ascii="Arial" w:hAnsi="Arial" w:cs="Arial"/>
          <w:sz w:val="20"/>
          <w:szCs w:val="20"/>
        </w:rPr>
        <w:t xml:space="preserve">suffering from the </w:t>
      </w:r>
      <w:r w:rsidR="00FC17E1" w:rsidRPr="00502572">
        <w:rPr>
          <w:rFonts w:ascii="Arial" w:hAnsi="Arial" w:cs="Arial"/>
          <w:i/>
          <w:sz w:val="20"/>
          <w:szCs w:val="20"/>
        </w:rPr>
        <w:t>Typha</w:t>
      </w:r>
      <w:r w:rsidR="00B0011E" w:rsidRPr="00502572">
        <w:rPr>
          <w:rFonts w:ascii="Arial" w:hAnsi="Arial" w:cs="Arial"/>
          <w:i/>
          <w:sz w:val="20"/>
          <w:szCs w:val="20"/>
        </w:rPr>
        <w:t xml:space="preserve"> </w:t>
      </w:r>
      <w:r w:rsidR="00AD2414" w:rsidRPr="00502572">
        <w:rPr>
          <w:rFonts w:ascii="Arial" w:hAnsi="Arial" w:cs="Arial"/>
          <w:i/>
          <w:sz w:val="20"/>
          <w:szCs w:val="20"/>
        </w:rPr>
        <w:t>australis</w:t>
      </w:r>
      <w:r w:rsidR="00AD2414" w:rsidRPr="00502572">
        <w:rPr>
          <w:rFonts w:ascii="Arial" w:hAnsi="Arial" w:cs="Arial"/>
          <w:sz w:val="20"/>
          <w:szCs w:val="20"/>
        </w:rPr>
        <w:t xml:space="preserve"> </w:t>
      </w:r>
      <w:r w:rsidR="00FC17E1" w:rsidRPr="00502572">
        <w:rPr>
          <w:rFonts w:ascii="Arial" w:hAnsi="Arial" w:cs="Arial"/>
          <w:sz w:val="20"/>
          <w:szCs w:val="20"/>
        </w:rPr>
        <w:t>invasion, unsustainable agricultural activities, plastic pollution and sanding of the ponds making</w:t>
      </w:r>
      <w:r w:rsidR="00351C15" w:rsidRPr="00502572">
        <w:rPr>
          <w:rFonts w:ascii="Arial" w:hAnsi="Arial" w:cs="Arial"/>
          <w:sz w:val="20"/>
          <w:szCs w:val="20"/>
        </w:rPr>
        <w:t xml:space="preserve"> them unusable. </w:t>
      </w:r>
    </w:p>
    <w:p w14:paraId="0A3968E7" w14:textId="77777777" w:rsidR="00691F40" w:rsidRPr="00502572" w:rsidRDefault="00351C15" w:rsidP="00BA27D3">
      <w:pPr>
        <w:jc w:val="both"/>
        <w:rPr>
          <w:rFonts w:ascii="Arial" w:hAnsi="Arial" w:cs="Arial"/>
          <w:b/>
          <w:sz w:val="20"/>
          <w:szCs w:val="20"/>
        </w:rPr>
      </w:pPr>
      <w:r w:rsidRPr="00502572">
        <w:rPr>
          <w:rFonts w:ascii="Arial" w:hAnsi="Arial" w:cs="Arial"/>
          <w:b/>
          <w:noProof/>
          <w:sz w:val="20"/>
          <w:szCs w:val="20"/>
          <w:lang w:val="fr-FR" w:eastAsia="fr-FR"/>
        </w:rPr>
        <w:lastRenderedPageBreak/>
        <w:drawing>
          <wp:inline distT="0" distB="0" distL="0" distR="0" wp14:anchorId="05D22047" wp14:editId="692CF252">
            <wp:extent cx="5088316" cy="2354580"/>
            <wp:effectExtent l="0" t="0" r="0" b="7620"/>
            <wp:docPr id="9" name="Image 11" descr="IMG_20161231_120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231_120946.jpg"/>
                    <pic:cNvPicPr/>
                  </pic:nvPicPr>
                  <pic:blipFill>
                    <a:blip r:embed="rId17" cstate="print"/>
                    <a:stretch>
                      <a:fillRect/>
                    </a:stretch>
                  </pic:blipFill>
                  <pic:spPr>
                    <a:xfrm>
                      <a:off x="0" y="0"/>
                      <a:ext cx="5094657" cy="2357514"/>
                    </a:xfrm>
                    <a:prstGeom prst="rect">
                      <a:avLst/>
                    </a:prstGeom>
                  </pic:spPr>
                </pic:pic>
              </a:graphicData>
            </a:graphic>
          </wp:inline>
        </w:drawing>
      </w:r>
    </w:p>
    <w:p w14:paraId="577A19D8" w14:textId="2BAD3F09" w:rsidR="001E09D1" w:rsidRPr="00502572" w:rsidRDefault="00235EFE" w:rsidP="005359A4">
      <w:pPr>
        <w:rPr>
          <w:rFonts w:ascii="Arial" w:hAnsi="Arial" w:cs="Arial"/>
          <w:b/>
          <w:sz w:val="20"/>
          <w:szCs w:val="20"/>
        </w:rPr>
      </w:pPr>
      <w:r w:rsidRPr="00502572">
        <w:rPr>
          <w:rFonts w:ascii="Arial" w:hAnsi="Arial" w:cs="Arial"/>
          <w:b/>
          <w:sz w:val="20"/>
          <w:szCs w:val="20"/>
        </w:rPr>
        <w:t>Figure 7</w:t>
      </w:r>
      <w:r w:rsidR="00FC17E1" w:rsidRPr="00502572">
        <w:rPr>
          <w:rFonts w:ascii="Arial" w:hAnsi="Arial" w:cs="Arial"/>
          <w:b/>
          <w:sz w:val="20"/>
          <w:szCs w:val="20"/>
        </w:rPr>
        <w:t xml:space="preserve">. Semi-permanent pond in izagagadan village in the </w:t>
      </w:r>
      <w:r w:rsidR="001302BE" w:rsidRPr="00502572">
        <w:rPr>
          <w:rFonts w:ascii="Arial" w:hAnsi="Arial" w:cs="Arial"/>
          <w:b/>
          <w:sz w:val="20"/>
          <w:szCs w:val="20"/>
        </w:rPr>
        <w:t xml:space="preserve">Department </w:t>
      </w:r>
      <w:r w:rsidR="00FC17E1" w:rsidRPr="00502572">
        <w:rPr>
          <w:rFonts w:ascii="Arial" w:hAnsi="Arial" w:cs="Arial"/>
          <w:b/>
          <w:sz w:val="20"/>
          <w:szCs w:val="20"/>
        </w:rPr>
        <w:t>of Balleyara</w:t>
      </w:r>
    </w:p>
    <w:p w14:paraId="2A738985" w14:textId="3CC5C1C5" w:rsidR="001955F4" w:rsidRPr="00502572" w:rsidRDefault="001955F4" w:rsidP="00A10DBD">
      <w:pPr>
        <w:spacing w:line="360" w:lineRule="auto"/>
        <w:jc w:val="both"/>
        <w:rPr>
          <w:rFonts w:ascii="Arial" w:hAnsi="Arial" w:cs="Arial"/>
          <w:sz w:val="20"/>
          <w:szCs w:val="20"/>
        </w:rPr>
      </w:pPr>
      <w:r w:rsidRPr="00502572">
        <w:rPr>
          <w:rFonts w:ascii="Arial" w:hAnsi="Arial" w:cs="Arial"/>
          <w:sz w:val="20"/>
          <w:szCs w:val="20"/>
        </w:rPr>
        <w:t xml:space="preserve">These ponds are used for cropping, fishing, watering animals, making blocks and especially the production of natron. The natron or "gray gold" of Dallol Bosso is currently the only extractive resource in the area. Indeed, in the Dallol Bosso, particularly in the </w:t>
      </w:r>
      <w:r w:rsidR="001302BE" w:rsidRPr="00502572">
        <w:rPr>
          <w:rFonts w:ascii="Arial" w:hAnsi="Arial" w:cs="Arial"/>
          <w:sz w:val="20"/>
          <w:szCs w:val="20"/>
        </w:rPr>
        <w:t>Department</w:t>
      </w:r>
      <w:r w:rsidRPr="00502572">
        <w:rPr>
          <w:rFonts w:ascii="Arial" w:hAnsi="Arial" w:cs="Arial"/>
          <w:sz w:val="20"/>
          <w:szCs w:val="20"/>
        </w:rPr>
        <w:t xml:space="preserve"> of Balleyara the production of natron today attracts several inhabitants. The production of natron appears a priori as a devastating activity of the environment by the excessive use of green wood by the producers of natron, which constitutes a real and constant threat to the vegetation because there are some woody species, which are likely to disappear. These include </w:t>
      </w:r>
      <w:r w:rsidRPr="00502572">
        <w:rPr>
          <w:rFonts w:ascii="Arial" w:hAnsi="Arial" w:cs="Arial"/>
          <w:i/>
          <w:sz w:val="20"/>
          <w:szCs w:val="20"/>
        </w:rPr>
        <w:t>Acacia nilotica</w:t>
      </w:r>
      <w:r w:rsidRPr="00502572">
        <w:rPr>
          <w:rFonts w:ascii="Arial" w:hAnsi="Arial" w:cs="Arial"/>
          <w:sz w:val="20"/>
          <w:szCs w:val="20"/>
        </w:rPr>
        <w:t xml:space="preserve">, </w:t>
      </w:r>
      <w:r w:rsidRPr="00502572">
        <w:rPr>
          <w:rFonts w:ascii="Arial" w:hAnsi="Arial" w:cs="Arial"/>
          <w:i/>
          <w:sz w:val="20"/>
          <w:szCs w:val="20"/>
        </w:rPr>
        <w:t>Faidherbia albida</w:t>
      </w:r>
      <w:r w:rsidRPr="00502572">
        <w:rPr>
          <w:rFonts w:ascii="Arial" w:hAnsi="Arial" w:cs="Arial"/>
          <w:sz w:val="20"/>
          <w:szCs w:val="20"/>
        </w:rPr>
        <w:t xml:space="preserve">, </w:t>
      </w:r>
      <w:r w:rsidRPr="00502572">
        <w:rPr>
          <w:rFonts w:ascii="Arial" w:hAnsi="Arial" w:cs="Arial"/>
          <w:i/>
          <w:sz w:val="20"/>
          <w:szCs w:val="20"/>
        </w:rPr>
        <w:t>Combretum nigricans</w:t>
      </w:r>
      <w:r w:rsidRPr="00502572">
        <w:rPr>
          <w:rFonts w:ascii="Arial" w:hAnsi="Arial" w:cs="Arial"/>
          <w:sz w:val="20"/>
          <w:szCs w:val="20"/>
        </w:rPr>
        <w:t xml:space="preserve">, </w:t>
      </w:r>
      <w:r w:rsidRPr="00502572">
        <w:rPr>
          <w:rFonts w:ascii="Arial" w:hAnsi="Arial" w:cs="Arial"/>
          <w:i/>
          <w:sz w:val="20"/>
          <w:szCs w:val="20"/>
        </w:rPr>
        <w:t>Combretum glutinosum</w:t>
      </w:r>
      <w:r w:rsidRPr="00502572">
        <w:rPr>
          <w:rFonts w:ascii="Arial" w:hAnsi="Arial" w:cs="Arial"/>
          <w:sz w:val="20"/>
          <w:szCs w:val="20"/>
        </w:rPr>
        <w:t xml:space="preserve">, </w:t>
      </w:r>
      <w:r w:rsidRPr="00502572">
        <w:rPr>
          <w:rFonts w:ascii="Arial" w:hAnsi="Arial" w:cs="Arial"/>
          <w:i/>
          <w:sz w:val="20"/>
          <w:szCs w:val="20"/>
        </w:rPr>
        <w:t>Balanites aegyptiaca</w:t>
      </w:r>
      <w:r w:rsidRPr="00502572">
        <w:rPr>
          <w:rFonts w:ascii="Arial" w:hAnsi="Arial" w:cs="Arial"/>
          <w:sz w:val="20"/>
          <w:szCs w:val="20"/>
        </w:rPr>
        <w:t xml:space="preserve"> etc. Thus, the treatment of natron requires a large amount of wood of </w:t>
      </w:r>
      <w:r w:rsidR="00A10DBD" w:rsidRPr="00502572">
        <w:rPr>
          <w:rFonts w:ascii="Arial" w:hAnsi="Arial" w:cs="Arial"/>
          <w:sz w:val="20"/>
          <w:szCs w:val="20"/>
        </w:rPr>
        <w:t xml:space="preserve">those tree species </w:t>
      </w:r>
      <w:r w:rsidR="00C51E41" w:rsidRPr="00502572">
        <w:rPr>
          <w:rFonts w:ascii="Arial" w:hAnsi="Arial" w:cs="Arial"/>
          <w:sz w:val="20"/>
          <w:szCs w:val="20"/>
        </w:rPr>
        <w:t>(Figure 8</w:t>
      </w:r>
      <w:r w:rsidR="00ED241C" w:rsidRPr="00502572">
        <w:rPr>
          <w:rFonts w:ascii="Arial" w:hAnsi="Arial" w:cs="Arial"/>
          <w:sz w:val="20"/>
          <w:szCs w:val="20"/>
        </w:rPr>
        <w:t>)</w:t>
      </w:r>
      <w:r w:rsidR="00A10DBD" w:rsidRPr="00502572">
        <w:rPr>
          <w:rFonts w:ascii="Arial" w:hAnsi="Arial" w:cs="Arial"/>
          <w:sz w:val="20"/>
          <w:szCs w:val="20"/>
        </w:rPr>
        <w:t xml:space="preserve">. </w:t>
      </w:r>
    </w:p>
    <w:p w14:paraId="2D6F83CB" w14:textId="77777777" w:rsidR="00A10DBD" w:rsidRPr="00502572" w:rsidRDefault="00A10DBD" w:rsidP="00BA27D3">
      <w:pPr>
        <w:jc w:val="both"/>
        <w:rPr>
          <w:rFonts w:ascii="Arial" w:hAnsi="Arial" w:cs="Arial"/>
          <w:sz w:val="20"/>
          <w:szCs w:val="20"/>
        </w:rPr>
      </w:pPr>
      <w:r w:rsidRPr="00502572">
        <w:rPr>
          <w:rFonts w:ascii="Arial" w:hAnsi="Arial" w:cs="Arial"/>
          <w:b/>
          <w:noProof/>
          <w:sz w:val="20"/>
          <w:szCs w:val="20"/>
          <w:lang w:val="fr-FR" w:eastAsia="fr-FR"/>
        </w:rPr>
        <w:drawing>
          <wp:inline distT="0" distB="0" distL="0" distR="0" wp14:anchorId="7C592C45" wp14:editId="361D765D">
            <wp:extent cx="4305523" cy="1669488"/>
            <wp:effectExtent l="0" t="0" r="0" b="6985"/>
            <wp:docPr id="42" name="Image 24" descr="IMG_2017-01-25_06-5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1-25_06-50-41.JPG"/>
                    <pic:cNvPicPr/>
                  </pic:nvPicPr>
                  <pic:blipFill>
                    <a:blip r:embed="rId18" cstate="print"/>
                    <a:stretch>
                      <a:fillRect/>
                    </a:stretch>
                  </pic:blipFill>
                  <pic:spPr>
                    <a:xfrm>
                      <a:off x="0" y="0"/>
                      <a:ext cx="4332562" cy="1679973"/>
                    </a:xfrm>
                    <a:prstGeom prst="rect">
                      <a:avLst/>
                    </a:prstGeom>
                  </pic:spPr>
                </pic:pic>
              </a:graphicData>
            </a:graphic>
          </wp:inline>
        </w:drawing>
      </w:r>
    </w:p>
    <w:p w14:paraId="2A1FD060" w14:textId="1DD6B945" w:rsidR="001955F4" w:rsidRPr="00502572" w:rsidRDefault="00C51E41" w:rsidP="0069732D">
      <w:pPr>
        <w:rPr>
          <w:rFonts w:ascii="Arial" w:hAnsi="Arial" w:cs="Arial"/>
          <w:b/>
          <w:sz w:val="20"/>
          <w:szCs w:val="20"/>
        </w:rPr>
      </w:pPr>
      <w:r w:rsidRPr="00502572">
        <w:rPr>
          <w:rFonts w:ascii="Arial" w:hAnsi="Arial" w:cs="Arial"/>
          <w:b/>
          <w:sz w:val="20"/>
          <w:szCs w:val="20"/>
        </w:rPr>
        <w:t>Figure 8</w:t>
      </w:r>
      <w:r w:rsidR="00A10DBD" w:rsidRPr="00502572">
        <w:rPr>
          <w:rFonts w:ascii="Arial" w:hAnsi="Arial" w:cs="Arial"/>
          <w:b/>
          <w:sz w:val="20"/>
          <w:szCs w:val="20"/>
        </w:rPr>
        <w:t xml:space="preserve">. System of Natron production in the </w:t>
      </w:r>
      <w:r w:rsidR="00BB5FDF" w:rsidRPr="00502572">
        <w:rPr>
          <w:rFonts w:ascii="Arial" w:hAnsi="Arial" w:cs="Arial"/>
          <w:b/>
          <w:i/>
          <w:sz w:val="20"/>
          <w:szCs w:val="20"/>
        </w:rPr>
        <w:t>Lélé</w:t>
      </w:r>
      <w:r w:rsidR="00BB5FDF" w:rsidRPr="00502572">
        <w:rPr>
          <w:rFonts w:ascii="Arial" w:hAnsi="Arial" w:cs="Arial"/>
          <w:b/>
          <w:sz w:val="20"/>
          <w:szCs w:val="20"/>
        </w:rPr>
        <w:t xml:space="preserve"> </w:t>
      </w:r>
      <w:r w:rsidR="00A10DBD" w:rsidRPr="00502572">
        <w:rPr>
          <w:rFonts w:ascii="Arial" w:hAnsi="Arial" w:cs="Arial"/>
          <w:b/>
          <w:sz w:val="20"/>
          <w:szCs w:val="20"/>
        </w:rPr>
        <w:t xml:space="preserve">village </w:t>
      </w:r>
    </w:p>
    <w:p w14:paraId="7C304084" w14:textId="137A5E98" w:rsidR="00D77CC1" w:rsidRPr="00502572" w:rsidRDefault="005359A4" w:rsidP="00E01945">
      <w:pPr>
        <w:spacing w:line="360" w:lineRule="auto"/>
        <w:jc w:val="both"/>
        <w:rPr>
          <w:rFonts w:ascii="Arial" w:hAnsi="Arial" w:cs="Arial"/>
          <w:b/>
          <w:sz w:val="20"/>
          <w:szCs w:val="20"/>
        </w:rPr>
      </w:pPr>
      <w:r w:rsidRPr="00502572">
        <w:rPr>
          <w:rFonts w:ascii="Arial" w:hAnsi="Arial" w:cs="Arial"/>
          <w:b/>
          <w:sz w:val="20"/>
          <w:szCs w:val="20"/>
        </w:rPr>
        <w:t xml:space="preserve">3.2 </w:t>
      </w:r>
      <w:r w:rsidR="00ED241C" w:rsidRPr="00502572">
        <w:rPr>
          <w:rFonts w:ascii="Arial" w:hAnsi="Arial" w:cs="Arial"/>
          <w:b/>
          <w:sz w:val="20"/>
          <w:szCs w:val="20"/>
        </w:rPr>
        <w:t xml:space="preserve">Diversity of </w:t>
      </w:r>
      <w:r w:rsidR="009B65E9">
        <w:rPr>
          <w:rFonts w:ascii="Arial" w:hAnsi="Arial" w:cs="Arial"/>
          <w:b/>
          <w:sz w:val="20"/>
          <w:szCs w:val="20"/>
        </w:rPr>
        <w:t>e</w:t>
      </w:r>
      <w:r w:rsidR="00D77CC1" w:rsidRPr="00502572">
        <w:rPr>
          <w:rFonts w:ascii="Arial" w:hAnsi="Arial" w:cs="Arial"/>
          <w:b/>
          <w:sz w:val="20"/>
          <w:szCs w:val="20"/>
        </w:rPr>
        <w:t>cosystem services</w:t>
      </w:r>
    </w:p>
    <w:p w14:paraId="6227FCEA" w14:textId="3C6B86ED" w:rsidR="00D77CC1" w:rsidRPr="00502572" w:rsidRDefault="00693225" w:rsidP="00E01945">
      <w:pPr>
        <w:spacing w:line="360" w:lineRule="auto"/>
        <w:jc w:val="both"/>
        <w:rPr>
          <w:rFonts w:ascii="Arial" w:hAnsi="Arial" w:cs="Arial"/>
          <w:sz w:val="20"/>
          <w:szCs w:val="20"/>
        </w:rPr>
      </w:pPr>
      <w:r w:rsidRPr="00502572">
        <w:rPr>
          <w:rFonts w:ascii="Arial" w:hAnsi="Arial" w:cs="Arial"/>
          <w:sz w:val="20"/>
          <w:szCs w:val="20"/>
        </w:rPr>
        <w:t>The study highlighted various types of the ecosystem services</w:t>
      </w:r>
      <w:r w:rsidR="00AC12C1" w:rsidRPr="00502572">
        <w:rPr>
          <w:rFonts w:ascii="Arial" w:hAnsi="Arial" w:cs="Arial"/>
          <w:sz w:val="20"/>
          <w:szCs w:val="20"/>
        </w:rPr>
        <w:t xml:space="preserve"> in the </w:t>
      </w:r>
      <w:r w:rsidR="001302BE" w:rsidRPr="00502572">
        <w:rPr>
          <w:rFonts w:ascii="Arial" w:hAnsi="Arial" w:cs="Arial"/>
          <w:sz w:val="20"/>
          <w:szCs w:val="20"/>
        </w:rPr>
        <w:t xml:space="preserve">Department </w:t>
      </w:r>
      <w:r w:rsidR="00D77CC1" w:rsidRPr="00502572">
        <w:rPr>
          <w:rFonts w:ascii="Arial" w:hAnsi="Arial" w:cs="Arial"/>
          <w:sz w:val="20"/>
          <w:szCs w:val="20"/>
        </w:rPr>
        <w:t xml:space="preserve">of Balleyara is undeniable. </w:t>
      </w:r>
      <w:r w:rsidRPr="00502572">
        <w:rPr>
          <w:rFonts w:ascii="Arial" w:hAnsi="Arial" w:cs="Arial"/>
          <w:sz w:val="20"/>
          <w:szCs w:val="20"/>
        </w:rPr>
        <w:t xml:space="preserve">These </w:t>
      </w:r>
      <w:r w:rsidR="00AC12C1" w:rsidRPr="00502572">
        <w:rPr>
          <w:rFonts w:ascii="Arial" w:hAnsi="Arial" w:cs="Arial"/>
          <w:sz w:val="20"/>
          <w:szCs w:val="20"/>
        </w:rPr>
        <w:t xml:space="preserve">ecosystem </w:t>
      </w:r>
      <w:r w:rsidR="00D77CC1" w:rsidRPr="00502572">
        <w:rPr>
          <w:rFonts w:ascii="Arial" w:hAnsi="Arial" w:cs="Arial"/>
          <w:sz w:val="20"/>
          <w:szCs w:val="20"/>
        </w:rPr>
        <w:t>servi</w:t>
      </w:r>
      <w:r w:rsidR="00AC12C1" w:rsidRPr="00502572">
        <w:rPr>
          <w:rFonts w:ascii="Arial" w:hAnsi="Arial" w:cs="Arial"/>
          <w:sz w:val="20"/>
          <w:szCs w:val="20"/>
        </w:rPr>
        <w:t>ces can be summed up as follow</w:t>
      </w:r>
      <w:r w:rsidR="00D77CC1" w:rsidRPr="00502572">
        <w:rPr>
          <w:rFonts w:ascii="Arial" w:hAnsi="Arial" w:cs="Arial"/>
          <w:sz w:val="20"/>
          <w:szCs w:val="20"/>
        </w:rPr>
        <w:t>:</w:t>
      </w:r>
    </w:p>
    <w:p w14:paraId="331E8BAE" w14:textId="009F9CB8" w:rsidR="00D77CC1" w:rsidRPr="00502572" w:rsidRDefault="005359A4" w:rsidP="00D77CC1">
      <w:pPr>
        <w:jc w:val="both"/>
        <w:rPr>
          <w:rFonts w:ascii="Arial" w:hAnsi="Arial" w:cs="Arial"/>
          <w:b/>
          <w:sz w:val="20"/>
          <w:szCs w:val="20"/>
        </w:rPr>
      </w:pPr>
      <w:r w:rsidRPr="00502572">
        <w:rPr>
          <w:rFonts w:ascii="Arial" w:hAnsi="Arial" w:cs="Arial"/>
          <w:b/>
          <w:sz w:val="20"/>
          <w:szCs w:val="20"/>
        </w:rPr>
        <w:t xml:space="preserve">3.2.1 </w:t>
      </w:r>
      <w:r w:rsidR="00933394" w:rsidRPr="00502572">
        <w:rPr>
          <w:rFonts w:ascii="Arial" w:hAnsi="Arial" w:cs="Arial"/>
          <w:b/>
          <w:sz w:val="20"/>
          <w:szCs w:val="20"/>
        </w:rPr>
        <w:t>F</w:t>
      </w:r>
      <w:r w:rsidR="00D77CC1" w:rsidRPr="00502572">
        <w:rPr>
          <w:rFonts w:ascii="Arial" w:hAnsi="Arial" w:cs="Arial"/>
          <w:b/>
          <w:sz w:val="20"/>
          <w:szCs w:val="20"/>
        </w:rPr>
        <w:t>ood and medicine supply services.</w:t>
      </w:r>
    </w:p>
    <w:p w14:paraId="35E1508D" w14:textId="269182CD" w:rsidR="00933394" w:rsidRPr="00502572" w:rsidRDefault="00693225" w:rsidP="00693225">
      <w:pPr>
        <w:spacing w:line="360" w:lineRule="auto"/>
        <w:jc w:val="both"/>
        <w:rPr>
          <w:rFonts w:ascii="Arial" w:hAnsi="Arial" w:cs="Arial"/>
          <w:sz w:val="20"/>
          <w:szCs w:val="20"/>
        </w:rPr>
      </w:pPr>
      <w:r w:rsidRPr="00502572">
        <w:rPr>
          <w:rFonts w:ascii="Arial" w:hAnsi="Arial" w:cs="Arial"/>
          <w:sz w:val="20"/>
          <w:szCs w:val="20"/>
        </w:rPr>
        <w:t xml:space="preserve">About </w:t>
      </w:r>
      <w:r w:rsidR="00D77CC1" w:rsidRPr="00502572">
        <w:rPr>
          <w:rFonts w:ascii="Arial" w:hAnsi="Arial" w:cs="Arial"/>
          <w:sz w:val="20"/>
          <w:szCs w:val="20"/>
        </w:rPr>
        <w:t xml:space="preserve">85% of those surveyed said they obtained food from plants in these ecosystems during the lean season. </w:t>
      </w:r>
      <w:r w:rsidRPr="00502572">
        <w:rPr>
          <w:rFonts w:ascii="Arial" w:hAnsi="Arial" w:cs="Arial"/>
          <w:sz w:val="20"/>
          <w:szCs w:val="20"/>
        </w:rPr>
        <w:t>While</w:t>
      </w:r>
      <w:r w:rsidR="00AC12C1" w:rsidRPr="00502572">
        <w:rPr>
          <w:rFonts w:ascii="Arial" w:hAnsi="Arial" w:cs="Arial"/>
          <w:sz w:val="20"/>
          <w:szCs w:val="20"/>
        </w:rPr>
        <w:t>,</w:t>
      </w:r>
      <w:r w:rsidRPr="00502572">
        <w:rPr>
          <w:rFonts w:ascii="Arial" w:hAnsi="Arial" w:cs="Arial"/>
          <w:sz w:val="20"/>
          <w:szCs w:val="20"/>
        </w:rPr>
        <w:t xml:space="preserve"> </w:t>
      </w:r>
      <w:r w:rsidR="00D77CC1" w:rsidRPr="00502572">
        <w:rPr>
          <w:rFonts w:ascii="Arial" w:hAnsi="Arial" w:cs="Arial"/>
          <w:sz w:val="20"/>
          <w:szCs w:val="20"/>
        </w:rPr>
        <w:t>75% of those surveyed use plant species as a source of medicine or in the traditional pharmacopoeia.</w:t>
      </w:r>
      <w:r w:rsidRPr="00502572">
        <w:rPr>
          <w:rFonts w:ascii="Arial" w:hAnsi="Arial" w:cs="Arial"/>
          <w:sz w:val="20"/>
          <w:szCs w:val="20"/>
        </w:rPr>
        <w:t xml:space="preserve"> </w:t>
      </w:r>
      <w:r w:rsidR="00D77CC1" w:rsidRPr="00502572">
        <w:rPr>
          <w:rFonts w:ascii="Arial" w:hAnsi="Arial" w:cs="Arial"/>
          <w:sz w:val="20"/>
          <w:szCs w:val="20"/>
        </w:rPr>
        <w:t xml:space="preserve">Among the organs of these </w:t>
      </w:r>
      <w:r w:rsidR="002C677F" w:rsidRPr="00502572">
        <w:rPr>
          <w:rFonts w:ascii="Arial" w:hAnsi="Arial" w:cs="Arial"/>
          <w:sz w:val="20"/>
          <w:szCs w:val="20"/>
        </w:rPr>
        <w:t xml:space="preserve">woody </w:t>
      </w:r>
      <w:r w:rsidR="00AC12C1" w:rsidRPr="00502572">
        <w:rPr>
          <w:rFonts w:ascii="Arial" w:hAnsi="Arial" w:cs="Arial"/>
          <w:sz w:val="20"/>
          <w:szCs w:val="20"/>
        </w:rPr>
        <w:t>species (Table 1</w:t>
      </w:r>
      <w:r w:rsidR="00D77CC1" w:rsidRPr="00502572">
        <w:rPr>
          <w:rFonts w:ascii="Arial" w:hAnsi="Arial" w:cs="Arial"/>
          <w:sz w:val="20"/>
          <w:szCs w:val="20"/>
        </w:rPr>
        <w:t xml:space="preserve">), the leaves are the most used with a percentage of 37%, then the stems with 23%, then the roots with 14%, the fruits and seeds 10% </w:t>
      </w:r>
      <w:r w:rsidR="00D77CC1" w:rsidRPr="00502572">
        <w:rPr>
          <w:rFonts w:ascii="Arial" w:hAnsi="Arial" w:cs="Arial"/>
          <w:sz w:val="20"/>
          <w:szCs w:val="20"/>
        </w:rPr>
        <w:lastRenderedPageBreak/>
        <w:t xml:space="preserve">each and finally the bark and tubers 3% each (Table 1). The most used species in the pharmacopoeia are </w:t>
      </w:r>
      <w:r w:rsidR="00D77CC1" w:rsidRPr="00502572">
        <w:rPr>
          <w:rFonts w:ascii="Arial" w:hAnsi="Arial" w:cs="Arial"/>
          <w:i/>
          <w:sz w:val="20"/>
          <w:szCs w:val="20"/>
        </w:rPr>
        <w:t>Acacia nilotica</w:t>
      </w:r>
      <w:r w:rsidR="00D77CC1" w:rsidRPr="00502572">
        <w:rPr>
          <w:rFonts w:ascii="Arial" w:hAnsi="Arial" w:cs="Arial"/>
          <w:sz w:val="20"/>
          <w:szCs w:val="20"/>
        </w:rPr>
        <w:t xml:space="preserve"> and </w:t>
      </w:r>
      <w:r w:rsidR="00D77CC1" w:rsidRPr="00502572">
        <w:rPr>
          <w:rFonts w:ascii="Arial" w:hAnsi="Arial" w:cs="Arial"/>
          <w:i/>
          <w:sz w:val="20"/>
          <w:szCs w:val="20"/>
        </w:rPr>
        <w:t>Balanites aegyptiaca</w:t>
      </w:r>
      <w:r w:rsidRPr="00502572">
        <w:rPr>
          <w:rFonts w:ascii="Arial" w:hAnsi="Arial" w:cs="Arial"/>
          <w:sz w:val="20"/>
          <w:szCs w:val="20"/>
        </w:rPr>
        <w:t xml:space="preserve"> with 15% each (Figure</w:t>
      </w:r>
      <w:r w:rsidR="00C51E41" w:rsidRPr="00502572">
        <w:rPr>
          <w:rFonts w:ascii="Arial" w:hAnsi="Arial" w:cs="Arial"/>
          <w:sz w:val="20"/>
          <w:szCs w:val="20"/>
        </w:rPr>
        <w:t xml:space="preserve"> 9</w:t>
      </w:r>
      <w:r w:rsidR="00D77CC1" w:rsidRPr="00502572">
        <w:rPr>
          <w:rFonts w:ascii="Arial" w:hAnsi="Arial" w:cs="Arial"/>
          <w:sz w:val="20"/>
          <w:szCs w:val="20"/>
        </w:rPr>
        <w:t>).</w:t>
      </w:r>
    </w:p>
    <w:p w14:paraId="1FDC0FDC" w14:textId="06528702" w:rsidR="002C677F" w:rsidRPr="00502572" w:rsidRDefault="003D192C" w:rsidP="002C677F">
      <w:pPr>
        <w:spacing w:line="360" w:lineRule="auto"/>
        <w:jc w:val="both"/>
        <w:rPr>
          <w:rFonts w:ascii="Arial" w:hAnsi="Arial" w:cs="Arial"/>
          <w:b/>
          <w:sz w:val="20"/>
          <w:szCs w:val="20"/>
        </w:rPr>
      </w:pPr>
      <w:r w:rsidRPr="00502572">
        <w:rPr>
          <w:rFonts w:ascii="Arial" w:hAnsi="Arial" w:cs="Arial"/>
          <w:b/>
          <w:sz w:val="20"/>
          <w:szCs w:val="20"/>
        </w:rPr>
        <w:t xml:space="preserve">Table 1. Some </w:t>
      </w:r>
      <w:r w:rsidR="00486FA9" w:rsidRPr="00502572">
        <w:rPr>
          <w:rFonts w:ascii="Arial" w:hAnsi="Arial" w:cs="Arial"/>
          <w:b/>
          <w:sz w:val="20"/>
          <w:szCs w:val="20"/>
        </w:rPr>
        <w:t>plant</w:t>
      </w:r>
      <w:r w:rsidRPr="00502572">
        <w:rPr>
          <w:rFonts w:ascii="Arial" w:hAnsi="Arial" w:cs="Arial"/>
          <w:b/>
          <w:sz w:val="20"/>
          <w:szCs w:val="20"/>
        </w:rPr>
        <w:t xml:space="preserve"> species and </w:t>
      </w:r>
      <w:r w:rsidR="00256367" w:rsidRPr="00502572">
        <w:rPr>
          <w:rFonts w:ascii="Arial" w:hAnsi="Arial" w:cs="Arial"/>
          <w:b/>
          <w:sz w:val="20"/>
          <w:szCs w:val="20"/>
        </w:rPr>
        <w:t xml:space="preserve">their </w:t>
      </w:r>
      <w:r w:rsidRPr="00502572">
        <w:rPr>
          <w:rFonts w:ascii="Arial" w:hAnsi="Arial" w:cs="Arial"/>
          <w:b/>
          <w:sz w:val="20"/>
          <w:szCs w:val="20"/>
        </w:rPr>
        <w:t>parts used in the pharmacopoeia</w:t>
      </w:r>
    </w:p>
    <w:tbl>
      <w:tblPr>
        <w:tblStyle w:val="LightGrid-Accent51"/>
        <w:tblW w:w="0" w:type="auto"/>
        <w:tblLook w:val="04A0" w:firstRow="1" w:lastRow="0" w:firstColumn="1" w:lastColumn="0" w:noHBand="0" w:noVBand="1"/>
      </w:tblPr>
      <w:tblGrid>
        <w:gridCol w:w="3009"/>
        <w:gridCol w:w="3000"/>
        <w:gridCol w:w="2997"/>
      </w:tblGrid>
      <w:tr w:rsidR="00D149B7" w:rsidRPr="00502572" w14:paraId="3DA29E60" w14:textId="77777777" w:rsidTr="00174404">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80" w:type="dxa"/>
          </w:tcPr>
          <w:p w14:paraId="58592E35" w14:textId="77777777" w:rsidR="00933394" w:rsidRPr="00502572" w:rsidRDefault="00933394" w:rsidP="001302BE">
            <w:pPr>
              <w:spacing w:line="276" w:lineRule="auto"/>
              <w:rPr>
                <w:rFonts w:ascii="Arial" w:eastAsia="Calibri" w:hAnsi="Arial" w:cs="Arial"/>
                <w:sz w:val="20"/>
                <w:szCs w:val="20"/>
              </w:rPr>
            </w:pPr>
            <w:r w:rsidRPr="00502572">
              <w:rPr>
                <w:rFonts w:ascii="Arial" w:eastAsia="Calibri" w:hAnsi="Arial" w:cs="Arial"/>
                <w:sz w:val="20"/>
                <w:szCs w:val="20"/>
              </w:rPr>
              <w:t>Species</w:t>
            </w:r>
          </w:p>
        </w:tc>
        <w:tc>
          <w:tcPr>
            <w:tcW w:w="3081" w:type="dxa"/>
          </w:tcPr>
          <w:p w14:paraId="704E8570" w14:textId="77777777" w:rsidR="00933394" w:rsidRPr="00502572" w:rsidRDefault="00933394" w:rsidP="001302B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sz w:val="20"/>
                <w:szCs w:val="20"/>
              </w:rPr>
            </w:pPr>
            <w:r w:rsidRPr="00502572">
              <w:rPr>
                <w:rFonts w:ascii="Arial" w:eastAsia="Calibri" w:hAnsi="Arial" w:cs="Arial"/>
                <w:sz w:val="20"/>
                <w:szCs w:val="20"/>
              </w:rPr>
              <w:t>Diseases treated</w:t>
            </w:r>
          </w:p>
        </w:tc>
        <w:tc>
          <w:tcPr>
            <w:tcW w:w="3081" w:type="dxa"/>
          </w:tcPr>
          <w:p w14:paraId="0F61FFE5" w14:textId="77777777" w:rsidR="00933394" w:rsidRPr="00502572" w:rsidRDefault="00933394" w:rsidP="001302B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sz w:val="20"/>
                <w:szCs w:val="20"/>
              </w:rPr>
            </w:pPr>
            <w:r w:rsidRPr="00502572">
              <w:rPr>
                <w:rFonts w:ascii="Arial" w:eastAsia="Calibri" w:hAnsi="Arial" w:cs="Arial"/>
                <w:sz w:val="20"/>
                <w:szCs w:val="20"/>
              </w:rPr>
              <w:t>Parts used</w:t>
            </w:r>
          </w:p>
        </w:tc>
      </w:tr>
      <w:tr w:rsidR="00F13294" w:rsidRPr="00502572" w14:paraId="2FC459EA" w14:textId="77777777" w:rsidTr="00933394">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3080" w:type="dxa"/>
            <w:vMerge w:val="restart"/>
          </w:tcPr>
          <w:p w14:paraId="55CD26B1" w14:textId="747E3C4F" w:rsidR="00933394" w:rsidRPr="00502572" w:rsidRDefault="00933394" w:rsidP="00827DFE">
            <w:pPr>
              <w:tabs>
                <w:tab w:val="right" w:pos="2793"/>
              </w:tabs>
              <w:spacing w:line="276" w:lineRule="auto"/>
              <w:rPr>
                <w:rFonts w:ascii="Arial" w:eastAsia="Calibri" w:hAnsi="Arial" w:cs="Arial"/>
                <w:sz w:val="20"/>
                <w:szCs w:val="20"/>
                <w:lang w:val="en-US"/>
              </w:rPr>
            </w:pPr>
            <w:r w:rsidRPr="00502572">
              <w:rPr>
                <w:rFonts w:ascii="Arial" w:eastAsia="Calibri" w:hAnsi="Arial" w:cs="Arial"/>
                <w:i/>
                <w:sz w:val="20"/>
                <w:szCs w:val="20"/>
                <w:lang w:val="en-US"/>
              </w:rPr>
              <w:t>Acacia nilotica</w:t>
            </w:r>
            <w:r w:rsidR="00AC13DB" w:rsidRPr="00502572">
              <w:rPr>
                <w:rFonts w:ascii="Arial" w:eastAsia="Calibri" w:hAnsi="Arial" w:cs="Arial"/>
                <w:i/>
                <w:sz w:val="20"/>
                <w:szCs w:val="20"/>
                <w:lang w:val="en-US"/>
              </w:rPr>
              <w:t xml:space="preserve"> </w:t>
            </w:r>
            <w:r w:rsidR="00827DFE" w:rsidRPr="00502572">
              <w:rPr>
                <w:rFonts w:ascii="Arial" w:eastAsia="Calibri" w:hAnsi="Arial" w:cs="Arial"/>
                <w:sz w:val="20"/>
                <w:szCs w:val="20"/>
                <w:lang w:val="en-US"/>
              </w:rPr>
              <w:t>(L.) Willd. ex Delile</w:t>
            </w:r>
          </w:p>
        </w:tc>
        <w:tc>
          <w:tcPr>
            <w:tcW w:w="3081" w:type="dxa"/>
            <w:tcBorders>
              <w:bottom w:val="single" w:sz="4" w:space="0" w:color="4BACC6"/>
            </w:tcBorders>
          </w:tcPr>
          <w:p w14:paraId="3A5240CC" w14:textId="77777777" w:rsidR="00933394" w:rsidRPr="00502572" w:rsidRDefault="00D149B7" w:rsidP="001302B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502572">
              <w:rPr>
                <w:rFonts w:ascii="Arial" w:eastAsia="Calibri" w:hAnsi="Arial" w:cs="Arial"/>
                <w:sz w:val="20"/>
                <w:szCs w:val="20"/>
              </w:rPr>
              <w:t>Hemorrhoid</w:t>
            </w:r>
          </w:p>
        </w:tc>
        <w:tc>
          <w:tcPr>
            <w:tcW w:w="3081" w:type="dxa"/>
            <w:tcBorders>
              <w:bottom w:val="single" w:sz="4" w:space="0" w:color="4BACC6"/>
            </w:tcBorders>
          </w:tcPr>
          <w:p w14:paraId="008CAC8D" w14:textId="77777777" w:rsidR="00933394" w:rsidRPr="00502572" w:rsidRDefault="002C677F" w:rsidP="001302B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502572">
              <w:rPr>
                <w:rFonts w:ascii="Arial" w:eastAsia="Calibri" w:hAnsi="Arial" w:cs="Arial"/>
                <w:sz w:val="20"/>
                <w:szCs w:val="20"/>
              </w:rPr>
              <w:t>Seed</w:t>
            </w:r>
          </w:p>
        </w:tc>
      </w:tr>
      <w:tr w:rsidR="00F13294" w:rsidRPr="00502572" w14:paraId="22722E8D" w14:textId="77777777" w:rsidTr="00933394">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080" w:type="dxa"/>
            <w:vMerge/>
          </w:tcPr>
          <w:p w14:paraId="1ABA44CC" w14:textId="77777777" w:rsidR="00933394" w:rsidRPr="00502572" w:rsidRDefault="00933394" w:rsidP="001302BE">
            <w:pPr>
              <w:spacing w:line="276" w:lineRule="auto"/>
              <w:rPr>
                <w:rFonts w:ascii="Arial" w:eastAsia="Calibri" w:hAnsi="Arial" w:cs="Arial"/>
                <w:i/>
                <w:sz w:val="20"/>
                <w:szCs w:val="20"/>
              </w:rPr>
            </w:pPr>
          </w:p>
        </w:tc>
        <w:tc>
          <w:tcPr>
            <w:tcW w:w="3081" w:type="dxa"/>
            <w:tcBorders>
              <w:top w:val="single" w:sz="4" w:space="0" w:color="4BACC6"/>
              <w:bottom w:val="single" w:sz="4" w:space="0" w:color="4BACC6"/>
            </w:tcBorders>
          </w:tcPr>
          <w:p w14:paraId="76EDFC78" w14:textId="77777777" w:rsidR="00933394" w:rsidRPr="00502572" w:rsidRDefault="002C677F" w:rsidP="001302BE">
            <w:pPr>
              <w:spacing w:line="276" w:lineRule="auto"/>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rPr>
            </w:pPr>
            <w:r w:rsidRPr="00502572">
              <w:rPr>
                <w:rFonts w:ascii="Arial" w:eastAsia="Calibri" w:hAnsi="Arial" w:cs="Arial"/>
                <w:sz w:val="20"/>
                <w:szCs w:val="20"/>
              </w:rPr>
              <w:t>M</w:t>
            </w:r>
            <w:r w:rsidR="00933394" w:rsidRPr="00502572">
              <w:rPr>
                <w:rFonts w:ascii="Arial" w:eastAsia="Calibri" w:hAnsi="Arial" w:cs="Arial"/>
                <w:sz w:val="20"/>
                <w:szCs w:val="20"/>
              </w:rPr>
              <w:t>alaria</w:t>
            </w:r>
          </w:p>
        </w:tc>
        <w:tc>
          <w:tcPr>
            <w:tcW w:w="3081" w:type="dxa"/>
            <w:tcBorders>
              <w:top w:val="single" w:sz="4" w:space="0" w:color="4BACC6"/>
              <w:bottom w:val="single" w:sz="4" w:space="0" w:color="4BACC6"/>
            </w:tcBorders>
          </w:tcPr>
          <w:p w14:paraId="22FB6C30" w14:textId="77777777" w:rsidR="00933394" w:rsidRPr="00502572" w:rsidRDefault="00933394" w:rsidP="001302BE">
            <w:pPr>
              <w:spacing w:line="276" w:lineRule="auto"/>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rPr>
            </w:pPr>
            <w:r w:rsidRPr="00502572">
              <w:rPr>
                <w:rFonts w:ascii="Arial" w:eastAsia="Calibri" w:hAnsi="Arial" w:cs="Arial"/>
                <w:sz w:val="20"/>
                <w:szCs w:val="20"/>
              </w:rPr>
              <w:t>Root</w:t>
            </w:r>
          </w:p>
        </w:tc>
      </w:tr>
      <w:tr w:rsidR="00F13294" w:rsidRPr="00502572" w14:paraId="635870E4" w14:textId="77777777" w:rsidTr="0093339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80" w:type="dxa"/>
            <w:vMerge/>
          </w:tcPr>
          <w:p w14:paraId="1170AB25" w14:textId="77777777" w:rsidR="00933394" w:rsidRPr="00502572" w:rsidRDefault="00933394" w:rsidP="001302BE">
            <w:pPr>
              <w:spacing w:line="276" w:lineRule="auto"/>
              <w:rPr>
                <w:rFonts w:ascii="Arial" w:eastAsia="Calibri" w:hAnsi="Arial" w:cs="Arial"/>
                <w:i/>
                <w:sz w:val="20"/>
                <w:szCs w:val="20"/>
              </w:rPr>
            </w:pPr>
          </w:p>
        </w:tc>
        <w:tc>
          <w:tcPr>
            <w:tcW w:w="3081" w:type="dxa"/>
            <w:tcBorders>
              <w:top w:val="single" w:sz="4" w:space="0" w:color="4BACC6"/>
            </w:tcBorders>
          </w:tcPr>
          <w:p w14:paraId="2A626EB4" w14:textId="77777777" w:rsidR="00933394" w:rsidRPr="00502572" w:rsidRDefault="00F13294" w:rsidP="001302B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502572">
              <w:rPr>
                <w:rFonts w:ascii="Arial" w:eastAsia="Calibri" w:hAnsi="Arial" w:cs="Arial"/>
                <w:sz w:val="20"/>
                <w:szCs w:val="20"/>
              </w:rPr>
              <w:t>U</w:t>
            </w:r>
            <w:r w:rsidR="00933394" w:rsidRPr="00502572">
              <w:rPr>
                <w:rFonts w:ascii="Arial" w:eastAsia="Calibri" w:hAnsi="Arial" w:cs="Arial"/>
                <w:sz w:val="20"/>
                <w:szCs w:val="20"/>
              </w:rPr>
              <w:t>lcer</w:t>
            </w:r>
          </w:p>
        </w:tc>
        <w:tc>
          <w:tcPr>
            <w:tcW w:w="3081" w:type="dxa"/>
            <w:tcBorders>
              <w:top w:val="single" w:sz="4" w:space="0" w:color="4BACC6"/>
            </w:tcBorders>
          </w:tcPr>
          <w:p w14:paraId="1D3DB514" w14:textId="77777777" w:rsidR="00933394" w:rsidRPr="00502572" w:rsidRDefault="00F13294" w:rsidP="001302B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502572">
              <w:rPr>
                <w:rFonts w:ascii="Arial" w:eastAsia="Calibri" w:hAnsi="Arial" w:cs="Arial"/>
                <w:sz w:val="20"/>
                <w:szCs w:val="20"/>
              </w:rPr>
              <w:t>Stem</w:t>
            </w:r>
          </w:p>
        </w:tc>
      </w:tr>
      <w:tr w:rsidR="00D149B7" w:rsidRPr="00502572" w14:paraId="7CFC46CA" w14:textId="77777777" w:rsidTr="00174404">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3080" w:type="dxa"/>
          </w:tcPr>
          <w:p w14:paraId="52EFD69C" w14:textId="55A95862" w:rsidR="00933394" w:rsidRPr="00502572" w:rsidRDefault="00933394" w:rsidP="001302BE">
            <w:pPr>
              <w:spacing w:line="276" w:lineRule="auto"/>
              <w:rPr>
                <w:rFonts w:ascii="Arial" w:eastAsia="Calibri" w:hAnsi="Arial" w:cs="Arial"/>
                <w:sz w:val="20"/>
                <w:szCs w:val="20"/>
              </w:rPr>
            </w:pPr>
            <w:r w:rsidRPr="00502572">
              <w:rPr>
                <w:rFonts w:ascii="Arial" w:eastAsia="Calibri" w:hAnsi="Arial" w:cs="Arial"/>
                <w:i/>
                <w:sz w:val="20"/>
                <w:szCs w:val="20"/>
              </w:rPr>
              <w:t>Acacia senegal</w:t>
            </w:r>
            <w:r w:rsidR="00827DFE" w:rsidRPr="00502572">
              <w:rPr>
                <w:rFonts w:ascii="Arial" w:eastAsia="Calibri" w:hAnsi="Arial" w:cs="Arial"/>
                <w:i/>
                <w:sz w:val="20"/>
                <w:szCs w:val="20"/>
              </w:rPr>
              <w:t xml:space="preserve"> </w:t>
            </w:r>
            <w:r w:rsidR="00827DFE" w:rsidRPr="00502572">
              <w:rPr>
                <w:rFonts w:ascii="Arial" w:eastAsia="Calibri" w:hAnsi="Arial" w:cs="Arial"/>
                <w:sz w:val="20"/>
                <w:szCs w:val="20"/>
              </w:rPr>
              <w:t>(L.) Willd.</w:t>
            </w:r>
          </w:p>
        </w:tc>
        <w:tc>
          <w:tcPr>
            <w:tcW w:w="3081" w:type="dxa"/>
          </w:tcPr>
          <w:p w14:paraId="5608FB35" w14:textId="77777777" w:rsidR="00933394" w:rsidRPr="00502572" w:rsidRDefault="00F13294" w:rsidP="001302BE">
            <w:pPr>
              <w:spacing w:line="276" w:lineRule="auto"/>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rPr>
            </w:pPr>
            <w:r w:rsidRPr="00502572">
              <w:rPr>
                <w:rFonts w:ascii="Arial" w:eastAsia="Calibri" w:hAnsi="Arial" w:cs="Arial"/>
                <w:sz w:val="20"/>
                <w:szCs w:val="20"/>
              </w:rPr>
              <w:t>Diabetes</w:t>
            </w:r>
          </w:p>
        </w:tc>
        <w:tc>
          <w:tcPr>
            <w:tcW w:w="3081" w:type="dxa"/>
          </w:tcPr>
          <w:p w14:paraId="319A069B" w14:textId="77777777" w:rsidR="00933394" w:rsidRPr="00502572" w:rsidRDefault="00F13294" w:rsidP="001302BE">
            <w:pPr>
              <w:spacing w:line="276" w:lineRule="auto"/>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rPr>
            </w:pPr>
            <w:r w:rsidRPr="00502572">
              <w:rPr>
                <w:rFonts w:ascii="Arial" w:eastAsia="Calibri" w:hAnsi="Arial" w:cs="Arial"/>
                <w:sz w:val="20"/>
                <w:szCs w:val="20"/>
              </w:rPr>
              <w:t>Stem and leaves</w:t>
            </w:r>
          </w:p>
        </w:tc>
      </w:tr>
      <w:tr w:rsidR="00F13294" w:rsidRPr="00502572" w14:paraId="2B9AA279" w14:textId="77777777" w:rsidTr="00933394">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080" w:type="dxa"/>
            <w:vMerge w:val="restart"/>
          </w:tcPr>
          <w:p w14:paraId="7534B575" w14:textId="1089AA05" w:rsidR="00933394" w:rsidRPr="00502572" w:rsidRDefault="00933394" w:rsidP="001302BE">
            <w:pPr>
              <w:spacing w:line="276" w:lineRule="auto"/>
              <w:rPr>
                <w:rFonts w:ascii="Arial" w:eastAsia="Calibri" w:hAnsi="Arial" w:cs="Arial"/>
                <w:sz w:val="20"/>
                <w:szCs w:val="20"/>
              </w:rPr>
            </w:pPr>
            <w:r w:rsidRPr="00502572">
              <w:rPr>
                <w:rFonts w:ascii="Arial" w:eastAsia="Calibri" w:hAnsi="Arial" w:cs="Arial"/>
                <w:i/>
                <w:sz w:val="20"/>
                <w:szCs w:val="20"/>
              </w:rPr>
              <w:t>Azadirachta indica</w:t>
            </w:r>
            <w:r w:rsidR="00827DFE" w:rsidRPr="00502572">
              <w:rPr>
                <w:rFonts w:ascii="Arial" w:eastAsia="Calibri" w:hAnsi="Arial" w:cs="Arial"/>
                <w:i/>
                <w:sz w:val="20"/>
                <w:szCs w:val="20"/>
              </w:rPr>
              <w:t xml:space="preserve"> </w:t>
            </w:r>
            <w:r w:rsidR="00827DFE" w:rsidRPr="00502572">
              <w:rPr>
                <w:rFonts w:ascii="Arial" w:eastAsia="Calibri" w:hAnsi="Arial" w:cs="Arial"/>
                <w:sz w:val="20"/>
                <w:szCs w:val="20"/>
              </w:rPr>
              <w:t>A.Juss.</w:t>
            </w:r>
          </w:p>
        </w:tc>
        <w:tc>
          <w:tcPr>
            <w:tcW w:w="3081" w:type="dxa"/>
            <w:tcBorders>
              <w:bottom w:val="single" w:sz="4" w:space="0" w:color="4BACC6"/>
            </w:tcBorders>
          </w:tcPr>
          <w:p w14:paraId="02222FEF" w14:textId="77777777" w:rsidR="00933394" w:rsidRPr="00502572" w:rsidRDefault="00D149B7" w:rsidP="001302B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502572">
              <w:rPr>
                <w:rFonts w:ascii="Arial" w:eastAsia="Calibri" w:hAnsi="Arial" w:cs="Arial"/>
                <w:sz w:val="20"/>
                <w:szCs w:val="20"/>
              </w:rPr>
              <w:t>Hemorrhoid</w:t>
            </w:r>
          </w:p>
        </w:tc>
        <w:tc>
          <w:tcPr>
            <w:tcW w:w="3081" w:type="dxa"/>
            <w:tcBorders>
              <w:bottom w:val="single" w:sz="4" w:space="0" w:color="4BACC6"/>
            </w:tcBorders>
          </w:tcPr>
          <w:p w14:paraId="7495A2FC" w14:textId="77777777" w:rsidR="00933394" w:rsidRPr="00502572" w:rsidRDefault="00F13294" w:rsidP="001302B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502572">
              <w:rPr>
                <w:rFonts w:ascii="Arial" w:eastAsia="Calibri" w:hAnsi="Arial" w:cs="Arial"/>
                <w:sz w:val="20"/>
                <w:szCs w:val="20"/>
              </w:rPr>
              <w:t>Leaves</w:t>
            </w:r>
            <w:r w:rsidR="002C677F" w:rsidRPr="00502572">
              <w:rPr>
                <w:rFonts w:ascii="Arial" w:eastAsia="Calibri" w:hAnsi="Arial" w:cs="Arial"/>
                <w:sz w:val="20"/>
                <w:szCs w:val="20"/>
              </w:rPr>
              <w:t xml:space="preserve"> and Root</w:t>
            </w:r>
          </w:p>
        </w:tc>
      </w:tr>
      <w:tr w:rsidR="00F13294" w:rsidRPr="00502572" w14:paraId="206CD726" w14:textId="77777777" w:rsidTr="00933394">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80" w:type="dxa"/>
            <w:vMerge/>
          </w:tcPr>
          <w:p w14:paraId="6657CF5A" w14:textId="77777777" w:rsidR="00933394" w:rsidRPr="00502572" w:rsidRDefault="00933394" w:rsidP="001302BE">
            <w:pPr>
              <w:spacing w:line="276" w:lineRule="auto"/>
              <w:rPr>
                <w:rFonts w:ascii="Arial" w:eastAsia="Calibri" w:hAnsi="Arial" w:cs="Arial"/>
                <w:i/>
                <w:sz w:val="20"/>
                <w:szCs w:val="20"/>
              </w:rPr>
            </w:pPr>
          </w:p>
        </w:tc>
        <w:tc>
          <w:tcPr>
            <w:tcW w:w="3081" w:type="dxa"/>
            <w:tcBorders>
              <w:top w:val="single" w:sz="4" w:space="0" w:color="4BACC6"/>
            </w:tcBorders>
          </w:tcPr>
          <w:p w14:paraId="51BA8FE7" w14:textId="77777777" w:rsidR="00933394" w:rsidRPr="00502572" w:rsidRDefault="002C677F" w:rsidP="001302BE">
            <w:pPr>
              <w:spacing w:line="276" w:lineRule="auto"/>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rPr>
            </w:pPr>
            <w:r w:rsidRPr="00502572">
              <w:rPr>
                <w:rFonts w:ascii="Arial" w:eastAsia="Calibri" w:hAnsi="Arial" w:cs="Arial"/>
                <w:sz w:val="20"/>
                <w:szCs w:val="20"/>
              </w:rPr>
              <w:t>Ulcer</w:t>
            </w:r>
          </w:p>
        </w:tc>
        <w:tc>
          <w:tcPr>
            <w:tcW w:w="3081" w:type="dxa"/>
            <w:tcBorders>
              <w:top w:val="single" w:sz="4" w:space="0" w:color="4BACC6"/>
            </w:tcBorders>
          </w:tcPr>
          <w:p w14:paraId="7D2F7372" w14:textId="77777777" w:rsidR="00933394" w:rsidRPr="00502572" w:rsidRDefault="002C677F" w:rsidP="001302BE">
            <w:pPr>
              <w:spacing w:line="276" w:lineRule="auto"/>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rPr>
            </w:pPr>
            <w:r w:rsidRPr="00502572">
              <w:rPr>
                <w:rFonts w:ascii="Arial" w:eastAsia="Calibri" w:hAnsi="Arial" w:cs="Arial"/>
                <w:sz w:val="20"/>
                <w:szCs w:val="20"/>
              </w:rPr>
              <w:t>Leaves, Seed</w:t>
            </w:r>
            <w:r w:rsidR="00933394" w:rsidRPr="00502572">
              <w:rPr>
                <w:rFonts w:ascii="Arial" w:eastAsia="Calibri" w:hAnsi="Arial" w:cs="Arial"/>
                <w:sz w:val="20"/>
                <w:szCs w:val="20"/>
              </w:rPr>
              <w:t>, Fruit</w:t>
            </w:r>
          </w:p>
        </w:tc>
      </w:tr>
      <w:tr w:rsidR="00F13294" w:rsidRPr="00502572" w14:paraId="3B733429" w14:textId="77777777" w:rsidTr="00933394">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3080" w:type="dxa"/>
          </w:tcPr>
          <w:p w14:paraId="0A8694AA" w14:textId="4C7A423E" w:rsidR="00933394" w:rsidRPr="00502572" w:rsidRDefault="00933394" w:rsidP="001302BE">
            <w:pPr>
              <w:spacing w:line="276" w:lineRule="auto"/>
              <w:rPr>
                <w:rFonts w:ascii="Arial" w:eastAsia="Calibri" w:hAnsi="Arial" w:cs="Arial"/>
                <w:sz w:val="20"/>
                <w:szCs w:val="20"/>
              </w:rPr>
            </w:pPr>
            <w:r w:rsidRPr="00502572">
              <w:rPr>
                <w:rFonts w:ascii="Arial" w:eastAsia="Calibri" w:hAnsi="Arial" w:cs="Arial"/>
                <w:i/>
                <w:sz w:val="20"/>
                <w:szCs w:val="20"/>
              </w:rPr>
              <w:t>Combretum micranthum</w:t>
            </w:r>
            <w:r w:rsidR="00465BB8" w:rsidRPr="00502572">
              <w:rPr>
                <w:rFonts w:ascii="Arial" w:eastAsia="Calibri" w:hAnsi="Arial" w:cs="Arial"/>
                <w:i/>
                <w:sz w:val="20"/>
                <w:szCs w:val="20"/>
              </w:rPr>
              <w:t xml:space="preserve"> </w:t>
            </w:r>
            <w:r w:rsidR="00465BB8" w:rsidRPr="00502572">
              <w:rPr>
                <w:rFonts w:ascii="Arial" w:eastAsia="Calibri" w:hAnsi="Arial" w:cs="Arial"/>
                <w:sz w:val="20"/>
                <w:szCs w:val="20"/>
              </w:rPr>
              <w:t>G. Don</w:t>
            </w:r>
          </w:p>
        </w:tc>
        <w:tc>
          <w:tcPr>
            <w:tcW w:w="3081" w:type="dxa"/>
          </w:tcPr>
          <w:p w14:paraId="6801F8A6" w14:textId="77777777" w:rsidR="00933394" w:rsidRPr="00502572" w:rsidRDefault="00D149B7" w:rsidP="001302B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502572">
              <w:rPr>
                <w:rFonts w:ascii="Arial" w:eastAsia="Calibri" w:hAnsi="Arial" w:cs="Arial"/>
                <w:sz w:val="20"/>
                <w:szCs w:val="20"/>
              </w:rPr>
              <w:t>Hemorrhoid</w:t>
            </w:r>
          </w:p>
        </w:tc>
        <w:tc>
          <w:tcPr>
            <w:tcW w:w="3081" w:type="dxa"/>
          </w:tcPr>
          <w:p w14:paraId="2EACEFAB" w14:textId="77777777" w:rsidR="00933394" w:rsidRPr="00502572" w:rsidRDefault="002C677F" w:rsidP="001302B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502572">
              <w:rPr>
                <w:rFonts w:ascii="Arial" w:eastAsia="Calibri" w:hAnsi="Arial" w:cs="Arial"/>
                <w:sz w:val="20"/>
                <w:szCs w:val="20"/>
              </w:rPr>
              <w:t>Bark, Leaves</w:t>
            </w:r>
          </w:p>
        </w:tc>
      </w:tr>
      <w:tr w:rsidR="00F13294" w:rsidRPr="00502572" w14:paraId="3C9A5AB7" w14:textId="77777777" w:rsidTr="00933394">
        <w:trPr>
          <w:cnfStyle w:val="000000010000" w:firstRow="0" w:lastRow="0" w:firstColumn="0" w:lastColumn="0" w:oddVBand="0" w:evenVBand="0" w:oddHBand="0" w:evenHBand="1"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3080" w:type="dxa"/>
            <w:vMerge w:val="restart"/>
          </w:tcPr>
          <w:p w14:paraId="47ACAE36" w14:textId="23727E6B" w:rsidR="00933394" w:rsidRPr="00502572" w:rsidRDefault="00933394" w:rsidP="00465BB8">
            <w:pPr>
              <w:tabs>
                <w:tab w:val="right" w:pos="2793"/>
              </w:tabs>
              <w:spacing w:line="276" w:lineRule="auto"/>
              <w:rPr>
                <w:rFonts w:ascii="Arial" w:eastAsia="Calibri" w:hAnsi="Arial" w:cs="Arial"/>
                <w:sz w:val="20"/>
                <w:szCs w:val="20"/>
              </w:rPr>
            </w:pPr>
            <w:r w:rsidRPr="00502572">
              <w:rPr>
                <w:rFonts w:ascii="Arial" w:eastAsia="Calibri" w:hAnsi="Arial" w:cs="Arial"/>
                <w:i/>
                <w:sz w:val="20"/>
                <w:szCs w:val="20"/>
              </w:rPr>
              <w:t>Balanites aegyptiaca</w:t>
            </w:r>
            <w:r w:rsidR="00465BB8" w:rsidRPr="00502572">
              <w:rPr>
                <w:rFonts w:ascii="Arial" w:eastAsia="Calibri" w:hAnsi="Arial" w:cs="Arial"/>
                <w:i/>
                <w:sz w:val="20"/>
                <w:szCs w:val="20"/>
              </w:rPr>
              <w:t xml:space="preserve"> </w:t>
            </w:r>
            <w:r w:rsidR="00465BB8" w:rsidRPr="00502572">
              <w:rPr>
                <w:rFonts w:ascii="Arial" w:eastAsia="Calibri" w:hAnsi="Arial" w:cs="Arial"/>
                <w:sz w:val="20"/>
                <w:szCs w:val="20"/>
              </w:rPr>
              <w:t>(L.) Delile</w:t>
            </w:r>
          </w:p>
        </w:tc>
        <w:tc>
          <w:tcPr>
            <w:tcW w:w="3081" w:type="dxa"/>
            <w:tcBorders>
              <w:bottom w:val="single" w:sz="4" w:space="0" w:color="4BACC6"/>
            </w:tcBorders>
          </w:tcPr>
          <w:p w14:paraId="46A4394A" w14:textId="77777777" w:rsidR="00933394" w:rsidRPr="00502572" w:rsidRDefault="00D149B7" w:rsidP="001302BE">
            <w:pPr>
              <w:spacing w:line="276" w:lineRule="auto"/>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rPr>
            </w:pPr>
            <w:r w:rsidRPr="00502572">
              <w:rPr>
                <w:rFonts w:ascii="Arial" w:eastAsia="Calibri" w:hAnsi="Arial" w:cs="Arial"/>
                <w:sz w:val="20"/>
                <w:szCs w:val="20"/>
              </w:rPr>
              <w:t>Hemorrhoid</w:t>
            </w:r>
          </w:p>
        </w:tc>
        <w:tc>
          <w:tcPr>
            <w:tcW w:w="3081" w:type="dxa"/>
            <w:tcBorders>
              <w:bottom w:val="single" w:sz="4" w:space="0" w:color="4BACC6"/>
            </w:tcBorders>
          </w:tcPr>
          <w:p w14:paraId="2536A666" w14:textId="77777777" w:rsidR="00933394" w:rsidRPr="00502572" w:rsidRDefault="00FD7F92" w:rsidP="001302BE">
            <w:pPr>
              <w:spacing w:line="276" w:lineRule="auto"/>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rPr>
            </w:pPr>
            <w:r w:rsidRPr="00502572">
              <w:rPr>
                <w:rFonts w:ascii="Arial" w:eastAsia="Calibri" w:hAnsi="Arial" w:cs="Arial"/>
                <w:sz w:val="20"/>
                <w:szCs w:val="20"/>
              </w:rPr>
              <w:t>Leaves</w:t>
            </w:r>
          </w:p>
        </w:tc>
      </w:tr>
      <w:tr w:rsidR="00F13294" w:rsidRPr="00502572" w14:paraId="1AFD976F" w14:textId="77777777" w:rsidTr="0093339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80" w:type="dxa"/>
            <w:vMerge/>
          </w:tcPr>
          <w:p w14:paraId="0896F926" w14:textId="77777777" w:rsidR="00933394" w:rsidRPr="00502572" w:rsidRDefault="00933394" w:rsidP="001302BE">
            <w:pPr>
              <w:spacing w:line="276" w:lineRule="auto"/>
              <w:rPr>
                <w:rFonts w:ascii="Arial" w:eastAsia="Calibri" w:hAnsi="Arial" w:cs="Arial"/>
                <w:i/>
                <w:sz w:val="20"/>
                <w:szCs w:val="20"/>
              </w:rPr>
            </w:pPr>
          </w:p>
        </w:tc>
        <w:tc>
          <w:tcPr>
            <w:tcW w:w="3081" w:type="dxa"/>
            <w:tcBorders>
              <w:top w:val="single" w:sz="4" w:space="0" w:color="4BACC6"/>
              <w:bottom w:val="single" w:sz="4" w:space="0" w:color="4BACC6"/>
            </w:tcBorders>
          </w:tcPr>
          <w:p w14:paraId="22E0D20A" w14:textId="77777777" w:rsidR="00933394" w:rsidRPr="00502572" w:rsidRDefault="00D149B7" w:rsidP="001302B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502572">
              <w:rPr>
                <w:rFonts w:ascii="Arial" w:eastAsia="Calibri" w:hAnsi="Arial" w:cs="Arial"/>
                <w:sz w:val="20"/>
                <w:szCs w:val="20"/>
              </w:rPr>
              <w:t>Cardiac problem</w:t>
            </w:r>
          </w:p>
        </w:tc>
        <w:tc>
          <w:tcPr>
            <w:tcW w:w="3081" w:type="dxa"/>
            <w:tcBorders>
              <w:top w:val="single" w:sz="4" w:space="0" w:color="4BACC6"/>
              <w:bottom w:val="single" w:sz="4" w:space="0" w:color="4BACC6"/>
            </w:tcBorders>
          </w:tcPr>
          <w:p w14:paraId="25E69C0E" w14:textId="77777777" w:rsidR="00933394" w:rsidRPr="00502572" w:rsidRDefault="00FD7F92" w:rsidP="001302B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502572">
              <w:rPr>
                <w:rFonts w:ascii="Arial" w:eastAsia="Calibri" w:hAnsi="Arial" w:cs="Arial"/>
                <w:sz w:val="20"/>
                <w:szCs w:val="20"/>
              </w:rPr>
              <w:t>Root</w:t>
            </w:r>
          </w:p>
        </w:tc>
      </w:tr>
      <w:tr w:rsidR="00F13294" w:rsidRPr="00502572" w14:paraId="29A0484A" w14:textId="77777777" w:rsidTr="00933394">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080" w:type="dxa"/>
            <w:vMerge/>
          </w:tcPr>
          <w:p w14:paraId="0DA748B5" w14:textId="77777777" w:rsidR="00933394" w:rsidRPr="00502572" w:rsidRDefault="00933394" w:rsidP="001302BE">
            <w:pPr>
              <w:spacing w:line="276" w:lineRule="auto"/>
              <w:rPr>
                <w:rFonts w:ascii="Arial" w:eastAsia="Calibri" w:hAnsi="Arial" w:cs="Arial"/>
                <w:i/>
                <w:sz w:val="20"/>
                <w:szCs w:val="20"/>
              </w:rPr>
            </w:pPr>
          </w:p>
        </w:tc>
        <w:tc>
          <w:tcPr>
            <w:tcW w:w="3081" w:type="dxa"/>
            <w:tcBorders>
              <w:top w:val="single" w:sz="4" w:space="0" w:color="4BACC6"/>
            </w:tcBorders>
          </w:tcPr>
          <w:p w14:paraId="659CF0E3" w14:textId="7B5E2B70" w:rsidR="00933394" w:rsidRPr="00502572" w:rsidRDefault="00B0011E" w:rsidP="001302BE">
            <w:pPr>
              <w:spacing w:line="276" w:lineRule="auto"/>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rPr>
            </w:pPr>
            <w:r w:rsidRPr="00502572">
              <w:rPr>
                <w:rFonts w:ascii="Arial" w:hAnsi="Arial" w:cs="Arial"/>
                <w:sz w:val="20"/>
                <w:szCs w:val="20"/>
              </w:rPr>
              <w:t>Yellow fever</w:t>
            </w:r>
          </w:p>
        </w:tc>
        <w:tc>
          <w:tcPr>
            <w:tcW w:w="3081" w:type="dxa"/>
            <w:tcBorders>
              <w:top w:val="single" w:sz="4" w:space="0" w:color="4BACC6"/>
            </w:tcBorders>
          </w:tcPr>
          <w:p w14:paraId="50D229F4" w14:textId="77777777" w:rsidR="00933394" w:rsidRPr="00502572" w:rsidRDefault="002C677F" w:rsidP="001302BE">
            <w:pPr>
              <w:spacing w:line="276" w:lineRule="auto"/>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rPr>
            </w:pPr>
            <w:r w:rsidRPr="00502572">
              <w:rPr>
                <w:rFonts w:ascii="Arial" w:eastAsia="Calibri" w:hAnsi="Arial" w:cs="Arial"/>
                <w:sz w:val="20"/>
                <w:szCs w:val="20"/>
              </w:rPr>
              <w:t>Fruit, Stem</w:t>
            </w:r>
          </w:p>
        </w:tc>
      </w:tr>
      <w:tr w:rsidR="00F13294" w:rsidRPr="00502572" w14:paraId="54BEEBB1" w14:textId="77777777" w:rsidTr="00933394">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3080" w:type="dxa"/>
          </w:tcPr>
          <w:p w14:paraId="0501FFC6" w14:textId="1C9C05F9" w:rsidR="00933394" w:rsidRPr="00502572" w:rsidRDefault="00933394" w:rsidP="001302BE">
            <w:pPr>
              <w:spacing w:line="276" w:lineRule="auto"/>
              <w:rPr>
                <w:rFonts w:ascii="Arial" w:eastAsia="Calibri" w:hAnsi="Arial" w:cs="Arial"/>
                <w:sz w:val="20"/>
                <w:szCs w:val="20"/>
              </w:rPr>
            </w:pPr>
            <w:r w:rsidRPr="00502572">
              <w:rPr>
                <w:rFonts w:ascii="Arial" w:eastAsia="Calibri" w:hAnsi="Arial" w:cs="Arial"/>
                <w:i/>
                <w:sz w:val="20"/>
                <w:szCs w:val="20"/>
              </w:rPr>
              <w:t>Borassus aethiopum</w:t>
            </w:r>
            <w:r w:rsidR="00465BB8" w:rsidRPr="00502572">
              <w:rPr>
                <w:rFonts w:ascii="Arial" w:eastAsia="Calibri" w:hAnsi="Arial" w:cs="Arial"/>
                <w:i/>
                <w:sz w:val="20"/>
                <w:szCs w:val="20"/>
              </w:rPr>
              <w:t xml:space="preserve"> </w:t>
            </w:r>
            <w:r w:rsidR="00465BB8" w:rsidRPr="00502572">
              <w:rPr>
                <w:rFonts w:ascii="Arial" w:eastAsia="Calibri" w:hAnsi="Arial" w:cs="Arial"/>
                <w:sz w:val="20"/>
                <w:szCs w:val="20"/>
              </w:rPr>
              <w:t>Mart</w:t>
            </w:r>
            <w:r w:rsidR="00465BB8" w:rsidRPr="00502572">
              <w:rPr>
                <w:rFonts w:ascii="Arial" w:eastAsia="Calibri" w:hAnsi="Arial" w:cs="Arial"/>
                <w:i/>
                <w:sz w:val="20"/>
                <w:szCs w:val="20"/>
              </w:rPr>
              <w:t>.</w:t>
            </w:r>
          </w:p>
        </w:tc>
        <w:tc>
          <w:tcPr>
            <w:tcW w:w="3081" w:type="dxa"/>
          </w:tcPr>
          <w:p w14:paraId="38BE0DF2" w14:textId="77777777" w:rsidR="00933394" w:rsidRPr="00502572" w:rsidRDefault="00D149B7" w:rsidP="001302B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502572">
              <w:rPr>
                <w:rFonts w:ascii="Arial" w:eastAsia="Calibri" w:hAnsi="Arial" w:cs="Arial"/>
                <w:sz w:val="20"/>
                <w:szCs w:val="20"/>
              </w:rPr>
              <w:t>Aphrodisiac</w:t>
            </w:r>
          </w:p>
        </w:tc>
        <w:tc>
          <w:tcPr>
            <w:tcW w:w="3081" w:type="dxa"/>
          </w:tcPr>
          <w:p w14:paraId="6E29CD89" w14:textId="77777777" w:rsidR="00933394" w:rsidRPr="00502572" w:rsidRDefault="002C677F" w:rsidP="001302B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502572">
              <w:rPr>
                <w:rFonts w:ascii="Arial" w:eastAsia="Calibri" w:hAnsi="Arial" w:cs="Arial"/>
                <w:sz w:val="20"/>
                <w:szCs w:val="20"/>
              </w:rPr>
              <w:t>Tuber</w:t>
            </w:r>
          </w:p>
        </w:tc>
      </w:tr>
      <w:tr w:rsidR="00D149B7" w:rsidRPr="00502572" w14:paraId="4625AC64" w14:textId="77777777" w:rsidTr="0017440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80" w:type="dxa"/>
          </w:tcPr>
          <w:p w14:paraId="3B64C6EF" w14:textId="72D9C11F" w:rsidR="00933394" w:rsidRPr="00502572" w:rsidRDefault="00933394" w:rsidP="001302BE">
            <w:pPr>
              <w:spacing w:line="276" w:lineRule="auto"/>
              <w:rPr>
                <w:rFonts w:ascii="Arial" w:eastAsia="Calibri" w:hAnsi="Arial" w:cs="Arial"/>
                <w:sz w:val="20"/>
                <w:szCs w:val="20"/>
              </w:rPr>
            </w:pPr>
            <w:r w:rsidRPr="00502572">
              <w:rPr>
                <w:rFonts w:ascii="Arial" w:eastAsia="Calibri" w:hAnsi="Arial" w:cs="Arial"/>
                <w:i/>
                <w:sz w:val="20"/>
                <w:szCs w:val="20"/>
              </w:rPr>
              <w:t>Guiera senegalensis</w:t>
            </w:r>
            <w:r w:rsidR="00465BB8" w:rsidRPr="00502572">
              <w:rPr>
                <w:rFonts w:ascii="Arial" w:eastAsia="Calibri" w:hAnsi="Arial" w:cs="Arial"/>
                <w:i/>
                <w:sz w:val="20"/>
                <w:szCs w:val="20"/>
              </w:rPr>
              <w:t xml:space="preserve"> </w:t>
            </w:r>
            <w:r w:rsidR="00465BB8" w:rsidRPr="00502572">
              <w:rPr>
                <w:rFonts w:ascii="Arial" w:eastAsia="Calibri" w:hAnsi="Arial" w:cs="Arial"/>
                <w:sz w:val="20"/>
                <w:szCs w:val="20"/>
              </w:rPr>
              <w:t>J.F. Gmel.</w:t>
            </w:r>
          </w:p>
        </w:tc>
        <w:tc>
          <w:tcPr>
            <w:tcW w:w="3081" w:type="dxa"/>
          </w:tcPr>
          <w:p w14:paraId="24308C4D" w14:textId="77777777" w:rsidR="00933394" w:rsidRPr="00502572" w:rsidRDefault="00F13294" w:rsidP="001302BE">
            <w:pPr>
              <w:spacing w:line="276" w:lineRule="auto"/>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rPr>
            </w:pPr>
            <w:r w:rsidRPr="00502572">
              <w:rPr>
                <w:rFonts w:ascii="Arial" w:eastAsia="Calibri" w:hAnsi="Arial" w:cs="Arial"/>
                <w:sz w:val="20"/>
                <w:szCs w:val="20"/>
              </w:rPr>
              <w:t>Diarrhea</w:t>
            </w:r>
          </w:p>
        </w:tc>
        <w:tc>
          <w:tcPr>
            <w:tcW w:w="3081" w:type="dxa"/>
          </w:tcPr>
          <w:p w14:paraId="758338C4" w14:textId="77777777" w:rsidR="00933394" w:rsidRPr="00502572" w:rsidRDefault="002C677F" w:rsidP="001302BE">
            <w:pPr>
              <w:spacing w:line="276" w:lineRule="auto"/>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rPr>
            </w:pPr>
            <w:r w:rsidRPr="00502572">
              <w:rPr>
                <w:rFonts w:ascii="Arial" w:eastAsia="Calibri" w:hAnsi="Arial" w:cs="Arial"/>
                <w:sz w:val="20"/>
                <w:szCs w:val="20"/>
              </w:rPr>
              <w:t>Root, Leaves</w:t>
            </w:r>
          </w:p>
        </w:tc>
      </w:tr>
      <w:tr w:rsidR="00F13294" w:rsidRPr="00502572" w14:paraId="248E375D" w14:textId="77777777" w:rsidTr="0093339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80" w:type="dxa"/>
          </w:tcPr>
          <w:p w14:paraId="2E535577" w14:textId="36A08638" w:rsidR="00933394" w:rsidRPr="00502572" w:rsidRDefault="00933394" w:rsidP="001302BE">
            <w:pPr>
              <w:spacing w:line="276" w:lineRule="auto"/>
              <w:rPr>
                <w:rFonts w:ascii="Arial" w:eastAsia="Calibri" w:hAnsi="Arial" w:cs="Arial"/>
                <w:sz w:val="20"/>
                <w:szCs w:val="20"/>
              </w:rPr>
            </w:pPr>
            <w:r w:rsidRPr="00502572">
              <w:rPr>
                <w:rFonts w:ascii="Arial" w:eastAsia="Calibri" w:hAnsi="Arial" w:cs="Arial"/>
                <w:i/>
                <w:sz w:val="20"/>
                <w:szCs w:val="20"/>
              </w:rPr>
              <w:t>Hyphaene thebaica</w:t>
            </w:r>
            <w:r w:rsidR="00465BB8" w:rsidRPr="00502572">
              <w:rPr>
                <w:rFonts w:ascii="Arial" w:eastAsia="Calibri" w:hAnsi="Arial" w:cs="Arial"/>
                <w:i/>
                <w:sz w:val="20"/>
                <w:szCs w:val="20"/>
              </w:rPr>
              <w:t xml:space="preserve"> </w:t>
            </w:r>
            <w:r w:rsidR="00465BB8" w:rsidRPr="00502572">
              <w:rPr>
                <w:rFonts w:ascii="Arial" w:eastAsia="Calibri" w:hAnsi="Arial" w:cs="Arial"/>
                <w:sz w:val="20"/>
                <w:szCs w:val="20"/>
              </w:rPr>
              <w:t>(L.) Mart.</w:t>
            </w:r>
          </w:p>
        </w:tc>
        <w:tc>
          <w:tcPr>
            <w:tcW w:w="3081" w:type="dxa"/>
          </w:tcPr>
          <w:p w14:paraId="4E02879A" w14:textId="77777777" w:rsidR="00933394" w:rsidRPr="00502572" w:rsidRDefault="00F13294" w:rsidP="001302B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502572">
              <w:rPr>
                <w:rFonts w:ascii="Arial" w:eastAsia="Calibri" w:hAnsi="Arial" w:cs="Arial"/>
                <w:sz w:val="20"/>
                <w:szCs w:val="20"/>
              </w:rPr>
              <w:t>Vomiting treatment</w:t>
            </w:r>
          </w:p>
        </w:tc>
        <w:tc>
          <w:tcPr>
            <w:tcW w:w="3081" w:type="dxa"/>
          </w:tcPr>
          <w:p w14:paraId="521902D3" w14:textId="77777777" w:rsidR="00933394" w:rsidRPr="00502572" w:rsidRDefault="002C677F" w:rsidP="001302B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502572">
              <w:rPr>
                <w:rFonts w:ascii="Arial" w:eastAsia="Calibri" w:hAnsi="Arial" w:cs="Arial"/>
                <w:sz w:val="20"/>
                <w:szCs w:val="20"/>
              </w:rPr>
              <w:t>Leaves</w:t>
            </w:r>
            <w:r w:rsidR="00933394" w:rsidRPr="00502572">
              <w:rPr>
                <w:rFonts w:ascii="Arial" w:eastAsia="Calibri" w:hAnsi="Arial" w:cs="Arial"/>
                <w:sz w:val="20"/>
                <w:szCs w:val="20"/>
              </w:rPr>
              <w:t>, Fruit</w:t>
            </w:r>
          </w:p>
        </w:tc>
      </w:tr>
      <w:tr w:rsidR="00F13294" w:rsidRPr="00502572" w14:paraId="3C58A84B" w14:textId="77777777" w:rsidTr="00933394">
        <w:trPr>
          <w:cnfStyle w:val="000000010000" w:firstRow="0" w:lastRow="0" w:firstColumn="0" w:lastColumn="0" w:oddVBand="0" w:evenVBand="0" w:oddHBand="0" w:evenHBand="1"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3080" w:type="dxa"/>
            <w:vMerge w:val="restart"/>
          </w:tcPr>
          <w:p w14:paraId="7EEEB509" w14:textId="1AA55BA5" w:rsidR="00933394" w:rsidRPr="00502572" w:rsidRDefault="00933394" w:rsidP="001302BE">
            <w:pPr>
              <w:spacing w:line="276" w:lineRule="auto"/>
              <w:rPr>
                <w:rFonts w:ascii="Arial" w:eastAsia="Calibri" w:hAnsi="Arial" w:cs="Arial"/>
                <w:sz w:val="20"/>
                <w:szCs w:val="20"/>
              </w:rPr>
            </w:pPr>
            <w:r w:rsidRPr="00502572">
              <w:rPr>
                <w:rFonts w:ascii="Arial" w:eastAsia="Calibri" w:hAnsi="Arial" w:cs="Arial"/>
                <w:i/>
                <w:sz w:val="20"/>
                <w:szCs w:val="20"/>
              </w:rPr>
              <w:t>Khaya senegalensis</w:t>
            </w:r>
            <w:r w:rsidR="00465BB8" w:rsidRPr="00502572">
              <w:rPr>
                <w:rFonts w:ascii="Arial" w:eastAsia="Calibri" w:hAnsi="Arial" w:cs="Arial"/>
                <w:i/>
                <w:sz w:val="20"/>
                <w:szCs w:val="20"/>
              </w:rPr>
              <w:t xml:space="preserve"> </w:t>
            </w:r>
            <w:r w:rsidR="00465BB8" w:rsidRPr="00502572">
              <w:rPr>
                <w:rFonts w:ascii="Arial" w:eastAsia="Calibri" w:hAnsi="Arial" w:cs="Arial"/>
                <w:sz w:val="20"/>
                <w:szCs w:val="20"/>
              </w:rPr>
              <w:t>A. Juss.</w:t>
            </w:r>
          </w:p>
        </w:tc>
        <w:tc>
          <w:tcPr>
            <w:tcW w:w="3081" w:type="dxa"/>
            <w:tcBorders>
              <w:bottom w:val="single" w:sz="4" w:space="0" w:color="4BACC6"/>
            </w:tcBorders>
          </w:tcPr>
          <w:p w14:paraId="26A41AB3" w14:textId="77777777" w:rsidR="00933394" w:rsidRPr="00502572" w:rsidRDefault="00D149B7" w:rsidP="001302BE">
            <w:pPr>
              <w:spacing w:line="276" w:lineRule="auto"/>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rPr>
            </w:pPr>
            <w:r w:rsidRPr="00502572">
              <w:rPr>
                <w:rFonts w:ascii="Arial" w:eastAsia="Calibri" w:hAnsi="Arial" w:cs="Arial"/>
                <w:sz w:val="20"/>
                <w:szCs w:val="20"/>
              </w:rPr>
              <w:t>Hemorrhoid</w:t>
            </w:r>
          </w:p>
        </w:tc>
        <w:tc>
          <w:tcPr>
            <w:tcW w:w="3081" w:type="dxa"/>
            <w:tcBorders>
              <w:bottom w:val="single" w:sz="4" w:space="0" w:color="4BACC6"/>
            </w:tcBorders>
          </w:tcPr>
          <w:p w14:paraId="00A10565" w14:textId="77777777" w:rsidR="00933394" w:rsidRPr="00502572" w:rsidRDefault="002C677F" w:rsidP="001302BE">
            <w:pPr>
              <w:spacing w:line="276" w:lineRule="auto"/>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rPr>
            </w:pPr>
            <w:r w:rsidRPr="00502572">
              <w:rPr>
                <w:rFonts w:ascii="Arial" w:eastAsia="Calibri" w:hAnsi="Arial" w:cs="Arial"/>
                <w:sz w:val="20"/>
                <w:szCs w:val="20"/>
              </w:rPr>
              <w:t>Leaves</w:t>
            </w:r>
          </w:p>
        </w:tc>
      </w:tr>
      <w:tr w:rsidR="00F13294" w:rsidRPr="00502572" w14:paraId="5E58FD9C" w14:textId="77777777" w:rsidTr="00933394">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3080" w:type="dxa"/>
            <w:vMerge/>
          </w:tcPr>
          <w:p w14:paraId="303D0C5B" w14:textId="77777777" w:rsidR="00933394" w:rsidRPr="00502572" w:rsidRDefault="00933394" w:rsidP="001302BE">
            <w:pPr>
              <w:spacing w:line="276" w:lineRule="auto"/>
              <w:rPr>
                <w:rFonts w:ascii="Arial" w:eastAsia="Calibri" w:hAnsi="Arial" w:cs="Arial"/>
                <w:i/>
                <w:sz w:val="20"/>
                <w:szCs w:val="20"/>
              </w:rPr>
            </w:pPr>
          </w:p>
        </w:tc>
        <w:tc>
          <w:tcPr>
            <w:tcW w:w="3081" w:type="dxa"/>
            <w:tcBorders>
              <w:top w:val="single" w:sz="4" w:space="0" w:color="4BACC6"/>
            </w:tcBorders>
          </w:tcPr>
          <w:p w14:paraId="310FCC76" w14:textId="77777777" w:rsidR="00933394" w:rsidRPr="00502572" w:rsidRDefault="00FD7F92" w:rsidP="001302B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502572">
              <w:rPr>
                <w:rFonts w:ascii="Arial" w:eastAsia="Calibri" w:hAnsi="Arial" w:cs="Arial"/>
                <w:sz w:val="20"/>
                <w:szCs w:val="20"/>
              </w:rPr>
              <w:t>Malaria</w:t>
            </w:r>
          </w:p>
        </w:tc>
        <w:tc>
          <w:tcPr>
            <w:tcW w:w="3081" w:type="dxa"/>
            <w:tcBorders>
              <w:top w:val="single" w:sz="4" w:space="0" w:color="4BACC6"/>
            </w:tcBorders>
          </w:tcPr>
          <w:p w14:paraId="462396B2" w14:textId="77777777" w:rsidR="00933394" w:rsidRPr="00502572" w:rsidRDefault="002C677F" w:rsidP="001302B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502572">
              <w:rPr>
                <w:rFonts w:ascii="Arial" w:eastAsia="Calibri" w:hAnsi="Arial" w:cs="Arial"/>
                <w:sz w:val="20"/>
                <w:szCs w:val="20"/>
              </w:rPr>
              <w:t>Stem</w:t>
            </w:r>
          </w:p>
        </w:tc>
      </w:tr>
      <w:tr w:rsidR="00F13294" w:rsidRPr="00502572" w14:paraId="7EA37D10" w14:textId="77777777" w:rsidTr="00933394">
        <w:trPr>
          <w:cnfStyle w:val="000000010000" w:firstRow="0" w:lastRow="0" w:firstColumn="0" w:lastColumn="0" w:oddVBand="0" w:evenVBand="0" w:oddHBand="0" w:evenHBand="1"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3080" w:type="dxa"/>
            <w:vMerge w:val="restart"/>
          </w:tcPr>
          <w:p w14:paraId="17062670" w14:textId="1E5474F1" w:rsidR="00933394" w:rsidRPr="00502572" w:rsidRDefault="00933394" w:rsidP="001302BE">
            <w:pPr>
              <w:spacing w:line="276" w:lineRule="auto"/>
              <w:rPr>
                <w:rFonts w:ascii="Arial" w:eastAsia="Calibri" w:hAnsi="Arial" w:cs="Arial"/>
                <w:sz w:val="20"/>
                <w:szCs w:val="20"/>
              </w:rPr>
            </w:pPr>
            <w:r w:rsidRPr="00502572">
              <w:rPr>
                <w:rFonts w:ascii="Arial" w:eastAsia="Calibri" w:hAnsi="Arial" w:cs="Arial"/>
                <w:i/>
                <w:sz w:val="20"/>
                <w:szCs w:val="20"/>
              </w:rPr>
              <w:t>Prosopis africana</w:t>
            </w:r>
            <w:r w:rsidR="00465BB8" w:rsidRPr="00502572">
              <w:rPr>
                <w:rFonts w:ascii="Arial" w:eastAsia="Calibri" w:hAnsi="Arial" w:cs="Arial"/>
                <w:i/>
                <w:sz w:val="20"/>
                <w:szCs w:val="20"/>
              </w:rPr>
              <w:t xml:space="preserve"> </w:t>
            </w:r>
            <w:r w:rsidR="00465BB8" w:rsidRPr="00502572">
              <w:rPr>
                <w:rFonts w:ascii="Arial" w:eastAsia="Calibri" w:hAnsi="Arial" w:cs="Arial"/>
                <w:sz w:val="20"/>
                <w:szCs w:val="20"/>
              </w:rPr>
              <w:t>(Guill. &amp; Perr.) Taub.</w:t>
            </w:r>
          </w:p>
        </w:tc>
        <w:tc>
          <w:tcPr>
            <w:tcW w:w="3081" w:type="dxa"/>
            <w:tcBorders>
              <w:bottom w:val="single" w:sz="4" w:space="0" w:color="4BACC6"/>
            </w:tcBorders>
          </w:tcPr>
          <w:p w14:paraId="61FD4537" w14:textId="77777777" w:rsidR="00933394" w:rsidRPr="00502572" w:rsidRDefault="00D149B7" w:rsidP="001302BE">
            <w:pPr>
              <w:spacing w:line="276" w:lineRule="auto"/>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rPr>
            </w:pPr>
            <w:r w:rsidRPr="00502572">
              <w:rPr>
                <w:rFonts w:ascii="Arial" w:eastAsia="Calibri" w:hAnsi="Arial" w:cs="Arial"/>
                <w:sz w:val="20"/>
                <w:szCs w:val="20"/>
              </w:rPr>
              <w:t>Dysentery</w:t>
            </w:r>
          </w:p>
        </w:tc>
        <w:tc>
          <w:tcPr>
            <w:tcW w:w="3081" w:type="dxa"/>
            <w:tcBorders>
              <w:bottom w:val="single" w:sz="4" w:space="0" w:color="4BACC6"/>
            </w:tcBorders>
          </w:tcPr>
          <w:p w14:paraId="4C554777" w14:textId="77777777" w:rsidR="00933394" w:rsidRPr="00502572" w:rsidRDefault="002C677F" w:rsidP="001302BE">
            <w:pPr>
              <w:spacing w:line="276" w:lineRule="auto"/>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rPr>
            </w:pPr>
            <w:r w:rsidRPr="00502572">
              <w:rPr>
                <w:rFonts w:ascii="Arial" w:eastAsia="Calibri" w:hAnsi="Arial" w:cs="Arial"/>
                <w:sz w:val="20"/>
                <w:szCs w:val="20"/>
              </w:rPr>
              <w:t>Leaves</w:t>
            </w:r>
          </w:p>
        </w:tc>
      </w:tr>
      <w:tr w:rsidR="00F13294" w:rsidRPr="00502572" w14:paraId="2AD6AFF0" w14:textId="77777777" w:rsidTr="00933394">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3080" w:type="dxa"/>
            <w:vMerge/>
          </w:tcPr>
          <w:p w14:paraId="6101D109" w14:textId="77777777" w:rsidR="00933394" w:rsidRPr="00502572" w:rsidRDefault="00933394" w:rsidP="001302BE">
            <w:pPr>
              <w:spacing w:line="276" w:lineRule="auto"/>
              <w:rPr>
                <w:rFonts w:ascii="Arial" w:eastAsia="Calibri" w:hAnsi="Arial" w:cs="Arial"/>
                <w:i/>
                <w:sz w:val="20"/>
                <w:szCs w:val="20"/>
              </w:rPr>
            </w:pPr>
          </w:p>
        </w:tc>
        <w:tc>
          <w:tcPr>
            <w:tcW w:w="3081" w:type="dxa"/>
            <w:tcBorders>
              <w:top w:val="single" w:sz="4" w:space="0" w:color="4BACC6"/>
            </w:tcBorders>
          </w:tcPr>
          <w:p w14:paraId="1DBD3AC9" w14:textId="0555F24C" w:rsidR="00933394" w:rsidRPr="00502572" w:rsidRDefault="00B0011E" w:rsidP="001302B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502572">
              <w:rPr>
                <w:rFonts w:ascii="Arial" w:eastAsia="Calibri" w:hAnsi="Arial" w:cs="Arial"/>
                <w:sz w:val="20"/>
                <w:szCs w:val="20"/>
              </w:rPr>
              <w:t>Ulcer</w:t>
            </w:r>
          </w:p>
        </w:tc>
        <w:tc>
          <w:tcPr>
            <w:tcW w:w="3081" w:type="dxa"/>
            <w:tcBorders>
              <w:top w:val="single" w:sz="4" w:space="0" w:color="4BACC6"/>
            </w:tcBorders>
          </w:tcPr>
          <w:p w14:paraId="7F84F5CD" w14:textId="77777777" w:rsidR="00933394" w:rsidRPr="00502572" w:rsidRDefault="002C677F" w:rsidP="001302B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502572">
              <w:rPr>
                <w:rFonts w:ascii="Arial" w:eastAsia="Calibri" w:hAnsi="Arial" w:cs="Arial"/>
                <w:sz w:val="20"/>
                <w:szCs w:val="20"/>
              </w:rPr>
              <w:t>Stem</w:t>
            </w:r>
          </w:p>
        </w:tc>
      </w:tr>
      <w:tr w:rsidR="00D149B7" w:rsidRPr="00502572" w14:paraId="6815722B" w14:textId="77777777" w:rsidTr="0017440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80" w:type="dxa"/>
          </w:tcPr>
          <w:p w14:paraId="09284469" w14:textId="18F4617A" w:rsidR="00933394" w:rsidRPr="00502572" w:rsidRDefault="00933394" w:rsidP="001302BE">
            <w:pPr>
              <w:spacing w:line="276" w:lineRule="auto"/>
              <w:rPr>
                <w:rFonts w:ascii="Arial" w:eastAsia="Calibri" w:hAnsi="Arial" w:cs="Arial"/>
                <w:sz w:val="20"/>
                <w:szCs w:val="20"/>
              </w:rPr>
            </w:pPr>
            <w:r w:rsidRPr="00502572">
              <w:rPr>
                <w:rFonts w:ascii="Arial" w:eastAsia="Calibri" w:hAnsi="Arial" w:cs="Arial"/>
                <w:i/>
                <w:sz w:val="20"/>
                <w:szCs w:val="20"/>
              </w:rPr>
              <w:t>Tamarindus indica</w:t>
            </w:r>
            <w:r w:rsidR="00465BB8" w:rsidRPr="00502572">
              <w:rPr>
                <w:rFonts w:ascii="Arial" w:eastAsia="Calibri" w:hAnsi="Arial" w:cs="Arial"/>
                <w:i/>
                <w:sz w:val="20"/>
                <w:szCs w:val="20"/>
              </w:rPr>
              <w:t xml:space="preserve"> </w:t>
            </w:r>
            <w:r w:rsidR="00465BB8" w:rsidRPr="00502572">
              <w:rPr>
                <w:rFonts w:ascii="Arial" w:eastAsia="Calibri" w:hAnsi="Arial" w:cs="Arial"/>
                <w:sz w:val="20"/>
                <w:szCs w:val="20"/>
              </w:rPr>
              <w:t>L.</w:t>
            </w:r>
          </w:p>
        </w:tc>
        <w:tc>
          <w:tcPr>
            <w:tcW w:w="3081" w:type="dxa"/>
          </w:tcPr>
          <w:p w14:paraId="68D528CA" w14:textId="77777777" w:rsidR="00933394" w:rsidRPr="00502572" w:rsidRDefault="00FD7F92" w:rsidP="001302BE">
            <w:pPr>
              <w:spacing w:line="276" w:lineRule="auto"/>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rPr>
            </w:pPr>
            <w:r w:rsidRPr="00502572">
              <w:rPr>
                <w:rFonts w:ascii="Arial" w:eastAsia="Calibri" w:hAnsi="Arial" w:cs="Arial"/>
                <w:sz w:val="20"/>
                <w:szCs w:val="20"/>
              </w:rPr>
              <w:t>Ulcer</w:t>
            </w:r>
          </w:p>
        </w:tc>
        <w:tc>
          <w:tcPr>
            <w:tcW w:w="3081" w:type="dxa"/>
          </w:tcPr>
          <w:p w14:paraId="548AB382" w14:textId="77777777" w:rsidR="00933394" w:rsidRPr="00502572" w:rsidRDefault="00FD7F92" w:rsidP="001302BE">
            <w:pPr>
              <w:spacing w:line="276" w:lineRule="auto"/>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rPr>
            </w:pPr>
            <w:r w:rsidRPr="00502572">
              <w:rPr>
                <w:rFonts w:ascii="Arial" w:eastAsia="Calibri" w:hAnsi="Arial" w:cs="Arial"/>
                <w:sz w:val="20"/>
                <w:szCs w:val="20"/>
              </w:rPr>
              <w:t>Stem, leaves</w:t>
            </w:r>
            <w:r w:rsidR="002C677F" w:rsidRPr="00502572">
              <w:rPr>
                <w:rFonts w:ascii="Arial" w:eastAsia="Calibri" w:hAnsi="Arial" w:cs="Arial"/>
                <w:sz w:val="20"/>
                <w:szCs w:val="20"/>
              </w:rPr>
              <w:t>, seed</w:t>
            </w:r>
          </w:p>
        </w:tc>
      </w:tr>
      <w:tr w:rsidR="00F13294" w:rsidRPr="00502572" w14:paraId="77C77D81" w14:textId="77777777" w:rsidTr="00933394">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3080" w:type="dxa"/>
            <w:vMerge w:val="restart"/>
          </w:tcPr>
          <w:p w14:paraId="19C9C3B3" w14:textId="545D05B6" w:rsidR="00933394" w:rsidRPr="00502572" w:rsidRDefault="00933394" w:rsidP="001302BE">
            <w:pPr>
              <w:spacing w:line="276" w:lineRule="auto"/>
              <w:rPr>
                <w:rFonts w:ascii="Arial" w:eastAsia="Calibri" w:hAnsi="Arial" w:cs="Arial"/>
                <w:sz w:val="20"/>
                <w:szCs w:val="20"/>
              </w:rPr>
            </w:pPr>
            <w:r w:rsidRPr="00502572">
              <w:rPr>
                <w:rFonts w:ascii="Arial" w:eastAsia="Calibri" w:hAnsi="Arial" w:cs="Arial"/>
                <w:i/>
                <w:sz w:val="20"/>
                <w:szCs w:val="20"/>
              </w:rPr>
              <w:t>Ziziphus mauritiana</w:t>
            </w:r>
            <w:r w:rsidR="00465BB8" w:rsidRPr="00502572">
              <w:rPr>
                <w:rFonts w:ascii="Arial" w:eastAsia="Calibri" w:hAnsi="Arial" w:cs="Arial"/>
                <w:i/>
                <w:sz w:val="20"/>
                <w:szCs w:val="20"/>
              </w:rPr>
              <w:t xml:space="preserve"> </w:t>
            </w:r>
            <w:r w:rsidR="00465BB8" w:rsidRPr="00502572">
              <w:rPr>
                <w:rFonts w:ascii="Arial" w:eastAsia="Calibri" w:hAnsi="Arial" w:cs="Arial"/>
                <w:sz w:val="20"/>
                <w:szCs w:val="20"/>
              </w:rPr>
              <w:t>Lam</w:t>
            </w:r>
            <w:r w:rsidR="00465BB8" w:rsidRPr="00502572">
              <w:rPr>
                <w:rFonts w:ascii="Arial" w:eastAsia="Calibri" w:hAnsi="Arial" w:cs="Arial"/>
                <w:i/>
                <w:sz w:val="20"/>
                <w:szCs w:val="20"/>
              </w:rPr>
              <w:t>.</w:t>
            </w:r>
          </w:p>
        </w:tc>
        <w:tc>
          <w:tcPr>
            <w:tcW w:w="3081" w:type="dxa"/>
            <w:tcBorders>
              <w:bottom w:val="single" w:sz="4" w:space="0" w:color="4BACC6"/>
            </w:tcBorders>
          </w:tcPr>
          <w:p w14:paraId="6C6568F7" w14:textId="77777777" w:rsidR="00933394" w:rsidRPr="00502572" w:rsidRDefault="00D149B7" w:rsidP="001302B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502572">
              <w:rPr>
                <w:rFonts w:ascii="Arial" w:eastAsia="Calibri" w:hAnsi="Arial" w:cs="Arial"/>
                <w:sz w:val="20"/>
                <w:szCs w:val="20"/>
              </w:rPr>
              <w:t>Hemorrhoid</w:t>
            </w:r>
          </w:p>
        </w:tc>
        <w:tc>
          <w:tcPr>
            <w:tcW w:w="3081" w:type="dxa"/>
            <w:tcBorders>
              <w:bottom w:val="single" w:sz="4" w:space="0" w:color="4BACC6"/>
            </w:tcBorders>
          </w:tcPr>
          <w:p w14:paraId="0978BBC0" w14:textId="77777777" w:rsidR="00933394" w:rsidRPr="00502572" w:rsidRDefault="002C677F" w:rsidP="001302B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502572">
              <w:rPr>
                <w:rFonts w:ascii="Arial" w:eastAsia="Calibri" w:hAnsi="Arial" w:cs="Arial"/>
                <w:sz w:val="20"/>
                <w:szCs w:val="20"/>
              </w:rPr>
              <w:t>Leaves</w:t>
            </w:r>
          </w:p>
        </w:tc>
      </w:tr>
      <w:tr w:rsidR="00F13294" w:rsidRPr="00502572" w14:paraId="704B7C9F" w14:textId="77777777" w:rsidTr="00933394">
        <w:trPr>
          <w:cnfStyle w:val="000000010000" w:firstRow="0" w:lastRow="0" w:firstColumn="0" w:lastColumn="0" w:oddVBand="0" w:evenVBand="0" w:oddHBand="0" w:evenHBand="1"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3080" w:type="dxa"/>
            <w:vMerge/>
          </w:tcPr>
          <w:p w14:paraId="3B26A604" w14:textId="77777777" w:rsidR="00933394" w:rsidRPr="00502572" w:rsidRDefault="00933394" w:rsidP="001302BE">
            <w:pPr>
              <w:spacing w:line="276" w:lineRule="auto"/>
              <w:rPr>
                <w:rFonts w:ascii="Arial" w:eastAsia="Calibri" w:hAnsi="Arial" w:cs="Arial"/>
                <w:i/>
                <w:sz w:val="20"/>
                <w:szCs w:val="20"/>
              </w:rPr>
            </w:pPr>
          </w:p>
        </w:tc>
        <w:tc>
          <w:tcPr>
            <w:tcW w:w="3081" w:type="dxa"/>
            <w:tcBorders>
              <w:top w:val="single" w:sz="4" w:space="0" w:color="4BACC6"/>
            </w:tcBorders>
          </w:tcPr>
          <w:p w14:paraId="54BBAD83" w14:textId="77777777" w:rsidR="00933394" w:rsidRPr="00502572" w:rsidRDefault="00F13294" w:rsidP="001302BE">
            <w:pPr>
              <w:spacing w:line="276" w:lineRule="auto"/>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rPr>
            </w:pPr>
            <w:r w:rsidRPr="00502572">
              <w:rPr>
                <w:rFonts w:ascii="Arial" w:eastAsia="Calibri" w:hAnsi="Arial" w:cs="Arial"/>
                <w:sz w:val="20"/>
                <w:szCs w:val="20"/>
              </w:rPr>
              <w:t>Diarrhea</w:t>
            </w:r>
          </w:p>
        </w:tc>
        <w:tc>
          <w:tcPr>
            <w:tcW w:w="3081" w:type="dxa"/>
            <w:tcBorders>
              <w:top w:val="single" w:sz="4" w:space="0" w:color="4BACC6"/>
            </w:tcBorders>
          </w:tcPr>
          <w:p w14:paraId="3EFC4E0F" w14:textId="77777777" w:rsidR="00933394" w:rsidRPr="00502572" w:rsidRDefault="00FD7F92" w:rsidP="001302BE">
            <w:pPr>
              <w:tabs>
                <w:tab w:val="center" w:pos="1427"/>
              </w:tabs>
              <w:spacing w:line="276" w:lineRule="auto"/>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20"/>
                <w:szCs w:val="20"/>
              </w:rPr>
            </w:pPr>
            <w:r w:rsidRPr="00502572">
              <w:rPr>
                <w:rFonts w:ascii="Arial" w:eastAsia="Calibri" w:hAnsi="Arial" w:cs="Arial"/>
                <w:sz w:val="20"/>
                <w:szCs w:val="20"/>
              </w:rPr>
              <w:t>Stem</w:t>
            </w:r>
            <w:r w:rsidR="00933394" w:rsidRPr="00502572">
              <w:rPr>
                <w:rFonts w:ascii="Arial" w:eastAsia="Calibri" w:hAnsi="Arial" w:cs="Arial"/>
                <w:sz w:val="20"/>
                <w:szCs w:val="20"/>
              </w:rPr>
              <w:tab/>
            </w:r>
          </w:p>
        </w:tc>
      </w:tr>
    </w:tbl>
    <w:p w14:paraId="41C6AFCB" w14:textId="77777777" w:rsidR="003D192C" w:rsidRPr="00502572" w:rsidRDefault="003D192C" w:rsidP="00D77CC1">
      <w:pPr>
        <w:jc w:val="both"/>
        <w:rPr>
          <w:rFonts w:ascii="Arial" w:hAnsi="Arial" w:cs="Arial"/>
          <w:sz w:val="20"/>
          <w:szCs w:val="20"/>
        </w:rPr>
      </w:pPr>
    </w:p>
    <w:p w14:paraId="7E52D9EE" w14:textId="77777777" w:rsidR="003D192C" w:rsidRPr="00502572" w:rsidRDefault="003D192C" w:rsidP="00D77CC1">
      <w:pPr>
        <w:jc w:val="both"/>
        <w:rPr>
          <w:rFonts w:ascii="Arial" w:hAnsi="Arial" w:cs="Arial"/>
          <w:sz w:val="20"/>
          <w:szCs w:val="20"/>
        </w:rPr>
      </w:pPr>
      <w:r w:rsidRPr="00502572">
        <w:rPr>
          <w:rFonts w:ascii="Arial" w:hAnsi="Arial" w:cs="Arial"/>
          <w:noProof/>
          <w:sz w:val="20"/>
          <w:szCs w:val="20"/>
          <w:lang w:val="fr-FR" w:eastAsia="fr-FR"/>
        </w:rPr>
        <w:drawing>
          <wp:inline distT="0" distB="0" distL="0" distR="0" wp14:anchorId="37050383" wp14:editId="56648311">
            <wp:extent cx="5553075" cy="2562225"/>
            <wp:effectExtent l="0" t="0" r="0" b="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B7F81D6" w14:textId="4666FA86" w:rsidR="003D192C" w:rsidRDefault="00C51E41" w:rsidP="003D19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sz w:val="20"/>
          <w:szCs w:val="20"/>
          <w:lang w:eastAsia="en-GB"/>
        </w:rPr>
      </w:pPr>
      <w:r w:rsidRPr="00502572">
        <w:rPr>
          <w:rFonts w:ascii="Arial" w:eastAsia="Times New Roman" w:hAnsi="Arial" w:cs="Arial"/>
          <w:b/>
          <w:sz w:val="20"/>
          <w:szCs w:val="20"/>
          <w:lang w:eastAsia="en-GB"/>
        </w:rPr>
        <w:t>Figure 9</w:t>
      </w:r>
      <w:r w:rsidR="003D192C" w:rsidRPr="00502572">
        <w:rPr>
          <w:rFonts w:ascii="Arial" w:eastAsia="Times New Roman" w:hAnsi="Arial" w:cs="Arial"/>
          <w:b/>
          <w:sz w:val="20"/>
          <w:szCs w:val="20"/>
          <w:lang w:eastAsia="en-GB"/>
        </w:rPr>
        <w:t xml:space="preserve">. Percentage of </w:t>
      </w:r>
      <w:r w:rsidR="00BB5FDF" w:rsidRPr="00502572">
        <w:rPr>
          <w:rFonts w:ascii="Arial" w:eastAsia="Times New Roman" w:hAnsi="Arial" w:cs="Arial"/>
          <w:b/>
          <w:sz w:val="20"/>
          <w:szCs w:val="20"/>
          <w:lang w:eastAsia="en-GB"/>
        </w:rPr>
        <w:t xml:space="preserve">plant species </w:t>
      </w:r>
      <w:r w:rsidR="003D192C" w:rsidRPr="00502572">
        <w:rPr>
          <w:rFonts w:ascii="Arial" w:eastAsia="Times New Roman" w:hAnsi="Arial" w:cs="Arial"/>
          <w:b/>
          <w:sz w:val="20"/>
          <w:szCs w:val="20"/>
          <w:lang w:eastAsia="en-GB"/>
        </w:rPr>
        <w:t>use</w:t>
      </w:r>
      <w:r w:rsidR="00BB5FDF" w:rsidRPr="00502572">
        <w:rPr>
          <w:rFonts w:ascii="Arial" w:eastAsia="Times New Roman" w:hAnsi="Arial" w:cs="Arial"/>
          <w:b/>
          <w:sz w:val="20"/>
          <w:szCs w:val="20"/>
          <w:lang w:eastAsia="en-GB"/>
        </w:rPr>
        <w:t>d</w:t>
      </w:r>
      <w:r w:rsidR="003D192C" w:rsidRPr="00502572">
        <w:rPr>
          <w:rFonts w:ascii="Arial" w:eastAsia="Times New Roman" w:hAnsi="Arial" w:cs="Arial"/>
          <w:b/>
          <w:sz w:val="20"/>
          <w:szCs w:val="20"/>
          <w:lang w:eastAsia="en-GB"/>
        </w:rPr>
        <w:t xml:space="preserve"> in traditional pharmacopoeia in the </w:t>
      </w:r>
      <w:r w:rsidR="00281199" w:rsidRPr="00502572">
        <w:rPr>
          <w:rFonts w:ascii="Arial" w:eastAsia="Times New Roman" w:hAnsi="Arial" w:cs="Arial"/>
          <w:b/>
          <w:sz w:val="20"/>
          <w:szCs w:val="20"/>
          <w:lang w:eastAsia="en-GB"/>
        </w:rPr>
        <w:t>Department of</w:t>
      </w:r>
      <w:r w:rsidR="003D192C" w:rsidRPr="00502572">
        <w:rPr>
          <w:rFonts w:ascii="Arial" w:eastAsia="Times New Roman" w:hAnsi="Arial" w:cs="Arial"/>
          <w:b/>
          <w:sz w:val="20"/>
          <w:szCs w:val="20"/>
          <w:lang w:eastAsia="en-GB"/>
        </w:rPr>
        <w:t xml:space="preserve"> Balleyara.</w:t>
      </w:r>
    </w:p>
    <w:p w14:paraId="44EDCEF5" w14:textId="77777777" w:rsidR="005F561B" w:rsidRPr="00502572" w:rsidRDefault="005F561B" w:rsidP="003D19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sz w:val="20"/>
          <w:szCs w:val="20"/>
          <w:lang w:eastAsia="en-GB"/>
        </w:rPr>
      </w:pPr>
    </w:p>
    <w:p w14:paraId="4E004A2E" w14:textId="2F8B5C8C" w:rsidR="00256367" w:rsidRPr="00502572" w:rsidRDefault="005359A4" w:rsidP="00CC7440">
      <w:pPr>
        <w:spacing w:before="240"/>
        <w:jc w:val="both"/>
        <w:rPr>
          <w:rFonts w:ascii="Arial" w:hAnsi="Arial" w:cs="Arial"/>
          <w:b/>
          <w:sz w:val="20"/>
          <w:szCs w:val="20"/>
        </w:rPr>
      </w:pPr>
      <w:r w:rsidRPr="00502572">
        <w:rPr>
          <w:rFonts w:ascii="Arial" w:hAnsi="Arial" w:cs="Arial"/>
          <w:b/>
          <w:sz w:val="20"/>
          <w:szCs w:val="20"/>
        </w:rPr>
        <w:lastRenderedPageBreak/>
        <w:t xml:space="preserve">3.2.2 </w:t>
      </w:r>
      <w:r w:rsidR="00D77CC1" w:rsidRPr="00502572">
        <w:rPr>
          <w:rFonts w:ascii="Arial" w:hAnsi="Arial" w:cs="Arial"/>
          <w:b/>
          <w:sz w:val="20"/>
          <w:szCs w:val="20"/>
        </w:rPr>
        <w:t>Wood supply services</w:t>
      </w:r>
    </w:p>
    <w:p w14:paraId="7C2A9FF2" w14:textId="72353178" w:rsidR="00D77CC1" w:rsidRPr="00502572" w:rsidRDefault="00256367" w:rsidP="00256367">
      <w:pPr>
        <w:spacing w:line="360" w:lineRule="auto"/>
        <w:jc w:val="both"/>
        <w:rPr>
          <w:rFonts w:ascii="Arial" w:hAnsi="Arial" w:cs="Arial"/>
          <w:sz w:val="20"/>
          <w:szCs w:val="20"/>
        </w:rPr>
      </w:pPr>
      <w:r w:rsidRPr="00502572">
        <w:rPr>
          <w:rFonts w:ascii="Arial" w:hAnsi="Arial" w:cs="Arial"/>
          <w:sz w:val="20"/>
          <w:szCs w:val="20"/>
        </w:rPr>
        <w:t xml:space="preserve">About </w:t>
      </w:r>
      <w:r w:rsidR="00D77CC1" w:rsidRPr="00502572">
        <w:rPr>
          <w:rFonts w:ascii="Arial" w:hAnsi="Arial" w:cs="Arial"/>
          <w:sz w:val="20"/>
          <w:szCs w:val="20"/>
        </w:rPr>
        <w:t>100% of the population</w:t>
      </w:r>
      <w:r w:rsidRPr="00502572">
        <w:rPr>
          <w:rFonts w:ascii="Arial" w:hAnsi="Arial" w:cs="Arial"/>
          <w:sz w:val="20"/>
          <w:szCs w:val="20"/>
        </w:rPr>
        <w:t xml:space="preserve"> of the stated, that</w:t>
      </w:r>
      <w:r w:rsidR="00D77CC1" w:rsidRPr="00502572">
        <w:rPr>
          <w:rFonts w:ascii="Arial" w:hAnsi="Arial" w:cs="Arial"/>
          <w:sz w:val="20"/>
          <w:szCs w:val="20"/>
        </w:rPr>
        <w:t xml:space="preserve"> </w:t>
      </w:r>
      <w:r w:rsidRPr="00502572">
        <w:rPr>
          <w:rFonts w:ascii="Arial" w:hAnsi="Arial" w:cs="Arial"/>
          <w:sz w:val="20"/>
          <w:szCs w:val="20"/>
        </w:rPr>
        <w:t xml:space="preserve">woody species are used for wood energy in the </w:t>
      </w:r>
      <w:r w:rsidR="001302BE" w:rsidRPr="00502572">
        <w:rPr>
          <w:rFonts w:ascii="Arial" w:hAnsi="Arial" w:cs="Arial"/>
          <w:sz w:val="20"/>
          <w:szCs w:val="20"/>
        </w:rPr>
        <w:t xml:space="preserve">Department </w:t>
      </w:r>
      <w:r w:rsidRPr="00502572">
        <w:rPr>
          <w:rFonts w:ascii="Arial" w:hAnsi="Arial" w:cs="Arial"/>
          <w:sz w:val="20"/>
          <w:szCs w:val="20"/>
        </w:rPr>
        <w:t xml:space="preserve">of Balleyara. </w:t>
      </w:r>
      <w:r w:rsidR="00D77CC1" w:rsidRPr="00502572">
        <w:rPr>
          <w:rFonts w:ascii="Arial" w:hAnsi="Arial" w:cs="Arial"/>
          <w:sz w:val="20"/>
          <w:szCs w:val="20"/>
        </w:rPr>
        <w:t xml:space="preserve">The main </w:t>
      </w:r>
      <w:r w:rsidRPr="00502572">
        <w:rPr>
          <w:rFonts w:ascii="Arial" w:hAnsi="Arial" w:cs="Arial"/>
          <w:sz w:val="20"/>
          <w:szCs w:val="20"/>
        </w:rPr>
        <w:t xml:space="preserve">woody species are </w:t>
      </w:r>
      <w:r w:rsidR="00D77CC1" w:rsidRPr="00502572">
        <w:rPr>
          <w:rFonts w:ascii="Arial" w:hAnsi="Arial" w:cs="Arial"/>
          <w:i/>
          <w:sz w:val="20"/>
          <w:szCs w:val="20"/>
        </w:rPr>
        <w:t>Guiera senegalensis</w:t>
      </w:r>
      <w:r w:rsidR="00D77CC1" w:rsidRPr="00502572">
        <w:rPr>
          <w:rFonts w:ascii="Arial" w:hAnsi="Arial" w:cs="Arial"/>
          <w:sz w:val="20"/>
          <w:szCs w:val="20"/>
        </w:rPr>
        <w:t xml:space="preserve">, </w:t>
      </w:r>
      <w:r w:rsidR="00D77CC1" w:rsidRPr="00502572">
        <w:rPr>
          <w:rFonts w:ascii="Arial" w:hAnsi="Arial" w:cs="Arial"/>
          <w:i/>
          <w:sz w:val="20"/>
          <w:szCs w:val="20"/>
        </w:rPr>
        <w:t>Combretum micranthum</w:t>
      </w:r>
      <w:r w:rsidR="00D77CC1" w:rsidRPr="00502572">
        <w:rPr>
          <w:rFonts w:ascii="Arial" w:hAnsi="Arial" w:cs="Arial"/>
          <w:sz w:val="20"/>
          <w:szCs w:val="20"/>
        </w:rPr>
        <w:t xml:space="preserve">, </w:t>
      </w:r>
      <w:r w:rsidR="00D77CC1" w:rsidRPr="00502572">
        <w:rPr>
          <w:rFonts w:ascii="Arial" w:hAnsi="Arial" w:cs="Arial"/>
          <w:i/>
          <w:sz w:val="20"/>
          <w:szCs w:val="20"/>
        </w:rPr>
        <w:t>Combretum glutinosum</w:t>
      </w:r>
      <w:r w:rsidR="00D77CC1" w:rsidRPr="00502572">
        <w:rPr>
          <w:rFonts w:ascii="Arial" w:hAnsi="Arial" w:cs="Arial"/>
          <w:sz w:val="20"/>
          <w:szCs w:val="20"/>
        </w:rPr>
        <w:t xml:space="preserve">, </w:t>
      </w:r>
      <w:r w:rsidR="00D77CC1" w:rsidRPr="00502572">
        <w:rPr>
          <w:rFonts w:ascii="Arial" w:hAnsi="Arial" w:cs="Arial"/>
          <w:i/>
          <w:sz w:val="20"/>
          <w:szCs w:val="20"/>
        </w:rPr>
        <w:t>Faidherbia albida</w:t>
      </w:r>
      <w:r w:rsidR="00D77CC1" w:rsidRPr="00502572">
        <w:rPr>
          <w:rFonts w:ascii="Arial" w:hAnsi="Arial" w:cs="Arial"/>
          <w:sz w:val="20"/>
          <w:szCs w:val="20"/>
        </w:rPr>
        <w:t xml:space="preserve">, </w:t>
      </w:r>
      <w:r w:rsidRPr="00502572">
        <w:rPr>
          <w:rFonts w:ascii="Arial" w:hAnsi="Arial" w:cs="Arial"/>
          <w:i/>
          <w:sz w:val="20"/>
          <w:szCs w:val="20"/>
        </w:rPr>
        <w:t xml:space="preserve">Balanites aegyptiaca </w:t>
      </w:r>
      <w:r w:rsidRPr="00502572">
        <w:rPr>
          <w:rFonts w:ascii="Arial" w:hAnsi="Arial" w:cs="Arial"/>
          <w:sz w:val="20"/>
          <w:szCs w:val="20"/>
        </w:rPr>
        <w:t>as illustrated in the</w:t>
      </w:r>
      <w:r w:rsidRPr="00502572">
        <w:rPr>
          <w:rFonts w:ascii="Arial" w:hAnsi="Arial" w:cs="Arial"/>
          <w:i/>
          <w:sz w:val="20"/>
          <w:szCs w:val="20"/>
        </w:rPr>
        <w:t xml:space="preserve"> </w:t>
      </w:r>
      <w:r w:rsidRPr="00502572">
        <w:rPr>
          <w:rFonts w:ascii="Arial" w:hAnsi="Arial" w:cs="Arial"/>
          <w:sz w:val="20"/>
          <w:szCs w:val="20"/>
        </w:rPr>
        <w:t>figure 1</w:t>
      </w:r>
      <w:r w:rsidR="00450C29">
        <w:rPr>
          <w:rFonts w:ascii="Arial" w:hAnsi="Arial" w:cs="Arial"/>
          <w:sz w:val="20"/>
          <w:szCs w:val="20"/>
        </w:rPr>
        <w:t>0</w:t>
      </w:r>
      <w:r w:rsidRPr="00502572">
        <w:rPr>
          <w:rFonts w:ascii="Arial" w:hAnsi="Arial" w:cs="Arial"/>
          <w:sz w:val="20"/>
          <w:szCs w:val="20"/>
        </w:rPr>
        <w:t xml:space="preserve"> that</w:t>
      </w:r>
      <w:r w:rsidR="00D77CC1" w:rsidRPr="00502572">
        <w:rPr>
          <w:rFonts w:ascii="Arial" w:hAnsi="Arial" w:cs="Arial"/>
          <w:sz w:val="20"/>
          <w:szCs w:val="20"/>
        </w:rPr>
        <w:t xml:space="preserve"> gives the percentages of the main species used as fuelwood on a sample of 1000 bundles of fuelwood</w:t>
      </w:r>
      <w:r w:rsidR="001302BE" w:rsidRPr="00502572">
        <w:rPr>
          <w:rFonts w:ascii="Arial" w:hAnsi="Arial" w:cs="Arial"/>
          <w:sz w:val="20"/>
          <w:szCs w:val="20"/>
        </w:rPr>
        <w:t xml:space="preserve">. Plant </w:t>
      </w:r>
      <w:r w:rsidR="00D77CC1" w:rsidRPr="00502572">
        <w:rPr>
          <w:rFonts w:ascii="Arial" w:hAnsi="Arial" w:cs="Arial"/>
          <w:sz w:val="20"/>
          <w:szCs w:val="20"/>
        </w:rPr>
        <w:t xml:space="preserve">species are used as service wood, for the construction of houses, attics and roofs, </w:t>
      </w:r>
      <w:r w:rsidRPr="00502572">
        <w:rPr>
          <w:rFonts w:ascii="Arial" w:hAnsi="Arial" w:cs="Arial"/>
          <w:sz w:val="20"/>
          <w:szCs w:val="20"/>
        </w:rPr>
        <w:t xml:space="preserve">etc. The most used species are </w:t>
      </w:r>
      <w:r w:rsidR="00D77CC1" w:rsidRPr="00502572">
        <w:rPr>
          <w:rFonts w:ascii="Arial" w:hAnsi="Arial" w:cs="Arial"/>
          <w:i/>
          <w:sz w:val="20"/>
          <w:szCs w:val="20"/>
        </w:rPr>
        <w:t>Eucalyptus camaldulensis</w:t>
      </w:r>
      <w:r w:rsidR="00D77CC1" w:rsidRPr="00502572">
        <w:rPr>
          <w:rFonts w:ascii="Arial" w:hAnsi="Arial" w:cs="Arial"/>
          <w:sz w:val="20"/>
          <w:szCs w:val="20"/>
        </w:rPr>
        <w:t xml:space="preserve">, </w:t>
      </w:r>
      <w:bookmarkStart w:id="2" w:name="_Hlk220577652"/>
      <w:r w:rsidR="00D77CC1" w:rsidRPr="00502572">
        <w:rPr>
          <w:rFonts w:ascii="Arial" w:hAnsi="Arial" w:cs="Arial"/>
          <w:i/>
          <w:sz w:val="20"/>
          <w:szCs w:val="20"/>
        </w:rPr>
        <w:t>Azadirachta indic</w:t>
      </w:r>
      <w:bookmarkEnd w:id="2"/>
      <w:r w:rsidR="00D77CC1" w:rsidRPr="00502572">
        <w:rPr>
          <w:rFonts w:ascii="Arial" w:hAnsi="Arial" w:cs="Arial"/>
          <w:i/>
          <w:sz w:val="20"/>
          <w:szCs w:val="20"/>
        </w:rPr>
        <w:t>a</w:t>
      </w:r>
      <w:r w:rsidRPr="00502572">
        <w:rPr>
          <w:rFonts w:ascii="Arial" w:hAnsi="Arial" w:cs="Arial"/>
          <w:sz w:val="20"/>
          <w:szCs w:val="20"/>
        </w:rPr>
        <w:t xml:space="preserve">, </w:t>
      </w:r>
      <w:r w:rsidR="00D77CC1" w:rsidRPr="00502572">
        <w:rPr>
          <w:rFonts w:ascii="Arial" w:hAnsi="Arial" w:cs="Arial"/>
          <w:i/>
          <w:sz w:val="20"/>
          <w:szCs w:val="20"/>
        </w:rPr>
        <w:t>Borassus aethiopum</w:t>
      </w:r>
      <w:r w:rsidRPr="00502572">
        <w:rPr>
          <w:rFonts w:ascii="Arial" w:hAnsi="Arial" w:cs="Arial"/>
          <w:sz w:val="20"/>
          <w:szCs w:val="20"/>
        </w:rPr>
        <w:t xml:space="preserve"> and </w:t>
      </w:r>
      <w:r w:rsidR="00D77CC1" w:rsidRPr="00502572">
        <w:rPr>
          <w:rFonts w:ascii="Arial" w:hAnsi="Arial" w:cs="Arial"/>
          <w:i/>
          <w:sz w:val="20"/>
          <w:szCs w:val="20"/>
        </w:rPr>
        <w:t>Guiera senegalensis</w:t>
      </w:r>
      <w:r w:rsidRPr="00502572">
        <w:rPr>
          <w:rFonts w:ascii="Arial" w:hAnsi="Arial" w:cs="Arial"/>
          <w:sz w:val="20"/>
          <w:szCs w:val="20"/>
        </w:rPr>
        <w:t>. The w</w:t>
      </w:r>
      <w:r w:rsidR="00D77CC1" w:rsidRPr="00502572">
        <w:rPr>
          <w:rFonts w:ascii="Arial" w:hAnsi="Arial" w:cs="Arial"/>
          <w:sz w:val="20"/>
          <w:szCs w:val="20"/>
        </w:rPr>
        <w:t>ood is also used in the making of work</w:t>
      </w:r>
      <w:r w:rsidR="00A82DD1" w:rsidRPr="00502572">
        <w:rPr>
          <w:rFonts w:ascii="Arial" w:hAnsi="Arial" w:cs="Arial"/>
          <w:sz w:val="20"/>
          <w:szCs w:val="20"/>
        </w:rPr>
        <w:t xml:space="preserve"> tools (timber) such as mortars and</w:t>
      </w:r>
      <w:r w:rsidR="00D77CC1" w:rsidRPr="00502572">
        <w:rPr>
          <w:rFonts w:ascii="Arial" w:hAnsi="Arial" w:cs="Arial"/>
          <w:sz w:val="20"/>
          <w:szCs w:val="20"/>
        </w:rPr>
        <w:t xml:space="preserve"> pe</w:t>
      </w:r>
      <w:r w:rsidR="001302BE" w:rsidRPr="00502572">
        <w:rPr>
          <w:rFonts w:ascii="Arial" w:hAnsi="Arial" w:cs="Arial"/>
          <w:sz w:val="20"/>
          <w:szCs w:val="20"/>
        </w:rPr>
        <w:t>stles</w:t>
      </w:r>
      <w:r w:rsidR="0042058C" w:rsidRPr="00502572">
        <w:rPr>
          <w:rFonts w:ascii="Arial" w:hAnsi="Arial" w:cs="Arial"/>
          <w:sz w:val="20"/>
          <w:szCs w:val="20"/>
        </w:rPr>
        <w:t xml:space="preserve">. For such use, the </w:t>
      </w:r>
      <w:r w:rsidR="00A82DD1" w:rsidRPr="00502572">
        <w:rPr>
          <w:rFonts w:ascii="Arial" w:hAnsi="Arial" w:cs="Arial"/>
          <w:sz w:val="20"/>
          <w:szCs w:val="20"/>
        </w:rPr>
        <w:t xml:space="preserve">plant </w:t>
      </w:r>
      <w:r w:rsidR="0042058C" w:rsidRPr="00502572">
        <w:rPr>
          <w:rFonts w:ascii="Arial" w:hAnsi="Arial" w:cs="Arial"/>
          <w:sz w:val="20"/>
          <w:szCs w:val="20"/>
        </w:rPr>
        <w:t xml:space="preserve">species used are </w:t>
      </w:r>
      <w:r w:rsidR="00D77CC1" w:rsidRPr="00502572">
        <w:rPr>
          <w:rFonts w:ascii="Arial" w:hAnsi="Arial" w:cs="Arial"/>
          <w:i/>
          <w:sz w:val="20"/>
          <w:szCs w:val="20"/>
        </w:rPr>
        <w:t>Combretum nigricans</w:t>
      </w:r>
      <w:r w:rsidR="00D77CC1" w:rsidRPr="00502572">
        <w:rPr>
          <w:rFonts w:ascii="Arial" w:hAnsi="Arial" w:cs="Arial"/>
          <w:sz w:val="20"/>
          <w:szCs w:val="20"/>
        </w:rPr>
        <w:t xml:space="preserve">, </w:t>
      </w:r>
      <w:r w:rsidR="00D77CC1" w:rsidRPr="00502572">
        <w:rPr>
          <w:rFonts w:ascii="Arial" w:hAnsi="Arial" w:cs="Arial"/>
          <w:i/>
          <w:sz w:val="20"/>
          <w:szCs w:val="20"/>
        </w:rPr>
        <w:t>Acacia nilotica</w:t>
      </w:r>
      <w:r w:rsidR="00D77CC1" w:rsidRPr="00502572">
        <w:rPr>
          <w:rFonts w:ascii="Arial" w:hAnsi="Arial" w:cs="Arial"/>
          <w:sz w:val="20"/>
          <w:szCs w:val="20"/>
        </w:rPr>
        <w:t xml:space="preserve">, </w:t>
      </w:r>
      <w:r w:rsidR="00D77CC1" w:rsidRPr="00502572">
        <w:rPr>
          <w:rFonts w:ascii="Arial" w:hAnsi="Arial" w:cs="Arial"/>
          <w:i/>
          <w:sz w:val="20"/>
          <w:szCs w:val="20"/>
        </w:rPr>
        <w:t>Combretum glutinosum</w:t>
      </w:r>
      <w:r w:rsidR="0054658C" w:rsidRPr="00502572">
        <w:rPr>
          <w:rFonts w:ascii="Arial" w:hAnsi="Arial" w:cs="Arial"/>
          <w:sz w:val="20"/>
          <w:szCs w:val="20"/>
        </w:rPr>
        <w:t xml:space="preserve"> and </w:t>
      </w:r>
      <w:r w:rsidR="00D77CC1" w:rsidRPr="00502572">
        <w:rPr>
          <w:rFonts w:ascii="Arial" w:hAnsi="Arial" w:cs="Arial"/>
          <w:i/>
          <w:sz w:val="20"/>
          <w:szCs w:val="20"/>
        </w:rPr>
        <w:t>Faidherbia albida</w:t>
      </w:r>
      <w:r w:rsidR="00465BB8" w:rsidRPr="00502572">
        <w:rPr>
          <w:rFonts w:ascii="Arial" w:hAnsi="Arial" w:cs="Arial"/>
          <w:i/>
          <w:sz w:val="20"/>
          <w:szCs w:val="20"/>
        </w:rPr>
        <w:t xml:space="preserve"> </w:t>
      </w:r>
      <w:r w:rsidR="00C51E41" w:rsidRPr="00502572">
        <w:rPr>
          <w:rFonts w:ascii="Arial" w:hAnsi="Arial" w:cs="Arial"/>
          <w:sz w:val="20"/>
          <w:szCs w:val="20"/>
        </w:rPr>
        <w:t>(Figure10</w:t>
      </w:r>
      <w:r w:rsidR="00465BB8" w:rsidRPr="00502572">
        <w:rPr>
          <w:rFonts w:ascii="Arial" w:hAnsi="Arial" w:cs="Arial"/>
          <w:sz w:val="20"/>
          <w:szCs w:val="20"/>
        </w:rPr>
        <w:t>)</w:t>
      </w:r>
      <w:r w:rsidR="0054658C" w:rsidRPr="00502572">
        <w:rPr>
          <w:rFonts w:ascii="Arial" w:hAnsi="Arial" w:cs="Arial"/>
          <w:sz w:val="20"/>
          <w:szCs w:val="20"/>
        </w:rPr>
        <w:t>.</w:t>
      </w:r>
    </w:p>
    <w:p w14:paraId="63D4659B" w14:textId="77777777" w:rsidR="00256367" w:rsidRPr="00502572" w:rsidRDefault="00256367" w:rsidP="00256367">
      <w:pPr>
        <w:spacing w:line="360" w:lineRule="auto"/>
        <w:jc w:val="both"/>
        <w:rPr>
          <w:rFonts w:ascii="Arial" w:hAnsi="Arial" w:cs="Arial"/>
          <w:sz w:val="20"/>
          <w:szCs w:val="20"/>
        </w:rPr>
      </w:pPr>
      <w:r w:rsidRPr="00502572">
        <w:rPr>
          <w:rFonts w:ascii="Arial" w:hAnsi="Arial" w:cs="Arial"/>
          <w:noProof/>
          <w:sz w:val="20"/>
          <w:szCs w:val="20"/>
          <w:lang w:val="fr-FR" w:eastAsia="fr-FR"/>
        </w:rPr>
        <w:drawing>
          <wp:inline distT="0" distB="0" distL="0" distR="0" wp14:anchorId="69051224" wp14:editId="0295EFA9">
            <wp:extent cx="5334000" cy="2832735"/>
            <wp:effectExtent l="0" t="0" r="0" b="5715"/>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D6035A4" w14:textId="0AD644FF" w:rsidR="00256367" w:rsidRPr="00502572" w:rsidRDefault="00C51E41" w:rsidP="00546C9B">
      <w:pPr>
        <w:jc w:val="both"/>
        <w:rPr>
          <w:rFonts w:ascii="Arial" w:hAnsi="Arial" w:cs="Arial"/>
          <w:b/>
          <w:sz w:val="20"/>
          <w:szCs w:val="20"/>
        </w:rPr>
      </w:pPr>
      <w:r w:rsidRPr="00502572">
        <w:rPr>
          <w:rFonts w:ascii="Arial" w:hAnsi="Arial" w:cs="Arial"/>
          <w:b/>
          <w:sz w:val="20"/>
          <w:szCs w:val="20"/>
        </w:rPr>
        <w:t>Figure 10</w:t>
      </w:r>
      <w:r w:rsidR="00256367" w:rsidRPr="00502572">
        <w:rPr>
          <w:rFonts w:ascii="Arial" w:hAnsi="Arial" w:cs="Arial"/>
          <w:b/>
          <w:sz w:val="20"/>
          <w:szCs w:val="20"/>
        </w:rPr>
        <w:t xml:space="preserve">. </w:t>
      </w:r>
      <w:bookmarkStart w:id="3" w:name="_Hlk220576462"/>
      <w:r w:rsidR="00256367" w:rsidRPr="00502572">
        <w:rPr>
          <w:rFonts w:ascii="Arial" w:hAnsi="Arial" w:cs="Arial"/>
          <w:b/>
          <w:sz w:val="20"/>
          <w:szCs w:val="20"/>
        </w:rPr>
        <w:t xml:space="preserve">Percentage of main species used as fuelwood in the </w:t>
      </w:r>
      <w:r w:rsidR="001302BE" w:rsidRPr="00502572">
        <w:rPr>
          <w:rFonts w:ascii="Arial" w:hAnsi="Arial" w:cs="Arial"/>
          <w:b/>
          <w:sz w:val="20"/>
          <w:szCs w:val="20"/>
        </w:rPr>
        <w:t xml:space="preserve">Department </w:t>
      </w:r>
      <w:r w:rsidR="00256367" w:rsidRPr="00502572">
        <w:rPr>
          <w:rFonts w:ascii="Arial" w:hAnsi="Arial" w:cs="Arial"/>
          <w:b/>
          <w:sz w:val="20"/>
          <w:szCs w:val="20"/>
        </w:rPr>
        <w:t>of Balleyara.</w:t>
      </w:r>
      <w:bookmarkEnd w:id="3"/>
    </w:p>
    <w:p w14:paraId="684BF384" w14:textId="71355EE6" w:rsidR="00546C9B" w:rsidRPr="00502572" w:rsidRDefault="005359A4" w:rsidP="0042058C">
      <w:pPr>
        <w:spacing w:line="360" w:lineRule="auto"/>
        <w:jc w:val="both"/>
        <w:rPr>
          <w:rFonts w:ascii="Arial" w:hAnsi="Arial" w:cs="Arial"/>
          <w:b/>
          <w:sz w:val="20"/>
          <w:szCs w:val="20"/>
        </w:rPr>
      </w:pPr>
      <w:r w:rsidRPr="00502572">
        <w:rPr>
          <w:rFonts w:ascii="Arial" w:hAnsi="Arial" w:cs="Arial"/>
          <w:b/>
          <w:sz w:val="20"/>
          <w:szCs w:val="20"/>
        </w:rPr>
        <w:t xml:space="preserve">3.2.3 </w:t>
      </w:r>
      <w:r w:rsidR="00546C9B" w:rsidRPr="00502572">
        <w:rPr>
          <w:rFonts w:ascii="Arial" w:hAnsi="Arial" w:cs="Arial"/>
          <w:b/>
          <w:sz w:val="20"/>
          <w:szCs w:val="20"/>
        </w:rPr>
        <w:t>Economic Services</w:t>
      </w:r>
    </w:p>
    <w:p w14:paraId="44C9FA66" w14:textId="44FE3FA5" w:rsidR="00BA27D3" w:rsidRPr="00502572" w:rsidRDefault="00546C9B" w:rsidP="0042058C">
      <w:pPr>
        <w:spacing w:line="360" w:lineRule="auto"/>
        <w:jc w:val="both"/>
        <w:rPr>
          <w:rFonts w:ascii="Arial" w:hAnsi="Arial" w:cs="Arial"/>
          <w:sz w:val="20"/>
          <w:szCs w:val="20"/>
        </w:rPr>
      </w:pPr>
      <w:r w:rsidRPr="00502572">
        <w:rPr>
          <w:rFonts w:ascii="Arial" w:hAnsi="Arial" w:cs="Arial"/>
          <w:sz w:val="20"/>
          <w:szCs w:val="20"/>
        </w:rPr>
        <w:t xml:space="preserve">The ecosystems of the </w:t>
      </w:r>
      <w:r w:rsidR="001302BE" w:rsidRPr="00502572">
        <w:rPr>
          <w:rFonts w:ascii="Arial" w:hAnsi="Arial" w:cs="Arial"/>
          <w:sz w:val="20"/>
          <w:szCs w:val="20"/>
        </w:rPr>
        <w:t>Department of</w:t>
      </w:r>
      <w:r w:rsidRPr="00502572">
        <w:rPr>
          <w:rFonts w:ascii="Arial" w:hAnsi="Arial" w:cs="Arial"/>
          <w:sz w:val="20"/>
          <w:szCs w:val="20"/>
        </w:rPr>
        <w:t xml:space="preserve"> Balleyara</w:t>
      </w:r>
      <w:r w:rsidR="001302BE" w:rsidRPr="00502572">
        <w:rPr>
          <w:rFonts w:ascii="Arial" w:hAnsi="Arial" w:cs="Arial"/>
          <w:sz w:val="20"/>
          <w:szCs w:val="20"/>
        </w:rPr>
        <w:t xml:space="preserve"> are an impo</w:t>
      </w:r>
      <w:r w:rsidR="00A82DD1" w:rsidRPr="00502572">
        <w:rPr>
          <w:rFonts w:ascii="Arial" w:hAnsi="Arial" w:cs="Arial"/>
          <w:sz w:val="20"/>
          <w:szCs w:val="20"/>
        </w:rPr>
        <w:t>r</w:t>
      </w:r>
      <w:r w:rsidR="001302BE" w:rsidRPr="00502572">
        <w:rPr>
          <w:rFonts w:ascii="Arial" w:hAnsi="Arial" w:cs="Arial"/>
          <w:sz w:val="20"/>
          <w:szCs w:val="20"/>
        </w:rPr>
        <w:t>tant</w:t>
      </w:r>
      <w:r w:rsidRPr="00502572">
        <w:rPr>
          <w:rFonts w:ascii="Arial" w:hAnsi="Arial" w:cs="Arial"/>
          <w:sz w:val="20"/>
          <w:szCs w:val="20"/>
        </w:rPr>
        <w:t xml:space="preserve"> source of income for the local population through the trade in wood and non-wood forest products including among others: vegetables, production of natron, fodder, fuelwood, wood work and the gathering of forest fruits which is an activity practiced largely by women and </w:t>
      </w:r>
      <w:r w:rsidR="001302BE" w:rsidRPr="00502572">
        <w:rPr>
          <w:rFonts w:ascii="Arial" w:hAnsi="Arial" w:cs="Arial"/>
          <w:sz w:val="20"/>
          <w:szCs w:val="20"/>
        </w:rPr>
        <w:t>young people</w:t>
      </w:r>
      <w:r w:rsidRPr="00502572">
        <w:rPr>
          <w:rFonts w:ascii="Arial" w:hAnsi="Arial" w:cs="Arial"/>
          <w:sz w:val="20"/>
          <w:szCs w:val="20"/>
        </w:rPr>
        <w:t xml:space="preserve">. The different products are displayed at the weekly markets, however, for the same </w:t>
      </w:r>
      <w:r w:rsidR="001302BE" w:rsidRPr="00502572">
        <w:rPr>
          <w:rFonts w:ascii="Arial" w:hAnsi="Arial" w:cs="Arial"/>
          <w:sz w:val="20"/>
          <w:szCs w:val="20"/>
        </w:rPr>
        <w:t>products</w:t>
      </w:r>
      <w:r w:rsidRPr="00502572">
        <w:rPr>
          <w:rFonts w:ascii="Arial" w:hAnsi="Arial" w:cs="Arial"/>
          <w:sz w:val="20"/>
          <w:szCs w:val="20"/>
        </w:rPr>
        <w:t xml:space="preserve">, prices vary according to size, but also according to the season. </w:t>
      </w:r>
      <w:r w:rsidR="00BB0BCA" w:rsidRPr="00502572">
        <w:rPr>
          <w:rFonts w:ascii="Arial" w:hAnsi="Arial" w:cs="Arial"/>
          <w:sz w:val="20"/>
          <w:szCs w:val="20"/>
        </w:rPr>
        <w:t>About 95% of people surveyed use forest products as a source of income.</w:t>
      </w:r>
      <w:r w:rsidRPr="00502572">
        <w:rPr>
          <w:rFonts w:ascii="Arial" w:hAnsi="Arial" w:cs="Arial"/>
          <w:sz w:val="20"/>
          <w:szCs w:val="20"/>
        </w:rPr>
        <w:t xml:space="preserve"> </w:t>
      </w:r>
    </w:p>
    <w:p w14:paraId="13980708" w14:textId="0D16214A" w:rsidR="00BD6BC2" w:rsidRPr="00502572" w:rsidRDefault="00281199" w:rsidP="007D4E02">
      <w:pPr>
        <w:pStyle w:val="Paragraphedeliste"/>
        <w:numPr>
          <w:ilvl w:val="0"/>
          <w:numId w:val="4"/>
        </w:numPr>
        <w:rPr>
          <w:rFonts w:ascii="Arial" w:hAnsi="Arial" w:cs="Arial"/>
          <w:b/>
        </w:rPr>
      </w:pPr>
      <w:r w:rsidRPr="00502572">
        <w:rPr>
          <w:rFonts w:ascii="Arial" w:hAnsi="Arial" w:cs="Arial"/>
          <w:b/>
        </w:rPr>
        <w:t>DISCUSSION</w:t>
      </w:r>
    </w:p>
    <w:p w14:paraId="4A526791" w14:textId="297EE272" w:rsidR="00876096" w:rsidRPr="00502572" w:rsidRDefault="00182F6A" w:rsidP="00876096">
      <w:pPr>
        <w:spacing w:line="360" w:lineRule="auto"/>
        <w:jc w:val="both"/>
        <w:rPr>
          <w:rFonts w:ascii="Arial" w:hAnsi="Arial" w:cs="Arial"/>
          <w:sz w:val="20"/>
          <w:szCs w:val="20"/>
        </w:rPr>
      </w:pPr>
      <w:r w:rsidRPr="00502572">
        <w:rPr>
          <w:rFonts w:ascii="Arial" w:hAnsi="Arial" w:cs="Arial"/>
          <w:sz w:val="20"/>
          <w:szCs w:val="20"/>
        </w:rPr>
        <w:t xml:space="preserve">The study highlighted the existence of aquatic and terrestrial ecosystem in the </w:t>
      </w:r>
      <w:r w:rsidR="001302BE" w:rsidRPr="00502572">
        <w:rPr>
          <w:rFonts w:ascii="Arial" w:hAnsi="Arial" w:cs="Arial"/>
          <w:sz w:val="20"/>
          <w:szCs w:val="20"/>
        </w:rPr>
        <w:t xml:space="preserve">Department </w:t>
      </w:r>
      <w:r w:rsidRPr="00502572">
        <w:rPr>
          <w:rFonts w:ascii="Arial" w:hAnsi="Arial" w:cs="Arial"/>
          <w:sz w:val="20"/>
          <w:szCs w:val="20"/>
        </w:rPr>
        <w:t xml:space="preserve">of Balleyara. </w:t>
      </w:r>
      <w:r w:rsidR="002A6E1F" w:rsidRPr="00502572">
        <w:rPr>
          <w:rFonts w:ascii="Arial" w:hAnsi="Arial" w:cs="Arial"/>
          <w:sz w:val="20"/>
          <w:szCs w:val="20"/>
        </w:rPr>
        <w:t xml:space="preserve">This indicates the diversity of ecosystems of the </w:t>
      </w:r>
      <w:r w:rsidR="001302BE" w:rsidRPr="00502572">
        <w:rPr>
          <w:rFonts w:ascii="Arial" w:hAnsi="Arial" w:cs="Arial"/>
          <w:sz w:val="20"/>
          <w:szCs w:val="20"/>
        </w:rPr>
        <w:t xml:space="preserve">Department </w:t>
      </w:r>
      <w:r w:rsidR="002A6E1F" w:rsidRPr="00502572">
        <w:rPr>
          <w:rFonts w:ascii="Arial" w:hAnsi="Arial" w:cs="Arial"/>
          <w:sz w:val="20"/>
          <w:szCs w:val="20"/>
        </w:rPr>
        <w:t xml:space="preserve">of Balleyara, which is central to the biodiversity conservation and ecosystem services provisions. For </w:t>
      </w:r>
      <w:r w:rsidR="008B7995" w:rsidRPr="00502572">
        <w:rPr>
          <w:rFonts w:ascii="Arial" w:hAnsi="Arial" w:cs="Arial"/>
          <w:sz w:val="20"/>
          <w:szCs w:val="20"/>
        </w:rPr>
        <w:t>instance,</w:t>
      </w:r>
      <w:r w:rsidR="002A6E1F" w:rsidRPr="00502572">
        <w:rPr>
          <w:rFonts w:ascii="Arial" w:hAnsi="Arial" w:cs="Arial"/>
          <w:sz w:val="20"/>
          <w:szCs w:val="20"/>
        </w:rPr>
        <w:t xml:space="preserve"> the </w:t>
      </w:r>
      <w:r w:rsidR="00BB0BCA" w:rsidRPr="00502572">
        <w:rPr>
          <w:rFonts w:ascii="Arial" w:hAnsi="Arial" w:cs="Arial"/>
          <w:sz w:val="20"/>
          <w:szCs w:val="20"/>
        </w:rPr>
        <w:t>land</w:t>
      </w:r>
      <w:r w:rsidR="002A6E1F" w:rsidRPr="00502572">
        <w:rPr>
          <w:rFonts w:ascii="Arial" w:hAnsi="Arial" w:cs="Arial"/>
          <w:sz w:val="20"/>
          <w:szCs w:val="20"/>
        </w:rPr>
        <w:t xml:space="preserve"> ecosystems types reported by this study are agroforestry parklands. The existen</w:t>
      </w:r>
      <w:r w:rsidR="008B7995" w:rsidRPr="00502572">
        <w:rPr>
          <w:rFonts w:ascii="Arial" w:hAnsi="Arial" w:cs="Arial"/>
          <w:sz w:val="20"/>
          <w:szCs w:val="20"/>
        </w:rPr>
        <w:t xml:space="preserve">ce of agroforestry parklands indicates the practice of agroforestry, which is a </w:t>
      </w:r>
      <w:r w:rsidR="00BB0BCA" w:rsidRPr="00502572">
        <w:rPr>
          <w:rFonts w:ascii="Arial" w:hAnsi="Arial" w:cs="Arial"/>
          <w:sz w:val="20"/>
          <w:szCs w:val="20"/>
        </w:rPr>
        <w:t>best way</w:t>
      </w:r>
      <w:r w:rsidR="008B7995" w:rsidRPr="00502572">
        <w:rPr>
          <w:rFonts w:ascii="Arial" w:hAnsi="Arial" w:cs="Arial"/>
          <w:sz w:val="20"/>
          <w:szCs w:val="20"/>
        </w:rPr>
        <w:t xml:space="preserve"> to the resili</w:t>
      </w:r>
      <w:r w:rsidR="00BB0BCA" w:rsidRPr="00502572">
        <w:rPr>
          <w:rFonts w:ascii="Arial" w:hAnsi="Arial" w:cs="Arial"/>
          <w:sz w:val="20"/>
          <w:szCs w:val="20"/>
        </w:rPr>
        <w:t>ence of famers</w:t>
      </w:r>
      <w:r w:rsidR="00A21F56" w:rsidRPr="00502572">
        <w:rPr>
          <w:rFonts w:ascii="Arial" w:hAnsi="Arial" w:cs="Arial"/>
          <w:sz w:val="20"/>
          <w:szCs w:val="20"/>
        </w:rPr>
        <w:t xml:space="preserve"> </w:t>
      </w:r>
      <w:r w:rsidR="004D7A6B" w:rsidRPr="00502572">
        <w:rPr>
          <w:rFonts w:ascii="Arial" w:hAnsi="Arial" w:cs="Arial"/>
          <w:sz w:val="20"/>
          <w:szCs w:val="20"/>
        </w:rPr>
        <w:fldChar w:fldCharType="begin" w:fldLock="1"/>
      </w:r>
      <w:r w:rsidR="00C80401">
        <w:rPr>
          <w:rFonts w:ascii="Arial" w:hAnsi="Arial" w:cs="Arial"/>
          <w:sz w:val="20"/>
          <w:szCs w:val="20"/>
        </w:rPr>
        <w:instrText>ADDIN CSL_CITATION {"citationItems":[{"id":"ITEM-1","itemData":{"DOI":"10.1007/s10457-018-0302-y","ISBN":"0123456789","ISSN":"15729680","abstract":"Smallholder farmers strongly connect to their surrounding environment and depend on ecosystems for their daily subsistence and welfare. Different climate change phenomena in recent years have affected resilience of smallholder farmers in Vietnam and ecosystems where they live. The importance of ecosystem services in climate change adaptation was investigated in surveys, focus group discussions, meetings and interviews with key district and commune staff, male and female farmers of Son Tho commune in rural North Central Region of Vietnam. In conjunction with surveys an Ecosystem-based Adaptation (EbA) pilot was conducted in 2016 and 2017 with a group of 26 smallholder households. All survey respondents acknowledged that they depend on ecosystems and services for their livelihoods. Extreme weather events are predicted to increase with climate change. Smallholder farmers and ecosystems were most vulnerable to the effects of droughts and heat waves that limited supplies of clean water and impacted crop harvests, and by storms, whirlwinds and cold spells. The EbA pilot identified that all ecological patches provided direct and indirect benefits through multiple goods and services generated for provision, regulation, supporting and cultural services. The pilot demonstrated that ecosystem services supported smallholder farmers to adapt to extreme events and climate change, in particular, by mitigating the effects of droughts. Management of ecosystem services can provide joint benefits for both climate change mitigation and adaptation, particularly where the spatial distributions of carbon, hydrological services or biodiversity are positively correlated.","author":[{"dropping-particle":"","family":"Tran","given":"Lien","non-dropping-particle":"","parse-names":false,"suffix":""},{"dropping-particle":"","family":"Brown","given":"Kathryn","non-dropping-particle":"","parse-names":false,"suffix":""}],"container-title":"Agroforestry Systems","id":"ITEM-1","issue":"5","issued":{"date-parts":[["2019"]]},"page":"1949-1960","publisher":"Springer Netherlands","title":"The importance of ecosystem services to smallholder farmers in climate change adaptation: learning from an ecosystem-based adaptation pilot in Vietnam","type":"article-journal","volume":"93"},"uris":["http://www.mendeley.com/documents/?uuid=9b9089c6-5778-440d-b1f0-4f388256622c","http://www.mendeley.com/documents/?uuid=4dd2cd82-0394-46ff-b877-c9228a42b7e4"]},{"id":"ITEM-2","itemData":{"ISBN":"2348037193141","author":[{"dropping-particle":"","family":"Adesina","given":"Francis","non-dropping-particle":"","parse-names":false,"suffix":""},{"dropping-particle":"","family":"Odekunle","given":"Theophilus Odeyemi","non-dropping-particle":"","parse-names":false,"suffix":""}],"container-title":"International Conference on Environmental and Agriculture Engineering","id":"ITEM-2","issued":{"date-parts":[["2011"]]},"page":"2-10","publisher":"AICSIT Press","publisher-place":"Singapore","title":"Climate Change and Adaptation in Nigeria : Some Background to Nigeria ' s Climate Change and Adaptation in Nigeria : Some Background to Nigeria ’ s Response - III","type":"paper-conference","volume":"15"},"uris":["http://www.mendeley.com/documents/?uuid=68a9221e-67f1-4004-be44-e74757b4c90f","http://www.mendeley.com/documents/?uuid=eeef9cd4-02e9-4b4a-b743-0bfce790535f"]}],"mendeley":{"formattedCitation":"[21], [22]","plainTextFormattedCitation":"[21], [22]","previouslyFormattedCitation":"(Adesina &amp; Odekunle, 2011; Tran &amp; Brown, 2019)"},"properties":{"noteIndex":0},"schema":"https://github.com/citation-style-language/schema/raw/master/csl-citation.json"}</w:instrText>
      </w:r>
      <w:r w:rsidR="004D7A6B" w:rsidRPr="00502572">
        <w:rPr>
          <w:rFonts w:ascii="Arial" w:hAnsi="Arial" w:cs="Arial"/>
          <w:sz w:val="20"/>
          <w:szCs w:val="20"/>
        </w:rPr>
        <w:fldChar w:fldCharType="separate"/>
      </w:r>
      <w:r w:rsidR="00C80401" w:rsidRPr="00C80401">
        <w:rPr>
          <w:rFonts w:ascii="Arial" w:hAnsi="Arial" w:cs="Arial"/>
          <w:noProof/>
          <w:sz w:val="20"/>
          <w:szCs w:val="20"/>
        </w:rPr>
        <w:t>[21], [22]</w:t>
      </w:r>
      <w:r w:rsidR="004D7A6B" w:rsidRPr="00502572">
        <w:rPr>
          <w:rFonts w:ascii="Arial" w:hAnsi="Arial" w:cs="Arial"/>
          <w:sz w:val="20"/>
          <w:szCs w:val="20"/>
        </w:rPr>
        <w:fldChar w:fldCharType="end"/>
      </w:r>
      <w:r w:rsidR="008B7995" w:rsidRPr="00502572">
        <w:rPr>
          <w:rFonts w:ascii="Arial" w:hAnsi="Arial" w:cs="Arial"/>
          <w:sz w:val="20"/>
          <w:szCs w:val="20"/>
        </w:rPr>
        <w:t xml:space="preserve">. In addition to </w:t>
      </w:r>
      <w:r w:rsidR="00804C24" w:rsidRPr="00502572">
        <w:rPr>
          <w:rFonts w:ascii="Arial" w:hAnsi="Arial" w:cs="Arial"/>
          <w:sz w:val="20"/>
          <w:szCs w:val="20"/>
        </w:rPr>
        <w:t>that,</w:t>
      </w:r>
      <w:r w:rsidR="008B7995" w:rsidRPr="00502572">
        <w:rPr>
          <w:rFonts w:ascii="Arial" w:hAnsi="Arial" w:cs="Arial"/>
          <w:sz w:val="20"/>
          <w:szCs w:val="20"/>
        </w:rPr>
        <w:t xml:space="preserve"> the practice of the agroforestry in the </w:t>
      </w:r>
      <w:r w:rsidR="00BB0BCA" w:rsidRPr="00502572">
        <w:rPr>
          <w:rFonts w:ascii="Arial" w:hAnsi="Arial" w:cs="Arial"/>
          <w:sz w:val="20"/>
          <w:szCs w:val="20"/>
        </w:rPr>
        <w:t>Department</w:t>
      </w:r>
      <w:r w:rsidR="008B7995" w:rsidRPr="00502572">
        <w:rPr>
          <w:rFonts w:ascii="Arial" w:hAnsi="Arial" w:cs="Arial"/>
          <w:sz w:val="20"/>
          <w:szCs w:val="20"/>
        </w:rPr>
        <w:t xml:space="preserve"> of Balleyara is an </w:t>
      </w:r>
      <w:r w:rsidR="00BB0BCA" w:rsidRPr="00502572">
        <w:rPr>
          <w:rFonts w:ascii="Arial" w:hAnsi="Arial" w:cs="Arial"/>
          <w:sz w:val="20"/>
          <w:szCs w:val="20"/>
        </w:rPr>
        <w:t>indicator</w:t>
      </w:r>
      <w:r w:rsidR="008B7995" w:rsidRPr="00502572">
        <w:rPr>
          <w:rFonts w:ascii="Arial" w:hAnsi="Arial" w:cs="Arial"/>
          <w:sz w:val="20"/>
          <w:szCs w:val="20"/>
        </w:rPr>
        <w:t xml:space="preserve"> of land use management that </w:t>
      </w:r>
      <w:r w:rsidR="008B7995" w:rsidRPr="00502572">
        <w:rPr>
          <w:rFonts w:ascii="Arial" w:hAnsi="Arial" w:cs="Arial"/>
          <w:sz w:val="20"/>
          <w:szCs w:val="20"/>
        </w:rPr>
        <w:lastRenderedPageBreak/>
        <w:t>keeps the woody species in the croplands for various functions such as land restoration and biodiversity c</w:t>
      </w:r>
      <w:r w:rsidR="00A21F56" w:rsidRPr="00502572">
        <w:rPr>
          <w:rFonts w:ascii="Arial" w:hAnsi="Arial" w:cs="Arial"/>
          <w:sz w:val="20"/>
          <w:szCs w:val="20"/>
        </w:rPr>
        <w:t>onservation</w:t>
      </w:r>
      <w:r w:rsidR="008B7995" w:rsidRPr="00502572">
        <w:rPr>
          <w:rFonts w:ascii="Arial" w:hAnsi="Arial" w:cs="Arial"/>
          <w:sz w:val="20"/>
          <w:szCs w:val="20"/>
        </w:rPr>
        <w:t>. One of the implication</w:t>
      </w:r>
      <w:r w:rsidR="007E6497" w:rsidRPr="00502572">
        <w:rPr>
          <w:rFonts w:ascii="Arial" w:hAnsi="Arial" w:cs="Arial"/>
          <w:sz w:val="20"/>
          <w:szCs w:val="20"/>
        </w:rPr>
        <w:t>s</w:t>
      </w:r>
      <w:r w:rsidR="008B7995" w:rsidRPr="00502572">
        <w:rPr>
          <w:rFonts w:ascii="Arial" w:hAnsi="Arial" w:cs="Arial"/>
          <w:sz w:val="20"/>
          <w:szCs w:val="20"/>
        </w:rPr>
        <w:t xml:space="preserve"> of having agroforestry parklands is that they constitute a key </w:t>
      </w:r>
      <w:r w:rsidR="00BB0BCA" w:rsidRPr="00502572">
        <w:rPr>
          <w:rFonts w:ascii="Arial" w:hAnsi="Arial" w:cs="Arial"/>
          <w:sz w:val="20"/>
          <w:szCs w:val="20"/>
        </w:rPr>
        <w:t>land</w:t>
      </w:r>
      <w:r w:rsidR="008B7995" w:rsidRPr="00502572">
        <w:rPr>
          <w:rFonts w:ascii="Arial" w:hAnsi="Arial" w:cs="Arial"/>
          <w:sz w:val="20"/>
          <w:szCs w:val="20"/>
        </w:rPr>
        <w:t xml:space="preserve"> ecosystems characteristics of drylands region </w:t>
      </w:r>
      <w:r w:rsidR="00BB0BCA" w:rsidRPr="00502572">
        <w:rPr>
          <w:rFonts w:ascii="Arial" w:hAnsi="Arial" w:cs="Arial"/>
          <w:sz w:val="20"/>
          <w:szCs w:val="20"/>
        </w:rPr>
        <w:t>to</w:t>
      </w:r>
      <w:r w:rsidR="00804C24" w:rsidRPr="00502572">
        <w:rPr>
          <w:rFonts w:ascii="Arial" w:hAnsi="Arial" w:cs="Arial"/>
          <w:sz w:val="20"/>
          <w:szCs w:val="20"/>
        </w:rPr>
        <w:t xml:space="preserve"> </w:t>
      </w:r>
      <w:r w:rsidR="00BB0BCA" w:rsidRPr="00502572">
        <w:rPr>
          <w:rFonts w:ascii="Arial" w:hAnsi="Arial" w:cs="Arial"/>
          <w:sz w:val="20"/>
          <w:szCs w:val="20"/>
        </w:rPr>
        <w:t>mitigate</w:t>
      </w:r>
      <w:r w:rsidR="00804C24" w:rsidRPr="00502572">
        <w:rPr>
          <w:rFonts w:ascii="Arial" w:hAnsi="Arial" w:cs="Arial"/>
          <w:sz w:val="20"/>
          <w:szCs w:val="20"/>
        </w:rPr>
        <w:t xml:space="preserve"> climate change </w:t>
      </w:r>
      <w:r w:rsidR="004D7A6B" w:rsidRPr="00502572">
        <w:rPr>
          <w:rFonts w:ascii="Arial" w:hAnsi="Arial" w:cs="Arial"/>
          <w:sz w:val="20"/>
          <w:szCs w:val="20"/>
        </w:rPr>
        <w:fldChar w:fldCharType="begin" w:fldLock="1"/>
      </w:r>
      <w:r w:rsidR="00C80401">
        <w:rPr>
          <w:rFonts w:ascii="Arial" w:hAnsi="Arial" w:cs="Arial"/>
          <w:sz w:val="20"/>
          <w:szCs w:val="20"/>
        </w:rPr>
        <w:instrText>ADDIN CSL_CITATION {"citationItems":[{"id":"ITEM-1","itemData":{"DOI":"10.1007/s10457-019-00383-7","ISBN":"0123456789","ISSN":"1572-9680","author":[{"dropping-particle":"","family":"Reppin","given":"Saskia","non-dropping-particle":"","parse-names":false,"suffix":""},{"dropping-particle":"","family":"Kuyah","given":"Shem","non-dropping-particle":"","parse-names":false,"suffix":""}],"container-title":"Agroforestry Systems","id":"ITEM-1","issue":"May","issued":{"date-parts":[["2019"]]},"publisher":"Springer Netherlands","title":"Contribution of agroforestry to climate change mitigation and livelihoods in Contribution of agroforestry to climate change mitigation and livelihoods in Western Kenya","type":"article-journal","volume":"7"},"uris":["http://www.mendeley.com/documents/?uuid=7a8ef3d6-1bf1-498c-8c68-8426044da6ac","http://www.mendeley.com/documents/?uuid=c0de3888-4a27-4733-a3c9-024e2186f29c"]},{"id":"ITEM-2","itemData":{"DOI":"10.1016/j.envsci.2017.05.018","ISSN":"18736416","abstract":"Climate change adaptation now occupies central stage on the agenda of most environmental initiatives in Africa. Our current understanding on the state of adaptation is limited, however, both globally and in Africa in particular. This study examines the status of adaptation in the Sahel by reviewing the primary peer review literature that reports concrete climate change adaptation actions. Based on an analysis of 70 peer review papers that document 414 discrete adaptations, we create a snap shot of adaptations developed between 1975 and 2015, and also calculate the percentages of adaptation. The results show that from a country to country perspective, Kenya has the highest number of reported adaptation actions (75 or 18.1%). The percentages indicate that the adaptive capacity of the entire study area is generally low for all the countries being that the highest country-level percentage is recorded in Kenya and it is 18%. Regionally, West Africa has more adaptation actions (261 or 63%) when compared to other regions of the Sahel. Regional level percentages suggest a higher level of adaptation at the regional level being that the percentage falls within the high scale range. The most commonly used adaptation actions reported are income diversification and water harnessing respectively. When categorized, technically related adaptation actions dominate the adaptation charts. The decade 2008–2016 recorded the highest number of adaptations (65.2%). Adaptation actions are also reported to be triggered by climatic and non-climatic drivers which both record high frequencies but the climatic drivers (98%) of adaptation are slightly dominant relative to the non-climatic drivers (95%). These results should be viewed as proxies of climate change adaptation as much information may be found in grey literature and non-peer review national communications which are left out here because of their relative low standardization and acceptability due to the absence of peer review.","author":[{"dropping-particle":"","family":"Epule","given":"Terence Epule","non-dropping-particle":"","parse-names":false,"suffix":""},{"dropping-particle":"","family":"Ford","given":"James D.","non-dropping-particle":"","parse-names":false,"suffix":""},{"dropping-particle":"","family":"Lwasa","given":"Shuaib","non-dropping-particle":"","parse-names":false,"suffix":""},{"dropping-particle":"","family":"Lepage","given":"Laurent","non-dropping-particle":"","parse-names":false,"suffix":""}],"container-title":"Environmental Science and Policy","id":"ITEM-2","issue":"May","issued":{"date-parts":[["2017"]]},"page":"121-137","publisher":"Elsevier","title":"Climate change adaptation in the Sahel","type":"article-journal","volume":"75"},"uris":["http://www.mendeley.com/documents/?uuid=993bd08e-4d6b-411d-a621-f2771e0e90dd","http://www.mendeley.com/documents/?uuid=9a29b5b1-eabc-4217-bc93-e4e77f837ef5"]}],"mendeley":{"formattedCitation":"[23], [24]","plainTextFormattedCitation":"[23], [24]","previouslyFormattedCitation":"(Epule et al., 2017; Reppin &amp; Kuyah, 2019)"},"properties":{"noteIndex":0},"schema":"https://github.com/citation-style-language/schema/raw/master/csl-citation.json"}</w:instrText>
      </w:r>
      <w:r w:rsidR="004D7A6B" w:rsidRPr="00502572">
        <w:rPr>
          <w:rFonts w:ascii="Arial" w:hAnsi="Arial" w:cs="Arial"/>
          <w:sz w:val="20"/>
          <w:szCs w:val="20"/>
        </w:rPr>
        <w:fldChar w:fldCharType="separate"/>
      </w:r>
      <w:r w:rsidR="00C80401" w:rsidRPr="00C80401">
        <w:rPr>
          <w:rFonts w:ascii="Arial" w:hAnsi="Arial" w:cs="Arial"/>
          <w:noProof/>
          <w:sz w:val="20"/>
          <w:szCs w:val="20"/>
        </w:rPr>
        <w:t>[23], [24]</w:t>
      </w:r>
      <w:r w:rsidR="004D7A6B" w:rsidRPr="00502572">
        <w:rPr>
          <w:rFonts w:ascii="Arial" w:hAnsi="Arial" w:cs="Arial"/>
          <w:sz w:val="20"/>
          <w:szCs w:val="20"/>
        </w:rPr>
        <w:fldChar w:fldCharType="end"/>
      </w:r>
      <w:r w:rsidR="008B7995" w:rsidRPr="00502572">
        <w:rPr>
          <w:rFonts w:ascii="Arial" w:hAnsi="Arial" w:cs="Arial"/>
          <w:sz w:val="20"/>
          <w:szCs w:val="20"/>
        </w:rPr>
        <w:t xml:space="preserve"> and to</w:t>
      </w:r>
      <w:r w:rsidR="00017037" w:rsidRPr="00502572">
        <w:rPr>
          <w:rFonts w:ascii="Arial" w:hAnsi="Arial" w:cs="Arial"/>
          <w:sz w:val="20"/>
          <w:szCs w:val="20"/>
        </w:rPr>
        <w:t xml:space="preserve"> improve household livelihoods </w:t>
      </w:r>
      <w:r w:rsidR="004D7A6B" w:rsidRPr="00502572">
        <w:rPr>
          <w:rFonts w:ascii="Arial" w:hAnsi="Arial" w:cs="Arial"/>
          <w:sz w:val="20"/>
          <w:szCs w:val="20"/>
        </w:rPr>
        <w:fldChar w:fldCharType="begin" w:fldLock="1"/>
      </w:r>
      <w:r w:rsidR="00C80401">
        <w:rPr>
          <w:rFonts w:ascii="Arial" w:hAnsi="Arial" w:cs="Arial"/>
          <w:sz w:val="20"/>
          <w:szCs w:val="20"/>
        </w:rPr>
        <w:instrText>ADDIN CSL_CITATION {"citationItems":[{"id":"ITEM-1","itemData":{"DOI":"10.1016/j.jenvman.2011.01.027","ISBN":"0301-4797","ISSN":"03014797","PMID":"21458910","abstract":"Farmer Managed Natural Regeneration (FMNR), a set of practices farmers use to foster the growth of indigenous trees on agricultural land, has drawn substantial attention as a contributing factor to a trend of increasing vegetation greenness in the Republic of Niger. This paper identifies drivers of FMNR adoption and assesses its impacts on rural households in the Region of Maradi, Niger, an area covering 42,000 square kilometers. The results show that 26% of households practice a form of FMNR involving both pruning and protecting woody vegetation. Adoption is strongly linked to soil type, market access, and the education level of the head of household. FMNR raises household income and increases crop diversity, household migration rates, and the density and diversity of trees on farmland. It is estimated that FMNR raises the annual gross income of the region by between 17 and 21 million USD and has contributed an additional 900,000 to 1,000,000 trees to the local environment. These findings support the value of continued promotion of FMNR as an inexpensive means of enhancing rural livelihoods and an attractive alternative to reforestation efforts relying on tree planting. © 2011 Elsevier Ltd.","author":[{"dropping-particle":"","family":"Haglund","given":"Eric","non-dropping-particle":"","parse-names":false,"suffix":""},{"dropping-particle":"","family":"Ndjeunga","given":"Jupiter","non-dropping-particle":"","parse-names":false,"suffix":""},{"dropping-particle":"","family":"Snook","given":"Laura","non-dropping-particle":"","parse-names":false,"suffix":""},{"dropping-particle":"","family":"Pasternak","given":"Dov","non-dropping-particle":"","parse-names":false,"suffix":""}],"container-title":"Journal of Environmental Management","id":"ITEM-1","issue":"7","issued":{"date-parts":[["2011"]]},"page":"1696-1705","publisher":"Elsevier Ltd","title":"Dry land tree management for improved household livelihoods: Farmer managed natural regeneration in Niger","type":"article-journal","volume":"92"},"uris":["http://www.mendeley.com/documents/?uuid=3073374b-36c1-4f56-8043-175ed0ee61ea","http://www.mendeley.com/documents/?uuid=00663917-edee-478f-af54-748c6b9b7a8f"]},{"id":"ITEM-2","itemData":{"DOI":"10.1007/s10460-019-09951-0","ISBN":"0123456789","ISSN":"15728366","abstract":"Niger is regularly affected by food insecurity, mainly due to the high sensitivity of its agricultural sector to climate variability. Despite the support from multiple development institutions and households’ willingness to address food security, hunger and malnutrition continue to challenge many vulnerable households. This study aims to analyze household livelihood strategies toward food security and assess factors determining their resilience. To address the issue, cluster analysis and the principal component analysis were used to identify the different livelihood strategies and to construct a resilience index, respectively. Regression analysis was used to identify the most significant factors determining households’ resilience. The results indicate there were six different household types—pastoralist-extensive agriculturalists, farmers, agro-pastoralists, public service employees, entrepreneurs and wage employees—however, the majority of households obtained their livelihood from both agriculture and livestock (agro-pastoral systems). The principal component analysis highlighted that the pastoralist-extensive agriculturalists are the most resilient followed by public service employees, while households focused on wage labor are the least resilient, followed by entrepreneurs. In terms of gender, the study reveals that households headed by men are more resilient than those headed by women. However, the resilience components including income and food access, assets and adaptive capacity are the most correlated with the households’ resilience to food insecurity. Furthermore, the regression analysis results reveal that the household size, crop production, farming experience, livestock size and number of coping strategies are the most significant factors determining household resilience to food insecurity. Consequently, to face the challenges of climate change and food security, rational investments in agriculture are necessary to transit rural household land-use practices to climate-smart agriculture.","author":[{"dropping-particle":"","family":"Ado","given":"Abdou Matsalabi","non-dropping-particle":"","parse-names":false,"suffix":""},{"dropping-particle":"","family":"Savadogo","given":"Patrice","non-dropping-particle":"","parse-names":false,"suffix":""},{"dropping-particle":"","family":"Abdoul-Azize","given":"Hamidou Taffa","non-dropping-particle":"","parse-names":false,"suffix":""}],"container-title":"Agriculture and Human Values","id":"ITEM-2","issue":"4","issued":{"date-parts":[["2019"]]},"page":"747-761","publisher":"Springer Netherlands","title":"Livelihood strategies and household resilience to food insecurity: insight from a farming community in Aguie district of Niger","type":"article-journal","volume":"36"},"uris":["http://www.mendeley.com/documents/?uuid=a4ff4bbc-6e78-430e-b5f0-273bf89b53c6","http://www.mendeley.com/documents/?uuid=8bf9dc13-4f50-48f7-a818-e99aa5dbfa6e"]}],"mendeley":{"formattedCitation":"[25], [26]","plainTextFormattedCitation":"[25], [26]","previouslyFormattedCitation":"(Ado et al., 2019; Haglund et al., 2011)"},"properties":{"noteIndex":0},"schema":"https://github.com/citation-style-language/schema/raw/master/csl-citation.json"}</w:instrText>
      </w:r>
      <w:r w:rsidR="004D7A6B" w:rsidRPr="00502572">
        <w:rPr>
          <w:rFonts w:ascii="Arial" w:hAnsi="Arial" w:cs="Arial"/>
          <w:sz w:val="20"/>
          <w:szCs w:val="20"/>
        </w:rPr>
        <w:fldChar w:fldCharType="separate"/>
      </w:r>
      <w:r w:rsidR="00C80401" w:rsidRPr="00C80401">
        <w:rPr>
          <w:rFonts w:ascii="Arial" w:hAnsi="Arial" w:cs="Arial"/>
          <w:noProof/>
          <w:sz w:val="20"/>
          <w:szCs w:val="20"/>
        </w:rPr>
        <w:t>[25], [26]</w:t>
      </w:r>
      <w:r w:rsidR="004D7A6B" w:rsidRPr="00502572">
        <w:rPr>
          <w:rFonts w:ascii="Arial" w:hAnsi="Arial" w:cs="Arial"/>
          <w:sz w:val="20"/>
          <w:szCs w:val="20"/>
        </w:rPr>
        <w:fldChar w:fldCharType="end"/>
      </w:r>
      <w:r w:rsidR="00017037" w:rsidRPr="00502572">
        <w:rPr>
          <w:rFonts w:ascii="Arial" w:hAnsi="Arial" w:cs="Arial"/>
          <w:sz w:val="20"/>
          <w:szCs w:val="20"/>
        </w:rPr>
        <w:t xml:space="preserve"> and conserve biodiversity</w:t>
      </w:r>
      <w:r w:rsidR="00D85999" w:rsidRPr="00502572">
        <w:rPr>
          <w:rFonts w:ascii="Arial" w:hAnsi="Arial" w:cs="Arial"/>
          <w:sz w:val="20"/>
          <w:szCs w:val="20"/>
        </w:rPr>
        <w:t xml:space="preserve"> </w:t>
      </w:r>
      <w:r w:rsidR="004D7A6B" w:rsidRPr="00502572">
        <w:rPr>
          <w:rFonts w:ascii="Arial" w:hAnsi="Arial" w:cs="Arial"/>
          <w:sz w:val="20"/>
          <w:szCs w:val="20"/>
        </w:rPr>
        <w:fldChar w:fldCharType="begin" w:fldLock="1"/>
      </w:r>
      <w:r w:rsidR="00C80401">
        <w:rPr>
          <w:rFonts w:ascii="Arial" w:hAnsi="Arial" w:cs="Arial"/>
          <w:sz w:val="20"/>
          <w:szCs w:val="20"/>
        </w:rPr>
        <w:instrText>ADDIN CSL_CITATION {"citationItems":[{"id":"ITEM-1","itemData":{"DOI":"10.1007/s10457-009-9229-7","author":[{"dropping-particle":"","family":"Jose","given":"Shibu","non-dropping-particle":"","parse-names":false,"suffix":""}],"container-title":"Agroforestry","id":"ITEM-1","issued":{"date-parts":[["2009"]]},"page":"1-10","title":"Agroforestry for ecosystem services and environmental benefits : an overview","type":"article-journal","volume":"76"},"uris":["http://www.mendeley.com/documents/?uuid=c310e89e-3c2d-474f-93e8-a6b27351a148","http://www.mendeley.com/documents/?uuid=738cd7f5-82b7-4e5e-aa96-8ccc2f354793"]}],"mendeley":{"formattedCitation":"[27]","plainTextFormattedCitation":"[27]","previouslyFormattedCitation":"(Jose, 2009)"},"properties":{"noteIndex":0},"schema":"https://github.com/citation-style-language/schema/raw/master/csl-citation.json"}</w:instrText>
      </w:r>
      <w:r w:rsidR="004D7A6B" w:rsidRPr="00502572">
        <w:rPr>
          <w:rFonts w:ascii="Arial" w:hAnsi="Arial" w:cs="Arial"/>
          <w:sz w:val="20"/>
          <w:szCs w:val="20"/>
        </w:rPr>
        <w:fldChar w:fldCharType="separate"/>
      </w:r>
      <w:r w:rsidR="00C80401" w:rsidRPr="00C80401">
        <w:rPr>
          <w:rFonts w:ascii="Arial" w:hAnsi="Arial" w:cs="Arial"/>
          <w:noProof/>
          <w:sz w:val="20"/>
          <w:szCs w:val="20"/>
        </w:rPr>
        <w:t>[27]</w:t>
      </w:r>
      <w:r w:rsidR="004D7A6B" w:rsidRPr="00502572">
        <w:rPr>
          <w:rFonts w:ascii="Arial" w:hAnsi="Arial" w:cs="Arial"/>
          <w:sz w:val="20"/>
          <w:szCs w:val="20"/>
        </w:rPr>
        <w:fldChar w:fldCharType="end"/>
      </w:r>
      <w:r w:rsidR="008B7995" w:rsidRPr="00502572">
        <w:rPr>
          <w:rFonts w:ascii="Arial" w:hAnsi="Arial" w:cs="Arial"/>
          <w:sz w:val="20"/>
          <w:szCs w:val="20"/>
        </w:rPr>
        <w:t xml:space="preserve">. </w:t>
      </w:r>
      <w:r w:rsidR="00BB0BCA" w:rsidRPr="00502572">
        <w:rPr>
          <w:rFonts w:ascii="Arial" w:hAnsi="Arial" w:cs="Arial"/>
          <w:sz w:val="20"/>
          <w:szCs w:val="20"/>
        </w:rPr>
        <w:t>In addition,</w:t>
      </w:r>
      <w:r w:rsidR="008B7995" w:rsidRPr="00502572">
        <w:rPr>
          <w:rFonts w:ascii="Arial" w:hAnsi="Arial" w:cs="Arial"/>
          <w:sz w:val="20"/>
          <w:szCs w:val="20"/>
        </w:rPr>
        <w:t xml:space="preserve"> the </w:t>
      </w:r>
      <w:r w:rsidR="00BB0BCA" w:rsidRPr="00502572">
        <w:rPr>
          <w:rFonts w:ascii="Arial" w:hAnsi="Arial" w:cs="Arial"/>
          <w:sz w:val="20"/>
          <w:szCs w:val="20"/>
        </w:rPr>
        <w:t>result</w:t>
      </w:r>
      <w:r w:rsidR="008B7995" w:rsidRPr="00502572">
        <w:rPr>
          <w:rFonts w:ascii="Arial" w:hAnsi="Arial" w:cs="Arial"/>
          <w:sz w:val="20"/>
          <w:szCs w:val="20"/>
        </w:rPr>
        <w:t xml:space="preserve"> </w:t>
      </w:r>
      <w:r w:rsidR="00BB0BCA" w:rsidRPr="00502572">
        <w:rPr>
          <w:rFonts w:ascii="Arial" w:hAnsi="Arial" w:cs="Arial"/>
          <w:sz w:val="20"/>
          <w:szCs w:val="20"/>
        </w:rPr>
        <w:t>found out</w:t>
      </w:r>
      <w:r w:rsidR="008B7995" w:rsidRPr="00502572">
        <w:rPr>
          <w:rFonts w:ascii="Arial" w:hAnsi="Arial" w:cs="Arial"/>
          <w:sz w:val="20"/>
          <w:szCs w:val="20"/>
        </w:rPr>
        <w:t xml:space="preserve"> </w:t>
      </w:r>
      <w:r w:rsidR="00BB0BCA" w:rsidRPr="00502572">
        <w:rPr>
          <w:rFonts w:ascii="Arial" w:hAnsi="Arial" w:cs="Arial"/>
          <w:sz w:val="20"/>
          <w:szCs w:val="20"/>
        </w:rPr>
        <w:t>the</w:t>
      </w:r>
      <w:r w:rsidR="008B7995" w:rsidRPr="00502572">
        <w:rPr>
          <w:rFonts w:ascii="Arial" w:hAnsi="Arial" w:cs="Arial"/>
          <w:sz w:val="20"/>
          <w:szCs w:val="20"/>
        </w:rPr>
        <w:t xml:space="preserve"> two main types of agroforestry parklands, which are agroforestry parklands, based on </w:t>
      </w:r>
      <w:r w:rsidR="008B7995" w:rsidRPr="00502572">
        <w:rPr>
          <w:rFonts w:ascii="Arial" w:hAnsi="Arial" w:cs="Arial"/>
          <w:i/>
          <w:sz w:val="20"/>
          <w:szCs w:val="20"/>
        </w:rPr>
        <w:t>Faidherbia albida</w:t>
      </w:r>
      <w:r w:rsidR="008B7995" w:rsidRPr="00502572">
        <w:rPr>
          <w:rFonts w:ascii="Arial" w:hAnsi="Arial" w:cs="Arial"/>
          <w:sz w:val="20"/>
          <w:szCs w:val="20"/>
        </w:rPr>
        <w:t xml:space="preserve"> and </w:t>
      </w:r>
      <w:r w:rsidR="008B7995" w:rsidRPr="00502572">
        <w:rPr>
          <w:rFonts w:ascii="Arial" w:hAnsi="Arial" w:cs="Arial"/>
          <w:i/>
          <w:sz w:val="20"/>
          <w:szCs w:val="20"/>
        </w:rPr>
        <w:t xml:space="preserve">Balanites </w:t>
      </w:r>
      <w:r w:rsidR="00CC7440" w:rsidRPr="00502572">
        <w:rPr>
          <w:rFonts w:ascii="Arial" w:hAnsi="Arial" w:cs="Arial"/>
          <w:i/>
          <w:sz w:val="20"/>
          <w:szCs w:val="20"/>
        </w:rPr>
        <w:t>a</w:t>
      </w:r>
      <w:r w:rsidR="008B7995" w:rsidRPr="00502572">
        <w:rPr>
          <w:rFonts w:ascii="Arial" w:hAnsi="Arial" w:cs="Arial"/>
          <w:i/>
          <w:sz w:val="20"/>
          <w:szCs w:val="20"/>
        </w:rPr>
        <w:t>egyptiaca</w:t>
      </w:r>
      <w:r w:rsidR="008B7995" w:rsidRPr="00502572">
        <w:rPr>
          <w:rFonts w:ascii="Arial" w:hAnsi="Arial" w:cs="Arial"/>
          <w:sz w:val="20"/>
          <w:szCs w:val="20"/>
        </w:rPr>
        <w:t xml:space="preserve">. This demonstrates that the rural population </w:t>
      </w:r>
      <w:r w:rsidR="00E4797B" w:rsidRPr="00502572">
        <w:rPr>
          <w:rFonts w:ascii="Arial" w:hAnsi="Arial" w:cs="Arial"/>
          <w:sz w:val="20"/>
          <w:szCs w:val="20"/>
        </w:rPr>
        <w:t>participate</w:t>
      </w:r>
      <w:r w:rsidR="008B7995" w:rsidRPr="00502572">
        <w:rPr>
          <w:rFonts w:ascii="Arial" w:hAnsi="Arial" w:cs="Arial"/>
          <w:sz w:val="20"/>
          <w:szCs w:val="20"/>
        </w:rPr>
        <w:t xml:space="preserve"> in the typology of </w:t>
      </w:r>
      <w:r w:rsidR="00E4797B" w:rsidRPr="00502572">
        <w:rPr>
          <w:rFonts w:ascii="Arial" w:hAnsi="Arial" w:cs="Arial"/>
          <w:sz w:val="20"/>
          <w:szCs w:val="20"/>
        </w:rPr>
        <w:t>agroforestry ecosystems</w:t>
      </w:r>
      <w:r w:rsidR="008B7995" w:rsidRPr="00502572">
        <w:rPr>
          <w:rFonts w:ascii="Arial" w:hAnsi="Arial" w:cs="Arial"/>
          <w:sz w:val="20"/>
          <w:szCs w:val="20"/>
        </w:rPr>
        <w:t xml:space="preserve"> based on the selection of </w:t>
      </w:r>
      <w:r w:rsidR="00E4797B" w:rsidRPr="00502572">
        <w:rPr>
          <w:rFonts w:ascii="Arial" w:hAnsi="Arial" w:cs="Arial"/>
          <w:sz w:val="20"/>
          <w:szCs w:val="20"/>
        </w:rPr>
        <w:t xml:space="preserve">multiple purpose tree species as reported </w:t>
      </w:r>
      <w:r w:rsidR="004D7A6B" w:rsidRPr="00502572">
        <w:rPr>
          <w:rFonts w:ascii="Arial" w:hAnsi="Arial" w:cs="Arial"/>
          <w:sz w:val="20"/>
          <w:szCs w:val="20"/>
        </w:rPr>
        <w:fldChar w:fldCharType="begin" w:fldLock="1"/>
      </w:r>
      <w:r w:rsidR="00C80401">
        <w:rPr>
          <w:rFonts w:ascii="Arial" w:hAnsi="Arial" w:cs="Arial"/>
          <w:sz w:val="20"/>
          <w:szCs w:val="20"/>
        </w:rPr>
        <w:instrText>ADDIN CSL_CITATION {"citationItems":[{"id":"ITEM-1","itemData":{"author":[{"dropping-particle":"","family":"Mahamane","given":"Ali","non-dropping-particle":"","parse-names":false,"suffix":""}],"id":"ITEM-1","issued":{"date-parts":[["1997"]]},"number-of-pages":"1-228","publisher":"Universite de Ouagadougou","title":"Structure, Fonctionnement et Dynamique des Parcs Agroforestiers Dans L'Ouest du Niger","type":"thesis"},"uris":["http://www.mendeley.com/documents/?uuid=9e879c9d-6187-4cbb-852a-8deb47a72c9b","http://www.mendeley.com/documents/?uuid=1b31a653-c90c-4628-bd81-7fa086c9ae07"]},{"id":"ITEM-2","itemData":{"author":[{"dropping-particle":"","family":"Chev","given":"Del A","non-dropping-particle":"","parse-names":false,"suffix":""},{"dropping-particle":"","family":"Taub","given":"Rich","non-dropping-particle":"","parse-names":false,"suffix":""}],"id":"ITEM-2","issued":{"date-parts":[["2015"]]},"page":"8890-8906","title":"Caractérisation des peuplements ligneux des parcs à Faidherbia albida (Del) A. Chev. et à Prosopis africana (Guill., Perrot et Rich.) Taub. du Centre-Sud Nigérien. 1","type":"article-journal"},"uris":["http://www.mendeley.com/documents/?uuid=e356b0e6-4421-4cd3-98b6-7a8f7edb34aa","http://www.mendeley.com/documents/?uuid=f6a0b38c-1cf8-4f58-b9a1-a3d73c22d9fe"]}],"mendeley":{"formattedCitation":"[28], [29]","plainTextFormattedCitation":"[28], [29]","previouslyFormattedCitation":"(Chev &amp; Taub, 2015; Mahamane, 1997)"},"properties":{"noteIndex":0},"schema":"https://github.com/citation-style-language/schema/raw/master/csl-citation.json"}</w:instrText>
      </w:r>
      <w:r w:rsidR="004D7A6B" w:rsidRPr="00502572">
        <w:rPr>
          <w:rFonts w:ascii="Arial" w:hAnsi="Arial" w:cs="Arial"/>
          <w:sz w:val="20"/>
          <w:szCs w:val="20"/>
        </w:rPr>
        <w:fldChar w:fldCharType="separate"/>
      </w:r>
      <w:r w:rsidR="00C80401" w:rsidRPr="00C80401">
        <w:rPr>
          <w:rFonts w:ascii="Arial" w:hAnsi="Arial" w:cs="Arial"/>
          <w:noProof/>
          <w:sz w:val="20"/>
          <w:szCs w:val="20"/>
        </w:rPr>
        <w:t>[28], [29]</w:t>
      </w:r>
      <w:r w:rsidR="004D7A6B" w:rsidRPr="00502572">
        <w:rPr>
          <w:rFonts w:ascii="Arial" w:hAnsi="Arial" w:cs="Arial"/>
          <w:sz w:val="20"/>
          <w:szCs w:val="20"/>
        </w:rPr>
        <w:fldChar w:fldCharType="end"/>
      </w:r>
      <w:r w:rsidR="00BB0BCA" w:rsidRPr="00502572">
        <w:rPr>
          <w:rFonts w:ascii="Arial" w:hAnsi="Arial" w:cs="Arial"/>
          <w:sz w:val="20"/>
          <w:szCs w:val="20"/>
        </w:rPr>
        <w:t>. T</w:t>
      </w:r>
      <w:r w:rsidR="00E4797B" w:rsidRPr="00502572">
        <w:rPr>
          <w:rFonts w:ascii="Arial" w:hAnsi="Arial" w:cs="Arial"/>
          <w:sz w:val="20"/>
          <w:szCs w:val="20"/>
        </w:rPr>
        <w:t xml:space="preserve">he agroforestry parklands based on the </w:t>
      </w:r>
      <w:r w:rsidR="00E4797B" w:rsidRPr="00502572">
        <w:rPr>
          <w:rFonts w:ascii="Arial" w:hAnsi="Arial" w:cs="Arial"/>
          <w:i/>
          <w:sz w:val="20"/>
          <w:szCs w:val="20"/>
        </w:rPr>
        <w:t xml:space="preserve">Faidherbia albida </w:t>
      </w:r>
      <w:r w:rsidR="00710AB1" w:rsidRPr="00502572">
        <w:rPr>
          <w:rFonts w:ascii="Arial" w:hAnsi="Arial" w:cs="Arial"/>
          <w:sz w:val="20"/>
          <w:szCs w:val="20"/>
        </w:rPr>
        <w:t xml:space="preserve">has been </w:t>
      </w:r>
      <w:r w:rsidR="00BB0BCA" w:rsidRPr="00502572">
        <w:rPr>
          <w:rFonts w:ascii="Arial" w:hAnsi="Arial" w:cs="Arial"/>
          <w:sz w:val="20"/>
          <w:szCs w:val="20"/>
        </w:rPr>
        <w:t xml:space="preserve">already </w:t>
      </w:r>
      <w:r w:rsidR="00710AB1" w:rsidRPr="00502572">
        <w:rPr>
          <w:rFonts w:ascii="Arial" w:hAnsi="Arial" w:cs="Arial"/>
          <w:sz w:val="20"/>
          <w:szCs w:val="20"/>
        </w:rPr>
        <w:t>reported</w:t>
      </w:r>
      <w:r w:rsidR="00BB0BCA" w:rsidRPr="00502572">
        <w:rPr>
          <w:rFonts w:ascii="Arial" w:hAnsi="Arial" w:cs="Arial"/>
          <w:sz w:val="20"/>
          <w:szCs w:val="20"/>
        </w:rPr>
        <w:t xml:space="preserve"> </w:t>
      </w:r>
      <w:r w:rsidR="00A563BE" w:rsidRPr="00502572">
        <w:rPr>
          <w:rFonts w:ascii="Arial" w:hAnsi="Arial" w:cs="Arial"/>
          <w:sz w:val="20"/>
          <w:szCs w:val="20"/>
        </w:rPr>
        <w:t xml:space="preserve">as a socio-economic and ecological tree in West Africa Sahel region </w:t>
      </w:r>
      <w:r w:rsidR="004D7A6B" w:rsidRPr="00502572">
        <w:rPr>
          <w:rFonts w:ascii="Arial" w:hAnsi="Arial" w:cs="Arial"/>
          <w:sz w:val="20"/>
          <w:szCs w:val="20"/>
        </w:rPr>
        <w:fldChar w:fldCharType="begin" w:fldLock="1"/>
      </w:r>
      <w:r w:rsidR="00C80401">
        <w:rPr>
          <w:rFonts w:ascii="Arial" w:hAnsi="Arial" w:cs="Arial"/>
          <w:sz w:val="20"/>
          <w:szCs w:val="20"/>
        </w:rPr>
        <w:instrText>ADDIN CSL_CITATION {"citationItems":[{"id":"ITEM-1","itemData":{"author":[{"dropping-particle":"","family":"Mahamane","given":"Ali","non-dropping-particle":"","parse-names":false,"suffix":""}],"id":"ITEM-1","issued":{"date-parts":[["1997"]]},"number-of-pages":"1-228","publisher":"Universite de Ouagadougou","title":"Structure, Fonctionnement et Dynamique des Parcs Agroforestiers Dans L'Ouest du Niger","type":"thesis"},"uris":["http://www.mendeley.com/documents/?uuid=1b31a653-c90c-4628-bd81-7fa086c9ae07","http://www.mendeley.com/documents/?uuid=9e879c9d-6187-4cbb-852a-8deb47a72c9b"]}],"mendeley":{"formattedCitation":"[28]","plainTextFormattedCitation":"[28]","previouslyFormattedCitation":"(Mahamane, 1997)"},"properties":{"noteIndex":0},"schema":"https://github.com/citation-style-language/schema/raw/master/csl-citation.json"}</w:instrText>
      </w:r>
      <w:r w:rsidR="004D7A6B" w:rsidRPr="00502572">
        <w:rPr>
          <w:rFonts w:ascii="Arial" w:hAnsi="Arial" w:cs="Arial"/>
          <w:sz w:val="20"/>
          <w:szCs w:val="20"/>
        </w:rPr>
        <w:fldChar w:fldCharType="separate"/>
      </w:r>
      <w:r w:rsidR="00C80401" w:rsidRPr="00C80401">
        <w:rPr>
          <w:rFonts w:ascii="Arial" w:hAnsi="Arial" w:cs="Arial"/>
          <w:noProof/>
          <w:sz w:val="20"/>
          <w:szCs w:val="20"/>
        </w:rPr>
        <w:t>[28]</w:t>
      </w:r>
      <w:r w:rsidR="004D7A6B" w:rsidRPr="00502572">
        <w:rPr>
          <w:rFonts w:ascii="Arial" w:hAnsi="Arial" w:cs="Arial"/>
          <w:sz w:val="20"/>
          <w:szCs w:val="20"/>
        </w:rPr>
        <w:fldChar w:fldCharType="end"/>
      </w:r>
      <w:r w:rsidR="00BB0BCA" w:rsidRPr="00502572">
        <w:rPr>
          <w:rFonts w:ascii="Arial" w:hAnsi="Arial" w:cs="Arial"/>
          <w:sz w:val="20"/>
          <w:szCs w:val="20"/>
        </w:rPr>
        <w:t>.</w:t>
      </w:r>
      <w:r w:rsidR="00A563BE" w:rsidRPr="00502572">
        <w:rPr>
          <w:rFonts w:ascii="Arial" w:hAnsi="Arial" w:cs="Arial"/>
          <w:sz w:val="20"/>
          <w:szCs w:val="20"/>
        </w:rPr>
        <w:t xml:space="preserve"> </w:t>
      </w:r>
      <w:r w:rsidR="007E6497" w:rsidRPr="00502572">
        <w:rPr>
          <w:rFonts w:ascii="Arial" w:hAnsi="Arial" w:cs="Arial"/>
          <w:sz w:val="20"/>
          <w:szCs w:val="20"/>
        </w:rPr>
        <w:t>The</w:t>
      </w:r>
      <w:r w:rsidR="00B0011E" w:rsidRPr="00502572">
        <w:rPr>
          <w:rFonts w:ascii="Arial" w:hAnsi="Arial" w:cs="Arial"/>
          <w:sz w:val="20"/>
          <w:szCs w:val="20"/>
        </w:rPr>
        <w:t>se</w:t>
      </w:r>
      <w:r w:rsidR="007E6497" w:rsidRPr="00502572">
        <w:rPr>
          <w:rFonts w:ascii="Arial" w:hAnsi="Arial" w:cs="Arial"/>
          <w:sz w:val="20"/>
          <w:szCs w:val="20"/>
        </w:rPr>
        <w:t xml:space="preserve"> agroforestry parklands based on</w:t>
      </w:r>
      <w:r w:rsidR="000A5725" w:rsidRPr="00502572">
        <w:rPr>
          <w:rFonts w:ascii="Arial" w:hAnsi="Arial" w:cs="Arial"/>
          <w:sz w:val="20"/>
          <w:szCs w:val="20"/>
        </w:rPr>
        <w:t xml:space="preserve"> </w:t>
      </w:r>
      <w:r w:rsidR="000A5725" w:rsidRPr="00502572">
        <w:rPr>
          <w:rFonts w:ascii="Arial" w:hAnsi="Arial" w:cs="Arial"/>
          <w:i/>
          <w:iCs/>
          <w:sz w:val="20"/>
          <w:szCs w:val="20"/>
        </w:rPr>
        <w:t>Faidherbia albida</w:t>
      </w:r>
      <w:r w:rsidR="000A5725" w:rsidRPr="00502572">
        <w:rPr>
          <w:rFonts w:ascii="Arial" w:hAnsi="Arial" w:cs="Arial"/>
          <w:sz w:val="20"/>
          <w:szCs w:val="20"/>
        </w:rPr>
        <w:t xml:space="preserve"> and </w:t>
      </w:r>
      <w:r w:rsidR="00CC7440" w:rsidRPr="00502572">
        <w:rPr>
          <w:rFonts w:ascii="Arial" w:hAnsi="Arial" w:cs="Arial"/>
          <w:i/>
          <w:iCs/>
          <w:sz w:val="20"/>
          <w:szCs w:val="20"/>
        </w:rPr>
        <w:t>Balanites a</w:t>
      </w:r>
      <w:r w:rsidR="000A5725" w:rsidRPr="00502572">
        <w:rPr>
          <w:rFonts w:ascii="Arial" w:hAnsi="Arial" w:cs="Arial"/>
          <w:i/>
          <w:iCs/>
          <w:sz w:val="20"/>
          <w:szCs w:val="20"/>
        </w:rPr>
        <w:t>egyptiaca</w:t>
      </w:r>
      <w:r w:rsidR="000A5725" w:rsidRPr="00502572">
        <w:rPr>
          <w:rFonts w:ascii="Arial" w:hAnsi="Arial" w:cs="Arial"/>
          <w:sz w:val="20"/>
          <w:szCs w:val="20"/>
        </w:rPr>
        <w:t xml:space="preserve"> are built parklands based on the benefits that the farmers collect from them</w:t>
      </w:r>
      <w:r w:rsidR="00502572" w:rsidRPr="00502572">
        <w:rPr>
          <w:rFonts w:ascii="Arial" w:hAnsi="Arial" w:cs="Arial"/>
          <w:sz w:val="20"/>
          <w:szCs w:val="20"/>
        </w:rPr>
        <w:t xml:space="preserve"> </w:t>
      </w:r>
      <w:r w:rsidR="00502572" w:rsidRPr="00502572">
        <w:rPr>
          <w:rFonts w:ascii="Arial" w:hAnsi="Arial" w:cs="Arial"/>
          <w:sz w:val="20"/>
          <w:szCs w:val="20"/>
        </w:rPr>
        <w:fldChar w:fldCharType="begin" w:fldLock="1"/>
      </w:r>
      <w:r w:rsidR="00C80401">
        <w:rPr>
          <w:rFonts w:ascii="Arial" w:hAnsi="Arial" w:cs="Arial"/>
          <w:sz w:val="20"/>
          <w:szCs w:val="20"/>
        </w:rPr>
        <w:instrText>ADDIN CSL_CITATION {"citationItems":[{"id":"ITEM-1","itemData":{"author":[{"dropping-particle":"","family":"Mahamane","given":"Ali","non-dropping-particle":"","parse-names":false,"suffix":""}],"id":"ITEM-1","issued":{"date-parts":[["1997"]]},"number-of-pages":"1-228","publisher":"Universite de Ouagadougou","title":"Structure, Fonctionnement et Dynamique des Parcs Agroforestiers Dans L'Ouest du Niger","type":"thesis"},"uris":["http://www.mendeley.com/documents/?uuid=9e879c9d-6187-4cbb-852a-8deb47a72c9b"]}],"mendeley":{"formattedCitation":"[28]","plainTextFormattedCitation":"[28]","previouslyFormattedCitation":"(Mahamane, 1997)"},"properties":{"noteIndex":0},"schema":"https://github.com/citation-style-language/schema/raw/master/csl-citation.json"}</w:instrText>
      </w:r>
      <w:r w:rsidR="00502572" w:rsidRPr="00502572">
        <w:rPr>
          <w:rFonts w:ascii="Arial" w:hAnsi="Arial" w:cs="Arial"/>
          <w:sz w:val="20"/>
          <w:szCs w:val="20"/>
        </w:rPr>
        <w:fldChar w:fldCharType="separate"/>
      </w:r>
      <w:r w:rsidR="00C80401" w:rsidRPr="00C80401">
        <w:rPr>
          <w:rFonts w:ascii="Arial" w:hAnsi="Arial" w:cs="Arial"/>
          <w:noProof/>
          <w:sz w:val="20"/>
          <w:szCs w:val="20"/>
        </w:rPr>
        <w:t>[28]</w:t>
      </w:r>
      <w:r w:rsidR="00502572" w:rsidRPr="00502572">
        <w:rPr>
          <w:rFonts w:ascii="Arial" w:hAnsi="Arial" w:cs="Arial"/>
          <w:sz w:val="20"/>
          <w:szCs w:val="20"/>
        </w:rPr>
        <w:fldChar w:fldCharType="end"/>
      </w:r>
      <w:r w:rsidR="000A5725" w:rsidRPr="00502572">
        <w:rPr>
          <w:rFonts w:ascii="Arial" w:hAnsi="Arial" w:cs="Arial"/>
          <w:sz w:val="20"/>
          <w:szCs w:val="20"/>
        </w:rPr>
        <w:t xml:space="preserve">. </w:t>
      </w:r>
      <w:r w:rsidR="0065092F" w:rsidRPr="00502572">
        <w:rPr>
          <w:rFonts w:ascii="Arial" w:hAnsi="Arial" w:cs="Arial"/>
          <w:sz w:val="20"/>
          <w:szCs w:val="20"/>
        </w:rPr>
        <w:t xml:space="preserve">The study also </w:t>
      </w:r>
      <w:r w:rsidR="00A563BE" w:rsidRPr="00502572">
        <w:rPr>
          <w:rFonts w:ascii="Arial" w:hAnsi="Arial" w:cs="Arial"/>
          <w:sz w:val="20"/>
          <w:szCs w:val="20"/>
        </w:rPr>
        <w:t>identified</w:t>
      </w:r>
      <w:r w:rsidR="0065092F" w:rsidRPr="00502572">
        <w:rPr>
          <w:rFonts w:ascii="Arial" w:hAnsi="Arial" w:cs="Arial"/>
          <w:sz w:val="20"/>
          <w:szCs w:val="20"/>
        </w:rPr>
        <w:t xml:space="preserve"> the artificial plantations such as </w:t>
      </w:r>
      <w:r w:rsidR="0065092F" w:rsidRPr="00502572">
        <w:rPr>
          <w:rFonts w:ascii="Arial" w:hAnsi="Arial" w:cs="Arial"/>
          <w:i/>
          <w:sz w:val="20"/>
          <w:szCs w:val="20"/>
        </w:rPr>
        <w:t xml:space="preserve">Eucalyptus camaldulensis </w:t>
      </w:r>
      <w:r w:rsidR="0065092F" w:rsidRPr="00502572">
        <w:rPr>
          <w:rFonts w:ascii="Arial" w:hAnsi="Arial" w:cs="Arial"/>
          <w:sz w:val="20"/>
          <w:szCs w:val="20"/>
        </w:rPr>
        <w:t>plantations</w:t>
      </w:r>
      <w:r w:rsidR="0065092F" w:rsidRPr="00502572">
        <w:rPr>
          <w:rFonts w:ascii="Arial" w:hAnsi="Arial" w:cs="Arial"/>
          <w:i/>
          <w:sz w:val="20"/>
          <w:szCs w:val="20"/>
        </w:rPr>
        <w:t xml:space="preserve"> </w:t>
      </w:r>
      <w:r w:rsidR="0065092F" w:rsidRPr="00502572">
        <w:rPr>
          <w:rFonts w:ascii="Arial" w:hAnsi="Arial" w:cs="Arial"/>
          <w:sz w:val="20"/>
          <w:szCs w:val="20"/>
        </w:rPr>
        <w:t xml:space="preserve">in the </w:t>
      </w:r>
      <w:r w:rsidR="00A563BE" w:rsidRPr="00502572">
        <w:rPr>
          <w:rFonts w:ascii="Arial" w:hAnsi="Arial" w:cs="Arial"/>
          <w:sz w:val="20"/>
          <w:szCs w:val="20"/>
        </w:rPr>
        <w:t>Department</w:t>
      </w:r>
      <w:r w:rsidR="0065092F" w:rsidRPr="00502572">
        <w:rPr>
          <w:rFonts w:ascii="Arial" w:hAnsi="Arial" w:cs="Arial"/>
          <w:sz w:val="20"/>
          <w:szCs w:val="20"/>
        </w:rPr>
        <w:t xml:space="preserve"> of Balleyara. This ecosystem type is an indication of the cultivation of </w:t>
      </w:r>
      <w:r w:rsidR="0065092F" w:rsidRPr="00502572">
        <w:rPr>
          <w:rFonts w:ascii="Arial" w:hAnsi="Arial" w:cs="Arial"/>
          <w:i/>
          <w:sz w:val="20"/>
          <w:szCs w:val="20"/>
        </w:rPr>
        <w:t>Eucalyptus</w:t>
      </w:r>
      <w:r w:rsidR="00057CB1" w:rsidRPr="00502572">
        <w:rPr>
          <w:rFonts w:ascii="Arial" w:hAnsi="Arial" w:cs="Arial"/>
          <w:i/>
          <w:sz w:val="20"/>
          <w:szCs w:val="20"/>
        </w:rPr>
        <w:t xml:space="preserve"> camaldulensis</w:t>
      </w:r>
      <w:r w:rsidR="00B849BF" w:rsidRPr="00502572">
        <w:rPr>
          <w:rFonts w:ascii="Arial" w:hAnsi="Arial" w:cs="Arial"/>
          <w:sz w:val="20"/>
          <w:szCs w:val="20"/>
        </w:rPr>
        <w:t xml:space="preserve"> tree for the timber</w:t>
      </w:r>
      <w:r w:rsidR="0065092F" w:rsidRPr="00502572">
        <w:rPr>
          <w:rFonts w:ascii="Arial" w:hAnsi="Arial" w:cs="Arial"/>
          <w:sz w:val="20"/>
          <w:szCs w:val="20"/>
        </w:rPr>
        <w:t xml:space="preserve"> production</w:t>
      </w:r>
      <w:r w:rsidR="00B849BF" w:rsidRPr="00502572">
        <w:rPr>
          <w:rFonts w:ascii="Arial" w:hAnsi="Arial" w:cs="Arial"/>
          <w:sz w:val="20"/>
          <w:szCs w:val="20"/>
        </w:rPr>
        <w:t xml:space="preserve"> in the </w:t>
      </w:r>
      <w:r w:rsidR="00A563BE" w:rsidRPr="00502572">
        <w:rPr>
          <w:rFonts w:ascii="Arial" w:hAnsi="Arial" w:cs="Arial"/>
          <w:sz w:val="20"/>
          <w:szCs w:val="20"/>
        </w:rPr>
        <w:t xml:space="preserve">Department. </w:t>
      </w:r>
      <w:r w:rsidR="0065092F" w:rsidRPr="00502572">
        <w:rPr>
          <w:rFonts w:ascii="Arial" w:hAnsi="Arial" w:cs="Arial"/>
          <w:sz w:val="20"/>
          <w:szCs w:val="20"/>
        </w:rPr>
        <w:t xml:space="preserve">The cultivation of </w:t>
      </w:r>
      <w:r w:rsidR="008F2676" w:rsidRPr="00502572">
        <w:rPr>
          <w:rFonts w:ascii="Arial" w:hAnsi="Arial" w:cs="Arial"/>
          <w:i/>
          <w:sz w:val="20"/>
          <w:szCs w:val="20"/>
        </w:rPr>
        <w:t>Eucalyptus</w:t>
      </w:r>
      <w:r w:rsidR="0065092F" w:rsidRPr="00502572">
        <w:rPr>
          <w:rFonts w:ascii="Arial" w:hAnsi="Arial" w:cs="Arial"/>
          <w:sz w:val="20"/>
          <w:szCs w:val="20"/>
        </w:rPr>
        <w:t xml:space="preserve"> </w:t>
      </w:r>
      <w:r w:rsidR="00057CB1" w:rsidRPr="00502572">
        <w:rPr>
          <w:rFonts w:ascii="Arial" w:hAnsi="Arial" w:cs="Arial"/>
          <w:i/>
          <w:sz w:val="20"/>
          <w:szCs w:val="20"/>
        </w:rPr>
        <w:t xml:space="preserve">camaldulensis </w:t>
      </w:r>
      <w:r w:rsidR="0065092F" w:rsidRPr="00502572">
        <w:rPr>
          <w:rFonts w:ascii="Arial" w:hAnsi="Arial" w:cs="Arial"/>
          <w:sz w:val="20"/>
          <w:szCs w:val="20"/>
        </w:rPr>
        <w:t>has been reported in West</w:t>
      </w:r>
      <w:r w:rsidR="008F2676" w:rsidRPr="00502572">
        <w:rPr>
          <w:rFonts w:ascii="Arial" w:hAnsi="Arial" w:cs="Arial"/>
          <w:sz w:val="20"/>
          <w:szCs w:val="20"/>
        </w:rPr>
        <w:t xml:space="preserve"> Africa Sahel region by </w:t>
      </w:r>
      <w:r w:rsidR="004D7A6B" w:rsidRPr="00502572">
        <w:rPr>
          <w:rFonts w:ascii="Arial" w:hAnsi="Arial" w:cs="Arial"/>
          <w:sz w:val="20"/>
          <w:szCs w:val="20"/>
        </w:rPr>
        <w:fldChar w:fldCharType="begin" w:fldLock="1"/>
      </w:r>
      <w:r w:rsidR="00C80401">
        <w:rPr>
          <w:rFonts w:ascii="Arial" w:hAnsi="Arial" w:cs="Arial"/>
          <w:sz w:val="20"/>
          <w:szCs w:val="20"/>
        </w:rPr>
        <w:instrText>ADDIN CSL_CITATION {"citationItems":[{"id":"ITEM-1","itemData":{"DOI":"10.9734/JSRR/2019/v25i1-230173","author":[{"dropping-particle":"","family":"Abubakar","given":"B","non-dropping-particle":"","parse-names":false,"suffix":""},{"dropping-particle":"","family":"Shamaki","given":"S B","non-dropping-particle":"","parse-names":false,"suffix":""},{"dropping-particle":"","family":"Dantani","given":"A","non-dropping-particle":"","parse-names":false,"suffix":""},{"dropping-particle":"","family":"Gada","given":"Z Y","non-dropping-particle":"","parse-names":false,"suffix":""},{"dropping-particle":"","family":"Gupa","given":"M A","non-dropping-particle":"","parse-names":false,"suffix":""}],"container-title":"Journal of Svientific Research &amp; Reports","id":"ITEM-1","issue":"1","issued":{"date-parts":[["2019"]]},"page":"1-9","title":"Modeling Tree Mortality for Eucalyptus camaldulensis ( Dehnh ) Stands in Afaka Forest Reserve , Kaduna-Nigeria","type":"article-journal","volume":"25"},"uris":["http://www.mendeley.com/documents/?uuid=3df26091-da81-4206-968e-ed99c285e92b","http://www.mendeley.com/documents/?uuid=fc531a7b-acac-44ac-b296-9cc40da9164f"]}],"mendeley":{"formattedCitation":"[30]","plainTextFormattedCitation":"[30]","previouslyFormattedCitation":"(Abubakar et al., 2019)"},"properties":{"noteIndex":0},"schema":"https://github.com/citation-style-language/schema/raw/master/csl-citation.json"}</w:instrText>
      </w:r>
      <w:r w:rsidR="004D7A6B" w:rsidRPr="00502572">
        <w:rPr>
          <w:rFonts w:ascii="Arial" w:hAnsi="Arial" w:cs="Arial"/>
          <w:sz w:val="20"/>
          <w:szCs w:val="20"/>
        </w:rPr>
        <w:fldChar w:fldCharType="separate"/>
      </w:r>
      <w:r w:rsidR="00C80401" w:rsidRPr="00C80401">
        <w:rPr>
          <w:rFonts w:ascii="Arial" w:hAnsi="Arial" w:cs="Arial"/>
          <w:noProof/>
          <w:sz w:val="20"/>
          <w:szCs w:val="20"/>
        </w:rPr>
        <w:t>[30]</w:t>
      </w:r>
      <w:r w:rsidR="004D7A6B" w:rsidRPr="00502572">
        <w:rPr>
          <w:rFonts w:ascii="Arial" w:hAnsi="Arial" w:cs="Arial"/>
          <w:sz w:val="20"/>
          <w:szCs w:val="20"/>
        </w:rPr>
        <w:fldChar w:fldCharType="end"/>
      </w:r>
      <w:r w:rsidR="008F2676" w:rsidRPr="00502572">
        <w:rPr>
          <w:rFonts w:ascii="Arial" w:hAnsi="Arial" w:cs="Arial"/>
          <w:sz w:val="20"/>
          <w:szCs w:val="20"/>
        </w:rPr>
        <w:t xml:space="preserve"> which constitute a great source of income in the region. </w:t>
      </w:r>
      <w:r w:rsidR="00553998" w:rsidRPr="00553998">
        <w:rPr>
          <w:rFonts w:ascii="Arial" w:hAnsi="Arial" w:cs="Arial"/>
          <w:sz w:val="20"/>
          <w:szCs w:val="20"/>
          <w:highlight w:val="yellow"/>
        </w:rPr>
        <w:t xml:space="preserve">Moreover, the cultivation </w:t>
      </w:r>
      <w:r w:rsidR="00553998" w:rsidRPr="00553998">
        <w:rPr>
          <w:rFonts w:ascii="Arial" w:hAnsi="Arial" w:cs="Arial"/>
          <w:i/>
          <w:iCs/>
          <w:sz w:val="20"/>
          <w:szCs w:val="20"/>
          <w:highlight w:val="yellow"/>
        </w:rPr>
        <w:t>Eucalyptus camaldulensis</w:t>
      </w:r>
      <w:r w:rsidR="00553998" w:rsidRPr="00553998">
        <w:rPr>
          <w:rFonts w:ascii="Arial" w:hAnsi="Arial" w:cs="Arial"/>
          <w:i/>
          <w:iCs/>
          <w:sz w:val="20"/>
          <w:szCs w:val="20"/>
          <w:highlight w:val="yellow"/>
        </w:rPr>
        <w:t xml:space="preserve"> near or within the wetlands </w:t>
      </w:r>
      <w:r w:rsidR="00553998" w:rsidRPr="00553998">
        <w:rPr>
          <w:rFonts w:ascii="Arial" w:hAnsi="Arial" w:cs="Arial"/>
          <w:sz w:val="20"/>
          <w:szCs w:val="20"/>
          <w:highlight w:val="yellow"/>
        </w:rPr>
        <w:t>in the Department of Balleyara</w:t>
      </w:r>
      <w:r w:rsidR="00553998" w:rsidRPr="00553998">
        <w:rPr>
          <w:rFonts w:ascii="Arial" w:hAnsi="Arial" w:cs="Arial"/>
          <w:sz w:val="20"/>
          <w:szCs w:val="20"/>
          <w:highlight w:val="yellow"/>
        </w:rPr>
        <w:t xml:space="preserve"> should be done with great care as </w:t>
      </w:r>
      <w:r w:rsidR="00553998" w:rsidRPr="00553998">
        <w:rPr>
          <w:rFonts w:ascii="Arial" w:hAnsi="Arial" w:cs="Arial"/>
          <w:i/>
          <w:iCs/>
          <w:sz w:val="20"/>
          <w:szCs w:val="20"/>
          <w:highlight w:val="yellow"/>
        </w:rPr>
        <w:t>Eucalyptus camaldulensis</w:t>
      </w:r>
      <w:r w:rsidR="00553998" w:rsidRPr="00553998">
        <w:rPr>
          <w:rFonts w:ascii="Arial" w:hAnsi="Arial" w:cs="Arial"/>
          <w:sz w:val="20"/>
          <w:szCs w:val="20"/>
          <w:highlight w:val="yellow"/>
        </w:rPr>
        <w:t xml:space="preserve"> is a very fast-growing tree, native to Australia, often considered an invasive and ecologically harmful species in many parts of the world</w:t>
      </w:r>
      <w:r w:rsidR="00553998">
        <w:rPr>
          <w:rFonts w:ascii="Arial" w:hAnsi="Arial" w:cs="Arial"/>
          <w:sz w:val="20"/>
          <w:szCs w:val="20"/>
        </w:rPr>
        <w:t>.</w:t>
      </w:r>
    </w:p>
    <w:p w14:paraId="3CDD9566" w14:textId="610FBF23" w:rsidR="00E14AF5" w:rsidRPr="00502572" w:rsidRDefault="00A563BE" w:rsidP="00E14AF5">
      <w:pPr>
        <w:spacing w:after="0" w:line="360" w:lineRule="auto"/>
        <w:jc w:val="both"/>
        <w:rPr>
          <w:rFonts w:ascii="Arial" w:hAnsi="Arial" w:cs="Arial"/>
          <w:color w:val="000000" w:themeColor="text1"/>
          <w:sz w:val="20"/>
          <w:szCs w:val="20"/>
        </w:rPr>
      </w:pPr>
      <w:r w:rsidRPr="00502572">
        <w:rPr>
          <w:rFonts w:ascii="Arial" w:hAnsi="Arial" w:cs="Arial"/>
          <w:color w:val="000000" w:themeColor="text1"/>
          <w:sz w:val="20"/>
          <w:szCs w:val="20"/>
        </w:rPr>
        <w:t>In the area of this study, m</w:t>
      </w:r>
      <w:r w:rsidR="00804C24" w:rsidRPr="00502572">
        <w:rPr>
          <w:rFonts w:ascii="Arial" w:hAnsi="Arial" w:cs="Arial"/>
          <w:color w:val="000000" w:themeColor="text1"/>
          <w:sz w:val="20"/>
          <w:szCs w:val="20"/>
        </w:rPr>
        <w:t>any ecosystem services such as foods, medicines, firewood, timber, forest product on forest products</w:t>
      </w:r>
      <w:r w:rsidRPr="00502572">
        <w:rPr>
          <w:rFonts w:ascii="Arial" w:hAnsi="Arial" w:cs="Arial"/>
          <w:color w:val="000000" w:themeColor="text1"/>
          <w:sz w:val="20"/>
          <w:szCs w:val="20"/>
        </w:rPr>
        <w:t xml:space="preserve"> have been noted</w:t>
      </w:r>
      <w:r w:rsidR="00804C24" w:rsidRPr="00502572">
        <w:rPr>
          <w:rFonts w:ascii="Arial" w:hAnsi="Arial" w:cs="Arial"/>
          <w:color w:val="000000" w:themeColor="text1"/>
          <w:sz w:val="20"/>
          <w:szCs w:val="20"/>
        </w:rPr>
        <w:t xml:space="preserve">. </w:t>
      </w:r>
      <w:r w:rsidRPr="00502572">
        <w:rPr>
          <w:rFonts w:ascii="Arial" w:hAnsi="Arial" w:cs="Arial"/>
          <w:color w:val="000000" w:themeColor="text1"/>
          <w:sz w:val="20"/>
          <w:szCs w:val="20"/>
        </w:rPr>
        <w:t>Indeed, the</w:t>
      </w:r>
      <w:r w:rsidR="00804C24" w:rsidRPr="00502572">
        <w:rPr>
          <w:rFonts w:ascii="Arial" w:hAnsi="Arial" w:cs="Arial"/>
          <w:color w:val="000000" w:themeColor="text1"/>
          <w:sz w:val="20"/>
          <w:szCs w:val="20"/>
        </w:rPr>
        <w:t xml:space="preserve"> firewood constitute the major source of the energy in the </w:t>
      </w:r>
      <w:r w:rsidRPr="00502572">
        <w:rPr>
          <w:rFonts w:ascii="Arial" w:hAnsi="Arial" w:cs="Arial"/>
          <w:color w:val="000000" w:themeColor="text1"/>
          <w:sz w:val="20"/>
          <w:szCs w:val="20"/>
        </w:rPr>
        <w:t>Department</w:t>
      </w:r>
      <w:r w:rsidR="00804C24" w:rsidRPr="00502572">
        <w:rPr>
          <w:rFonts w:ascii="Arial" w:hAnsi="Arial" w:cs="Arial"/>
          <w:color w:val="000000" w:themeColor="text1"/>
          <w:sz w:val="20"/>
          <w:szCs w:val="20"/>
        </w:rPr>
        <w:t xml:space="preserve"> of Balleyara. </w:t>
      </w:r>
      <w:r w:rsidRPr="00502572">
        <w:rPr>
          <w:rFonts w:ascii="Arial" w:hAnsi="Arial" w:cs="Arial"/>
          <w:color w:val="000000" w:themeColor="text1"/>
          <w:sz w:val="20"/>
          <w:szCs w:val="20"/>
        </w:rPr>
        <w:t>Unfortunately, one</w:t>
      </w:r>
      <w:r w:rsidR="00804C24" w:rsidRPr="00502572">
        <w:rPr>
          <w:rFonts w:ascii="Arial" w:hAnsi="Arial" w:cs="Arial"/>
          <w:color w:val="000000" w:themeColor="text1"/>
          <w:sz w:val="20"/>
          <w:szCs w:val="20"/>
        </w:rPr>
        <w:t xml:space="preserve"> of the implications of this finding </w:t>
      </w:r>
      <w:r w:rsidRPr="00502572">
        <w:rPr>
          <w:rFonts w:ascii="Arial" w:hAnsi="Arial" w:cs="Arial"/>
          <w:color w:val="000000" w:themeColor="text1"/>
          <w:sz w:val="20"/>
          <w:szCs w:val="20"/>
        </w:rPr>
        <w:t xml:space="preserve">in Sahel area, </w:t>
      </w:r>
      <w:r w:rsidR="00804C24" w:rsidRPr="00502572">
        <w:rPr>
          <w:rFonts w:ascii="Arial" w:hAnsi="Arial" w:cs="Arial"/>
          <w:color w:val="000000" w:themeColor="text1"/>
          <w:sz w:val="20"/>
          <w:szCs w:val="20"/>
        </w:rPr>
        <w:t>is the depletion of the forest resources</w:t>
      </w:r>
      <w:r w:rsidR="00017037" w:rsidRPr="00502572">
        <w:rPr>
          <w:rFonts w:ascii="Arial" w:hAnsi="Arial" w:cs="Arial"/>
          <w:color w:val="000000" w:themeColor="text1"/>
          <w:sz w:val="20"/>
          <w:szCs w:val="20"/>
        </w:rPr>
        <w:t xml:space="preserve"> such as the disappearance</w:t>
      </w:r>
      <w:r w:rsidR="00804C24" w:rsidRPr="00502572">
        <w:rPr>
          <w:rFonts w:ascii="Arial" w:hAnsi="Arial" w:cs="Arial"/>
          <w:color w:val="000000" w:themeColor="text1"/>
          <w:sz w:val="20"/>
          <w:szCs w:val="20"/>
        </w:rPr>
        <w:t xml:space="preserve"> of some local </w:t>
      </w:r>
      <w:r w:rsidRPr="00502572">
        <w:rPr>
          <w:rFonts w:ascii="Arial" w:hAnsi="Arial" w:cs="Arial"/>
          <w:color w:val="000000" w:themeColor="text1"/>
          <w:sz w:val="20"/>
          <w:szCs w:val="20"/>
        </w:rPr>
        <w:t xml:space="preserve">woody species </w:t>
      </w:r>
      <w:r w:rsidR="004D7A6B" w:rsidRPr="00502572">
        <w:rPr>
          <w:rFonts w:ascii="Arial" w:hAnsi="Arial" w:cs="Arial"/>
          <w:color w:val="000000" w:themeColor="text1"/>
          <w:sz w:val="20"/>
          <w:szCs w:val="20"/>
        </w:rPr>
        <w:fldChar w:fldCharType="begin" w:fldLock="1"/>
      </w:r>
      <w:r w:rsidR="00C80401">
        <w:rPr>
          <w:rFonts w:ascii="Arial" w:hAnsi="Arial" w:cs="Arial"/>
          <w:color w:val="000000" w:themeColor="text1"/>
          <w:sz w:val="20"/>
          <w:szCs w:val="20"/>
        </w:rPr>
        <w:instrText>ADDIN CSL_CITATION {"citationItems":[{"id":"ITEM-1","itemData":{"DOI":"10.1016/j.agee.2004.03.004","ISBN":"0167-8809","ISSN":"01678809","abstract":"Floristic diversity, abundance and disappearance of woody species were investigated at four sites of southwestern Niger, two in the semi-arid, two in the arid zone. The woody vegetation was assessed on transects from villages to bush, the measured parameters being number of individuals, height, diameter and number of stems. Questionnaires were used in the field to record information provided by the population for the disappeared species. Sites in the semi-arid zone were species richer than those in the arid zone. In terms of land-use there was a significant difference among and within sites and the number of trees increased with the distance from the village to the bush. A total of 23 species had completely disappeared from the study sites, i.e. five from the semi-arid and 18 from the arid zone. Thirteen different causes of tree species loss were recorded, six of them being of anthropic and seven of natural origin. Four disappeared species were consumed as leaves, buds, flowers and fruits while others were used as firewood and timber. All disappeared species were part of the traditional pharmacopeia. The plantation of useful species is suggested to improve re-introduction. © 2004 Elsevier B.V. All rights reserved.","author":[{"dropping-particle":"","family":"Larwanou","given":"M .","non-dropping-particle":"","parse-names":false,"suffix":""},{"dropping-particle":"","family":"Saadou","given":"M","non-dropping-particle":"","parse-names":false,"suffix":""}],"container-title":"Agriculture, Ecosystems and Environment","id":"ITEM-1","issue":"1-2","issued":{"date-parts":[["2005"]]},"page":"267-271","title":"Biodiversity of ligneous species in semi-arid to arid zones of southwestern Niger according to anthropogenic and natural factors","type":"article-journal","volume":"105"},"uris":["http://www.mendeley.com/documents/?uuid=292a76b3-01ae-4d8f-ba6e-e00b2af6077b","http://www.mendeley.com/documents/?uuid=e832088a-b957-4ad1-88c0-e46b8951531c"]}],"mendeley":{"formattedCitation":"[31]","plainTextFormattedCitation":"[31]","previouslyFormattedCitation":"(Larwanou &amp; Saadou, 2005)"},"properties":{"noteIndex":0},"schema":"https://github.com/citation-style-language/schema/raw/master/csl-citation.json"}</w:instrText>
      </w:r>
      <w:r w:rsidR="004D7A6B" w:rsidRPr="00502572">
        <w:rPr>
          <w:rFonts w:ascii="Arial" w:hAnsi="Arial" w:cs="Arial"/>
          <w:color w:val="000000" w:themeColor="text1"/>
          <w:sz w:val="20"/>
          <w:szCs w:val="20"/>
        </w:rPr>
        <w:fldChar w:fldCharType="separate"/>
      </w:r>
      <w:r w:rsidR="00C80401" w:rsidRPr="00C80401">
        <w:rPr>
          <w:rFonts w:ascii="Arial" w:hAnsi="Arial" w:cs="Arial"/>
          <w:noProof/>
          <w:color w:val="000000" w:themeColor="text1"/>
          <w:sz w:val="20"/>
          <w:szCs w:val="20"/>
        </w:rPr>
        <w:t>[31]</w:t>
      </w:r>
      <w:r w:rsidR="004D7A6B" w:rsidRPr="00502572">
        <w:rPr>
          <w:rFonts w:ascii="Arial" w:hAnsi="Arial" w:cs="Arial"/>
          <w:color w:val="000000" w:themeColor="text1"/>
          <w:sz w:val="20"/>
          <w:szCs w:val="20"/>
        </w:rPr>
        <w:fldChar w:fldCharType="end"/>
      </w:r>
      <w:r w:rsidRPr="00502572">
        <w:rPr>
          <w:rFonts w:ascii="Arial" w:hAnsi="Arial" w:cs="Arial"/>
          <w:color w:val="000000" w:themeColor="text1"/>
          <w:sz w:val="20"/>
          <w:szCs w:val="20"/>
        </w:rPr>
        <w:t xml:space="preserve">. Indeed, </w:t>
      </w:r>
      <w:r w:rsidR="00804C24" w:rsidRPr="00502572">
        <w:rPr>
          <w:rFonts w:ascii="Arial" w:hAnsi="Arial" w:cs="Arial"/>
          <w:color w:val="000000" w:themeColor="text1"/>
          <w:sz w:val="20"/>
          <w:szCs w:val="20"/>
        </w:rPr>
        <w:t xml:space="preserve">the collection of wood for energy purpose is the leading cause of tree </w:t>
      </w:r>
      <w:r w:rsidR="00017037" w:rsidRPr="00502572">
        <w:rPr>
          <w:rFonts w:ascii="Arial" w:hAnsi="Arial" w:cs="Arial"/>
          <w:color w:val="000000" w:themeColor="text1"/>
          <w:sz w:val="20"/>
          <w:szCs w:val="20"/>
        </w:rPr>
        <w:t>biodiversity</w:t>
      </w:r>
      <w:r w:rsidR="00534E64" w:rsidRPr="00502572">
        <w:rPr>
          <w:rFonts w:ascii="Arial" w:hAnsi="Arial" w:cs="Arial"/>
          <w:color w:val="000000" w:themeColor="text1"/>
          <w:sz w:val="20"/>
          <w:szCs w:val="20"/>
        </w:rPr>
        <w:t xml:space="preserve"> loss</w:t>
      </w:r>
      <w:r w:rsidRPr="00502572">
        <w:rPr>
          <w:rFonts w:ascii="Arial" w:hAnsi="Arial" w:cs="Arial"/>
          <w:color w:val="000000" w:themeColor="text1"/>
          <w:sz w:val="20"/>
          <w:szCs w:val="20"/>
        </w:rPr>
        <w:t xml:space="preserve"> in</w:t>
      </w:r>
      <w:r w:rsidR="00534E64" w:rsidRPr="00502572">
        <w:rPr>
          <w:rFonts w:ascii="Arial" w:hAnsi="Arial" w:cs="Arial"/>
          <w:color w:val="000000" w:themeColor="text1"/>
          <w:sz w:val="20"/>
          <w:szCs w:val="20"/>
        </w:rPr>
        <w:t xml:space="preserve"> Niger</w:t>
      </w:r>
      <w:r w:rsidR="00804C24" w:rsidRPr="00502572">
        <w:rPr>
          <w:rFonts w:ascii="Arial" w:hAnsi="Arial" w:cs="Arial"/>
          <w:color w:val="000000" w:themeColor="text1"/>
          <w:sz w:val="20"/>
          <w:szCs w:val="20"/>
        </w:rPr>
        <w:t>.</w:t>
      </w:r>
      <w:r w:rsidR="00534E64" w:rsidRPr="00502572">
        <w:rPr>
          <w:rFonts w:ascii="Arial" w:hAnsi="Arial" w:cs="Arial"/>
          <w:color w:val="000000" w:themeColor="text1"/>
          <w:sz w:val="20"/>
          <w:szCs w:val="20"/>
        </w:rPr>
        <w:t xml:space="preserve"> In addition to that, woody species are exploited in the Balleyara </w:t>
      </w:r>
      <w:r w:rsidRPr="00502572">
        <w:rPr>
          <w:rFonts w:ascii="Arial" w:hAnsi="Arial" w:cs="Arial"/>
          <w:color w:val="000000" w:themeColor="text1"/>
          <w:sz w:val="20"/>
          <w:szCs w:val="20"/>
        </w:rPr>
        <w:t>Department</w:t>
      </w:r>
      <w:r w:rsidR="00534E64" w:rsidRPr="00502572">
        <w:rPr>
          <w:rFonts w:ascii="Arial" w:hAnsi="Arial" w:cs="Arial"/>
          <w:color w:val="000000" w:themeColor="text1"/>
          <w:sz w:val="20"/>
          <w:szCs w:val="20"/>
        </w:rPr>
        <w:t xml:space="preserve"> for the </w:t>
      </w:r>
      <w:r w:rsidRPr="00502572">
        <w:rPr>
          <w:rFonts w:ascii="Arial" w:hAnsi="Arial" w:cs="Arial"/>
          <w:color w:val="000000" w:themeColor="text1"/>
          <w:sz w:val="20"/>
          <w:szCs w:val="20"/>
        </w:rPr>
        <w:t>public uses</w:t>
      </w:r>
      <w:r w:rsidR="00534E64" w:rsidRPr="00502572">
        <w:rPr>
          <w:rFonts w:ascii="Arial" w:hAnsi="Arial" w:cs="Arial"/>
          <w:color w:val="000000" w:themeColor="text1"/>
          <w:sz w:val="20"/>
          <w:szCs w:val="20"/>
        </w:rPr>
        <w:t xml:space="preserve">. </w:t>
      </w:r>
    </w:p>
    <w:p w14:paraId="419EEFB7" w14:textId="597FA104" w:rsidR="00B104FB" w:rsidRDefault="00E14AF5" w:rsidP="00A82DD1">
      <w:pPr>
        <w:spacing w:after="0" w:line="360" w:lineRule="auto"/>
        <w:jc w:val="both"/>
        <w:rPr>
          <w:rFonts w:ascii="Arial" w:hAnsi="Arial" w:cs="Arial"/>
          <w:color w:val="000000" w:themeColor="text1"/>
          <w:sz w:val="20"/>
          <w:szCs w:val="20"/>
        </w:rPr>
      </w:pPr>
      <w:r w:rsidRPr="00502572">
        <w:rPr>
          <w:rFonts w:ascii="Arial" w:hAnsi="Arial" w:cs="Arial"/>
          <w:color w:val="000000" w:themeColor="text1"/>
          <w:sz w:val="20"/>
          <w:szCs w:val="20"/>
        </w:rPr>
        <w:t>According the results from this study, a</w:t>
      </w:r>
      <w:r w:rsidR="00534E64" w:rsidRPr="00502572">
        <w:rPr>
          <w:rFonts w:ascii="Arial" w:hAnsi="Arial" w:cs="Arial"/>
          <w:color w:val="000000" w:themeColor="text1"/>
          <w:sz w:val="20"/>
          <w:szCs w:val="20"/>
        </w:rPr>
        <w:t xml:space="preserve">nother ecosystem service highlighted is the use of woody species for treatment of many diseases in the </w:t>
      </w:r>
      <w:r w:rsidRPr="00502572">
        <w:rPr>
          <w:rFonts w:ascii="Arial" w:hAnsi="Arial" w:cs="Arial"/>
          <w:color w:val="000000" w:themeColor="text1"/>
          <w:sz w:val="20"/>
          <w:szCs w:val="20"/>
        </w:rPr>
        <w:t>Department</w:t>
      </w:r>
      <w:r w:rsidR="00534E64" w:rsidRPr="00502572">
        <w:rPr>
          <w:rFonts w:ascii="Arial" w:hAnsi="Arial" w:cs="Arial"/>
          <w:color w:val="000000" w:themeColor="text1"/>
          <w:sz w:val="20"/>
          <w:szCs w:val="20"/>
        </w:rPr>
        <w:t xml:space="preserve"> of Balleyara. This confirms the findings</w:t>
      </w:r>
      <w:r w:rsidRPr="00502572">
        <w:rPr>
          <w:rFonts w:ascii="Arial" w:hAnsi="Arial" w:cs="Arial"/>
          <w:color w:val="000000" w:themeColor="text1"/>
          <w:sz w:val="20"/>
          <w:szCs w:val="20"/>
        </w:rPr>
        <w:t xml:space="preserve"> of some studies reporting that woody flora is largely used for medicinal purpose in the rural areas in Niger</w:t>
      </w:r>
      <w:r w:rsidR="00534E64" w:rsidRPr="00502572">
        <w:rPr>
          <w:rFonts w:ascii="Arial" w:hAnsi="Arial" w:cs="Arial"/>
          <w:color w:val="000000" w:themeColor="text1"/>
          <w:sz w:val="20"/>
          <w:szCs w:val="20"/>
        </w:rPr>
        <w:t xml:space="preserve"> </w:t>
      </w:r>
      <w:r w:rsidR="00B104FB">
        <w:rPr>
          <w:rFonts w:ascii="Arial" w:hAnsi="Arial" w:cs="Arial"/>
          <w:color w:val="000000" w:themeColor="text1"/>
          <w:sz w:val="20"/>
          <w:szCs w:val="20"/>
        </w:rPr>
        <w:fldChar w:fldCharType="begin" w:fldLock="1"/>
      </w:r>
      <w:r w:rsidR="00C80401">
        <w:rPr>
          <w:rFonts w:ascii="Arial" w:hAnsi="Arial" w:cs="Arial"/>
          <w:color w:val="000000" w:themeColor="text1"/>
          <w:sz w:val="20"/>
          <w:szCs w:val="20"/>
        </w:rPr>
        <w:instrText>ADDIN CSL_CITATION {"citationItems":[{"id":"ITEM-1","itemData":{"DOI":"10.9734/JALSI/2019/v22i430134","author":[{"dropping-particle":"","family":"Mamadou","given":"A J","non-dropping-particle":"","parse-names":false,"suffix":""},{"dropping-particle":"","family":"Douma","given":"S","non-dropping-particle":"","parse-names":false,"suffix":""},{"dropping-particle":"","family":"Inoussa","given":"M M","non-dropping-particle":"","parse-names":false,"suffix":""},{"dropping-particle":"","family":"Moussa","given":"S","non-dropping-particle":"","parse-names":false,"suffix":""},{"dropping-particle":"","family":"Mahamane","given":"A","non-dropping-particle":"","parse-names":false,"suffix":""}],"container-title":"Journal of Applied Life Sciences International","id":"ITEM-1","issue":"4","issued":{"date-parts":[["2020"]]},"page":"1-17","title":"Diversity , Life Forms , Chorology and Uses of Spontaneous Medicinal Plants in Niamey and Tillabéri Regions , Niger Republic","type":"article-journal","volume":"22"},"uris":["http://www.mendeley.com/documents/?uuid=5d061d77-e7ae-4321-8617-a4ac14206b1c"]},{"id":"ITEM-2","itemData":{"author":[{"dropping-particle":"","family":"Soumaila","given":"Mounkaila","non-dropping-particle":"","parse-names":false,"suffix":""},{"dropping-particle":"","family":"Saley","given":"Karim","non-dropping-particle":"","parse-names":false,"suffix":""},{"dropping-particle":"","family":"Maarouhi","given":"Inoussa Maman","non-dropping-particle":"","parse-names":false,"suffix":""},{"dropping-particle":"","family":"Ali","given":"Mahamane","non-dropping-particle":"","parse-names":false,"suffix":""}],"container-title":"Asian Journal of Applied Sciences","id":"ITEM-2","issue":"05","issued":{"date-parts":[["2017"]]},"page":"812-821","title":"Diversity of Healing Plants Used in the Traditional Treatment of Malaria in four Municipalities of Niger Diversity of Healing Plants Used in the Traditional Treatment of Malaria in four Municipalities of Niger","type":"article-journal","volume":"05"},"uris":["http://www.mendeley.com/documents/?uuid=c1826ef5-8de5-40cb-83ad-430ba748c8ec"]}],"mendeley":{"formattedCitation":"[17], [18]","plainTextFormattedCitation":"[17], [18]","previouslyFormattedCitation":"(Mamadou et al., 2020; Soumaila et al., 2017)"},"properties":{"noteIndex":0},"schema":"https://github.com/citation-style-language/schema/raw/master/csl-citation.json"}</w:instrText>
      </w:r>
      <w:r w:rsidR="00B104FB">
        <w:rPr>
          <w:rFonts w:ascii="Arial" w:hAnsi="Arial" w:cs="Arial"/>
          <w:color w:val="000000" w:themeColor="text1"/>
          <w:sz w:val="20"/>
          <w:szCs w:val="20"/>
        </w:rPr>
        <w:fldChar w:fldCharType="separate"/>
      </w:r>
      <w:r w:rsidR="00C80401" w:rsidRPr="00C80401">
        <w:rPr>
          <w:rFonts w:ascii="Arial" w:hAnsi="Arial" w:cs="Arial"/>
          <w:noProof/>
          <w:color w:val="000000" w:themeColor="text1"/>
          <w:sz w:val="20"/>
          <w:szCs w:val="20"/>
        </w:rPr>
        <w:t>[17], [18]</w:t>
      </w:r>
      <w:r w:rsidR="00B104FB">
        <w:rPr>
          <w:rFonts w:ascii="Arial" w:hAnsi="Arial" w:cs="Arial"/>
          <w:color w:val="000000" w:themeColor="text1"/>
          <w:sz w:val="20"/>
          <w:szCs w:val="20"/>
        </w:rPr>
        <w:fldChar w:fldCharType="end"/>
      </w:r>
      <w:r w:rsidR="00B104FB">
        <w:rPr>
          <w:rFonts w:ascii="Arial" w:hAnsi="Arial" w:cs="Arial"/>
          <w:color w:val="000000" w:themeColor="text1"/>
          <w:sz w:val="20"/>
          <w:szCs w:val="20"/>
        </w:rPr>
        <w:t xml:space="preserve">. </w:t>
      </w:r>
    </w:p>
    <w:p w14:paraId="225ABD25" w14:textId="3F71EEA5" w:rsidR="004E20F5" w:rsidRPr="00502572" w:rsidRDefault="00BD6BC2" w:rsidP="00A82DD1">
      <w:pPr>
        <w:spacing w:after="0" w:line="360" w:lineRule="auto"/>
        <w:jc w:val="both"/>
        <w:rPr>
          <w:rFonts w:ascii="Arial" w:hAnsi="Arial" w:cs="Arial"/>
          <w:sz w:val="20"/>
          <w:szCs w:val="20"/>
        </w:rPr>
      </w:pPr>
      <w:r w:rsidRPr="00502572">
        <w:rPr>
          <w:rFonts w:ascii="Arial" w:hAnsi="Arial" w:cs="Arial"/>
          <w:sz w:val="20"/>
          <w:szCs w:val="20"/>
        </w:rPr>
        <w:t xml:space="preserve">The study carried out on the </w:t>
      </w:r>
      <w:r w:rsidR="007E6497" w:rsidRPr="00502572">
        <w:rPr>
          <w:rFonts w:ascii="Arial" w:hAnsi="Arial" w:cs="Arial"/>
          <w:sz w:val="20"/>
          <w:szCs w:val="20"/>
        </w:rPr>
        <w:t>t</w:t>
      </w:r>
      <w:r w:rsidRPr="00502572">
        <w:rPr>
          <w:rFonts w:ascii="Arial" w:hAnsi="Arial" w:cs="Arial"/>
          <w:sz w:val="20"/>
          <w:szCs w:val="20"/>
        </w:rPr>
        <w:t xml:space="preserve">ypologies and </w:t>
      </w:r>
      <w:r w:rsidR="007E6497" w:rsidRPr="00502572">
        <w:rPr>
          <w:rFonts w:ascii="Arial" w:hAnsi="Arial" w:cs="Arial"/>
          <w:sz w:val="20"/>
          <w:szCs w:val="20"/>
        </w:rPr>
        <w:t>d</w:t>
      </w:r>
      <w:r w:rsidRPr="00502572">
        <w:rPr>
          <w:rFonts w:ascii="Arial" w:hAnsi="Arial" w:cs="Arial"/>
          <w:sz w:val="20"/>
          <w:szCs w:val="20"/>
        </w:rPr>
        <w:t xml:space="preserve">iversity of </w:t>
      </w:r>
      <w:r w:rsidR="007E6497" w:rsidRPr="00502572">
        <w:rPr>
          <w:rFonts w:ascii="Arial" w:hAnsi="Arial" w:cs="Arial"/>
          <w:sz w:val="20"/>
          <w:szCs w:val="20"/>
        </w:rPr>
        <w:t>e</w:t>
      </w:r>
      <w:r w:rsidRPr="00502572">
        <w:rPr>
          <w:rFonts w:ascii="Arial" w:hAnsi="Arial" w:cs="Arial"/>
          <w:sz w:val="20"/>
          <w:szCs w:val="20"/>
        </w:rPr>
        <w:t xml:space="preserve">cosystem </w:t>
      </w:r>
      <w:r w:rsidR="007E6497" w:rsidRPr="00502572">
        <w:rPr>
          <w:rFonts w:ascii="Arial" w:hAnsi="Arial" w:cs="Arial"/>
          <w:sz w:val="20"/>
          <w:szCs w:val="20"/>
        </w:rPr>
        <w:t>u</w:t>
      </w:r>
      <w:r w:rsidRPr="00502572">
        <w:rPr>
          <w:rFonts w:ascii="Arial" w:hAnsi="Arial" w:cs="Arial"/>
          <w:sz w:val="20"/>
          <w:szCs w:val="20"/>
        </w:rPr>
        <w:t xml:space="preserve">ses in the </w:t>
      </w:r>
      <w:r w:rsidR="000377A2" w:rsidRPr="00502572">
        <w:rPr>
          <w:rFonts w:ascii="Arial" w:hAnsi="Arial" w:cs="Arial"/>
          <w:sz w:val="20"/>
          <w:szCs w:val="20"/>
        </w:rPr>
        <w:t>Department</w:t>
      </w:r>
      <w:r w:rsidRPr="00502572">
        <w:rPr>
          <w:rFonts w:ascii="Arial" w:hAnsi="Arial" w:cs="Arial"/>
          <w:sz w:val="20"/>
          <w:szCs w:val="20"/>
        </w:rPr>
        <w:t xml:space="preserve"> of Balleyara made it possible, on the one hand, to identify the different types of ecosystems and the services they offer to the local population. These ecosystems are distributed according to the toposequence and the pedoclimatic factors of the environment.</w:t>
      </w:r>
      <w:r w:rsidR="004E20F5" w:rsidRPr="00502572">
        <w:rPr>
          <w:rFonts w:ascii="Arial" w:hAnsi="Arial" w:cs="Arial"/>
          <w:sz w:val="20"/>
          <w:szCs w:val="20"/>
        </w:rPr>
        <w:t xml:space="preserve"> </w:t>
      </w:r>
      <w:r w:rsidRPr="00502572">
        <w:rPr>
          <w:rFonts w:ascii="Arial" w:hAnsi="Arial" w:cs="Arial"/>
          <w:sz w:val="20"/>
          <w:szCs w:val="20"/>
        </w:rPr>
        <w:t>Thus, on the plateaus develop some relics of contracted formation (tiger bush) and shrubby and grassy steppes. In the valley, thanks to the availability of water and the sandy clay texture of the soil, a relatively dense shrub and tree vegetation develops. According to</w:t>
      </w:r>
      <w:r w:rsidR="00502572" w:rsidRPr="00502572">
        <w:rPr>
          <w:rFonts w:ascii="Arial" w:hAnsi="Arial" w:cs="Arial"/>
          <w:sz w:val="20"/>
          <w:szCs w:val="20"/>
        </w:rPr>
        <w:t xml:space="preserve"> </w:t>
      </w:r>
      <w:r w:rsidR="00502572" w:rsidRPr="00502572">
        <w:rPr>
          <w:rFonts w:ascii="Arial" w:hAnsi="Arial" w:cs="Arial"/>
          <w:sz w:val="20"/>
          <w:szCs w:val="20"/>
        </w:rPr>
        <w:fldChar w:fldCharType="begin" w:fldLock="1"/>
      </w:r>
      <w:r w:rsidR="00C80401">
        <w:rPr>
          <w:rFonts w:ascii="Arial" w:hAnsi="Arial" w:cs="Arial"/>
          <w:sz w:val="20"/>
          <w:szCs w:val="20"/>
        </w:rPr>
        <w:instrText>ADDIN CSL_CITATION {"citationItems":[{"id":"ITEM-1","itemData":{"author":[{"dropping-particle":"","family":"Bourgeois, Thomas Merlier","given":"H.","non-dropping-particle":"Le","parse-names":false,"suffix":""}],"container-title":"Agritop-CIRAD-CA","id":"ITEM-1","issue":"2","issued":{"date-parts":[["1995"]]},"number-of-pages":"639","title":"Adventrop. Les adventices d'Afrique soudano-sahélienne","type":"book","volume":"2"},"uris":["http://www.mendeley.com/documents/?uuid=1d987d72-a2c1-4970-bd67-3ac96eeb95a8","http://www.mendeley.com/documents/?uuid=640f31ff-7325-4d06-9a83-969c766be8f1"]}],"mendeley":{"formattedCitation":"[32]","plainTextFormattedCitation":"[32]","previouslyFormattedCitation":"(Le Bourgeois, Thomas Merlier, 1995)"},"properties":{"noteIndex":0},"schema":"https://github.com/citation-style-language/schema/raw/master/csl-citation.json"}</w:instrText>
      </w:r>
      <w:r w:rsidR="00502572" w:rsidRPr="00502572">
        <w:rPr>
          <w:rFonts w:ascii="Arial" w:hAnsi="Arial" w:cs="Arial"/>
          <w:sz w:val="20"/>
          <w:szCs w:val="20"/>
        </w:rPr>
        <w:fldChar w:fldCharType="separate"/>
      </w:r>
      <w:r w:rsidR="00C80401" w:rsidRPr="00C80401">
        <w:rPr>
          <w:rFonts w:ascii="Arial" w:hAnsi="Arial" w:cs="Arial"/>
          <w:noProof/>
          <w:sz w:val="20"/>
          <w:szCs w:val="20"/>
        </w:rPr>
        <w:t>[32]</w:t>
      </w:r>
      <w:r w:rsidR="00502572" w:rsidRPr="00502572">
        <w:rPr>
          <w:rFonts w:ascii="Arial" w:hAnsi="Arial" w:cs="Arial"/>
          <w:sz w:val="20"/>
          <w:szCs w:val="20"/>
        </w:rPr>
        <w:fldChar w:fldCharType="end"/>
      </w:r>
      <w:r w:rsidRPr="00502572">
        <w:rPr>
          <w:rFonts w:ascii="Arial" w:hAnsi="Arial" w:cs="Arial"/>
          <w:sz w:val="20"/>
          <w:szCs w:val="20"/>
        </w:rPr>
        <w:t xml:space="preserve">; the texture conditions the availability of water for vegetation and contributes to the expression of the soil climate, which is sometimes more important for plants than the climate itself. However, given the services it offers, this vegetation is constantly under enormous anthropogenic pressures, notably the excessive cutting of wood, the over-exploitation of cultivated land, the production of natron, overgrazing, etc. These anthropic actions, combined with the effects of climatic deterioration, contribute to a progressive degradation of the ecosystems of the </w:t>
      </w:r>
      <w:r w:rsidR="00A82DD1" w:rsidRPr="00502572">
        <w:rPr>
          <w:rFonts w:ascii="Arial" w:hAnsi="Arial" w:cs="Arial"/>
          <w:sz w:val="20"/>
          <w:szCs w:val="20"/>
        </w:rPr>
        <w:t>Department</w:t>
      </w:r>
      <w:r w:rsidRPr="00502572">
        <w:rPr>
          <w:rFonts w:ascii="Arial" w:hAnsi="Arial" w:cs="Arial"/>
          <w:sz w:val="20"/>
          <w:szCs w:val="20"/>
        </w:rPr>
        <w:t xml:space="preserve"> of Balleyara.</w:t>
      </w:r>
      <w:r w:rsidR="004E20F5" w:rsidRPr="00502572">
        <w:rPr>
          <w:rFonts w:ascii="Arial" w:hAnsi="Arial" w:cs="Arial"/>
          <w:sz w:val="20"/>
          <w:szCs w:val="20"/>
        </w:rPr>
        <w:t xml:space="preserve"> </w:t>
      </w:r>
    </w:p>
    <w:p w14:paraId="0E16F7F5" w14:textId="77777777" w:rsidR="00E2084A" w:rsidRPr="00502572" w:rsidRDefault="00E2084A" w:rsidP="00A82DD1">
      <w:pPr>
        <w:spacing w:after="0" w:line="360" w:lineRule="auto"/>
        <w:jc w:val="both"/>
        <w:rPr>
          <w:rFonts w:ascii="Arial" w:hAnsi="Arial" w:cs="Arial"/>
          <w:sz w:val="20"/>
          <w:szCs w:val="20"/>
        </w:rPr>
      </w:pPr>
      <w:r w:rsidRPr="00502572">
        <w:rPr>
          <w:rFonts w:ascii="Arial" w:hAnsi="Arial" w:cs="Arial"/>
          <w:sz w:val="20"/>
          <w:szCs w:val="20"/>
        </w:rPr>
        <w:lastRenderedPageBreak/>
        <w:t>Faced with the ever-increasing demand for its needs and the inability of natural forests to offer all services, man has developed forms of production of resources for his development. Thus, the plants are cultivated or maintained in the fields for their wood (Lumber, service wood and wood energy), fodder, their fruit (contribution of precious nutrients to humans), medicinal uses or other. This situation is at the origin of many agroforestry parks. The creation of artificial forests also contributes to the protection of these natural stands, especially for the production of lumber.</w:t>
      </w:r>
    </w:p>
    <w:p w14:paraId="6E4B6694" w14:textId="55B152E7" w:rsidR="00BD6BC2" w:rsidRPr="00502572" w:rsidRDefault="00917E2B" w:rsidP="007D4E02">
      <w:pPr>
        <w:pStyle w:val="Paragraphedeliste"/>
        <w:numPr>
          <w:ilvl w:val="0"/>
          <w:numId w:val="4"/>
        </w:numPr>
        <w:rPr>
          <w:rFonts w:ascii="Arial" w:hAnsi="Arial" w:cs="Arial"/>
          <w:b/>
        </w:rPr>
      </w:pPr>
      <w:r w:rsidRPr="00502572">
        <w:rPr>
          <w:rFonts w:ascii="Arial" w:hAnsi="Arial" w:cs="Arial"/>
          <w:b/>
        </w:rPr>
        <w:t>CONCLUSION</w:t>
      </w:r>
    </w:p>
    <w:p w14:paraId="29BD58DD" w14:textId="590CEC97" w:rsidR="00C83038" w:rsidRDefault="00CC7440" w:rsidP="00BD34D0">
      <w:pPr>
        <w:spacing w:line="360" w:lineRule="auto"/>
        <w:jc w:val="both"/>
        <w:rPr>
          <w:rFonts w:ascii="Arial" w:hAnsi="Arial" w:cs="Arial"/>
          <w:sz w:val="20"/>
          <w:szCs w:val="20"/>
        </w:rPr>
      </w:pPr>
      <w:r w:rsidRPr="00502572">
        <w:rPr>
          <w:rFonts w:ascii="Arial" w:hAnsi="Arial" w:cs="Arial"/>
          <w:sz w:val="20"/>
          <w:szCs w:val="20"/>
        </w:rPr>
        <w:t>The scientific information</w:t>
      </w:r>
      <w:r w:rsidR="00017037" w:rsidRPr="00502572">
        <w:rPr>
          <w:rFonts w:ascii="Arial" w:hAnsi="Arial" w:cs="Arial"/>
          <w:sz w:val="20"/>
          <w:szCs w:val="20"/>
        </w:rPr>
        <w:t xml:space="preserve"> </w:t>
      </w:r>
      <w:r w:rsidR="007D293F" w:rsidRPr="00502572">
        <w:rPr>
          <w:rFonts w:ascii="Arial" w:hAnsi="Arial" w:cs="Arial"/>
          <w:sz w:val="20"/>
          <w:szCs w:val="20"/>
        </w:rPr>
        <w:t>on ecosystems</w:t>
      </w:r>
      <w:r w:rsidR="00017037" w:rsidRPr="00502572">
        <w:rPr>
          <w:rFonts w:ascii="Arial" w:hAnsi="Arial" w:cs="Arial"/>
          <w:sz w:val="20"/>
          <w:szCs w:val="20"/>
        </w:rPr>
        <w:t xml:space="preserve"> </w:t>
      </w:r>
      <w:r w:rsidR="007D293F" w:rsidRPr="00502572">
        <w:rPr>
          <w:rFonts w:ascii="Arial" w:hAnsi="Arial" w:cs="Arial"/>
          <w:sz w:val="20"/>
          <w:szCs w:val="20"/>
        </w:rPr>
        <w:t xml:space="preserve">diversity </w:t>
      </w:r>
      <w:r w:rsidR="00017037" w:rsidRPr="00502572">
        <w:rPr>
          <w:rFonts w:ascii="Arial" w:hAnsi="Arial" w:cs="Arial"/>
          <w:sz w:val="20"/>
          <w:szCs w:val="20"/>
        </w:rPr>
        <w:t xml:space="preserve">and their services in the </w:t>
      </w:r>
      <w:r w:rsidR="00281199" w:rsidRPr="00502572">
        <w:rPr>
          <w:rFonts w:ascii="Arial" w:hAnsi="Arial" w:cs="Arial"/>
          <w:sz w:val="20"/>
          <w:szCs w:val="20"/>
        </w:rPr>
        <w:t>Department of</w:t>
      </w:r>
      <w:r w:rsidR="00017037" w:rsidRPr="00502572">
        <w:rPr>
          <w:rFonts w:ascii="Arial" w:hAnsi="Arial" w:cs="Arial"/>
          <w:sz w:val="20"/>
          <w:szCs w:val="20"/>
        </w:rPr>
        <w:t xml:space="preserve"> Balleyara is therefore important for the sustainable management. The general objective of </w:t>
      </w:r>
      <w:r w:rsidR="007D293F" w:rsidRPr="00502572">
        <w:rPr>
          <w:rFonts w:ascii="Arial" w:hAnsi="Arial" w:cs="Arial"/>
          <w:sz w:val="20"/>
          <w:szCs w:val="20"/>
        </w:rPr>
        <w:t>the</w:t>
      </w:r>
      <w:r w:rsidR="00017037" w:rsidRPr="00502572">
        <w:rPr>
          <w:rFonts w:ascii="Arial" w:hAnsi="Arial" w:cs="Arial"/>
          <w:sz w:val="20"/>
          <w:szCs w:val="20"/>
        </w:rPr>
        <w:t xml:space="preserve"> work </w:t>
      </w:r>
      <w:r w:rsidR="007D293F" w:rsidRPr="00502572">
        <w:rPr>
          <w:rFonts w:ascii="Arial" w:hAnsi="Arial" w:cs="Arial"/>
          <w:sz w:val="20"/>
          <w:szCs w:val="20"/>
        </w:rPr>
        <w:t>was to</w:t>
      </w:r>
      <w:r w:rsidR="00017037" w:rsidRPr="00502572">
        <w:rPr>
          <w:rFonts w:ascii="Arial" w:hAnsi="Arial" w:cs="Arial"/>
          <w:sz w:val="20"/>
          <w:szCs w:val="20"/>
        </w:rPr>
        <w:t xml:space="preserve"> the identification of </w:t>
      </w:r>
      <w:r w:rsidR="007D293F" w:rsidRPr="00502572">
        <w:rPr>
          <w:rFonts w:ascii="Arial" w:hAnsi="Arial" w:cs="Arial"/>
          <w:sz w:val="20"/>
          <w:szCs w:val="20"/>
        </w:rPr>
        <w:t xml:space="preserve">different </w:t>
      </w:r>
      <w:r w:rsidR="00017037" w:rsidRPr="00502572">
        <w:rPr>
          <w:rFonts w:ascii="Arial" w:hAnsi="Arial" w:cs="Arial"/>
          <w:sz w:val="20"/>
          <w:szCs w:val="20"/>
        </w:rPr>
        <w:t xml:space="preserve">types of ecosystems and their services in the </w:t>
      </w:r>
      <w:r w:rsidR="00281199" w:rsidRPr="00502572">
        <w:rPr>
          <w:rFonts w:ascii="Arial" w:hAnsi="Arial" w:cs="Arial"/>
          <w:sz w:val="20"/>
          <w:szCs w:val="20"/>
        </w:rPr>
        <w:t>area</w:t>
      </w:r>
      <w:r w:rsidR="00017037" w:rsidRPr="00502572">
        <w:rPr>
          <w:rFonts w:ascii="Arial" w:hAnsi="Arial" w:cs="Arial"/>
          <w:sz w:val="20"/>
          <w:szCs w:val="20"/>
        </w:rPr>
        <w:t xml:space="preserve">. </w:t>
      </w:r>
      <w:r w:rsidR="007D293F" w:rsidRPr="00502572">
        <w:rPr>
          <w:rFonts w:ascii="Arial" w:hAnsi="Arial" w:cs="Arial"/>
          <w:sz w:val="20"/>
          <w:szCs w:val="20"/>
        </w:rPr>
        <w:t xml:space="preserve">In total, </w:t>
      </w:r>
      <w:r w:rsidR="004E20F5" w:rsidRPr="00502572">
        <w:rPr>
          <w:rFonts w:ascii="Arial" w:hAnsi="Arial" w:cs="Arial"/>
          <w:sz w:val="20"/>
          <w:szCs w:val="20"/>
        </w:rPr>
        <w:t xml:space="preserve">two main </w:t>
      </w:r>
      <w:r w:rsidR="00281199" w:rsidRPr="00502572">
        <w:rPr>
          <w:rFonts w:ascii="Arial" w:hAnsi="Arial" w:cs="Arial"/>
          <w:sz w:val="20"/>
          <w:szCs w:val="20"/>
        </w:rPr>
        <w:t xml:space="preserve">categories </w:t>
      </w:r>
      <w:r w:rsidR="004E20F5" w:rsidRPr="00502572">
        <w:rPr>
          <w:rFonts w:ascii="Arial" w:hAnsi="Arial" w:cs="Arial"/>
          <w:sz w:val="20"/>
          <w:szCs w:val="20"/>
        </w:rPr>
        <w:t>of ecosystems</w:t>
      </w:r>
      <w:r w:rsidR="007D293F" w:rsidRPr="00502572">
        <w:rPr>
          <w:rFonts w:ascii="Arial" w:hAnsi="Arial" w:cs="Arial"/>
          <w:sz w:val="20"/>
          <w:szCs w:val="20"/>
        </w:rPr>
        <w:t xml:space="preserve"> were noted</w:t>
      </w:r>
      <w:r w:rsidR="004E20F5" w:rsidRPr="00502572">
        <w:rPr>
          <w:rFonts w:ascii="Arial" w:hAnsi="Arial" w:cs="Arial"/>
          <w:sz w:val="20"/>
          <w:szCs w:val="20"/>
        </w:rPr>
        <w:t xml:space="preserve">, which are aquatic and </w:t>
      </w:r>
      <w:r w:rsidR="00281199" w:rsidRPr="00502572">
        <w:rPr>
          <w:rFonts w:ascii="Arial" w:hAnsi="Arial" w:cs="Arial"/>
          <w:sz w:val="20"/>
          <w:szCs w:val="20"/>
        </w:rPr>
        <w:t>land</w:t>
      </w:r>
      <w:r w:rsidR="004E20F5" w:rsidRPr="00502572">
        <w:rPr>
          <w:rFonts w:ascii="Arial" w:hAnsi="Arial" w:cs="Arial"/>
          <w:sz w:val="20"/>
          <w:szCs w:val="20"/>
        </w:rPr>
        <w:t xml:space="preserve"> ecosystems. The two ecosystem types render various and enormous socio-economic and ecological </w:t>
      </w:r>
      <w:r w:rsidR="007D293F" w:rsidRPr="00502572">
        <w:rPr>
          <w:rFonts w:ascii="Arial" w:hAnsi="Arial" w:cs="Arial"/>
          <w:sz w:val="20"/>
          <w:szCs w:val="20"/>
        </w:rPr>
        <w:t xml:space="preserve">services </w:t>
      </w:r>
      <w:r w:rsidR="004E20F5" w:rsidRPr="00502572">
        <w:rPr>
          <w:rFonts w:ascii="Arial" w:hAnsi="Arial" w:cs="Arial"/>
          <w:sz w:val="20"/>
          <w:szCs w:val="20"/>
        </w:rPr>
        <w:t xml:space="preserve">to the </w:t>
      </w:r>
      <w:r w:rsidR="007D293F" w:rsidRPr="00502572">
        <w:rPr>
          <w:rFonts w:ascii="Arial" w:hAnsi="Arial" w:cs="Arial"/>
          <w:sz w:val="20"/>
          <w:szCs w:val="20"/>
        </w:rPr>
        <w:t xml:space="preserve">local </w:t>
      </w:r>
      <w:r w:rsidR="004E20F5" w:rsidRPr="00502572">
        <w:rPr>
          <w:rFonts w:ascii="Arial" w:hAnsi="Arial" w:cs="Arial"/>
          <w:sz w:val="20"/>
          <w:szCs w:val="20"/>
        </w:rPr>
        <w:t xml:space="preserve">people in the </w:t>
      </w:r>
      <w:r w:rsidR="007D293F" w:rsidRPr="00502572">
        <w:rPr>
          <w:rFonts w:ascii="Arial" w:hAnsi="Arial" w:cs="Arial"/>
          <w:sz w:val="20"/>
          <w:szCs w:val="20"/>
        </w:rPr>
        <w:t>area</w:t>
      </w:r>
      <w:r w:rsidR="004E20F5" w:rsidRPr="00502572">
        <w:rPr>
          <w:rFonts w:ascii="Arial" w:hAnsi="Arial" w:cs="Arial"/>
          <w:sz w:val="20"/>
          <w:szCs w:val="20"/>
        </w:rPr>
        <w:t xml:space="preserve">. The study also highlighted a diversity of woody species, which also provide multiple services to the people. </w:t>
      </w:r>
      <w:r w:rsidR="00281199" w:rsidRPr="00502572">
        <w:rPr>
          <w:rFonts w:ascii="Arial" w:hAnsi="Arial" w:cs="Arial"/>
          <w:sz w:val="20"/>
          <w:szCs w:val="20"/>
        </w:rPr>
        <w:t xml:space="preserve">The results </w:t>
      </w:r>
      <w:r w:rsidR="008D1513" w:rsidRPr="00502572">
        <w:rPr>
          <w:rFonts w:ascii="Arial" w:hAnsi="Arial" w:cs="Arial"/>
          <w:sz w:val="20"/>
          <w:szCs w:val="20"/>
        </w:rPr>
        <w:t xml:space="preserve">reported the use of exotic tree species in agroforestry in the study area. </w:t>
      </w:r>
      <w:r w:rsidR="00281199" w:rsidRPr="00502572">
        <w:rPr>
          <w:rFonts w:ascii="Arial" w:hAnsi="Arial" w:cs="Arial"/>
          <w:sz w:val="20"/>
          <w:szCs w:val="20"/>
        </w:rPr>
        <w:t xml:space="preserve">The outputs of this investigation </w:t>
      </w:r>
      <w:r w:rsidR="004E20F5" w:rsidRPr="00502572">
        <w:rPr>
          <w:rFonts w:ascii="Arial" w:hAnsi="Arial" w:cs="Arial"/>
          <w:sz w:val="20"/>
          <w:szCs w:val="20"/>
        </w:rPr>
        <w:t>constitute the baseline level in terms of typology of ecosystems and their services, which are key for ecosystem restoration programmes for a sustainable use of their services</w:t>
      </w:r>
      <w:r w:rsidR="007D293F" w:rsidRPr="00502572">
        <w:rPr>
          <w:rFonts w:ascii="Arial" w:hAnsi="Arial" w:cs="Arial"/>
          <w:sz w:val="20"/>
          <w:szCs w:val="20"/>
        </w:rPr>
        <w:t xml:space="preserve"> in Niger</w:t>
      </w:r>
      <w:r w:rsidR="00281199" w:rsidRPr="00502572">
        <w:rPr>
          <w:rFonts w:ascii="Arial" w:hAnsi="Arial" w:cs="Arial"/>
          <w:sz w:val="20"/>
          <w:szCs w:val="20"/>
        </w:rPr>
        <w:t xml:space="preserve"> especially at local level</w:t>
      </w:r>
      <w:r w:rsidR="004E20F5" w:rsidRPr="00502572">
        <w:rPr>
          <w:rFonts w:ascii="Arial" w:hAnsi="Arial" w:cs="Arial"/>
          <w:sz w:val="20"/>
          <w:szCs w:val="20"/>
        </w:rPr>
        <w:t>.</w:t>
      </w:r>
      <w:r w:rsidR="00F656E2">
        <w:rPr>
          <w:rFonts w:ascii="Arial" w:hAnsi="Arial" w:cs="Arial"/>
          <w:sz w:val="20"/>
          <w:szCs w:val="20"/>
        </w:rPr>
        <w:t xml:space="preserve"> </w:t>
      </w:r>
      <w:r w:rsidR="00F656E2" w:rsidRPr="00F656E2">
        <w:rPr>
          <w:rFonts w:ascii="Arial" w:hAnsi="Arial" w:cs="Arial"/>
          <w:sz w:val="20"/>
          <w:szCs w:val="20"/>
          <w:highlight w:val="yellow"/>
        </w:rPr>
        <w:t>The study offers valuable empirical data that can inform regional conservation strategies and sustainable land management practices in a context of climate change</w:t>
      </w:r>
      <w:r w:rsidR="00F656E2" w:rsidRPr="00F656E2">
        <w:rPr>
          <w:rFonts w:ascii="Arial" w:hAnsi="Arial" w:cs="Arial"/>
          <w:sz w:val="20"/>
          <w:szCs w:val="20"/>
          <w:highlight w:val="yellow"/>
        </w:rPr>
        <w:t xml:space="preserve">, </w:t>
      </w:r>
      <w:r w:rsidR="00F656E2" w:rsidRPr="00F656E2">
        <w:rPr>
          <w:rFonts w:ascii="Arial" w:hAnsi="Arial" w:cs="Arial"/>
          <w:sz w:val="20"/>
          <w:szCs w:val="20"/>
          <w:highlight w:val="yellow"/>
        </w:rPr>
        <w:t>environmental degradation</w:t>
      </w:r>
      <w:r w:rsidR="00F656E2" w:rsidRPr="00F656E2">
        <w:rPr>
          <w:rFonts w:ascii="Arial" w:hAnsi="Arial" w:cs="Arial"/>
          <w:sz w:val="20"/>
          <w:szCs w:val="20"/>
          <w:highlight w:val="yellow"/>
        </w:rPr>
        <w:t xml:space="preserve"> and terrorist activities.</w:t>
      </w:r>
      <w:r w:rsidR="00F656E2">
        <w:rPr>
          <w:rFonts w:ascii="Arial" w:hAnsi="Arial" w:cs="Arial"/>
          <w:sz w:val="20"/>
          <w:szCs w:val="20"/>
        </w:rPr>
        <w:t xml:space="preserve"> </w:t>
      </w:r>
    </w:p>
    <w:p w14:paraId="75C64E15" w14:textId="5BB42A08" w:rsidR="00BD34D0" w:rsidRPr="00BD34D0" w:rsidRDefault="00BD34D0" w:rsidP="00BD34D0">
      <w:pPr>
        <w:spacing w:line="360" w:lineRule="auto"/>
        <w:jc w:val="both"/>
        <w:rPr>
          <w:rFonts w:ascii="Arial" w:hAnsi="Arial" w:cs="Arial"/>
          <w:sz w:val="20"/>
          <w:szCs w:val="20"/>
        </w:rPr>
      </w:pPr>
      <w:r w:rsidRPr="00BD34D0">
        <w:rPr>
          <w:rFonts w:ascii="Arial" w:hAnsi="Arial" w:cs="Arial"/>
          <w:sz w:val="20"/>
          <w:szCs w:val="20"/>
        </w:rPr>
        <w:t>COMPETING INTERESTS DISCLAIMER:</w:t>
      </w:r>
    </w:p>
    <w:p w14:paraId="46071DF1" w14:textId="30364493" w:rsidR="00BD34D0" w:rsidRDefault="00BD34D0" w:rsidP="00BD34D0">
      <w:pPr>
        <w:spacing w:line="360" w:lineRule="auto"/>
        <w:jc w:val="both"/>
        <w:rPr>
          <w:rFonts w:ascii="Arial" w:hAnsi="Arial" w:cs="Arial"/>
          <w:sz w:val="20"/>
          <w:szCs w:val="20"/>
        </w:rPr>
      </w:pPr>
      <w:r w:rsidRPr="00BD34D0">
        <w:rPr>
          <w:rFonts w:ascii="Arial" w:hAnsi="Arial" w:cs="Arial"/>
          <w:sz w:val="20"/>
          <w:szCs w:val="20"/>
        </w:rPr>
        <w:t>Authors have declared that they have no known competing financial interests OR non-financial interests OR personal relationships that could have appeared to influence the work reported in this paper.</w:t>
      </w:r>
    </w:p>
    <w:p w14:paraId="2CF17F83" w14:textId="47B5A2B3" w:rsidR="00C95508" w:rsidRDefault="00C95508" w:rsidP="00BD34D0">
      <w:pPr>
        <w:spacing w:line="360" w:lineRule="auto"/>
        <w:jc w:val="both"/>
        <w:rPr>
          <w:rFonts w:ascii="Arial" w:hAnsi="Arial" w:cs="Arial"/>
          <w:sz w:val="20"/>
          <w:szCs w:val="20"/>
        </w:rPr>
      </w:pPr>
    </w:p>
    <w:p w14:paraId="18054AF9" w14:textId="77777777" w:rsidR="00C95508" w:rsidRPr="00C95508" w:rsidRDefault="00C95508" w:rsidP="00C95508">
      <w:pPr>
        <w:keepNext/>
        <w:keepLines/>
        <w:spacing w:before="120" w:after="120" w:line="360" w:lineRule="auto"/>
        <w:jc w:val="both"/>
        <w:outlineLvl w:val="1"/>
        <w:rPr>
          <w:rFonts w:ascii="Times New Roman" w:eastAsia="Times New Roman" w:hAnsi="Times New Roman" w:cs="Times New Roman"/>
          <w:bCs/>
          <w:sz w:val="24"/>
          <w:szCs w:val="24"/>
          <w:highlight w:val="yellow"/>
          <w:lang w:eastAsia="en-IN"/>
        </w:rPr>
      </w:pPr>
      <w:bookmarkStart w:id="4" w:name="_Hlk218867759"/>
      <w:r w:rsidRPr="00C95508">
        <w:rPr>
          <w:rFonts w:ascii="Times New Roman" w:eastAsia="Times New Roman" w:hAnsi="Times New Roman" w:cs="Times New Roman"/>
          <w:bCs/>
          <w:sz w:val="24"/>
          <w:szCs w:val="24"/>
          <w:highlight w:val="yellow"/>
          <w:lang w:eastAsia="en-IN"/>
        </w:rPr>
        <w:t>Disclaimer (Artificial intelligence)</w:t>
      </w:r>
    </w:p>
    <w:p w14:paraId="1E19FAEA" w14:textId="77777777" w:rsidR="00C95508" w:rsidRPr="00C95508" w:rsidRDefault="00C95508" w:rsidP="00C95508">
      <w:pPr>
        <w:keepNext/>
        <w:keepLines/>
        <w:spacing w:before="120" w:after="120" w:line="360" w:lineRule="auto"/>
        <w:jc w:val="both"/>
        <w:outlineLvl w:val="1"/>
        <w:rPr>
          <w:rFonts w:ascii="Times New Roman" w:eastAsia="Times New Roman" w:hAnsi="Times New Roman" w:cs="Times New Roman"/>
          <w:bCs/>
          <w:sz w:val="24"/>
          <w:szCs w:val="24"/>
          <w:lang w:eastAsia="en-IN"/>
        </w:rPr>
      </w:pPr>
      <w:r w:rsidRPr="00C95508">
        <w:rPr>
          <w:rFonts w:ascii="Times New Roman" w:eastAsia="Times New Roman" w:hAnsi="Times New Roman" w:cs="Times New Roman"/>
          <w:bCs/>
          <w:sz w:val="24"/>
          <w:szCs w:val="24"/>
          <w:highlight w:val="yellow"/>
          <w:lang w:eastAsia="en-IN"/>
        </w:rPr>
        <w:t>Author(s) hereby declare that NO generative AI technologies such as Large Language Models (ChatGPT, COPILOT, etc.) and text-to-image generators have been used during the writing or editing of this manuscript.</w:t>
      </w:r>
      <w:r w:rsidRPr="00C95508">
        <w:rPr>
          <w:rFonts w:ascii="Times New Roman" w:eastAsia="Times New Roman" w:hAnsi="Times New Roman" w:cs="Times New Roman"/>
          <w:bCs/>
          <w:sz w:val="24"/>
          <w:szCs w:val="24"/>
          <w:lang w:eastAsia="en-IN"/>
        </w:rPr>
        <w:t xml:space="preserve"> </w:t>
      </w:r>
    </w:p>
    <w:bookmarkEnd w:id="4"/>
    <w:p w14:paraId="1E2F8C43" w14:textId="77777777" w:rsidR="00C95508" w:rsidRPr="00502572" w:rsidRDefault="00C95508" w:rsidP="00BD34D0">
      <w:pPr>
        <w:spacing w:line="360" w:lineRule="auto"/>
        <w:jc w:val="both"/>
        <w:rPr>
          <w:rFonts w:ascii="Arial" w:hAnsi="Arial" w:cs="Arial"/>
          <w:sz w:val="20"/>
          <w:szCs w:val="20"/>
        </w:rPr>
      </w:pPr>
    </w:p>
    <w:p w14:paraId="0D172B9F" w14:textId="6CC451ED" w:rsidR="00BD6BC2" w:rsidRPr="00502572" w:rsidRDefault="00281199" w:rsidP="00281199">
      <w:pPr>
        <w:rPr>
          <w:rFonts w:ascii="Arial" w:hAnsi="Arial" w:cs="Arial"/>
          <w:b/>
        </w:rPr>
      </w:pPr>
      <w:r w:rsidRPr="00502572">
        <w:rPr>
          <w:rFonts w:ascii="Arial" w:hAnsi="Arial" w:cs="Arial"/>
          <w:b/>
        </w:rPr>
        <w:t>REFERENCES</w:t>
      </w:r>
    </w:p>
    <w:p w14:paraId="274B9E5A" w14:textId="36CE5E5A" w:rsidR="00C80401" w:rsidRPr="00C80401" w:rsidRDefault="004D7A6B" w:rsidP="00C80401">
      <w:pPr>
        <w:widowControl w:val="0"/>
        <w:autoSpaceDE w:val="0"/>
        <w:autoSpaceDN w:val="0"/>
        <w:adjustRightInd w:val="0"/>
        <w:spacing w:after="0" w:line="360" w:lineRule="auto"/>
        <w:ind w:left="640" w:hanging="640"/>
        <w:rPr>
          <w:rFonts w:ascii="Arial" w:hAnsi="Arial" w:cs="Arial"/>
          <w:noProof/>
          <w:sz w:val="20"/>
        </w:rPr>
      </w:pPr>
      <w:r w:rsidRPr="00502572">
        <w:rPr>
          <w:rFonts w:ascii="Arial" w:hAnsi="Arial" w:cs="Arial"/>
          <w:b/>
          <w:sz w:val="20"/>
          <w:szCs w:val="20"/>
        </w:rPr>
        <w:fldChar w:fldCharType="begin" w:fldLock="1"/>
      </w:r>
      <w:r w:rsidR="005A7AE7" w:rsidRPr="00502572">
        <w:rPr>
          <w:rFonts w:ascii="Arial" w:hAnsi="Arial" w:cs="Arial"/>
          <w:b/>
          <w:sz w:val="20"/>
          <w:szCs w:val="20"/>
        </w:rPr>
        <w:instrText xml:space="preserve">ADDIN Mendeley Bibliography CSL_BIBLIOGRAPHY </w:instrText>
      </w:r>
      <w:r w:rsidRPr="00502572">
        <w:rPr>
          <w:rFonts w:ascii="Arial" w:hAnsi="Arial" w:cs="Arial"/>
          <w:b/>
          <w:sz w:val="20"/>
          <w:szCs w:val="20"/>
        </w:rPr>
        <w:fldChar w:fldCharType="separate"/>
      </w:r>
      <w:r w:rsidR="00C80401" w:rsidRPr="00C80401">
        <w:rPr>
          <w:rFonts w:ascii="Arial" w:hAnsi="Arial" w:cs="Arial"/>
          <w:noProof/>
          <w:sz w:val="20"/>
        </w:rPr>
        <w:t>[1]</w:t>
      </w:r>
      <w:r w:rsidR="00C80401" w:rsidRPr="00C80401">
        <w:rPr>
          <w:rFonts w:ascii="Arial" w:hAnsi="Arial" w:cs="Arial"/>
          <w:noProof/>
          <w:sz w:val="20"/>
        </w:rPr>
        <w:tab/>
        <w:t>S. Moussa, “Inventaire des légumineuses des communes d’Aguié et Mayahi : composition systématique, chorologie, types biologiques et importance socioéconomique. Mémoire de Master2, Université de Maradi,Niger, 1-80p.,” 2013. doi: https://www.researchgate.net/publication/304624157.</w:t>
      </w:r>
    </w:p>
    <w:p w14:paraId="1B06A0F7" w14:textId="77777777" w:rsidR="00C80401" w:rsidRPr="00C80401" w:rsidRDefault="00C80401" w:rsidP="00C80401">
      <w:pPr>
        <w:widowControl w:val="0"/>
        <w:autoSpaceDE w:val="0"/>
        <w:autoSpaceDN w:val="0"/>
        <w:adjustRightInd w:val="0"/>
        <w:spacing w:after="0" w:line="360" w:lineRule="auto"/>
        <w:ind w:left="640" w:hanging="640"/>
        <w:rPr>
          <w:rFonts w:ascii="Arial" w:hAnsi="Arial" w:cs="Arial"/>
          <w:noProof/>
          <w:sz w:val="20"/>
        </w:rPr>
      </w:pPr>
      <w:r w:rsidRPr="00C80401">
        <w:rPr>
          <w:rFonts w:ascii="Arial" w:hAnsi="Arial" w:cs="Arial"/>
          <w:noProof/>
          <w:sz w:val="20"/>
        </w:rPr>
        <w:t>[2]</w:t>
      </w:r>
      <w:r w:rsidRPr="00C80401">
        <w:rPr>
          <w:rFonts w:ascii="Arial" w:hAnsi="Arial" w:cs="Arial"/>
          <w:noProof/>
          <w:sz w:val="20"/>
        </w:rPr>
        <w:tab/>
        <w:t xml:space="preserve">R. Bommarco, D. Kleijn, and S. G. Potts, “Ecological intensification: Harnessing ecosystem services for food security,” </w:t>
      </w:r>
      <w:r w:rsidRPr="00C80401">
        <w:rPr>
          <w:rFonts w:ascii="Arial" w:hAnsi="Arial" w:cs="Arial"/>
          <w:i/>
          <w:iCs/>
          <w:noProof/>
          <w:sz w:val="20"/>
        </w:rPr>
        <w:t>Trends Ecol. Evol.</w:t>
      </w:r>
      <w:r w:rsidRPr="00C80401">
        <w:rPr>
          <w:rFonts w:ascii="Arial" w:hAnsi="Arial" w:cs="Arial"/>
          <w:noProof/>
          <w:sz w:val="20"/>
        </w:rPr>
        <w:t>, vol. 28, no. 4, pp. 230–238, 2013, doi: 10.1016/j.tree.2012.10.012.</w:t>
      </w:r>
    </w:p>
    <w:p w14:paraId="6859D508" w14:textId="77777777" w:rsidR="00C80401" w:rsidRPr="00C80401" w:rsidRDefault="00C80401" w:rsidP="00C80401">
      <w:pPr>
        <w:widowControl w:val="0"/>
        <w:autoSpaceDE w:val="0"/>
        <w:autoSpaceDN w:val="0"/>
        <w:adjustRightInd w:val="0"/>
        <w:spacing w:after="0" w:line="360" w:lineRule="auto"/>
        <w:ind w:left="640" w:hanging="640"/>
        <w:rPr>
          <w:rFonts w:ascii="Arial" w:hAnsi="Arial" w:cs="Arial"/>
          <w:noProof/>
          <w:sz w:val="20"/>
        </w:rPr>
      </w:pPr>
      <w:r w:rsidRPr="00C80401">
        <w:rPr>
          <w:rFonts w:ascii="Arial" w:hAnsi="Arial" w:cs="Arial"/>
          <w:noProof/>
          <w:sz w:val="20"/>
        </w:rPr>
        <w:lastRenderedPageBreak/>
        <w:t>[3]</w:t>
      </w:r>
      <w:r w:rsidRPr="00C80401">
        <w:rPr>
          <w:rFonts w:ascii="Arial" w:hAnsi="Arial" w:cs="Arial"/>
          <w:noProof/>
          <w:sz w:val="20"/>
        </w:rPr>
        <w:tab/>
        <w:t xml:space="preserve">W. Zhang, E. Dulloo, G. Kennedy, A. Bailey, H. Sandhu, and E. Nkonya, </w:t>
      </w:r>
      <w:r w:rsidRPr="00C80401">
        <w:rPr>
          <w:rFonts w:ascii="Arial" w:hAnsi="Arial" w:cs="Arial"/>
          <w:i/>
          <w:iCs/>
          <w:noProof/>
          <w:sz w:val="20"/>
        </w:rPr>
        <w:t>Biodiversity and Ecosystem Services</w:t>
      </w:r>
      <w:r w:rsidRPr="00C80401">
        <w:rPr>
          <w:rFonts w:ascii="Arial" w:hAnsi="Arial" w:cs="Arial"/>
          <w:noProof/>
          <w:sz w:val="20"/>
        </w:rPr>
        <w:t>. Elsevier Inc., 2019. doi: 10.1016/b978-0-12-812134-4.00008-x.</w:t>
      </w:r>
    </w:p>
    <w:p w14:paraId="594E81AD" w14:textId="77777777" w:rsidR="00C80401" w:rsidRPr="00C80401" w:rsidRDefault="00C80401" w:rsidP="00C80401">
      <w:pPr>
        <w:widowControl w:val="0"/>
        <w:autoSpaceDE w:val="0"/>
        <w:autoSpaceDN w:val="0"/>
        <w:adjustRightInd w:val="0"/>
        <w:spacing w:after="0" w:line="360" w:lineRule="auto"/>
        <w:ind w:left="640" w:hanging="640"/>
        <w:rPr>
          <w:rFonts w:ascii="Arial" w:hAnsi="Arial" w:cs="Arial"/>
          <w:noProof/>
          <w:sz w:val="20"/>
        </w:rPr>
      </w:pPr>
      <w:r w:rsidRPr="00C80401">
        <w:rPr>
          <w:rFonts w:ascii="Arial" w:hAnsi="Arial" w:cs="Arial"/>
          <w:noProof/>
          <w:sz w:val="20"/>
        </w:rPr>
        <w:t>[4]</w:t>
      </w:r>
      <w:r w:rsidRPr="00C80401">
        <w:rPr>
          <w:rFonts w:ascii="Arial" w:hAnsi="Arial" w:cs="Arial"/>
          <w:noProof/>
          <w:sz w:val="20"/>
        </w:rPr>
        <w:tab/>
        <w:t xml:space="preserve">E. Luedeling and H. Neufeldt, “Carbon sequestration potential of parkland agroforestry in the Sahel,” </w:t>
      </w:r>
      <w:r w:rsidRPr="00C80401">
        <w:rPr>
          <w:rFonts w:ascii="Arial" w:hAnsi="Arial" w:cs="Arial"/>
          <w:i/>
          <w:iCs/>
          <w:noProof/>
          <w:sz w:val="20"/>
        </w:rPr>
        <w:t>Clim. Change</w:t>
      </w:r>
      <w:r w:rsidRPr="00C80401">
        <w:rPr>
          <w:rFonts w:ascii="Arial" w:hAnsi="Arial" w:cs="Arial"/>
          <w:noProof/>
          <w:sz w:val="20"/>
        </w:rPr>
        <w:t>, vol. 115, no. 3–4, pp. 443–461, 2012, doi: 10.1007/s10584-012-0438-0.</w:t>
      </w:r>
    </w:p>
    <w:p w14:paraId="33D1A7A9" w14:textId="77777777" w:rsidR="00C80401" w:rsidRPr="00C80401" w:rsidRDefault="00C80401" w:rsidP="00C80401">
      <w:pPr>
        <w:widowControl w:val="0"/>
        <w:autoSpaceDE w:val="0"/>
        <w:autoSpaceDN w:val="0"/>
        <w:adjustRightInd w:val="0"/>
        <w:spacing w:after="0" w:line="360" w:lineRule="auto"/>
        <w:ind w:left="640" w:hanging="640"/>
        <w:rPr>
          <w:rFonts w:ascii="Arial" w:hAnsi="Arial" w:cs="Arial"/>
          <w:noProof/>
          <w:sz w:val="20"/>
        </w:rPr>
      </w:pPr>
      <w:r w:rsidRPr="00C80401">
        <w:rPr>
          <w:rFonts w:ascii="Arial" w:hAnsi="Arial" w:cs="Arial"/>
          <w:noProof/>
          <w:sz w:val="20"/>
        </w:rPr>
        <w:t>[5]</w:t>
      </w:r>
      <w:r w:rsidRPr="00C80401">
        <w:rPr>
          <w:rFonts w:ascii="Arial" w:hAnsi="Arial" w:cs="Arial"/>
          <w:noProof/>
          <w:sz w:val="20"/>
        </w:rPr>
        <w:tab/>
        <w:t xml:space="preserve">S. Moussa, B. Kyereh, A. Tougiani, S. Kuyah, and S. Mahamane, “West African Sahelian Cities as Source of Carbon Stocks: Evidence from Niger,” </w:t>
      </w:r>
      <w:r w:rsidRPr="00C80401">
        <w:rPr>
          <w:rFonts w:ascii="Arial" w:hAnsi="Arial" w:cs="Arial"/>
          <w:i/>
          <w:iCs/>
          <w:noProof/>
          <w:sz w:val="20"/>
        </w:rPr>
        <w:t>Sustain. Cities Soc.</w:t>
      </w:r>
      <w:r w:rsidRPr="00C80401">
        <w:rPr>
          <w:rFonts w:ascii="Arial" w:hAnsi="Arial" w:cs="Arial"/>
          <w:noProof/>
          <w:sz w:val="20"/>
        </w:rPr>
        <w:t>, vol. 50, p. 101653, Jun. 2019, doi: 10.1016/j.scs.2019.101653.</w:t>
      </w:r>
    </w:p>
    <w:p w14:paraId="0D19C1C2" w14:textId="77777777" w:rsidR="00C80401" w:rsidRPr="00C80401" w:rsidRDefault="00C80401" w:rsidP="00C80401">
      <w:pPr>
        <w:widowControl w:val="0"/>
        <w:autoSpaceDE w:val="0"/>
        <w:autoSpaceDN w:val="0"/>
        <w:adjustRightInd w:val="0"/>
        <w:spacing w:after="0" w:line="360" w:lineRule="auto"/>
        <w:ind w:left="640" w:hanging="640"/>
        <w:rPr>
          <w:rFonts w:ascii="Arial" w:hAnsi="Arial" w:cs="Arial"/>
          <w:noProof/>
          <w:sz w:val="20"/>
        </w:rPr>
      </w:pPr>
      <w:r w:rsidRPr="00C80401">
        <w:rPr>
          <w:rFonts w:ascii="Arial" w:hAnsi="Arial" w:cs="Arial"/>
          <w:noProof/>
          <w:sz w:val="20"/>
        </w:rPr>
        <w:t>[6]</w:t>
      </w:r>
      <w:r w:rsidRPr="00C80401">
        <w:rPr>
          <w:rFonts w:ascii="Arial" w:hAnsi="Arial" w:cs="Arial"/>
          <w:noProof/>
          <w:sz w:val="20"/>
        </w:rPr>
        <w:tab/>
        <w:t xml:space="preserve">E. K. Melaas, J. A. Wang, D. L. Miller, and M. A. Friedl, “Interactions between urban vegetation and surface urban heat islands: A case study in the Boston metropolitan region,” </w:t>
      </w:r>
      <w:r w:rsidRPr="00C80401">
        <w:rPr>
          <w:rFonts w:ascii="Arial" w:hAnsi="Arial" w:cs="Arial"/>
          <w:i/>
          <w:iCs/>
          <w:noProof/>
          <w:sz w:val="20"/>
        </w:rPr>
        <w:t>Environ. Res. Lett.</w:t>
      </w:r>
      <w:r w:rsidRPr="00C80401">
        <w:rPr>
          <w:rFonts w:ascii="Arial" w:hAnsi="Arial" w:cs="Arial"/>
          <w:noProof/>
          <w:sz w:val="20"/>
        </w:rPr>
        <w:t>, vol. 11, no. 5, p. 12, 2016, doi: 10.1088/1748-9326/11/5/054020.</w:t>
      </w:r>
    </w:p>
    <w:p w14:paraId="302AEE45" w14:textId="77777777" w:rsidR="00C80401" w:rsidRPr="00C80401" w:rsidRDefault="00C80401" w:rsidP="00C80401">
      <w:pPr>
        <w:widowControl w:val="0"/>
        <w:autoSpaceDE w:val="0"/>
        <w:autoSpaceDN w:val="0"/>
        <w:adjustRightInd w:val="0"/>
        <w:spacing w:after="0" w:line="360" w:lineRule="auto"/>
        <w:ind w:left="640" w:hanging="640"/>
        <w:rPr>
          <w:rFonts w:ascii="Arial" w:hAnsi="Arial" w:cs="Arial"/>
          <w:noProof/>
          <w:sz w:val="20"/>
        </w:rPr>
      </w:pPr>
      <w:r w:rsidRPr="00C80401">
        <w:rPr>
          <w:rFonts w:ascii="Arial" w:hAnsi="Arial" w:cs="Arial"/>
          <w:noProof/>
          <w:sz w:val="20"/>
        </w:rPr>
        <w:t>[7]</w:t>
      </w:r>
      <w:r w:rsidRPr="00C80401">
        <w:rPr>
          <w:rFonts w:ascii="Arial" w:hAnsi="Arial" w:cs="Arial"/>
          <w:noProof/>
          <w:sz w:val="20"/>
        </w:rPr>
        <w:tab/>
        <w:t xml:space="preserve">X. Liu and B. R. Bakshi, “Ecosystem Services in Life Cycle Assessment while Encouraging Techno-Ecological Synergies,” </w:t>
      </w:r>
      <w:r w:rsidRPr="00C80401">
        <w:rPr>
          <w:rFonts w:ascii="Arial" w:hAnsi="Arial" w:cs="Arial"/>
          <w:i/>
          <w:iCs/>
          <w:noProof/>
          <w:sz w:val="20"/>
        </w:rPr>
        <w:t>J. Ind. Ecol.</w:t>
      </w:r>
      <w:r w:rsidRPr="00C80401">
        <w:rPr>
          <w:rFonts w:ascii="Arial" w:hAnsi="Arial" w:cs="Arial"/>
          <w:noProof/>
          <w:sz w:val="20"/>
        </w:rPr>
        <w:t>, vol. 23, no. 2, pp. 347–360, 2019, doi: 10.1111/jiec.12755.</w:t>
      </w:r>
    </w:p>
    <w:p w14:paraId="7A0388C8" w14:textId="77777777" w:rsidR="00C80401" w:rsidRPr="00C80401" w:rsidRDefault="00C80401" w:rsidP="00C80401">
      <w:pPr>
        <w:widowControl w:val="0"/>
        <w:autoSpaceDE w:val="0"/>
        <w:autoSpaceDN w:val="0"/>
        <w:adjustRightInd w:val="0"/>
        <w:spacing w:after="0" w:line="360" w:lineRule="auto"/>
        <w:ind w:left="640" w:hanging="640"/>
        <w:rPr>
          <w:rFonts w:ascii="Arial" w:hAnsi="Arial" w:cs="Arial"/>
          <w:noProof/>
          <w:sz w:val="20"/>
        </w:rPr>
      </w:pPr>
      <w:r w:rsidRPr="00C80401">
        <w:rPr>
          <w:rFonts w:ascii="Arial" w:hAnsi="Arial" w:cs="Arial"/>
          <w:noProof/>
          <w:sz w:val="20"/>
        </w:rPr>
        <w:t>[8]</w:t>
      </w:r>
      <w:r w:rsidRPr="00C80401">
        <w:rPr>
          <w:rFonts w:ascii="Arial" w:hAnsi="Arial" w:cs="Arial"/>
          <w:noProof/>
          <w:sz w:val="20"/>
        </w:rPr>
        <w:tab/>
        <w:t xml:space="preserve">O. L. Kupika, E. Gandiwa, G. Nhamo, and S. Kativu, “Local ecological knowledge on climate change and ecosystem-based adaptation strategies promote resilience in the Middle Zambezi Biosphere Reserve, Zimbabwe,” </w:t>
      </w:r>
      <w:r w:rsidRPr="00C80401">
        <w:rPr>
          <w:rFonts w:ascii="Arial" w:hAnsi="Arial" w:cs="Arial"/>
          <w:i/>
          <w:iCs/>
          <w:noProof/>
          <w:sz w:val="20"/>
        </w:rPr>
        <w:t>Scientifica (Cairo).</w:t>
      </w:r>
      <w:r w:rsidRPr="00C80401">
        <w:rPr>
          <w:rFonts w:ascii="Arial" w:hAnsi="Arial" w:cs="Arial"/>
          <w:noProof/>
          <w:sz w:val="20"/>
        </w:rPr>
        <w:t>, vol. 2019, 2019, doi: 10.1155/2019/3069254.</w:t>
      </w:r>
    </w:p>
    <w:p w14:paraId="74A357F0" w14:textId="77777777" w:rsidR="00C80401" w:rsidRPr="00C80401" w:rsidRDefault="00C80401" w:rsidP="00C80401">
      <w:pPr>
        <w:widowControl w:val="0"/>
        <w:autoSpaceDE w:val="0"/>
        <w:autoSpaceDN w:val="0"/>
        <w:adjustRightInd w:val="0"/>
        <w:spacing w:after="0" w:line="360" w:lineRule="auto"/>
        <w:ind w:left="640" w:hanging="640"/>
        <w:rPr>
          <w:rFonts w:ascii="Arial" w:hAnsi="Arial" w:cs="Arial"/>
          <w:noProof/>
          <w:sz w:val="20"/>
        </w:rPr>
      </w:pPr>
      <w:r w:rsidRPr="00C80401">
        <w:rPr>
          <w:rFonts w:ascii="Arial" w:hAnsi="Arial" w:cs="Arial"/>
          <w:noProof/>
          <w:sz w:val="20"/>
        </w:rPr>
        <w:t>[9]</w:t>
      </w:r>
      <w:r w:rsidRPr="00C80401">
        <w:rPr>
          <w:rFonts w:ascii="Arial" w:hAnsi="Arial" w:cs="Arial"/>
          <w:noProof/>
          <w:sz w:val="20"/>
        </w:rPr>
        <w:tab/>
        <w:t xml:space="preserve">S. I. A. Shah, J. Zhou, and A. A. Shah, “Ecosystem-based Adaptation (EbA) practices in smallholder agriculture; emerging evidence from rural Pakistan,” </w:t>
      </w:r>
      <w:r w:rsidRPr="00C80401">
        <w:rPr>
          <w:rFonts w:ascii="Arial" w:hAnsi="Arial" w:cs="Arial"/>
          <w:i/>
          <w:iCs/>
          <w:noProof/>
          <w:sz w:val="20"/>
        </w:rPr>
        <w:t>J. Clean. Prod.</w:t>
      </w:r>
      <w:r w:rsidRPr="00C80401">
        <w:rPr>
          <w:rFonts w:ascii="Arial" w:hAnsi="Arial" w:cs="Arial"/>
          <w:noProof/>
          <w:sz w:val="20"/>
        </w:rPr>
        <w:t>, vol. 218, pp. 673–684, 2019, doi: 10.1016/j.jclepro.2019.02.028.</w:t>
      </w:r>
    </w:p>
    <w:p w14:paraId="397198FC" w14:textId="77777777" w:rsidR="00C80401" w:rsidRPr="00C80401" w:rsidRDefault="00C80401" w:rsidP="00C80401">
      <w:pPr>
        <w:widowControl w:val="0"/>
        <w:autoSpaceDE w:val="0"/>
        <w:autoSpaceDN w:val="0"/>
        <w:adjustRightInd w:val="0"/>
        <w:spacing w:after="0" w:line="360" w:lineRule="auto"/>
        <w:ind w:left="640" w:hanging="640"/>
        <w:rPr>
          <w:rFonts w:ascii="Arial" w:hAnsi="Arial" w:cs="Arial"/>
          <w:noProof/>
          <w:sz w:val="20"/>
        </w:rPr>
      </w:pPr>
      <w:r w:rsidRPr="00C80401">
        <w:rPr>
          <w:rFonts w:ascii="Arial" w:hAnsi="Arial" w:cs="Arial"/>
          <w:noProof/>
          <w:sz w:val="20"/>
        </w:rPr>
        <w:t>[10]</w:t>
      </w:r>
      <w:r w:rsidRPr="00C80401">
        <w:rPr>
          <w:rFonts w:ascii="Arial" w:hAnsi="Arial" w:cs="Arial"/>
          <w:noProof/>
          <w:sz w:val="20"/>
        </w:rPr>
        <w:tab/>
        <w:t xml:space="preserve">M. J. du Toit, S. S. Cilliers, M. Dallimer, M. Goddard, S. Guenat, and S. F. Cornelius, “Urban green infrastructure and ecosystem services in sub-Saharan Africa,” </w:t>
      </w:r>
      <w:r w:rsidRPr="00C80401">
        <w:rPr>
          <w:rFonts w:ascii="Arial" w:hAnsi="Arial" w:cs="Arial"/>
          <w:i/>
          <w:iCs/>
          <w:noProof/>
          <w:sz w:val="20"/>
        </w:rPr>
        <w:t>Landsc. Urban Plan.</w:t>
      </w:r>
      <w:r w:rsidRPr="00C80401">
        <w:rPr>
          <w:rFonts w:ascii="Arial" w:hAnsi="Arial" w:cs="Arial"/>
          <w:noProof/>
          <w:sz w:val="20"/>
        </w:rPr>
        <w:t>, vol. 180, no. June, pp. 249–261, 2018, doi: 10.1016/j.landurbplan.2018.06.001.</w:t>
      </w:r>
    </w:p>
    <w:p w14:paraId="5606CCB1" w14:textId="77777777" w:rsidR="00C80401" w:rsidRPr="00C80401" w:rsidRDefault="00C80401" w:rsidP="00C80401">
      <w:pPr>
        <w:widowControl w:val="0"/>
        <w:autoSpaceDE w:val="0"/>
        <w:autoSpaceDN w:val="0"/>
        <w:adjustRightInd w:val="0"/>
        <w:spacing w:after="0" w:line="360" w:lineRule="auto"/>
        <w:ind w:left="640" w:hanging="640"/>
        <w:rPr>
          <w:rFonts w:ascii="Arial" w:hAnsi="Arial" w:cs="Arial"/>
          <w:noProof/>
          <w:sz w:val="20"/>
        </w:rPr>
      </w:pPr>
      <w:r w:rsidRPr="00C80401">
        <w:rPr>
          <w:rFonts w:ascii="Arial" w:hAnsi="Arial" w:cs="Arial"/>
          <w:noProof/>
          <w:sz w:val="20"/>
        </w:rPr>
        <w:t>[11]</w:t>
      </w:r>
      <w:r w:rsidRPr="00C80401">
        <w:rPr>
          <w:rFonts w:ascii="Arial" w:hAnsi="Arial" w:cs="Arial"/>
          <w:noProof/>
          <w:sz w:val="20"/>
        </w:rPr>
        <w:tab/>
        <w:t xml:space="preserve">J. A. Johnson </w:t>
      </w:r>
      <w:r w:rsidRPr="00C80401">
        <w:rPr>
          <w:rFonts w:ascii="Arial" w:hAnsi="Arial" w:cs="Arial"/>
          <w:i/>
          <w:iCs/>
          <w:noProof/>
          <w:sz w:val="20"/>
        </w:rPr>
        <w:t>et al.</w:t>
      </w:r>
      <w:r w:rsidRPr="00C80401">
        <w:rPr>
          <w:rFonts w:ascii="Arial" w:hAnsi="Arial" w:cs="Arial"/>
          <w:noProof/>
          <w:sz w:val="20"/>
        </w:rPr>
        <w:t xml:space="preserve">, “Mapping Ecosystem Services to Human Well-being: a toolkit to support integrated landscape management for the SDGs,” </w:t>
      </w:r>
      <w:r w:rsidRPr="00C80401">
        <w:rPr>
          <w:rFonts w:ascii="Arial" w:hAnsi="Arial" w:cs="Arial"/>
          <w:i/>
          <w:iCs/>
          <w:noProof/>
          <w:sz w:val="20"/>
        </w:rPr>
        <w:t>Ecol. Appl.</w:t>
      </w:r>
      <w:r w:rsidRPr="00C80401">
        <w:rPr>
          <w:rFonts w:ascii="Arial" w:hAnsi="Arial" w:cs="Arial"/>
          <w:noProof/>
          <w:sz w:val="20"/>
        </w:rPr>
        <w:t>, vol. 29, no. 8, pp. 1–14, 2019, doi: 10.1002/eap.1985.</w:t>
      </w:r>
    </w:p>
    <w:p w14:paraId="5DE797A3" w14:textId="77777777" w:rsidR="00C80401" w:rsidRPr="00C80401" w:rsidRDefault="00C80401" w:rsidP="00C80401">
      <w:pPr>
        <w:widowControl w:val="0"/>
        <w:autoSpaceDE w:val="0"/>
        <w:autoSpaceDN w:val="0"/>
        <w:adjustRightInd w:val="0"/>
        <w:spacing w:after="0" w:line="360" w:lineRule="auto"/>
        <w:ind w:left="640" w:hanging="640"/>
        <w:rPr>
          <w:rFonts w:ascii="Arial" w:hAnsi="Arial" w:cs="Arial"/>
          <w:noProof/>
          <w:sz w:val="20"/>
        </w:rPr>
      </w:pPr>
      <w:r w:rsidRPr="00C80401">
        <w:rPr>
          <w:rFonts w:ascii="Arial" w:hAnsi="Arial" w:cs="Arial"/>
          <w:noProof/>
          <w:sz w:val="20"/>
        </w:rPr>
        <w:t>[12]</w:t>
      </w:r>
      <w:r w:rsidRPr="00C80401">
        <w:rPr>
          <w:rFonts w:ascii="Arial" w:hAnsi="Arial" w:cs="Arial"/>
          <w:noProof/>
          <w:sz w:val="20"/>
        </w:rPr>
        <w:tab/>
        <w:t xml:space="preserve">A. Mahamane </w:t>
      </w:r>
      <w:r w:rsidRPr="00C80401">
        <w:rPr>
          <w:rFonts w:ascii="Arial" w:hAnsi="Arial" w:cs="Arial"/>
          <w:i/>
          <w:iCs/>
          <w:noProof/>
          <w:sz w:val="20"/>
        </w:rPr>
        <w:t>et al.</w:t>
      </w:r>
      <w:r w:rsidRPr="00C80401">
        <w:rPr>
          <w:rFonts w:ascii="Arial" w:hAnsi="Arial" w:cs="Arial"/>
          <w:noProof/>
          <w:sz w:val="20"/>
        </w:rPr>
        <w:t xml:space="preserve">, “BIODIVERSITE VEGETALE AU NIGER : ETAT DES CONNAISSANCES ACTUELLES,” </w:t>
      </w:r>
      <w:r w:rsidRPr="00C80401">
        <w:rPr>
          <w:rFonts w:ascii="Arial" w:hAnsi="Arial" w:cs="Arial"/>
          <w:i/>
          <w:iCs/>
          <w:noProof/>
          <w:sz w:val="20"/>
        </w:rPr>
        <w:t>Ann. Univ. Lomé (Togo), série Sci. Tome XVIII</w:t>
      </w:r>
      <w:r w:rsidRPr="00C80401">
        <w:rPr>
          <w:rFonts w:ascii="Arial" w:hAnsi="Arial" w:cs="Arial"/>
          <w:noProof/>
          <w:sz w:val="20"/>
        </w:rPr>
        <w:t>, pp. 81–93, 2009.</w:t>
      </w:r>
    </w:p>
    <w:p w14:paraId="18B1334A" w14:textId="77777777" w:rsidR="00C80401" w:rsidRPr="00C80401" w:rsidRDefault="00C80401" w:rsidP="00C80401">
      <w:pPr>
        <w:widowControl w:val="0"/>
        <w:autoSpaceDE w:val="0"/>
        <w:autoSpaceDN w:val="0"/>
        <w:adjustRightInd w:val="0"/>
        <w:spacing w:after="0" w:line="360" w:lineRule="auto"/>
        <w:ind w:left="640" w:hanging="640"/>
        <w:rPr>
          <w:rFonts w:ascii="Arial" w:hAnsi="Arial" w:cs="Arial"/>
          <w:noProof/>
          <w:sz w:val="20"/>
        </w:rPr>
      </w:pPr>
      <w:r w:rsidRPr="00C80401">
        <w:rPr>
          <w:rFonts w:ascii="Arial" w:hAnsi="Arial" w:cs="Arial"/>
          <w:noProof/>
          <w:sz w:val="20"/>
        </w:rPr>
        <w:t>[13]</w:t>
      </w:r>
      <w:r w:rsidRPr="00C80401">
        <w:rPr>
          <w:rFonts w:ascii="Arial" w:hAnsi="Arial" w:cs="Arial"/>
          <w:noProof/>
          <w:sz w:val="20"/>
        </w:rPr>
        <w:tab/>
        <w:t xml:space="preserve">I. Ouédraogo, O. Sambaré, S. Savadogo, and A. Thiombiano, “Perceptions locales des services écosystémiques des aires protégées à l’Est du Burkina Faso,” </w:t>
      </w:r>
      <w:r w:rsidRPr="00C80401">
        <w:rPr>
          <w:rFonts w:ascii="Arial" w:hAnsi="Arial" w:cs="Arial"/>
          <w:i/>
          <w:iCs/>
          <w:noProof/>
          <w:sz w:val="20"/>
        </w:rPr>
        <w:t>Ethnobot. Res. Appl.</w:t>
      </w:r>
      <w:r w:rsidRPr="00C80401">
        <w:rPr>
          <w:rFonts w:ascii="Arial" w:hAnsi="Arial" w:cs="Arial"/>
          <w:noProof/>
          <w:sz w:val="20"/>
        </w:rPr>
        <w:t>, vol. 20, pp. 1–18, 2020, doi: 10.32859/era.20.13.1-18.</w:t>
      </w:r>
    </w:p>
    <w:p w14:paraId="61096703" w14:textId="77777777" w:rsidR="00C80401" w:rsidRPr="00C80401" w:rsidRDefault="00C80401" w:rsidP="00C80401">
      <w:pPr>
        <w:widowControl w:val="0"/>
        <w:autoSpaceDE w:val="0"/>
        <w:autoSpaceDN w:val="0"/>
        <w:adjustRightInd w:val="0"/>
        <w:spacing w:after="0" w:line="360" w:lineRule="auto"/>
        <w:ind w:left="640" w:hanging="640"/>
        <w:rPr>
          <w:rFonts w:ascii="Arial" w:hAnsi="Arial" w:cs="Arial"/>
          <w:noProof/>
          <w:sz w:val="20"/>
        </w:rPr>
      </w:pPr>
      <w:r w:rsidRPr="00C80401">
        <w:rPr>
          <w:rFonts w:ascii="Arial" w:hAnsi="Arial" w:cs="Arial"/>
          <w:noProof/>
          <w:sz w:val="20"/>
        </w:rPr>
        <w:t>[14]</w:t>
      </w:r>
      <w:r w:rsidRPr="00C80401">
        <w:rPr>
          <w:rFonts w:ascii="Arial" w:hAnsi="Arial" w:cs="Arial"/>
          <w:noProof/>
          <w:sz w:val="20"/>
        </w:rPr>
        <w:tab/>
        <w:t xml:space="preserve">B. Soukaradji, A. Abdou, S. Lawali, I. Aboubacar, A. Mahamane, and M. Saadou, “Typologie des exploitations agricoles familiales : cas de la périphérie de la forêt protégée de Baban Rafi du Niger,” </w:t>
      </w:r>
      <w:r w:rsidRPr="00C80401">
        <w:rPr>
          <w:rFonts w:ascii="Arial" w:hAnsi="Arial" w:cs="Arial"/>
          <w:i/>
          <w:iCs/>
          <w:noProof/>
          <w:sz w:val="20"/>
        </w:rPr>
        <w:t>Int. J. Biol. Chem. Sci.</w:t>
      </w:r>
      <w:r w:rsidRPr="00C80401">
        <w:rPr>
          <w:rFonts w:ascii="Arial" w:hAnsi="Arial" w:cs="Arial"/>
          <w:noProof/>
          <w:sz w:val="20"/>
        </w:rPr>
        <w:t>, vol. 11, no. 3, p. 1096, 2017, doi: 10.4314/ijbcs.v11i3.14.</w:t>
      </w:r>
    </w:p>
    <w:p w14:paraId="40C1C2B8" w14:textId="77777777" w:rsidR="00C80401" w:rsidRPr="00C80401" w:rsidRDefault="00C80401" w:rsidP="00C80401">
      <w:pPr>
        <w:widowControl w:val="0"/>
        <w:autoSpaceDE w:val="0"/>
        <w:autoSpaceDN w:val="0"/>
        <w:adjustRightInd w:val="0"/>
        <w:spacing w:after="0" w:line="360" w:lineRule="auto"/>
        <w:ind w:left="640" w:hanging="640"/>
        <w:rPr>
          <w:rFonts w:ascii="Arial" w:hAnsi="Arial" w:cs="Arial"/>
          <w:noProof/>
          <w:sz w:val="20"/>
        </w:rPr>
      </w:pPr>
      <w:r w:rsidRPr="00C80401">
        <w:rPr>
          <w:rFonts w:ascii="Arial" w:hAnsi="Arial" w:cs="Arial"/>
          <w:noProof/>
          <w:sz w:val="20"/>
        </w:rPr>
        <w:t>[15]</w:t>
      </w:r>
      <w:r w:rsidRPr="00C80401">
        <w:rPr>
          <w:rFonts w:ascii="Arial" w:hAnsi="Arial" w:cs="Arial"/>
          <w:noProof/>
          <w:sz w:val="20"/>
        </w:rPr>
        <w:tab/>
        <w:t xml:space="preserve">M. Banoin and J.-P. Guengant, “Les systèmes agraires traditionnels nigériens dans l’impasse face à la démographie. In: Floret Christian et Pontanier Roger (eds.),” </w:t>
      </w:r>
      <w:r w:rsidRPr="00C80401">
        <w:rPr>
          <w:rFonts w:ascii="Arial" w:hAnsi="Arial" w:cs="Arial"/>
          <w:i/>
          <w:iCs/>
          <w:noProof/>
          <w:sz w:val="20"/>
        </w:rPr>
        <w:t>Jachère systèmes agraires. Atelier Niamey dakar. IRD.</w:t>
      </w:r>
      <w:r w:rsidRPr="00C80401">
        <w:rPr>
          <w:rFonts w:ascii="Arial" w:hAnsi="Arial" w:cs="Arial"/>
          <w:noProof/>
          <w:sz w:val="20"/>
        </w:rPr>
        <w:t>, pp. 1–14, 1998.</w:t>
      </w:r>
    </w:p>
    <w:p w14:paraId="6457E482" w14:textId="77777777" w:rsidR="00C80401" w:rsidRPr="00C80401" w:rsidRDefault="00C80401" w:rsidP="00C80401">
      <w:pPr>
        <w:widowControl w:val="0"/>
        <w:autoSpaceDE w:val="0"/>
        <w:autoSpaceDN w:val="0"/>
        <w:adjustRightInd w:val="0"/>
        <w:spacing w:after="0" w:line="360" w:lineRule="auto"/>
        <w:ind w:left="640" w:hanging="640"/>
        <w:rPr>
          <w:rFonts w:ascii="Arial" w:hAnsi="Arial" w:cs="Arial"/>
          <w:noProof/>
          <w:sz w:val="20"/>
        </w:rPr>
      </w:pPr>
      <w:r w:rsidRPr="00C80401">
        <w:rPr>
          <w:rFonts w:ascii="Arial" w:hAnsi="Arial" w:cs="Arial"/>
          <w:noProof/>
          <w:sz w:val="20"/>
        </w:rPr>
        <w:t>[16]</w:t>
      </w:r>
      <w:r w:rsidRPr="00C80401">
        <w:rPr>
          <w:rFonts w:ascii="Arial" w:hAnsi="Arial" w:cs="Arial"/>
          <w:noProof/>
          <w:sz w:val="20"/>
        </w:rPr>
        <w:tab/>
        <w:t xml:space="preserve">D. Soumana and M. Soulé, “Degradation of Edible Woody Species Consumed during Periods of Food Shortage and Their Preferences among the Local Population in the Sudano- Sahelian Zones of Niger , West Africa Sahel,” </w:t>
      </w:r>
      <w:r w:rsidRPr="00C80401">
        <w:rPr>
          <w:rFonts w:ascii="Arial" w:hAnsi="Arial" w:cs="Arial"/>
          <w:i/>
          <w:iCs/>
          <w:noProof/>
          <w:sz w:val="20"/>
        </w:rPr>
        <w:t>J. Agric. Ecol. Res. Int.</w:t>
      </w:r>
      <w:r w:rsidRPr="00C80401">
        <w:rPr>
          <w:rFonts w:ascii="Arial" w:hAnsi="Arial" w:cs="Arial"/>
          <w:noProof/>
          <w:sz w:val="20"/>
        </w:rPr>
        <w:t xml:space="preserve">, vol. 25, no. 6, pp. 216–232, 2024, </w:t>
      </w:r>
      <w:r w:rsidRPr="00C80401">
        <w:rPr>
          <w:rFonts w:ascii="Arial" w:hAnsi="Arial" w:cs="Arial"/>
          <w:noProof/>
          <w:sz w:val="20"/>
        </w:rPr>
        <w:lastRenderedPageBreak/>
        <w:t>doi: 10.9734/jaeri/2024/v25i6653.</w:t>
      </w:r>
    </w:p>
    <w:p w14:paraId="1AE63D00" w14:textId="77777777" w:rsidR="00C80401" w:rsidRPr="00C80401" w:rsidRDefault="00C80401" w:rsidP="00C80401">
      <w:pPr>
        <w:widowControl w:val="0"/>
        <w:autoSpaceDE w:val="0"/>
        <w:autoSpaceDN w:val="0"/>
        <w:adjustRightInd w:val="0"/>
        <w:spacing w:after="0" w:line="360" w:lineRule="auto"/>
        <w:ind w:left="640" w:hanging="640"/>
        <w:rPr>
          <w:rFonts w:ascii="Arial" w:hAnsi="Arial" w:cs="Arial"/>
          <w:noProof/>
          <w:sz w:val="20"/>
        </w:rPr>
      </w:pPr>
      <w:r w:rsidRPr="00C80401">
        <w:rPr>
          <w:rFonts w:ascii="Arial" w:hAnsi="Arial" w:cs="Arial"/>
          <w:noProof/>
          <w:sz w:val="20"/>
        </w:rPr>
        <w:t>[17]</w:t>
      </w:r>
      <w:r w:rsidRPr="00C80401">
        <w:rPr>
          <w:rFonts w:ascii="Arial" w:hAnsi="Arial" w:cs="Arial"/>
          <w:noProof/>
          <w:sz w:val="20"/>
        </w:rPr>
        <w:tab/>
        <w:t xml:space="preserve">A. J. Mamadou, S. Douma, M. M. Inoussa, S. Moussa, and A. Mahamane, “Diversity , Life Forms , Chorology and Uses of Spontaneous Medicinal Plants in Niamey and Tillabéri Regions , Niger Republic,” </w:t>
      </w:r>
      <w:r w:rsidRPr="00C80401">
        <w:rPr>
          <w:rFonts w:ascii="Arial" w:hAnsi="Arial" w:cs="Arial"/>
          <w:i/>
          <w:iCs/>
          <w:noProof/>
          <w:sz w:val="20"/>
        </w:rPr>
        <w:t>J. Appl. Life Sci. Int.</w:t>
      </w:r>
      <w:r w:rsidRPr="00C80401">
        <w:rPr>
          <w:rFonts w:ascii="Arial" w:hAnsi="Arial" w:cs="Arial"/>
          <w:noProof/>
          <w:sz w:val="20"/>
        </w:rPr>
        <w:t>, vol. 22, no. 4, pp. 1–17, 2020, doi: 10.9734/JALSI/2019/v22i430134.</w:t>
      </w:r>
    </w:p>
    <w:p w14:paraId="0DBEE073" w14:textId="77777777" w:rsidR="00C80401" w:rsidRPr="00C80401" w:rsidRDefault="00C80401" w:rsidP="00C80401">
      <w:pPr>
        <w:widowControl w:val="0"/>
        <w:autoSpaceDE w:val="0"/>
        <w:autoSpaceDN w:val="0"/>
        <w:adjustRightInd w:val="0"/>
        <w:spacing w:after="0" w:line="360" w:lineRule="auto"/>
        <w:ind w:left="640" w:hanging="640"/>
        <w:rPr>
          <w:rFonts w:ascii="Arial" w:hAnsi="Arial" w:cs="Arial"/>
          <w:noProof/>
          <w:sz w:val="20"/>
        </w:rPr>
      </w:pPr>
      <w:r w:rsidRPr="00C80401">
        <w:rPr>
          <w:rFonts w:ascii="Arial" w:hAnsi="Arial" w:cs="Arial"/>
          <w:noProof/>
          <w:sz w:val="20"/>
        </w:rPr>
        <w:t>[18]</w:t>
      </w:r>
      <w:r w:rsidRPr="00C80401">
        <w:rPr>
          <w:rFonts w:ascii="Arial" w:hAnsi="Arial" w:cs="Arial"/>
          <w:noProof/>
          <w:sz w:val="20"/>
        </w:rPr>
        <w:tab/>
        <w:t xml:space="preserve">M. Soumaila, K. Saley, I. M. Maarouhi, and M. Ali, “Diversity of Healing Plants Used in the Traditional Treatment of Malaria in four Municipalities of Niger Diversity of Healing Plants Used in the Traditional Treatment of Malaria in four Municipalities of Niger,” </w:t>
      </w:r>
      <w:r w:rsidRPr="00C80401">
        <w:rPr>
          <w:rFonts w:ascii="Arial" w:hAnsi="Arial" w:cs="Arial"/>
          <w:i/>
          <w:iCs/>
          <w:noProof/>
          <w:sz w:val="20"/>
        </w:rPr>
        <w:t>Asian J. Appl. Sci.</w:t>
      </w:r>
      <w:r w:rsidRPr="00C80401">
        <w:rPr>
          <w:rFonts w:ascii="Arial" w:hAnsi="Arial" w:cs="Arial"/>
          <w:noProof/>
          <w:sz w:val="20"/>
        </w:rPr>
        <w:t>, vol. 05, no. 05, pp. 812–821, 2017, [Online]. Available: www.ajouronline.com</w:t>
      </w:r>
    </w:p>
    <w:p w14:paraId="6EB55F23" w14:textId="77777777" w:rsidR="00C80401" w:rsidRPr="00C80401" w:rsidRDefault="00C80401" w:rsidP="00C80401">
      <w:pPr>
        <w:widowControl w:val="0"/>
        <w:autoSpaceDE w:val="0"/>
        <w:autoSpaceDN w:val="0"/>
        <w:adjustRightInd w:val="0"/>
        <w:spacing w:after="0" w:line="360" w:lineRule="auto"/>
        <w:ind w:left="640" w:hanging="640"/>
        <w:rPr>
          <w:rFonts w:ascii="Arial" w:hAnsi="Arial" w:cs="Arial"/>
          <w:noProof/>
          <w:sz w:val="20"/>
        </w:rPr>
      </w:pPr>
      <w:r w:rsidRPr="00C80401">
        <w:rPr>
          <w:rFonts w:ascii="Arial" w:hAnsi="Arial" w:cs="Arial"/>
          <w:noProof/>
          <w:sz w:val="20"/>
        </w:rPr>
        <w:t>[19]</w:t>
      </w:r>
      <w:r w:rsidRPr="00C80401">
        <w:rPr>
          <w:rFonts w:ascii="Arial" w:hAnsi="Arial" w:cs="Arial"/>
          <w:noProof/>
          <w:sz w:val="20"/>
        </w:rPr>
        <w:tab/>
        <w:t>CNEDD, “Troisieme Communication Nationale a la Conference des Parties de la Convention Cadre des Nations Unies sur les Changements Climatiques. 1-157P. https://unfccc.int/sites/default/files/resource/nernc3_0.pdf.,” Niamey, 2016. [Online]. Available: https://unfccc.int/sites/default/files/resource/nernc3_0.pdf</w:t>
      </w:r>
    </w:p>
    <w:p w14:paraId="3F0FA6DE" w14:textId="77777777" w:rsidR="00C80401" w:rsidRPr="00C80401" w:rsidRDefault="00C80401" w:rsidP="00C80401">
      <w:pPr>
        <w:widowControl w:val="0"/>
        <w:autoSpaceDE w:val="0"/>
        <w:autoSpaceDN w:val="0"/>
        <w:adjustRightInd w:val="0"/>
        <w:spacing w:after="0" w:line="360" w:lineRule="auto"/>
        <w:ind w:left="640" w:hanging="640"/>
        <w:rPr>
          <w:rFonts w:ascii="Arial" w:hAnsi="Arial" w:cs="Arial"/>
          <w:noProof/>
          <w:sz w:val="20"/>
        </w:rPr>
      </w:pPr>
      <w:r w:rsidRPr="00C80401">
        <w:rPr>
          <w:rFonts w:ascii="Arial" w:hAnsi="Arial" w:cs="Arial"/>
          <w:noProof/>
          <w:sz w:val="20"/>
        </w:rPr>
        <w:t>[20]</w:t>
      </w:r>
      <w:r w:rsidRPr="00C80401">
        <w:rPr>
          <w:rFonts w:ascii="Arial" w:hAnsi="Arial" w:cs="Arial"/>
          <w:noProof/>
          <w:sz w:val="20"/>
        </w:rPr>
        <w:tab/>
        <w:t>Institut National de la Satistique du Niger (INS), “Le Niger en Chiffres 2016. 1-84p. www.stat-niger.org/statistique/file/.../NigerEnChiffres2016.pdf,” Niamey, 2016. [Online]. Available: www.stat-niger.org/statistique/file/.../NigerEnChiffres2016.pdf</w:t>
      </w:r>
    </w:p>
    <w:p w14:paraId="568174E1" w14:textId="77777777" w:rsidR="00C80401" w:rsidRPr="00C80401" w:rsidRDefault="00C80401" w:rsidP="00C80401">
      <w:pPr>
        <w:widowControl w:val="0"/>
        <w:autoSpaceDE w:val="0"/>
        <w:autoSpaceDN w:val="0"/>
        <w:adjustRightInd w:val="0"/>
        <w:spacing w:after="0" w:line="360" w:lineRule="auto"/>
        <w:ind w:left="640" w:hanging="640"/>
        <w:rPr>
          <w:rFonts w:ascii="Arial" w:hAnsi="Arial" w:cs="Arial"/>
          <w:noProof/>
          <w:sz w:val="20"/>
        </w:rPr>
      </w:pPr>
      <w:r w:rsidRPr="00C80401">
        <w:rPr>
          <w:rFonts w:ascii="Arial" w:hAnsi="Arial" w:cs="Arial"/>
          <w:noProof/>
          <w:sz w:val="20"/>
        </w:rPr>
        <w:t>[21]</w:t>
      </w:r>
      <w:r w:rsidRPr="00C80401">
        <w:rPr>
          <w:rFonts w:ascii="Arial" w:hAnsi="Arial" w:cs="Arial"/>
          <w:noProof/>
          <w:sz w:val="20"/>
        </w:rPr>
        <w:tab/>
        <w:t xml:space="preserve">L. Tran and K. Brown, “The importance of ecosystem services to smallholder farmers in climate change adaptation: learning from an ecosystem-based adaptation pilot in Vietnam,” </w:t>
      </w:r>
      <w:r w:rsidRPr="00C80401">
        <w:rPr>
          <w:rFonts w:ascii="Arial" w:hAnsi="Arial" w:cs="Arial"/>
          <w:i/>
          <w:iCs/>
          <w:noProof/>
          <w:sz w:val="20"/>
        </w:rPr>
        <w:t>Agrofor. Syst.</w:t>
      </w:r>
      <w:r w:rsidRPr="00C80401">
        <w:rPr>
          <w:rFonts w:ascii="Arial" w:hAnsi="Arial" w:cs="Arial"/>
          <w:noProof/>
          <w:sz w:val="20"/>
        </w:rPr>
        <w:t>, vol. 93, no. 5, pp. 1949–1960, 2019, doi: 10.1007/s10457-018-0302-y.</w:t>
      </w:r>
    </w:p>
    <w:p w14:paraId="3F6DBA99" w14:textId="77777777" w:rsidR="00C80401" w:rsidRPr="00C80401" w:rsidRDefault="00C80401" w:rsidP="00C80401">
      <w:pPr>
        <w:widowControl w:val="0"/>
        <w:autoSpaceDE w:val="0"/>
        <w:autoSpaceDN w:val="0"/>
        <w:adjustRightInd w:val="0"/>
        <w:spacing w:after="0" w:line="360" w:lineRule="auto"/>
        <w:ind w:left="640" w:hanging="640"/>
        <w:rPr>
          <w:rFonts w:ascii="Arial" w:hAnsi="Arial" w:cs="Arial"/>
          <w:noProof/>
          <w:sz w:val="20"/>
        </w:rPr>
      </w:pPr>
      <w:r w:rsidRPr="00C80401">
        <w:rPr>
          <w:rFonts w:ascii="Arial" w:hAnsi="Arial" w:cs="Arial"/>
          <w:noProof/>
          <w:sz w:val="20"/>
        </w:rPr>
        <w:t>[22]</w:t>
      </w:r>
      <w:r w:rsidRPr="00C80401">
        <w:rPr>
          <w:rFonts w:ascii="Arial" w:hAnsi="Arial" w:cs="Arial"/>
          <w:noProof/>
          <w:sz w:val="20"/>
        </w:rPr>
        <w:tab/>
        <w:t xml:space="preserve">F. Adesina and T. O. Odekunle, “Climate Change and Adaptation in Nigeria : Some Background to Nigeria ’ s Climate Change and Adaptation in Nigeria : Some Background to Nigeria ’ s Response - III,” in </w:t>
      </w:r>
      <w:r w:rsidRPr="00C80401">
        <w:rPr>
          <w:rFonts w:ascii="Arial" w:hAnsi="Arial" w:cs="Arial"/>
          <w:i/>
          <w:iCs/>
          <w:noProof/>
          <w:sz w:val="20"/>
        </w:rPr>
        <w:t>International Conference on Environmental and Agriculture Engineering</w:t>
      </w:r>
      <w:r w:rsidRPr="00C80401">
        <w:rPr>
          <w:rFonts w:ascii="Arial" w:hAnsi="Arial" w:cs="Arial"/>
          <w:noProof/>
          <w:sz w:val="20"/>
        </w:rPr>
        <w:t>, Singapore: AICSIT Press, 2011, pp. 2–10.</w:t>
      </w:r>
    </w:p>
    <w:p w14:paraId="6F9C57C5" w14:textId="77777777" w:rsidR="00C80401" w:rsidRPr="00C80401" w:rsidRDefault="00C80401" w:rsidP="00C80401">
      <w:pPr>
        <w:widowControl w:val="0"/>
        <w:autoSpaceDE w:val="0"/>
        <w:autoSpaceDN w:val="0"/>
        <w:adjustRightInd w:val="0"/>
        <w:spacing w:after="0" w:line="360" w:lineRule="auto"/>
        <w:ind w:left="640" w:hanging="640"/>
        <w:rPr>
          <w:rFonts w:ascii="Arial" w:hAnsi="Arial" w:cs="Arial"/>
          <w:noProof/>
          <w:sz w:val="20"/>
        </w:rPr>
      </w:pPr>
      <w:r w:rsidRPr="00C80401">
        <w:rPr>
          <w:rFonts w:ascii="Arial" w:hAnsi="Arial" w:cs="Arial"/>
          <w:noProof/>
          <w:sz w:val="20"/>
        </w:rPr>
        <w:t>[23]</w:t>
      </w:r>
      <w:r w:rsidRPr="00C80401">
        <w:rPr>
          <w:rFonts w:ascii="Arial" w:hAnsi="Arial" w:cs="Arial"/>
          <w:noProof/>
          <w:sz w:val="20"/>
        </w:rPr>
        <w:tab/>
        <w:t xml:space="preserve">S. Reppin and S. Kuyah, “Contribution of agroforestry to climate change mitigation and livelihoods in Contribution of agroforestry to climate change mitigation and livelihoods in Western Kenya,” </w:t>
      </w:r>
      <w:r w:rsidRPr="00C80401">
        <w:rPr>
          <w:rFonts w:ascii="Arial" w:hAnsi="Arial" w:cs="Arial"/>
          <w:i/>
          <w:iCs/>
          <w:noProof/>
          <w:sz w:val="20"/>
        </w:rPr>
        <w:t>Agrofor. Syst.</w:t>
      </w:r>
      <w:r w:rsidRPr="00C80401">
        <w:rPr>
          <w:rFonts w:ascii="Arial" w:hAnsi="Arial" w:cs="Arial"/>
          <w:noProof/>
          <w:sz w:val="20"/>
        </w:rPr>
        <w:t>, vol. 7, no. May, 2019, doi: 10.1007/s10457-019-00383-7.</w:t>
      </w:r>
    </w:p>
    <w:p w14:paraId="5BE018C0" w14:textId="77777777" w:rsidR="00C80401" w:rsidRPr="00C80401" w:rsidRDefault="00C80401" w:rsidP="00C80401">
      <w:pPr>
        <w:widowControl w:val="0"/>
        <w:autoSpaceDE w:val="0"/>
        <w:autoSpaceDN w:val="0"/>
        <w:adjustRightInd w:val="0"/>
        <w:spacing w:after="0" w:line="360" w:lineRule="auto"/>
        <w:ind w:left="640" w:hanging="640"/>
        <w:rPr>
          <w:rFonts w:ascii="Arial" w:hAnsi="Arial" w:cs="Arial"/>
          <w:noProof/>
          <w:sz w:val="20"/>
        </w:rPr>
      </w:pPr>
      <w:r w:rsidRPr="00C80401">
        <w:rPr>
          <w:rFonts w:ascii="Arial" w:hAnsi="Arial" w:cs="Arial"/>
          <w:noProof/>
          <w:sz w:val="20"/>
        </w:rPr>
        <w:t>[24]</w:t>
      </w:r>
      <w:r w:rsidRPr="00C80401">
        <w:rPr>
          <w:rFonts w:ascii="Arial" w:hAnsi="Arial" w:cs="Arial"/>
          <w:noProof/>
          <w:sz w:val="20"/>
        </w:rPr>
        <w:tab/>
        <w:t xml:space="preserve">T. E. Epule, J. D. Ford, S. Lwasa, and L. Lepage, “Climate change adaptation in the Sahel,” </w:t>
      </w:r>
      <w:r w:rsidRPr="00C80401">
        <w:rPr>
          <w:rFonts w:ascii="Arial" w:hAnsi="Arial" w:cs="Arial"/>
          <w:i/>
          <w:iCs/>
          <w:noProof/>
          <w:sz w:val="20"/>
        </w:rPr>
        <w:t>Environ. Sci. Policy</w:t>
      </w:r>
      <w:r w:rsidRPr="00C80401">
        <w:rPr>
          <w:rFonts w:ascii="Arial" w:hAnsi="Arial" w:cs="Arial"/>
          <w:noProof/>
          <w:sz w:val="20"/>
        </w:rPr>
        <w:t>, vol. 75, no. May, pp. 121–137, 2017, doi: 10.1016/j.envsci.2017.05.018.</w:t>
      </w:r>
    </w:p>
    <w:p w14:paraId="3F226514" w14:textId="77777777" w:rsidR="00C80401" w:rsidRPr="00C80401" w:rsidRDefault="00C80401" w:rsidP="00C80401">
      <w:pPr>
        <w:widowControl w:val="0"/>
        <w:autoSpaceDE w:val="0"/>
        <w:autoSpaceDN w:val="0"/>
        <w:adjustRightInd w:val="0"/>
        <w:spacing w:after="0" w:line="360" w:lineRule="auto"/>
        <w:ind w:left="640" w:hanging="640"/>
        <w:rPr>
          <w:rFonts w:ascii="Arial" w:hAnsi="Arial" w:cs="Arial"/>
          <w:noProof/>
          <w:sz w:val="20"/>
        </w:rPr>
      </w:pPr>
      <w:r w:rsidRPr="00C80401">
        <w:rPr>
          <w:rFonts w:ascii="Arial" w:hAnsi="Arial" w:cs="Arial"/>
          <w:noProof/>
          <w:sz w:val="20"/>
        </w:rPr>
        <w:t>[25]</w:t>
      </w:r>
      <w:r w:rsidRPr="00C80401">
        <w:rPr>
          <w:rFonts w:ascii="Arial" w:hAnsi="Arial" w:cs="Arial"/>
          <w:noProof/>
          <w:sz w:val="20"/>
        </w:rPr>
        <w:tab/>
        <w:t xml:space="preserve">E. Haglund, J. Ndjeunga, L. Snook, and D. Pasternak, “Dry land tree management for improved household livelihoods: Farmer managed natural regeneration in Niger,” </w:t>
      </w:r>
      <w:r w:rsidRPr="00C80401">
        <w:rPr>
          <w:rFonts w:ascii="Arial" w:hAnsi="Arial" w:cs="Arial"/>
          <w:i/>
          <w:iCs/>
          <w:noProof/>
          <w:sz w:val="20"/>
        </w:rPr>
        <w:t>J. Environ. Manage.</w:t>
      </w:r>
      <w:r w:rsidRPr="00C80401">
        <w:rPr>
          <w:rFonts w:ascii="Arial" w:hAnsi="Arial" w:cs="Arial"/>
          <w:noProof/>
          <w:sz w:val="20"/>
        </w:rPr>
        <w:t>, vol. 92, no. 7, pp. 1696–1705, 2011, doi: 10.1016/j.jenvman.2011.01.027.</w:t>
      </w:r>
    </w:p>
    <w:p w14:paraId="258C7640" w14:textId="77777777" w:rsidR="00C80401" w:rsidRPr="00C80401" w:rsidRDefault="00C80401" w:rsidP="00C80401">
      <w:pPr>
        <w:widowControl w:val="0"/>
        <w:autoSpaceDE w:val="0"/>
        <w:autoSpaceDN w:val="0"/>
        <w:adjustRightInd w:val="0"/>
        <w:spacing w:after="0" w:line="360" w:lineRule="auto"/>
        <w:ind w:left="640" w:hanging="640"/>
        <w:rPr>
          <w:rFonts w:ascii="Arial" w:hAnsi="Arial" w:cs="Arial"/>
          <w:noProof/>
          <w:sz w:val="20"/>
        </w:rPr>
      </w:pPr>
      <w:r w:rsidRPr="00C80401">
        <w:rPr>
          <w:rFonts w:ascii="Arial" w:hAnsi="Arial" w:cs="Arial"/>
          <w:noProof/>
          <w:sz w:val="20"/>
        </w:rPr>
        <w:t>[26]</w:t>
      </w:r>
      <w:r w:rsidRPr="00C80401">
        <w:rPr>
          <w:rFonts w:ascii="Arial" w:hAnsi="Arial" w:cs="Arial"/>
          <w:noProof/>
          <w:sz w:val="20"/>
        </w:rPr>
        <w:tab/>
        <w:t xml:space="preserve">A. M. Ado, P. Savadogo, and H. T. Abdoul-Azize, “Livelihood strategies and household resilience to food insecurity: insight from a farming community in Aguie district of Niger,” </w:t>
      </w:r>
      <w:r w:rsidRPr="00C80401">
        <w:rPr>
          <w:rFonts w:ascii="Arial" w:hAnsi="Arial" w:cs="Arial"/>
          <w:i/>
          <w:iCs/>
          <w:noProof/>
          <w:sz w:val="20"/>
        </w:rPr>
        <w:t>Agric. Human Values</w:t>
      </w:r>
      <w:r w:rsidRPr="00C80401">
        <w:rPr>
          <w:rFonts w:ascii="Arial" w:hAnsi="Arial" w:cs="Arial"/>
          <w:noProof/>
          <w:sz w:val="20"/>
        </w:rPr>
        <w:t>, vol. 36, no. 4, pp. 747–761, 2019, doi: 10.1007/s10460-019-09951-0.</w:t>
      </w:r>
    </w:p>
    <w:p w14:paraId="18A141C1" w14:textId="77777777" w:rsidR="00C80401" w:rsidRPr="00C80401" w:rsidRDefault="00C80401" w:rsidP="00C80401">
      <w:pPr>
        <w:widowControl w:val="0"/>
        <w:autoSpaceDE w:val="0"/>
        <w:autoSpaceDN w:val="0"/>
        <w:adjustRightInd w:val="0"/>
        <w:spacing w:after="0" w:line="360" w:lineRule="auto"/>
        <w:ind w:left="640" w:hanging="640"/>
        <w:rPr>
          <w:rFonts w:ascii="Arial" w:hAnsi="Arial" w:cs="Arial"/>
          <w:noProof/>
          <w:sz w:val="20"/>
        </w:rPr>
      </w:pPr>
      <w:r w:rsidRPr="00C80401">
        <w:rPr>
          <w:rFonts w:ascii="Arial" w:hAnsi="Arial" w:cs="Arial"/>
          <w:noProof/>
          <w:sz w:val="20"/>
        </w:rPr>
        <w:t>[27]</w:t>
      </w:r>
      <w:r w:rsidRPr="00C80401">
        <w:rPr>
          <w:rFonts w:ascii="Arial" w:hAnsi="Arial" w:cs="Arial"/>
          <w:noProof/>
          <w:sz w:val="20"/>
        </w:rPr>
        <w:tab/>
        <w:t xml:space="preserve">S. Jose, “Agroforestry for ecosystem services and environmental benefits : an overview,” </w:t>
      </w:r>
      <w:r w:rsidRPr="00C80401">
        <w:rPr>
          <w:rFonts w:ascii="Arial" w:hAnsi="Arial" w:cs="Arial"/>
          <w:i/>
          <w:iCs/>
          <w:noProof/>
          <w:sz w:val="20"/>
        </w:rPr>
        <w:t>Agroforestry</w:t>
      </w:r>
      <w:r w:rsidRPr="00C80401">
        <w:rPr>
          <w:rFonts w:ascii="Arial" w:hAnsi="Arial" w:cs="Arial"/>
          <w:noProof/>
          <w:sz w:val="20"/>
        </w:rPr>
        <w:t>, vol. 76, pp. 1–10, 2009, doi: 10.1007/s10457-009-9229-7.</w:t>
      </w:r>
    </w:p>
    <w:p w14:paraId="7D644E0B" w14:textId="77777777" w:rsidR="00C80401" w:rsidRPr="00C80401" w:rsidRDefault="00C80401" w:rsidP="00C80401">
      <w:pPr>
        <w:widowControl w:val="0"/>
        <w:autoSpaceDE w:val="0"/>
        <w:autoSpaceDN w:val="0"/>
        <w:adjustRightInd w:val="0"/>
        <w:spacing w:after="0" w:line="360" w:lineRule="auto"/>
        <w:ind w:left="640" w:hanging="640"/>
        <w:rPr>
          <w:rFonts w:ascii="Arial" w:hAnsi="Arial" w:cs="Arial"/>
          <w:noProof/>
          <w:sz w:val="20"/>
        </w:rPr>
      </w:pPr>
      <w:r w:rsidRPr="00C80401">
        <w:rPr>
          <w:rFonts w:ascii="Arial" w:hAnsi="Arial" w:cs="Arial"/>
          <w:noProof/>
          <w:sz w:val="20"/>
        </w:rPr>
        <w:t>[28]</w:t>
      </w:r>
      <w:r w:rsidRPr="00C80401">
        <w:rPr>
          <w:rFonts w:ascii="Arial" w:hAnsi="Arial" w:cs="Arial"/>
          <w:noProof/>
          <w:sz w:val="20"/>
        </w:rPr>
        <w:tab/>
        <w:t>A. Mahamane, “Structure, Fonctionnement et Dynamique des Parcs Agroforestiers Dans L’Ouest du Niger,” Universite de Ouagadougou, 1997.</w:t>
      </w:r>
    </w:p>
    <w:p w14:paraId="0C130066" w14:textId="77777777" w:rsidR="00C80401" w:rsidRPr="00C80401" w:rsidRDefault="00C80401" w:rsidP="00C80401">
      <w:pPr>
        <w:widowControl w:val="0"/>
        <w:autoSpaceDE w:val="0"/>
        <w:autoSpaceDN w:val="0"/>
        <w:adjustRightInd w:val="0"/>
        <w:spacing w:after="0" w:line="360" w:lineRule="auto"/>
        <w:ind w:left="640" w:hanging="640"/>
        <w:rPr>
          <w:rFonts w:ascii="Arial" w:hAnsi="Arial" w:cs="Arial"/>
          <w:noProof/>
          <w:sz w:val="20"/>
        </w:rPr>
      </w:pPr>
      <w:r w:rsidRPr="00C80401">
        <w:rPr>
          <w:rFonts w:ascii="Arial" w:hAnsi="Arial" w:cs="Arial"/>
          <w:noProof/>
          <w:sz w:val="20"/>
        </w:rPr>
        <w:t>[29]</w:t>
      </w:r>
      <w:r w:rsidRPr="00C80401">
        <w:rPr>
          <w:rFonts w:ascii="Arial" w:hAnsi="Arial" w:cs="Arial"/>
          <w:noProof/>
          <w:sz w:val="20"/>
        </w:rPr>
        <w:tab/>
        <w:t xml:space="preserve">D. A. Chev and R. Taub, “Caractérisation des peuplements ligneux des parcs à Faidherbia albida (Del) A. Chev. et à Prosopis africana (Guill., Perrot et Rich.) Taub. du Centre-Sud </w:t>
      </w:r>
      <w:r w:rsidRPr="00C80401">
        <w:rPr>
          <w:rFonts w:ascii="Arial" w:hAnsi="Arial" w:cs="Arial"/>
          <w:noProof/>
          <w:sz w:val="20"/>
        </w:rPr>
        <w:lastRenderedPageBreak/>
        <w:t>Nigérien. 1,” pp. 8890–8906, 2015.</w:t>
      </w:r>
    </w:p>
    <w:p w14:paraId="5002FB08" w14:textId="77777777" w:rsidR="00C80401" w:rsidRPr="00C80401" w:rsidRDefault="00C80401" w:rsidP="00C80401">
      <w:pPr>
        <w:widowControl w:val="0"/>
        <w:autoSpaceDE w:val="0"/>
        <w:autoSpaceDN w:val="0"/>
        <w:adjustRightInd w:val="0"/>
        <w:spacing w:after="0" w:line="360" w:lineRule="auto"/>
        <w:ind w:left="640" w:hanging="640"/>
        <w:rPr>
          <w:rFonts w:ascii="Arial" w:hAnsi="Arial" w:cs="Arial"/>
          <w:noProof/>
          <w:sz w:val="20"/>
        </w:rPr>
      </w:pPr>
      <w:r w:rsidRPr="00C80401">
        <w:rPr>
          <w:rFonts w:ascii="Arial" w:hAnsi="Arial" w:cs="Arial"/>
          <w:noProof/>
          <w:sz w:val="20"/>
        </w:rPr>
        <w:t>[30]</w:t>
      </w:r>
      <w:r w:rsidRPr="00C80401">
        <w:rPr>
          <w:rFonts w:ascii="Arial" w:hAnsi="Arial" w:cs="Arial"/>
          <w:noProof/>
          <w:sz w:val="20"/>
        </w:rPr>
        <w:tab/>
        <w:t xml:space="preserve">B. Abubakar, S. B. Shamaki, A. Dantani, Z. Y. Gada, and M. A. Gupa, “Modeling Tree Mortality for Eucalyptus camaldulensis ( Dehnh ) Stands in Afaka Forest Reserve , Kaduna-Nigeria,” </w:t>
      </w:r>
      <w:r w:rsidRPr="00C80401">
        <w:rPr>
          <w:rFonts w:ascii="Arial" w:hAnsi="Arial" w:cs="Arial"/>
          <w:i/>
          <w:iCs/>
          <w:noProof/>
          <w:sz w:val="20"/>
        </w:rPr>
        <w:t>J. Svientific Res. Reports</w:t>
      </w:r>
      <w:r w:rsidRPr="00C80401">
        <w:rPr>
          <w:rFonts w:ascii="Arial" w:hAnsi="Arial" w:cs="Arial"/>
          <w:noProof/>
          <w:sz w:val="20"/>
        </w:rPr>
        <w:t>, vol. 25, no. 1, pp. 1–9, 2019, doi: 10.9734/JSRR/2019/v25i1-230173.</w:t>
      </w:r>
    </w:p>
    <w:p w14:paraId="1D6541AB" w14:textId="77777777" w:rsidR="00C80401" w:rsidRPr="00C80401" w:rsidRDefault="00C80401" w:rsidP="00C80401">
      <w:pPr>
        <w:widowControl w:val="0"/>
        <w:autoSpaceDE w:val="0"/>
        <w:autoSpaceDN w:val="0"/>
        <w:adjustRightInd w:val="0"/>
        <w:spacing w:after="0" w:line="360" w:lineRule="auto"/>
        <w:ind w:left="640" w:hanging="640"/>
        <w:rPr>
          <w:rFonts w:ascii="Arial" w:hAnsi="Arial" w:cs="Arial"/>
          <w:noProof/>
          <w:sz w:val="20"/>
        </w:rPr>
      </w:pPr>
      <w:r w:rsidRPr="00C80401">
        <w:rPr>
          <w:rFonts w:ascii="Arial" w:hAnsi="Arial" w:cs="Arial"/>
          <w:noProof/>
          <w:sz w:val="20"/>
        </w:rPr>
        <w:t>[31]</w:t>
      </w:r>
      <w:r w:rsidRPr="00C80401">
        <w:rPr>
          <w:rFonts w:ascii="Arial" w:hAnsi="Arial" w:cs="Arial"/>
          <w:noProof/>
          <w:sz w:val="20"/>
        </w:rPr>
        <w:tab/>
        <w:t xml:space="preserve">M. . Larwanou and M. Saadou, “Biodiversity of ligneous species in semi-arid to arid zones of southwestern Niger according to anthropogenic and natural factors,” </w:t>
      </w:r>
      <w:r w:rsidRPr="00C80401">
        <w:rPr>
          <w:rFonts w:ascii="Arial" w:hAnsi="Arial" w:cs="Arial"/>
          <w:i/>
          <w:iCs/>
          <w:noProof/>
          <w:sz w:val="20"/>
        </w:rPr>
        <w:t>Agric. Ecosyst. Environ.</w:t>
      </w:r>
      <w:r w:rsidRPr="00C80401">
        <w:rPr>
          <w:rFonts w:ascii="Arial" w:hAnsi="Arial" w:cs="Arial"/>
          <w:noProof/>
          <w:sz w:val="20"/>
        </w:rPr>
        <w:t>, vol. 105, no. 1–2, pp. 267–271, 2005, doi: 10.1016/j.agee.2004.03.004.</w:t>
      </w:r>
    </w:p>
    <w:p w14:paraId="5094F5D7" w14:textId="77777777" w:rsidR="00C80401" w:rsidRPr="00C80401" w:rsidRDefault="00C80401" w:rsidP="00C80401">
      <w:pPr>
        <w:widowControl w:val="0"/>
        <w:autoSpaceDE w:val="0"/>
        <w:autoSpaceDN w:val="0"/>
        <w:adjustRightInd w:val="0"/>
        <w:spacing w:after="0" w:line="360" w:lineRule="auto"/>
        <w:ind w:left="640" w:hanging="640"/>
        <w:rPr>
          <w:rFonts w:ascii="Arial" w:hAnsi="Arial" w:cs="Arial"/>
          <w:noProof/>
          <w:sz w:val="20"/>
        </w:rPr>
      </w:pPr>
      <w:r w:rsidRPr="00C80401">
        <w:rPr>
          <w:rFonts w:ascii="Arial" w:hAnsi="Arial" w:cs="Arial"/>
          <w:noProof/>
          <w:sz w:val="20"/>
        </w:rPr>
        <w:t>[32]</w:t>
      </w:r>
      <w:r w:rsidRPr="00C80401">
        <w:rPr>
          <w:rFonts w:ascii="Arial" w:hAnsi="Arial" w:cs="Arial"/>
          <w:noProof/>
          <w:sz w:val="20"/>
        </w:rPr>
        <w:tab/>
        <w:t xml:space="preserve">H. Le Bourgeois, Thomas Merlier, </w:t>
      </w:r>
      <w:r w:rsidRPr="00C80401">
        <w:rPr>
          <w:rFonts w:ascii="Arial" w:hAnsi="Arial" w:cs="Arial"/>
          <w:i/>
          <w:iCs/>
          <w:noProof/>
          <w:sz w:val="20"/>
        </w:rPr>
        <w:t>Adventrop. Les adventices d’Afrique soudano-sahélienne</w:t>
      </w:r>
      <w:r w:rsidRPr="00C80401">
        <w:rPr>
          <w:rFonts w:ascii="Arial" w:hAnsi="Arial" w:cs="Arial"/>
          <w:noProof/>
          <w:sz w:val="20"/>
        </w:rPr>
        <w:t>, vol. 2, no. 2. 1995.</w:t>
      </w:r>
    </w:p>
    <w:p w14:paraId="35B1A6A8" w14:textId="77D83BA2" w:rsidR="005A7AE7" w:rsidRPr="001B03D0" w:rsidRDefault="004D7A6B" w:rsidP="00A22555">
      <w:pPr>
        <w:widowControl w:val="0"/>
        <w:autoSpaceDE w:val="0"/>
        <w:autoSpaceDN w:val="0"/>
        <w:adjustRightInd w:val="0"/>
        <w:spacing w:line="360" w:lineRule="auto"/>
        <w:ind w:left="480" w:hanging="480"/>
        <w:jc w:val="both"/>
        <w:rPr>
          <w:rFonts w:ascii="Arial" w:hAnsi="Arial" w:cs="Arial"/>
          <w:b/>
          <w:sz w:val="20"/>
          <w:szCs w:val="20"/>
          <w:lang w:val="en-US"/>
        </w:rPr>
      </w:pPr>
      <w:r w:rsidRPr="00502572">
        <w:rPr>
          <w:rFonts w:ascii="Arial" w:hAnsi="Arial" w:cs="Arial"/>
          <w:b/>
          <w:sz w:val="20"/>
          <w:szCs w:val="20"/>
        </w:rPr>
        <w:fldChar w:fldCharType="end"/>
      </w:r>
    </w:p>
    <w:sectPr w:rsidR="005A7AE7" w:rsidRPr="001B03D0" w:rsidSect="00C83038">
      <w:headerReference w:type="even" r:id="rId21"/>
      <w:headerReference w:type="default" r:id="rId22"/>
      <w:footerReference w:type="default" r:id="rId23"/>
      <w:head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31C181" w14:textId="77777777" w:rsidR="009216F5" w:rsidRDefault="009216F5" w:rsidP="00C82136">
      <w:pPr>
        <w:spacing w:after="0" w:line="240" w:lineRule="auto"/>
      </w:pPr>
      <w:r>
        <w:separator/>
      </w:r>
    </w:p>
  </w:endnote>
  <w:endnote w:type="continuationSeparator" w:id="0">
    <w:p w14:paraId="48733075" w14:textId="77777777" w:rsidR="009216F5" w:rsidRDefault="009216F5" w:rsidP="00C821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8C3C4" w14:textId="52050756" w:rsidR="001B7552" w:rsidRPr="001B7552" w:rsidRDefault="001B7552">
    <w:pPr>
      <w:pStyle w:val="Pieddepage"/>
      <w:rPr>
        <w:lang w:val="en-US"/>
      </w:rPr>
    </w:pPr>
  </w:p>
  <w:p w14:paraId="3290D891" w14:textId="77777777" w:rsidR="001B7552" w:rsidRDefault="001B755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48F734" w14:textId="77777777" w:rsidR="009216F5" w:rsidRDefault="009216F5" w:rsidP="00C82136">
      <w:pPr>
        <w:spacing w:after="0" w:line="240" w:lineRule="auto"/>
      </w:pPr>
      <w:r>
        <w:separator/>
      </w:r>
    </w:p>
  </w:footnote>
  <w:footnote w:type="continuationSeparator" w:id="0">
    <w:p w14:paraId="435A1B70" w14:textId="77777777" w:rsidR="009216F5" w:rsidRDefault="009216F5" w:rsidP="00C821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D3B15" w14:textId="17B4C708" w:rsidR="00C83038" w:rsidRDefault="00000000">
    <w:pPr>
      <w:pStyle w:val="En-tte"/>
    </w:pPr>
    <w:r>
      <w:rPr>
        <w:noProof/>
      </w:rPr>
      <w:pict w14:anchorId="4D036E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6691016"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20472" w14:textId="4B8194AA" w:rsidR="00C83038" w:rsidRDefault="00000000">
    <w:pPr>
      <w:pStyle w:val="En-tte"/>
    </w:pPr>
    <w:r>
      <w:rPr>
        <w:noProof/>
      </w:rPr>
      <w:pict w14:anchorId="3CD4D1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6691017"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A5737" w14:textId="6D500F08" w:rsidR="00C83038" w:rsidRDefault="00000000">
    <w:pPr>
      <w:pStyle w:val="En-tte"/>
    </w:pPr>
    <w:r>
      <w:rPr>
        <w:noProof/>
      </w:rPr>
      <w:pict w14:anchorId="092BB8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6691015"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84CE7"/>
    <w:multiLevelType w:val="multilevel"/>
    <w:tmpl w:val="E6EC9D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DCB231C"/>
    <w:multiLevelType w:val="multilevel"/>
    <w:tmpl w:val="249A955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9247852"/>
    <w:multiLevelType w:val="multilevel"/>
    <w:tmpl w:val="6356570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D2D39D0"/>
    <w:multiLevelType w:val="hybridMultilevel"/>
    <w:tmpl w:val="4E6E59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4434947"/>
    <w:multiLevelType w:val="hybridMultilevel"/>
    <w:tmpl w:val="D15C4EC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737A6E7D"/>
    <w:multiLevelType w:val="hybridMultilevel"/>
    <w:tmpl w:val="00260F0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7CEE1CA1"/>
    <w:multiLevelType w:val="hybridMultilevel"/>
    <w:tmpl w:val="5DF0427C"/>
    <w:lvl w:ilvl="0" w:tplc="544EA88A">
      <w:start w:val="5"/>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25317629">
    <w:abstractNumId w:val="3"/>
  </w:num>
  <w:num w:numId="2" w16cid:durableId="61300406">
    <w:abstractNumId w:val="5"/>
  </w:num>
  <w:num w:numId="3" w16cid:durableId="651760323">
    <w:abstractNumId w:val="4"/>
  </w:num>
  <w:num w:numId="4" w16cid:durableId="1887057386">
    <w:abstractNumId w:val="0"/>
  </w:num>
  <w:num w:numId="5" w16cid:durableId="1628274246">
    <w:abstractNumId w:val="1"/>
  </w:num>
  <w:num w:numId="6" w16cid:durableId="1944219433">
    <w:abstractNumId w:val="2"/>
  </w:num>
  <w:num w:numId="7" w16cid:durableId="21582625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3943"/>
    <w:rsid w:val="00017037"/>
    <w:rsid w:val="000377A2"/>
    <w:rsid w:val="00047C16"/>
    <w:rsid w:val="00057CB1"/>
    <w:rsid w:val="00070DC5"/>
    <w:rsid w:val="000812C0"/>
    <w:rsid w:val="000839BB"/>
    <w:rsid w:val="000971F7"/>
    <w:rsid w:val="000A0AD5"/>
    <w:rsid w:val="000A5725"/>
    <w:rsid w:val="000B57F3"/>
    <w:rsid w:val="00101C81"/>
    <w:rsid w:val="001302BE"/>
    <w:rsid w:val="001454E7"/>
    <w:rsid w:val="00153BE9"/>
    <w:rsid w:val="00171EBA"/>
    <w:rsid w:val="00172771"/>
    <w:rsid w:val="00182F6A"/>
    <w:rsid w:val="001955F4"/>
    <w:rsid w:val="001A3069"/>
    <w:rsid w:val="001B03D0"/>
    <w:rsid w:val="001B7552"/>
    <w:rsid w:val="001C5BD7"/>
    <w:rsid w:val="001C7A82"/>
    <w:rsid w:val="001D1A3D"/>
    <w:rsid w:val="001E09D1"/>
    <w:rsid w:val="001F354E"/>
    <w:rsid w:val="00230174"/>
    <w:rsid w:val="00235EFE"/>
    <w:rsid w:val="00256367"/>
    <w:rsid w:val="002669DE"/>
    <w:rsid w:val="00281199"/>
    <w:rsid w:val="002819F1"/>
    <w:rsid w:val="00292767"/>
    <w:rsid w:val="002A4ACB"/>
    <w:rsid w:val="002A4DEC"/>
    <w:rsid w:val="002A6E1F"/>
    <w:rsid w:val="002B1D24"/>
    <w:rsid w:val="002B695A"/>
    <w:rsid w:val="002C449F"/>
    <w:rsid w:val="002C677F"/>
    <w:rsid w:val="002D3228"/>
    <w:rsid w:val="002E1241"/>
    <w:rsid w:val="00326445"/>
    <w:rsid w:val="003472F8"/>
    <w:rsid w:val="0035025B"/>
    <w:rsid w:val="00351C15"/>
    <w:rsid w:val="003715DF"/>
    <w:rsid w:val="003A3C9B"/>
    <w:rsid w:val="003C5F66"/>
    <w:rsid w:val="003D1517"/>
    <w:rsid w:val="003D192C"/>
    <w:rsid w:val="003D7612"/>
    <w:rsid w:val="003F2CD8"/>
    <w:rsid w:val="004019B0"/>
    <w:rsid w:val="00402C37"/>
    <w:rsid w:val="00416CC6"/>
    <w:rsid w:val="0042058C"/>
    <w:rsid w:val="0042589F"/>
    <w:rsid w:val="00433FC7"/>
    <w:rsid w:val="00450C29"/>
    <w:rsid w:val="00465BB8"/>
    <w:rsid w:val="004661C7"/>
    <w:rsid w:val="00486FA9"/>
    <w:rsid w:val="004A0C9D"/>
    <w:rsid w:val="004A5A1E"/>
    <w:rsid w:val="004B5FE2"/>
    <w:rsid w:val="004C1CB2"/>
    <w:rsid w:val="004D7A6B"/>
    <w:rsid w:val="004E20F5"/>
    <w:rsid w:val="004F62C8"/>
    <w:rsid w:val="00502572"/>
    <w:rsid w:val="005058D0"/>
    <w:rsid w:val="0053474A"/>
    <w:rsid w:val="00534E64"/>
    <w:rsid w:val="005359A4"/>
    <w:rsid w:val="00541AD0"/>
    <w:rsid w:val="0054658C"/>
    <w:rsid w:val="00546C9B"/>
    <w:rsid w:val="00553998"/>
    <w:rsid w:val="005855B6"/>
    <w:rsid w:val="005A7AE7"/>
    <w:rsid w:val="005B2FC7"/>
    <w:rsid w:val="005B42AB"/>
    <w:rsid w:val="005C3419"/>
    <w:rsid w:val="005F561B"/>
    <w:rsid w:val="00634BDF"/>
    <w:rsid w:val="0065077D"/>
    <w:rsid w:val="0065092F"/>
    <w:rsid w:val="006565AC"/>
    <w:rsid w:val="006622CE"/>
    <w:rsid w:val="0066267F"/>
    <w:rsid w:val="006707E8"/>
    <w:rsid w:val="00686F5A"/>
    <w:rsid w:val="00691F40"/>
    <w:rsid w:val="00693225"/>
    <w:rsid w:val="0069732D"/>
    <w:rsid w:val="006E0017"/>
    <w:rsid w:val="00700D4D"/>
    <w:rsid w:val="00702F53"/>
    <w:rsid w:val="00703223"/>
    <w:rsid w:val="00704B0D"/>
    <w:rsid w:val="00710AB1"/>
    <w:rsid w:val="007235B7"/>
    <w:rsid w:val="00724120"/>
    <w:rsid w:val="007423F9"/>
    <w:rsid w:val="00751F96"/>
    <w:rsid w:val="00784217"/>
    <w:rsid w:val="00787C7C"/>
    <w:rsid w:val="007B2F0C"/>
    <w:rsid w:val="007D293F"/>
    <w:rsid w:val="007D2F8C"/>
    <w:rsid w:val="007D4E02"/>
    <w:rsid w:val="007D7CAE"/>
    <w:rsid w:val="007E4971"/>
    <w:rsid w:val="007E6497"/>
    <w:rsid w:val="00804C24"/>
    <w:rsid w:val="0081126D"/>
    <w:rsid w:val="00827DFE"/>
    <w:rsid w:val="00831283"/>
    <w:rsid w:val="00832985"/>
    <w:rsid w:val="00834737"/>
    <w:rsid w:val="008370CE"/>
    <w:rsid w:val="00865B35"/>
    <w:rsid w:val="00875991"/>
    <w:rsid w:val="00876096"/>
    <w:rsid w:val="00887D4E"/>
    <w:rsid w:val="00894460"/>
    <w:rsid w:val="008A0561"/>
    <w:rsid w:val="008A0572"/>
    <w:rsid w:val="008B7995"/>
    <w:rsid w:val="008C176F"/>
    <w:rsid w:val="008D1513"/>
    <w:rsid w:val="008E07F8"/>
    <w:rsid w:val="008E7948"/>
    <w:rsid w:val="008F2676"/>
    <w:rsid w:val="009130AC"/>
    <w:rsid w:val="00917E2B"/>
    <w:rsid w:val="009216F5"/>
    <w:rsid w:val="009239F6"/>
    <w:rsid w:val="00933394"/>
    <w:rsid w:val="00935BF1"/>
    <w:rsid w:val="00944430"/>
    <w:rsid w:val="00972063"/>
    <w:rsid w:val="009B1A86"/>
    <w:rsid w:val="009B51DC"/>
    <w:rsid w:val="009B65E9"/>
    <w:rsid w:val="009D2D79"/>
    <w:rsid w:val="00A0707D"/>
    <w:rsid w:val="00A10DBD"/>
    <w:rsid w:val="00A12642"/>
    <w:rsid w:val="00A21F56"/>
    <w:rsid w:val="00A22555"/>
    <w:rsid w:val="00A34777"/>
    <w:rsid w:val="00A373B2"/>
    <w:rsid w:val="00A404A2"/>
    <w:rsid w:val="00A41345"/>
    <w:rsid w:val="00A54355"/>
    <w:rsid w:val="00A563BE"/>
    <w:rsid w:val="00A71940"/>
    <w:rsid w:val="00A76E06"/>
    <w:rsid w:val="00A82DD1"/>
    <w:rsid w:val="00A9037D"/>
    <w:rsid w:val="00A90383"/>
    <w:rsid w:val="00AA59FC"/>
    <w:rsid w:val="00AC12C1"/>
    <w:rsid w:val="00AC13DB"/>
    <w:rsid w:val="00AC458F"/>
    <w:rsid w:val="00AD2414"/>
    <w:rsid w:val="00AD7CD1"/>
    <w:rsid w:val="00AE4350"/>
    <w:rsid w:val="00AF2AF6"/>
    <w:rsid w:val="00B0011E"/>
    <w:rsid w:val="00B00DB2"/>
    <w:rsid w:val="00B104FB"/>
    <w:rsid w:val="00B10BE2"/>
    <w:rsid w:val="00B20CF9"/>
    <w:rsid w:val="00B220F8"/>
    <w:rsid w:val="00B232A8"/>
    <w:rsid w:val="00B24939"/>
    <w:rsid w:val="00B35A7A"/>
    <w:rsid w:val="00B36E87"/>
    <w:rsid w:val="00B57223"/>
    <w:rsid w:val="00B650FD"/>
    <w:rsid w:val="00B74D3C"/>
    <w:rsid w:val="00B849BF"/>
    <w:rsid w:val="00B86343"/>
    <w:rsid w:val="00BA27D3"/>
    <w:rsid w:val="00BA2C3C"/>
    <w:rsid w:val="00BA2FDD"/>
    <w:rsid w:val="00BA66DE"/>
    <w:rsid w:val="00BA750C"/>
    <w:rsid w:val="00BB0BCA"/>
    <w:rsid w:val="00BB5FDF"/>
    <w:rsid w:val="00BC3BEB"/>
    <w:rsid w:val="00BD34D0"/>
    <w:rsid w:val="00BD6BC2"/>
    <w:rsid w:val="00BD7477"/>
    <w:rsid w:val="00BF5449"/>
    <w:rsid w:val="00BF696E"/>
    <w:rsid w:val="00C450B8"/>
    <w:rsid w:val="00C4676B"/>
    <w:rsid w:val="00C502AE"/>
    <w:rsid w:val="00C51E41"/>
    <w:rsid w:val="00C54068"/>
    <w:rsid w:val="00C541A8"/>
    <w:rsid w:val="00C6165C"/>
    <w:rsid w:val="00C80401"/>
    <w:rsid w:val="00C82136"/>
    <w:rsid w:val="00C83038"/>
    <w:rsid w:val="00C91B3D"/>
    <w:rsid w:val="00C95508"/>
    <w:rsid w:val="00C95D4B"/>
    <w:rsid w:val="00CB4848"/>
    <w:rsid w:val="00CC4813"/>
    <w:rsid w:val="00CC7440"/>
    <w:rsid w:val="00CD5D08"/>
    <w:rsid w:val="00D01FF0"/>
    <w:rsid w:val="00D149B7"/>
    <w:rsid w:val="00D2585E"/>
    <w:rsid w:val="00D54EF9"/>
    <w:rsid w:val="00D63B23"/>
    <w:rsid w:val="00D7173C"/>
    <w:rsid w:val="00D77CC1"/>
    <w:rsid w:val="00D85999"/>
    <w:rsid w:val="00D91AD0"/>
    <w:rsid w:val="00D94F36"/>
    <w:rsid w:val="00DB16C2"/>
    <w:rsid w:val="00DC487D"/>
    <w:rsid w:val="00E01945"/>
    <w:rsid w:val="00E06E8A"/>
    <w:rsid w:val="00E074C3"/>
    <w:rsid w:val="00E07759"/>
    <w:rsid w:val="00E14AF5"/>
    <w:rsid w:val="00E2084A"/>
    <w:rsid w:val="00E25AAF"/>
    <w:rsid w:val="00E270FE"/>
    <w:rsid w:val="00E37BF0"/>
    <w:rsid w:val="00E4797B"/>
    <w:rsid w:val="00E54E3D"/>
    <w:rsid w:val="00EA3325"/>
    <w:rsid w:val="00EB17FE"/>
    <w:rsid w:val="00ED241C"/>
    <w:rsid w:val="00EE7FE2"/>
    <w:rsid w:val="00EF60DE"/>
    <w:rsid w:val="00F13294"/>
    <w:rsid w:val="00F23F7A"/>
    <w:rsid w:val="00F46D0D"/>
    <w:rsid w:val="00F50DE1"/>
    <w:rsid w:val="00F52D93"/>
    <w:rsid w:val="00F566D4"/>
    <w:rsid w:val="00F61E31"/>
    <w:rsid w:val="00F648D2"/>
    <w:rsid w:val="00F64A59"/>
    <w:rsid w:val="00F656E2"/>
    <w:rsid w:val="00F7019A"/>
    <w:rsid w:val="00F73927"/>
    <w:rsid w:val="00F81885"/>
    <w:rsid w:val="00F92969"/>
    <w:rsid w:val="00F94B4E"/>
    <w:rsid w:val="00F97EEC"/>
    <w:rsid w:val="00FC17E1"/>
    <w:rsid w:val="00FD0668"/>
    <w:rsid w:val="00FD3943"/>
    <w:rsid w:val="00FD7F92"/>
    <w:rsid w:val="00FE7E18"/>
    <w:rsid w:val="00FF605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CDAD34"/>
  <w15:docId w15:val="{BEC4687C-BC6B-413F-9025-83776E850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7A6B"/>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D6BC2"/>
    <w:pPr>
      <w:ind w:left="720"/>
      <w:contextualSpacing/>
    </w:pPr>
  </w:style>
  <w:style w:type="table" w:customStyle="1" w:styleId="LightGrid-Accent51">
    <w:name w:val="Light Grid - Accent 51"/>
    <w:basedOn w:val="TableauNormal"/>
    <w:next w:val="Grilleclaire-Accent5"/>
    <w:uiPriority w:val="62"/>
    <w:rsid w:val="00933394"/>
    <w:pPr>
      <w:spacing w:after="0" w:line="240" w:lineRule="auto"/>
    </w:pPr>
    <w:rPr>
      <w:rFonts w:eastAsia="Times New Roman"/>
      <w:lang w:val="fr-FR" w:eastAsia="fr-F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Grilleclaire-Accent5">
    <w:name w:val="Light Grid Accent 5"/>
    <w:basedOn w:val="TableauNormal"/>
    <w:uiPriority w:val="62"/>
    <w:semiHidden/>
    <w:unhideWhenUsed/>
    <w:rsid w:val="00933394"/>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paragraph" w:styleId="PrformatHTML">
    <w:name w:val="HTML Preformatted"/>
    <w:basedOn w:val="Normal"/>
    <w:link w:val="PrformatHTMLCar"/>
    <w:uiPriority w:val="99"/>
    <w:semiHidden/>
    <w:unhideWhenUsed/>
    <w:rsid w:val="003D19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PrformatHTMLCar">
    <w:name w:val="Préformaté HTML Car"/>
    <w:basedOn w:val="Policepardfaut"/>
    <w:link w:val="PrformatHTML"/>
    <w:uiPriority w:val="99"/>
    <w:semiHidden/>
    <w:rsid w:val="003D192C"/>
    <w:rPr>
      <w:rFonts w:ascii="Courier New" w:eastAsia="Times New Roman" w:hAnsi="Courier New" w:cs="Courier New"/>
      <w:sz w:val="20"/>
      <w:szCs w:val="20"/>
      <w:lang w:eastAsia="en-GB"/>
    </w:rPr>
  </w:style>
  <w:style w:type="paragraph" w:styleId="En-tte">
    <w:name w:val="header"/>
    <w:basedOn w:val="Normal"/>
    <w:link w:val="En-tteCar"/>
    <w:uiPriority w:val="99"/>
    <w:unhideWhenUsed/>
    <w:rsid w:val="00C82136"/>
    <w:pPr>
      <w:tabs>
        <w:tab w:val="center" w:pos="4513"/>
        <w:tab w:val="right" w:pos="9026"/>
      </w:tabs>
      <w:spacing w:after="0" w:line="240" w:lineRule="auto"/>
    </w:pPr>
  </w:style>
  <w:style w:type="character" w:customStyle="1" w:styleId="En-tteCar">
    <w:name w:val="En-tête Car"/>
    <w:basedOn w:val="Policepardfaut"/>
    <w:link w:val="En-tte"/>
    <w:uiPriority w:val="99"/>
    <w:rsid w:val="00C82136"/>
  </w:style>
  <w:style w:type="paragraph" w:styleId="Pieddepage">
    <w:name w:val="footer"/>
    <w:basedOn w:val="Normal"/>
    <w:link w:val="PieddepageCar"/>
    <w:uiPriority w:val="99"/>
    <w:unhideWhenUsed/>
    <w:rsid w:val="00C82136"/>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C82136"/>
  </w:style>
  <w:style w:type="paragraph" w:styleId="Textedebulles">
    <w:name w:val="Balloon Text"/>
    <w:basedOn w:val="Normal"/>
    <w:link w:val="TextedebullesCar"/>
    <w:uiPriority w:val="99"/>
    <w:semiHidden/>
    <w:unhideWhenUsed/>
    <w:rsid w:val="00F7392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73927"/>
    <w:rPr>
      <w:rFonts w:ascii="Tahoma" w:hAnsi="Tahoma" w:cs="Tahoma"/>
      <w:sz w:val="16"/>
      <w:szCs w:val="16"/>
    </w:rPr>
  </w:style>
  <w:style w:type="paragraph" w:styleId="Rvision">
    <w:name w:val="Revision"/>
    <w:hidden/>
    <w:uiPriority w:val="99"/>
    <w:semiHidden/>
    <w:rsid w:val="00E270FE"/>
    <w:pPr>
      <w:spacing w:after="0" w:line="240" w:lineRule="auto"/>
    </w:pPr>
  </w:style>
  <w:style w:type="character" w:styleId="Marquedecommentaire">
    <w:name w:val="annotation reference"/>
    <w:basedOn w:val="Policepardfaut"/>
    <w:uiPriority w:val="99"/>
    <w:semiHidden/>
    <w:unhideWhenUsed/>
    <w:rsid w:val="00E270FE"/>
    <w:rPr>
      <w:sz w:val="16"/>
      <w:szCs w:val="16"/>
    </w:rPr>
  </w:style>
  <w:style w:type="paragraph" w:styleId="Commentaire">
    <w:name w:val="annotation text"/>
    <w:basedOn w:val="Normal"/>
    <w:link w:val="CommentaireCar"/>
    <w:uiPriority w:val="99"/>
    <w:semiHidden/>
    <w:unhideWhenUsed/>
    <w:rsid w:val="00E270FE"/>
    <w:pPr>
      <w:spacing w:line="240" w:lineRule="auto"/>
    </w:pPr>
    <w:rPr>
      <w:sz w:val="20"/>
      <w:szCs w:val="20"/>
    </w:rPr>
  </w:style>
  <w:style w:type="character" w:customStyle="1" w:styleId="CommentaireCar">
    <w:name w:val="Commentaire Car"/>
    <w:basedOn w:val="Policepardfaut"/>
    <w:link w:val="Commentaire"/>
    <w:uiPriority w:val="99"/>
    <w:semiHidden/>
    <w:rsid w:val="00E270FE"/>
    <w:rPr>
      <w:sz w:val="20"/>
      <w:szCs w:val="20"/>
    </w:rPr>
  </w:style>
  <w:style w:type="paragraph" w:styleId="Objetducommentaire">
    <w:name w:val="annotation subject"/>
    <w:basedOn w:val="Commentaire"/>
    <w:next w:val="Commentaire"/>
    <w:link w:val="ObjetducommentaireCar"/>
    <w:uiPriority w:val="99"/>
    <w:semiHidden/>
    <w:unhideWhenUsed/>
    <w:rsid w:val="00E270FE"/>
    <w:rPr>
      <w:b/>
      <w:bCs/>
    </w:rPr>
  </w:style>
  <w:style w:type="character" w:customStyle="1" w:styleId="ObjetducommentaireCar">
    <w:name w:val="Objet du commentaire Car"/>
    <w:basedOn w:val="CommentaireCar"/>
    <w:link w:val="Objetducommentaire"/>
    <w:uiPriority w:val="99"/>
    <w:semiHidden/>
    <w:rsid w:val="00E270FE"/>
    <w:rPr>
      <w:b/>
      <w:bCs/>
      <w:sz w:val="20"/>
      <w:szCs w:val="20"/>
    </w:rPr>
  </w:style>
  <w:style w:type="paragraph" w:customStyle="1" w:styleId="Default">
    <w:name w:val="Default"/>
    <w:rsid w:val="000839BB"/>
    <w:pPr>
      <w:autoSpaceDE w:val="0"/>
      <w:autoSpaceDN w:val="0"/>
      <w:adjustRightInd w:val="0"/>
      <w:spacing w:after="0" w:line="240" w:lineRule="auto"/>
    </w:pPr>
    <w:rPr>
      <w:rFonts w:ascii="Calibri" w:hAnsi="Calibri" w:cs="Calibri"/>
      <w:color w:val="000000"/>
      <w:sz w:val="24"/>
      <w:szCs w:val="24"/>
      <w:lang w:val="fr-FR"/>
    </w:rPr>
  </w:style>
  <w:style w:type="paragraph" w:customStyle="1" w:styleId="Author">
    <w:name w:val="Author"/>
    <w:basedOn w:val="Normal"/>
    <w:rsid w:val="00784217"/>
    <w:pPr>
      <w:spacing w:after="0" w:line="280" w:lineRule="exact"/>
      <w:jc w:val="right"/>
    </w:pPr>
    <w:rPr>
      <w:rFonts w:ascii="Helvetica" w:eastAsia="Times New Roman" w:hAnsi="Helvetica" w:cs="Times New Roman"/>
      <w:b/>
      <w:sz w:val="24"/>
      <w:szCs w:val="20"/>
      <w:lang w:val="en-US"/>
    </w:rPr>
  </w:style>
  <w:style w:type="character" w:styleId="Numrodeligne">
    <w:name w:val="line number"/>
    <w:basedOn w:val="Policepardfaut"/>
    <w:uiPriority w:val="99"/>
    <w:semiHidden/>
    <w:unhideWhenUsed/>
    <w:rsid w:val="00416CC6"/>
  </w:style>
  <w:style w:type="paragraph" w:customStyle="1" w:styleId="ReferHead">
    <w:name w:val="Refer Head"/>
    <w:basedOn w:val="Normal"/>
    <w:rsid w:val="00634BDF"/>
    <w:pPr>
      <w:keepNext/>
      <w:spacing w:after="240" w:line="240" w:lineRule="auto"/>
    </w:pPr>
    <w:rPr>
      <w:rFonts w:ascii="Helvetica" w:eastAsia="Times New Roman" w:hAnsi="Helvetica" w:cs="Times New Roman"/>
      <w:b/>
      <w:caps/>
      <w:szCs w:val="20"/>
      <w:lang w:val="en-US"/>
    </w:rPr>
  </w:style>
  <w:style w:type="character" w:styleId="Lienhypertexte">
    <w:name w:val="Hyperlink"/>
    <w:basedOn w:val="Policepardfaut"/>
    <w:uiPriority w:val="99"/>
    <w:unhideWhenUsed/>
    <w:rsid w:val="008A0561"/>
    <w:rPr>
      <w:color w:val="0563C1" w:themeColor="hyperlink"/>
      <w:u w:val="single"/>
    </w:rPr>
  </w:style>
  <w:style w:type="character" w:styleId="Mentionnonrsolue">
    <w:name w:val="Unresolved Mention"/>
    <w:basedOn w:val="Policepardfaut"/>
    <w:uiPriority w:val="99"/>
    <w:semiHidden/>
    <w:unhideWhenUsed/>
    <w:rsid w:val="008A05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4504984">
      <w:bodyDiv w:val="1"/>
      <w:marLeft w:val="0"/>
      <w:marRight w:val="0"/>
      <w:marTop w:val="0"/>
      <w:marBottom w:val="0"/>
      <w:divBdr>
        <w:top w:val="none" w:sz="0" w:space="0" w:color="auto"/>
        <w:left w:val="none" w:sz="0" w:space="0" w:color="auto"/>
        <w:bottom w:val="none" w:sz="0" w:space="0" w:color="auto"/>
        <w:right w:val="none" w:sz="0" w:space="0" w:color="auto"/>
      </w:divBdr>
    </w:div>
    <w:div w:id="485904536">
      <w:bodyDiv w:val="1"/>
      <w:marLeft w:val="0"/>
      <w:marRight w:val="0"/>
      <w:marTop w:val="0"/>
      <w:marBottom w:val="0"/>
      <w:divBdr>
        <w:top w:val="none" w:sz="0" w:space="0" w:color="auto"/>
        <w:left w:val="none" w:sz="0" w:space="0" w:color="auto"/>
        <w:bottom w:val="none" w:sz="0" w:space="0" w:color="auto"/>
        <w:right w:val="none" w:sz="0" w:space="0" w:color="auto"/>
      </w:divBdr>
    </w:div>
    <w:div w:id="809981774">
      <w:bodyDiv w:val="1"/>
      <w:marLeft w:val="0"/>
      <w:marRight w:val="0"/>
      <w:marTop w:val="0"/>
      <w:marBottom w:val="0"/>
      <w:divBdr>
        <w:top w:val="none" w:sz="0" w:space="0" w:color="auto"/>
        <w:left w:val="none" w:sz="0" w:space="0" w:color="auto"/>
        <w:bottom w:val="none" w:sz="0" w:space="0" w:color="auto"/>
        <w:right w:val="none" w:sz="0" w:space="0" w:color="auto"/>
      </w:divBdr>
    </w:div>
    <w:div w:id="956907072">
      <w:bodyDiv w:val="1"/>
      <w:marLeft w:val="0"/>
      <w:marRight w:val="0"/>
      <w:marTop w:val="0"/>
      <w:marBottom w:val="0"/>
      <w:divBdr>
        <w:top w:val="none" w:sz="0" w:space="0" w:color="auto"/>
        <w:left w:val="none" w:sz="0" w:space="0" w:color="auto"/>
        <w:bottom w:val="none" w:sz="0" w:space="0" w:color="auto"/>
        <w:right w:val="none" w:sz="0" w:space="0" w:color="auto"/>
      </w:divBdr>
    </w:div>
    <w:div w:id="1035038020">
      <w:bodyDiv w:val="1"/>
      <w:marLeft w:val="0"/>
      <w:marRight w:val="0"/>
      <w:marTop w:val="0"/>
      <w:marBottom w:val="0"/>
      <w:divBdr>
        <w:top w:val="none" w:sz="0" w:space="0" w:color="auto"/>
        <w:left w:val="none" w:sz="0" w:space="0" w:color="auto"/>
        <w:bottom w:val="none" w:sz="0" w:space="0" w:color="auto"/>
        <w:right w:val="none" w:sz="0" w:space="0" w:color="auto"/>
      </w:divBdr>
    </w:div>
    <w:div w:id="1213352089">
      <w:bodyDiv w:val="1"/>
      <w:marLeft w:val="0"/>
      <w:marRight w:val="0"/>
      <w:marTop w:val="0"/>
      <w:marBottom w:val="0"/>
      <w:divBdr>
        <w:top w:val="none" w:sz="0" w:space="0" w:color="auto"/>
        <w:left w:val="none" w:sz="0" w:space="0" w:color="auto"/>
        <w:bottom w:val="none" w:sz="0" w:space="0" w:color="auto"/>
        <w:right w:val="none" w:sz="0" w:space="0" w:color="auto"/>
      </w:divBdr>
    </w:div>
    <w:div w:id="1724060748">
      <w:bodyDiv w:val="1"/>
      <w:marLeft w:val="0"/>
      <w:marRight w:val="0"/>
      <w:marTop w:val="0"/>
      <w:marBottom w:val="0"/>
      <w:divBdr>
        <w:top w:val="none" w:sz="0" w:space="0" w:color="auto"/>
        <w:left w:val="none" w:sz="0" w:space="0" w:color="auto"/>
        <w:bottom w:val="none" w:sz="0" w:space="0" w:color="auto"/>
        <w:right w:val="none" w:sz="0" w:space="0" w:color="auto"/>
      </w:divBdr>
    </w:div>
    <w:div w:id="1828549720">
      <w:bodyDiv w:val="1"/>
      <w:marLeft w:val="0"/>
      <w:marRight w:val="0"/>
      <w:marTop w:val="0"/>
      <w:marBottom w:val="0"/>
      <w:divBdr>
        <w:top w:val="none" w:sz="0" w:space="0" w:color="auto"/>
        <w:left w:val="none" w:sz="0" w:space="0" w:color="auto"/>
        <w:bottom w:val="none" w:sz="0" w:space="0" w:color="auto"/>
        <w:right w:val="none" w:sz="0" w:space="0" w:color="auto"/>
      </w:divBdr>
    </w:div>
    <w:div w:id="2035957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SOUNNA\Documents\zzzzzzzzzzzzzzz.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85125808673574"/>
          <c:y val="9.5772137244173688E-2"/>
          <c:w val="0.59432086614173252"/>
          <c:h val="0.69579010414442355"/>
        </c:manualLayout>
      </c:layout>
      <c:pieChart>
        <c:varyColors val="1"/>
        <c:ser>
          <c:idx val="0"/>
          <c:order val="0"/>
          <c:tx>
            <c:strRef>
              <c:f>Feuil2!$B$2</c:f>
              <c:strCache>
                <c:ptCount val="1"/>
                <c:pt idx="0">
                  <c:v>Maladies traitées</c:v>
                </c:pt>
              </c:strCache>
            </c:strRef>
          </c:tx>
          <c:explosion val="17"/>
          <c:dLbls>
            <c:dLbl>
              <c:idx val="0"/>
              <c:layout>
                <c:manualLayout>
                  <c:x val="5.8491556479968315E-2"/>
                  <c:y val="2.416918429002997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98E-46D8-BD77-CDCA4785D2EE}"/>
                </c:ext>
              </c:extLst>
            </c:dLbl>
            <c:dLbl>
              <c:idx val="1"/>
              <c:layout>
                <c:manualLayout>
                  <c:x val="1.7779338474628922E-2"/>
                  <c:y val="2.556731768045779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98E-46D8-BD77-CDCA4785D2EE}"/>
                </c:ext>
              </c:extLst>
            </c:dLbl>
            <c:dLbl>
              <c:idx val="2"/>
              <c:layout>
                <c:manualLayout>
                  <c:x val="1.0328871841277915E-2"/>
                  <c:y val="2.6040551577580001E-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98E-46D8-BD77-CDCA4785D2EE}"/>
                </c:ext>
              </c:extLst>
            </c:dLbl>
            <c:dLbl>
              <c:idx val="3"/>
              <c:layout>
                <c:manualLayout>
                  <c:x val="3.5878589790341385E-2"/>
                  <c:y val="3.1235974657248216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98E-46D8-BD77-CDCA4785D2EE}"/>
                </c:ext>
              </c:extLst>
            </c:dLbl>
            <c:dLbl>
              <c:idx val="4"/>
              <c:layout>
                <c:manualLayout>
                  <c:x val="5.3118857569904865E-2"/>
                  <c:y val="-3.211583446329049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598E-46D8-BD77-CDCA4785D2EE}"/>
                </c:ext>
              </c:extLst>
            </c:dLbl>
            <c:dLbl>
              <c:idx val="5"/>
              <c:layout>
                <c:manualLayout>
                  <c:x val="0.10161694196459126"/>
                  <c:y val="1.467025081079366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98E-46D8-BD77-CDCA4785D2EE}"/>
                </c:ext>
              </c:extLst>
            </c:dLbl>
            <c:dLbl>
              <c:idx val="7"/>
              <c:layout>
                <c:manualLayout>
                  <c:x val="-4.5666590132494994E-2"/>
                  <c:y val="-3.2114565739705496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598E-46D8-BD77-CDCA4785D2EE}"/>
                </c:ext>
              </c:extLst>
            </c:dLbl>
            <c:dLbl>
              <c:idx val="8"/>
              <c:layout>
                <c:manualLayout>
                  <c:x val="-2.2722995817632582E-2"/>
                  <c:y val="-1.002545376692000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98E-46D8-BD77-CDCA4785D2EE}"/>
                </c:ext>
              </c:extLst>
            </c:dLbl>
            <c:dLbl>
              <c:idx val="9"/>
              <c:layout>
                <c:manualLayout>
                  <c:x val="-7.8241334755968592E-3"/>
                  <c:y val="2.565232216063629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598E-46D8-BD77-CDCA4785D2EE}"/>
                </c:ext>
              </c:extLst>
            </c:dLbl>
            <c:dLbl>
              <c:idx val="11"/>
              <c:layout>
                <c:manualLayout>
                  <c:x val="-3.3868982500686581E-2"/>
                  <c:y val="1.611278952668686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98E-46D8-BD77-CDCA4785D2EE}"/>
                </c:ext>
              </c:extLst>
            </c:dLbl>
            <c:spPr>
              <a:noFill/>
              <a:ln>
                <a:noFill/>
              </a:ln>
              <a:effectLst/>
            </c:spPr>
            <c:txPr>
              <a:bodyPr/>
              <a:lstStyle/>
              <a:p>
                <a:pPr algn="just">
                  <a:defRPr sz="1050" i="1">
                    <a:solidFill>
                      <a:sysClr val="windowText" lastClr="000000"/>
                    </a:solidFill>
                    <a:latin typeface="Times New Roman" pitchFamily="18" charset="0"/>
                    <a:cs typeface="Times New Roman" pitchFamily="18" charset="0"/>
                  </a:defRPr>
                </a:pPr>
                <a:endParaRPr lang="en-US"/>
              </a:p>
            </c:txPr>
            <c:showLegendKey val="0"/>
            <c:showVal val="0"/>
            <c:showCatName val="1"/>
            <c:showSerName val="0"/>
            <c:showPercent val="1"/>
            <c:showBubbleSize val="0"/>
            <c:showLeaderLines val="0"/>
            <c:extLst>
              <c:ext xmlns:c15="http://schemas.microsoft.com/office/drawing/2012/chart" uri="{CE6537A1-D6FC-4f65-9D91-7224C49458BB}"/>
            </c:extLst>
          </c:dLbls>
          <c:cat>
            <c:strRef>
              <c:f>Feuil2!$A$3:$A$14</c:f>
              <c:strCache>
                <c:ptCount val="12"/>
                <c:pt idx="0">
                  <c:v>Acacia nilotica</c:v>
                </c:pt>
                <c:pt idx="1">
                  <c:v>Acacia senegal</c:v>
                </c:pt>
                <c:pt idx="2">
                  <c:v>Azadirachta indica</c:v>
                </c:pt>
                <c:pt idx="3">
                  <c:v>Combretum micranthum</c:v>
                </c:pt>
                <c:pt idx="4">
                  <c:v>Balanites aegyptiaca</c:v>
                </c:pt>
                <c:pt idx="5">
                  <c:v>Borassus aethiopum</c:v>
                </c:pt>
                <c:pt idx="6">
                  <c:v>Guiera senegalensis</c:v>
                </c:pt>
                <c:pt idx="7">
                  <c:v>Hyphaene thebaica</c:v>
                </c:pt>
                <c:pt idx="8">
                  <c:v>Khaya senegalensis</c:v>
                </c:pt>
                <c:pt idx="9">
                  <c:v>Prosopis africana</c:v>
                </c:pt>
                <c:pt idx="10">
                  <c:v>Tamarindus indica</c:v>
                </c:pt>
                <c:pt idx="11">
                  <c:v>Ziziphus mauritiana</c:v>
                </c:pt>
              </c:strCache>
            </c:strRef>
          </c:cat>
          <c:val>
            <c:numRef>
              <c:f>Feuil2!$B$3:$B$14</c:f>
              <c:numCache>
                <c:formatCode>General</c:formatCode>
                <c:ptCount val="12"/>
                <c:pt idx="0">
                  <c:v>3</c:v>
                </c:pt>
                <c:pt idx="1">
                  <c:v>1</c:v>
                </c:pt>
                <c:pt idx="2">
                  <c:v>2</c:v>
                </c:pt>
                <c:pt idx="3">
                  <c:v>1</c:v>
                </c:pt>
                <c:pt idx="4">
                  <c:v>3</c:v>
                </c:pt>
                <c:pt idx="5">
                  <c:v>1</c:v>
                </c:pt>
                <c:pt idx="6">
                  <c:v>1</c:v>
                </c:pt>
                <c:pt idx="7">
                  <c:v>1</c:v>
                </c:pt>
                <c:pt idx="8">
                  <c:v>2</c:v>
                </c:pt>
                <c:pt idx="9">
                  <c:v>2</c:v>
                </c:pt>
                <c:pt idx="10">
                  <c:v>1</c:v>
                </c:pt>
                <c:pt idx="11">
                  <c:v>2</c:v>
                </c:pt>
              </c:numCache>
            </c:numRef>
          </c:val>
          <c:extLst>
            <c:ext xmlns:c16="http://schemas.microsoft.com/office/drawing/2014/chart" uri="{C3380CC4-5D6E-409C-BE32-E72D297353CC}">
              <c16:uniqueId val="{0000000A-598E-46D8-BD77-CDCA4785D2EE}"/>
            </c:ext>
          </c:extLst>
        </c:ser>
        <c:ser>
          <c:idx val="1"/>
          <c:order val="1"/>
          <c:tx>
            <c:strRef>
              <c:f>Feuil2!$C$2</c:f>
              <c:strCache>
                <c:ptCount val="1"/>
                <c:pt idx="0">
                  <c:v>Pourcentage</c:v>
                </c:pt>
              </c:strCache>
            </c:strRef>
          </c:tx>
          <c:explosion val="25"/>
          <c:cat>
            <c:strRef>
              <c:f>Feuil2!$A$3:$A$14</c:f>
              <c:strCache>
                <c:ptCount val="12"/>
                <c:pt idx="0">
                  <c:v>Acacia nilotica</c:v>
                </c:pt>
                <c:pt idx="1">
                  <c:v>Acacia senegal</c:v>
                </c:pt>
                <c:pt idx="2">
                  <c:v>Azadirachta indica</c:v>
                </c:pt>
                <c:pt idx="3">
                  <c:v>Combretum micranthum</c:v>
                </c:pt>
                <c:pt idx="4">
                  <c:v>Balanites aegyptiaca</c:v>
                </c:pt>
                <c:pt idx="5">
                  <c:v>Borassus aethiopum</c:v>
                </c:pt>
                <c:pt idx="6">
                  <c:v>Guiera senegalensis</c:v>
                </c:pt>
                <c:pt idx="7">
                  <c:v>Hyphaene thebaica</c:v>
                </c:pt>
                <c:pt idx="8">
                  <c:v>Khaya senegalensis</c:v>
                </c:pt>
                <c:pt idx="9">
                  <c:v>Prosopis africana</c:v>
                </c:pt>
                <c:pt idx="10">
                  <c:v>Tamarindus indica</c:v>
                </c:pt>
                <c:pt idx="11">
                  <c:v>Ziziphus mauritiana</c:v>
                </c:pt>
              </c:strCache>
            </c:strRef>
          </c:cat>
          <c:val>
            <c:numRef>
              <c:f>Feuil2!$C$3:$C$14</c:f>
              <c:numCache>
                <c:formatCode>General</c:formatCode>
                <c:ptCount val="12"/>
                <c:pt idx="0">
                  <c:v>0.15000000000000024</c:v>
                </c:pt>
                <c:pt idx="1">
                  <c:v>5.0000000000000114E-2</c:v>
                </c:pt>
                <c:pt idx="2">
                  <c:v>0.1</c:v>
                </c:pt>
                <c:pt idx="3">
                  <c:v>5.0000000000000114E-2</c:v>
                </c:pt>
                <c:pt idx="4">
                  <c:v>0.15000000000000024</c:v>
                </c:pt>
                <c:pt idx="5">
                  <c:v>5.0000000000000114E-2</c:v>
                </c:pt>
                <c:pt idx="6">
                  <c:v>5.0000000000000114E-2</c:v>
                </c:pt>
                <c:pt idx="7">
                  <c:v>5.0000000000000114E-2</c:v>
                </c:pt>
                <c:pt idx="8">
                  <c:v>0.1</c:v>
                </c:pt>
                <c:pt idx="9">
                  <c:v>0.1</c:v>
                </c:pt>
                <c:pt idx="10">
                  <c:v>5.0000000000000114E-2</c:v>
                </c:pt>
                <c:pt idx="11">
                  <c:v>0.1</c:v>
                </c:pt>
              </c:numCache>
            </c:numRef>
          </c:val>
          <c:extLst>
            <c:ext xmlns:c16="http://schemas.microsoft.com/office/drawing/2014/chart" uri="{C3380CC4-5D6E-409C-BE32-E72D297353CC}">
              <c16:uniqueId val="{0000000B-598E-46D8-BD77-CDCA4785D2EE}"/>
            </c:ext>
          </c:extLst>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Feuil1!$B$1</c:f>
              <c:strCache>
                <c:ptCount val="1"/>
                <c:pt idx="0">
                  <c:v>Nombres de Fagos</c:v>
                </c:pt>
              </c:strCache>
            </c:strRef>
          </c:tx>
          <c:invertIfNegative val="0"/>
          <c:dLbls>
            <c:dLbl>
              <c:idx val="0"/>
              <c:layout>
                <c:manualLayout>
                  <c:x val="1.4285714285714285E-2"/>
                  <c:y val="-2.8751661361478765E-2"/>
                </c:manualLayout>
              </c:layout>
              <c:tx>
                <c:rich>
                  <a:bodyPr/>
                  <a:lstStyle/>
                  <a:p>
                    <a:r>
                      <a:rPr lang="en-US" sz="1100">
                        <a:latin typeface="Times New Roman" pitchFamily="18" charset="0"/>
                        <a:cs typeface="Times New Roman" pitchFamily="18" charset="0"/>
                      </a:rPr>
                      <a:t>41%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238-4045-8662-7E9DF70B5D7E}"/>
                </c:ext>
              </c:extLst>
            </c:dLbl>
            <c:dLbl>
              <c:idx val="1"/>
              <c:layout>
                <c:manualLayout>
                  <c:x val="1.6666666666666725E-2"/>
                  <c:y val="-1.7404143630982343E-2"/>
                </c:manualLayout>
              </c:layout>
              <c:tx>
                <c:rich>
                  <a:bodyPr/>
                  <a:lstStyle/>
                  <a:p>
                    <a:r>
                      <a:rPr lang="en-US" sz="1100">
                        <a:latin typeface="Times New Roman" pitchFamily="18" charset="0"/>
                        <a:cs typeface="Times New Roman" pitchFamily="18" charset="0"/>
                      </a:rPr>
                      <a:t>24%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238-4045-8662-7E9DF70B5D7E}"/>
                </c:ext>
              </c:extLst>
            </c:dLbl>
            <c:dLbl>
              <c:idx val="2"/>
              <c:layout>
                <c:manualLayout>
                  <c:x val="2.1428571428571491E-2"/>
                  <c:y val="-1.7404143630982263E-2"/>
                </c:manualLayout>
              </c:layout>
              <c:tx>
                <c:rich>
                  <a:bodyPr/>
                  <a:lstStyle/>
                  <a:p>
                    <a:r>
                      <a:rPr lang="en-US" sz="1100">
                        <a:latin typeface="Times New Roman" pitchFamily="18" charset="0"/>
                        <a:cs typeface="Times New Roman" pitchFamily="18" charset="0"/>
                      </a:rPr>
                      <a:t>11%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C238-4045-8662-7E9DF70B5D7E}"/>
                </c:ext>
              </c:extLst>
            </c:dLbl>
            <c:dLbl>
              <c:idx val="3"/>
              <c:layout>
                <c:manualLayout>
                  <c:x val="1.1904574428196984E-2"/>
                  <c:y val="-1.5257497068185627E-2"/>
                </c:manualLayout>
              </c:layout>
              <c:tx>
                <c:rich>
                  <a:bodyPr/>
                  <a:lstStyle/>
                  <a:p>
                    <a:r>
                      <a:rPr lang="en-US" sz="1100">
                        <a:latin typeface="Times New Roman" pitchFamily="18" charset="0"/>
                        <a:cs typeface="Times New Roman" pitchFamily="18" charset="0"/>
                      </a:rPr>
                      <a:t>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238-4045-8662-7E9DF70B5D7E}"/>
                </c:ext>
              </c:extLst>
            </c:dLbl>
            <c:dLbl>
              <c:idx val="4"/>
              <c:layout>
                <c:manualLayout>
                  <c:x val="1.904761904761975E-2"/>
                  <c:y val="-1.3494164293293203E-2"/>
                </c:manualLayout>
              </c:layout>
              <c:tx>
                <c:rich>
                  <a:bodyPr/>
                  <a:lstStyle/>
                  <a:p>
                    <a:r>
                      <a:rPr lang="en-US" sz="1100">
                        <a:latin typeface="Times New Roman" pitchFamily="18" charset="0"/>
                        <a:cs typeface="Times New Roman" pitchFamily="18" charset="0"/>
                      </a:rPr>
                      <a:t>15%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C238-4045-8662-7E9DF70B5D7E}"/>
                </c:ext>
              </c:extLst>
            </c:dLbl>
            <c:spPr>
              <a:noFill/>
              <a:ln>
                <a:noFill/>
              </a:ln>
              <a:effectLst/>
            </c:spPr>
            <c:txPr>
              <a:bodyPr/>
              <a:lstStyle/>
              <a:p>
                <a:pPr>
                  <a:defRPr sz="1100">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Feuil1!$A$2:$A$6</c:f>
              <c:strCache>
                <c:ptCount val="5"/>
                <c:pt idx="0">
                  <c:v>Guiera senegalensis</c:v>
                </c:pt>
                <c:pt idx="1">
                  <c:v>Combretum micranthum</c:v>
                </c:pt>
                <c:pt idx="2">
                  <c:v>Balanites aegyptiaca</c:v>
                </c:pt>
                <c:pt idx="3">
                  <c:v>Combretum glutunosum</c:v>
                </c:pt>
                <c:pt idx="4">
                  <c:v>Faidherbia albida</c:v>
                </c:pt>
              </c:strCache>
            </c:strRef>
          </c:cat>
          <c:val>
            <c:numRef>
              <c:f>Feuil1!$B$2:$B$6</c:f>
              <c:numCache>
                <c:formatCode>General</c:formatCode>
                <c:ptCount val="5"/>
                <c:pt idx="0">
                  <c:v>413</c:v>
                </c:pt>
                <c:pt idx="1">
                  <c:v>243</c:v>
                </c:pt>
                <c:pt idx="2">
                  <c:v>112</c:v>
                </c:pt>
                <c:pt idx="3">
                  <c:v>87</c:v>
                </c:pt>
                <c:pt idx="4">
                  <c:v>145</c:v>
                </c:pt>
              </c:numCache>
            </c:numRef>
          </c:val>
          <c:extLst>
            <c:ext xmlns:c16="http://schemas.microsoft.com/office/drawing/2014/chart" uri="{C3380CC4-5D6E-409C-BE32-E72D297353CC}">
              <c16:uniqueId val="{00000005-C238-4045-8662-7E9DF70B5D7E}"/>
            </c:ext>
          </c:extLst>
        </c:ser>
        <c:dLbls>
          <c:showLegendKey val="0"/>
          <c:showVal val="0"/>
          <c:showCatName val="0"/>
          <c:showSerName val="0"/>
          <c:showPercent val="0"/>
          <c:showBubbleSize val="0"/>
        </c:dLbls>
        <c:gapWidth val="150"/>
        <c:shape val="cylinder"/>
        <c:axId val="-1438282688"/>
        <c:axId val="-1438277792"/>
        <c:axId val="0"/>
      </c:bar3DChart>
      <c:catAx>
        <c:axId val="-1438282688"/>
        <c:scaling>
          <c:orientation val="minMax"/>
        </c:scaling>
        <c:delete val="0"/>
        <c:axPos val="b"/>
        <c:numFmt formatCode="General" sourceLinked="0"/>
        <c:majorTickMark val="out"/>
        <c:minorTickMark val="none"/>
        <c:tickLblPos val="nextTo"/>
        <c:txPr>
          <a:bodyPr/>
          <a:lstStyle/>
          <a:p>
            <a:pPr>
              <a:defRPr sz="1000" i="1">
                <a:latin typeface="Times New Roman" pitchFamily="18" charset="0"/>
                <a:cs typeface="Times New Roman" pitchFamily="18" charset="0"/>
              </a:defRPr>
            </a:pPr>
            <a:endParaRPr lang="en-US"/>
          </a:p>
        </c:txPr>
        <c:crossAx val="-1438277792"/>
        <c:crosses val="autoZero"/>
        <c:auto val="1"/>
        <c:lblAlgn val="ctr"/>
        <c:lblOffset val="100"/>
        <c:noMultiLvlLbl val="0"/>
      </c:catAx>
      <c:valAx>
        <c:axId val="-1438277792"/>
        <c:scaling>
          <c:orientation val="minMax"/>
        </c:scaling>
        <c:delete val="0"/>
        <c:axPos val="l"/>
        <c:title>
          <c:tx>
            <c:rich>
              <a:bodyPr rot="-5400000" vert="horz"/>
              <a:lstStyle/>
              <a:p>
                <a:pPr>
                  <a:defRPr/>
                </a:pPr>
                <a:r>
                  <a:rPr lang="fr-FR" sz="1200">
                    <a:latin typeface="Times New Roman" pitchFamily="18" charset="0"/>
                    <a:cs typeface="Times New Roman" pitchFamily="18" charset="0"/>
                  </a:rPr>
                  <a:t>Number</a:t>
                </a:r>
                <a:r>
                  <a:rPr lang="fr-FR" sz="1200" baseline="0">
                    <a:latin typeface="Times New Roman" pitchFamily="18" charset="0"/>
                    <a:cs typeface="Times New Roman" pitchFamily="18" charset="0"/>
                  </a:rPr>
                  <a:t> of bundle of the wood  </a:t>
                </a:r>
                <a:endParaRPr lang="fr-FR" sz="1200">
                  <a:latin typeface="Times New Roman" pitchFamily="18" charset="0"/>
                  <a:cs typeface="Times New Roman" pitchFamily="18" charset="0"/>
                </a:endParaRPr>
              </a:p>
            </c:rich>
          </c:tx>
          <c:overlay val="0"/>
        </c:title>
        <c:numFmt formatCode="General" sourceLinked="1"/>
        <c:majorTickMark val="out"/>
        <c:minorTickMark val="none"/>
        <c:tickLblPos val="nextTo"/>
        <c:crossAx val="-1438282688"/>
        <c:crosses val="autoZero"/>
        <c:crossBetween val="between"/>
      </c:valAx>
      <c:spPr>
        <a:noFill/>
        <a:ln>
          <a:noFill/>
        </a:ln>
      </c:spPr>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C4FC2F2B-A54F-4F2B-B900-FE056A6D3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14</Pages>
  <Words>16636</Words>
  <Characters>91503</Characters>
  <Application>Microsoft Office Word</Application>
  <DocSecurity>0</DocSecurity>
  <Lines>762</Lines>
  <Paragraphs>215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107924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Moussa Soule</dc:creator>
  <cp:lastModifiedBy>Utilisateur Windows</cp:lastModifiedBy>
  <cp:revision>20</cp:revision>
  <dcterms:created xsi:type="dcterms:W3CDTF">2026-01-22T18:26:00Z</dcterms:created>
  <dcterms:modified xsi:type="dcterms:W3CDTF">2026-01-29T11:40:00Z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f4dbc8e5-b3fc-3817-9667-55166a4e4d4b</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