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01A6A" w14:textId="58D0223D" w:rsidR="00471C0A" w:rsidRDefault="00471C0A" w:rsidP="00471C0A">
      <w:pPr>
        <w:rPr>
          <w:rFonts w:ascii="Times New Roman" w:hAnsi="Times New Roman" w:cs="Times New Roman"/>
          <w:b/>
          <w:bCs/>
          <w:sz w:val="22"/>
          <w:szCs w:val="22"/>
        </w:rPr>
      </w:pPr>
      <w:r>
        <w:rPr>
          <w:rFonts w:ascii="Times New Roman" w:hAnsi="Times New Roman" w:cs="Times New Roman"/>
          <w:b/>
          <w:bCs/>
          <w:sz w:val="22"/>
          <w:szCs w:val="22"/>
        </w:rPr>
        <w:t>Original Research Article</w:t>
      </w:r>
    </w:p>
    <w:p w14:paraId="124A4E2A" w14:textId="35982FF4" w:rsidR="00BF29B0" w:rsidRPr="006D0D50" w:rsidRDefault="00BF29B0" w:rsidP="00BF29B0">
      <w:pPr>
        <w:jc w:val="center"/>
        <w:rPr>
          <w:rFonts w:ascii="Times New Roman" w:hAnsi="Times New Roman" w:cs="Times New Roman"/>
          <w:b/>
          <w:bCs/>
          <w:sz w:val="22"/>
          <w:szCs w:val="22"/>
        </w:rPr>
      </w:pPr>
      <w:r w:rsidRPr="006D0D50">
        <w:rPr>
          <w:rFonts w:ascii="Times New Roman" w:hAnsi="Times New Roman" w:cs="Times New Roman"/>
          <w:b/>
          <w:bCs/>
          <w:sz w:val="22"/>
          <w:szCs w:val="22"/>
        </w:rPr>
        <w:t>Effects of Seed Priming with Ginger (</w:t>
      </w:r>
      <w:r w:rsidRPr="00471C0A">
        <w:rPr>
          <w:rFonts w:ascii="Times New Roman" w:hAnsi="Times New Roman" w:cs="Times New Roman"/>
          <w:b/>
          <w:bCs/>
          <w:i/>
          <w:iCs/>
          <w:sz w:val="22"/>
          <w:szCs w:val="22"/>
        </w:rPr>
        <w:t>Zingiber officinale)</w:t>
      </w:r>
      <w:r w:rsidRPr="006D0D50">
        <w:rPr>
          <w:rFonts w:ascii="Times New Roman" w:hAnsi="Times New Roman" w:cs="Times New Roman"/>
          <w:b/>
          <w:bCs/>
          <w:sz w:val="22"/>
          <w:szCs w:val="22"/>
        </w:rPr>
        <w:t xml:space="preserve"> and Neem (</w:t>
      </w:r>
      <w:r w:rsidRPr="00471C0A">
        <w:rPr>
          <w:rFonts w:ascii="Times New Roman" w:hAnsi="Times New Roman" w:cs="Times New Roman"/>
          <w:b/>
          <w:bCs/>
          <w:i/>
          <w:iCs/>
          <w:sz w:val="22"/>
          <w:szCs w:val="22"/>
        </w:rPr>
        <w:t>Azadirachta indica</w:t>
      </w:r>
      <w:r w:rsidRPr="006D0D50">
        <w:rPr>
          <w:rFonts w:ascii="Times New Roman" w:hAnsi="Times New Roman" w:cs="Times New Roman"/>
          <w:b/>
          <w:bCs/>
          <w:sz w:val="22"/>
          <w:szCs w:val="22"/>
        </w:rPr>
        <w:t>) Extracts on Germination, Germination Kinetics, and Moisture Retention of Bambara Groundnut (</w:t>
      </w:r>
      <w:r w:rsidRPr="00471C0A">
        <w:rPr>
          <w:rFonts w:ascii="Times New Roman" w:hAnsi="Times New Roman" w:cs="Times New Roman"/>
          <w:b/>
          <w:bCs/>
          <w:i/>
          <w:iCs/>
          <w:sz w:val="22"/>
          <w:szCs w:val="22"/>
        </w:rPr>
        <w:t>Vigna subterranea</w:t>
      </w:r>
      <w:r w:rsidRPr="006D0D50">
        <w:rPr>
          <w:rFonts w:ascii="Times New Roman" w:hAnsi="Times New Roman" w:cs="Times New Roman"/>
          <w:b/>
          <w:bCs/>
          <w:sz w:val="22"/>
          <w:szCs w:val="22"/>
        </w:rPr>
        <w:t xml:space="preserve">) Under Water </w:t>
      </w:r>
      <w:r w:rsidR="00FE1205">
        <w:rPr>
          <w:rFonts w:ascii="Times New Roman" w:hAnsi="Times New Roman" w:cs="Times New Roman"/>
          <w:b/>
          <w:bCs/>
          <w:sz w:val="22"/>
          <w:szCs w:val="22"/>
        </w:rPr>
        <w:t>Deficit</w:t>
      </w:r>
      <w:r w:rsidRPr="006D0D50">
        <w:rPr>
          <w:rFonts w:ascii="Times New Roman" w:hAnsi="Times New Roman" w:cs="Times New Roman"/>
          <w:b/>
          <w:bCs/>
          <w:sz w:val="22"/>
          <w:szCs w:val="22"/>
        </w:rPr>
        <w:t xml:space="preserve"> Conditions</w:t>
      </w:r>
    </w:p>
    <w:p w14:paraId="0C231ACC"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b/>
          <w:bCs/>
          <w:sz w:val="22"/>
          <w:szCs w:val="22"/>
        </w:rPr>
        <w:t>Abstract</w:t>
      </w:r>
    </w:p>
    <w:p w14:paraId="03BF4882" w14:textId="359EC35E" w:rsidR="00BA3EA3" w:rsidRPr="00BA3EA3" w:rsidRDefault="00BA3EA3" w:rsidP="00BA3EA3">
      <w:pPr>
        <w:jc w:val="both"/>
        <w:rPr>
          <w:rFonts w:ascii="Times New Roman" w:hAnsi="Times New Roman" w:cs="Times New Roman"/>
          <w:sz w:val="22"/>
          <w:szCs w:val="22"/>
        </w:rPr>
      </w:pPr>
      <w:r w:rsidRPr="00BA3EA3">
        <w:rPr>
          <w:rFonts w:ascii="Times New Roman" w:hAnsi="Times New Roman" w:cs="Times New Roman"/>
          <w:sz w:val="22"/>
          <w:szCs w:val="22"/>
        </w:rPr>
        <w:t>Seed priming with botanical extracts is a sustainable strategy to enhance crop establishment under water-limited conditions. This study evaluated the effects of ginger (</w:t>
      </w:r>
      <w:r w:rsidRPr="00BA3EA3">
        <w:rPr>
          <w:rFonts w:ascii="Times New Roman" w:hAnsi="Times New Roman" w:cs="Times New Roman"/>
          <w:i/>
          <w:iCs/>
          <w:sz w:val="22"/>
          <w:szCs w:val="22"/>
        </w:rPr>
        <w:t>Zingiber officinale</w:t>
      </w:r>
      <w:r w:rsidRPr="00BA3EA3">
        <w:rPr>
          <w:rFonts w:ascii="Times New Roman" w:hAnsi="Times New Roman" w:cs="Times New Roman"/>
          <w:sz w:val="22"/>
          <w:szCs w:val="22"/>
        </w:rPr>
        <w:t>) and neem (</w:t>
      </w:r>
      <w:r w:rsidRPr="00BA3EA3">
        <w:rPr>
          <w:rFonts w:ascii="Times New Roman" w:hAnsi="Times New Roman" w:cs="Times New Roman"/>
          <w:i/>
          <w:iCs/>
          <w:sz w:val="22"/>
          <w:szCs w:val="22"/>
        </w:rPr>
        <w:t>Azadirachta indica</w:t>
      </w:r>
      <w:r w:rsidRPr="00BA3EA3">
        <w:rPr>
          <w:rFonts w:ascii="Times New Roman" w:hAnsi="Times New Roman" w:cs="Times New Roman"/>
          <w:sz w:val="22"/>
          <w:szCs w:val="22"/>
        </w:rPr>
        <w:t>) extracts on the germination kinetics and early vegetative development of two Bambara groundnut (</w:t>
      </w:r>
      <w:r w:rsidRPr="00BA3EA3">
        <w:rPr>
          <w:rFonts w:ascii="Times New Roman" w:hAnsi="Times New Roman" w:cs="Times New Roman"/>
          <w:i/>
          <w:iCs/>
          <w:sz w:val="22"/>
          <w:szCs w:val="22"/>
        </w:rPr>
        <w:t>Vigna subterranea</w:t>
      </w:r>
      <w:r w:rsidRPr="00BA3EA3">
        <w:rPr>
          <w:rFonts w:ascii="Times New Roman" w:hAnsi="Times New Roman" w:cs="Times New Roman"/>
          <w:sz w:val="22"/>
          <w:szCs w:val="22"/>
        </w:rPr>
        <w:t xml:space="preserve"> L.) genotypes (ZM 1856 and ZM 2656) subjected to moisture stress. A factorial experiment was conducted using varying concentrations of ginger (0–20% w/v) and neem (0–4% w/v). Results revealed highly significant main treatment effects (p &lt; 0.001) for germination index, total dry matter (TDM), and root nodulation. Effect size analysis (</w:t>
      </w:r>
      <w:r w:rsidRPr="006D0D50">
        <w:rPr>
          <w:rFonts w:ascii="Times New Roman" w:hAnsi="Times New Roman" w:cs="Times New Roman"/>
          <w:sz w:val="22"/>
          <w:szCs w:val="22"/>
        </w:rPr>
        <w:t>η²)</w:t>
      </w:r>
      <w:r w:rsidRPr="00BA3EA3">
        <w:rPr>
          <w:rFonts w:ascii="Times New Roman" w:hAnsi="Times New Roman" w:cs="Times New Roman"/>
          <w:sz w:val="22"/>
          <w:szCs w:val="22"/>
        </w:rPr>
        <w:t xml:space="preserve">) </w:t>
      </w:r>
      <w:r>
        <w:rPr>
          <w:rFonts w:ascii="Times New Roman" w:hAnsi="Times New Roman" w:cs="Times New Roman"/>
          <w:sz w:val="22"/>
          <w:szCs w:val="22"/>
        </w:rPr>
        <w:t xml:space="preserve">established that </w:t>
      </w:r>
      <w:r w:rsidRPr="00BA3EA3">
        <w:rPr>
          <w:rFonts w:ascii="Times New Roman" w:hAnsi="Times New Roman" w:cs="Times New Roman"/>
          <w:sz w:val="22"/>
          <w:szCs w:val="22"/>
        </w:rPr>
        <w:t xml:space="preserve">botanical treatments exerted the largest functional </w:t>
      </w:r>
      <w:r w:rsidR="00DF6622">
        <w:rPr>
          <w:rFonts w:ascii="Times New Roman" w:hAnsi="Times New Roman" w:cs="Times New Roman"/>
          <w:sz w:val="22"/>
          <w:szCs w:val="22"/>
        </w:rPr>
        <w:t>effects</w:t>
      </w:r>
      <w:r w:rsidRPr="00BA3EA3">
        <w:rPr>
          <w:rFonts w:ascii="Times New Roman" w:hAnsi="Times New Roman" w:cs="Times New Roman"/>
          <w:sz w:val="22"/>
          <w:szCs w:val="22"/>
        </w:rPr>
        <w:t xml:space="preserve"> on root nodulation (</w:t>
      </w:r>
      <w:r w:rsidRPr="006D0D50">
        <w:rPr>
          <w:rFonts w:ascii="Times New Roman" w:hAnsi="Times New Roman" w:cs="Times New Roman"/>
          <w:sz w:val="22"/>
          <w:szCs w:val="22"/>
        </w:rPr>
        <w:t xml:space="preserve">η²) </w:t>
      </w:r>
      <w:r w:rsidRPr="00BA3EA3">
        <w:rPr>
          <w:rFonts w:ascii="Times New Roman" w:hAnsi="Times New Roman" w:cs="Times New Roman"/>
          <w:sz w:val="22"/>
          <w:szCs w:val="22"/>
        </w:rPr>
        <w:t>= 0.55), germination rate (</w:t>
      </w:r>
      <w:r w:rsidRPr="006D0D50">
        <w:rPr>
          <w:rFonts w:ascii="Times New Roman" w:hAnsi="Times New Roman" w:cs="Times New Roman"/>
          <w:sz w:val="22"/>
          <w:szCs w:val="22"/>
        </w:rPr>
        <w:t>η²</w:t>
      </w:r>
      <w:r w:rsidRPr="00BA3EA3">
        <w:rPr>
          <w:rFonts w:ascii="Times New Roman" w:hAnsi="Times New Roman" w:cs="Times New Roman"/>
          <w:sz w:val="22"/>
          <w:szCs w:val="22"/>
        </w:rPr>
        <w:t xml:space="preserve">= 0.44), and seedling vigour index (SVI; </w:t>
      </w:r>
      <w:r w:rsidRPr="006D0D50">
        <w:rPr>
          <w:rFonts w:ascii="Times New Roman" w:hAnsi="Times New Roman" w:cs="Times New Roman"/>
          <w:sz w:val="22"/>
          <w:szCs w:val="22"/>
        </w:rPr>
        <w:t>η²</w:t>
      </w:r>
      <w:r w:rsidRPr="00BA3EA3">
        <w:rPr>
          <w:rFonts w:ascii="Times New Roman" w:hAnsi="Times New Roman" w:cs="Times New Roman"/>
          <w:sz w:val="22"/>
          <w:szCs w:val="22"/>
        </w:rPr>
        <w:t>= 0.44). Pearson correlation analysis further elucidated these relationships, showing a near-perfect positive correlation between germination rate and SVI (</w:t>
      </w:r>
      <w:r>
        <w:rPr>
          <w:rFonts w:ascii="Times New Roman" w:hAnsi="Times New Roman" w:cs="Times New Roman"/>
          <w:sz w:val="22"/>
          <w:szCs w:val="22"/>
        </w:rPr>
        <w:t>r</w:t>
      </w:r>
      <w:r w:rsidRPr="00BA3EA3">
        <w:rPr>
          <w:rFonts w:ascii="Times New Roman" w:hAnsi="Times New Roman" w:cs="Times New Roman"/>
          <w:sz w:val="22"/>
          <w:szCs w:val="22"/>
        </w:rPr>
        <w:t xml:space="preserve"> = 0.97, p &lt; 0.001), and significant positive associations between TDM and both root nodulation (r = 0.52) and leaf efficiency (r = 0.52). However, a notable negative correlation between TDM and germination rate (r = -0.44, p &lt; 0.05</w:t>
      </w:r>
      <w:r>
        <w:rPr>
          <w:rFonts w:ascii="Times New Roman" w:hAnsi="Times New Roman" w:cs="Times New Roman"/>
          <w:sz w:val="22"/>
          <w:szCs w:val="22"/>
        </w:rPr>
        <w:t>)</w:t>
      </w:r>
      <w:r w:rsidRPr="00BA3EA3">
        <w:rPr>
          <w:rFonts w:ascii="Times New Roman" w:hAnsi="Times New Roman" w:cs="Times New Roman"/>
          <w:sz w:val="22"/>
          <w:szCs w:val="22"/>
        </w:rPr>
        <w:t xml:space="preserve"> suggests a physiological trade-off between rapid emergence and long-term biomass accumulation under stress. While ginger priming at 10–15% was the most effective for enhancing kinetics, higher neem concentrations (4%) significantly delayed germination. These findings demonstrate that botanical priming, particularly with ginger, triggers a holistic developmental shift that balances rapid establishment with enhanced resource partitioning for drought resilience</w:t>
      </w:r>
      <w:r w:rsidR="000D149E">
        <w:rPr>
          <w:rFonts w:ascii="Times New Roman" w:hAnsi="Times New Roman" w:cs="Times New Roman"/>
          <w:sz w:val="22"/>
          <w:szCs w:val="22"/>
        </w:rPr>
        <w:t>.</w:t>
      </w:r>
    </w:p>
    <w:p w14:paraId="3DC3DF31" w14:textId="2AD717FC"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b/>
          <w:bCs/>
          <w:sz w:val="22"/>
          <w:szCs w:val="22"/>
        </w:rPr>
        <w:t>Keywords:</w:t>
      </w:r>
      <w:r w:rsidRPr="006D0D50">
        <w:rPr>
          <w:rFonts w:ascii="Times New Roman" w:hAnsi="Times New Roman" w:cs="Times New Roman"/>
          <w:sz w:val="22"/>
          <w:szCs w:val="22"/>
        </w:rPr>
        <w:t> </w:t>
      </w:r>
      <w:r w:rsidRPr="006D0D50">
        <w:rPr>
          <w:rFonts w:ascii="Times New Roman" w:hAnsi="Times New Roman" w:cs="Times New Roman"/>
          <w:i/>
          <w:iCs/>
          <w:sz w:val="22"/>
          <w:szCs w:val="22"/>
        </w:rPr>
        <w:t>Azadirachta indica</w:t>
      </w:r>
      <w:r w:rsidRPr="006D0D50">
        <w:rPr>
          <w:rFonts w:ascii="Times New Roman" w:hAnsi="Times New Roman" w:cs="Times New Roman"/>
          <w:sz w:val="22"/>
          <w:szCs w:val="22"/>
        </w:rPr>
        <w:t>, botanical bio stimulants, effect size, leaf efficiency, seed vigo</w:t>
      </w:r>
      <w:r w:rsidR="008B1353" w:rsidRPr="006D0D50">
        <w:rPr>
          <w:rFonts w:ascii="Times New Roman" w:hAnsi="Times New Roman" w:cs="Times New Roman"/>
          <w:sz w:val="22"/>
          <w:szCs w:val="22"/>
        </w:rPr>
        <w:t>u</w:t>
      </w:r>
      <w:r w:rsidRPr="006D0D50">
        <w:rPr>
          <w:rFonts w:ascii="Times New Roman" w:hAnsi="Times New Roman" w:cs="Times New Roman"/>
          <w:sz w:val="22"/>
          <w:szCs w:val="22"/>
        </w:rPr>
        <w:t>r index, </w:t>
      </w:r>
      <w:r w:rsidRPr="006D0D50">
        <w:rPr>
          <w:rFonts w:ascii="Times New Roman" w:hAnsi="Times New Roman" w:cs="Times New Roman"/>
          <w:i/>
          <w:iCs/>
          <w:sz w:val="22"/>
          <w:szCs w:val="22"/>
        </w:rPr>
        <w:t>Zingiber officinale</w:t>
      </w:r>
    </w:p>
    <w:p w14:paraId="1E563CCF" w14:textId="53D96506" w:rsidR="00BF29B0" w:rsidRPr="006D0D50" w:rsidRDefault="00BF29B0" w:rsidP="00BF29B0">
      <w:pPr>
        <w:jc w:val="both"/>
        <w:rPr>
          <w:rFonts w:ascii="Times New Roman" w:hAnsi="Times New Roman" w:cs="Times New Roman"/>
          <w:sz w:val="22"/>
          <w:szCs w:val="22"/>
        </w:rPr>
      </w:pPr>
    </w:p>
    <w:p w14:paraId="6D679B27"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b/>
          <w:bCs/>
          <w:sz w:val="22"/>
          <w:szCs w:val="22"/>
        </w:rPr>
        <w:t>1. Introduction</w:t>
      </w:r>
    </w:p>
    <w:p w14:paraId="3AB80BB9" w14:textId="04ACBDE5"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Bambara groundnut (</w:t>
      </w:r>
      <w:r w:rsidRPr="006D0D50">
        <w:rPr>
          <w:rFonts w:ascii="Times New Roman" w:hAnsi="Times New Roman" w:cs="Times New Roman"/>
          <w:i/>
          <w:iCs/>
          <w:sz w:val="22"/>
          <w:szCs w:val="22"/>
        </w:rPr>
        <w:t>Vigna subterranea</w:t>
      </w:r>
      <w:r w:rsidRPr="006D0D50">
        <w:rPr>
          <w:rFonts w:ascii="Times New Roman" w:hAnsi="Times New Roman" w:cs="Times New Roman"/>
          <w:sz w:val="22"/>
          <w:szCs w:val="22"/>
        </w:rPr>
        <w:t xml:space="preserve"> L. Verdc.) is an indigenous African grain legume, serving as a critical source of nutrition for small-scale farmers in semi-arid regions (Mubaiwa et al., 2018; Majola et al., 2021). Often </w:t>
      </w:r>
      <w:r w:rsidR="00A80B83" w:rsidRPr="006D0D50">
        <w:rPr>
          <w:rFonts w:ascii="Times New Roman" w:hAnsi="Times New Roman" w:cs="Times New Roman"/>
          <w:sz w:val="22"/>
          <w:szCs w:val="22"/>
        </w:rPr>
        <w:t>described as</w:t>
      </w:r>
      <w:r w:rsidRPr="006D0D50">
        <w:rPr>
          <w:rFonts w:ascii="Times New Roman" w:hAnsi="Times New Roman" w:cs="Times New Roman"/>
          <w:sz w:val="22"/>
          <w:szCs w:val="22"/>
        </w:rPr>
        <w:t xml:space="preserve"> a complete food,</w:t>
      </w:r>
      <w:r w:rsidR="00A80B83" w:rsidRPr="006D0D50">
        <w:rPr>
          <w:rFonts w:ascii="Times New Roman" w:hAnsi="Times New Roman" w:cs="Times New Roman"/>
          <w:sz w:val="22"/>
          <w:szCs w:val="22"/>
        </w:rPr>
        <w:t xml:space="preserve"> bambara groundnuts seed</w:t>
      </w:r>
      <w:r w:rsidRPr="006D0D50">
        <w:rPr>
          <w:rFonts w:ascii="Times New Roman" w:hAnsi="Times New Roman" w:cs="Times New Roman"/>
          <w:sz w:val="22"/>
          <w:szCs w:val="22"/>
        </w:rPr>
        <w:t xml:space="preserve"> are rich in carbohydrates (63–69%) and protein (18–24%). Despite its potential, with documented yields reaching 3,000 kg/ha, national average yields in countries like Zambia remain significantly lower (Khan et al., 2021)</w:t>
      </w:r>
      <w:r w:rsidR="00A80B83" w:rsidRPr="006D0D50">
        <w:rPr>
          <w:rFonts w:ascii="Times New Roman" w:hAnsi="Times New Roman" w:cs="Times New Roman"/>
          <w:sz w:val="22"/>
          <w:szCs w:val="22"/>
        </w:rPr>
        <w:t xml:space="preserve"> at only 18% of yield potential</w:t>
      </w:r>
      <w:r w:rsidRPr="006D0D50">
        <w:rPr>
          <w:rFonts w:ascii="Times New Roman" w:hAnsi="Times New Roman" w:cs="Times New Roman"/>
          <w:sz w:val="22"/>
          <w:szCs w:val="22"/>
        </w:rPr>
        <w:t>. This productivity gap is exacerbated by climate change, which has increased the frequency of droughts to once every four to five years (Hamududu and Ngoma, 2019; ZamStats, 2024).</w:t>
      </w:r>
    </w:p>
    <w:p w14:paraId="41A6890E" w14:textId="5ECB4FB3"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 xml:space="preserve">Drought stress is a primary constraint on </w:t>
      </w:r>
      <w:r w:rsidR="00C17484" w:rsidRPr="006D0D50">
        <w:rPr>
          <w:rFonts w:ascii="Times New Roman" w:hAnsi="Times New Roman" w:cs="Times New Roman"/>
          <w:sz w:val="22"/>
          <w:szCs w:val="22"/>
        </w:rPr>
        <w:t>crop</w:t>
      </w:r>
      <w:r w:rsidRPr="006D0D50">
        <w:rPr>
          <w:rFonts w:ascii="Times New Roman" w:hAnsi="Times New Roman" w:cs="Times New Roman"/>
          <w:sz w:val="22"/>
          <w:szCs w:val="22"/>
        </w:rPr>
        <w:t xml:space="preserve"> productivity, particularly during germination and seedling establishment, where water deficits can lead to yield losses of up to 40% (Ahluwalia et al., 2021;</w:t>
      </w:r>
      <w:r w:rsidR="00D57819" w:rsidRPr="006D0D50">
        <w:rPr>
          <w:rFonts w:ascii="Times New Roman" w:hAnsi="Times New Roman" w:cs="Times New Roman"/>
          <w:sz w:val="22"/>
          <w:szCs w:val="22"/>
        </w:rPr>
        <w:t xml:space="preserve"> Seleiman et al. 2021; IAPRI</w:t>
      </w:r>
      <w:r w:rsidRPr="006D0D50">
        <w:rPr>
          <w:rFonts w:ascii="Times New Roman" w:hAnsi="Times New Roman" w:cs="Times New Roman"/>
          <w:sz w:val="22"/>
          <w:szCs w:val="22"/>
        </w:rPr>
        <w:t xml:space="preserve">, 2023). Seed priming is a low-cost, pre-sowing intervention that </w:t>
      </w:r>
      <w:r w:rsidR="00C17484" w:rsidRPr="006D0D50">
        <w:rPr>
          <w:rFonts w:ascii="Times New Roman" w:hAnsi="Times New Roman" w:cs="Times New Roman"/>
          <w:sz w:val="22"/>
          <w:szCs w:val="22"/>
        </w:rPr>
        <w:t xml:space="preserve">involves partial </w:t>
      </w:r>
      <w:r w:rsidRPr="006D0D50">
        <w:rPr>
          <w:rFonts w:ascii="Times New Roman" w:hAnsi="Times New Roman" w:cs="Times New Roman"/>
          <w:sz w:val="22"/>
          <w:szCs w:val="22"/>
        </w:rPr>
        <w:t>hydrat</w:t>
      </w:r>
      <w:r w:rsidR="00C17484" w:rsidRPr="006D0D50">
        <w:rPr>
          <w:rFonts w:ascii="Times New Roman" w:hAnsi="Times New Roman" w:cs="Times New Roman"/>
          <w:sz w:val="22"/>
          <w:szCs w:val="22"/>
        </w:rPr>
        <w:t>ion of seeds</w:t>
      </w:r>
      <w:r w:rsidRPr="006D0D50">
        <w:rPr>
          <w:rFonts w:ascii="Times New Roman" w:hAnsi="Times New Roman" w:cs="Times New Roman"/>
          <w:sz w:val="22"/>
          <w:szCs w:val="22"/>
        </w:rPr>
        <w:t xml:space="preserve"> to activate pre-germinative metabolism without radicle protrusion. This process can induce</w:t>
      </w:r>
      <w:r w:rsidR="00632198" w:rsidRPr="006D0D50">
        <w:rPr>
          <w:rFonts w:ascii="Times New Roman" w:hAnsi="Times New Roman" w:cs="Times New Roman"/>
          <w:sz w:val="22"/>
          <w:szCs w:val="22"/>
        </w:rPr>
        <w:t xml:space="preserve"> phenomena often referred to as</w:t>
      </w:r>
      <w:r w:rsidRPr="006D0D50">
        <w:rPr>
          <w:rFonts w:ascii="Times New Roman" w:hAnsi="Times New Roman" w:cs="Times New Roman"/>
          <w:sz w:val="22"/>
          <w:szCs w:val="22"/>
        </w:rPr>
        <w:t xml:space="preserve"> stress memory </w:t>
      </w:r>
      <w:r w:rsidR="00632198" w:rsidRPr="006D0D50">
        <w:rPr>
          <w:rFonts w:ascii="Times New Roman" w:hAnsi="Times New Roman" w:cs="Times New Roman"/>
          <w:sz w:val="22"/>
          <w:szCs w:val="22"/>
        </w:rPr>
        <w:t>by activating</w:t>
      </w:r>
      <w:r w:rsidRPr="006D0D50">
        <w:rPr>
          <w:rFonts w:ascii="Times New Roman" w:hAnsi="Times New Roman" w:cs="Times New Roman"/>
          <w:sz w:val="22"/>
          <w:szCs w:val="22"/>
        </w:rPr>
        <w:t xml:space="preserve"> the plant's antioxidant systems and enhancing its ability to cope with future stress events (Wojtyla et al., 2016; </w:t>
      </w:r>
      <w:r w:rsidR="00DD4DBA" w:rsidRPr="006D0D50">
        <w:rPr>
          <w:rFonts w:ascii="Times New Roman" w:hAnsi="Times New Roman" w:cs="Times New Roman"/>
          <w:sz w:val="22"/>
          <w:szCs w:val="22"/>
        </w:rPr>
        <w:fldChar w:fldCharType="begin"/>
      </w:r>
      <w:r w:rsidR="00824E2B" w:rsidRPr="006D0D50">
        <w:rPr>
          <w:rFonts w:ascii="Times New Roman" w:hAnsi="Times New Roman" w:cs="Times New Roman"/>
          <w:sz w:val="22"/>
          <w:szCs w:val="22"/>
        </w:rPr>
        <w:instrText xml:space="preserve"> ADDIN ZOTERO_ITEM CSL_CITATION {"citationID":"oAE5pzJE","properties":{"unsorted":false,"formattedCitation":"(Arafa et al. 2021)","plainCitation":"(Arafa et al. 2021)","dontUpdate":true,"noteIndex":0},"citationItems":[{"id":12,"uris":["http://zotero.org/users/19449198/items/6MPSLZVE"],"itemData":{"id":12,"type":"article-journal","abstract":"In the present investigation, we study the effect of Bacillus thuringiensis MH161336 (106–8 CFU/cm3), silicon (25 mL L−1), and carrot extract (75 mL L−1) as seed primers, individually or in combination, on morphological, physio-biochemical and yield components of drought-stressed pea plants (Master B) during 2019/2020 and 2020/2021 seasons. Our results indicated that drought causes a remarkable reduction in plant height, leaf area, number of leaves per plant, and number of flowers per plant in stressed pea plants during two seasons. Likewise, number of pods, pod length, seeds weight of 10 dried plants, and dry weight of 100 seeds were decreased significantly in drought-stressed pea plants. Nevertheless, seed priming with the individual treatments or in combination boosted the morphological, physio-biochemical, and yield characters of pea plants. The best results were obtained with the Bacillus thuringiensis + carrot extract treatment, which led to a remarkable increase in the number of leaves per plant, leaf area, plant height, and number of flowers per plant in stressed pea plants in both seasons. Moreover, pod length, number of seeds per pod, seeds weight of 10 dried plants, and dry weight of 100 seeds were significantly increased as well. Bacillus thuringiensis + carrot extract treatment led to improved biochemical and physiological characters, such as relative water content, chlorophyll a, chlorophyll b, regulated the up-regulation of antioxidant enzymes, increased seed yield, and decreased lipid peroxidation and reactive oxygen species, mainly superoxide and hydrogen peroxide, in drought-stressed pea plants.","container-title":"Plants","DOI":"10.3390/plants10102201","ISSN":"2223-7747","issue":"10","journalAbbreviation":"Plants","language":"en","license":"https://creativecommons.org/licenses/by/4.0/","page":"2201","source":"DOI.org (Crossref)","title":"Seed Priming Boost Adaptation in Pea Plants under Drought Stress","volume":"10","author":[{"family":"Arafa","given":"Sally A."},{"family":"Attia","given":"Kotb A."},{"family":"Niedbała","given":"Gniewko"},{"family":"Piekutowska","given":"Magdalena"},{"family":"Alamery","given":"Salman"},{"family":"Abdelaal","given":"Khaled"},{"family":"Alateeq","given":"Talal K."},{"family":"A. M. Ali","given":"Mohamed"},{"family":"Elkelish","given":"Amr"},{"family":"Attallah","given":"Shreen Y."}],"issued":{"date-parts":[["2021",10,17]]}}}],"schema":"https://github.com/citation-style-language/schema/raw/master/csl-citation.json"} </w:instrText>
      </w:r>
      <w:r w:rsidR="00DD4DBA" w:rsidRPr="006D0D50">
        <w:rPr>
          <w:rFonts w:ascii="Times New Roman" w:hAnsi="Times New Roman" w:cs="Times New Roman"/>
          <w:sz w:val="22"/>
          <w:szCs w:val="22"/>
        </w:rPr>
        <w:fldChar w:fldCharType="separate"/>
      </w:r>
      <w:r w:rsidR="00DD4DBA" w:rsidRPr="006D0D50">
        <w:rPr>
          <w:rFonts w:ascii="Times New Roman" w:hAnsi="Times New Roman" w:cs="Times New Roman"/>
          <w:sz w:val="22"/>
          <w:szCs w:val="22"/>
        </w:rPr>
        <w:t>Arafa et al. 2021</w:t>
      </w:r>
      <w:r w:rsidR="00DD4DBA" w:rsidRPr="006D0D50">
        <w:rPr>
          <w:rFonts w:ascii="Times New Roman" w:hAnsi="Times New Roman" w:cs="Times New Roman"/>
          <w:sz w:val="22"/>
          <w:szCs w:val="22"/>
        </w:rPr>
        <w:fldChar w:fldCharType="end"/>
      </w:r>
      <w:r w:rsidR="00DD4DBA" w:rsidRPr="006D0D50">
        <w:rPr>
          <w:rFonts w:ascii="Times New Roman" w:hAnsi="Times New Roman" w:cs="Times New Roman"/>
          <w:sz w:val="22"/>
          <w:szCs w:val="22"/>
        </w:rPr>
        <w:t xml:space="preserve">, </w:t>
      </w:r>
      <w:r w:rsidRPr="006D0D50">
        <w:rPr>
          <w:rFonts w:ascii="Times New Roman" w:hAnsi="Times New Roman" w:cs="Times New Roman"/>
          <w:sz w:val="22"/>
          <w:szCs w:val="22"/>
        </w:rPr>
        <w:t>Johnson and Puthur, 2021).</w:t>
      </w:r>
    </w:p>
    <w:p w14:paraId="2CE4B78D" w14:textId="4F080B22" w:rsidR="00BF29B0" w:rsidRPr="006D0D50" w:rsidRDefault="002E3D80" w:rsidP="00BF29B0">
      <w:pPr>
        <w:jc w:val="both"/>
        <w:rPr>
          <w:rFonts w:ascii="Times New Roman" w:hAnsi="Times New Roman" w:cs="Times New Roman"/>
          <w:sz w:val="22"/>
          <w:szCs w:val="22"/>
        </w:rPr>
      </w:pPr>
      <w:r w:rsidRPr="006D0D50">
        <w:rPr>
          <w:rFonts w:ascii="Times New Roman" w:hAnsi="Times New Roman" w:cs="Times New Roman"/>
          <w:sz w:val="22"/>
          <w:szCs w:val="22"/>
        </w:rPr>
        <w:t>In recent years</w:t>
      </w:r>
      <w:r w:rsidR="00BF29B0" w:rsidRPr="006D0D50">
        <w:rPr>
          <w:rFonts w:ascii="Times New Roman" w:hAnsi="Times New Roman" w:cs="Times New Roman"/>
          <w:sz w:val="22"/>
          <w:szCs w:val="22"/>
        </w:rPr>
        <w:t>, botanical extracts have gained interest as sustainable seed-priming agents. Ginger (</w:t>
      </w:r>
      <w:r w:rsidR="00BF29B0" w:rsidRPr="006D0D50">
        <w:rPr>
          <w:rFonts w:ascii="Times New Roman" w:hAnsi="Times New Roman" w:cs="Times New Roman"/>
          <w:i/>
          <w:iCs/>
          <w:sz w:val="22"/>
          <w:szCs w:val="22"/>
        </w:rPr>
        <w:t>Zingiber officinale</w:t>
      </w:r>
      <w:r w:rsidR="00BF29B0" w:rsidRPr="006D0D50">
        <w:rPr>
          <w:rFonts w:ascii="Times New Roman" w:hAnsi="Times New Roman" w:cs="Times New Roman"/>
          <w:sz w:val="22"/>
          <w:szCs w:val="22"/>
        </w:rPr>
        <w:t xml:space="preserve">) rhizome extracts are rich in phenolic compounds and gingerols, which can enhance oxidative stress </w:t>
      </w:r>
      <w:r w:rsidRPr="006D0D50">
        <w:rPr>
          <w:rFonts w:ascii="Times New Roman" w:hAnsi="Times New Roman" w:cs="Times New Roman"/>
          <w:sz w:val="22"/>
          <w:szCs w:val="22"/>
        </w:rPr>
        <w:t>defence</w:t>
      </w:r>
      <w:r w:rsidR="00BF29B0" w:rsidRPr="006D0D50">
        <w:rPr>
          <w:rFonts w:ascii="Times New Roman" w:hAnsi="Times New Roman" w:cs="Times New Roman"/>
          <w:sz w:val="22"/>
          <w:szCs w:val="22"/>
        </w:rPr>
        <w:t xml:space="preserve"> (Ali et al., 2008; </w:t>
      </w:r>
      <w:r w:rsidR="00DD4DBA" w:rsidRPr="006D0D50">
        <w:rPr>
          <w:rFonts w:ascii="Times New Roman" w:hAnsi="Times New Roman" w:cs="Times New Roman"/>
          <w:sz w:val="22"/>
          <w:szCs w:val="22"/>
        </w:rPr>
        <w:fldChar w:fldCharType="begin"/>
      </w:r>
      <w:r w:rsidR="00824E2B" w:rsidRPr="006D0D50">
        <w:rPr>
          <w:rFonts w:ascii="Times New Roman" w:hAnsi="Times New Roman" w:cs="Times New Roman"/>
          <w:sz w:val="22"/>
          <w:szCs w:val="22"/>
        </w:rPr>
        <w:instrText xml:space="preserve"> ADDIN ZOTERO_ITEM CSL_CITATION {"citationID":"KYPCjpK4","properties":{"unsorted":false,"formattedCitation":"(Khan et al. 2022)","plainCitation":"(Khan et al. 2022)","dontUpdate":true,"noteIndex":0},"citationItems":[{"id":14,"uris":["http://zotero.org/users/19449198/items/VPH5C7UK"],"itemData":{"id":14,"type":"article-journal","abstract":"Population growth, food shortages, climate change and water scarcity are some of the frightening challenges being confronted in today’s world. Water deficit or drought stress has been considered a severe limitation for the productivity of rice, a widely popular nutritive cereal crop and the staple food of a large portion of the population. A key stage in crop growth is seed emergence, which is mostly constrained by abiotic elements such as high temperatures, soil crusting and low water potential, which are responsible for poor stand establishment. Seed priming is a pre-sowing treatment of seeds that primes them to a physiological state that allows them to emerge more proficiently. The purpose of this study was to investigate the potential of leaf extracts from local and exotic moringa landraces as seed priming agents in rice cultivated under water deficit (75% field capacity) and control conditions (100% field capacity). Rice seeds were placed in an aerated solution of moringa leaf extract (MLE) at 3% from three obtained landraces (Faisalabad, Multan and an exotic landrace of India). The results obtained from the experimentation show that the water deficit regime adversely affected the studied indicators including emergence and growth attributes as well as physiological parameters. Among the priming agents, MLE from the Faisalabad landrace significantly improved the speed and spread of emergence of rice seedlings (time to start emergence at 23%, emergence index at 75%, mean emergence time at 3.58% and final emergence percentage at 46%). All the priming agents enhanced the growth, photosynthetic pigments, gas exchange parameters and antioxidant activities, particularly under the water deficit regime, but the maximum improvement was recorded by the MLE from the Faisalabad landrace. Therefore, the MLE of the Faisalabad landrace can be productively used to boost the seedling establishment and growth of rice grown under normal and water deficit conditions.","container-title":"Plants","DOI":"10.3390/plants11030261","ISSN":"2223-7747","issue":"3","journalAbbreviation":"Plants","language":"en","license":"https://creativecommons.org/licenses/by/4.0/","page":"261","source":"DOI.org (Crossref)","title":"Application of Moringa Leaf Extract as a Seed Priming Agent Enhances Growth and Physiological Attributes of Rice Seedlings Cultivated under Water Deficit Regime","volume":"11","author":[{"family":"Khan","given":"Shahbaz"},{"family":"Ibrar","given":"Danish"},{"family":"Bashir","given":"Saqib"},{"family":"Rashid","given":"Nabila"},{"family":"Hasnain","given":"Zuhair"},{"family":"Nawaz","given":"Muhammad"},{"family":"Al-Ghamdi","given":"Abdullah Ahmed"},{"family":"Elshikh","given":"Mohamed S."},{"family":"Dvořáčková","given":"Helena"},{"family":"Dvořáček","given":"Jan"}],"issued":{"date-parts":[["2022",1,19]]}}}],"schema":"https://github.com/citation-style-language/schema/raw/master/csl-citation.json"} </w:instrText>
      </w:r>
      <w:r w:rsidR="00DD4DBA" w:rsidRPr="006D0D50">
        <w:rPr>
          <w:rFonts w:ascii="Times New Roman" w:hAnsi="Times New Roman" w:cs="Times New Roman"/>
          <w:sz w:val="22"/>
          <w:szCs w:val="22"/>
        </w:rPr>
        <w:fldChar w:fldCharType="separate"/>
      </w:r>
      <w:r w:rsidR="00DD4DBA" w:rsidRPr="006D0D50">
        <w:rPr>
          <w:rFonts w:ascii="Times New Roman" w:hAnsi="Times New Roman" w:cs="Times New Roman"/>
          <w:sz w:val="22"/>
          <w:szCs w:val="22"/>
        </w:rPr>
        <w:t>Khan et al. 2022</w:t>
      </w:r>
      <w:r w:rsidR="00DD4DBA" w:rsidRPr="006D0D50">
        <w:rPr>
          <w:rFonts w:ascii="Times New Roman" w:hAnsi="Times New Roman" w:cs="Times New Roman"/>
          <w:sz w:val="22"/>
          <w:szCs w:val="22"/>
        </w:rPr>
        <w:fldChar w:fldCharType="end"/>
      </w:r>
      <w:r w:rsidR="00DD4DBA" w:rsidRPr="006D0D50">
        <w:rPr>
          <w:rFonts w:ascii="Times New Roman" w:hAnsi="Times New Roman" w:cs="Times New Roman"/>
          <w:sz w:val="22"/>
          <w:szCs w:val="22"/>
        </w:rPr>
        <w:t>,</w:t>
      </w:r>
      <w:r w:rsidR="00BF29B0" w:rsidRPr="006D0D50">
        <w:rPr>
          <w:rFonts w:ascii="Times New Roman" w:hAnsi="Times New Roman" w:cs="Times New Roman"/>
          <w:sz w:val="22"/>
          <w:szCs w:val="22"/>
        </w:rPr>
        <w:t>Queslati et al., 2025). Neem (</w:t>
      </w:r>
      <w:r w:rsidR="00BF29B0" w:rsidRPr="006D0D50">
        <w:rPr>
          <w:rFonts w:ascii="Times New Roman" w:hAnsi="Times New Roman" w:cs="Times New Roman"/>
          <w:i/>
          <w:iCs/>
          <w:sz w:val="22"/>
          <w:szCs w:val="22"/>
        </w:rPr>
        <w:t>Azadirachta indica</w:t>
      </w:r>
      <w:r w:rsidR="00BF29B0" w:rsidRPr="006D0D50">
        <w:rPr>
          <w:rFonts w:ascii="Times New Roman" w:hAnsi="Times New Roman" w:cs="Times New Roman"/>
          <w:sz w:val="22"/>
          <w:szCs w:val="22"/>
        </w:rPr>
        <w:t xml:space="preserve">) leaf extracts contain bioactive limonoids, such as nimbolide B, which can exhibit hormetic </w:t>
      </w:r>
      <w:r w:rsidR="00BF29B0" w:rsidRPr="006D0D50">
        <w:rPr>
          <w:rFonts w:ascii="Times New Roman" w:hAnsi="Times New Roman" w:cs="Times New Roman"/>
          <w:sz w:val="22"/>
          <w:szCs w:val="22"/>
        </w:rPr>
        <w:lastRenderedPageBreak/>
        <w:t>effects—stimulating growth at low concentrations but inhibiting it at higher, potentially allelopathic levels (Noguchi et al., 2014; Naz et al., 2022). This study hypothesized that priming Bambara groundnut seeds with these botanicals would enhance germination, seedling vigour, and physiological resilience to subsequent water stress, with the magnitude of the effect being dependent on both extract concentration and plant genotype.</w:t>
      </w:r>
    </w:p>
    <w:p w14:paraId="5D62716A"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b/>
          <w:bCs/>
          <w:sz w:val="22"/>
          <w:szCs w:val="22"/>
        </w:rPr>
        <w:t>2. Materials and Methods</w:t>
      </w:r>
    </w:p>
    <w:p w14:paraId="24A5DD81"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i/>
          <w:iCs/>
          <w:sz w:val="22"/>
          <w:szCs w:val="22"/>
        </w:rPr>
        <w:t>2.1 Plant Material and Growth Conditions</w:t>
      </w:r>
    </w:p>
    <w:p w14:paraId="0A2F6A38" w14:textId="59DA9420"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Seeds of two Bambara groundnut genotypes</w:t>
      </w:r>
      <w:r w:rsidR="002930AF" w:rsidRPr="006D0D50">
        <w:rPr>
          <w:rFonts w:ascii="Times New Roman" w:hAnsi="Times New Roman" w:cs="Times New Roman"/>
          <w:sz w:val="22"/>
          <w:szCs w:val="22"/>
        </w:rPr>
        <w:t xml:space="preserve">: Genotype 1 </w:t>
      </w:r>
      <w:r w:rsidRPr="006D0D50">
        <w:rPr>
          <w:rFonts w:ascii="Times New Roman" w:hAnsi="Times New Roman" w:cs="Times New Roman"/>
          <w:sz w:val="22"/>
          <w:szCs w:val="22"/>
        </w:rPr>
        <w:t>(ZM 1856</w:t>
      </w:r>
      <w:r w:rsidR="002930AF" w:rsidRPr="006D0D50">
        <w:rPr>
          <w:rFonts w:ascii="Times New Roman" w:hAnsi="Times New Roman" w:cs="Times New Roman"/>
          <w:sz w:val="22"/>
          <w:szCs w:val="22"/>
        </w:rPr>
        <w:t>)</w:t>
      </w:r>
      <w:r w:rsidRPr="006D0D50">
        <w:rPr>
          <w:rFonts w:ascii="Times New Roman" w:hAnsi="Times New Roman" w:cs="Times New Roman"/>
          <w:sz w:val="22"/>
          <w:szCs w:val="22"/>
        </w:rPr>
        <w:t xml:space="preserve"> and</w:t>
      </w:r>
      <w:r w:rsidR="002930AF" w:rsidRPr="006D0D50">
        <w:rPr>
          <w:rFonts w:ascii="Times New Roman" w:hAnsi="Times New Roman" w:cs="Times New Roman"/>
          <w:sz w:val="22"/>
          <w:szCs w:val="22"/>
        </w:rPr>
        <w:t xml:space="preserve"> Genotype 2 (</w:t>
      </w:r>
      <w:r w:rsidRPr="006D0D50">
        <w:rPr>
          <w:rFonts w:ascii="Times New Roman" w:hAnsi="Times New Roman" w:cs="Times New Roman"/>
          <w:sz w:val="22"/>
          <w:szCs w:val="22"/>
        </w:rPr>
        <w:t>ZM 2656) were obtained from the National Plant Genetic Resources Center, Zambia. The experiment was conducted in a greenhouse at Mulungushi University, Kabwe, Zambia. Plants were grown in 20-litre pots filled with a 1:1:1 mixture of topsoil, sand, and compost. The potting medium was analysed for baseline nutrient content and had a water-holding capacity of 42% (v/v).</w:t>
      </w:r>
    </w:p>
    <w:p w14:paraId="580A9D57"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i/>
          <w:iCs/>
          <w:sz w:val="22"/>
          <w:szCs w:val="22"/>
        </w:rPr>
        <w:t>2.2 Preparation of Botanical Priming Extracts</w:t>
      </w:r>
    </w:p>
    <w:p w14:paraId="2A42F8E2"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Fresh ginger rhizomes and neem leaves were washed, chopped, and blended with distilled water. The resulting slurries were filtered through a muslin cloth to obtain the stock extracts. Priming solutions were prepared by diluting the stock extracts with distilled water to achieve the desired concentrations (w/v): ginger at 0, 5, 10, 15, and 20%; and neem at 0, 1, 2, 3, and 4%. The concentration ranges were chosen based on preliminary range-finding trials and published literature to capture both stimulatory and potential inhibitory effects.</w:t>
      </w:r>
    </w:p>
    <w:p w14:paraId="6652CD9E"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i/>
          <w:iCs/>
          <w:sz w:val="22"/>
          <w:szCs w:val="22"/>
        </w:rPr>
        <w:t>2.3 Seed Priming and Experimental Design</w:t>
      </w:r>
    </w:p>
    <w:p w14:paraId="4FA6EB7C" w14:textId="6544291F"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Seeds were surface-sterilized with 1% sodium hypochlorite for 3 minutes and rinsed thoroughly with distilled water. For each treatment, seeds were soaked in 250 ml of the respective priming solution for 24 hours at 25 ± 2°C in the dark. A separate control treatment (G0/N0) consisted of seeds soaked in distilled water only. After priming, seeds were surface-dried under shade for one hour before sowing. F</w:t>
      </w:r>
      <w:r w:rsidR="00341F6C" w:rsidRPr="006D0D50">
        <w:rPr>
          <w:rFonts w:ascii="Times New Roman" w:hAnsi="Times New Roman" w:cs="Times New Roman"/>
          <w:sz w:val="22"/>
          <w:szCs w:val="22"/>
        </w:rPr>
        <w:t>ifteen</w:t>
      </w:r>
      <w:r w:rsidRPr="006D0D50">
        <w:rPr>
          <w:rFonts w:ascii="Times New Roman" w:hAnsi="Times New Roman" w:cs="Times New Roman"/>
          <w:sz w:val="22"/>
          <w:szCs w:val="22"/>
        </w:rPr>
        <w:t xml:space="preserve"> seeds were sown per pot </w:t>
      </w:r>
      <w:r w:rsidR="00341F6C" w:rsidRPr="006D0D50">
        <w:rPr>
          <w:rFonts w:ascii="Times New Roman" w:hAnsi="Times New Roman" w:cs="Times New Roman"/>
          <w:sz w:val="22"/>
          <w:szCs w:val="22"/>
        </w:rPr>
        <w:t>in an experiment arranged as</w:t>
      </w:r>
      <w:r w:rsidRPr="006D0D50">
        <w:rPr>
          <w:rFonts w:ascii="Times New Roman" w:hAnsi="Times New Roman" w:cs="Times New Roman"/>
          <w:sz w:val="22"/>
          <w:szCs w:val="22"/>
        </w:rPr>
        <w:t xml:space="preserve"> a randomized complete block design (RCBD) with four replications. The treatment structure was a 2 (genotypes) × 10 (priming treatments: control, five ginger concentrations, four neem concentrations) factorial, resulting in 20 treatment combinations.</w:t>
      </w:r>
    </w:p>
    <w:p w14:paraId="51A4DD05"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i/>
          <w:iCs/>
          <w:sz w:val="22"/>
          <w:szCs w:val="22"/>
        </w:rPr>
        <w:t>2.4 Drought Stress Imposition</w:t>
      </w:r>
    </w:p>
    <w:p w14:paraId="3CBFF503" w14:textId="75EAEBEB"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 xml:space="preserve">All pots were irrigated to 75% of field capacity daily until 15 days after emergence (DAE). Field capacity was determined gravimetrically. At 16 DAE, irrigation was completely withheld to simulate a </w:t>
      </w:r>
      <w:r w:rsidR="00341F6C" w:rsidRPr="006D0D50">
        <w:rPr>
          <w:rFonts w:ascii="Times New Roman" w:hAnsi="Times New Roman" w:cs="Times New Roman"/>
          <w:sz w:val="22"/>
          <w:szCs w:val="22"/>
        </w:rPr>
        <w:t>seedling</w:t>
      </w:r>
      <w:r w:rsidRPr="006D0D50">
        <w:rPr>
          <w:rFonts w:ascii="Times New Roman" w:hAnsi="Times New Roman" w:cs="Times New Roman"/>
          <w:sz w:val="22"/>
          <w:szCs w:val="22"/>
        </w:rPr>
        <w:t xml:space="preserve"> drought stress event. This stress period was maintained until 30 DAE, at which point plants in the control treatments exhibited permanent wilting (i.e., failure to recover turgor overnight). All physiological measurements and biomass harvests were conducted at this time.</w:t>
      </w:r>
    </w:p>
    <w:p w14:paraId="2B275905"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i/>
          <w:iCs/>
          <w:sz w:val="22"/>
          <w:szCs w:val="22"/>
        </w:rPr>
        <w:t>2.5 Data Collection</w:t>
      </w:r>
    </w:p>
    <w:p w14:paraId="1F8EE1FF"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i/>
          <w:iCs/>
          <w:sz w:val="22"/>
          <w:szCs w:val="22"/>
        </w:rPr>
        <w:t>2.5.1 Germination and Early Seedling Growth</w:t>
      </w:r>
      <w:r w:rsidRPr="006D0D50">
        <w:rPr>
          <w:rFonts w:ascii="Times New Roman" w:hAnsi="Times New Roman" w:cs="Times New Roman"/>
          <w:sz w:val="22"/>
          <w:szCs w:val="22"/>
        </w:rPr>
        <w:br/>
        <w:t>Seed germination was monitored daily for 21 days. A seed was considered germinated when the plumule was visible above the soil surface. The following indices were calculated:</w:t>
      </w:r>
    </w:p>
    <w:p w14:paraId="4780AA8F" w14:textId="6E821605" w:rsidR="00BF29B0" w:rsidRPr="006D0D50" w:rsidRDefault="00BF29B0" w:rsidP="00BF29B0">
      <w:pPr>
        <w:numPr>
          <w:ilvl w:val="0"/>
          <w:numId w:val="1"/>
        </w:numPr>
        <w:jc w:val="both"/>
        <w:rPr>
          <w:rFonts w:ascii="Times New Roman" w:hAnsi="Times New Roman" w:cs="Times New Roman"/>
          <w:sz w:val="22"/>
          <w:szCs w:val="22"/>
        </w:rPr>
      </w:pPr>
      <w:r w:rsidRPr="006D0D50">
        <w:rPr>
          <w:rFonts w:ascii="Times New Roman" w:hAnsi="Times New Roman" w:cs="Times New Roman"/>
          <w:b/>
          <w:bCs/>
          <w:sz w:val="22"/>
          <w:szCs w:val="22"/>
        </w:rPr>
        <w:t>Germination Rate (GR):</w:t>
      </w:r>
      <w:r w:rsidRPr="006D0D50">
        <w:rPr>
          <w:rFonts w:ascii="Times New Roman" w:hAnsi="Times New Roman" w:cs="Times New Roman"/>
          <w:sz w:val="22"/>
          <w:szCs w:val="22"/>
        </w:rPr>
        <w:t xml:space="preserve"> Final germination </w:t>
      </w:r>
      <w:r w:rsidR="00490463" w:rsidRPr="006D0D50">
        <w:rPr>
          <w:rFonts w:ascii="Times New Roman" w:hAnsi="Times New Roman" w:cs="Times New Roman"/>
          <w:sz w:val="22"/>
          <w:szCs w:val="22"/>
        </w:rPr>
        <w:t>percentage.</w:t>
      </w:r>
      <w:r w:rsidR="00490463">
        <w:rPr>
          <w:rFonts w:ascii="Times New Roman" w:hAnsi="Times New Roman" w:cs="Times New Roman"/>
          <w:sz w:val="22"/>
          <w:szCs w:val="22"/>
        </w:rPr>
        <w:t xml:space="preserve"> =</w:t>
      </w:r>
      <w:r w:rsidR="009328AF">
        <w:rPr>
          <w:rFonts w:ascii="Times New Roman" w:hAnsi="Times New Roman" w:cs="Times New Roman"/>
          <w:sz w:val="22"/>
          <w:szCs w:val="22"/>
        </w:rPr>
        <w:t>Number of seed germinated/Total number of seeds sown</w:t>
      </w:r>
      <w:r w:rsidR="00E07D44">
        <w:rPr>
          <w:rFonts w:ascii="Times New Roman" w:hAnsi="Times New Roman" w:cs="Times New Roman"/>
          <w:sz w:val="22"/>
          <w:szCs w:val="22"/>
        </w:rPr>
        <w:t xml:space="preserve"> (Bewley et al ,2013)</w:t>
      </w:r>
    </w:p>
    <w:p w14:paraId="2E1C0F42" w14:textId="7E894686" w:rsidR="00BF29B0" w:rsidRPr="006D0D50" w:rsidRDefault="00BF29B0" w:rsidP="00BF29B0">
      <w:pPr>
        <w:numPr>
          <w:ilvl w:val="0"/>
          <w:numId w:val="1"/>
        </w:numPr>
        <w:jc w:val="both"/>
        <w:rPr>
          <w:rFonts w:ascii="Times New Roman" w:hAnsi="Times New Roman" w:cs="Times New Roman"/>
          <w:sz w:val="22"/>
          <w:szCs w:val="22"/>
        </w:rPr>
      </w:pPr>
      <w:r w:rsidRPr="006D0D50">
        <w:rPr>
          <w:rFonts w:ascii="Times New Roman" w:hAnsi="Times New Roman" w:cs="Times New Roman"/>
          <w:b/>
          <w:bCs/>
          <w:sz w:val="22"/>
          <w:szCs w:val="22"/>
        </w:rPr>
        <w:t>Mean Germination Time (MGT):</w:t>
      </w:r>
      <w:r w:rsidRPr="006D0D50">
        <w:rPr>
          <w:rFonts w:ascii="Times New Roman" w:hAnsi="Times New Roman" w:cs="Times New Roman"/>
          <w:sz w:val="22"/>
          <w:szCs w:val="22"/>
        </w:rPr>
        <w:t xml:space="preserve"> MGT = </w:t>
      </w:r>
      <w:r w:rsidR="001A3E1E" w:rsidRPr="006D0D50">
        <w:rPr>
          <w:rFonts w:ascii="Times New Roman" w:hAnsi="Times New Roman" w:cs="Times New Roman"/>
          <w:sz w:val="22"/>
          <w:szCs w:val="22"/>
        </w:rPr>
        <w:t>Σ (</w:t>
      </w:r>
      <w:r w:rsidRPr="006D0D50">
        <w:rPr>
          <w:rFonts w:ascii="Times New Roman" w:hAnsi="Times New Roman" w:cs="Times New Roman"/>
          <w:sz w:val="22"/>
          <w:szCs w:val="22"/>
        </w:rPr>
        <w:t>n × d) / N, where n is the number of seeds germinated on day </w:t>
      </w:r>
      <w:r w:rsidR="00E909F5" w:rsidRPr="006D0D50">
        <w:rPr>
          <w:rFonts w:ascii="Times New Roman" w:hAnsi="Times New Roman" w:cs="Times New Roman"/>
          <w:sz w:val="22"/>
          <w:szCs w:val="22"/>
        </w:rPr>
        <w:t>‘</w:t>
      </w:r>
      <w:r w:rsidRPr="006D0D50">
        <w:rPr>
          <w:rFonts w:ascii="Times New Roman" w:hAnsi="Times New Roman" w:cs="Times New Roman"/>
          <w:sz w:val="22"/>
          <w:szCs w:val="22"/>
        </w:rPr>
        <w:t>d</w:t>
      </w:r>
      <w:r w:rsidR="00E909F5" w:rsidRPr="006D0D50">
        <w:rPr>
          <w:rFonts w:ascii="Times New Roman" w:hAnsi="Times New Roman" w:cs="Times New Roman"/>
          <w:sz w:val="22"/>
          <w:szCs w:val="22"/>
        </w:rPr>
        <w:t>’</w:t>
      </w:r>
      <w:r w:rsidRPr="006D0D50">
        <w:rPr>
          <w:rFonts w:ascii="Times New Roman" w:hAnsi="Times New Roman" w:cs="Times New Roman"/>
          <w:sz w:val="22"/>
          <w:szCs w:val="22"/>
        </w:rPr>
        <w:t xml:space="preserve">, and N is the total number of germinated </w:t>
      </w:r>
      <w:r w:rsidR="00490463" w:rsidRPr="006D0D50">
        <w:rPr>
          <w:rFonts w:ascii="Times New Roman" w:hAnsi="Times New Roman" w:cs="Times New Roman"/>
          <w:sz w:val="22"/>
          <w:szCs w:val="22"/>
        </w:rPr>
        <w:t>seeds.</w:t>
      </w:r>
      <w:r w:rsidR="00490463">
        <w:rPr>
          <w:rFonts w:ascii="Times New Roman" w:hAnsi="Times New Roman" w:cs="Times New Roman"/>
          <w:sz w:val="22"/>
          <w:szCs w:val="22"/>
        </w:rPr>
        <w:t xml:space="preserve"> (Ellis and Roberts, 1981)</w:t>
      </w:r>
    </w:p>
    <w:p w14:paraId="0582329E" w14:textId="55633134" w:rsidR="00BF29B0" w:rsidRPr="00490463" w:rsidRDefault="00BF29B0" w:rsidP="00490463">
      <w:pPr>
        <w:numPr>
          <w:ilvl w:val="0"/>
          <w:numId w:val="1"/>
        </w:numPr>
        <w:jc w:val="both"/>
        <w:rPr>
          <w:rFonts w:ascii="Times New Roman" w:hAnsi="Times New Roman" w:cs="Times New Roman"/>
          <w:sz w:val="22"/>
          <w:szCs w:val="22"/>
        </w:rPr>
      </w:pPr>
      <w:r w:rsidRPr="006D0D50">
        <w:rPr>
          <w:rFonts w:ascii="Times New Roman" w:hAnsi="Times New Roman" w:cs="Times New Roman"/>
          <w:b/>
          <w:bCs/>
          <w:sz w:val="22"/>
          <w:szCs w:val="22"/>
        </w:rPr>
        <w:lastRenderedPageBreak/>
        <w:t>Germination Index (GI):</w:t>
      </w:r>
      <w:r w:rsidRPr="006D0D50">
        <w:rPr>
          <w:rFonts w:ascii="Times New Roman" w:hAnsi="Times New Roman" w:cs="Times New Roman"/>
          <w:sz w:val="22"/>
          <w:szCs w:val="22"/>
        </w:rPr>
        <w:t xml:space="preserve"> GI = </w:t>
      </w:r>
      <w:r w:rsidR="003E7A28" w:rsidRPr="006D0D50">
        <w:rPr>
          <w:rFonts w:ascii="Times New Roman" w:hAnsi="Times New Roman" w:cs="Times New Roman"/>
          <w:sz w:val="22"/>
          <w:szCs w:val="22"/>
        </w:rPr>
        <w:t>Σ (</w:t>
      </w:r>
      <w:r w:rsidRPr="006D0D50">
        <w:rPr>
          <w:rFonts w:ascii="Times New Roman" w:hAnsi="Times New Roman" w:cs="Times New Roman"/>
          <w:sz w:val="22"/>
          <w:szCs w:val="22"/>
        </w:rPr>
        <w:t>Gt / Dt), where Gt is the number of germinated seeds on day </w:t>
      </w:r>
      <w:r w:rsidR="00E909F5" w:rsidRPr="006D0D50">
        <w:rPr>
          <w:rFonts w:ascii="Times New Roman" w:hAnsi="Times New Roman" w:cs="Times New Roman"/>
          <w:sz w:val="22"/>
          <w:szCs w:val="22"/>
        </w:rPr>
        <w:t>‘</w:t>
      </w:r>
      <w:r w:rsidRPr="006D0D50">
        <w:rPr>
          <w:rFonts w:ascii="Times New Roman" w:hAnsi="Times New Roman" w:cs="Times New Roman"/>
          <w:sz w:val="22"/>
          <w:szCs w:val="22"/>
        </w:rPr>
        <w:t>t</w:t>
      </w:r>
      <w:r w:rsidR="00E909F5" w:rsidRPr="006D0D50">
        <w:rPr>
          <w:rFonts w:ascii="Times New Roman" w:hAnsi="Times New Roman" w:cs="Times New Roman"/>
          <w:sz w:val="22"/>
          <w:szCs w:val="22"/>
        </w:rPr>
        <w:t>’</w:t>
      </w:r>
      <w:r w:rsidRPr="006D0D50">
        <w:rPr>
          <w:rFonts w:ascii="Times New Roman" w:hAnsi="Times New Roman" w:cs="Times New Roman"/>
          <w:sz w:val="22"/>
          <w:szCs w:val="22"/>
        </w:rPr>
        <w:t> and Dt is the day of culture. This index integrates both speed and completeness of germination.</w:t>
      </w:r>
      <w:r w:rsidR="00490463" w:rsidRPr="00490463">
        <w:rPr>
          <w:rFonts w:ascii="Times New Roman" w:hAnsi="Times New Roman" w:cs="Times New Roman"/>
          <w:sz w:val="22"/>
          <w:szCs w:val="22"/>
        </w:rPr>
        <w:t xml:space="preserve"> </w:t>
      </w:r>
      <w:r w:rsidR="00490463">
        <w:rPr>
          <w:rFonts w:ascii="Times New Roman" w:hAnsi="Times New Roman" w:cs="Times New Roman"/>
          <w:sz w:val="22"/>
          <w:szCs w:val="22"/>
        </w:rPr>
        <w:t>Khandakar and Bradbeer (1983)</w:t>
      </w:r>
    </w:p>
    <w:p w14:paraId="6EDC907E" w14:textId="284189AA" w:rsidR="00BF29B0" w:rsidRPr="006D0D50" w:rsidRDefault="00BF29B0" w:rsidP="00BF29B0">
      <w:pPr>
        <w:numPr>
          <w:ilvl w:val="0"/>
          <w:numId w:val="1"/>
        </w:numPr>
        <w:jc w:val="both"/>
        <w:rPr>
          <w:rFonts w:ascii="Times New Roman" w:hAnsi="Times New Roman" w:cs="Times New Roman"/>
          <w:sz w:val="22"/>
          <w:szCs w:val="22"/>
        </w:rPr>
      </w:pPr>
      <w:r w:rsidRPr="006D0D50">
        <w:rPr>
          <w:rFonts w:ascii="Times New Roman" w:hAnsi="Times New Roman" w:cs="Times New Roman"/>
          <w:b/>
          <w:bCs/>
          <w:sz w:val="22"/>
          <w:szCs w:val="22"/>
        </w:rPr>
        <w:t>Seed Vigour Index (SVI):</w:t>
      </w:r>
      <w:r w:rsidRPr="006D0D50">
        <w:rPr>
          <w:rFonts w:ascii="Times New Roman" w:hAnsi="Times New Roman" w:cs="Times New Roman"/>
          <w:sz w:val="22"/>
          <w:szCs w:val="22"/>
        </w:rPr>
        <w:t> SVI = Germination (%) × Seedling Length (cm) (measured at 21 DAS</w:t>
      </w:r>
      <w:r w:rsidR="00490463" w:rsidRPr="006D0D50">
        <w:rPr>
          <w:rFonts w:ascii="Times New Roman" w:hAnsi="Times New Roman" w:cs="Times New Roman"/>
          <w:sz w:val="22"/>
          <w:szCs w:val="22"/>
        </w:rPr>
        <w:t>).</w:t>
      </w:r>
      <w:r w:rsidR="00490463">
        <w:rPr>
          <w:rFonts w:ascii="Times New Roman" w:hAnsi="Times New Roman" w:cs="Times New Roman"/>
          <w:sz w:val="22"/>
          <w:szCs w:val="22"/>
        </w:rPr>
        <w:t xml:space="preserve"> (Abdul-Baki and Anderson, 1973)</w:t>
      </w:r>
    </w:p>
    <w:p w14:paraId="1EA01B5A" w14:textId="77777777" w:rsidR="00BF29B0" w:rsidRPr="006D0D50" w:rsidRDefault="00BF29B0" w:rsidP="00FE1205">
      <w:pPr>
        <w:jc w:val="both"/>
        <w:rPr>
          <w:rFonts w:ascii="Times New Roman" w:hAnsi="Times New Roman" w:cs="Times New Roman"/>
          <w:sz w:val="22"/>
          <w:szCs w:val="22"/>
        </w:rPr>
      </w:pPr>
      <w:r w:rsidRPr="006D0D50">
        <w:rPr>
          <w:rFonts w:ascii="Times New Roman" w:hAnsi="Times New Roman" w:cs="Times New Roman"/>
          <w:i/>
          <w:iCs/>
          <w:sz w:val="22"/>
          <w:szCs w:val="22"/>
        </w:rPr>
        <w:t>2.5.2 Nodulation and Biomass Allocation</w:t>
      </w:r>
      <w:r w:rsidRPr="006D0D50">
        <w:rPr>
          <w:rFonts w:ascii="Times New Roman" w:hAnsi="Times New Roman" w:cs="Times New Roman"/>
          <w:sz w:val="22"/>
          <w:szCs w:val="22"/>
        </w:rPr>
        <w:br/>
        <w:t>At 30 DAE, plants were carefully harvested. Roots were washed, and all visible nodules were detached and counted. Plants were partitioned into roots and shoots. Samples were oven-dried at 70°C for 72 hours to a constant weight to determine root dry weight (RDW), shoot dry weight (SDW), and total dry matter (TDM = RDW + SDW). The root-to-shoot ratio was calculated as RDW/SDW.</w:t>
      </w:r>
    </w:p>
    <w:p w14:paraId="7F45FC9F"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i/>
          <w:iCs/>
          <w:sz w:val="22"/>
          <w:szCs w:val="22"/>
        </w:rPr>
        <w:t>2.5.3 Physiological and Stress Parameters</w:t>
      </w:r>
    </w:p>
    <w:p w14:paraId="3AF9510E" w14:textId="77777777" w:rsidR="00BF29B0" w:rsidRPr="006D0D50" w:rsidRDefault="00BF29B0" w:rsidP="00BF29B0">
      <w:pPr>
        <w:numPr>
          <w:ilvl w:val="0"/>
          <w:numId w:val="2"/>
        </w:numPr>
        <w:jc w:val="both"/>
        <w:rPr>
          <w:rFonts w:ascii="Times New Roman" w:hAnsi="Times New Roman" w:cs="Times New Roman"/>
          <w:sz w:val="22"/>
          <w:szCs w:val="22"/>
        </w:rPr>
      </w:pPr>
      <w:r w:rsidRPr="006D0D50">
        <w:rPr>
          <w:rFonts w:ascii="Times New Roman" w:hAnsi="Times New Roman" w:cs="Times New Roman"/>
          <w:b/>
          <w:bCs/>
          <w:sz w:val="22"/>
          <w:szCs w:val="22"/>
        </w:rPr>
        <w:t>Relative Moisture Content (RMC):</w:t>
      </w:r>
      <w:r w:rsidRPr="006D0D50">
        <w:rPr>
          <w:rFonts w:ascii="Times New Roman" w:hAnsi="Times New Roman" w:cs="Times New Roman"/>
          <w:sz w:val="22"/>
          <w:szCs w:val="22"/>
        </w:rPr>
        <w:t> Leaf discs were collected, and their fresh weight (FW) was recorded. The discs were then floated on distilled water for 24 hours in the dark to obtain the turgid weight (TW), followed by oven-drying to obtain the dry weight (DW). RMC was calculated as: RMC (%) = [(FW - DW) / (TW - DW)] × 100.</w:t>
      </w:r>
    </w:p>
    <w:p w14:paraId="09A75224" w14:textId="77777777" w:rsidR="00BF29B0" w:rsidRPr="006D0D50" w:rsidRDefault="00BF29B0" w:rsidP="00BF29B0">
      <w:pPr>
        <w:numPr>
          <w:ilvl w:val="0"/>
          <w:numId w:val="2"/>
        </w:numPr>
        <w:jc w:val="both"/>
        <w:rPr>
          <w:rFonts w:ascii="Times New Roman" w:hAnsi="Times New Roman" w:cs="Times New Roman"/>
          <w:sz w:val="22"/>
          <w:szCs w:val="22"/>
        </w:rPr>
      </w:pPr>
      <w:r w:rsidRPr="006D0D50">
        <w:rPr>
          <w:rFonts w:ascii="Times New Roman" w:hAnsi="Times New Roman" w:cs="Times New Roman"/>
          <w:b/>
          <w:bCs/>
          <w:sz w:val="22"/>
          <w:szCs w:val="22"/>
        </w:rPr>
        <w:t>Wilting Score:</w:t>
      </w:r>
      <w:r w:rsidRPr="006D0D50">
        <w:rPr>
          <w:rFonts w:ascii="Times New Roman" w:hAnsi="Times New Roman" w:cs="Times New Roman"/>
          <w:sz w:val="22"/>
          <w:szCs w:val="22"/>
        </w:rPr>
        <w:t> Visual symptoms of water stress were assessed on a 1–5 scale just before harvest, where 1 = plant fully turgid, and 5 = plant completely wilted and necrotic.</w:t>
      </w:r>
    </w:p>
    <w:p w14:paraId="7306F090" w14:textId="77777777" w:rsidR="00BF29B0" w:rsidRPr="006D0D50" w:rsidRDefault="00BF29B0" w:rsidP="00BF29B0">
      <w:pPr>
        <w:numPr>
          <w:ilvl w:val="0"/>
          <w:numId w:val="2"/>
        </w:numPr>
        <w:jc w:val="both"/>
        <w:rPr>
          <w:rFonts w:ascii="Times New Roman" w:hAnsi="Times New Roman" w:cs="Times New Roman"/>
          <w:sz w:val="22"/>
          <w:szCs w:val="22"/>
        </w:rPr>
      </w:pPr>
      <w:r w:rsidRPr="006D0D50">
        <w:rPr>
          <w:rFonts w:ascii="Times New Roman" w:hAnsi="Times New Roman" w:cs="Times New Roman"/>
          <w:b/>
          <w:bCs/>
          <w:sz w:val="22"/>
          <w:szCs w:val="22"/>
        </w:rPr>
        <w:t>Leaf Efficiency (LE):</w:t>
      </w:r>
      <w:r w:rsidRPr="006D0D50">
        <w:rPr>
          <w:rFonts w:ascii="Times New Roman" w:hAnsi="Times New Roman" w:cs="Times New Roman"/>
          <w:sz w:val="22"/>
          <w:szCs w:val="22"/>
        </w:rPr>
        <w:t> Calculated as the ratio of total dry matter (g) to the total number of leaves per plant, providing an estimate of the photosynthetic efficiency of the leaf area.</w:t>
      </w:r>
    </w:p>
    <w:p w14:paraId="6C47BB12"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i/>
          <w:iCs/>
          <w:sz w:val="22"/>
          <w:szCs w:val="22"/>
        </w:rPr>
        <w:t>2.6 Data Analysis</w:t>
      </w:r>
    </w:p>
    <w:p w14:paraId="16E09DFF"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Data were subjected to a two-way analysis of variance (ANOVA) using the Jamovi statistical package (version 2.3). Treatment means were separated using Tukey’s Honestly Significant Difference (HSD) test at p &lt; 0.05. To complement null-hypothesis significance testing, effect sizes were calculated as partial eta squared (η²) to quantify the proportion of variance in a dependent variable attributable to a given factor. Effect sizes were interpreted as small (η² ≥ 0.01), medium (η² ≥ 0.06), or large (η² ≥ 0.14) (Cohen, 1988). Pearson correlation coefficients (r) were calculated to assess the relationships among growth and physiological variables.</w:t>
      </w:r>
    </w:p>
    <w:p w14:paraId="7CA10263"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b/>
          <w:bCs/>
          <w:sz w:val="22"/>
          <w:szCs w:val="22"/>
        </w:rPr>
        <w:t>3. Results</w:t>
      </w:r>
    </w:p>
    <w:p w14:paraId="47E59410"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i/>
          <w:iCs/>
          <w:sz w:val="22"/>
          <w:szCs w:val="22"/>
        </w:rPr>
        <w:t>3.1 Treatment Effects on Germination and Early Establishment</w:t>
      </w:r>
    </w:p>
    <w:p w14:paraId="4D6E0CA4" w14:textId="3CC4784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 xml:space="preserve">The analysis of variance revealed significant (p &lt; 0.001) main  </w:t>
      </w:r>
      <w:r w:rsidR="00716064" w:rsidRPr="006D0D50">
        <w:rPr>
          <w:rFonts w:ascii="Times New Roman" w:hAnsi="Times New Roman" w:cs="Times New Roman"/>
          <w:sz w:val="22"/>
          <w:szCs w:val="22"/>
        </w:rPr>
        <w:t>treatment</w:t>
      </w:r>
      <w:r w:rsidR="00716064">
        <w:rPr>
          <w:rFonts w:ascii="Times New Roman" w:hAnsi="Times New Roman" w:cs="Times New Roman"/>
          <w:sz w:val="22"/>
          <w:szCs w:val="22"/>
        </w:rPr>
        <w:t xml:space="preserve"> effects on germination rate, seed vigour index, germination index and mean germination time </w:t>
      </w:r>
      <w:r w:rsidRPr="006D0D50">
        <w:rPr>
          <w:rFonts w:ascii="Times New Roman" w:hAnsi="Times New Roman" w:cs="Times New Roman"/>
          <w:sz w:val="22"/>
          <w:szCs w:val="22"/>
        </w:rPr>
        <w:t xml:space="preserve">(Table 1). The effect size analysis confirmed that the priming treatments had a </w:t>
      </w:r>
      <w:r w:rsidR="008100F2" w:rsidRPr="006D0D50">
        <w:rPr>
          <w:rFonts w:ascii="Times New Roman" w:hAnsi="Times New Roman" w:cs="Times New Roman"/>
          <w:sz w:val="22"/>
          <w:szCs w:val="22"/>
        </w:rPr>
        <w:t xml:space="preserve">large functional </w:t>
      </w:r>
      <w:r w:rsidR="008100F2">
        <w:rPr>
          <w:rFonts w:ascii="Times New Roman" w:hAnsi="Times New Roman" w:cs="Times New Roman"/>
          <w:sz w:val="22"/>
          <w:szCs w:val="22"/>
        </w:rPr>
        <w:t>effect</w:t>
      </w:r>
      <w:r w:rsidRPr="006D0D50">
        <w:rPr>
          <w:rFonts w:ascii="Times New Roman" w:hAnsi="Times New Roman" w:cs="Times New Roman"/>
          <w:sz w:val="22"/>
          <w:szCs w:val="22"/>
        </w:rPr>
        <w:t xml:space="preserve"> on germination rate (η² = 0.44) and seed vigour index (η² = 0.44), while genotype exerted a large effect on all traits except the germination index (Table 1). The significant interaction (GxT) indicates that the response to priming was genotype-specific.</w:t>
      </w:r>
    </w:p>
    <w:p w14:paraId="0DDB6F07" w14:textId="77777777" w:rsidR="00060C6D" w:rsidRPr="006D0D50" w:rsidRDefault="00060C6D" w:rsidP="00BF29B0">
      <w:pPr>
        <w:jc w:val="both"/>
        <w:rPr>
          <w:rFonts w:ascii="Times New Roman" w:hAnsi="Times New Roman" w:cs="Times New Roman"/>
          <w:sz w:val="22"/>
          <w:szCs w:val="22"/>
        </w:rPr>
      </w:pPr>
    </w:p>
    <w:p w14:paraId="2B034CEC" w14:textId="77777777" w:rsidR="00060C6D" w:rsidRPr="006D0D50" w:rsidRDefault="00060C6D" w:rsidP="00BF29B0">
      <w:pPr>
        <w:jc w:val="both"/>
        <w:rPr>
          <w:rFonts w:ascii="Times New Roman" w:hAnsi="Times New Roman" w:cs="Times New Roman"/>
          <w:sz w:val="22"/>
          <w:szCs w:val="22"/>
        </w:rPr>
      </w:pPr>
    </w:p>
    <w:p w14:paraId="0C4A02AA" w14:textId="77777777" w:rsidR="00060C6D" w:rsidRPr="006D0D50" w:rsidRDefault="00060C6D" w:rsidP="00BF29B0">
      <w:pPr>
        <w:jc w:val="both"/>
        <w:rPr>
          <w:rFonts w:ascii="Times New Roman" w:hAnsi="Times New Roman" w:cs="Times New Roman"/>
          <w:sz w:val="22"/>
          <w:szCs w:val="22"/>
        </w:rPr>
      </w:pPr>
    </w:p>
    <w:p w14:paraId="11E7DFD3" w14:textId="6BBFAB03"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b/>
          <w:bCs/>
          <w:sz w:val="22"/>
          <w:szCs w:val="22"/>
        </w:rPr>
        <w:t>Table 1: ANOVA (F-values) and effect sizes (η²) for germination and early growth traits of Bambara groundnut.</w:t>
      </w:r>
    </w:p>
    <w:tbl>
      <w:tblPr>
        <w:tblW w:w="0" w:type="auto"/>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683"/>
        <w:gridCol w:w="1661"/>
        <w:gridCol w:w="1176"/>
        <w:gridCol w:w="1638"/>
        <w:gridCol w:w="1679"/>
        <w:gridCol w:w="1189"/>
      </w:tblGrid>
      <w:tr w:rsidR="00BF29B0" w:rsidRPr="006D0D50" w14:paraId="5CEAB031" w14:textId="77777777" w:rsidTr="008A5D57">
        <w:trPr>
          <w:tblHeader/>
        </w:trPr>
        <w:tc>
          <w:tcPr>
            <w:tcW w:w="1683" w:type="dxa"/>
            <w:tcMar>
              <w:top w:w="150" w:type="dxa"/>
              <w:left w:w="0" w:type="dxa"/>
              <w:bottom w:w="150" w:type="dxa"/>
              <w:right w:w="240" w:type="dxa"/>
            </w:tcMar>
            <w:vAlign w:val="center"/>
            <w:hideMark/>
          </w:tcPr>
          <w:p w14:paraId="078258E1"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lastRenderedPageBreak/>
              <w:t>Source of Variation</w:t>
            </w:r>
          </w:p>
        </w:tc>
        <w:tc>
          <w:tcPr>
            <w:tcW w:w="1661" w:type="dxa"/>
            <w:tcMar>
              <w:top w:w="150" w:type="dxa"/>
              <w:left w:w="240" w:type="dxa"/>
              <w:bottom w:w="150" w:type="dxa"/>
              <w:right w:w="240" w:type="dxa"/>
            </w:tcMar>
            <w:vAlign w:val="center"/>
            <w:hideMark/>
          </w:tcPr>
          <w:p w14:paraId="2E985E32"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Germination Rate (%)</w:t>
            </w:r>
          </w:p>
        </w:tc>
        <w:tc>
          <w:tcPr>
            <w:tcW w:w="0" w:type="auto"/>
            <w:tcMar>
              <w:top w:w="150" w:type="dxa"/>
              <w:left w:w="240" w:type="dxa"/>
              <w:bottom w:w="150" w:type="dxa"/>
              <w:right w:w="240" w:type="dxa"/>
            </w:tcMar>
            <w:vAlign w:val="center"/>
            <w:hideMark/>
          </w:tcPr>
          <w:p w14:paraId="26626F52"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Seed Vigour Index</w:t>
            </w:r>
          </w:p>
        </w:tc>
        <w:tc>
          <w:tcPr>
            <w:tcW w:w="0" w:type="auto"/>
            <w:tcMar>
              <w:top w:w="150" w:type="dxa"/>
              <w:left w:w="240" w:type="dxa"/>
              <w:bottom w:w="150" w:type="dxa"/>
              <w:right w:w="240" w:type="dxa"/>
            </w:tcMar>
            <w:vAlign w:val="center"/>
            <w:hideMark/>
          </w:tcPr>
          <w:p w14:paraId="29555762"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Germination Index</w:t>
            </w:r>
          </w:p>
        </w:tc>
        <w:tc>
          <w:tcPr>
            <w:tcW w:w="0" w:type="auto"/>
            <w:tcMar>
              <w:top w:w="150" w:type="dxa"/>
              <w:left w:w="240" w:type="dxa"/>
              <w:bottom w:w="150" w:type="dxa"/>
              <w:right w:w="240" w:type="dxa"/>
            </w:tcMar>
            <w:vAlign w:val="center"/>
            <w:hideMark/>
          </w:tcPr>
          <w:p w14:paraId="4A062617"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Mean Germination Time</w:t>
            </w:r>
          </w:p>
        </w:tc>
        <w:tc>
          <w:tcPr>
            <w:tcW w:w="0" w:type="auto"/>
            <w:tcMar>
              <w:top w:w="150" w:type="dxa"/>
              <w:left w:w="240" w:type="dxa"/>
              <w:bottom w:w="150" w:type="dxa"/>
              <w:right w:w="240" w:type="dxa"/>
            </w:tcMar>
            <w:vAlign w:val="center"/>
            <w:hideMark/>
          </w:tcPr>
          <w:p w14:paraId="68F011E0"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Shoot Length (cm)</w:t>
            </w:r>
          </w:p>
        </w:tc>
      </w:tr>
      <w:tr w:rsidR="00BF29B0" w:rsidRPr="006D0D50" w14:paraId="1C458A0E" w14:textId="77777777" w:rsidTr="008A5D57">
        <w:tc>
          <w:tcPr>
            <w:tcW w:w="1683" w:type="dxa"/>
            <w:tcMar>
              <w:top w:w="150" w:type="dxa"/>
              <w:left w:w="0" w:type="dxa"/>
              <w:bottom w:w="150" w:type="dxa"/>
              <w:right w:w="240" w:type="dxa"/>
            </w:tcMar>
            <w:vAlign w:val="center"/>
            <w:hideMark/>
          </w:tcPr>
          <w:p w14:paraId="32761E45"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b/>
                <w:bCs/>
                <w:sz w:val="22"/>
                <w:szCs w:val="22"/>
              </w:rPr>
              <w:t>F-Values</w:t>
            </w:r>
          </w:p>
        </w:tc>
        <w:tc>
          <w:tcPr>
            <w:tcW w:w="1661" w:type="dxa"/>
            <w:tcMar>
              <w:top w:w="150" w:type="dxa"/>
              <w:left w:w="240" w:type="dxa"/>
              <w:bottom w:w="150" w:type="dxa"/>
              <w:right w:w="240" w:type="dxa"/>
            </w:tcMar>
            <w:vAlign w:val="center"/>
            <w:hideMark/>
          </w:tcPr>
          <w:p w14:paraId="78740811"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hideMark/>
          </w:tcPr>
          <w:p w14:paraId="16666D90"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hideMark/>
          </w:tcPr>
          <w:p w14:paraId="7285EAAD"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hideMark/>
          </w:tcPr>
          <w:p w14:paraId="1688E5FD"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0" w:type="dxa"/>
            </w:tcMar>
            <w:vAlign w:val="center"/>
            <w:hideMark/>
          </w:tcPr>
          <w:p w14:paraId="1CEBC732" w14:textId="77777777" w:rsidR="00BF29B0" w:rsidRPr="006D0D50" w:rsidRDefault="00BF29B0" w:rsidP="00BF29B0">
            <w:pPr>
              <w:jc w:val="both"/>
              <w:rPr>
                <w:rFonts w:ascii="Times New Roman" w:hAnsi="Times New Roman" w:cs="Times New Roman"/>
                <w:sz w:val="22"/>
                <w:szCs w:val="22"/>
              </w:rPr>
            </w:pPr>
          </w:p>
        </w:tc>
      </w:tr>
      <w:tr w:rsidR="00BF29B0" w:rsidRPr="006D0D50" w14:paraId="2F0FEC19" w14:textId="77777777" w:rsidTr="008A5D57">
        <w:tc>
          <w:tcPr>
            <w:tcW w:w="1683" w:type="dxa"/>
            <w:tcMar>
              <w:top w:w="150" w:type="dxa"/>
              <w:left w:w="0" w:type="dxa"/>
              <w:bottom w:w="150" w:type="dxa"/>
              <w:right w:w="240" w:type="dxa"/>
            </w:tcMar>
            <w:vAlign w:val="center"/>
            <w:hideMark/>
          </w:tcPr>
          <w:p w14:paraId="32CDFA1A"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Treatment (T)</w:t>
            </w:r>
          </w:p>
        </w:tc>
        <w:tc>
          <w:tcPr>
            <w:tcW w:w="1661" w:type="dxa"/>
            <w:tcMar>
              <w:top w:w="150" w:type="dxa"/>
              <w:left w:w="240" w:type="dxa"/>
              <w:bottom w:w="150" w:type="dxa"/>
              <w:right w:w="240" w:type="dxa"/>
            </w:tcMar>
            <w:vAlign w:val="center"/>
            <w:hideMark/>
          </w:tcPr>
          <w:p w14:paraId="23008812"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5.02 ***</w:t>
            </w:r>
          </w:p>
        </w:tc>
        <w:tc>
          <w:tcPr>
            <w:tcW w:w="0" w:type="auto"/>
            <w:tcMar>
              <w:top w:w="150" w:type="dxa"/>
              <w:left w:w="240" w:type="dxa"/>
              <w:bottom w:w="150" w:type="dxa"/>
              <w:right w:w="240" w:type="dxa"/>
            </w:tcMar>
            <w:vAlign w:val="center"/>
            <w:hideMark/>
          </w:tcPr>
          <w:p w14:paraId="6670DF19"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5.07 ***</w:t>
            </w:r>
          </w:p>
        </w:tc>
        <w:tc>
          <w:tcPr>
            <w:tcW w:w="0" w:type="auto"/>
            <w:tcMar>
              <w:top w:w="150" w:type="dxa"/>
              <w:left w:w="240" w:type="dxa"/>
              <w:bottom w:w="150" w:type="dxa"/>
              <w:right w:w="240" w:type="dxa"/>
            </w:tcMar>
            <w:vAlign w:val="center"/>
            <w:hideMark/>
          </w:tcPr>
          <w:p w14:paraId="132BA3A4"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103.7 ***</w:t>
            </w:r>
          </w:p>
        </w:tc>
        <w:tc>
          <w:tcPr>
            <w:tcW w:w="0" w:type="auto"/>
            <w:tcMar>
              <w:top w:w="150" w:type="dxa"/>
              <w:left w:w="240" w:type="dxa"/>
              <w:bottom w:w="150" w:type="dxa"/>
              <w:right w:w="240" w:type="dxa"/>
            </w:tcMar>
            <w:vAlign w:val="center"/>
            <w:hideMark/>
          </w:tcPr>
          <w:p w14:paraId="0C319117"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41.22 ***</w:t>
            </w:r>
          </w:p>
        </w:tc>
        <w:tc>
          <w:tcPr>
            <w:tcW w:w="0" w:type="auto"/>
            <w:tcMar>
              <w:top w:w="150" w:type="dxa"/>
              <w:left w:w="240" w:type="dxa"/>
              <w:bottom w:w="150" w:type="dxa"/>
              <w:right w:w="0" w:type="dxa"/>
            </w:tcMar>
            <w:vAlign w:val="center"/>
            <w:hideMark/>
          </w:tcPr>
          <w:p w14:paraId="6497CFE8"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1.56 ns</w:t>
            </w:r>
          </w:p>
        </w:tc>
      </w:tr>
      <w:tr w:rsidR="00BF29B0" w:rsidRPr="006D0D50" w14:paraId="2C501244" w14:textId="77777777" w:rsidTr="008A5D57">
        <w:tc>
          <w:tcPr>
            <w:tcW w:w="1683" w:type="dxa"/>
            <w:tcMar>
              <w:top w:w="150" w:type="dxa"/>
              <w:left w:w="0" w:type="dxa"/>
              <w:bottom w:w="150" w:type="dxa"/>
              <w:right w:w="240" w:type="dxa"/>
            </w:tcMar>
            <w:vAlign w:val="center"/>
            <w:hideMark/>
          </w:tcPr>
          <w:p w14:paraId="10E13561"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Genotype (G)</w:t>
            </w:r>
          </w:p>
        </w:tc>
        <w:tc>
          <w:tcPr>
            <w:tcW w:w="1661" w:type="dxa"/>
            <w:tcMar>
              <w:top w:w="150" w:type="dxa"/>
              <w:left w:w="240" w:type="dxa"/>
              <w:bottom w:w="150" w:type="dxa"/>
              <w:right w:w="240" w:type="dxa"/>
            </w:tcMar>
            <w:vAlign w:val="center"/>
            <w:hideMark/>
          </w:tcPr>
          <w:p w14:paraId="2AC989DB"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52.05 ***</w:t>
            </w:r>
          </w:p>
        </w:tc>
        <w:tc>
          <w:tcPr>
            <w:tcW w:w="0" w:type="auto"/>
            <w:tcMar>
              <w:top w:w="150" w:type="dxa"/>
              <w:left w:w="240" w:type="dxa"/>
              <w:bottom w:w="150" w:type="dxa"/>
              <w:right w:w="240" w:type="dxa"/>
            </w:tcMar>
            <w:vAlign w:val="center"/>
            <w:hideMark/>
          </w:tcPr>
          <w:p w14:paraId="10BA5234"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58.29 ***</w:t>
            </w:r>
          </w:p>
        </w:tc>
        <w:tc>
          <w:tcPr>
            <w:tcW w:w="0" w:type="auto"/>
            <w:tcMar>
              <w:top w:w="150" w:type="dxa"/>
              <w:left w:w="240" w:type="dxa"/>
              <w:bottom w:w="150" w:type="dxa"/>
              <w:right w:w="240" w:type="dxa"/>
            </w:tcMar>
            <w:vAlign w:val="center"/>
            <w:hideMark/>
          </w:tcPr>
          <w:p w14:paraId="56F05ED8"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645.8 ***</w:t>
            </w:r>
          </w:p>
        </w:tc>
        <w:tc>
          <w:tcPr>
            <w:tcW w:w="0" w:type="auto"/>
            <w:tcMar>
              <w:top w:w="150" w:type="dxa"/>
              <w:left w:w="240" w:type="dxa"/>
              <w:bottom w:w="150" w:type="dxa"/>
              <w:right w:w="240" w:type="dxa"/>
            </w:tcMar>
            <w:vAlign w:val="center"/>
            <w:hideMark/>
          </w:tcPr>
          <w:p w14:paraId="5E736905"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564.8 ***</w:t>
            </w:r>
          </w:p>
        </w:tc>
        <w:tc>
          <w:tcPr>
            <w:tcW w:w="0" w:type="auto"/>
            <w:tcMar>
              <w:top w:w="150" w:type="dxa"/>
              <w:left w:w="240" w:type="dxa"/>
              <w:bottom w:w="150" w:type="dxa"/>
              <w:right w:w="0" w:type="dxa"/>
            </w:tcMar>
            <w:vAlign w:val="center"/>
            <w:hideMark/>
          </w:tcPr>
          <w:p w14:paraId="0C90DBE2"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33.13 ***</w:t>
            </w:r>
          </w:p>
        </w:tc>
      </w:tr>
      <w:tr w:rsidR="00BF29B0" w:rsidRPr="006D0D50" w14:paraId="33DE8162" w14:textId="77777777" w:rsidTr="008A5D57">
        <w:tc>
          <w:tcPr>
            <w:tcW w:w="1683" w:type="dxa"/>
            <w:tcMar>
              <w:top w:w="150" w:type="dxa"/>
              <w:left w:w="0" w:type="dxa"/>
              <w:bottom w:w="150" w:type="dxa"/>
              <w:right w:w="240" w:type="dxa"/>
            </w:tcMar>
            <w:vAlign w:val="center"/>
            <w:hideMark/>
          </w:tcPr>
          <w:p w14:paraId="16D99824"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Interaction (G x T)</w:t>
            </w:r>
          </w:p>
        </w:tc>
        <w:tc>
          <w:tcPr>
            <w:tcW w:w="1661" w:type="dxa"/>
            <w:tcMar>
              <w:top w:w="150" w:type="dxa"/>
              <w:left w:w="240" w:type="dxa"/>
              <w:bottom w:w="150" w:type="dxa"/>
              <w:right w:w="240" w:type="dxa"/>
            </w:tcMar>
            <w:vAlign w:val="center"/>
            <w:hideMark/>
          </w:tcPr>
          <w:p w14:paraId="34AE63F6"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1.73 ns</w:t>
            </w:r>
          </w:p>
        </w:tc>
        <w:tc>
          <w:tcPr>
            <w:tcW w:w="0" w:type="auto"/>
            <w:tcMar>
              <w:top w:w="150" w:type="dxa"/>
              <w:left w:w="240" w:type="dxa"/>
              <w:bottom w:w="150" w:type="dxa"/>
              <w:right w:w="240" w:type="dxa"/>
            </w:tcMar>
            <w:vAlign w:val="center"/>
            <w:hideMark/>
          </w:tcPr>
          <w:p w14:paraId="213DA7C4"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2.14 *</w:t>
            </w:r>
          </w:p>
        </w:tc>
        <w:tc>
          <w:tcPr>
            <w:tcW w:w="0" w:type="auto"/>
            <w:tcMar>
              <w:top w:w="150" w:type="dxa"/>
              <w:left w:w="240" w:type="dxa"/>
              <w:bottom w:w="150" w:type="dxa"/>
              <w:right w:w="240" w:type="dxa"/>
            </w:tcMar>
            <w:vAlign w:val="center"/>
            <w:hideMark/>
          </w:tcPr>
          <w:p w14:paraId="5559C40C"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66.14 ***</w:t>
            </w:r>
          </w:p>
        </w:tc>
        <w:tc>
          <w:tcPr>
            <w:tcW w:w="0" w:type="auto"/>
            <w:tcMar>
              <w:top w:w="150" w:type="dxa"/>
              <w:left w:w="240" w:type="dxa"/>
              <w:bottom w:w="150" w:type="dxa"/>
              <w:right w:w="240" w:type="dxa"/>
            </w:tcMar>
            <w:vAlign w:val="center"/>
            <w:hideMark/>
          </w:tcPr>
          <w:p w14:paraId="6FC2E2E3"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23.3 ***</w:t>
            </w:r>
          </w:p>
        </w:tc>
        <w:tc>
          <w:tcPr>
            <w:tcW w:w="0" w:type="auto"/>
            <w:tcMar>
              <w:top w:w="150" w:type="dxa"/>
              <w:left w:w="240" w:type="dxa"/>
              <w:bottom w:w="150" w:type="dxa"/>
              <w:right w:w="0" w:type="dxa"/>
            </w:tcMar>
            <w:vAlign w:val="center"/>
            <w:hideMark/>
          </w:tcPr>
          <w:p w14:paraId="22871933"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2.44 *</w:t>
            </w:r>
          </w:p>
        </w:tc>
      </w:tr>
      <w:tr w:rsidR="00BF29B0" w:rsidRPr="006D0D50" w14:paraId="2F9B0018" w14:textId="77777777" w:rsidTr="008A5D57">
        <w:tc>
          <w:tcPr>
            <w:tcW w:w="1683" w:type="dxa"/>
            <w:tcMar>
              <w:top w:w="150" w:type="dxa"/>
              <w:left w:w="0" w:type="dxa"/>
              <w:bottom w:w="150" w:type="dxa"/>
              <w:right w:w="240" w:type="dxa"/>
            </w:tcMar>
            <w:vAlign w:val="center"/>
            <w:hideMark/>
          </w:tcPr>
          <w:p w14:paraId="7A166DDB"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b/>
                <w:bCs/>
                <w:sz w:val="22"/>
                <w:szCs w:val="22"/>
              </w:rPr>
              <w:t>Effect Sizes (η²)</w:t>
            </w:r>
          </w:p>
        </w:tc>
        <w:tc>
          <w:tcPr>
            <w:tcW w:w="1661" w:type="dxa"/>
            <w:tcMar>
              <w:top w:w="150" w:type="dxa"/>
              <w:left w:w="240" w:type="dxa"/>
              <w:bottom w:w="150" w:type="dxa"/>
              <w:right w:w="240" w:type="dxa"/>
            </w:tcMar>
            <w:vAlign w:val="center"/>
            <w:hideMark/>
          </w:tcPr>
          <w:p w14:paraId="498161EB"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hideMark/>
          </w:tcPr>
          <w:p w14:paraId="03965BDA"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hideMark/>
          </w:tcPr>
          <w:p w14:paraId="3A4E67C1"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hideMark/>
          </w:tcPr>
          <w:p w14:paraId="6CEF1B5F"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0" w:type="dxa"/>
            </w:tcMar>
            <w:vAlign w:val="center"/>
            <w:hideMark/>
          </w:tcPr>
          <w:p w14:paraId="2BF9F78F" w14:textId="77777777" w:rsidR="00BF29B0" w:rsidRPr="006D0D50" w:rsidRDefault="00BF29B0" w:rsidP="00BF29B0">
            <w:pPr>
              <w:jc w:val="both"/>
              <w:rPr>
                <w:rFonts w:ascii="Times New Roman" w:hAnsi="Times New Roman" w:cs="Times New Roman"/>
                <w:sz w:val="22"/>
                <w:szCs w:val="22"/>
              </w:rPr>
            </w:pPr>
          </w:p>
        </w:tc>
      </w:tr>
      <w:tr w:rsidR="00BF29B0" w:rsidRPr="006D0D50" w14:paraId="484F6CBF" w14:textId="77777777" w:rsidTr="008A5D57">
        <w:tc>
          <w:tcPr>
            <w:tcW w:w="1683" w:type="dxa"/>
            <w:tcMar>
              <w:top w:w="150" w:type="dxa"/>
              <w:left w:w="0" w:type="dxa"/>
              <w:bottom w:w="150" w:type="dxa"/>
              <w:right w:w="240" w:type="dxa"/>
            </w:tcMar>
            <w:vAlign w:val="center"/>
            <w:hideMark/>
          </w:tcPr>
          <w:p w14:paraId="685F55B5"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Treatment (T)</w:t>
            </w:r>
          </w:p>
        </w:tc>
        <w:tc>
          <w:tcPr>
            <w:tcW w:w="1661" w:type="dxa"/>
            <w:tcMar>
              <w:top w:w="150" w:type="dxa"/>
              <w:left w:w="240" w:type="dxa"/>
              <w:bottom w:w="150" w:type="dxa"/>
              <w:right w:w="240" w:type="dxa"/>
            </w:tcMar>
            <w:vAlign w:val="center"/>
            <w:hideMark/>
          </w:tcPr>
          <w:p w14:paraId="2C67FB6A"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b/>
                <w:bCs/>
                <w:sz w:val="22"/>
                <w:szCs w:val="22"/>
              </w:rPr>
              <w:t>0.44</w:t>
            </w:r>
          </w:p>
        </w:tc>
        <w:tc>
          <w:tcPr>
            <w:tcW w:w="0" w:type="auto"/>
            <w:tcMar>
              <w:top w:w="150" w:type="dxa"/>
              <w:left w:w="240" w:type="dxa"/>
              <w:bottom w:w="150" w:type="dxa"/>
              <w:right w:w="240" w:type="dxa"/>
            </w:tcMar>
            <w:vAlign w:val="center"/>
            <w:hideMark/>
          </w:tcPr>
          <w:p w14:paraId="2C24D23F"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b/>
                <w:bCs/>
                <w:sz w:val="22"/>
                <w:szCs w:val="22"/>
              </w:rPr>
              <w:t>0.44</w:t>
            </w:r>
          </w:p>
        </w:tc>
        <w:tc>
          <w:tcPr>
            <w:tcW w:w="0" w:type="auto"/>
            <w:tcMar>
              <w:top w:w="150" w:type="dxa"/>
              <w:left w:w="240" w:type="dxa"/>
              <w:bottom w:w="150" w:type="dxa"/>
              <w:right w:w="240" w:type="dxa"/>
            </w:tcMar>
            <w:vAlign w:val="center"/>
            <w:hideMark/>
          </w:tcPr>
          <w:p w14:paraId="1BA29255"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0.42</w:t>
            </w:r>
          </w:p>
        </w:tc>
        <w:tc>
          <w:tcPr>
            <w:tcW w:w="0" w:type="auto"/>
            <w:tcMar>
              <w:top w:w="150" w:type="dxa"/>
              <w:left w:w="240" w:type="dxa"/>
              <w:bottom w:w="150" w:type="dxa"/>
              <w:right w:w="240" w:type="dxa"/>
            </w:tcMar>
            <w:vAlign w:val="center"/>
            <w:hideMark/>
          </w:tcPr>
          <w:p w14:paraId="46D47961"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0.31</w:t>
            </w:r>
          </w:p>
        </w:tc>
        <w:tc>
          <w:tcPr>
            <w:tcW w:w="0" w:type="auto"/>
            <w:tcMar>
              <w:top w:w="150" w:type="dxa"/>
              <w:left w:w="240" w:type="dxa"/>
              <w:bottom w:w="150" w:type="dxa"/>
              <w:right w:w="0" w:type="dxa"/>
            </w:tcMar>
            <w:vAlign w:val="center"/>
            <w:hideMark/>
          </w:tcPr>
          <w:p w14:paraId="60416869"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0.20</w:t>
            </w:r>
          </w:p>
        </w:tc>
      </w:tr>
      <w:tr w:rsidR="00BF29B0" w:rsidRPr="006D0D50" w14:paraId="6383B8ED" w14:textId="77777777" w:rsidTr="008A5D57">
        <w:tc>
          <w:tcPr>
            <w:tcW w:w="1683" w:type="dxa"/>
            <w:tcMar>
              <w:top w:w="150" w:type="dxa"/>
              <w:left w:w="0" w:type="dxa"/>
              <w:bottom w:w="150" w:type="dxa"/>
              <w:right w:w="240" w:type="dxa"/>
            </w:tcMar>
            <w:vAlign w:val="center"/>
            <w:hideMark/>
          </w:tcPr>
          <w:p w14:paraId="2A0BA4BE"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Genotype (G)</w:t>
            </w:r>
          </w:p>
        </w:tc>
        <w:tc>
          <w:tcPr>
            <w:tcW w:w="1661" w:type="dxa"/>
            <w:tcMar>
              <w:top w:w="150" w:type="dxa"/>
              <w:left w:w="240" w:type="dxa"/>
              <w:bottom w:w="150" w:type="dxa"/>
              <w:right w:w="240" w:type="dxa"/>
            </w:tcMar>
            <w:vAlign w:val="center"/>
            <w:hideMark/>
          </w:tcPr>
          <w:p w14:paraId="1BBBE032"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b/>
                <w:bCs/>
                <w:sz w:val="22"/>
                <w:szCs w:val="22"/>
              </w:rPr>
              <w:t>0.48</w:t>
            </w:r>
          </w:p>
        </w:tc>
        <w:tc>
          <w:tcPr>
            <w:tcW w:w="0" w:type="auto"/>
            <w:tcMar>
              <w:top w:w="150" w:type="dxa"/>
              <w:left w:w="240" w:type="dxa"/>
              <w:bottom w:w="150" w:type="dxa"/>
              <w:right w:w="240" w:type="dxa"/>
            </w:tcMar>
            <w:vAlign w:val="center"/>
            <w:hideMark/>
          </w:tcPr>
          <w:p w14:paraId="1194A978"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b/>
                <w:bCs/>
                <w:sz w:val="22"/>
                <w:szCs w:val="22"/>
              </w:rPr>
              <w:t>0.51</w:t>
            </w:r>
          </w:p>
        </w:tc>
        <w:tc>
          <w:tcPr>
            <w:tcW w:w="0" w:type="auto"/>
            <w:tcMar>
              <w:top w:w="150" w:type="dxa"/>
              <w:left w:w="240" w:type="dxa"/>
              <w:bottom w:w="150" w:type="dxa"/>
              <w:right w:w="240" w:type="dxa"/>
            </w:tcMar>
            <w:vAlign w:val="center"/>
            <w:hideMark/>
          </w:tcPr>
          <w:p w14:paraId="0F362921"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0.28</w:t>
            </w:r>
          </w:p>
        </w:tc>
        <w:tc>
          <w:tcPr>
            <w:tcW w:w="0" w:type="auto"/>
            <w:tcMar>
              <w:top w:w="150" w:type="dxa"/>
              <w:left w:w="240" w:type="dxa"/>
              <w:bottom w:w="150" w:type="dxa"/>
              <w:right w:w="240" w:type="dxa"/>
            </w:tcMar>
            <w:vAlign w:val="center"/>
            <w:hideMark/>
          </w:tcPr>
          <w:p w14:paraId="2BD483DF"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b/>
                <w:bCs/>
                <w:sz w:val="22"/>
                <w:szCs w:val="22"/>
              </w:rPr>
              <w:t>0.47</w:t>
            </w:r>
          </w:p>
        </w:tc>
        <w:tc>
          <w:tcPr>
            <w:tcW w:w="0" w:type="auto"/>
            <w:tcMar>
              <w:top w:w="150" w:type="dxa"/>
              <w:left w:w="240" w:type="dxa"/>
              <w:bottom w:w="150" w:type="dxa"/>
              <w:right w:w="0" w:type="dxa"/>
            </w:tcMar>
            <w:vAlign w:val="center"/>
            <w:hideMark/>
          </w:tcPr>
          <w:p w14:paraId="12D3D449"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0.37</w:t>
            </w:r>
          </w:p>
        </w:tc>
      </w:tr>
      <w:tr w:rsidR="00BF29B0" w:rsidRPr="006D0D50" w14:paraId="2D31B8D6" w14:textId="77777777" w:rsidTr="008A5D57">
        <w:tc>
          <w:tcPr>
            <w:tcW w:w="1683" w:type="dxa"/>
            <w:tcMar>
              <w:top w:w="150" w:type="dxa"/>
              <w:left w:w="0" w:type="dxa"/>
              <w:bottom w:w="150" w:type="dxa"/>
              <w:right w:w="240" w:type="dxa"/>
            </w:tcMar>
            <w:vAlign w:val="center"/>
            <w:hideMark/>
          </w:tcPr>
          <w:p w14:paraId="4F5A5615"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Interaction (G x T)</w:t>
            </w:r>
          </w:p>
        </w:tc>
        <w:tc>
          <w:tcPr>
            <w:tcW w:w="1661" w:type="dxa"/>
            <w:tcMar>
              <w:top w:w="150" w:type="dxa"/>
              <w:left w:w="240" w:type="dxa"/>
              <w:bottom w:w="150" w:type="dxa"/>
              <w:right w:w="240" w:type="dxa"/>
            </w:tcMar>
            <w:vAlign w:val="center"/>
            <w:hideMark/>
          </w:tcPr>
          <w:p w14:paraId="57A53261"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0.22</w:t>
            </w:r>
          </w:p>
        </w:tc>
        <w:tc>
          <w:tcPr>
            <w:tcW w:w="0" w:type="auto"/>
            <w:tcMar>
              <w:top w:w="150" w:type="dxa"/>
              <w:left w:w="240" w:type="dxa"/>
              <w:bottom w:w="150" w:type="dxa"/>
              <w:right w:w="240" w:type="dxa"/>
            </w:tcMar>
            <w:vAlign w:val="center"/>
            <w:hideMark/>
          </w:tcPr>
          <w:p w14:paraId="778A8967"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0.25</w:t>
            </w:r>
          </w:p>
        </w:tc>
        <w:tc>
          <w:tcPr>
            <w:tcW w:w="0" w:type="auto"/>
            <w:tcMar>
              <w:top w:w="150" w:type="dxa"/>
              <w:left w:w="240" w:type="dxa"/>
              <w:bottom w:w="150" w:type="dxa"/>
              <w:right w:w="240" w:type="dxa"/>
            </w:tcMar>
            <w:vAlign w:val="center"/>
            <w:hideMark/>
          </w:tcPr>
          <w:p w14:paraId="18C63047"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0.27</w:t>
            </w:r>
          </w:p>
        </w:tc>
        <w:tc>
          <w:tcPr>
            <w:tcW w:w="0" w:type="auto"/>
            <w:tcMar>
              <w:top w:w="150" w:type="dxa"/>
              <w:left w:w="240" w:type="dxa"/>
              <w:bottom w:w="150" w:type="dxa"/>
              <w:right w:w="240" w:type="dxa"/>
            </w:tcMar>
            <w:vAlign w:val="center"/>
            <w:hideMark/>
          </w:tcPr>
          <w:p w14:paraId="0636D103"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0.17</w:t>
            </w:r>
          </w:p>
        </w:tc>
        <w:tc>
          <w:tcPr>
            <w:tcW w:w="0" w:type="auto"/>
            <w:tcMar>
              <w:top w:w="150" w:type="dxa"/>
              <w:left w:w="240" w:type="dxa"/>
              <w:bottom w:w="150" w:type="dxa"/>
              <w:right w:w="0" w:type="dxa"/>
            </w:tcMar>
            <w:vAlign w:val="center"/>
            <w:hideMark/>
          </w:tcPr>
          <w:p w14:paraId="7FFD22EC"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0.28</w:t>
            </w:r>
          </w:p>
        </w:tc>
      </w:tr>
      <w:tr w:rsidR="00BF29B0" w:rsidRPr="006D0D50" w14:paraId="504FFB8A" w14:textId="77777777" w:rsidTr="008A5D57">
        <w:tc>
          <w:tcPr>
            <w:tcW w:w="1683" w:type="dxa"/>
            <w:tcMar>
              <w:top w:w="150" w:type="dxa"/>
              <w:left w:w="0" w:type="dxa"/>
              <w:bottom w:w="150" w:type="dxa"/>
              <w:right w:w="240" w:type="dxa"/>
            </w:tcMar>
            <w:vAlign w:val="center"/>
            <w:hideMark/>
          </w:tcPr>
          <w:p w14:paraId="678CC261" w14:textId="0ADF5E49" w:rsidR="00BF29B0" w:rsidRPr="006D0D50" w:rsidRDefault="00BF29B0" w:rsidP="00BF29B0">
            <w:pPr>
              <w:jc w:val="both"/>
              <w:rPr>
                <w:rFonts w:ascii="Times New Roman" w:hAnsi="Times New Roman" w:cs="Times New Roman"/>
                <w:sz w:val="22"/>
                <w:szCs w:val="22"/>
              </w:rPr>
            </w:pPr>
          </w:p>
        </w:tc>
        <w:tc>
          <w:tcPr>
            <w:tcW w:w="1661" w:type="dxa"/>
            <w:tcMar>
              <w:top w:w="150" w:type="dxa"/>
              <w:left w:w="240" w:type="dxa"/>
              <w:bottom w:w="150" w:type="dxa"/>
              <w:right w:w="240" w:type="dxa"/>
            </w:tcMar>
            <w:vAlign w:val="center"/>
            <w:hideMark/>
          </w:tcPr>
          <w:p w14:paraId="1E09FEDF"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hideMark/>
          </w:tcPr>
          <w:p w14:paraId="00837F9E"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hideMark/>
          </w:tcPr>
          <w:p w14:paraId="4FC37244"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hideMark/>
          </w:tcPr>
          <w:p w14:paraId="18037871"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0" w:type="dxa"/>
            </w:tcMar>
            <w:vAlign w:val="center"/>
            <w:hideMark/>
          </w:tcPr>
          <w:p w14:paraId="58304EE8" w14:textId="77777777" w:rsidR="00BF29B0" w:rsidRPr="006D0D50" w:rsidRDefault="00BF29B0" w:rsidP="00BF29B0">
            <w:pPr>
              <w:jc w:val="both"/>
              <w:rPr>
                <w:rFonts w:ascii="Times New Roman" w:hAnsi="Times New Roman" w:cs="Times New Roman"/>
                <w:sz w:val="22"/>
                <w:szCs w:val="22"/>
              </w:rPr>
            </w:pPr>
          </w:p>
        </w:tc>
      </w:tr>
    </w:tbl>
    <w:p w14:paraId="0A3A9C5F" w14:textId="76D79FAB" w:rsidR="008A5D57" w:rsidRPr="006D0D50" w:rsidRDefault="008A5D57" w:rsidP="00BF29B0">
      <w:pPr>
        <w:jc w:val="both"/>
        <w:rPr>
          <w:rFonts w:ascii="Times New Roman" w:hAnsi="Times New Roman" w:cs="Times New Roman"/>
          <w:sz w:val="22"/>
          <w:szCs w:val="22"/>
        </w:rPr>
      </w:pPr>
      <w:r w:rsidRPr="006D0D50">
        <w:rPr>
          <w:rFonts w:ascii="Times New Roman" w:hAnsi="Times New Roman" w:cs="Times New Roman"/>
          <w:sz w:val="22"/>
          <w:szCs w:val="22"/>
        </w:rPr>
        <w:t>*** p &lt; 0.001</w:t>
      </w:r>
      <w:r w:rsidR="00364365" w:rsidRPr="006D0D50">
        <w:rPr>
          <w:rFonts w:ascii="Times New Roman" w:hAnsi="Times New Roman" w:cs="Times New Roman"/>
          <w:sz w:val="22"/>
          <w:szCs w:val="22"/>
        </w:rPr>
        <w:t>, *</w:t>
      </w:r>
      <w:r w:rsidRPr="006D0D50">
        <w:rPr>
          <w:rFonts w:ascii="Times New Roman" w:hAnsi="Times New Roman" w:cs="Times New Roman"/>
          <w:sz w:val="22"/>
          <w:szCs w:val="22"/>
        </w:rPr>
        <w:t xml:space="preserve">* p &lt; 0.01, * p &lt; 0.05, ns = not </w:t>
      </w:r>
      <w:r w:rsidR="00364365" w:rsidRPr="006D0D50">
        <w:rPr>
          <w:rFonts w:ascii="Times New Roman" w:hAnsi="Times New Roman" w:cs="Times New Roman"/>
          <w:sz w:val="22"/>
          <w:szCs w:val="22"/>
        </w:rPr>
        <w:t xml:space="preserve">significant. </w:t>
      </w:r>
    </w:p>
    <w:p w14:paraId="2771AE22" w14:textId="22A4C9D0"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 xml:space="preserve">Ginger priming at 10-15% was the most effective treatment for enhancing germination parameters. For genotype ZM 1856, the highest Germination Index (16.8) and fastest Mean Germination Time (5.9 days) were recorded with G15, representing a </w:t>
      </w:r>
      <w:r w:rsidR="008A5D57" w:rsidRPr="006D0D50">
        <w:rPr>
          <w:rFonts w:ascii="Times New Roman" w:hAnsi="Times New Roman" w:cs="Times New Roman"/>
          <w:sz w:val="22"/>
          <w:szCs w:val="22"/>
        </w:rPr>
        <w:t>50%</w:t>
      </w:r>
      <w:r w:rsidRPr="006D0D50">
        <w:rPr>
          <w:rFonts w:ascii="Times New Roman" w:hAnsi="Times New Roman" w:cs="Times New Roman"/>
          <w:sz w:val="22"/>
          <w:szCs w:val="22"/>
        </w:rPr>
        <w:t xml:space="preserve"> improvement</w:t>
      </w:r>
      <w:r w:rsidR="008A5D57" w:rsidRPr="006D0D50">
        <w:rPr>
          <w:rFonts w:ascii="Times New Roman" w:hAnsi="Times New Roman" w:cs="Times New Roman"/>
          <w:sz w:val="22"/>
          <w:szCs w:val="22"/>
        </w:rPr>
        <w:t xml:space="preserve"> and 25% reduction</w:t>
      </w:r>
      <w:r w:rsidRPr="006D0D50">
        <w:rPr>
          <w:rFonts w:ascii="Times New Roman" w:hAnsi="Times New Roman" w:cs="Times New Roman"/>
          <w:sz w:val="22"/>
          <w:szCs w:val="22"/>
        </w:rPr>
        <w:t xml:space="preserve"> over the non-primed </w:t>
      </w:r>
      <w:r w:rsidR="00364365" w:rsidRPr="006D0D50">
        <w:rPr>
          <w:rFonts w:ascii="Times New Roman" w:hAnsi="Times New Roman" w:cs="Times New Roman"/>
          <w:sz w:val="22"/>
          <w:szCs w:val="22"/>
        </w:rPr>
        <w:t>control for</w:t>
      </w:r>
      <w:r w:rsidR="008A5D57" w:rsidRPr="006D0D50">
        <w:rPr>
          <w:rFonts w:ascii="Times New Roman" w:hAnsi="Times New Roman" w:cs="Times New Roman"/>
          <w:sz w:val="22"/>
          <w:szCs w:val="22"/>
        </w:rPr>
        <w:t xml:space="preserve"> ge</w:t>
      </w:r>
      <w:r w:rsidR="00535F35" w:rsidRPr="006D0D50">
        <w:rPr>
          <w:rFonts w:ascii="Times New Roman" w:hAnsi="Times New Roman" w:cs="Times New Roman"/>
          <w:sz w:val="22"/>
          <w:szCs w:val="22"/>
        </w:rPr>
        <w:t xml:space="preserve">rmination index and mean germination time respectively </w:t>
      </w:r>
      <w:r w:rsidRPr="006D0D50">
        <w:rPr>
          <w:rFonts w:ascii="Times New Roman" w:hAnsi="Times New Roman" w:cs="Times New Roman"/>
          <w:sz w:val="22"/>
          <w:szCs w:val="22"/>
        </w:rPr>
        <w:t>(GI: 11.2; MGT: 7.9 days). In contrast, ZM 2656 responded best to G10, achieving its maximum GI (13.5) and lowest MGT (7.1 days). Neem treatments generally did not improve germination kinetics and, at higher concentrations (N4), significantly delayed germination in both genotypes (e.g., ZM 1856 MGT of 8.1 days). The Seed Vigour Index (SVI) mirrored these trends, with ZM 1856 showing a high sensitivity to increasing neem concentrations, while ZM 2656 maintained high vigour even at the highest ginger concentration (G20)</w:t>
      </w:r>
      <w:r w:rsidR="00BD3D6B" w:rsidRPr="006D0D50">
        <w:rPr>
          <w:rFonts w:ascii="Times New Roman" w:hAnsi="Times New Roman" w:cs="Times New Roman"/>
          <w:sz w:val="22"/>
          <w:szCs w:val="22"/>
        </w:rPr>
        <w:t xml:space="preserve"> (Figure 1)</w:t>
      </w:r>
    </w:p>
    <w:p w14:paraId="3C95F993" w14:textId="77777777" w:rsidR="00B50728" w:rsidRPr="006D0D50" w:rsidRDefault="00B50728" w:rsidP="00BF29B0">
      <w:pPr>
        <w:jc w:val="both"/>
        <w:rPr>
          <w:rFonts w:ascii="Times New Roman" w:hAnsi="Times New Roman" w:cs="Times New Roman"/>
          <w:sz w:val="22"/>
          <w:szCs w:val="22"/>
        </w:rPr>
      </w:pPr>
    </w:p>
    <w:p w14:paraId="35DA18E7" w14:textId="77777777" w:rsidR="00B50728" w:rsidRDefault="00B50728" w:rsidP="00BF29B0">
      <w:pPr>
        <w:jc w:val="both"/>
        <w:rPr>
          <w:rFonts w:ascii="Times New Roman" w:hAnsi="Times New Roman" w:cs="Times New Roman"/>
          <w:sz w:val="22"/>
          <w:szCs w:val="22"/>
        </w:rPr>
      </w:pPr>
    </w:p>
    <w:p w14:paraId="461A4C60" w14:textId="77777777" w:rsidR="000A26C0" w:rsidRPr="006D0D50" w:rsidRDefault="000A26C0" w:rsidP="00BF29B0">
      <w:pPr>
        <w:jc w:val="both"/>
        <w:rPr>
          <w:rFonts w:ascii="Times New Roman" w:hAnsi="Times New Roman" w:cs="Times New Roman"/>
          <w:sz w:val="22"/>
          <w:szCs w:val="22"/>
        </w:rPr>
      </w:pPr>
    </w:p>
    <w:p w14:paraId="4F320F64" w14:textId="07071EC1" w:rsidR="00BF29B0" w:rsidRPr="006D0D50" w:rsidRDefault="00BF29B0" w:rsidP="00BF29B0">
      <w:pPr>
        <w:jc w:val="both"/>
        <w:rPr>
          <w:rFonts w:ascii="Times New Roman" w:hAnsi="Times New Roman" w:cs="Times New Roman"/>
          <w:i/>
          <w:iCs/>
          <w:sz w:val="22"/>
          <w:szCs w:val="22"/>
        </w:rPr>
      </w:pPr>
      <w:r w:rsidRPr="006D0D50">
        <w:rPr>
          <w:rFonts w:ascii="Times New Roman" w:hAnsi="Times New Roman" w:cs="Times New Roman"/>
          <w:i/>
          <w:iCs/>
          <w:sz w:val="22"/>
          <w:szCs w:val="22"/>
        </w:rPr>
        <w:t>3.2 Effect on Nodulation and Biomass Partitioning</w:t>
      </w:r>
    </w:p>
    <w:p w14:paraId="6619A7E5" w14:textId="77777777" w:rsidR="00364365" w:rsidRPr="006D0D50" w:rsidRDefault="00364365" w:rsidP="00364365">
      <w:pPr>
        <w:jc w:val="both"/>
        <w:rPr>
          <w:rFonts w:ascii="Times New Roman" w:hAnsi="Times New Roman" w:cs="Times New Roman"/>
          <w:sz w:val="22"/>
          <w:szCs w:val="22"/>
        </w:rPr>
      </w:pPr>
      <w:r w:rsidRPr="006D0D50">
        <w:rPr>
          <w:rFonts w:ascii="Times New Roman" w:hAnsi="Times New Roman" w:cs="Times New Roman"/>
          <w:b/>
          <w:bCs/>
          <w:sz w:val="22"/>
          <w:szCs w:val="22"/>
        </w:rPr>
        <w:lastRenderedPageBreak/>
        <w:t>Table 2: ANOVA (F-values) and effect sizes (η²) for biomass and physiological traits of Bambara groundnut under water stress.</w:t>
      </w:r>
    </w:p>
    <w:p w14:paraId="5AC58204" w14:textId="77777777" w:rsidR="00364365" w:rsidRPr="006D0D50" w:rsidRDefault="00364365" w:rsidP="00BF29B0">
      <w:pPr>
        <w:jc w:val="both"/>
        <w:rPr>
          <w:rFonts w:ascii="Times New Roman" w:hAnsi="Times New Roman" w:cs="Times New Roman"/>
          <w:sz w:val="22"/>
          <w:szCs w:val="22"/>
        </w:rPr>
      </w:pPr>
    </w:p>
    <w:tbl>
      <w:tblPr>
        <w:tblpPr w:leftFromText="180" w:rightFromText="180" w:vertAnchor="text" w:tblpY="-29"/>
        <w:tblW w:w="0" w:type="auto"/>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259"/>
        <w:gridCol w:w="1305"/>
        <w:gridCol w:w="1213"/>
        <w:gridCol w:w="1105"/>
        <w:gridCol w:w="1456"/>
        <w:gridCol w:w="1230"/>
        <w:gridCol w:w="1458"/>
      </w:tblGrid>
      <w:tr w:rsidR="00BF29B0" w:rsidRPr="006D0D50" w14:paraId="0E9FC91F" w14:textId="77777777" w:rsidTr="00BF29B0">
        <w:trPr>
          <w:tblHeader/>
        </w:trPr>
        <w:tc>
          <w:tcPr>
            <w:tcW w:w="0" w:type="auto"/>
            <w:tcMar>
              <w:top w:w="150" w:type="dxa"/>
              <w:left w:w="0" w:type="dxa"/>
              <w:bottom w:w="150" w:type="dxa"/>
              <w:right w:w="240" w:type="dxa"/>
            </w:tcMar>
            <w:vAlign w:val="center"/>
            <w:hideMark/>
          </w:tcPr>
          <w:p w14:paraId="3564860B" w14:textId="77777777" w:rsidR="00BF29B0" w:rsidRPr="009A103A" w:rsidRDefault="00BF29B0" w:rsidP="00BF29B0">
            <w:pPr>
              <w:jc w:val="both"/>
              <w:rPr>
                <w:rFonts w:ascii="Times New Roman" w:hAnsi="Times New Roman" w:cs="Times New Roman"/>
                <w:b/>
                <w:bCs/>
                <w:sz w:val="22"/>
                <w:szCs w:val="22"/>
              </w:rPr>
            </w:pPr>
            <w:r w:rsidRPr="009A103A">
              <w:rPr>
                <w:rFonts w:ascii="Times New Roman" w:hAnsi="Times New Roman" w:cs="Times New Roman"/>
                <w:b/>
                <w:bCs/>
                <w:sz w:val="22"/>
                <w:szCs w:val="22"/>
              </w:rPr>
              <w:t>Source of Variation</w:t>
            </w:r>
          </w:p>
        </w:tc>
        <w:tc>
          <w:tcPr>
            <w:tcW w:w="0" w:type="auto"/>
            <w:tcMar>
              <w:top w:w="150" w:type="dxa"/>
              <w:left w:w="240" w:type="dxa"/>
              <w:bottom w:w="150" w:type="dxa"/>
              <w:right w:w="240" w:type="dxa"/>
            </w:tcMar>
            <w:vAlign w:val="center"/>
            <w:hideMark/>
          </w:tcPr>
          <w:p w14:paraId="6C773148" w14:textId="77777777" w:rsidR="00BF29B0" w:rsidRPr="009A103A" w:rsidRDefault="00BF29B0" w:rsidP="00BF29B0">
            <w:pPr>
              <w:jc w:val="both"/>
              <w:rPr>
                <w:rFonts w:ascii="Times New Roman" w:hAnsi="Times New Roman" w:cs="Times New Roman"/>
                <w:b/>
                <w:bCs/>
                <w:sz w:val="22"/>
                <w:szCs w:val="22"/>
              </w:rPr>
            </w:pPr>
            <w:r w:rsidRPr="009A103A">
              <w:rPr>
                <w:rFonts w:ascii="Times New Roman" w:hAnsi="Times New Roman" w:cs="Times New Roman"/>
                <w:b/>
                <w:bCs/>
                <w:sz w:val="22"/>
                <w:szCs w:val="22"/>
              </w:rPr>
              <w:t>No. Root Nodules</w:t>
            </w:r>
          </w:p>
        </w:tc>
        <w:tc>
          <w:tcPr>
            <w:tcW w:w="0" w:type="auto"/>
            <w:tcMar>
              <w:top w:w="150" w:type="dxa"/>
              <w:left w:w="240" w:type="dxa"/>
              <w:bottom w:w="150" w:type="dxa"/>
              <w:right w:w="240" w:type="dxa"/>
            </w:tcMar>
            <w:vAlign w:val="center"/>
            <w:hideMark/>
          </w:tcPr>
          <w:p w14:paraId="33AA7677" w14:textId="77777777" w:rsidR="00BF29B0" w:rsidRPr="009A103A" w:rsidRDefault="00BF29B0" w:rsidP="00BF29B0">
            <w:pPr>
              <w:jc w:val="both"/>
              <w:rPr>
                <w:rFonts w:ascii="Times New Roman" w:hAnsi="Times New Roman" w:cs="Times New Roman"/>
                <w:b/>
                <w:bCs/>
                <w:sz w:val="22"/>
                <w:szCs w:val="22"/>
              </w:rPr>
            </w:pPr>
            <w:r w:rsidRPr="009A103A">
              <w:rPr>
                <w:rFonts w:ascii="Times New Roman" w:hAnsi="Times New Roman" w:cs="Times New Roman"/>
                <w:b/>
                <w:bCs/>
                <w:sz w:val="22"/>
                <w:szCs w:val="22"/>
              </w:rPr>
              <w:t>Total Dry Matter</w:t>
            </w:r>
          </w:p>
        </w:tc>
        <w:tc>
          <w:tcPr>
            <w:tcW w:w="0" w:type="auto"/>
            <w:tcMar>
              <w:top w:w="150" w:type="dxa"/>
              <w:left w:w="240" w:type="dxa"/>
              <w:bottom w:w="150" w:type="dxa"/>
              <w:right w:w="240" w:type="dxa"/>
            </w:tcMar>
            <w:vAlign w:val="center"/>
            <w:hideMark/>
          </w:tcPr>
          <w:p w14:paraId="2D8F8EDF" w14:textId="722BFE61" w:rsidR="00BF29B0" w:rsidRPr="009A103A" w:rsidRDefault="00060C6D" w:rsidP="00BF29B0">
            <w:pPr>
              <w:jc w:val="both"/>
              <w:rPr>
                <w:rFonts w:ascii="Times New Roman" w:hAnsi="Times New Roman" w:cs="Times New Roman"/>
                <w:b/>
                <w:bCs/>
                <w:sz w:val="22"/>
                <w:szCs w:val="22"/>
              </w:rPr>
            </w:pPr>
            <w:r w:rsidRPr="009A103A">
              <w:rPr>
                <w:rFonts w:ascii="Times New Roman" w:hAnsi="Times New Roman" w:cs="Times New Roman"/>
                <w:b/>
                <w:bCs/>
                <w:sz w:val="22"/>
                <w:szCs w:val="22"/>
              </w:rPr>
              <w:t>Root: Shoot</w:t>
            </w:r>
            <w:r w:rsidR="00BF29B0" w:rsidRPr="009A103A">
              <w:rPr>
                <w:rFonts w:ascii="Times New Roman" w:hAnsi="Times New Roman" w:cs="Times New Roman"/>
                <w:b/>
                <w:bCs/>
                <w:sz w:val="22"/>
                <w:szCs w:val="22"/>
              </w:rPr>
              <w:t xml:space="preserve"> Ratio</w:t>
            </w:r>
          </w:p>
        </w:tc>
        <w:tc>
          <w:tcPr>
            <w:tcW w:w="0" w:type="auto"/>
            <w:tcMar>
              <w:top w:w="150" w:type="dxa"/>
              <w:left w:w="240" w:type="dxa"/>
              <w:bottom w:w="150" w:type="dxa"/>
              <w:right w:w="240" w:type="dxa"/>
            </w:tcMar>
            <w:vAlign w:val="center"/>
            <w:hideMark/>
          </w:tcPr>
          <w:p w14:paraId="7768BA1B" w14:textId="77777777" w:rsidR="00BF29B0" w:rsidRPr="009A103A" w:rsidRDefault="00BF29B0" w:rsidP="00BF29B0">
            <w:pPr>
              <w:jc w:val="both"/>
              <w:rPr>
                <w:rFonts w:ascii="Times New Roman" w:hAnsi="Times New Roman" w:cs="Times New Roman"/>
                <w:b/>
                <w:bCs/>
                <w:sz w:val="22"/>
                <w:szCs w:val="22"/>
              </w:rPr>
            </w:pPr>
            <w:r w:rsidRPr="009A103A">
              <w:rPr>
                <w:rFonts w:ascii="Times New Roman" w:hAnsi="Times New Roman" w:cs="Times New Roman"/>
                <w:b/>
                <w:bCs/>
                <w:sz w:val="22"/>
                <w:szCs w:val="22"/>
              </w:rPr>
              <w:t>Relative Moisture Content</w:t>
            </w:r>
          </w:p>
        </w:tc>
        <w:tc>
          <w:tcPr>
            <w:tcW w:w="0" w:type="auto"/>
            <w:tcMar>
              <w:top w:w="150" w:type="dxa"/>
              <w:left w:w="240" w:type="dxa"/>
              <w:bottom w:w="150" w:type="dxa"/>
              <w:right w:w="240" w:type="dxa"/>
            </w:tcMar>
            <w:vAlign w:val="center"/>
            <w:hideMark/>
          </w:tcPr>
          <w:p w14:paraId="07B88763" w14:textId="77777777" w:rsidR="00BF29B0" w:rsidRPr="009A103A" w:rsidRDefault="00BF29B0" w:rsidP="00BF29B0">
            <w:pPr>
              <w:jc w:val="both"/>
              <w:rPr>
                <w:rFonts w:ascii="Times New Roman" w:hAnsi="Times New Roman" w:cs="Times New Roman"/>
                <w:b/>
                <w:bCs/>
                <w:sz w:val="22"/>
                <w:szCs w:val="22"/>
              </w:rPr>
            </w:pPr>
            <w:r w:rsidRPr="009A103A">
              <w:rPr>
                <w:rFonts w:ascii="Times New Roman" w:hAnsi="Times New Roman" w:cs="Times New Roman"/>
                <w:b/>
                <w:bCs/>
                <w:sz w:val="22"/>
                <w:szCs w:val="22"/>
              </w:rPr>
              <w:t>Wilting Score</w:t>
            </w:r>
          </w:p>
        </w:tc>
        <w:tc>
          <w:tcPr>
            <w:tcW w:w="0" w:type="auto"/>
            <w:tcMar>
              <w:top w:w="150" w:type="dxa"/>
              <w:left w:w="240" w:type="dxa"/>
              <w:bottom w:w="150" w:type="dxa"/>
              <w:right w:w="240" w:type="dxa"/>
            </w:tcMar>
            <w:vAlign w:val="center"/>
            <w:hideMark/>
          </w:tcPr>
          <w:p w14:paraId="4D2E91E4" w14:textId="77777777" w:rsidR="00BF29B0" w:rsidRPr="009A103A" w:rsidRDefault="00BF29B0" w:rsidP="00BF29B0">
            <w:pPr>
              <w:jc w:val="both"/>
              <w:rPr>
                <w:rFonts w:ascii="Times New Roman" w:hAnsi="Times New Roman" w:cs="Times New Roman"/>
                <w:b/>
                <w:bCs/>
                <w:sz w:val="22"/>
                <w:szCs w:val="22"/>
              </w:rPr>
            </w:pPr>
            <w:r w:rsidRPr="009A103A">
              <w:rPr>
                <w:rFonts w:ascii="Times New Roman" w:hAnsi="Times New Roman" w:cs="Times New Roman"/>
                <w:b/>
                <w:bCs/>
                <w:sz w:val="22"/>
                <w:szCs w:val="22"/>
              </w:rPr>
              <w:t>Leaf Efficiency</w:t>
            </w:r>
          </w:p>
        </w:tc>
      </w:tr>
      <w:tr w:rsidR="00BF29B0" w:rsidRPr="006D0D50" w14:paraId="280A970F" w14:textId="77777777" w:rsidTr="00BF29B0">
        <w:tc>
          <w:tcPr>
            <w:tcW w:w="0" w:type="auto"/>
            <w:tcMar>
              <w:top w:w="150" w:type="dxa"/>
              <w:left w:w="0" w:type="dxa"/>
              <w:bottom w:w="150" w:type="dxa"/>
              <w:right w:w="240" w:type="dxa"/>
            </w:tcMar>
            <w:vAlign w:val="center"/>
            <w:hideMark/>
          </w:tcPr>
          <w:p w14:paraId="22F37651"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b/>
                <w:bCs/>
                <w:sz w:val="22"/>
                <w:szCs w:val="22"/>
              </w:rPr>
              <w:t>F-Values</w:t>
            </w:r>
          </w:p>
        </w:tc>
        <w:tc>
          <w:tcPr>
            <w:tcW w:w="0" w:type="auto"/>
            <w:tcMar>
              <w:top w:w="150" w:type="dxa"/>
              <w:left w:w="240" w:type="dxa"/>
              <w:bottom w:w="150" w:type="dxa"/>
              <w:right w:w="240" w:type="dxa"/>
            </w:tcMar>
            <w:vAlign w:val="center"/>
            <w:hideMark/>
          </w:tcPr>
          <w:p w14:paraId="710EC2E9"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hideMark/>
          </w:tcPr>
          <w:p w14:paraId="5E585B68"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hideMark/>
          </w:tcPr>
          <w:p w14:paraId="7EB77ADF"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hideMark/>
          </w:tcPr>
          <w:p w14:paraId="5FF1B1E6"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hideMark/>
          </w:tcPr>
          <w:p w14:paraId="5642AC2E"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0" w:type="dxa"/>
            </w:tcMar>
            <w:vAlign w:val="center"/>
            <w:hideMark/>
          </w:tcPr>
          <w:p w14:paraId="56D44291" w14:textId="77777777" w:rsidR="00BF29B0" w:rsidRPr="006D0D50" w:rsidRDefault="00BF29B0" w:rsidP="00BF29B0">
            <w:pPr>
              <w:jc w:val="both"/>
              <w:rPr>
                <w:rFonts w:ascii="Times New Roman" w:hAnsi="Times New Roman" w:cs="Times New Roman"/>
                <w:sz w:val="22"/>
                <w:szCs w:val="22"/>
              </w:rPr>
            </w:pPr>
          </w:p>
        </w:tc>
      </w:tr>
      <w:tr w:rsidR="00BF29B0" w:rsidRPr="006D0D50" w14:paraId="57C2D47C" w14:textId="77777777" w:rsidTr="00BF29B0">
        <w:tc>
          <w:tcPr>
            <w:tcW w:w="0" w:type="auto"/>
            <w:tcMar>
              <w:top w:w="150" w:type="dxa"/>
              <w:left w:w="0" w:type="dxa"/>
              <w:bottom w:w="150" w:type="dxa"/>
              <w:right w:w="240" w:type="dxa"/>
            </w:tcMar>
            <w:vAlign w:val="center"/>
            <w:hideMark/>
          </w:tcPr>
          <w:p w14:paraId="3951E0E2"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Treatment (T)</w:t>
            </w:r>
          </w:p>
        </w:tc>
        <w:tc>
          <w:tcPr>
            <w:tcW w:w="0" w:type="auto"/>
            <w:tcMar>
              <w:top w:w="150" w:type="dxa"/>
              <w:left w:w="240" w:type="dxa"/>
              <w:bottom w:w="150" w:type="dxa"/>
              <w:right w:w="240" w:type="dxa"/>
            </w:tcMar>
            <w:vAlign w:val="center"/>
            <w:hideMark/>
          </w:tcPr>
          <w:p w14:paraId="152D0E0E"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7.45 ***</w:t>
            </w:r>
          </w:p>
        </w:tc>
        <w:tc>
          <w:tcPr>
            <w:tcW w:w="0" w:type="auto"/>
            <w:tcMar>
              <w:top w:w="150" w:type="dxa"/>
              <w:left w:w="240" w:type="dxa"/>
              <w:bottom w:w="150" w:type="dxa"/>
              <w:right w:w="240" w:type="dxa"/>
            </w:tcMar>
            <w:vAlign w:val="center"/>
            <w:hideMark/>
          </w:tcPr>
          <w:p w14:paraId="7C80DB4A"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3.66 ***</w:t>
            </w:r>
          </w:p>
        </w:tc>
        <w:tc>
          <w:tcPr>
            <w:tcW w:w="0" w:type="auto"/>
            <w:tcMar>
              <w:top w:w="150" w:type="dxa"/>
              <w:left w:w="240" w:type="dxa"/>
              <w:bottom w:w="150" w:type="dxa"/>
              <w:right w:w="240" w:type="dxa"/>
            </w:tcMar>
            <w:vAlign w:val="center"/>
            <w:hideMark/>
          </w:tcPr>
          <w:p w14:paraId="7669AC87"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3.97 ***</w:t>
            </w:r>
          </w:p>
        </w:tc>
        <w:tc>
          <w:tcPr>
            <w:tcW w:w="0" w:type="auto"/>
            <w:tcMar>
              <w:top w:w="150" w:type="dxa"/>
              <w:left w:w="240" w:type="dxa"/>
              <w:bottom w:w="150" w:type="dxa"/>
              <w:right w:w="240" w:type="dxa"/>
            </w:tcMar>
            <w:vAlign w:val="center"/>
            <w:hideMark/>
          </w:tcPr>
          <w:p w14:paraId="4F0CA09E"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66.19 ***</w:t>
            </w:r>
          </w:p>
        </w:tc>
        <w:tc>
          <w:tcPr>
            <w:tcW w:w="0" w:type="auto"/>
            <w:tcMar>
              <w:top w:w="150" w:type="dxa"/>
              <w:left w:w="240" w:type="dxa"/>
              <w:bottom w:w="150" w:type="dxa"/>
              <w:right w:w="240" w:type="dxa"/>
            </w:tcMar>
            <w:vAlign w:val="center"/>
            <w:hideMark/>
          </w:tcPr>
          <w:p w14:paraId="327AA4B1"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3.62 ***</w:t>
            </w:r>
          </w:p>
        </w:tc>
        <w:tc>
          <w:tcPr>
            <w:tcW w:w="0" w:type="auto"/>
            <w:tcMar>
              <w:top w:w="150" w:type="dxa"/>
              <w:left w:w="240" w:type="dxa"/>
              <w:bottom w:w="150" w:type="dxa"/>
              <w:right w:w="0" w:type="dxa"/>
            </w:tcMar>
            <w:vAlign w:val="center"/>
            <w:hideMark/>
          </w:tcPr>
          <w:p w14:paraId="260CE53B"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4.01 ***</w:t>
            </w:r>
          </w:p>
        </w:tc>
      </w:tr>
      <w:tr w:rsidR="00BF29B0" w:rsidRPr="006D0D50" w14:paraId="3016F7A6" w14:textId="77777777" w:rsidTr="00BF29B0">
        <w:tc>
          <w:tcPr>
            <w:tcW w:w="0" w:type="auto"/>
            <w:tcMar>
              <w:top w:w="150" w:type="dxa"/>
              <w:left w:w="0" w:type="dxa"/>
              <w:bottom w:w="150" w:type="dxa"/>
              <w:right w:w="240" w:type="dxa"/>
            </w:tcMar>
            <w:vAlign w:val="center"/>
            <w:hideMark/>
          </w:tcPr>
          <w:p w14:paraId="685E80E5"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Genotype (G)</w:t>
            </w:r>
          </w:p>
        </w:tc>
        <w:tc>
          <w:tcPr>
            <w:tcW w:w="0" w:type="auto"/>
            <w:tcMar>
              <w:top w:w="150" w:type="dxa"/>
              <w:left w:w="240" w:type="dxa"/>
              <w:bottom w:w="150" w:type="dxa"/>
              <w:right w:w="240" w:type="dxa"/>
            </w:tcMar>
            <w:vAlign w:val="center"/>
            <w:hideMark/>
          </w:tcPr>
          <w:p w14:paraId="0C83C7F5"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1.29 ns</w:t>
            </w:r>
          </w:p>
        </w:tc>
        <w:tc>
          <w:tcPr>
            <w:tcW w:w="0" w:type="auto"/>
            <w:tcMar>
              <w:top w:w="150" w:type="dxa"/>
              <w:left w:w="240" w:type="dxa"/>
              <w:bottom w:w="150" w:type="dxa"/>
              <w:right w:w="240" w:type="dxa"/>
            </w:tcMar>
            <w:vAlign w:val="center"/>
            <w:hideMark/>
          </w:tcPr>
          <w:p w14:paraId="369AB1A9"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4.16 *</w:t>
            </w:r>
          </w:p>
        </w:tc>
        <w:tc>
          <w:tcPr>
            <w:tcW w:w="0" w:type="auto"/>
            <w:tcMar>
              <w:top w:w="150" w:type="dxa"/>
              <w:left w:w="240" w:type="dxa"/>
              <w:bottom w:w="150" w:type="dxa"/>
              <w:right w:w="240" w:type="dxa"/>
            </w:tcMar>
            <w:vAlign w:val="center"/>
            <w:hideMark/>
          </w:tcPr>
          <w:p w14:paraId="679E67F3"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4.49 *</w:t>
            </w:r>
          </w:p>
        </w:tc>
        <w:tc>
          <w:tcPr>
            <w:tcW w:w="0" w:type="auto"/>
            <w:tcMar>
              <w:top w:w="150" w:type="dxa"/>
              <w:left w:w="240" w:type="dxa"/>
              <w:bottom w:w="150" w:type="dxa"/>
              <w:right w:w="240" w:type="dxa"/>
            </w:tcMar>
            <w:vAlign w:val="center"/>
            <w:hideMark/>
          </w:tcPr>
          <w:p w14:paraId="4306C106"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291.7 ***</w:t>
            </w:r>
          </w:p>
        </w:tc>
        <w:tc>
          <w:tcPr>
            <w:tcW w:w="0" w:type="auto"/>
            <w:tcMar>
              <w:top w:w="150" w:type="dxa"/>
              <w:left w:w="240" w:type="dxa"/>
              <w:bottom w:w="150" w:type="dxa"/>
              <w:right w:w="240" w:type="dxa"/>
            </w:tcMar>
            <w:vAlign w:val="center"/>
            <w:hideMark/>
          </w:tcPr>
          <w:p w14:paraId="7527E4A9"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17.61 ***</w:t>
            </w:r>
          </w:p>
        </w:tc>
        <w:tc>
          <w:tcPr>
            <w:tcW w:w="0" w:type="auto"/>
            <w:tcMar>
              <w:top w:w="150" w:type="dxa"/>
              <w:left w:w="240" w:type="dxa"/>
              <w:bottom w:w="150" w:type="dxa"/>
              <w:right w:w="0" w:type="dxa"/>
            </w:tcMar>
            <w:vAlign w:val="center"/>
            <w:hideMark/>
          </w:tcPr>
          <w:p w14:paraId="167C0D4D"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22.15 ***</w:t>
            </w:r>
          </w:p>
        </w:tc>
      </w:tr>
      <w:tr w:rsidR="00BF29B0" w:rsidRPr="006D0D50" w14:paraId="759C6A6B" w14:textId="77777777" w:rsidTr="00BF29B0">
        <w:tc>
          <w:tcPr>
            <w:tcW w:w="0" w:type="auto"/>
            <w:tcMar>
              <w:top w:w="150" w:type="dxa"/>
              <w:left w:w="0" w:type="dxa"/>
              <w:bottom w:w="150" w:type="dxa"/>
              <w:right w:w="240" w:type="dxa"/>
            </w:tcMar>
            <w:vAlign w:val="center"/>
            <w:hideMark/>
          </w:tcPr>
          <w:p w14:paraId="7C276960"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Interaction (G x T)</w:t>
            </w:r>
          </w:p>
        </w:tc>
        <w:tc>
          <w:tcPr>
            <w:tcW w:w="0" w:type="auto"/>
            <w:tcMar>
              <w:top w:w="150" w:type="dxa"/>
              <w:left w:w="240" w:type="dxa"/>
              <w:bottom w:w="150" w:type="dxa"/>
              <w:right w:w="240" w:type="dxa"/>
            </w:tcMar>
            <w:vAlign w:val="center"/>
            <w:hideMark/>
          </w:tcPr>
          <w:p w14:paraId="0F02926C"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1.6 ns</w:t>
            </w:r>
          </w:p>
        </w:tc>
        <w:tc>
          <w:tcPr>
            <w:tcW w:w="0" w:type="auto"/>
            <w:tcMar>
              <w:top w:w="150" w:type="dxa"/>
              <w:left w:w="240" w:type="dxa"/>
              <w:bottom w:w="150" w:type="dxa"/>
              <w:right w:w="240" w:type="dxa"/>
            </w:tcMar>
            <w:vAlign w:val="center"/>
            <w:hideMark/>
          </w:tcPr>
          <w:p w14:paraId="70B7E72A"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0.44 ns</w:t>
            </w:r>
          </w:p>
        </w:tc>
        <w:tc>
          <w:tcPr>
            <w:tcW w:w="0" w:type="auto"/>
            <w:tcMar>
              <w:top w:w="150" w:type="dxa"/>
              <w:left w:w="240" w:type="dxa"/>
              <w:bottom w:w="150" w:type="dxa"/>
              <w:right w:w="240" w:type="dxa"/>
            </w:tcMar>
            <w:vAlign w:val="center"/>
            <w:hideMark/>
          </w:tcPr>
          <w:p w14:paraId="5A2C1D5C"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0.41 ns</w:t>
            </w:r>
          </w:p>
        </w:tc>
        <w:tc>
          <w:tcPr>
            <w:tcW w:w="0" w:type="auto"/>
            <w:tcMar>
              <w:top w:w="150" w:type="dxa"/>
              <w:left w:w="240" w:type="dxa"/>
              <w:bottom w:w="150" w:type="dxa"/>
              <w:right w:w="240" w:type="dxa"/>
            </w:tcMar>
            <w:vAlign w:val="center"/>
            <w:hideMark/>
          </w:tcPr>
          <w:p w14:paraId="696F29DC"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56.9 ***</w:t>
            </w:r>
          </w:p>
        </w:tc>
        <w:tc>
          <w:tcPr>
            <w:tcW w:w="0" w:type="auto"/>
            <w:tcMar>
              <w:top w:w="150" w:type="dxa"/>
              <w:left w:w="240" w:type="dxa"/>
              <w:bottom w:w="150" w:type="dxa"/>
              <w:right w:w="240" w:type="dxa"/>
            </w:tcMar>
            <w:vAlign w:val="center"/>
            <w:hideMark/>
          </w:tcPr>
          <w:p w14:paraId="68A5DC26"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1.2 ns</w:t>
            </w:r>
          </w:p>
        </w:tc>
        <w:tc>
          <w:tcPr>
            <w:tcW w:w="0" w:type="auto"/>
            <w:tcMar>
              <w:top w:w="150" w:type="dxa"/>
              <w:left w:w="240" w:type="dxa"/>
              <w:bottom w:w="150" w:type="dxa"/>
              <w:right w:w="0" w:type="dxa"/>
            </w:tcMar>
            <w:vAlign w:val="center"/>
            <w:hideMark/>
          </w:tcPr>
          <w:p w14:paraId="3DFB87FB"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2.89 **</w:t>
            </w:r>
          </w:p>
        </w:tc>
      </w:tr>
      <w:tr w:rsidR="00BF29B0" w:rsidRPr="006D0D50" w14:paraId="6209AF0A" w14:textId="77777777" w:rsidTr="00BF29B0">
        <w:tc>
          <w:tcPr>
            <w:tcW w:w="0" w:type="auto"/>
            <w:tcMar>
              <w:top w:w="150" w:type="dxa"/>
              <w:left w:w="0" w:type="dxa"/>
              <w:bottom w:w="150" w:type="dxa"/>
              <w:right w:w="240" w:type="dxa"/>
            </w:tcMar>
            <w:vAlign w:val="center"/>
            <w:hideMark/>
          </w:tcPr>
          <w:p w14:paraId="0CAB7A98"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b/>
                <w:bCs/>
                <w:sz w:val="22"/>
                <w:szCs w:val="22"/>
              </w:rPr>
              <w:t>Effect Sizes (η²)</w:t>
            </w:r>
          </w:p>
        </w:tc>
        <w:tc>
          <w:tcPr>
            <w:tcW w:w="0" w:type="auto"/>
            <w:tcMar>
              <w:top w:w="150" w:type="dxa"/>
              <w:left w:w="240" w:type="dxa"/>
              <w:bottom w:w="150" w:type="dxa"/>
              <w:right w:w="240" w:type="dxa"/>
            </w:tcMar>
            <w:vAlign w:val="center"/>
            <w:hideMark/>
          </w:tcPr>
          <w:p w14:paraId="298AC61A"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hideMark/>
          </w:tcPr>
          <w:p w14:paraId="4BDEA5B7"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hideMark/>
          </w:tcPr>
          <w:p w14:paraId="37884841"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hideMark/>
          </w:tcPr>
          <w:p w14:paraId="0248B93D"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hideMark/>
          </w:tcPr>
          <w:p w14:paraId="3AF7018C"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0" w:type="dxa"/>
            </w:tcMar>
            <w:vAlign w:val="center"/>
            <w:hideMark/>
          </w:tcPr>
          <w:p w14:paraId="31032E08" w14:textId="77777777" w:rsidR="00BF29B0" w:rsidRPr="006D0D50" w:rsidRDefault="00BF29B0" w:rsidP="00BF29B0">
            <w:pPr>
              <w:jc w:val="both"/>
              <w:rPr>
                <w:rFonts w:ascii="Times New Roman" w:hAnsi="Times New Roman" w:cs="Times New Roman"/>
                <w:sz w:val="22"/>
                <w:szCs w:val="22"/>
              </w:rPr>
            </w:pPr>
          </w:p>
        </w:tc>
      </w:tr>
      <w:tr w:rsidR="00BF29B0" w:rsidRPr="006D0D50" w14:paraId="207651B8" w14:textId="77777777" w:rsidTr="00BF29B0">
        <w:tc>
          <w:tcPr>
            <w:tcW w:w="0" w:type="auto"/>
            <w:tcMar>
              <w:top w:w="150" w:type="dxa"/>
              <w:left w:w="0" w:type="dxa"/>
              <w:bottom w:w="150" w:type="dxa"/>
              <w:right w:w="240" w:type="dxa"/>
            </w:tcMar>
            <w:vAlign w:val="center"/>
            <w:hideMark/>
          </w:tcPr>
          <w:p w14:paraId="288CED13"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Treatment (T)</w:t>
            </w:r>
          </w:p>
        </w:tc>
        <w:tc>
          <w:tcPr>
            <w:tcW w:w="0" w:type="auto"/>
            <w:tcMar>
              <w:top w:w="150" w:type="dxa"/>
              <w:left w:w="240" w:type="dxa"/>
              <w:bottom w:w="150" w:type="dxa"/>
              <w:right w:w="240" w:type="dxa"/>
            </w:tcMar>
            <w:vAlign w:val="center"/>
            <w:hideMark/>
          </w:tcPr>
          <w:p w14:paraId="416FAE98"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b/>
                <w:bCs/>
                <w:sz w:val="22"/>
                <w:szCs w:val="22"/>
              </w:rPr>
              <w:t>0.55</w:t>
            </w:r>
          </w:p>
        </w:tc>
        <w:tc>
          <w:tcPr>
            <w:tcW w:w="0" w:type="auto"/>
            <w:tcMar>
              <w:top w:w="150" w:type="dxa"/>
              <w:left w:w="240" w:type="dxa"/>
              <w:bottom w:w="150" w:type="dxa"/>
              <w:right w:w="240" w:type="dxa"/>
            </w:tcMar>
            <w:vAlign w:val="center"/>
            <w:hideMark/>
          </w:tcPr>
          <w:p w14:paraId="7489DC00"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0.37</w:t>
            </w:r>
          </w:p>
        </w:tc>
        <w:tc>
          <w:tcPr>
            <w:tcW w:w="0" w:type="auto"/>
            <w:tcMar>
              <w:top w:w="150" w:type="dxa"/>
              <w:left w:w="240" w:type="dxa"/>
              <w:bottom w:w="150" w:type="dxa"/>
              <w:right w:w="240" w:type="dxa"/>
            </w:tcMar>
            <w:vAlign w:val="center"/>
            <w:hideMark/>
          </w:tcPr>
          <w:p w14:paraId="67C9E395"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0.39</w:t>
            </w:r>
          </w:p>
        </w:tc>
        <w:tc>
          <w:tcPr>
            <w:tcW w:w="0" w:type="auto"/>
            <w:tcMar>
              <w:top w:w="150" w:type="dxa"/>
              <w:left w:w="240" w:type="dxa"/>
              <w:bottom w:w="150" w:type="dxa"/>
              <w:right w:w="240" w:type="dxa"/>
            </w:tcMar>
            <w:vAlign w:val="center"/>
            <w:hideMark/>
          </w:tcPr>
          <w:p w14:paraId="472CC76F"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0.40</w:t>
            </w:r>
          </w:p>
        </w:tc>
        <w:tc>
          <w:tcPr>
            <w:tcW w:w="0" w:type="auto"/>
            <w:tcMar>
              <w:top w:w="150" w:type="dxa"/>
              <w:left w:w="240" w:type="dxa"/>
              <w:bottom w:w="150" w:type="dxa"/>
              <w:right w:w="240" w:type="dxa"/>
            </w:tcMar>
            <w:vAlign w:val="center"/>
            <w:hideMark/>
          </w:tcPr>
          <w:p w14:paraId="1BEBD447"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0.36</w:t>
            </w:r>
          </w:p>
        </w:tc>
        <w:tc>
          <w:tcPr>
            <w:tcW w:w="0" w:type="auto"/>
            <w:tcMar>
              <w:top w:w="150" w:type="dxa"/>
              <w:left w:w="240" w:type="dxa"/>
              <w:bottom w:w="150" w:type="dxa"/>
              <w:right w:w="0" w:type="dxa"/>
            </w:tcMar>
            <w:vAlign w:val="center"/>
            <w:hideMark/>
          </w:tcPr>
          <w:p w14:paraId="413B714C"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0.42</w:t>
            </w:r>
          </w:p>
        </w:tc>
      </w:tr>
      <w:tr w:rsidR="00BF29B0" w:rsidRPr="006D0D50" w14:paraId="423B3707" w14:textId="77777777" w:rsidTr="00BF29B0">
        <w:tc>
          <w:tcPr>
            <w:tcW w:w="0" w:type="auto"/>
            <w:tcMar>
              <w:top w:w="150" w:type="dxa"/>
              <w:left w:w="0" w:type="dxa"/>
              <w:bottom w:w="150" w:type="dxa"/>
              <w:right w:w="240" w:type="dxa"/>
            </w:tcMar>
            <w:vAlign w:val="center"/>
            <w:hideMark/>
          </w:tcPr>
          <w:p w14:paraId="7629C2E7"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Genotype (G)</w:t>
            </w:r>
          </w:p>
        </w:tc>
        <w:tc>
          <w:tcPr>
            <w:tcW w:w="0" w:type="auto"/>
            <w:tcMar>
              <w:top w:w="150" w:type="dxa"/>
              <w:left w:w="240" w:type="dxa"/>
              <w:bottom w:w="150" w:type="dxa"/>
              <w:right w:w="240" w:type="dxa"/>
            </w:tcMar>
            <w:vAlign w:val="center"/>
            <w:hideMark/>
          </w:tcPr>
          <w:p w14:paraId="3B270790"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0.02</w:t>
            </w:r>
          </w:p>
        </w:tc>
        <w:tc>
          <w:tcPr>
            <w:tcW w:w="0" w:type="auto"/>
            <w:tcMar>
              <w:top w:w="150" w:type="dxa"/>
              <w:left w:w="240" w:type="dxa"/>
              <w:bottom w:w="150" w:type="dxa"/>
              <w:right w:w="240" w:type="dxa"/>
            </w:tcMar>
            <w:vAlign w:val="center"/>
            <w:hideMark/>
          </w:tcPr>
          <w:p w14:paraId="6359EBAA"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0.07</w:t>
            </w:r>
          </w:p>
        </w:tc>
        <w:tc>
          <w:tcPr>
            <w:tcW w:w="0" w:type="auto"/>
            <w:tcMar>
              <w:top w:w="150" w:type="dxa"/>
              <w:left w:w="240" w:type="dxa"/>
              <w:bottom w:w="150" w:type="dxa"/>
              <w:right w:w="240" w:type="dxa"/>
            </w:tcMar>
            <w:vAlign w:val="center"/>
            <w:hideMark/>
          </w:tcPr>
          <w:p w14:paraId="0BB2B61F"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0.07</w:t>
            </w:r>
          </w:p>
        </w:tc>
        <w:tc>
          <w:tcPr>
            <w:tcW w:w="0" w:type="auto"/>
            <w:tcMar>
              <w:top w:w="150" w:type="dxa"/>
              <w:left w:w="240" w:type="dxa"/>
              <w:bottom w:w="150" w:type="dxa"/>
              <w:right w:w="240" w:type="dxa"/>
            </w:tcMar>
            <w:vAlign w:val="center"/>
            <w:hideMark/>
          </w:tcPr>
          <w:p w14:paraId="6201832C"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0.20</w:t>
            </w:r>
          </w:p>
        </w:tc>
        <w:tc>
          <w:tcPr>
            <w:tcW w:w="0" w:type="auto"/>
            <w:tcMar>
              <w:top w:w="150" w:type="dxa"/>
              <w:left w:w="240" w:type="dxa"/>
              <w:bottom w:w="150" w:type="dxa"/>
              <w:right w:w="240" w:type="dxa"/>
            </w:tcMar>
            <w:vAlign w:val="center"/>
            <w:hideMark/>
          </w:tcPr>
          <w:p w14:paraId="6F122CDD"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0.24</w:t>
            </w:r>
          </w:p>
        </w:tc>
        <w:tc>
          <w:tcPr>
            <w:tcW w:w="0" w:type="auto"/>
            <w:tcMar>
              <w:top w:w="150" w:type="dxa"/>
              <w:left w:w="240" w:type="dxa"/>
              <w:bottom w:w="150" w:type="dxa"/>
              <w:right w:w="0" w:type="dxa"/>
            </w:tcMar>
            <w:vAlign w:val="center"/>
            <w:hideMark/>
          </w:tcPr>
          <w:p w14:paraId="274FFA1F"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0.30</w:t>
            </w:r>
          </w:p>
        </w:tc>
      </w:tr>
      <w:tr w:rsidR="00BF29B0" w:rsidRPr="006D0D50" w14:paraId="23F456C8" w14:textId="77777777" w:rsidTr="00BF29B0">
        <w:tc>
          <w:tcPr>
            <w:tcW w:w="0" w:type="auto"/>
            <w:tcMar>
              <w:top w:w="150" w:type="dxa"/>
              <w:left w:w="0" w:type="dxa"/>
              <w:bottom w:w="150" w:type="dxa"/>
              <w:right w:w="240" w:type="dxa"/>
            </w:tcMar>
            <w:vAlign w:val="center"/>
            <w:hideMark/>
          </w:tcPr>
          <w:p w14:paraId="74BAD11F"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Interaction (G x T)</w:t>
            </w:r>
          </w:p>
        </w:tc>
        <w:tc>
          <w:tcPr>
            <w:tcW w:w="0" w:type="auto"/>
            <w:tcMar>
              <w:top w:w="150" w:type="dxa"/>
              <w:left w:w="240" w:type="dxa"/>
              <w:bottom w:w="150" w:type="dxa"/>
              <w:right w:w="240" w:type="dxa"/>
            </w:tcMar>
            <w:vAlign w:val="center"/>
            <w:hideMark/>
          </w:tcPr>
          <w:p w14:paraId="3DF57A56"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0.20</w:t>
            </w:r>
          </w:p>
        </w:tc>
        <w:tc>
          <w:tcPr>
            <w:tcW w:w="0" w:type="auto"/>
            <w:tcMar>
              <w:top w:w="150" w:type="dxa"/>
              <w:left w:w="240" w:type="dxa"/>
              <w:bottom w:w="150" w:type="dxa"/>
              <w:right w:w="240" w:type="dxa"/>
            </w:tcMar>
            <w:vAlign w:val="center"/>
            <w:hideMark/>
          </w:tcPr>
          <w:p w14:paraId="0D631AA0"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0.07</w:t>
            </w:r>
          </w:p>
        </w:tc>
        <w:tc>
          <w:tcPr>
            <w:tcW w:w="0" w:type="auto"/>
            <w:tcMar>
              <w:top w:w="150" w:type="dxa"/>
              <w:left w:w="240" w:type="dxa"/>
              <w:bottom w:w="150" w:type="dxa"/>
              <w:right w:w="240" w:type="dxa"/>
            </w:tcMar>
            <w:vAlign w:val="center"/>
            <w:hideMark/>
          </w:tcPr>
          <w:p w14:paraId="2E011663"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0.14</w:t>
            </w:r>
          </w:p>
        </w:tc>
        <w:tc>
          <w:tcPr>
            <w:tcW w:w="0" w:type="auto"/>
            <w:tcMar>
              <w:top w:w="150" w:type="dxa"/>
              <w:left w:w="240" w:type="dxa"/>
              <w:bottom w:w="150" w:type="dxa"/>
              <w:right w:w="240" w:type="dxa"/>
            </w:tcMar>
            <w:vAlign w:val="center"/>
            <w:hideMark/>
          </w:tcPr>
          <w:p w14:paraId="7AC49885"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0.35</w:t>
            </w:r>
          </w:p>
        </w:tc>
        <w:tc>
          <w:tcPr>
            <w:tcW w:w="0" w:type="auto"/>
            <w:tcMar>
              <w:top w:w="150" w:type="dxa"/>
              <w:left w:w="240" w:type="dxa"/>
              <w:bottom w:w="150" w:type="dxa"/>
              <w:right w:w="240" w:type="dxa"/>
            </w:tcMar>
            <w:vAlign w:val="center"/>
            <w:hideMark/>
          </w:tcPr>
          <w:p w14:paraId="631C2E3C"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0.16</w:t>
            </w:r>
          </w:p>
        </w:tc>
        <w:tc>
          <w:tcPr>
            <w:tcW w:w="0" w:type="auto"/>
            <w:tcMar>
              <w:top w:w="150" w:type="dxa"/>
              <w:left w:w="240" w:type="dxa"/>
              <w:bottom w:w="150" w:type="dxa"/>
              <w:right w:w="0" w:type="dxa"/>
            </w:tcMar>
            <w:vAlign w:val="center"/>
            <w:hideMark/>
          </w:tcPr>
          <w:p w14:paraId="4B26A0D1"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0.34</w:t>
            </w:r>
          </w:p>
        </w:tc>
      </w:tr>
      <w:tr w:rsidR="00BF29B0" w:rsidRPr="006D0D50" w14:paraId="41B05F60" w14:textId="77777777" w:rsidTr="00535F35">
        <w:tc>
          <w:tcPr>
            <w:tcW w:w="0" w:type="auto"/>
            <w:tcMar>
              <w:top w:w="150" w:type="dxa"/>
              <w:left w:w="0" w:type="dxa"/>
              <w:bottom w:w="150" w:type="dxa"/>
              <w:right w:w="240" w:type="dxa"/>
            </w:tcMar>
            <w:vAlign w:val="center"/>
          </w:tcPr>
          <w:p w14:paraId="6FB1FCDD" w14:textId="325A3399"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tcPr>
          <w:p w14:paraId="1A3E8BB2"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tcPr>
          <w:p w14:paraId="6C81E43C"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tcPr>
          <w:p w14:paraId="4E1DB0F5"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tcPr>
          <w:p w14:paraId="641A74DA"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tcPr>
          <w:p w14:paraId="6601C4D5"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0" w:type="dxa"/>
            </w:tcMar>
            <w:vAlign w:val="center"/>
          </w:tcPr>
          <w:p w14:paraId="6CE8FFF6" w14:textId="77777777" w:rsidR="00BF29B0" w:rsidRPr="006D0D50" w:rsidRDefault="00BF29B0" w:rsidP="00BF29B0">
            <w:pPr>
              <w:jc w:val="both"/>
              <w:rPr>
                <w:rFonts w:ascii="Times New Roman" w:hAnsi="Times New Roman" w:cs="Times New Roman"/>
                <w:sz w:val="22"/>
                <w:szCs w:val="22"/>
              </w:rPr>
            </w:pPr>
          </w:p>
        </w:tc>
      </w:tr>
    </w:tbl>
    <w:p w14:paraId="6B76A229" w14:textId="689A41B3" w:rsidR="00535F35" w:rsidRPr="006D0D50" w:rsidRDefault="00535F35" w:rsidP="00BF29B0">
      <w:pPr>
        <w:jc w:val="both"/>
        <w:rPr>
          <w:rFonts w:ascii="Times New Roman" w:hAnsi="Times New Roman" w:cs="Times New Roman"/>
          <w:sz w:val="22"/>
          <w:szCs w:val="22"/>
        </w:rPr>
      </w:pPr>
      <w:r w:rsidRPr="006D0D50">
        <w:rPr>
          <w:rFonts w:ascii="Times New Roman" w:hAnsi="Times New Roman" w:cs="Times New Roman"/>
          <w:sz w:val="22"/>
          <w:szCs w:val="22"/>
        </w:rPr>
        <w:t xml:space="preserve">*** p &lt; 0.001, ** p &lt; 0.01, * p &lt; 0.05, ns = not </w:t>
      </w:r>
      <w:r w:rsidR="009269A2" w:rsidRPr="006D0D50">
        <w:rPr>
          <w:rFonts w:ascii="Times New Roman" w:hAnsi="Times New Roman" w:cs="Times New Roman"/>
          <w:sz w:val="22"/>
          <w:szCs w:val="22"/>
        </w:rPr>
        <w:t xml:space="preserve">significant. </w:t>
      </w:r>
    </w:p>
    <w:p w14:paraId="4E853C47" w14:textId="785083B1"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 xml:space="preserve">The number of root nodules per plant was highly responsive to the priming treatments, with a very large effect size (η² = 0.55; Table 2). Ginger treatments significantly enhanced nodulation in both genotypes. For ZM 1856, G10 resulted in 61.1 nodules per plant, nearly double that of the control (32.0). ZM 2656 achieved its maximum nodule count (62.0) at the highest concentration, G20. Neem treatments also increased nodulation compared to the control in some cases (e.g., N1 in ZM 1856), but this effect was less pronounced and consistent than with </w:t>
      </w:r>
      <w:r w:rsidR="007C2E20" w:rsidRPr="006D0D50">
        <w:rPr>
          <w:rFonts w:ascii="Times New Roman" w:hAnsi="Times New Roman" w:cs="Times New Roman"/>
          <w:sz w:val="22"/>
          <w:szCs w:val="22"/>
        </w:rPr>
        <w:t>ginger. (</w:t>
      </w:r>
      <w:r w:rsidR="00CB6FF9" w:rsidRPr="006D0D50">
        <w:rPr>
          <w:rFonts w:ascii="Times New Roman" w:hAnsi="Times New Roman" w:cs="Times New Roman"/>
          <w:sz w:val="22"/>
          <w:szCs w:val="22"/>
        </w:rPr>
        <w:t>Figure 2)</w:t>
      </w:r>
    </w:p>
    <w:p w14:paraId="40BA20F2" w14:textId="46AEF280"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 xml:space="preserve">Biomass accumulation under stress was significantly enhanced by priming. In ZM 1856, the highest total dry matter (TDM) was achieved with G20 (6.47 g plant⁻¹), a 96% increase over the control (3.30 g plant⁻¹). Similarly, in ZM 2656, G20 produced the greatest TDM (5.45 g plant⁻¹), a 63% increase over </w:t>
      </w:r>
      <w:r w:rsidRPr="006D0D50">
        <w:rPr>
          <w:rFonts w:ascii="Times New Roman" w:hAnsi="Times New Roman" w:cs="Times New Roman"/>
          <w:sz w:val="22"/>
          <w:szCs w:val="22"/>
        </w:rPr>
        <w:lastRenderedPageBreak/>
        <w:t xml:space="preserve">its control (3.34 g plant⁻¹). The root-to-shoot ratio was also influenced by treatment, with primed plants generally allocating more biomass to roots under stress (e.g., ZM 1856 G20 had an R:S of 0.18 compared to 0.10 in the control), although this trend was not uniform across all </w:t>
      </w:r>
      <w:r w:rsidR="00CB6FF9" w:rsidRPr="006D0D50">
        <w:rPr>
          <w:rFonts w:ascii="Times New Roman" w:hAnsi="Times New Roman" w:cs="Times New Roman"/>
          <w:sz w:val="22"/>
          <w:szCs w:val="22"/>
        </w:rPr>
        <w:t>treatments. (</w:t>
      </w:r>
      <w:r w:rsidR="000066C9" w:rsidRPr="006D0D50">
        <w:rPr>
          <w:rFonts w:ascii="Times New Roman" w:hAnsi="Times New Roman" w:cs="Times New Roman"/>
          <w:sz w:val="22"/>
          <w:szCs w:val="22"/>
        </w:rPr>
        <w:t>Figure 4)</w:t>
      </w:r>
    </w:p>
    <w:p w14:paraId="3F8EC0FA"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i/>
          <w:iCs/>
          <w:sz w:val="22"/>
          <w:szCs w:val="22"/>
        </w:rPr>
        <w:t>3.3 Physiological Responses to Stress</w:t>
      </w:r>
    </w:p>
    <w:p w14:paraId="628E0139" w14:textId="46B3F42D"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Relative Moisture Content (RMC) and wilting scores, key indicators of plant water status, were significantly improved by priming. The control plants for both genotypes exhibited the lowest RMC (approx. 45%) and the highest wilting scores (4.5). In ZM 1856, the N3 treatment resulted in the highest RMC (82%) and the lowest wilting score (1.0). For ZM 2656, G10, G20, and N4 were the most effective at maintaining RMC (approx. 68%) and reducing wilting (scores of 2.75)</w:t>
      </w:r>
      <w:r w:rsidR="00CB6FF9" w:rsidRPr="006D0D50">
        <w:rPr>
          <w:rFonts w:ascii="Times New Roman" w:hAnsi="Times New Roman" w:cs="Times New Roman"/>
          <w:sz w:val="22"/>
          <w:szCs w:val="22"/>
        </w:rPr>
        <w:t>. (Figure 3)</w:t>
      </w:r>
    </w:p>
    <w:p w14:paraId="7CD1CFB4" w14:textId="680EB8B3"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Leaf efficiency (LE), a measure of biomass produced per leaf, showed a strong genotype-by-treatment interaction (η² = 0.34). ZM 1856 achieved its highest LE at G20 (0.46 g leaf⁻¹), while ZM 2656's LE peaked under N3 (0.68 g leaf⁻¹), significantly outperforming its control (0.41 g leaf⁻¹). This suggests genotype-specific strategies for utilizing the priming agents to enhance photosynthetic efficiency under stress</w:t>
      </w:r>
      <w:r w:rsidR="00A151A4" w:rsidRPr="006D0D50">
        <w:rPr>
          <w:rFonts w:ascii="Times New Roman" w:hAnsi="Times New Roman" w:cs="Times New Roman"/>
          <w:sz w:val="22"/>
          <w:szCs w:val="22"/>
        </w:rPr>
        <w:t>. (Figure 5)</w:t>
      </w:r>
    </w:p>
    <w:p w14:paraId="181A3117"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i/>
          <w:iCs/>
          <w:sz w:val="22"/>
          <w:szCs w:val="22"/>
        </w:rPr>
        <w:t>3.4 Interrelationships Among Traits</w:t>
      </w:r>
    </w:p>
    <w:p w14:paraId="3FDA0D35" w14:textId="193DF8F1"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 xml:space="preserve">Pearson correlation analysis revealed strong and meaningful relationships among the measured traits (Figure 6). Germination Rate and Seed Vigour Index were very strongly correlated (r = 0.97, p &lt; 0.001), indicating that treatments promoting germination also produced more vigorous seedlings. Total dry matter (TDM) was significantly and positively correlated with both the number of root nodules (r = 0.52, p &lt; 0.001) and leaf efficiency (r = 0.52, p &lt; 0.001), highlighting the importance of symbiotic nitrogen fixation and photosynthetic efficiency in driving biomass production under </w:t>
      </w:r>
      <w:r w:rsidR="007C2E20" w:rsidRPr="006D0D50">
        <w:rPr>
          <w:rFonts w:ascii="Times New Roman" w:hAnsi="Times New Roman" w:cs="Times New Roman"/>
          <w:sz w:val="22"/>
          <w:szCs w:val="22"/>
        </w:rPr>
        <w:t>stress. (</w:t>
      </w:r>
      <w:r w:rsidR="00625E75" w:rsidRPr="006D0D50">
        <w:rPr>
          <w:rFonts w:ascii="Times New Roman" w:hAnsi="Times New Roman" w:cs="Times New Roman"/>
          <w:sz w:val="22"/>
          <w:szCs w:val="22"/>
        </w:rPr>
        <w:t>Figure 6)</w:t>
      </w:r>
    </w:p>
    <w:p w14:paraId="2B397988" w14:textId="26A97DD5"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 xml:space="preserve">A significant negative correlation was observed between TDM and both germination rate (r = -0.44, p &lt; 0.001) and SVI (r = -0.37, p &lt; 0.001). This counterintuitive finding suggests a potential trade-off: treatments that maximized rapid and complete germination did not always lead to the highest final biomass under subsequent prolonged stress. This may reflect resource allocation, where early, vigorous growth depletes seed reserves needed for later stress tolerance, or increased competition among seedlings in high-germination </w:t>
      </w:r>
      <w:r w:rsidR="00A151A4" w:rsidRPr="006D0D50">
        <w:rPr>
          <w:rFonts w:ascii="Times New Roman" w:hAnsi="Times New Roman" w:cs="Times New Roman"/>
          <w:sz w:val="22"/>
          <w:szCs w:val="22"/>
        </w:rPr>
        <w:t>treatments. (</w:t>
      </w:r>
      <w:r w:rsidR="00625E75" w:rsidRPr="006D0D50">
        <w:rPr>
          <w:rFonts w:ascii="Times New Roman" w:hAnsi="Times New Roman" w:cs="Times New Roman"/>
          <w:sz w:val="22"/>
          <w:szCs w:val="22"/>
        </w:rPr>
        <w:t>Figure 6)</w:t>
      </w:r>
      <w:r w:rsidR="00E02E9A" w:rsidRPr="006D0D50">
        <w:rPr>
          <w:rFonts w:ascii="Times New Roman" w:hAnsi="Times New Roman" w:cs="Times New Roman"/>
          <w:sz w:val="22"/>
          <w:szCs w:val="22"/>
        </w:rPr>
        <w:t>.</w:t>
      </w:r>
      <w:r w:rsidR="00E02E9A" w:rsidRPr="006D0D50">
        <w:rPr>
          <w:rFonts w:ascii="Times New Roman" w:hAnsi="Times New Roman" w:cs="Times New Roman"/>
          <w:sz w:val="22"/>
          <w:szCs w:val="22"/>
        </w:rPr>
        <w:fldChar w:fldCharType="begin"/>
      </w:r>
      <w:r w:rsidR="00E02E9A" w:rsidRPr="006D0D50">
        <w:rPr>
          <w:rFonts w:ascii="Times New Roman" w:hAnsi="Times New Roman" w:cs="Times New Roman"/>
          <w:sz w:val="22"/>
          <w:szCs w:val="22"/>
        </w:rPr>
        <w:instrText xml:space="preserve"> ADDIN ZOTERO_ITEM CSL_CITATION {"citationID":"a9nw4Cmm","properties":{"unsorted":false,"formattedCitation":"(Cuares et al. 2024)","plainCitation":"(Cuares et al. 2024)","noteIndex":0},"citationItems":[{"id":69,"uris":["http://zotero.org/users/19449198/items/E9U56VCN"],"itemData":{"id":69,"type":"article-journal","abstract":"Aims: Short-duration crops like pechay (Brassica rapa) require rapid establishment and enhanced early vigor for optimal productivity, making seed quality improvement crucial. Seed priming with plant extracts offers a sustainable alternative to conventional priming methods, but their effectiveness and optimal application parameters still need to be explored. This study evaluated the efficacy of single-application seed priming using Ficus nota water extract, banana water extract, and coconut water on pechay seed performance and subsequent crop development.\r\nPlace and Duration of Study: Surigao del Norte Horticultural Garden (SNSU) on August to October, 2024.\r\nMethodology: The experiment utilized a Completely Randomized Design with four treatments (distilled water, Ficus nota extract, banana water extract, and coconut water) replicated three times, examining germination parameters, vegetative growth characteristics, and final yield metrics under Type II climate conditions.\r\nResults: Results revealed that distilled water and Ficus nota water extract emerged as the most effective priming agents. Distilled water achieved optimal germination timing (28.86 days) and emergence percentage (78.67%), while Ficus nota extract demonstrated comparable effectiveness with the highest survival rate (93.33%). Both treatments produced superior fresh weight yields, being 97.63 g and 86.40 g, respectively and dry matter content, being 37.96% and 35.31%, respectively. Correlation analyses established critical relationships between early development and final crop performance, with perfect positive correlation between germination timing and mortality (r = 1.000) and strong correlations between environmental factors and yield parameters.\r\nConclusion: The study concludes that while distilled water provides a cost-effective priming solution, Ficus nota extract offers promise as a locally-sourced alternative. Environmental factors significantly modulated plant responses to priming treatments, with temperature showing consistent negative correlations with survival (r = -0.488) and yield parameters (r = -0.531). These findings establish a framework for optimizing seed priming protocols in short-duration crop production, particularly emphasizing the need for concentration optimization in plant extract applications and considering environmental interactions for maximizing treatment effectiveness.","container-title":"International Journal of Plant &amp; Soil Science","DOI":"10.9734/ijpss/2024/v36i125196","ISSN":"2320-7035","issue":"12","journalAbbreviation":"Int. J. Plant Soil Sci.","page":"225-237","source":"DOI.org (Crossref)","title":"Comparative Efficacy of Botanical Priming Agents on Germination Kinetics and Post-transplant Performance of Brassica rapa: A Correlation Analysis","title-short":"Comparative Efficacy of Botanical Priming Agents on Germination Kinetics and Post-transplant Performance of Brassica rapa","volume":"36","author":[{"family":"Cuares","given":"Irish"},{"family":"Cordova","given":"Siony"},{"family":"Jr.","given":"Ratunil Virgilio"},{"family":"Feril","given":"Joanna"},{"family":"Bagaipo","given":"Bernadette"}],"issued":{"date-parts":[["2024",12,13]]}}}],"schema":"https://github.com/citation-style-language/schema/raw/master/csl-citation.json"} </w:instrText>
      </w:r>
      <w:r w:rsidR="00E02E9A" w:rsidRPr="006D0D50">
        <w:rPr>
          <w:rFonts w:ascii="Times New Roman" w:hAnsi="Times New Roman" w:cs="Times New Roman"/>
          <w:sz w:val="22"/>
          <w:szCs w:val="22"/>
        </w:rPr>
        <w:fldChar w:fldCharType="separate"/>
      </w:r>
      <w:r w:rsidR="003F212A" w:rsidRPr="006D0D50">
        <w:rPr>
          <w:rFonts w:ascii="Times New Roman" w:hAnsi="Times New Roman" w:cs="Times New Roman"/>
          <w:sz w:val="22"/>
          <w:szCs w:val="22"/>
        </w:rPr>
        <w:t>(Cuares et al. 2024)</w:t>
      </w:r>
      <w:r w:rsidR="00E02E9A" w:rsidRPr="006D0D50">
        <w:rPr>
          <w:rFonts w:ascii="Times New Roman" w:hAnsi="Times New Roman" w:cs="Times New Roman"/>
          <w:sz w:val="22"/>
          <w:szCs w:val="22"/>
        </w:rPr>
        <w:fldChar w:fldCharType="end"/>
      </w:r>
      <w:r w:rsidR="00E02E9A" w:rsidRPr="006D0D50">
        <w:rPr>
          <w:rFonts w:ascii="Times New Roman" w:hAnsi="Times New Roman" w:cs="Times New Roman"/>
          <w:sz w:val="22"/>
          <w:szCs w:val="22"/>
        </w:rPr>
        <w:t xml:space="preserve"> also established significant negative correlations between germination rate and dry matter content per plant.</w:t>
      </w:r>
    </w:p>
    <w:p w14:paraId="05A2A923"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b/>
          <w:bCs/>
          <w:sz w:val="22"/>
          <w:szCs w:val="22"/>
        </w:rPr>
        <w:t>4. Discussion</w:t>
      </w:r>
    </w:p>
    <w:p w14:paraId="4C3F637A" w14:textId="0EF65E61"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 xml:space="preserve">This study demonstrates that seed priming with botanical extracts, particularly ginger, is a highly effective, low-cost intervention for enhancing the drought resilience of </w:t>
      </w:r>
      <w:r w:rsidR="0070390F" w:rsidRPr="006D0D50">
        <w:rPr>
          <w:rFonts w:ascii="Times New Roman" w:hAnsi="Times New Roman" w:cs="Times New Roman"/>
          <w:sz w:val="22"/>
          <w:szCs w:val="22"/>
        </w:rPr>
        <w:t>b</w:t>
      </w:r>
      <w:r w:rsidRPr="006D0D50">
        <w:rPr>
          <w:rFonts w:ascii="Times New Roman" w:hAnsi="Times New Roman" w:cs="Times New Roman"/>
          <w:sz w:val="22"/>
          <w:szCs w:val="22"/>
        </w:rPr>
        <w:t>ambara groundnut. The use of effect size analysis (η²) was instrumental in moving beyond simple statistical significance to quantify the practical, functional impact of the treatments. The large effect sizes observed for traits such as root nodulation (η² = 0.55), germination rate (η² = 0.44), and seedling vigour (η² = 0.44) indicate that the bioactive compounds in the extracts fundamentally altered key physiological processes during seed imbibition and subsequent seedling development. This aligns with the concept of "stress memory," where a priming event preconditions the plant for a more robust response to future stress (Wojtyla et al., 2016; Liu et al., 2022).</w:t>
      </w:r>
    </w:p>
    <w:p w14:paraId="36D82F44" w14:textId="4491B970"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The superior performance of ginger priming, particularly at 10-15%, on germination kinetics and SVI can be attributed to its rich phenolic and gingerol content. These compounds are known to possess strong antioxidant properties, which likely mitigated oxidative damage during the critical phases of imbibition and radicle emergence (Ali et al., 2008; Queslati et al., 2025</w:t>
      </w:r>
      <w:r w:rsidR="00561715" w:rsidRPr="006D0D50">
        <w:rPr>
          <w:rFonts w:ascii="Times New Roman" w:hAnsi="Times New Roman" w:cs="Times New Roman"/>
          <w:sz w:val="22"/>
          <w:szCs w:val="22"/>
        </w:rPr>
        <w:t>,</w:t>
      </w:r>
      <w:r w:rsidRPr="006D0D50">
        <w:rPr>
          <w:rFonts w:ascii="Times New Roman" w:hAnsi="Times New Roman" w:cs="Times New Roman"/>
          <w:sz w:val="22"/>
          <w:szCs w:val="22"/>
        </w:rPr>
        <w:t>). This pre-activation of the cellular defence system would allow for more rapid and uniform mobilization of seed reserves, translating directly into the higher germination rates and vigour indices observed.</w:t>
      </w:r>
    </w:p>
    <w:p w14:paraId="1E9A056B" w14:textId="25665275"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lastRenderedPageBreak/>
        <w:t>The response to neem extracts was more complex and concentration-dependent, consistent with the principle of hormesis (Noguchi et al., 2014</w:t>
      </w:r>
      <w:r w:rsidR="00561715" w:rsidRPr="006D0D50">
        <w:rPr>
          <w:rFonts w:ascii="Times New Roman" w:hAnsi="Times New Roman" w:cs="Times New Roman"/>
          <w:sz w:val="22"/>
          <w:szCs w:val="22"/>
        </w:rPr>
        <w:t>,</w:t>
      </w:r>
      <w:r w:rsidRPr="006D0D50">
        <w:rPr>
          <w:rFonts w:ascii="Times New Roman" w:hAnsi="Times New Roman" w:cs="Times New Roman"/>
          <w:sz w:val="22"/>
          <w:szCs w:val="22"/>
        </w:rPr>
        <w:t>). At lower concentrations (e.g., 1-3%), neem improved nodulation, leaf efficiency, and water status (RMC, wilting) in a genotype-specific manner. This may be due to bioactive limonoids triggering mild stress responses that prime the plant's overall defence and water-conservation pathways (Naz et al., 2022). However, at the highest concentration (4%), the allelopathic potential of these compounds likely began to outweigh any stimulatory benefits, leading to inhibited germination and growth, as seen in ZM 1856.</w:t>
      </w:r>
      <w:r w:rsidR="00B82AF4" w:rsidRPr="006D0D50">
        <w:rPr>
          <w:rFonts w:ascii="Times New Roman" w:hAnsi="Times New Roman" w:cs="Times New Roman"/>
          <w:sz w:val="22"/>
          <w:szCs w:val="22"/>
        </w:rPr>
        <w:t xml:space="preserve"> </w:t>
      </w:r>
      <w:r w:rsidR="00B82AF4" w:rsidRPr="006D0D50">
        <w:rPr>
          <w:rFonts w:ascii="Times New Roman" w:hAnsi="Times New Roman" w:cs="Times New Roman"/>
          <w:sz w:val="22"/>
          <w:szCs w:val="22"/>
        </w:rPr>
        <w:fldChar w:fldCharType="begin"/>
      </w:r>
      <w:r w:rsidR="00B82AF4" w:rsidRPr="006D0D50">
        <w:rPr>
          <w:rFonts w:ascii="Times New Roman" w:hAnsi="Times New Roman" w:cs="Times New Roman"/>
          <w:sz w:val="22"/>
          <w:szCs w:val="22"/>
        </w:rPr>
        <w:instrText xml:space="preserve"> ADDIN ZOTERO_ITEM CSL_CITATION {"citationID":"5PB1sjfb","properties":{"unsorted":false,"formattedCitation":"(Galappaththi, Jayasuriya, and Gama- Arachchige 2021)","plainCitation":"(Galappaththi, Jayasuriya, and Gama- Arachchige 2021)","noteIndex":0},"citationItems":[{"id":67,"uris":["http://zotero.org/users/19449198/items/D4AT4AY8"],"itemData":{"id":67,"type":"article-journal","container-title":"Journal of the National Science Foundation of Sri Lanka","DOI":"10.4038/jnsfsr.v49i4.10336","ISSN":"2362-0161, 1391-4588","issue":"4","journalAbbreviation":"J. Natn. Sci. Foundation Sri Lanka","page":"525","source":"DOI.org (Crossref)","title":"Effect of priming with neem seed extract on seeds of four traditional rice varieties of Sri Lanka; Kaluheenati, Kurulurthuda, Madathawalu and Maa-wee","volume":"49","author":[{"family":"Galappaththi","given":"M.O."},{"family":"Jayasuriya","given":"K.M.G.G."},{"family":"Gama- Arachchige","given":"N.S."}],"issued":{"date-parts":[["2021",12,31]]}}}],"schema":"https://github.com/citation-style-language/schema/raw/master/csl-citation.json"} </w:instrText>
      </w:r>
      <w:r w:rsidR="00B82AF4" w:rsidRPr="006D0D50">
        <w:rPr>
          <w:rFonts w:ascii="Times New Roman" w:hAnsi="Times New Roman" w:cs="Times New Roman"/>
          <w:sz w:val="22"/>
          <w:szCs w:val="22"/>
        </w:rPr>
        <w:fldChar w:fldCharType="separate"/>
      </w:r>
      <w:r w:rsidR="003F212A" w:rsidRPr="006D0D50">
        <w:rPr>
          <w:rFonts w:ascii="Times New Roman" w:hAnsi="Times New Roman" w:cs="Times New Roman"/>
          <w:sz w:val="22"/>
          <w:szCs w:val="22"/>
        </w:rPr>
        <w:t>(Galappaththi</w:t>
      </w:r>
      <w:r w:rsidR="00BF670E" w:rsidRPr="006D0D50">
        <w:rPr>
          <w:rFonts w:ascii="Times New Roman" w:hAnsi="Times New Roman" w:cs="Times New Roman"/>
          <w:sz w:val="22"/>
          <w:szCs w:val="22"/>
        </w:rPr>
        <w:t xml:space="preserve"> et a,</w:t>
      </w:r>
      <w:r w:rsidR="003F212A" w:rsidRPr="006D0D50">
        <w:rPr>
          <w:rFonts w:ascii="Times New Roman" w:hAnsi="Times New Roman" w:cs="Times New Roman"/>
          <w:sz w:val="22"/>
          <w:szCs w:val="22"/>
        </w:rPr>
        <w:t xml:space="preserve"> 2021)</w:t>
      </w:r>
      <w:r w:rsidR="00B82AF4" w:rsidRPr="006D0D50">
        <w:rPr>
          <w:rFonts w:ascii="Times New Roman" w:hAnsi="Times New Roman" w:cs="Times New Roman"/>
          <w:sz w:val="22"/>
          <w:szCs w:val="22"/>
        </w:rPr>
        <w:fldChar w:fldCharType="end"/>
      </w:r>
      <w:r w:rsidR="00B82AF4" w:rsidRPr="006D0D50">
        <w:rPr>
          <w:rFonts w:ascii="Times New Roman" w:hAnsi="Times New Roman" w:cs="Times New Roman"/>
          <w:sz w:val="22"/>
          <w:szCs w:val="22"/>
        </w:rPr>
        <w:t xml:space="preserve"> also established significant positive responses </w:t>
      </w:r>
      <w:r w:rsidR="00BF53DA" w:rsidRPr="006D0D50">
        <w:rPr>
          <w:rFonts w:ascii="Times New Roman" w:hAnsi="Times New Roman" w:cs="Times New Roman"/>
          <w:sz w:val="22"/>
          <w:szCs w:val="22"/>
        </w:rPr>
        <w:t xml:space="preserve">in seed germination and related traits </w:t>
      </w:r>
      <w:r w:rsidR="00B82AF4" w:rsidRPr="006D0D50">
        <w:rPr>
          <w:rFonts w:ascii="Times New Roman" w:hAnsi="Times New Roman" w:cs="Times New Roman"/>
          <w:sz w:val="22"/>
          <w:szCs w:val="22"/>
        </w:rPr>
        <w:t>for rice after seed priming with neem seed extracts</w:t>
      </w:r>
      <w:r w:rsidR="00BF53DA" w:rsidRPr="006D0D50">
        <w:rPr>
          <w:rFonts w:ascii="Times New Roman" w:hAnsi="Times New Roman" w:cs="Times New Roman"/>
          <w:sz w:val="22"/>
          <w:szCs w:val="22"/>
        </w:rPr>
        <w:t>.</w:t>
      </w:r>
    </w:p>
    <w:p w14:paraId="15CE98D0" w14:textId="777D9E44"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 xml:space="preserve">The strong positive correlation between TDM and both nodulation (r = 0.52) and leaf efficiency (r = 0.52) underscores two critical mechanisms for drought resilience. First, enhanced root nodulation, facilitated by ginger priming, improves biological nitrogen fixation, sustaining nitrogen metabolism even when soil water is limiting (Mohale et al., 2014). Second, higher leaf efficiency indicates that primed plants were able to maintain greater photosynthetic capacity per unit leaf area, a key trait for carbon assimilation under stress (Mateva et al., 2022). The negative correlation between TDM and early germination traits, while seemingly paradoxical, highlights a crucial trade-off. It suggests that the most rapid and complete germination may deplete limited seed resources, leaving less energy for the extensive root growth and osmotic adjustment needed to withstand a prolonged, severe drought event later in the seedling stage. </w:t>
      </w:r>
      <w:r w:rsidR="007745BE" w:rsidRPr="006D0D50">
        <w:rPr>
          <w:rFonts w:ascii="Times New Roman" w:hAnsi="Times New Roman" w:cs="Times New Roman"/>
          <w:sz w:val="22"/>
          <w:szCs w:val="22"/>
        </w:rPr>
        <w:t xml:space="preserve">However, this observation is well aligned what </w:t>
      </w:r>
      <w:r w:rsidR="007745BE" w:rsidRPr="006D0D50">
        <w:rPr>
          <w:rFonts w:ascii="Times New Roman" w:hAnsi="Times New Roman" w:cs="Times New Roman"/>
          <w:sz w:val="22"/>
          <w:szCs w:val="22"/>
        </w:rPr>
        <w:fldChar w:fldCharType="begin"/>
      </w:r>
      <w:r w:rsidR="00D57819" w:rsidRPr="006D0D50">
        <w:rPr>
          <w:rFonts w:ascii="Times New Roman" w:hAnsi="Times New Roman" w:cs="Times New Roman"/>
          <w:sz w:val="22"/>
          <w:szCs w:val="22"/>
        </w:rPr>
        <w:instrText xml:space="preserve"> ADDIN ZOTERO_ITEM CSL_CITATION {"citationID":"YtsA5Gfw","properties":{"unsorted":false,"formattedCitation":"(Khairilanwar et al. 2025, 2025; Radwan et al. 2023; Wagan et al. 2025)","plainCitation":"(Khairilanwar et al. 2025, 2025; Radwan et al. 2023; Wagan et al. 2025)","noteIndex":0},"citationItems":[{"id":39,"uris":["http://zotero.org/users/19449198/items/AS65M2CB"],"itemData":{"id":39,"type":"article-journal","abstract":"ABSTRACT: Seed germination is an essential process in agriculture that is vital for the successful growth and development of plants, and it plays a vital role in determining the quality of crops. Nanopriming is a seed treatment method that use nanoparticles characterised by their small dimensions, broad surface area, and increased reactivity to improve the process of germination. Zinc oxide nanoparticles (ZnO-NPs) have great stability and thus can be stored longer than other materials, as they do not aggregate. This study aimed to synthesize ZnO-NPs using banana peel extract and evaluate its effects on pepper seeds. ZnO-NPs with 59.41 nm size were successfully synthesized from banana peel extracts. The XRD patterns indicated that the ZnO-NPs have nanocrystalline structures, providing evidence that the synthesis, capping, and stabilization of the nanoparticles were attributed to the banana peel extract. Then, the chili seeds were primed with different concentrations of ZnO-NPs (10, 50, 100, 200, 500, and 600 ppm). The results indicated the highest germination percentage (97%) and rate (12.26), seedling length (6.35 cm), seedling fresh weight (1.86 g), and seed vigor (616.25) when treated with 50 ppm ZnO-NPs. Meanwhile, as the concentration of ZnO-NPs increased above 50 ppm, a toxic effect was observed with adverse effects on seed germination and seedling growth.\n          , \n            RESUMO: A germinação de sementes é um processo essencial na agricultura, vital para o crescimento e desenvolvimento das plantas, desempenhado um papel vital na determinação de uma colheita bem sucedida. O nano-priming é um método de condicionamento de sementes que usa nanopartículas caracterizadas por suas pequenas dimensões, ampla área de superfície e maior reatividade para melhorar o processo de germinação. As nanopartículas de óxido de zinco (ZnO-NPs) têm grande estabilidade e, portanto, podem ser armazenadas por mais tempo do que outros materiais, pois não se agregam. Este estudo teve como objetivo sintetizar ZnO-NPs usando extrato de casca de banana e avaliar seus efeitos em sementes de pimenta. ZnO-NPs com tamanho de 59,41 nm foram sintetizados com sucesso a partir de extratos de casca de banana. Os padrões de XRD indicaram que os ZnO-NPs têm estruturas nanocristalinas, fornecendo evidências de que a síntese, cobertura e estabilização das nanopartículas foram atribuídas ao extrato de casca de banana. Em seguida, sementes de pimenta foram preparadas com diferentes concentrações de ZnO-NPs (10, 50, 100, 200, 500 e 600 ppm). Os resultados indicaram a maior porcentagem de germinação (97%) e taxa (12,26), comprimento da plântula (6,35 cm), peso fresco da plântula (1,86 g) e vigor das sementes (616,25) quando tratada com 50 ppm de ZnO-NPs. Por outro lado, conforme a concentração de ZnO-NPs aumentou acima de 50 ppm, efeitos tóxicos foram observados na germinação das sementes e no crescimento das plântulas de pimenta.","container-title":"Journal of Seed Science","DOI":"10.1590/2317-1545v47290750","ISSN":"2317-1545, 2317-1537","journalAbbreviation":"J. Seed Sci.","license":"http://creativecommons.org/licenses/by/4.0/","page":"e202547006","source":"DOI.org (Crossref)","title":"Eco-friendly nanopriming: Zinc oxide nanoparticles derived from banana peel extract for improved germination of chili seeds","title-short":"Eco-friendly nanopriming","volume":"47","author":[{"family":"Khairilanwar","given":"Khairil Ammar"},{"family":"Yi","given":"Sia Jing"},{"family":"Bakri","given":"Muhammad Danial Izzat"},{"family":"Nawi","given":"Iffah Hazirah Mohd"},{"family":"Azmi","given":"Alyza Azzura Abd Rahman"},{"family":"Aik","given":"Chua Kim"}],"issued":{"date-parts":[["2025"]]}}},{"id":39,"uris":["http://zotero.org/users/19449198/items/AS65M2CB"],"itemData":{"id":39,"type":"article-journal","abstract":"ABSTRACT: Seed germination is an essential process in agriculture that is vital for the successful growth and development of plants, and it plays a vital role in determining the quality of crops. Nanopriming is a seed treatment method that use nanoparticles characterised by their small dimensions, broad surface area, and increased reactivity to improve the process of germination. Zinc oxide nanoparticles (ZnO-NPs) have great stability and thus can be stored longer than other materials, as they do not aggregate. This study aimed to synthesize ZnO-NPs using banana peel extract and evaluate its effects on pepper seeds. ZnO-NPs with 59.41 nm size were successfully synthesized from banana peel extracts. The XRD patterns indicated that the ZnO-NPs have nanocrystalline structures, providing evidence that the synthesis, capping, and stabilization of the nanoparticles were attributed to the banana peel extract. Then, the chili seeds were primed with different concentrations of ZnO-NPs (10, 50, 100, 200, 500, and 600 ppm). The results indicated the highest germination percentage (97%) and rate (12.26), seedling length (6.35 cm), seedling fresh weight (1.86 g), and seed vigor (616.25) when treated with 50 ppm ZnO-NPs. Meanwhile, as the concentration of ZnO-NPs increased above 50 ppm, a toxic effect was observed with adverse effects on seed germination and seedling growth.\n          , \n            RESUMO: A germinação de sementes é um processo essencial na agricultura, vital para o crescimento e desenvolvimento das plantas, desempenhado um papel vital na determinação de uma colheita bem sucedida. O nano-priming é um método de condicionamento de sementes que usa nanopartículas caracterizadas por suas pequenas dimensões, ampla área de superfície e maior reatividade para melhorar o processo de germinação. As nanopartículas de óxido de zinco (ZnO-NPs) têm grande estabilidade e, portanto, podem ser armazenadas por mais tempo do que outros materiais, pois não se agregam. Este estudo teve como objetivo sintetizar ZnO-NPs usando extrato de casca de banana e avaliar seus efeitos em sementes de pimenta. ZnO-NPs com tamanho de 59,41 nm foram sintetizados com sucesso a partir de extratos de casca de banana. Os padrões de XRD indicaram que os ZnO-NPs têm estruturas nanocristalinas, fornecendo evidências de que a síntese, cobertura e estabilização das nanopartículas foram atribuídas ao extrato de casca de banana. Em seguida, sementes de pimenta foram preparadas com diferentes concentrações de ZnO-NPs (10, 50, 100, 200, 500 e 600 ppm). Os resultados indicaram a maior porcentagem de germinação (97%) e taxa (12,26), comprimento da plântula (6,35 cm), peso fresco da plântula (1,86 g) e vigor das sementes (616,25) quando tratada com 50 ppm de ZnO-NPs. Por outro lado, conforme a concentração de ZnO-NPs aumentou acima de 50 ppm, efeitos tóxicos foram observados na germinação das sementes e no crescimento das plântulas de pimenta.","container-title":"Journal of Seed Science","DOI":"10.1590/2317-1545v47290750","ISSN":"2317-1545, 2317-1537","journalAbbreviation":"J. Seed Sci.","license":"http://creativecommons.org/licenses/by/4.0/","page":"e202547006","source":"DOI.org (Crossref)","title":"Eco-friendly nanopriming: Zinc oxide nanoparticles derived from banana peel extract for improved germination of chili seeds","title-short":"Eco-friendly nanopriming","volume":"47","author":[{"family":"Khairilanwar","given":"Khairil Ammar"},{"family":"Yi","given":"Sia Jing"},{"family":"Bakri","given":"Muhammad Danial Izzat"},{"family":"Nawi","given":"Iffah Hazirah Mohd"},{"family":"Azmi","given":"Alyza Azzura Abd Rahman"},{"family":"Aik","given":"Chua Kim"}],"issued":{"date-parts":[["2025"]]}}},{"id":31,"uris":["http://zotero.org/users/19449198/items/7WQ6YCDH"],"itemData":{"id":31,"type":"article-journal","abstract":"Abstract\n            \n              Citrullus lanatus\n              var. Colocynthoide “Gurum” is an unconventional crop that can be utilized as a new source of edible oil and has the ability to grow in a variety of harsh conditions. To mitigate the adverse effects of salinity on seed germination and plant performance of\n              C. lanatus\n              , seeds were primed in the aqueous extracts of the seaweed\n              Ulva lactuca\n              before planting under greenhouse conditions. The aqueous extract of\n              U. lactuca\n              at 8% w/v led to maximal seed germination percentage and seedling growth of\n              C. lanatus\n              . Moreover,\n              U. lactuca\n              extract counteracted the negative effects of salt stress on the plant by significantly increasing the activity of SOD, CAT, and POD. The bioactive components of\n              U. lactuca,\n              e.g\n              .\n              glycine betaine and phenolic compounds can account for such beneficial role of algal extract on\n              C. lanatus\n              . Thus, priming of\n              C. lanatus\n              seeds in\n              U. lactuca\n              extract with various concentrations of\n              U. lactuca\n              extract can be employed as an effective practice for successful seed germination, improved plant growth and enhanced salt resistance, probably as a result of increased antioxidant enzymes activity and photosynthetic pigments.","container-title":"Scientific Reports","DOI":"10.1038/s41598-023-38711-8","ISSN":"2045-2322","issue":"1","journalAbbreviation":"Sci Rep","language":"en","page":"11884","source":"DOI.org (Crossref)","title":"Priming of Citrullus lanatus var. Colocynthoides seeds in seaweed extract improved seed germination, plant growth and performance under salinity conditions","volume":"13","author":[{"family":"Radwan","given":"Asmaa M."},{"family":"Ahmed","given":"Entesar A."},{"family":"Donia","given":"Abdelraheim M."},{"family":"Mustafa","given":"Abeer E."},{"family":"Balah","given":"Mohamed A."}],"issued":{"date-parts":[["2023",7,23]]}}},{"id":37,"uris":["http://zotero.org/users/19449198/items/CH9CREGN"],"itemData":{"id":37,"type":"article-journal","abstract":"Peas (Pisum sativum) are an important legume crop known for their high nutritional value and role in crop rotation systems. Despite their numerous benefits, pea seed germination and early seedling growth can be influenced by various environmental factors, often leading to reduced crop yield. To address this, seed priming has emerged as a technique to improve germination and seedling vigor. This study, conducted in 2024, aimed to evaluate the impact of priming with various concentrations of Moringa Leaf Extract (MLE) on germination and seedling characteristics of peas.The experiment was performed following a Completely Randomized Design (CRD), with three replications. The treatments included a control (no priming) and six different concentrations of MLE (1%, 3%, 5%, 7%, and 9%). Key parameters assessed included germination percentage, germination index, seedling vigor index, seedling height, root length, biomass of roots and shoots, and chlorophyll content. The results indicated that priming with 3% MLE significantly enhanced the germination rate (100%) and seedling vigor index (1513.3), outperforming all other treatments. The 3% MLE treatment also maximized seedling height (15.133 cm) and root length (6.5 cm). Furthermore, this treatment yielded the highest biomass for both roots (0.8667 g) and shoots (1.3233 g), as well as the highest chlorophyll content (64.867). At 35 days after sowing, the 7% MLE treatment produced the highest number of leaves, branches, and root length, while the 5% MLE treatment resulted in the highest shoot biomass. Overall, the study suggests that priming with MLE can be an effective technique for improving germination, growth, and biomass production in pea seeds, with the optimal concentration varying depending on the specific growth parameter being measured.","container-title":"Journal of Horticulture and Agricultural Sciences","DOI":"10.63459/jhas.2025.1.14","ISSN":"3079-3955, 3079-3947","issue":"1","journalAbbreviation":"JHAS","license":"https://creativecommons.org/licenses/by/4.0","page":"75-82","source":"DOI.org (Crossref)","title":"Priming with Moringa Leaf Extract Enhances the Germination and Early Growth of Peas ( Pisum sativum )","volume":"2","author":[{"family":"Wagan","given":"Maqsood Ali"},{"literal":"Maria Abro"},{"family":"Wagan","given":"Ghulam Hussain"},{"family":"Baloch","given":"Muhammad Nawaz"},{"family":"Wahocho","given":"Safdar Ali"},{"literal":"Muzafarddin Chachar"},{"literal":"Faiza Mandan"},{"literal":"Saeed Ahmed"},{"family":"Wagan","given":"Farhan Ali"}],"issued":{"date-parts":[["2025",6,27]]}}}],"schema":"https://github.com/citation-style-language/schema/raw/master/csl-citation.json"} </w:instrText>
      </w:r>
      <w:r w:rsidR="007745BE" w:rsidRPr="006D0D50">
        <w:rPr>
          <w:rFonts w:ascii="Times New Roman" w:hAnsi="Times New Roman" w:cs="Times New Roman"/>
          <w:sz w:val="22"/>
          <w:szCs w:val="22"/>
        </w:rPr>
        <w:fldChar w:fldCharType="separate"/>
      </w:r>
      <w:r w:rsidR="00D57819" w:rsidRPr="006D0D50">
        <w:rPr>
          <w:rFonts w:ascii="Times New Roman" w:hAnsi="Times New Roman" w:cs="Times New Roman"/>
          <w:sz w:val="22"/>
          <w:szCs w:val="22"/>
        </w:rPr>
        <w:t>(Khairilanwar et al. 2025, 2025; Radwan et al. 2023; Wagan et al. 2025)</w:t>
      </w:r>
      <w:r w:rsidR="007745BE" w:rsidRPr="006D0D50">
        <w:rPr>
          <w:rFonts w:ascii="Times New Roman" w:hAnsi="Times New Roman" w:cs="Times New Roman"/>
          <w:sz w:val="22"/>
          <w:szCs w:val="22"/>
        </w:rPr>
        <w:fldChar w:fldCharType="end"/>
      </w:r>
      <w:r w:rsidR="007745BE" w:rsidRPr="006D0D50">
        <w:rPr>
          <w:rFonts w:ascii="Times New Roman" w:hAnsi="Times New Roman" w:cs="Times New Roman"/>
          <w:sz w:val="22"/>
          <w:szCs w:val="22"/>
        </w:rPr>
        <w:t xml:space="preserve"> established in a s</w:t>
      </w:r>
      <w:r w:rsidR="008B3C40" w:rsidRPr="006D0D50">
        <w:rPr>
          <w:rFonts w:ascii="Times New Roman" w:hAnsi="Times New Roman" w:cs="Times New Roman"/>
          <w:sz w:val="22"/>
          <w:szCs w:val="22"/>
        </w:rPr>
        <w:t>tudies</w:t>
      </w:r>
      <w:r w:rsidR="007745BE" w:rsidRPr="006D0D50">
        <w:rPr>
          <w:rFonts w:ascii="Times New Roman" w:hAnsi="Times New Roman" w:cs="Times New Roman"/>
          <w:sz w:val="22"/>
          <w:szCs w:val="22"/>
        </w:rPr>
        <w:t xml:space="preserve"> on effects of botanica extracts on germination and germination kinetics. </w:t>
      </w:r>
      <w:r w:rsidRPr="006D0D50">
        <w:rPr>
          <w:rFonts w:ascii="Times New Roman" w:hAnsi="Times New Roman" w:cs="Times New Roman"/>
          <w:sz w:val="22"/>
          <w:szCs w:val="22"/>
        </w:rPr>
        <w:t>This finding warrants further investigation into the optimal balance between rapid establishment and long-term stress tolerance.</w:t>
      </w:r>
    </w:p>
    <w:p w14:paraId="31C92D38" w14:textId="1A6DB5E2"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Finally, the significant genotype-by-treatment interactions observed for key traits like SVI, leaf efficiency, and RMC confirm that the benefits of botanical priming are not universal. Genotype ZM 2656 exhibited greater plasticity and responsiveness, particularly to higher concentrations of ginger and to neem, suggesting it possesses a more receptive metabolic network for these phytochemical triggers. This finding is crucial for developing practical recommendations, as it implies that priming protocols may need to be optimized for specific varieties to maximize their effectiveness.</w:t>
      </w:r>
      <w:r w:rsidR="003F212A" w:rsidRPr="006D0D50">
        <w:rPr>
          <w:rFonts w:ascii="Times New Roman" w:hAnsi="Times New Roman" w:cs="Times New Roman"/>
          <w:sz w:val="22"/>
          <w:szCs w:val="22"/>
        </w:rPr>
        <w:t xml:space="preserve"> Similar studies also observed that response of crops to seed priming is genotype specific </w:t>
      </w:r>
      <w:r w:rsidR="003F212A" w:rsidRPr="006D0D50">
        <w:rPr>
          <w:rFonts w:ascii="Times New Roman" w:hAnsi="Times New Roman" w:cs="Times New Roman"/>
          <w:sz w:val="22"/>
          <w:szCs w:val="22"/>
        </w:rPr>
        <w:fldChar w:fldCharType="begin"/>
      </w:r>
      <w:r w:rsidR="003F212A" w:rsidRPr="006D0D50">
        <w:rPr>
          <w:rFonts w:ascii="Times New Roman" w:hAnsi="Times New Roman" w:cs="Times New Roman"/>
          <w:sz w:val="22"/>
          <w:szCs w:val="22"/>
        </w:rPr>
        <w:instrText xml:space="preserve"> ADDIN ZOTERO_ITEM CSL_CITATION {"citationID":"UhBnSvnN","properties":{"unsorted":false,"formattedCitation":"(Popovi\\uc0\\u263{} et al. 2020; Wazeer et al. 2025)","plainCitation":"(Popović et al. 2020; Wazeer et al. 2025)","noteIndex":0},"citationItems":[{"id":70,"uris":["http://zotero.org/users/19449198/items/QJTQV966"],"itemData":{"id":70,"type":"article-journal","abstract":"Different seed priming treatments are widely used in order to improve the nutritional status of wheat, as well as to improve its grain yield and yield- related traits. The present study aimed to evaluate the impact of seed priming with zinc oxide nanoparticles (ZnO NPs) on the yield related traits, such as, field emergence, plant height, spike length and grain yield per plant of four winter wheat genotypes (Triticum aestivum L.) during two vegetation seasons of 2018/2019 and 2019/2020. The seeds of each wheat genotypes were primed with different concentrations of ZnO NPs (0 mg L−1, 10 mg L−1, 100 mg L−1 and 1000 mg L−1) for 48 h in a dark box by continuous aeration and were sown in soil pots with 60–70% moisture content until full maturity. The additive main effects and multiplicative interaction (AMMI) models were used to study the genotype environment effects. The results indicated that the plants response to ZnO nanoparticles significantly increased all of the observed traits of the wheat, while its maximum rates reduced the traits of the wheat. The AMMI analysis revealed the very complex nature of the variation observed in the trial and showed the significant effect of the G×E interaction, in which the first main component was significant for all components.","container-title":"Plants","DOI":"10.3390/plants9121804","ISSN":"2223-7747","issue":"12","journalAbbreviation":"Plants","language":"en","page":"1804","source":"DOI.org (Crossref)","title":"Genotype × Environment Interaction for Wheat Yield Traits Suitable for Selection in Different Seed Priming Conditions","volume":"9","author":[{"family":"Popović","given":"Vera"},{"family":"Ljubičić","given":"Nataša"},{"family":"Kostić","given":"Marko"},{"family":"Radulović","given":"Mirjana"},{"family":"Blagojević","given":"Dragana"},{"family":"Ugrenović","given":"Vladan"},{"family":"Popović","given":"Dragana"},{"family":"Ivošević","given":"Bojana"}],"issued":{"date-parts":[["2020",12,19]]}}},{"id":72,"uris":["http://zotero.org/users/19449198/items/5KJ7A6DR"],"itemData":{"id":72,"type":"article-journal","abstract":"Climate change poses major challenges to the agri-food sector, with drought episodes, defined as extended periods of limited water availability, representing one of the most damaging stress factors. While drought tolerance has been extensively studied during vegetative and reproductive stages, its effects on seed germination remain comparatively underexplored. This is particularly relevant for maize (\n              Zea mays\n              ), a globally relevant staple crop whose productivity is highly sensitive to water deficit, making the identification of drought-tolerant varieties a high priority. Addressing this challenge requires sustainable agricultural practices. Plant-based biostimulants (PBs), derived from natural sources, are gaining attention for their ability to promote plant growth, enhance stress resilience, and reduce reliance on synthetic fertilizers, thus supporting both bioeconomy and environmental sustainability. Similarly, seed priming, a pre-sowing technique that improves germination efficiency, offers an additional strategy to strengthen crop resilience. In this study, 26 Italian maize genotypes were evaluated for their drought-tolerance potential. Biostimulants produced from plant waste by-products (red chicory and cauliflower extracts) were applied as seed priming agents and the germination performance under drought stress was monitored over a 14 days period. The germination behavior was evaluated by calculating several parameters, including germination percentage, speed, seedling growth, and stress tolerance index. In addition, reactive oxygen species (ROS) accumulation was quantified in the dry seeds of selected genotypes, alongside the expression of genes involved in ROS homeostasis and drought response. The obtained results reveal genotype-dependent responses to drought and demonstrate that priming treatments enhanced both drought tolerance and germination performance in several maize genotypes. This study emphasizes the value of genetic diversity and highlights the potential of seed priming with plant-based biostimulants as a sustainable strategy within the framework of circular bioeconomy and climate-resilient agriculture.","container-title":"Frontiers in Plant Science","DOI":"10.3389/fpls.2025.1717255","ISSN":"1664-462X","journalAbbreviation":"Front. Plant Sci.","page":"1717255","source":"DOI.org (Crossref)","title":"Seed priming with plant waste extracts enhances maize drought tolerance in a genotype-specific manner","volume":"16","author":[{"family":"Wazeer","given":"Hisham"},{"family":"Zeidan","given":"Ahmad"},{"family":"Allevi","given":"Jacopo"},{"family":"Pagano","given":"Andrea"},{"family":"Dueñas","given":"Conrado"},{"family":"Marocco","given":"Adriano"},{"family":"Stagnati","given":"Lorenzo"},{"family":"Doria","given":"Enrico"},{"family":"Macovei","given":"Anca"}],"issued":{"date-parts":[["2025",11,10]]}}}],"schema":"https://github.com/citation-style-language/schema/raw/master/csl-citation.json"} </w:instrText>
      </w:r>
      <w:r w:rsidR="003F212A" w:rsidRPr="006D0D50">
        <w:rPr>
          <w:rFonts w:ascii="Times New Roman" w:hAnsi="Times New Roman" w:cs="Times New Roman"/>
          <w:sz w:val="22"/>
          <w:szCs w:val="22"/>
        </w:rPr>
        <w:fldChar w:fldCharType="separate"/>
      </w:r>
      <w:r w:rsidR="003F212A" w:rsidRPr="006D0D50">
        <w:rPr>
          <w:rFonts w:ascii="Times New Roman" w:hAnsi="Times New Roman" w:cs="Times New Roman"/>
          <w:kern w:val="0"/>
          <w:sz w:val="22"/>
          <w:szCs w:val="22"/>
        </w:rPr>
        <w:t>(Popović et al. 2020; Wazeer et al. 2025)</w:t>
      </w:r>
      <w:r w:rsidR="003F212A" w:rsidRPr="006D0D50">
        <w:rPr>
          <w:rFonts w:ascii="Times New Roman" w:hAnsi="Times New Roman" w:cs="Times New Roman"/>
          <w:sz w:val="22"/>
          <w:szCs w:val="22"/>
        </w:rPr>
        <w:fldChar w:fldCharType="end"/>
      </w:r>
    </w:p>
    <w:p w14:paraId="0DD88607"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b/>
          <w:bCs/>
          <w:sz w:val="22"/>
          <w:szCs w:val="22"/>
        </w:rPr>
        <w:t>5. Conclusions</w:t>
      </w:r>
    </w:p>
    <w:p w14:paraId="469A755D" w14:textId="740FDED4"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 xml:space="preserve">The large effect sizes observed in this study demonstrate that seed priming with botanical extracts is not merely a statistically significant treatment but a functionally powerful intervention that can fundamentally improve the drought resilience of </w:t>
      </w:r>
      <w:r w:rsidR="001E1316" w:rsidRPr="006D0D50">
        <w:rPr>
          <w:rFonts w:ascii="Times New Roman" w:hAnsi="Times New Roman" w:cs="Times New Roman"/>
          <w:sz w:val="22"/>
          <w:szCs w:val="22"/>
        </w:rPr>
        <w:t>b</w:t>
      </w:r>
      <w:r w:rsidRPr="006D0D50">
        <w:rPr>
          <w:rFonts w:ascii="Times New Roman" w:hAnsi="Times New Roman" w:cs="Times New Roman"/>
          <w:sz w:val="22"/>
          <w:szCs w:val="22"/>
        </w:rPr>
        <w:t>ambara groundnut. Ginger extract at 10–15% (w/v) emerged as the most consistently effective and broadly applicable treatment, significantly enhancing germination kinetics, seedling vigour, biomass accumulation, and root nodulation. The response to neem extract was more genotype-specific and concentration-dependent, proving highly effective for improving leaf efficiency and water status in the responsive genotype ZM 2656, particularly at 3%. The significant genotype-by-treatment interactions highlight the potential for developing tailored, variety-specific priming protocols.</w:t>
      </w:r>
    </w:p>
    <w:p w14:paraId="2E953AD1" w14:textId="072D47AB" w:rsidR="00BF29B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Based on these findings, we recommend the adoption of seed priming with 10% ginger extract as a low-cost, accessible technology for smallholder farmers to improve Bambara groundnut establishment and yield stability in drought-prone environments. Future research should focus on validating these greenhouse results under field conditions across multiple seasons and locations, and on exploring the synergistic potential of combining ginger and neem extracts in a single priming solution to harness the complementary benefits of both botanicals.</w:t>
      </w:r>
    </w:p>
    <w:p w14:paraId="1E95E0DF" w14:textId="77777777" w:rsidR="00B31353" w:rsidRDefault="00B31353" w:rsidP="00B31353">
      <w:pPr>
        <w:rPr>
          <w:highlight w:val="yellow"/>
        </w:rPr>
      </w:pPr>
      <w:r>
        <w:rPr>
          <w:highlight w:val="yellow"/>
        </w:rPr>
        <w:lastRenderedPageBreak/>
        <w:t>Disclaimer (Artificial intelligence)</w:t>
      </w:r>
    </w:p>
    <w:p w14:paraId="76E08E5F" w14:textId="77777777" w:rsidR="00B31353" w:rsidRDefault="00B31353" w:rsidP="00B31353">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6F2322CA" w14:textId="77777777" w:rsidR="00B31353" w:rsidRPr="006D0D50" w:rsidRDefault="00B31353" w:rsidP="00BF29B0">
      <w:pPr>
        <w:jc w:val="both"/>
        <w:rPr>
          <w:rFonts w:ascii="Times New Roman" w:hAnsi="Times New Roman" w:cs="Times New Roman"/>
          <w:sz w:val="22"/>
          <w:szCs w:val="22"/>
        </w:rPr>
      </w:pPr>
      <w:bookmarkStart w:id="0" w:name="_GoBack"/>
      <w:bookmarkEnd w:id="0"/>
    </w:p>
    <w:p w14:paraId="7B026F07" w14:textId="77777777" w:rsidR="00AC4A90" w:rsidRPr="006D0D50" w:rsidRDefault="00AC4A90" w:rsidP="00BF29B0">
      <w:pPr>
        <w:jc w:val="both"/>
        <w:rPr>
          <w:rFonts w:ascii="Times New Roman" w:hAnsi="Times New Roman" w:cs="Times New Roman"/>
          <w:b/>
          <w:bCs/>
          <w:sz w:val="22"/>
          <w:szCs w:val="22"/>
        </w:rPr>
      </w:pPr>
    </w:p>
    <w:p w14:paraId="49A76EDD" w14:textId="07EFDDF4" w:rsidR="00364365" w:rsidRPr="006D0D50" w:rsidRDefault="00364365" w:rsidP="00BF29B0">
      <w:pPr>
        <w:jc w:val="both"/>
        <w:rPr>
          <w:rFonts w:ascii="Times New Roman" w:hAnsi="Times New Roman" w:cs="Times New Roman"/>
          <w:b/>
          <w:bCs/>
          <w:sz w:val="22"/>
          <w:szCs w:val="22"/>
        </w:rPr>
      </w:pPr>
      <w:r w:rsidRPr="006D0D50">
        <w:rPr>
          <w:rFonts w:ascii="Times New Roman" w:hAnsi="Times New Roman" w:cs="Times New Roman"/>
          <w:b/>
          <w:bCs/>
          <w:sz w:val="22"/>
          <w:szCs w:val="22"/>
        </w:rPr>
        <w:t>References</w:t>
      </w:r>
    </w:p>
    <w:p w14:paraId="3BFCEE91" w14:textId="29269792"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Abdul-Baki, A. A., &amp; Anderson, J. D.</w:t>
      </w:r>
      <w:r w:rsidRPr="0093624D">
        <w:rPr>
          <w:rFonts w:ascii="Times New Roman" w:hAnsi="Times New Roman" w:cs="Times New Roman"/>
          <w:sz w:val="22"/>
          <w:szCs w:val="22"/>
        </w:rPr>
        <w:t xml:space="preserve"> (1973). Vigour determination in soybean seed by multiple criteria. </w:t>
      </w:r>
      <w:r w:rsidRPr="0093624D">
        <w:rPr>
          <w:rFonts w:ascii="Times New Roman" w:hAnsi="Times New Roman" w:cs="Times New Roman"/>
          <w:i/>
          <w:iCs/>
          <w:sz w:val="22"/>
          <w:szCs w:val="22"/>
        </w:rPr>
        <w:t>Crop Science</w:t>
      </w:r>
      <w:r w:rsidRPr="0093624D">
        <w:rPr>
          <w:rFonts w:ascii="Times New Roman" w:hAnsi="Times New Roman" w:cs="Times New Roman"/>
          <w:sz w:val="22"/>
          <w:szCs w:val="22"/>
        </w:rPr>
        <w:t>, 13(6), 630–633.</w:t>
      </w:r>
    </w:p>
    <w:p w14:paraId="7158F7B5" w14:textId="48917476"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Ahluwalia, O., Singh, P. C., &amp; Bhatia, R.</w:t>
      </w:r>
      <w:r w:rsidRPr="0093624D">
        <w:rPr>
          <w:rFonts w:ascii="Times New Roman" w:hAnsi="Times New Roman" w:cs="Times New Roman"/>
          <w:sz w:val="22"/>
          <w:szCs w:val="22"/>
        </w:rPr>
        <w:t xml:space="preserve"> (2021). A review on drought stress in plants: Implications, mitigation and the role of plant growth promoting rhizobacteria. </w:t>
      </w:r>
      <w:r w:rsidRPr="0093624D">
        <w:rPr>
          <w:rFonts w:ascii="Times New Roman" w:hAnsi="Times New Roman" w:cs="Times New Roman"/>
          <w:i/>
          <w:iCs/>
          <w:sz w:val="22"/>
          <w:szCs w:val="22"/>
        </w:rPr>
        <w:t>Resources, Environment and Sustainability</w:t>
      </w:r>
      <w:r w:rsidRPr="0093624D">
        <w:rPr>
          <w:rFonts w:ascii="Times New Roman" w:hAnsi="Times New Roman" w:cs="Times New Roman"/>
          <w:sz w:val="22"/>
          <w:szCs w:val="22"/>
        </w:rPr>
        <w:t xml:space="preserve">, 5, 100032. </w:t>
      </w:r>
      <w:hyperlink r:id="rId5" w:tgtFrame="_blank" w:history="1">
        <w:r w:rsidRPr="0093624D">
          <w:rPr>
            <w:rStyle w:val="Hyperlink"/>
            <w:rFonts w:ascii="Times New Roman" w:hAnsi="Times New Roman" w:cs="Times New Roman"/>
            <w:sz w:val="22"/>
            <w:szCs w:val="22"/>
          </w:rPr>
          <w:t>https://doi.org/10.1016/j.resenv.2021.100032</w:t>
        </w:r>
      </w:hyperlink>
    </w:p>
    <w:p w14:paraId="7D23BC15" w14:textId="0F2DA418"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Ali, B. H., Blunden, G., Tanira, M. O., &amp; Nemmar, A.</w:t>
      </w:r>
      <w:r w:rsidRPr="0093624D">
        <w:rPr>
          <w:rFonts w:ascii="Times New Roman" w:hAnsi="Times New Roman" w:cs="Times New Roman"/>
          <w:sz w:val="22"/>
          <w:szCs w:val="22"/>
        </w:rPr>
        <w:t xml:space="preserve"> (2008). Some phytochemical, pharmacological and toxicological properties of ginger (</w:t>
      </w:r>
      <w:r w:rsidRPr="0093624D">
        <w:rPr>
          <w:rFonts w:ascii="Times New Roman" w:hAnsi="Times New Roman" w:cs="Times New Roman"/>
          <w:i/>
          <w:iCs/>
          <w:sz w:val="22"/>
          <w:szCs w:val="22"/>
        </w:rPr>
        <w:t>Zingiber officinale</w:t>
      </w:r>
      <w:r w:rsidRPr="0093624D">
        <w:rPr>
          <w:rFonts w:ascii="Times New Roman" w:hAnsi="Times New Roman" w:cs="Times New Roman"/>
          <w:sz w:val="22"/>
          <w:szCs w:val="22"/>
        </w:rPr>
        <w:t xml:space="preserve"> Roscoe): A review of recent research. </w:t>
      </w:r>
      <w:r w:rsidRPr="0093624D">
        <w:rPr>
          <w:rFonts w:ascii="Times New Roman" w:hAnsi="Times New Roman" w:cs="Times New Roman"/>
          <w:i/>
          <w:iCs/>
          <w:sz w:val="22"/>
          <w:szCs w:val="22"/>
        </w:rPr>
        <w:t>Food and Chemical Toxicology</w:t>
      </w:r>
      <w:r w:rsidRPr="0093624D">
        <w:rPr>
          <w:rFonts w:ascii="Times New Roman" w:hAnsi="Times New Roman" w:cs="Times New Roman"/>
          <w:sz w:val="22"/>
          <w:szCs w:val="22"/>
        </w:rPr>
        <w:t xml:space="preserve">, 46(2), 409–420. </w:t>
      </w:r>
      <w:hyperlink r:id="rId6" w:tgtFrame="_blank" w:history="1">
        <w:r w:rsidRPr="0093624D">
          <w:rPr>
            <w:rStyle w:val="Hyperlink"/>
            <w:rFonts w:ascii="Times New Roman" w:hAnsi="Times New Roman" w:cs="Times New Roman"/>
            <w:sz w:val="22"/>
            <w:szCs w:val="22"/>
          </w:rPr>
          <w:t>https://doi.org/10.1016/j.fct.2007.09.085</w:t>
        </w:r>
      </w:hyperlink>
    </w:p>
    <w:p w14:paraId="5EF37008" w14:textId="64FCDC4C"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Arafa, S. A., Attia, K. A., Niedbała, G., Piekutowska, M., Alamery, S., Abdelaal, K., Alateeq, T. K., et al.</w:t>
      </w:r>
      <w:r w:rsidRPr="0093624D">
        <w:rPr>
          <w:rFonts w:ascii="Times New Roman" w:hAnsi="Times New Roman" w:cs="Times New Roman"/>
          <w:sz w:val="22"/>
          <w:szCs w:val="22"/>
        </w:rPr>
        <w:t xml:space="preserve"> (2021). Seed Priming Boost Adaptation in Pea Plants under Drought Stress. </w:t>
      </w:r>
      <w:r w:rsidRPr="0093624D">
        <w:rPr>
          <w:rFonts w:ascii="Times New Roman" w:hAnsi="Times New Roman" w:cs="Times New Roman"/>
          <w:i/>
          <w:iCs/>
          <w:sz w:val="22"/>
          <w:szCs w:val="22"/>
        </w:rPr>
        <w:t>Plants</w:t>
      </w:r>
      <w:r w:rsidRPr="0093624D">
        <w:rPr>
          <w:rFonts w:ascii="Times New Roman" w:hAnsi="Times New Roman" w:cs="Times New Roman"/>
          <w:sz w:val="22"/>
          <w:szCs w:val="22"/>
        </w:rPr>
        <w:t>, 10(10), 2201. doi:10.3390/plants10102201.</w:t>
      </w:r>
    </w:p>
    <w:p w14:paraId="3C1DCD3B" w14:textId="539C368F"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Bewley, J. D., Bradford, K. J., Hilhorst, H. W. M., &amp; Nonogaki, H.</w:t>
      </w:r>
      <w:r w:rsidRPr="0093624D">
        <w:rPr>
          <w:rFonts w:ascii="Times New Roman" w:hAnsi="Times New Roman" w:cs="Times New Roman"/>
          <w:sz w:val="22"/>
          <w:szCs w:val="22"/>
        </w:rPr>
        <w:t xml:space="preserve"> (2013). </w:t>
      </w:r>
      <w:r w:rsidRPr="0093624D">
        <w:rPr>
          <w:rFonts w:ascii="Times New Roman" w:hAnsi="Times New Roman" w:cs="Times New Roman"/>
          <w:i/>
          <w:iCs/>
          <w:sz w:val="22"/>
          <w:szCs w:val="22"/>
        </w:rPr>
        <w:t>Seeds: Physiology of Development, Germination and Dormancy</w:t>
      </w:r>
      <w:r w:rsidRPr="0093624D">
        <w:rPr>
          <w:rFonts w:ascii="Times New Roman" w:hAnsi="Times New Roman" w:cs="Times New Roman"/>
          <w:sz w:val="22"/>
          <w:szCs w:val="22"/>
        </w:rPr>
        <w:t>. 3rd ed. Springer.</w:t>
      </w:r>
    </w:p>
    <w:p w14:paraId="5E57209B" w14:textId="2AE5FBD2"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Cohen, J.</w:t>
      </w:r>
      <w:r w:rsidRPr="0093624D">
        <w:rPr>
          <w:rFonts w:ascii="Times New Roman" w:hAnsi="Times New Roman" w:cs="Times New Roman"/>
          <w:sz w:val="22"/>
          <w:szCs w:val="22"/>
        </w:rPr>
        <w:t xml:space="preserve"> (1988). </w:t>
      </w:r>
      <w:r w:rsidRPr="0093624D">
        <w:rPr>
          <w:rFonts w:ascii="Times New Roman" w:hAnsi="Times New Roman" w:cs="Times New Roman"/>
          <w:i/>
          <w:iCs/>
          <w:sz w:val="22"/>
          <w:szCs w:val="22"/>
        </w:rPr>
        <w:t>Statistical power analysis for the behavioural sciences</w:t>
      </w:r>
      <w:r w:rsidRPr="0093624D">
        <w:rPr>
          <w:rFonts w:ascii="Times New Roman" w:hAnsi="Times New Roman" w:cs="Times New Roman"/>
          <w:sz w:val="22"/>
          <w:szCs w:val="22"/>
        </w:rPr>
        <w:t xml:space="preserve"> (2nd ed.). Lawrence Erlbaum Associates.</w:t>
      </w:r>
    </w:p>
    <w:p w14:paraId="4F8AC1C9" w14:textId="53FA6208"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Cuares, I., Cordova, S., Virgilio Jr., R., Feril, J., &amp; Bagaipo, B.</w:t>
      </w:r>
      <w:r w:rsidRPr="0093624D">
        <w:rPr>
          <w:rFonts w:ascii="Times New Roman" w:hAnsi="Times New Roman" w:cs="Times New Roman"/>
          <w:sz w:val="22"/>
          <w:szCs w:val="22"/>
        </w:rPr>
        <w:t xml:space="preserve"> (2024). Comparative Efficacy of Botanical Priming Agents on Germination Kinetics and Post-Transplant Performance of </w:t>
      </w:r>
      <w:r w:rsidRPr="0093624D">
        <w:rPr>
          <w:rFonts w:ascii="Times New Roman" w:hAnsi="Times New Roman" w:cs="Times New Roman"/>
          <w:i/>
          <w:iCs/>
          <w:sz w:val="22"/>
          <w:szCs w:val="22"/>
        </w:rPr>
        <w:t>Brassica Rapa</w:t>
      </w:r>
      <w:r w:rsidRPr="0093624D">
        <w:rPr>
          <w:rFonts w:ascii="Times New Roman" w:hAnsi="Times New Roman" w:cs="Times New Roman"/>
          <w:sz w:val="22"/>
          <w:szCs w:val="22"/>
        </w:rPr>
        <w:t xml:space="preserve">: A Correlation Analysis. </w:t>
      </w:r>
      <w:r w:rsidRPr="0093624D">
        <w:rPr>
          <w:rFonts w:ascii="Times New Roman" w:hAnsi="Times New Roman" w:cs="Times New Roman"/>
          <w:i/>
          <w:iCs/>
          <w:sz w:val="22"/>
          <w:szCs w:val="22"/>
        </w:rPr>
        <w:t>International Journal of Plant &amp; Soil Science</w:t>
      </w:r>
      <w:r w:rsidRPr="0093624D">
        <w:rPr>
          <w:rFonts w:ascii="Times New Roman" w:hAnsi="Times New Roman" w:cs="Times New Roman"/>
          <w:sz w:val="22"/>
          <w:szCs w:val="22"/>
        </w:rPr>
        <w:t>, 36(12), 225–37. doi:10.9734/ijpss/2024/v36i125196.</w:t>
      </w:r>
    </w:p>
    <w:p w14:paraId="19390FF1" w14:textId="478FB655"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Ellis, R. H., &amp; Roberts, E. H.</w:t>
      </w:r>
      <w:r w:rsidRPr="0093624D">
        <w:rPr>
          <w:rFonts w:ascii="Times New Roman" w:hAnsi="Times New Roman" w:cs="Times New Roman"/>
          <w:sz w:val="22"/>
          <w:szCs w:val="22"/>
        </w:rPr>
        <w:t xml:space="preserve"> (1981). The quantification of ageing and survival in orthodox seeds. </w:t>
      </w:r>
      <w:r w:rsidRPr="0093624D">
        <w:rPr>
          <w:rFonts w:ascii="Times New Roman" w:hAnsi="Times New Roman" w:cs="Times New Roman"/>
          <w:i/>
          <w:iCs/>
          <w:sz w:val="22"/>
          <w:szCs w:val="22"/>
        </w:rPr>
        <w:t>Seed Science and Technology</w:t>
      </w:r>
      <w:r w:rsidRPr="0093624D">
        <w:rPr>
          <w:rFonts w:ascii="Times New Roman" w:hAnsi="Times New Roman" w:cs="Times New Roman"/>
          <w:sz w:val="22"/>
          <w:szCs w:val="22"/>
        </w:rPr>
        <w:t>, 9(2), 373–409.</w:t>
      </w:r>
    </w:p>
    <w:p w14:paraId="3D2554D0" w14:textId="6F52A428"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Galappaththi, M. O., Jayasuriya, K. M. G. G., &amp; Gama-Arachchige, N. S.</w:t>
      </w:r>
      <w:r w:rsidRPr="0093624D">
        <w:rPr>
          <w:rFonts w:ascii="Times New Roman" w:hAnsi="Times New Roman" w:cs="Times New Roman"/>
          <w:sz w:val="22"/>
          <w:szCs w:val="22"/>
        </w:rPr>
        <w:t xml:space="preserve"> (2021). Effect of Priming with Neem Seed Extract on Seeds of Four Traditional Rice Varieties of Sri Lanka; Kaluheenati, Kurulurthuda, Madathawalu and Maa-Wee. </w:t>
      </w:r>
      <w:r w:rsidRPr="0093624D">
        <w:rPr>
          <w:rFonts w:ascii="Times New Roman" w:hAnsi="Times New Roman" w:cs="Times New Roman"/>
          <w:i/>
          <w:iCs/>
          <w:sz w:val="22"/>
          <w:szCs w:val="22"/>
        </w:rPr>
        <w:t>Journal of the National Science Foundation of Sri Lanka</w:t>
      </w:r>
      <w:r w:rsidRPr="0093624D">
        <w:rPr>
          <w:rFonts w:ascii="Times New Roman" w:hAnsi="Times New Roman" w:cs="Times New Roman"/>
          <w:sz w:val="22"/>
          <w:szCs w:val="22"/>
        </w:rPr>
        <w:t>, 49(4), 525. doi:10.4038/jnsfsr.v49i4.10336.</w:t>
      </w:r>
    </w:p>
    <w:p w14:paraId="5C33753F" w14:textId="50708519"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Hamududu, B. H., &amp; Ngoma, H.</w:t>
      </w:r>
      <w:r w:rsidRPr="0093624D">
        <w:rPr>
          <w:rFonts w:ascii="Times New Roman" w:hAnsi="Times New Roman" w:cs="Times New Roman"/>
          <w:sz w:val="22"/>
          <w:szCs w:val="22"/>
        </w:rPr>
        <w:t xml:space="preserve"> (2019). Impacts of climate change on water resources availability in Zambia: Implications for irrigation development. </w:t>
      </w:r>
      <w:r w:rsidRPr="0093624D">
        <w:rPr>
          <w:rFonts w:ascii="Times New Roman" w:hAnsi="Times New Roman" w:cs="Times New Roman"/>
          <w:i/>
          <w:iCs/>
          <w:sz w:val="22"/>
          <w:szCs w:val="22"/>
        </w:rPr>
        <w:t>Water</w:t>
      </w:r>
      <w:r w:rsidRPr="0093624D">
        <w:rPr>
          <w:rFonts w:ascii="Times New Roman" w:hAnsi="Times New Roman" w:cs="Times New Roman"/>
          <w:sz w:val="22"/>
          <w:szCs w:val="22"/>
        </w:rPr>
        <w:t xml:space="preserve">, 11(6), 1146. </w:t>
      </w:r>
      <w:hyperlink r:id="rId7" w:tgtFrame="_blank" w:history="1">
        <w:r w:rsidRPr="0093624D">
          <w:rPr>
            <w:rStyle w:val="Hyperlink"/>
            <w:rFonts w:ascii="Times New Roman" w:hAnsi="Times New Roman" w:cs="Times New Roman"/>
            <w:sz w:val="22"/>
            <w:szCs w:val="22"/>
          </w:rPr>
          <w:t>https://doi.org/10.3390/w11061146</w:t>
        </w:r>
      </w:hyperlink>
    </w:p>
    <w:p w14:paraId="3D25C8E1" w14:textId="07AEDF96"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Indaba Agricultural Policy Research Institute (IAPRI).</w:t>
      </w:r>
      <w:r w:rsidRPr="0093624D">
        <w:rPr>
          <w:rFonts w:ascii="Times New Roman" w:hAnsi="Times New Roman" w:cs="Times New Roman"/>
          <w:sz w:val="22"/>
          <w:szCs w:val="22"/>
        </w:rPr>
        <w:t xml:space="preserve"> (2023). </w:t>
      </w:r>
      <w:r w:rsidRPr="0093624D">
        <w:rPr>
          <w:rFonts w:ascii="Times New Roman" w:hAnsi="Times New Roman" w:cs="Times New Roman"/>
          <w:i/>
          <w:iCs/>
          <w:sz w:val="22"/>
          <w:szCs w:val="22"/>
        </w:rPr>
        <w:t>Zambia agriculture status report 2023</w:t>
      </w:r>
      <w:r w:rsidRPr="0093624D">
        <w:rPr>
          <w:rFonts w:ascii="Times New Roman" w:hAnsi="Times New Roman" w:cs="Times New Roman"/>
          <w:sz w:val="22"/>
          <w:szCs w:val="22"/>
        </w:rPr>
        <w:t xml:space="preserve">. IAPRI. </w:t>
      </w:r>
      <w:hyperlink r:id="rId8" w:tgtFrame="_blank" w:history="1">
        <w:r w:rsidRPr="0093624D">
          <w:rPr>
            <w:rStyle w:val="Hyperlink"/>
            <w:rFonts w:ascii="Times New Roman" w:hAnsi="Times New Roman" w:cs="Times New Roman"/>
            <w:sz w:val="22"/>
            <w:szCs w:val="22"/>
          </w:rPr>
          <w:t>https://www.iapri.org.zm</w:t>
        </w:r>
      </w:hyperlink>
    </w:p>
    <w:p w14:paraId="6D983527" w14:textId="5AC42640"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Johnson, R., &amp; Puthur, J. T.</w:t>
      </w:r>
      <w:r w:rsidRPr="0093624D">
        <w:rPr>
          <w:rFonts w:ascii="Times New Roman" w:hAnsi="Times New Roman" w:cs="Times New Roman"/>
          <w:sz w:val="22"/>
          <w:szCs w:val="22"/>
        </w:rPr>
        <w:t xml:space="preserve"> (2021). Seed priming as a cost-effective technique for developing plants with cross tolerance to salinity stress. </w:t>
      </w:r>
      <w:r w:rsidRPr="0093624D">
        <w:rPr>
          <w:rFonts w:ascii="Times New Roman" w:hAnsi="Times New Roman" w:cs="Times New Roman"/>
          <w:i/>
          <w:iCs/>
          <w:sz w:val="22"/>
          <w:szCs w:val="22"/>
        </w:rPr>
        <w:t>Plant Physiology and Biochemistry</w:t>
      </w:r>
      <w:r w:rsidRPr="0093624D">
        <w:rPr>
          <w:rFonts w:ascii="Times New Roman" w:hAnsi="Times New Roman" w:cs="Times New Roman"/>
          <w:sz w:val="22"/>
          <w:szCs w:val="22"/>
        </w:rPr>
        <w:t xml:space="preserve">, 162, 247–257. </w:t>
      </w:r>
      <w:hyperlink r:id="rId9" w:tgtFrame="_blank" w:history="1">
        <w:r w:rsidRPr="0093624D">
          <w:rPr>
            <w:rStyle w:val="Hyperlink"/>
            <w:rFonts w:ascii="Times New Roman" w:hAnsi="Times New Roman" w:cs="Times New Roman"/>
            <w:sz w:val="22"/>
            <w:szCs w:val="22"/>
          </w:rPr>
          <w:t>https://doi.org/10.1016/j.plaphy.2021.02.034</w:t>
        </w:r>
      </w:hyperlink>
    </w:p>
    <w:p w14:paraId="033C1C12" w14:textId="31FC5E43"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Khairilanwar, K. A., Yi, S. J., Bakri, M. D. I., Nawi, I. H. M., Azmi, A. A. A. R. R., &amp; Aik, C. K.</w:t>
      </w:r>
      <w:r w:rsidRPr="0093624D">
        <w:rPr>
          <w:rFonts w:ascii="Times New Roman" w:hAnsi="Times New Roman" w:cs="Times New Roman"/>
          <w:sz w:val="22"/>
          <w:szCs w:val="22"/>
        </w:rPr>
        <w:t xml:space="preserve"> (2025). Eco-Friendly Nanopriming: Zinc Oxide Nanoparticles derived from Banana Peel Extract for Improved Germination of Chili Seeds. </w:t>
      </w:r>
      <w:r w:rsidRPr="0093624D">
        <w:rPr>
          <w:rFonts w:ascii="Times New Roman" w:hAnsi="Times New Roman" w:cs="Times New Roman"/>
          <w:i/>
          <w:iCs/>
          <w:sz w:val="22"/>
          <w:szCs w:val="22"/>
        </w:rPr>
        <w:t>Journal of Seed Science</w:t>
      </w:r>
      <w:r w:rsidRPr="0093624D">
        <w:rPr>
          <w:rFonts w:ascii="Times New Roman" w:hAnsi="Times New Roman" w:cs="Times New Roman"/>
          <w:sz w:val="22"/>
          <w:szCs w:val="22"/>
        </w:rPr>
        <w:t>, 47, e202547006. doi:10.1590/2317-1545v47290750.</w:t>
      </w:r>
    </w:p>
    <w:p w14:paraId="340D9E9B" w14:textId="39B8F13A"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Khan, M. M. H., Rafii, M. Y., Ramlee, S. I., Jusoh, M., &amp; Al-Mamun, M.</w:t>
      </w:r>
      <w:r w:rsidRPr="0093624D">
        <w:rPr>
          <w:rFonts w:ascii="Times New Roman" w:hAnsi="Times New Roman" w:cs="Times New Roman"/>
          <w:sz w:val="22"/>
          <w:szCs w:val="22"/>
        </w:rPr>
        <w:t xml:space="preserve"> (2021). Bambara groundnut (</w:t>
      </w:r>
      <w:r w:rsidRPr="0093624D">
        <w:rPr>
          <w:rFonts w:ascii="Times New Roman" w:hAnsi="Times New Roman" w:cs="Times New Roman"/>
          <w:i/>
          <w:iCs/>
          <w:sz w:val="22"/>
          <w:szCs w:val="22"/>
        </w:rPr>
        <w:t>Vigna subterranea</w:t>
      </w:r>
      <w:r w:rsidRPr="0093624D">
        <w:rPr>
          <w:rFonts w:ascii="Times New Roman" w:hAnsi="Times New Roman" w:cs="Times New Roman"/>
          <w:sz w:val="22"/>
          <w:szCs w:val="22"/>
        </w:rPr>
        <w:t xml:space="preserve"> L. Verdc): A crop for the new millennium, its genetic diversity, and improvements to mitigate future food and nutritional challenges. </w:t>
      </w:r>
      <w:r w:rsidRPr="0093624D">
        <w:rPr>
          <w:rFonts w:ascii="Times New Roman" w:hAnsi="Times New Roman" w:cs="Times New Roman"/>
          <w:i/>
          <w:iCs/>
          <w:sz w:val="22"/>
          <w:szCs w:val="22"/>
        </w:rPr>
        <w:t>Sustainability</w:t>
      </w:r>
      <w:r w:rsidRPr="0093624D">
        <w:rPr>
          <w:rFonts w:ascii="Times New Roman" w:hAnsi="Times New Roman" w:cs="Times New Roman"/>
          <w:sz w:val="22"/>
          <w:szCs w:val="22"/>
        </w:rPr>
        <w:t xml:space="preserve">, 13(10), 5530. </w:t>
      </w:r>
      <w:hyperlink r:id="rId10" w:tgtFrame="_blank" w:history="1">
        <w:r w:rsidRPr="0093624D">
          <w:rPr>
            <w:rStyle w:val="Hyperlink"/>
            <w:rFonts w:ascii="Times New Roman" w:hAnsi="Times New Roman" w:cs="Times New Roman"/>
            <w:sz w:val="22"/>
            <w:szCs w:val="22"/>
          </w:rPr>
          <w:t>https://doi.org/10.3390/su13105530</w:t>
        </w:r>
      </w:hyperlink>
    </w:p>
    <w:p w14:paraId="098A5F67" w14:textId="070B2374"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Khan, S., Ibrar, D., Bashir, S., Rashid, N., Hasnain, Z., Nawaz, M., Al-Ghamdi, A. A., et al.</w:t>
      </w:r>
      <w:r w:rsidRPr="0093624D">
        <w:rPr>
          <w:rFonts w:ascii="Times New Roman" w:hAnsi="Times New Roman" w:cs="Times New Roman"/>
          <w:sz w:val="22"/>
          <w:szCs w:val="22"/>
        </w:rPr>
        <w:t xml:space="preserve"> (2022). Application of Moringa Leaf Extract as a Seed Priming Agent Enhances Growth and Physiological Attributes of Rice Seedlings Cultivated under Water Deficit Regime. </w:t>
      </w:r>
      <w:r w:rsidRPr="0093624D">
        <w:rPr>
          <w:rFonts w:ascii="Times New Roman" w:hAnsi="Times New Roman" w:cs="Times New Roman"/>
          <w:i/>
          <w:iCs/>
          <w:sz w:val="22"/>
          <w:szCs w:val="22"/>
        </w:rPr>
        <w:t>Plants</w:t>
      </w:r>
      <w:r w:rsidRPr="0093624D">
        <w:rPr>
          <w:rFonts w:ascii="Times New Roman" w:hAnsi="Times New Roman" w:cs="Times New Roman"/>
          <w:sz w:val="22"/>
          <w:szCs w:val="22"/>
        </w:rPr>
        <w:t>, 11(3), 261. doi:10.3390/plants11030261.</w:t>
      </w:r>
    </w:p>
    <w:p w14:paraId="1C7ABAA7" w14:textId="515BC366"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Khandakar, A. L., &amp; Bradbeer, J. W.</w:t>
      </w:r>
      <w:r w:rsidRPr="0093624D">
        <w:rPr>
          <w:rFonts w:ascii="Times New Roman" w:hAnsi="Times New Roman" w:cs="Times New Roman"/>
          <w:sz w:val="22"/>
          <w:szCs w:val="22"/>
        </w:rPr>
        <w:t xml:space="preserve"> (1983). </w:t>
      </w:r>
      <w:r w:rsidRPr="0093624D">
        <w:rPr>
          <w:rFonts w:ascii="Times New Roman" w:hAnsi="Times New Roman" w:cs="Times New Roman"/>
          <w:i/>
          <w:iCs/>
          <w:sz w:val="22"/>
          <w:szCs w:val="22"/>
        </w:rPr>
        <w:t>Jute Seed Quality</w:t>
      </w:r>
      <w:r w:rsidRPr="0093624D">
        <w:rPr>
          <w:rFonts w:ascii="Times New Roman" w:hAnsi="Times New Roman" w:cs="Times New Roman"/>
          <w:sz w:val="22"/>
          <w:szCs w:val="22"/>
        </w:rPr>
        <w:t>. Bangladesh Agricultural Research Council.</w:t>
      </w:r>
    </w:p>
    <w:p w14:paraId="2B57500B" w14:textId="48640AFA"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lastRenderedPageBreak/>
        <w:t>Kunene, S., Gerrano, A. S., &amp; Odindo, A. O.</w:t>
      </w:r>
      <w:r w:rsidRPr="0093624D">
        <w:rPr>
          <w:rFonts w:ascii="Times New Roman" w:hAnsi="Times New Roman" w:cs="Times New Roman"/>
          <w:sz w:val="22"/>
          <w:szCs w:val="22"/>
        </w:rPr>
        <w:t xml:space="preserve"> (2025). Drought tolerance assessment of Bambara groundnut (</w:t>
      </w:r>
      <w:r w:rsidRPr="0093624D">
        <w:rPr>
          <w:rFonts w:ascii="Times New Roman" w:hAnsi="Times New Roman" w:cs="Times New Roman"/>
          <w:i/>
          <w:iCs/>
          <w:sz w:val="22"/>
          <w:szCs w:val="22"/>
        </w:rPr>
        <w:t>Vigna subterranea</w:t>
      </w:r>
      <w:r w:rsidRPr="0093624D">
        <w:rPr>
          <w:rFonts w:ascii="Times New Roman" w:hAnsi="Times New Roman" w:cs="Times New Roman"/>
          <w:sz w:val="22"/>
          <w:szCs w:val="22"/>
        </w:rPr>
        <w:t xml:space="preserve"> L. Verdc) accessions based on morphological and physiological traits. </w:t>
      </w:r>
      <w:r w:rsidRPr="0093624D">
        <w:rPr>
          <w:rFonts w:ascii="Times New Roman" w:hAnsi="Times New Roman" w:cs="Times New Roman"/>
          <w:i/>
          <w:iCs/>
          <w:sz w:val="22"/>
          <w:szCs w:val="22"/>
        </w:rPr>
        <w:t>South African Journal of Botany</w:t>
      </w:r>
      <w:r w:rsidRPr="0093624D">
        <w:rPr>
          <w:rFonts w:ascii="Times New Roman" w:hAnsi="Times New Roman" w:cs="Times New Roman"/>
          <w:sz w:val="22"/>
          <w:szCs w:val="22"/>
        </w:rPr>
        <w:t>, 184, 880–894.</w:t>
      </w:r>
    </w:p>
    <w:p w14:paraId="4FA67263" w14:textId="4105FA61"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Liu, X., Quan, W., &amp; Bartels, D.</w:t>
      </w:r>
      <w:r w:rsidRPr="0093624D">
        <w:rPr>
          <w:rFonts w:ascii="Times New Roman" w:hAnsi="Times New Roman" w:cs="Times New Roman"/>
          <w:sz w:val="22"/>
          <w:szCs w:val="22"/>
        </w:rPr>
        <w:t xml:space="preserve"> (2022). Stress memory responses and seed priming correlate with drought tolerance in plants: An overview. </w:t>
      </w:r>
      <w:r w:rsidRPr="0093624D">
        <w:rPr>
          <w:rFonts w:ascii="Times New Roman" w:hAnsi="Times New Roman" w:cs="Times New Roman"/>
          <w:i/>
          <w:iCs/>
          <w:sz w:val="22"/>
          <w:szCs w:val="22"/>
        </w:rPr>
        <w:t>Planta</w:t>
      </w:r>
      <w:r w:rsidRPr="0093624D">
        <w:rPr>
          <w:rFonts w:ascii="Times New Roman" w:hAnsi="Times New Roman" w:cs="Times New Roman"/>
          <w:sz w:val="22"/>
          <w:szCs w:val="22"/>
        </w:rPr>
        <w:t xml:space="preserve">, 255, 45. </w:t>
      </w:r>
      <w:hyperlink r:id="rId11" w:tgtFrame="_blank" w:history="1">
        <w:r w:rsidRPr="0093624D">
          <w:rPr>
            <w:rStyle w:val="Hyperlink"/>
            <w:rFonts w:ascii="Times New Roman" w:hAnsi="Times New Roman" w:cs="Times New Roman"/>
            <w:sz w:val="22"/>
            <w:szCs w:val="22"/>
          </w:rPr>
          <w:t>https://doi.org/10.1007/s00425-022-03828-z</w:t>
        </w:r>
      </w:hyperlink>
    </w:p>
    <w:p w14:paraId="3F7F293D" w14:textId="1D6321C0"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Majola, N. G., Gerrano, A. S., &amp; Shimelis, H.</w:t>
      </w:r>
      <w:r w:rsidRPr="0093624D">
        <w:rPr>
          <w:rFonts w:ascii="Times New Roman" w:hAnsi="Times New Roman" w:cs="Times New Roman"/>
          <w:sz w:val="22"/>
          <w:szCs w:val="22"/>
        </w:rPr>
        <w:t xml:space="preserve"> (2021). Bambara groundnut (</w:t>
      </w:r>
      <w:r w:rsidRPr="0093624D">
        <w:rPr>
          <w:rFonts w:ascii="Times New Roman" w:hAnsi="Times New Roman" w:cs="Times New Roman"/>
          <w:i/>
          <w:iCs/>
          <w:sz w:val="22"/>
          <w:szCs w:val="22"/>
        </w:rPr>
        <w:t>Vigna subterranea</w:t>
      </w:r>
      <w:r w:rsidRPr="0093624D">
        <w:rPr>
          <w:rFonts w:ascii="Times New Roman" w:hAnsi="Times New Roman" w:cs="Times New Roman"/>
          <w:sz w:val="22"/>
          <w:szCs w:val="22"/>
        </w:rPr>
        <w:t xml:space="preserve"> [L.] Verdc.) production, utilisation and genetic improvement in sub-Saharan Africa. </w:t>
      </w:r>
      <w:r w:rsidRPr="0093624D">
        <w:rPr>
          <w:rFonts w:ascii="Times New Roman" w:hAnsi="Times New Roman" w:cs="Times New Roman"/>
          <w:i/>
          <w:iCs/>
          <w:sz w:val="22"/>
          <w:szCs w:val="22"/>
        </w:rPr>
        <w:t>Agronomy</w:t>
      </w:r>
      <w:r w:rsidRPr="0093624D">
        <w:rPr>
          <w:rFonts w:ascii="Times New Roman" w:hAnsi="Times New Roman" w:cs="Times New Roman"/>
          <w:sz w:val="22"/>
          <w:szCs w:val="22"/>
        </w:rPr>
        <w:t xml:space="preserve">, 11(7), 1345. </w:t>
      </w:r>
      <w:hyperlink r:id="rId12" w:tgtFrame="_blank" w:history="1">
        <w:r w:rsidRPr="0093624D">
          <w:rPr>
            <w:rStyle w:val="Hyperlink"/>
            <w:rFonts w:ascii="Times New Roman" w:hAnsi="Times New Roman" w:cs="Times New Roman"/>
            <w:sz w:val="22"/>
            <w:szCs w:val="22"/>
          </w:rPr>
          <w:t>https://doi.org/10.3390/agronomy11071345</w:t>
        </w:r>
      </w:hyperlink>
    </w:p>
    <w:p w14:paraId="0C5DEADF" w14:textId="7F12734D"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Mateva, K. I., Chai, H. H., Mayes, S., &amp; Massawe, F.</w:t>
      </w:r>
      <w:r w:rsidRPr="0093624D">
        <w:rPr>
          <w:rFonts w:ascii="Times New Roman" w:hAnsi="Times New Roman" w:cs="Times New Roman"/>
          <w:sz w:val="22"/>
          <w:szCs w:val="22"/>
        </w:rPr>
        <w:t xml:space="preserve"> (2022). Root distribution patterns of Bambara groundnut (</w:t>
      </w:r>
      <w:r w:rsidRPr="0093624D">
        <w:rPr>
          <w:rFonts w:ascii="Times New Roman" w:hAnsi="Times New Roman" w:cs="Times New Roman"/>
          <w:i/>
          <w:iCs/>
          <w:sz w:val="22"/>
          <w:szCs w:val="22"/>
        </w:rPr>
        <w:t>Vigna subterranea</w:t>
      </w:r>
      <w:r w:rsidRPr="0093624D">
        <w:rPr>
          <w:rFonts w:ascii="Times New Roman" w:hAnsi="Times New Roman" w:cs="Times New Roman"/>
          <w:sz w:val="22"/>
          <w:szCs w:val="22"/>
        </w:rPr>
        <w:t xml:space="preserve"> L. Verdc.) landraces under different water regimes. </w:t>
      </w:r>
      <w:r w:rsidRPr="0093624D">
        <w:rPr>
          <w:rFonts w:ascii="Times New Roman" w:hAnsi="Times New Roman" w:cs="Times New Roman"/>
          <w:i/>
          <w:iCs/>
          <w:sz w:val="22"/>
          <w:szCs w:val="22"/>
        </w:rPr>
        <w:t>Frontiers in Plant Science</w:t>
      </w:r>
      <w:r w:rsidRPr="0093624D">
        <w:rPr>
          <w:rFonts w:ascii="Times New Roman" w:hAnsi="Times New Roman" w:cs="Times New Roman"/>
          <w:sz w:val="22"/>
          <w:szCs w:val="22"/>
        </w:rPr>
        <w:t xml:space="preserve">, 13, 760879. </w:t>
      </w:r>
      <w:hyperlink r:id="rId13" w:tgtFrame="_blank" w:history="1">
        <w:r w:rsidRPr="0093624D">
          <w:rPr>
            <w:rStyle w:val="Hyperlink"/>
            <w:rFonts w:ascii="Times New Roman" w:hAnsi="Times New Roman" w:cs="Times New Roman"/>
            <w:sz w:val="22"/>
            <w:szCs w:val="22"/>
          </w:rPr>
          <w:t>https://doi.org/10.3389/fpls.2022.760879</w:t>
        </w:r>
      </w:hyperlink>
    </w:p>
    <w:p w14:paraId="0A081B19" w14:textId="01DE45CA"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Mohale, K. C., Belane, A. K., &amp; Dakora, F. D.</w:t>
      </w:r>
      <w:r w:rsidRPr="0093624D">
        <w:rPr>
          <w:rFonts w:ascii="Times New Roman" w:hAnsi="Times New Roman" w:cs="Times New Roman"/>
          <w:sz w:val="22"/>
          <w:szCs w:val="22"/>
        </w:rPr>
        <w:t xml:space="preserve"> (2014). Symbiotic N nutrition, C assimilation, and plant water relations in Bambara groundnut (</w:t>
      </w:r>
      <w:r w:rsidRPr="0093624D">
        <w:rPr>
          <w:rFonts w:ascii="Times New Roman" w:hAnsi="Times New Roman" w:cs="Times New Roman"/>
          <w:i/>
          <w:iCs/>
          <w:sz w:val="22"/>
          <w:szCs w:val="22"/>
        </w:rPr>
        <w:t>Vigna subterranea</w:t>
      </w:r>
      <w:r w:rsidRPr="0093624D">
        <w:rPr>
          <w:rFonts w:ascii="Times New Roman" w:hAnsi="Times New Roman" w:cs="Times New Roman"/>
          <w:sz w:val="22"/>
          <w:szCs w:val="22"/>
        </w:rPr>
        <w:t xml:space="preserve"> L. Verdc.) landraces grown in farmers' fields in South Africa. </w:t>
      </w:r>
      <w:r w:rsidRPr="0093624D">
        <w:rPr>
          <w:rFonts w:ascii="Times New Roman" w:hAnsi="Times New Roman" w:cs="Times New Roman"/>
          <w:i/>
          <w:iCs/>
          <w:sz w:val="22"/>
          <w:szCs w:val="22"/>
        </w:rPr>
        <w:t>Field Crops Research</w:t>
      </w:r>
      <w:r w:rsidRPr="0093624D">
        <w:rPr>
          <w:rFonts w:ascii="Times New Roman" w:hAnsi="Times New Roman" w:cs="Times New Roman"/>
          <w:sz w:val="22"/>
          <w:szCs w:val="22"/>
        </w:rPr>
        <w:t xml:space="preserve">, 167, 86–94. </w:t>
      </w:r>
      <w:hyperlink r:id="rId14" w:tgtFrame="_blank" w:history="1">
        <w:r w:rsidRPr="0093624D">
          <w:rPr>
            <w:rStyle w:val="Hyperlink"/>
            <w:rFonts w:ascii="Times New Roman" w:hAnsi="Times New Roman" w:cs="Times New Roman"/>
            <w:sz w:val="22"/>
            <w:szCs w:val="22"/>
          </w:rPr>
          <w:t>https://doi.org/10.1016/j.fcr.2014.07.012</w:t>
        </w:r>
      </w:hyperlink>
    </w:p>
    <w:p w14:paraId="74043664" w14:textId="472810C0"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Mubaiwa, J., Fogliano, V., Chidewe, C., Bakker, E. J., &amp; Linnemann, A. R.</w:t>
      </w:r>
      <w:r w:rsidRPr="0093624D">
        <w:rPr>
          <w:rFonts w:ascii="Times New Roman" w:hAnsi="Times New Roman" w:cs="Times New Roman"/>
          <w:sz w:val="22"/>
          <w:szCs w:val="22"/>
        </w:rPr>
        <w:t xml:space="preserve"> (2018). Utilization of bambara groundnut (</w:t>
      </w:r>
      <w:r w:rsidRPr="0093624D">
        <w:rPr>
          <w:rFonts w:ascii="Times New Roman" w:hAnsi="Times New Roman" w:cs="Times New Roman"/>
          <w:i/>
          <w:iCs/>
          <w:sz w:val="22"/>
          <w:szCs w:val="22"/>
        </w:rPr>
        <w:t>Vigna subterranea</w:t>
      </w:r>
      <w:r w:rsidRPr="0093624D">
        <w:rPr>
          <w:rFonts w:ascii="Times New Roman" w:hAnsi="Times New Roman" w:cs="Times New Roman"/>
          <w:sz w:val="22"/>
          <w:szCs w:val="22"/>
        </w:rPr>
        <w:t xml:space="preserve"> (L.) Verdc.) for sustainable food and nutrition security in semi-arid regions of Southern Africa. </w:t>
      </w:r>
      <w:r w:rsidRPr="0093624D">
        <w:rPr>
          <w:rFonts w:ascii="Times New Roman" w:hAnsi="Times New Roman" w:cs="Times New Roman"/>
          <w:i/>
          <w:iCs/>
          <w:sz w:val="22"/>
          <w:szCs w:val="22"/>
        </w:rPr>
        <w:t>PLOS ONE</w:t>
      </w:r>
      <w:r w:rsidRPr="0093624D">
        <w:rPr>
          <w:rFonts w:ascii="Times New Roman" w:hAnsi="Times New Roman" w:cs="Times New Roman"/>
          <w:sz w:val="22"/>
          <w:szCs w:val="22"/>
        </w:rPr>
        <w:t xml:space="preserve">, 13(10), e0204817. </w:t>
      </w:r>
      <w:hyperlink r:id="rId15" w:tgtFrame="_blank" w:history="1">
        <w:r w:rsidRPr="0093624D">
          <w:rPr>
            <w:rStyle w:val="Hyperlink"/>
            <w:rFonts w:ascii="Times New Roman" w:hAnsi="Times New Roman" w:cs="Times New Roman"/>
            <w:sz w:val="22"/>
            <w:szCs w:val="22"/>
          </w:rPr>
          <w:t>https://doi.org/10.1371/journal.pone.0204817</w:t>
        </w:r>
      </w:hyperlink>
    </w:p>
    <w:p w14:paraId="60A78FE4" w14:textId="671782B2"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Naz, H., Akram, N. A., Ashraf, M., Hefft, D. I., &amp; Jan, B. L.</w:t>
      </w:r>
      <w:r w:rsidRPr="0093624D">
        <w:rPr>
          <w:rFonts w:ascii="Times New Roman" w:hAnsi="Times New Roman" w:cs="Times New Roman"/>
          <w:sz w:val="22"/>
          <w:szCs w:val="22"/>
        </w:rPr>
        <w:t xml:space="preserve"> (2022). Neem (</w:t>
      </w:r>
      <w:r w:rsidRPr="0093624D">
        <w:rPr>
          <w:rFonts w:ascii="Times New Roman" w:hAnsi="Times New Roman" w:cs="Times New Roman"/>
          <w:i/>
          <w:iCs/>
          <w:sz w:val="22"/>
          <w:szCs w:val="22"/>
        </w:rPr>
        <w:t>Azadirachta indica</w:t>
      </w:r>
      <w:r w:rsidRPr="0093624D">
        <w:rPr>
          <w:rFonts w:ascii="Times New Roman" w:hAnsi="Times New Roman" w:cs="Times New Roman"/>
          <w:sz w:val="22"/>
          <w:szCs w:val="22"/>
        </w:rPr>
        <w:t>) leaf extract mitigates drought stress in quinoa (</w:t>
      </w:r>
      <w:r w:rsidRPr="0093624D">
        <w:rPr>
          <w:rFonts w:ascii="Times New Roman" w:hAnsi="Times New Roman" w:cs="Times New Roman"/>
          <w:i/>
          <w:iCs/>
          <w:sz w:val="22"/>
          <w:szCs w:val="22"/>
        </w:rPr>
        <w:t>Chenopodium quinoa</w:t>
      </w:r>
      <w:r w:rsidRPr="0093624D">
        <w:rPr>
          <w:rFonts w:ascii="Times New Roman" w:hAnsi="Times New Roman" w:cs="Times New Roman"/>
          <w:sz w:val="22"/>
          <w:szCs w:val="22"/>
        </w:rPr>
        <w:t xml:space="preserve"> Willd.) through modulating physio-biochemical and antioxidant mechanisms. </w:t>
      </w:r>
      <w:r w:rsidRPr="0093624D">
        <w:rPr>
          <w:rFonts w:ascii="Times New Roman" w:hAnsi="Times New Roman" w:cs="Times New Roman"/>
          <w:i/>
          <w:iCs/>
          <w:sz w:val="22"/>
          <w:szCs w:val="22"/>
        </w:rPr>
        <w:t>Saudi Journal of Biological Sciences</w:t>
      </w:r>
      <w:r w:rsidRPr="0093624D">
        <w:rPr>
          <w:rFonts w:ascii="Times New Roman" w:hAnsi="Times New Roman" w:cs="Times New Roman"/>
          <w:sz w:val="22"/>
          <w:szCs w:val="22"/>
        </w:rPr>
        <w:t xml:space="preserve">, 29(3), 1367–1374. </w:t>
      </w:r>
      <w:hyperlink r:id="rId16" w:tgtFrame="_blank" w:history="1">
        <w:r w:rsidRPr="0093624D">
          <w:rPr>
            <w:rStyle w:val="Hyperlink"/>
            <w:rFonts w:ascii="Times New Roman" w:hAnsi="Times New Roman" w:cs="Times New Roman"/>
            <w:sz w:val="22"/>
            <w:szCs w:val="22"/>
          </w:rPr>
          <w:t>https://doi.org/10.1016/j.sjbs.2022.01.035</w:t>
        </w:r>
      </w:hyperlink>
    </w:p>
    <w:p w14:paraId="1747F785" w14:textId="0BFDDB8E"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Noguchi, H. K., Salam, M. A., Oono, O., &amp; Suenaga, K.</w:t>
      </w:r>
      <w:r w:rsidRPr="0093624D">
        <w:rPr>
          <w:rFonts w:ascii="Times New Roman" w:hAnsi="Times New Roman" w:cs="Times New Roman"/>
          <w:sz w:val="22"/>
          <w:szCs w:val="22"/>
        </w:rPr>
        <w:t xml:space="preserve"> (2014). Nimbolide B and nimbic acid B, phytotoxic substances in neem leaves with allelopathic activity. </w:t>
      </w:r>
      <w:r w:rsidRPr="0093624D">
        <w:rPr>
          <w:rFonts w:ascii="Times New Roman" w:hAnsi="Times New Roman" w:cs="Times New Roman"/>
          <w:i/>
          <w:iCs/>
          <w:sz w:val="22"/>
          <w:szCs w:val="22"/>
        </w:rPr>
        <w:t>Molecules</w:t>
      </w:r>
      <w:r w:rsidRPr="0093624D">
        <w:rPr>
          <w:rFonts w:ascii="Times New Roman" w:hAnsi="Times New Roman" w:cs="Times New Roman"/>
          <w:sz w:val="22"/>
          <w:szCs w:val="22"/>
        </w:rPr>
        <w:t xml:space="preserve">, 19(6), 6929–6939. </w:t>
      </w:r>
      <w:hyperlink r:id="rId17" w:tgtFrame="_blank" w:history="1">
        <w:r w:rsidRPr="0093624D">
          <w:rPr>
            <w:rStyle w:val="Hyperlink"/>
            <w:rFonts w:ascii="Times New Roman" w:hAnsi="Times New Roman" w:cs="Times New Roman"/>
            <w:sz w:val="22"/>
            <w:szCs w:val="22"/>
          </w:rPr>
          <w:t>https://doi.org/10.3390/molecules19066929</w:t>
        </w:r>
      </w:hyperlink>
    </w:p>
    <w:p w14:paraId="3EEF6D0D" w14:textId="24DC97DA"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Popović, V., Ljubičić, N., Kostić, M., Radulović, M., Blagojević, D., Ugrenović, V., Popović, D., &amp; Ivošević, B.</w:t>
      </w:r>
      <w:r w:rsidRPr="0093624D">
        <w:rPr>
          <w:rFonts w:ascii="Times New Roman" w:hAnsi="Times New Roman" w:cs="Times New Roman"/>
          <w:sz w:val="22"/>
          <w:szCs w:val="22"/>
        </w:rPr>
        <w:t xml:space="preserve"> (2020). Genotype × Environment Interaction for Wheat Yield Traits Suitable for Selection in Different Seed Priming Conditions. </w:t>
      </w:r>
      <w:r w:rsidRPr="0093624D">
        <w:rPr>
          <w:rFonts w:ascii="Times New Roman" w:hAnsi="Times New Roman" w:cs="Times New Roman"/>
          <w:i/>
          <w:iCs/>
          <w:sz w:val="22"/>
          <w:szCs w:val="22"/>
        </w:rPr>
        <w:t>Plants</w:t>
      </w:r>
      <w:r w:rsidRPr="0093624D">
        <w:rPr>
          <w:rFonts w:ascii="Times New Roman" w:hAnsi="Times New Roman" w:cs="Times New Roman"/>
          <w:sz w:val="22"/>
          <w:szCs w:val="22"/>
        </w:rPr>
        <w:t>, 9(12), 1804. doi:10.3390/plants9121804.</w:t>
      </w:r>
    </w:p>
    <w:p w14:paraId="02376D5C" w14:textId="3DBA41B0"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Queslati, S., Kthiri, Z., Ben Nasr, S., &amp; Hamdi, H.</w:t>
      </w:r>
      <w:r w:rsidRPr="0093624D">
        <w:rPr>
          <w:rFonts w:ascii="Times New Roman" w:hAnsi="Times New Roman" w:cs="Times New Roman"/>
          <w:sz w:val="22"/>
          <w:szCs w:val="22"/>
        </w:rPr>
        <w:t xml:space="preserve"> (2025). Enhancement of seed germination and seedling growth of wheat (</w:t>
      </w:r>
      <w:r w:rsidRPr="0093624D">
        <w:rPr>
          <w:rFonts w:ascii="Times New Roman" w:hAnsi="Times New Roman" w:cs="Times New Roman"/>
          <w:i/>
          <w:iCs/>
          <w:sz w:val="22"/>
          <w:szCs w:val="22"/>
        </w:rPr>
        <w:t>Triticum aestivum</w:t>
      </w:r>
      <w:r w:rsidRPr="0093624D">
        <w:rPr>
          <w:rFonts w:ascii="Times New Roman" w:hAnsi="Times New Roman" w:cs="Times New Roman"/>
          <w:sz w:val="22"/>
          <w:szCs w:val="22"/>
        </w:rPr>
        <w:t xml:space="preserve"> L.) by ginger (</w:t>
      </w:r>
      <w:r w:rsidRPr="0093624D">
        <w:rPr>
          <w:rFonts w:ascii="Times New Roman" w:hAnsi="Times New Roman" w:cs="Times New Roman"/>
          <w:i/>
          <w:iCs/>
          <w:sz w:val="22"/>
          <w:szCs w:val="22"/>
        </w:rPr>
        <w:t>Zingiber officinale</w:t>
      </w:r>
      <w:r w:rsidRPr="0093624D">
        <w:rPr>
          <w:rFonts w:ascii="Times New Roman" w:hAnsi="Times New Roman" w:cs="Times New Roman"/>
          <w:sz w:val="22"/>
          <w:szCs w:val="22"/>
        </w:rPr>
        <w:t xml:space="preserve">) extract priming. </w:t>
      </w:r>
      <w:r w:rsidRPr="0093624D">
        <w:rPr>
          <w:rFonts w:ascii="Times New Roman" w:hAnsi="Times New Roman" w:cs="Times New Roman"/>
          <w:i/>
          <w:iCs/>
          <w:sz w:val="22"/>
          <w:szCs w:val="22"/>
        </w:rPr>
        <w:t>Notulae Botanicae Horti Agrobotanici Cluj-Napoca</w:t>
      </w:r>
      <w:r w:rsidRPr="0093624D">
        <w:rPr>
          <w:rFonts w:ascii="Times New Roman" w:hAnsi="Times New Roman" w:cs="Times New Roman"/>
          <w:sz w:val="22"/>
          <w:szCs w:val="22"/>
        </w:rPr>
        <w:t xml:space="preserve">, 53(4), 14869. </w:t>
      </w:r>
      <w:hyperlink r:id="rId18" w:tgtFrame="_blank" w:history="1">
        <w:r w:rsidRPr="0093624D">
          <w:rPr>
            <w:rStyle w:val="Hyperlink"/>
            <w:rFonts w:ascii="Times New Roman" w:hAnsi="Times New Roman" w:cs="Times New Roman"/>
            <w:sz w:val="22"/>
            <w:szCs w:val="22"/>
          </w:rPr>
          <w:t>https://doi.org/10.15835/nbha53414869</w:t>
        </w:r>
      </w:hyperlink>
    </w:p>
    <w:p w14:paraId="236B0989" w14:textId="2D76DF52"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Radwan, A. M., Ahmed, E. A., Donia, A. M., Mustafa, A. E., &amp; Balah, M. A.</w:t>
      </w:r>
      <w:r w:rsidRPr="0093624D">
        <w:rPr>
          <w:rFonts w:ascii="Times New Roman" w:hAnsi="Times New Roman" w:cs="Times New Roman"/>
          <w:sz w:val="22"/>
          <w:szCs w:val="22"/>
        </w:rPr>
        <w:t xml:space="preserve"> (2023). Priming of </w:t>
      </w:r>
      <w:r w:rsidRPr="0093624D">
        <w:rPr>
          <w:rFonts w:ascii="Times New Roman" w:hAnsi="Times New Roman" w:cs="Times New Roman"/>
          <w:i/>
          <w:iCs/>
          <w:sz w:val="22"/>
          <w:szCs w:val="22"/>
        </w:rPr>
        <w:t>Citrullus Lanatus</w:t>
      </w:r>
      <w:r w:rsidRPr="0093624D">
        <w:rPr>
          <w:rFonts w:ascii="Times New Roman" w:hAnsi="Times New Roman" w:cs="Times New Roman"/>
          <w:sz w:val="22"/>
          <w:szCs w:val="22"/>
        </w:rPr>
        <w:t xml:space="preserve"> Var. </w:t>
      </w:r>
      <w:r w:rsidRPr="0093624D">
        <w:rPr>
          <w:rFonts w:ascii="Times New Roman" w:hAnsi="Times New Roman" w:cs="Times New Roman"/>
          <w:i/>
          <w:iCs/>
          <w:sz w:val="22"/>
          <w:szCs w:val="22"/>
        </w:rPr>
        <w:t>Colocynthoides</w:t>
      </w:r>
      <w:r w:rsidRPr="0093624D">
        <w:rPr>
          <w:rFonts w:ascii="Times New Roman" w:hAnsi="Times New Roman" w:cs="Times New Roman"/>
          <w:sz w:val="22"/>
          <w:szCs w:val="22"/>
        </w:rPr>
        <w:t xml:space="preserve"> Seeds in Seaweed Extract Improved Seed Germination, Plant Growth and Performance under Salinity Conditions. </w:t>
      </w:r>
      <w:r w:rsidRPr="0093624D">
        <w:rPr>
          <w:rFonts w:ascii="Times New Roman" w:hAnsi="Times New Roman" w:cs="Times New Roman"/>
          <w:i/>
          <w:iCs/>
          <w:sz w:val="22"/>
          <w:szCs w:val="22"/>
        </w:rPr>
        <w:t>Scientific Reports</w:t>
      </w:r>
      <w:r w:rsidRPr="0093624D">
        <w:rPr>
          <w:rFonts w:ascii="Times New Roman" w:hAnsi="Times New Roman" w:cs="Times New Roman"/>
          <w:sz w:val="22"/>
          <w:szCs w:val="22"/>
        </w:rPr>
        <w:t>, 13(1), 11884. doi:10.1038/s41598-023-38711-8.</w:t>
      </w:r>
    </w:p>
    <w:p w14:paraId="5C599F91" w14:textId="44621339"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Wagan, M. A., Abro, M., Wagan, G. H., Baloch, M. N., Wahocho, S. A., Chachar, M., et al.</w:t>
      </w:r>
      <w:r w:rsidRPr="0093624D">
        <w:rPr>
          <w:rFonts w:ascii="Times New Roman" w:hAnsi="Times New Roman" w:cs="Times New Roman"/>
          <w:sz w:val="22"/>
          <w:szCs w:val="22"/>
        </w:rPr>
        <w:t xml:space="preserve"> (2025). Priming with Moringa Leaf Extract Enhances the Germination and Early Growth of Peas (</w:t>
      </w:r>
      <w:r w:rsidRPr="0093624D">
        <w:rPr>
          <w:rFonts w:ascii="Times New Roman" w:hAnsi="Times New Roman" w:cs="Times New Roman"/>
          <w:i/>
          <w:iCs/>
          <w:sz w:val="22"/>
          <w:szCs w:val="22"/>
        </w:rPr>
        <w:t>Pisum Sativum</w:t>
      </w:r>
      <w:r w:rsidRPr="0093624D">
        <w:rPr>
          <w:rFonts w:ascii="Times New Roman" w:hAnsi="Times New Roman" w:cs="Times New Roman"/>
          <w:sz w:val="22"/>
          <w:szCs w:val="22"/>
        </w:rPr>
        <w:t xml:space="preserve">). </w:t>
      </w:r>
      <w:r w:rsidRPr="0093624D">
        <w:rPr>
          <w:rFonts w:ascii="Times New Roman" w:hAnsi="Times New Roman" w:cs="Times New Roman"/>
          <w:i/>
          <w:iCs/>
          <w:sz w:val="22"/>
          <w:szCs w:val="22"/>
        </w:rPr>
        <w:t>Journal of Horticulture and Agricultural Sciences</w:t>
      </w:r>
      <w:r w:rsidRPr="0093624D">
        <w:rPr>
          <w:rFonts w:ascii="Times New Roman" w:hAnsi="Times New Roman" w:cs="Times New Roman"/>
          <w:sz w:val="22"/>
          <w:szCs w:val="22"/>
        </w:rPr>
        <w:t>, 2(1), 75–82. doi:10.63459/jhas.2025.1.14.</w:t>
      </w:r>
    </w:p>
    <w:p w14:paraId="754B6380" w14:textId="018841A9"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Wazeer, H., Zeidan, A., Allevi, J., Pagano, A., Dueñas, C., Marocco, A., et al.</w:t>
      </w:r>
      <w:r w:rsidRPr="0093624D">
        <w:rPr>
          <w:rFonts w:ascii="Times New Roman" w:hAnsi="Times New Roman" w:cs="Times New Roman"/>
          <w:sz w:val="22"/>
          <w:szCs w:val="22"/>
        </w:rPr>
        <w:t xml:space="preserve"> (2025). Seed Priming with Plant Waste Extracts Enhances Maize Drought Tolerance in a Genotype-Specific Manner. </w:t>
      </w:r>
      <w:r w:rsidRPr="0093624D">
        <w:rPr>
          <w:rFonts w:ascii="Times New Roman" w:hAnsi="Times New Roman" w:cs="Times New Roman"/>
          <w:i/>
          <w:iCs/>
          <w:sz w:val="22"/>
          <w:szCs w:val="22"/>
        </w:rPr>
        <w:t>Frontiers in Plant Science</w:t>
      </w:r>
      <w:r w:rsidRPr="0093624D">
        <w:rPr>
          <w:rFonts w:ascii="Times New Roman" w:hAnsi="Times New Roman" w:cs="Times New Roman"/>
          <w:sz w:val="22"/>
          <w:szCs w:val="22"/>
        </w:rPr>
        <w:t>, 16, 1717255. doi:10.3389/fpls.2025.1717255.</w:t>
      </w:r>
    </w:p>
    <w:p w14:paraId="68351FEE" w14:textId="634B9C9A"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Wojtyla, L., Lechowska, K., Kubala, S., &amp; Garnczarska, M.</w:t>
      </w:r>
      <w:r w:rsidRPr="0093624D">
        <w:rPr>
          <w:rFonts w:ascii="Times New Roman" w:hAnsi="Times New Roman" w:cs="Times New Roman"/>
          <w:sz w:val="22"/>
          <w:szCs w:val="22"/>
        </w:rPr>
        <w:t xml:space="preserve"> (2016). Molecular processes induced in primed seeds—increasing the potential to stabilize crop yields under drought conditions. </w:t>
      </w:r>
      <w:r w:rsidRPr="0093624D">
        <w:rPr>
          <w:rFonts w:ascii="Times New Roman" w:hAnsi="Times New Roman" w:cs="Times New Roman"/>
          <w:i/>
          <w:iCs/>
          <w:sz w:val="22"/>
          <w:szCs w:val="22"/>
        </w:rPr>
        <w:t>Journal of Plant Physiology</w:t>
      </w:r>
      <w:r w:rsidRPr="0093624D">
        <w:rPr>
          <w:rFonts w:ascii="Times New Roman" w:hAnsi="Times New Roman" w:cs="Times New Roman"/>
          <w:sz w:val="22"/>
          <w:szCs w:val="22"/>
        </w:rPr>
        <w:t xml:space="preserve">, 203, 116–126. </w:t>
      </w:r>
      <w:hyperlink r:id="rId19" w:tgtFrame="_blank" w:history="1">
        <w:r w:rsidRPr="0093624D">
          <w:rPr>
            <w:rStyle w:val="Hyperlink"/>
            <w:rFonts w:ascii="Times New Roman" w:hAnsi="Times New Roman" w:cs="Times New Roman"/>
            <w:sz w:val="22"/>
            <w:szCs w:val="22"/>
          </w:rPr>
          <w:t>https://doi.org/10.1016/j.jplph.2016.04.008</w:t>
        </w:r>
      </w:hyperlink>
    </w:p>
    <w:p w14:paraId="5916E62B" w14:textId="66C3A03A"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Zambia Statistics Agency (ZamStats).</w:t>
      </w:r>
      <w:r w:rsidRPr="0093624D">
        <w:rPr>
          <w:rFonts w:ascii="Times New Roman" w:hAnsi="Times New Roman" w:cs="Times New Roman"/>
          <w:sz w:val="22"/>
          <w:szCs w:val="22"/>
        </w:rPr>
        <w:t xml:space="preserve"> (2024). </w:t>
      </w:r>
      <w:r w:rsidRPr="0093624D">
        <w:rPr>
          <w:rFonts w:ascii="Times New Roman" w:hAnsi="Times New Roman" w:cs="Times New Roman"/>
          <w:i/>
          <w:iCs/>
          <w:sz w:val="22"/>
          <w:szCs w:val="22"/>
        </w:rPr>
        <w:t>2024 Integrated agricultural survey report</w:t>
      </w:r>
      <w:r w:rsidRPr="0093624D">
        <w:rPr>
          <w:rFonts w:ascii="Times New Roman" w:hAnsi="Times New Roman" w:cs="Times New Roman"/>
          <w:sz w:val="22"/>
          <w:szCs w:val="22"/>
        </w:rPr>
        <w:t>. Government of the Republic of Zambia.</w:t>
      </w:r>
    </w:p>
    <w:p w14:paraId="14EEFD21" w14:textId="77777777" w:rsidR="008D2AAE" w:rsidRPr="006D0D50" w:rsidRDefault="008D2AAE" w:rsidP="0093624D">
      <w:pPr>
        <w:pStyle w:val="Title"/>
        <w:jc w:val="both"/>
        <w:rPr>
          <w:rFonts w:ascii="Times New Roman" w:hAnsi="Times New Roman" w:cs="Times New Roman"/>
          <w:sz w:val="22"/>
          <w:szCs w:val="22"/>
        </w:rPr>
      </w:pPr>
    </w:p>
    <w:p w14:paraId="5EAC4B3E" w14:textId="77777777" w:rsidR="00AC4A90" w:rsidRPr="006D0D50" w:rsidRDefault="00AC4A90" w:rsidP="0093624D">
      <w:pPr>
        <w:jc w:val="both"/>
        <w:rPr>
          <w:rFonts w:ascii="Times New Roman" w:hAnsi="Times New Roman" w:cs="Times New Roman"/>
          <w:sz w:val="22"/>
          <w:szCs w:val="22"/>
        </w:rPr>
      </w:pPr>
    </w:p>
    <w:p w14:paraId="1824442E" w14:textId="77777777" w:rsidR="006D0D50" w:rsidRDefault="006D0D50" w:rsidP="0093624D">
      <w:pPr>
        <w:jc w:val="both"/>
        <w:rPr>
          <w:rFonts w:ascii="Times New Roman" w:hAnsi="Times New Roman" w:cs="Times New Roman"/>
          <w:b/>
          <w:bCs/>
          <w:sz w:val="22"/>
          <w:szCs w:val="22"/>
        </w:rPr>
      </w:pPr>
    </w:p>
    <w:p w14:paraId="6FF57C86" w14:textId="77777777" w:rsidR="003323F4" w:rsidRDefault="003323F4" w:rsidP="0093624D">
      <w:pPr>
        <w:jc w:val="both"/>
        <w:rPr>
          <w:rFonts w:ascii="Times New Roman" w:hAnsi="Times New Roman" w:cs="Times New Roman"/>
          <w:b/>
          <w:bCs/>
          <w:sz w:val="22"/>
          <w:szCs w:val="22"/>
        </w:rPr>
      </w:pPr>
    </w:p>
    <w:p w14:paraId="0727B345" w14:textId="77777777" w:rsidR="003323F4" w:rsidRDefault="003323F4" w:rsidP="0093624D">
      <w:pPr>
        <w:jc w:val="both"/>
        <w:rPr>
          <w:rFonts w:ascii="Times New Roman" w:hAnsi="Times New Roman" w:cs="Times New Roman"/>
          <w:b/>
          <w:bCs/>
          <w:sz w:val="22"/>
          <w:szCs w:val="22"/>
        </w:rPr>
      </w:pPr>
    </w:p>
    <w:p w14:paraId="57AAFA8A" w14:textId="77777777" w:rsidR="003323F4" w:rsidRDefault="003323F4" w:rsidP="00BF29B0">
      <w:pPr>
        <w:jc w:val="both"/>
        <w:rPr>
          <w:rFonts w:ascii="Times New Roman" w:hAnsi="Times New Roman" w:cs="Times New Roman"/>
          <w:b/>
          <w:bCs/>
          <w:sz w:val="22"/>
          <w:szCs w:val="22"/>
        </w:rPr>
      </w:pPr>
    </w:p>
    <w:p w14:paraId="06DE4FC3" w14:textId="77777777" w:rsidR="003323F4" w:rsidRDefault="003323F4" w:rsidP="00BF29B0">
      <w:pPr>
        <w:jc w:val="both"/>
        <w:rPr>
          <w:rFonts w:ascii="Times New Roman" w:hAnsi="Times New Roman" w:cs="Times New Roman"/>
          <w:b/>
          <w:bCs/>
          <w:sz w:val="22"/>
          <w:szCs w:val="22"/>
        </w:rPr>
      </w:pPr>
    </w:p>
    <w:p w14:paraId="268323FE" w14:textId="77777777" w:rsidR="000A26C0" w:rsidRDefault="000A26C0" w:rsidP="00BF29B0">
      <w:pPr>
        <w:jc w:val="both"/>
        <w:rPr>
          <w:rFonts w:ascii="Times New Roman" w:hAnsi="Times New Roman" w:cs="Times New Roman"/>
          <w:b/>
          <w:bCs/>
          <w:sz w:val="22"/>
          <w:szCs w:val="22"/>
        </w:rPr>
      </w:pPr>
    </w:p>
    <w:p w14:paraId="3322C95A" w14:textId="77777777" w:rsidR="000A26C0" w:rsidRDefault="000A26C0" w:rsidP="00BF29B0">
      <w:pPr>
        <w:jc w:val="both"/>
        <w:rPr>
          <w:rFonts w:ascii="Times New Roman" w:hAnsi="Times New Roman" w:cs="Times New Roman"/>
          <w:b/>
          <w:bCs/>
          <w:sz w:val="22"/>
          <w:szCs w:val="22"/>
        </w:rPr>
      </w:pPr>
    </w:p>
    <w:p w14:paraId="27746106" w14:textId="77777777" w:rsidR="003323F4" w:rsidRDefault="003323F4" w:rsidP="00BF29B0">
      <w:pPr>
        <w:jc w:val="both"/>
        <w:rPr>
          <w:rFonts w:ascii="Times New Roman" w:hAnsi="Times New Roman" w:cs="Times New Roman"/>
          <w:b/>
          <w:bCs/>
          <w:sz w:val="22"/>
          <w:szCs w:val="22"/>
        </w:rPr>
      </w:pPr>
    </w:p>
    <w:p w14:paraId="3B170231" w14:textId="77777777" w:rsidR="003323F4" w:rsidRDefault="003323F4" w:rsidP="00BF29B0">
      <w:pPr>
        <w:jc w:val="both"/>
        <w:rPr>
          <w:rFonts w:ascii="Times New Roman" w:hAnsi="Times New Roman" w:cs="Times New Roman"/>
          <w:b/>
          <w:bCs/>
          <w:sz w:val="22"/>
          <w:szCs w:val="22"/>
        </w:rPr>
      </w:pPr>
    </w:p>
    <w:p w14:paraId="12DA91BA" w14:textId="2A4898CE" w:rsidR="0096710F" w:rsidRPr="006D0D50" w:rsidRDefault="0096710F" w:rsidP="00BF29B0">
      <w:pPr>
        <w:jc w:val="both"/>
        <w:rPr>
          <w:rFonts w:ascii="Times New Roman" w:hAnsi="Times New Roman" w:cs="Times New Roman"/>
          <w:b/>
          <w:bCs/>
          <w:sz w:val="22"/>
          <w:szCs w:val="22"/>
        </w:rPr>
      </w:pPr>
      <w:r w:rsidRPr="006D0D50">
        <w:rPr>
          <w:rFonts w:ascii="Times New Roman" w:hAnsi="Times New Roman" w:cs="Times New Roman"/>
          <w:b/>
          <w:bCs/>
          <w:sz w:val="22"/>
          <w:szCs w:val="22"/>
        </w:rPr>
        <w:t>Figure 1</w:t>
      </w:r>
    </w:p>
    <w:p w14:paraId="3C28E589" w14:textId="07FA93E3" w:rsidR="0096710F" w:rsidRPr="006D0D50" w:rsidRDefault="0096710F" w:rsidP="00BF29B0">
      <w:pPr>
        <w:jc w:val="both"/>
        <w:rPr>
          <w:rFonts w:ascii="Times New Roman" w:hAnsi="Times New Roman" w:cs="Times New Roman"/>
          <w:b/>
          <w:bCs/>
          <w:sz w:val="22"/>
          <w:szCs w:val="22"/>
        </w:rPr>
      </w:pPr>
      <w:r w:rsidRPr="006D0D50">
        <w:rPr>
          <w:rFonts w:ascii="Times New Roman" w:hAnsi="Times New Roman" w:cs="Times New Roman"/>
          <w:noProof/>
          <w:sz w:val="22"/>
          <w:szCs w:val="22"/>
        </w:rPr>
        <w:drawing>
          <wp:inline distT="0" distB="0" distL="0" distR="0" wp14:anchorId="33081A25" wp14:editId="252EB89E">
            <wp:extent cx="5731510" cy="4094641"/>
            <wp:effectExtent l="0" t="0" r="2540" b="1270"/>
            <wp:docPr id="18" name="Picture 18" descr="C:\Users\New User\Downloads\Code_Generated_Image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ew User\Downloads\Code_Generated_Image (1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1510" cy="4094641"/>
                    </a:xfrm>
                    <a:prstGeom prst="rect">
                      <a:avLst/>
                    </a:prstGeom>
                    <a:noFill/>
                    <a:ln>
                      <a:noFill/>
                    </a:ln>
                  </pic:spPr>
                </pic:pic>
              </a:graphicData>
            </a:graphic>
          </wp:inline>
        </w:drawing>
      </w:r>
    </w:p>
    <w:p w14:paraId="2ED1EF4D" w14:textId="1F52043C" w:rsidR="00BF29B0" w:rsidRPr="006D0D50" w:rsidRDefault="0096710F" w:rsidP="00BF29B0">
      <w:pPr>
        <w:jc w:val="both"/>
        <w:rPr>
          <w:rFonts w:ascii="Times New Roman" w:hAnsi="Times New Roman" w:cs="Times New Roman"/>
          <w:sz w:val="22"/>
          <w:szCs w:val="22"/>
        </w:rPr>
      </w:pPr>
      <w:r w:rsidRPr="006D0D50">
        <w:rPr>
          <w:rFonts w:ascii="Times New Roman" w:hAnsi="Times New Roman" w:cs="Times New Roman"/>
          <w:b/>
          <w:bCs/>
          <w:sz w:val="22"/>
          <w:szCs w:val="22"/>
        </w:rPr>
        <w:t>Figure 1: Effect of seed priming with ginger (G) and neem (N) extracts on the germination kinetics of two Bambara groundnut genotypes (ZM 1856 and ZM 2656).</w:t>
      </w:r>
      <w:r w:rsidRPr="006D0D50">
        <w:rPr>
          <w:rFonts w:ascii="Times New Roman" w:hAnsi="Times New Roman" w:cs="Times New Roman"/>
          <w:sz w:val="22"/>
          <w:szCs w:val="22"/>
        </w:rPr>
        <w:t> (A) Germination Index (GI), which integrates both the speed and completeness of germination. (B) Mean Germination Time (MGT), where lower values indicate faster germination. (C) Final Germination Percentage. (D) Seed Vigour Index (SVI), calculated as germination percentage × seedling length. Control seeds (G0/N0) were primed with distilled water. Data points represent the mean of four replicates, and error bars indicate the standard error of the mean (SEM).</w:t>
      </w:r>
    </w:p>
    <w:p w14:paraId="60FD9BED" w14:textId="77777777" w:rsidR="0096710F" w:rsidRPr="006D0D50" w:rsidRDefault="0096710F" w:rsidP="00BF29B0">
      <w:pPr>
        <w:jc w:val="both"/>
        <w:rPr>
          <w:rFonts w:ascii="Times New Roman" w:hAnsi="Times New Roman" w:cs="Times New Roman"/>
          <w:sz w:val="22"/>
          <w:szCs w:val="22"/>
        </w:rPr>
      </w:pPr>
    </w:p>
    <w:p w14:paraId="35121756" w14:textId="77777777" w:rsidR="0096710F" w:rsidRPr="006D0D50" w:rsidRDefault="0096710F" w:rsidP="00BF29B0">
      <w:pPr>
        <w:jc w:val="both"/>
        <w:rPr>
          <w:rFonts w:ascii="Times New Roman" w:hAnsi="Times New Roman" w:cs="Times New Roman"/>
          <w:sz w:val="22"/>
          <w:szCs w:val="22"/>
        </w:rPr>
      </w:pPr>
    </w:p>
    <w:p w14:paraId="75AF2366" w14:textId="77777777" w:rsidR="0096710F" w:rsidRPr="006D0D50" w:rsidRDefault="0096710F" w:rsidP="00BF29B0">
      <w:pPr>
        <w:jc w:val="both"/>
        <w:rPr>
          <w:rFonts w:ascii="Times New Roman" w:hAnsi="Times New Roman" w:cs="Times New Roman"/>
          <w:sz w:val="22"/>
          <w:szCs w:val="22"/>
        </w:rPr>
      </w:pPr>
    </w:p>
    <w:p w14:paraId="7827EEBD" w14:textId="77777777" w:rsidR="0096710F" w:rsidRPr="006D0D50" w:rsidRDefault="0096710F" w:rsidP="00BF29B0">
      <w:pPr>
        <w:jc w:val="both"/>
        <w:rPr>
          <w:rFonts w:ascii="Times New Roman" w:hAnsi="Times New Roman" w:cs="Times New Roman"/>
          <w:sz w:val="22"/>
          <w:szCs w:val="22"/>
        </w:rPr>
      </w:pPr>
    </w:p>
    <w:p w14:paraId="7BCC21BA" w14:textId="77777777" w:rsidR="0096710F" w:rsidRPr="006D0D50" w:rsidRDefault="0096710F" w:rsidP="00BF29B0">
      <w:pPr>
        <w:jc w:val="both"/>
        <w:rPr>
          <w:rFonts w:ascii="Times New Roman" w:hAnsi="Times New Roman" w:cs="Times New Roman"/>
          <w:sz w:val="22"/>
          <w:szCs w:val="22"/>
        </w:rPr>
      </w:pPr>
    </w:p>
    <w:p w14:paraId="0EF19E93" w14:textId="77777777" w:rsidR="0096710F" w:rsidRPr="006D0D50" w:rsidRDefault="0096710F" w:rsidP="00BF29B0">
      <w:pPr>
        <w:jc w:val="both"/>
        <w:rPr>
          <w:rFonts w:ascii="Times New Roman" w:hAnsi="Times New Roman" w:cs="Times New Roman"/>
          <w:sz w:val="22"/>
          <w:szCs w:val="22"/>
        </w:rPr>
      </w:pPr>
    </w:p>
    <w:p w14:paraId="217A9E9B" w14:textId="77777777" w:rsidR="0096710F" w:rsidRPr="006D0D50" w:rsidRDefault="0096710F" w:rsidP="00BF29B0">
      <w:pPr>
        <w:jc w:val="both"/>
        <w:rPr>
          <w:rFonts w:ascii="Times New Roman" w:hAnsi="Times New Roman" w:cs="Times New Roman"/>
          <w:sz w:val="22"/>
          <w:szCs w:val="22"/>
        </w:rPr>
      </w:pPr>
    </w:p>
    <w:p w14:paraId="00CD5B1D" w14:textId="77777777" w:rsidR="0096710F" w:rsidRPr="006D0D50" w:rsidRDefault="0096710F" w:rsidP="00BF29B0">
      <w:pPr>
        <w:jc w:val="both"/>
        <w:rPr>
          <w:rFonts w:ascii="Times New Roman" w:hAnsi="Times New Roman" w:cs="Times New Roman"/>
          <w:sz w:val="22"/>
          <w:szCs w:val="22"/>
        </w:rPr>
      </w:pPr>
    </w:p>
    <w:p w14:paraId="1BE20336" w14:textId="77777777" w:rsidR="0096710F" w:rsidRPr="006D0D50" w:rsidRDefault="0096710F" w:rsidP="00BF29B0">
      <w:pPr>
        <w:jc w:val="both"/>
        <w:rPr>
          <w:rFonts w:ascii="Times New Roman" w:hAnsi="Times New Roman" w:cs="Times New Roman"/>
          <w:sz w:val="22"/>
          <w:szCs w:val="22"/>
        </w:rPr>
      </w:pPr>
    </w:p>
    <w:p w14:paraId="088200D4" w14:textId="77777777" w:rsidR="0096710F" w:rsidRPr="006D0D50" w:rsidRDefault="0096710F" w:rsidP="00BF29B0">
      <w:pPr>
        <w:jc w:val="both"/>
        <w:rPr>
          <w:rFonts w:ascii="Times New Roman" w:hAnsi="Times New Roman" w:cs="Times New Roman"/>
          <w:sz w:val="22"/>
          <w:szCs w:val="22"/>
        </w:rPr>
      </w:pPr>
    </w:p>
    <w:p w14:paraId="30E07A93" w14:textId="77777777" w:rsidR="002C5D79" w:rsidRPr="006D0D50" w:rsidRDefault="002C5D79" w:rsidP="00BF29B0">
      <w:pPr>
        <w:jc w:val="both"/>
        <w:rPr>
          <w:rFonts w:ascii="Times New Roman" w:hAnsi="Times New Roman" w:cs="Times New Roman"/>
          <w:sz w:val="22"/>
          <w:szCs w:val="22"/>
        </w:rPr>
      </w:pPr>
    </w:p>
    <w:p w14:paraId="3EBB8DD4" w14:textId="4A8D7C25" w:rsidR="0096710F" w:rsidRPr="006D0D50" w:rsidRDefault="002C5D79" w:rsidP="00BF29B0">
      <w:pPr>
        <w:jc w:val="both"/>
        <w:rPr>
          <w:rFonts w:ascii="Times New Roman" w:hAnsi="Times New Roman" w:cs="Times New Roman"/>
          <w:sz w:val="22"/>
          <w:szCs w:val="22"/>
        </w:rPr>
      </w:pPr>
      <w:r w:rsidRPr="006D0D50">
        <w:rPr>
          <w:rFonts w:ascii="Times New Roman" w:hAnsi="Times New Roman" w:cs="Times New Roman"/>
          <w:sz w:val="22"/>
          <w:szCs w:val="22"/>
        </w:rPr>
        <w:t>.</w:t>
      </w:r>
      <w:r w:rsidRPr="006D0D50">
        <w:rPr>
          <w:rFonts w:ascii="Times New Roman" w:eastAsia="Times New Roman" w:hAnsi="Times New Roman" w:cs="Times New Roman"/>
          <w:noProof/>
          <w:sz w:val="22"/>
          <w:szCs w:val="22"/>
        </w:rPr>
        <w:drawing>
          <wp:inline distT="0" distB="0" distL="0" distR="0" wp14:anchorId="76B8DB21" wp14:editId="7A22D412">
            <wp:extent cx="5248275" cy="3060400"/>
            <wp:effectExtent l="0" t="0" r="0" b="6985"/>
            <wp:docPr id="20" name="Picture 20" descr="C:\Users\New User\Downloads\Code_Generated_Image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ew User\Downloads\Code_Generated_Image (1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54163" cy="3063833"/>
                    </a:xfrm>
                    <a:prstGeom prst="rect">
                      <a:avLst/>
                    </a:prstGeom>
                    <a:noFill/>
                    <a:ln>
                      <a:noFill/>
                    </a:ln>
                  </pic:spPr>
                </pic:pic>
              </a:graphicData>
            </a:graphic>
          </wp:inline>
        </w:drawing>
      </w:r>
    </w:p>
    <w:p w14:paraId="4082F0D9" w14:textId="7A5E8B25" w:rsidR="002C5D79" w:rsidRPr="006D0D50" w:rsidRDefault="002C5D79" w:rsidP="00BF29B0">
      <w:pPr>
        <w:jc w:val="both"/>
        <w:rPr>
          <w:rFonts w:ascii="Times New Roman" w:hAnsi="Times New Roman" w:cs="Times New Roman"/>
          <w:sz w:val="22"/>
          <w:szCs w:val="22"/>
        </w:rPr>
      </w:pPr>
      <w:r w:rsidRPr="006D0D50">
        <w:rPr>
          <w:rFonts w:ascii="Times New Roman" w:hAnsi="Times New Roman" w:cs="Times New Roman"/>
          <w:b/>
          <w:bCs/>
          <w:sz w:val="22"/>
          <w:szCs w:val="22"/>
        </w:rPr>
        <w:t>Figure 2: Effect of seed priming with ginger (G) and neem (N) extracts on root nodulation in two Bambara groundnut genotypes (ZM 1856 and ZM 2656) under subsequent water stress.</w:t>
      </w:r>
      <w:r w:rsidRPr="006D0D50">
        <w:rPr>
          <w:rFonts w:ascii="Times New Roman" w:hAnsi="Times New Roman" w:cs="Times New Roman"/>
          <w:sz w:val="22"/>
          <w:szCs w:val="22"/>
        </w:rPr>
        <w:t> The number of root nodules per plant was counted at 30 days after emergence. Control seeds (G0/N0) were primed with distilled water. Bars represent the mean of four replicates, and error bars indicate the standard error of the mean (SEM). Treatment had a very large and significant effect on nodulation (η² = 0.55, p &lt; 0.001). Ginger treatments, particularly G10 for ZM 1856 and G20 for ZM 2656, resulted in the highest nodule counts, nearly doubling those of the non-primed controls</w:t>
      </w:r>
    </w:p>
    <w:p w14:paraId="2CF2E045" w14:textId="77777777" w:rsidR="00B2156A" w:rsidRPr="006D0D50" w:rsidRDefault="00B2156A" w:rsidP="00BF29B0">
      <w:pPr>
        <w:jc w:val="both"/>
        <w:rPr>
          <w:rFonts w:ascii="Times New Roman" w:hAnsi="Times New Roman" w:cs="Times New Roman"/>
          <w:sz w:val="22"/>
          <w:szCs w:val="22"/>
        </w:rPr>
      </w:pPr>
    </w:p>
    <w:p w14:paraId="194A59F2" w14:textId="77777777" w:rsidR="00B2156A" w:rsidRPr="006D0D50" w:rsidRDefault="00B2156A" w:rsidP="00BF29B0">
      <w:pPr>
        <w:jc w:val="both"/>
        <w:rPr>
          <w:rFonts w:ascii="Times New Roman" w:hAnsi="Times New Roman" w:cs="Times New Roman"/>
          <w:sz w:val="22"/>
          <w:szCs w:val="22"/>
        </w:rPr>
      </w:pPr>
    </w:p>
    <w:p w14:paraId="692A4D3D" w14:textId="77777777" w:rsidR="009E3DCE" w:rsidRPr="006D0D50" w:rsidRDefault="009E3DCE" w:rsidP="00BF29B0">
      <w:pPr>
        <w:jc w:val="both"/>
        <w:rPr>
          <w:rFonts w:ascii="Times New Roman" w:hAnsi="Times New Roman" w:cs="Times New Roman"/>
          <w:sz w:val="22"/>
          <w:szCs w:val="22"/>
        </w:rPr>
      </w:pPr>
    </w:p>
    <w:p w14:paraId="67A15E9E" w14:textId="4AD504E9" w:rsidR="00B2156A" w:rsidRPr="006D0D50" w:rsidRDefault="00B2156A" w:rsidP="00BF29B0">
      <w:pPr>
        <w:jc w:val="both"/>
        <w:rPr>
          <w:rFonts w:ascii="Times New Roman" w:hAnsi="Times New Roman" w:cs="Times New Roman"/>
          <w:sz w:val="22"/>
          <w:szCs w:val="22"/>
        </w:rPr>
      </w:pPr>
      <w:r w:rsidRPr="006D0D50">
        <w:rPr>
          <w:rFonts w:ascii="Times New Roman" w:hAnsi="Times New Roman" w:cs="Times New Roman"/>
          <w:noProof/>
          <w:sz w:val="22"/>
          <w:szCs w:val="22"/>
        </w:rPr>
        <w:lastRenderedPageBreak/>
        <w:drawing>
          <wp:inline distT="0" distB="0" distL="0" distR="0" wp14:anchorId="08916B67" wp14:editId="4DD1F0CF">
            <wp:extent cx="4819650" cy="4181475"/>
            <wp:effectExtent l="0" t="0" r="0"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7D66AFB" w14:textId="4A764FE1" w:rsidR="009E3DCE" w:rsidRPr="006D0D50" w:rsidRDefault="00D93066" w:rsidP="00BF29B0">
      <w:pPr>
        <w:jc w:val="both"/>
        <w:rPr>
          <w:rFonts w:ascii="Times New Roman" w:hAnsi="Times New Roman" w:cs="Times New Roman"/>
          <w:sz w:val="22"/>
          <w:szCs w:val="22"/>
        </w:rPr>
      </w:pPr>
      <w:r w:rsidRPr="006D0D50">
        <w:rPr>
          <w:rFonts w:ascii="Times New Roman" w:hAnsi="Times New Roman" w:cs="Times New Roman"/>
          <w:sz w:val="22"/>
          <w:szCs w:val="22"/>
        </w:rPr>
        <w:t>Figure 3: Effect of seed priming with ginger (G) and neem (N) extracts on the water status of two Bambara groundnut genotypes (ZM 1856 and ZM 2656) subjected to water stress. Measurements were taken at 30 days after emergence, following 14 days of irrigation withdrawal. (A) Relative Moisture Content (RMC) expressed as percentage point increase over the non-primed control (orange bars). The absolute RMC of control plants was approximately 45% for both genotypes (baseline set to 0 in the figure). Bars represent the mean improvement in RMC (n = 4, ±SEM). The highest RMC improvement for ZM 1856 was observed under G15 (</w:t>
      </w:r>
      <w:r w:rsidRPr="006D0D50">
        <w:rPr>
          <w:rFonts w:ascii="Cambria Math" w:hAnsi="Cambria Math" w:cs="Cambria Math"/>
          <w:sz w:val="22"/>
          <w:szCs w:val="22"/>
        </w:rPr>
        <w:t>∼</w:t>
      </w:r>
      <w:r w:rsidRPr="006D0D50">
        <w:rPr>
          <w:rFonts w:ascii="Times New Roman" w:hAnsi="Times New Roman" w:cs="Times New Roman"/>
          <w:sz w:val="22"/>
          <w:szCs w:val="22"/>
        </w:rPr>
        <w:t>8 percentage points</w:t>
      </w:r>
      <w:r w:rsidR="005775DB" w:rsidRPr="006D0D50">
        <w:rPr>
          <w:rFonts w:ascii="Times New Roman" w:hAnsi="Times New Roman" w:cs="Times New Roman"/>
          <w:sz w:val="22"/>
          <w:szCs w:val="22"/>
        </w:rPr>
        <w:t>),</w:t>
      </w:r>
      <w:r w:rsidRPr="006D0D50">
        <w:rPr>
          <w:rFonts w:ascii="Times New Roman" w:hAnsi="Times New Roman" w:cs="Times New Roman"/>
          <w:sz w:val="22"/>
          <w:szCs w:val="22"/>
        </w:rPr>
        <w:t xml:space="preserve"> while for ZM 2656, the greatest improvement was under G10 (</w:t>
      </w:r>
      <w:r w:rsidRPr="006D0D50">
        <w:rPr>
          <w:rFonts w:ascii="Cambria Math" w:hAnsi="Cambria Math" w:cs="Cambria Math"/>
          <w:sz w:val="22"/>
          <w:szCs w:val="22"/>
        </w:rPr>
        <w:t>∼</w:t>
      </w:r>
      <w:r w:rsidRPr="006D0D50">
        <w:rPr>
          <w:rFonts w:ascii="Times New Roman" w:hAnsi="Times New Roman" w:cs="Times New Roman"/>
          <w:sz w:val="22"/>
          <w:szCs w:val="22"/>
        </w:rPr>
        <w:t>7 percentage points</w:t>
      </w:r>
      <w:r w:rsidR="005775DB" w:rsidRPr="006D0D50">
        <w:rPr>
          <w:rFonts w:ascii="Times New Roman" w:hAnsi="Times New Roman" w:cs="Times New Roman"/>
          <w:sz w:val="22"/>
          <w:szCs w:val="22"/>
        </w:rPr>
        <w:t>).</w:t>
      </w:r>
      <w:r w:rsidRPr="006D0D50">
        <w:rPr>
          <w:rFonts w:ascii="Times New Roman" w:hAnsi="Times New Roman" w:cs="Times New Roman"/>
          <w:sz w:val="22"/>
          <w:szCs w:val="22"/>
        </w:rPr>
        <w:t> (B) Visual wilting scores (blue bars</w:t>
      </w:r>
      <w:r w:rsidR="005775DB" w:rsidRPr="006D0D50">
        <w:rPr>
          <w:rFonts w:ascii="Times New Roman" w:hAnsi="Times New Roman" w:cs="Times New Roman"/>
          <w:sz w:val="22"/>
          <w:szCs w:val="22"/>
        </w:rPr>
        <w:t>),</w:t>
      </w:r>
      <w:r w:rsidRPr="006D0D50">
        <w:rPr>
          <w:rFonts w:ascii="Times New Roman" w:hAnsi="Times New Roman" w:cs="Times New Roman"/>
          <w:sz w:val="22"/>
          <w:szCs w:val="22"/>
        </w:rPr>
        <w:t xml:space="preserve"> where a lower score indicates less severe stress symptoms (1 = turgid, 5 = completely wilted). Control plants for both genotypes recorded the highest wilting scores (4.5</w:t>
      </w:r>
      <w:r w:rsidR="005775DB" w:rsidRPr="006D0D50">
        <w:rPr>
          <w:rFonts w:ascii="Times New Roman" w:hAnsi="Times New Roman" w:cs="Times New Roman"/>
          <w:sz w:val="22"/>
          <w:szCs w:val="22"/>
        </w:rPr>
        <w:t>).</w:t>
      </w:r>
      <w:r w:rsidRPr="006D0D50">
        <w:rPr>
          <w:rFonts w:ascii="Times New Roman" w:hAnsi="Times New Roman" w:cs="Times New Roman"/>
          <w:sz w:val="22"/>
          <w:szCs w:val="22"/>
        </w:rPr>
        <w:t xml:space="preserve"> </w:t>
      </w:r>
    </w:p>
    <w:p w14:paraId="429FB8C0" w14:textId="77777777" w:rsidR="009E3DCE" w:rsidRPr="006D0D50" w:rsidRDefault="009E3DCE" w:rsidP="00BF29B0">
      <w:pPr>
        <w:jc w:val="both"/>
        <w:rPr>
          <w:rFonts w:ascii="Times New Roman" w:hAnsi="Times New Roman" w:cs="Times New Roman"/>
          <w:sz w:val="22"/>
          <w:szCs w:val="22"/>
        </w:rPr>
      </w:pPr>
    </w:p>
    <w:p w14:paraId="285DF611" w14:textId="77777777" w:rsidR="009E3DCE" w:rsidRPr="006D0D50" w:rsidRDefault="009E3DCE" w:rsidP="00BF29B0">
      <w:pPr>
        <w:jc w:val="both"/>
        <w:rPr>
          <w:rFonts w:ascii="Times New Roman" w:hAnsi="Times New Roman" w:cs="Times New Roman"/>
          <w:sz w:val="22"/>
          <w:szCs w:val="22"/>
        </w:rPr>
      </w:pPr>
    </w:p>
    <w:p w14:paraId="4DE0DC2B" w14:textId="77777777" w:rsidR="009E3DCE" w:rsidRPr="006D0D50" w:rsidRDefault="009E3DCE" w:rsidP="00BF29B0">
      <w:pPr>
        <w:jc w:val="both"/>
        <w:rPr>
          <w:rFonts w:ascii="Times New Roman" w:hAnsi="Times New Roman" w:cs="Times New Roman"/>
          <w:sz w:val="22"/>
          <w:szCs w:val="22"/>
        </w:rPr>
      </w:pPr>
    </w:p>
    <w:p w14:paraId="18754FFA" w14:textId="77777777" w:rsidR="009E3DCE" w:rsidRPr="006D0D50" w:rsidRDefault="009E3DCE" w:rsidP="00BF29B0">
      <w:pPr>
        <w:jc w:val="both"/>
        <w:rPr>
          <w:rFonts w:ascii="Times New Roman" w:hAnsi="Times New Roman" w:cs="Times New Roman"/>
          <w:sz w:val="22"/>
          <w:szCs w:val="22"/>
        </w:rPr>
      </w:pPr>
    </w:p>
    <w:p w14:paraId="2EC200DE" w14:textId="77777777" w:rsidR="009E3DCE" w:rsidRPr="006D0D50" w:rsidRDefault="009E3DCE" w:rsidP="00BF29B0">
      <w:pPr>
        <w:jc w:val="both"/>
        <w:rPr>
          <w:rFonts w:ascii="Times New Roman" w:hAnsi="Times New Roman" w:cs="Times New Roman"/>
          <w:sz w:val="22"/>
          <w:szCs w:val="22"/>
        </w:rPr>
      </w:pPr>
    </w:p>
    <w:p w14:paraId="446FAA07" w14:textId="77777777" w:rsidR="009E3DCE" w:rsidRPr="006D0D50" w:rsidRDefault="009E3DCE" w:rsidP="00BF29B0">
      <w:pPr>
        <w:jc w:val="both"/>
        <w:rPr>
          <w:rFonts w:ascii="Times New Roman" w:hAnsi="Times New Roman" w:cs="Times New Roman"/>
          <w:sz w:val="22"/>
          <w:szCs w:val="22"/>
        </w:rPr>
      </w:pPr>
    </w:p>
    <w:p w14:paraId="042C6A3D" w14:textId="77777777" w:rsidR="009E3DCE" w:rsidRPr="006D0D50" w:rsidRDefault="009E3DCE" w:rsidP="00BF29B0">
      <w:pPr>
        <w:jc w:val="both"/>
        <w:rPr>
          <w:rFonts w:ascii="Times New Roman" w:hAnsi="Times New Roman" w:cs="Times New Roman"/>
          <w:sz w:val="22"/>
          <w:szCs w:val="22"/>
        </w:rPr>
      </w:pPr>
    </w:p>
    <w:p w14:paraId="5850462D" w14:textId="77777777" w:rsidR="009E3DCE" w:rsidRPr="006D0D50" w:rsidRDefault="009E3DCE" w:rsidP="00BF29B0">
      <w:pPr>
        <w:jc w:val="both"/>
        <w:rPr>
          <w:rFonts w:ascii="Times New Roman" w:hAnsi="Times New Roman" w:cs="Times New Roman"/>
          <w:sz w:val="22"/>
          <w:szCs w:val="22"/>
        </w:rPr>
      </w:pPr>
    </w:p>
    <w:p w14:paraId="31EC8947" w14:textId="77777777" w:rsidR="009E3DCE" w:rsidRPr="006D0D50" w:rsidRDefault="009E3DCE" w:rsidP="00BF29B0">
      <w:pPr>
        <w:jc w:val="both"/>
        <w:rPr>
          <w:rFonts w:ascii="Times New Roman" w:hAnsi="Times New Roman" w:cs="Times New Roman"/>
          <w:sz w:val="22"/>
          <w:szCs w:val="22"/>
        </w:rPr>
      </w:pPr>
    </w:p>
    <w:p w14:paraId="798858FD" w14:textId="77777777" w:rsidR="009E3DCE" w:rsidRPr="006D0D50" w:rsidRDefault="009E3DCE" w:rsidP="00BF29B0">
      <w:pPr>
        <w:jc w:val="both"/>
        <w:rPr>
          <w:rFonts w:ascii="Times New Roman" w:hAnsi="Times New Roman" w:cs="Times New Roman"/>
          <w:sz w:val="22"/>
          <w:szCs w:val="22"/>
        </w:rPr>
      </w:pPr>
    </w:p>
    <w:p w14:paraId="44A26EB3" w14:textId="7F80F6F0" w:rsidR="009E3DCE" w:rsidRPr="006D0D50" w:rsidRDefault="007F786B" w:rsidP="00BF29B0">
      <w:pPr>
        <w:jc w:val="both"/>
        <w:rPr>
          <w:rFonts w:ascii="Times New Roman" w:hAnsi="Times New Roman" w:cs="Times New Roman"/>
          <w:sz w:val="22"/>
          <w:szCs w:val="22"/>
        </w:rPr>
      </w:pPr>
      <w:r w:rsidRPr="006D0D50">
        <w:rPr>
          <w:rFonts w:ascii="Times New Roman" w:eastAsia="Times New Roman" w:hAnsi="Times New Roman" w:cs="Times New Roman"/>
          <w:noProof/>
          <w:sz w:val="22"/>
          <w:szCs w:val="22"/>
        </w:rPr>
        <w:lastRenderedPageBreak/>
        <w:drawing>
          <wp:inline distT="0" distB="0" distL="0" distR="0" wp14:anchorId="118E5ACA" wp14:editId="43BE6483">
            <wp:extent cx="5731510" cy="2865484"/>
            <wp:effectExtent l="0" t="0" r="2540" b="0"/>
            <wp:docPr id="21" name="Picture 21" descr="C:\Users\New User\Downloads\Code_Generated_Image (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ew User\Downloads\Code_Generated_Image (12).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31510" cy="2865484"/>
                    </a:xfrm>
                    <a:prstGeom prst="rect">
                      <a:avLst/>
                    </a:prstGeom>
                    <a:noFill/>
                    <a:ln>
                      <a:noFill/>
                    </a:ln>
                  </pic:spPr>
                </pic:pic>
              </a:graphicData>
            </a:graphic>
          </wp:inline>
        </w:drawing>
      </w:r>
    </w:p>
    <w:p w14:paraId="1EA025EA" w14:textId="55CCAEE8" w:rsidR="007F786B" w:rsidRPr="006D0D50" w:rsidRDefault="007F786B" w:rsidP="00BF29B0">
      <w:pPr>
        <w:jc w:val="both"/>
        <w:rPr>
          <w:rFonts w:ascii="Times New Roman" w:hAnsi="Times New Roman" w:cs="Times New Roman"/>
          <w:sz w:val="22"/>
          <w:szCs w:val="22"/>
        </w:rPr>
      </w:pPr>
      <w:r w:rsidRPr="006D0D50">
        <w:rPr>
          <w:rFonts w:ascii="Times New Roman" w:hAnsi="Times New Roman" w:cs="Times New Roman"/>
          <w:b/>
          <w:bCs/>
          <w:sz w:val="22"/>
          <w:szCs w:val="22"/>
        </w:rPr>
        <w:t>Figure 4: Effect of seed priming with ginger (G) and neem (N) extracts on biomass accumulation and partitioning in two Bambara groundnut genotypes (ZM 1856 and ZM 2656) under water stress.</w:t>
      </w:r>
      <w:r w:rsidRPr="006D0D50">
        <w:rPr>
          <w:rFonts w:ascii="Times New Roman" w:hAnsi="Times New Roman" w:cs="Times New Roman"/>
          <w:sz w:val="22"/>
          <w:szCs w:val="22"/>
        </w:rPr>
        <w:t> Plants were harvested at 30 days after emergence. Stacked bars represent the mean total dry matter (TDM) per plant, partitioned into root dry weight (RDW; brown/dark segments) and shoot dry weight (SDW; green/light segments). Control seeds (G0/N0) were primed with distilled water. Error bars (if included) would represent the SEM for TDM. Ginger at 20% resulted in the highest TDM for both genotypes, representing a 96% and 63% increase over their respective controls for ZM 1856 and ZM 2656.</w:t>
      </w:r>
    </w:p>
    <w:p w14:paraId="72A3EF8C" w14:textId="77777777" w:rsidR="008E028F" w:rsidRPr="006D0D50" w:rsidRDefault="008E028F" w:rsidP="00BF29B0">
      <w:pPr>
        <w:jc w:val="both"/>
        <w:rPr>
          <w:rFonts w:ascii="Times New Roman" w:hAnsi="Times New Roman" w:cs="Times New Roman"/>
          <w:sz w:val="22"/>
          <w:szCs w:val="22"/>
        </w:rPr>
      </w:pPr>
    </w:p>
    <w:p w14:paraId="5BE7582A" w14:textId="77777777" w:rsidR="008E028F" w:rsidRPr="006D0D50" w:rsidRDefault="008E028F" w:rsidP="00BF29B0">
      <w:pPr>
        <w:jc w:val="both"/>
        <w:rPr>
          <w:rFonts w:ascii="Times New Roman" w:hAnsi="Times New Roman" w:cs="Times New Roman"/>
          <w:sz w:val="22"/>
          <w:szCs w:val="22"/>
        </w:rPr>
      </w:pPr>
    </w:p>
    <w:p w14:paraId="64FF7B2D" w14:textId="77777777" w:rsidR="008E028F" w:rsidRPr="006D0D50" w:rsidRDefault="008E028F" w:rsidP="00BF29B0">
      <w:pPr>
        <w:jc w:val="both"/>
        <w:rPr>
          <w:rFonts w:ascii="Times New Roman" w:hAnsi="Times New Roman" w:cs="Times New Roman"/>
          <w:sz w:val="22"/>
          <w:szCs w:val="22"/>
        </w:rPr>
      </w:pPr>
    </w:p>
    <w:p w14:paraId="0A22E2DD" w14:textId="77777777" w:rsidR="008E028F" w:rsidRPr="006D0D50" w:rsidRDefault="008E028F" w:rsidP="00BF29B0">
      <w:pPr>
        <w:jc w:val="both"/>
        <w:rPr>
          <w:rFonts w:ascii="Times New Roman" w:hAnsi="Times New Roman" w:cs="Times New Roman"/>
          <w:sz w:val="22"/>
          <w:szCs w:val="22"/>
        </w:rPr>
      </w:pPr>
    </w:p>
    <w:p w14:paraId="1A04612E" w14:textId="77777777" w:rsidR="008E028F" w:rsidRPr="006D0D50" w:rsidRDefault="008E028F" w:rsidP="00BF29B0">
      <w:pPr>
        <w:jc w:val="both"/>
        <w:rPr>
          <w:rFonts w:ascii="Times New Roman" w:hAnsi="Times New Roman" w:cs="Times New Roman"/>
          <w:sz w:val="22"/>
          <w:szCs w:val="22"/>
        </w:rPr>
      </w:pPr>
    </w:p>
    <w:p w14:paraId="6589B92C" w14:textId="77777777" w:rsidR="008E028F" w:rsidRPr="006D0D50" w:rsidRDefault="008E028F" w:rsidP="00BF29B0">
      <w:pPr>
        <w:jc w:val="both"/>
        <w:rPr>
          <w:rFonts w:ascii="Times New Roman" w:hAnsi="Times New Roman" w:cs="Times New Roman"/>
          <w:sz w:val="22"/>
          <w:szCs w:val="22"/>
        </w:rPr>
      </w:pPr>
    </w:p>
    <w:p w14:paraId="4396E8DB" w14:textId="77777777" w:rsidR="008E028F" w:rsidRPr="006D0D50" w:rsidRDefault="008E028F" w:rsidP="00BF29B0">
      <w:pPr>
        <w:jc w:val="both"/>
        <w:rPr>
          <w:rFonts w:ascii="Times New Roman" w:hAnsi="Times New Roman" w:cs="Times New Roman"/>
          <w:sz w:val="22"/>
          <w:szCs w:val="22"/>
        </w:rPr>
      </w:pPr>
    </w:p>
    <w:p w14:paraId="55BF5761" w14:textId="77777777" w:rsidR="008E028F" w:rsidRPr="006D0D50" w:rsidRDefault="008E028F" w:rsidP="00BF29B0">
      <w:pPr>
        <w:jc w:val="both"/>
        <w:rPr>
          <w:rFonts w:ascii="Times New Roman" w:hAnsi="Times New Roman" w:cs="Times New Roman"/>
          <w:sz w:val="22"/>
          <w:szCs w:val="22"/>
        </w:rPr>
      </w:pPr>
    </w:p>
    <w:p w14:paraId="066FBCD1" w14:textId="77777777" w:rsidR="008E028F" w:rsidRPr="006D0D50" w:rsidRDefault="008E028F" w:rsidP="00BF29B0">
      <w:pPr>
        <w:jc w:val="both"/>
        <w:rPr>
          <w:rFonts w:ascii="Times New Roman" w:hAnsi="Times New Roman" w:cs="Times New Roman"/>
          <w:sz w:val="22"/>
          <w:szCs w:val="22"/>
        </w:rPr>
      </w:pPr>
    </w:p>
    <w:p w14:paraId="54081AF3" w14:textId="77777777" w:rsidR="008E028F" w:rsidRPr="006D0D50" w:rsidRDefault="008E028F" w:rsidP="00BF29B0">
      <w:pPr>
        <w:jc w:val="both"/>
        <w:rPr>
          <w:rFonts w:ascii="Times New Roman" w:hAnsi="Times New Roman" w:cs="Times New Roman"/>
          <w:sz w:val="22"/>
          <w:szCs w:val="22"/>
        </w:rPr>
      </w:pPr>
    </w:p>
    <w:p w14:paraId="2821A8A0" w14:textId="77777777" w:rsidR="008E028F" w:rsidRPr="006D0D50" w:rsidRDefault="008E028F" w:rsidP="00BF29B0">
      <w:pPr>
        <w:jc w:val="both"/>
        <w:rPr>
          <w:rFonts w:ascii="Times New Roman" w:hAnsi="Times New Roman" w:cs="Times New Roman"/>
          <w:sz w:val="22"/>
          <w:szCs w:val="22"/>
        </w:rPr>
      </w:pPr>
    </w:p>
    <w:p w14:paraId="1CDEA384" w14:textId="77777777" w:rsidR="008E028F" w:rsidRPr="006D0D50" w:rsidRDefault="008E028F" w:rsidP="00BF29B0">
      <w:pPr>
        <w:jc w:val="both"/>
        <w:rPr>
          <w:rFonts w:ascii="Times New Roman" w:hAnsi="Times New Roman" w:cs="Times New Roman"/>
          <w:sz w:val="22"/>
          <w:szCs w:val="22"/>
        </w:rPr>
      </w:pPr>
    </w:p>
    <w:p w14:paraId="70AC9C79" w14:textId="77777777" w:rsidR="008E028F" w:rsidRPr="006D0D50" w:rsidRDefault="008E028F" w:rsidP="00BF29B0">
      <w:pPr>
        <w:jc w:val="both"/>
        <w:rPr>
          <w:rFonts w:ascii="Times New Roman" w:hAnsi="Times New Roman" w:cs="Times New Roman"/>
          <w:sz w:val="22"/>
          <w:szCs w:val="22"/>
        </w:rPr>
      </w:pPr>
    </w:p>
    <w:p w14:paraId="5BD97267" w14:textId="77777777" w:rsidR="008E028F" w:rsidRPr="006D0D50" w:rsidRDefault="008E028F" w:rsidP="00BF29B0">
      <w:pPr>
        <w:jc w:val="both"/>
        <w:rPr>
          <w:rFonts w:ascii="Times New Roman" w:hAnsi="Times New Roman" w:cs="Times New Roman"/>
          <w:sz w:val="22"/>
          <w:szCs w:val="22"/>
        </w:rPr>
      </w:pPr>
    </w:p>
    <w:p w14:paraId="5F2E3915" w14:textId="77777777" w:rsidR="008E028F" w:rsidRPr="006D0D50" w:rsidRDefault="008E028F" w:rsidP="00BF29B0">
      <w:pPr>
        <w:jc w:val="both"/>
        <w:rPr>
          <w:rFonts w:ascii="Times New Roman" w:hAnsi="Times New Roman" w:cs="Times New Roman"/>
          <w:sz w:val="22"/>
          <w:szCs w:val="22"/>
        </w:rPr>
      </w:pPr>
    </w:p>
    <w:p w14:paraId="34BA73A7" w14:textId="77777777" w:rsidR="008E028F" w:rsidRPr="006D0D50" w:rsidRDefault="008E028F" w:rsidP="00BF29B0">
      <w:pPr>
        <w:jc w:val="both"/>
        <w:rPr>
          <w:rFonts w:ascii="Times New Roman" w:hAnsi="Times New Roman" w:cs="Times New Roman"/>
          <w:sz w:val="22"/>
          <w:szCs w:val="22"/>
        </w:rPr>
      </w:pPr>
    </w:p>
    <w:p w14:paraId="6DEA4060" w14:textId="47CA22CB" w:rsidR="008E028F" w:rsidRPr="006D0D50" w:rsidRDefault="008E028F" w:rsidP="00BF29B0">
      <w:pPr>
        <w:jc w:val="both"/>
        <w:rPr>
          <w:rFonts w:ascii="Times New Roman" w:hAnsi="Times New Roman" w:cs="Times New Roman"/>
          <w:sz w:val="22"/>
          <w:szCs w:val="22"/>
        </w:rPr>
      </w:pPr>
      <w:r w:rsidRPr="006D0D50">
        <w:rPr>
          <w:rFonts w:ascii="Times New Roman" w:hAnsi="Times New Roman" w:cs="Times New Roman"/>
          <w:noProof/>
          <w:sz w:val="22"/>
          <w:szCs w:val="22"/>
        </w:rPr>
        <w:lastRenderedPageBreak/>
        <w:drawing>
          <wp:inline distT="0" distB="0" distL="0" distR="0" wp14:anchorId="30A5AA73" wp14:editId="5E88DC69">
            <wp:extent cx="5153025" cy="3009900"/>
            <wp:effectExtent l="0" t="0" r="9525" b="0"/>
            <wp:docPr id="2" nam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pic:cNvPicPr>
                      <a:picLocks noChangeAspect="1"/>
                    </pic:cNvPicPr>
                  </pic:nvPicPr>
                  <pic:blipFill>
                    <a:blip r:embed="rId24"/>
                    <a:stretch>
                      <a:fillRect/>
                    </a:stretch>
                  </pic:blipFill>
                  <pic:spPr>
                    <a:xfrm>
                      <a:off x="0" y="0"/>
                      <a:ext cx="5153025" cy="3009900"/>
                    </a:xfrm>
                    <a:prstGeom prst="rect">
                      <a:avLst/>
                    </a:prstGeom>
                  </pic:spPr>
                </pic:pic>
              </a:graphicData>
            </a:graphic>
          </wp:inline>
        </w:drawing>
      </w:r>
    </w:p>
    <w:p w14:paraId="6840948E" w14:textId="6B4C0530" w:rsidR="008E028F" w:rsidRPr="006D0D50" w:rsidRDefault="008E028F" w:rsidP="00BF29B0">
      <w:pPr>
        <w:jc w:val="both"/>
        <w:rPr>
          <w:rFonts w:ascii="Times New Roman" w:hAnsi="Times New Roman" w:cs="Times New Roman"/>
          <w:sz w:val="22"/>
          <w:szCs w:val="22"/>
        </w:rPr>
      </w:pPr>
      <w:r w:rsidRPr="006D0D50">
        <w:rPr>
          <w:rFonts w:ascii="Times New Roman" w:hAnsi="Times New Roman" w:cs="Times New Roman"/>
          <w:b/>
          <w:bCs/>
          <w:sz w:val="22"/>
          <w:szCs w:val="22"/>
        </w:rPr>
        <w:t>Figure 5: Effect of seed priming with ginger (G) and neem (N) extracts on physiological efficiency traits in two Bambara groundnut genotypes (ZM 1856 and ZM 2656) under water stress.</w:t>
      </w:r>
      <w:r w:rsidRPr="006D0D50">
        <w:rPr>
          <w:rFonts w:ascii="Times New Roman" w:hAnsi="Times New Roman" w:cs="Times New Roman"/>
          <w:sz w:val="22"/>
          <w:szCs w:val="22"/>
        </w:rPr>
        <w:t> (A) Root-to-shoot ratio, indicating biomass partitioning between below-ground and above-ground organs. (B) Leaf efficiency, calculated as total dry matter per leaf, serving as a proxy for photosynthetic efficiency. Control seeds (G0/N0) were primed with distilled water. Data points represent the mean of four replicates, and error bars indicate the standard error of the mean (SEM). A significant genotype × treatment interaction was observed for leaf efficiency (p &lt; 0.01), with ZM 1856 performing best at G20 and ZM 2656 peaking at N3.</w:t>
      </w:r>
    </w:p>
    <w:p w14:paraId="07F8D8B1" w14:textId="77777777" w:rsidR="003D4277" w:rsidRPr="006D0D50" w:rsidRDefault="003D4277" w:rsidP="00BF29B0">
      <w:pPr>
        <w:jc w:val="both"/>
        <w:rPr>
          <w:rFonts w:ascii="Times New Roman" w:hAnsi="Times New Roman" w:cs="Times New Roman"/>
          <w:sz w:val="22"/>
          <w:szCs w:val="22"/>
        </w:rPr>
      </w:pPr>
    </w:p>
    <w:p w14:paraId="6A640BDD" w14:textId="77777777" w:rsidR="003D4277" w:rsidRPr="006D0D50" w:rsidRDefault="003D4277" w:rsidP="00BF29B0">
      <w:pPr>
        <w:jc w:val="both"/>
        <w:rPr>
          <w:rFonts w:ascii="Times New Roman" w:hAnsi="Times New Roman" w:cs="Times New Roman"/>
          <w:sz w:val="22"/>
          <w:szCs w:val="22"/>
        </w:rPr>
      </w:pPr>
    </w:p>
    <w:p w14:paraId="692EC20D" w14:textId="77777777" w:rsidR="003D4277" w:rsidRPr="006D0D50" w:rsidRDefault="003D4277" w:rsidP="00BF29B0">
      <w:pPr>
        <w:jc w:val="both"/>
        <w:rPr>
          <w:rFonts w:ascii="Times New Roman" w:hAnsi="Times New Roman" w:cs="Times New Roman"/>
          <w:sz w:val="22"/>
          <w:szCs w:val="22"/>
        </w:rPr>
      </w:pPr>
    </w:p>
    <w:p w14:paraId="7DABF219" w14:textId="77777777" w:rsidR="003D4277" w:rsidRPr="006D0D50" w:rsidRDefault="003D4277" w:rsidP="00BF29B0">
      <w:pPr>
        <w:jc w:val="both"/>
        <w:rPr>
          <w:rFonts w:ascii="Times New Roman" w:hAnsi="Times New Roman" w:cs="Times New Roman"/>
          <w:sz w:val="22"/>
          <w:szCs w:val="22"/>
        </w:rPr>
      </w:pPr>
    </w:p>
    <w:p w14:paraId="174C319D" w14:textId="77777777" w:rsidR="003D4277" w:rsidRPr="006D0D50" w:rsidRDefault="003D4277" w:rsidP="00BF29B0">
      <w:pPr>
        <w:jc w:val="both"/>
        <w:rPr>
          <w:rFonts w:ascii="Times New Roman" w:hAnsi="Times New Roman" w:cs="Times New Roman"/>
          <w:sz w:val="22"/>
          <w:szCs w:val="22"/>
        </w:rPr>
      </w:pPr>
    </w:p>
    <w:p w14:paraId="43CC8B3E" w14:textId="1906A025" w:rsidR="003D4277" w:rsidRPr="006D0D50" w:rsidRDefault="003D4277" w:rsidP="00BF29B0">
      <w:pPr>
        <w:jc w:val="both"/>
        <w:rPr>
          <w:rFonts w:ascii="Times New Roman" w:hAnsi="Times New Roman" w:cs="Times New Roman"/>
          <w:sz w:val="22"/>
          <w:szCs w:val="22"/>
        </w:rPr>
      </w:pPr>
      <w:r w:rsidRPr="006D0D50">
        <w:rPr>
          <w:rFonts w:ascii="Times New Roman" w:eastAsia="Google Sans Text" w:hAnsi="Times New Roman" w:cs="Times New Roman"/>
          <w:noProof/>
          <w:color w:val="1F1F1F"/>
          <w:sz w:val="22"/>
          <w:szCs w:val="22"/>
        </w:rPr>
        <w:lastRenderedPageBreak/>
        <w:drawing>
          <wp:inline distT="114300" distB="114300" distL="114300" distR="114300" wp14:anchorId="2E3A5E05" wp14:editId="4EC830E9">
            <wp:extent cx="5731510" cy="3804678"/>
            <wp:effectExtent l="0" t="0" r="2540" b="5715"/>
            <wp:docPr id="149250403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5"/>
                    <a:srcRect/>
                    <a:stretch>
                      <a:fillRect/>
                    </a:stretch>
                  </pic:blipFill>
                  <pic:spPr>
                    <a:xfrm>
                      <a:off x="0" y="0"/>
                      <a:ext cx="5731510" cy="3804678"/>
                    </a:xfrm>
                    <a:prstGeom prst="rect">
                      <a:avLst/>
                    </a:prstGeom>
                    <a:ln/>
                  </pic:spPr>
                </pic:pic>
              </a:graphicData>
            </a:graphic>
          </wp:inline>
        </w:drawing>
      </w:r>
    </w:p>
    <w:p w14:paraId="7F6D78DC" w14:textId="52C3B9AA" w:rsidR="004C22DB" w:rsidRPr="006D0D50" w:rsidRDefault="004C22DB" w:rsidP="00BF29B0">
      <w:pPr>
        <w:jc w:val="both"/>
        <w:rPr>
          <w:rFonts w:ascii="Times New Roman" w:hAnsi="Times New Roman" w:cs="Times New Roman"/>
          <w:sz w:val="22"/>
          <w:szCs w:val="22"/>
        </w:rPr>
      </w:pPr>
      <w:r w:rsidRPr="006D0D50">
        <w:rPr>
          <w:rFonts w:ascii="Times New Roman" w:hAnsi="Times New Roman" w:cs="Times New Roman"/>
          <w:b/>
          <w:bCs/>
          <w:sz w:val="22"/>
          <w:szCs w:val="22"/>
        </w:rPr>
        <w:t>Figure 6: Pearson correlation matrix heatmap illustrating the interdependencies among germination, growth, and physiological traits of Bambara groundnut genotypes under botanical seed priming and subsequent water stress.</w:t>
      </w:r>
      <w:r w:rsidRPr="006D0D50">
        <w:rPr>
          <w:rFonts w:ascii="Times New Roman" w:hAnsi="Times New Roman" w:cs="Times New Roman"/>
          <w:sz w:val="22"/>
          <w:szCs w:val="22"/>
        </w:rPr>
        <w:t xml:space="preserve"> The </w:t>
      </w:r>
      <w:r w:rsidR="00390F27" w:rsidRPr="006D0D50">
        <w:rPr>
          <w:rFonts w:ascii="Times New Roman" w:hAnsi="Times New Roman" w:cs="Times New Roman"/>
          <w:sz w:val="22"/>
          <w:szCs w:val="22"/>
        </w:rPr>
        <w:t>colour</w:t>
      </w:r>
      <w:r w:rsidRPr="006D0D50">
        <w:rPr>
          <w:rFonts w:ascii="Times New Roman" w:hAnsi="Times New Roman" w:cs="Times New Roman"/>
          <w:sz w:val="22"/>
          <w:szCs w:val="22"/>
        </w:rPr>
        <w:t xml:space="preserve"> scale indicates the strength and direction of the correlation coefficient (r), ranging from +1.0 (dark red; strong positive correlation) to -1.0 (dark blue; strong negative correlation). Significance levels are indicated as *** p &lt; 0.001, ** p &lt; 0.01, * p &lt; 0.05. The matrix highlights the very strong positive correlation between Germination % and Seed Vigour Index (r = 0.97), and the significant positive correlations of total dry matter with both root nodules (r = 0.52) and leaf efficiency (r = 0.52). A notable negative correlation is observed between total dry matter and germination % (r = -0.44).</w:t>
      </w:r>
    </w:p>
    <w:p w14:paraId="3514424E" w14:textId="77777777" w:rsidR="004C22DB" w:rsidRPr="006D0D50" w:rsidRDefault="004C22DB" w:rsidP="00BF29B0">
      <w:pPr>
        <w:jc w:val="both"/>
        <w:rPr>
          <w:rFonts w:ascii="Times New Roman" w:hAnsi="Times New Roman" w:cs="Times New Roman"/>
          <w:sz w:val="22"/>
          <w:szCs w:val="22"/>
        </w:rPr>
      </w:pPr>
    </w:p>
    <w:p w14:paraId="7649AD75" w14:textId="77777777" w:rsidR="004C22DB" w:rsidRPr="006D0D50" w:rsidRDefault="004C22DB" w:rsidP="00BF29B0">
      <w:pPr>
        <w:jc w:val="both"/>
        <w:rPr>
          <w:rFonts w:ascii="Times New Roman" w:hAnsi="Times New Roman" w:cs="Times New Roman"/>
          <w:sz w:val="22"/>
          <w:szCs w:val="22"/>
        </w:rPr>
      </w:pPr>
    </w:p>
    <w:p w14:paraId="540719AD" w14:textId="77777777" w:rsidR="004C22DB" w:rsidRPr="006D0D50" w:rsidRDefault="004C22DB" w:rsidP="00BF29B0">
      <w:pPr>
        <w:jc w:val="both"/>
        <w:rPr>
          <w:rFonts w:ascii="Times New Roman" w:hAnsi="Times New Roman" w:cs="Times New Roman"/>
          <w:sz w:val="22"/>
          <w:szCs w:val="22"/>
        </w:rPr>
      </w:pPr>
    </w:p>
    <w:p w14:paraId="19944A7F" w14:textId="77777777" w:rsidR="004C22DB" w:rsidRPr="006D0D50" w:rsidRDefault="004C22DB" w:rsidP="00BF29B0">
      <w:pPr>
        <w:jc w:val="both"/>
        <w:rPr>
          <w:rFonts w:ascii="Times New Roman" w:hAnsi="Times New Roman" w:cs="Times New Roman"/>
          <w:sz w:val="22"/>
          <w:szCs w:val="22"/>
        </w:rPr>
      </w:pPr>
    </w:p>
    <w:p w14:paraId="750C98B5" w14:textId="77777777" w:rsidR="004C22DB" w:rsidRPr="006D0D50" w:rsidRDefault="004C22DB" w:rsidP="00BF29B0">
      <w:pPr>
        <w:jc w:val="both"/>
        <w:rPr>
          <w:rFonts w:ascii="Times New Roman" w:hAnsi="Times New Roman" w:cs="Times New Roman"/>
          <w:sz w:val="22"/>
          <w:szCs w:val="22"/>
        </w:rPr>
      </w:pPr>
    </w:p>
    <w:p w14:paraId="081B4819" w14:textId="77777777" w:rsidR="004C22DB" w:rsidRPr="006D0D50" w:rsidRDefault="004C22DB" w:rsidP="00BF29B0">
      <w:pPr>
        <w:jc w:val="both"/>
        <w:rPr>
          <w:rFonts w:ascii="Times New Roman" w:hAnsi="Times New Roman" w:cs="Times New Roman"/>
          <w:sz w:val="22"/>
          <w:szCs w:val="22"/>
        </w:rPr>
      </w:pPr>
    </w:p>
    <w:p w14:paraId="1A05B859" w14:textId="77777777" w:rsidR="004C22DB" w:rsidRPr="006D0D50" w:rsidRDefault="004C22DB" w:rsidP="00BF29B0">
      <w:pPr>
        <w:jc w:val="both"/>
        <w:rPr>
          <w:rFonts w:ascii="Times New Roman" w:hAnsi="Times New Roman" w:cs="Times New Roman"/>
          <w:sz w:val="22"/>
          <w:szCs w:val="22"/>
        </w:rPr>
      </w:pPr>
    </w:p>
    <w:p w14:paraId="4399ADD9" w14:textId="77777777" w:rsidR="004C22DB" w:rsidRPr="006D0D50" w:rsidRDefault="004C22DB" w:rsidP="00BF29B0">
      <w:pPr>
        <w:jc w:val="both"/>
        <w:rPr>
          <w:rFonts w:ascii="Times New Roman" w:hAnsi="Times New Roman" w:cs="Times New Roman"/>
          <w:sz w:val="22"/>
          <w:szCs w:val="22"/>
        </w:rPr>
      </w:pPr>
    </w:p>
    <w:p w14:paraId="544D7841" w14:textId="77777777" w:rsidR="004C22DB" w:rsidRPr="006D0D50" w:rsidRDefault="004C22DB" w:rsidP="00BF29B0">
      <w:pPr>
        <w:jc w:val="both"/>
        <w:rPr>
          <w:rFonts w:ascii="Times New Roman" w:hAnsi="Times New Roman" w:cs="Times New Roman"/>
          <w:sz w:val="22"/>
          <w:szCs w:val="22"/>
        </w:rPr>
      </w:pPr>
    </w:p>
    <w:p w14:paraId="3AE29BE0" w14:textId="77777777" w:rsidR="004C22DB" w:rsidRPr="006D0D50" w:rsidRDefault="004C22DB" w:rsidP="00BF29B0">
      <w:pPr>
        <w:jc w:val="both"/>
        <w:rPr>
          <w:rFonts w:ascii="Times New Roman" w:hAnsi="Times New Roman" w:cs="Times New Roman"/>
          <w:sz w:val="22"/>
          <w:szCs w:val="22"/>
        </w:rPr>
      </w:pPr>
    </w:p>
    <w:p w14:paraId="0E0BCC30" w14:textId="77777777" w:rsidR="004C22DB" w:rsidRPr="006D0D50" w:rsidRDefault="004C22DB" w:rsidP="00BF29B0">
      <w:pPr>
        <w:jc w:val="both"/>
        <w:rPr>
          <w:rFonts w:ascii="Times New Roman" w:hAnsi="Times New Roman" w:cs="Times New Roman"/>
          <w:sz w:val="22"/>
          <w:szCs w:val="22"/>
        </w:rPr>
      </w:pPr>
    </w:p>
    <w:p w14:paraId="5706D855" w14:textId="77777777" w:rsidR="004C22DB" w:rsidRPr="006D0D50" w:rsidRDefault="004C22DB" w:rsidP="00BF29B0">
      <w:pPr>
        <w:jc w:val="both"/>
        <w:rPr>
          <w:rFonts w:ascii="Times New Roman" w:hAnsi="Times New Roman" w:cs="Times New Roman"/>
          <w:sz w:val="22"/>
          <w:szCs w:val="22"/>
        </w:rPr>
      </w:pPr>
    </w:p>
    <w:p w14:paraId="4BD9E022" w14:textId="77777777" w:rsidR="004C22DB" w:rsidRPr="006D0D50" w:rsidRDefault="004C22DB" w:rsidP="00BF29B0">
      <w:pPr>
        <w:jc w:val="both"/>
        <w:rPr>
          <w:rFonts w:ascii="Times New Roman" w:hAnsi="Times New Roman" w:cs="Times New Roman"/>
          <w:sz w:val="22"/>
          <w:szCs w:val="22"/>
        </w:rPr>
      </w:pPr>
    </w:p>
    <w:p w14:paraId="23632E8F" w14:textId="77777777" w:rsidR="004C22DB" w:rsidRPr="006D0D50" w:rsidRDefault="004C22DB" w:rsidP="00BF29B0">
      <w:pPr>
        <w:jc w:val="both"/>
        <w:rPr>
          <w:rFonts w:ascii="Times New Roman" w:hAnsi="Times New Roman" w:cs="Times New Roman"/>
          <w:sz w:val="22"/>
          <w:szCs w:val="22"/>
        </w:rPr>
      </w:pPr>
    </w:p>
    <w:p w14:paraId="607411C3" w14:textId="77777777" w:rsidR="004C22DB" w:rsidRPr="006D0D50" w:rsidRDefault="004C22DB" w:rsidP="00BF29B0">
      <w:pPr>
        <w:jc w:val="both"/>
        <w:rPr>
          <w:rFonts w:ascii="Times New Roman" w:hAnsi="Times New Roman" w:cs="Times New Roman"/>
          <w:sz w:val="22"/>
          <w:szCs w:val="22"/>
        </w:rPr>
      </w:pPr>
    </w:p>
    <w:p w14:paraId="55D07511" w14:textId="77777777" w:rsidR="004C22DB" w:rsidRPr="006D0D50" w:rsidRDefault="004C22DB" w:rsidP="00BF29B0">
      <w:pPr>
        <w:jc w:val="both"/>
        <w:rPr>
          <w:rFonts w:ascii="Times New Roman" w:hAnsi="Times New Roman" w:cs="Times New Roman"/>
          <w:sz w:val="22"/>
          <w:szCs w:val="22"/>
        </w:rPr>
      </w:pPr>
    </w:p>
    <w:p w14:paraId="4B940D97" w14:textId="77777777" w:rsidR="004C22DB" w:rsidRPr="006D0D50" w:rsidRDefault="004C22DB" w:rsidP="00BF29B0">
      <w:pPr>
        <w:jc w:val="both"/>
        <w:rPr>
          <w:rFonts w:ascii="Times New Roman" w:hAnsi="Times New Roman" w:cs="Times New Roman"/>
          <w:sz w:val="22"/>
          <w:szCs w:val="22"/>
        </w:rPr>
      </w:pPr>
    </w:p>
    <w:p w14:paraId="12688C10" w14:textId="77777777" w:rsidR="004C22DB" w:rsidRPr="006D0D50" w:rsidRDefault="004C22DB" w:rsidP="00BF29B0">
      <w:pPr>
        <w:jc w:val="both"/>
        <w:rPr>
          <w:rFonts w:ascii="Times New Roman" w:hAnsi="Times New Roman" w:cs="Times New Roman"/>
          <w:sz w:val="22"/>
          <w:szCs w:val="22"/>
        </w:rPr>
      </w:pPr>
    </w:p>
    <w:p w14:paraId="48090388" w14:textId="77777777" w:rsidR="004C22DB" w:rsidRPr="006D0D50" w:rsidRDefault="004C22DB" w:rsidP="00BF29B0">
      <w:pPr>
        <w:jc w:val="both"/>
        <w:rPr>
          <w:rFonts w:ascii="Times New Roman" w:hAnsi="Times New Roman" w:cs="Times New Roman"/>
          <w:sz w:val="22"/>
          <w:szCs w:val="22"/>
        </w:rPr>
      </w:pPr>
    </w:p>
    <w:sectPr w:rsidR="004C22DB" w:rsidRPr="006D0D50" w:rsidSect="00E728E3">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oogle Sans Text">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70DE7"/>
    <w:multiLevelType w:val="multilevel"/>
    <w:tmpl w:val="2F263F4E"/>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 w15:restartNumberingAfterBreak="0">
    <w:nsid w:val="2D4B4B97"/>
    <w:multiLevelType w:val="multilevel"/>
    <w:tmpl w:val="4F3A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033BD9"/>
    <w:multiLevelType w:val="hybridMultilevel"/>
    <w:tmpl w:val="7F426F1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3730AC4"/>
    <w:multiLevelType w:val="hybridMultilevel"/>
    <w:tmpl w:val="84A2D82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B0"/>
    <w:rsid w:val="00005727"/>
    <w:rsid w:val="000066C9"/>
    <w:rsid w:val="000335A4"/>
    <w:rsid w:val="00060C6D"/>
    <w:rsid w:val="000777CE"/>
    <w:rsid w:val="00081FE1"/>
    <w:rsid w:val="000A26C0"/>
    <w:rsid w:val="000C32B6"/>
    <w:rsid w:val="000D149E"/>
    <w:rsid w:val="00181774"/>
    <w:rsid w:val="001A3E1E"/>
    <w:rsid w:val="001E1316"/>
    <w:rsid w:val="001E32F8"/>
    <w:rsid w:val="00205DA9"/>
    <w:rsid w:val="002930AF"/>
    <w:rsid w:val="002C1D4D"/>
    <w:rsid w:val="002C5D79"/>
    <w:rsid w:val="002E3D80"/>
    <w:rsid w:val="003323F4"/>
    <w:rsid w:val="00341F6C"/>
    <w:rsid w:val="00364365"/>
    <w:rsid w:val="00390F27"/>
    <w:rsid w:val="003D4277"/>
    <w:rsid w:val="003E7A28"/>
    <w:rsid w:val="003F212A"/>
    <w:rsid w:val="00403876"/>
    <w:rsid w:val="004265F4"/>
    <w:rsid w:val="00471C0A"/>
    <w:rsid w:val="00490463"/>
    <w:rsid w:val="00493CA7"/>
    <w:rsid w:val="004B10E6"/>
    <w:rsid w:val="004C22DB"/>
    <w:rsid w:val="004F1C19"/>
    <w:rsid w:val="00535F35"/>
    <w:rsid w:val="00561715"/>
    <w:rsid w:val="005775DB"/>
    <w:rsid w:val="005B02F1"/>
    <w:rsid w:val="005B0D17"/>
    <w:rsid w:val="00620AC1"/>
    <w:rsid w:val="00625E75"/>
    <w:rsid w:val="00626EC3"/>
    <w:rsid w:val="00632198"/>
    <w:rsid w:val="006A4E2F"/>
    <w:rsid w:val="006D0D50"/>
    <w:rsid w:val="006F5AC7"/>
    <w:rsid w:val="0070390F"/>
    <w:rsid w:val="00716064"/>
    <w:rsid w:val="0072104E"/>
    <w:rsid w:val="007745BE"/>
    <w:rsid w:val="00797752"/>
    <w:rsid w:val="007C2E20"/>
    <w:rsid w:val="007F786B"/>
    <w:rsid w:val="008100F2"/>
    <w:rsid w:val="00824E2B"/>
    <w:rsid w:val="008A5D57"/>
    <w:rsid w:val="008B1353"/>
    <w:rsid w:val="008B3C40"/>
    <w:rsid w:val="008D2AAE"/>
    <w:rsid w:val="008D373F"/>
    <w:rsid w:val="008E028F"/>
    <w:rsid w:val="009104BD"/>
    <w:rsid w:val="0092388F"/>
    <w:rsid w:val="009269A2"/>
    <w:rsid w:val="009328AF"/>
    <w:rsid w:val="0093624D"/>
    <w:rsid w:val="0096710F"/>
    <w:rsid w:val="009A103A"/>
    <w:rsid w:val="009E3DCE"/>
    <w:rsid w:val="00A151A4"/>
    <w:rsid w:val="00A52076"/>
    <w:rsid w:val="00A80B83"/>
    <w:rsid w:val="00AC4A90"/>
    <w:rsid w:val="00B2156A"/>
    <w:rsid w:val="00B31353"/>
    <w:rsid w:val="00B50728"/>
    <w:rsid w:val="00B82AF4"/>
    <w:rsid w:val="00BA3EA3"/>
    <w:rsid w:val="00BD203D"/>
    <w:rsid w:val="00BD3D6B"/>
    <w:rsid w:val="00BF29B0"/>
    <w:rsid w:val="00BF53DA"/>
    <w:rsid w:val="00BF670E"/>
    <w:rsid w:val="00C17484"/>
    <w:rsid w:val="00CB6FF9"/>
    <w:rsid w:val="00CC4439"/>
    <w:rsid w:val="00D57819"/>
    <w:rsid w:val="00D93066"/>
    <w:rsid w:val="00D97BF5"/>
    <w:rsid w:val="00DD4DBA"/>
    <w:rsid w:val="00DF6622"/>
    <w:rsid w:val="00E02E9A"/>
    <w:rsid w:val="00E07D44"/>
    <w:rsid w:val="00E728E3"/>
    <w:rsid w:val="00E909F5"/>
    <w:rsid w:val="00ED20CC"/>
    <w:rsid w:val="00F13D5E"/>
    <w:rsid w:val="00F34EFF"/>
    <w:rsid w:val="00F5123B"/>
    <w:rsid w:val="00F97BBE"/>
    <w:rsid w:val="00FE120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C83F2"/>
  <w15:chartTrackingRefBased/>
  <w15:docId w15:val="{AC052806-9355-4E56-AB1B-CE5F367C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29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29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29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29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29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29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9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9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9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9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29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29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29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29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29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9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9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9B0"/>
    <w:rPr>
      <w:rFonts w:eastAsiaTheme="majorEastAsia" w:cstheme="majorBidi"/>
      <w:color w:val="272727" w:themeColor="text1" w:themeTint="D8"/>
    </w:rPr>
  </w:style>
  <w:style w:type="paragraph" w:styleId="Title">
    <w:name w:val="Title"/>
    <w:basedOn w:val="Normal"/>
    <w:next w:val="Normal"/>
    <w:link w:val="TitleChar"/>
    <w:uiPriority w:val="10"/>
    <w:qFormat/>
    <w:rsid w:val="00BF2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9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9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9B0"/>
    <w:pPr>
      <w:spacing w:before="160"/>
      <w:jc w:val="center"/>
    </w:pPr>
    <w:rPr>
      <w:i/>
      <w:iCs/>
      <w:color w:val="404040" w:themeColor="text1" w:themeTint="BF"/>
    </w:rPr>
  </w:style>
  <w:style w:type="character" w:customStyle="1" w:styleId="QuoteChar">
    <w:name w:val="Quote Char"/>
    <w:basedOn w:val="DefaultParagraphFont"/>
    <w:link w:val="Quote"/>
    <w:uiPriority w:val="29"/>
    <w:rsid w:val="00BF29B0"/>
    <w:rPr>
      <w:i/>
      <w:iCs/>
      <w:color w:val="404040" w:themeColor="text1" w:themeTint="BF"/>
    </w:rPr>
  </w:style>
  <w:style w:type="paragraph" w:styleId="ListParagraph">
    <w:name w:val="List Paragraph"/>
    <w:basedOn w:val="Normal"/>
    <w:uiPriority w:val="34"/>
    <w:qFormat/>
    <w:rsid w:val="00BF29B0"/>
    <w:pPr>
      <w:ind w:left="720"/>
      <w:contextualSpacing/>
    </w:pPr>
  </w:style>
  <w:style w:type="character" w:styleId="IntenseEmphasis">
    <w:name w:val="Intense Emphasis"/>
    <w:basedOn w:val="DefaultParagraphFont"/>
    <w:uiPriority w:val="21"/>
    <w:qFormat/>
    <w:rsid w:val="00BF29B0"/>
    <w:rPr>
      <w:i/>
      <w:iCs/>
      <w:color w:val="2F5496" w:themeColor="accent1" w:themeShade="BF"/>
    </w:rPr>
  </w:style>
  <w:style w:type="paragraph" w:styleId="IntenseQuote">
    <w:name w:val="Intense Quote"/>
    <w:basedOn w:val="Normal"/>
    <w:next w:val="Normal"/>
    <w:link w:val="IntenseQuoteChar"/>
    <w:uiPriority w:val="30"/>
    <w:qFormat/>
    <w:rsid w:val="00BF29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29B0"/>
    <w:rPr>
      <w:i/>
      <w:iCs/>
      <w:color w:val="2F5496" w:themeColor="accent1" w:themeShade="BF"/>
    </w:rPr>
  </w:style>
  <w:style w:type="character" w:styleId="IntenseReference">
    <w:name w:val="Intense Reference"/>
    <w:basedOn w:val="DefaultParagraphFont"/>
    <w:uiPriority w:val="32"/>
    <w:qFormat/>
    <w:rsid w:val="00BF29B0"/>
    <w:rPr>
      <w:b/>
      <w:bCs/>
      <w:smallCaps/>
      <w:color w:val="2F5496" w:themeColor="accent1" w:themeShade="BF"/>
      <w:spacing w:val="5"/>
    </w:rPr>
  </w:style>
  <w:style w:type="character" w:styleId="Hyperlink">
    <w:name w:val="Hyperlink"/>
    <w:basedOn w:val="DefaultParagraphFont"/>
    <w:uiPriority w:val="99"/>
    <w:unhideWhenUsed/>
    <w:rsid w:val="00AC4A90"/>
    <w:rPr>
      <w:color w:val="0563C1" w:themeColor="hyperlink"/>
      <w:u w:val="single"/>
    </w:rPr>
  </w:style>
  <w:style w:type="character" w:styleId="UnresolvedMention">
    <w:name w:val="Unresolved Mention"/>
    <w:basedOn w:val="DefaultParagraphFont"/>
    <w:uiPriority w:val="99"/>
    <w:semiHidden/>
    <w:unhideWhenUsed/>
    <w:rsid w:val="00AC4A90"/>
    <w:rPr>
      <w:color w:val="605E5C"/>
      <w:shd w:val="clear" w:color="auto" w:fill="E1DFDD"/>
    </w:rPr>
  </w:style>
  <w:style w:type="paragraph" w:styleId="Bibliography">
    <w:name w:val="Bibliography"/>
    <w:basedOn w:val="Normal"/>
    <w:next w:val="Normal"/>
    <w:uiPriority w:val="37"/>
    <w:unhideWhenUsed/>
    <w:rsid w:val="00DD4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7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apri.org.zm" TargetMode="External"/><Relationship Id="rId13" Type="http://schemas.openxmlformats.org/officeDocument/2006/relationships/hyperlink" Target="https://doi.org/10.3389/fpls.2022.760879" TargetMode="External"/><Relationship Id="rId18" Type="http://schemas.openxmlformats.org/officeDocument/2006/relationships/hyperlink" Target="https://doi.org/10.15835/nbha5341486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s://doi.org/10.3390/w11061146" TargetMode="External"/><Relationship Id="rId12" Type="http://schemas.openxmlformats.org/officeDocument/2006/relationships/hyperlink" Target="https://doi.org/10.3390/agronomy11071345" TargetMode="External"/><Relationship Id="rId17" Type="http://schemas.openxmlformats.org/officeDocument/2006/relationships/hyperlink" Target="https://doi.org/10.3390/molecules19066929" TargetMode="External"/><Relationship Id="rId25"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doi.org/10.1016/j.sjbs.2022.01.035"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s://doi.org/10.1016/j.fct.2007.09.085" TargetMode="External"/><Relationship Id="rId11" Type="http://schemas.openxmlformats.org/officeDocument/2006/relationships/hyperlink" Target="https://doi.org/10.1007/s00425-022-03828-z" TargetMode="External"/><Relationship Id="rId24" Type="http://schemas.openxmlformats.org/officeDocument/2006/relationships/image" Target="media/image4.png"/><Relationship Id="rId5" Type="http://schemas.openxmlformats.org/officeDocument/2006/relationships/hyperlink" Target="https://doi.org/10.1016/j.resenv.2021.100032" TargetMode="External"/><Relationship Id="rId15" Type="http://schemas.openxmlformats.org/officeDocument/2006/relationships/hyperlink" Target="https://doi.org/10.1371/journal.pone.0204817" TargetMode="External"/><Relationship Id="rId23" Type="http://schemas.openxmlformats.org/officeDocument/2006/relationships/image" Target="media/image3.png"/><Relationship Id="rId10" Type="http://schemas.openxmlformats.org/officeDocument/2006/relationships/hyperlink" Target="https://doi.org/10.3390/su13105530" TargetMode="External"/><Relationship Id="rId19" Type="http://schemas.openxmlformats.org/officeDocument/2006/relationships/hyperlink" Target="https://doi.org/10.1016/j.jplph.2016.04.008" TargetMode="External"/><Relationship Id="rId4" Type="http://schemas.openxmlformats.org/officeDocument/2006/relationships/webSettings" Target="webSettings.xml"/><Relationship Id="rId9" Type="http://schemas.openxmlformats.org/officeDocument/2006/relationships/hyperlink" Target="https://doi.org/10.1016/j.plaphy.2021.02.034" TargetMode="External"/><Relationship Id="rId14" Type="http://schemas.openxmlformats.org/officeDocument/2006/relationships/hyperlink" Target="https://doi.org/10.1016/j.fcr.2014.07.012" TargetMode="External"/><Relationship Id="rId22" Type="http://schemas.openxmlformats.org/officeDocument/2006/relationships/chart" Target="charts/chart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Effects</a:t>
            </a:r>
            <a:r>
              <a:rPr lang="en-US" b="1" baseline="0"/>
              <a:t> of Botanical Priming of Bambara groundnuts on Plant Water Status  Under Water Stress</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Sheet2!$D$2</c:f>
              <c:strCache>
                <c:ptCount val="1"/>
                <c:pt idx="0">
                  <c:v>Wilting Score (0–5)</c:v>
                </c:pt>
              </c:strCache>
            </c:strRef>
          </c:tx>
          <c:spPr>
            <a:solidFill>
              <a:schemeClr val="accent1"/>
            </a:solidFill>
            <a:ln>
              <a:noFill/>
            </a:ln>
            <a:effectLst/>
          </c:spPr>
          <c:invertIfNegative val="0"/>
          <c:cat>
            <c:multiLvlStrRef>
              <c:f>Sheet2!$B$3:$C$20</c:f>
              <c:multiLvlStrCache>
                <c:ptCount val="18"/>
                <c:lvl>
                  <c:pt idx="0">
                    <c:v>G0 (Control)</c:v>
                  </c:pt>
                  <c:pt idx="1">
                    <c:v>G5</c:v>
                  </c:pt>
                  <c:pt idx="2">
                    <c:v>G10</c:v>
                  </c:pt>
                  <c:pt idx="3">
                    <c:v>G15</c:v>
                  </c:pt>
                  <c:pt idx="4">
                    <c:v>G20</c:v>
                  </c:pt>
                  <c:pt idx="5">
                    <c:v>N1</c:v>
                  </c:pt>
                  <c:pt idx="6">
                    <c:v>N2</c:v>
                  </c:pt>
                  <c:pt idx="7">
                    <c:v>N3</c:v>
                  </c:pt>
                  <c:pt idx="8">
                    <c:v>N4</c:v>
                  </c:pt>
                  <c:pt idx="9">
                    <c:v>G0 (Control)</c:v>
                  </c:pt>
                  <c:pt idx="10">
                    <c:v>G5</c:v>
                  </c:pt>
                  <c:pt idx="11">
                    <c:v>G10</c:v>
                  </c:pt>
                  <c:pt idx="12">
                    <c:v>G15</c:v>
                  </c:pt>
                  <c:pt idx="13">
                    <c:v>G20</c:v>
                  </c:pt>
                  <c:pt idx="14">
                    <c:v>N1</c:v>
                  </c:pt>
                  <c:pt idx="15">
                    <c:v>N2</c:v>
                  </c:pt>
                  <c:pt idx="16">
                    <c:v>N3</c:v>
                  </c:pt>
                  <c:pt idx="17">
                    <c:v>N4</c:v>
                  </c:pt>
                </c:lvl>
                <c:lvl>
                  <c:pt idx="0">
                    <c:v>ZM 1856</c:v>
                  </c:pt>
                  <c:pt idx="9">
                    <c:v>ZM 2656</c:v>
                  </c:pt>
                </c:lvl>
              </c:multiLvlStrCache>
            </c:multiLvlStrRef>
          </c:cat>
          <c:val>
            <c:numRef>
              <c:f>Sheet2!$D$3:$D$20</c:f>
              <c:numCache>
                <c:formatCode>General</c:formatCode>
                <c:ptCount val="18"/>
                <c:pt idx="0">
                  <c:v>4</c:v>
                </c:pt>
                <c:pt idx="1">
                  <c:v>2</c:v>
                </c:pt>
                <c:pt idx="2">
                  <c:v>2.75</c:v>
                </c:pt>
                <c:pt idx="3">
                  <c:v>1.75</c:v>
                </c:pt>
                <c:pt idx="4">
                  <c:v>2</c:v>
                </c:pt>
                <c:pt idx="5">
                  <c:v>3</c:v>
                </c:pt>
                <c:pt idx="6">
                  <c:v>2.5</c:v>
                </c:pt>
                <c:pt idx="7">
                  <c:v>1</c:v>
                </c:pt>
                <c:pt idx="8">
                  <c:v>2</c:v>
                </c:pt>
                <c:pt idx="9">
                  <c:v>4.5</c:v>
                </c:pt>
                <c:pt idx="10">
                  <c:v>3.75</c:v>
                </c:pt>
                <c:pt idx="11">
                  <c:v>0</c:v>
                </c:pt>
                <c:pt idx="12">
                  <c:v>3.5</c:v>
                </c:pt>
                <c:pt idx="13">
                  <c:v>2.75</c:v>
                </c:pt>
                <c:pt idx="14">
                  <c:v>4</c:v>
                </c:pt>
                <c:pt idx="15">
                  <c:v>3.25</c:v>
                </c:pt>
                <c:pt idx="16">
                  <c:v>3.75</c:v>
                </c:pt>
                <c:pt idx="17">
                  <c:v>2.75</c:v>
                </c:pt>
              </c:numCache>
            </c:numRef>
          </c:val>
          <c:extLst>
            <c:ext xmlns:c16="http://schemas.microsoft.com/office/drawing/2014/chart" uri="{C3380CC4-5D6E-409C-BE32-E72D297353CC}">
              <c16:uniqueId val="{00000000-4840-47AB-A8FC-61BF43AD9C8D}"/>
            </c:ext>
          </c:extLst>
        </c:ser>
        <c:ser>
          <c:idx val="1"/>
          <c:order val="1"/>
          <c:tx>
            <c:strRef>
              <c:f>Sheet2!$E$2</c:f>
              <c:strCache>
                <c:ptCount val="1"/>
                <c:pt idx="0">
                  <c:v>% Moisture Retention/Control</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Sheet2!$B$3:$C$20</c:f>
              <c:multiLvlStrCache>
                <c:ptCount val="18"/>
                <c:lvl>
                  <c:pt idx="0">
                    <c:v>G0 (Control)</c:v>
                  </c:pt>
                  <c:pt idx="1">
                    <c:v>G5</c:v>
                  </c:pt>
                  <c:pt idx="2">
                    <c:v>G10</c:v>
                  </c:pt>
                  <c:pt idx="3">
                    <c:v>G15</c:v>
                  </c:pt>
                  <c:pt idx="4">
                    <c:v>G20</c:v>
                  </c:pt>
                  <c:pt idx="5">
                    <c:v>N1</c:v>
                  </c:pt>
                  <c:pt idx="6">
                    <c:v>N2</c:v>
                  </c:pt>
                  <c:pt idx="7">
                    <c:v>N3</c:v>
                  </c:pt>
                  <c:pt idx="8">
                    <c:v>N4</c:v>
                  </c:pt>
                  <c:pt idx="9">
                    <c:v>G0 (Control)</c:v>
                  </c:pt>
                  <c:pt idx="10">
                    <c:v>G5</c:v>
                  </c:pt>
                  <c:pt idx="11">
                    <c:v>G10</c:v>
                  </c:pt>
                  <c:pt idx="12">
                    <c:v>G15</c:v>
                  </c:pt>
                  <c:pt idx="13">
                    <c:v>G20</c:v>
                  </c:pt>
                  <c:pt idx="14">
                    <c:v>N1</c:v>
                  </c:pt>
                  <c:pt idx="15">
                    <c:v>N2</c:v>
                  </c:pt>
                  <c:pt idx="16">
                    <c:v>N3</c:v>
                  </c:pt>
                  <c:pt idx="17">
                    <c:v>N4</c:v>
                  </c:pt>
                </c:lvl>
                <c:lvl>
                  <c:pt idx="0">
                    <c:v>ZM 1856</c:v>
                  </c:pt>
                  <c:pt idx="9">
                    <c:v>ZM 2656</c:v>
                  </c:pt>
                </c:lvl>
              </c:multiLvlStrCache>
            </c:multiLvlStrRef>
          </c:cat>
          <c:val>
            <c:numRef>
              <c:f>Sheet2!$E$3:$E$20</c:f>
              <c:numCache>
                <c:formatCode>General</c:formatCode>
                <c:ptCount val="18"/>
                <c:pt idx="0">
                  <c:v>0</c:v>
                </c:pt>
                <c:pt idx="1">
                  <c:v>2.8999999999999915</c:v>
                </c:pt>
                <c:pt idx="2">
                  <c:v>1.6999999999999886</c:v>
                </c:pt>
                <c:pt idx="3">
                  <c:v>7.6999999999999886</c:v>
                </c:pt>
                <c:pt idx="4">
                  <c:v>3.1999999999999886</c:v>
                </c:pt>
                <c:pt idx="5">
                  <c:v>5.2999999999999972</c:v>
                </c:pt>
                <c:pt idx="6">
                  <c:v>6.1999999999999886</c:v>
                </c:pt>
                <c:pt idx="7">
                  <c:v>4.7999999999999972</c:v>
                </c:pt>
                <c:pt idx="8">
                  <c:v>-5.7000000000000028</c:v>
                </c:pt>
                <c:pt idx="9">
                  <c:v>0</c:v>
                </c:pt>
                <c:pt idx="10">
                  <c:v>5.5999999999999943</c:v>
                </c:pt>
                <c:pt idx="11">
                  <c:v>7.5999999999999943</c:v>
                </c:pt>
                <c:pt idx="12">
                  <c:v>3.9000000000000057</c:v>
                </c:pt>
                <c:pt idx="13">
                  <c:v>5.0999999999999943</c:v>
                </c:pt>
                <c:pt idx="14">
                  <c:v>4.2999999999999972</c:v>
                </c:pt>
                <c:pt idx="15">
                  <c:v>5.2000000000000028</c:v>
                </c:pt>
                <c:pt idx="16">
                  <c:v>1.2000000000000028</c:v>
                </c:pt>
                <c:pt idx="17">
                  <c:v>5.2000000000000028</c:v>
                </c:pt>
              </c:numCache>
            </c:numRef>
          </c:val>
          <c:extLst>
            <c:ext xmlns:c16="http://schemas.microsoft.com/office/drawing/2014/chart" uri="{C3380CC4-5D6E-409C-BE32-E72D297353CC}">
              <c16:uniqueId val="{00000001-4840-47AB-A8FC-61BF43AD9C8D}"/>
            </c:ext>
          </c:extLst>
        </c:ser>
        <c:dLbls>
          <c:showLegendKey val="0"/>
          <c:showVal val="0"/>
          <c:showCatName val="0"/>
          <c:showSerName val="0"/>
          <c:showPercent val="0"/>
          <c:showBubbleSize val="0"/>
        </c:dLbls>
        <c:gapWidth val="182"/>
        <c:axId val="847711807"/>
        <c:axId val="847714719"/>
      </c:barChart>
      <c:catAx>
        <c:axId val="84771180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7714719"/>
        <c:crosses val="autoZero"/>
        <c:auto val="1"/>
        <c:lblAlgn val="ctr"/>
        <c:lblOffset val="100"/>
        <c:noMultiLvlLbl val="0"/>
      </c:catAx>
      <c:valAx>
        <c:axId val="84771471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77118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1847</TotalTime>
  <Pages>16</Pages>
  <Words>9582</Words>
  <Characters>54622</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SDI 1022</cp:lastModifiedBy>
  <cp:revision>89</cp:revision>
  <dcterms:created xsi:type="dcterms:W3CDTF">2026-03-17T20:54:00Z</dcterms:created>
  <dcterms:modified xsi:type="dcterms:W3CDTF">2026-03-24T10:29:00Z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id="JaT969sX"/&gt;&lt;style id="http://www.zotero.org/styles/american-political-science-association" locale="en-US" hasBibliography="1" bibliographyStyleHasBeenSet="1"/&gt;&lt;prefs&gt;&lt;pref name="fieldType" value="</vt:lpwstr>
  </property>
  <property fmtid="{D5CDD505-2E9C-101B-9397-08002B2CF9AE}" pid="3" name="ZOTERO_PREF_2">
    <vt:lpwstr>Field"/&gt;&lt;pref name="automaticJournalAbbreviations" value="true"/&gt;&lt;/prefs&gt;&lt;/data&gt;</vt:lpwstr>
  </property>
</Properties>
</file>