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3CE11" w14:textId="77777777" w:rsidR="00AB2ECD" w:rsidRPr="00B64D15" w:rsidRDefault="00D0757E">
      <w:pPr>
        <w:spacing w:before="480" w:after="120"/>
        <w:jc w:val="center"/>
        <w:rPr>
          <w:b/>
          <w:bCs/>
          <w:color w:val="000000" w:themeColor="text1"/>
          <w:sz w:val="28"/>
          <w:szCs w:val="28"/>
        </w:rPr>
      </w:pPr>
      <w:r>
        <w:rPr>
          <w:rFonts w:cs="Times New Roman"/>
          <w:b/>
          <w:bCs/>
          <w:color w:val="000000" w:themeColor="text1"/>
          <w:sz w:val="28"/>
          <w:szCs w:val="28"/>
        </w:rPr>
        <w:t>ORNAMENTAL PLANT BREEDING AND VARIETIES:</w:t>
      </w:r>
    </w:p>
    <w:p w14:paraId="2B051341" w14:textId="77777777" w:rsidR="00AB2ECD" w:rsidRPr="00B64D15" w:rsidRDefault="00D0757E">
      <w:pPr>
        <w:spacing w:after="480"/>
        <w:jc w:val="center"/>
        <w:rPr>
          <w:b/>
          <w:bCs/>
          <w:color w:val="000000" w:themeColor="text1"/>
          <w:sz w:val="28"/>
          <w:szCs w:val="28"/>
        </w:rPr>
      </w:pPr>
      <w:r>
        <w:rPr>
          <w:rFonts w:cs="Times New Roman"/>
          <w:b/>
          <w:bCs/>
          <w:color w:val="000000" w:themeColor="text1"/>
          <w:sz w:val="28"/>
          <w:szCs w:val="28"/>
        </w:rPr>
        <w:t>A Comprehensive Review</w:t>
      </w:r>
    </w:p>
    <w:p w14:paraId="7CC07D7A" w14:textId="77777777" w:rsidR="00BF60A3" w:rsidRDefault="00BF60A3">
      <w:pPr>
        <w:pStyle w:val="Heading1"/>
        <w:pBdr>
          <w:bottom w:val="single" w:sz="6" w:space="1" w:color="1A5276"/>
        </w:pBdr>
      </w:pPr>
    </w:p>
    <w:p w14:paraId="7F9A9B7D" w14:textId="77777777" w:rsidR="00BF60A3" w:rsidRDefault="00BF60A3">
      <w:pPr>
        <w:pStyle w:val="Heading1"/>
        <w:pBdr>
          <w:bottom w:val="single" w:sz="6" w:space="1" w:color="1A5276"/>
        </w:pBdr>
      </w:pPr>
    </w:p>
    <w:p w14:paraId="694C1972" w14:textId="77777777" w:rsidR="00BF60A3" w:rsidRDefault="00BF60A3">
      <w:pPr>
        <w:pStyle w:val="Heading1"/>
        <w:pBdr>
          <w:bottom w:val="single" w:sz="6" w:space="1" w:color="1A5276"/>
        </w:pBdr>
      </w:pPr>
    </w:p>
    <w:p w14:paraId="2779212D" w14:textId="77777777" w:rsidR="00AB2ECD" w:rsidRDefault="00D0757E">
      <w:pPr>
        <w:pStyle w:val="Heading1"/>
        <w:pBdr>
          <w:bottom w:val="single" w:sz="6" w:space="1" w:color="1A5276"/>
        </w:pBdr>
      </w:pPr>
      <w:r>
        <w:t>ABSTRACT</w:t>
      </w:r>
    </w:p>
    <w:p w14:paraId="2D810737" w14:textId="394D3170" w:rsidR="00AB2ECD" w:rsidRDefault="00D0757E">
      <w:pPr>
        <w:spacing w:after="160" w:line="360" w:lineRule="auto"/>
        <w:jc w:val="both"/>
      </w:pPr>
      <w:r>
        <w:rPr>
          <w:rFonts w:cs="Times New Roman"/>
        </w:rPr>
        <w:t>Ornamental plant breeding represents one of the most dynamic and economically significant sectors within horticulture. Globally, the ornamental plant industry generates revenues exceeding USD 100 billion annually, with continuous demand for novel cultivars exhibiting superior aesthetic traits, extended vase life, disease resistance, and environmental adaptability. This comprehensive review synthesizes contemporary knowledge on ornamental plant breeding methodologies, genetic resources, and the commercialization of new varieties across major ornamental crops including roses (Rosa spp.), chrysanthemums (</w:t>
      </w:r>
      <w:r>
        <w:rPr>
          <w:rFonts w:cs="Times New Roman"/>
          <w:i/>
          <w:iCs/>
        </w:rPr>
        <w:t xml:space="preserve">Chrysanthemum </w:t>
      </w:r>
      <w:proofErr w:type="spellStart"/>
      <w:r>
        <w:rPr>
          <w:rFonts w:cs="Times New Roman"/>
          <w:i/>
          <w:iCs/>
        </w:rPr>
        <w:t>morifolium</w:t>
      </w:r>
      <w:proofErr w:type="spellEnd"/>
      <w:r>
        <w:rPr>
          <w:rFonts w:cs="Times New Roman"/>
        </w:rPr>
        <w:t>), tulips (</w:t>
      </w:r>
      <w:proofErr w:type="spellStart"/>
      <w:r>
        <w:rPr>
          <w:rFonts w:cs="Times New Roman"/>
        </w:rPr>
        <w:t>Tulipa</w:t>
      </w:r>
      <w:proofErr w:type="spellEnd"/>
      <w:r>
        <w:rPr>
          <w:rFonts w:cs="Times New Roman"/>
        </w:rPr>
        <w:t xml:space="preserve"> spp.), orchids (</w:t>
      </w:r>
      <w:proofErr w:type="spellStart"/>
      <w:r>
        <w:rPr>
          <w:rFonts w:cs="Times New Roman"/>
        </w:rPr>
        <w:t>Orchidaceae</w:t>
      </w:r>
      <w:proofErr w:type="spellEnd"/>
      <w:r>
        <w:rPr>
          <w:rFonts w:cs="Times New Roman"/>
        </w:rPr>
        <w:t>), and other floriculture species.</w:t>
      </w:r>
      <w:r w:rsidR="0034476E">
        <w:rPr>
          <w:rFonts w:cs="Times New Roman"/>
        </w:rPr>
        <w:t xml:space="preserve"> </w:t>
      </w:r>
      <w:r>
        <w:rPr>
          <w:rFonts w:cs="Times New Roman"/>
        </w:rPr>
        <w:t xml:space="preserve">The review addresses classical breeding approaches—hybridization, selection, and mutation breeding—alongside modern biotechnological tools including molecular marker-assisted selection (MAS), genomic selection, somatic hybridization, and CRISPR/Cas9-mediated genome editing. Special attention is given to the genetic basis of ornamental traits such as flower </w:t>
      </w:r>
      <w:proofErr w:type="spellStart"/>
      <w:r>
        <w:rPr>
          <w:rFonts w:cs="Times New Roman"/>
        </w:rPr>
        <w:t>color</w:t>
      </w:r>
      <w:proofErr w:type="spellEnd"/>
      <w:r>
        <w:rPr>
          <w:rFonts w:cs="Times New Roman"/>
        </w:rPr>
        <w:t>, fragrance, plant architecture, and stress tolerance. The role of polyploidy, interspecific hybridization, and epigenetic regulation in generating phenotypic novelty is critically discussed. Furthermore, this paper examines intellectual property frameworks including plant patents and plant breeders' rights (PBR) that govern the commercialization of new ornamental varieties. Emerging trends such as climate-smart breeding, consumer-driven trait preferences, and digital phenotyping are highlighted as key drivers shaping the future of ornamental plant improvement.</w:t>
      </w:r>
    </w:p>
    <w:p w14:paraId="49FE8B11" w14:textId="77777777" w:rsidR="00AB2ECD" w:rsidRDefault="00AB2ECD">
      <w:pPr>
        <w:spacing w:after="80"/>
      </w:pPr>
    </w:p>
    <w:p w14:paraId="4529ECF5" w14:textId="77777777" w:rsidR="00AB2ECD" w:rsidRDefault="00D0757E">
      <w:pPr>
        <w:spacing w:after="160"/>
        <w:jc w:val="both"/>
      </w:pPr>
      <w:r>
        <w:rPr>
          <w:rFonts w:cs="Times New Roman"/>
          <w:b/>
          <w:bCs/>
        </w:rPr>
        <w:t xml:space="preserve">Keywords: </w:t>
      </w:r>
      <w:r>
        <w:rPr>
          <w:rFonts w:cs="Times New Roman"/>
          <w:i/>
          <w:iCs/>
        </w:rPr>
        <w:t xml:space="preserve">ornamental plant breeding, floriculture, flower </w:t>
      </w:r>
      <w:proofErr w:type="spellStart"/>
      <w:r>
        <w:rPr>
          <w:rFonts w:cs="Times New Roman"/>
          <w:i/>
          <w:iCs/>
        </w:rPr>
        <w:t>color</w:t>
      </w:r>
      <w:proofErr w:type="spellEnd"/>
      <w:r>
        <w:rPr>
          <w:rFonts w:cs="Times New Roman"/>
          <w:i/>
          <w:iCs/>
        </w:rPr>
        <w:t xml:space="preserve"> genetics, molecular markers, cultivar development, CRISPR, plant breeders' rights, cut flowers, landscape plants</w:t>
      </w:r>
    </w:p>
    <w:p w14:paraId="74744E6A" w14:textId="77777777" w:rsidR="00AB2ECD" w:rsidRDefault="00AB2ECD">
      <w:pPr>
        <w:spacing w:after="80"/>
      </w:pPr>
    </w:p>
    <w:p w14:paraId="2CF1296D" w14:textId="77777777" w:rsidR="00AB2ECD" w:rsidRDefault="00D0757E">
      <w:pPr>
        <w:pStyle w:val="Heading1"/>
        <w:pBdr>
          <w:bottom w:val="single" w:sz="6" w:space="1" w:color="1A5276"/>
        </w:pBdr>
      </w:pPr>
      <w:r>
        <w:lastRenderedPageBreak/>
        <w:t>1. INTRODUCTION</w:t>
      </w:r>
    </w:p>
    <w:p w14:paraId="3ACF0A3F" w14:textId="77777777" w:rsidR="00AB2ECD" w:rsidRDefault="00D0757E">
      <w:pPr>
        <w:spacing w:after="160" w:line="360" w:lineRule="auto"/>
        <w:jc w:val="both"/>
      </w:pPr>
      <w:r>
        <w:rPr>
          <w:rFonts w:cs="Times New Roman"/>
        </w:rPr>
        <w:t xml:space="preserve">Ornamental horticulture encompasses the cultivation, breeding, and marketing of plants grown primarily for their aesthetic attributes—flowers, foliage, fragrance, and form—rather than for food or industrial use. This sector spans an enormous diversity of plant species including annuals, perennials, bulbous plants, woody ornamentals, turfgrasses, and tropical foliage plants used across cut flower markets, potted plant production, and landscape applications. The global ornamental plant trade is a multi-billion-dollar industry that continues to expand with rising urbanization, green infrastructure initiatives, and growing consumer interest in home gardening and interior </w:t>
      </w:r>
      <w:proofErr w:type="spellStart"/>
      <w:r>
        <w:rPr>
          <w:rFonts w:cs="Times New Roman"/>
        </w:rPr>
        <w:t>plantscaping</w:t>
      </w:r>
      <w:proofErr w:type="spellEnd"/>
      <w:r>
        <w:rPr>
          <w:rFonts w:cs="Times New Roman"/>
        </w:rPr>
        <w:t xml:space="preserve"> (Chandler and </w:t>
      </w:r>
      <w:proofErr w:type="spellStart"/>
      <w:r>
        <w:rPr>
          <w:rFonts w:cs="Times New Roman"/>
        </w:rPr>
        <w:t>Brugliera</w:t>
      </w:r>
      <w:proofErr w:type="spellEnd"/>
      <w:r>
        <w:rPr>
          <w:rFonts w:cs="Times New Roman"/>
        </w:rPr>
        <w:t>, 2011).</w:t>
      </w:r>
    </w:p>
    <w:p w14:paraId="33C8EFF3" w14:textId="77777777" w:rsidR="00AB2ECD" w:rsidRDefault="00AB2ECD">
      <w:pPr>
        <w:spacing w:after="80"/>
      </w:pPr>
    </w:p>
    <w:p w14:paraId="3EAA07AE" w14:textId="404DB77D" w:rsidR="00AB2ECD" w:rsidRDefault="00D0757E">
      <w:pPr>
        <w:spacing w:after="160" w:line="360" w:lineRule="auto"/>
        <w:jc w:val="both"/>
      </w:pPr>
      <w:r>
        <w:rPr>
          <w:rFonts w:cs="Times New Roman"/>
        </w:rPr>
        <w:t>Plant breeding has been central to the development of the modern ornamental industry. Over centuries, both intentional and accidental selection have yielded countless cultivars with traits that would be impossible or rare in wild populations—pure white roses, large-flowered dahlias, striped tulips, blue delphiniums, and miniature orchids cultivated on windowsills. The history of ornamental breeding is intertwined with the history of exploration, trade, and cultural exchange, as plants moved between continents and were subjected to selection pressures reflecting local aesthetic preferences and commercial needs</w:t>
      </w:r>
      <w:r w:rsidR="00D03F2F">
        <w:rPr>
          <w:rFonts w:cs="Times New Roman"/>
        </w:rPr>
        <w:t xml:space="preserve"> (</w:t>
      </w:r>
      <w:r w:rsidR="00D03F2F" w:rsidRPr="00D03F2F">
        <w:rPr>
          <w:rFonts w:cs="Times New Roman"/>
        </w:rPr>
        <w:t>Atal</w:t>
      </w:r>
      <w:r w:rsidR="00D03F2F">
        <w:rPr>
          <w:rFonts w:cs="Times New Roman"/>
        </w:rPr>
        <w:t xml:space="preserve"> et al., 2022)</w:t>
      </w:r>
      <w:bookmarkStart w:id="0" w:name="_GoBack"/>
      <w:bookmarkEnd w:id="0"/>
      <w:r>
        <w:rPr>
          <w:rFonts w:cs="Times New Roman"/>
        </w:rPr>
        <w:t>.</w:t>
      </w:r>
    </w:p>
    <w:p w14:paraId="1BF58637" w14:textId="77777777" w:rsidR="00AB2ECD" w:rsidRDefault="00AB2ECD">
      <w:pPr>
        <w:spacing w:after="80"/>
      </w:pPr>
    </w:p>
    <w:p w14:paraId="352AA3F4" w14:textId="77777777" w:rsidR="00AB2ECD" w:rsidRDefault="00D0757E">
      <w:pPr>
        <w:spacing w:after="160" w:line="360" w:lineRule="auto"/>
        <w:jc w:val="both"/>
      </w:pPr>
      <w:r>
        <w:rPr>
          <w:rFonts w:cs="Times New Roman"/>
        </w:rPr>
        <w:t>The twentieth century witnessed a transformation in ornamental breeding through the systematic application of Mendelian genetics, cytogenetics, and later molecular biology. Hybridization programs became more sophisticated, and the discovery of colchicine-induced polyploidy opened new possibilities for developing triploid and tetraploid cultivars with enhanced ornamental traits. The late twentieth and early twenty-first centuries have been marked by the integration of molecular tools—DNA markers, genomic sequencing, and genetic transformation—into breeding pipelines, dramatically accelerating the pace of cultivar development and enabling the precise manipulation of target traits (</w:t>
      </w:r>
      <w:proofErr w:type="spellStart"/>
      <w:r>
        <w:rPr>
          <w:rFonts w:cs="Times New Roman"/>
        </w:rPr>
        <w:t>Griesbach</w:t>
      </w:r>
      <w:proofErr w:type="spellEnd"/>
      <w:r>
        <w:rPr>
          <w:rFonts w:cs="Times New Roman"/>
        </w:rPr>
        <w:t>, 2005).</w:t>
      </w:r>
    </w:p>
    <w:p w14:paraId="3FE0956B" w14:textId="77777777" w:rsidR="00AB2ECD" w:rsidRDefault="00AB2ECD">
      <w:pPr>
        <w:spacing w:after="80"/>
      </w:pPr>
    </w:p>
    <w:p w14:paraId="25D0F22E" w14:textId="77777777" w:rsidR="00AB2ECD" w:rsidRDefault="00D0757E">
      <w:pPr>
        <w:spacing w:after="160" w:line="360" w:lineRule="auto"/>
        <w:jc w:val="both"/>
      </w:pPr>
      <w:r>
        <w:rPr>
          <w:rFonts w:cs="Times New Roman"/>
        </w:rPr>
        <w:t xml:space="preserve">Despite these advances, ornamental plant breeding faces unique challenges compared to crop breeding. Consumer preferences are subjective and subject to fashion trends, requiring breeders to anticipate market demands years in advance given the long development timelines for new varieties. </w:t>
      </w:r>
      <w:r>
        <w:rPr>
          <w:rFonts w:cs="Times New Roman"/>
        </w:rPr>
        <w:lastRenderedPageBreak/>
        <w:t>The regulatory and intellectual property landscape for ornamental varieties is complex, with overlapping systems of plant patents, utility patents, and plant variety protection. Environmental concerns are also reshaping breeding objectives, with increasing emphasis on drought tolerance, reduced pesticide requirements, and invasive species risk assessment for landscape plants.</w:t>
      </w:r>
    </w:p>
    <w:p w14:paraId="5BE78D0D" w14:textId="77777777" w:rsidR="00AB2ECD" w:rsidRDefault="00AB2ECD">
      <w:pPr>
        <w:spacing w:after="80"/>
      </w:pPr>
    </w:p>
    <w:p w14:paraId="5D1B0A5B" w14:textId="77777777" w:rsidR="00AB2ECD" w:rsidRDefault="00D0757E">
      <w:pPr>
        <w:spacing w:after="160" w:line="360" w:lineRule="auto"/>
        <w:jc w:val="both"/>
      </w:pPr>
      <w:r>
        <w:rPr>
          <w:rFonts w:cs="Times New Roman"/>
        </w:rPr>
        <w:t>This review aims to provide a comprehensive and critical synthesis of current knowledge and emerging trends in ornamental plant breeding and variety development. By integrating classical and molecular approaches, examining commercial realities, and projecting future directions, this paper serves as a reference for researchers, breeders, students, and industry professionals engaged in ornamental horticulture.</w:t>
      </w:r>
    </w:p>
    <w:p w14:paraId="71692EB4" w14:textId="77777777" w:rsidR="00AB2ECD" w:rsidRDefault="00AB2ECD">
      <w:pPr>
        <w:spacing w:after="80"/>
      </w:pPr>
    </w:p>
    <w:p w14:paraId="6B31B3F0" w14:textId="77777777" w:rsidR="00AB2ECD" w:rsidRDefault="00D0757E">
      <w:pPr>
        <w:pStyle w:val="Heading1"/>
        <w:pBdr>
          <w:bottom w:val="single" w:sz="6" w:space="1" w:color="1A5276"/>
        </w:pBdr>
      </w:pPr>
      <w:r>
        <w:t>2. SCOPE AND ECONOMIC IMPORTANCE OF ORNAMENTAL HORTICULTURE</w:t>
      </w:r>
    </w:p>
    <w:p w14:paraId="6CD0E476" w14:textId="77777777" w:rsidR="00AB2ECD" w:rsidRDefault="00D0757E">
      <w:pPr>
        <w:pStyle w:val="Heading2"/>
      </w:pPr>
      <w:r>
        <w:t>2.1 Global Market Overview</w:t>
      </w:r>
    </w:p>
    <w:p w14:paraId="24D980D3" w14:textId="77777777" w:rsidR="00AB2ECD" w:rsidRDefault="00D0757E">
      <w:pPr>
        <w:spacing w:after="160" w:line="360" w:lineRule="auto"/>
        <w:jc w:val="both"/>
      </w:pPr>
      <w:r>
        <w:rPr>
          <w:rFonts w:cs="Times New Roman"/>
        </w:rPr>
        <w:t xml:space="preserve">The global ornamental plant and floriculture market was valued at approximately USD 104.7 billion in 2022 and is projected to grow at a compound annual growth rate (CAGR) of 6.5% through 2030; more recent estimates place the 2024 market value in the range of USD 42–106 billion depending on scope and methodology (Cognitive Market Research, 2024; </w:t>
      </w:r>
      <w:proofErr w:type="spellStart"/>
      <w:r>
        <w:rPr>
          <w:rFonts w:cs="Times New Roman"/>
        </w:rPr>
        <w:t>ResearchAndMarkets</w:t>
      </w:r>
      <w:proofErr w:type="spellEnd"/>
      <w:r>
        <w:rPr>
          <w:rFonts w:cs="Times New Roman"/>
        </w:rPr>
        <w:t>, 2024). The Netherlands remains the world's largest exporter of cut flowers and ornamental plants, with the Aalsmeer flower auction (</w:t>
      </w:r>
      <w:proofErr w:type="spellStart"/>
      <w:r>
        <w:rPr>
          <w:rFonts w:cs="Times New Roman"/>
        </w:rPr>
        <w:t>FloraHolland</w:t>
      </w:r>
      <w:proofErr w:type="spellEnd"/>
      <w:r>
        <w:rPr>
          <w:rFonts w:cs="Times New Roman"/>
        </w:rPr>
        <w:t>) serving as the principal price-setting mechanism for global trade. Other major producing nations include Colombia, Ecuador, Kenya, Ethiopia, and China, while Japan, Germany, the United Kingdom, and the United States represent the largest import markets (FAO, 2022).</w:t>
      </w:r>
    </w:p>
    <w:p w14:paraId="472FDF2A" w14:textId="77777777" w:rsidR="00AB2ECD" w:rsidRDefault="00AB2ECD">
      <w:pPr>
        <w:spacing w:after="80"/>
      </w:pPr>
    </w:p>
    <w:p w14:paraId="12913729" w14:textId="77777777" w:rsidR="00AB2ECD" w:rsidRDefault="00D0757E">
      <w:pPr>
        <w:spacing w:after="160" w:line="360" w:lineRule="auto"/>
        <w:jc w:val="both"/>
      </w:pPr>
      <w:r>
        <w:rPr>
          <w:rFonts w:cs="Times New Roman"/>
        </w:rPr>
        <w:t>The industry is broadly divided into: (1) cut flowers—roses, chrysanthemums, carnations, tulips, and lilies collectively represent over 60% of global cut flower trade; (2) potted plants and bedding plants—including impatiens, petunias, geraniums, poinsettias, and orchids; (3) woody ornamentals and nursery stock—trees, shrubs, and conifers used in landscape plantings; and (4) turfgrass—a sector that alone accounts for significant acreage across residential, commercial, and sports applications.</w:t>
      </w:r>
    </w:p>
    <w:p w14:paraId="67FDDEC2" w14:textId="77777777" w:rsidR="00AB2ECD" w:rsidRDefault="00AB2ECD">
      <w:pPr>
        <w:spacing w:after="80"/>
      </w:pPr>
    </w:p>
    <w:tbl>
      <w:tblPr>
        <w:tblW w:w="10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500"/>
        <w:gridCol w:w="2500"/>
        <w:gridCol w:w="2560"/>
      </w:tblGrid>
      <w:tr w:rsidR="00AB2ECD" w14:paraId="50DC21BB" w14:textId="77777777">
        <w:trPr>
          <w:tblHeader/>
        </w:trPr>
        <w:tc>
          <w:tcPr>
            <w:tcW w:w="2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157A187" w14:textId="77777777" w:rsidR="00AB2ECD" w:rsidRDefault="00D0757E">
            <w:pPr>
              <w:jc w:val="center"/>
            </w:pPr>
            <w:r>
              <w:rPr>
                <w:rFonts w:cs="Times New Roman"/>
                <w:b/>
                <w:bCs/>
                <w:color w:val="FFFFFF"/>
                <w:sz w:val="22"/>
                <w:szCs w:val="22"/>
              </w:rPr>
              <w:t>Crop</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69DC84D8" w14:textId="77777777" w:rsidR="00AB2ECD" w:rsidRDefault="00D0757E">
            <w:pPr>
              <w:jc w:val="center"/>
            </w:pPr>
            <w:r>
              <w:rPr>
                <w:rFonts w:cs="Times New Roman"/>
                <w:b/>
                <w:bCs/>
                <w:color w:val="FFFFFF"/>
                <w:sz w:val="22"/>
                <w:szCs w:val="22"/>
              </w:rPr>
              <w:t>Global Production Value (USD B)</w:t>
            </w:r>
          </w:p>
        </w:tc>
        <w:tc>
          <w:tcPr>
            <w:tcW w:w="25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4BE13347" w14:textId="77777777" w:rsidR="00AB2ECD" w:rsidRDefault="00D0757E">
            <w:pPr>
              <w:jc w:val="center"/>
            </w:pPr>
            <w:r>
              <w:rPr>
                <w:rFonts w:cs="Times New Roman"/>
                <w:b/>
                <w:bCs/>
                <w:color w:val="FFFFFF"/>
                <w:sz w:val="22"/>
                <w:szCs w:val="22"/>
              </w:rPr>
              <w:t>Primary Breeding Objective</w:t>
            </w:r>
          </w:p>
        </w:tc>
        <w:tc>
          <w:tcPr>
            <w:tcW w:w="256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978F859" w14:textId="77777777" w:rsidR="00AB2ECD" w:rsidRDefault="00D0757E">
            <w:pPr>
              <w:jc w:val="center"/>
            </w:pPr>
            <w:r>
              <w:rPr>
                <w:rFonts w:cs="Times New Roman"/>
                <w:b/>
                <w:bCs/>
                <w:color w:val="FFFFFF"/>
                <w:sz w:val="22"/>
                <w:szCs w:val="22"/>
              </w:rPr>
              <w:t>Key Producing Regions</w:t>
            </w:r>
          </w:p>
        </w:tc>
      </w:tr>
      <w:tr w:rsidR="00AB2ECD" w14:paraId="234702E3"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806F401" w14:textId="77777777" w:rsidR="00AB2ECD" w:rsidRDefault="00D0757E">
            <w:pPr>
              <w:jc w:val="both"/>
            </w:pPr>
            <w:r>
              <w:rPr>
                <w:rFonts w:cs="Times New Roman"/>
                <w:sz w:val="22"/>
                <w:szCs w:val="22"/>
              </w:rPr>
              <w:t>Rose (Rosa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DCB8183" w14:textId="77777777" w:rsidR="00AB2ECD" w:rsidRDefault="00D0757E">
            <w:pPr>
              <w:jc w:val="both"/>
            </w:pPr>
            <w:r>
              <w:rPr>
                <w:rFonts w:cs="Times New Roman"/>
                <w:sz w:val="22"/>
                <w:szCs w:val="22"/>
              </w:rPr>
              <w:t>~30.0</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3344C70" w14:textId="77777777" w:rsidR="00AB2ECD" w:rsidRDefault="00D0757E">
            <w:pPr>
              <w:jc w:val="both"/>
            </w:pPr>
            <w:proofErr w:type="spellStart"/>
            <w:r>
              <w:rPr>
                <w:rFonts w:cs="Times New Roman"/>
                <w:sz w:val="22"/>
                <w:szCs w:val="22"/>
              </w:rPr>
              <w:t>Color</w:t>
            </w:r>
            <w:proofErr w:type="spellEnd"/>
            <w:r>
              <w:rPr>
                <w:rFonts w:cs="Times New Roman"/>
                <w:sz w:val="22"/>
                <w:szCs w:val="22"/>
              </w:rPr>
              <w:t>, vase life, fragrance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8655A53" w14:textId="77777777" w:rsidR="00AB2ECD" w:rsidRDefault="00D0757E">
            <w:pPr>
              <w:jc w:val="both"/>
            </w:pPr>
            <w:r>
              <w:rPr>
                <w:rFonts w:cs="Times New Roman"/>
                <w:sz w:val="22"/>
                <w:szCs w:val="22"/>
              </w:rPr>
              <w:t>Netherlands, Colombia, Kenya</w:t>
            </w:r>
          </w:p>
        </w:tc>
      </w:tr>
      <w:tr w:rsidR="00AB2ECD" w14:paraId="5ECC3C6F"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646850B" w14:textId="77777777" w:rsidR="00AB2ECD" w:rsidRDefault="00D0757E">
            <w:pPr>
              <w:jc w:val="both"/>
            </w:pPr>
            <w:r>
              <w:rPr>
                <w:rFonts w:cs="Times New Roman"/>
                <w:sz w:val="22"/>
                <w:szCs w:val="22"/>
              </w:rPr>
              <w:t>Chrysanthemum</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0A6AFB40" w14:textId="77777777" w:rsidR="00AB2ECD" w:rsidRDefault="00D0757E">
            <w:pPr>
              <w:jc w:val="both"/>
            </w:pPr>
            <w:r>
              <w:rPr>
                <w:rFonts w:cs="Times New Roman"/>
                <w:sz w:val="22"/>
                <w:szCs w:val="22"/>
              </w:rPr>
              <w:t>~12.5</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45356A4A" w14:textId="77777777" w:rsidR="00AB2ECD" w:rsidRDefault="00D0757E">
            <w:pPr>
              <w:jc w:val="both"/>
            </w:pPr>
            <w:proofErr w:type="spellStart"/>
            <w:r>
              <w:rPr>
                <w:rFonts w:cs="Times New Roman"/>
                <w:sz w:val="22"/>
                <w:szCs w:val="22"/>
              </w:rPr>
              <w:t>Color</w:t>
            </w:r>
            <w:proofErr w:type="spellEnd"/>
            <w:r>
              <w:rPr>
                <w:rFonts w:cs="Times New Roman"/>
                <w:sz w:val="22"/>
                <w:szCs w:val="22"/>
              </w:rPr>
              <w:t xml:space="preserve"> range, day-length response</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D3B80E2" w14:textId="77777777" w:rsidR="00AB2ECD" w:rsidRDefault="00D0757E">
            <w:pPr>
              <w:jc w:val="both"/>
            </w:pPr>
            <w:r>
              <w:rPr>
                <w:rFonts w:cs="Times New Roman"/>
                <w:sz w:val="22"/>
                <w:szCs w:val="22"/>
              </w:rPr>
              <w:t>China, Netherlands, Japan</w:t>
            </w:r>
          </w:p>
        </w:tc>
      </w:tr>
      <w:tr w:rsidR="00AB2ECD" w14:paraId="48466981"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C376276" w14:textId="77777777" w:rsidR="00AB2ECD" w:rsidRDefault="00D0757E">
            <w:pPr>
              <w:jc w:val="both"/>
            </w:pPr>
            <w:r>
              <w:rPr>
                <w:rFonts w:cs="Times New Roman"/>
                <w:sz w:val="22"/>
                <w:szCs w:val="22"/>
              </w:rPr>
              <w:t>Tulip (</w:t>
            </w:r>
            <w:proofErr w:type="spellStart"/>
            <w:r>
              <w:rPr>
                <w:rFonts w:cs="Times New Roman"/>
                <w:sz w:val="22"/>
                <w:szCs w:val="22"/>
              </w:rPr>
              <w:t>Tulipa</w:t>
            </w:r>
            <w:proofErr w:type="spellEnd"/>
            <w:r>
              <w:rPr>
                <w:rFonts w:cs="Times New Roman"/>
                <w:sz w:val="22"/>
                <w:szCs w:val="22"/>
              </w:rPr>
              <w:t xml:space="preserve">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3C93789" w14:textId="77777777" w:rsidR="00AB2ECD" w:rsidRDefault="00D0757E">
            <w:pPr>
              <w:jc w:val="both"/>
            </w:pPr>
            <w:r>
              <w:rPr>
                <w:rFonts w:cs="Times New Roman"/>
                <w:sz w:val="22"/>
                <w:szCs w:val="22"/>
              </w:rPr>
              <w:t>~8.2</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9646779" w14:textId="77777777" w:rsidR="00AB2ECD" w:rsidRDefault="00D0757E">
            <w:pPr>
              <w:jc w:val="both"/>
            </w:pPr>
            <w:proofErr w:type="spellStart"/>
            <w:r>
              <w:rPr>
                <w:rFonts w:cs="Times New Roman"/>
                <w:sz w:val="22"/>
                <w:szCs w:val="22"/>
              </w:rPr>
              <w:t>Color</w:t>
            </w:r>
            <w:proofErr w:type="spellEnd"/>
            <w:r>
              <w:rPr>
                <w:rFonts w:cs="Times New Roman"/>
                <w:sz w:val="22"/>
                <w:szCs w:val="22"/>
              </w:rPr>
              <w:t xml:space="preserve"> pattern, forcing ability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BE26B97" w14:textId="77777777" w:rsidR="00AB2ECD" w:rsidRDefault="00D0757E">
            <w:pPr>
              <w:jc w:val="both"/>
            </w:pPr>
            <w:r>
              <w:rPr>
                <w:rFonts w:cs="Times New Roman"/>
                <w:sz w:val="22"/>
                <w:szCs w:val="22"/>
              </w:rPr>
              <w:t>Netherlands, Turkey</w:t>
            </w:r>
          </w:p>
        </w:tc>
      </w:tr>
      <w:tr w:rsidR="00AB2ECD" w14:paraId="45A0DC0D"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504A580C" w14:textId="77777777" w:rsidR="00AB2ECD" w:rsidRDefault="00D0757E">
            <w:pPr>
              <w:jc w:val="both"/>
            </w:pPr>
            <w:r>
              <w:rPr>
                <w:rFonts w:cs="Times New Roman"/>
                <w:sz w:val="22"/>
                <w:szCs w:val="22"/>
              </w:rPr>
              <w:t>Orchid (</w:t>
            </w:r>
            <w:proofErr w:type="spellStart"/>
            <w:r>
              <w:rPr>
                <w:rFonts w:cs="Times New Roman"/>
                <w:sz w:val="22"/>
                <w:szCs w:val="22"/>
              </w:rPr>
              <w:t>Orchidaceae</w:t>
            </w:r>
            <w:proofErr w:type="spellEnd"/>
            <w:r>
              <w:rPr>
                <w:rFonts w:cs="Times New Roman"/>
                <w:sz w:val="22"/>
                <w:szCs w:val="22"/>
              </w:rPr>
              <w:t>)</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4F20AA90" w14:textId="77777777" w:rsidR="00AB2ECD" w:rsidRDefault="00D0757E">
            <w:pPr>
              <w:jc w:val="both"/>
            </w:pPr>
            <w:r>
              <w:rPr>
                <w:rFonts w:cs="Times New Roman"/>
                <w:sz w:val="22"/>
                <w:szCs w:val="22"/>
              </w:rPr>
              <w:t>~7.9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33C26DD" w14:textId="77777777" w:rsidR="00AB2ECD" w:rsidRDefault="00D0757E">
            <w:pPr>
              <w:jc w:val="both"/>
            </w:pPr>
            <w:r>
              <w:rPr>
                <w:rFonts w:cs="Times New Roman"/>
                <w:sz w:val="22"/>
                <w:szCs w:val="22"/>
              </w:rPr>
              <w:t xml:space="preserve">Flower size, </w:t>
            </w:r>
            <w:proofErr w:type="spellStart"/>
            <w:r>
              <w:rPr>
                <w:rFonts w:cs="Times New Roman"/>
                <w:sz w:val="22"/>
                <w:szCs w:val="22"/>
              </w:rPr>
              <w:t>color</w:t>
            </w:r>
            <w:proofErr w:type="spellEnd"/>
            <w:r>
              <w:rPr>
                <w:rFonts w:cs="Times New Roman"/>
                <w:sz w:val="22"/>
                <w:szCs w:val="22"/>
              </w:rPr>
              <w:t>, longevity</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5ABA9E1" w14:textId="77777777" w:rsidR="00AB2ECD" w:rsidRDefault="00D0757E">
            <w:pPr>
              <w:jc w:val="both"/>
            </w:pPr>
            <w:r>
              <w:rPr>
                <w:rFonts w:cs="Times New Roman"/>
                <w:sz w:val="22"/>
                <w:szCs w:val="22"/>
              </w:rPr>
              <w:t>Taiwan, Netherlands, USA</w:t>
            </w:r>
          </w:p>
        </w:tc>
      </w:tr>
      <w:tr w:rsidR="00AB2ECD" w14:paraId="17A46725"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726CB38" w14:textId="77777777" w:rsidR="00AB2ECD" w:rsidRDefault="00D0757E">
            <w:pPr>
              <w:jc w:val="both"/>
            </w:pPr>
            <w:r>
              <w:rPr>
                <w:rFonts w:cs="Times New Roman"/>
                <w:sz w:val="22"/>
                <w:szCs w:val="22"/>
              </w:rPr>
              <w:t>Lily (Lilium spp.)</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64EFDC8" w14:textId="77777777" w:rsidR="00AB2ECD" w:rsidRDefault="00D0757E">
            <w:pPr>
              <w:jc w:val="both"/>
            </w:pPr>
            <w:r>
              <w:rPr>
                <w:rFonts w:cs="Times New Roman"/>
                <w:sz w:val="22"/>
                <w:szCs w:val="22"/>
              </w:rPr>
              <w:t>~5.8</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F6AC4B7" w14:textId="77777777" w:rsidR="00AB2ECD" w:rsidRDefault="00D0757E">
            <w:pPr>
              <w:jc w:val="both"/>
            </w:pPr>
            <w:proofErr w:type="spellStart"/>
            <w:r>
              <w:rPr>
                <w:rFonts w:cs="Times New Roman"/>
                <w:sz w:val="22"/>
                <w:szCs w:val="22"/>
              </w:rPr>
              <w:t>Color</w:t>
            </w:r>
            <w:proofErr w:type="spellEnd"/>
            <w:r>
              <w:rPr>
                <w:rFonts w:cs="Times New Roman"/>
                <w:sz w:val="22"/>
                <w:szCs w:val="22"/>
              </w:rPr>
              <w:t>, fragrance, pollen-free</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E0958E8" w14:textId="77777777" w:rsidR="00AB2ECD" w:rsidRDefault="00D0757E">
            <w:pPr>
              <w:jc w:val="both"/>
            </w:pPr>
            <w:r>
              <w:rPr>
                <w:rFonts w:cs="Times New Roman"/>
                <w:sz w:val="22"/>
                <w:szCs w:val="22"/>
              </w:rPr>
              <w:t>Netherlands, China, Japan</w:t>
            </w:r>
          </w:p>
        </w:tc>
      </w:tr>
      <w:tr w:rsidR="00AB2ECD" w14:paraId="3498B550"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915A606" w14:textId="77777777" w:rsidR="00AB2ECD" w:rsidRDefault="00D0757E">
            <w:pPr>
              <w:jc w:val="both"/>
            </w:pPr>
            <w:r>
              <w:rPr>
                <w:rFonts w:cs="Times New Roman"/>
                <w:sz w:val="22"/>
                <w:szCs w:val="22"/>
              </w:rPr>
              <w:t>Carnation (Dianthus)</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E8EF4C4" w14:textId="77777777" w:rsidR="00AB2ECD" w:rsidRDefault="00D0757E">
            <w:pPr>
              <w:jc w:val="both"/>
            </w:pPr>
            <w:r>
              <w:rPr>
                <w:rFonts w:cs="Times New Roman"/>
                <w:sz w:val="22"/>
                <w:szCs w:val="22"/>
              </w:rPr>
              <w:t>~4.6</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D50F311" w14:textId="77777777" w:rsidR="00AB2ECD" w:rsidRDefault="00D0757E">
            <w:pPr>
              <w:jc w:val="both"/>
            </w:pPr>
            <w:proofErr w:type="spellStart"/>
            <w:r>
              <w:rPr>
                <w:rFonts w:cs="Times New Roman"/>
                <w:sz w:val="22"/>
                <w:szCs w:val="22"/>
              </w:rPr>
              <w:t>Color</w:t>
            </w:r>
            <w:proofErr w:type="spellEnd"/>
            <w:r>
              <w:rPr>
                <w:rFonts w:cs="Times New Roman"/>
                <w:sz w:val="22"/>
                <w:szCs w:val="22"/>
              </w:rPr>
              <w:t>, vase life, disease resist.</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589DAB9" w14:textId="77777777" w:rsidR="00AB2ECD" w:rsidRDefault="00D0757E">
            <w:pPr>
              <w:jc w:val="both"/>
            </w:pPr>
            <w:r>
              <w:rPr>
                <w:rFonts w:cs="Times New Roman"/>
                <w:sz w:val="22"/>
                <w:szCs w:val="22"/>
              </w:rPr>
              <w:t>Colombia, Ecuador, Spain</w:t>
            </w:r>
          </w:p>
        </w:tc>
      </w:tr>
      <w:tr w:rsidR="00AB2ECD" w14:paraId="55C44ED6" w14:textId="77777777">
        <w:tc>
          <w:tcPr>
            <w:tcW w:w="2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708A30" w14:textId="77777777" w:rsidR="00AB2ECD" w:rsidRDefault="00D0757E">
            <w:pPr>
              <w:jc w:val="both"/>
            </w:pPr>
            <w:r>
              <w:rPr>
                <w:rFonts w:cs="Times New Roman"/>
                <w:sz w:val="22"/>
                <w:szCs w:val="22"/>
              </w:rPr>
              <w:t>Gerbera</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35724242" w14:textId="77777777" w:rsidR="00AB2ECD" w:rsidRDefault="00D0757E">
            <w:pPr>
              <w:jc w:val="both"/>
            </w:pPr>
            <w:r>
              <w:rPr>
                <w:rFonts w:cs="Times New Roman"/>
                <w:sz w:val="22"/>
                <w:szCs w:val="22"/>
              </w:rPr>
              <w:t>~3.1</w:t>
            </w:r>
          </w:p>
        </w:tc>
        <w:tc>
          <w:tcPr>
            <w:tcW w:w="25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B64AA40" w14:textId="77777777" w:rsidR="00AB2ECD" w:rsidRDefault="00D0757E">
            <w:pPr>
              <w:jc w:val="both"/>
            </w:pPr>
            <w:proofErr w:type="spellStart"/>
            <w:r>
              <w:rPr>
                <w:rFonts w:cs="Times New Roman"/>
                <w:sz w:val="22"/>
                <w:szCs w:val="22"/>
              </w:rPr>
              <w:t>Color</w:t>
            </w:r>
            <w:proofErr w:type="spellEnd"/>
            <w:r>
              <w:rPr>
                <w:rFonts w:cs="Times New Roman"/>
                <w:sz w:val="22"/>
                <w:szCs w:val="22"/>
              </w:rPr>
              <w:t>, stem strength, uniformity</w:t>
            </w:r>
          </w:p>
        </w:tc>
        <w:tc>
          <w:tcPr>
            <w:tcW w:w="256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FE45601" w14:textId="77777777" w:rsidR="00AB2ECD" w:rsidRDefault="00D0757E">
            <w:pPr>
              <w:jc w:val="both"/>
            </w:pPr>
            <w:r>
              <w:rPr>
                <w:rFonts w:cs="Times New Roman"/>
                <w:sz w:val="22"/>
                <w:szCs w:val="22"/>
              </w:rPr>
              <w:t>Netherlands, Germany, India</w:t>
            </w:r>
          </w:p>
        </w:tc>
      </w:tr>
      <w:tr w:rsidR="00AB2ECD" w14:paraId="25BDC061" w14:textId="77777777">
        <w:tc>
          <w:tcPr>
            <w:tcW w:w="2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71145DA" w14:textId="77777777" w:rsidR="00AB2ECD" w:rsidRDefault="00D0757E">
            <w:pPr>
              <w:jc w:val="both"/>
            </w:pPr>
            <w:r>
              <w:rPr>
                <w:rFonts w:cs="Times New Roman"/>
                <w:sz w:val="22"/>
                <w:szCs w:val="22"/>
              </w:rPr>
              <w:t>Poinsettia (Euphorbia)</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CB19B6F" w14:textId="77777777" w:rsidR="00AB2ECD" w:rsidRDefault="00D0757E">
            <w:pPr>
              <w:jc w:val="both"/>
            </w:pPr>
            <w:r>
              <w:rPr>
                <w:rFonts w:cs="Times New Roman"/>
                <w:sz w:val="22"/>
                <w:szCs w:val="22"/>
              </w:rPr>
              <w:t>~2.9</w:t>
            </w:r>
          </w:p>
        </w:tc>
        <w:tc>
          <w:tcPr>
            <w:tcW w:w="25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4A49FA1" w14:textId="77777777" w:rsidR="00AB2ECD" w:rsidRDefault="00D0757E">
            <w:pPr>
              <w:jc w:val="both"/>
            </w:pPr>
            <w:r>
              <w:rPr>
                <w:rFonts w:cs="Times New Roman"/>
                <w:sz w:val="22"/>
                <w:szCs w:val="22"/>
              </w:rPr>
              <w:t xml:space="preserve">Bract </w:t>
            </w:r>
            <w:proofErr w:type="spellStart"/>
            <w:r>
              <w:rPr>
                <w:rFonts w:cs="Times New Roman"/>
                <w:sz w:val="22"/>
                <w:szCs w:val="22"/>
              </w:rPr>
              <w:t>color</w:t>
            </w:r>
            <w:proofErr w:type="spellEnd"/>
            <w:r>
              <w:rPr>
                <w:rFonts w:cs="Times New Roman"/>
                <w:sz w:val="22"/>
                <w:szCs w:val="22"/>
              </w:rPr>
              <w:t>, compactness</w:t>
            </w:r>
          </w:p>
        </w:tc>
        <w:tc>
          <w:tcPr>
            <w:tcW w:w="256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A8CC712" w14:textId="77777777" w:rsidR="00AB2ECD" w:rsidRDefault="00D0757E">
            <w:pPr>
              <w:jc w:val="both"/>
            </w:pPr>
            <w:r>
              <w:rPr>
                <w:rFonts w:cs="Times New Roman"/>
                <w:sz w:val="22"/>
                <w:szCs w:val="22"/>
              </w:rPr>
              <w:t>USA, Germany, Netherlands</w:t>
            </w:r>
          </w:p>
        </w:tc>
      </w:tr>
    </w:tbl>
    <w:p w14:paraId="7B89FD9C" w14:textId="77777777" w:rsidR="00AB2ECD" w:rsidRDefault="00AB2ECD">
      <w:pPr>
        <w:spacing w:after="80"/>
      </w:pPr>
    </w:p>
    <w:p w14:paraId="77D34899" w14:textId="77777777" w:rsidR="00AB2ECD" w:rsidRDefault="00D0757E">
      <w:pPr>
        <w:spacing w:after="200"/>
        <w:jc w:val="center"/>
      </w:pPr>
      <w:r>
        <w:rPr>
          <w:rFonts w:cs="Times New Roman"/>
          <w:i/>
          <w:iCs/>
          <w:color w:val="555555"/>
          <w:sz w:val="20"/>
          <w:szCs w:val="20"/>
        </w:rPr>
        <w:t>Table 1. Major ornamental crops, global production values, primary breeding objectives, and key producing regions.</w:t>
      </w:r>
    </w:p>
    <w:p w14:paraId="7F950A64" w14:textId="77777777" w:rsidR="00AB2ECD" w:rsidRDefault="00AB2ECD">
      <w:pPr>
        <w:spacing w:after="80"/>
      </w:pPr>
    </w:p>
    <w:p w14:paraId="13BCA56D" w14:textId="77777777" w:rsidR="00AB2ECD" w:rsidRDefault="00D0757E">
      <w:pPr>
        <w:pStyle w:val="Heading2"/>
      </w:pPr>
      <w:r>
        <w:t>2.2 Role of Breeding in Industry Competitiveness</w:t>
      </w:r>
    </w:p>
    <w:p w14:paraId="47230D41" w14:textId="77777777" w:rsidR="00AB2ECD" w:rsidRDefault="00D0757E">
      <w:pPr>
        <w:spacing w:after="160" w:line="360" w:lineRule="auto"/>
        <w:jc w:val="both"/>
      </w:pPr>
      <w:r>
        <w:rPr>
          <w:rFonts w:cs="Times New Roman"/>
        </w:rPr>
        <w:t xml:space="preserve">New variety development is the primary mechanism by which breeders and commercial companies maintain competitive advantage in the ornamental sector. A successful new rose cultivar, for example, can generate royalty revenues of millions of dollars over its commercial lifespan. Companies such as Rosen </w:t>
      </w:r>
      <w:proofErr w:type="spellStart"/>
      <w:r>
        <w:rPr>
          <w:rFonts w:cs="Times New Roman"/>
        </w:rPr>
        <w:t>Tantau</w:t>
      </w:r>
      <w:proofErr w:type="spellEnd"/>
      <w:r>
        <w:rPr>
          <w:rFonts w:cs="Times New Roman"/>
        </w:rPr>
        <w:t xml:space="preserve">, David Austin Roses, </w:t>
      </w:r>
      <w:proofErr w:type="spellStart"/>
      <w:r>
        <w:rPr>
          <w:rFonts w:cs="Times New Roman"/>
        </w:rPr>
        <w:t>Kordes</w:t>
      </w:r>
      <w:proofErr w:type="spellEnd"/>
      <w:r>
        <w:rPr>
          <w:rFonts w:cs="Times New Roman"/>
        </w:rPr>
        <w:t xml:space="preserve">, Pan American Seed, Sakata, and Syngenta Flowers invest heavily in breeding programs that may take 7–15 years from initial crosses to commercial release. The intellectual property protection afforded by plant patents (in the USA) and Community Plant Variety Rights (in the EU) provides the financial incentive necessary to sustain these long-term investments (van </w:t>
      </w:r>
      <w:proofErr w:type="spellStart"/>
      <w:r>
        <w:rPr>
          <w:rFonts w:cs="Times New Roman"/>
        </w:rPr>
        <w:t>Harten</w:t>
      </w:r>
      <w:proofErr w:type="spellEnd"/>
      <w:r>
        <w:rPr>
          <w:rFonts w:cs="Times New Roman"/>
        </w:rPr>
        <w:t>, 1998).</w:t>
      </w:r>
    </w:p>
    <w:p w14:paraId="26C05B78" w14:textId="77777777" w:rsidR="00AB2ECD" w:rsidRDefault="00AB2ECD">
      <w:pPr>
        <w:spacing w:after="80"/>
      </w:pPr>
    </w:p>
    <w:p w14:paraId="3C81D0CD" w14:textId="77777777" w:rsidR="00AB2ECD" w:rsidRDefault="00D0757E">
      <w:pPr>
        <w:pStyle w:val="Heading1"/>
        <w:pBdr>
          <w:bottom w:val="single" w:sz="6" w:space="1" w:color="1A5276"/>
        </w:pBdr>
      </w:pPr>
      <w:r>
        <w:t>3. GENETIC RESOURCES AND GERMPLASM FOR ORNAMENTAL BREEDING</w:t>
      </w:r>
    </w:p>
    <w:p w14:paraId="5B3429E1" w14:textId="77777777" w:rsidR="00AB2ECD" w:rsidRDefault="00D0757E">
      <w:pPr>
        <w:pStyle w:val="Heading2"/>
      </w:pPr>
      <w:r>
        <w:lastRenderedPageBreak/>
        <w:t>3.1 Wild Species and Primary Gene Pools</w:t>
      </w:r>
    </w:p>
    <w:p w14:paraId="7B377BAB" w14:textId="77777777" w:rsidR="00AB2ECD" w:rsidRDefault="00D0757E">
      <w:pPr>
        <w:spacing w:after="160" w:line="360" w:lineRule="auto"/>
        <w:jc w:val="both"/>
      </w:pPr>
      <w:r>
        <w:rPr>
          <w:rFonts w:cs="Times New Roman"/>
        </w:rPr>
        <w:t xml:space="preserve">Wild relatives represent an invaluable repository of genetic variation for ornamental improvement. The genus Rosa, for example, comprises over 150 wild species distributed across the Northern Hemisphere, with species such </w:t>
      </w:r>
      <w:r>
        <w:rPr>
          <w:rFonts w:cs="Times New Roman"/>
          <w:i/>
          <w:iCs/>
        </w:rPr>
        <w:t xml:space="preserve">as Rosa </w:t>
      </w:r>
      <w:proofErr w:type="spellStart"/>
      <w:r>
        <w:rPr>
          <w:rFonts w:cs="Times New Roman"/>
          <w:i/>
          <w:iCs/>
        </w:rPr>
        <w:t>canina</w:t>
      </w:r>
      <w:proofErr w:type="spellEnd"/>
      <w:r>
        <w:rPr>
          <w:rFonts w:cs="Times New Roman"/>
          <w:i/>
          <w:iCs/>
        </w:rPr>
        <w:t xml:space="preserve">, R. rugosa, R. </w:t>
      </w:r>
      <w:proofErr w:type="spellStart"/>
      <w:r>
        <w:rPr>
          <w:rFonts w:cs="Times New Roman"/>
          <w:i/>
          <w:iCs/>
        </w:rPr>
        <w:t>wichurana</w:t>
      </w:r>
      <w:proofErr w:type="spellEnd"/>
      <w:r>
        <w:rPr>
          <w:rFonts w:cs="Times New Roman"/>
          <w:i/>
          <w:iCs/>
        </w:rPr>
        <w:t xml:space="preserve">, and R. multiflora </w:t>
      </w:r>
      <w:r>
        <w:rPr>
          <w:rFonts w:cs="Times New Roman"/>
        </w:rPr>
        <w:t xml:space="preserve">having contributed disease resistance, cold hardiness, climbing habit, and repeat-flowering traits to modern garden roses. Similarly, wild Chrysanthemum species from East Asia </w:t>
      </w:r>
      <w:proofErr w:type="spellStart"/>
      <w:r>
        <w:rPr>
          <w:rFonts w:cs="Times New Roman"/>
        </w:rPr>
        <w:t>harbor</w:t>
      </w:r>
      <w:proofErr w:type="spellEnd"/>
      <w:r>
        <w:rPr>
          <w:rFonts w:cs="Times New Roman"/>
        </w:rPr>
        <w:t xml:space="preserve"> alleles for earliness, cold tolerance, and novel flower </w:t>
      </w:r>
      <w:proofErr w:type="spellStart"/>
      <w:r>
        <w:rPr>
          <w:rFonts w:cs="Times New Roman"/>
        </w:rPr>
        <w:t>colors</w:t>
      </w:r>
      <w:proofErr w:type="spellEnd"/>
      <w:r>
        <w:rPr>
          <w:rFonts w:cs="Times New Roman"/>
        </w:rPr>
        <w:t xml:space="preserve"> not present in commercial cultivars (</w:t>
      </w:r>
      <w:proofErr w:type="spellStart"/>
      <w:r>
        <w:rPr>
          <w:rFonts w:cs="Times New Roman"/>
        </w:rPr>
        <w:t>Debener</w:t>
      </w:r>
      <w:proofErr w:type="spellEnd"/>
      <w:r>
        <w:rPr>
          <w:rFonts w:cs="Times New Roman"/>
        </w:rPr>
        <w:t xml:space="preserve"> and Linde, 2009).</w:t>
      </w:r>
    </w:p>
    <w:p w14:paraId="1A9054A5" w14:textId="77777777" w:rsidR="00AB2ECD" w:rsidRDefault="00AB2ECD">
      <w:pPr>
        <w:spacing w:after="80"/>
      </w:pPr>
    </w:p>
    <w:p w14:paraId="2E0C0BCB" w14:textId="77777777" w:rsidR="00AB2ECD" w:rsidRDefault="00D0757E">
      <w:pPr>
        <w:spacing w:after="160" w:line="360" w:lineRule="auto"/>
        <w:jc w:val="both"/>
      </w:pPr>
      <w:r>
        <w:rPr>
          <w:rFonts w:cs="Times New Roman"/>
        </w:rPr>
        <w:t xml:space="preserve">The challenge of exploiting wild germplasm lies in overcoming reproductive barriers—differences in ploidy level, geographic isolation, and phenological asynchrony—that prevent direct hybridization with elite cultivars. Pre-breeding programs that first develop bridge crosses or synthetic populations with </w:t>
      </w:r>
      <w:proofErr w:type="spellStart"/>
      <w:r>
        <w:rPr>
          <w:rFonts w:cs="Times New Roman"/>
        </w:rPr>
        <w:t>introgressions</w:t>
      </w:r>
      <w:proofErr w:type="spellEnd"/>
      <w:r>
        <w:rPr>
          <w:rFonts w:cs="Times New Roman"/>
        </w:rPr>
        <w:t xml:space="preserve"> from wild species are often necessary precursors to incorporating exotic alleles into commercial breeding lines.</w:t>
      </w:r>
    </w:p>
    <w:p w14:paraId="1F2D3A06" w14:textId="77777777" w:rsidR="00AB2ECD" w:rsidRDefault="00AB2ECD">
      <w:pPr>
        <w:spacing w:after="80"/>
      </w:pPr>
    </w:p>
    <w:p w14:paraId="2517B267" w14:textId="77777777" w:rsidR="00AB2ECD" w:rsidRDefault="00D0757E">
      <w:pPr>
        <w:pStyle w:val="Heading2"/>
      </w:pPr>
      <w:r>
        <w:t xml:space="preserve">3.2 </w:t>
      </w:r>
      <w:proofErr w:type="spellStart"/>
      <w:r>
        <w:t>Genebank</w:t>
      </w:r>
      <w:proofErr w:type="spellEnd"/>
      <w:r>
        <w:t xml:space="preserve"> Collections and ex situ Conservation</w:t>
      </w:r>
    </w:p>
    <w:p w14:paraId="1923D211" w14:textId="77777777" w:rsidR="00AB2ECD" w:rsidRDefault="00D0757E">
      <w:pPr>
        <w:spacing w:after="160" w:line="360" w:lineRule="auto"/>
        <w:jc w:val="both"/>
      </w:pPr>
      <w:r>
        <w:rPr>
          <w:rFonts w:cs="Times New Roman"/>
        </w:rPr>
        <w:t xml:space="preserve">Numerous national and international </w:t>
      </w:r>
      <w:proofErr w:type="spellStart"/>
      <w:r>
        <w:rPr>
          <w:rFonts w:cs="Times New Roman"/>
        </w:rPr>
        <w:t>genebanks</w:t>
      </w:r>
      <w:proofErr w:type="spellEnd"/>
      <w:r>
        <w:rPr>
          <w:rFonts w:cs="Times New Roman"/>
        </w:rPr>
        <w:t xml:space="preserve"> maintain living collections of ornamental species. The UK's Royal Horticultural Society (RHS) maintains one of the world's largest rose collections at </w:t>
      </w:r>
      <w:proofErr w:type="spellStart"/>
      <w:r>
        <w:rPr>
          <w:rFonts w:cs="Times New Roman"/>
        </w:rPr>
        <w:t>Rosemoor</w:t>
      </w:r>
      <w:proofErr w:type="spellEnd"/>
      <w:r>
        <w:rPr>
          <w:rFonts w:cs="Times New Roman"/>
        </w:rPr>
        <w:t xml:space="preserve"> and Hyde Hall. The Netherlands </w:t>
      </w:r>
      <w:proofErr w:type="spellStart"/>
      <w:r>
        <w:rPr>
          <w:rFonts w:cs="Times New Roman"/>
        </w:rPr>
        <w:t>Genebank</w:t>
      </w:r>
      <w:proofErr w:type="spellEnd"/>
      <w:r>
        <w:rPr>
          <w:rFonts w:cs="Times New Roman"/>
        </w:rPr>
        <w:t xml:space="preserve"> (CGN) and the USDA-ARS germplasm repositories hold extensive collections of tulips, lilies, chrysanthemums, and bedding plant species. The Botanic Gardens Conservation International (BGCI) network coordinates ex situ conservation efforts for threatened ornamental species. These collections provide breeders with access to rare alleles and represent irreplaceable resources for future breeding in the face of climate change and wild habitat loss.</w:t>
      </w:r>
    </w:p>
    <w:p w14:paraId="0E3E95F1" w14:textId="77777777" w:rsidR="00AB2ECD" w:rsidRDefault="00AB2ECD">
      <w:pPr>
        <w:spacing w:after="80"/>
      </w:pPr>
    </w:p>
    <w:p w14:paraId="120B0822" w14:textId="77777777" w:rsidR="00AB2ECD" w:rsidRDefault="00D0757E">
      <w:pPr>
        <w:pStyle w:val="Heading2"/>
      </w:pPr>
      <w:r>
        <w:t>3.3 Induced Genetic Variation</w:t>
      </w:r>
    </w:p>
    <w:p w14:paraId="4C43C210" w14:textId="77777777" w:rsidR="00AB2ECD" w:rsidRDefault="00D0757E">
      <w:pPr>
        <w:spacing w:after="160" w:line="360" w:lineRule="auto"/>
        <w:jc w:val="both"/>
      </w:pPr>
      <w:r>
        <w:rPr>
          <w:rFonts w:cs="Times New Roman"/>
        </w:rPr>
        <w:t xml:space="preserve">When natural variation is insufficient for breeding objectives, breeders can induce genetic variation through physical mutagens (gamma rays, X-rays, UV radiation) or chemical mutagens (ethyl </w:t>
      </w:r>
      <w:proofErr w:type="spellStart"/>
      <w:r>
        <w:rPr>
          <w:rFonts w:cs="Times New Roman"/>
        </w:rPr>
        <w:t>methanesulfonate</w:t>
      </w:r>
      <w:proofErr w:type="spellEnd"/>
      <w:r>
        <w:rPr>
          <w:rFonts w:cs="Times New Roman"/>
        </w:rPr>
        <w:t xml:space="preserve">, EMS; colchicine; sodium </w:t>
      </w:r>
      <w:proofErr w:type="spellStart"/>
      <w:r>
        <w:rPr>
          <w:rFonts w:cs="Times New Roman"/>
        </w:rPr>
        <w:t>azide</w:t>
      </w:r>
      <w:proofErr w:type="spellEnd"/>
      <w:r>
        <w:rPr>
          <w:rFonts w:cs="Times New Roman"/>
        </w:rPr>
        <w:t xml:space="preserve">). Mutation breeding has been particularly productive in ornamental crops where solid somatic mutations (sports) can be propagated clonally. </w:t>
      </w:r>
      <w:r>
        <w:rPr>
          <w:rFonts w:cs="Times New Roman"/>
        </w:rPr>
        <w:lastRenderedPageBreak/>
        <w:t xml:space="preserve">Chrysanthemums have been especially receptive to mutation breeding, with gamma irradiation of cuttings producing thousands of commercially valuable flower </w:t>
      </w:r>
      <w:proofErr w:type="spellStart"/>
      <w:r>
        <w:rPr>
          <w:rFonts w:cs="Times New Roman"/>
        </w:rPr>
        <w:t>color</w:t>
      </w:r>
      <w:proofErr w:type="spellEnd"/>
      <w:r>
        <w:rPr>
          <w:rFonts w:cs="Times New Roman"/>
        </w:rPr>
        <w:t xml:space="preserve"> and form variants. The IAEA Mutant Variety Database lists over 3,000 officially released mutant varieties in ornamental crops, making this one of the most mutagenesis-intensive sectors in plant breeding.</w:t>
      </w:r>
    </w:p>
    <w:p w14:paraId="5E78C51D" w14:textId="77777777" w:rsidR="00AB2ECD" w:rsidRDefault="00AB2ECD">
      <w:pPr>
        <w:spacing w:after="80"/>
      </w:pPr>
    </w:p>
    <w:p w14:paraId="5A2ED98D" w14:textId="77777777" w:rsidR="00AB2ECD" w:rsidRDefault="00D0757E">
      <w:pPr>
        <w:pStyle w:val="Heading1"/>
        <w:pBdr>
          <w:bottom w:val="single" w:sz="6" w:space="1" w:color="1A5276"/>
        </w:pBdr>
      </w:pPr>
      <w:r>
        <w:t>4. CLASSICAL BREEDING METHODS IN ORNAMENTAL PLANTS</w:t>
      </w:r>
    </w:p>
    <w:p w14:paraId="525CE544" w14:textId="77777777" w:rsidR="00AB2ECD" w:rsidRDefault="00D0757E">
      <w:pPr>
        <w:pStyle w:val="Heading2"/>
      </w:pPr>
      <w:r>
        <w:t>4.1 Hybridization and Selection</w:t>
      </w:r>
    </w:p>
    <w:p w14:paraId="50D442E2" w14:textId="77777777" w:rsidR="00AB2ECD" w:rsidRDefault="00D0757E">
      <w:pPr>
        <w:spacing w:after="160" w:line="360" w:lineRule="auto"/>
        <w:jc w:val="both"/>
      </w:pPr>
      <w:r>
        <w:rPr>
          <w:rFonts w:cs="Times New Roman"/>
        </w:rPr>
        <w:t xml:space="preserve">Controlled hybridization remains the cornerstone of ornamental plant improvement. In cross-breeding programs, parental lines are carefully selected for complementary traits, and crosses are made by hand emasculation and controlled pollination to prevent contamination with foreign pollen. F1 hybrid seeds are often the commercial product in annual bedding plants (impatiens, petunias, marigolds), as heterosis confers superior uniformity, </w:t>
      </w:r>
      <w:proofErr w:type="spellStart"/>
      <w:r>
        <w:rPr>
          <w:rFonts w:cs="Times New Roman"/>
        </w:rPr>
        <w:t>vigor</w:t>
      </w:r>
      <w:proofErr w:type="spellEnd"/>
      <w:r>
        <w:rPr>
          <w:rFonts w:cs="Times New Roman"/>
        </w:rPr>
        <w:t>, and flowering performance that individual inbred parents cannot achieve. Seed companies invest substantially in developing homozygous inbred lines through repeated self-pollination and in identifying combinations that produce superior F1 performance (Hartmann et al., 2018).</w:t>
      </w:r>
    </w:p>
    <w:p w14:paraId="7A16C87E" w14:textId="77777777" w:rsidR="00AB2ECD" w:rsidRDefault="00AB2ECD">
      <w:pPr>
        <w:spacing w:after="80"/>
      </w:pPr>
    </w:p>
    <w:p w14:paraId="5716754B" w14:textId="77777777" w:rsidR="00AB2ECD" w:rsidRDefault="00D0757E">
      <w:pPr>
        <w:spacing w:after="160" w:line="360" w:lineRule="auto"/>
        <w:jc w:val="both"/>
      </w:pPr>
      <w:r>
        <w:rPr>
          <w:rFonts w:cs="Times New Roman"/>
        </w:rPr>
        <w:t xml:space="preserve">In </w:t>
      </w:r>
      <w:proofErr w:type="spellStart"/>
      <w:r>
        <w:rPr>
          <w:rFonts w:cs="Times New Roman"/>
        </w:rPr>
        <w:t>vegetatively</w:t>
      </w:r>
      <w:proofErr w:type="spellEnd"/>
      <w:r>
        <w:rPr>
          <w:rFonts w:cs="Times New Roman"/>
        </w:rPr>
        <w:t xml:space="preserve"> propagated ornamentals such as roses, dahlias, and chrysanthemums, the breeding cycle is different. Seedling populations from controlled crosses are grown in large numbers, and individual genotypes with exceptional phenotypes are selected, propagated clonally, and subjected to multi-year evaluation trials assessing performance stability, disease resistance, postharvest quality, and production efficiency before commercial introduction.</w:t>
      </w:r>
    </w:p>
    <w:p w14:paraId="139EB144" w14:textId="77777777" w:rsidR="00AB2ECD" w:rsidRDefault="00AB2ECD">
      <w:pPr>
        <w:spacing w:after="80"/>
      </w:pPr>
    </w:p>
    <w:p w14:paraId="4A032A36" w14:textId="77777777" w:rsidR="00AB2ECD" w:rsidRDefault="00D0757E">
      <w:pPr>
        <w:pStyle w:val="Heading2"/>
      </w:pPr>
      <w:r>
        <w:t>4.2 Polyploidy Breeding</w:t>
      </w:r>
    </w:p>
    <w:p w14:paraId="76772F68" w14:textId="77777777" w:rsidR="00AB2ECD" w:rsidRDefault="00D0757E">
      <w:pPr>
        <w:spacing w:after="160" w:line="360" w:lineRule="auto"/>
        <w:jc w:val="both"/>
      </w:pPr>
      <w:r>
        <w:rPr>
          <w:rFonts w:cs="Times New Roman"/>
        </w:rPr>
        <w:t xml:space="preserve">Polyploidy—the possession of more than two complete chromosome sets—is prevalent in ornamental plants and is often associated with enhanced ornamental traits including larger flowers, increased petal number, deeper </w:t>
      </w:r>
      <w:proofErr w:type="spellStart"/>
      <w:r>
        <w:rPr>
          <w:rFonts w:cs="Times New Roman"/>
        </w:rPr>
        <w:t>colors</w:t>
      </w:r>
      <w:proofErr w:type="spellEnd"/>
      <w:r>
        <w:rPr>
          <w:rFonts w:cs="Times New Roman"/>
        </w:rPr>
        <w:t xml:space="preserve">, and greater vegetative </w:t>
      </w:r>
      <w:proofErr w:type="spellStart"/>
      <w:r>
        <w:rPr>
          <w:rFonts w:cs="Times New Roman"/>
        </w:rPr>
        <w:t>vigor</w:t>
      </w:r>
      <w:proofErr w:type="spellEnd"/>
      <w:r>
        <w:rPr>
          <w:rFonts w:cs="Times New Roman"/>
        </w:rPr>
        <w:t xml:space="preserve">. Many important ornamental crops are naturally polyploid: garden roses are typically pentaploid or </w:t>
      </w:r>
      <w:proofErr w:type="spellStart"/>
      <w:r>
        <w:rPr>
          <w:rFonts w:cs="Times New Roman"/>
        </w:rPr>
        <w:t>hexaploid</w:t>
      </w:r>
      <w:proofErr w:type="spellEnd"/>
      <w:r>
        <w:rPr>
          <w:rFonts w:cs="Times New Roman"/>
        </w:rPr>
        <w:t xml:space="preserve">, chrysanthemums are </w:t>
      </w:r>
      <w:proofErr w:type="spellStart"/>
      <w:r>
        <w:rPr>
          <w:rFonts w:cs="Times New Roman"/>
        </w:rPr>
        <w:t>hexaploid</w:t>
      </w:r>
      <w:proofErr w:type="spellEnd"/>
      <w:r>
        <w:rPr>
          <w:rFonts w:cs="Times New Roman"/>
        </w:rPr>
        <w:t xml:space="preserve">, daylilies (Hemerocallis) range from diploid to </w:t>
      </w:r>
      <w:proofErr w:type="spellStart"/>
      <w:r>
        <w:rPr>
          <w:rFonts w:cs="Times New Roman"/>
        </w:rPr>
        <w:t>hexaploid</w:t>
      </w:r>
      <w:proofErr w:type="spellEnd"/>
      <w:r>
        <w:rPr>
          <w:rFonts w:cs="Times New Roman"/>
        </w:rPr>
        <w:t>, and most commercial tulips are diploid but derived from ancestral polyploids.</w:t>
      </w:r>
    </w:p>
    <w:p w14:paraId="5562A829" w14:textId="77777777" w:rsidR="00AB2ECD" w:rsidRDefault="00AB2ECD">
      <w:pPr>
        <w:spacing w:after="80"/>
      </w:pPr>
    </w:p>
    <w:p w14:paraId="44D9FEA4" w14:textId="77777777" w:rsidR="00AB2ECD" w:rsidRDefault="00D0757E">
      <w:pPr>
        <w:spacing w:after="160" w:line="360" w:lineRule="auto"/>
        <w:jc w:val="both"/>
      </w:pPr>
      <w:r>
        <w:rPr>
          <w:rFonts w:cs="Times New Roman"/>
        </w:rPr>
        <w:t>Breeders routinely induce polyploidy artificially using colchicine or oryzalin, antimitotic agents that inhibit spindle formation during cell division, resulting in cells with doubled chromosome numbers. Tetraploidization of diploid species can enhance ornamental traits and may also restore fertility in interspecific hybrids that are sterile as diploids. Triploid cultivars, produced by crossing tetraploids with diploids, are commercially valuable in several ornamental contexts because sterility prevents seed set—desirable in bedding plants for extended flowering and in landscape plants to prevent invasive spread.</w:t>
      </w:r>
    </w:p>
    <w:p w14:paraId="7A0AB9EF" w14:textId="77777777" w:rsidR="00AB2ECD" w:rsidRDefault="00AB2ECD">
      <w:pPr>
        <w:spacing w:after="80"/>
      </w:pPr>
    </w:p>
    <w:p w14:paraId="088BF64C" w14:textId="77777777" w:rsidR="00AB2ECD" w:rsidRDefault="00D0757E">
      <w:pPr>
        <w:pStyle w:val="Heading2"/>
      </w:pPr>
      <w:r>
        <w:t>4.3 Interspecific and Intergeneric Hybridization</w:t>
      </w:r>
    </w:p>
    <w:p w14:paraId="7C746772" w14:textId="77777777" w:rsidR="00AB2ECD" w:rsidRDefault="00D0757E">
      <w:pPr>
        <w:spacing w:after="160" w:line="360" w:lineRule="auto"/>
        <w:jc w:val="both"/>
      </w:pPr>
      <w:r>
        <w:rPr>
          <w:rFonts w:cs="Times New Roman"/>
        </w:rPr>
        <w:t>The production of hybrids between different species (interspecific hybridization) or different genera (intergeneric hybridization) is a powerful technique for combining unique traits from divergent gene pools. Several important ornamental cultivar groups owe their existence to interspecific hybridization: Asiatic, Oriental, and OT (</w:t>
      </w:r>
      <w:proofErr w:type="spellStart"/>
      <w:r>
        <w:rPr>
          <w:rFonts w:cs="Times New Roman"/>
        </w:rPr>
        <w:t>Orienpet</w:t>
      </w:r>
      <w:proofErr w:type="spellEnd"/>
      <w:r>
        <w:rPr>
          <w:rFonts w:cs="Times New Roman"/>
        </w:rPr>
        <w:t xml:space="preserve">) hybrid lilies combine traits from multiple Lilium species; </w:t>
      </w:r>
      <w:proofErr w:type="spellStart"/>
      <w:r>
        <w:rPr>
          <w:rFonts w:cs="Times New Roman"/>
        </w:rPr>
        <w:t>Heligan</w:t>
      </w:r>
      <w:proofErr w:type="spellEnd"/>
      <w:r>
        <w:rPr>
          <w:rFonts w:cs="Times New Roman"/>
        </w:rPr>
        <w:t xml:space="preserve"> and Knock Out rose series incorporate disease resistance alleles from species such as R. </w:t>
      </w:r>
      <w:proofErr w:type="spellStart"/>
      <w:r>
        <w:rPr>
          <w:rFonts w:cs="Times New Roman"/>
        </w:rPr>
        <w:t>wichurana</w:t>
      </w:r>
      <w:proofErr w:type="spellEnd"/>
      <w:r>
        <w:rPr>
          <w:rFonts w:cs="Times New Roman"/>
        </w:rPr>
        <w:t xml:space="preserve">; and Caladium </w:t>
      </w:r>
      <w:proofErr w:type="spellStart"/>
      <w:r>
        <w:rPr>
          <w:rFonts w:cs="Times New Roman"/>
        </w:rPr>
        <w:t>hortulanum</w:t>
      </w:r>
      <w:proofErr w:type="spellEnd"/>
      <w:r>
        <w:rPr>
          <w:rFonts w:cs="Times New Roman"/>
        </w:rPr>
        <w:t xml:space="preserve"> hybrids derive from complex crosses among several Caladium species native to South America.</w:t>
      </w:r>
    </w:p>
    <w:p w14:paraId="18B17634" w14:textId="77777777" w:rsidR="00AB2ECD" w:rsidRDefault="00AB2ECD">
      <w:pPr>
        <w:spacing w:after="80"/>
      </w:pPr>
    </w:p>
    <w:p w14:paraId="6B10710B" w14:textId="77777777" w:rsidR="00AB2ECD" w:rsidRDefault="00D0757E">
      <w:pPr>
        <w:spacing w:after="160" w:line="360" w:lineRule="auto"/>
        <w:jc w:val="both"/>
      </w:pPr>
      <w:r>
        <w:rPr>
          <w:rFonts w:cs="Times New Roman"/>
        </w:rPr>
        <w:t>Barriers to interspecific hybridization include pre-fertilization incompatibility (pollen tube failure), post-fertilization barriers (embryo abortion), and hybrid sterility due to chromosome pairing failure. Embryo rescue—the aseptic culture of immature embryos on nutrient media before they abort—is routinely used in lily, iris, and rose breeding to recover viable hybrid plants from otherwise incompatible crosses. Ploidy manipulation via colchicine treatment can subsequently restore fertility in sterile interspecific hybrids by enabling pairing of homologous chromosomes after chromosome doubling.</w:t>
      </w:r>
    </w:p>
    <w:p w14:paraId="70CDB020" w14:textId="77777777" w:rsidR="00AB2ECD" w:rsidRDefault="00AB2ECD">
      <w:pPr>
        <w:spacing w:after="80"/>
      </w:pPr>
    </w:p>
    <w:p w14:paraId="1DEAA2A7" w14:textId="77777777" w:rsidR="00AB2ECD" w:rsidRDefault="00D0757E">
      <w:pPr>
        <w:pStyle w:val="Heading1"/>
        <w:pBdr>
          <w:bottom w:val="single" w:sz="6" w:space="1" w:color="1A5276"/>
        </w:pBdr>
      </w:pPr>
      <w:r>
        <w:t>5. MOLECULAR BREEDING TOOLS AND GENOMIC APPROACHES</w:t>
      </w:r>
    </w:p>
    <w:p w14:paraId="4D6EB137" w14:textId="77777777" w:rsidR="00AB2ECD" w:rsidRDefault="00D0757E">
      <w:pPr>
        <w:pStyle w:val="Heading2"/>
      </w:pPr>
      <w:r>
        <w:t>5.1 Molecular Markers and Marker-Assisted Selection</w:t>
      </w:r>
    </w:p>
    <w:p w14:paraId="2A916EF0" w14:textId="77777777" w:rsidR="00AB2ECD" w:rsidRDefault="00D0757E">
      <w:pPr>
        <w:spacing w:after="160" w:line="360" w:lineRule="auto"/>
        <w:jc w:val="both"/>
      </w:pPr>
      <w:r>
        <w:rPr>
          <w:rFonts w:cs="Times New Roman"/>
        </w:rPr>
        <w:lastRenderedPageBreak/>
        <w:t>The availability of molecular markers linked to genes controlling ornamental traits has transformed breeding efficiency in several major crops. Microsatellites (SSR), single nucleotide polymorphisms (SNPs), and diversity array technology (</w:t>
      </w:r>
      <w:proofErr w:type="spellStart"/>
      <w:r>
        <w:rPr>
          <w:rFonts w:cs="Times New Roman"/>
        </w:rPr>
        <w:t>DArT</w:t>
      </w:r>
      <w:proofErr w:type="spellEnd"/>
      <w:r>
        <w:rPr>
          <w:rFonts w:cs="Times New Roman"/>
        </w:rPr>
        <w:t>) markers have been developed for roses, chrysanthemums, tulips, orchids, carnations, and numerous other ornamentals. These markers enable breeders to (1) fingerprint and authenticate cultivars to prevent misidentification and intellectual property infringement; (2) assess genetic diversity in breeding populations; (3) construct linkage maps of economically important traits; and (4) conduct marker-assisted selection (MAS) to identify superior genotypes early in the breeding cycle without waiting for mature plant phenotyping.</w:t>
      </w:r>
    </w:p>
    <w:p w14:paraId="2859AC81" w14:textId="77777777" w:rsidR="00AB2ECD" w:rsidRDefault="00AB2ECD">
      <w:pPr>
        <w:spacing w:after="80"/>
      </w:pPr>
    </w:p>
    <w:p w14:paraId="133B9700" w14:textId="77777777" w:rsidR="00AB2ECD" w:rsidRDefault="00D0757E">
      <w:pPr>
        <w:spacing w:after="160" w:line="360" w:lineRule="auto"/>
        <w:jc w:val="both"/>
      </w:pPr>
      <w:r>
        <w:rPr>
          <w:rFonts w:cs="Times New Roman"/>
        </w:rPr>
        <w:t xml:space="preserve">Notable examples of MAS applications in ornamentals include marker-assisted </w:t>
      </w:r>
      <w:proofErr w:type="spellStart"/>
      <w:r>
        <w:rPr>
          <w:rFonts w:cs="Times New Roman"/>
        </w:rPr>
        <w:t>introgression</w:t>
      </w:r>
      <w:proofErr w:type="spellEnd"/>
      <w:r>
        <w:rPr>
          <w:rFonts w:cs="Times New Roman"/>
        </w:rPr>
        <w:t xml:space="preserve"> of blackspot resistance (</w:t>
      </w:r>
      <w:proofErr w:type="spellStart"/>
      <w:r>
        <w:rPr>
          <w:rFonts w:cs="Times New Roman"/>
        </w:rPr>
        <w:t>Rdr</w:t>
      </w:r>
      <w:proofErr w:type="spellEnd"/>
      <w:r>
        <w:rPr>
          <w:rFonts w:cs="Times New Roman"/>
        </w:rPr>
        <w:t xml:space="preserve"> genes) into elite rose cultivars, selection for yellow flower </w:t>
      </w:r>
      <w:proofErr w:type="spellStart"/>
      <w:r>
        <w:rPr>
          <w:rFonts w:cs="Times New Roman"/>
        </w:rPr>
        <w:t>color</w:t>
      </w:r>
      <w:proofErr w:type="spellEnd"/>
      <w:r>
        <w:rPr>
          <w:rFonts w:cs="Times New Roman"/>
        </w:rPr>
        <w:t xml:space="preserve"> in roses linked to carotenoid biosynthesis genes, and identification of chrysanthemum genotypes with superior postharvest longevity based on markers associated with ethylene </w:t>
      </w:r>
      <w:proofErr w:type="spellStart"/>
      <w:r>
        <w:rPr>
          <w:rFonts w:cs="Times New Roman"/>
        </w:rPr>
        <w:t>signaling</w:t>
      </w:r>
      <w:proofErr w:type="spellEnd"/>
      <w:r>
        <w:rPr>
          <w:rFonts w:cs="Times New Roman"/>
        </w:rPr>
        <w:t xml:space="preserve"> pathway genes. While the complete genomic resources needed for comprehensive MAS are still lacking for many ornamental species, rapid advances in sequencing technology are filling this gap.</w:t>
      </w:r>
    </w:p>
    <w:p w14:paraId="701C8F13" w14:textId="77777777" w:rsidR="00AB2ECD" w:rsidRDefault="00AB2ECD">
      <w:pPr>
        <w:spacing w:after="80"/>
      </w:pPr>
    </w:p>
    <w:p w14:paraId="12A9AEF6" w14:textId="77777777" w:rsidR="00AB2ECD" w:rsidRDefault="00D0757E">
      <w:pPr>
        <w:pStyle w:val="Heading2"/>
      </w:pPr>
      <w:r>
        <w:t>5.2 Genome Sequencing and Comparative Genomics</w:t>
      </w:r>
    </w:p>
    <w:p w14:paraId="12A9CBF1" w14:textId="77777777" w:rsidR="00AB2ECD" w:rsidRDefault="00D0757E">
      <w:pPr>
        <w:spacing w:after="160" w:line="360" w:lineRule="auto"/>
        <w:jc w:val="both"/>
      </w:pPr>
      <w:r>
        <w:rPr>
          <w:rFonts w:cs="Times New Roman"/>
        </w:rPr>
        <w:t xml:space="preserve">The sequencing of complete genomes of key ornamental species marks a turning point in molecular breeding capacity. The rose genome (Rosa </w:t>
      </w:r>
      <w:proofErr w:type="spellStart"/>
      <w:r>
        <w:rPr>
          <w:rFonts w:cs="Times New Roman"/>
        </w:rPr>
        <w:t>chinensis</w:t>
      </w:r>
      <w:proofErr w:type="spellEnd"/>
      <w:r>
        <w:rPr>
          <w:rFonts w:cs="Times New Roman"/>
        </w:rPr>
        <w:t>, 2x = 14) was sequenced and published in 2018 by an international consortium (</w:t>
      </w:r>
      <w:proofErr w:type="spellStart"/>
      <w:r>
        <w:rPr>
          <w:rFonts w:cs="Times New Roman"/>
        </w:rPr>
        <w:t>Hibrand</w:t>
      </w:r>
      <w:proofErr w:type="spellEnd"/>
      <w:r>
        <w:rPr>
          <w:rFonts w:cs="Times New Roman"/>
        </w:rPr>
        <w:t xml:space="preserve"> Saint-</w:t>
      </w:r>
      <w:proofErr w:type="spellStart"/>
      <w:r>
        <w:rPr>
          <w:rFonts w:cs="Times New Roman"/>
        </w:rPr>
        <w:t>Oyant</w:t>
      </w:r>
      <w:proofErr w:type="spellEnd"/>
      <w:r>
        <w:rPr>
          <w:rFonts w:cs="Times New Roman"/>
        </w:rPr>
        <w:t xml:space="preserve"> et al., 2018), providing a reference for gene discovery, marker development, and comparative genomics across the </w:t>
      </w:r>
      <w:proofErr w:type="spellStart"/>
      <w:r>
        <w:rPr>
          <w:rFonts w:cs="Times New Roman"/>
        </w:rPr>
        <w:t>Rosaceae</w:t>
      </w:r>
      <w:proofErr w:type="spellEnd"/>
      <w:r>
        <w:rPr>
          <w:rFonts w:cs="Times New Roman"/>
        </w:rPr>
        <w:t xml:space="preserve"> family. The chrysanthemum genome—complicated by its </w:t>
      </w:r>
      <w:proofErr w:type="spellStart"/>
      <w:r>
        <w:rPr>
          <w:rFonts w:cs="Times New Roman"/>
        </w:rPr>
        <w:t>hexaploid</w:t>
      </w:r>
      <w:proofErr w:type="spellEnd"/>
      <w:r>
        <w:rPr>
          <w:rFonts w:cs="Times New Roman"/>
        </w:rPr>
        <w:t xml:space="preserve"> nature—was published in draft form in 2021 and is being refined using long-read sequencing technologies. Genome sequences are also available for Petunia </w:t>
      </w:r>
      <w:proofErr w:type="spellStart"/>
      <w:r>
        <w:rPr>
          <w:rFonts w:cs="Times New Roman"/>
        </w:rPr>
        <w:t>hybrida</w:t>
      </w:r>
      <w:proofErr w:type="spellEnd"/>
      <w:r>
        <w:rPr>
          <w:rFonts w:cs="Times New Roman"/>
        </w:rPr>
        <w:t xml:space="preserve">, Antirrhinum </w:t>
      </w:r>
      <w:proofErr w:type="spellStart"/>
      <w:r>
        <w:rPr>
          <w:rFonts w:cs="Times New Roman"/>
        </w:rPr>
        <w:t>majus</w:t>
      </w:r>
      <w:proofErr w:type="spellEnd"/>
      <w:r>
        <w:rPr>
          <w:rFonts w:cs="Times New Roman"/>
        </w:rPr>
        <w:t xml:space="preserve"> (snapdragon), and several </w:t>
      </w:r>
      <w:proofErr w:type="spellStart"/>
      <w:r>
        <w:rPr>
          <w:rFonts w:cs="Times New Roman"/>
        </w:rPr>
        <w:t>Orchidaceae</w:t>
      </w:r>
      <w:proofErr w:type="spellEnd"/>
      <w:r>
        <w:rPr>
          <w:rFonts w:cs="Times New Roman"/>
        </w:rPr>
        <w:t xml:space="preserve"> species, providing model systems for understanding the genetic control of flower development and </w:t>
      </w:r>
      <w:proofErr w:type="spellStart"/>
      <w:r>
        <w:rPr>
          <w:rFonts w:cs="Times New Roman"/>
        </w:rPr>
        <w:t>color</w:t>
      </w:r>
      <w:proofErr w:type="spellEnd"/>
      <w:r>
        <w:rPr>
          <w:rFonts w:cs="Times New Roman"/>
        </w:rPr>
        <w:t>.</w:t>
      </w:r>
    </w:p>
    <w:p w14:paraId="17019559" w14:textId="77777777" w:rsidR="00AB2ECD" w:rsidRDefault="00AB2ECD">
      <w:pPr>
        <w:spacing w:after="80"/>
      </w:pPr>
    </w:p>
    <w:p w14:paraId="32CB4509" w14:textId="77777777" w:rsidR="00AB2ECD" w:rsidRDefault="00D0757E">
      <w:pPr>
        <w:spacing w:after="160" w:line="360" w:lineRule="auto"/>
        <w:jc w:val="both"/>
      </w:pPr>
      <w:r>
        <w:rPr>
          <w:rFonts w:cs="Times New Roman"/>
        </w:rPr>
        <w:t>Comparative genomics approaches exploiting synteny between sequenced genomes and target ornamental species accelerate candidate gene identification. Functional annotation of ornamental genomes is enabling transcriptome-based studies (RNA-</w:t>
      </w:r>
      <w:proofErr w:type="spellStart"/>
      <w:r>
        <w:rPr>
          <w:rFonts w:cs="Times New Roman"/>
        </w:rPr>
        <w:t>seq</w:t>
      </w:r>
      <w:proofErr w:type="spellEnd"/>
      <w:r>
        <w:rPr>
          <w:rFonts w:cs="Times New Roman"/>
        </w:rPr>
        <w:t xml:space="preserve">) to characterize gene expression during </w:t>
      </w:r>
      <w:r>
        <w:rPr>
          <w:rFonts w:cs="Times New Roman"/>
        </w:rPr>
        <w:lastRenderedPageBreak/>
        <w:t>flower development, senescence, fragrance biosynthesis, and stress responses, providing the foundation for next-generation molecular breeding strategies.</w:t>
      </w:r>
    </w:p>
    <w:p w14:paraId="3B242B9C" w14:textId="77777777" w:rsidR="00AB2ECD" w:rsidRDefault="00AB2ECD">
      <w:pPr>
        <w:spacing w:after="80"/>
      </w:pPr>
    </w:p>
    <w:p w14:paraId="75A9C221" w14:textId="77777777" w:rsidR="00AB2ECD" w:rsidRDefault="00D0757E">
      <w:pPr>
        <w:pStyle w:val="Heading2"/>
      </w:pPr>
      <w:r>
        <w:t>5.3 Genomic Selection</w:t>
      </w:r>
    </w:p>
    <w:p w14:paraId="0C89709D" w14:textId="77777777" w:rsidR="00AB2ECD" w:rsidRDefault="00D0757E">
      <w:pPr>
        <w:spacing w:after="160" w:line="360" w:lineRule="auto"/>
        <w:jc w:val="both"/>
      </w:pPr>
      <w:r>
        <w:rPr>
          <w:rFonts w:cs="Times New Roman"/>
        </w:rPr>
        <w:t xml:space="preserve">Genomic selection (GS), which uses genome-wide marker data to predict breeding values for polygenic traits without requiring knowledge of specific marker-trait associations, is beginning to be applied in ornamental breeding. This approach is particularly relevant for complex traits such as fragrance intensity, branching architecture, and postharvest vase life that are controlled by many genes of small effect. Training populations of genotyped and </w:t>
      </w:r>
      <w:proofErr w:type="spellStart"/>
      <w:r>
        <w:rPr>
          <w:rFonts w:cs="Times New Roman"/>
        </w:rPr>
        <w:t>phenotyped</w:t>
      </w:r>
      <w:proofErr w:type="spellEnd"/>
      <w:r>
        <w:rPr>
          <w:rFonts w:cs="Times New Roman"/>
        </w:rPr>
        <w:t xml:space="preserve"> individuals are used to build prediction models that can then estimate breeding values of unplanted seedlings based on genomic data alone, potentially reducing breeding cycle length by eliminating the need for expensive phenotyping of all candidate genotypes (Xu et al., 2020).</w:t>
      </w:r>
    </w:p>
    <w:p w14:paraId="0FB1FDFF" w14:textId="77777777" w:rsidR="00AB2ECD" w:rsidRDefault="00AB2ECD">
      <w:pPr>
        <w:spacing w:after="80"/>
      </w:pPr>
    </w:p>
    <w:p w14:paraId="3A69D3A3" w14:textId="77777777" w:rsidR="00AB2ECD" w:rsidRDefault="00D0757E">
      <w:pPr>
        <w:pStyle w:val="Heading2"/>
      </w:pPr>
      <w:r>
        <w:t>5.4 CRISPR/Cas9 and Genome Editing</w:t>
      </w:r>
    </w:p>
    <w:p w14:paraId="08E8F04E" w14:textId="77777777" w:rsidR="00AB2ECD" w:rsidRDefault="00D0757E">
      <w:pPr>
        <w:spacing w:after="160" w:line="360" w:lineRule="auto"/>
        <w:jc w:val="both"/>
      </w:pPr>
      <w:r>
        <w:rPr>
          <w:rFonts w:cs="Times New Roman"/>
        </w:rPr>
        <w:t xml:space="preserve">The CRISPR/Cas9 system has rapidly emerged as the most powerful and precise tool for targeted genetic modification in ornamental plants. Unlike transgenic approaches that introduce foreign DNA, CRISPR-mediated editing can achieve targeted mutagenesis, gene regulation, and base editing using mechanisms that, in some regulatory frameworks, may not trigger the same oversight as traditional GMO regulations. Applications in ornamental plants include: modification of flower </w:t>
      </w:r>
      <w:proofErr w:type="spellStart"/>
      <w:r>
        <w:rPr>
          <w:rFonts w:cs="Times New Roman"/>
        </w:rPr>
        <w:t>color</w:t>
      </w:r>
      <w:proofErr w:type="spellEnd"/>
      <w:r>
        <w:rPr>
          <w:rFonts w:cs="Times New Roman"/>
        </w:rPr>
        <w:t xml:space="preserve"> through editing of flavonoid or carotenoid pathway genes; reduction or elimination of pollen production for allergen-free landscape plants; modification of lignin biosynthesis for improved stem strength in cut flowers; and disruption of floral organ identity genes to create novel flower morphologies (Tanaka et al., 2020).</w:t>
      </w:r>
    </w:p>
    <w:p w14:paraId="6B579CE0" w14:textId="77777777" w:rsidR="00AB2ECD" w:rsidRDefault="00AB2ECD">
      <w:pPr>
        <w:spacing w:after="80"/>
      </w:pPr>
    </w:p>
    <w:p w14:paraId="1B2A3497" w14:textId="77777777" w:rsidR="00AB2ECD" w:rsidRDefault="00D0757E">
      <w:pPr>
        <w:spacing w:after="160" w:line="360" w:lineRule="auto"/>
        <w:jc w:val="both"/>
      </w:pPr>
      <w:r>
        <w:rPr>
          <w:rFonts w:cs="Times New Roman"/>
        </w:rPr>
        <w:t xml:space="preserve">The development of blue and true-blue roses represents perhaps the most celebrated goal in ornamental breeding. Roses lack the flavonoid 3',5'-hydroxylase (F3'5'H) enzyme required for delphinidin biosynthesis (the pigment responsible for blue-violet coloration), and classical breeding has been unable to overcome this biochemical block. Transgenic roses expressing F3'5'H from Viola or Petunia produce violaceous hues that, combined with suppression of competing pathway branches, approach true blue coloration (Katsumoto et al., 2007). CRISPR-based approaches are </w:t>
      </w:r>
      <w:r>
        <w:rPr>
          <w:rFonts w:cs="Times New Roman"/>
        </w:rPr>
        <w:lastRenderedPageBreak/>
        <w:t>now being explored to remodel the entire anthocyanin pathway to achieve more naturalistic blue pigmentation.</w:t>
      </w:r>
    </w:p>
    <w:p w14:paraId="3D303808" w14:textId="77777777" w:rsidR="00AB2ECD" w:rsidRDefault="00AB2ECD">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480"/>
        <w:gridCol w:w="2880"/>
      </w:tblGrid>
      <w:tr w:rsidR="00AB2ECD" w14:paraId="17D4C5D6" w14:textId="77777777">
        <w:trPr>
          <w:tblHeader/>
        </w:trPr>
        <w:tc>
          <w:tcPr>
            <w:tcW w:w="18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7DE26711" w14:textId="77777777" w:rsidR="00AB2ECD" w:rsidRDefault="00D0757E">
            <w:pPr>
              <w:jc w:val="center"/>
            </w:pPr>
            <w:r>
              <w:rPr>
                <w:rFonts w:cs="Times New Roman"/>
                <w:b/>
                <w:bCs/>
                <w:color w:val="FFFFFF"/>
                <w:sz w:val="22"/>
                <w:szCs w:val="22"/>
              </w:rPr>
              <w:t>Breeding Tool</w:t>
            </w:r>
          </w:p>
        </w:tc>
        <w:tc>
          <w:tcPr>
            <w:tcW w:w="220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7198E10C" w14:textId="77777777" w:rsidR="00AB2ECD" w:rsidRDefault="00D0757E">
            <w:pPr>
              <w:jc w:val="center"/>
            </w:pPr>
            <w:r>
              <w:rPr>
                <w:rFonts w:cs="Times New Roman"/>
                <w:b/>
                <w:bCs/>
                <w:color w:val="FFFFFF"/>
                <w:sz w:val="22"/>
                <w:szCs w:val="22"/>
              </w:rPr>
              <w:t>Primary Application</w:t>
            </w:r>
          </w:p>
        </w:tc>
        <w:tc>
          <w:tcPr>
            <w:tcW w:w="24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10FE7C87" w14:textId="77777777" w:rsidR="00AB2ECD" w:rsidRDefault="00D0757E">
            <w:pPr>
              <w:jc w:val="center"/>
            </w:pPr>
            <w:r>
              <w:rPr>
                <w:rFonts w:cs="Times New Roman"/>
                <w:b/>
                <w:bCs/>
                <w:color w:val="FFFFFF"/>
                <w:sz w:val="22"/>
                <w:szCs w:val="22"/>
              </w:rPr>
              <w:t>Advantages</w:t>
            </w:r>
          </w:p>
        </w:tc>
        <w:tc>
          <w:tcPr>
            <w:tcW w:w="2880" w:type="dxa"/>
            <w:tcBorders>
              <w:top w:val="single" w:sz="4" w:space="0" w:color="AED6F1"/>
              <w:left w:val="single" w:sz="4" w:space="0" w:color="AED6F1"/>
              <w:bottom w:val="single" w:sz="4" w:space="0" w:color="AED6F1"/>
              <w:right w:val="single" w:sz="4" w:space="0" w:color="AED6F1"/>
            </w:tcBorders>
            <w:shd w:val="clear" w:color="auto" w:fill="1A5276"/>
            <w:tcMar>
              <w:top w:w="80" w:type="dxa"/>
              <w:left w:w="120" w:type="dxa"/>
              <w:bottom w:w="80" w:type="dxa"/>
              <w:right w:w="120" w:type="dxa"/>
            </w:tcMar>
          </w:tcPr>
          <w:p w14:paraId="0DFC0191" w14:textId="77777777" w:rsidR="00AB2ECD" w:rsidRDefault="00D0757E">
            <w:pPr>
              <w:jc w:val="center"/>
            </w:pPr>
            <w:r>
              <w:rPr>
                <w:rFonts w:cs="Times New Roman"/>
                <w:b/>
                <w:bCs/>
                <w:color w:val="FFFFFF"/>
                <w:sz w:val="22"/>
                <w:szCs w:val="22"/>
              </w:rPr>
              <w:t>Limitations</w:t>
            </w:r>
          </w:p>
        </w:tc>
      </w:tr>
      <w:tr w:rsidR="00AB2ECD" w14:paraId="19B21DC1"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8B65205" w14:textId="77777777" w:rsidR="00AB2ECD" w:rsidRDefault="00D0757E">
            <w:pPr>
              <w:jc w:val="both"/>
            </w:pPr>
            <w:r>
              <w:rPr>
                <w:rFonts w:cs="Times New Roman"/>
                <w:sz w:val="22"/>
                <w:szCs w:val="22"/>
              </w:rPr>
              <w:t>Hybridization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5757B42" w14:textId="77777777" w:rsidR="00AB2ECD" w:rsidRDefault="00D0757E">
            <w:pPr>
              <w:jc w:val="both"/>
            </w:pPr>
            <w:r>
              <w:rPr>
                <w:rFonts w:cs="Times New Roman"/>
                <w:sz w:val="22"/>
                <w:szCs w:val="22"/>
              </w:rPr>
              <w:t>Combining complementary traits</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7066CF7" w14:textId="77777777" w:rsidR="00AB2ECD" w:rsidRDefault="00D0757E">
            <w:pPr>
              <w:jc w:val="both"/>
            </w:pPr>
            <w:r>
              <w:rPr>
                <w:rFonts w:cs="Times New Roman"/>
                <w:sz w:val="22"/>
                <w:szCs w:val="22"/>
              </w:rPr>
              <w:t>Broad trait integration; natural</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7C8F1F56" w14:textId="77777777" w:rsidR="00AB2ECD" w:rsidRDefault="00D0757E">
            <w:pPr>
              <w:jc w:val="both"/>
            </w:pPr>
            <w:r>
              <w:rPr>
                <w:rFonts w:cs="Times New Roman"/>
                <w:sz w:val="22"/>
                <w:szCs w:val="22"/>
              </w:rPr>
              <w:t>Slow; linkage drag</w:t>
            </w:r>
          </w:p>
        </w:tc>
      </w:tr>
      <w:tr w:rsidR="00AB2ECD" w14:paraId="474EAAB6"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612C4429" w14:textId="77777777" w:rsidR="00AB2ECD" w:rsidRDefault="00D0757E">
            <w:pPr>
              <w:jc w:val="both"/>
            </w:pPr>
            <w:r>
              <w:rPr>
                <w:rFonts w:cs="Times New Roman"/>
                <w:sz w:val="22"/>
                <w:szCs w:val="22"/>
              </w:rPr>
              <w:t>Mutation Breeding</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A3FCAEF" w14:textId="77777777" w:rsidR="00AB2ECD" w:rsidRDefault="00D0757E">
            <w:pPr>
              <w:jc w:val="both"/>
            </w:pPr>
            <w:r>
              <w:rPr>
                <w:rFonts w:cs="Times New Roman"/>
                <w:sz w:val="22"/>
                <w:szCs w:val="22"/>
              </w:rPr>
              <w:t>Generating novel variants</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7C591E31" w14:textId="77777777" w:rsidR="00AB2ECD" w:rsidRDefault="00D0757E">
            <w:pPr>
              <w:jc w:val="both"/>
            </w:pPr>
            <w:r>
              <w:rPr>
                <w:rFonts w:cs="Times New Roman"/>
                <w:sz w:val="22"/>
                <w:szCs w:val="22"/>
              </w:rPr>
              <w:t>Cost-effective; regulatory simplicity</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01E8493F" w14:textId="77777777" w:rsidR="00AB2ECD" w:rsidRDefault="00D0757E">
            <w:pPr>
              <w:jc w:val="both"/>
            </w:pPr>
            <w:r>
              <w:rPr>
                <w:rFonts w:cs="Times New Roman"/>
                <w:sz w:val="22"/>
                <w:szCs w:val="22"/>
              </w:rPr>
              <w:t>Random; requires screening</w:t>
            </w:r>
          </w:p>
        </w:tc>
      </w:tr>
      <w:tr w:rsidR="00AB2ECD" w14:paraId="6B79EEAA"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FF7E422" w14:textId="77777777" w:rsidR="00AB2ECD" w:rsidRDefault="00D0757E">
            <w:pPr>
              <w:jc w:val="both"/>
            </w:pPr>
            <w:r>
              <w:rPr>
                <w:rFonts w:cs="Times New Roman"/>
                <w:sz w:val="22"/>
                <w:szCs w:val="22"/>
              </w:rPr>
              <w:t>Polyploidy Induction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53F7B8ED" w14:textId="77777777" w:rsidR="00AB2ECD" w:rsidRDefault="00D0757E">
            <w:pPr>
              <w:jc w:val="both"/>
            </w:pPr>
            <w:r>
              <w:rPr>
                <w:rFonts w:cs="Times New Roman"/>
                <w:sz w:val="22"/>
                <w:szCs w:val="22"/>
              </w:rPr>
              <w:t>Larger flowers; sterility</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7E4E5D" w14:textId="77777777" w:rsidR="00AB2ECD" w:rsidRDefault="00D0757E">
            <w:pPr>
              <w:jc w:val="both"/>
            </w:pPr>
            <w:r>
              <w:rPr>
                <w:rFonts w:cs="Times New Roman"/>
                <w:sz w:val="22"/>
                <w:szCs w:val="22"/>
              </w:rPr>
              <w:t xml:space="preserve">Enhanced </w:t>
            </w:r>
            <w:proofErr w:type="spellStart"/>
            <w:r>
              <w:rPr>
                <w:rFonts w:cs="Times New Roman"/>
                <w:sz w:val="22"/>
                <w:szCs w:val="22"/>
              </w:rPr>
              <w:t>vigor</w:t>
            </w:r>
            <w:proofErr w:type="spellEnd"/>
            <w:r>
              <w:rPr>
                <w:rFonts w:cs="Times New Roman"/>
                <w:sz w:val="22"/>
                <w:szCs w:val="22"/>
              </w:rPr>
              <w:t>; novel phenotypes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45911FB3" w14:textId="77777777" w:rsidR="00AB2ECD" w:rsidRDefault="00D0757E">
            <w:pPr>
              <w:jc w:val="both"/>
            </w:pPr>
            <w:r>
              <w:rPr>
                <w:rFonts w:cs="Times New Roman"/>
                <w:sz w:val="22"/>
                <w:szCs w:val="22"/>
              </w:rPr>
              <w:t>Fertility issues; complex genetics</w:t>
            </w:r>
          </w:p>
        </w:tc>
      </w:tr>
      <w:tr w:rsidR="00AB2ECD" w14:paraId="507E7F6E"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FC5EB64" w14:textId="77777777" w:rsidR="00AB2ECD" w:rsidRDefault="00D0757E">
            <w:pPr>
              <w:jc w:val="both"/>
            </w:pPr>
            <w:r>
              <w:rPr>
                <w:rFonts w:cs="Times New Roman"/>
                <w:sz w:val="22"/>
                <w:szCs w:val="22"/>
              </w:rPr>
              <w:t>MAS / SSR / SNP</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6E42A14" w14:textId="77777777" w:rsidR="00AB2ECD" w:rsidRDefault="00D0757E">
            <w:pPr>
              <w:jc w:val="both"/>
            </w:pPr>
            <w:r>
              <w:rPr>
                <w:rFonts w:cs="Times New Roman"/>
                <w:sz w:val="22"/>
                <w:szCs w:val="22"/>
              </w:rPr>
              <w:t>Early selection; fingerprinting</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A2F1770" w14:textId="77777777" w:rsidR="00AB2ECD" w:rsidRDefault="00D0757E">
            <w:pPr>
              <w:jc w:val="both"/>
            </w:pPr>
            <w:r>
              <w:rPr>
                <w:rFonts w:cs="Times New Roman"/>
                <w:sz w:val="22"/>
                <w:szCs w:val="22"/>
              </w:rPr>
              <w:t>Speed; eliminates late phenotyping</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BA2D2D2" w14:textId="77777777" w:rsidR="00AB2ECD" w:rsidRDefault="00D0757E">
            <w:pPr>
              <w:jc w:val="both"/>
            </w:pPr>
            <w:r>
              <w:rPr>
                <w:rFonts w:cs="Times New Roman"/>
                <w:sz w:val="22"/>
                <w:szCs w:val="22"/>
              </w:rPr>
              <w:t>Marker density; training data needed</w:t>
            </w:r>
          </w:p>
        </w:tc>
      </w:tr>
      <w:tr w:rsidR="00AB2ECD" w14:paraId="0BAAA264"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FEB8132" w14:textId="77777777" w:rsidR="00AB2ECD" w:rsidRDefault="00D0757E">
            <w:pPr>
              <w:jc w:val="both"/>
            </w:pPr>
            <w:r>
              <w:rPr>
                <w:rFonts w:cs="Times New Roman"/>
                <w:sz w:val="22"/>
                <w:szCs w:val="22"/>
              </w:rPr>
              <w:t>Genomic Selection</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8C813A9" w14:textId="77777777" w:rsidR="00AB2ECD" w:rsidRDefault="00D0757E">
            <w:pPr>
              <w:jc w:val="both"/>
            </w:pPr>
            <w:r>
              <w:rPr>
                <w:rFonts w:cs="Times New Roman"/>
                <w:sz w:val="22"/>
                <w:szCs w:val="22"/>
              </w:rPr>
              <w:t>Polygenic trait prediction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EA71296" w14:textId="77777777" w:rsidR="00AB2ECD" w:rsidRDefault="00D0757E">
            <w:pPr>
              <w:jc w:val="both"/>
            </w:pPr>
            <w:r>
              <w:rPr>
                <w:rFonts w:cs="Times New Roman"/>
                <w:sz w:val="22"/>
                <w:szCs w:val="22"/>
              </w:rPr>
              <w:t>Handles complex traits</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0A80D651" w14:textId="77777777" w:rsidR="00AB2ECD" w:rsidRDefault="00D0757E">
            <w:pPr>
              <w:jc w:val="both"/>
            </w:pPr>
            <w:r>
              <w:rPr>
                <w:rFonts w:cs="Times New Roman"/>
                <w:sz w:val="22"/>
                <w:szCs w:val="22"/>
              </w:rPr>
              <w:t>Requires large training populations</w:t>
            </w:r>
          </w:p>
        </w:tc>
      </w:tr>
      <w:tr w:rsidR="00AB2ECD" w14:paraId="338A7E05" w14:textId="77777777">
        <w:tc>
          <w:tcPr>
            <w:tcW w:w="18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C249C50" w14:textId="77777777" w:rsidR="00AB2ECD" w:rsidRDefault="00D0757E">
            <w:pPr>
              <w:jc w:val="both"/>
            </w:pPr>
            <w:r>
              <w:rPr>
                <w:rFonts w:cs="Times New Roman"/>
                <w:sz w:val="22"/>
                <w:szCs w:val="22"/>
              </w:rPr>
              <w:t>CRISPR/Cas9</w:t>
            </w:r>
          </w:p>
        </w:tc>
        <w:tc>
          <w:tcPr>
            <w:tcW w:w="220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138D7591" w14:textId="77777777" w:rsidR="00AB2ECD" w:rsidRDefault="00D0757E">
            <w:pPr>
              <w:jc w:val="both"/>
            </w:pPr>
            <w:r>
              <w:rPr>
                <w:rFonts w:cs="Times New Roman"/>
                <w:sz w:val="22"/>
                <w:szCs w:val="22"/>
              </w:rPr>
              <w:t>Precise trait modification</w:t>
            </w:r>
          </w:p>
        </w:tc>
        <w:tc>
          <w:tcPr>
            <w:tcW w:w="24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34E4009C" w14:textId="77777777" w:rsidR="00AB2ECD" w:rsidRDefault="00D0757E">
            <w:pPr>
              <w:jc w:val="both"/>
            </w:pPr>
            <w:r>
              <w:rPr>
                <w:rFonts w:cs="Times New Roman"/>
                <w:sz w:val="22"/>
                <w:szCs w:val="22"/>
              </w:rPr>
              <w:t>Speed; precision; non-GMO potential</w:t>
            </w:r>
          </w:p>
        </w:tc>
        <w:tc>
          <w:tcPr>
            <w:tcW w:w="2880" w:type="dxa"/>
            <w:tcBorders>
              <w:top w:val="single" w:sz="4" w:space="0" w:color="AED6F1"/>
              <w:left w:val="single" w:sz="4" w:space="0" w:color="AED6F1"/>
              <w:bottom w:val="single" w:sz="4" w:space="0" w:color="AED6F1"/>
              <w:right w:val="single" w:sz="4" w:space="0" w:color="AED6F1"/>
            </w:tcBorders>
            <w:shd w:val="clear" w:color="auto" w:fill="FFFFFF"/>
            <w:tcMar>
              <w:top w:w="80" w:type="dxa"/>
              <w:left w:w="120" w:type="dxa"/>
              <w:bottom w:w="80" w:type="dxa"/>
              <w:right w:w="120" w:type="dxa"/>
            </w:tcMar>
          </w:tcPr>
          <w:p w14:paraId="29F83EB5" w14:textId="77777777" w:rsidR="00AB2ECD" w:rsidRDefault="00D0757E">
            <w:pPr>
              <w:jc w:val="both"/>
            </w:pPr>
            <w:r>
              <w:rPr>
                <w:rFonts w:cs="Times New Roman"/>
                <w:sz w:val="22"/>
                <w:szCs w:val="22"/>
              </w:rPr>
              <w:t>Regulatory uncertainty; delivery</w:t>
            </w:r>
          </w:p>
        </w:tc>
      </w:tr>
      <w:tr w:rsidR="00AB2ECD" w14:paraId="2B3437B1" w14:textId="77777777">
        <w:tc>
          <w:tcPr>
            <w:tcW w:w="18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3115E9B" w14:textId="77777777" w:rsidR="00AB2ECD" w:rsidRDefault="00D0757E">
            <w:pPr>
              <w:jc w:val="both"/>
            </w:pPr>
            <w:r>
              <w:rPr>
                <w:rFonts w:cs="Times New Roman"/>
                <w:sz w:val="22"/>
                <w:szCs w:val="22"/>
              </w:rPr>
              <w:t>Transgenesis</w:t>
            </w:r>
          </w:p>
        </w:tc>
        <w:tc>
          <w:tcPr>
            <w:tcW w:w="220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2C674384" w14:textId="77777777" w:rsidR="00AB2ECD" w:rsidRDefault="00D0757E">
            <w:pPr>
              <w:jc w:val="both"/>
            </w:pPr>
            <w:r>
              <w:rPr>
                <w:rFonts w:cs="Times New Roman"/>
                <w:sz w:val="22"/>
                <w:szCs w:val="22"/>
              </w:rPr>
              <w:t>Novel trait introduction</w:t>
            </w:r>
          </w:p>
        </w:tc>
        <w:tc>
          <w:tcPr>
            <w:tcW w:w="24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1095E550" w14:textId="77777777" w:rsidR="00AB2ECD" w:rsidRDefault="00D0757E">
            <w:pPr>
              <w:jc w:val="both"/>
            </w:pPr>
            <w:r>
              <w:rPr>
                <w:rFonts w:cs="Times New Roman"/>
                <w:sz w:val="22"/>
                <w:szCs w:val="22"/>
              </w:rPr>
              <w:t>Access to any gene source</w:t>
            </w:r>
          </w:p>
        </w:tc>
        <w:tc>
          <w:tcPr>
            <w:tcW w:w="2880" w:type="dxa"/>
            <w:tcBorders>
              <w:top w:val="single" w:sz="4" w:space="0" w:color="AED6F1"/>
              <w:left w:val="single" w:sz="4" w:space="0" w:color="AED6F1"/>
              <w:bottom w:val="single" w:sz="4" w:space="0" w:color="AED6F1"/>
              <w:right w:val="single" w:sz="4" w:space="0" w:color="AED6F1"/>
            </w:tcBorders>
            <w:shd w:val="clear" w:color="auto" w:fill="EBF5FB"/>
            <w:tcMar>
              <w:top w:w="80" w:type="dxa"/>
              <w:left w:w="120" w:type="dxa"/>
              <w:bottom w:w="80" w:type="dxa"/>
              <w:right w:w="120" w:type="dxa"/>
            </w:tcMar>
          </w:tcPr>
          <w:p w14:paraId="618AF70A" w14:textId="77777777" w:rsidR="00AB2ECD" w:rsidRDefault="00D0757E">
            <w:pPr>
              <w:jc w:val="both"/>
            </w:pPr>
            <w:r>
              <w:rPr>
                <w:rFonts w:cs="Times New Roman"/>
                <w:sz w:val="22"/>
                <w:szCs w:val="22"/>
              </w:rPr>
              <w:t>Regulatory barriers; consumer acceptance</w:t>
            </w:r>
          </w:p>
        </w:tc>
      </w:tr>
    </w:tbl>
    <w:p w14:paraId="0D493AD9" w14:textId="77777777" w:rsidR="00AB2ECD" w:rsidRDefault="00AB2ECD">
      <w:pPr>
        <w:spacing w:after="80"/>
      </w:pPr>
    </w:p>
    <w:p w14:paraId="4D635D7D" w14:textId="77777777" w:rsidR="00AB2ECD" w:rsidRDefault="00D0757E">
      <w:pPr>
        <w:spacing w:after="200"/>
        <w:jc w:val="center"/>
      </w:pPr>
      <w:r>
        <w:rPr>
          <w:rFonts w:cs="Times New Roman"/>
          <w:i/>
          <w:iCs/>
          <w:color w:val="555555"/>
          <w:sz w:val="20"/>
          <w:szCs w:val="20"/>
        </w:rPr>
        <w:t>Table 2. Comparison of major breeding tools used in ornamental plant improvement.</w:t>
      </w:r>
    </w:p>
    <w:p w14:paraId="78066943" w14:textId="77777777" w:rsidR="00AB2ECD" w:rsidRDefault="00AB2ECD">
      <w:pPr>
        <w:spacing w:after="80"/>
      </w:pPr>
    </w:p>
    <w:p w14:paraId="29011BEA" w14:textId="77777777" w:rsidR="00AB2ECD" w:rsidRDefault="00D0757E">
      <w:pPr>
        <w:pStyle w:val="Heading1"/>
        <w:pBdr>
          <w:bottom w:val="single" w:sz="6" w:space="1" w:color="1A5276"/>
        </w:pBdr>
      </w:pPr>
      <w:r>
        <w:t>6. GENETICS OF KEY ORNAMENTAL TRAITS</w:t>
      </w:r>
    </w:p>
    <w:p w14:paraId="2A989B21" w14:textId="77777777" w:rsidR="00AB2ECD" w:rsidRDefault="00D0757E">
      <w:pPr>
        <w:pStyle w:val="Heading2"/>
      </w:pPr>
      <w:r>
        <w:t xml:space="preserve">6.1 Flower </w:t>
      </w:r>
      <w:proofErr w:type="spellStart"/>
      <w:r>
        <w:t>Color</w:t>
      </w:r>
      <w:proofErr w:type="spellEnd"/>
    </w:p>
    <w:p w14:paraId="3B840087" w14:textId="77777777" w:rsidR="00AB2ECD" w:rsidRDefault="00D0757E">
      <w:pPr>
        <w:spacing w:after="160" w:line="360" w:lineRule="auto"/>
        <w:jc w:val="both"/>
      </w:pPr>
      <w:r>
        <w:rPr>
          <w:rFonts w:cs="Times New Roman"/>
        </w:rPr>
        <w:t xml:space="preserve">Flower </w:t>
      </w:r>
      <w:proofErr w:type="spellStart"/>
      <w:r>
        <w:rPr>
          <w:rFonts w:cs="Times New Roman"/>
        </w:rPr>
        <w:t>color</w:t>
      </w:r>
      <w:proofErr w:type="spellEnd"/>
      <w:r>
        <w:rPr>
          <w:rFonts w:cs="Times New Roman"/>
        </w:rPr>
        <w:t xml:space="preserve"> is the single most important aesthetic trait in ornamental plants and has received the most intensive genetic and biochemical investigation. The biochemical pathways responsible for flower pigmentation—the flavonoid/anthocyanin pathway, the carotenoid pathway, and the </w:t>
      </w:r>
      <w:proofErr w:type="spellStart"/>
      <w:r>
        <w:rPr>
          <w:rFonts w:cs="Times New Roman"/>
        </w:rPr>
        <w:t>betalain</w:t>
      </w:r>
      <w:proofErr w:type="spellEnd"/>
      <w:r>
        <w:rPr>
          <w:rFonts w:cs="Times New Roman"/>
        </w:rPr>
        <w:t xml:space="preserve"> pathway (in </w:t>
      </w:r>
      <w:proofErr w:type="spellStart"/>
      <w:r>
        <w:rPr>
          <w:rFonts w:cs="Times New Roman"/>
        </w:rPr>
        <w:t>Caryophyllales</w:t>
      </w:r>
      <w:proofErr w:type="spellEnd"/>
      <w:r>
        <w:rPr>
          <w:rFonts w:cs="Times New Roman"/>
        </w:rPr>
        <w:t xml:space="preserve">)—are largely conserved across angiosperms, but variation in enzyme activities, regulatory gene expression, </w:t>
      </w:r>
      <w:proofErr w:type="spellStart"/>
      <w:r>
        <w:rPr>
          <w:rFonts w:cs="Times New Roman"/>
        </w:rPr>
        <w:t>vacuolar</w:t>
      </w:r>
      <w:proofErr w:type="spellEnd"/>
      <w:r>
        <w:rPr>
          <w:rFonts w:cs="Times New Roman"/>
        </w:rPr>
        <w:t xml:space="preserve"> pH, and co-pigmentation interactions creates the enormous diversity of </w:t>
      </w:r>
      <w:proofErr w:type="spellStart"/>
      <w:r>
        <w:rPr>
          <w:rFonts w:cs="Times New Roman"/>
        </w:rPr>
        <w:t>colors</w:t>
      </w:r>
      <w:proofErr w:type="spellEnd"/>
      <w:r>
        <w:rPr>
          <w:rFonts w:cs="Times New Roman"/>
        </w:rPr>
        <w:t xml:space="preserve"> observed in ornamental cultivars (</w:t>
      </w:r>
      <w:proofErr w:type="spellStart"/>
      <w:r>
        <w:rPr>
          <w:rFonts w:cs="Times New Roman"/>
        </w:rPr>
        <w:t>Griesbach</w:t>
      </w:r>
      <w:proofErr w:type="spellEnd"/>
      <w:r>
        <w:rPr>
          <w:rFonts w:cs="Times New Roman"/>
        </w:rPr>
        <w:t xml:space="preserve">, 2005; </w:t>
      </w:r>
      <w:proofErr w:type="spellStart"/>
      <w:r>
        <w:rPr>
          <w:rFonts w:cs="Times New Roman"/>
        </w:rPr>
        <w:t>Partap</w:t>
      </w:r>
      <w:proofErr w:type="spellEnd"/>
      <w:r>
        <w:rPr>
          <w:rFonts w:cs="Times New Roman"/>
        </w:rPr>
        <w:t xml:space="preserve"> et al., 2023).</w:t>
      </w:r>
    </w:p>
    <w:p w14:paraId="52151614" w14:textId="77777777" w:rsidR="00AB2ECD" w:rsidRDefault="00AB2ECD">
      <w:pPr>
        <w:spacing w:after="80"/>
      </w:pPr>
    </w:p>
    <w:p w14:paraId="0DFCF1B5" w14:textId="77777777" w:rsidR="00AB2ECD" w:rsidRDefault="00D0757E">
      <w:pPr>
        <w:spacing w:after="160" w:line="360" w:lineRule="auto"/>
        <w:jc w:val="both"/>
      </w:pPr>
      <w:r>
        <w:rPr>
          <w:rFonts w:cs="Times New Roman"/>
        </w:rPr>
        <w:t xml:space="preserve">The flavonoid pathway generates anthocyanins responsible for red, pink, purple, and blue pigmentation. Key biosynthetic genes including CHS (chalcone synthase), CHI (chalcone </w:t>
      </w:r>
      <w:r>
        <w:rPr>
          <w:rFonts w:cs="Times New Roman"/>
        </w:rPr>
        <w:lastRenderedPageBreak/>
        <w:t xml:space="preserve">isomerase), F3H, F3'H, F3'5'H, DFR, ANS, and UFGT have been cloned from numerous ornamental species. Regulatory genes of the MYB, </w:t>
      </w:r>
      <w:proofErr w:type="spellStart"/>
      <w:r>
        <w:rPr>
          <w:rFonts w:cs="Times New Roman"/>
        </w:rPr>
        <w:t>bHLH</w:t>
      </w:r>
      <w:proofErr w:type="spellEnd"/>
      <w:r>
        <w:rPr>
          <w:rFonts w:cs="Times New Roman"/>
        </w:rPr>
        <w:t xml:space="preserve">, and WD40 families (the MBW complex) activate structural gene expression and are primary targets for </w:t>
      </w:r>
      <w:proofErr w:type="spellStart"/>
      <w:r>
        <w:rPr>
          <w:rFonts w:cs="Times New Roman"/>
        </w:rPr>
        <w:t>color</w:t>
      </w:r>
      <w:proofErr w:type="spellEnd"/>
      <w:r>
        <w:rPr>
          <w:rFonts w:cs="Times New Roman"/>
        </w:rPr>
        <w:t xml:space="preserve"> modification (</w:t>
      </w:r>
      <w:proofErr w:type="spellStart"/>
      <w:r>
        <w:rPr>
          <w:rFonts w:cs="Times New Roman"/>
        </w:rPr>
        <w:t>Baudry</w:t>
      </w:r>
      <w:proofErr w:type="spellEnd"/>
      <w:r>
        <w:rPr>
          <w:rFonts w:cs="Times New Roman"/>
        </w:rPr>
        <w:t xml:space="preserve"> and </w:t>
      </w:r>
      <w:proofErr w:type="spellStart"/>
      <w:r>
        <w:rPr>
          <w:rFonts w:cs="Times New Roman"/>
        </w:rPr>
        <w:t>Lepiniec</w:t>
      </w:r>
      <w:proofErr w:type="spellEnd"/>
      <w:r>
        <w:rPr>
          <w:rFonts w:cs="Times New Roman"/>
        </w:rPr>
        <w:t xml:space="preserve">, 2011). Carotenoid pigments (carotenes and xanthophylls) produce yellow, orange, and cream </w:t>
      </w:r>
      <w:proofErr w:type="spellStart"/>
      <w:r>
        <w:rPr>
          <w:rFonts w:cs="Times New Roman"/>
        </w:rPr>
        <w:t>colors</w:t>
      </w:r>
      <w:proofErr w:type="spellEnd"/>
      <w:r>
        <w:rPr>
          <w:rFonts w:cs="Times New Roman"/>
        </w:rPr>
        <w:t xml:space="preserve"> in petals, with key pathway genes including PSY, PDS, ZDS, CRTISO, LCY-B, and LCY-E. In roses and other </w:t>
      </w:r>
      <w:proofErr w:type="spellStart"/>
      <w:r>
        <w:rPr>
          <w:rFonts w:cs="Times New Roman"/>
        </w:rPr>
        <w:t>Rosaceae</w:t>
      </w:r>
      <w:proofErr w:type="spellEnd"/>
      <w:r>
        <w:rPr>
          <w:rFonts w:cs="Times New Roman"/>
        </w:rPr>
        <w:t xml:space="preserve"> lacking the capacity for delphinidin synthesis, the entire blue-violet-purple range of </w:t>
      </w:r>
      <w:proofErr w:type="spellStart"/>
      <w:r>
        <w:rPr>
          <w:rFonts w:cs="Times New Roman"/>
        </w:rPr>
        <w:t>colors</w:t>
      </w:r>
      <w:proofErr w:type="spellEnd"/>
      <w:r>
        <w:rPr>
          <w:rFonts w:cs="Times New Roman"/>
        </w:rPr>
        <w:t xml:space="preserve"> is absent from natural variation, representing the foremost target for transgenic and genome-editing approaches (Katsumoto et al., 2007; Murshid Muhammed et al., 2025).</w:t>
      </w:r>
    </w:p>
    <w:p w14:paraId="3BD16A92" w14:textId="77777777" w:rsidR="00AB2ECD" w:rsidRDefault="00AB2ECD">
      <w:pPr>
        <w:spacing w:after="80"/>
      </w:pPr>
    </w:p>
    <w:p w14:paraId="6BF23742" w14:textId="77777777" w:rsidR="00AB2ECD" w:rsidRDefault="00D0757E">
      <w:pPr>
        <w:pStyle w:val="Heading2"/>
      </w:pPr>
      <w:r>
        <w:t>6.2 Flower Fragrance</w:t>
      </w:r>
    </w:p>
    <w:p w14:paraId="463EBF1C" w14:textId="77777777" w:rsidR="00AB2ECD" w:rsidRDefault="00D0757E">
      <w:pPr>
        <w:spacing w:after="160" w:line="360" w:lineRule="auto"/>
        <w:jc w:val="both"/>
      </w:pPr>
      <w:r>
        <w:rPr>
          <w:rFonts w:cs="Times New Roman"/>
        </w:rPr>
        <w:t xml:space="preserve">Floral fragrance is controlled by the biosynthesis and emission of a complex mixture of volatile compounds including monoterpenes, sesquiterpenes, benzenoids, phenylpropanoids, fatty acid derivatives, and nitrogen- and </w:t>
      </w:r>
      <w:proofErr w:type="spellStart"/>
      <w:r>
        <w:rPr>
          <w:rFonts w:cs="Times New Roman"/>
        </w:rPr>
        <w:t>sulfur</w:t>
      </w:r>
      <w:proofErr w:type="spellEnd"/>
      <w:r>
        <w:rPr>
          <w:rFonts w:cs="Times New Roman"/>
        </w:rPr>
        <w:t>-containing compounds. Each species has a characteristic volatile blend that serves ecological functions (pollinator attraction) and provides the aesthetic quality valued in cut flowers and garden plants. The biosynthesis of key fragrance compounds—linalool, geraniol, rose oxide, benzyl alcohol, 2-phenylethanol, and methyl benzoate—involves pathways branching from the MVA and MEP terpenoid pathways and the phenylalanine-derived phenylpropanoid pathway (</w:t>
      </w:r>
      <w:proofErr w:type="spellStart"/>
      <w:r>
        <w:rPr>
          <w:rFonts w:cs="Times New Roman"/>
        </w:rPr>
        <w:t>Dudareva</w:t>
      </w:r>
      <w:proofErr w:type="spellEnd"/>
      <w:r>
        <w:rPr>
          <w:rFonts w:cs="Times New Roman"/>
        </w:rPr>
        <w:t xml:space="preserve"> et al., 2006).</w:t>
      </w:r>
    </w:p>
    <w:p w14:paraId="703670CE" w14:textId="77777777" w:rsidR="00AB2ECD" w:rsidRDefault="00AB2ECD">
      <w:pPr>
        <w:spacing w:after="80"/>
      </w:pPr>
    </w:p>
    <w:p w14:paraId="739294A8" w14:textId="77777777" w:rsidR="00AB2ECD" w:rsidRDefault="00D0757E">
      <w:pPr>
        <w:spacing w:after="160" w:line="360" w:lineRule="auto"/>
        <w:jc w:val="both"/>
      </w:pPr>
      <w:r>
        <w:rPr>
          <w:rFonts w:cs="Times New Roman"/>
        </w:rPr>
        <w:t xml:space="preserve">Modern cut rose cultivars have largely lost the intense fragrance characteristic of old garden roses as a consequence of selection priorities </w:t>
      </w:r>
      <w:proofErr w:type="spellStart"/>
      <w:r>
        <w:rPr>
          <w:rFonts w:cs="Times New Roman"/>
        </w:rPr>
        <w:t>favoring</w:t>
      </w:r>
      <w:proofErr w:type="spellEnd"/>
      <w:r>
        <w:rPr>
          <w:rFonts w:cs="Times New Roman"/>
        </w:rPr>
        <w:t xml:space="preserve"> long vase life, disease resistance, and high yield—traits negatively correlated with fragrance in some breeding populations. Genetic mapping of fragrance QTL in rose has identified candidate genes including RhNUDX1 (geraniol metabolism), RhAAT1 (acetyl transferase for rose oxide synthesis), and </w:t>
      </w:r>
      <w:proofErr w:type="spellStart"/>
      <w:r>
        <w:rPr>
          <w:rFonts w:cs="Times New Roman"/>
        </w:rPr>
        <w:t>RhPAAS</w:t>
      </w:r>
      <w:proofErr w:type="spellEnd"/>
      <w:r>
        <w:rPr>
          <w:rFonts w:cs="Times New Roman"/>
        </w:rPr>
        <w:t xml:space="preserve"> (2-phenylethanol synthesis). The reintroduction of fragrance into modern elite cut flower varieties without sacrificing commercial performance traits is a major breeding goal currently being pursued with molecular tools.</w:t>
      </w:r>
    </w:p>
    <w:p w14:paraId="595DDAC1" w14:textId="77777777" w:rsidR="00AB2ECD" w:rsidRDefault="00AB2ECD">
      <w:pPr>
        <w:spacing w:after="80"/>
      </w:pPr>
    </w:p>
    <w:p w14:paraId="009E0358" w14:textId="77777777" w:rsidR="00351B12" w:rsidRDefault="00351B12">
      <w:pPr>
        <w:pStyle w:val="Heading2"/>
      </w:pPr>
    </w:p>
    <w:p w14:paraId="48F309A8" w14:textId="77777777" w:rsidR="00AB2ECD" w:rsidRDefault="00D0757E">
      <w:pPr>
        <w:pStyle w:val="Heading2"/>
      </w:pPr>
      <w:r>
        <w:t>6.3 Plant Architecture and Form</w:t>
      </w:r>
    </w:p>
    <w:p w14:paraId="2EC63ED6" w14:textId="77777777" w:rsidR="00AB2ECD" w:rsidRDefault="00D0757E">
      <w:pPr>
        <w:spacing w:after="160" w:line="360" w:lineRule="auto"/>
        <w:jc w:val="both"/>
      </w:pPr>
      <w:r>
        <w:rPr>
          <w:rFonts w:cs="Times New Roman"/>
        </w:rPr>
        <w:lastRenderedPageBreak/>
        <w:t>Plant architecture—including plant height, branching pattern, internode length, leaf arrangement, and flower display—is a key determinant of both ornamental appeal and production efficiency. In cut flower crops, the ideal architecture combines long, straight, strong stems with appropriately spaced lateral shoots that carry well-formed flowers. In pot plants, compact, bushy habit with abundant flowering and resistance to lodging (stem collapse) is preferred. Landscape plants require diverse architectural forms suited to different design functions.</w:t>
      </w:r>
    </w:p>
    <w:p w14:paraId="06655DA7" w14:textId="77777777" w:rsidR="00AB2ECD" w:rsidRDefault="00AB2ECD">
      <w:pPr>
        <w:spacing w:after="80"/>
      </w:pPr>
    </w:p>
    <w:p w14:paraId="79C69533" w14:textId="77777777" w:rsidR="00AB2ECD" w:rsidRDefault="00D0757E">
      <w:pPr>
        <w:spacing w:after="160" w:line="360" w:lineRule="auto"/>
        <w:jc w:val="both"/>
      </w:pPr>
      <w:r>
        <w:rPr>
          <w:rFonts w:cs="Times New Roman"/>
        </w:rPr>
        <w:t xml:space="preserve">The genetic control of plant architecture involves phytohormone </w:t>
      </w:r>
      <w:proofErr w:type="spellStart"/>
      <w:r>
        <w:rPr>
          <w:rFonts w:cs="Times New Roman"/>
        </w:rPr>
        <w:t>signaling</w:t>
      </w:r>
      <w:proofErr w:type="spellEnd"/>
      <w:r>
        <w:rPr>
          <w:rFonts w:cs="Times New Roman"/>
        </w:rPr>
        <w:t xml:space="preserve"> pathways—particularly auxin, cytokinin, gibberellin, </w:t>
      </w:r>
      <w:proofErr w:type="spellStart"/>
      <w:r>
        <w:rPr>
          <w:rFonts w:cs="Times New Roman"/>
        </w:rPr>
        <w:t>strigolactone</w:t>
      </w:r>
      <w:proofErr w:type="spellEnd"/>
      <w:r>
        <w:rPr>
          <w:rFonts w:cs="Times New Roman"/>
        </w:rPr>
        <w:t xml:space="preserve">, and </w:t>
      </w:r>
      <w:proofErr w:type="spellStart"/>
      <w:r>
        <w:rPr>
          <w:rFonts w:cs="Times New Roman"/>
        </w:rPr>
        <w:t>brassinosteroid</w:t>
      </w:r>
      <w:proofErr w:type="spellEnd"/>
      <w:r>
        <w:rPr>
          <w:rFonts w:cs="Times New Roman"/>
        </w:rPr>
        <w:t>—that interact to regulate meristem activity, branching, and elongation (</w:t>
      </w:r>
      <w:proofErr w:type="spellStart"/>
      <w:r>
        <w:rPr>
          <w:rFonts w:cs="Times New Roman"/>
        </w:rPr>
        <w:t>Domagalska</w:t>
      </w:r>
      <w:proofErr w:type="spellEnd"/>
      <w:r>
        <w:rPr>
          <w:rFonts w:cs="Times New Roman"/>
        </w:rPr>
        <w:t xml:space="preserve"> and </w:t>
      </w:r>
      <w:proofErr w:type="spellStart"/>
      <w:r>
        <w:rPr>
          <w:rFonts w:cs="Times New Roman"/>
        </w:rPr>
        <w:t>Leyser</w:t>
      </w:r>
      <w:proofErr w:type="spellEnd"/>
      <w:r>
        <w:rPr>
          <w:rFonts w:cs="Times New Roman"/>
        </w:rPr>
        <w:t xml:space="preserve">, 2011). MADS-box transcription factors control floral organ identity and flower form, with mutations in these genes producing double-flowered (hose-in-hose, </w:t>
      </w:r>
      <w:proofErr w:type="spellStart"/>
      <w:r>
        <w:rPr>
          <w:rFonts w:cs="Times New Roman"/>
        </w:rPr>
        <w:t>multipetally</w:t>
      </w:r>
      <w:proofErr w:type="spellEnd"/>
      <w:r>
        <w:rPr>
          <w:rFonts w:cs="Times New Roman"/>
        </w:rPr>
        <w:t xml:space="preserve">) phenotypes highly valued in ornamentals. The discovery that overexpression of TCP transcription factors produces compact, bushy phenotypes in petunia and Chrysanthemum has provided genetic tools for engineering ornamental architecture (Martín-Trillo and </w:t>
      </w:r>
      <w:proofErr w:type="spellStart"/>
      <w:r>
        <w:rPr>
          <w:rFonts w:cs="Times New Roman"/>
        </w:rPr>
        <w:t>Cubas</w:t>
      </w:r>
      <w:proofErr w:type="spellEnd"/>
      <w:r>
        <w:rPr>
          <w:rFonts w:cs="Times New Roman"/>
        </w:rPr>
        <w:t>, 2010).</w:t>
      </w:r>
    </w:p>
    <w:p w14:paraId="5256B4F2" w14:textId="77777777" w:rsidR="00AB2ECD" w:rsidRDefault="00AB2ECD">
      <w:pPr>
        <w:spacing w:after="80"/>
      </w:pPr>
    </w:p>
    <w:p w14:paraId="636885A6" w14:textId="77777777" w:rsidR="00AB2ECD" w:rsidRDefault="00D0757E">
      <w:pPr>
        <w:pStyle w:val="Heading2"/>
      </w:pPr>
      <w:r>
        <w:t>6.4 Postharvest Quality and Vase Life</w:t>
      </w:r>
    </w:p>
    <w:p w14:paraId="3BDC1410" w14:textId="77777777" w:rsidR="00AB2ECD" w:rsidRDefault="00D0757E">
      <w:pPr>
        <w:spacing w:after="160" w:line="360" w:lineRule="auto"/>
        <w:jc w:val="both"/>
      </w:pPr>
      <w:r>
        <w:rPr>
          <w:rFonts w:cs="Times New Roman"/>
        </w:rPr>
        <w:t xml:space="preserve">For cut flower crops, postharvest quality—particularly vase life—is a critical breeding objective with direct implications for supply chain efficiency and consumer satisfaction. Vase life is primarily determined by the rate of petal senescence, which in ethylene-sensitive flowers (carnation, petunia, </w:t>
      </w:r>
      <w:proofErr w:type="spellStart"/>
      <w:r>
        <w:rPr>
          <w:rFonts w:cs="Times New Roman"/>
        </w:rPr>
        <w:t>lisianthus</w:t>
      </w:r>
      <w:proofErr w:type="spellEnd"/>
      <w:r>
        <w:rPr>
          <w:rFonts w:cs="Times New Roman"/>
        </w:rPr>
        <w:t xml:space="preserve">) is triggered by autocatalytic ethylene synthesis and </w:t>
      </w:r>
      <w:proofErr w:type="spellStart"/>
      <w:r>
        <w:rPr>
          <w:rFonts w:cs="Times New Roman"/>
        </w:rPr>
        <w:t>signaling</w:t>
      </w:r>
      <w:proofErr w:type="spellEnd"/>
      <w:r>
        <w:rPr>
          <w:rFonts w:cs="Times New Roman"/>
        </w:rPr>
        <w:t xml:space="preserve">. Ethylene-insensitive flowers (roses, chrysanthemums, gerbera) senesce through oxidative pathways independent of ethylene. Breeding for extended vase life has targeted ethylene pathway genes in sensitive species and antioxidant capacity in insensitive species (Ma et al., 2006; </w:t>
      </w:r>
      <w:proofErr w:type="spellStart"/>
      <w:r>
        <w:rPr>
          <w:rFonts w:cs="Times New Roman"/>
        </w:rPr>
        <w:t>Woltering</w:t>
      </w:r>
      <w:proofErr w:type="spellEnd"/>
      <w:r>
        <w:rPr>
          <w:rFonts w:cs="Times New Roman"/>
        </w:rPr>
        <w:t xml:space="preserve"> and van </w:t>
      </w:r>
      <w:proofErr w:type="spellStart"/>
      <w:r>
        <w:rPr>
          <w:rFonts w:cs="Times New Roman"/>
        </w:rPr>
        <w:t>Doorn</w:t>
      </w:r>
      <w:proofErr w:type="spellEnd"/>
      <w:r>
        <w:rPr>
          <w:rFonts w:cs="Times New Roman"/>
        </w:rPr>
        <w:t>, 1988).</w:t>
      </w:r>
    </w:p>
    <w:p w14:paraId="04FA6CBA" w14:textId="77777777" w:rsidR="00AB2ECD" w:rsidRDefault="00AB2ECD">
      <w:pPr>
        <w:spacing w:after="80"/>
      </w:pPr>
    </w:p>
    <w:p w14:paraId="1629D6EB" w14:textId="77777777" w:rsidR="00AB2ECD" w:rsidRDefault="00D0757E">
      <w:pPr>
        <w:spacing w:after="160" w:line="360" w:lineRule="auto"/>
        <w:jc w:val="both"/>
      </w:pPr>
      <w:r>
        <w:rPr>
          <w:rFonts w:cs="Times New Roman"/>
        </w:rPr>
        <w:t>Mutation or silencing of ethylene biosynthesis genes (ACS, ACO) or receptor genes (ETR1, ERS) dramatically extends vase life in carnations and petunias (</w:t>
      </w:r>
      <w:proofErr w:type="spellStart"/>
      <w:r>
        <w:rPr>
          <w:rFonts w:cs="Times New Roman"/>
        </w:rPr>
        <w:t>Bovy</w:t>
      </w:r>
      <w:proofErr w:type="spellEnd"/>
      <w:r>
        <w:rPr>
          <w:rFonts w:cs="Times New Roman"/>
        </w:rPr>
        <w:t xml:space="preserve"> et al., 1999). The availability of transgenic carnations and petunias with modified ethylene responses has validated these gene targets and informed selection of naturally occurring allelic variation in conventional breeding programs. Stem water transport, bacterial contamination of vase water, and physical damage during handling </w:t>
      </w:r>
      <w:r>
        <w:rPr>
          <w:rFonts w:cs="Times New Roman"/>
        </w:rPr>
        <w:lastRenderedPageBreak/>
        <w:t>also contribute to vase life variation and are addressed through cultural practices and postharvest chemical treatments.</w:t>
      </w:r>
    </w:p>
    <w:p w14:paraId="5E26A373" w14:textId="77777777" w:rsidR="00AB2ECD" w:rsidRDefault="00AB2ECD">
      <w:pPr>
        <w:spacing w:after="80"/>
      </w:pPr>
    </w:p>
    <w:p w14:paraId="0B5967D2" w14:textId="77777777" w:rsidR="00AB2ECD" w:rsidRDefault="00D0757E">
      <w:pPr>
        <w:pStyle w:val="Heading1"/>
        <w:pBdr>
          <w:bottom w:val="single" w:sz="6" w:space="1" w:color="1A5276"/>
        </w:pBdr>
      </w:pPr>
      <w:r>
        <w:t>7. SPECIAL TOPICS IN ORNAMENTAL PLANT BREEDING</w:t>
      </w:r>
    </w:p>
    <w:p w14:paraId="7FF08C1F" w14:textId="77777777" w:rsidR="00AB2ECD" w:rsidRDefault="00D0757E">
      <w:pPr>
        <w:pStyle w:val="Heading2"/>
      </w:pPr>
      <w:r>
        <w:t>7.1 Disease Resistance Breeding</w:t>
      </w:r>
    </w:p>
    <w:p w14:paraId="4A3C813D" w14:textId="77777777" w:rsidR="00AB2ECD" w:rsidRDefault="00D0757E">
      <w:pPr>
        <w:spacing w:after="160" w:line="360" w:lineRule="auto"/>
        <w:jc w:val="both"/>
      </w:pPr>
      <w:r>
        <w:rPr>
          <w:rFonts w:cs="Times New Roman"/>
        </w:rPr>
        <w:t>Ornamental plants are subject to a wide range of pathogens including fungal diseases (blackspot, powdery mildew, Botrytis, Fusarium), bacterial diseases (crown gall, bacterial leaf spot), viral diseases (tobacco mosaic virus, potyvirus group), and nematodes. Disease management in ornamental production systems relies heavily on fungicide applications, representing both economic cost and environmental concern. Breeding for genetic resistance offers a sustainable alternative (Linde et al., 2004; Murshid Muhammed et al., 2025).</w:t>
      </w:r>
    </w:p>
    <w:p w14:paraId="0E36E44B" w14:textId="77777777" w:rsidR="00AB2ECD" w:rsidRDefault="00AB2ECD">
      <w:pPr>
        <w:spacing w:after="80"/>
      </w:pPr>
    </w:p>
    <w:p w14:paraId="6AE0D0A2" w14:textId="77777777" w:rsidR="00AB2ECD" w:rsidRDefault="00D0757E">
      <w:pPr>
        <w:spacing w:after="160" w:line="360" w:lineRule="auto"/>
        <w:jc w:val="both"/>
      </w:pPr>
      <w:r>
        <w:rPr>
          <w:rFonts w:cs="Times New Roman"/>
        </w:rPr>
        <w:t>Rose blackspot (</w:t>
      </w:r>
      <w:proofErr w:type="spellStart"/>
      <w:r>
        <w:rPr>
          <w:rFonts w:cs="Times New Roman"/>
        </w:rPr>
        <w:t>Diplocarpon</w:t>
      </w:r>
      <w:proofErr w:type="spellEnd"/>
      <w:r>
        <w:rPr>
          <w:rFonts w:cs="Times New Roman"/>
        </w:rPr>
        <w:t xml:space="preserve"> </w:t>
      </w:r>
      <w:proofErr w:type="spellStart"/>
      <w:r>
        <w:rPr>
          <w:rFonts w:cs="Times New Roman"/>
        </w:rPr>
        <w:t>rosae</w:t>
      </w:r>
      <w:proofErr w:type="spellEnd"/>
      <w:r>
        <w:rPr>
          <w:rFonts w:cs="Times New Roman"/>
        </w:rPr>
        <w:t xml:space="preserve">) is the most economically important fungal pathogen of garden roses. Multiple </w:t>
      </w:r>
      <w:proofErr w:type="spellStart"/>
      <w:r>
        <w:rPr>
          <w:rFonts w:cs="Times New Roman"/>
        </w:rPr>
        <w:t>Rdr</w:t>
      </w:r>
      <w:proofErr w:type="spellEnd"/>
      <w:r>
        <w:rPr>
          <w:rFonts w:cs="Times New Roman"/>
        </w:rPr>
        <w:t xml:space="preserve"> (resistance to </w:t>
      </w:r>
      <w:proofErr w:type="spellStart"/>
      <w:r>
        <w:rPr>
          <w:rFonts w:cs="Times New Roman"/>
        </w:rPr>
        <w:t>Diplocarpon</w:t>
      </w:r>
      <w:proofErr w:type="spellEnd"/>
      <w:r>
        <w:rPr>
          <w:rFonts w:cs="Times New Roman"/>
        </w:rPr>
        <w:t xml:space="preserve"> </w:t>
      </w:r>
      <w:proofErr w:type="spellStart"/>
      <w:r>
        <w:rPr>
          <w:rFonts w:cs="Times New Roman"/>
        </w:rPr>
        <w:t>rosae</w:t>
      </w:r>
      <w:proofErr w:type="spellEnd"/>
      <w:r>
        <w:rPr>
          <w:rFonts w:cs="Times New Roman"/>
        </w:rPr>
        <w:t xml:space="preserve">) genes have been mapped in rose, with Rdr1 from Rosa </w:t>
      </w:r>
      <w:proofErr w:type="spellStart"/>
      <w:r>
        <w:rPr>
          <w:rFonts w:cs="Times New Roman"/>
        </w:rPr>
        <w:t>majalis</w:t>
      </w:r>
      <w:proofErr w:type="spellEnd"/>
      <w:r>
        <w:rPr>
          <w:rFonts w:cs="Times New Roman"/>
        </w:rPr>
        <w:t xml:space="preserve"> and Rdr4 and Rdr7 from tetraploid rose offering the strongest and most durable resistance. Molecular markers flanking these resistance loci enable MAS-based </w:t>
      </w:r>
      <w:proofErr w:type="spellStart"/>
      <w:r>
        <w:rPr>
          <w:rFonts w:cs="Times New Roman"/>
        </w:rPr>
        <w:t>introgression</w:t>
      </w:r>
      <w:proofErr w:type="spellEnd"/>
      <w:r>
        <w:rPr>
          <w:rFonts w:cs="Times New Roman"/>
        </w:rPr>
        <w:t xml:space="preserve"> into elite cultivars while minimizing linkage drag (</w:t>
      </w:r>
      <w:proofErr w:type="spellStart"/>
      <w:r>
        <w:rPr>
          <w:rFonts w:cs="Times New Roman"/>
        </w:rPr>
        <w:t>Blechert</w:t>
      </w:r>
      <w:proofErr w:type="spellEnd"/>
      <w:r>
        <w:rPr>
          <w:rFonts w:cs="Times New Roman"/>
        </w:rPr>
        <w:t xml:space="preserve"> and </w:t>
      </w:r>
      <w:proofErr w:type="spellStart"/>
      <w:r>
        <w:rPr>
          <w:rFonts w:cs="Times New Roman"/>
        </w:rPr>
        <w:t>Debener</w:t>
      </w:r>
      <w:proofErr w:type="spellEnd"/>
      <w:r>
        <w:rPr>
          <w:rFonts w:cs="Times New Roman"/>
        </w:rPr>
        <w:t>, 2005). The Knock Out rose series from Conard-Pyle, which incorporates multiple disease resistance genes, has achieved enormous commercial success in the landscape rose market precisely because of its low-maintenance, disease-resistant character.</w:t>
      </w:r>
    </w:p>
    <w:p w14:paraId="4DB0CA51" w14:textId="77777777" w:rsidR="00AB2ECD" w:rsidRDefault="00AB2ECD">
      <w:pPr>
        <w:spacing w:after="80"/>
      </w:pPr>
    </w:p>
    <w:p w14:paraId="124E5BD2" w14:textId="77777777" w:rsidR="00AB2ECD" w:rsidRDefault="00D0757E">
      <w:pPr>
        <w:pStyle w:val="Heading2"/>
      </w:pPr>
      <w:r>
        <w:t>7.2 Abiotic Stress Tolerance</w:t>
      </w:r>
    </w:p>
    <w:p w14:paraId="63254B52" w14:textId="77777777" w:rsidR="00AB2ECD" w:rsidRDefault="00D0757E">
      <w:pPr>
        <w:spacing w:after="160" w:line="360" w:lineRule="auto"/>
        <w:jc w:val="both"/>
      </w:pPr>
      <w:r>
        <w:rPr>
          <w:rFonts w:cs="Times New Roman"/>
        </w:rPr>
        <w:t xml:space="preserve">Climate change is intensifying selection pressure for ornamental plants tolerant of drought, heat, flooding, and salinity—stresses increasingly encountered in both production and landscape contexts. Traditional water-intensive ornamental production practices are coming under regulatory and economic pressure in water-scarce regions. Breeding for drought tolerance in ornamentals involves selection for deeper rooting, stomatal efficiency, osmotic adjustment capacity, and constitutive expression of stress-responsive genes (Clark et al., 2004; </w:t>
      </w:r>
      <w:proofErr w:type="spellStart"/>
      <w:r>
        <w:rPr>
          <w:rFonts w:cs="Times New Roman"/>
        </w:rPr>
        <w:t>Partap</w:t>
      </w:r>
      <w:proofErr w:type="spellEnd"/>
      <w:r>
        <w:rPr>
          <w:rFonts w:cs="Times New Roman"/>
        </w:rPr>
        <w:t xml:space="preserve"> et al., 2023).</w:t>
      </w:r>
    </w:p>
    <w:p w14:paraId="28C7864C" w14:textId="77777777" w:rsidR="00AB2ECD" w:rsidRDefault="00AB2ECD">
      <w:pPr>
        <w:spacing w:after="80"/>
      </w:pPr>
    </w:p>
    <w:p w14:paraId="0977CE9B" w14:textId="77777777" w:rsidR="00AB2ECD" w:rsidRDefault="00D0757E">
      <w:pPr>
        <w:spacing w:after="160" w:line="360" w:lineRule="auto"/>
        <w:jc w:val="both"/>
      </w:pPr>
      <w:r>
        <w:rPr>
          <w:rFonts w:cs="Times New Roman"/>
        </w:rPr>
        <w:lastRenderedPageBreak/>
        <w:t xml:space="preserve">Landscape plants with proven heat and drought tolerance—including Agapanthus, </w:t>
      </w:r>
      <w:proofErr w:type="spellStart"/>
      <w:r>
        <w:rPr>
          <w:rFonts w:cs="Times New Roman"/>
        </w:rPr>
        <w:t>Gaura</w:t>
      </w:r>
      <w:proofErr w:type="spellEnd"/>
      <w:r>
        <w:rPr>
          <w:rFonts w:cs="Times New Roman"/>
        </w:rPr>
        <w:t>, Echinacea, ornamental grasses, and Salvia—have gained market share at the expense of traditional water-hungry species in regions affected by drought restrictions. Breeding programs for landscape-use plants increasingly emphasize performance under low-input conditions, and trait-based screening for canopy temperature, leaf water potential, and osmotic adjustment is being integrated into selection protocols.</w:t>
      </w:r>
    </w:p>
    <w:p w14:paraId="543DBE3D" w14:textId="77777777" w:rsidR="00AB2ECD" w:rsidRDefault="00AB2ECD">
      <w:pPr>
        <w:spacing w:after="80"/>
      </w:pPr>
    </w:p>
    <w:p w14:paraId="5FB81143" w14:textId="77777777" w:rsidR="00AB2ECD" w:rsidRDefault="00D0757E">
      <w:pPr>
        <w:pStyle w:val="Heading2"/>
      </w:pPr>
      <w:r>
        <w:t xml:space="preserve">7.3 Epigenetics and </w:t>
      </w:r>
      <w:proofErr w:type="spellStart"/>
      <w:r>
        <w:t>Somaclonal</w:t>
      </w:r>
      <w:proofErr w:type="spellEnd"/>
      <w:r>
        <w:t xml:space="preserve"> Variation</w:t>
      </w:r>
    </w:p>
    <w:p w14:paraId="337B0EC8" w14:textId="77777777" w:rsidR="00AB2ECD" w:rsidRDefault="00D0757E">
      <w:pPr>
        <w:spacing w:after="160" w:line="360" w:lineRule="auto"/>
        <w:jc w:val="both"/>
      </w:pPr>
      <w:r>
        <w:rPr>
          <w:rFonts w:cs="Times New Roman"/>
        </w:rPr>
        <w:t xml:space="preserve">Epigenetic variation—heritable changes in gene expression not involving alterations in DNA sequence—plays an important role in ornamental plant phenotypic diversity. DNA methylation, histone modification, and small RNA pathways regulate chromatin accessibility and gene expression in response to developmental and environmental signals. </w:t>
      </w:r>
      <w:proofErr w:type="spellStart"/>
      <w:r>
        <w:rPr>
          <w:rFonts w:cs="Times New Roman"/>
        </w:rPr>
        <w:t>Somaclonal</w:t>
      </w:r>
      <w:proofErr w:type="spellEnd"/>
      <w:r>
        <w:rPr>
          <w:rFonts w:cs="Times New Roman"/>
        </w:rPr>
        <w:t xml:space="preserve"> variation arising during in vitro tissue culture, a common propagation method for orchids, chrysanthemums, and other ornamentals, often has an epigenetic basis and can produce both deleterious off-types and occasionally valuable novel variants (</w:t>
      </w:r>
      <w:proofErr w:type="spellStart"/>
      <w:r>
        <w:rPr>
          <w:rFonts w:cs="Times New Roman"/>
        </w:rPr>
        <w:t>Kaeppler</w:t>
      </w:r>
      <w:proofErr w:type="spellEnd"/>
      <w:r>
        <w:rPr>
          <w:rFonts w:cs="Times New Roman"/>
        </w:rPr>
        <w:t xml:space="preserve"> et al., 2000).</w:t>
      </w:r>
    </w:p>
    <w:p w14:paraId="12F2E786" w14:textId="77777777" w:rsidR="00AB2ECD" w:rsidRDefault="00AB2ECD">
      <w:pPr>
        <w:spacing w:after="80"/>
      </w:pPr>
    </w:p>
    <w:p w14:paraId="0BA8C37E" w14:textId="77777777" w:rsidR="00AB2ECD" w:rsidRDefault="00D0757E">
      <w:pPr>
        <w:spacing w:after="160" w:line="360" w:lineRule="auto"/>
        <w:jc w:val="both"/>
      </w:pPr>
      <w:r>
        <w:rPr>
          <w:rFonts w:cs="Times New Roman"/>
        </w:rPr>
        <w:t xml:space="preserve">Vernalization—the requirement of extended cold exposure to achieve floral competence—in many bulbous ornamentals (tulips, hyacinths, daffodils) is mediated by epigenetic silencing of FLC (FLOWERING LOCUS C) homologs, with implications for forcing programs and adaptation to warming climates (Kroon and van </w:t>
      </w:r>
      <w:proofErr w:type="spellStart"/>
      <w:r>
        <w:rPr>
          <w:rFonts w:cs="Times New Roman"/>
        </w:rPr>
        <w:t>Eijk</w:t>
      </w:r>
      <w:proofErr w:type="spellEnd"/>
      <w:r>
        <w:rPr>
          <w:rFonts w:cs="Times New Roman"/>
        </w:rPr>
        <w:t>, 1977; Shea et al., 2018). The emerging field of epigenomics offers tools for mapping the epigenetic landscapes of ornamental species and potentially exploiting epigenetic variation as a breeding resource.</w:t>
      </w:r>
    </w:p>
    <w:p w14:paraId="64607B02" w14:textId="77777777" w:rsidR="00AB2ECD" w:rsidRDefault="00AB2ECD">
      <w:pPr>
        <w:spacing w:after="80"/>
      </w:pPr>
    </w:p>
    <w:p w14:paraId="645BEB71" w14:textId="77777777" w:rsidR="00AB2ECD" w:rsidRDefault="00D0757E">
      <w:pPr>
        <w:pStyle w:val="Heading1"/>
        <w:pBdr>
          <w:bottom w:val="single" w:sz="6" w:space="1" w:color="1A5276"/>
        </w:pBdr>
      </w:pPr>
      <w:r>
        <w:t>8. VARIETY REGISTRATION, INTELLECTUAL PROPERTY, AND COMMERCIALIZATION</w:t>
      </w:r>
    </w:p>
    <w:p w14:paraId="35644796" w14:textId="77777777" w:rsidR="00AB2ECD" w:rsidRDefault="00D0757E">
      <w:pPr>
        <w:pStyle w:val="Heading2"/>
      </w:pPr>
      <w:r>
        <w:t>8.1 Plant Variety Protection Systems</w:t>
      </w:r>
    </w:p>
    <w:p w14:paraId="631B10CB" w14:textId="77777777" w:rsidR="00AB2ECD" w:rsidRDefault="00D0757E">
      <w:pPr>
        <w:spacing w:after="160" w:line="360" w:lineRule="auto"/>
        <w:jc w:val="both"/>
      </w:pPr>
      <w:r>
        <w:rPr>
          <w:rFonts w:cs="Times New Roman"/>
        </w:rPr>
        <w:t xml:space="preserve">The commercialization of new ornamental varieties is protected by two primary intellectual property systems. In the United States, the Plant Patent Act of 1930 (as amended) provides protection for asexually propagated varieties through plant patents, while the Plant Variety Protection Act of 1970 </w:t>
      </w:r>
      <w:r>
        <w:rPr>
          <w:rFonts w:cs="Times New Roman"/>
        </w:rPr>
        <w:lastRenderedPageBreak/>
        <w:t>covers sexually reproduced varieties through plant variety certificates. In the European Union and many other countries, the Community Plant Variety Rights (CPVR) system administered by the Community Plant Variety Office (CPVO) provides 25 years of protection for varieties of most species and 30 years for tree and vine varieties.</w:t>
      </w:r>
    </w:p>
    <w:p w14:paraId="20602AA4" w14:textId="77777777" w:rsidR="00AB2ECD" w:rsidRDefault="00AB2ECD">
      <w:pPr>
        <w:spacing w:after="80"/>
      </w:pPr>
    </w:p>
    <w:p w14:paraId="2450A8D3" w14:textId="77777777" w:rsidR="00AB2ECD" w:rsidRDefault="00D0757E">
      <w:pPr>
        <w:spacing w:after="160" w:line="360" w:lineRule="auto"/>
        <w:jc w:val="both"/>
      </w:pPr>
      <w:r>
        <w:rPr>
          <w:rFonts w:cs="Times New Roman"/>
        </w:rPr>
        <w:t xml:space="preserve">For CPVR or PVP protection, varieties must satisfy the criteria of distinctness, uniformity, and stability (DUS): they must be clearly distinguishable from existing varieties, sufficiently uniform in their relevant characteristics, and stable—maintaining their defining characteristics after repeated propagation. Variety descriptions prepared as part of DUS testing specify the precise phenotypic characteristics—using standardized descriptor scales developed by UPOV (International Union for the Protection of New Varieties of Plants)—that define and differentiate each protected variety (van </w:t>
      </w:r>
      <w:proofErr w:type="spellStart"/>
      <w:r>
        <w:rPr>
          <w:rFonts w:cs="Times New Roman"/>
        </w:rPr>
        <w:t>Harten</w:t>
      </w:r>
      <w:proofErr w:type="spellEnd"/>
      <w:r>
        <w:rPr>
          <w:rFonts w:cs="Times New Roman"/>
        </w:rPr>
        <w:t>, 1998; UPOV, 2002).</w:t>
      </w:r>
    </w:p>
    <w:p w14:paraId="456978EC" w14:textId="77777777" w:rsidR="00AB2ECD" w:rsidRDefault="00AB2ECD">
      <w:pPr>
        <w:spacing w:after="80"/>
      </w:pPr>
    </w:p>
    <w:p w14:paraId="7A50E081" w14:textId="77777777" w:rsidR="00AB2ECD" w:rsidRDefault="00D0757E">
      <w:pPr>
        <w:pStyle w:val="Heading2"/>
      </w:pPr>
      <w:r>
        <w:t>8.2 Royalty Systems and Licensing</w:t>
      </w:r>
    </w:p>
    <w:p w14:paraId="0BC1AEDA" w14:textId="77777777" w:rsidR="00AB2ECD" w:rsidRDefault="00D0757E">
      <w:pPr>
        <w:spacing w:after="160" w:line="360" w:lineRule="auto"/>
        <w:jc w:val="both"/>
      </w:pPr>
      <w:r>
        <w:rPr>
          <w:rFonts w:cs="Times New Roman"/>
        </w:rPr>
        <w:t xml:space="preserve">Commercial ornamental variety licensing typically operates through royalty systems in which propagators (nurseries producing cuttings) pay per-unit royalties to the variety holder for each propagule produced. Royalty collection organizations such as </w:t>
      </w:r>
      <w:proofErr w:type="spellStart"/>
      <w:r>
        <w:rPr>
          <w:rFonts w:cs="Times New Roman"/>
        </w:rPr>
        <w:t>Agrobio</w:t>
      </w:r>
      <w:proofErr w:type="spellEnd"/>
      <w:r>
        <w:rPr>
          <w:rFonts w:cs="Times New Roman"/>
        </w:rPr>
        <w:t xml:space="preserve"> (Netherlands), LIPOS (Germany), and </w:t>
      </w:r>
      <w:proofErr w:type="spellStart"/>
      <w:r>
        <w:rPr>
          <w:rFonts w:cs="Times New Roman"/>
        </w:rPr>
        <w:t>FloraHolland's</w:t>
      </w:r>
      <w:proofErr w:type="spellEnd"/>
      <w:r>
        <w:rPr>
          <w:rFonts w:cs="Times New Roman"/>
        </w:rPr>
        <w:t xml:space="preserve"> variety royalty desk facilitate royalty collection and distribution to breeders. The effectiveness of these systems depends on the ability to detect unauthorized propagation through variety identity testing using molecular fingerprinting—a major application area for SSR and SNP marker panels in commercial ornamental breeding laboratories (</w:t>
      </w:r>
      <w:proofErr w:type="spellStart"/>
      <w:r>
        <w:rPr>
          <w:rFonts w:cs="Times New Roman"/>
        </w:rPr>
        <w:t>Debener</w:t>
      </w:r>
      <w:proofErr w:type="spellEnd"/>
      <w:r>
        <w:rPr>
          <w:rFonts w:cs="Times New Roman"/>
        </w:rPr>
        <w:t xml:space="preserve"> and Linde, 2009; Murshid Muhammed et al., 2025).</w:t>
      </w:r>
    </w:p>
    <w:p w14:paraId="205D8995" w14:textId="77777777" w:rsidR="00AB2ECD" w:rsidRDefault="00AB2ECD">
      <w:pPr>
        <w:spacing w:after="80"/>
      </w:pPr>
    </w:p>
    <w:p w14:paraId="3F73EF4C" w14:textId="77777777" w:rsidR="00AB2ECD" w:rsidRDefault="00D0757E">
      <w:pPr>
        <w:pStyle w:val="Heading1"/>
        <w:pBdr>
          <w:bottom w:val="single" w:sz="6" w:space="1" w:color="1A5276"/>
        </w:pBdr>
      </w:pPr>
      <w:r>
        <w:t>9. FUTURE PERSPECTIVES AND EMERGING TRENDS</w:t>
      </w:r>
    </w:p>
    <w:p w14:paraId="5DB00C1A" w14:textId="77777777" w:rsidR="00AB2ECD" w:rsidRDefault="00D0757E">
      <w:pPr>
        <w:pStyle w:val="Heading2"/>
      </w:pPr>
      <w:r>
        <w:t>9.1 Climate-Smart Ornamental Breeding</w:t>
      </w:r>
    </w:p>
    <w:p w14:paraId="45CD24F3" w14:textId="77777777" w:rsidR="00AB2ECD" w:rsidRDefault="00D0757E">
      <w:pPr>
        <w:spacing w:after="160" w:line="360" w:lineRule="auto"/>
        <w:jc w:val="both"/>
      </w:pPr>
      <w:r>
        <w:rPr>
          <w:rFonts w:cs="Times New Roman"/>
        </w:rPr>
        <w:t xml:space="preserve">Climate change represents both a threat and an opportunity for ornamental breeding. Rising temperatures, shifting precipitation patterns, and increased frequency of extreme weather events will fundamentally alter the performance of existing cultivars and the design requirements of landscapes. Climate-smart breeding programs are proactively developing heat-tolerant poinsettias for warmer </w:t>
      </w:r>
      <w:r>
        <w:rPr>
          <w:rFonts w:cs="Times New Roman"/>
        </w:rPr>
        <w:lastRenderedPageBreak/>
        <w:t>production regions, drought-adapted landscape perennials for Mediterranean climates, and flood-tolerant turfgrass varieties for regions experiencing increased rainfall variability. Expanding the crop portfolio of ornamental horticulture to include species adapted to future climates—particularly indigenous plants with demonstrated climate resilience—is an emerging strategy.</w:t>
      </w:r>
    </w:p>
    <w:p w14:paraId="6A0F6082" w14:textId="77777777" w:rsidR="00AB2ECD" w:rsidRDefault="00AB2ECD">
      <w:pPr>
        <w:spacing w:after="80"/>
      </w:pPr>
    </w:p>
    <w:p w14:paraId="6AF63A15" w14:textId="77777777" w:rsidR="00AB2ECD" w:rsidRDefault="00D0757E">
      <w:pPr>
        <w:pStyle w:val="Heading2"/>
      </w:pPr>
      <w:r>
        <w:t>9.2 Digital Phenotyping and Precision Breeding</w:t>
      </w:r>
    </w:p>
    <w:p w14:paraId="031F3630" w14:textId="77777777" w:rsidR="00AB2ECD" w:rsidRDefault="00D0757E">
      <w:pPr>
        <w:spacing w:after="160" w:line="360" w:lineRule="auto"/>
        <w:jc w:val="both"/>
      </w:pPr>
      <w:r>
        <w:rPr>
          <w:rFonts w:cs="Times New Roman"/>
        </w:rPr>
        <w:t xml:space="preserve">The bottleneck in ornamental breeding is no longer genotyping but phenotyping—accurately characterizing the enormous diversity of seedling populations for complex traits such as flower </w:t>
      </w:r>
      <w:proofErr w:type="spellStart"/>
      <w:r>
        <w:rPr>
          <w:rFonts w:cs="Times New Roman"/>
        </w:rPr>
        <w:t>color</w:t>
      </w:r>
      <w:proofErr w:type="spellEnd"/>
      <w:r>
        <w:rPr>
          <w:rFonts w:cs="Times New Roman"/>
        </w:rPr>
        <w:t xml:space="preserve">, fragrance intensity, plant architecture, and stress responses. High-throughput phenotyping platforms using RGB imaging, multispectral and hyperspectral cameras, LiDAR scanning, and machine learning-based image analysis are transforming the speed and accuracy with which breeders can characterize large populations. </w:t>
      </w:r>
      <w:proofErr w:type="spellStart"/>
      <w:r>
        <w:rPr>
          <w:rFonts w:cs="Times New Roman"/>
        </w:rPr>
        <w:t>Color</w:t>
      </w:r>
      <w:proofErr w:type="spellEnd"/>
      <w:r>
        <w:rPr>
          <w:rFonts w:cs="Times New Roman"/>
        </w:rPr>
        <w:t xml:space="preserve">-calibrated digital imaging systems coupled to colorimetric models (CIE L*a*b*, sRGB) enable objective, standardized flower </w:t>
      </w:r>
      <w:proofErr w:type="spellStart"/>
      <w:r>
        <w:rPr>
          <w:rFonts w:cs="Times New Roman"/>
        </w:rPr>
        <w:t>color</w:t>
      </w:r>
      <w:proofErr w:type="spellEnd"/>
      <w:r>
        <w:rPr>
          <w:rFonts w:cs="Times New Roman"/>
        </w:rPr>
        <w:t xml:space="preserve"> measurement replacing subjective visual assessment. Volatile capture systems combined with gas chromatography-mass spectrometry (GC-MS) and e-nose technology enable high-throughput fragrance profiling.</w:t>
      </w:r>
    </w:p>
    <w:p w14:paraId="5F6E7AF8" w14:textId="77777777" w:rsidR="00AB2ECD" w:rsidRDefault="00AB2ECD">
      <w:pPr>
        <w:spacing w:after="80"/>
      </w:pPr>
    </w:p>
    <w:p w14:paraId="2C706A64" w14:textId="77777777" w:rsidR="00AB2ECD" w:rsidRDefault="00D0757E">
      <w:pPr>
        <w:pStyle w:val="Heading2"/>
      </w:pPr>
      <w:r>
        <w:t>9.3 Consumer-Driven Breeding and Trend Forecasting</w:t>
      </w:r>
    </w:p>
    <w:p w14:paraId="6FAE5731" w14:textId="77777777" w:rsidR="00AB2ECD" w:rsidRDefault="00D0757E">
      <w:pPr>
        <w:spacing w:after="160" w:line="360" w:lineRule="auto"/>
        <w:jc w:val="both"/>
      </w:pPr>
      <w:r>
        <w:rPr>
          <w:rFonts w:cs="Times New Roman"/>
        </w:rPr>
        <w:t xml:space="preserve">The ornamental plant industry is uniquely consumer-driven, with variety adoption rates heavily influenced by design trends, social media aesthetics, and cultural preferences. The rise of social platforms such as Instagram, Pinterest, and </w:t>
      </w:r>
      <w:proofErr w:type="spellStart"/>
      <w:r>
        <w:rPr>
          <w:rFonts w:cs="Times New Roman"/>
        </w:rPr>
        <w:t>TikTok</w:t>
      </w:r>
      <w:proofErr w:type="spellEnd"/>
      <w:r>
        <w:rPr>
          <w:rFonts w:cs="Times New Roman"/>
        </w:rPr>
        <w:t xml:space="preserve"> has created new mechanisms for trend diffusion and, importantly, for identifying consumer preferences in near real-time. Sophisticated breeders and seed companies are mining social media data to identify emerging </w:t>
      </w:r>
      <w:proofErr w:type="spellStart"/>
      <w:r>
        <w:rPr>
          <w:rFonts w:cs="Times New Roman"/>
        </w:rPr>
        <w:t>color</w:t>
      </w:r>
      <w:proofErr w:type="spellEnd"/>
      <w:r>
        <w:rPr>
          <w:rFonts w:cs="Times New Roman"/>
        </w:rPr>
        <w:t xml:space="preserve"> preferences, plant form trends, and lifestyle garden concepts that can inform breeding objectives 5–10 years in advance—roughly the time required to develop and commercialize a new variety from initial crosses.</w:t>
      </w:r>
    </w:p>
    <w:p w14:paraId="0E53DCFA" w14:textId="77777777" w:rsidR="00AB2ECD" w:rsidRDefault="00AB2ECD">
      <w:pPr>
        <w:spacing w:after="80"/>
      </w:pPr>
    </w:p>
    <w:p w14:paraId="42512522" w14:textId="77777777" w:rsidR="00AB2ECD" w:rsidRDefault="00D0757E">
      <w:pPr>
        <w:pStyle w:val="Heading2"/>
      </w:pPr>
      <w:r>
        <w:t>9.4 Sustainable and Ecological Horticulture</w:t>
      </w:r>
    </w:p>
    <w:p w14:paraId="3E0A59AD" w14:textId="77777777" w:rsidR="00AB2ECD" w:rsidRDefault="00D0757E">
      <w:pPr>
        <w:spacing w:after="160" w:line="360" w:lineRule="auto"/>
        <w:jc w:val="both"/>
      </w:pPr>
      <w:r>
        <w:rPr>
          <w:rFonts w:cs="Times New Roman"/>
        </w:rPr>
        <w:t xml:space="preserve">Growing consumer and regulatory concern about the ecological footprint of ornamental production and landscaping is reshaping breeding objectives. Pollinator-friendly varieties with accessible pollen and nectar—in contrast to highly doubled cultivars where access is blocked—are increasingly </w:t>
      </w:r>
      <w:r>
        <w:rPr>
          <w:rFonts w:cs="Times New Roman"/>
        </w:rPr>
        <w:lastRenderedPageBreak/>
        <w:t xml:space="preserve">demanded by ecologically conscious gardeners and supported by certification schemes. Breeding of non-invasive or sterile landscape plants is becoming mandatory in some jurisdictions where introduced ornamentals have become invasive (e.g., </w:t>
      </w:r>
      <w:proofErr w:type="spellStart"/>
      <w:r>
        <w:rPr>
          <w:rFonts w:cs="Times New Roman"/>
        </w:rPr>
        <w:t>Buddleja</w:t>
      </w:r>
      <w:proofErr w:type="spellEnd"/>
      <w:r>
        <w:rPr>
          <w:rFonts w:cs="Times New Roman"/>
        </w:rPr>
        <w:t xml:space="preserve"> </w:t>
      </w:r>
      <w:proofErr w:type="spellStart"/>
      <w:r>
        <w:rPr>
          <w:rFonts w:cs="Times New Roman"/>
        </w:rPr>
        <w:t>davidii</w:t>
      </w:r>
      <w:proofErr w:type="spellEnd"/>
      <w:r>
        <w:rPr>
          <w:rFonts w:cs="Times New Roman"/>
        </w:rPr>
        <w:t xml:space="preserve">, </w:t>
      </w:r>
      <w:proofErr w:type="spellStart"/>
      <w:r>
        <w:rPr>
          <w:rFonts w:cs="Times New Roman"/>
        </w:rPr>
        <w:t>Fallopia</w:t>
      </w:r>
      <w:proofErr w:type="spellEnd"/>
      <w:r>
        <w:rPr>
          <w:rFonts w:cs="Times New Roman"/>
        </w:rPr>
        <w:t xml:space="preserve"> japonica, Wisteria </w:t>
      </w:r>
      <w:proofErr w:type="spellStart"/>
      <w:r>
        <w:rPr>
          <w:rFonts w:cs="Times New Roman"/>
        </w:rPr>
        <w:t>sinensis</w:t>
      </w:r>
      <w:proofErr w:type="spellEnd"/>
      <w:r>
        <w:rPr>
          <w:rFonts w:cs="Times New Roman"/>
        </w:rPr>
        <w:t>). Integrated pest management compatibility, reduced pesticide dependence, and organic production suitability are growing selection criteria.</w:t>
      </w:r>
    </w:p>
    <w:p w14:paraId="2E1F10E6" w14:textId="77777777" w:rsidR="00AB2ECD" w:rsidRDefault="00AB2ECD">
      <w:pPr>
        <w:spacing w:after="80"/>
      </w:pPr>
    </w:p>
    <w:p w14:paraId="78D8133B" w14:textId="77777777" w:rsidR="00AB2ECD" w:rsidRDefault="00D0757E">
      <w:pPr>
        <w:pStyle w:val="Heading1"/>
        <w:pBdr>
          <w:bottom w:val="single" w:sz="6" w:space="1" w:color="1A5276"/>
        </w:pBdr>
      </w:pPr>
      <w:r>
        <w:t>10. CONCLUSION</w:t>
      </w:r>
    </w:p>
    <w:p w14:paraId="1466A9CF" w14:textId="77777777" w:rsidR="00AB2ECD" w:rsidRDefault="00D0757E">
      <w:pPr>
        <w:spacing w:after="160" w:line="360" w:lineRule="auto"/>
        <w:jc w:val="both"/>
      </w:pPr>
      <w:r>
        <w:rPr>
          <w:rFonts w:cs="Times New Roman"/>
        </w:rPr>
        <w:t>Ornamental plant breeding stands at a transformative juncture, where centuries of horticultural tradition intersect with cutting-edge genomics, digital technologies, and evolving consumer values. The breadth of the ornamental sector—encompassing thousands of species across diverse end-use contexts from mass-market annual bedding plants to collectible rare orchids—ensures that breeding approaches must be as diverse as the crops themselves. Classical hybridization, selection, and mutation breeding remain essential tools, particularly for crops where genomic resources are limited and regulatory frameworks restrict biotechnological interventions.</w:t>
      </w:r>
    </w:p>
    <w:p w14:paraId="418D28EA" w14:textId="77777777" w:rsidR="00AB2ECD" w:rsidRDefault="00AB2ECD">
      <w:pPr>
        <w:spacing w:after="80"/>
      </w:pPr>
    </w:p>
    <w:p w14:paraId="5F67741E" w14:textId="77777777" w:rsidR="00AB2ECD" w:rsidRDefault="00D0757E">
      <w:pPr>
        <w:spacing w:after="160" w:line="360" w:lineRule="auto"/>
        <w:jc w:val="both"/>
      </w:pPr>
      <w:r>
        <w:rPr>
          <w:rFonts w:cs="Times New Roman"/>
        </w:rPr>
        <w:t>Molecular breeding technologies—MAS, genomic selection, and CRISPR/Cas9 genome editing—are progressively integrating into commercial ornamental breeding pipelines, accelerating the pace of variety development and enabling the precise engineering of traits that classical breeding cannot achieve. The completion of reference genome sequences for major ornamental crops is accelerating this transition and revealing the genetic architecture of complex ornamental traits. The achievement of stable, commercially competitive blue roses through precision genetic engineering would represent perhaps the ultimate demonstration of molecular breeding capability in ornamentals.</w:t>
      </w:r>
    </w:p>
    <w:p w14:paraId="1EDE9E4F" w14:textId="77777777" w:rsidR="00AB2ECD" w:rsidRDefault="00AB2ECD">
      <w:pPr>
        <w:spacing w:after="80"/>
      </w:pPr>
    </w:p>
    <w:p w14:paraId="5D6BF664" w14:textId="77777777" w:rsidR="00AB2ECD" w:rsidRDefault="00D0757E">
      <w:pPr>
        <w:spacing w:after="160" w:line="360" w:lineRule="auto"/>
        <w:jc w:val="both"/>
      </w:pPr>
      <w:r>
        <w:rPr>
          <w:rFonts w:cs="Times New Roman"/>
        </w:rPr>
        <w:t xml:space="preserve">Intellectual property frameworks continue to evolve in response to new breeding technologies, with ongoing debate about the patentability of CRISPR-derived varieties and the appropriate scope of breeders' exemptions. Climate change is reshaping breeding priorities towards resilience traits and alternative species portfolios. Digital phenotyping is democratizing access to high-resolution trait data. Consumer preferences mediated through social media are creating new channels for market intelligence. Together, these forces are driving a new era of ornamental plant breeding that is </w:t>
      </w:r>
      <w:r>
        <w:rPr>
          <w:rFonts w:cs="Times New Roman"/>
        </w:rPr>
        <w:lastRenderedPageBreak/>
        <w:t>simultaneously more scientifically sophisticated, commercially complex, and ecologically aware than at any previous time in the industry's history.</w:t>
      </w:r>
    </w:p>
    <w:p w14:paraId="11D8554A" w14:textId="77777777" w:rsidR="00AB2ECD" w:rsidRDefault="00AB2ECD">
      <w:pPr>
        <w:spacing w:after="80"/>
      </w:pPr>
    </w:p>
    <w:p w14:paraId="334CAE22" w14:textId="77777777" w:rsidR="00AB2ECD" w:rsidRDefault="00D0757E">
      <w:pPr>
        <w:spacing w:after="160" w:line="360" w:lineRule="auto"/>
        <w:jc w:val="both"/>
      </w:pPr>
      <w:r>
        <w:rPr>
          <w:rFonts w:cs="Times New Roman"/>
        </w:rPr>
        <w:t xml:space="preserve">Future reviews in this area should address the integration of </w:t>
      </w:r>
      <w:proofErr w:type="spellStart"/>
      <w:r>
        <w:rPr>
          <w:rFonts w:cs="Times New Roman"/>
        </w:rPr>
        <w:t>pangenomics</w:t>
      </w:r>
      <w:proofErr w:type="spellEnd"/>
      <w:r>
        <w:rPr>
          <w:rFonts w:cs="Times New Roman"/>
        </w:rPr>
        <w:t xml:space="preserve"> approaches in ornamental species with complex polyploid genomes, the application of synthetic biology principles to create entirely novel ornamental traits, and the development of ethical and regulatory frameworks adequate to govern the deployment of advanced genome editing technologies in commercial horticulture.</w:t>
      </w:r>
    </w:p>
    <w:p w14:paraId="01EE5586" w14:textId="77777777" w:rsidR="00C445C4" w:rsidRPr="00C445C4" w:rsidRDefault="00C445C4" w:rsidP="00C445C4">
      <w:pPr>
        <w:spacing w:after="200" w:line="276" w:lineRule="auto"/>
        <w:rPr>
          <w:rFonts w:asciiTheme="minorHAnsi" w:eastAsiaTheme="minorHAnsi" w:hAnsiTheme="minorHAnsi" w:cstheme="minorBidi"/>
          <w:kern w:val="2"/>
          <w:sz w:val="22"/>
          <w:szCs w:val="22"/>
          <w:highlight w:val="yellow"/>
          <w:lang w:val="en-US" w:eastAsia="en-US" w:bidi="ar-SA"/>
          <w14:ligatures w14:val="standardContextual"/>
        </w:rPr>
      </w:pPr>
      <w:r w:rsidRPr="00C445C4">
        <w:rPr>
          <w:rFonts w:asciiTheme="minorHAnsi" w:eastAsiaTheme="minorHAnsi" w:hAnsiTheme="minorHAnsi" w:cstheme="minorBidi"/>
          <w:kern w:val="2"/>
          <w:sz w:val="22"/>
          <w:szCs w:val="22"/>
          <w:highlight w:val="yellow"/>
          <w:lang w:val="en-US" w:eastAsia="en-US" w:bidi="ar-SA"/>
          <w14:ligatures w14:val="standardContextual"/>
        </w:rPr>
        <w:t>Disclaimer (Artificial intelligence)</w:t>
      </w:r>
    </w:p>
    <w:p w14:paraId="2F53A9FB" w14:textId="77777777" w:rsidR="00C445C4" w:rsidRPr="00C445C4" w:rsidRDefault="00C445C4" w:rsidP="00C445C4">
      <w:pPr>
        <w:spacing w:after="200" w:line="276" w:lineRule="auto"/>
        <w:rPr>
          <w:rFonts w:asciiTheme="minorHAnsi" w:eastAsiaTheme="minorHAnsi" w:hAnsiTheme="minorHAnsi" w:cstheme="minorBidi"/>
          <w:kern w:val="2"/>
          <w:sz w:val="22"/>
          <w:szCs w:val="22"/>
          <w:highlight w:val="yellow"/>
          <w:lang w:val="en-US" w:eastAsia="en-US" w:bidi="ar-SA"/>
          <w14:ligatures w14:val="standardContextual"/>
        </w:rPr>
      </w:pPr>
      <w:r w:rsidRPr="00C445C4">
        <w:rPr>
          <w:rFonts w:asciiTheme="minorHAnsi" w:eastAsiaTheme="minorHAnsi" w:hAnsiTheme="minorHAnsi" w:cstheme="minorBidi"/>
          <w:kern w:val="2"/>
          <w:sz w:val="22"/>
          <w:szCs w:val="22"/>
          <w:highlight w:val="yellow"/>
          <w:lang w:val="en-US" w:eastAsia="en-US" w:bidi="ar-SA"/>
          <w14:ligatures w14:val="standardContextual"/>
        </w:rPr>
        <w:t>Author(s) hereby declare that NO generative AI technologies such as Large Language Models (</w:t>
      </w:r>
      <w:proofErr w:type="spellStart"/>
      <w:r w:rsidRPr="00C445C4">
        <w:rPr>
          <w:rFonts w:asciiTheme="minorHAnsi" w:eastAsiaTheme="minorHAnsi" w:hAnsiTheme="minorHAnsi" w:cstheme="minorBidi"/>
          <w:kern w:val="2"/>
          <w:sz w:val="22"/>
          <w:szCs w:val="22"/>
          <w:highlight w:val="yellow"/>
          <w:lang w:val="en-US" w:eastAsia="en-US" w:bidi="ar-SA"/>
          <w14:ligatures w14:val="standardContextual"/>
        </w:rPr>
        <w:t>ChatGPT</w:t>
      </w:r>
      <w:proofErr w:type="spellEnd"/>
      <w:r w:rsidRPr="00C445C4">
        <w:rPr>
          <w:rFonts w:asciiTheme="minorHAnsi" w:eastAsiaTheme="minorHAnsi" w:hAnsiTheme="minorHAnsi" w:cstheme="minorBidi"/>
          <w:kern w:val="2"/>
          <w:sz w:val="22"/>
          <w:szCs w:val="22"/>
          <w:highlight w:val="yellow"/>
          <w:lang w:val="en-US" w:eastAsia="en-US" w:bidi="ar-SA"/>
          <w14:ligatures w14:val="standardContextual"/>
        </w:rPr>
        <w:t xml:space="preserve">, COPILOT, etc.) and text-to-image generators have been used during the writing or editing of this manuscript. </w:t>
      </w:r>
    </w:p>
    <w:p w14:paraId="37ACD3C9" w14:textId="77777777" w:rsidR="00C445C4" w:rsidRPr="00C445C4" w:rsidRDefault="00C445C4" w:rsidP="00C445C4">
      <w:pPr>
        <w:spacing w:after="200" w:line="276" w:lineRule="auto"/>
        <w:rPr>
          <w:rFonts w:asciiTheme="minorHAnsi" w:eastAsiaTheme="minorHAnsi" w:hAnsiTheme="minorHAnsi" w:cstheme="minorBidi"/>
          <w:kern w:val="2"/>
          <w:sz w:val="22"/>
          <w:szCs w:val="22"/>
          <w:lang w:val="en-US" w:eastAsia="en-US" w:bidi="ar-SA"/>
          <w14:ligatures w14:val="standardContextual"/>
        </w:rPr>
      </w:pPr>
    </w:p>
    <w:p w14:paraId="1FC11550" w14:textId="77777777" w:rsidR="00AB2ECD" w:rsidRDefault="00AB2ECD">
      <w:pPr>
        <w:spacing w:after="80"/>
      </w:pPr>
    </w:p>
    <w:p w14:paraId="4D5B5210" w14:textId="77777777" w:rsidR="00AB2ECD" w:rsidRDefault="00D0757E">
      <w:pPr>
        <w:pStyle w:val="Heading1"/>
        <w:pBdr>
          <w:bottom w:val="single" w:sz="6" w:space="1" w:color="1A5276"/>
        </w:pBdr>
      </w:pPr>
      <w:r>
        <w:t>REFERENCES</w:t>
      </w:r>
    </w:p>
    <w:p w14:paraId="43680BE6" w14:textId="77777777" w:rsidR="00AB2ECD" w:rsidRDefault="00D0757E" w:rsidP="001802FF">
      <w:pPr>
        <w:pStyle w:val="ListParagraph"/>
        <w:numPr>
          <w:ilvl w:val="0"/>
          <w:numId w:val="2"/>
        </w:numPr>
        <w:spacing w:after="100"/>
        <w:jc w:val="both"/>
      </w:pPr>
      <w:proofErr w:type="spellStart"/>
      <w:r w:rsidRPr="001802FF">
        <w:rPr>
          <w:sz w:val="22"/>
          <w:szCs w:val="22"/>
        </w:rPr>
        <w:t>Baudry</w:t>
      </w:r>
      <w:proofErr w:type="spellEnd"/>
      <w:r w:rsidRPr="001802FF">
        <w:rPr>
          <w:sz w:val="22"/>
          <w:szCs w:val="22"/>
        </w:rPr>
        <w:t xml:space="preserve">, A. and </w:t>
      </w:r>
      <w:proofErr w:type="spellStart"/>
      <w:r w:rsidRPr="001802FF">
        <w:rPr>
          <w:sz w:val="22"/>
          <w:szCs w:val="22"/>
        </w:rPr>
        <w:t>Lepiniec</w:t>
      </w:r>
      <w:proofErr w:type="spellEnd"/>
      <w:r w:rsidRPr="001802FF">
        <w:rPr>
          <w:sz w:val="22"/>
          <w:szCs w:val="22"/>
        </w:rPr>
        <w:t>, L. (2011). Regulation of flavonoid biosynthesis by functional MYB/</w:t>
      </w:r>
      <w:proofErr w:type="spellStart"/>
      <w:r w:rsidRPr="001802FF">
        <w:rPr>
          <w:sz w:val="22"/>
          <w:szCs w:val="22"/>
        </w:rPr>
        <w:t>bHLH</w:t>
      </w:r>
      <w:proofErr w:type="spellEnd"/>
      <w:r w:rsidRPr="001802FF">
        <w:rPr>
          <w:sz w:val="22"/>
          <w:szCs w:val="22"/>
        </w:rPr>
        <w:t xml:space="preserve">/WDR complexes. </w:t>
      </w:r>
      <w:proofErr w:type="spellStart"/>
      <w:r w:rsidRPr="001802FF">
        <w:rPr>
          <w:sz w:val="22"/>
          <w:szCs w:val="22"/>
        </w:rPr>
        <w:t>Signaling</w:t>
      </w:r>
      <w:proofErr w:type="spellEnd"/>
      <w:r w:rsidRPr="001802FF">
        <w:rPr>
          <w:sz w:val="22"/>
          <w:szCs w:val="22"/>
        </w:rPr>
        <w:t xml:space="preserve"> &amp; Communication in Plants, 8, 137–156.</w:t>
      </w:r>
    </w:p>
    <w:p w14:paraId="43680BE7" w14:textId="77777777" w:rsidR="00AB2ECD" w:rsidRDefault="00D0757E" w:rsidP="001802FF">
      <w:pPr>
        <w:pStyle w:val="ListParagraph"/>
        <w:numPr>
          <w:ilvl w:val="0"/>
          <w:numId w:val="2"/>
        </w:numPr>
        <w:spacing w:after="100"/>
        <w:jc w:val="both"/>
      </w:pPr>
      <w:proofErr w:type="spellStart"/>
      <w:r w:rsidRPr="001802FF">
        <w:rPr>
          <w:sz w:val="22"/>
          <w:szCs w:val="22"/>
        </w:rPr>
        <w:t>Blechert</w:t>
      </w:r>
      <w:proofErr w:type="spellEnd"/>
      <w:r w:rsidRPr="001802FF">
        <w:rPr>
          <w:sz w:val="22"/>
          <w:szCs w:val="22"/>
        </w:rPr>
        <w:t xml:space="preserve">, O. and </w:t>
      </w:r>
      <w:proofErr w:type="spellStart"/>
      <w:r w:rsidRPr="001802FF">
        <w:rPr>
          <w:sz w:val="22"/>
          <w:szCs w:val="22"/>
        </w:rPr>
        <w:t>Debener</w:t>
      </w:r>
      <w:proofErr w:type="spellEnd"/>
      <w:r w:rsidRPr="001802FF">
        <w:rPr>
          <w:sz w:val="22"/>
          <w:szCs w:val="22"/>
        </w:rPr>
        <w:t xml:space="preserve">, T. (2005). Morphological characterization of the interaction between </w:t>
      </w:r>
      <w:proofErr w:type="spellStart"/>
      <w:r w:rsidRPr="001802FF">
        <w:rPr>
          <w:sz w:val="22"/>
          <w:szCs w:val="22"/>
        </w:rPr>
        <w:t>Diplocarpon</w:t>
      </w:r>
      <w:proofErr w:type="spellEnd"/>
      <w:r w:rsidRPr="001802FF">
        <w:rPr>
          <w:sz w:val="22"/>
          <w:szCs w:val="22"/>
        </w:rPr>
        <w:t xml:space="preserve"> </w:t>
      </w:r>
      <w:proofErr w:type="spellStart"/>
      <w:r w:rsidRPr="001802FF">
        <w:rPr>
          <w:sz w:val="22"/>
          <w:szCs w:val="22"/>
        </w:rPr>
        <w:t>rosae</w:t>
      </w:r>
      <w:proofErr w:type="spellEnd"/>
      <w:r w:rsidRPr="001802FF">
        <w:rPr>
          <w:sz w:val="22"/>
          <w:szCs w:val="22"/>
        </w:rPr>
        <w:t xml:space="preserve"> and various rose species. Annals of Applied Biology, 146(1), 67–76.</w:t>
      </w:r>
    </w:p>
    <w:p w14:paraId="43680BE8" w14:textId="77777777" w:rsidR="00AB2ECD" w:rsidRDefault="00D0757E" w:rsidP="001802FF">
      <w:pPr>
        <w:pStyle w:val="ListParagraph"/>
        <w:numPr>
          <w:ilvl w:val="0"/>
          <w:numId w:val="2"/>
        </w:numPr>
        <w:spacing w:after="100"/>
        <w:jc w:val="both"/>
      </w:pPr>
      <w:proofErr w:type="spellStart"/>
      <w:r w:rsidRPr="001802FF">
        <w:rPr>
          <w:sz w:val="22"/>
          <w:szCs w:val="22"/>
        </w:rPr>
        <w:t>Bovy</w:t>
      </w:r>
      <w:proofErr w:type="spellEnd"/>
      <w:r w:rsidRPr="001802FF">
        <w:rPr>
          <w:sz w:val="22"/>
          <w:szCs w:val="22"/>
        </w:rPr>
        <w:t xml:space="preserve">, A.G., </w:t>
      </w:r>
      <w:proofErr w:type="spellStart"/>
      <w:r w:rsidRPr="001802FF">
        <w:rPr>
          <w:sz w:val="22"/>
          <w:szCs w:val="22"/>
        </w:rPr>
        <w:t>Angenent</w:t>
      </w:r>
      <w:proofErr w:type="spellEnd"/>
      <w:r w:rsidRPr="001802FF">
        <w:rPr>
          <w:sz w:val="22"/>
          <w:szCs w:val="22"/>
        </w:rPr>
        <w:t xml:space="preserve">, G.C., Dons, H.J.M. and van </w:t>
      </w:r>
      <w:proofErr w:type="spellStart"/>
      <w:r w:rsidRPr="001802FF">
        <w:rPr>
          <w:sz w:val="22"/>
          <w:szCs w:val="22"/>
        </w:rPr>
        <w:t>Altvorst</w:t>
      </w:r>
      <w:proofErr w:type="spellEnd"/>
      <w:r w:rsidRPr="001802FF">
        <w:rPr>
          <w:sz w:val="22"/>
          <w:szCs w:val="22"/>
        </w:rPr>
        <w:t>, A.C. (1999). Heterologous expression of the Arabidopsis etr1-1 allele inhibits the senescence of carnation flowers. Molecular Breeding, 5(4), 301–308.</w:t>
      </w:r>
    </w:p>
    <w:p w14:paraId="43680BE9" w14:textId="77777777" w:rsidR="00AB2ECD" w:rsidRDefault="00D0757E" w:rsidP="001802FF">
      <w:pPr>
        <w:pStyle w:val="ListParagraph"/>
        <w:numPr>
          <w:ilvl w:val="0"/>
          <w:numId w:val="2"/>
        </w:numPr>
        <w:spacing w:after="100"/>
        <w:jc w:val="both"/>
      </w:pPr>
      <w:r w:rsidRPr="001802FF">
        <w:rPr>
          <w:sz w:val="22"/>
          <w:szCs w:val="22"/>
        </w:rPr>
        <w:t xml:space="preserve">Chandler, S.F. and </w:t>
      </w:r>
      <w:proofErr w:type="spellStart"/>
      <w:r w:rsidRPr="001802FF">
        <w:rPr>
          <w:sz w:val="22"/>
          <w:szCs w:val="22"/>
        </w:rPr>
        <w:t>Brugliera</w:t>
      </w:r>
      <w:proofErr w:type="spellEnd"/>
      <w:r w:rsidRPr="001802FF">
        <w:rPr>
          <w:sz w:val="22"/>
          <w:szCs w:val="22"/>
        </w:rPr>
        <w:t>, F. (2011). Genetic modification in floriculture. Biotechnology Letters, 33(2), 207–214. https://doi.org/10.1007/s10529-010-0424-4</w:t>
      </w:r>
    </w:p>
    <w:p w14:paraId="43680BEA" w14:textId="77777777" w:rsidR="00AB2ECD" w:rsidRDefault="00D0757E" w:rsidP="001802FF">
      <w:pPr>
        <w:pStyle w:val="ListParagraph"/>
        <w:numPr>
          <w:ilvl w:val="0"/>
          <w:numId w:val="2"/>
        </w:numPr>
        <w:spacing w:after="100"/>
        <w:jc w:val="both"/>
      </w:pPr>
      <w:r w:rsidRPr="001802FF">
        <w:rPr>
          <w:sz w:val="22"/>
          <w:szCs w:val="22"/>
        </w:rPr>
        <w:t xml:space="preserve">Clark, D.G., </w:t>
      </w:r>
      <w:proofErr w:type="spellStart"/>
      <w:r w:rsidRPr="001802FF">
        <w:rPr>
          <w:sz w:val="22"/>
          <w:szCs w:val="22"/>
        </w:rPr>
        <w:t>Dervinis</w:t>
      </w:r>
      <w:proofErr w:type="spellEnd"/>
      <w:r w:rsidRPr="001802FF">
        <w:rPr>
          <w:sz w:val="22"/>
          <w:szCs w:val="22"/>
        </w:rPr>
        <w:t>, C., Barrett, J.E., Nell, T.A. and Klee, H.J. (2004). Drought-induced leaf senescence and horticultural performance of transgenic P-SAG12-IPT petunias. Journal of the American Society for Horticultural Science, 129(1), 93–99.</w:t>
      </w:r>
    </w:p>
    <w:p w14:paraId="43680BEB" w14:textId="77777777" w:rsidR="00AB2ECD" w:rsidRDefault="00D0757E" w:rsidP="001802FF">
      <w:pPr>
        <w:pStyle w:val="ListParagraph"/>
        <w:numPr>
          <w:ilvl w:val="0"/>
          <w:numId w:val="2"/>
        </w:numPr>
        <w:spacing w:after="100"/>
        <w:jc w:val="both"/>
      </w:pPr>
      <w:r w:rsidRPr="001802FF">
        <w:rPr>
          <w:sz w:val="22"/>
          <w:szCs w:val="22"/>
        </w:rPr>
        <w:t>Cognitive Market Research (2024). Ornamental Plants Market Size, Share and Trends Analysis Report, 2024–2031. Cognitive Market Research, India.</w:t>
      </w:r>
    </w:p>
    <w:p w14:paraId="43680BEC" w14:textId="77777777" w:rsidR="00AB2ECD" w:rsidRDefault="00D0757E" w:rsidP="001802FF">
      <w:pPr>
        <w:pStyle w:val="ListParagraph"/>
        <w:numPr>
          <w:ilvl w:val="0"/>
          <w:numId w:val="2"/>
        </w:numPr>
        <w:spacing w:after="100"/>
        <w:jc w:val="both"/>
      </w:pPr>
      <w:proofErr w:type="spellStart"/>
      <w:r w:rsidRPr="001802FF">
        <w:rPr>
          <w:sz w:val="22"/>
          <w:szCs w:val="22"/>
        </w:rPr>
        <w:t>Debener</w:t>
      </w:r>
      <w:proofErr w:type="spellEnd"/>
      <w:r w:rsidRPr="001802FF">
        <w:rPr>
          <w:sz w:val="22"/>
          <w:szCs w:val="22"/>
        </w:rPr>
        <w:t>, T. and Linde, M. (2009). Exploring complex ornamental genomes: the rose as a model plant. Critical Reviews in Plant Sciences, 28(4), 267–280.</w:t>
      </w:r>
    </w:p>
    <w:p w14:paraId="43680BED" w14:textId="77777777" w:rsidR="00AB2ECD" w:rsidRDefault="00D0757E" w:rsidP="001802FF">
      <w:pPr>
        <w:pStyle w:val="ListParagraph"/>
        <w:numPr>
          <w:ilvl w:val="0"/>
          <w:numId w:val="2"/>
        </w:numPr>
        <w:spacing w:after="100"/>
        <w:jc w:val="both"/>
      </w:pPr>
      <w:proofErr w:type="spellStart"/>
      <w:r w:rsidRPr="001802FF">
        <w:rPr>
          <w:sz w:val="22"/>
          <w:szCs w:val="22"/>
        </w:rPr>
        <w:t>Domagalska</w:t>
      </w:r>
      <w:proofErr w:type="spellEnd"/>
      <w:r w:rsidRPr="001802FF">
        <w:rPr>
          <w:sz w:val="22"/>
          <w:szCs w:val="22"/>
        </w:rPr>
        <w:t xml:space="preserve">, M.A. and </w:t>
      </w:r>
      <w:proofErr w:type="spellStart"/>
      <w:r w:rsidRPr="001802FF">
        <w:rPr>
          <w:sz w:val="22"/>
          <w:szCs w:val="22"/>
        </w:rPr>
        <w:t>Leyser</w:t>
      </w:r>
      <w:proofErr w:type="spellEnd"/>
      <w:r w:rsidRPr="001802FF">
        <w:rPr>
          <w:sz w:val="22"/>
          <w:szCs w:val="22"/>
        </w:rPr>
        <w:t>, O. (2011). Signal integration in the control of shoot branching. Nature Reviews Molecular Cell Biology, 12(4), 211–221.</w:t>
      </w:r>
    </w:p>
    <w:p w14:paraId="43680BEE" w14:textId="77777777" w:rsidR="00AB2ECD" w:rsidRDefault="00D0757E" w:rsidP="001802FF">
      <w:pPr>
        <w:pStyle w:val="ListParagraph"/>
        <w:numPr>
          <w:ilvl w:val="0"/>
          <w:numId w:val="2"/>
        </w:numPr>
        <w:spacing w:after="100"/>
        <w:jc w:val="both"/>
      </w:pPr>
      <w:proofErr w:type="spellStart"/>
      <w:r w:rsidRPr="001802FF">
        <w:rPr>
          <w:sz w:val="22"/>
          <w:szCs w:val="22"/>
        </w:rPr>
        <w:t>Dudareva</w:t>
      </w:r>
      <w:proofErr w:type="spellEnd"/>
      <w:r w:rsidRPr="001802FF">
        <w:rPr>
          <w:sz w:val="22"/>
          <w:szCs w:val="22"/>
        </w:rPr>
        <w:t xml:space="preserve">, N., </w:t>
      </w:r>
      <w:proofErr w:type="spellStart"/>
      <w:r w:rsidRPr="001802FF">
        <w:rPr>
          <w:sz w:val="22"/>
          <w:szCs w:val="22"/>
        </w:rPr>
        <w:t>Negre</w:t>
      </w:r>
      <w:proofErr w:type="spellEnd"/>
      <w:r w:rsidRPr="001802FF">
        <w:rPr>
          <w:sz w:val="22"/>
          <w:szCs w:val="22"/>
        </w:rPr>
        <w:t xml:space="preserve">, F., </w:t>
      </w:r>
      <w:proofErr w:type="spellStart"/>
      <w:r w:rsidRPr="001802FF">
        <w:rPr>
          <w:sz w:val="22"/>
          <w:szCs w:val="22"/>
        </w:rPr>
        <w:t>Nagegowda</w:t>
      </w:r>
      <w:proofErr w:type="spellEnd"/>
      <w:r w:rsidRPr="001802FF">
        <w:rPr>
          <w:sz w:val="22"/>
          <w:szCs w:val="22"/>
        </w:rPr>
        <w:t xml:space="preserve">, D.A. and </w:t>
      </w:r>
      <w:proofErr w:type="spellStart"/>
      <w:r w:rsidRPr="001802FF">
        <w:rPr>
          <w:sz w:val="22"/>
          <w:szCs w:val="22"/>
        </w:rPr>
        <w:t>Orlova</w:t>
      </w:r>
      <w:proofErr w:type="spellEnd"/>
      <w:r w:rsidRPr="001802FF">
        <w:rPr>
          <w:sz w:val="22"/>
          <w:szCs w:val="22"/>
        </w:rPr>
        <w:t>, I. (2006). Plant volatiles: recent advances and future perspectives. Critical Reviews in Plant Sciences, 25(5), 417–440.</w:t>
      </w:r>
    </w:p>
    <w:p w14:paraId="43680BEF" w14:textId="77777777" w:rsidR="00AB2ECD" w:rsidRDefault="00D0757E" w:rsidP="001802FF">
      <w:pPr>
        <w:pStyle w:val="ListParagraph"/>
        <w:numPr>
          <w:ilvl w:val="0"/>
          <w:numId w:val="2"/>
        </w:numPr>
        <w:spacing w:after="100"/>
        <w:jc w:val="both"/>
      </w:pPr>
      <w:r w:rsidRPr="001802FF">
        <w:rPr>
          <w:sz w:val="22"/>
          <w:szCs w:val="22"/>
        </w:rPr>
        <w:t>FAO (2022). World Food and Agriculture Statistical Yearbook 2022. FAO, Rome. https://doi.org/10.4060/cc2211en</w:t>
      </w:r>
    </w:p>
    <w:p w14:paraId="43680BF0" w14:textId="77777777" w:rsidR="00AB2ECD" w:rsidRDefault="00D0757E" w:rsidP="001802FF">
      <w:pPr>
        <w:pStyle w:val="ListParagraph"/>
        <w:numPr>
          <w:ilvl w:val="0"/>
          <w:numId w:val="2"/>
        </w:numPr>
        <w:spacing w:after="100"/>
        <w:jc w:val="both"/>
      </w:pPr>
      <w:proofErr w:type="spellStart"/>
      <w:r w:rsidRPr="001802FF">
        <w:rPr>
          <w:sz w:val="22"/>
          <w:szCs w:val="22"/>
        </w:rPr>
        <w:lastRenderedPageBreak/>
        <w:t>Griesbach</w:t>
      </w:r>
      <w:proofErr w:type="spellEnd"/>
      <w:r w:rsidRPr="001802FF">
        <w:rPr>
          <w:sz w:val="22"/>
          <w:szCs w:val="22"/>
        </w:rPr>
        <w:t xml:space="preserve">, R.J. (2005). Biochemistry and genetics of flower </w:t>
      </w:r>
      <w:proofErr w:type="spellStart"/>
      <w:r w:rsidRPr="001802FF">
        <w:rPr>
          <w:sz w:val="22"/>
          <w:szCs w:val="22"/>
        </w:rPr>
        <w:t>color</w:t>
      </w:r>
      <w:proofErr w:type="spellEnd"/>
      <w:r w:rsidRPr="001802FF">
        <w:rPr>
          <w:sz w:val="22"/>
          <w:szCs w:val="22"/>
        </w:rPr>
        <w:t>. Plant Breeding Reviews, 25, 89–114.</w:t>
      </w:r>
    </w:p>
    <w:p w14:paraId="43680BF1" w14:textId="77777777" w:rsidR="00AB2ECD" w:rsidRDefault="00D0757E" w:rsidP="001802FF">
      <w:pPr>
        <w:pStyle w:val="ListParagraph"/>
        <w:numPr>
          <w:ilvl w:val="0"/>
          <w:numId w:val="2"/>
        </w:numPr>
        <w:spacing w:after="100"/>
        <w:jc w:val="both"/>
      </w:pPr>
      <w:r w:rsidRPr="001802FF">
        <w:rPr>
          <w:sz w:val="22"/>
          <w:szCs w:val="22"/>
        </w:rPr>
        <w:t xml:space="preserve">Hartmann, H.T., Kester, D.E., Davies, F.T. and </w:t>
      </w:r>
      <w:proofErr w:type="spellStart"/>
      <w:r w:rsidRPr="001802FF">
        <w:rPr>
          <w:sz w:val="22"/>
          <w:szCs w:val="22"/>
        </w:rPr>
        <w:t>Geneve</w:t>
      </w:r>
      <w:proofErr w:type="spellEnd"/>
      <w:r w:rsidRPr="001802FF">
        <w:rPr>
          <w:sz w:val="22"/>
          <w:szCs w:val="22"/>
        </w:rPr>
        <w:t>, R.L. (2018). Hartmann and Kester’s Plant Propagation: Principles and Practices (9th ed.). Pearson Education, New York.</w:t>
      </w:r>
    </w:p>
    <w:p w14:paraId="43680BF2" w14:textId="77777777" w:rsidR="00AB2ECD" w:rsidRDefault="00D0757E" w:rsidP="001802FF">
      <w:pPr>
        <w:pStyle w:val="ListParagraph"/>
        <w:numPr>
          <w:ilvl w:val="0"/>
          <w:numId w:val="2"/>
        </w:numPr>
        <w:spacing w:after="100"/>
        <w:jc w:val="both"/>
      </w:pPr>
      <w:proofErr w:type="spellStart"/>
      <w:r w:rsidRPr="001802FF">
        <w:rPr>
          <w:sz w:val="22"/>
          <w:szCs w:val="22"/>
        </w:rPr>
        <w:t>Hibrand</w:t>
      </w:r>
      <w:proofErr w:type="spellEnd"/>
      <w:r w:rsidRPr="001802FF">
        <w:rPr>
          <w:sz w:val="22"/>
          <w:szCs w:val="22"/>
        </w:rPr>
        <w:t xml:space="preserve"> Saint-</w:t>
      </w:r>
      <w:proofErr w:type="spellStart"/>
      <w:r w:rsidRPr="001802FF">
        <w:rPr>
          <w:sz w:val="22"/>
          <w:szCs w:val="22"/>
        </w:rPr>
        <w:t>Oyant</w:t>
      </w:r>
      <w:proofErr w:type="spellEnd"/>
      <w:r w:rsidRPr="001802FF">
        <w:rPr>
          <w:sz w:val="22"/>
          <w:szCs w:val="22"/>
        </w:rPr>
        <w:t xml:space="preserve">, L., </w:t>
      </w:r>
      <w:proofErr w:type="spellStart"/>
      <w:r w:rsidRPr="001802FF">
        <w:rPr>
          <w:sz w:val="22"/>
          <w:szCs w:val="22"/>
        </w:rPr>
        <w:t>Ruttink</w:t>
      </w:r>
      <w:proofErr w:type="spellEnd"/>
      <w:r w:rsidRPr="001802FF">
        <w:rPr>
          <w:sz w:val="22"/>
          <w:szCs w:val="22"/>
        </w:rPr>
        <w:t xml:space="preserve">, T., </w:t>
      </w:r>
      <w:proofErr w:type="spellStart"/>
      <w:r w:rsidRPr="001802FF">
        <w:rPr>
          <w:sz w:val="22"/>
          <w:szCs w:val="22"/>
        </w:rPr>
        <w:t>Hamama</w:t>
      </w:r>
      <w:proofErr w:type="spellEnd"/>
      <w:r w:rsidRPr="001802FF">
        <w:rPr>
          <w:sz w:val="22"/>
          <w:szCs w:val="22"/>
        </w:rPr>
        <w:t xml:space="preserve">, L., Kirov, I., </w:t>
      </w:r>
      <w:proofErr w:type="spellStart"/>
      <w:r w:rsidRPr="001802FF">
        <w:rPr>
          <w:sz w:val="22"/>
          <w:szCs w:val="22"/>
        </w:rPr>
        <w:t>Lakhwani</w:t>
      </w:r>
      <w:proofErr w:type="spellEnd"/>
      <w:r w:rsidRPr="001802FF">
        <w:rPr>
          <w:sz w:val="22"/>
          <w:szCs w:val="22"/>
        </w:rPr>
        <w:t xml:space="preserve">, D., Zhou, N.N., Bourke, P.M., </w:t>
      </w:r>
      <w:proofErr w:type="spellStart"/>
      <w:r w:rsidRPr="001802FF">
        <w:rPr>
          <w:sz w:val="22"/>
          <w:szCs w:val="22"/>
        </w:rPr>
        <w:t>Billiot</w:t>
      </w:r>
      <w:proofErr w:type="spellEnd"/>
      <w:r w:rsidRPr="001802FF">
        <w:rPr>
          <w:sz w:val="22"/>
          <w:szCs w:val="22"/>
        </w:rPr>
        <w:t xml:space="preserve">, B., </w:t>
      </w:r>
      <w:proofErr w:type="spellStart"/>
      <w:r w:rsidRPr="001802FF">
        <w:rPr>
          <w:sz w:val="22"/>
          <w:szCs w:val="22"/>
        </w:rPr>
        <w:t>Crespel</w:t>
      </w:r>
      <w:proofErr w:type="spellEnd"/>
      <w:r w:rsidRPr="001802FF">
        <w:rPr>
          <w:sz w:val="22"/>
          <w:szCs w:val="22"/>
        </w:rPr>
        <w:t xml:space="preserve">, L., Schulz, D., Brendel, O., </w:t>
      </w:r>
      <w:proofErr w:type="spellStart"/>
      <w:r w:rsidRPr="001802FF">
        <w:rPr>
          <w:sz w:val="22"/>
          <w:szCs w:val="22"/>
        </w:rPr>
        <w:t>Debener</w:t>
      </w:r>
      <w:proofErr w:type="spellEnd"/>
      <w:r w:rsidRPr="001802FF">
        <w:rPr>
          <w:sz w:val="22"/>
          <w:szCs w:val="22"/>
        </w:rPr>
        <w:t xml:space="preserve">, T., </w:t>
      </w:r>
      <w:proofErr w:type="spellStart"/>
      <w:r w:rsidRPr="001802FF">
        <w:rPr>
          <w:sz w:val="22"/>
          <w:szCs w:val="22"/>
        </w:rPr>
        <w:t>Doligez</w:t>
      </w:r>
      <w:proofErr w:type="spellEnd"/>
      <w:r w:rsidRPr="001802FF">
        <w:rPr>
          <w:sz w:val="22"/>
          <w:szCs w:val="22"/>
        </w:rPr>
        <w:t xml:space="preserve">, A., </w:t>
      </w:r>
      <w:proofErr w:type="spellStart"/>
      <w:r w:rsidRPr="001802FF">
        <w:rPr>
          <w:sz w:val="22"/>
          <w:szCs w:val="22"/>
        </w:rPr>
        <w:t>Durel</w:t>
      </w:r>
      <w:proofErr w:type="spellEnd"/>
      <w:r w:rsidRPr="001802FF">
        <w:rPr>
          <w:sz w:val="22"/>
          <w:szCs w:val="22"/>
        </w:rPr>
        <w:t xml:space="preserve">, C.E., </w:t>
      </w:r>
      <w:proofErr w:type="spellStart"/>
      <w:r w:rsidRPr="001802FF">
        <w:rPr>
          <w:sz w:val="22"/>
          <w:szCs w:val="22"/>
        </w:rPr>
        <w:t>Foucher</w:t>
      </w:r>
      <w:proofErr w:type="spellEnd"/>
      <w:r w:rsidRPr="001802FF">
        <w:rPr>
          <w:sz w:val="22"/>
          <w:szCs w:val="22"/>
        </w:rPr>
        <w:t xml:space="preserve">, F., </w:t>
      </w:r>
      <w:proofErr w:type="spellStart"/>
      <w:r w:rsidRPr="001802FF">
        <w:rPr>
          <w:sz w:val="22"/>
          <w:szCs w:val="22"/>
        </w:rPr>
        <w:t>Leus</w:t>
      </w:r>
      <w:proofErr w:type="spellEnd"/>
      <w:r w:rsidRPr="001802FF">
        <w:rPr>
          <w:sz w:val="22"/>
          <w:szCs w:val="22"/>
        </w:rPr>
        <w:t>, L., Ugarte-</w:t>
      </w:r>
      <w:proofErr w:type="spellStart"/>
      <w:r w:rsidRPr="001802FF">
        <w:rPr>
          <w:sz w:val="22"/>
          <w:szCs w:val="22"/>
        </w:rPr>
        <w:t>Ballon</w:t>
      </w:r>
      <w:proofErr w:type="spellEnd"/>
      <w:r w:rsidRPr="001802FF">
        <w:rPr>
          <w:sz w:val="22"/>
          <w:szCs w:val="22"/>
        </w:rPr>
        <w:t xml:space="preserve">, C., </w:t>
      </w:r>
      <w:proofErr w:type="spellStart"/>
      <w:r w:rsidRPr="001802FF">
        <w:rPr>
          <w:sz w:val="22"/>
          <w:szCs w:val="22"/>
        </w:rPr>
        <w:t>Vanhoof</w:t>
      </w:r>
      <w:proofErr w:type="spellEnd"/>
      <w:r w:rsidRPr="001802FF">
        <w:rPr>
          <w:sz w:val="22"/>
          <w:szCs w:val="22"/>
        </w:rPr>
        <w:t xml:space="preserve">, N., </w:t>
      </w:r>
      <w:proofErr w:type="spellStart"/>
      <w:r w:rsidRPr="001802FF">
        <w:rPr>
          <w:sz w:val="22"/>
          <w:szCs w:val="22"/>
        </w:rPr>
        <w:t>Verdonk</w:t>
      </w:r>
      <w:proofErr w:type="spellEnd"/>
      <w:r w:rsidRPr="001802FF">
        <w:rPr>
          <w:sz w:val="22"/>
          <w:szCs w:val="22"/>
        </w:rPr>
        <w:t xml:space="preserve">, J.C. and </w:t>
      </w:r>
      <w:proofErr w:type="spellStart"/>
      <w:r w:rsidRPr="001802FF">
        <w:rPr>
          <w:sz w:val="22"/>
          <w:szCs w:val="22"/>
        </w:rPr>
        <w:t>Bendahmane</w:t>
      </w:r>
      <w:proofErr w:type="spellEnd"/>
      <w:r w:rsidRPr="001802FF">
        <w:rPr>
          <w:sz w:val="22"/>
          <w:szCs w:val="22"/>
        </w:rPr>
        <w:t xml:space="preserve">, M. (2018). A high-quality genome sequence of Rosa </w:t>
      </w:r>
      <w:proofErr w:type="spellStart"/>
      <w:r w:rsidRPr="001802FF">
        <w:rPr>
          <w:sz w:val="22"/>
          <w:szCs w:val="22"/>
        </w:rPr>
        <w:t>chinensis</w:t>
      </w:r>
      <w:proofErr w:type="spellEnd"/>
      <w:r w:rsidRPr="001802FF">
        <w:rPr>
          <w:sz w:val="22"/>
          <w:szCs w:val="22"/>
        </w:rPr>
        <w:t xml:space="preserve"> to elucidate ornamental traits. Nature Plants, 4(7), 473–484.</w:t>
      </w:r>
    </w:p>
    <w:p w14:paraId="43680BF3" w14:textId="77777777" w:rsidR="00AB2ECD" w:rsidRDefault="00D0757E" w:rsidP="001802FF">
      <w:pPr>
        <w:pStyle w:val="ListParagraph"/>
        <w:numPr>
          <w:ilvl w:val="0"/>
          <w:numId w:val="2"/>
        </w:numPr>
        <w:spacing w:after="100"/>
        <w:jc w:val="both"/>
      </w:pPr>
      <w:proofErr w:type="spellStart"/>
      <w:r w:rsidRPr="001802FF">
        <w:rPr>
          <w:sz w:val="22"/>
          <w:szCs w:val="22"/>
        </w:rPr>
        <w:t>Kaeppler</w:t>
      </w:r>
      <w:proofErr w:type="spellEnd"/>
      <w:r w:rsidRPr="001802FF">
        <w:rPr>
          <w:sz w:val="22"/>
          <w:szCs w:val="22"/>
        </w:rPr>
        <w:t xml:space="preserve">, S.M., </w:t>
      </w:r>
      <w:proofErr w:type="spellStart"/>
      <w:r w:rsidRPr="001802FF">
        <w:rPr>
          <w:sz w:val="22"/>
          <w:szCs w:val="22"/>
        </w:rPr>
        <w:t>Kaeppler</w:t>
      </w:r>
      <w:proofErr w:type="spellEnd"/>
      <w:r w:rsidRPr="001802FF">
        <w:rPr>
          <w:sz w:val="22"/>
          <w:szCs w:val="22"/>
        </w:rPr>
        <w:t xml:space="preserve">, H.F. and Rhee, Y. (2000). Epigenetic aspects of </w:t>
      </w:r>
      <w:proofErr w:type="spellStart"/>
      <w:r w:rsidRPr="001802FF">
        <w:rPr>
          <w:sz w:val="22"/>
          <w:szCs w:val="22"/>
        </w:rPr>
        <w:t>somaclonal</w:t>
      </w:r>
      <w:proofErr w:type="spellEnd"/>
      <w:r w:rsidRPr="001802FF">
        <w:rPr>
          <w:sz w:val="22"/>
          <w:szCs w:val="22"/>
        </w:rPr>
        <w:t xml:space="preserve"> variation in plants. Plant Molecular Biology, 43(2–3), 179–188.</w:t>
      </w:r>
    </w:p>
    <w:p w14:paraId="43680BF4" w14:textId="77777777" w:rsidR="00AB2ECD" w:rsidRDefault="00D0757E" w:rsidP="001802FF">
      <w:pPr>
        <w:pStyle w:val="ListParagraph"/>
        <w:numPr>
          <w:ilvl w:val="0"/>
          <w:numId w:val="2"/>
        </w:numPr>
        <w:spacing w:after="100"/>
        <w:jc w:val="both"/>
      </w:pPr>
      <w:r w:rsidRPr="001802FF">
        <w:rPr>
          <w:sz w:val="22"/>
          <w:szCs w:val="22"/>
        </w:rPr>
        <w:t>Katsumoto, Y., Fukuchi-</w:t>
      </w:r>
      <w:proofErr w:type="spellStart"/>
      <w:r w:rsidRPr="001802FF">
        <w:rPr>
          <w:sz w:val="22"/>
          <w:szCs w:val="22"/>
        </w:rPr>
        <w:t>Mizutani</w:t>
      </w:r>
      <w:proofErr w:type="spellEnd"/>
      <w:r w:rsidRPr="001802FF">
        <w:rPr>
          <w:sz w:val="22"/>
          <w:szCs w:val="22"/>
        </w:rPr>
        <w:t xml:space="preserve">, M., Fukui, Y., </w:t>
      </w:r>
      <w:proofErr w:type="spellStart"/>
      <w:r w:rsidRPr="001802FF">
        <w:rPr>
          <w:sz w:val="22"/>
          <w:szCs w:val="22"/>
        </w:rPr>
        <w:t>Brugliera</w:t>
      </w:r>
      <w:proofErr w:type="spellEnd"/>
      <w:r w:rsidRPr="001802FF">
        <w:rPr>
          <w:sz w:val="22"/>
          <w:szCs w:val="22"/>
        </w:rPr>
        <w:t xml:space="preserve">, F., Holton, T.A., Karan, M., Nakamura, N., </w:t>
      </w:r>
      <w:proofErr w:type="spellStart"/>
      <w:r w:rsidRPr="001802FF">
        <w:rPr>
          <w:sz w:val="22"/>
          <w:szCs w:val="22"/>
        </w:rPr>
        <w:t>Yonekura-Sakakibara</w:t>
      </w:r>
      <w:proofErr w:type="spellEnd"/>
      <w:r w:rsidRPr="001802FF">
        <w:rPr>
          <w:sz w:val="22"/>
          <w:szCs w:val="22"/>
        </w:rPr>
        <w:t xml:space="preserve">, K., Togami, J., </w:t>
      </w:r>
      <w:proofErr w:type="spellStart"/>
      <w:r w:rsidRPr="001802FF">
        <w:rPr>
          <w:sz w:val="22"/>
          <w:szCs w:val="22"/>
        </w:rPr>
        <w:t>Pigeaire</w:t>
      </w:r>
      <w:proofErr w:type="spellEnd"/>
      <w:r w:rsidRPr="001802FF">
        <w:rPr>
          <w:sz w:val="22"/>
          <w:szCs w:val="22"/>
        </w:rPr>
        <w:t>, A. and Tao, G.Q. (2007). Engineering of the rose flavonoid biosynthetic pathway successfully generated blue-hued flowers accumulating delphinidin. Plant and Cell Physiology, 48(11), 1589–1600.</w:t>
      </w:r>
    </w:p>
    <w:p w14:paraId="43680BF5" w14:textId="77777777" w:rsidR="00AB2ECD" w:rsidRDefault="00D0757E" w:rsidP="001802FF">
      <w:pPr>
        <w:pStyle w:val="ListParagraph"/>
        <w:numPr>
          <w:ilvl w:val="0"/>
          <w:numId w:val="2"/>
        </w:numPr>
        <w:spacing w:after="100"/>
        <w:jc w:val="both"/>
      </w:pPr>
      <w:r w:rsidRPr="001802FF">
        <w:rPr>
          <w:sz w:val="22"/>
          <w:szCs w:val="22"/>
        </w:rPr>
        <w:t xml:space="preserve">Kroon, G.H. and van </w:t>
      </w:r>
      <w:proofErr w:type="spellStart"/>
      <w:r w:rsidRPr="001802FF">
        <w:rPr>
          <w:sz w:val="22"/>
          <w:szCs w:val="22"/>
        </w:rPr>
        <w:t>Eijk</w:t>
      </w:r>
      <w:proofErr w:type="spellEnd"/>
      <w:r w:rsidRPr="001802FF">
        <w:rPr>
          <w:sz w:val="22"/>
          <w:szCs w:val="22"/>
        </w:rPr>
        <w:t>, J.P. (1977). Polyploidy in tulips (</w:t>
      </w:r>
      <w:proofErr w:type="spellStart"/>
      <w:r w:rsidRPr="001802FF">
        <w:rPr>
          <w:sz w:val="22"/>
          <w:szCs w:val="22"/>
        </w:rPr>
        <w:t>Tulipa</w:t>
      </w:r>
      <w:proofErr w:type="spellEnd"/>
      <w:r w:rsidRPr="001802FF">
        <w:rPr>
          <w:sz w:val="22"/>
          <w:szCs w:val="22"/>
        </w:rPr>
        <w:t xml:space="preserve"> L.): the occurrence of diploid offspring from triploid × diploid crosses. </w:t>
      </w:r>
      <w:proofErr w:type="spellStart"/>
      <w:r w:rsidRPr="001802FF">
        <w:rPr>
          <w:sz w:val="22"/>
          <w:szCs w:val="22"/>
        </w:rPr>
        <w:t>Euphytica</w:t>
      </w:r>
      <w:proofErr w:type="spellEnd"/>
      <w:r w:rsidRPr="001802FF">
        <w:rPr>
          <w:sz w:val="22"/>
          <w:szCs w:val="22"/>
        </w:rPr>
        <w:t>, 26(1), 233–238.</w:t>
      </w:r>
    </w:p>
    <w:p w14:paraId="43680BF6" w14:textId="77777777" w:rsidR="00AB2ECD" w:rsidRDefault="00D0757E" w:rsidP="001802FF">
      <w:pPr>
        <w:pStyle w:val="ListParagraph"/>
        <w:numPr>
          <w:ilvl w:val="0"/>
          <w:numId w:val="2"/>
        </w:numPr>
        <w:spacing w:after="100"/>
        <w:jc w:val="both"/>
      </w:pPr>
      <w:r w:rsidRPr="001802FF">
        <w:rPr>
          <w:sz w:val="22"/>
          <w:szCs w:val="22"/>
        </w:rPr>
        <w:t xml:space="preserve">Linde, M., </w:t>
      </w:r>
      <w:proofErr w:type="spellStart"/>
      <w:r w:rsidRPr="001802FF">
        <w:rPr>
          <w:sz w:val="22"/>
          <w:szCs w:val="22"/>
        </w:rPr>
        <w:t>Mattiesch</w:t>
      </w:r>
      <w:proofErr w:type="spellEnd"/>
      <w:r w:rsidRPr="001802FF">
        <w:rPr>
          <w:sz w:val="22"/>
          <w:szCs w:val="22"/>
        </w:rPr>
        <w:t xml:space="preserve">, L. and </w:t>
      </w:r>
      <w:proofErr w:type="spellStart"/>
      <w:r w:rsidRPr="001802FF">
        <w:rPr>
          <w:sz w:val="22"/>
          <w:szCs w:val="22"/>
        </w:rPr>
        <w:t>Debener</w:t>
      </w:r>
      <w:proofErr w:type="spellEnd"/>
      <w:r w:rsidRPr="001802FF">
        <w:rPr>
          <w:sz w:val="22"/>
          <w:szCs w:val="22"/>
        </w:rPr>
        <w:t xml:space="preserve">, T. (2004). Rdr1, a dominant gene conferring resistance to a large number of </w:t>
      </w:r>
      <w:proofErr w:type="spellStart"/>
      <w:r w:rsidRPr="001802FF">
        <w:rPr>
          <w:sz w:val="22"/>
          <w:szCs w:val="22"/>
        </w:rPr>
        <w:t>Diplocarpon</w:t>
      </w:r>
      <w:proofErr w:type="spellEnd"/>
      <w:r w:rsidRPr="001802FF">
        <w:rPr>
          <w:sz w:val="22"/>
          <w:szCs w:val="22"/>
        </w:rPr>
        <w:t xml:space="preserve"> </w:t>
      </w:r>
      <w:proofErr w:type="spellStart"/>
      <w:r w:rsidRPr="001802FF">
        <w:rPr>
          <w:sz w:val="22"/>
          <w:szCs w:val="22"/>
        </w:rPr>
        <w:t>rosae</w:t>
      </w:r>
      <w:proofErr w:type="spellEnd"/>
      <w:r w:rsidRPr="001802FF">
        <w:rPr>
          <w:sz w:val="22"/>
          <w:szCs w:val="22"/>
        </w:rPr>
        <w:t xml:space="preserve"> races in a large set of rose genotypes. Plant Breeding, 123(3), 252–258.</w:t>
      </w:r>
    </w:p>
    <w:p w14:paraId="43680BF7" w14:textId="77777777" w:rsidR="00AB2ECD" w:rsidRDefault="00D0757E" w:rsidP="001802FF">
      <w:pPr>
        <w:pStyle w:val="ListParagraph"/>
        <w:numPr>
          <w:ilvl w:val="0"/>
          <w:numId w:val="2"/>
        </w:numPr>
        <w:spacing w:after="100"/>
        <w:jc w:val="both"/>
      </w:pPr>
      <w:r w:rsidRPr="001802FF">
        <w:rPr>
          <w:sz w:val="22"/>
          <w:szCs w:val="22"/>
        </w:rPr>
        <w:t xml:space="preserve">Ma, N., Tan, H., Liu, X., </w:t>
      </w:r>
      <w:proofErr w:type="spellStart"/>
      <w:r w:rsidRPr="001802FF">
        <w:rPr>
          <w:sz w:val="22"/>
          <w:szCs w:val="22"/>
        </w:rPr>
        <w:t>Xue</w:t>
      </w:r>
      <w:proofErr w:type="spellEnd"/>
      <w:r w:rsidRPr="001802FF">
        <w:rPr>
          <w:sz w:val="22"/>
          <w:szCs w:val="22"/>
        </w:rPr>
        <w:t xml:space="preserve">, J.Q., Li, Y.H. and Gao, J. (2006). Transcriptional regulation of ethylene receptor and CTR genes involved in ethylene-induced flower opening in cut rose (Rosa </w:t>
      </w:r>
      <w:proofErr w:type="spellStart"/>
      <w:r w:rsidRPr="001802FF">
        <w:rPr>
          <w:sz w:val="22"/>
          <w:szCs w:val="22"/>
        </w:rPr>
        <w:t>hybrida</w:t>
      </w:r>
      <w:proofErr w:type="spellEnd"/>
      <w:r w:rsidRPr="001802FF">
        <w:rPr>
          <w:sz w:val="22"/>
          <w:szCs w:val="22"/>
        </w:rPr>
        <w:t>) cv. Samantha. Journal of Experimental Botany, 57(11), 2763–2773.</w:t>
      </w:r>
    </w:p>
    <w:p w14:paraId="43680BF8" w14:textId="77777777" w:rsidR="00AB2ECD" w:rsidRDefault="00D0757E" w:rsidP="001802FF">
      <w:pPr>
        <w:pStyle w:val="ListParagraph"/>
        <w:numPr>
          <w:ilvl w:val="0"/>
          <w:numId w:val="2"/>
        </w:numPr>
        <w:spacing w:after="100"/>
        <w:jc w:val="both"/>
      </w:pPr>
      <w:r w:rsidRPr="001802FF">
        <w:rPr>
          <w:sz w:val="22"/>
          <w:szCs w:val="22"/>
        </w:rPr>
        <w:t xml:space="preserve">Martín-Trillo, M. and </w:t>
      </w:r>
      <w:proofErr w:type="spellStart"/>
      <w:r w:rsidRPr="001802FF">
        <w:rPr>
          <w:sz w:val="22"/>
          <w:szCs w:val="22"/>
        </w:rPr>
        <w:t>Cubas</w:t>
      </w:r>
      <w:proofErr w:type="spellEnd"/>
      <w:r w:rsidRPr="001802FF">
        <w:rPr>
          <w:sz w:val="22"/>
          <w:szCs w:val="22"/>
        </w:rPr>
        <w:t>, P. (2010). TCP genes: a family snapshot ten years later. Trends in Plant Science, 15(1), 31–39.</w:t>
      </w:r>
    </w:p>
    <w:p w14:paraId="43680BF9" w14:textId="77777777" w:rsidR="00AB2ECD" w:rsidRDefault="00D0757E" w:rsidP="001802FF">
      <w:pPr>
        <w:pStyle w:val="ListParagraph"/>
        <w:numPr>
          <w:ilvl w:val="0"/>
          <w:numId w:val="2"/>
        </w:numPr>
        <w:spacing w:after="100"/>
        <w:jc w:val="both"/>
      </w:pPr>
      <w:r w:rsidRPr="001802FF">
        <w:rPr>
          <w:sz w:val="22"/>
          <w:szCs w:val="22"/>
        </w:rPr>
        <w:t xml:space="preserve">Murshid Muhammed, P.K., </w:t>
      </w:r>
      <w:proofErr w:type="spellStart"/>
      <w:r w:rsidRPr="001802FF">
        <w:rPr>
          <w:sz w:val="22"/>
          <w:szCs w:val="22"/>
        </w:rPr>
        <w:t>Pagariya</w:t>
      </w:r>
      <w:proofErr w:type="spellEnd"/>
      <w:r w:rsidRPr="001802FF">
        <w:rPr>
          <w:sz w:val="22"/>
          <w:szCs w:val="22"/>
        </w:rPr>
        <w:t xml:space="preserve">, M.C., Jadhav, P.R., </w:t>
      </w:r>
      <w:proofErr w:type="spellStart"/>
      <w:r w:rsidRPr="001802FF">
        <w:rPr>
          <w:sz w:val="22"/>
          <w:szCs w:val="22"/>
        </w:rPr>
        <w:t>Gawade</w:t>
      </w:r>
      <w:proofErr w:type="spellEnd"/>
      <w:r w:rsidRPr="001802FF">
        <w:rPr>
          <w:sz w:val="22"/>
          <w:szCs w:val="22"/>
        </w:rPr>
        <w:t xml:space="preserve">, N.S., </w:t>
      </w:r>
      <w:proofErr w:type="spellStart"/>
      <w:r w:rsidRPr="001802FF">
        <w:rPr>
          <w:sz w:val="22"/>
          <w:szCs w:val="22"/>
        </w:rPr>
        <w:t>Sarode</w:t>
      </w:r>
      <w:proofErr w:type="spellEnd"/>
      <w:r w:rsidRPr="001802FF">
        <w:rPr>
          <w:sz w:val="22"/>
          <w:szCs w:val="22"/>
        </w:rPr>
        <w:t xml:space="preserve">, D.K. and </w:t>
      </w:r>
      <w:proofErr w:type="spellStart"/>
      <w:r w:rsidRPr="001802FF">
        <w:rPr>
          <w:sz w:val="22"/>
          <w:szCs w:val="22"/>
        </w:rPr>
        <w:t>Karkute</w:t>
      </w:r>
      <w:proofErr w:type="spellEnd"/>
      <w:r w:rsidRPr="001802FF">
        <w:rPr>
          <w:sz w:val="22"/>
          <w:szCs w:val="22"/>
        </w:rPr>
        <w:t>, S.G. (2025). Advancing ornamental plant breeding through genomic technologies: opportunities, challenges, and future directions. Functional &amp; Integrative Genomics, 25(1), Article 140. https://doi.org/10.1007/s10142-025-01640-y</w:t>
      </w:r>
    </w:p>
    <w:p w14:paraId="43680BFA" w14:textId="77777777" w:rsidR="00AB2ECD" w:rsidRDefault="00D0757E" w:rsidP="001802FF">
      <w:pPr>
        <w:pStyle w:val="ListParagraph"/>
        <w:numPr>
          <w:ilvl w:val="0"/>
          <w:numId w:val="2"/>
        </w:numPr>
        <w:spacing w:after="100"/>
        <w:jc w:val="both"/>
      </w:pPr>
      <w:proofErr w:type="spellStart"/>
      <w:r w:rsidRPr="001802FF">
        <w:rPr>
          <w:sz w:val="22"/>
          <w:szCs w:val="22"/>
        </w:rPr>
        <w:t>Partap</w:t>
      </w:r>
      <w:proofErr w:type="spellEnd"/>
      <w:r w:rsidRPr="001802FF">
        <w:rPr>
          <w:sz w:val="22"/>
          <w:szCs w:val="22"/>
        </w:rPr>
        <w:t>, M., Verma, V., Thakur, M. and Bhargava, B. (2023). Designing of future ornamental crops: a biotechnological driven perspective. Horticulture Research, 10(11), Article uhad192. https://doi.org/10.1093/hr/uhad192</w:t>
      </w:r>
    </w:p>
    <w:p w14:paraId="43680BFB" w14:textId="77777777" w:rsidR="00AB2ECD" w:rsidRDefault="00D0757E" w:rsidP="001802FF">
      <w:pPr>
        <w:pStyle w:val="ListParagraph"/>
        <w:numPr>
          <w:ilvl w:val="0"/>
          <w:numId w:val="2"/>
        </w:numPr>
        <w:spacing w:after="100"/>
        <w:jc w:val="both"/>
      </w:pPr>
      <w:proofErr w:type="spellStart"/>
      <w:r w:rsidRPr="001802FF">
        <w:rPr>
          <w:sz w:val="22"/>
          <w:szCs w:val="22"/>
        </w:rPr>
        <w:t>ResearchAndMarkets</w:t>
      </w:r>
      <w:proofErr w:type="spellEnd"/>
      <w:r w:rsidRPr="001802FF">
        <w:rPr>
          <w:sz w:val="22"/>
          <w:szCs w:val="22"/>
        </w:rPr>
        <w:t xml:space="preserve"> (2024). Flower and Ornamental Plants Market – Global Industry Analysis, Size, Share, Growth, Trends, and Forecast 2024–2031. ResearchAndMarkets.com, Dublin.</w:t>
      </w:r>
    </w:p>
    <w:p w14:paraId="43680BFC" w14:textId="77777777" w:rsidR="00AB2ECD" w:rsidRDefault="00D0757E" w:rsidP="001802FF">
      <w:pPr>
        <w:pStyle w:val="ListParagraph"/>
        <w:numPr>
          <w:ilvl w:val="0"/>
          <w:numId w:val="2"/>
        </w:numPr>
        <w:spacing w:after="100"/>
        <w:jc w:val="both"/>
      </w:pPr>
      <w:r w:rsidRPr="001802FF">
        <w:rPr>
          <w:sz w:val="22"/>
          <w:szCs w:val="22"/>
        </w:rPr>
        <w:t xml:space="preserve">Shea, D.J., Itabashi, E., Takada, S., </w:t>
      </w:r>
      <w:proofErr w:type="spellStart"/>
      <w:r w:rsidRPr="001802FF">
        <w:rPr>
          <w:sz w:val="22"/>
          <w:szCs w:val="22"/>
        </w:rPr>
        <w:t>Fukai</w:t>
      </w:r>
      <w:proofErr w:type="spellEnd"/>
      <w:r w:rsidRPr="001802FF">
        <w:rPr>
          <w:sz w:val="22"/>
          <w:szCs w:val="22"/>
        </w:rPr>
        <w:t xml:space="preserve">, E., </w:t>
      </w:r>
      <w:proofErr w:type="spellStart"/>
      <w:r w:rsidRPr="001802FF">
        <w:rPr>
          <w:sz w:val="22"/>
          <w:szCs w:val="22"/>
        </w:rPr>
        <w:t>Kakizaki</w:t>
      </w:r>
      <w:proofErr w:type="spellEnd"/>
      <w:r w:rsidRPr="001802FF">
        <w:rPr>
          <w:sz w:val="22"/>
          <w:szCs w:val="22"/>
        </w:rPr>
        <w:t>, T., Suzuki, G., Watanabe, M. and Shiba, H. (2018). The role of FLOWERING LOCUS C in vernalization of Brassica: the importance of vernalization research in the face of climate change. Crop and Pasture Science, 69(1), 30–39.</w:t>
      </w:r>
    </w:p>
    <w:p w14:paraId="43680BFD" w14:textId="77777777" w:rsidR="00AB2ECD" w:rsidRDefault="00D0757E" w:rsidP="001802FF">
      <w:pPr>
        <w:pStyle w:val="ListParagraph"/>
        <w:numPr>
          <w:ilvl w:val="0"/>
          <w:numId w:val="2"/>
        </w:numPr>
        <w:spacing w:after="100"/>
        <w:jc w:val="both"/>
      </w:pPr>
      <w:r w:rsidRPr="001802FF">
        <w:rPr>
          <w:sz w:val="22"/>
          <w:szCs w:val="22"/>
        </w:rPr>
        <w:t xml:space="preserve">Tanaka, Y., </w:t>
      </w:r>
      <w:proofErr w:type="spellStart"/>
      <w:r w:rsidRPr="001802FF">
        <w:rPr>
          <w:sz w:val="22"/>
          <w:szCs w:val="22"/>
        </w:rPr>
        <w:t>Brugliera</w:t>
      </w:r>
      <w:proofErr w:type="spellEnd"/>
      <w:r w:rsidRPr="001802FF">
        <w:rPr>
          <w:sz w:val="22"/>
          <w:szCs w:val="22"/>
        </w:rPr>
        <w:t>, F. and Chandler, S. (2020). Recent progress of flower colour modification by genetic engineering. International Journal of Molecular Sciences, 21(13), 4776.</w:t>
      </w:r>
    </w:p>
    <w:p w14:paraId="43680BFE" w14:textId="77777777" w:rsidR="00AB2ECD" w:rsidRDefault="00D0757E" w:rsidP="001802FF">
      <w:pPr>
        <w:pStyle w:val="ListParagraph"/>
        <w:numPr>
          <w:ilvl w:val="0"/>
          <w:numId w:val="2"/>
        </w:numPr>
        <w:spacing w:after="100"/>
        <w:jc w:val="both"/>
      </w:pPr>
      <w:r w:rsidRPr="001802FF">
        <w:rPr>
          <w:sz w:val="22"/>
          <w:szCs w:val="22"/>
        </w:rPr>
        <w:t>UPOV (2002). General Introduction to the Examination of Distinctness, Uniformity and Stability and the Development of Harmonized Descriptions of New Varieties of Plants (TG/1/3). International Union for the Protection of New Varieties of Plants, Geneva.</w:t>
      </w:r>
    </w:p>
    <w:p w14:paraId="43680BFF" w14:textId="77777777" w:rsidR="00AB2ECD" w:rsidRDefault="00D0757E" w:rsidP="001802FF">
      <w:pPr>
        <w:pStyle w:val="ListParagraph"/>
        <w:numPr>
          <w:ilvl w:val="0"/>
          <w:numId w:val="2"/>
        </w:numPr>
        <w:spacing w:after="100"/>
        <w:jc w:val="both"/>
      </w:pPr>
      <w:r w:rsidRPr="001802FF">
        <w:rPr>
          <w:sz w:val="22"/>
          <w:szCs w:val="22"/>
        </w:rPr>
        <w:t xml:space="preserve">van </w:t>
      </w:r>
      <w:proofErr w:type="spellStart"/>
      <w:r w:rsidRPr="001802FF">
        <w:rPr>
          <w:sz w:val="22"/>
          <w:szCs w:val="22"/>
        </w:rPr>
        <w:t>Harten</w:t>
      </w:r>
      <w:proofErr w:type="spellEnd"/>
      <w:r w:rsidRPr="001802FF">
        <w:rPr>
          <w:sz w:val="22"/>
          <w:szCs w:val="22"/>
        </w:rPr>
        <w:t>, A.M. (1998). Mutation Breeding: Theory and Practical Applications. Cambridge University Press, Cambridge.</w:t>
      </w:r>
    </w:p>
    <w:p w14:paraId="43680C00" w14:textId="77777777" w:rsidR="00AB2ECD" w:rsidRDefault="00D0757E" w:rsidP="001802FF">
      <w:pPr>
        <w:pStyle w:val="ListParagraph"/>
        <w:numPr>
          <w:ilvl w:val="0"/>
          <w:numId w:val="2"/>
        </w:numPr>
        <w:spacing w:after="100"/>
        <w:jc w:val="both"/>
      </w:pPr>
      <w:proofErr w:type="spellStart"/>
      <w:r w:rsidRPr="001802FF">
        <w:rPr>
          <w:sz w:val="22"/>
          <w:szCs w:val="22"/>
        </w:rPr>
        <w:lastRenderedPageBreak/>
        <w:t>Woltering</w:t>
      </w:r>
      <w:proofErr w:type="spellEnd"/>
      <w:r w:rsidRPr="001802FF">
        <w:rPr>
          <w:sz w:val="22"/>
          <w:szCs w:val="22"/>
        </w:rPr>
        <w:t xml:space="preserve">, E.J. and van </w:t>
      </w:r>
      <w:proofErr w:type="spellStart"/>
      <w:r w:rsidRPr="001802FF">
        <w:rPr>
          <w:sz w:val="22"/>
          <w:szCs w:val="22"/>
        </w:rPr>
        <w:t>Doorn</w:t>
      </w:r>
      <w:proofErr w:type="spellEnd"/>
      <w:r w:rsidRPr="001802FF">
        <w:rPr>
          <w:sz w:val="22"/>
          <w:szCs w:val="22"/>
        </w:rPr>
        <w:t>, W.G. (1988). Role of ethylene in senescence of petals—morphological and taxonomical relationships. Journal of Experimental Botany, 39(11), 1605–1616.</w:t>
      </w:r>
    </w:p>
    <w:p w14:paraId="43680C01" w14:textId="77777777" w:rsidR="00AB2ECD" w:rsidRDefault="00D0757E" w:rsidP="001802FF">
      <w:pPr>
        <w:pStyle w:val="ListParagraph"/>
        <w:numPr>
          <w:ilvl w:val="0"/>
          <w:numId w:val="2"/>
        </w:numPr>
        <w:spacing w:after="100"/>
        <w:jc w:val="both"/>
      </w:pPr>
      <w:r w:rsidRPr="001802FF">
        <w:rPr>
          <w:sz w:val="22"/>
          <w:szCs w:val="22"/>
        </w:rPr>
        <w:t>Xu, Y., Liu, X., Fu, J., Wang, H., Wang, J., Huang, C., Prasanna, B.M., Olsen, M.S., Wang, G. and Zhang, A. (2020). Enhancing genetic gain through genomic selection: from livestock to plants. Plant Communications, 1(1), 100005.</w:t>
      </w:r>
    </w:p>
    <w:p w14:paraId="43680C02" w14:textId="322779C4" w:rsidR="00AB2ECD" w:rsidRPr="008B6CBA" w:rsidRDefault="00D0757E" w:rsidP="001802FF">
      <w:pPr>
        <w:pStyle w:val="ListParagraph"/>
        <w:numPr>
          <w:ilvl w:val="0"/>
          <w:numId w:val="2"/>
        </w:numPr>
        <w:spacing w:after="100"/>
        <w:jc w:val="both"/>
      </w:pPr>
      <w:r w:rsidRPr="001802FF">
        <w:rPr>
          <w:sz w:val="22"/>
          <w:szCs w:val="22"/>
        </w:rPr>
        <w:t>Zhu, G., Wang, S., Huang, Z., Zhang, S., Liao, Q., Zhang, C., Lin, T., Qin, M., Peng, M., Yang, C. and Cao, X. (2018). Rewiring of the fruit metabolome in tomato breeding. Cell, 172(1–2), 249–261.</w:t>
      </w:r>
    </w:p>
    <w:p w14:paraId="2F772F8B" w14:textId="6CF9FAD8" w:rsidR="008B6CBA" w:rsidRDefault="008B6CBA" w:rsidP="001802FF">
      <w:pPr>
        <w:pStyle w:val="ListParagraph"/>
        <w:numPr>
          <w:ilvl w:val="0"/>
          <w:numId w:val="2"/>
        </w:numPr>
        <w:spacing w:after="100"/>
        <w:jc w:val="both"/>
      </w:pPr>
      <w:r w:rsidRPr="008B6CBA">
        <w:t xml:space="preserve">Atal, H. L., </w:t>
      </w:r>
      <w:proofErr w:type="spellStart"/>
      <w:r w:rsidRPr="008B6CBA">
        <w:t>Srilakshmi</w:t>
      </w:r>
      <w:proofErr w:type="spellEnd"/>
      <w:r w:rsidRPr="008B6CBA">
        <w:t xml:space="preserve">, D., </w:t>
      </w:r>
      <w:proofErr w:type="spellStart"/>
      <w:r w:rsidRPr="008B6CBA">
        <w:t>Debbarma</w:t>
      </w:r>
      <w:proofErr w:type="spellEnd"/>
      <w:r w:rsidRPr="008B6CBA">
        <w:t xml:space="preserve">, K., Jena, L., &amp; </w:t>
      </w:r>
      <w:proofErr w:type="spellStart"/>
      <w:r w:rsidRPr="008B6CBA">
        <w:t>Ichancha</w:t>
      </w:r>
      <w:proofErr w:type="spellEnd"/>
      <w:r w:rsidRPr="008B6CBA">
        <w:t>, M. (2022). A Review on Breeding in Ornamental Crops for Abiotic Stress Tolerance. International Journal of Plant &amp; Soil Science, 34(20), 134–138. https://doi.org/10.9734/ijpss/2022/v34i2031136</w:t>
      </w:r>
    </w:p>
    <w:sectPr w:rsidR="008B6CBA">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608A" w14:textId="77777777" w:rsidR="00857EF0" w:rsidRDefault="00857EF0">
      <w:r>
        <w:separator/>
      </w:r>
    </w:p>
  </w:endnote>
  <w:endnote w:type="continuationSeparator" w:id="0">
    <w:p w14:paraId="602B1703" w14:textId="77777777" w:rsidR="00857EF0" w:rsidRDefault="0085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2B601" w14:textId="77777777" w:rsidR="00CB2505" w:rsidRDefault="00CB2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D870" w14:textId="4721B4C6" w:rsidR="00AB2ECD" w:rsidRDefault="00D0757E">
    <w:pPr>
      <w:pBdr>
        <w:top w:val="single" w:sz="4" w:space="1" w:color="1A5276"/>
      </w:pBdr>
      <w:tabs>
        <w:tab w:val="right" w:pos="9360"/>
      </w:tabs>
    </w:pPr>
    <w:r>
      <w:rPr>
        <w:rFonts w:cs="Times New Roman"/>
        <w:color w:val="777777"/>
        <w:sz w:val="18"/>
        <w:szCs w:val="18"/>
      </w:rPr>
      <w:t xml:space="preserve">Page </w:t>
    </w:r>
    <w:r>
      <w:fldChar w:fldCharType="begin"/>
    </w:r>
    <w:r>
      <w:instrText>PAGE</w:instrText>
    </w:r>
    <w:r>
      <w:fldChar w:fldCharType="separate"/>
    </w:r>
    <w:r w:rsidR="002213E3">
      <w:rPr>
        <w:noProof/>
      </w:rPr>
      <w:t>18</w:t>
    </w:r>
    <w:r>
      <w:fldChar w:fldCharType="end"/>
    </w:r>
    <w:r>
      <w:rPr>
        <w:rFonts w:cs="Times New Roman"/>
        <w:color w:val="777777"/>
        <w:sz w:val="18"/>
        <w:szCs w:val="18"/>
      </w:rPr>
      <w:tab/>
      <w:t>© 2024 Ornamental Horticulture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31AD" w14:textId="77777777" w:rsidR="00CB2505" w:rsidRDefault="00CB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283CD" w14:textId="77777777" w:rsidR="00857EF0" w:rsidRDefault="00857EF0">
      <w:r>
        <w:separator/>
      </w:r>
    </w:p>
  </w:footnote>
  <w:footnote w:type="continuationSeparator" w:id="0">
    <w:p w14:paraId="7741F6FB" w14:textId="77777777" w:rsidR="00857EF0" w:rsidRDefault="00857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D979" w14:textId="77777777" w:rsidR="00CB2505" w:rsidRDefault="00857EF0">
    <w:pPr>
      <w:pStyle w:val="Header"/>
    </w:pPr>
    <w:r>
      <w:rPr>
        <w:noProof/>
      </w:rPr>
      <w:pict w14:anchorId="4DE01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1" o:spid="_x0000_s2050" type="#_x0000_t136" style="position:absolute;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9883" w14:textId="77777777" w:rsidR="00CB2505" w:rsidRDefault="00857EF0">
    <w:pPr>
      <w:pStyle w:val="Header"/>
    </w:pPr>
    <w:r>
      <w:rPr>
        <w:noProof/>
      </w:rPr>
      <w:pict w14:anchorId="294BB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2" o:spid="_x0000_s2051" type="#_x0000_t136" style="position:absolute;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2BB9" w14:textId="77777777" w:rsidR="00CB2505" w:rsidRDefault="00857EF0">
    <w:pPr>
      <w:pStyle w:val="Header"/>
    </w:pPr>
    <w:r>
      <w:rPr>
        <w:noProof/>
      </w:rPr>
      <w:pict w14:anchorId="57F7C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43890" o:spid="_x0000_s2049" type="#_x0000_t136" style="position:absolute;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F7ED8"/>
    <w:multiLevelType w:val="hybridMultilevel"/>
    <w:tmpl w:val="062AF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62A9A"/>
    <w:multiLevelType w:val="hybridMultilevel"/>
    <w:tmpl w:val="3A2043B2"/>
    <w:lvl w:ilvl="0" w:tplc="53206690">
      <w:start w:val="1"/>
      <w:numFmt w:val="bullet"/>
      <w:lvlText w:val="●"/>
      <w:lvlJc w:val="left"/>
      <w:pPr>
        <w:ind w:left="720" w:hanging="360"/>
      </w:pPr>
    </w:lvl>
    <w:lvl w:ilvl="1" w:tplc="2FF2B496">
      <w:start w:val="1"/>
      <w:numFmt w:val="bullet"/>
      <w:lvlText w:val="○"/>
      <w:lvlJc w:val="left"/>
      <w:pPr>
        <w:ind w:left="1440" w:hanging="360"/>
      </w:pPr>
    </w:lvl>
    <w:lvl w:ilvl="2" w:tplc="5B42613A">
      <w:start w:val="1"/>
      <w:numFmt w:val="bullet"/>
      <w:lvlText w:val="■"/>
      <w:lvlJc w:val="left"/>
      <w:pPr>
        <w:ind w:left="2160" w:hanging="360"/>
      </w:pPr>
    </w:lvl>
    <w:lvl w:ilvl="3" w:tplc="5B903A56">
      <w:start w:val="1"/>
      <w:numFmt w:val="bullet"/>
      <w:lvlText w:val="●"/>
      <w:lvlJc w:val="left"/>
      <w:pPr>
        <w:ind w:left="2880" w:hanging="360"/>
      </w:pPr>
    </w:lvl>
    <w:lvl w:ilvl="4" w:tplc="6E867C84">
      <w:start w:val="1"/>
      <w:numFmt w:val="bullet"/>
      <w:lvlText w:val="○"/>
      <w:lvlJc w:val="left"/>
      <w:pPr>
        <w:ind w:left="3600" w:hanging="360"/>
      </w:pPr>
    </w:lvl>
    <w:lvl w:ilvl="5" w:tplc="51CEDB32">
      <w:start w:val="1"/>
      <w:numFmt w:val="bullet"/>
      <w:lvlText w:val="■"/>
      <w:lvlJc w:val="left"/>
      <w:pPr>
        <w:ind w:left="4320" w:hanging="360"/>
      </w:pPr>
    </w:lvl>
    <w:lvl w:ilvl="6" w:tplc="A810DB70">
      <w:start w:val="1"/>
      <w:numFmt w:val="bullet"/>
      <w:lvlText w:val="●"/>
      <w:lvlJc w:val="left"/>
      <w:pPr>
        <w:ind w:left="5040" w:hanging="360"/>
      </w:pPr>
    </w:lvl>
    <w:lvl w:ilvl="7" w:tplc="066CCCE6">
      <w:start w:val="1"/>
      <w:numFmt w:val="bullet"/>
      <w:lvlText w:val="●"/>
      <w:lvlJc w:val="left"/>
      <w:pPr>
        <w:ind w:left="5760" w:hanging="360"/>
      </w:pPr>
    </w:lvl>
    <w:lvl w:ilvl="8" w:tplc="312A6D1C">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DQ2NjcyNTIwMjcwNjRU0lEKTi0uzszPAykwrAUAEvis4ywAAAA="/>
  </w:docVars>
  <w:rsids>
    <w:rsidRoot w:val="00AB2ECD"/>
    <w:rsid w:val="00096BAD"/>
    <w:rsid w:val="000A73FD"/>
    <w:rsid w:val="001802FF"/>
    <w:rsid w:val="00190FC0"/>
    <w:rsid w:val="001C6C0A"/>
    <w:rsid w:val="00210056"/>
    <w:rsid w:val="002148B5"/>
    <w:rsid w:val="002213E3"/>
    <w:rsid w:val="00255A5C"/>
    <w:rsid w:val="002760F6"/>
    <w:rsid w:val="0028523D"/>
    <w:rsid w:val="002925FD"/>
    <w:rsid w:val="0034476E"/>
    <w:rsid w:val="00351B12"/>
    <w:rsid w:val="00440BB2"/>
    <w:rsid w:val="00610437"/>
    <w:rsid w:val="006324EE"/>
    <w:rsid w:val="00857EF0"/>
    <w:rsid w:val="0088177F"/>
    <w:rsid w:val="008A1BED"/>
    <w:rsid w:val="008B6CBA"/>
    <w:rsid w:val="00AB2ECD"/>
    <w:rsid w:val="00B64D15"/>
    <w:rsid w:val="00BF60A3"/>
    <w:rsid w:val="00C445C4"/>
    <w:rsid w:val="00CB2505"/>
    <w:rsid w:val="00CD6745"/>
    <w:rsid w:val="00D03F2F"/>
    <w:rsid w:val="00D0757E"/>
    <w:rsid w:val="00D6474D"/>
    <w:rsid w:val="00E31DEF"/>
    <w:rsid w:val="00E67DCC"/>
    <w:rsid w:val="00E93A1A"/>
    <w:rsid w:val="00FA70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801CE"/>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320" w:after="160"/>
      <w:outlineLvl w:val="0"/>
    </w:pPr>
    <w:rPr>
      <w:b/>
      <w:bCs/>
      <w:color w:val="1A5276"/>
      <w:sz w:val="28"/>
      <w:szCs w:val="28"/>
    </w:rPr>
  </w:style>
  <w:style w:type="paragraph" w:styleId="Heading2">
    <w:name w:val="heading 2"/>
    <w:qFormat/>
    <w:pPr>
      <w:spacing w:before="240" w:after="120"/>
      <w:outlineLvl w:val="1"/>
    </w:pPr>
    <w:rPr>
      <w:b/>
      <w:bCs/>
      <w:color w:val="2471A3"/>
      <w:sz w:val="26"/>
      <w:szCs w:val="26"/>
    </w:rPr>
  </w:style>
  <w:style w:type="paragraph" w:styleId="Heading3">
    <w:name w:val="heading 3"/>
    <w:qFormat/>
    <w:pPr>
      <w:spacing w:before="160" w:after="80"/>
      <w:outlineLvl w:val="2"/>
    </w:pPr>
    <w:rPr>
      <w:b/>
      <w:bCs/>
      <w:i/>
      <w:iCs/>
      <w:color w:val="1A527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757E"/>
    <w:pPr>
      <w:tabs>
        <w:tab w:val="center" w:pos="4513"/>
        <w:tab w:val="right" w:pos="9026"/>
      </w:tabs>
    </w:pPr>
    <w:rPr>
      <w:szCs w:val="21"/>
    </w:rPr>
  </w:style>
  <w:style w:type="character" w:customStyle="1" w:styleId="HeaderChar">
    <w:name w:val="Header Char"/>
    <w:basedOn w:val="DefaultParagraphFont"/>
    <w:link w:val="Header"/>
    <w:uiPriority w:val="99"/>
    <w:rsid w:val="00D0757E"/>
    <w:rPr>
      <w:rFonts w:cs="Mangal"/>
      <w:szCs w:val="21"/>
    </w:rPr>
  </w:style>
  <w:style w:type="paragraph" w:styleId="Footer">
    <w:name w:val="footer"/>
    <w:basedOn w:val="Normal"/>
    <w:link w:val="FooterChar"/>
    <w:uiPriority w:val="99"/>
    <w:unhideWhenUsed/>
    <w:rsid w:val="00D0757E"/>
    <w:pPr>
      <w:tabs>
        <w:tab w:val="center" w:pos="4513"/>
        <w:tab w:val="right" w:pos="9026"/>
      </w:tabs>
    </w:pPr>
    <w:rPr>
      <w:szCs w:val="21"/>
    </w:rPr>
  </w:style>
  <w:style w:type="character" w:customStyle="1" w:styleId="FooterChar">
    <w:name w:val="Footer Char"/>
    <w:basedOn w:val="DefaultParagraphFont"/>
    <w:link w:val="Footer"/>
    <w:uiPriority w:val="99"/>
    <w:rsid w:val="00D0757E"/>
    <w:rPr>
      <w:rFonts w:cs="Mangal"/>
      <w:szCs w:val="21"/>
    </w:rPr>
  </w:style>
  <w:style w:type="character" w:customStyle="1" w:styleId="UnresolvedMention1">
    <w:name w:val="Unresolved Mention1"/>
    <w:basedOn w:val="DefaultParagraphFont"/>
    <w:uiPriority w:val="99"/>
    <w:semiHidden/>
    <w:unhideWhenUsed/>
    <w:rsid w:val="002148B5"/>
    <w:rPr>
      <w:color w:val="605E5C"/>
      <w:shd w:val="clear" w:color="auto" w:fill="E1DFDD"/>
    </w:rPr>
  </w:style>
  <w:style w:type="character" w:styleId="CommentReference">
    <w:name w:val="annotation reference"/>
    <w:basedOn w:val="DefaultParagraphFont"/>
    <w:uiPriority w:val="99"/>
    <w:semiHidden/>
    <w:unhideWhenUsed/>
    <w:rsid w:val="00210056"/>
    <w:rPr>
      <w:sz w:val="16"/>
      <w:szCs w:val="16"/>
    </w:rPr>
  </w:style>
  <w:style w:type="paragraph" w:styleId="CommentText">
    <w:name w:val="annotation text"/>
    <w:basedOn w:val="Normal"/>
    <w:link w:val="CommentTextChar"/>
    <w:uiPriority w:val="99"/>
    <w:semiHidden/>
    <w:unhideWhenUsed/>
    <w:rsid w:val="00210056"/>
    <w:rPr>
      <w:sz w:val="20"/>
      <w:szCs w:val="18"/>
    </w:rPr>
  </w:style>
  <w:style w:type="character" w:customStyle="1" w:styleId="CommentTextChar">
    <w:name w:val="Comment Text Char"/>
    <w:basedOn w:val="DefaultParagraphFont"/>
    <w:link w:val="CommentText"/>
    <w:uiPriority w:val="99"/>
    <w:semiHidden/>
    <w:rsid w:val="00210056"/>
    <w:rPr>
      <w:rFonts w:cs="Mangal"/>
      <w:sz w:val="20"/>
      <w:szCs w:val="18"/>
    </w:rPr>
  </w:style>
  <w:style w:type="paragraph" w:styleId="CommentSubject">
    <w:name w:val="annotation subject"/>
    <w:basedOn w:val="CommentText"/>
    <w:next w:val="CommentText"/>
    <w:link w:val="CommentSubjectChar"/>
    <w:uiPriority w:val="99"/>
    <w:semiHidden/>
    <w:unhideWhenUsed/>
    <w:rsid w:val="00210056"/>
    <w:rPr>
      <w:b/>
      <w:bCs/>
    </w:rPr>
  </w:style>
  <w:style w:type="character" w:customStyle="1" w:styleId="CommentSubjectChar">
    <w:name w:val="Comment Subject Char"/>
    <w:basedOn w:val="CommentTextChar"/>
    <w:link w:val="CommentSubject"/>
    <w:uiPriority w:val="99"/>
    <w:semiHidden/>
    <w:rsid w:val="00210056"/>
    <w:rPr>
      <w:rFonts w:cs="Mangal"/>
      <w:b/>
      <w:bCs/>
      <w:sz w:val="20"/>
      <w:szCs w:val="18"/>
    </w:rPr>
  </w:style>
  <w:style w:type="paragraph" w:styleId="BalloonText">
    <w:name w:val="Balloon Text"/>
    <w:basedOn w:val="Normal"/>
    <w:link w:val="BalloonTextChar"/>
    <w:uiPriority w:val="99"/>
    <w:semiHidden/>
    <w:unhideWhenUsed/>
    <w:rsid w:val="00210056"/>
    <w:rPr>
      <w:rFonts w:ascii="Segoe UI" w:hAnsi="Segoe UI"/>
      <w:sz w:val="18"/>
      <w:szCs w:val="16"/>
    </w:rPr>
  </w:style>
  <w:style w:type="character" w:customStyle="1" w:styleId="BalloonTextChar">
    <w:name w:val="Balloon Text Char"/>
    <w:basedOn w:val="DefaultParagraphFont"/>
    <w:link w:val="BalloonText"/>
    <w:uiPriority w:val="99"/>
    <w:semiHidden/>
    <w:rsid w:val="0021005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6497</Words>
  <Characters>37035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1020</cp:lastModifiedBy>
  <cp:revision>28</cp:revision>
  <dcterms:created xsi:type="dcterms:W3CDTF">2026-03-11T15:04:00Z</dcterms:created>
  <dcterms:modified xsi:type="dcterms:W3CDTF">2026-03-30T09:44:00Z</dcterms:modified>
</cp:coreProperties>
</file>