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5CC58" w14:textId="066C7BFE" w:rsidR="003A7F72" w:rsidRDefault="003A7F72" w:rsidP="003A7F72">
      <w:pPr>
        <w:pStyle w:val="Author"/>
        <w:rPr>
          <w:rFonts w:ascii="Arial" w:hAnsi="Arial" w:cs="Arial"/>
          <w:bCs/>
          <w:i/>
          <w:iCs/>
          <w:kern w:val="28"/>
          <w:sz w:val="36"/>
          <w:u w:val="single"/>
        </w:rPr>
      </w:pPr>
      <w:r w:rsidRPr="003A7F72">
        <w:rPr>
          <w:rFonts w:ascii="Arial" w:hAnsi="Arial" w:cs="Arial"/>
          <w:bCs/>
          <w:i/>
          <w:iCs/>
          <w:kern w:val="28"/>
          <w:sz w:val="36"/>
          <w:u w:val="single"/>
        </w:rPr>
        <w:t>Review Article</w:t>
      </w:r>
    </w:p>
    <w:p w14:paraId="0ADD7347" w14:textId="77777777" w:rsidR="00336977" w:rsidRPr="003A7F72" w:rsidRDefault="00336977" w:rsidP="003A7F72">
      <w:pPr>
        <w:pStyle w:val="Author"/>
        <w:rPr>
          <w:rFonts w:ascii="Arial" w:hAnsi="Arial" w:cs="Arial"/>
          <w:bCs/>
          <w:i/>
          <w:iCs/>
          <w:kern w:val="28"/>
          <w:sz w:val="36"/>
          <w:u w:val="single"/>
        </w:rPr>
      </w:pPr>
    </w:p>
    <w:p w14:paraId="1C59783A" w14:textId="5649EADA" w:rsidR="00A258C3" w:rsidRPr="00790ADA" w:rsidRDefault="0021613F" w:rsidP="00441B6F">
      <w:pPr>
        <w:pStyle w:val="Author"/>
        <w:spacing w:line="240" w:lineRule="auto"/>
        <w:jc w:val="both"/>
        <w:rPr>
          <w:rFonts w:ascii="Arial" w:hAnsi="Arial" w:cs="Arial"/>
          <w:sz w:val="36"/>
        </w:rPr>
      </w:pPr>
      <w:r w:rsidRPr="0021613F">
        <w:rPr>
          <w:rFonts w:ascii="Arial" w:hAnsi="Arial" w:cs="Arial"/>
          <w:bCs/>
          <w:iCs/>
          <w:kern w:val="28"/>
          <w:sz w:val="36"/>
        </w:rPr>
        <w:t>Herbicide Resistance in Weeds: Evolution, Mechanisms and Agronomic Mitigation Strategies</w:t>
      </w:r>
    </w:p>
    <w:p w14:paraId="58007BF9" w14:textId="0586F064" w:rsidR="003A7F72" w:rsidRDefault="003A7F72" w:rsidP="003C732D">
      <w:pPr>
        <w:rPr>
          <w:rFonts w:ascii="Arial" w:hAnsi="Arial" w:cs="Arial"/>
          <w:b/>
          <w:bCs/>
          <w:sz w:val="24"/>
          <w:szCs w:val="24"/>
        </w:rPr>
      </w:pPr>
    </w:p>
    <w:p w14:paraId="24C0F250" w14:textId="77777777" w:rsidR="005B67AC" w:rsidRPr="0089303B" w:rsidRDefault="005B67AC" w:rsidP="003C732D">
      <w:pPr>
        <w:rPr>
          <w:rFonts w:ascii="Arial" w:hAnsi="Arial" w:cs="Arial"/>
          <w:b/>
          <w:bCs/>
          <w:sz w:val="16"/>
          <w:szCs w:val="16"/>
        </w:rPr>
      </w:pPr>
    </w:p>
    <w:p w14:paraId="4C7E7535" w14:textId="77777777" w:rsidR="002C57D2" w:rsidRPr="00FB3A86" w:rsidRDefault="002C57D2" w:rsidP="00441B6F">
      <w:pPr>
        <w:pStyle w:val="Affiliation"/>
        <w:spacing w:after="0" w:line="240" w:lineRule="auto"/>
        <w:jc w:val="both"/>
        <w:rPr>
          <w:rFonts w:ascii="Arial" w:hAnsi="Arial" w:cs="Arial"/>
        </w:rPr>
      </w:pPr>
    </w:p>
    <w:p w14:paraId="2A635875" w14:textId="77777777" w:rsidR="00B01FCD" w:rsidRPr="00FB3A86" w:rsidRDefault="000E2201" w:rsidP="00441B6F">
      <w:pPr>
        <w:pStyle w:val="Copyright"/>
        <w:spacing w:after="0" w:line="240" w:lineRule="auto"/>
        <w:jc w:val="both"/>
        <w:rPr>
          <w:rFonts w:ascii="Arial" w:hAnsi="Arial" w:cs="Arial"/>
        </w:rPr>
        <w:sectPr w:rsidR="00B01FCD" w:rsidRPr="00FB3A86" w:rsidSect="00033F11">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26DAA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045510D" w14:textId="4E91F4A3" w:rsidR="00B01FCD" w:rsidRPr="0044786A" w:rsidRDefault="00B01FCD" w:rsidP="0044786A">
      <w:pPr>
        <w:pStyle w:val="AbstHead"/>
        <w:spacing w:after="0"/>
        <w:jc w:val="both"/>
        <w:rPr>
          <w:rFonts w:ascii="Arial" w:hAnsi="Arial" w:cs="Arial"/>
        </w:rPr>
      </w:pPr>
      <w:r w:rsidRPr="0044786A">
        <w:rPr>
          <w:rFonts w:ascii="Arial" w:hAnsi="Arial" w:cs="Arial"/>
        </w:rPr>
        <w:t>ABSTRACT</w:t>
      </w:r>
    </w:p>
    <w:p w14:paraId="3E4343AD" w14:textId="77777777" w:rsidR="00790ADA" w:rsidRPr="0044786A" w:rsidRDefault="00790ADA" w:rsidP="0044786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4786A" w14:paraId="385B8578" w14:textId="77777777" w:rsidTr="001E44FE">
        <w:tc>
          <w:tcPr>
            <w:tcW w:w="9576" w:type="dxa"/>
            <w:shd w:val="clear" w:color="auto" w:fill="F2F2F2"/>
          </w:tcPr>
          <w:p w14:paraId="7C71E498" w14:textId="78701893" w:rsidR="00505F06" w:rsidRPr="00DB3128" w:rsidRDefault="004632AE" w:rsidP="00776D98">
            <w:pPr>
              <w:jc w:val="both"/>
              <w:rPr>
                <w:rFonts w:ascii="Arial" w:hAnsi="Arial" w:cs="Arial"/>
              </w:rPr>
            </w:pPr>
            <w:r w:rsidRPr="004632AE">
              <w:rPr>
                <w:rFonts w:ascii="Arial" w:hAnsi="Arial" w:cs="Arial"/>
              </w:rPr>
              <w:t xml:space="preserve">One of the most serious threats to global crop productivity and sustainable weed management in present scenario is herbicide resistance. Dependency on repeated application of herbicides with similar modes of action, simple cropping systems and reduced diversity among agronomic practices turns out to be major reason for evolution of resistant weed populations across different agroecosystems. Currently, around 260 weed species have been reported to be resistant to one or more site of action, leading to increased yield losses, production cost and environmental concerns. </w:t>
            </w:r>
            <w:r w:rsidR="00CC64FC" w:rsidRPr="00252341">
              <w:rPr>
                <w:rFonts w:ascii="Arial" w:hAnsi="Arial" w:cs="Arial"/>
              </w:rPr>
              <w:t xml:space="preserve">Resistant weed populations </w:t>
            </w:r>
            <w:r w:rsidR="00CC64FC">
              <w:rPr>
                <w:rFonts w:ascii="Arial" w:hAnsi="Arial" w:cs="Arial"/>
              </w:rPr>
              <w:t xml:space="preserve">usually </w:t>
            </w:r>
            <w:r w:rsidR="00CC64FC" w:rsidRPr="00252341">
              <w:rPr>
                <w:rFonts w:ascii="Arial" w:hAnsi="Arial" w:cs="Arial"/>
              </w:rPr>
              <w:t xml:space="preserve">evolve through </w:t>
            </w:r>
            <w:r w:rsidR="00CC64FC">
              <w:rPr>
                <w:rFonts w:ascii="Arial" w:hAnsi="Arial" w:cs="Arial"/>
              </w:rPr>
              <w:t xml:space="preserve">different </w:t>
            </w:r>
            <w:r w:rsidR="00CC64FC" w:rsidRPr="00252341">
              <w:rPr>
                <w:rFonts w:ascii="Arial" w:hAnsi="Arial" w:cs="Arial"/>
              </w:rPr>
              <w:t xml:space="preserve">mechanisms such as </w:t>
            </w:r>
            <w:r w:rsidR="00CC64FC" w:rsidRPr="008B23D6">
              <w:rPr>
                <w:rFonts w:ascii="Arial" w:hAnsi="Arial" w:cs="Arial"/>
              </w:rPr>
              <w:t>target-site resistance</w:t>
            </w:r>
            <w:r w:rsidR="00CC64FC" w:rsidRPr="00252341">
              <w:rPr>
                <w:rFonts w:ascii="Arial" w:hAnsi="Arial" w:cs="Arial"/>
              </w:rPr>
              <w:t xml:space="preserve">, which </w:t>
            </w:r>
            <w:r w:rsidR="00CC64FC">
              <w:rPr>
                <w:rFonts w:ascii="Arial" w:hAnsi="Arial" w:cs="Arial"/>
              </w:rPr>
              <w:t>mainly occurs due to</w:t>
            </w:r>
            <w:r w:rsidR="00CC64FC" w:rsidRPr="00252341">
              <w:rPr>
                <w:rFonts w:ascii="Arial" w:hAnsi="Arial" w:cs="Arial"/>
              </w:rPr>
              <w:t xml:space="preserve"> genetic mutations at the </w:t>
            </w:r>
            <w:r w:rsidR="00CC64FC">
              <w:rPr>
                <w:rFonts w:ascii="Arial" w:hAnsi="Arial" w:cs="Arial"/>
              </w:rPr>
              <w:t xml:space="preserve">specific </w:t>
            </w:r>
            <w:r w:rsidR="00CC64FC" w:rsidRPr="00252341">
              <w:rPr>
                <w:rFonts w:ascii="Arial" w:hAnsi="Arial" w:cs="Arial"/>
              </w:rPr>
              <w:t xml:space="preserve">herbicide binding site, and </w:t>
            </w:r>
            <w:r w:rsidR="00CC64FC" w:rsidRPr="008B23D6">
              <w:rPr>
                <w:rFonts w:ascii="Arial" w:hAnsi="Arial" w:cs="Arial"/>
              </w:rPr>
              <w:t>non-target-site resistance</w:t>
            </w:r>
            <w:r w:rsidR="00CC64FC" w:rsidRPr="00252341">
              <w:rPr>
                <w:rFonts w:ascii="Arial" w:hAnsi="Arial" w:cs="Arial"/>
              </w:rPr>
              <w:t>, which includes</w:t>
            </w:r>
            <w:r w:rsidR="00CC64FC">
              <w:rPr>
                <w:rFonts w:ascii="Arial" w:hAnsi="Arial" w:cs="Arial"/>
              </w:rPr>
              <w:t xml:space="preserve"> different mechanisms like </w:t>
            </w:r>
            <w:r w:rsidR="00CC64FC" w:rsidRPr="00252341">
              <w:rPr>
                <w:rFonts w:ascii="Arial" w:hAnsi="Arial" w:cs="Arial"/>
              </w:rPr>
              <w:t>enhanced herbicide metabolism, reduced translocation or sequestration</w:t>
            </w:r>
            <w:r w:rsidR="00CC64FC">
              <w:rPr>
                <w:rFonts w:ascii="Arial" w:hAnsi="Arial" w:cs="Arial"/>
              </w:rPr>
              <w:t>.</w:t>
            </w:r>
            <w:r w:rsidR="00CC64FC" w:rsidRPr="004A0B00">
              <w:rPr>
                <w:rFonts w:ascii="Arial" w:hAnsi="Arial" w:cs="Arial"/>
              </w:rPr>
              <w:t xml:space="preserve"> To delay or avoid the development of herbicide resistance and restore sustainability we have to implement agronomic mitigation strategies which include crop diversification, cultural and mechanical interventions, use of integrated weed management practices</w:t>
            </w:r>
            <w:r w:rsidR="00CC64FC">
              <w:rPr>
                <w:rFonts w:ascii="Arial" w:hAnsi="Arial" w:cs="Arial"/>
              </w:rPr>
              <w:t xml:space="preserve"> (</w:t>
            </w:r>
            <w:r w:rsidR="00CC64FC" w:rsidRPr="008B23D6">
              <w:rPr>
                <w:rFonts w:ascii="Arial" w:hAnsi="Arial" w:cs="Arial"/>
              </w:rPr>
              <w:t>combin</w:t>
            </w:r>
            <w:r w:rsidR="00CC64FC">
              <w:rPr>
                <w:rFonts w:ascii="Arial" w:hAnsi="Arial" w:cs="Arial"/>
              </w:rPr>
              <w:t>ation of</w:t>
            </w:r>
            <w:r w:rsidR="00CC64FC" w:rsidRPr="008B23D6">
              <w:rPr>
                <w:rFonts w:ascii="Arial" w:hAnsi="Arial" w:cs="Arial"/>
              </w:rPr>
              <w:t xml:space="preserve"> chemical, cultural, mechanical and biological methods</w:t>
            </w:r>
            <w:r w:rsidR="00CC64FC">
              <w:rPr>
                <w:rFonts w:ascii="Arial" w:hAnsi="Arial" w:cs="Arial"/>
              </w:rPr>
              <w:t>)</w:t>
            </w:r>
            <w:r w:rsidR="00CC64FC" w:rsidRPr="004A0B00">
              <w:rPr>
                <w:rFonts w:ascii="Arial" w:hAnsi="Arial" w:cs="Arial"/>
              </w:rPr>
              <w:t xml:space="preserve"> and precise use and application of herbicides </w:t>
            </w:r>
            <w:r w:rsidR="00CC64FC">
              <w:rPr>
                <w:rFonts w:ascii="Arial" w:hAnsi="Arial" w:cs="Arial"/>
              </w:rPr>
              <w:t xml:space="preserve">Globally, herbicide resistance has started to become a wide spread problem in controlling the weeds. </w:t>
            </w:r>
            <w:r w:rsidR="00CC64FC" w:rsidRPr="00F15915">
              <w:rPr>
                <w:rFonts w:ascii="Arial" w:hAnsi="Arial" w:cs="Arial"/>
              </w:rPr>
              <w:t>Studies</w:t>
            </w:r>
            <w:r w:rsidR="00CC64FC">
              <w:rPr>
                <w:rFonts w:ascii="Arial" w:hAnsi="Arial" w:cs="Arial"/>
              </w:rPr>
              <w:t xml:space="preserve"> have</w:t>
            </w:r>
            <w:r w:rsidR="00CC64FC" w:rsidRPr="00F15915">
              <w:rPr>
                <w:rFonts w:ascii="Arial" w:hAnsi="Arial" w:cs="Arial"/>
              </w:rPr>
              <w:t xml:space="preserve"> report</w:t>
            </w:r>
            <w:r w:rsidR="00CC64FC">
              <w:rPr>
                <w:rFonts w:ascii="Arial" w:hAnsi="Arial" w:cs="Arial"/>
              </w:rPr>
              <w:t>ed</w:t>
            </w:r>
            <w:r w:rsidR="00CC64FC" w:rsidRPr="00F15915">
              <w:rPr>
                <w:rFonts w:ascii="Arial" w:hAnsi="Arial" w:cs="Arial"/>
              </w:rPr>
              <w:t xml:space="preserve"> that resistant weed</w:t>
            </w:r>
            <w:r w:rsidR="00CC64FC">
              <w:rPr>
                <w:rFonts w:ascii="Arial" w:hAnsi="Arial" w:cs="Arial"/>
              </w:rPr>
              <w:t xml:space="preserve"> species</w:t>
            </w:r>
            <w:r w:rsidR="00CC64FC" w:rsidRPr="00F15915">
              <w:rPr>
                <w:rFonts w:ascii="Arial" w:hAnsi="Arial" w:cs="Arial"/>
              </w:rPr>
              <w:t xml:space="preserve"> can </w:t>
            </w:r>
            <w:r w:rsidR="00CC64FC">
              <w:rPr>
                <w:rFonts w:ascii="Arial" w:hAnsi="Arial" w:cs="Arial"/>
              </w:rPr>
              <w:t xml:space="preserve">easily </w:t>
            </w:r>
            <w:r w:rsidR="00CC64FC" w:rsidRPr="00F15915">
              <w:rPr>
                <w:rFonts w:ascii="Arial" w:hAnsi="Arial" w:cs="Arial"/>
              </w:rPr>
              <w:t xml:space="preserve">cause </w:t>
            </w:r>
            <w:r w:rsidR="00CC64FC">
              <w:rPr>
                <w:rFonts w:ascii="Arial" w:hAnsi="Arial" w:cs="Arial"/>
              </w:rPr>
              <w:t xml:space="preserve">around </w:t>
            </w:r>
            <w:r w:rsidR="00CC64FC" w:rsidRPr="00B174DD">
              <w:rPr>
                <w:rFonts w:ascii="Arial" w:hAnsi="Arial" w:cs="Arial"/>
              </w:rPr>
              <w:t>20–70% yield losses,</w:t>
            </w:r>
            <w:r w:rsidR="00CC64FC" w:rsidRPr="00F15915">
              <w:rPr>
                <w:rFonts w:ascii="Arial" w:hAnsi="Arial" w:cs="Arial"/>
              </w:rPr>
              <w:t xml:space="preserve"> depending on the crop, weed species and infestation level.</w:t>
            </w:r>
            <w:r w:rsidRPr="004632AE">
              <w:rPr>
                <w:rFonts w:ascii="Arial" w:hAnsi="Arial" w:cs="Arial"/>
              </w:rPr>
              <w:t xml:space="preserve"> To delay or avoid the development of herbicide resistance and restore sustainability we have to implement agronomic mitigation strategies which include crop diversification, cultural and mechanical interventions, use of integrated weed management practices and precise use and application of herbicides. It proper and timely solution of this problem is not developed or left unchecked than it can cause uncontrolled losses to crop yield.</w:t>
            </w:r>
          </w:p>
        </w:tc>
      </w:tr>
    </w:tbl>
    <w:p w14:paraId="2A1C15F3" w14:textId="77777777" w:rsidR="00636EB2" w:rsidRPr="0044786A" w:rsidRDefault="00636EB2" w:rsidP="0044786A">
      <w:pPr>
        <w:pStyle w:val="Body"/>
        <w:spacing w:after="0"/>
        <w:rPr>
          <w:rFonts w:ascii="Arial" w:hAnsi="Arial" w:cs="Arial"/>
          <w:i/>
        </w:rPr>
      </w:pPr>
    </w:p>
    <w:p w14:paraId="1D196AB0" w14:textId="77777777" w:rsidR="004F7FCB" w:rsidRPr="0044786A" w:rsidRDefault="004F7FCB" w:rsidP="0044786A">
      <w:pPr>
        <w:jc w:val="both"/>
        <w:rPr>
          <w:rFonts w:ascii="Arial" w:hAnsi="Arial" w:cs="Arial"/>
        </w:rPr>
      </w:pPr>
      <w:r w:rsidRPr="0044786A">
        <w:rPr>
          <w:rFonts w:ascii="Arial" w:hAnsi="Arial" w:cs="Arial"/>
          <w:b/>
          <w:bCs/>
        </w:rPr>
        <w:t>Keywords:</w:t>
      </w:r>
      <w:r w:rsidRPr="0044786A">
        <w:rPr>
          <w:rFonts w:ascii="Arial" w:hAnsi="Arial" w:cs="Arial"/>
        </w:rPr>
        <w:t xml:space="preserve"> Herbicide resistance, weed management, agronomic diversification, integrated weed management, sustainable agriculture</w:t>
      </w:r>
    </w:p>
    <w:p w14:paraId="738E7A8E" w14:textId="77777777" w:rsidR="004F7FCB" w:rsidRPr="0044786A" w:rsidRDefault="004F7FCB" w:rsidP="0044786A">
      <w:pPr>
        <w:pStyle w:val="AbstHead"/>
        <w:spacing w:after="0"/>
        <w:jc w:val="both"/>
        <w:rPr>
          <w:rFonts w:ascii="Arial" w:hAnsi="Arial" w:cs="Arial"/>
        </w:rPr>
      </w:pPr>
    </w:p>
    <w:p w14:paraId="07EE1CB7" w14:textId="1FF5F0B1" w:rsidR="007F7B32" w:rsidRPr="0044786A" w:rsidRDefault="00B01FCD" w:rsidP="00DD4456">
      <w:pPr>
        <w:pStyle w:val="AbstHead"/>
        <w:numPr>
          <w:ilvl w:val="0"/>
          <w:numId w:val="35"/>
        </w:numPr>
        <w:spacing w:after="0"/>
        <w:ind w:left="284"/>
        <w:jc w:val="both"/>
        <w:rPr>
          <w:rFonts w:ascii="Arial" w:hAnsi="Arial" w:cs="Arial"/>
        </w:rPr>
      </w:pPr>
      <w:r w:rsidRPr="0044786A">
        <w:rPr>
          <w:rFonts w:ascii="Arial" w:hAnsi="Arial" w:cs="Arial"/>
        </w:rPr>
        <w:t>INTRODUCTION</w:t>
      </w:r>
      <w:r w:rsidR="007F7B32" w:rsidRPr="0044786A">
        <w:rPr>
          <w:rFonts w:ascii="Arial" w:hAnsi="Arial" w:cs="Arial"/>
        </w:rPr>
        <w:t xml:space="preserve"> </w:t>
      </w:r>
    </w:p>
    <w:p w14:paraId="54D0485C" w14:textId="77777777" w:rsidR="00790ADA" w:rsidRPr="0044786A" w:rsidRDefault="00790ADA" w:rsidP="0044786A">
      <w:pPr>
        <w:pStyle w:val="AbstHead"/>
        <w:spacing w:after="0"/>
        <w:jc w:val="both"/>
        <w:rPr>
          <w:rFonts w:ascii="Arial" w:hAnsi="Arial" w:cs="Arial"/>
        </w:rPr>
      </w:pPr>
    </w:p>
    <w:p w14:paraId="676AA159" w14:textId="77BD49BC" w:rsidR="0044786A" w:rsidRPr="0044786A" w:rsidRDefault="0044786A" w:rsidP="0044786A">
      <w:pPr>
        <w:pStyle w:val="Body"/>
        <w:rPr>
          <w:rFonts w:ascii="Arial" w:hAnsi="Arial" w:cs="Arial"/>
        </w:rPr>
      </w:pPr>
      <w:r w:rsidRPr="0044786A">
        <w:rPr>
          <w:rFonts w:ascii="Arial" w:hAnsi="Arial" w:cs="Arial"/>
        </w:rPr>
        <w:t xml:space="preserve">Weeds are generally plants that grow out of place and time and create problems for agriculture by taking away important resources. When weed infestation is left uncontrolled it can cause increased production costs, significant yield losses and reduced efficiency of applied inputs (Horvath </w:t>
      </w:r>
      <w:r w:rsidRPr="0044786A">
        <w:rPr>
          <w:rFonts w:ascii="Arial" w:hAnsi="Arial" w:cs="Arial"/>
          <w:i/>
          <w:iCs/>
        </w:rPr>
        <w:t>et al</w:t>
      </w:r>
      <w:r w:rsidRPr="0044786A">
        <w:rPr>
          <w:rFonts w:ascii="Arial" w:hAnsi="Arial" w:cs="Arial"/>
        </w:rPr>
        <w:t xml:space="preserve">.,2023). In modern agriculture to combat this challenge, herbicides have emerged as one of the most effective and widely adopted tools for weed management in modern agriculture (Parven </w:t>
      </w:r>
      <w:r w:rsidRPr="0044786A">
        <w:rPr>
          <w:rFonts w:ascii="Arial" w:hAnsi="Arial" w:cs="Arial"/>
          <w:i/>
          <w:iCs/>
        </w:rPr>
        <w:t>et al</w:t>
      </w:r>
      <w:r w:rsidRPr="0044786A">
        <w:rPr>
          <w:rFonts w:ascii="Arial" w:hAnsi="Arial" w:cs="Arial"/>
        </w:rPr>
        <w:t>., 2025). Herbicide can be defined as “Herbicides are chemical or biological agents that are applied to control, suppress or eradicate unwanted plant species by disrupting essential physiological and biochemical processes, while ideally minimizing damage to crops and the environment” (</w:t>
      </w:r>
      <w:proofErr w:type="spellStart"/>
      <w:r w:rsidRPr="0044786A">
        <w:rPr>
          <w:rFonts w:ascii="Arial" w:hAnsi="Arial" w:cs="Arial"/>
        </w:rPr>
        <w:t>Mesnage</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xml:space="preserve">., </w:t>
      </w:r>
      <w:r w:rsidRPr="0044786A">
        <w:rPr>
          <w:rFonts w:ascii="Arial" w:hAnsi="Arial" w:cs="Arial"/>
        </w:rPr>
        <w:lastRenderedPageBreak/>
        <w:t>2021</w:t>
      </w:r>
      <w:r w:rsidR="00E60A37">
        <w:rPr>
          <w:rFonts w:ascii="Arial" w:hAnsi="Arial" w:cs="Arial"/>
        </w:rPr>
        <w:t xml:space="preserve">; </w:t>
      </w:r>
      <w:proofErr w:type="spellStart"/>
      <w:r w:rsidR="00E60A37" w:rsidRPr="00E60A37">
        <w:rPr>
          <w:rFonts w:ascii="Arial" w:hAnsi="Arial" w:cs="Arial"/>
        </w:rPr>
        <w:t>Tomar</w:t>
      </w:r>
      <w:proofErr w:type="spellEnd"/>
      <w:r w:rsidR="00E60A37">
        <w:rPr>
          <w:rFonts w:ascii="Arial" w:hAnsi="Arial" w:cs="Arial"/>
        </w:rPr>
        <w:t xml:space="preserve"> et al., 2023</w:t>
      </w:r>
      <w:r w:rsidRPr="0044786A">
        <w:rPr>
          <w:rFonts w:ascii="Arial" w:hAnsi="Arial" w:cs="Arial"/>
        </w:rPr>
        <w:t>). The adoption of herbicide started around mid-20th century. (Davis and Frisvold, 2017)</w:t>
      </w:r>
      <w:r w:rsidR="002A347B">
        <w:rPr>
          <w:rFonts w:ascii="Arial" w:hAnsi="Arial" w:cs="Arial"/>
        </w:rPr>
        <w:t>.</w:t>
      </w:r>
    </w:p>
    <w:p w14:paraId="22387A6C" w14:textId="4C94076E" w:rsidR="00DD4456" w:rsidRDefault="0044786A" w:rsidP="00DD4456">
      <w:pPr>
        <w:pStyle w:val="Body"/>
        <w:rPr>
          <w:rFonts w:ascii="Arial" w:hAnsi="Arial" w:cs="Arial"/>
        </w:rPr>
      </w:pPr>
      <w:r w:rsidRPr="0044786A">
        <w:rPr>
          <w:rFonts w:ascii="Arial" w:hAnsi="Arial" w:cs="Arial"/>
        </w:rPr>
        <w:t xml:space="preserve">Along the past years herbicides have played a key transformative role in modern agriculture by providing efficient, reliable and economical weed control across diverse cropping systems (Nath </w:t>
      </w:r>
      <w:r w:rsidRPr="0044786A">
        <w:rPr>
          <w:rFonts w:ascii="Arial" w:hAnsi="Arial" w:cs="Arial"/>
          <w:i/>
          <w:iCs/>
        </w:rPr>
        <w:t>et al</w:t>
      </w:r>
      <w:r w:rsidRPr="0044786A">
        <w:rPr>
          <w:rFonts w:ascii="Arial" w:hAnsi="Arial" w:cs="Arial"/>
        </w:rPr>
        <w:t xml:space="preserve">., 2024). However, the long-term application and indiscriminate use of herbicides by farmers have imposed intense selection pressure on weed populations which resulted in the rapid development of herbicide resistance in different weed species (Ofosu </w:t>
      </w:r>
      <w:r w:rsidRPr="0044786A">
        <w:rPr>
          <w:rFonts w:ascii="Arial" w:hAnsi="Arial" w:cs="Arial"/>
          <w:i/>
          <w:iCs/>
        </w:rPr>
        <w:t>et al</w:t>
      </w:r>
      <w:r w:rsidRPr="0044786A">
        <w:rPr>
          <w:rFonts w:ascii="Arial" w:hAnsi="Arial" w:cs="Arial"/>
        </w:rPr>
        <w:t>., 2023). Although it was for long time an isolated phenomenon but in recent past it has become global challenge affecting major cropping systems, including rice-wheat, maize-soybean and cotton-based rotations. In modern agriculture the availability of herbicides has played a key transformative role by providing reliable, economic and efficient method of weed management across diverse cropping systems (Gao and Su 2024).</w:t>
      </w:r>
      <w:r w:rsidR="002A347B">
        <w:rPr>
          <w:rFonts w:ascii="Arial" w:hAnsi="Arial" w:cs="Arial"/>
        </w:rPr>
        <w:t xml:space="preserve"> </w:t>
      </w:r>
      <w:r w:rsidRPr="0044786A">
        <w:rPr>
          <w:rFonts w:ascii="Arial" w:hAnsi="Arial" w:cs="Arial"/>
        </w:rPr>
        <w:t xml:space="preserve">A significant contribution towards yield stability, </w:t>
      </w:r>
      <w:proofErr w:type="spellStart"/>
      <w:r w:rsidRPr="0044786A">
        <w:rPr>
          <w:rFonts w:ascii="Arial" w:hAnsi="Arial" w:cs="Arial"/>
        </w:rPr>
        <w:t>labour</w:t>
      </w:r>
      <w:proofErr w:type="spellEnd"/>
      <w:r w:rsidRPr="0044786A">
        <w:rPr>
          <w:rFonts w:ascii="Arial" w:hAnsi="Arial" w:cs="Arial"/>
        </w:rPr>
        <w:t xml:space="preserve"> savings and the intensification of food production needed to meet the demands of a growing global population has been achieved with help of widespread herbicide adoption (Rahul </w:t>
      </w:r>
      <w:r w:rsidRPr="0044786A">
        <w:rPr>
          <w:rFonts w:ascii="Arial" w:hAnsi="Arial" w:cs="Arial"/>
          <w:i/>
          <w:iCs/>
        </w:rPr>
        <w:t>et al</w:t>
      </w:r>
      <w:r w:rsidRPr="0044786A">
        <w:rPr>
          <w:rFonts w:ascii="Arial" w:hAnsi="Arial" w:cs="Arial"/>
        </w:rPr>
        <w:t>., 2025). However, the continuous and indiscriminate use of herbicides has led to an unexpected consequence that is herbicide resistance (</w:t>
      </w:r>
      <w:proofErr w:type="spellStart"/>
      <w:r w:rsidRPr="0044786A">
        <w:rPr>
          <w:rFonts w:ascii="Arial" w:hAnsi="Arial" w:cs="Arial"/>
        </w:rPr>
        <w:t>Damalas</w:t>
      </w:r>
      <w:proofErr w:type="spellEnd"/>
      <w:r w:rsidRPr="0044786A">
        <w:rPr>
          <w:rFonts w:ascii="Arial" w:hAnsi="Arial" w:cs="Arial"/>
        </w:rPr>
        <w:t xml:space="preserve"> and </w:t>
      </w:r>
      <w:proofErr w:type="spellStart"/>
      <w:r w:rsidRPr="0044786A">
        <w:rPr>
          <w:rFonts w:ascii="Arial" w:hAnsi="Arial" w:cs="Arial"/>
        </w:rPr>
        <w:t>Koutroubas</w:t>
      </w:r>
      <w:proofErr w:type="spellEnd"/>
      <w:r w:rsidRPr="0044786A">
        <w:rPr>
          <w:rFonts w:ascii="Arial" w:hAnsi="Arial" w:cs="Arial"/>
        </w:rPr>
        <w:t xml:space="preserve">, 2024). </w:t>
      </w:r>
    </w:p>
    <w:p w14:paraId="01391380" w14:textId="3232BA7D" w:rsidR="00DD4456" w:rsidRPr="00DD4456" w:rsidRDefault="0044786A" w:rsidP="00DD4456">
      <w:pPr>
        <w:jc w:val="both"/>
        <w:rPr>
          <w:rFonts w:ascii="Arial" w:hAnsi="Arial" w:cs="Arial"/>
        </w:rPr>
      </w:pPr>
      <w:r w:rsidRPr="0044786A">
        <w:rPr>
          <w:rFonts w:ascii="Arial" w:hAnsi="Arial" w:cs="Arial"/>
        </w:rPr>
        <w:t xml:space="preserve">Herbicide resistance in simple words can be explained as “the inherited ability of a weed population to survive and reproduce following exposure to </w:t>
      </w:r>
      <w:proofErr w:type="gramStart"/>
      <w:r w:rsidRPr="0044786A">
        <w:rPr>
          <w:rFonts w:ascii="Arial" w:hAnsi="Arial" w:cs="Arial"/>
        </w:rPr>
        <w:t>a</w:t>
      </w:r>
      <w:proofErr w:type="gramEnd"/>
      <w:r w:rsidRPr="0044786A">
        <w:rPr>
          <w:rFonts w:ascii="Arial" w:hAnsi="Arial" w:cs="Arial"/>
        </w:rPr>
        <w:t xml:space="preserve"> herbicide dose that would normally be lethal to the wild-type population.” </w:t>
      </w:r>
      <w:r w:rsidR="00DD4456" w:rsidRPr="00DD4456">
        <w:rPr>
          <w:rFonts w:ascii="Arial" w:hAnsi="Arial" w:cs="Arial"/>
        </w:rPr>
        <w:t>Globally, at present there are 541 unique cases of herbicide resistant weed. Out of the 31 known herbicide sites of action weeds have evolved resistance to 21 of them. Incidence of herbicide resistant weeds have been reported in 102 crops in 75 countries (Heap, 2026). Herbicide resistance is being reported across all the major agricultural regions</w:t>
      </w:r>
      <w:r w:rsidR="00D153CF">
        <w:rPr>
          <w:rFonts w:ascii="Arial" w:hAnsi="Arial" w:cs="Arial"/>
        </w:rPr>
        <w:t xml:space="preserve"> (</w:t>
      </w:r>
      <w:r w:rsidR="0019135B">
        <w:rPr>
          <w:rFonts w:ascii="Arial" w:hAnsi="Arial" w:cs="Arial"/>
        </w:rPr>
        <w:t>Table 1</w:t>
      </w:r>
      <w:r w:rsidR="00D153CF">
        <w:rPr>
          <w:rFonts w:ascii="Arial" w:hAnsi="Arial" w:cs="Arial"/>
        </w:rPr>
        <w:t>)</w:t>
      </w:r>
      <w:r w:rsidR="00DD4456" w:rsidRPr="00DD4456">
        <w:rPr>
          <w:rFonts w:ascii="Arial" w:hAnsi="Arial" w:cs="Arial"/>
        </w:rPr>
        <w:t xml:space="preserve">. Resistant weeds such as </w:t>
      </w:r>
      <w:r w:rsidR="00DD4456" w:rsidRPr="00DD4456">
        <w:rPr>
          <w:rFonts w:ascii="Arial" w:hAnsi="Arial" w:cs="Arial"/>
          <w:i/>
          <w:iCs/>
        </w:rPr>
        <w:t>Amaranthus spp.</w:t>
      </w:r>
      <w:r w:rsidR="00DD4456" w:rsidRPr="00DD4456">
        <w:rPr>
          <w:rFonts w:ascii="Arial" w:hAnsi="Arial" w:cs="Arial"/>
        </w:rPr>
        <w:t xml:space="preserve">, </w:t>
      </w:r>
      <w:proofErr w:type="spellStart"/>
      <w:r w:rsidR="00DD4456" w:rsidRPr="00DD4456">
        <w:rPr>
          <w:rFonts w:ascii="Arial" w:hAnsi="Arial" w:cs="Arial"/>
          <w:i/>
          <w:iCs/>
        </w:rPr>
        <w:t>Lolium</w:t>
      </w:r>
      <w:proofErr w:type="spellEnd"/>
      <w:r w:rsidR="00DD4456" w:rsidRPr="00DD4456">
        <w:rPr>
          <w:rFonts w:ascii="Arial" w:hAnsi="Arial" w:cs="Arial"/>
          <w:i/>
          <w:iCs/>
        </w:rPr>
        <w:t xml:space="preserve"> </w:t>
      </w:r>
      <w:proofErr w:type="spellStart"/>
      <w:r w:rsidR="00DD4456" w:rsidRPr="00DD4456">
        <w:rPr>
          <w:rFonts w:ascii="Arial" w:hAnsi="Arial" w:cs="Arial"/>
          <w:i/>
          <w:iCs/>
        </w:rPr>
        <w:t>rigidum</w:t>
      </w:r>
      <w:proofErr w:type="spellEnd"/>
      <w:r w:rsidR="00DD4456" w:rsidRPr="00DD4456">
        <w:rPr>
          <w:rFonts w:ascii="Arial" w:hAnsi="Arial" w:cs="Arial"/>
        </w:rPr>
        <w:t xml:space="preserve">, </w:t>
      </w:r>
      <w:proofErr w:type="spellStart"/>
      <w:r w:rsidR="00DD4456" w:rsidRPr="00DD4456">
        <w:rPr>
          <w:rFonts w:ascii="Arial" w:hAnsi="Arial" w:cs="Arial"/>
          <w:i/>
          <w:iCs/>
        </w:rPr>
        <w:t>Echinochloa</w:t>
      </w:r>
      <w:proofErr w:type="spellEnd"/>
      <w:r w:rsidR="00DD4456" w:rsidRPr="00DD4456">
        <w:rPr>
          <w:rFonts w:ascii="Arial" w:hAnsi="Arial" w:cs="Arial"/>
          <w:i/>
          <w:iCs/>
        </w:rPr>
        <w:t xml:space="preserve"> spp.</w:t>
      </w:r>
      <w:r w:rsidR="00DD4456" w:rsidRPr="00DD4456">
        <w:rPr>
          <w:rFonts w:ascii="Arial" w:hAnsi="Arial" w:cs="Arial"/>
        </w:rPr>
        <w:t xml:space="preserve"> and </w:t>
      </w:r>
      <w:r w:rsidR="00DD4456" w:rsidRPr="00DD4456">
        <w:rPr>
          <w:rFonts w:ascii="Arial" w:hAnsi="Arial" w:cs="Arial"/>
          <w:i/>
          <w:iCs/>
        </w:rPr>
        <w:t>Phalaris minor</w:t>
      </w:r>
      <w:r w:rsidR="00DD4456" w:rsidRPr="00DD4456">
        <w:rPr>
          <w:rFonts w:ascii="Arial" w:hAnsi="Arial" w:cs="Arial"/>
        </w:rPr>
        <w:t xml:space="preserve"> have caused substantial yield losses and increased weed management costs (Ofosu </w:t>
      </w:r>
      <w:r w:rsidR="00DD4456" w:rsidRPr="00DD4456">
        <w:rPr>
          <w:rFonts w:ascii="Arial" w:hAnsi="Arial" w:cs="Arial"/>
          <w:i/>
          <w:iCs/>
        </w:rPr>
        <w:t>et al</w:t>
      </w:r>
      <w:r w:rsidR="00DD4456" w:rsidRPr="00DD4456">
        <w:rPr>
          <w:rFonts w:ascii="Arial" w:hAnsi="Arial" w:cs="Arial"/>
        </w:rPr>
        <w:t>., 2023). In developing countries, herbicide resistance poses an additional burden due to limited access to alternative technologies and advisory services.</w:t>
      </w:r>
      <w:r w:rsidR="000B43D4">
        <w:rPr>
          <w:rFonts w:ascii="Arial" w:hAnsi="Arial" w:cs="Arial"/>
        </w:rPr>
        <w:t xml:space="preserve"> </w:t>
      </w:r>
      <w:r w:rsidR="006357C4">
        <w:rPr>
          <w:rFonts w:ascii="Arial" w:hAnsi="Arial" w:cs="Arial"/>
        </w:rPr>
        <w:t>A</w:t>
      </w:r>
      <w:r w:rsidR="006357C4" w:rsidRPr="006357C4">
        <w:rPr>
          <w:rFonts w:ascii="Arial" w:hAnsi="Arial" w:cs="Arial"/>
        </w:rPr>
        <w:t xml:space="preserve"> study done in 2024 by the Federation of Seed Industry of India (FSII) estimated that weeds reduce productivity by 25–26% in kharif crops and 18–25% in rabi crops (Mishra and Choudhary, 2025), which sums up to a loss of ₹92,000 crore ($11 billion) in total with $4.42 billion in rice, $3.38 billion in wheat and $1.56 billion in soybean (Anonymous, 2024a).</w:t>
      </w:r>
    </w:p>
    <w:p w14:paraId="70E0DD7C" w14:textId="4B64CBB6" w:rsidR="0044786A" w:rsidRDefault="0044786A" w:rsidP="00DD4456">
      <w:pPr>
        <w:pStyle w:val="Body"/>
        <w:rPr>
          <w:rFonts w:ascii="Arial" w:hAnsi="Arial" w:cs="Arial"/>
        </w:rPr>
      </w:pPr>
      <w:r w:rsidRPr="0044786A">
        <w:rPr>
          <w:rFonts w:ascii="Arial" w:hAnsi="Arial" w:cs="Arial"/>
        </w:rPr>
        <w:t xml:space="preserve">Herbicide resistance is an evolutionary response that is mainly driven by repeated and strong selection pressure due to chemical weed management (Mendes </w:t>
      </w:r>
      <w:r w:rsidRPr="0044786A">
        <w:rPr>
          <w:rFonts w:ascii="Arial" w:hAnsi="Arial" w:cs="Arial"/>
          <w:i/>
          <w:iCs/>
        </w:rPr>
        <w:t>et al</w:t>
      </w:r>
      <w:r w:rsidRPr="0044786A">
        <w:rPr>
          <w:rFonts w:ascii="Arial" w:hAnsi="Arial" w:cs="Arial"/>
        </w:rPr>
        <w:t>., 2022). As time passes weed biotypes possessing traits that help survival under herbicide exposure increase in frequency, ultimately turning the once susceptible into resistant biotype</w:t>
      </w:r>
      <w:r w:rsidR="00D153CF">
        <w:rPr>
          <w:rFonts w:ascii="Arial" w:hAnsi="Arial" w:cs="Arial"/>
        </w:rPr>
        <w:t xml:space="preserve"> (Table 1)</w:t>
      </w:r>
      <w:r w:rsidRPr="0044786A">
        <w:rPr>
          <w:rFonts w:ascii="Arial" w:hAnsi="Arial" w:cs="Arial"/>
        </w:rPr>
        <w:t>. Development of herbicide resistance is not just a biochemical phenomenon but also agronomic one that is deeply influenced by cropping pattern, tillage systems and herbicide use intensity (</w:t>
      </w:r>
      <w:proofErr w:type="spellStart"/>
      <w:r w:rsidRPr="0044786A">
        <w:rPr>
          <w:rFonts w:ascii="Arial" w:hAnsi="Arial" w:cs="Arial"/>
        </w:rPr>
        <w:t>Mucheri</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2024). Hence</w:t>
      </w:r>
      <w:r w:rsidR="00DD4456">
        <w:rPr>
          <w:rFonts w:ascii="Arial" w:hAnsi="Arial" w:cs="Arial"/>
        </w:rPr>
        <w:t>,</w:t>
      </w:r>
      <w:r w:rsidRPr="0044786A">
        <w:rPr>
          <w:rFonts w:ascii="Arial" w:hAnsi="Arial" w:cs="Arial"/>
        </w:rPr>
        <w:t xml:space="preserve"> understanding the evolutionary mechanism through agronomic point of view is very essential for developing durable mitigation strategies</w:t>
      </w:r>
      <w:r>
        <w:rPr>
          <w:rFonts w:ascii="Arial" w:hAnsi="Arial" w:cs="Arial"/>
        </w:rPr>
        <w:t>.</w:t>
      </w:r>
    </w:p>
    <w:p w14:paraId="1A842E1C" w14:textId="736C0DBE" w:rsidR="007267A7" w:rsidRDefault="00802911" w:rsidP="00DD4456">
      <w:pPr>
        <w:pStyle w:val="Body"/>
        <w:rPr>
          <w:rFonts w:ascii="Arial" w:hAnsi="Arial" w:cs="Arial"/>
        </w:rPr>
      </w:pPr>
      <w:r>
        <w:rPr>
          <w:rFonts w:ascii="Arial" w:hAnsi="Arial" w:cs="Arial"/>
        </w:rPr>
        <w:t xml:space="preserve">Table 1. </w:t>
      </w:r>
      <w:r w:rsidR="008710A0">
        <w:rPr>
          <w:rFonts w:ascii="Arial" w:hAnsi="Arial" w:cs="Arial"/>
        </w:rPr>
        <w:t>S</w:t>
      </w:r>
      <w:r w:rsidR="00FB2B03">
        <w:rPr>
          <w:rFonts w:ascii="Arial" w:hAnsi="Arial" w:cs="Arial"/>
        </w:rPr>
        <w:t xml:space="preserve">ome newly developed cases of </w:t>
      </w:r>
      <w:r w:rsidR="008710A0">
        <w:rPr>
          <w:rFonts w:ascii="Arial" w:hAnsi="Arial" w:cs="Arial"/>
        </w:rPr>
        <w:t>herbicide resistance globally.</w:t>
      </w:r>
    </w:p>
    <w:tbl>
      <w:tblPr>
        <w:tblStyle w:val="TableGrid"/>
        <w:tblW w:w="8378" w:type="dxa"/>
        <w:tblLook w:val="04A0" w:firstRow="1" w:lastRow="0" w:firstColumn="1" w:lastColumn="0" w:noHBand="0" w:noVBand="1"/>
      </w:tblPr>
      <w:tblGrid>
        <w:gridCol w:w="585"/>
        <w:gridCol w:w="1632"/>
        <w:gridCol w:w="1182"/>
        <w:gridCol w:w="1227"/>
        <w:gridCol w:w="2181"/>
        <w:gridCol w:w="910"/>
        <w:gridCol w:w="661"/>
      </w:tblGrid>
      <w:tr w:rsidR="00F77CAE" w:rsidRPr="00323453" w14:paraId="1FB01036" w14:textId="77777777" w:rsidTr="00824A1E">
        <w:tc>
          <w:tcPr>
            <w:tcW w:w="0" w:type="auto"/>
            <w:hideMark/>
          </w:tcPr>
          <w:p w14:paraId="3C0CB90E"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S. No.</w:t>
            </w:r>
          </w:p>
        </w:tc>
        <w:tc>
          <w:tcPr>
            <w:tcW w:w="0" w:type="auto"/>
            <w:hideMark/>
          </w:tcPr>
          <w:p w14:paraId="4F241185"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Weed species</w:t>
            </w:r>
          </w:p>
        </w:tc>
        <w:tc>
          <w:tcPr>
            <w:tcW w:w="0" w:type="auto"/>
            <w:hideMark/>
          </w:tcPr>
          <w:p w14:paraId="35C10770"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Crop / system</w:t>
            </w:r>
          </w:p>
        </w:tc>
        <w:tc>
          <w:tcPr>
            <w:tcW w:w="1227" w:type="dxa"/>
            <w:hideMark/>
          </w:tcPr>
          <w:p w14:paraId="494731A6"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Country</w:t>
            </w:r>
          </w:p>
        </w:tc>
        <w:tc>
          <w:tcPr>
            <w:tcW w:w="0" w:type="auto"/>
            <w:hideMark/>
          </w:tcPr>
          <w:p w14:paraId="4B487E9A"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Herbicide mechanism (Site of Action)</w:t>
            </w:r>
          </w:p>
        </w:tc>
        <w:tc>
          <w:tcPr>
            <w:tcW w:w="0" w:type="auto"/>
            <w:hideMark/>
          </w:tcPr>
          <w:p w14:paraId="372DB6DB"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HRAC group</w:t>
            </w:r>
          </w:p>
        </w:tc>
        <w:tc>
          <w:tcPr>
            <w:tcW w:w="0" w:type="auto"/>
            <w:hideMark/>
          </w:tcPr>
          <w:p w14:paraId="6FCCD263" w14:textId="77777777" w:rsidR="00F77CAE" w:rsidRPr="00323453" w:rsidRDefault="00F77CAE" w:rsidP="00F77CAE">
            <w:pPr>
              <w:pStyle w:val="Body"/>
              <w:rPr>
                <w:rFonts w:ascii="Arial" w:hAnsi="Arial" w:cs="Arial"/>
                <w:b/>
                <w:bCs/>
                <w:sz w:val="20"/>
                <w:szCs w:val="20"/>
                <w:lang w:val="en-IN"/>
              </w:rPr>
            </w:pPr>
            <w:r w:rsidRPr="00323453">
              <w:rPr>
                <w:rFonts w:ascii="Arial" w:hAnsi="Arial" w:cs="Arial"/>
                <w:b/>
                <w:bCs/>
                <w:sz w:val="20"/>
                <w:szCs w:val="20"/>
                <w:lang w:val="en-IN"/>
              </w:rPr>
              <w:t>Year</w:t>
            </w:r>
          </w:p>
        </w:tc>
      </w:tr>
      <w:tr w:rsidR="00F77CAE" w:rsidRPr="00323453" w14:paraId="2F2CE6AD" w14:textId="77777777" w:rsidTr="00824A1E">
        <w:tc>
          <w:tcPr>
            <w:tcW w:w="0" w:type="auto"/>
            <w:hideMark/>
          </w:tcPr>
          <w:p w14:paraId="406A9EFD"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1</w:t>
            </w:r>
          </w:p>
        </w:tc>
        <w:tc>
          <w:tcPr>
            <w:tcW w:w="0" w:type="auto"/>
            <w:hideMark/>
          </w:tcPr>
          <w:p w14:paraId="556232AA" w14:textId="77777777" w:rsidR="00F77CAE" w:rsidRPr="00323453" w:rsidRDefault="00F77CAE" w:rsidP="00F77CAE">
            <w:pPr>
              <w:pStyle w:val="Body"/>
              <w:rPr>
                <w:rFonts w:ascii="Arial" w:hAnsi="Arial" w:cs="Arial"/>
                <w:sz w:val="20"/>
                <w:szCs w:val="20"/>
                <w:lang w:val="en-IN"/>
              </w:rPr>
            </w:pPr>
            <w:proofErr w:type="spellStart"/>
            <w:r w:rsidRPr="00323453">
              <w:rPr>
                <w:rFonts w:ascii="Arial" w:hAnsi="Arial" w:cs="Arial"/>
                <w:i/>
                <w:iCs/>
                <w:sz w:val="20"/>
                <w:szCs w:val="20"/>
                <w:lang w:val="en-IN"/>
              </w:rPr>
              <w:t>Echinochloa</w:t>
            </w:r>
            <w:proofErr w:type="spellEnd"/>
            <w:r w:rsidRPr="00323453">
              <w:rPr>
                <w:rFonts w:ascii="Arial" w:hAnsi="Arial" w:cs="Arial"/>
                <w:i/>
                <w:iCs/>
                <w:sz w:val="20"/>
                <w:szCs w:val="20"/>
                <w:lang w:val="en-IN"/>
              </w:rPr>
              <w:t xml:space="preserve"> </w:t>
            </w:r>
            <w:proofErr w:type="spellStart"/>
            <w:r w:rsidRPr="00323453">
              <w:rPr>
                <w:rFonts w:ascii="Arial" w:hAnsi="Arial" w:cs="Arial"/>
                <w:i/>
                <w:iCs/>
                <w:sz w:val="20"/>
                <w:szCs w:val="20"/>
                <w:lang w:val="en-IN"/>
              </w:rPr>
              <w:t>colona</w:t>
            </w:r>
            <w:proofErr w:type="spellEnd"/>
          </w:p>
        </w:tc>
        <w:tc>
          <w:tcPr>
            <w:tcW w:w="0" w:type="auto"/>
            <w:hideMark/>
          </w:tcPr>
          <w:p w14:paraId="333E8D08"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Rice systems</w:t>
            </w:r>
          </w:p>
        </w:tc>
        <w:tc>
          <w:tcPr>
            <w:tcW w:w="1227" w:type="dxa"/>
            <w:hideMark/>
          </w:tcPr>
          <w:p w14:paraId="01B54D9E"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Spain</w:t>
            </w:r>
          </w:p>
        </w:tc>
        <w:tc>
          <w:tcPr>
            <w:tcW w:w="0" w:type="auto"/>
            <w:hideMark/>
          </w:tcPr>
          <w:p w14:paraId="236F547B"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EPSPS inhibition</w:t>
            </w:r>
          </w:p>
        </w:tc>
        <w:tc>
          <w:tcPr>
            <w:tcW w:w="0" w:type="auto"/>
            <w:hideMark/>
          </w:tcPr>
          <w:p w14:paraId="0108C15D"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9</w:t>
            </w:r>
          </w:p>
        </w:tc>
        <w:tc>
          <w:tcPr>
            <w:tcW w:w="0" w:type="auto"/>
            <w:hideMark/>
          </w:tcPr>
          <w:p w14:paraId="47EECCA0"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2025</w:t>
            </w:r>
          </w:p>
        </w:tc>
      </w:tr>
      <w:tr w:rsidR="00F77CAE" w:rsidRPr="00323453" w14:paraId="2344C869" w14:textId="77777777" w:rsidTr="00824A1E">
        <w:tc>
          <w:tcPr>
            <w:tcW w:w="0" w:type="auto"/>
            <w:hideMark/>
          </w:tcPr>
          <w:p w14:paraId="689A43E7"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lastRenderedPageBreak/>
              <w:t>2</w:t>
            </w:r>
          </w:p>
        </w:tc>
        <w:tc>
          <w:tcPr>
            <w:tcW w:w="0" w:type="auto"/>
            <w:hideMark/>
          </w:tcPr>
          <w:p w14:paraId="012BD295" w14:textId="77777777" w:rsidR="00F77CAE" w:rsidRPr="00323453" w:rsidRDefault="00F77CAE" w:rsidP="00F77CAE">
            <w:pPr>
              <w:pStyle w:val="Body"/>
              <w:rPr>
                <w:rFonts w:ascii="Arial" w:hAnsi="Arial" w:cs="Arial"/>
                <w:sz w:val="20"/>
                <w:szCs w:val="20"/>
                <w:lang w:val="en-IN"/>
              </w:rPr>
            </w:pPr>
            <w:proofErr w:type="spellStart"/>
            <w:r w:rsidRPr="00323453">
              <w:rPr>
                <w:rFonts w:ascii="Arial" w:hAnsi="Arial" w:cs="Arial"/>
                <w:i/>
                <w:iCs/>
                <w:sz w:val="20"/>
                <w:szCs w:val="20"/>
                <w:lang w:val="en-IN"/>
              </w:rPr>
              <w:t>Lolium</w:t>
            </w:r>
            <w:proofErr w:type="spellEnd"/>
            <w:r w:rsidRPr="00323453">
              <w:rPr>
                <w:rFonts w:ascii="Arial" w:hAnsi="Arial" w:cs="Arial"/>
                <w:i/>
                <w:iCs/>
                <w:sz w:val="20"/>
                <w:szCs w:val="20"/>
                <w:lang w:val="en-IN"/>
              </w:rPr>
              <w:t xml:space="preserve"> </w:t>
            </w:r>
            <w:proofErr w:type="spellStart"/>
            <w:r w:rsidRPr="00323453">
              <w:rPr>
                <w:rFonts w:ascii="Arial" w:hAnsi="Arial" w:cs="Arial"/>
                <w:i/>
                <w:iCs/>
                <w:sz w:val="20"/>
                <w:szCs w:val="20"/>
                <w:lang w:val="en-IN"/>
              </w:rPr>
              <w:t>perenne</w:t>
            </w:r>
            <w:proofErr w:type="spellEnd"/>
            <w:r w:rsidRPr="00323453">
              <w:rPr>
                <w:rFonts w:ascii="Arial" w:hAnsi="Arial" w:cs="Arial"/>
                <w:sz w:val="20"/>
                <w:szCs w:val="20"/>
                <w:lang w:val="en-IN"/>
              </w:rPr>
              <w:t xml:space="preserve"> ssp. </w:t>
            </w:r>
            <w:r w:rsidRPr="00323453">
              <w:rPr>
                <w:rFonts w:ascii="Arial" w:hAnsi="Arial" w:cs="Arial"/>
                <w:i/>
                <w:iCs/>
                <w:sz w:val="20"/>
                <w:szCs w:val="20"/>
                <w:lang w:val="en-IN"/>
              </w:rPr>
              <w:t>multiflorum</w:t>
            </w:r>
          </w:p>
        </w:tc>
        <w:tc>
          <w:tcPr>
            <w:tcW w:w="0" w:type="auto"/>
            <w:hideMark/>
          </w:tcPr>
          <w:p w14:paraId="093A538E" w14:textId="7B97582F"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 xml:space="preserve">Cereals </w:t>
            </w:r>
          </w:p>
        </w:tc>
        <w:tc>
          <w:tcPr>
            <w:tcW w:w="1227" w:type="dxa"/>
            <w:hideMark/>
          </w:tcPr>
          <w:p w14:paraId="1DA4359F"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USA (North Carolina)</w:t>
            </w:r>
          </w:p>
        </w:tc>
        <w:tc>
          <w:tcPr>
            <w:tcW w:w="0" w:type="auto"/>
            <w:hideMark/>
          </w:tcPr>
          <w:p w14:paraId="3FA9DB3B"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PPO inhibition + VLCFA synthesis inhibition (multiple resistance)</w:t>
            </w:r>
          </w:p>
        </w:tc>
        <w:tc>
          <w:tcPr>
            <w:tcW w:w="0" w:type="auto"/>
            <w:hideMark/>
          </w:tcPr>
          <w:p w14:paraId="724C4D0C"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14, 15</w:t>
            </w:r>
          </w:p>
        </w:tc>
        <w:tc>
          <w:tcPr>
            <w:tcW w:w="0" w:type="auto"/>
            <w:hideMark/>
          </w:tcPr>
          <w:p w14:paraId="7434A903"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2022</w:t>
            </w:r>
          </w:p>
        </w:tc>
      </w:tr>
      <w:tr w:rsidR="00F77CAE" w:rsidRPr="00323453" w14:paraId="180A7361" w14:textId="77777777" w:rsidTr="00824A1E">
        <w:tc>
          <w:tcPr>
            <w:tcW w:w="0" w:type="auto"/>
            <w:hideMark/>
          </w:tcPr>
          <w:p w14:paraId="20C9226A"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3</w:t>
            </w:r>
          </w:p>
        </w:tc>
        <w:tc>
          <w:tcPr>
            <w:tcW w:w="0" w:type="auto"/>
            <w:hideMark/>
          </w:tcPr>
          <w:p w14:paraId="5F39EDCF" w14:textId="77777777" w:rsidR="00F77CAE" w:rsidRPr="00323453" w:rsidRDefault="00F77CAE" w:rsidP="00F77CAE">
            <w:pPr>
              <w:pStyle w:val="Body"/>
              <w:rPr>
                <w:rFonts w:ascii="Arial" w:hAnsi="Arial" w:cs="Arial"/>
                <w:sz w:val="20"/>
                <w:szCs w:val="20"/>
                <w:lang w:val="en-IN"/>
              </w:rPr>
            </w:pPr>
            <w:proofErr w:type="spellStart"/>
            <w:r w:rsidRPr="00323453">
              <w:rPr>
                <w:rFonts w:ascii="Arial" w:hAnsi="Arial" w:cs="Arial"/>
                <w:i/>
                <w:iCs/>
                <w:sz w:val="20"/>
                <w:szCs w:val="20"/>
                <w:lang w:val="en-IN"/>
              </w:rPr>
              <w:t>Galium</w:t>
            </w:r>
            <w:proofErr w:type="spellEnd"/>
            <w:r w:rsidRPr="00323453">
              <w:rPr>
                <w:rFonts w:ascii="Arial" w:hAnsi="Arial" w:cs="Arial"/>
                <w:i/>
                <w:iCs/>
                <w:sz w:val="20"/>
                <w:szCs w:val="20"/>
                <w:lang w:val="en-IN"/>
              </w:rPr>
              <w:t xml:space="preserve"> </w:t>
            </w:r>
            <w:proofErr w:type="spellStart"/>
            <w:r w:rsidRPr="00323453">
              <w:rPr>
                <w:rFonts w:ascii="Arial" w:hAnsi="Arial" w:cs="Arial"/>
                <w:i/>
                <w:iCs/>
                <w:sz w:val="20"/>
                <w:szCs w:val="20"/>
                <w:lang w:val="en-IN"/>
              </w:rPr>
              <w:t>aparine</w:t>
            </w:r>
            <w:proofErr w:type="spellEnd"/>
          </w:p>
        </w:tc>
        <w:tc>
          <w:tcPr>
            <w:tcW w:w="0" w:type="auto"/>
            <w:hideMark/>
          </w:tcPr>
          <w:p w14:paraId="4C650BF8"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Wheat / cereals</w:t>
            </w:r>
          </w:p>
        </w:tc>
        <w:tc>
          <w:tcPr>
            <w:tcW w:w="1227" w:type="dxa"/>
            <w:hideMark/>
          </w:tcPr>
          <w:p w14:paraId="5B8906E7"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Austria</w:t>
            </w:r>
          </w:p>
        </w:tc>
        <w:tc>
          <w:tcPr>
            <w:tcW w:w="0" w:type="auto"/>
            <w:hideMark/>
          </w:tcPr>
          <w:p w14:paraId="32DAB5A5"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ALS inhibition</w:t>
            </w:r>
          </w:p>
        </w:tc>
        <w:tc>
          <w:tcPr>
            <w:tcW w:w="0" w:type="auto"/>
            <w:hideMark/>
          </w:tcPr>
          <w:p w14:paraId="0B7739BC"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w:t>
            </w:r>
          </w:p>
        </w:tc>
        <w:tc>
          <w:tcPr>
            <w:tcW w:w="0" w:type="auto"/>
            <w:hideMark/>
          </w:tcPr>
          <w:p w14:paraId="77EE9D03"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2024</w:t>
            </w:r>
          </w:p>
        </w:tc>
      </w:tr>
      <w:tr w:rsidR="00F77CAE" w:rsidRPr="00323453" w14:paraId="5D6665A6" w14:textId="77777777" w:rsidTr="00824A1E">
        <w:tc>
          <w:tcPr>
            <w:tcW w:w="0" w:type="auto"/>
            <w:hideMark/>
          </w:tcPr>
          <w:p w14:paraId="63F90A4E"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4</w:t>
            </w:r>
          </w:p>
        </w:tc>
        <w:tc>
          <w:tcPr>
            <w:tcW w:w="0" w:type="auto"/>
            <w:hideMark/>
          </w:tcPr>
          <w:p w14:paraId="640D49C5" w14:textId="77777777" w:rsidR="00F77CAE" w:rsidRPr="00323453" w:rsidRDefault="00F77CAE" w:rsidP="00F77CAE">
            <w:pPr>
              <w:pStyle w:val="Body"/>
              <w:rPr>
                <w:rFonts w:ascii="Arial" w:hAnsi="Arial" w:cs="Arial"/>
                <w:sz w:val="20"/>
                <w:szCs w:val="20"/>
                <w:lang w:val="en-IN"/>
              </w:rPr>
            </w:pPr>
            <w:r w:rsidRPr="00323453">
              <w:rPr>
                <w:rFonts w:ascii="Arial" w:hAnsi="Arial" w:cs="Arial"/>
                <w:i/>
                <w:iCs/>
                <w:sz w:val="20"/>
                <w:szCs w:val="20"/>
                <w:lang w:val="en-IN"/>
              </w:rPr>
              <w:t>Amaranthus tuberculatus</w:t>
            </w:r>
          </w:p>
        </w:tc>
        <w:tc>
          <w:tcPr>
            <w:tcW w:w="0" w:type="auto"/>
            <w:hideMark/>
          </w:tcPr>
          <w:p w14:paraId="6CD3F8EF"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Soybean / maize</w:t>
            </w:r>
          </w:p>
        </w:tc>
        <w:tc>
          <w:tcPr>
            <w:tcW w:w="1227" w:type="dxa"/>
            <w:hideMark/>
          </w:tcPr>
          <w:p w14:paraId="1B01D805"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USA (Illinois)</w:t>
            </w:r>
          </w:p>
        </w:tc>
        <w:tc>
          <w:tcPr>
            <w:tcW w:w="0" w:type="auto"/>
            <w:hideMark/>
          </w:tcPr>
          <w:p w14:paraId="30C90093"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Glutamine synthetase inhibition</w:t>
            </w:r>
          </w:p>
        </w:tc>
        <w:tc>
          <w:tcPr>
            <w:tcW w:w="0" w:type="auto"/>
            <w:hideMark/>
          </w:tcPr>
          <w:p w14:paraId="2A27C931"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10</w:t>
            </w:r>
          </w:p>
        </w:tc>
        <w:tc>
          <w:tcPr>
            <w:tcW w:w="0" w:type="auto"/>
            <w:hideMark/>
          </w:tcPr>
          <w:p w14:paraId="535E22B5"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2025</w:t>
            </w:r>
          </w:p>
        </w:tc>
      </w:tr>
      <w:tr w:rsidR="00F77CAE" w:rsidRPr="00323453" w14:paraId="6939EC4B" w14:textId="77777777" w:rsidTr="00824A1E">
        <w:tc>
          <w:tcPr>
            <w:tcW w:w="0" w:type="auto"/>
            <w:hideMark/>
          </w:tcPr>
          <w:p w14:paraId="3C5680B9"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5</w:t>
            </w:r>
          </w:p>
        </w:tc>
        <w:tc>
          <w:tcPr>
            <w:tcW w:w="0" w:type="auto"/>
            <w:hideMark/>
          </w:tcPr>
          <w:p w14:paraId="5D9516DE" w14:textId="77777777" w:rsidR="00F77CAE" w:rsidRPr="00323453" w:rsidRDefault="00F77CAE" w:rsidP="00F77CAE">
            <w:pPr>
              <w:pStyle w:val="Body"/>
              <w:rPr>
                <w:rFonts w:ascii="Arial" w:hAnsi="Arial" w:cs="Arial"/>
                <w:sz w:val="20"/>
                <w:szCs w:val="20"/>
                <w:lang w:val="en-IN"/>
              </w:rPr>
            </w:pPr>
            <w:r w:rsidRPr="00323453">
              <w:rPr>
                <w:rFonts w:ascii="Arial" w:hAnsi="Arial" w:cs="Arial"/>
                <w:i/>
                <w:iCs/>
                <w:sz w:val="20"/>
                <w:szCs w:val="20"/>
                <w:lang w:val="en-IN"/>
              </w:rPr>
              <w:t>Eleusine indica</w:t>
            </w:r>
          </w:p>
        </w:tc>
        <w:tc>
          <w:tcPr>
            <w:tcW w:w="0" w:type="auto"/>
            <w:hideMark/>
          </w:tcPr>
          <w:p w14:paraId="3B9B1E70"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Row crops</w:t>
            </w:r>
          </w:p>
        </w:tc>
        <w:tc>
          <w:tcPr>
            <w:tcW w:w="1227" w:type="dxa"/>
            <w:hideMark/>
          </w:tcPr>
          <w:p w14:paraId="48EB75B8"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Argentina</w:t>
            </w:r>
          </w:p>
        </w:tc>
        <w:tc>
          <w:tcPr>
            <w:tcW w:w="0" w:type="auto"/>
            <w:hideMark/>
          </w:tcPr>
          <w:p w14:paraId="0C0FF52E" w14:textId="77777777" w:rsidR="00F77CAE" w:rsidRPr="00323453" w:rsidRDefault="00F77CAE" w:rsidP="00F77CAE">
            <w:pPr>
              <w:pStyle w:val="Body"/>
              <w:rPr>
                <w:rFonts w:ascii="Arial" w:hAnsi="Arial" w:cs="Arial"/>
                <w:sz w:val="20"/>
                <w:szCs w:val="20"/>
                <w:lang w:val="en-IN"/>
              </w:rPr>
            </w:pPr>
            <w:proofErr w:type="spellStart"/>
            <w:r w:rsidRPr="00323453">
              <w:rPr>
                <w:rFonts w:ascii="Arial" w:hAnsi="Arial" w:cs="Arial"/>
                <w:sz w:val="20"/>
                <w:szCs w:val="20"/>
                <w:lang w:val="en-IN"/>
              </w:rPr>
              <w:t>ACCase</w:t>
            </w:r>
            <w:proofErr w:type="spellEnd"/>
            <w:r w:rsidRPr="00323453">
              <w:rPr>
                <w:rFonts w:ascii="Arial" w:hAnsi="Arial" w:cs="Arial"/>
                <w:sz w:val="20"/>
                <w:szCs w:val="20"/>
                <w:lang w:val="en-IN"/>
              </w:rPr>
              <w:t xml:space="preserve"> inhibition + EPSPS inhibition (multiple resistance)</w:t>
            </w:r>
          </w:p>
        </w:tc>
        <w:tc>
          <w:tcPr>
            <w:tcW w:w="0" w:type="auto"/>
            <w:hideMark/>
          </w:tcPr>
          <w:p w14:paraId="5B3D9750"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1, 9</w:t>
            </w:r>
          </w:p>
        </w:tc>
        <w:tc>
          <w:tcPr>
            <w:tcW w:w="0" w:type="auto"/>
            <w:hideMark/>
          </w:tcPr>
          <w:p w14:paraId="64E2BB57"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2019</w:t>
            </w:r>
          </w:p>
        </w:tc>
      </w:tr>
      <w:tr w:rsidR="00F77CAE" w:rsidRPr="00323453" w14:paraId="25C62F7C" w14:textId="77777777" w:rsidTr="00824A1E">
        <w:tc>
          <w:tcPr>
            <w:tcW w:w="0" w:type="auto"/>
            <w:hideMark/>
          </w:tcPr>
          <w:p w14:paraId="6E2AE477"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6</w:t>
            </w:r>
          </w:p>
        </w:tc>
        <w:tc>
          <w:tcPr>
            <w:tcW w:w="0" w:type="auto"/>
            <w:hideMark/>
          </w:tcPr>
          <w:p w14:paraId="7E8BA6A8" w14:textId="77777777" w:rsidR="00F77CAE" w:rsidRPr="00323453" w:rsidRDefault="00F77CAE" w:rsidP="00F77CAE">
            <w:pPr>
              <w:pStyle w:val="Body"/>
              <w:rPr>
                <w:rFonts w:ascii="Arial" w:hAnsi="Arial" w:cs="Arial"/>
                <w:sz w:val="20"/>
                <w:szCs w:val="20"/>
                <w:lang w:val="en-IN"/>
              </w:rPr>
            </w:pPr>
            <w:proofErr w:type="spellStart"/>
            <w:r w:rsidRPr="00323453">
              <w:rPr>
                <w:rFonts w:ascii="Arial" w:hAnsi="Arial" w:cs="Arial"/>
                <w:i/>
                <w:iCs/>
                <w:sz w:val="20"/>
                <w:szCs w:val="20"/>
                <w:lang w:val="en-IN"/>
              </w:rPr>
              <w:t>Ischaemum</w:t>
            </w:r>
            <w:proofErr w:type="spellEnd"/>
            <w:r w:rsidRPr="00323453">
              <w:rPr>
                <w:rFonts w:ascii="Arial" w:hAnsi="Arial" w:cs="Arial"/>
                <w:i/>
                <w:iCs/>
                <w:sz w:val="20"/>
                <w:szCs w:val="20"/>
                <w:lang w:val="en-IN"/>
              </w:rPr>
              <w:t xml:space="preserve"> </w:t>
            </w:r>
            <w:proofErr w:type="spellStart"/>
            <w:r w:rsidRPr="00323453">
              <w:rPr>
                <w:rFonts w:ascii="Arial" w:hAnsi="Arial" w:cs="Arial"/>
                <w:i/>
                <w:iCs/>
                <w:sz w:val="20"/>
                <w:szCs w:val="20"/>
                <w:lang w:val="en-IN"/>
              </w:rPr>
              <w:t>rugosum</w:t>
            </w:r>
            <w:proofErr w:type="spellEnd"/>
          </w:p>
        </w:tc>
        <w:tc>
          <w:tcPr>
            <w:tcW w:w="0" w:type="auto"/>
            <w:hideMark/>
          </w:tcPr>
          <w:p w14:paraId="4E857DEE"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Rice</w:t>
            </w:r>
          </w:p>
        </w:tc>
        <w:tc>
          <w:tcPr>
            <w:tcW w:w="1227" w:type="dxa"/>
            <w:hideMark/>
          </w:tcPr>
          <w:p w14:paraId="723CF9E3"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Brazil</w:t>
            </w:r>
          </w:p>
        </w:tc>
        <w:tc>
          <w:tcPr>
            <w:tcW w:w="0" w:type="auto"/>
            <w:hideMark/>
          </w:tcPr>
          <w:p w14:paraId="284B5EEB"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ALS inhibition</w:t>
            </w:r>
          </w:p>
        </w:tc>
        <w:tc>
          <w:tcPr>
            <w:tcW w:w="0" w:type="auto"/>
            <w:hideMark/>
          </w:tcPr>
          <w:p w14:paraId="6E85351C"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w:t>
            </w:r>
          </w:p>
        </w:tc>
        <w:tc>
          <w:tcPr>
            <w:tcW w:w="0" w:type="auto"/>
            <w:hideMark/>
          </w:tcPr>
          <w:p w14:paraId="075367EA"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2024</w:t>
            </w:r>
          </w:p>
        </w:tc>
      </w:tr>
      <w:tr w:rsidR="00F77CAE" w:rsidRPr="00323453" w14:paraId="714DB9B4" w14:textId="77777777" w:rsidTr="00824A1E">
        <w:tc>
          <w:tcPr>
            <w:tcW w:w="0" w:type="auto"/>
            <w:hideMark/>
          </w:tcPr>
          <w:p w14:paraId="3F1879B8"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7</w:t>
            </w:r>
          </w:p>
        </w:tc>
        <w:tc>
          <w:tcPr>
            <w:tcW w:w="0" w:type="auto"/>
            <w:hideMark/>
          </w:tcPr>
          <w:p w14:paraId="2902613C" w14:textId="77777777" w:rsidR="00F77CAE" w:rsidRPr="00323453" w:rsidRDefault="00F77CAE" w:rsidP="00F77CAE">
            <w:pPr>
              <w:pStyle w:val="Body"/>
              <w:rPr>
                <w:rFonts w:ascii="Arial" w:hAnsi="Arial" w:cs="Arial"/>
                <w:sz w:val="20"/>
                <w:szCs w:val="20"/>
                <w:lang w:val="en-IN"/>
              </w:rPr>
            </w:pPr>
            <w:r w:rsidRPr="00323453">
              <w:rPr>
                <w:rFonts w:ascii="Arial" w:hAnsi="Arial" w:cs="Arial"/>
                <w:i/>
                <w:iCs/>
                <w:sz w:val="20"/>
                <w:szCs w:val="20"/>
                <w:lang w:val="en-IN"/>
              </w:rPr>
              <w:t>Poa annua</w:t>
            </w:r>
          </w:p>
        </w:tc>
        <w:tc>
          <w:tcPr>
            <w:tcW w:w="0" w:type="auto"/>
            <w:hideMark/>
          </w:tcPr>
          <w:p w14:paraId="5B590905"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Turfgrass</w:t>
            </w:r>
          </w:p>
        </w:tc>
        <w:tc>
          <w:tcPr>
            <w:tcW w:w="1227" w:type="dxa"/>
            <w:hideMark/>
          </w:tcPr>
          <w:p w14:paraId="01BBF6F0"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USA (Oregon)</w:t>
            </w:r>
          </w:p>
        </w:tc>
        <w:tc>
          <w:tcPr>
            <w:tcW w:w="0" w:type="auto"/>
            <w:hideMark/>
          </w:tcPr>
          <w:p w14:paraId="22FCFACE"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Microtubule assembly inhibition</w:t>
            </w:r>
          </w:p>
        </w:tc>
        <w:tc>
          <w:tcPr>
            <w:tcW w:w="0" w:type="auto"/>
            <w:hideMark/>
          </w:tcPr>
          <w:p w14:paraId="5E2E6B5B"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3</w:t>
            </w:r>
          </w:p>
        </w:tc>
        <w:tc>
          <w:tcPr>
            <w:tcW w:w="0" w:type="auto"/>
            <w:hideMark/>
          </w:tcPr>
          <w:p w14:paraId="35D96D95"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2025</w:t>
            </w:r>
          </w:p>
        </w:tc>
      </w:tr>
      <w:tr w:rsidR="00F77CAE" w:rsidRPr="00323453" w14:paraId="26E80455" w14:textId="77777777" w:rsidTr="00824A1E">
        <w:tc>
          <w:tcPr>
            <w:tcW w:w="0" w:type="auto"/>
            <w:hideMark/>
          </w:tcPr>
          <w:p w14:paraId="4DDA20A8"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8</w:t>
            </w:r>
          </w:p>
        </w:tc>
        <w:tc>
          <w:tcPr>
            <w:tcW w:w="0" w:type="auto"/>
            <w:hideMark/>
          </w:tcPr>
          <w:p w14:paraId="4423A705" w14:textId="77777777" w:rsidR="00F77CAE" w:rsidRPr="00323453" w:rsidRDefault="00F77CAE" w:rsidP="00F77CAE">
            <w:pPr>
              <w:pStyle w:val="Body"/>
              <w:rPr>
                <w:rFonts w:ascii="Arial" w:hAnsi="Arial" w:cs="Arial"/>
                <w:sz w:val="20"/>
                <w:szCs w:val="20"/>
                <w:lang w:val="en-IN"/>
              </w:rPr>
            </w:pPr>
            <w:r w:rsidRPr="00323453">
              <w:rPr>
                <w:rFonts w:ascii="Arial" w:hAnsi="Arial" w:cs="Arial"/>
                <w:i/>
                <w:iCs/>
                <w:sz w:val="20"/>
                <w:szCs w:val="20"/>
                <w:lang w:val="en-IN"/>
              </w:rPr>
              <w:t>Poa annua</w:t>
            </w:r>
          </w:p>
        </w:tc>
        <w:tc>
          <w:tcPr>
            <w:tcW w:w="0" w:type="auto"/>
            <w:hideMark/>
          </w:tcPr>
          <w:p w14:paraId="26CB4A6D"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Turfgrass</w:t>
            </w:r>
          </w:p>
        </w:tc>
        <w:tc>
          <w:tcPr>
            <w:tcW w:w="1227" w:type="dxa"/>
            <w:hideMark/>
          </w:tcPr>
          <w:p w14:paraId="5FF308BE"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USA (Oregon)</w:t>
            </w:r>
          </w:p>
        </w:tc>
        <w:tc>
          <w:tcPr>
            <w:tcW w:w="0" w:type="auto"/>
            <w:hideMark/>
          </w:tcPr>
          <w:p w14:paraId="09A3565D"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EPSPS inhibition</w:t>
            </w:r>
          </w:p>
        </w:tc>
        <w:tc>
          <w:tcPr>
            <w:tcW w:w="0" w:type="auto"/>
            <w:hideMark/>
          </w:tcPr>
          <w:p w14:paraId="5A34F27E"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9</w:t>
            </w:r>
          </w:p>
        </w:tc>
        <w:tc>
          <w:tcPr>
            <w:tcW w:w="0" w:type="auto"/>
            <w:hideMark/>
          </w:tcPr>
          <w:p w14:paraId="3C47BB44" w14:textId="77777777" w:rsidR="00F77CAE" w:rsidRPr="00323453" w:rsidRDefault="00F77CAE" w:rsidP="00F77CAE">
            <w:pPr>
              <w:pStyle w:val="Body"/>
              <w:rPr>
                <w:rFonts w:ascii="Arial" w:hAnsi="Arial" w:cs="Arial"/>
                <w:sz w:val="20"/>
                <w:szCs w:val="20"/>
                <w:lang w:val="en-IN"/>
              </w:rPr>
            </w:pPr>
            <w:r w:rsidRPr="00323453">
              <w:rPr>
                <w:rFonts w:ascii="Arial" w:hAnsi="Arial" w:cs="Arial"/>
                <w:sz w:val="20"/>
                <w:szCs w:val="20"/>
                <w:lang w:val="en-IN"/>
              </w:rPr>
              <w:t>2025</w:t>
            </w:r>
          </w:p>
        </w:tc>
      </w:tr>
    </w:tbl>
    <w:p w14:paraId="1FCBFF24" w14:textId="3D01A1D6" w:rsidR="00F77CAE" w:rsidRPr="00DD4456" w:rsidRDefault="0049660C" w:rsidP="00DD4456">
      <w:pPr>
        <w:pStyle w:val="Body"/>
        <w:rPr>
          <w:rFonts w:ascii="Arial" w:hAnsi="Arial" w:cs="Arial"/>
        </w:rPr>
      </w:pPr>
      <w:r w:rsidRPr="0049660C">
        <w:rPr>
          <w:rFonts w:ascii="Arial" w:hAnsi="Arial" w:cs="Arial"/>
        </w:rPr>
        <w:t xml:space="preserve">Heap, I. </w:t>
      </w:r>
      <w:r w:rsidRPr="0049660C">
        <w:rPr>
          <w:rFonts w:ascii="Arial" w:hAnsi="Arial" w:cs="Arial"/>
          <w:i/>
          <w:iCs/>
        </w:rPr>
        <w:t>International Survey of Herbicide Resistant Weeds</w:t>
      </w:r>
      <w:r w:rsidRPr="0049660C">
        <w:rPr>
          <w:rFonts w:ascii="Arial" w:hAnsi="Arial" w:cs="Arial"/>
        </w:rPr>
        <w:t>.</w:t>
      </w:r>
      <w:r w:rsidR="003070D6">
        <w:rPr>
          <w:rFonts w:ascii="Arial" w:hAnsi="Arial" w:cs="Arial"/>
        </w:rPr>
        <w:t xml:space="preserve"> Site:</w:t>
      </w:r>
      <w:r w:rsidR="003070D6" w:rsidRPr="003070D6">
        <w:t xml:space="preserve"> </w:t>
      </w:r>
      <w:hyperlink r:id="rId13" w:history="1">
        <w:r w:rsidR="003070D6" w:rsidRPr="00F029D6">
          <w:rPr>
            <w:rStyle w:val="Hyperlink"/>
            <w:rFonts w:ascii="Arial" w:hAnsi="Arial" w:cs="Arial"/>
          </w:rPr>
          <w:t>https://www.weedscience.org/Pages/Graphs/SOAGraph.aspx</w:t>
        </w:r>
      </w:hyperlink>
      <w:r w:rsidR="003070D6">
        <w:rPr>
          <w:rFonts w:ascii="Arial" w:hAnsi="Arial" w:cs="Arial"/>
        </w:rPr>
        <w:t xml:space="preserve"> </w:t>
      </w:r>
    </w:p>
    <w:p w14:paraId="7BF1E166" w14:textId="3D57EB0B" w:rsidR="0044786A" w:rsidRPr="0044786A" w:rsidRDefault="0044786A" w:rsidP="00DD4456">
      <w:pPr>
        <w:pStyle w:val="ListParagraph"/>
        <w:numPr>
          <w:ilvl w:val="0"/>
          <w:numId w:val="35"/>
        </w:numPr>
        <w:ind w:left="284"/>
        <w:jc w:val="both"/>
        <w:rPr>
          <w:rFonts w:ascii="Arial" w:hAnsi="Arial" w:cs="Arial"/>
          <w:b/>
          <w:bCs/>
        </w:rPr>
      </w:pPr>
      <w:r w:rsidRPr="0044786A">
        <w:rPr>
          <w:rFonts w:ascii="Arial" w:hAnsi="Arial" w:cs="Arial"/>
          <w:b/>
          <w:bCs/>
        </w:rPr>
        <w:t xml:space="preserve">Mechanism of herbicide resistance </w:t>
      </w:r>
    </w:p>
    <w:p w14:paraId="0960EDC2" w14:textId="77777777" w:rsidR="0044786A" w:rsidRPr="0044786A" w:rsidRDefault="0044786A" w:rsidP="0044786A">
      <w:pPr>
        <w:jc w:val="both"/>
        <w:rPr>
          <w:rFonts w:ascii="Arial" w:hAnsi="Arial" w:cs="Arial"/>
        </w:rPr>
      </w:pPr>
      <w:r w:rsidRPr="0044786A">
        <w:rPr>
          <w:rFonts w:ascii="Arial" w:hAnsi="Arial" w:cs="Arial"/>
        </w:rPr>
        <w:t>The evolution of herbicide resistance in different weed species arises through heritable mechanisms that either reduce or prevent the toxic action of herbicides (</w:t>
      </w:r>
      <w:proofErr w:type="spellStart"/>
      <w:r w:rsidRPr="0044786A">
        <w:rPr>
          <w:rFonts w:ascii="Arial" w:hAnsi="Arial" w:cs="Arial"/>
        </w:rPr>
        <w:t>Chipomho</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xml:space="preserve">., 2023). Primarily, it is classified into target-site resistance (TSR) and non-target-site resistance (NTSR) (Guo </w:t>
      </w:r>
      <w:r w:rsidRPr="0044786A">
        <w:rPr>
          <w:rFonts w:ascii="Arial" w:hAnsi="Arial" w:cs="Arial"/>
          <w:i/>
          <w:iCs/>
        </w:rPr>
        <w:t>et al</w:t>
      </w:r>
      <w:r w:rsidRPr="0044786A">
        <w:rPr>
          <w:rFonts w:ascii="Arial" w:hAnsi="Arial" w:cs="Arial"/>
        </w:rPr>
        <w:t xml:space="preserve">., 2024). </w:t>
      </w:r>
    </w:p>
    <w:p w14:paraId="06E32B37" w14:textId="77777777" w:rsidR="00790ADA" w:rsidRPr="0044786A" w:rsidRDefault="00790ADA" w:rsidP="0044786A">
      <w:pPr>
        <w:pStyle w:val="Body"/>
        <w:spacing w:after="0"/>
        <w:rPr>
          <w:rFonts w:ascii="Arial" w:hAnsi="Arial" w:cs="Arial"/>
        </w:rPr>
      </w:pPr>
    </w:p>
    <w:p w14:paraId="38FCE211" w14:textId="48E89537" w:rsidR="0044786A" w:rsidRPr="0044786A" w:rsidRDefault="0044786A" w:rsidP="004A0B00">
      <w:pPr>
        <w:spacing w:before="120" w:after="120"/>
        <w:jc w:val="both"/>
        <w:rPr>
          <w:rFonts w:ascii="Arial" w:hAnsi="Arial" w:cs="Arial"/>
          <w:b/>
          <w:bCs/>
        </w:rPr>
      </w:pPr>
      <w:r>
        <w:rPr>
          <w:rFonts w:ascii="Arial" w:hAnsi="Arial" w:cs="Arial"/>
          <w:b/>
          <w:bCs/>
        </w:rPr>
        <w:t xml:space="preserve">2.1 </w:t>
      </w:r>
      <w:r w:rsidRPr="0044786A">
        <w:rPr>
          <w:rFonts w:ascii="Arial" w:hAnsi="Arial" w:cs="Arial"/>
          <w:b/>
          <w:bCs/>
        </w:rPr>
        <w:t xml:space="preserve">Target-Site Resistance (TSR): </w:t>
      </w:r>
    </w:p>
    <w:p w14:paraId="58796B42" w14:textId="77777777" w:rsidR="0044786A" w:rsidRPr="0044786A" w:rsidRDefault="0044786A" w:rsidP="0044786A">
      <w:pPr>
        <w:jc w:val="both"/>
        <w:rPr>
          <w:rFonts w:ascii="Arial" w:hAnsi="Arial" w:cs="Arial"/>
        </w:rPr>
      </w:pPr>
      <w:r w:rsidRPr="0044786A">
        <w:rPr>
          <w:rFonts w:ascii="Arial" w:hAnsi="Arial" w:cs="Arial"/>
        </w:rPr>
        <w:t xml:space="preserve">Target site resistance occurs when the herbicide’s specific binding site (enzyme or protein) is altered due to which herbicide can no longer effectively bind and inhibit to that enzyme or protein (He </w:t>
      </w:r>
      <w:r w:rsidRPr="0044786A">
        <w:rPr>
          <w:rFonts w:ascii="Arial" w:hAnsi="Arial" w:cs="Arial"/>
          <w:i/>
          <w:iCs/>
        </w:rPr>
        <w:t>et al</w:t>
      </w:r>
      <w:r w:rsidRPr="0044786A">
        <w:rPr>
          <w:rFonts w:ascii="Arial" w:hAnsi="Arial" w:cs="Arial"/>
        </w:rPr>
        <w:t xml:space="preserve">., 2022). The plant’s metabolic pathway remains functional, but the herbicide cannot interrupt it. The occurrence of target-site resistance is mainly due to point mutations, gene amplification or overexpression of the herbicide’s target enzyme, due to which herbicide binding efficiency is lowered or increases the amount of target protein (Jin </w:t>
      </w:r>
      <w:r w:rsidRPr="0044786A">
        <w:rPr>
          <w:rFonts w:ascii="Arial" w:hAnsi="Arial" w:cs="Arial"/>
          <w:i/>
          <w:iCs/>
        </w:rPr>
        <w:t>et al</w:t>
      </w:r>
      <w:r w:rsidRPr="0044786A">
        <w:rPr>
          <w:rFonts w:ascii="Arial" w:hAnsi="Arial" w:cs="Arial"/>
        </w:rPr>
        <w:t>., 2022). It can be due to:</w:t>
      </w:r>
    </w:p>
    <w:p w14:paraId="4514AEF3" w14:textId="77777777" w:rsidR="0044786A" w:rsidRPr="0044786A" w:rsidRDefault="0044786A" w:rsidP="0044786A">
      <w:pPr>
        <w:pStyle w:val="ListParagraph"/>
        <w:numPr>
          <w:ilvl w:val="0"/>
          <w:numId w:val="32"/>
        </w:numPr>
        <w:spacing w:line="240" w:lineRule="auto"/>
        <w:jc w:val="both"/>
        <w:rPr>
          <w:rFonts w:ascii="Arial" w:hAnsi="Arial" w:cs="Arial"/>
          <w:sz w:val="20"/>
          <w:szCs w:val="20"/>
        </w:rPr>
      </w:pPr>
      <w:r w:rsidRPr="0044786A">
        <w:rPr>
          <w:rFonts w:ascii="Arial" w:hAnsi="Arial" w:cs="Arial"/>
          <w:b/>
          <w:bCs/>
          <w:sz w:val="20"/>
          <w:szCs w:val="20"/>
        </w:rPr>
        <w:t xml:space="preserve">Point Mutations (SNPs): </w:t>
      </w:r>
      <w:r w:rsidRPr="0044786A">
        <w:rPr>
          <w:rFonts w:ascii="Arial" w:hAnsi="Arial" w:cs="Arial"/>
          <w:sz w:val="20"/>
          <w:szCs w:val="20"/>
        </w:rPr>
        <w:t xml:space="preserve">it is caused by a single nucleotide change in the gene coding for the target enzyme altering the amino acid sequence (Mendes </w:t>
      </w:r>
      <w:r w:rsidRPr="0044786A">
        <w:rPr>
          <w:rFonts w:ascii="Arial" w:hAnsi="Arial" w:cs="Arial"/>
          <w:i/>
          <w:iCs/>
          <w:sz w:val="20"/>
          <w:szCs w:val="20"/>
        </w:rPr>
        <w:t>et al</w:t>
      </w:r>
      <w:r w:rsidRPr="0044786A">
        <w:rPr>
          <w:rFonts w:ascii="Arial" w:hAnsi="Arial" w:cs="Arial"/>
          <w:sz w:val="20"/>
          <w:szCs w:val="20"/>
        </w:rPr>
        <w:t>., 2022). For example,</w:t>
      </w:r>
      <w:r w:rsidRPr="0044786A">
        <w:rPr>
          <w:rFonts w:ascii="Arial" w:hAnsi="Arial" w:cs="Arial"/>
          <w:b/>
          <w:bCs/>
          <w:sz w:val="20"/>
          <w:szCs w:val="20"/>
        </w:rPr>
        <w:t xml:space="preserve"> </w:t>
      </w:r>
      <w:r w:rsidRPr="0044786A">
        <w:rPr>
          <w:rFonts w:ascii="Arial" w:hAnsi="Arial" w:cs="Arial"/>
          <w:sz w:val="20"/>
          <w:szCs w:val="20"/>
        </w:rPr>
        <w:t xml:space="preserve">in case of ALS inhibitors mutations at key positions (e.g., Pro197, Trp574) in the acetolactate synthase enzyme prevent herbicides like sulfonylureas from binding even though the enzyme remains </w:t>
      </w:r>
      <w:r w:rsidRPr="0044786A">
        <w:rPr>
          <w:rFonts w:ascii="Arial" w:hAnsi="Arial" w:cs="Arial"/>
          <w:color w:val="000000" w:themeColor="text1"/>
          <w:sz w:val="20"/>
          <w:szCs w:val="20"/>
        </w:rPr>
        <w:t>active (</w:t>
      </w:r>
      <w:r w:rsidRPr="0044786A">
        <w:rPr>
          <w:rFonts w:ascii="Arial" w:hAnsi="Arial" w:cs="Arial"/>
          <w:sz w:val="20"/>
          <w:szCs w:val="20"/>
        </w:rPr>
        <w:t xml:space="preserve">Xu </w:t>
      </w:r>
      <w:r w:rsidRPr="0044786A">
        <w:rPr>
          <w:rFonts w:ascii="Arial" w:hAnsi="Arial" w:cs="Arial"/>
          <w:i/>
          <w:iCs/>
          <w:sz w:val="20"/>
          <w:szCs w:val="20"/>
        </w:rPr>
        <w:t>et al</w:t>
      </w:r>
      <w:r w:rsidRPr="0044786A">
        <w:rPr>
          <w:rFonts w:ascii="Arial" w:hAnsi="Arial" w:cs="Arial"/>
          <w:sz w:val="20"/>
          <w:szCs w:val="20"/>
        </w:rPr>
        <w:t>., 2025</w:t>
      </w:r>
      <w:r w:rsidRPr="0044786A">
        <w:rPr>
          <w:rFonts w:ascii="Arial" w:hAnsi="Arial" w:cs="Arial"/>
          <w:color w:val="000000" w:themeColor="text1"/>
          <w:sz w:val="20"/>
          <w:szCs w:val="20"/>
        </w:rPr>
        <w:t xml:space="preserve">). Similarly in case of </w:t>
      </w:r>
      <w:proofErr w:type="spellStart"/>
      <w:r w:rsidRPr="0044786A">
        <w:rPr>
          <w:rFonts w:ascii="Arial" w:hAnsi="Arial" w:cs="Arial"/>
          <w:color w:val="000000" w:themeColor="text1"/>
          <w:sz w:val="20"/>
          <w:szCs w:val="20"/>
        </w:rPr>
        <w:t>ACCase</w:t>
      </w:r>
      <w:proofErr w:type="spellEnd"/>
      <w:r w:rsidRPr="0044786A">
        <w:rPr>
          <w:rFonts w:ascii="Arial" w:hAnsi="Arial" w:cs="Arial"/>
          <w:color w:val="000000" w:themeColor="text1"/>
          <w:sz w:val="20"/>
          <w:szCs w:val="20"/>
        </w:rPr>
        <w:t xml:space="preserve"> inhibitors mutations </w:t>
      </w:r>
      <w:r w:rsidRPr="0044786A">
        <w:rPr>
          <w:rFonts w:ascii="Arial" w:hAnsi="Arial" w:cs="Arial"/>
          <w:sz w:val="20"/>
          <w:szCs w:val="20"/>
        </w:rPr>
        <w:t xml:space="preserve">in the carboxyltransferase domain of acetyl-CoA carboxylase prevent the control by herbicides belonging to "FOPs" and "DIMs" group (Jhala </w:t>
      </w:r>
      <w:r w:rsidRPr="0044786A">
        <w:rPr>
          <w:rFonts w:ascii="Arial" w:hAnsi="Arial" w:cs="Arial"/>
          <w:i/>
          <w:iCs/>
          <w:sz w:val="20"/>
          <w:szCs w:val="20"/>
        </w:rPr>
        <w:t>et al</w:t>
      </w:r>
      <w:r w:rsidRPr="0044786A">
        <w:rPr>
          <w:rFonts w:ascii="Arial" w:hAnsi="Arial" w:cs="Arial"/>
          <w:sz w:val="20"/>
          <w:szCs w:val="20"/>
        </w:rPr>
        <w:t>.,2026).</w:t>
      </w:r>
    </w:p>
    <w:p w14:paraId="4588704D" w14:textId="77777777" w:rsidR="0044786A" w:rsidRPr="0044786A" w:rsidRDefault="0044786A" w:rsidP="0044786A">
      <w:pPr>
        <w:pStyle w:val="ListParagraph"/>
        <w:numPr>
          <w:ilvl w:val="0"/>
          <w:numId w:val="32"/>
        </w:numPr>
        <w:spacing w:line="240" w:lineRule="auto"/>
        <w:jc w:val="both"/>
        <w:rPr>
          <w:rFonts w:ascii="Arial" w:hAnsi="Arial" w:cs="Arial"/>
          <w:sz w:val="20"/>
          <w:szCs w:val="20"/>
        </w:rPr>
      </w:pPr>
      <w:r w:rsidRPr="0044786A">
        <w:rPr>
          <w:rFonts w:ascii="Arial" w:hAnsi="Arial" w:cs="Arial"/>
          <w:b/>
          <w:bCs/>
          <w:sz w:val="20"/>
          <w:szCs w:val="20"/>
        </w:rPr>
        <w:t xml:space="preserve">Duplication/Amplification: </w:t>
      </w:r>
      <w:r w:rsidRPr="0044786A">
        <w:rPr>
          <w:rFonts w:ascii="Arial" w:hAnsi="Arial" w:cs="Arial"/>
          <w:sz w:val="20"/>
          <w:szCs w:val="20"/>
        </w:rPr>
        <w:t>It occurs when multiple copies of the target gene are produced by the weeds</w:t>
      </w:r>
      <w:r w:rsidRPr="0044786A">
        <w:rPr>
          <w:rFonts w:ascii="Arial" w:hAnsi="Arial" w:cs="Arial"/>
          <w:b/>
          <w:bCs/>
          <w:sz w:val="20"/>
          <w:szCs w:val="20"/>
        </w:rPr>
        <w:t xml:space="preserve">. </w:t>
      </w:r>
      <w:r w:rsidRPr="0044786A">
        <w:rPr>
          <w:rFonts w:ascii="Arial" w:hAnsi="Arial" w:cs="Arial"/>
          <w:sz w:val="20"/>
          <w:szCs w:val="20"/>
        </w:rPr>
        <w:t xml:space="preserve">So, even if some of the enzymes are inhibited by the </w:t>
      </w:r>
      <w:r w:rsidRPr="0044786A">
        <w:rPr>
          <w:rFonts w:ascii="Arial" w:hAnsi="Arial" w:cs="Arial"/>
          <w:sz w:val="20"/>
          <w:szCs w:val="20"/>
        </w:rPr>
        <w:lastRenderedPageBreak/>
        <w:t xml:space="preserve">herbicide, the remaining vast volume of un-inhibited helps plant to survive. Such case has been reported in </w:t>
      </w:r>
      <w:r w:rsidRPr="0044786A">
        <w:rPr>
          <w:rFonts w:ascii="Arial" w:hAnsi="Arial" w:cs="Arial"/>
          <w:i/>
          <w:iCs/>
          <w:sz w:val="20"/>
          <w:szCs w:val="20"/>
        </w:rPr>
        <w:t xml:space="preserve">Amaranthus </w:t>
      </w:r>
      <w:proofErr w:type="spellStart"/>
      <w:r w:rsidRPr="0044786A">
        <w:rPr>
          <w:rFonts w:ascii="Arial" w:hAnsi="Arial" w:cs="Arial"/>
          <w:i/>
          <w:iCs/>
          <w:sz w:val="20"/>
          <w:szCs w:val="20"/>
        </w:rPr>
        <w:t>palmeri</w:t>
      </w:r>
      <w:proofErr w:type="spellEnd"/>
      <w:r w:rsidRPr="0044786A">
        <w:rPr>
          <w:rFonts w:ascii="Arial" w:hAnsi="Arial" w:cs="Arial"/>
          <w:i/>
          <w:iCs/>
          <w:sz w:val="20"/>
          <w:szCs w:val="20"/>
        </w:rPr>
        <w:t xml:space="preserve"> </w:t>
      </w:r>
      <w:r w:rsidRPr="0044786A">
        <w:rPr>
          <w:rFonts w:ascii="Arial" w:hAnsi="Arial" w:cs="Arial"/>
          <w:sz w:val="20"/>
          <w:szCs w:val="20"/>
        </w:rPr>
        <w:t xml:space="preserve">(Palmer amaranth) for glyphosate resistance (Cao </w:t>
      </w:r>
      <w:r w:rsidRPr="0044786A">
        <w:rPr>
          <w:rFonts w:ascii="Arial" w:hAnsi="Arial" w:cs="Arial"/>
          <w:i/>
          <w:iCs/>
          <w:sz w:val="20"/>
          <w:szCs w:val="20"/>
        </w:rPr>
        <w:t>at al</w:t>
      </w:r>
      <w:r w:rsidRPr="0044786A">
        <w:rPr>
          <w:rFonts w:ascii="Arial" w:hAnsi="Arial" w:cs="Arial"/>
          <w:sz w:val="20"/>
          <w:szCs w:val="20"/>
        </w:rPr>
        <w:t>.,2022). The EPSPS gene is amplified by tens or hundreds of times, producing massive amounts of the enzyme to reduce the herbicide activity.</w:t>
      </w:r>
    </w:p>
    <w:p w14:paraId="1E491384" w14:textId="1A331113" w:rsidR="0044786A" w:rsidRPr="0044786A" w:rsidRDefault="00DD4456" w:rsidP="004A0B00">
      <w:pPr>
        <w:spacing w:before="120" w:after="120"/>
        <w:jc w:val="both"/>
        <w:rPr>
          <w:rFonts w:ascii="Arial" w:hAnsi="Arial" w:cs="Arial"/>
          <w:b/>
          <w:bCs/>
          <w:sz w:val="22"/>
          <w:szCs w:val="22"/>
        </w:rPr>
      </w:pPr>
      <w:r>
        <w:rPr>
          <w:rFonts w:ascii="Arial" w:hAnsi="Arial" w:cs="Arial"/>
          <w:b/>
          <w:bCs/>
          <w:sz w:val="22"/>
          <w:szCs w:val="22"/>
        </w:rPr>
        <w:t xml:space="preserve">2.2 </w:t>
      </w:r>
      <w:r w:rsidR="0044786A" w:rsidRPr="0044786A">
        <w:rPr>
          <w:rFonts w:ascii="Arial" w:hAnsi="Arial" w:cs="Arial"/>
          <w:b/>
          <w:bCs/>
          <w:sz w:val="22"/>
          <w:szCs w:val="22"/>
        </w:rPr>
        <w:t xml:space="preserve">Non-Target-Site Resistance (NTSR): </w:t>
      </w:r>
    </w:p>
    <w:p w14:paraId="747E64C0" w14:textId="77777777" w:rsidR="0044786A" w:rsidRPr="0044786A" w:rsidRDefault="0044786A" w:rsidP="0044786A">
      <w:pPr>
        <w:jc w:val="both"/>
        <w:rPr>
          <w:rFonts w:ascii="Arial" w:hAnsi="Arial" w:cs="Arial"/>
        </w:rPr>
      </w:pPr>
      <w:r w:rsidRPr="0044786A">
        <w:rPr>
          <w:rFonts w:ascii="Arial" w:hAnsi="Arial" w:cs="Arial"/>
        </w:rPr>
        <w:t xml:space="preserve">In contrast, non-target-site resistance involves mechanisms that limit the herbicide from reaching its site of action by reducing absorption, impairing translocation, vacuolar sequestration or by enhancing metabolic detoxification mediated by enzyme systems such as cytochrome P450 monooxygenases, glutathione-S-transferases and glycosyltransferases (Zhang </w:t>
      </w:r>
      <w:r w:rsidRPr="0044786A">
        <w:rPr>
          <w:rFonts w:ascii="Arial" w:hAnsi="Arial" w:cs="Arial"/>
          <w:i/>
          <w:iCs/>
        </w:rPr>
        <w:t>et al</w:t>
      </w:r>
      <w:r w:rsidRPr="0044786A">
        <w:rPr>
          <w:rFonts w:ascii="Arial" w:hAnsi="Arial" w:cs="Arial"/>
        </w:rPr>
        <w:t>.,2025). In simple words it involves any mechanism that reduces the amount of active herbicide from reaching the target site. NTSR is usually difficult to diagnose.</w:t>
      </w:r>
    </w:p>
    <w:p w14:paraId="2FEC03A0" w14:textId="598575F0" w:rsidR="0044786A" w:rsidRPr="0044786A" w:rsidRDefault="0044786A" w:rsidP="0044786A">
      <w:pPr>
        <w:pStyle w:val="ListParagraph"/>
        <w:numPr>
          <w:ilvl w:val="0"/>
          <w:numId w:val="33"/>
        </w:numPr>
        <w:spacing w:line="240" w:lineRule="auto"/>
        <w:jc w:val="both"/>
        <w:rPr>
          <w:rFonts w:ascii="Arial" w:hAnsi="Arial" w:cs="Arial"/>
          <w:sz w:val="20"/>
          <w:szCs w:val="20"/>
        </w:rPr>
      </w:pPr>
      <w:r w:rsidRPr="0044786A">
        <w:rPr>
          <w:rFonts w:ascii="Arial" w:hAnsi="Arial" w:cs="Arial"/>
          <w:b/>
          <w:bCs/>
          <w:sz w:val="20"/>
          <w:szCs w:val="20"/>
        </w:rPr>
        <w:t xml:space="preserve">Metabolic Resistance (Enhanced Degradation): </w:t>
      </w:r>
      <w:r w:rsidRPr="0044786A">
        <w:rPr>
          <w:rFonts w:ascii="Arial" w:hAnsi="Arial" w:cs="Arial"/>
          <w:sz w:val="20"/>
          <w:szCs w:val="20"/>
        </w:rPr>
        <w:t xml:space="preserve">In this case weeds rapidly detoxifies the applied herbicide before it causes damage. Weeds increases the production of related enzymes such as Cytochrome P450 monooxygenases, Glutathione S-transferases (GSTs) or glycosyltransferases (Torra </w:t>
      </w:r>
      <w:r w:rsidRPr="0044786A">
        <w:rPr>
          <w:rFonts w:ascii="Arial" w:hAnsi="Arial" w:cs="Arial"/>
          <w:i/>
          <w:iCs/>
          <w:sz w:val="20"/>
          <w:szCs w:val="20"/>
        </w:rPr>
        <w:t>et al</w:t>
      </w:r>
      <w:r w:rsidRPr="0044786A">
        <w:rPr>
          <w:rFonts w:ascii="Arial" w:hAnsi="Arial" w:cs="Arial"/>
          <w:sz w:val="20"/>
          <w:szCs w:val="20"/>
        </w:rPr>
        <w:t>., 2024). Through this process herbicide is chemically modified (oxidized, conjugated with sugar or glutathione) into a less or non-toxic form of chemical that the plant can easily sequester. Some cases of cross resistance can be seen due to this.</w:t>
      </w:r>
    </w:p>
    <w:p w14:paraId="0C53DDEE" w14:textId="77777777" w:rsidR="0044786A" w:rsidRPr="0044786A" w:rsidRDefault="0044786A" w:rsidP="0044786A">
      <w:pPr>
        <w:pStyle w:val="ListParagraph"/>
        <w:numPr>
          <w:ilvl w:val="0"/>
          <w:numId w:val="33"/>
        </w:numPr>
        <w:spacing w:line="240" w:lineRule="auto"/>
        <w:jc w:val="both"/>
        <w:rPr>
          <w:rFonts w:ascii="Arial" w:hAnsi="Arial" w:cs="Arial"/>
          <w:sz w:val="20"/>
          <w:szCs w:val="20"/>
        </w:rPr>
      </w:pPr>
      <w:r w:rsidRPr="0044786A">
        <w:rPr>
          <w:rFonts w:ascii="Arial" w:hAnsi="Arial" w:cs="Arial"/>
          <w:b/>
          <w:bCs/>
          <w:sz w:val="20"/>
          <w:szCs w:val="20"/>
        </w:rPr>
        <w:t xml:space="preserve">Reduced Translocation: </w:t>
      </w:r>
      <w:r w:rsidRPr="0044786A">
        <w:rPr>
          <w:rFonts w:ascii="Arial" w:hAnsi="Arial" w:cs="Arial"/>
          <w:sz w:val="20"/>
          <w:szCs w:val="20"/>
        </w:rPr>
        <w:t xml:space="preserve">in this the movement of the herbicide from site of application to the site of action is either reduced or inhibited. Similar mechanism is observed in </w:t>
      </w:r>
      <w:proofErr w:type="spellStart"/>
      <w:r w:rsidRPr="0044786A">
        <w:rPr>
          <w:rFonts w:ascii="Arial" w:hAnsi="Arial" w:cs="Arial"/>
          <w:i/>
          <w:iCs/>
          <w:sz w:val="20"/>
          <w:szCs w:val="20"/>
        </w:rPr>
        <w:t>Lolium</w:t>
      </w:r>
      <w:proofErr w:type="spellEnd"/>
      <w:r w:rsidRPr="0044786A">
        <w:rPr>
          <w:rFonts w:ascii="Arial" w:hAnsi="Arial" w:cs="Arial"/>
          <w:i/>
          <w:iCs/>
          <w:sz w:val="20"/>
          <w:szCs w:val="20"/>
        </w:rPr>
        <w:t xml:space="preserve"> </w:t>
      </w:r>
      <w:proofErr w:type="spellStart"/>
      <w:r w:rsidRPr="0044786A">
        <w:rPr>
          <w:rFonts w:ascii="Arial" w:hAnsi="Arial" w:cs="Arial"/>
          <w:i/>
          <w:iCs/>
          <w:sz w:val="20"/>
          <w:szCs w:val="20"/>
        </w:rPr>
        <w:t>rigidum</w:t>
      </w:r>
      <w:proofErr w:type="spellEnd"/>
      <w:r w:rsidRPr="0044786A">
        <w:rPr>
          <w:rFonts w:ascii="Arial" w:hAnsi="Arial" w:cs="Arial"/>
          <w:i/>
          <w:iCs/>
          <w:sz w:val="20"/>
          <w:szCs w:val="20"/>
        </w:rPr>
        <w:t xml:space="preserve"> </w:t>
      </w:r>
      <w:r w:rsidRPr="0044786A">
        <w:rPr>
          <w:rFonts w:ascii="Arial" w:hAnsi="Arial" w:cs="Arial"/>
          <w:sz w:val="20"/>
          <w:szCs w:val="20"/>
        </w:rPr>
        <w:t xml:space="preserve">resistant to glyphosate where once glyphosate enters the phloem, the weed start to rapidly sequester it into the vacuoles of the cells, preventing it from reaching the site of action (Nalin </w:t>
      </w:r>
      <w:r w:rsidRPr="0044786A">
        <w:rPr>
          <w:rFonts w:ascii="Arial" w:hAnsi="Arial" w:cs="Arial"/>
          <w:i/>
          <w:iCs/>
          <w:sz w:val="20"/>
          <w:szCs w:val="20"/>
        </w:rPr>
        <w:t>et al</w:t>
      </w:r>
      <w:r w:rsidRPr="0044786A">
        <w:rPr>
          <w:rFonts w:ascii="Arial" w:hAnsi="Arial" w:cs="Arial"/>
          <w:sz w:val="20"/>
          <w:szCs w:val="20"/>
        </w:rPr>
        <w:t>., 2023).</w:t>
      </w:r>
    </w:p>
    <w:p w14:paraId="0875ADE9" w14:textId="77777777" w:rsidR="0044786A" w:rsidRPr="0044786A" w:rsidRDefault="0044786A" w:rsidP="0044786A">
      <w:pPr>
        <w:pStyle w:val="ListParagraph"/>
        <w:numPr>
          <w:ilvl w:val="0"/>
          <w:numId w:val="33"/>
        </w:numPr>
        <w:spacing w:line="240" w:lineRule="auto"/>
        <w:jc w:val="both"/>
        <w:rPr>
          <w:rFonts w:ascii="Arial" w:hAnsi="Arial" w:cs="Arial"/>
          <w:sz w:val="20"/>
          <w:szCs w:val="20"/>
        </w:rPr>
      </w:pPr>
      <w:r w:rsidRPr="0044786A">
        <w:rPr>
          <w:rFonts w:ascii="Arial" w:hAnsi="Arial" w:cs="Arial"/>
          <w:b/>
          <w:bCs/>
          <w:sz w:val="20"/>
          <w:szCs w:val="20"/>
        </w:rPr>
        <w:t>Absorption/Sequestration:</w:t>
      </w:r>
      <w:r w:rsidRPr="0044786A">
        <w:rPr>
          <w:rFonts w:ascii="Arial" w:hAnsi="Arial" w:cs="Arial"/>
          <w:sz w:val="20"/>
          <w:szCs w:val="20"/>
        </w:rPr>
        <w:t xml:space="preserve"> in this thicker cuticles, increased leaf hairs or altered leaf orientation help in reducing the initial absorption/uptake of the herbicide solution. In case of </w:t>
      </w:r>
      <w:proofErr w:type="spellStart"/>
      <w:r w:rsidRPr="0044786A">
        <w:rPr>
          <w:rFonts w:ascii="Arial" w:hAnsi="Arial" w:cs="Arial"/>
          <w:sz w:val="20"/>
          <w:szCs w:val="20"/>
        </w:rPr>
        <w:t>vacuolar</w:t>
      </w:r>
      <w:proofErr w:type="spellEnd"/>
      <w:r w:rsidRPr="0044786A">
        <w:rPr>
          <w:rFonts w:ascii="Arial" w:hAnsi="Arial" w:cs="Arial"/>
          <w:sz w:val="20"/>
          <w:szCs w:val="20"/>
        </w:rPr>
        <w:t xml:space="preserve"> sequestration, weed transfers the herbicide into vacuole, where it is in isolated state from rest of the cytoplasm unable to control the weed (Wang </w:t>
      </w:r>
      <w:r w:rsidRPr="0044786A">
        <w:rPr>
          <w:rFonts w:ascii="Arial" w:hAnsi="Arial" w:cs="Arial"/>
          <w:i/>
          <w:iCs/>
          <w:sz w:val="20"/>
          <w:szCs w:val="20"/>
        </w:rPr>
        <w:t>et al</w:t>
      </w:r>
      <w:r w:rsidRPr="0044786A">
        <w:rPr>
          <w:rFonts w:ascii="Arial" w:hAnsi="Arial" w:cs="Arial"/>
          <w:sz w:val="20"/>
          <w:szCs w:val="20"/>
        </w:rPr>
        <w:t>., 2025).</w:t>
      </w:r>
    </w:p>
    <w:p w14:paraId="0EDEBAB0" w14:textId="7CE7DC8C" w:rsidR="004A0B00" w:rsidRDefault="0044786A" w:rsidP="004A0B00">
      <w:pPr>
        <w:pStyle w:val="ListParagraph"/>
        <w:numPr>
          <w:ilvl w:val="0"/>
          <w:numId w:val="33"/>
        </w:numPr>
        <w:spacing w:before="120" w:line="240" w:lineRule="auto"/>
        <w:ind w:left="714" w:hanging="357"/>
        <w:jc w:val="both"/>
        <w:rPr>
          <w:rFonts w:ascii="Arial" w:hAnsi="Arial" w:cs="Arial"/>
          <w:sz w:val="20"/>
          <w:szCs w:val="20"/>
        </w:rPr>
      </w:pPr>
      <w:r w:rsidRPr="0044786A">
        <w:rPr>
          <w:rFonts w:ascii="Arial" w:hAnsi="Arial" w:cs="Arial"/>
          <w:b/>
          <w:bCs/>
          <w:sz w:val="20"/>
          <w:szCs w:val="20"/>
        </w:rPr>
        <w:t xml:space="preserve">Rapid Necrotic Response (Hypersensitivity): </w:t>
      </w:r>
      <w:r w:rsidRPr="0044786A">
        <w:rPr>
          <w:rFonts w:ascii="Arial" w:hAnsi="Arial" w:cs="Arial"/>
          <w:sz w:val="20"/>
          <w:szCs w:val="20"/>
        </w:rPr>
        <w:t xml:space="preserve">A specific mechanism observed in some weeds resistant to Paraquat (Albrecht </w:t>
      </w:r>
      <w:r w:rsidRPr="0044786A">
        <w:rPr>
          <w:rFonts w:ascii="Arial" w:hAnsi="Arial" w:cs="Arial"/>
          <w:i/>
          <w:iCs/>
          <w:sz w:val="20"/>
          <w:szCs w:val="20"/>
        </w:rPr>
        <w:t>et al</w:t>
      </w:r>
      <w:r w:rsidRPr="0044786A">
        <w:rPr>
          <w:rFonts w:ascii="Arial" w:hAnsi="Arial" w:cs="Arial"/>
          <w:sz w:val="20"/>
          <w:szCs w:val="20"/>
        </w:rPr>
        <w:t xml:space="preserve">., 2022). In this mechanism when weeds absorb a particular herbicide, the treated leaf tissue rapidly kills itself (rapid desiccation) preventing the translocation of it to rest of the parts. The plant drops the dead leaf and regrows from untreated buds (de Queiroz </w:t>
      </w:r>
      <w:r w:rsidRPr="0044786A">
        <w:rPr>
          <w:rFonts w:ascii="Arial" w:hAnsi="Arial" w:cs="Arial"/>
          <w:i/>
          <w:iCs/>
          <w:sz w:val="20"/>
          <w:szCs w:val="20"/>
        </w:rPr>
        <w:t>et al</w:t>
      </w:r>
      <w:r w:rsidRPr="0044786A">
        <w:rPr>
          <w:rFonts w:ascii="Arial" w:hAnsi="Arial" w:cs="Arial"/>
          <w:sz w:val="20"/>
          <w:szCs w:val="20"/>
        </w:rPr>
        <w:t>.,2022).</w:t>
      </w:r>
    </w:p>
    <w:p w14:paraId="339664FE" w14:textId="77777777" w:rsidR="004A0B00" w:rsidRPr="004A0B00" w:rsidRDefault="004A0B00" w:rsidP="004A0B00">
      <w:pPr>
        <w:pStyle w:val="ListParagraph"/>
        <w:spacing w:before="120" w:line="240" w:lineRule="auto"/>
        <w:ind w:left="714"/>
        <w:jc w:val="both"/>
        <w:rPr>
          <w:rFonts w:ascii="Arial" w:hAnsi="Arial" w:cs="Arial"/>
          <w:sz w:val="20"/>
          <w:szCs w:val="20"/>
        </w:rPr>
      </w:pPr>
    </w:p>
    <w:p w14:paraId="23184725" w14:textId="6A977B11" w:rsidR="0044786A" w:rsidRPr="00DD4456" w:rsidRDefault="0044786A" w:rsidP="00DD4456">
      <w:pPr>
        <w:pStyle w:val="ListParagraph"/>
        <w:numPr>
          <w:ilvl w:val="0"/>
          <w:numId w:val="35"/>
        </w:numPr>
        <w:ind w:left="284"/>
        <w:jc w:val="both"/>
        <w:rPr>
          <w:rFonts w:ascii="Arial" w:hAnsi="Arial" w:cs="Arial"/>
          <w:b/>
          <w:bCs/>
          <w:color w:val="000000" w:themeColor="text1"/>
        </w:rPr>
      </w:pPr>
      <w:r w:rsidRPr="00DD4456">
        <w:rPr>
          <w:rFonts w:ascii="Arial" w:hAnsi="Arial" w:cs="Arial"/>
          <w:b/>
          <w:bCs/>
          <w:color w:val="000000" w:themeColor="text1"/>
        </w:rPr>
        <w:t>Types of Resistance:</w:t>
      </w:r>
    </w:p>
    <w:p w14:paraId="756E2124"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Simple resistance: </w:t>
      </w:r>
      <w:r w:rsidRPr="0044786A">
        <w:rPr>
          <w:rFonts w:ascii="Arial" w:hAnsi="Arial" w:cs="Arial"/>
          <w:color w:val="0F1115"/>
          <w:sz w:val="20"/>
          <w:szCs w:val="20"/>
        </w:rPr>
        <w:t xml:space="preserve">refers to a condition where weed population develops resistance to just one herbicide or one group of herbicides that has similar mode of action (Mendes </w:t>
      </w:r>
      <w:r w:rsidRPr="0044786A">
        <w:rPr>
          <w:rFonts w:ascii="Arial" w:hAnsi="Arial" w:cs="Arial"/>
          <w:i/>
          <w:iCs/>
          <w:color w:val="0F1115"/>
          <w:sz w:val="20"/>
          <w:szCs w:val="20"/>
        </w:rPr>
        <w:t>et al</w:t>
      </w:r>
      <w:r w:rsidRPr="0044786A">
        <w:rPr>
          <w:rFonts w:ascii="Arial" w:hAnsi="Arial" w:cs="Arial"/>
          <w:color w:val="0F1115"/>
          <w:sz w:val="20"/>
          <w:szCs w:val="20"/>
        </w:rPr>
        <w:t>., 2022). It’s the most basic form of resistance and arises from a single genetic change. For example, if a weed that was earlier easily killed by ALS inhibitor now no longer susceptible to it but other herbicides still work fine.</w:t>
      </w:r>
    </w:p>
    <w:p w14:paraId="1CFA65F4"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Cross resistance: </w:t>
      </w:r>
      <w:r w:rsidRPr="0044786A">
        <w:rPr>
          <w:rFonts w:ascii="Arial" w:hAnsi="Arial" w:cs="Arial"/>
          <w:color w:val="0F1115"/>
          <w:sz w:val="20"/>
          <w:szCs w:val="20"/>
        </w:rPr>
        <w:t>occurs when a weed species becomes resistant to several herbicides that all have similar mode of action even if the weed has never been exposed to some of them. It is similar to having one key that unlocks multiple doors. This happens when a single resistance mechanism (like target site mutation or enhanced degradation/metabolism), can make the weed immune to an entire class of herbicides belonging to same group (Townson, 2024)</w:t>
      </w:r>
    </w:p>
    <w:p w14:paraId="4D260F7E"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lastRenderedPageBreak/>
        <w:t>Negative cross resistance / Collateral sensitivity</w:t>
      </w:r>
      <w:r w:rsidRPr="0044786A">
        <w:rPr>
          <w:rFonts w:ascii="Arial" w:hAnsi="Arial" w:cs="Arial"/>
          <w:color w:val="0F1115"/>
          <w:sz w:val="20"/>
          <w:szCs w:val="20"/>
        </w:rPr>
        <w:t xml:space="preserve">: describes a situation where a weed resistant to one herbicide becomes more susceptible to another herbicide. This a rare opposite of normal resistance (Riechers </w:t>
      </w:r>
      <w:r w:rsidRPr="0044786A">
        <w:rPr>
          <w:rFonts w:ascii="Arial" w:hAnsi="Arial" w:cs="Arial"/>
          <w:i/>
          <w:iCs/>
          <w:color w:val="0F1115"/>
          <w:sz w:val="20"/>
          <w:szCs w:val="20"/>
        </w:rPr>
        <w:t>et al</w:t>
      </w:r>
      <w:r w:rsidRPr="0044786A">
        <w:rPr>
          <w:rFonts w:ascii="Arial" w:hAnsi="Arial" w:cs="Arial"/>
          <w:color w:val="0F1115"/>
          <w:sz w:val="20"/>
          <w:szCs w:val="20"/>
        </w:rPr>
        <w:t xml:space="preserve">., 2024). </w:t>
      </w:r>
    </w:p>
    <w:p w14:paraId="482D240C"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Multiple resistance: </w:t>
      </w:r>
      <w:r w:rsidRPr="0044786A">
        <w:rPr>
          <w:rFonts w:ascii="Arial" w:hAnsi="Arial" w:cs="Arial"/>
          <w:color w:val="0F1115"/>
          <w:sz w:val="20"/>
          <w:szCs w:val="20"/>
        </w:rPr>
        <w:t xml:space="preserve">refers to ability of weed population to survive two or more herbicides with completely different mode of action due to development of more than one resistance mechanism (Barker </w:t>
      </w:r>
      <w:r w:rsidRPr="0044786A">
        <w:rPr>
          <w:rFonts w:ascii="Arial" w:hAnsi="Arial" w:cs="Arial"/>
          <w:i/>
          <w:iCs/>
          <w:color w:val="0F1115"/>
          <w:sz w:val="20"/>
          <w:szCs w:val="20"/>
        </w:rPr>
        <w:t>et al</w:t>
      </w:r>
      <w:r w:rsidRPr="0044786A">
        <w:rPr>
          <w:rFonts w:ascii="Arial" w:hAnsi="Arial" w:cs="Arial"/>
          <w:color w:val="0F1115"/>
          <w:sz w:val="20"/>
          <w:szCs w:val="20"/>
        </w:rPr>
        <w:t xml:space="preserve">., 2023). For example, a weed might develop a target-site mutation for ALS herbicides along with enhanced metabolic detoxification for </w:t>
      </w:r>
      <w:proofErr w:type="spellStart"/>
      <w:r w:rsidRPr="0044786A">
        <w:rPr>
          <w:rFonts w:ascii="Arial" w:hAnsi="Arial" w:cs="Arial"/>
          <w:color w:val="0F1115"/>
          <w:sz w:val="20"/>
          <w:szCs w:val="20"/>
        </w:rPr>
        <w:t>ACCase</w:t>
      </w:r>
      <w:proofErr w:type="spellEnd"/>
      <w:r w:rsidRPr="0044786A">
        <w:rPr>
          <w:rFonts w:ascii="Arial" w:hAnsi="Arial" w:cs="Arial"/>
          <w:color w:val="0F1115"/>
          <w:sz w:val="20"/>
          <w:szCs w:val="20"/>
        </w:rPr>
        <w:t xml:space="preserve"> herbicides which makes it very difficult to control (Soni </w:t>
      </w:r>
      <w:r w:rsidRPr="0044786A">
        <w:rPr>
          <w:rFonts w:ascii="Arial" w:hAnsi="Arial" w:cs="Arial"/>
          <w:i/>
          <w:iCs/>
          <w:color w:val="0F1115"/>
          <w:sz w:val="20"/>
          <w:szCs w:val="20"/>
        </w:rPr>
        <w:t>et al</w:t>
      </w:r>
      <w:r w:rsidRPr="0044786A">
        <w:rPr>
          <w:rFonts w:ascii="Arial" w:hAnsi="Arial" w:cs="Arial"/>
          <w:color w:val="0F1115"/>
          <w:sz w:val="20"/>
          <w:szCs w:val="20"/>
        </w:rPr>
        <w:t>., 2022).</w:t>
      </w:r>
    </w:p>
    <w:p w14:paraId="06CCC0F2"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Reverse resistance: </w:t>
      </w:r>
      <w:r w:rsidRPr="0044786A">
        <w:rPr>
          <w:rStyle w:val="Strong"/>
          <w:rFonts w:ascii="Arial" w:eastAsiaTheme="majorEastAsia" w:hAnsi="Arial" w:cs="Arial"/>
          <w:b w:val="0"/>
          <w:bCs w:val="0"/>
          <w:color w:val="0F1115"/>
          <w:sz w:val="20"/>
          <w:szCs w:val="20"/>
        </w:rPr>
        <w:t>is a phenomenon in which a weed which was once resistant to a particular herbicide becomes susceptible to that same herbicide. It usually occurs due to the absence of selection pressure because of which sensitive plants outcompete resistant ones.</w:t>
      </w:r>
    </w:p>
    <w:p w14:paraId="7812BC8F" w14:textId="77777777" w:rsidR="0044786A" w:rsidRPr="0044786A" w:rsidRDefault="0044786A" w:rsidP="0044786A">
      <w:pPr>
        <w:pStyle w:val="ds-markdown-paragraph"/>
        <w:numPr>
          <w:ilvl w:val="0"/>
          <w:numId w:val="31"/>
        </w:numPr>
        <w:shd w:val="clear" w:color="auto" w:fill="FFFFFF"/>
        <w:spacing w:before="240" w:beforeAutospacing="0" w:after="240" w:afterAutospacing="0"/>
        <w:jc w:val="both"/>
        <w:rPr>
          <w:rFonts w:ascii="Arial" w:hAnsi="Arial" w:cs="Arial"/>
          <w:color w:val="0F1115"/>
          <w:sz w:val="20"/>
          <w:szCs w:val="20"/>
        </w:rPr>
      </w:pPr>
      <w:r w:rsidRPr="0044786A">
        <w:rPr>
          <w:rStyle w:val="Strong"/>
          <w:rFonts w:ascii="Arial" w:eastAsiaTheme="majorEastAsia" w:hAnsi="Arial" w:cs="Arial"/>
          <w:color w:val="0F1115"/>
          <w:sz w:val="20"/>
          <w:szCs w:val="20"/>
        </w:rPr>
        <w:t xml:space="preserve">Co-resistance / compound resistance: is </w:t>
      </w:r>
      <w:r w:rsidRPr="0044786A">
        <w:rPr>
          <w:rFonts w:ascii="Arial" w:hAnsi="Arial" w:cs="Arial"/>
          <w:color w:val="0F1115"/>
          <w:sz w:val="20"/>
          <w:szCs w:val="20"/>
        </w:rPr>
        <w:t xml:space="preserve">a process of development of resistance in a weed population to both mixing partners herbicides of a mixer applied concurrently. For example, </w:t>
      </w:r>
      <w:proofErr w:type="spellStart"/>
      <w:r w:rsidRPr="0044786A">
        <w:rPr>
          <w:rFonts w:ascii="Arial" w:hAnsi="Arial" w:cs="Arial"/>
          <w:i/>
          <w:iCs/>
          <w:color w:val="0F1115"/>
          <w:sz w:val="20"/>
          <w:szCs w:val="20"/>
        </w:rPr>
        <w:t>Lolium</w:t>
      </w:r>
      <w:proofErr w:type="spellEnd"/>
      <w:r w:rsidRPr="0044786A">
        <w:rPr>
          <w:rFonts w:ascii="Arial" w:hAnsi="Arial" w:cs="Arial"/>
          <w:i/>
          <w:iCs/>
          <w:color w:val="0F1115"/>
          <w:sz w:val="20"/>
          <w:szCs w:val="20"/>
        </w:rPr>
        <w:t xml:space="preserve"> </w:t>
      </w:r>
      <w:proofErr w:type="spellStart"/>
      <w:r w:rsidRPr="0044786A">
        <w:rPr>
          <w:rFonts w:ascii="Arial" w:hAnsi="Arial" w:cs="Arial"/>
          <w:i/>
          <w:iCs/>
          <w:color w:val="0F1115"/>
          <w:sz w:val="20"/>
          <w:szCs w:val="20"/>
        </w:rPr>
        <w:t>rigidium</w:t>
      </w:r>
      <w:proofErr w:type="spellEnd"/>
      <w:r w:rsidRPr="0044786A">
        <w:rPr>
          <w:rFonts w:ascii="Arial" w:hAnsi="Arial" w:cs="Arial"/>
          <w:color w:val="0F1115"/>
          <w:sz w:val="20"/>
          <w:szCs w:val="20"/>
        </w:rPr>
        <w:t xml:space="preserve"> develops resistance to both amitrole and atrazine applied concurrently. Unlike cross resistance (where the mode of action is same), co-resistance usually involves nontarget based mechanisms like enhanced metabolism or rapid herbicide sequestration.</w:t>
      </w:r>
    </w:p>
    <w:p w14:paraId="01D8A015" w14:textId="501B5B7E" w:rsidR="0044786A" w:rsidRPr="00DD4456" w:rsidRDefault="0044786A" w:rsidP="00DD4456">
      <w:pPr>
        <w:pStyle w:val="ListParagraph"/>
        <w:numPr>
          <w:ilvl w:val="0"/>
          <w:numId w:val="35"/>
        </w:numPr>
        <w:ind w:left="284"/>
        <w:jc w:val="both"/>
        <w:rPr>
          <w:rFonts w:ascii="Arial" w:hAnsi="Arial" w:cs="Arial"/>
          <w:b/>
          <w:bCs/>
        </w:rPr>
      </w:pPr>
      <w:r w:rsidRPr="00DD4456">
        <w:rPr>
          <w:rFonts w:ascii="Arial" w:hAnsi="Arial" w:cs="Arial"/>
          <w:b/>
          <w:bCs/>
        </w:rPr>
        <w:t>Agronomic Drivers of Herbicide Resistance Evolution:</w:t>
      </w:r>
    </w:p>
    <w:p w14:paraId="6E81E8EB" w14:textId="77777777" w:rsidR="0044786A" w:rsidRPr="0044786A" w:rsidRDefault="0044786A" w:rsidP="0044786A">
      <w:pPr>
        <w:jc w:val="both"/>
        <w:rPr>
          <w:rFonts w:ascii="Arial" w:hAnsi="Arial" w:cs="Arial"/>
        </w:rPr>
      </w:pPr>
      <w:r w:rsidRPr="0044786A">
        <w:rPr>
          <w:rFonts w:ascii="Arial" w:hAnsi="Arial" w:cs="Arial"/>
        </w:rPr>
        <w:t xml:space="preserve">Agronomic practices play a critical role in driving the evolution of herbicide resistance in weed populations by imposing strong and repeated selection pressure (Peterson </w:t>
      </w:r>
      <w:r w:rsidRPr="0044786A">
        <w:rPr>
          <w:rFonts w:ascii="Arial" w:hAnsi="Arial" w:cs="Arial"/>
          <w:i/>
          <w:iCs/>
        </w:rPr>
        <w:t>et al</w:t>
      </w:r>
      <w:r w:rsidRPr="0044786A">
        <w:rPr>
          <w:rFonts w:ascii="Arial" w:hAnsi="Arial" w:cs="Arial"/>
        </w:rPr>
        <w:t>., 2018).</w:t>
      </w:r>
    </w:p>
    <w:p w14:paraId="08D16E6C" w14:textId="2850308B" w:rsidR="0044786A" w:rsidRPr="0044786A" w:rsidRDefault="00DD4456" w:rsidP="004A0B00">
      <w:pPr>
        <w:spacing w:before="120" w:after="120"/>
        <w:jc w:val="both"/>
        <w:rPr>
          <w:rFonts w:ascii="Arial" w:hAnsi="Arial" w:cs="Arial"/>
          <w:b/>
          <w:bCs/>
        </w:rPr>
      </w:pPr>
      <w:r>
        <w:rPr>
          <w:rFonts w:ascii="Arial" w:hAnsi="Arial" w:cs="Arial"/>
          <w:b/>
          <w:bCs/>
        </w:rPr>
        <w:t xml:space="preserve">4.1 </w:t>
      </w:r>
      <w:r w:rsidR="0044786A" w:rsidRPr="0044786A">
        <w:rPr>
          <w:rFonts w:ascii="Arial" w:hAnsi="Arial" w:cs="Arial"/>
          <w:b/>
          <w:bCs/>
        </w:rPr>
        <w:t>Repeated use of same herbicide or herbicide with similar modes of action.</w:t>
      </w:r>
    </w:p>
    <w:p w14:paraId="6585D0C4" w14:textId="77777777" w:rsidR="0044786A" w:rsidRPr="0044786A" w:rsidRDefault="0044786A" w:rsidP="0044786A">
      <w:pPr>
        <w:jc w:val="both"/>
        <w:rPr>
          <w:rFonts w:ascii="Arial" w:hAnsi="Arial" w:cs="Arial"/>
        </w:rPr>
      </w:pPr>
      <w:r w:rsidRPr="0044786A">
        <w:rPr>
          <w:rFonts w:ascii="Arial" w:hAnsi="Arial" w:cs="Arial"/>
        </w:rPr>
        <w:t>Continuous application of herbicides with the similar mode of action creates a selection pressure for developing resistant individuals (</w:t>
      </w:r>
      <w:proofErr w:type="spellStart"/>
      <w:r w:rsidRPr="0044786A">
        <w:rPr>
          <w:rFonts w:ascii="Arial" w:hAnsi="Arial" w:cs="Arial"/>
        </w:rPr>
        <w:t>Chipomho</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2023). Susceptible weeds will die, while resistant ones will survive and reproduce rapidly increasing the frequency of resistant biotypes among the population.</w:t>
      </w:r>
    </w:p>
    <w:p w14:paraId="59A6DD7F" w14:textId="57943C6C" w:rsidR="0044786A" w:rsidRPr="0044786A" w:rsidRDefault="00DD4456" w:rsidP="004A0B00">
      <w:pPr>
        <w:spacing w:before="120" w:after="120"/>
        <w:jc w:val="both"/>
        <w:rPr>
          <w:rFonts w:ascii="Arial" w:hAnsi="Arial" w:cs="Arial"/>
          <w:b/>
          <w:bCs/>
        </w:rPr>
      </w:pPr>
      <w:r>
        <w:rPr>
          <w:rFonts w:ascii="Arial" w:hAnsi="Arial" w:cs="Arial"/>
          <w:b/>
          <w:bCs/>
        </w:rPr>
        <w:t xml:space="preserve">4.2 </w:t>
      </w:r>
      <w:r w:rsidR="0044786A" w:rsidRPr="0044786A">
        <w:rPr>
          <w:rFonts w:ascii="Arial" w:hAnsi="Arial" w:cs="Arial"/>
          <w:b/>
          <w:bCs/>
        </w:rPr>
        <w:t>Monocropping and lack of different crop rotations</w:t>
      </w:r>
    </w:p>
    <w:p w14:paraId="718C395C" w14:textId="77777777" w:rsidR="0044786A" w:rsidRPr="0044786A" w:rsidRDefault="0044786A" w:rsidP="0044786A">
      <w:pPr>
        <w:jc w:val="both"/>
        <w:rPr>
          <w:rFonts w:ascii="Arial" w:hAnsi="Arial" w:cs="Arial"/>
        </w:rPr>
      </w:pPr>
      <w:r w:rsidRPr="0044786A">
        <w:rPr>
          <w:rFonts w:ascii="Arial" w:hAnsi="Arial" w:cs="Arial"/>
        </w:rPr>
        <w:t>Cultivation of same crop season after season often restricts the farmer to repeatedly use similar herbicides and same management practices which reduce the diversity in control strategies increasing the risk of developing herbicide resistance in weed flora (</w:t>
      </w:r>
      <w:proofErr w:type="spellStart"/>
      <w:r w:rsidRPr="0044786A">
        <w:rPr>
          <w:rFonts w:ascii="Arial" w:hAnsi="Arial" w:cs="Arial"/>
        </w:rPr>
        <w:t>Saulic</w:t>
      </w:r>
      <w:proofErr w:type="spellEnd"/>
      <w:r w:rsidRPr="0044786A">
        <w:rPr>
          <w:rFonts w:ascii="Arial" w:hAnsi="Arial" w:cs="Arial"/>
        </w:rPr>
        <w:t xml:space="preserve"> </w:t>
      </w:r>
      <w:r w:rsidRPr="0044786A">
        <w:rPr>
          <w:rFonts w:ascii="Arial" w:hAnsi="Arial" w:cs="Arial"/>
          <w:i/>
          <w:iCs/>
        </w:rPr>
        <w:t>et al</w:t>
      </w:r>
      <w:r w:rsidRPr="0044786A">
        <w:rPr>
          <w:rFonts w:ascii="Arial" w:hAnsi="Arial" w:cs="Arial"/>
        </w:rPr>
        <w:t>., 2022).</w:t>
      </w:r>
    </w:p>
    <w:p w14:paraId="2B8171AA" w14:textId="2A82EF81" w:rsidR="0044786A" w:rsidRPr="0044786A" w:rsidRDefault="00DD4456" w:rsidP="004A0B00">
      <w:pPr>
        <w:spacing w:before="120" w:after="120"/>
        <w:jc w:val="both"/>
        <w:rPr>
          <w:rFonts w:ascii="Arial" w:hAnsi="Arial" w:cs="Arial"/>
          <w:b/>
          <w:bCs/>
        </w:rPr>
      </w:pPr>
      <w:r>
        <w:rPr>
          <w:rFonts w:ascii="Arial" w:hAnsi="Arial" w:cs="Arial"/>
          <w:b/>
          <w:bCs/>
        </w:rPr>
        <w:t xml:space="preserve">4.3 </w:t>
      </w:r>
      <w:r w:rsidR="0044786A" w:rsidRPr="0044786A">
        <w:rPr>
          <w:rFonts w:ascii="Arial" w:hAnsi="Arial" w:cs="Arial"/>
          <w:b/>
          <w:bCs/>
        </w:rPr>
        <w:t>Conservation agriculture and reduced tillage without diversified weed control</w:t>
      </w:r>
    </w:p>
    <w:p w14:paraId="1FF24853" w14:textId="77777777" w:rsidR="0044786A" w:rsidRPr="0044786A" w:rsidRDefault="0044786A" w:rsidP="0044786A">
      <w:pPr>
        <w:jc w:val="both"/>
        <w:rPr>
          <w:rFonts w:ascii="Arial" w:hAnsi="Arial" w:cs="Arial"/>
        </w:rPr>
      </w:pPr>
      <w:r w:rsidRPr="0044786A">
        <w:rPr>
          <w:rFonts w:ascii="Arial" w:hAnsi="Arial" w:cs="Arial"/>
        </w:rPr>
        <w:t>Although conservation tillage has many benefits for soil health, but the heavy reliance of it on herbicides for weed management may increase selection pressure if not balanced with diversified practices (Cordeau, 2022).</w:t>
      </w:r>
    </w:p>
    <w:p w14:paraId="2CCD4928" w14:textId="0EE978BB" w:rsidR="0044786A" w:rsidRPr="0044786A" w:rsidRDefault="00DD4456" w:rsidP="004A0B00">
      <w:pPr>
        <w:spacing w:before="120" w:after="120"/>
        <w:jc w:val="both"/>
        <w:rPr>
          <w:rFonts w:ascii="Arial" w:hAnsi="Arial" w:cs="Arial"/>
          <w:b/>
          <w:bCs/>
        </w:rPr>
      </w:pPr>
      <w:r>
        <w:rPr>
          <w:rFonts w:ascii="Arial" w:hAnsi="Arial" w:cs="Arial"/>
          <w:b/>
          <w:bCs/>
        </w:rPr>
        <w:t xml:space="preserve">4.4 </w:t>
      </w:r>
      <w:r w:rsidR="0044786A" w:rsidRPr="0044786A">
        <w:rPr>
          <w:rFonts w:ascii="Arial" w:hAnsi="Arial" w:cs="Arial"/>
          <w:b/>
          <w:bCs/>
        </w:rPr>
        <w:t>Sub-lethal Doses and Improper Application</w:t>
      </w:r>
    </w:p>
    <w:p w14:paraId="5A7C556D" w14:textId="77777777" w:rsidR="0044786A" w:rsidRPr="0044786A" w:rsidRDefault="0044786A" w:rsidP="0044786A">
      <w:pPr>
        <w:jc w:val="both"/>
        <w:rPr>
          <w:rFonts w:ascii="Arial" w:hAnsi="Arial" w:cs="Arial"/>
        </w:rPr>
      </w:pPr>
      <w:r w:rsidRPr="0044786A">
        <w:rPr>
          <w:rFonts w:ascii="Arial" w:hAnsi="Arial" w:cs="Arial"/>
        </w:rPr>
        <w:t>The use of sub-lethal doses of herbicides combined with wrong time and technique’s along with poor or partial spray coverage may led to survival of partial tolerant weeds which can pass on the resistant trait (Sharpe and Novak, 2024).</w:t>
      </w:r>
    </w:p>
    <w:p w14:paraId="6EE624E4" w14:textId="39A23224" w:rsidR="0044786A" w:rsidRPr="0044786A" w:rsidRDefault="00DD4456" w:rsidP="004A0B00">
      <w:pPr>
        <w:spacing w:before="120" w:after="120"/>
        <w:rPr>
          <w:rFonts w:ascii="Arial" w:hAnsi="Arial" w:cs="Arial"/>
          <w:b/>
          <w:bCs/>
        </w:rPr>
      </w:pPr>
      <w:r>
        <w:rPr>
          <w:rFonts w:ascii="Arial" w:hAnsi="Arial" w:cs="Arial"/>
          <w:b/>
          <w:bCs/>
        </w:rPr>
        <w:t xml:space="preserve">4.5 </w:t>
      </w:r>
      <w:r w:rsidR="0044786A" w:rsidRPr="0044786A">
        <w:rPr>
          <w:rFonts w:ascii="Arial" w:hAnsi="Arial" w:cs="Arial"/>
          <w:b/>
          <w:bCs/>
        </w:rPr>
        <w:t>Over-reliance on Chemical Weed Control</w:t>
      </w:r>
      <w:r w:rsidR="0044786A" w:rsidRPr="0044786A">
        <w:rPr>
          <w:rFonts w:ascii="Arial" w:hAnsi="Arial" w:cs="Arial"/>
        </w:rPr>
        <w:br/>
        <w:t xml:space="preserve">When only herbicides are used as the primary or sole weed management strategy without </w:t>
      </w:r>
      <w:r w:rsidR="0044786A" w:rsidRPr="0044786A">
        <w:rPr>
          <w:rFonts w:ascii="Arial" w:hAnsi="Arial" w:cs="Arial"/>
        </w:rPr>
        <w:lastRenderedPageBreak/>
        <w:t xml:space="preserve">any integration of cultural, mechanical, or biological methods, the chances of development of herbicide resistance becomes very high (Weisberger </w:t>
      </w:r>
      <w:r w:rsidR="0044786A" w:rsidRPr="0044786A">
        <w:rPr>
          <w:rFonts w:ascii="Arial" w:hAnsi="Arial" w:cs="Arial"/>
          <w:i/>
          <w:iCs/>
        </w:rPr>
        <w:t>et al</w:t>
      </w:r>
      <w:r w:rsidR="0044786A" w:rsidRPr="0044786A">
        <w:rPr>
          <w:rFonts w:ascii="Arial" w:hAnsi="Arial" w:cs="Arial"/>
        </w:rPr>
        <w:t>., 2024).</w:t>
      </w:r>
    </w:p>
    <w:p w14:paraId="0E22270F" w14:textId="37778142" w:rsidR="0044786A" w:rsidRPr="0044786A" w:rsidRDefault="00DD4456" w:rsidP="004A0B00">
      <w:pPr>
        <w:spacing w:before="120" w:after="120"/>
        <w:rPr>
          <w:rFonts w:ascii="Arial" w:hAnsi="Arial" w:cs="Arial"/>
        </w:rPr>
      </w:pPr>
      <w:r>
        <w:rPr>
          <w:rFonts w:ascii="Arial" w:hAnsi="Arial" w:cs="Arial"/>
          <w:b/>
          <w:bCs/>
        </w:rPr>
        <w:t xml:space="preserve">4.6 </w:t>
      </w:r>
      <w:r w:rsidR="0044786A" w:rsidRPr="0044786A">
        <w:rPr>
          <w:rFonts w:ascii="Arial" w:hAnsi="Arial" w:cs="Arial"/>
          <w:b/>
          <w:bCs/>
        </w:rPr>
        <w:t>Poor Management of Weed Seed Bank</w:t>
      </w:r>
      <w:r w:rsidR="0044786A" w:rsidRPr="0044786A">
        <w:rPr>
          <w:rFonts w:ascii="Arial" w:hAnsi="Arial" w:cs="Arial"/>
        </w:rPr>
        <w:br/>
        <w:t xml:space="preserve">Allowing resistant weeds to produce seeds which leads to replenishment of the soil weed seed bank is one of the most important reasons for spread and persistence of resistance (Kumar </w:t>
      </w:r>
      <w:r w:rsidR="0044786A" w:rsidRPr="0044786A">
        <w:rPr>
          <w:rFonts w:ascii="Arial" w:hAnsi="Arial" w:cs="Arial"/>
          <w:i/>
          <w:iCs/>
        </w:rPr>
        <w:t>et al</w:t>
      </w:r>
      <w:r w:rsidR="0044786A" w:rsidRPr="0044786A">
        <w:rPr>
          <w:rFonts w:ascii="Arial" w:hAnsi="Arial" w:cs="Arial"/>
        </w:rPr>
        <w:t>., 2022</w:t>
      </w:r>
      <w:r w:rsidR="00534C0D">
        <w:rPr>
          <w:rFonts w:ascii="Arial" w:hAnsi="Arial" w:cs="Arial"/>
        </w:rPr>
        <w:t>b</w:t>
      </w:r>
      <w:r w:rsidR="0044786A" w:rsidRPr="0044786A">
        <w:rPr>
          <w:rFonts w:ascii="Arial" w:hAnsi="Arial" w:cs="Arial"/>
        </w:rPr>
        <w:t>).</w:t>
      </w:r>
    </w:p>
    <w:p w14:paraId="4F411109" w14:textId="65204C79" w:rsidR="0044786A" w:rsidRPr="0044786A" w:rsidRDefault="00DD4456" w:rsidP="004A0B00">
      <w:pPr>
        <w:spacing w:before="120" w:after="120"/>
        <w:jc w:val="both"/>
        <w:rPr>
          <w:rFonts w:ascii="Arial" w:hAnsi="Arial" w:cs="Arial"/>
          <w:b/>
          <w:bCs/>
        </w:rPr>
      </w:pPr>
      <w:r>
        <w:rPr>
          <w:rFonts w:ascii="Arial" w:hAnsi="Arial" w:cs="Arial"/>
          <w:b/>
          <w:bCs/>
        </w:rPr>
        <w:t xml:space="preserve">4.7 </w:t>
      </w:r>
      <w:r w:rsidR="0044786A" w:rsidRPr="0044786A">
        <w:rPr>
          <w:rFonts w:ascii="Arial" w:hAnsi="Arial" w:cs="Arial"/>
          <w:b/>
          <w:bCs/>
        </w:rPr>
        <w:t>Climate Change Interactions</w:t>
      </w:r>
    </w:p>
    <w:p w14:paraId="0090DFC4" w14:textId="4252D622" w:rsidR="0044786A" w:rsidRDefault="0044786A" w:rsidP="0044786A">
      <w:pPr>
        <w:jc w:val="both"/>
        <w:rPr>
          <w:rFonts w:ascii="Arial" w:hAnsi="Arial" w:cs="Arial"/>
        </w:rPr>
      </w:pPr>
      <w:r w:rsidRPr="0044786A">
        <w:rPr>
          <w:rFonts w:ascii="Arial" w:hAnsi="Arial" w:cs="Arial"/>
        </w:rPr>
        <w:t>The elevated levels of CO</w:t>
      </w:r>
      <w:r w:rsidRPr="0044786A">
        <w:rPr>
          <w:rFonts w:ascii="Cambria Math" w:hAnsi="Cambria Math" w:cs="Cambria Math"/>
        </w:rPr>
        <w:t>₂</w:t>
      </w:r>
      <w:r w:rsidRPr="0044786A">
        <w:rPr>
          <w:rFonts w:ascii="Arial" w:hAnsi="Arial" w:cs="Arial"/>
        </w:rPr>
        <w:t xml:space="preserve">, rising temperatures and altered rainfall patterns can more easily modify biology of weeds as compared to crops which will change the herbicide efficacy and indirectly influence resistance evolution (Kaur </w:t>
      </w:r>
      <w:r w:rsidRPr="0044786A">
        <w:rPr>
          <w:rFonts w:ascii="Arial" w:hAnsi="Arial" w:cs="Arial"/>
          <w:i/>
          <w:iCs/>
        </w:rPr>
        <w:t>et al</w:t>
      </w:r>
      <w:r w:rsidRPr="0044786A">
        <w:rPr>
          <w:rFonts w:ascii="Arial" w:hAnsi="Arial" w:cs="Arial"/>
        </w:rPr>
        <w:t>., 2024).</w:t>
      </w:r>
    </w:p>
    <w:p w14:paraId="41A66856" w14:textId="77777777" w:rsidR="0095358D" w:rsidRPr="00DD4456" w:rsidRDefault="0095358D" w:rsidP="0044786A">
      <w:pPr>
        <w:jc w:val="both"/>
        <w:rPr>
          <w:rFonts w:ascii="Arial" w:hAnsi="Arial" w:cs="Arial"/>
        </w:rPr>
      </w:pPr>
    </w:p>
    <w:p w14:paraId="7F9764B7" w14:textId="29040E3C" w:rsidR="0044786A" w:rsidRPr="0095358D" w:rsidRDefault="0044786A" w:rsidP="0095358D">
      <w:pPr>
        <w:pStyle w:val="ListParagraph"/>
        <w:numPr>
          <w:ilvl w:val="0"/>
          <w:numId w:val="35"/>
        </w:numPr>
        <w:ind w:left="284"/>
        <w:jc w:val="both"/>
        <w:rPr>
          <w:rFonts w:ascii="Arial" w:hAnsi="Arial" w:cs="Arial"/>
          <w:b/>
          <w:bCs/>
        </w:rPr>
      </w:pPr>
      <w:r w:rsidRPr="0095358D">
        <w:rPr>
          <w:rFonts w:ascii="Arial" w:hAnsi="Arial" w:cs="Arial"/>
          <w:b/>
          <w:bCs/>
        </w:rPr>
        <w:t>Agronomic Mitigation Strategies for Managing Herbicide Resistance</w:t>
      </w:r>
    </w:p>
    <w:p w14:paraId="5A0E8FD5" w14:textId="40F97391" w:rsidR="0095614D" w:rsidRDefault="0044786A" w:rsidP="0044786A">
      <w:pPr>
        <w:jc w:val="both"/>
        <w:rPr>
          <w:rFonts w:ascii="Arial" w:hAnsi="Arial" w:cs="Arial"/>
        </w:rPr>
      </w:pPr>
      <w:r w:rsidRPr="0095358D">
        <w:rPr>
          <w:rFonts w:ascii="Arial" w:hAnsi="Arial" w:cs="Arial"/>
        </w:rPr>
        <w:t xml:space="preserve">Agronomic mitigation strategies pay a critical role in sustainable weed management which are aimed at delaying, preventing or reversing the evolution of herbicide resistance in weeds (Singh </w:t>
      </w:r>
      <w:r w:rsidRPr="0095358D">
        <w:rPr>
          <w:rFonts w:ascii="Arial" w:hAnsi="Arial" w:cs="Arial"/>
          <w:i/>
          <w:iCs/>
        </w:rPr>
        <w:t>et al</w:t>
      </w:r>
      <w:r w:rsidRPr="0095358D">
        <w:rPr>
          <w:rFonts w:ascii="Arial" w:hAnsi="Arial" w:cs="Arial"/>
        </w:rPr>
        <w:t xml:space="preserve">., 2024). Herbicide resistance primarily arises due to repeated application of herbicides and dependency on herbicides with similar modes of action (Pedroso and Moretti, 2025). Under these circumstances strong selection pressure </w:t>
      </w:r>
      <w:proofErr w:type="spellStart"/>
      <w:r w:rsidRPr="0095358D">
        <w:rPr>
          <w:rFonts w:ascii="Arial" w:hAnsi="Arial" w:cs="Arial"/>
        </w:rPr>
        <w:t>favouring</w:t>
      </w:r>
      <w:proofErr w:type="spellEnd"/>
      <w:r w:rsidRPr="0095358D">
        <w:rPr>
          <w:rFonts w:ascii="Arial" w:hAnsi="Arial" w:cs="Arial"/>
        </w:rPr>
        <w:t xml:space="preserve"> resistant biotypes is created. Therefore, diverse agronomic practices are needed for reducing dependence on chemical weed management and thereby improving evolutionary pressure and long-term weed management outcomes.</w:t>
      </w:r>
    </w:p>
    <w:p w14:paraId="0686002C" w14:textId="70B2676B" w:rsidR="0095614D" w:rsidRDefault="00BC0A71" w:rsidP="00396400">
      <w:pPr>
        <w:spacing w:before="120" w:after="120"/>
        <w:jc w:val="both"/>
        <w:rPr>
          <w:rFonts w:ascii="Arial" w:hAnsi="Arial" w:cs="Arial"/>
        </w:rPr>
      </w:pPr>
      <w:r>
        <w:rPr>
          <w:rFonts w:ascii="Arial" w:hAnsi="Arial" w:cs="Arial"/>
        </w:rPr>
        <w:t>Table</w:t>
      </w:r>
      <w:r w:rsidR="0095614D">
        <w:rPr>
          <w:rFonts w:ascii="Arial" w:hAnsi="Arial" w:cs="Arial"/>
        </w:rPr>
        <w:t xml:space="preserve"> 2.</w:t>
      </w:r>
      <w:r w:rsidR="0005648A" w:rsidRPr="0005648A">
        <w:t xml:space="preserve"> </w:t>
      </w:r>
      <w:r w:rsidR="0005648A" w:rsidRPr="0005648A">
        <w:rPr>
          <w:rFonts w:ascii="Arial" w:hAnsi="Arial" w:cs="Arial"/>
        </w:rPr>
        <w:t xml:space="preserve">Agronomic mitigation strategies for managing herbicide-resistant weeds reported in recent studies </w:t>
      </w:r>
      <w:r w:rsidR="0095614D">
        <w:rPr>
          <w:rFonts w:ascii="Arial" w:hAnsi="Arial" w:cs="Arial"/>
        </w:rPr>
        <w:t xml:space="preserve"> </w:t>
      </w:r>
    </w:p>
    <w:tbl>
      <w:tblPr>
        <w:tblStyle w:val="TableGrid"/>
        <w:tblW w:w="0" w:type="auto"/>
        <w:tblLook w:val="04A0" w:firstRow="1" w:lastRow="0" w:firstColumn="1" w:lastColumn="0" w:noHBand="0" w:noVBand="1"/>
      </w:tblPr>
      <w:tblGrid>
        <w:gridCol w:w="2000"/>
        <w:gridCol w:w="1553"/>
        <w:gridCol w:w="1107"/>
        <w:gridCol w:w="2485"/>
        <w:gridCol w:w="1279"/>
      </w:tblGrid>
      <w:tr w:rsidR="00E37E66" w:rsidRPr="00323453" w14:paraId="2E323207" w14:textId="77777777" w:rsidTr="00E37E66">
        <w:tc>
          <w:tcPr>
            <w:tcW w:w="0" w:type="auto"/>
            <w:hideMark/>
          </w:tcPr>
          <w:p w14:paraId="3CD25D9B" w14:textId="77777777" w:rsidR="00E37E66" w:rsidRPr="00323453" w:rsidRDefault="00E37E66" w:rsidP="00E37E66">
            <w:pPr>
              <w:jc w:val="both"/>
              <w:rPr>
                <w:rFonts w:ascii="Arial" w:hAnsi="Arial" w:cs="Arial"/>
                <w:b/>
                <w:bCs/>
                <w:sz w:val="20"/>
                <w:szCs w:val="20"/>
                <w:lang w:val="en-IN"/>
              </w:rPr>
            </w:pPr>
            <w:r w:rsidRPr="00323453">
              <w:rPr>
                <w:rFonts w:ascii="Arial" w:hAnsi="Arial" w:cs="Arial"/>
                <w:b/>
                <w:bCs/>
                <w:sz w:val="20"/>
                <w:szCs w:val="20"/>
                <w:lang w:val="en-IN"/>
              </w:rPr>
              <w:t>Strategy</w:t>
            </w:r>
          </w:p>
        </w:tc>
        <w:tc>
          <w:tcPr>
            <w:tcW w:w="0" w:type="auto"/>
            <w:hideMark/>
          </w:tcPr>
          <w:p w14:paraId="6D5DEB02" w14:textId="77777777" w:rsidR="00E37E66" w:rsidRPr="00323453" w:rsidRDefault="00E37E66" w:rsidP="00E37E66">
            <w:pPr>
              <w:jc w:val="both"/>
              <w:rPr>
                <w:rFonts w:ascii="Arial" w:hAnsi="Arial" w:cs="Arial"/>
                <w:b/>
                <w:bCs/>
                <w:sz w:val="20"/>
                <w:szCs w:val="20"/>
                <w:lang w:val="en-IN"/>
              </w:rPr>
            </w:pPr>
            <w:r w:rsidRPr="00323453">
              <w:rPr>
                <w:rFonts w:ascii="Arial" w:hAnsi="Arial" w:cs="Arial"/>
                <w:b/>
                <w:bCs/>
                <w:sz w:val="20"/>
                <w:szCs w:val="20"/>
                <w:lang w:val="en-IN"/>
              </w:rPr>
              <w:t>Crop / Weed</w:t>
            </w:r>
          </w:p>
        </w:tc>
        <w:tc>
          <w:tcPr>
            <w:tcW w:w="0" w:type="auto"/>
            <w:hideMark/>
          </w:tcPr>
          <w:p w14:paraId="470D948D" w14:textId="04FCB9AF" w:rsidR="00E37E66" w:rsidRPr="00323453" w:rsidRDefault="00E37E66" w:rsidP="00E37E66">
            <w:pPr>
              <w:jc w:val="both"/>
              <w:rPr>
                <w:rFonts w:ascii="Arial" w:hAnsi="Arial" w:cs="Arial"/>
                <w:b/>
                <w:bCs/>
                <w:sz w:val="20"/>
                <w:szCs w:val="20"/>
                <w:lang w:val="en-IN"/>
              </w:rPr>
            </w:pPr>
            <w:r w:rsidRPr="00323453">
              <w:rPr>
                <w:rFonts w:ascii="Arial" w:hAnsi="Arial" w:cs="Arial"/>
                <w:b/>
                <w:bCs/>
                <w:sz w:val="20"/>
                <w:szCs w:val="20"/>
                <w:lang w:val="en-IN"/>
              </w:rPr>
              <w:t>Region</w:t>
            </w:r>
          </w:p>
        </w:tc>
        <w:tc>
          <w:tcPr>
            <w:tcW w:w="0" w:type="auto"/>
            <w:hideMark/>
          </w:tcPr>
          <w:p w14:paraId="6F08C38E" w14:textId="77777777" w:rsidR="00E37E66" w:rsidRPr="00323453" w:rsidRDefault="00E37E66" w:rsidP="00E37E66">
            <w:pPr>
              <w:jc w:val="both"/>
              <w:rPr>
                <w:rFonts w:ascii="Arial" w:hAnsi="Arial" w:cs="Arial"/>
                <w:b/>
                <w:bCs/>
                <w:sz w:val="20"/>
                <w:szCs w:val="20"/>
                <w:lang w:val="en-IN"/>
              </w:rPr>
            </w:pPr>
            <w:r w:rsidRPr="00323453">
              <w:rPr>
                <w:rFonts w:ascii="Arial" w:hAnsi="Arial" w:cs="Arial"/>
                <w:b/>
                <w:bCs/>
                <w:sz w:val="20"/>
                <w:szCs w:val="20"/>
                <w:lang w:val="en-IN"/>
              </w:rPr>
              <w:t>Key result</w:t>
            </w:r>
          </w:p>
        </w:tc>
        <w:tc>
          <w:tcPr>
            <w:tcW w:w="0" w:type="auto"/>
            <w:hideMark/>
          </w:tcPr>
          <w:p w14:paraId="3E4312BA" w14:textId="77777777" w:rsidR="00E37E66" w:rsidRPr="00323453" w:rsidRDefault="00E37E66" w:rsidP="00E37E66">
            <w:pPr>
              <w:jc w:val="both"/>
              <w:rPr>
                <w:rFonts w:ascii="Arial" w:hAnsi="Arial" w:cs="Arial"/>
                <w:b/>
                <w:bCs/>
                <w:sz w:val="20"/>
                <w:szCs w:val="20"/>
                <w:lang w:val="en-IN"/>
              </w:rPr>
            </w:pPr>
            <w:r w:rsidRPr="00323453">
              <w:rPr>
                <w:rFonts w:ascii="Arial" w:hAnsi="Arial" w:cs="Arial"/>
                <w:b/>
                <w:bCs/>
                <w:sz w:val="20"/>
                <w:szCs w:val="20"/>
                <w:lang w:val="en-IN"/>
              </w:rPr>
              <w:t>Reference</w:t>
            </w:r>
          </w:p>
        </w:tc>
      </w:tr>
      <w:tr w:rsidR="00E37E66" w:rsidRPr="00323453" w14:paraId="2C3FD80B" w14:textId="77777777" w:rsidTr="00E37E66">
        <w:tc>
          <w:tcPr>
            <w:tcW w:w="0" w:type="auto"/>
            <w:hideMark/>
          </w:tcPr>
          <w:p w14:paraId="56B602D2"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Integrated weed management (crop rotation, cultural control, harvest weed seed control)</w:t>
            </w:r>
          </w:p>
        </w:tc>
        <w:tc>
          <w:tcPr>
            <w:tcW w:w="0" w:type="auto"/>
            <w:hideMark/>
          </w:tcPr>
          <w:p w14:paraId="1F9708AF"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Multiple weeds in cereals</w:t>
            </w:r>
          </w:p>
        </w:tc>
        <w:tc>
          <w:tcPr>
            <w:tcW w:w="0" w:type="auto"/>
            <w:hideMark/>
          </w:tcPr>
          <w:p w14:paraId="0034E59D"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Canada (Prairie region)</w:t>
            </w:r>
          </w:p>
        </w:tc>
        <w:tc>
          <w:tcPr>
            <w:tcW w:w="0" w:type="auto"/>
            <w:hideMark/>
          </w:tcPr>
          <w:p w14:paraId="085968D1"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IWM systems significantly reduced herbicide-resistant weed pressure and improved sustainability of cropping systems</w:t>
            </w:r>
          </w:p>
        </w:tc>
        <w:tc>
          <w:tcPr>
            <w:tcW w:w="0" w:type="auto"/>
            <w:hideMark/>
          </w:tcPr>
          <w:p w14:paraId="6916D6EB"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Tidemann </w:t>
            </w:r>
            <w:r w:rsidRPr="00323453">
              <w:rPr>
                <w:rFonts w:ascii="Arial" w:hAnsi="Arial" w:cs="Arial"/>
                <w:i/>
                <w:iCs/>
                <w:sz w:val="20"/>
                <w:szCs w:val="20"/>
                <w:lang w:val="en-IN"/>
              </w:rPr>
              <w:t>et al</w:t>
            </w:r>
            <w:r w:rsidRPr="00323453">
              <w:rPr>
                <w:rFonts w:ascii="Arial" w:hAnsi="Arial" w:cs="Arial"/>
                <w:sz w:val="20"/>
                <w:szCs w:val="20"/>
                <w:lang w:val="en-IN"/>
              </w:rPr>
              <w:t>., 2023</w:t>
            </w:r>
          </w:p>
        </w:tc>
      </w:tr>
      <w:tr w:rsidR="00E37E66" w:rsidRPr="00323453" w14:paraId="767FC5A2" w14:textId="77777777" w:rsidTr="00E37E66">
        <w:tc>
          <w:tcPr>
            <w:tcW w:w="0" w:type="auto"/>
            <w:hideMark/>
          </w:tcPr>
          <w:p w14:paraId="284FF105"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Integrated weed management for resistant </w:t>
            </w:r>
            <w:proofErr w:type="spellStart"/>
            <w:r w:rsidRPr="00323453">
              <w:rPr>
                <w:rFonts w:ascii="Arial" w:hAnsi="Arial" w:cs="Arial"/>
                <w:sz w:val="20"/>
                <w:szCs w:val="20"/>
                <w:lang w:val="en-IN"/>
              </w:rPr>
              <w:t>waterhemp</w:t>
            </w:r>
            <w:proofErr w:type="spellEnd"/>
          </w:p>
        </w:tc>
        <w:tc>
          <w:tcPr>
            <w:tcW w:w="0" w:type="auto"/>
            <w:hideMark/>
          </w:tcPr>
          <w:p w14:paraId="1DDE0A2F" w14:textId="77777777" w:rsidR="00E37E66" w:rsidRPr="00323453" w:rsidRDefault="00E37E66" w:rsidP="00E37E66">
            <w:pPr>
              <w:jc w:val="both"/>
              <w:rPr>
                <w:rFonts w:ascii="Arial" w:hAnsi="Arial" w:cs="Arial"/>
                <w:sz w:val="20"/>
                <w:szCs w:val="20"/>
                <w:lang w:val="en-IN"/>
              </w:rPr>
            </w:pPr>
            <w:r w:rsidRPr="00323453">
              <w:rPr>
                <w:rFonts w:ascii="Arial" w:hAnsi="Arial" w:cs="Arial"/>
                <w:i/>
                <w:iCs/>
                <w:sz w:val="20"/>
                <w:szCs w:val="20"/>
                <w:lang w:val="en-IN"/>
              </w:rPr>
              <w:t>Amaranthus tuberculatus</w:t>
            </w:r>
            <w:r w:rsidRPr="00323453">
              <w:rPr>
                <w:rFonts w:ascii="Arial" w:hAnsi="Arial" w:cs="Arial"/>
                <w:sz w:val="20"/>
                <w:szCs w:val="20"/>
                <w:lang w:val="en-IN"/>
              </w:rPr>
              <w:t xml:space="preserve"> in corn–soybean</w:t>
            </w:r>
          </w:p>
        </w:tc>
        <w:tc>
          <w:tcPr>
            <w:tcW w:w="0" w:type="auto"/>
            <w:hideMark/>
          </w:tcPr>
          <w:p w14:paraId="6A397DD8"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Canada</w:t>
            </w:r>
          </w:p>
        </w:tc>
        <w:tc>
          <w:tcPr>
            <w:tcW w:w="0" w:type="auto"/>
            <w:hideMark/>
          </w:tcPr>
          <w:p w14:paraId="3A9DC054"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Combining cultural practices with herbicide programs helped deplete resistant </w:t>
            </w:r>
            <w:proofErr w:type="spellStart"/>
            <w:r w:rsidRPr="00323453">
              <w:rPr>
                <w:rFonts w:ascii="Arial" w:hAnsi="Arial" w:cs="Arial"/>
                <w:sz w:val="20"/>
                <w:szCs w:val="20"/>
                <w:lang w:val="en-IN"/>
              </w:rPr>
              <w:t>waterhemp</w:t>
            </w:r>
            <w:proofErr w:type="spellEnd"/>
            <w:r w:rsidRPr="00323453">
              <w:rPr>
                <w:rFonts w:ascii="Arial" w:hAnsi="Arial" w:cs="Arial"/>
                <w:sz w:val="20"/>
                <w:szCs w:val="20"/>
                <w:lang w:val="en-IN"/>
              </w:rPr>
              <w:t xml:space="preserve"> seedbanks in soil</w:t>
            </w:r>
          </w:p>
        </w:tc>
        <w:tc>
          <w:tcPr>
            <w:tcW w:w="0" w:type="auto"/>
            <w:hideMark/>
          </w:tcPr>
          <w:p w14:paraId="50E82FD4"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Soltani </w:t>
            </w:r>
            <w:r w:rsidRPr="00323453">
              <w:rPr>
                <w:rFonts w:ascii="Arial" w:hAnsi="Arial" w:cs="Arial"/>
                <w:i/>
                <w:iCs/>
                <w:sz w:val="20"/>
                <w:szCs w:val="20"/>
                <w:lang w:val="en-IN"/>
              </w:rPr>
              <w:t>et al</w:t>
            </w:r>
            <w:r w:rsidRPr="00323453">
              <w:rPr>
                <w:rFonts w:ascii="Arial" w:hAnsi="Arial" w:cs="Arial"/>
                <w:sz w:val="20"/>
                <w:szCs w:val="20"/>
                <w:lang w:val="en-IN"/>
              </w:rPr>
              <w:t>., 2023</w:t>
            </w:r>
          </w:p>
        </w:tc>
      </w:tr>
      <w:tr w:rsidR="00E37E66" w:rsidRPr="00323453" w14:paraId="643C2E25" w14:textId="77777777" w:rsidTr="00E37E66">
        <w:tc>
          <w:tcPr>
            <w:tcW w:w="0" w:type="auto"/>
            <w:hideMark/>
          </w:tcPr>
          <w:p w14:paraId="1ECDCE17"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Crop density as cultural control</w:t>
            </w:r>
          </w:p>
        </w:tc>
        <w:tc>
          <w:tcPr>
            <w:tcW w:w="0" w:type="auto"/>
            <w:hideMark/>
          </w:tcPr>
          <w:p w14:paraId="5868141B" w14:textId="77777777" w:rsidR="00E37E66" w:rsidRPr="00323453" w:rsidRDefault="00E37E66" w:rsidP="00E37E66">
            <w:pPr>
              <w:jc w:val="both"/>
              <w:rPr>
                <w:rFonts w:ascii="Arial" w:hAnsi="Arial" w:cs="Arial"/>
                <w:sz w:val="20"/>
                <w:szCs w:val="20"/>
                <w:lang w:val="en-IN"/>
              </w:rPr>
            </w:pPr>
            <w:proofErr w:type="spellStart"/>
            <w:r w:rsidRPr="00323453">
              <w:rPr>
                <w:rFonts w:ascii="Arial" w:hAnsi="Arial" w:cs="Arial"/>
                <w:i/>
                <w:iCs/>
                <w:sz w:val="20"/>
                <w:szCs w:val="20"/>
                <w:lang w:val="en-IN"/>
              </w:rPr>
              <w:t>Avena</w:t>
            </w:r>
            <w:proofErr w:type="spellEnd"/>
            <w:r w:rsidRPr="00323453">
              <w:rPr>
                <w:rFonts w:ascii="Arial" w:hAnsi="Arial" w:cs="Arial"/>
                <w:i/>
                <w:iCs/>
                <w:sz w:val="20"/>
                <w:szCs w:val="20"/>
                <w:lang w:val="en-IN"/>
              </w:rPr>
              <w:t xml:space="preserve"> </w:t>
            </w:r>
            <w:proofErr w:type="spellStart"/>
            <w:r w:rsidRPr="00323453">
              <w:rPr>
                <w:rFonts w:ascii="Arial" w:hAnsi="Arial" w:cs="Arial"/>
                <w:i/>
                <w:iCs/>
                <w:sz w:val="20"/>
                <w:szCs w:val="20"/>
                <w:lang w:val="en-IN"/>
              </w:rPr>
              <w:t>fatua</w:t>
            </w:r>
            <w:proofErr w:type="spellEnd"/>
            <w:r w:rsidRPr="00323453">
              <w:rPr>
                <w:rFonts w:ascii="Arial" w:hAnsi="Arial" w:cs="Arial"/>
                <w:sz w:val="20"/>
                <w:szCs w:val="20"/>
                <w:lang w:val="en-IN"/>
              </w:rPr>
              <w:t xml:space="preserve"> in wheat</w:t>
            </w:r>
          </w:p>
        </w:tc>
        <w:tc>
          <w:tcPr>
            <w:tcW w:w="0" w:type="auto"/>
            <w:hideMark/>
          </w:tcPr>
          <w:p w14:paraId="2BD84227"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Iran / global wheat systems</w:t>
            </w:r>
          </w:p>
        </w:tc>
        <w:tc>
          <w:tcPr>
            <w:tcW w:w="0" w:type="auto"/>
            <w:hideMark/>
          </w:tcPr>
          <w:p w14:paraId="226E8CB0"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Higher wheat density reduced weed competitiveness and increased economic threshold for herbicide application</w:t>
            </w:r>
          </w:p>
        </w:tc>
        <w:tc>
          <w:tcPr>
            <w:tcW w:w="0" w:type="auto"/>
            <w:hideMark/>
          </w:tcPr>
          <w:p w14:paraId="06181076"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Habibi, 2025</w:t>
            </w:r>
          </w:p>
        </w:tc>
      </w:tr>
      <w:tr w:rsidR="00E37E66" w:rsidRPr="00323453" w14:paraId="3D15BA78" w14:textId="77777777" w:rsidTr="00E37E66">
        <w:tc>
          <w:tcPr>
            <w:tcW w:w="0" w:type="auto"/>
            <w:hideMark/>
          </w:tcPr>
          <w:p w14:paraId="73C332E1"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Integrated weed management (mulch + herbicide)</w:t>
            </w:r>
          </w:p>
        </w:tc>
        <w:tc>
          <w:tcPr>
            <w:tcW w:w="0" w:type="auto"/>
            <w:hideMark/>
          </w:tcPr>
          <w:p w14:paraId="2283E218"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Maize</w:t>
            </w:r>
          </w:p>
        </w:tc>
        <w:tc>
          <w:tcPr>
            <w:tcW w:w="0" w:type="auto"/>
            <w:hideMark/>
          </w:tcPr>
          <w:p w14:paraId="38856C0A"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India</w:t>
            </w:r>
          </w:p>
        </w:tc>
        <w:tc>
          <w:tcPr>
            <w:tcW w:w="0" w:type="auto"/>
            <w:hideMark/>
          </w:tcPr>
          <w:p w14:paraId="718E93BF"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Rice-straw mulch combined with herbicide reduced weed biomass and improved crop growth and yield</w:t>
            </w:r>
          </w:p>
        </w:tc>
        <w:tc>
          <w:tcPr>
            <w:tcW w:w="0" w:type="auto"/>
            <w:hideMark/>
          </w:tcPr>
          <w:p w14:paraId="05C6F79B"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Mandal </w:t>
            </w:r>
            <w:r w:rsidRPr="00323453">
              <w:rPr>
                <w:rFonts w:ascii="Arial" w:hAnsi="Arial" w:cs="Arial"/>
                <w:i/>
                <w:iCs/>
                <w:sz w:val="20"/>
                <w:szCs w:val="20"/>
                <w:lang w:val="en-IN"/>
              </w:rPr>
              <w:t>et al</w:t>
            </w:r>
            <w:r w:rsidRPr="00323453">
              <w:rPr>
                <w:rFonts w:ascii="Arial" w:hAnsi="Arial" w:cs="Arial"/>
                <w:sz w:val="20"/>
                <w:szCs w:val="20"/>
                <w:lang w:val="en-IN"/>
              </w:rPr>
              <w:t>., 2025</w:t>
            </w:r>
          </w:p>
        </w:tc>
      </w:tr>
      <w:tr w:rsidR="00E37E66" w:rsidRPr="00323453" w14:paraId="0FA1F854" w14:textId="77777777" w:rsidTr="00E37E66">
        <w:tc>
          <w:tcPr>
            <w:tcW w:w="0" w:type="auto"/>
            <w:hideMark/>
          </w:tcPr>
          <w:p w14:paraId="059F5A2D"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Post-emergence herbicide program for weed control</w:t>
            </w:r>
          </w:p>
        </w:tc>
        <w:tc>
          <w:tcPr>
            <w:tcW w:w="0" w:type="auto"/>
            <w:hideMark/>
          </w:tcPr>
          <w:p w14:paraId="4D5315E3" w14:textId="77777777" w:rsidR="00E37E66" w:rsidRPr="00323453" w:rsidRDefault="00E37E66" w:rsidP="00E37E66">
            <w:pPr>
              <w:jc w:val="both"/>
              <w:rPr>
                <w:rFonts w:ascii="Arial" w:hAnsi="Arial" w:cs="Arial"/>
                <w:sz w:val="20"/>
                <w:szCs w:val="20"/>
                <w:lang w:val="en-IN"/>
              </w:rPr>
            </w:pPr>
            <w:proofErr w:type="spellStart"/>
            <w:r w:rsidRPr="00323453">
              <w:rPr>
                <w:rFonts w:ascii="Arial" w:hAnsi="Arial" w:cs="Arial"/>
                <w:sz w:val="20"/>
                <w:szCs w:val="20"/>
                <w:lang w:val="en-IN"/>
              </w:rPr>
              <w:t>Blackgram</w:t>
            </w:r>
            <w:proofErr w:type="spellEnd"/>
          </w:p>
        </w:tc>
        <w:tc>
          <w:tcPr>
            <w:tcW w:w="0" w:type="auto"/>
            <w:hideMark/>
          </w:tcPr>
          <w:p w14:paraId="077B7F62"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India</w:t>
            </w:r>
          </w:p>
        </w:tc>
        <w:tc>
          <w:tcPr>
            <w:tcW w:w="0" w:type="auto"/>
            <w:hideMark/>
          </w:tcPr>
          <w:p w14:paraId="27D284E1" w14:textId="77777777" w:rsidR="00E37E66" w:rsidRPr="00323453" w:rsidRDefault="00E37E66" w:rsidP="00E37E66">
            <w:pPr>
              <w:jc w:val="both"/>
              <w:rPr>
                <w:rFonts w:ascii="Arial" w:hAnsi="Arial" w:cs="Arial"/>
                <w:sz w:val="20"/>
                <w:szCs w:val="20"/>
                <w:lang w:val="en-IN"/>
              </w:rPr>
            </w:pPr>
            <w:proofErr w:type="spellStart"/>
            <w:r w:rsidRPr="00323453">
              <w:rPr>
                <w:rFonts w:ascii="Arial" w:hAnsi="Arial" w:cs="Arial"/>
                <w:sz w:val="20"/>
                <w:szCs w:val="20"/>
                <w:lang w:val="en-IN"/>
              </w:rPr>
              <w:t>Fomesafen</w:t>
            </w:r>
            <w:proofErr w:type="spellEnd"/>
            <w:r w:rsidRPr="00323453">
              <w:rPr>
                <w:rFonts w:ascii="Arial" w:hAnsi="Arial" w:cs="Arial"/>
                <w:sz w:val="20"/>
                <w:szCs w:val="20"/>
                <w:lang w:val="en-IN"/>
              </w:rPr>
              <w:t xml:space="preserve"> + </w:t>
            </w:r>
            <w:proofErr w:type="spellStart"/>
            <w:r w:rsidRPr="00323453">
              <w:rPr>
                <w:rFonts w:ascii="Arial" w:hAnsi="Arial" w:cs="Arial"/>
                <w:sz w:val="20"/>
                <w:szCs w:val="20"/>
                <w:lang w:val="en-IN"/>
              </w:rPr>
              <w:t>fluzifop</w:t>
            </w:r>
            <w:proofErr w:type="spellEnd"/>
            <w:r w:rsidRPr="00323453">
              <w:rPr>
                <w:rFonts w:ascii="Arial" w:hAnsi="Arial" w:cs="Arial"/>
                <w:sz w:val="20"/>
                <w:szCs w:val="20"/>
                <w:lang w:val="en-IN"/>
              </w:rPr>
              <w:t>-p-butyl improved weed control efficiency (~68%) and increased seed yield and profitability</w:t>
            </w:r>
          </w:p>
        </w:tc>
        <w:tc>
          <w:tcPr>
            <w:tcW w:w="0" w:type="auto"/>
            <w:hideMark/>
          </w:tcPr>
          <w:p w14:paraId="52408102"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Marimuthu </w:t>
            </w:r>
            <w:r w:rsidRPr="00323453">
              <w:rPr>
                <w:rFonts w:ascii="Arial" w:hAnsi="Arial" w:cs="Arial"/>
                <w:i/>
                <w:iCs/>
                <w:sz w:val="20"/>
                <w:szCs w:val="20"/>
                <w:lang w:val="en-IN"/>
              </w:rPr>
              <w:t>et al</w:t>
            </w:r>
            <w:r w:rsidRPr="00323453">
              <w:rPr>
                <w:rFonts w:ascii="Arial" w:hAnsi="Arial" w:cs="Arial"/>
                <w:sz w:val="20"/>
                <w:szCs w:val="20"/>
                <w:lang w:val="en-IN"/>
              </w:rPr>
              <w:t>., 2024</w:t>
            </w:r>
          </w:p>
        </w:tc>
      </w:tr>
      <w:tr w:rsidR="00E37E66" w:rsidRPr="00323453" w14:paraId="1DB79A3D" w14:textId="77777777" w:rsidTr="00E37E66">
        <w:tc>
          <w:tcPr>
            <w:tcW w:w="0" w:type="auto"/>
            <w:hideMark/>
          </w:tcPr>
          <w:p w14:paraId="53C076BF"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lastRenderedPageBreak/>
              <w:t>Integrated weed management approaches</w:t>
            </w:r>
          </w:p>
        </w:tc>
        <w:tc>
          <w:tcPr>
            <w:tcW w:w="0" w:type="auto"/>
            <w:hideMark/>
          </w:tcPr>
          <w:p w14:paraId="19985B20"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Multiple weeds in cereals</w:t>
            </w:r>
          </w:p>
        </w:tc>
        <w:tc>
          <w:tcPr>
            <w:tcW w:w="0" w:type="auto"/>
            <w:hideMark/>
          </w:tcPr>
          <w:p w14:paraId="04EC9705" w14:textId="7E17C91D"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Global</w:t>
            </w:r>
          </w:p>
        </w:tc>
        <w:tc>
          <w:tcPr>
            <w:tcW w:w="0" w:type="auto"/>
            <w:hideMark/>
          </w:tcPr>
          <w:p w14:paraId="036A5DBB"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Integration of chemical and non-chemical methods is essential to delay herbicide resistance evolution</w:t>
            </w:r>
          </w:p>
        </w:tc>
        <w:tc>
          <w:tcPr>
            <w:tcW w:w="0" w:type="auto"/>
            <w:hideMark/>
          </w:tcPr>
          <w:p w14:paraId="229A8A47"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Ofosu </w:t>
            </w:r>
            <w:r w:rsidRPr="00323453">
              <w:rPr>
                <w:rFonts w:ascii="Arial" w:hAnsi="Arial" w:cs="Arial"/>
                <w:i/>
                <w:iCs/>
                <w:sz w:val="20"/>
                <w:szCs w:val="20"/>
                <w:lang w:val="en-IN"/>
              </w:rPr>
              <w:t>et al</w:t>
            </w:r>
            <w:r w:rsidRPr="00323453">
              <w:rPr>
                <w:rFonts w:ascii="Arial" w:hAnsi="Arial" w:cs="Arial"/>
                <w:sz w:val="20"/>
                <w:szCs w:val="20"/>
                <w:lang w:val="en-IN"/>
              </w:rPr>
              <w:t>., 2023</w:t>
            </w:r>
          </w:p>
        </w:tc>
      </w:tr>
      <w:tr w:rsidR="00E37E66" w:rsidRPr="00323453" w14:paraId="2DC933F2" w14:textId="77777777" w:rsidTr="00E37E66">
        <w:tc>
          <w:tcPr>
            <w:tcW w:w="0" w:type="auto"/>
            <w:hideMark/>
          </w:tcPr>
          <w:p w14:paraId="27A4E4D6"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Cross-resistance management strategies</w:t>
            </w:r>
          </w:p>
        </w:tc>
        <w:tc>
          <w:tcPr>
            <w:tcW w:w="0" w:type="auto"/>
            <w:hideMark/>
          </w:tcPr>
          <w:p w14:paraId="7BEBB4F0"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Multiple weed species</w:t>
            </w:r>
          </w:p>
        </w:tc>
        <w:tc>
          <w:tcPr>
            <w:tcW w:w="0" w:type="auto"/>
            <w:hideMark/>
          </w:tcPr>
          <w:p w14:paraId="1C895B2B" w14:textId="19381D7D"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Global</w:t>
            </w:r>
          </w:p>
        </w:tc>
        <w:tc>
          <w:tcPr>
            <w:tcW w:w="0" w:type="auto"/>
            <w:hideMark/>
          </w:tcPr>
          <w:p w14:paraId="5C7B3D63"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Diversified herbicide modes of action and integrated management reduce selection pressure for resistance</w:t>
            </w:r>
          </w:p>
        </w:tc>
        <w:tc>
          <w:tcPr>
            <w:tcW w:w="0" w:type="auto"/>
            <w:hideMark/>
          </w:tcPr>
          <w:p w14:paraId="7EEEE4B7" w14:textId="77777777" w:rsidR="00E37E66" w:rsidRPr="00323453" w:rsidRDefault="00E37E66" w:rsidP="00E37E66">
            <w:pPr>
              <w:jc w:val="both"/>
              <w:rPr>
                <w:rFonts w:ascii="Arial" w:hAnsi="Arial" w:cs="Arial"/>
                <w:sz w:val="20"/>
                <w:szCs w:val="20"/>
                <w:lang w:val="en-IN"/>
              </w:rPr>
            </w:pPr>
            <w:r w:rsidRPr="00323453">
              <w:rPr>
                <w:rFonts w:ascii="Arial" w:hAnsi="Arial" w:cs="Arial"/>
                <w:sz w:val="20"/>
                <w:szCs w:val="20"/>
                <w:lang w:val="en-IN"/>
              </w:rPr>
              <w:t xml:space="preserve">Riechers </w:t>
            </w:r>
            <w:r w:rsidRPr="00323453">
              <w:rPr>
                <w:rFonts w:ascii="Arial" w:hAnsi="Arial" w:cs="Arial"/>
                <w:i/>
                <w:iCs/>
                <w:sz w:val="20"/>
                <w:szCs w:val="20"/>
                <w:lang w:val="en-IN"/>
              </w:rPr>
              <w:t>et al</w:t>
            </w:r>
            <w:r w:rsidRPr="00323453">
              <w:rPr>
                <w:rFonts w:ascii="Arial" w:hAnsi="Arial" w:cs="Arial"/>
                <w:sz w:val="20"/>
                <w:szCs w:val="20"/>
                <w:lang w:val="en-IN"/>
              </w:rPr>
              <w:t>., 2024</w:t>
            </w:r>
          </w:p>
        </w:tc>
      </w:tr>
    </w:tbl>
    <w:p w14:paraId="0967361D" w14:textId="68F97A1A" w:rsidR="0044786A" w:rsidRPr="0095358D" w:rsidRDefault="0095358D" w:rsidP="004A0B00">
      <w:pPr>
        <w:spacing w:before="120" w:after="120"/>
        <w:jc w:val="both"/>
        <w:rPr>
          <w:rFonts w:ascii="Arial" w:hAnsi="Arial" w:cs="Arial"/>
          <w:b/>
          <w:bCs/>
        </w:rPr>
      </w:pPr>
      <w:r>
        <w:rPr>
          <w:rFonts w:ascii="Arial" w:hAnsi="Arial" w:cs="Arial"/>
          <w:b/>
          <w:bCs/>
        </w:rPr>
        <w:t xml:space="preserve">5.1 </w:t>
      </w:r>
      <w:r w:rsidR="0044786A" w:rsidRPr="0095358D">
        <w:rPr>
          <w:rFonts w:ascii="Arial" w:hAnsi="Arial" w:cs="Arial"/>
          <w:b/>
          <w:bCs/>
        </w:rPr>
        <w:t>Crop Diversification and Rotation</w:t>
      </w:r>
    </w:p>
    <w:p w14:paraId="5793BF4A" w14:textId="77777777" w:rsidR="0044786A" w:rsidRPr="0095358D" w:rsidRDefault="0044786A" w:rsidP="0044786A">
      <w:pPr>
        <w:jc w:val="both"/>
        <w:rPr>
          <w:rFonts w:ascii="Arial" w:hAnsi="Arial" w:cs="Arial"/>
        </w:rPr>
      </w:pPr>
      <w:r w:rsidRPr="0095358D">
        <w:rPr>
          <w:rFonts w:ascii="Arial" w:hAnsi="Arial" w:cs="Arial"/>
        </w:rPr>
        <w:t>One of the most effective agronomic strategy for mitigating herbicide resistance is crop diversification (</w:t>
      </w:r>
      <w:proofErr w:type="spellStart"/>
      <w:r w:rsidRPr="0095358D">
        <w:rPr>
          <w:rFonts w:ascii="Arial" w:hAnsi="Arial" w:cs="Arial"/>
        </w:rPr>
        <w:t>Jastrzębska</w:t>
      </w:r>
      <w:proofErr w:type="spellEnd"/>
      <w:r w:rsidRPr="0095358D">
        <w:rPr>
          <w:rFonts w:ascii="Arial" w:hAnsi="Arial" w:cs="Arial"/>
        </w:rPr>
        <w:t xml:space="preserve"> </w:t>
      </w:r>
      <w:r w:rsidRPr="0095358D">
        <w:rPr>
          <w:rFonts w:ascii="Arial" w:hAnsi="Arial" w:cs="Arial"/>
          <w:i/>
          <w:iCs/>
        </w:rPr>
        <w:t>et al</w:t>
      </w:r>
      <w:r w:rsidRPr="0095358D">
        <w:rPr>
          <w:rFonts w:ascii="Arial" w:hAnsi="Arial" w:cs="Arial"/>
        </w:rPr>
        <w:t xml:space="preserve">., 2023). Rotation of crops with different life cycles, durations and management requirements usually disrupts weed adaptation (Rudell </w:t>
      </w:r>
      <w:r w:rsidRPr="0095358D">
        <w:rPr>
          <w:rFonts w:ascii="Arial" w:hAnsi="Arial" w:cs="Arial"/>
          <w:i/>
          <w:iCs/>
        </w:rPr>
        <w:t>et al</w:t>
      </w:r>
      <w:r w:rsidRPr="0095358D">
        <w:rPr>
          <w:rFonts w:ascii="Arial" w:hAnsi="Arial" w:cs="Arial"/>
        </w:rPr>
        <w:t>., 2023). Crop rotation also prevents the continuous use herbicides with single mode of action. Integrating cereals, legumes and cover crops into the system enhances the variability in resource competition and agronomic practices which help in reducing the buildup of weed population.</w:t>
      </w:r>
    </w:p>
    <w:p w14:paraId="5A1E6208" w14:textId="047E75B9" w:rsidR="0044786A" w:rsidRPr="0095358D" w:rsidRDefault="0095358D" w:rsidP="004A0B00">
      <w:pPr>
        <w:spacing w:before="120" w:after="120"/>
        <w:jc w:val="both"/>
        <w:rPr>
          <w:rFonts w:ascii="Arial" w:hAnsi="Arial" w:cs="Arial"/>
          <w:b/>
          <w:bCs/>
        </w:rPr>
      </w:pPr>
      <w:r>
        <w:rPr>
          <w:rFonts w:ascii="Arial" w:hAnsi="Arial" w:cs="Arial"/>
          <w:b/>
          <w:bCs/>
        </w:rPr>
        <w:t xml:space="preserve">5.2 </w:t>
      </w:r>
      <w:r w:rsidR="0044786A" w:rsidRPr="0095358D">
        <w:rPr>
          <w:rFonts w:ascii="Arial" w:hAnsi="Arial" w:cs="Arial"/>
          <w:b/>
          <w:bCs/>
        </w:rPr>
        <w:t>Competitive Crop Establishment</w:t>
      </w:r>
    </w:p>
    <w:p w14:paraId="5AA3B92D" w14:textId="77777777" w:rsidR="0044786A" w:rsidRPr="0095358D" w:rsidRDefault="0044786A" w:rsidP="0044786A">
      <w:pPr>
        <w:jc w:val="both"/>
        <w:rPr>
          <w:rFonts w:ascii="Arial" w:hAnsi="Arial" w:cs="Arial"/>
        </w:rPr>
      </w:pPr>
      <w:r w:rsidRPr="0095358D">
        <w:rPr>
          <w:rFonts w:ascii="Arial" w:hAnsi="Arial" w:cs="Arial"/>
        </w:rPr>
        <w:t xml:space="preserve">Improving the crop competitiveness by </w:t>
      </w:r>
      <w:proofErr w:type="spellStart"/>
      <w:r w:rsidRPr="0095358D">
        <w:rPr>
          <w:rFonts w:ascii="Arial" w:hAnsi="Arial" w:cs="Arial"/>
        </w:rPr>
        <w:t>optimising</w:t>
      </w:r>
      <w:proofErr w:type="spellEnd"/>
      <w:r w:rsidRPr="0095358D">
        <w:rPr>
          <w:rFonts w:ascii="Arial" w:hAnsi="Arial" w:cs="Arial"/>
        </w:rPr>
        <w:t xml:space="preserve"> the planting density, row spacing, cultivar selection and early sowing can significantly suppress weed growth (Tang </w:t>
      </w:r>
      <w:r w:rsidRPr="0095358D">
        <w:rPr>
          <w:rFonts w:ascii="Arial" w:hAnsi="Arial" w:cs="Arial"/>
          <w:i/>
          <w:iCs/>
        </w:rPr>
        <w:t>et al</w:t>
      </w:r>
      <w:r w:rsidRPr="0095358D">
        <w:rPr>
          <w:rFonts w:ascii="Arial" w:hAnsi="Arial" w:cs="Arial"/>
        </w:rPr>
        <w:t xml:space="preserve">., 2025). Use of competitive cultivars help to control the weed species by exhibiting rapid canopy development and early </w:t>
      </w:r>
      <w:proofErr w:type="spellStart"/>
      <w:r w:rsidRPr="0095358D">
        <w:rPr>
          <w:rFonts w:ascii="Arial" w:hAnsi="Arial" w:cs="Arial"/>
        </w:rPr>
        <w:t>vigour</w:t>
      </w:r>
      <w:proofErr w:type="spellEnd"/>
      <w:r w:rsidRPr="0095358D">
        <w:rPr>
          <w:rFonts w:ascii="Arial" w:hAnsi="Arial" w:cs="Arial"/>
        </w:rPr>
        <w:t xml:space="preserve"> which reduce light availability to weeds (Hendriks </w:t>
      </w:r>
      <w:r w:rsidRPr="0095358D">
        <w:rPr>
          <w:rFonts w:ascii="Arial" w:hAnsi="Arial" w:cs="Arial"/>
          <w:i/>
          <w:iCs/>
        </w:rPr>
        <w:t>et al</w:t>
      </w:r>
      <w:r w:rsidRPr="0095358D">
        <w:rPr>
          <w:rFonts w:ascii="Arial" w:hAnsi="Arial" w:cs="Arial"/>
        </w:rPr>
        <w:t xml:space="preserve">., 2022). Such approaches </w:t>
      </w:r>
      <w:proofErr w:type="gramStart"/>
      <w:r w:rsidRPr="0095358D">
        <w:rPr>
          <w:rFonts w:ascii="Arial" w:hAnsi="Arial" w:cs="Arial"/>
        </w:rPr>
        <w:t>reduces</w:t>
      </w:r>
      <w:proofErr w:type="gramEnd"/>
      <w:r w:rsidRPr="0095358D">
        <w:rPr>
          <w:rFonts w:ascii="Arial" w:hAnsi="Arial" w:cs="Arial"/>
        </w:rPr>
        <w:t xml:space="preserve"> the dependency on herbicides and slows down the evolution of resistance.</w:t>
      </w:r>
    </w:p>
    <w:p w14:paraId="5603DF3E" w14:textId="548A562B" w:rsidR="0044786A" w:rsidRPr="0095358D" w:rsidRDefault="0095358D" w:rsidP="004A0B00">
      <w:pPr>
        <w:spacing w:before="120" w:after="120"/>
        <w:jc w:val="both"/>
        <w:rPr>
          <w:rFonts w:ascii="Arial" w:hAnsi="Arial" w:cs="Arial"/>
          <w:b/>
          <w:bCs/>
        </w:rPr>
      </w:pPr>
      <w:r>
        <w:rPr>
          <w:rFonts w:ascii="Arial" w:hAnsi="Arial" w:cs="Arial"/>
          <w:b/>
          <w:bCs/>
        </w:rPr>
        <w:t xml:space="preserve">5.3 </w:t>
      </w:r>
      <w:r w:rsidR="0044786A" w:rsidRPr="0095358D">
        <w:rPr>
          <w:rFonts w:ascii="Arial" w:hAnsi="Arial" w:cs="Arial"/>
          <w:b/>
          <w:bCs/>
        </w:rPr>
        <w:t>Cultural Weed Management Practices</w:t>
      </w:r>
    </w:p>
    <w:p w14:paraId="6D983CF0" w14:textId="77777777" w:rsidR="0044786A" w:rsidRPr="0095358D" w:rsidRDefault="0044786A" w:rsidP="0044786A">
      <w:pPr>
        <w:jc w:val="both"/>
        <w:rPr>
          <w:rFonts w:ascii="Arial" w:hAnsi="Arial" w:cs="Arial"/>
        </w:rPr>
      </w:pPr>
      <w:r w:rsidRPr="0095358D">
        <w:rPr>
          <w:rFonts w:ascii="Arial" w:hAnsi="Arial" w:cs="Arial"/>
        </w:rPr>
        <w:t>They include adjustments in agronomic practices such as altering sowing dates, stale seedbed techniques, mulching and residue retention which contribute to managing weed emergence and survival. Conservation agriculture systems if properly managed, may enhance crop weed competition and reduce weed germination (Neto, 2025).</w:t>
      </w:r>
    </w:p>
    <w:p w14:paraId="0466C737" w14:textId="1001DDE9" w:rsidR="0044786A" w:rsidRPr="0095358D" w:rsidRDefault="0095358D" w:rsidP="004A0B00">
      <w:pPr>
        <w:spacing w:before="120" w:after="120"/>
        <w:jc w:val="both"/>
        <w:rPr>
          <w:rFonts w:ascii="Arial" w:hAnsi="Arial" w:cs="Arial"/>
          <w:b/>
          <w:bCs/>
        </w:rPr>
      </w:pPr>
      <w:r>
        <w:rPr>
          <w:rFonts w:ascii="Arial" w:hAnsi="Arial" w:cs="Arial"/>
          <w:b/>
          <w:bCs/>
        </w:rPr>
        <w:t xml:space="preserve">5.4 </w:t>
      </w:r>
      <w:r w:rsidR="0044786A" w:rsidRPr="0095358D">
        <w:rPr>
          <w:rFonts w:ascii="Arial" w:hAnsi="Arial" w:cs="Arial"/>
          <w:b/>
          <w:bCs/>
        </w:rPr>
        <w:t>Mechanical and Physical Weed Control</w:t>
      </w:r>
    </w:p>
    <w:p w14:paraId="75F53E8D" w14:textId="7B89288A" w:rsidR="0044786A" w:rsidRPr="0095358D" w:rsidRDefault="0044786A" w:rsidP="0044786A">
      <w:pPr>
        <w:jc w:val="both"/>
        <w:rPr>
          <w:rFonts w:ascii="Arial" w:hAnsi="Arial" w:cs="Arial"/>
        </w:rPr>
      </w:pPr>
      <w:r w:rsidRPr="0095358D">
        <w:rPr>
          <w:rFonts w:ascii="Arial" w:hAnsi="Arial" w:cs="Arial"/>
        </w:rPr>
        <w:t xml:space="preserve">Mechanical interventions such as inter-row cultivation, hoeing, strategic tillage </w:t>
      </w:r>
      <w:proofErr w:type="spellStart"/>
      <w:r w:rsidRPr="0095358D">
        <w:rPr>
          <w:rFonts w:ascii="Arial" w:hAnsi="Arial" w:cs="Arial"/>
        </w:rPr>
        <w:t>etc</w:t>
      </w:r>
      <w:proofErr w:type="spellEnd"/>
      <w:r w:rsidRPr="0095358D">
        <w:rPr>
          <w:rFonts w:ascii="Arial" w:hAnsi="Arial" w:cs="Arial"/>
        </w:rPr>
        <w:t xml:space="preserve"> reduce weed density and prevent resistant individuals from reproducing (Kumar </w:t>
      </w:r>
      <w:r w:rsidRPr="0095358D">
        <w:rPr>
          <w:rFonts w:ascii="Arial" w:hAnsi="Arial" w:cs="Arial"/>
          <w:i/>
          <w:iCs/>
        </w:rPr>
        <w:t>et al</w:t>
      </w:r>
      <w:r w:rsidRPr="0095358D">
        <w:rPr>
          <w:rFonts w:ascii="Arial" w:hAnsi="Arial" w:cs="Arial"/>
        </w:rPr>
        <w:t>., 2022</w:t>
      </w:r>
      <w:r w:rsidR="00534C0D">
        <w:rPr>
          <w:rFonts w:ascii="Arial" w:hAnsi="Arial" w:cs="Arial"/>
        </w:rPr>
        <w:t>a</w:t>
      </w:r>
      <w:r w:rsidRPr="0095358D">
        <w:rPr>
          <w:rFonts w:ascii="Arial" w:hAnsi="Arial" w:cs="Arial"/>
        </w:rPr>
        <w:t xml:space="preserve">). Deep tillage and summer fallow when performed at right time they </w:t>
      </w:r>
      <w:r w:rsidR="00323453" w:rsidRPr="0095358D">
        <w:rPr>
          <w:rFonts w:ascii="Arial" w:hAnsi="Arial" w:cs="Arial"/>
        </w:rPr>
        <w:t>expose</w:t>
      </w:r>
      <w:r w:rsidRPr="0095358D">
        <w:rPr>
          <w:rFonts w:ascii="Arial" w:hAnsi="Arial" w:cs="Arial"/>
        </w:rPr>
        <w:t xml:space="preserve"> the weed seeds and if performed at regular intervals can destroys the seed bank.</w:t>
      </w:r>
    </w:p>
    <w:p w14:paraId="5C6DA28E" w14:textId="539A1158" w:rsidR="0044786A" w:rsidRPr="0095358D" w:rsidRDefault="0095358D" w:rsidP="004A0B00">
      <w:pPr>
        <w:spacing w:before="120" w:after="120"/>
        <w:jc w:val="both"/>
        <w:rPr>
          <w:rFonts w:ascii="Arial" w:hAnsi="Arial" w:cs="Arial"/>
          <w:b/>
          <w:bCs/>
        </w:rPr>
      </w:pPr>
      <w:r>
        <w:rPr>
          <w:rFonts w:ascii="Arial" w:hAnsi="Arial" w:cs="Arial"/>
          <w:b/>
          <w:bCs/>
        </w:rPr>
        <w:t xml:space="preserve">5.5 </w:t>
      </w:r>
      <w:r w:rsidR="0044786A" w:rsidRPr="0095358D">
        <w:rPr>
          <w:rFonts w:ascii="Arial" w:hAnsi="Arial" w:cs="Arial"/>
          <w:b/>
          <w:bCs/>
        </w:rPr>
        <w:t>Integrated Nutrient and Water Management</w:t>
      </w:r>
    </w:p>
    <w:p w14:paraId="7501FAD3" w14:textId="77777777" w:rsidR="0044786A" w:rsidRPr="0095358D" w:rsidRDefault="0044786A" w:rsidP="0044786A">
      <w:pPr>
        <w:jc w:val="both"/>
        <w:rPr>
          <w:rFonts w:ascii="Arial" w:hAnsi="Arial" w:cs="Arial"/>
        </w:rPr>
      </w:pPr>
      <w:r w:rsidRPr="0095358D">
        <w:rPr>
          <w:rFonts w:ascii="Arial" w:hAnsi="Arial" w:cs="Arial"/>
        </w:rPr>
        <w:t xml:space="preserve">Balanced nutrient management and precise irrigation strategies influence crop weed competition dynamics to a large extant (Ghosh </w:t>
      </w:r>
      <w:r w:rsidRPr="0095358D">
        <w:rPr>
          <w:rFonts w:ascii="Arial" w:hAnsi="Arial" w:cs="Arial"/>
          <w:i/>
          <w:iCs/>
        </w:rPr>
        <w:t>et al</w:t>
      </w:r>
      <w:r w:rsidRPr="0095358D">
        <w:rPr>
          <w:rFonts w:ascii="Arial" w:hAnsi="Arial" w:cs="Arial"/>
        </w:rPr>
        <w:t xml:space="preserve">., 2022). Placement of fertilizers near crop roots rather than application by broadcasting can shift the crop-weed competition in </w:t>
      </w:r>
      <w:proofErr w:type="spellStart"/>
      <w:r w:rsidRPr="0095358D">
        <w:rPr>
          <w:rFonts w:ascii="Arial" w:hAnsi="Arial" w:cs="Arial"/>
        </w:rPr>
        <w:t>favour</w:t>
      </w:r>
      <w:proofErr w:type="spellEnd"/>
      <w:r w:rsidRPr="0095358D">
        <w:rPr>
          <w:rFonts w:ascii="Arial" w:hAnsi="Arial" w:cs="Arial"/>
        </w:rPr>
        <w:t xml:space="preserve"> of crops. Optimizing the irrigation scheduling can suppress certain weed species which are adapted to specific moisture regimes.</w:t>
      </w:r>
    </w:p>
    <w:p w14:paraId="6800574D" w14:textId="55724CD1" w:rsidR="0044786A" w:rsidRPr="0095358D" w:rsidRDefault="0095358D" w:rsidP="004A0B00">
      <w:pPr>
        <w:spacing w:before="120" w:after="120"/>
        <w:jc w:val="both"/>
        <w:rPr>
          <w:rFonts w:ascii="Arial" w:hAnsi="Arial" w:cs="Arial"/>
          <w:b/>
          <w:bCs/>
        </w:rPr>
      </w:pPr>
      <w:r>
        <w:rPr>
          <w:rFonts w:ascii="Arial" w:hAnsi="Arial" w:cs="Arial"/>
          <w:b/>
          <w:bCs/>
        </w:rPr>
        <w:t xml:space="preserve">5.6 </w:t>
      </w:r>
      <w:r w:rsidR="0044786A" w:rsidRPr="0095358D">
        <w:rPr>
          <w:rFonts w:ascii="Arial" w:hAnsi="Arial" w:cs="Arial"/>
          <w:b/>
          <w:bCs/>
        </w:rPr>
        <w:t>Herbicide Stewardship within Agronomic Systems or Integrated Weed Management</w:t>
      </w:r>
    </w:p>
    <w:p w14:paraId="70221F7A" w14:textId="77777777" w:rsidR="0044786A" w:rsidRPr="0095358D" w:rsidRDefault="0044786A" w:rsidP="0044786A">
      <w:pPr>
        <w:jc w:val="both"/>
        <w:rPr>
          <w:rFonts w:ascii="Arial" w:hAnsi="Arial" w:cs="Arial"/>
        </w:rPr>
      </w:pPr>
      <w:r w:rsidRPr="0095358D">
        <w:rPr>
          <w:rFonts w:ascii="Arial" w:hAnsi="Arial" w:cs="Arial"/>
        </w:rPr>
        <w:t xml:space="preserve">Although agronomic mitigation strategies emphasize mainly on non-chemical practices, but judicious use of herbicide remains essential for better control. Rotation and mixture of herbicides with different modes of action, application at recommended doses and integration with cultural practices simply reduces selection pressure and prolong the herbicide efficacy </w:t>
      </w:r>
      <w:r w:rsidRPr="0095358D">
        <w:rPr>
          <w:rFonts w:ascii="Arial" w:hAnsi="Arial" w:cs="Arial"/>
        </w:rPr>
        <w:lastRenderedPageBreak/>
        <w:t xml:space="preserve">(Barbieri </w:t>
      </w:r>
      <w:r w:rsidRPr="0095358D">
        <w:rPr>
          <w:rFonts w:ascii="Arial" w:hAnsi="Arial" w:cs="Arial"/>
          <w:i/>
          <w:iCs/>
        </w:rPr>
        <w:t>et al</w:t>
      </w:r>
      <w:r w:rsidRPr="0095358D">
        <w:rPr>
          <w:rFonts w:ascii="Arial" w:hAnsi="Arial" w:cs="Arial"/>
        </w:rPr>
        <w:t>., 2022). Evidence suggests that systems-based weed management is the most effective and turns out to be a long-term solution to herbicide resistance.</w:t>
      </w:r>
    </w:p>
    <w:p w14:paraId="681E8AD9" w14:textId="280EB2D8" w:rsidR="0044786A" w:rsidRPr="0095358D" w:rsidRDefault="0095358D" w:rsidP="004A0B00">
      <w:pPr>
        <w:spacing w:before="120" w:after="120"/>
        <w:jc w:val="both"/>
        <w:rPr>
          <w:rFonts w:ascii="Arial" w:hAnsi="Arial" w:cs="Arial"/>
          <w:b/>
          <w:bCs/>
        </w:rPr>
      </w:pPr>
      <w:r>
        <w:rPr>
          <w:rFonts w:ascii="Arial" w:hAnsi="Arial" w:cs="Arial"/>
          <w:b/>
          <w:bCs/>
        </w:rPr>
        <w:t xml:space="preserve">5.7 </w:t>
      </w:r>
      <w:r w:rsidR="0044786A" w:rsidRPr="0095358D">
        <w:rPr>
          <w:rFonts w:ascii="Arial" w:hAnsi="Arial" w:cs="Arial"/>
          <w:b/>
          <w:bCs/>
        </w:rPr>
        <w:t>Seedbank Management</w:t>
      </w:r>
    </w:p>
    <w:p w14:paraId="76C186AA" w14:textId="77777777" w:rsidR="0044786A" w:rsidRPr="0095358D" w:rsidRDefault="0044786A" w:rsidP="0044786A">
      <w:pPr>
        <w:jc w:val="both"/>
        <w:rPr>
          <w:rFonts w:ascii="Arial" w:hAnsi="Arial" w:cs="Arial"/>
        </w:rPr>
      </w:pPr>
      <w:r w:rsidRPr="0095358D">
        <w:rPr>
          <w:rFonts w:ascii="Arial" w:hAnsi="Arial" w:cs="Arial"/>
        </w:rPr>
        <w:t>Strategies targeting weed seed production and their dispersal such as timely harvest, chaff management and prevention of seed rain simply contribute to long-term resistance mitigation by reducing the soil seedbank and limiting the spread of resistant genotypes (Walsh and Powles, 2022). Use of deep tillage and summer fallow when performed at right time and regular intervals can destroys the seed bank.</w:t>
      </w:r>
    </w:p>
    <w:p w14:paraId="79580DCF" w14:textId="68E8C6DA" w:rsidR="0044786A" w:rsidRPr="0095358D" w:rsidRDefault="0095358D" w:rsidP="004A0B00">
      <w:pPr>
        <w:spacing w:before="120" w:after="120"/>
        <w:jc w:val="both"/>
        <w:rPr>
          <w:rFonts w:ascii="Arial" w:hAnsi="Arial" w:cs="Arial"/>
          <w:b/>
          <w:bCs/>
        </w:rPr>
      </w:pPr>
      <w:r>
        <w:rPr>
          <w:rFonts w:ascii="Arial" w:hAnsi="Arial" w:cs="Arial"/>
          <w:b/>
          <w:bCs/>
        </w:rPr>
        <w:t xml:space="preserve">5.8 </w:t>
      </w:r>
      <w:r w:rsidR="0044786A" w:rsidRPr="0095358D">
        <w:rPr>
          <w:rFonts w:ascii="Arial" w:hAnsi="Arial" w:cs="Arial"/>
          <w:b/>
          <w:bCs/>
        </w:rPr>
        <w:t>Role of Precision and Digital Agronomy</w:t>
      </w:r>
    </w:p>
    <w:p w14:paraId="4216A753" w14:textId="77777777" w:rsidR="0044786A" w:rsidRDefault="0044786A" w:rsidP="0044786A">
      <w:pPr>
        <w:jc w:val="both"/>
        <w:rPr>
          <w:rFonts w:ascii="Arial" w:hAnsi="Arial" w:cs="Arial"/>
        </w:rPr>
      </w:pPr>
      <w:r w:rsidRPr="0095358D">
        <w:rPr>
          <w:rFonts w:ascii="Arial" w:hAnsi="Arial" w:cs="Arial"/>
        </w:rPr>
        <w:t xml:space="preserve">Recent advances in remote sensing, weed detection algorithms and site-specific herbicide application offer better opportunities to reduce overall herbicide dependency and delay resistance (Huang </w:t>
      </w:r>
      <w:r w:rsidRPr="0095358D">
        <w:rPr>
          <w:rFonts w:ascii="Arial" w:hAnsi="Arial" w:cs="Arial"/>
          <w:i/>
          <w:iCs/>
        </w:rPr>
        <w:t>et al</w:t>
      </w:r>
      <w:r w:rsidRPr="0095358D">
        <w:rPr>
          <w:rFonts w:ascii="Arial" w:hAnsi="Arial" w:cs="Arial"/>
        </w:rPr>
        <w:t>., 2025). Resistant patches can be easily targeted with help of precision weed management at early stage and prevent their spread.</w:t>
      </w:r>
    </w:p>
    <w:p w14:paraId="7B5E9FB2" w14:textId="77777777" w:rsidR="0095358D" w:rsidRPr="0095358D" w:rsidRDefault="0095358D" w:rsidP="0044786A">
      <w:pPr>
        <w:jc w:val="both"/>
        <w:rPr>
          <w:rFonts w:ascii="Arial" w:hAnsi="Arial" w:cs="Arial"/>
        </w:rPr>
      </w:pPr>
    </w:p>
    <w:p w14:paraId="7A1DEEFE" w14:textId="6B883681" w:rsidR="0044786A" w:rsidRPr="0095358D" w:rsidRDefault="0044786A" w:rsidP="0095358D">
      <w:pPr>
        <w:pStyle w:val="ListParagraph"/>
        <w:numPr>
          <w:ilvl w:val="0"/>
          <w:numId w:val="35"/>
        </w:numPr>
        <w:ind w:left="284" w:hanging="349"/>
        <w:jc w:val="both"/>
        <w:rPr>
          <w:rFonts w:ascii="Arial" w:hAnsi="Arial" w:cs="Arial"/>
          <w:b/>
          <w:bCs/>
        </w:rPr>
      </w:pPr>
      <w:r w:rsidRPr="0095358D">
        <w:rPr>
          <w:rFonts w:ascii="Arial" w:hAnsi="Arial" w:cs="Arial"/>
          <w:b/>
          <w:bCs/>
        </w:rPr>
        <w:t>Way Forward</w:t>
      </w:r>
    </w:p>
    <w:p w14:paraId="6966904A" w14:textId="7FDEE820" w:rsidR="0044786A" w:rsidRPr="0095358D" w:rsidRDefault="0044786A" w:rsidP="0044786A">
      <w:pPr>
        <w:jc w:val="both"/>
        <w:rPr>
          <w:rFonts w:ascii="Arial" w:hAnsi="Arial" w:cs="Arial"/>
        </w:rPr>
      </w:pPr>
      <w:r w:rsidRPr="0095358D">
        <w:rPr>
          <w:rFonts w:ascii="Arial" w:hAnsi="Arial" w:cs="Arial"/>
        </w:rPr>
        <w:t xml:space="preserve">One of the major </w:t>
      </w:r>
      <w:r w:rsidR="00323453" w:rsidRPr="0095358D">
        <w:rPr>
          <w:rFonts w:ascii="Arial" w:hAnsi="Arial" w:cs="Arial"/>
        </w:rPr>
        <w:t>threats</w:t>
      </w:r>
      <w:r w:rsidRPr="0095358D">
        <w:rPr>
          <w:rFonts w:ascii="Arial" w:hAnsi="Arial" w:cs="Arial"/>
        </w:rPr>
        <w:t xml:space="preserve"> to sustainable agricultural production systems is the rapid evolution and global spread of herbicide-resistant weed populations. While integrated weed management strategies have shown a promising control, future research must focus on</w:t>
      </w:r>
    </w:p>
    <w:p w14:paraId="1EBA5734"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Deeper understanding of evolutionary dynamics and resistance mechanisms</w:t>
      </w:r>
    </w:p>
    <w:p w14:paraId="6DB02414"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Development of efficient and problem specific integrated weed management systems</w:t>
      </w:r>
    </w:p>
    <w:p w14:paraId="19650A54"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Precision agriculture and digital technologies</w:t>
      </w:r>
    </w:p>
    <w:p w14:paraId="544A041E"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Novel herbicide discovery and alternative control methods</w:t>
      </w:r>
    </w:p>
    <w:p w14:paraId="368CD74E"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Weed seedbank dynamics</w:t>
      </w:r>
    </w:p>
    <w:p w14:paraId="542C8E19" w14:textId="77777777" w:rsidR="0044786A" w:rsidRPr="0095358D" w:rsidRDefault="0044786A" w:rsidP="0044786A">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Climate change interactions and their effect on weeds</w:t>
      </w:r>
    </w:p>
    <w:p w14:paraId="5D4E3E2C" w14:textId="2FE94FBD" w:rsidR="0095358D" w:rsidRDefault="0044786A" w:rsidP="0095358D">
      <w:pPr>
        <w:pStyle w:val="ListParagraph"/>
        <w:numPr>
          <w:ilvl w:val="0"/>
          <w:numId w:val="34"/>
        </w:numPr>
        <w:spacing w:line="240" w:lineRule="auto"/>
        <w:jc w:val="both"/>
        <w:rPr>
          <w:rFonts w:ascii="Arial" w:hAnsi="Arial" w:cs="Arial"/>
          <w:sz w:val="20"/>
          <w:szCs w:val="20"/>
        </w:rPr>
      </w:pPr>
      <w:r w:rsidRPr="0095358D">
        <w:rPr>
          <w:rFonts w:ascii="Arial" w:hAnsi="Arial" w:cs="Arial"/>
          <w:sz w:val="20"/>
          <w:szCs w:val="20"/>
        </w:rPr>
        <w:t>Socio-economic research on farmer adoption barriers</w:t>
      </w:r>
    </w:p>
    <w:p w14:paraId="380C97E1" w14:textId="77777777" w:rsidR="0095358D" w:rsidRPr="0095358D" w:rsidRDefault="0095358D" w:rsidP="0095358D">
      <w:pPr>
        <w:ind w:left="360"/>
        <w:jc w:val="both"/>
        <w:rPr>
          <w:rFonts w:ascii="Arial" w:hAnsi="Arial" w:cs="Arial"/>
        </w:rPr>
      </w:pPr>
    </w:p>
    <w:p w14:paraId="53B00FE1" w14:textId="0E1A0429" w:rsidR="0044786A" w:rsidRPr="0095358D" w:rsidRDefault="0044786A" w:rsidP="0095358D">
      <w:pPr>
        <w:pStyle w:val="ListParagraph"/>
        <w:numPr>
          <w:ilvl w:val="0"/>
          <w:numId w:val="35"/>
        </w:numPr>
        <w:ind w:left="284"/>
        <w:jc w:val="both"/>
        <w:rPr>
          <w:rFonts w:ascii="Arial" w:hAnsi="Arial" w:cs="Arial"/>
          <w:b/>
          <w:bCs/>
        </w:rPr>
      </w:pPr>
      <w:r w:rsidRPr="0095358D">
        <w:rPr>
          <w:rFonts w:ascii="Arial" w:hAnsi="Arial" w:cs="Arial"/>
          <w:b/>
          <w:bCs/>
        </w:rPr>
        <w:t>Conclusions</w:t>
      </w:r>
    </w:p>
    <w:p w14:paraId="4CCCC3E7" w14:textId="1D01F8F1" w:rsidR="00371FB6" w:rsidRPr="00323453" w:rsidRDefault="0044786A" w:rsidP="00323453">
      <w:pPr>
        <w:pStyle w:val="ListParagraph"/>
        <w:ind w:left="0"/>
        <w:jc w:val="both"/>
        <w:rPr>
          <w:sz w:val="20"/>
          <w:szCs w:val="20"/>
        </w:rPr>
      </w:pPr>
      <w:r w:rsidRPr="00323453">
        <w:rPr>
          <w:rFonts w:ascii="Arial" w:hAnsi="Arial" w:cs="Arial"/>
          <w:sz w:val="20"/>
          <w:szCs w:val="20"/>
        </w:rPr>
        <w:t xml:space="preserve">Evolution of herbicide resistance represents one of the most significant challenge that threatens the sustainability, productivity and economic viability of modern agricultural systems worldwide. </w:t>
      </w:r>
      <w:r w:rsidR="0062677F" w:rsidRPr="00323453">
        <w:rPr>
          <w:rFonts w:ascii="Arial" w:hAnsi="Arial" w:cs="Arial"/>
          <w:sz w:val="20"/>
          <w:szCs w:val="20"/>
          <w:lang w:val="en-GB"/>
        </w:rPr>
        <w:t>Herbicide resistance has become one of the major challenges in modern weed management, largely due to the improper and unscientific use of herbicides</w:t>
      </w:r>
      <w:r w:rsidR="00A25673" w:rsidRPr="00323453">
        <w:rPr>
          <w:rFonts w:ascii="Arial" w:hAnsi="Arial" w:cs="Arial"/>
          <w:sz w:val="20"/>
          <w:szCs w:val="20"/>
        </w:rPr>
        <w:t xml:space="preserve">. </w:t>
      </w:r>
      <w:r w:rsidRPr="00323453">
        <w:rPr>
          <w:rFonts w:ascii="Arial" w:hAnsi="Arial" w:cs="Arial"/>
          <w:sz w:val="20"/>
          <w:szCs w:val="20"/>
        </w:rPr>
        <w:t xml:space="preserve">The repetition of herbicides with similar modes of action coupled with similar cropping system year after year has increased the selection pressure on weed populations, which has </w:t>
      </w:r>
      <w:proofErr w:type="spellStart"/>
      <w:proofErr w:type="gramStart"/>
      <w:r w:rsidRPr="00323453">
        <w:rPr>
          <w:rFonts w:ascii="Arial" w:hAnsi="Arial" w:cs="Arial"/>
          <w:sz w:val="20"/>
          <w:szCs w:val="20"/>
        </w:rPr>
        <w:t>lead</w:t>
      </w:r>
      <w:proofErr w:type="spellEnd"/>
      <w:proofErr w:type="gramEnd"/>
      <w:r w:rsidRPr="00323453">
        <w:rPr>
          <w:rFonts w:ascii="Arial" w:hAnsi="Arial" w:cs="Arial"/>
          <w:sz w:val="20"/>
          <w:szCs w:val="20"/>
        </w:rPr>
        <w:t xml:space="preserve"> to the widespread emergence of resistant biotypes of weed across agroecosystems. To overcome this problem, proper and timely measures must be taken. Management of herbicide resistance demands a holistic and systems-based approach that integrates all scientific innovation with practical agronomic solutions. </w:t>
      </w:r>
      <w:r w:rsidR="0013779F" w:rsidRPr="00323453">
        <w:rPr>
          <w:rFonts w:ascii="Arial" w:hAnsi="Arial" w:cs="Arial"/>
          <w:sz w:val="20"/>
          <w:szCs w:val="20"/>
        </w:rPr>
        <w:t>The importance of integrated and sustainable weed management techniques—such as crop rotation and prudent herbicide use—is emphasized, aiding researchers, agronomists, and policymakers in developing sustainable solutions.</w:t>
      </w:r>
    </w:p>
    <w:p w14:paraId="4FD4547A" w14:textId="1FB99A79" w:rsidR="00C23C38" w:rsidRPr="00323453" w:rsidRDefault="00C23C38" w:rsidP="00441B6F">
      <w:pPr>
        <w:pStyle w:val="ReferHead"/>
        <w:spacing w:after="0"/>
        <w:jc w:val="both"/>
        <w:rPr>
          <w:rFonts w:ascii="Arial" w:hAnsi="Arial" w:cs="Arial"/>
          <w:b w:val="0"/>
          <w:caps w:val="0"/>
          <w:sz w:val="20"/>
        </w:rPr>
      </w:pPr>
    </w:p>
    <w:p w14:paraId="76360AE3" w14:textId="77777777" w:rsidR="00C23C38" w:rsidRPr="00435C83" w:rsidRDefault="00C23C38" w:rsidP="00C23C38">
      <w:pPr>
        <w:pStyle w:val="ReferHead"/>
        <w:jc w:val="both"/>
        <w:rPr>
          <w:rFonts w:ascii="Arial" w:hAnsi="Arial" w:cs="Arial"/>
          <w:caps w:val="0"/>
          <w:sz w:val="20"/>
        </w:rPr>
      </w:pPr>
      <w:r w:rsidRPr="00435C83">
        <w:rPr>
          <w:rFonts w:ascii="Arial" w:hAnsi="Arial" w:cs="Arial"/>
          <w:caps w:val="0"/>
          <w:sz w:val="20"/>
        </w:rPr>
        <w:t>Disclaimer (Artificial intelligence)</w:t>
      </w:r>
    </w:p>
    <w:p w14:paraId="0112E199" w14:textId="5AD8FBD6" w:rsidR="00C23C38" w:rsidRPr="00323453" w:rsidRDefault="000C29AF" w:rsidP="00C23C38">
      <w:pPr>
        <w:pStyle w:val="ReferHead"/>
        <w:spacing w:after="0"/>
        <w:jc w:val="both"/>
        <w:rPr>
          <w:rFonts w:ascii="Arial" w:hAnsi="Arial" w:cs="Arial"/>
          <w:b w:val="0"/>
          <w:caps w:val="0"/>
          <w:sz w:val="20"/>
        </w:rPr>
      </w:pPr>
      <w:r w:rsidRPr="00323453">
        <w:rPr>
          <w:rFonts w:ascii="Arial" w:hAnsi="Arial" w:cs="Arial"/>
          <w:b w:val="0"/>
          <w:caps w:val="0"/>
          <w:sz w:val="20"/>
        </w:rPr>
        <w:t>We the authors declare that NO generative AI technologies such as Large Language Models (ChatGPT, COPILOT, etc.) and text-to-image generators have been used during the writing or editing of this manuscript.</w:t>
      </w:r>
    </w:p>
    <w:p w14:paraId="2C22A89F" w14:textId="77777777" w:rsidR="00860000" w:rsidRDefault="00860000" w:rsidP="00441B6F">
      <w:pPr>
        <w:pStyle w:val="ReferHead"/>
        <w:spacing w:after="0"/>
        <w:jc w:val="both"/>
        <w:rPr>
          <w:rFonts w:ascii="Arial" w:hAnsi="Arial" w:cs="Arial"/>
        </w:rPr>
      </w:pPr>
    </w:p>
    <w:p w14:paraId="48AB9A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26EBF1" w14:textId="77777777" w:rsidR="00F76FF0" w:rsidRPr="009E55C7" w:rsidRDefault="00F76FF0" w:rsidP="00F40DE6">
      <w:pPr>
        <w:pStyle w:val="Body"/>
        <w:spacing w:after="0"/>
        <w:ind w:left="709" w:hanging="709"/>
        <w:rPr>
          <w:rFonts w:ascii="Arial" w:hAnsi="Arial" w:cs="Arial"/>
          <w:lang w:val="en-IN"/>
        </w:rPr>
      </w:pPr>
      <w:r w:rsidRPr="009E55C7">
        <w:rPr>
          <w:rFonts w:ascii="Arial" w:hAnsi="Arial" w:cs="Arial"/>
          <w:lang w:val="en-IN"/>
        </w:rPr>
        <w:t xml:space="preserve">Albrecht, A. J. P., Albrecht, L. P., and Silva, A. F. M. (2022). Agronomic implications of paraquat ban in Brazil. </w:t>
      </w:r>
      <w:r w:rsidRPr="009E55C7">
        <w:rPr>
          <w:rFonts w:ascii="Arial" w:hAnsi="Arial" w:cs="Arial"/>
          <w:i/>
          <w:iCs/>
          <w:lang w:val="en-IN"/>
        </w:rPr>
        <w:t>Advances in Weed Science</w:t>
      </w:r>
      <w:r w:rsidRPr="009E55C7">
        <w:rPr>
          <w:rFonts w:ascii="Arial" w:hAnsi="Arial" w:cs="Arial"/>
          <w:lang w:val="en-IN"/>
        </w:rPr>
        <w:t>, 40(</w:t>
      </w:r>
      <w:proofErr w:type="spellStart"/>
      <w:r w:rsidRPr="009E55C7">
        <w:rPr>
          <w:rFonts w:ascii="Arial" w:hAnsi="Arial" w:cs="Arial"/>
          <w:lang w:val="en-IN"/>
        </w:rPr>
        <w:t>spe</w:t>
      </w:r>
      <w:proofErr w:type="spellEnd"/>
      <w:r w:rsidRPr="009E55C7">
        <w:rPr>
          <w:rFonts w:ascii="Arial" w:hAnsi="Arial" w:cs="Arial"/>
          <w:lang w:val="en-IN"/>
        </w:rPr>
        <w:t xml:space="preserve"> 1), e020220040.</w:t>
      </w:r>
    </w:p>
    <w:p w14:paraId="10364981" w14:textId="77777777" w:rsidR="00F76FF0" w:rsidRPr="009E55C7" w:rsidRDefault="00F76FF0" w:rsidP="00F40DE6">
      <w:pPr>
        <w:pStyle w:val="Body"/>
        <w:spacing w:after="0"/>
        <w:ind w:left="709" w:hanging="709"/>
        <w:rPr>
          <w:rFonts w:ascii="Arial" w:hAnsi="Arial" w:cs="Arial"/>
          <w:lang w:val="en-IN"/>
        </w:rPr>
      </w:pPr>
      <w:r w:rsidRPr="009E55C7">
        <w:rPr>
          <w:rFonts w:ascii="Arial" w:hAnsi="Arial" w:cs="Arial"/>
          <w:lang w:val="en-IN"/>
        </w:rPr>
        <w:t>Anonymous (2024a). Weeds Cause Rs 92,000 Cr Worth Loss in Crop Productivity: Report. Available online at: https://www.global-agriculture.com (Accessed January 7, 2026).</w:t>
      </w:r>
    </w:p>
    <w:p w14:paraId="0DAEA23F" w14:textId="77777777" w:rsidR="00F76FF0" w:rsidRPr="009E55C7" w:rsidRDefault="00F76FF0" w:rsidP="00F40DE6">
      <w:pPr>
        <w:pStyle w:val="Body"/>
        <w:spacing w:after="0"/>
        <w:ind w:left="709" w:hanging="709"/>
        <w:rPr>
          <w:rFonts w:ascii="Arial" w:hAnsi="Arial" w:cs="Arial"/>
          <w:lang w:val="en-IN"/>
        </w:rPr>
      </w:pPr>
      <w:r w:rsidRPr="009E55C7">
        <w:rPr>
          <w:rFonts w:ascii="Arial" w:hAnsi="Arial" w:cs="Arial"/>
          <w:lang w:val="en-IN"/>
        </w:rPr>
        <w:t xml:space="preserve">Barbieri, G. F., Young, B. G., Dayan, F. E., Streibig, J. C., Takano, H. K., Merotto Jr., A., and Avila, L. A. (2022). Herbicide mixtures: interactions and </w:t>
      </w:r>
      <w:proofErr w:type="spellStart"/>
      <w:r w:rsidRPr="009E55C7">
        <w:rPr>
          <w:rFonts w:ascii="Arial" w:hAnsi="Arial" w:cs="Arial"/>
          <w:lang w:val="en-IN"/>
        </w:rPr>
        <w:t>modeling</w:t>
      </w:r>
      <w:proofErr w:type="spellEnd"/>
      <w:r w:rsidRPr="009E55C7">
        <w:rPr>
          <w:rFonts w:ascii="Arial" w:hAnsi="Arial" w:cs="Arial"/>
          <w:lang w:val="en-IN"/>
        </w:rPr>
        <w:t xml:space="preserve">. </w:t>
      </w:r>
      <w:r w:rsidRPr="009E55C7">
        <w:rPr>
          <w:rFonts w:ascii="Arial" w:hAnsi="Arial" w:cs="Arial"/>
          <w:i/>
          <w:iCs/>
          <w:lang w:val="en-IN"/>
        </w:rPr>
        <w:t>Advances in Weed Science</w:t>
      </w:r>
      <w:r w:rsidRPr="009E55C7">
        <w:rPr>
          <w:rFonts w:ascii="Arial" w:hAnsi="Arial" w:cs="Arial"/>
          <w:lang w:val="en-IN"/>
        </w:rPr>
        <w:t>, 40(</w:t>
      </w:r>
      <w:proofErr w:type="spellStart"/>
      <w:r w:rsidRPr="009E55C7">
        <w:rPr>
          <w:rFonts w:ascii="Arial" w:hAnsi="Arial" w:cs="Arial"/>
          <w:lang w:val="en-IN"/>
        </w:rPr>
        <w:t>spe</w:t>
      </w:r>
      <w:proofErr w:type="spellEnd"/>
      <w:r w:rsidRPr="009E55C7">
        <w:rPr>
          <w:rFonts w:ascii="Arial" w:hAnsi="Arial" w:cs="Arial"/>
          <w:lang w:val="en-IN"/>
        </w:rPr>
        <w:t xml:space="preserve"> 1), e020220051.</w:t>
      </w:r>
    </w:p>
    <w:p w14:paraId="7F931031" w14:textId="77777777" w:rsidR="00F76FF0" w:rsidRPr="009E55C7" w:rsidRDefault="00F76FF0" w:rsidP="00F40DE6">
      <w:pPr>
        <w:pStyle w:val="Body"/>
        <w:spacing w:after="0"/>
        <w:ind w:left="709" w:hanging="709"/>
        <w:rPr>
          <w:rFonts w:ascii="Arial" w:hAnsi="Arial" w:cs="Arial"/>
          <w:lang w:val="en-IN"/>
        </w:rPr>
      </w:pPr>
      <w:r w:rsidRPr="009E55C7">
        <w:rPr>
          <w:rFonts w:ascii="Arial" w:hAnsi="Arial" w:cs="Arial"/>
          <w:lang w:val="en-IN"/>
        </w:rPr>
        <w:t xml:space="preserve">Barker, A. L., Pawlak, J., Duke, S. O., Beffa, R., Tranel, P. J., </w:t>
      </w:r>
      <w:proofErr w:type="spellStart"/>
      <w:r w:rsidRPr="009E55C7">
        <w:rPr>
          <w:rFonts w:ascii="Arial" w:hAnsi="Arial" w:cs="Arial"/>
          <w:lang w:val="en-IN"/>
        </w:rPr>
        <w:t>Wuerffel</w:t>
      </w:r>
      <w:proofErr w:type="spellEnd"/>
      <w:r w:rsidRPr="009E55C7">
        <w:rPr>
          <w:rFonts w:ascii="Arial" w:hAnsi="Arial" w:cs="Arial"/>
          <w:lang w:val="en-IN"/>
        </w:rPr>
        <w:t xml:space="preserve">, J., Young, B., </w:t>
      </w:r>
      <w:proofErr w:type="spellStart"/>
      <w:r w:rsidRPr="009E55C7">
        <w:rPr>
          <w:rFonts w:ascii="Arial" w:hAnsi="Arial" w:cs="Arial"/>
          <w:lang w:val="en-IN"/>
        </w:rPr>
        <w:t>Porri</w:t>
      </w:r>
      <w:proofErr w:type="spellEnd"/>
      <w:r w:rsidRPr="009E55C7">
        <w:rPr>
          <w:rFonts w:ascii="Arial" w:hAnsi="Arial" w:cs="Arial"/>
          <w:lang w:val="en-IN"/>
        </w:rPr>
        <w:t xml:space="preserve">, A., Liebl, R., Aponte, R., and Findley, D. (2023). Discovery, mode of action, resistance mechanisms, and plan of action for sustainable use of Group 14 herbicides. </w:t>
      </w:r>
      <w:r w:rsidRPr="009E55C7">
        <w:rPr>
          <w:rFonts w:ascii="Arial" w:hAnsi="Arial" w:cs="Arial"/>
          <w:i/>
          <w:iCs/>
          <w:lang w:val="en-IN"/>
        </w:rPr>
        <w:t>Weed Science</w:t>
      </w:r>
      <w:r w:rsidRPr="009E55C7">
        <w:rPr>
          <w:rFonts w:ascii="Arial" w:hAnsi="Arial" w:cs="Arial"/>
          <w:lang w:val="en-IN"/>
        </w:rPr>
        <w:t>, 71(3), 173–188.</w:t>
      </w:r>
    </w:p>
    <w:p w14:paraId="47E128AD" w14:textId="77777777" w:rsidR="00F76FF0" w:rsidRPr="009E55C7" w:rsidRDefault="00F76FF0" w:rsidP="00F40DE6">
      <w:pPr>
        <w:pStyle w:val="Body"/>
        <w:spacing w:after="0"/>
        <w:ind w:left="709" w:hanging="709"/>
        <w:rPr>
          <w:rFonts w:ascii="Arial" w:hAnsi="Arial" w:cs="Arial"/>
          <w:lang w:val="en-IN"/>
        </w:rPr>
      </w:pPr>
      <w:r w:rsidRPr="009E55C7">
        <w:rPr>
          <w:rFonts w:ascii="Arial" w:hAnsi="Arial" w:cs="Arial"/>
          <w:lang w:val="en-IN"/>
        </w:rPr>
        <w:t xml:space="preserve">Cao, J., Wu, Q., Wan, F., Guo, J., and Wang, R. (2022). Reliable and rapid identification of glyphosate-resistance in the invasive weed </w:t>
      </w:r>
      <w:r w:rsidRPr="009E55C7">
        <w:rPr>
          <w:rFonts w:ascii="Arial" w:hAnsi="Arial" w:cs="Arial"/>
          <w:i/>
          <w:iCs/>
          <w:lang w:val="en-IN"/>
        </w:rPr>
        <w:t xml:space="preserve">Amaranthus </w:t>
      </w:r>
      <w:proofErr w:type="spellStart"/>
      <w:r w:rsidRPr="009E55C7">
        <w:rPr>
          <w:rFonts w:ascii="Arial" w:hAnsi="Arial" w:cs="Arial"/>
          <w:i/>
          <w:iCs/>
          <w:lang w:val="en-IN"/>
        </w:rPr>
        <w:t>palmeri</w:t>
      </w:r>
      <w:proofErr w:type="spellEnd"/>
      <w:r w:rsidRPr="009E55C7">
        <w:rPr>
          <w:rFonts w:ascii="Arial" w:hAnsi="Arial" w:cs="Arial"/>
          <w:lang w:val="en-IN"/>
        </w:rPr>
        <w:t xml:space="preserve"> in China. </w:t>
      </w:r>
      <w:r w:rsidRPr="009E55C7">
        <w:rPr>
          <w:rFonts w:ascii="Arial" w:hAnsi="Arial" w:cs="Arial"/>
          <w:i/>
          <w:iCs/>
          <w:lang w:val="en-IN"/>
        </w:rPr>
        <w:t>Pest Management Science</w:t>
      </w:r>
      <w:r w:rsidRPr="009E55C7">
        <w:rPr>
          <w:rFonts w:ascii="Arial" w:hAnsi="Arial" w:cs="Arial"/>
          <w:lang w:val="en-IN"/>
        </w:rPr>
        <w:t>, 78(6), 2173–2182.</w:t>
      </w:r>
      <w:bookmarkStart w:id="0" w:name="_Hlk222485079"/>
    </w:p>
    <w:p w14:paraId="23E25EE0" w14:textId="77777777" w:rsidR="00F76FF0" w:rsidRPr="009E55C7" w:rsidRDefault="00F76FF0" w:rsidP="00F40DE6">
      <w:pPr>
        <w:pStyle w:val="Body"/>
        <w:spacing w:after="0"/>
        <w:ind w:left="709" w:hanging="709"/>
        <w:rPr>
          <w:rFonts w:ascii="Arial" w:hAnsi="Arial" w:cs="Arial"/>
        </w:rPr>
      </w:pPr>
      <w:proofErr w:type="spellStart"/>
      <w:r w:rsidRPr="009E55C7">
        <w:rPr>
          <w:rFonts w:ascii="Arial" w:hAnsi="Arial" w:cs="Arial"/>
        </w:rPr>
        <w:t>Chipomho</w:t>
      </w:r>
      <w:bookmarkEnd w:id="0"/>
      <w:proofErr w:type="spellEnd"/>
      <w:r w:rsidRPr="009E55C7">
        <w:rPr>
          <w:rFonts w:ascii="Arial" w:hAnsi="Arial" w:cs="Arial"/>
        </w:rPr>
        <w:t xml:space="preserve">, J., </w:t>
      </w:r>
      <w:proofErr w:type="spellStart"/>
      <w:r w:rsidRPr="009E55C7">
        <w:rPr>
          <w:rFonts w:ascii="Arial" w:hAnsi="Arial" w:cs="Arial"/>
        </w:rPr>
        <w:t>Parwada</w:t>
      </w:r>
      <w:proofErr w:type="spellEnd"/>
      <w:r w:rsidRPr="009E55C7">
        <w:rPr>
          <w:rFonts w:ascii="Arial" w:hAnsi="Arial" w:cs="Arial"/>
        </w:rPr>
        <w:t>, C., &amp; Gwatidzo, V. O. (2023). Evolution of herbicide resistant weeds in agro-ecological systems. </w:t>
      </w:r>
      <w:r w:rsidRPr="009E55C7">
        <w:rPr>
          <w:rFonts w:ascii="Arial" w:hAnsi="Arial" w:cs="Arial"/>
          <w:i/>
          <w:iCs/>
        </w:rPr>
        <w:t xml:space="preserve">Advanced </w:t>
      </w:r>
      <w:proofErr w:type="spellStart"/>
      <w:r w:rsidRPr="009E55C7">
        <w:rPr>
          <w:rFonts w:ascii="Arial" w:hAnsi="Arial" w:cs="Arial"/>
          <w:i/>
          <w:iCs/>
        </w:rPr>
        <w:t>Chemicobiology</w:t>
      </w:r>
      <w:proofErr w:type="spellEnd"/>
      <w:r w:rsidRPr="009E55C7">
        <w:rPr>
          <w:rFonts w:ascii="Arial" w:hAnsi="Arial" w:cs="Arial"/>
          <w:i/>
          <w:iCs/>
        </w:rPr>
        <w:t xml:space="preserve"> Research</w:t>
      </w:r>
      <w:r w:rsidRPr="009E55C7">
        <w:rPr>
          <w:rFonts w:ascii="Arial" w:hAnsi="Arial" w:cs="Arial"/>
        </w:rPr>
        <w:t>, 138-150.</w:t>
      </w:r>
      <w:bookmarkStart w:id="1" w:name="_Hlk223775537"/>
    </w:p>
    <w:p w14:paraId="3E5E6BAD"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Cordeau, S. (2022</w:t>
      </w:r>
      <w:bookmarkEnd w:id="1"/>
      <w:r w:rsidRPr="009E55C7">
        <w:rPr>
          <w:rFonts w:ascii="Arial" w:hAnsi="Arial" w:cs="Arial"/>
        </w:rPr>
        <w:t>). Conservation agriculture and agroecological weed management. </w:t>
      </w:r>
      <w:r w:rsidRPr="009E55C7">
        <w:rPr>
          <w:rFonts w:ascii="Arial" w:hAnsi="Arial" w:cs="Arial"/>
          <w:i/>
          <w:iCs/>
        </w:rPr>
        <w:t>Agronomy</w:t>
      </w:r>
      <w:r w:rsidRPr="009E55C7">
        <w:rPr>
          <w:rFonts w:ascii="Arial" w:hAnsi="Arial" w:cs="Arial"/>
        </w:rPr>
        <w:t>, 12(4), 867.</w:t>
      </w:r>
    </w:p>
    <w:p w14:paraId="47559D72"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 xml:space="preserve">Damalas, C. A., &amp; </w:t>
      </w:r>
      <w:proofErr w:type="spellStart"/>
      <w:r w:rsidRPr="009E55C7">
        <w:rPr>
          <w:rFonts w:ascii="Arial" w:hAnsi="Arial" w:cs="Arial"/>
        </w:rPr>
        <w:t>Koutroubas</w:t>
      </w:r>
      <w:proofErr w:type="spellEnd"/>
      <w:r w:rsidRPr="009E55C7">
        <w:rPr>
          <w:rFonts w:ascii="Arial" w:hAnsi="Arial" w:cs="Arial"/>
        </w:rPr>
        <w:t>, S. D. (2024). Herbicide resistance evolution, fitness cost, and the fear of the superweeds. </w:t>
      </w:r>
      <w:r w:rsidRPr="009E55C7">
        <w:rPr>
          <w:rFonts w:ascii="Arial" w:hAnsi="Arial" w:cs="Arial"/>
          <w:i/>
          <w:iCs/>
        </w:rPr>
        <w:t>Plant Science</w:t>
      </w:r>
      <w:r w:rsidRPr="009E55C7">
        <w:rPr>
          <w:rFonts w:ascii="Arial" w:hAnsi="Arial" w:cs="Arial"/>
        </w:rPr>
        <w:t>, 339, 111934.</w:t>
      </w:r>
    </w:p>
    <w:p w14:paraId="3A85F0D6" w14:textId="3CC80B61" w:rsidR="00F76FF0" w:rsidRPr="009E55C7" w:rsidRDefault="00F76FF0" w:rsidP="00F40DE6">
      <w:pPr>
        <w:pStyle w:val="Body"/>
        <w:spacing w:after="0"/>
        <w:ind w:left="709" w:hanging="709"/>
        <w:rPr>
          <w:rFonts w:ascii="Arial" w:hAnsi="Arial" w:cs="Arial"/>
        </w:rPr>
      </w:pPr>
      <w:r w:rsidRPr="009E55C7">
        <w:rPr>
          <w:rFonts w:ascii="Arial" w:hAnsi="Arial" w:cs="Arial"/>
        </w:rPr>
        <w:t>Davis, A. S., &amp; Frisvold, G. B. (2017). Are herbicides a once in a century method of weed control? </w:t>
      </w:r>
      <w:r w:rsidRPr="009E55C7">
        <w:rPr>
          <w:rFonts w:ascii="Arial" w:hAnsi="Arial" w:cs="Arial"/>
          <w:i/>
          <w:iCs/>
        </w:rPr>
        <w:t>Pest management science</w:t>
      </w:r>
      <w:r w:rsidRPr="009E55C7">
        <w:rPr>
          <w:rFonts w:ascii="Arial" w:hAnsi="Arial" w:cs="Arial"/>
        </w:rPr>
        <w:t>, 73(11), 2209-2220.</w:t>
      </w:r>
      <w:bookmarkStart w:id="2" w:name="_Hlk222487166"/>
    </w:p>
    <w:p w14:paraId="3F751417"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de Queiroz</w:t>
      </w:r>
      <w:bookmarkEnd w:id="2"/>
      <w:r w:rsidRPr="009E55C7">
        <w:rPr>
          <w:rFonts w:ascii="Arial" w:hAnsi="Arial" w:cs="Arial"/>
        </w:rPr>
        <w:t xml:space="preserve">, A. R., Delatorre, C. A., Markus, C., Lucio, F. R., </w:t>
      </w:r>
      <w:proofErr w:type="spellStart"/>
      <w:r w:rsidRPr="009E55C7">
        <w:rPr>
          <w:rFonts w:ascii="Arial" w:hAnsi="Arial" w:cs="Arial"/>
        </w:rPr>
        <w:t>Angonese</w:t>
      </w:r>
      <w:proofErr w:type="spellEnd"/>
      <w:r w:rsidRPr="009E55C7">
        <w:rPr>
          <w:rFonts w:ascii="Arial" w:hAnsi="Arial" w:cs="Arial"/>
        </w:rPr>
        <w:t>, P. S., &amp; Merotto Jr, A. (2022). Rapid necrosis II: physiological and molecular analysis of 2, 4-D resistance in Sumatran fleabane (Conyza sumatrensis). </w:t>
      </w:r>
      <w:r w:rsidRPr="009E55C7">
        <w:rPr>
          <w:rFonts w:ascii="Arial" w:hAnsi="Arial" w:cs="Arial"/>
          <w:i/>
          <w:iCs/>
        </w:rPr>
        <w:t>Weed Science</w:t>
      </w:r>
      <w:r w:rsidRPr="009E55C7">
        <w:rPr>
          <w:rFonts w:ascii="Arial" w:hAnsi="Arial" w:cs="Arial"/>
        </w:rPr>
        <w:t>, 70(1), 36-45.</w:t>
      </w:r>
    </w:p>
    <w:p w14:paraId="099081BD"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Gao, W. T., &amp; Su, W. H. (2024). Weed management methods for herbaceous field crops: A review. </w:t>
      </w:r>
      <w:r w:rsidRPr="009E55C7">
        <w:rPr>
          <w:rFonts w:ascii="Arial" w:hAnsi="Arial" w:cs="Arial"/>
          <w:i/>
          <w:iCs/>
        </w:rPr>
        <w:t>Agronomy</w:t>
      </w:r>
      <w:r w:rsidRPr="009E55C7">
        <w:rPr>
          <w:rFonts w:ascii="Arial" w:hAnsi="Arial" w:cs="Arial"/>
        </w:rPr>
        <w:t>, 14(3), 486.</w:t>
      </w:r>
    </w:p>
    <w:p w14:paraId="07CDD8CD"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 xml:space="preserve">Ghosh, D., </w:t>
      </w:r>
      <w:proofErr w:type="spellStart"/>
      <w:r w:rsidRPr="009E55C7">
        <w:rPr>
          <w:rFonts w:ascii="Arial" w:hAnsi="Arial" w:cs="Arial"/>
        </w:rPr>
        <w:t>Brahmachari</w:t>
      </w:r>
      <w:proofErr w:type="spellEnd"/>
      <w:r w:rsidRPr="009E55C7">
        <w:rPr>
          <w:rFonts w:ascii="Arial" w:hAnsi="Arial" w:cs="Arial"/>
        </w:rPr>
        <w:t xml:space="preserve">, K., Skalický, M., Roy, D., Das, A., Sarkar, S., </w:t>
      </w:r>
      <w:proofErr w:type="spellStart"/>
      <w:r w:rsidRPr="009E55C7">
        <w:rPr>
          <w:rFonts w:ascii="Arial" w:hAnsi="Arial" w:cs="Arial"/>
        </w:rPr>
        <w:t>Moulick</w:t>
      </w:r>
      <w:proofErr w:type="spellEnd"/>
      <w:r w:rsidRPr="009E55C7">
        <w:rPr>
          <w:rFonts w:ascii="Arial" w:hAnsi="Arial" w:cs="Arial"/>
        </w:rPr>
        <w:t xml:space="preserve">, D., Brestič, M., Hejnak, V., Vachova, P. and Hassan, M.M. (2022). The combination of organic and inorganic fertilizers </w:t>
      </w:r>
      <w:proofErr w:type="gramStart"/>
      <w:r w:rsidRPr="009E55C7">
        <w:rPr>
          <w:rFonts w:ascii="Arial" w:hAnsi="Arial" w:cs="Arial"/>
        </w:rPr>
        <w:t>influence</w:t>
      </w:r>
      <w:proofErr w:type="gramEnd"/>
      <w:r w:rsidRPr="009E55C7">
        <w:rPr>
          <w:rFonts w:ascii="Arial" w:hAnsi="Arial" w:cs="Arial"/>
        </w:rPr>
        <w:t xml:space="preserve"> the weed growth, productivity and soil fertility of monsoon rice. </w:t>
      </w:r>
      <w:proofErr w:type="spellStart"/>
      <w:r w:rsidRPr="009E55C7">
        <w:rPr>
          <w:rFonts w:ascii="Arial" w:hAnsi="Arial" w:cs="Arial"/>
          <w:i/>
          <w:iCs/>
        </w:rPr>
        <w:t>PloS</w:t>
      </w:r>
      <w:proofErr w:type="spellEnd"/>
      <w:r w:rsidRPr="009E55C7">
        <w:rPr>
          <w:rFonts w:ascii="Arial" w:hAnsi="Arial" w:cs="Arial"/>
          <w:i/>
          <w:iCs/>
        </w:rPr>
        <w:t xml:space="preserve"> one</w:t>
      </w:r>
      <w:r w:rsidRPr="009E55C7">
        <w:rPr>
          <w:rFonts w:ascii="Arial" w:hAnsi="Arial" w:cs="Arial"/>
        </w:rPr>
        <w:t>, 17(1), e0262586.</w:t>
      </w:r>
      <w:bookmarkStart w:id="3" w:name="_Hlk222485178"/>
    </w:p>
    <w:p w14:paraId="7F02D93B"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Guo</w:t>
      </w:r>
      <w:bookmarkEnd w:id="3"/>
      <w:r w:rsidRPr="009E55C7">
        <w:rPr>
          <w:rFonts w:ascii="Arial" w:hAnsi="Arial" w:cs="Arial"/>
        </w:rPr>
        <w:t xml:space="preserve">, Y., Wang, T., Lu, X., Li, W., </w:t>
      </w:r>
      <w:proofErr w:type="spellStart"/>
      <w:r w:rsidRPr="009E55C7">
        <w:rPr>
          <w:rFonts w:ascii="Arial" w:hAnsi="Arial" w:cs="Arial"/>
        </w:rPr>
        <w:t>Lv</w:t>
      </w:r>
      <w:proofErr w:type="spellEnd"/>
      <w:r w:rsidRPr="009E55C7">
        <w:rPr>
          <w:rFonts w:ascii="Arial" w:hAnsi="Arial" w:cs="Arial"/>
        </w:rPr>
        <w:t>, X., Peng, Q. &amp; Hu, M. (2024). Comparative genome-wide analysis of circular RNAs in Brassica napus L.: Target-site versus non-target-site resistance to herbicide stress. </w:t>
      </w:r>
      <w:r w:rsidRPr="009E55C7">
        <w:rPr>
          <w:rFonts w:ascii="Arial" w:hAnsi="Arial" w:cs="Arial"/>
          <w:i/>
          <w:iCs/>
        </w:rPr>
        <w:t>Theoretical and Applied Genetics</w:t>
      </w:r>
      <w:r w:rsidRPr="009E55C7">
        <w:rPr>
          <w:rFonts w:ascii="Arial" w:hAnsi="Arial" w:cs="Arial"/>
        </w:rPr>
        <w:t>, 137(7), 176.</w:t>
      </w:r>
      <w:bookmarkStart w:id="4" w:name="_Hlk222484410"/>
    </w:p>
    <w:bookmarkEnd w:id="4"/>
    <w:p w14:paraId="2B54A572"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Habibi, F. (2025). Ecological Management of Wild Oat (</w:t>
      </w:r>
      <w:proofErr w:type="spellStart"/>
      <w:r w:rsidRPr="009E55C7">
        <w:rPr>
          <w:rFonts w:ascii="Arial" w:hAnsi="Arial" w:cs="Arial"/>
        </w:rPr>
        <w:t>Avena</w:t>
      </w:r>
      <w:proofErr w:type="spellEnd"/>
      <w:r w:rsidRPr="009E55C7">
        <w:rPr>
          <w:rFonts w:ascii="Arial" w:hAnsi="Arial" w:cs="Arial"/>
        </w:rPr>
        <w:t xml:space="preserve"> </w:t>
      </w:r>
      <w:proofErr w:type="spellStart"/>
      <w:r w:rsidRPr="009E55C7">
        <w:rPr>
          <w:rFonts w:ascii="Arial" w:hAnsi="Arial" w:cs="Arial"/>
        </w:rPr>
        <w:t>fatua</w:t>
      </w:r>
      <w:proofErr w:type="spellEnd"/>
      <w:r w:rsidRPr="009E55C7">
        <w:rPr>
          <w:rFonts w:ascii="Arial" w:hAnsi="Arial" w:cs="Arial"/>
        </w:rPr>
        <w:t xml:space="preserve"> L.) in Winter Wheat: Modeling Yield Loss and Determination of Economic Thresholds under Varying Crop Densities. </w:t>
      </w:r>
      <w:proofErr w:type="spellStart"/>
      <w:r w:rsidRPr="009E55C7">
        <w:rPr>
          <w:rFonts w:ascii="Arial" w:hAnsi="Arial" w:cs="Arial"/>
          <w:i/>
          <w:iCs/>
        </w:rPr>
        <w:t>arXiv</w:t>
      </w:r>
      <w:proofErr w:type="spellEnd"/>
      <w:r w:rsidRPr="009E55C7">
        <w:rPr>
          <w:rFonts w:ascii="Arial" w:hAnsi="Arial" w:cs="Arial"/>
          <w:i/>
          <w:iCs/>
        </w:rPr>
        <w:t xml:space="preserve"> preprint arXiv:2512.13718</w:t>
      </w:r>
      <w:r w:rsidRPr="009E55C7">
        <w:rPr>
          <w:rFonts w:ascii="Arial" w:hAnsi="Arial" w:cs="Arial"/>
        </w:rPr>
        <w:t>.</w:t>
      </w:r>
    </w:p>
    <w:p w14:paraId="695BC760" w14:textId="77777777" w:rsidR="00F76FF0" w:rsidRPr="009E55C7" w:rsidRDefault="00F76FF0" w:rsidP="00F40DE6">
      <w:pPr>
        <w:pStyle w:val="Body"/>
        <w:spacing w:after="0"/>
        <w:ind w:left="709" w:hanging="709"/>
        <w:rPr>
          <w:rFonts w:ascii="Arial" w:hAnsi="Arial" w:cs="Arial"/>
        </w:rPr>
      </w:pPr>
      <w:bookmarkStart w:id="5" w:name="_Hlk222485277"/>
      <w:r w:rsidRPr="009E55C7">
        <w:rPr>
          <w:rFonts w:ascii="Arial" w:hAnsi="Arial" w:cs="Arial"/>
        </w:rPr>
        <w:t>He</w:t>
      </w:r>
      <w:bookmarkEnd w:id="5"/>
      <w:r w:rsidRPr="009E55C7">
        <w:rPr>
          <w:rFonts w:ascii="Arial" w:hAnsi="Arial" w:cs="Arial"/>
        </w:rPr>
        <w:t>, B., Hu, Y., Wang, W., Yan, W., &amp; Ye, Y. (2022). The progress towards novel herbicide modes of action and targeted herbicide development. </w:t>
      </w:r>
      <w:r w:rsidRPr="009E55C7">
        <w:rPr>
          <w:rFonts w:ascii="Arial" w:hAnsi="Arial" w:cs="Arial"/>
          <w:i/>
          <w:iCs/>
        </w:rPr>
        <w:t>Agronomy</w:t>
      </w:r>
      <w:r w:rsidRPr="009E55C7">
        <w:rPr>
          <w:rFonts w:ascii="Arial" w:hAnsi="Arial" w:cs="Arial"/>
        </w:rPr>
        <w:t>, 12(11), 2792.</w:t>
      </w:r>
    </w:p>
    <w:p w14:paraId="00FC9A3A"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 xml:space="preserve">Heap, I.  The International Herbicide-Resistant Weed Database. </w:t>
      </w:r>
      <w:hyperlink r:id="rId14" w:history="1">
        <w:r w:rsidRPr="009E55C7">
          <w:rPr>
            <w:rStyle w:val="Hyperlink"/>
            <w:rFonts w:ascii="Arial" w:hAnsi="Arial" w:cs="Arial"/>
          </w:rPr>
          <w:t>https://www.weedscience.org/home.aspx</w:t>
        </w:r>
      </w:hyperlink>
      <w:r w:rsidRPr="009E55C7">
        <w:rPr>
          <w:rFonts w:ascii="Arial" w:hAnsi="Arial" w:cs="Arial"/>
        </w:rPr>
        <w:t xml:space="preserve"> </w:t>
      </w:r>
    </w:p>
    <w:p w14:paraId="75B54935"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 xml:space="preserve">Hendriks, P. W., </w:t>
      </w:r>
      <w:proofErr w:type="spellStart"/>
      <w:r w:rsidRPr="009E55C7">
        <w:rPr>
          <w:rFonts w:ascii="Arial" w:hAnsi="Arial" w:cs="Arial"/>
        </w:rPr>
        <w:t>Gurusinghe</w:t>
      </w:r>
      <w:proofErr w:type="spellEnd"/>
      <w:r w:rsidRPr="009E55C7">
        <w:rPr>
          <w:rFonts w:ascii="Arial" w:hAnsi="Arial" w:cs="Arial"/>
        </w:rPr>
        <w:t xml:space="preserve">, S., Ryan, P. R., </w:t>
      </w:r>
      <w:proofErr w:type="spellStart"/>
      <w:r w:rsidRPr="009E55C7">
        <w:rPr>
          <w:rFonts w:ascii="Arial" w:hAnsi="Arial" w:cs="Arial"/>
        </w:rPr>
        <w:t>Rebetzke</w:t>
      </w:r>
      <w:proofErr w:type="spellEnd"/>
      <w:r w:rsidRPr="009E55C7">
        <w:rPr>
          <w:rFonts w:ascii="Arial" w:hAnsi="Arial" w:cs="Arial"/>
        </w:rPr>
        <w:t xml:space="preserve">, G. J., &amp; Weston, L. A. (2022). Competitiveness of early </w:t>
      </w:r>
      <w:proofErr w:type="spellStart"/>
      <w:r w:rsidRPr="009E55C7">
        <w:rPr>
          <w:rFonts w:ascii="Arial" w:hAnsi="Arial" w:cs="Arial"/>
        </w:rPr>
        <w:t>vigour</w:t>
      </w:r>
      <w:proofErr w:type="spellEnd"/>
      <w:r w:rsidRPr="009E55C7">
        <w:rPr>
          <w:rFonts w:ascii="Arial" w:hAnsi="Arial" w:cs="Arial"/>
        </w:rPr>
        <w:t xml:space="preserve"> wheat (Triticum </w:t>
      </w:r>
      <w:proofErr w:type="spellStart"/>
      <w:r w:rsidRPr="009E55C7">
        <w:rPr>
          <w:rFonts w:ascii="Arial" w:hAnsi="Arial" w:cs="Arial"/>
        </w:rPr>
        <w:t>aestivum</w:t>
      </w:r>
      <w:proofErr w:type="spellEnd"/>
      <w:r w:rsidRPr="009E55C7">
        <w:rPr>
          <w:rFonts w:ascii="Arial" w:hAnsi="Arial" w:cs="Arial"/>
        </w:rPr>
        <w:t xml:space="preserve"> L.) genotypes is established at early growth stages. </w:t>
      </w:r>
      <w:r w:rsidRPr="009E55C7">
        <w:rPr>
          <w:rFonts w:ascii="Arial" w:hAnsi="Arial" w:cs="Arial"/>
          <w:i/>
          <w:iCs/>
        </w:rPr>
        <w:t>Agronomy</w:t>
      </w:r>
      <w:r w:rsidRPr="009E55C7">
        <w:rPr>
          <w:rFonts w:ascii="Arial" w:hAnsi="Arial" w:cs="Arial"/>
        </w:rPr>
        <w:t>, 12(2), 377.</w:t>
      </w:r>
    </w:p>
    <w:p w14:paraId="46C6618D"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lastRenderedPageBreak/>
        <w:t>Horvath, D. P., Clay, S. A., Swanton, C. J., Anderson, J. V., &amp; Chao, W. S. (2023). Weed-induced crop yield loss: a new paradigm and new challenges. </w:t>
      </w:r>
      <w:r w:rsidRPr="009E55C7">
        <w:rPr>
          <w:rFonts w:ascii="Arial" w:hAnsi="Arial" w:cs="Arial"/>
          <w:i/>
          <w:iCs/>
        </w:rPr>
        <w:t>Trends in Plant Science</w:t>
      </w:r>
      <w:r w:rsidRPr="009E55C7">
        <w:rPr>
          <w:rFonts w:ascii="Arial" w:hAnsi="Arial" w:cs="Arial"/>
        </w:rPr>
        <w:t>, 28(5), 567-582.</w:t>
      </w:r>
    </w:p>
    <w:p w14:paraId="439947CC"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Huang, Y., Sun, X., Rai, N., Yao, H., Reddy, K. N., &amp; Jenkins, J. (2025). Remote sensing for precision weed management. </w:t>
      </w:r>
      <w:r w:rsidRPr="009E55C7">
        <w:rPr>
          <w:rFonts w:ascii="Arial" w:hAnsi="Arial" w:cs="Arial"/>
          <w:i/>
          <w:iCs/>
        </w:rPr>
        <w:t>Pest Management Science</w:t>
      </w:r>
      <w:r w:rsidRPr="009E55C7">
        <w:rPr>
          <w:rFonts w:ascii="Arial" w:hAnsi="Arial" w:cs="Arial"/>
        </w:rPr>
        <w:t>, 81(8), 4190-4199.</w:t>
      </w:r>
    </w:p>
    <w:p w14:paraId="6A643453" w14:textId="77777777" w:rsidR="00F76FF0" w:rsidRPr="009E55C7" w:rsidRDefault="00F76FF0" w:rsidP="00F40DE6">
      <w:pPr>
        <w:pStyle w:val="Body"/>
        <w:spacing w:after="0"/>
        <w:ind w:left="709" w:hanging="709"/>
        <w:rPr>
          <w:rFonts w:ascii="Arial" w:hAnsi="Arial" w:cs="Arial"/>
        </w:rPr>
      </w:pPr>
      <w:proofErr w:type="spellStart"/>
      <w:r w:rsidRPr="009E55C7">
        <w:rPr>
          <w:rFonts w:ascii="Arial" w:hAnsi="Arial" w:cs="Arial"/>
        </w:rPr>
        <w:t>Jastrzębska</w:t>
      </w:r>
      <w:proofErr w:type="spellEnd"/>
      <w:r w:rsidRPr="009E55C7">
        <w:rPr>
          <w:rFonts w:ascii="Arial" w:hAnsi="Arial" w:cs="Arial"/>
        </w:rPr>
        <w:t xml:space="preserve">, M., Kostrzewska, M. K., &amp; Marks, M. (2023). Is diversified crop rotation an effective non-chemical strategy for protecting triticale yield and weed </w:t>
      </w:r>
      <w:proofErr w:type="gramStart"/>
      <w:r w:rsidRPr="009E55C7">
        <w:rPr>
          <w:rFonts w:ascii="Arial" w:hAnsi="Arial" w:cs="Arial"/>
        </w:rPr>
        <w:t>diversity?.</w:t>
      </w:r>
      <w:proofErr w:type="gramEnd"/>
      <w:r w:rsidRPr="009E55C7">
        <w:rPr>
          <w:rFonts w:ascii="Arial" w:hAnsi="Arial" w:cs="Arial"/>
        </w:rPr>
        <w:t> </w:t>
      </w:r>
      <w:r w:rsidRPr="009E55C7">
        <w:rPr>
          <w:rFonts w:ascii="Arial" w:hAnsi="Arial" w:cs="Arial"/>
          <w:i/>
          <w:iCs/>
        </w:rPr>
        <w:t>Agronomy</w:t>
      </w:r>
      <w:r w:rsidRPr="009E55C7">
        <w:rPr>
          <w:rFonts w:ascii="Arial" w:hAnsi="Arial" w:cs="Arial"/>
        </w:rPr>
        <w:t>, 13(6), 1589.</w:t>
      </w:r>
    </w:p>
    <w:p w14:paraId="21383E7A"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 xml:space="preserve">Jhala, Amit J., Mandeep Singh, </w:t>
      </w:r>
      <w:proofErr w:type="spellStart"/>
      <w:r w:rsidRPr="009E55C7">
        <w:rPr>
          <w:rFonts w:ascii="Arial" w:hAnsi="Arial" w:cs="Arial"/>
        </w:rPr>
        <w:t>Debalin</w:t>
      </w:r>
      <w:proofErr w:type="spellEnd"/>
      <w:r w:rsidRPr="009E55C7">
        <w:rPr>
          <w:rFonts w:ascii="Arial" w:hAnsi="Arial" w:cs="Arial"/>
        </w:rPr>
        <w:t xml:space="preserve"> Sarangi, </w:t>
      </w:r>
      <w:proofErr w:type="spellStart"/>
      <w:r w:rsidRPr="009E55C7">
        <w:rPr>
          <w:rFonts w:ascii="Arial" w:hAnsi="Arial" w:cs="Arial"/>
        </w:rPr>
        <w:t>Lovreet</w:t>
      </w:r>
      <w:proofErr w:type="spellEnd"/>
      <w:r w:rsidRPr="009E55C7">
        <w:rPr>
          <w:rFonts w:ascii="Arial" w:hAnsi="Arial" w:cs="Arial"/>
        </w:rPr>
        <w:t xml:space="preserve"> </w:t>
      </w:r>
      <w:proofErr w:type="spellStart"/>
      <w:r w:rsidRPr="009E55C7">
        <w:rPr>
          <w:rFonts w:ascii="Arial" w:hAnsi="Arial" w:cs="Arial"/>
        </w:rPr>
        <w:t>Shergill</w:t>
      </w:r>
      <w:proofErr w:type="spellEnd"/>
      <w:r w:rsidRPr="009E55C7">
        <w:rPr>
          <w:rFonts w:ascii="Arial" w:hAnsi="Arial" w:cs="Arial"/>
        </w:rPr>
        <w:t>, Aniruddha Maity, Zahoor A. Ganie, Chandrima Shyam, Mithila Jugulam, &amp; Jason K. Norsworthy. (2026). Acetyl-CoA carboxylase (</w:t>
      </w:r>
      <w:proofErr w:type="spellStart"/>
      <w:r w:rsidRPr="009E55C7">
        <w:rPr>
          <w:rFonts w:ascii="Arial" w:hAnsi="Arial" w:cs="Arial"/>
        </w:rPr>
        <w:t>ACCase</w:t>
      </w:r>
      <w:proofErr w:type="spellEnd"/>
      <w:r w:rsidRPr="009E55C7">
        <w:rPr>
          <w:rFonts w:ascii="Arial" w:hAnsi="Arial" w:cs="Arial"/>
        </w:rPr>
        <w:t>)-inhibiting herbicides: Past, present, and future. </w:t>
      </w:r>
      <w:r w:rsidRPr="009E55C7">
        <w:rPr>
          <w:rFonts w:ascii="Arial" w:hAnsi="Arial" w:cs="Arial"/>
          <w:i/>
          <w:iCs/>
        </w:rPr>
        <w:t>Weed Technology</w:t>
      </w:r>
      <w:r w:rsidRPr="009E55C7">
        <w:rPr>
          <w:rFonts w:ascii="Arial" w:hAnsi="Arial" w:cs="Arial"/>
        </w:rPr>
        <w:t>, 1-45.</w:t>
      </w:r>
    </w:p>
    <w:p w14:paraId="05C19E7F" w14:textId="77777777" w:rsidR="00F76FF0" w:rsidRPr="009E55C7" w:rsidRDefault="00F76FF0" w:rsidP="00F40DE6">
      <w:pPr>
        <w:pStyle w:val="Body"/>
        <w:spacing w:after="0"/>
        <w:ind w:left="709" w:hanging="709"/>
        <w:rPr>
          <w:rFonts w:ascii="Arial" w:hAnsi="Arial" w:cs="Arial"/>
        </w:rPr>
      </w:pPr>
      <w:r w:rsidRPr="009E55C7">
        <w:rPr>
          <w:rFonts w:ascii="Arial" w:hAnsi="Arial" w:cs="Arial"/>
        </w:rPr>
        <w:t>Jin, M., Chen, L., Deng, X. W., &amp; Tang, X. (2022). Development of herbicide resistance genes and their application in rice. </w:t>
      </w:r>
      <w:r w:rsidRPr="009E55C7">
        <w:rPr>
          <w:rFonts w:ascii="Arial" w:hAnsi="Arial" w:cs="Arial"/>
          <w:i/>
          <w:iCs/>
        </w:rPr>
        <w:t>The Crop Journal</w:t>
      </w:r>
      <w:r w:rsidRPr="009E55C7">
        <w:rPr>
          <w:rFonts w:ascii="Arial" w:hAnsi="Arial" w:cs="Arial"/>
        </w:rPr>
        <w:t>, 10(1), 26-35.</w:t>
      </w:r>
    </w:p>
    <w:p w14:paraId="6FEA2F3F"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Kaur, R., Kumar, S., Ali, S.A., Kumar, S., </w:t>
      </w:r>
      <w:proofErr w:type="spellStart"/>
      <w:r w:rsidRPr="009E55C7">
        <w:rPr>
          <w:rFonts w:ascii="Arial" w:hAnsi="Arial" w:cs="Arial"/>
        </w:rPr>
        <w:t>Ezing</w:t>
      </w:r>
      <w:proofErr w:type="spellEnd"/>
      <w:r w:rsidRPr="009E55C7">
        <w:rPr>
          <w:rFonts w:ascii="Arial" w:hAnsi="Arial" w:cs="Arial"/>
        </w:rPr>
        <w:t>, U.M., Bana, R., Meena, S., Dass, A. and Singh, T. (2024). Impacts of climate change on crop-weed dynamics: Challenges and strategies for weed management in a changing climate. </w:t>
      </w:r>
      <w:r w:rsidRPr="009E55C7">
        <w:rPr>
          <w:rFonts w:ascii="Arial" w:hAnsi="Arial" w:cs="Arial"/>
          <w:i/>
          <w:iCs/>
        </w:rPr>
        <w:t>Open Journal of Environmental Biology</w:t>
      </w:r>
      <w:r w:rsidRPr="009E55C7">
        <w:rPr>
          <w:rFonts w:ascii="Arial" w:hAnsi="Arial" w:cs="Arial"/>
        </w:rPr>
        <w:t>, 9(1), 015-021.</w:t>
      </w:r>
    </w:p>
    <w:p w14:paraId="06237E2C"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Kumar, S. P., Tewari, V. K., Mehta, C. R., Chethan, C. R., Chandel, A., Pareek, C. M., &amp; Nare, B. (2022a). Mechanical weed management technology to manage inter-and intra-row weeds in agroecosystems: A review. </w:t>
      </w:r>
      <w:r w:rsidRPr="009E55C7">
        <w:rPr>
          <w:rFonts w:ascii="Arial" w:hAnsi="Arial" w:cs="Arial"/>
          <w:i/>
          <w:iCs/>
        </w:rPr>
        <w:t>Indian Journal of Weed Science</w:t>
      </w:r>
      <w:r w:rsidRPr="009E55C7">
        <w:rPr>
          <w:rFonts w:ascii="Arial" w:hAnsi="Arial" w:cs="Arial"/>
        </w:rPr>
        <w:t>, 54(3), 220-232.</w:t>
      </w:r>
    </w:p>
    <w:p w14:paraId="1AAC223F"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Kumar, S., Rana, S. S., Hetta, G., &amp; Rana, N. (2022b). Understanding and managing weed seed banks: A review. </w:t>
      </w:r>
      <w:r w:rsidRPr="009E55C7">
        <w:rPr>
          <w:rFonts w:ascii="Arial" w:hAnsi="Arial" w:cs="Arial"/>
          <w:i/>
          <w:iCs/>
        </w:rPr>
        <w:t>Agricultural Reviews</w:t>
      </w:r>
      <w:r w:rsidRPr="009E55C7">
        <w:rPr>
          <w:rFonts w:ascii="Arial" w:hAnsi="Arial" w:cs="Arial"/>
        </w:rPr>
        <w:t>, 45(3), 508-513.</w:t>
      </w:r>
    </w:p>
    <w:p w14:paraId="58AA9092"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Mandal, D., Ghosh, P. K., Das, T. K., &amp; Dey, P. (2025). Integrated strategies for effective weed management and improved yield of maize. </w:t>
      </w:r>
      <w:r w:rsidRPr="009E55C7">
        <w:rPr>
          <w:rFonts w:ascii="Arial" w:hAnsi="Arial" w:cs="Arial"/>
          <w:i/>
          <w:iCs/>
        </w:rPr>
        <w:t>Indian Journal of Weed Science</w:t>
      </w:r>
      <w:r w:rsidRPr="009E55C7">
        <w:rPr>
          <w:rFonts w:ascii="Arial" w:hAnsi="Arial" w:cs="Arial"/>
        </w:rPr>
        <w:t>, 57(4), 471–474.</w:t>
      </w:r>
    </w:p>
    <w:p w14:paraId="22790808"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Marimuthu, S., Gunasekaran, M., </w:t>
      </w:r>
      <w:proofErr w:type="spellStart"/>
      <w:r w:rsidRPr="009E55C7">
        <w:rPr>
          <w:rFonts w:ascii="Arial" w:hAnsi="Arial" w:cs="Arial"/>
        </w:rPr>
        <w:t>Parimaladevi</w:t>
      </w:r>
      <w:proofErr w:type="spellEnd"/>
      <w:r w:rsidRPr="009E55C7">
        <w:rPr>
          <w:rFonts w:ascii="Arial" w:hAnsi="Arial" w:cs="Arial"/>
        </w:rPr>
        <w:t xml:space="preserve">, R., Subrahmaniyan, K., Byrareddy, V. M., Mushtaq, S., &amp; Dhanalakshmi, A. (2024). Effective weed control through post-emergence herbicides to enhance </w:t>
      </w:r>
      <w:proofErr w:type="spellStart"/>
      <w:r w:rsidRPr="009E55C7">
        <w:rPr>
          <w:rFonts w:ascii="Arial" w:hAnsi="Arial" w:cs="Arial"/>
        </w:rPr>
        <w:t>blackgram</w:t>
      </w:r>
      <w:proofErr w:type="spellEnd"/>
      <w:r w:rsidRPr="009E55C7">
        <w:rPr>
          <w:rFonts w:ascii="Arial" w:hAnsi="Arial" w:cs="Arial"/>
        </w:rPr>
        <w:t xml:space="preserve"> (Vigna mungo L.) productivity in South India. </w:t>
      </w:r>
      <w:r w:rsidRPr="009E55C7">
        <w:rPr>
          <w:rFonts w:ascii="Arial" w:hAnsi="Arial" w:cs="Arial"/>
          <w:i/>
          <w:iCs/>
        </w:rPr>
        <w:t>Scientific reports</w:t>
      </w:r>
      <w:r w:rsidRPr="009E55C7">
        <w:rPr>
          <w:rFonts w:ascii="Arial" w:hAnsi="Arial" w:cs="Arial"/>
        </w:rPr>
        <w:t>, 14(1), 26468.</w:t>
      </w:r>
    </w:p>
    <w:p w14:paraId="1835F054"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Mendes, K. F., Mielke, K. C., La Cruz, R. A. D., Alberto da Silva, A., Ferreira, E. A., &amp; Vargas, L. (2022). Evolution of weed resistance to herbicides. In </w:t>
      </w:r>
      <w:r w:rsidRPr="009E55C7">
        <w:rPr>
          <w:rFonts w:ascii="Arial" w:hAnsi="Arial" w:cs="Arial"/>
          <w:i/>
          <w:iCs/>
        </w:rPr>
        <w:t>Applied weed and herbicide science</w:t>
      </w:r>
      <w:r w:rsidRPr="009E55C7">
        <w:rPr>
          <w:rFonts w:ascii="Arial" w:hAnsi="Arial" w:cs="Arial"/>
        </w:rPr>
        <w:t> (pp. 207-253). Springer.</w:t>
      </w:r>
    </w:p>
    <w:p w14:paraId="68517CB0" w14:textId="77777777" w:rsidR="00F76FF0" w:rsidRPr="009E55C7" w:rsidRDefault="00F76FF0" w:rsidP="00016663">
      <w:pPr>
        <w:pStyle w:val="Body"/>
        <w:spacing w:after="0"/>
        <w:ind w:left="709" w:hanging="709"/>
        <w:rPr>
          <w:rFonts w:ascii="Arial" w:hAnsi="Arial" w:cs="Arial"/>
        </w:rPr>
      </w:pPr>
      <w:proofErr w:type="spellStart"/>
      <w:r w:rsidRPr="009E55C7">
        <w:rPr>
          <w:rFonts w:ascii="Arial" w:hAnsi="Arial" w:cs="Arial"/>
        </w:rPr>
        <w:t>Mesnage</w:t>
      </w:r>
      <w:proofErr w:type="spellEnd"/>
      <w:r w:rsidRPr="009E55C7">
        <w:rPr>
          <w:rFonts w:ascii="Arial" w:hAnsi="Arial" w:cs="Arial"/>
        </w:rPr>
        <w:t xml:space="preserve">, R., </w:t>
      </w:r>
      <w:proofErr w:type="spellStart"/>
      <w:r w:rsidRPr="009E55C7">
        <w:rPr>
          <w:rFonts w:ascii="Arial" w:hAnsi="Arial" w:cs="Arial"/>
        </w:rPr>
        <w:t>Székács</w:t>
      </w:r>
      <w:proofErr w:type="spellEnd"/>
      <w:r w:rsidRPr="009E55C7">
        <w:rPr>
          <w:rFonts w:ascii="Arial" w:hAnsi="Arial" w:cs="Arial"/>
        </w:rPr>
        <w:t xml:space="preserve">, A., &amp; Zaller, J. G. (2021). Herbicides: Brief history, agricultural use, and potential alternatives for weed control. </w:t>
      </w:r>
      <w:r w:rsidRPr="009E55C7">
        <w:rPr>
          <w:rFonts w:ascii="Arial" w:hAnsi="Arial" w:cs="Arial"/>
          <w:i/>
          <w:iCs/>
        </w:rPr>
        <w:t>Herbicides</w:t>
      </w:r>
      <w:r w:rsidRPr="009E55C7">
        <w:rPr>
          <w:rFonts w:ascii="Arial" w:hAnsi="Arial" w:cs="Arial"/>
        </w:rPr>
        <w:t> (pp. 1-20). Elsevier.</w:t>
      </w:r>
    </w:p>
    <w:p w14:paraId="1929524B"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Mishra JS and Choudhary VK. 2025. Weed management: Emerging challenges and management strategies. </w:t>
      </w:r>
      <w:r w:rsidRPr="009E55C7">
        <w:rPr>
          <w:rFonts w:ascii="Arial" w:hAnsi="Arial" w:cs="Arial"/>
          <w:i/>
          <w:iCs/>
        </w:rPr>
        <w:t>Indian Journal of Plant Protection</w:t>
      </w:r>
      <w:r w:rsidRPr="009E55C7">
        <w:rPr>
          <w:rFonts w:ascii="Arial" w:hAnsi="Arial" w:cs="Arial"/>
        </w:rPr>
        <w:t xml:space="preserve"> 52: 57-64.</w:t>
      </w:r>
    </w:p>
    <w:p w14:paraId="6146BF5E" w14:textId="77777777" w:rsidR="00F76FF0" w:rsidRPr="009E55C7" w:rsidRDefault="00F76FF0" w:rsidP="00016663">
      <w:pPr>
        <w:pStyle w:val="Body"/>
        <w:spacing w:after="0"/>
        <w:ind w:left="709" w:hanging="709"/>
        <w:rPr>
          <w:rFonts w:ascii="Arial" w:hAnsi="Arial" w:cs="Arial"/>
        </w:rPr>
      </w:pPr>
      <w:bookmarkStart w:id="6" w:name="_Hlk222484962"/>
      <w:proofErr w:type="spellStart"/>
      <w:r w:rsidRPr="009E55C7">
        <w:rPr>
          <w:rFonts w:ascii="Arial" w:hAnsi="Arial" w:cs="Arial"/>
        </w:rPr>
        <w:t>Mucheri</w:t>
      </w:r>
      <w:bookmarkEnd w:id="6"/>
      <w:proofErr w:type="spellEnd"/>
      <w:r w:rsidRPr="009E55C7">
        <w:rPr>
          <w:rFonts w:ascii="Arial" w:hAnsi="Arial" w:cs="Arial"/>
        </w:rPr>
        <w:t>, T., Rugare, J. T., &amp; Bajwa, A. A. (2024). Mechanistic understanding and sustainable management of non-target site herbicide resistance in modern day agriculture. </w:t>
      </w:r>
      <w:r w:rsidRPr="009E55C7">
        <w:rPr>
          <w:rFonts w:ascii="Arial" w:hAnsi="Arial" w:cs="Arial"/>
          <w:i/>
          <w:iCs/>
        </w:rPr>
        <w:t>Advances in Weed Science</w:t>
      </w:r>
      <w:r w:rsidRPr="009E55C7">
        <w:rPr>
          <w:rFonts w:ascii="Arial" w:hAnsi="Arial" w:cs="Arial"/>
        </w:rPr>
        <w:t>, 42, e020240056.</w:t>
      </w:r>
    </w:p>
    <w:p w14:paraId="722854DC"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Nalin, Daniel, Gustavo </w:t>
      </w:r>
      <w:proofErr w:type="spellStart"/>
      <w:r w:rsidRPr="009E55C7">
        <w:rPr>
          <w:rFonts w:ascii="Arial" w:hAnsi="Arial" w:cs="Arial"/>
        </w:rPr>
        <w:t>Vinicos</w:t>
      </w:r>
      <w:proofErr w:type="spellEnd"/>
      <w:r w:rsidRPr="009E55C7">
        <w:rPr>
          <w:rFonts w:ascii="Arial" w:hAnsi="Arial" w:cs="Arial"/>
        </w:rPr>
        <w:t xml:space="preserve"> </w:t>
      </w:r>
      <w:proofErr w:type="spellStart"/>
      <w:r w:rsidRPr="009E55C7">
        <w:rPr>
          <w:rFonts w:ascii="Arial" w:hAnsi="Arial" w:cs="Arial"/>
        </w:rPr>
        <w:t>Munhoz</w:t>
      </w:r>
      <w:proofErr w:type="spellEnd"/>
      <w:r w:rsidRPr="009E55C7">
        <w:rPr>
          <w:rFonts w:ascii="Arial" w:hAnsi="Arial" w:cs="Arial"/>
        </w:rPr>
        <w:t>-Garcia, Ana Paula Werkhausen Witter, Vanessa Takeshita, Claudia de Oliveira, Fernando Storniolo Adegas, Valdemar Luiz Tornisielo, Rubem Silvério de Oliveira Junior, and Jamil Constantin. (2023). Absorption, translocation, and metabolism of glyphosate and imazethapyr in smooth pigweed with multiple resistance. </w:t>
      </w:r>
      <w:r w:rsidRPr="009E55C7">
        <w:rPr>
          <w:rFonts w:ascii="Arial" w:hAnsi="Arial" w:cs="Arial"/>
          <w:i/>
          <w:iCs/>
        </w:rPr>
        <w:t>Agronomy</w:t>
      </w:r>
      <w:r w:rsidRPr="009E55C7">
        <w:rPr>
          <w:rFonts w:ascii="Arial" w:hAnsi="Arial" w:cs="Arial"/>
        </w:rPr>
        <w:t>, 13(7), 1720.</w:t>
      </w:r>
    </w:p>
    <w:p w14:paraId="104C625A"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Nath, C. P., Singh, R. G., Choudhary, V. K., Datta, D., Nandan, R., &amp; Singh, S. S. (2024). Challenges and alternatives of herbicide-based weed management. </w:t>
      </w:r>
      <w:r w:rsidRPr="009E55C7">
        <w:rPr>
          <w:rFonts w:ascii="Arial" w:hAnsi="Arial" w:cs="Arial"/>
          <w:i/>
          <w:iCs/>
        </w:rPr>
        <w:t>Agronomy</w:t>
      </w:r>
      <w:r w:rsidRPr="009E55C7">
        <w:rPr>
          <w:rFonts w:ascii="Arial" w:hAnsi="Arial" w:cs="Arial"/>
        </w:rPr>
        <w:t>, 14(1), 126.</w:t>
      </w:r>
    </w:p>
    <w:p w14:paraId="5D65D5DC"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Neto, F. S. (2025). Cultural techniques to control weeds in Conservation Agriculture systems. In </w:t>
      </w:r>
      <w:r w:rsidRPr="009E55C7">
        <w:rPr>
          <w:rFonts w:ascii="Arial" w:hAnsi="Arial" w:cs="Arial"/>
          <w:i/>
          <w:iCs/>
        </w:rPr>
        <w:t>Weed management in Conservation Agriculture systems</w:t>
      </w:r>
      <w:r w:rsidRPr="009E55C7">
        <w:rPr>
          <w:rFonts w:ascii="Arial" w:hAnsi="Arial" w:cs="Arial"/>
        </w:rPr>
        <w:t xml:space="preserve"> (pp. 83-108). Burleigh Dodds Science Publishing, Cambridge, UK. </w:t>
      </w:r>
    </w:p>
    <w:p w14:paraId="26CA377C"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lastRenderedPageBreak/>
        <w:t>Ofosu, R., Agyemang, E. D., Márton, A., Pásztor, G., Taller, J., &amp; Kazinczi, G. (2023). Herbicide resistance: managing weeds in a changing world. </w:t>
      </w:r>
      <w:r w:rsidRPr="009E55C7">
        <w:rPr>
          <w:rFonts w:ascii="Arial" w:hAnsi="Arial" w:cs="Arial"/>
          <w:i/>
          <w:iCs/>
        </w:rPr>
        <w:t>Agronomy</w:t>
      </w:r>
      <w:r w:rsidRPr="009E55C7">
        <w:rPr>
          <w:rFonts w:ascii="Arial" w:hAnsi="Arial" w:cs="Arial"/>
        </w:rPr>
        <w:t>, 13(6), 1595.</w:t>
      </w:r>
    </w:p>
    <w:p w14:paraId="36BF4C5D"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Parven, A., </w:t>
      </w:r>
      <w:proofErr w:type="spellStart"/>
      <w:r w:rsidRPr="009E55C7">
        <w:rPr>
          <w:rFonts w:ascii="Arial" w:hAnsi="Arial" w:cs="Arial"/>
        </w:rPr>
        <w:t>Meftaul</w:t>
      </w:r>
      <w:proofErr w:type="spellEnd"/>
      <w:r w:rsidRPr="009E55C7">
        <w:rPr>
          <w:rFonts w:ascii="Arial" w:hAnsi="Arial" w:cs="Arial"/>
        </w:rPr>
        <w:t xml:space="preserve">, I. M., </w:t>
      </w:r>
      <w:proofErr w:type="spellStart"/>
      <w:r w:rsidRPr="009E55C7">
        <w:rPr>
          <w:rFonts w:ascii="Arial" w:hAnsi="Arial" w:cs="Arial"/>
        </w:rPr>
        <w:t>Venkateswarlu</w:t>
      </w:r>
      <w:proofErr w:type="spellEnd"/>
      <w:r w:rsidRPr="009E55C7">
        <w:rPr>
          <w:rFonts w:ascii="Arial" w:hAnsi="Arial" w:cs="Arial"/>
        </w:rPr>
        <w:t xml:space="preserve">, K., &amp; </w:t>
      </w:r>
      <w:proofErr w:type="spellStart"/>
      <w:r w:rsidRPr="009E55C7">
        <w:rPr>
          <w:rFonts w:ascii="Arial" w:hAnsi="Arial" w:cs="Arial"/>
        </w:rPr>
        <w:t>Megharaj</w:t>
      </w:r>
      <w:proofErr w:type="spellEnd"/>
      <w:r w:rsidRPr="009E55C7">
        <w:rPr>
          <w:rFonts w:ascii="Arial" w:hAnsi="Arial" w:cs="Arial"/>
        </w:rPr>
        <w:t>, M. (2025). Herbicides in modern sustainable agriculture: environmental fate, ecological implications, and human health concerns. </w:t>
      </w:r>
      <w:r w:rsidRPr="009E55C7">
        <w:rPr>
          <w:rFonts w:ascii="Arial" w:hAnsi="Arial" w:cs="Arial"/>
          <w:i/>
          <w:iCs/>
        </w:rPr>
        <w:t>International Journal of Environmental Science and Technology</w:t>
      </w:r>
      <w:r w:rsidRPr="009E55C7">
        <w:rPr>
          <w:rFonts w:ascii="Arial" w:hAnsi="Arial" w:cs="Arial"/>
        </w:rPr>
        <w:t>, 22(2), 1181-1202.</w:t>
      </w:r>
    </w:p>
    <w:p w14:paraId="63E16E17"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Pedroso, R. M., &amp; Moretti, M. L. (2025). Weed resistance to herbicides and genetically engineered, herbicide-resistant soybeans as a tool for weed control: past, present, and future of adoption. In </w:t>
      </w:r>
      <w:r w:rsidRPr="009E55C7">
        <w:rPr>
          <w:rFonts w:ascii="Arial" w:hAnsi="Arial" w:cs="Arial"/>
          <w:i/>
          <w:iCs/>
        </w:rPr>
        <w:t>Soybean Production Technology: Crop Pests and Diseases</w:t>
      </w:r>
      <w:r w:rsidRPr="009E55C7">
        <w:rPr>
          <w:rFonts w:ascii="Arial" w:hAnsi="Arial" w:cs="Arial"/>
        </w:rPr>
        <w:t> (pp. 327-351). Singapore: Springer Nature Singapore.</w:t>
      </w:r>
    </w:p>
    <w:p w14:paraId="5A494E2F"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Peterson, M. A., </w:t>
      </w:r>
      <w:proofErr w:type="spellStart"/>
      <w:r w:rsidRPr="009E55C7">
        <w:rPr>
          <w:rFonts w:ascii="Arial" w:hAnsi="Arial" w:cs="Arial"/>
        </w:rPr>
        <w:t>Collavo</w:t>
      </w:r>
      <w:proofErr w:type="spellEnd"/>
      <w:r w:rsidRPr="009E55C7">
        <w:rPr>
          <w:rFonts w:ascii="Arial" w:hAnsi="Arial" w:cs="Arial"/>
        </w:rPr>
        <w:t xml:space="preserve">, A., Ovejero, R., </w:t>
      </w:r>
      <w:proofErr w:type="spellStart"/>
      <w:r w:rsidRPr="009E55C7">
        <w:rPr>
          <w:rFonts w:ascii="Arial" w:hAnsi="Arial" w:cs="Arial"/>
        </w:rPr>
        <w:t>Shivrain</w:t>
      </w:r>
      <w:proofErr w:type="spellEnd"/>
      <w:r w:rsidRPr="009E55C7">
        <w:rPr>
          <w:rFonts w:ascii="Arial" w:hAnsi="Arial" w:cs="Arial"/>
        </w:rPr>
        <w:t>, V., &amp; Walsh, M. J. (2018). The challenge of herbicide resistance around the world: a current summary. </w:t>
      </w:r>
      <w:r w:rsidRPr="009E55C7">
        <w:rPr>
          <w:rFonts w:ascii="Arial" w:hAnsi="Arial" w:cs="Arial"/>
          <w:i/>
          <w:iCs/>
        </w:rPr>
        <w:t>Pest management science</w:t>
      </w:r>
      <w:r w:rsidRPr="009E55C7">
        <w:rPr>
          <w:rFonts w:ascii="Arial" w:hAnsi="Arial" w:cs="Arial"/>
        </w:rPr>
        <w:t>, 74(10), 2246-2259.</w:t>
      </w:r>
    </w:p>
    <w:p w14:paraId="49493525"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Rahul, Meena, B. R., &amp; </w:t>
      </w:r>
      <w:proofErr w:type="spellStart"/>
      <w:r w:rsidRPr="009E55C7">
        <w:rPr>
          <w:rFonts w:ascii="Arial" w:hAnsi="Arial" w:cs="Arial"/>
        </w:rPr>
        <w:t>Jeetarwal</w:t>
      </w:r>
      <w:proofErr w:type="spellEnd"/>
      <w:r w:rsidRPr="009E55C7">
        <w:rPr>
          <w:rFonts w:ascii="Arial" w:hAnsi="Arial" w:cs="Arial"/>
        </w:rPr>
        <w:t xml:space="preserve">, V. (2025). Weed control methods affect weed dynamics, productivity and economics of </w:t>
      </w:r>
      <w:proofErr w:type="spellStart"/>
      <w:r w:rsidRPr="009E55C7">
        <w:rPr>
          <w:rFonts w:ascii="Arial" w:hAnsi="Arial" w:cs="Arial"/>
        </w:rPr>
        <w:t>clusterbean</w:t>
      </w:r>
      <w:proofErr w:type="spellEnd"/>
      <w:r w:rsidRPr="009E55C7">
        <w:rPr>
          <w:rFonts w:ascii="Arial" w:hAnsi="Arial" w:cs="Arial"/>
        </w:rPr>
        <w:t xml:space="preserve"> [</w:t>
      </w:r>
      <w:proofErr w:type="spellStart"/>
      <w:r w:rsidRPr="009E55C7">
        <w:rPr>
          <w:rFonts w:ascii="Arial" w:hAnsi="Arial" w:cs="Arial"/>
          <w:i/>
          <w:iCs/>
        </w:rPr>
        <w:t>Cyamopsis</w:t>
      </w:r>
      <w:proofErr w:type="spellEnd"/>
      <w:r w:rsidRPr="009E55C7">
        <w:rPr>
          <w:rFonts w:ascii="Arial" w:hAnsi="Arial" w:cs="Arial"/>
          <w:i/>
          <w:iCs/>
        </w:rPr>
        <w:t xml:space="preserve"> </w:t>
      </w:r>
      <w:proofErr w:type="spellStart"/>
      <w:r w:rsidRPr="009E55C7">
        <w:rPr>
          <w:rFonts w:ascii="Arial" w:hAnsi="Arial" w:cs="Arial"/>
          <w:i/>
          <w:iCs/>
        </w:rPr>
        <w:t>tetragonoloba</w:t>
      </w:r>
      <w:proofErr w:type="spellEnd"/>
      <w:r w:rsidRPr="009E55C7">
        <w:rPr>
          <w:rFonts w:ascii="Arial" w:hAnsi="Arial" w:cs="Arial"/>
        </w:rPr>
        <w:t xml:space="preserve"> (L.) Taub.]. </w:t>
      </w:r>
      <w:r w:rsidRPr="009E55C7">
        <w:rPr>
          <w:rFonts w:ascii="Arial" w:hAnsi="Arial" w:cs="Arial"/>
          <w:i/>
          <w:iCs/>
        </w:rPr>
        <w:t>Annals of Agriculture Research</w:t>
      </w:r>
      <w:r w:rsidRPr="009E55C7">
        <w:rPr>
          <w:rFonts w:ascii="Arial" w:hAnsi="Arial" w:cs="Arial"/>
        </w:rPr>
        <w:t>, 46(1):65-70.</w:t>
      </w:r>
    </w:p>
    <w:p w14:paraId="18889EA4"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Riechers, D.E., Soltani, N., Chauhan, B.S., Concepcion, J.C.T., Geddes, C.M., </w:t>
      </w:r>
      <w:proofErr w:type="spellStart"/>
      <w:r w:rsidRPr="009E55C7">
        <w:rPr>
          <w:rFonts w:ascii="Arial" w:hAnsi="Arial" w:cs="Arial"/>
        </w:rPr>
        <w:t>Jugulam</w:t>
      </w:r>
      <w:proofErr w:type="spellEnd"/>
      <w:r w:rsidRPr="009E55C7">
        <w:rPr>
          <w:rFonts w:ascii="Arial" w:hAnsi="Arial" w:cs="Arial"/>
        </w:rPr>
        <w:t xml:space="preserve">, M., </w:t>
      </w:r>
      <w:proofErr w:type="spellStart"/>
      <w:r w:rsidRPr="009E55C7">
        <w:rPr>
          <w:rFonts w:ascii="Arial" w:hAnsi="Arial" w:cs="Arial"/>
        </w:rPr>
        <w:t>Kaundun</w:t>
      </w:r>
      <w:proofErr w:type="spellEnd"/>
      <w:r w:rsidRPr="009E55C7">
        <w:rPr>
          <w:rFonts w:ascii="Arial" w:hAnsi="Arial" w:cs="Arial"/>
        </w:rPr>
        <w:t>, S.S., Preston, C., Wuerrfel, R.J. and Sikkema, P.H. (2024). Herbicide resistance is complex: a global review of cross-resistance in weeds within herbicide groups. </w:t>
      </w:r>
      <w:r w:rsidRPr="009E55C7">
        <w:rPr>
          <w:rFonts w:ascii="Arial" w:hAnsi="Arial" w:cs="Arial"/>
          <w:i/>
          <w:iCs/>
        </w:rPr>
        <w:t>Weed Science</w:t>
      </w:r>
      <w:r w:rsidRPr="009E55C7">
        <w:rPr>
          <w:rFonts w:ascii="Arial" w:hAnsi="Arial" w:cs="Arial"/>
        </w:rPr>
        <w:t>, 72(5), 465-486.</w:t>
      </w:r>
    </w:p>
    <w:p w14:paraId="4C3AB705"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Riechers, Dean E., Nader Soltani, Bhagirath Singh Chauhan, </w:t>
      </w:r>
      <w:proofErr w:type="spellStart"/>
      <w:r w:rsidRPr="009E55C7">
        <w:rPr>
          <w:rFonts w:ascii="Arial" w:hAnsi="Arial" w:cs="Arial"/>
        </w:rPr>
        <w:t>Jeanaflor</w:t>
      </w:r>
      <w:proofErr w:type="spellEnd"/>
      <w:r w:rsidRPr="009E55C7">
        <w:rPr>
          <w:rFonts w:ascii="Arial" w:hAnsi="Arial" w:cs="Arial"/>
        </w:rPr>
        <w:t xml:space="preserve"> Crystal T. Concepcion, Charles M. Geddes, Mithila Jugulam, Shiv S. </w:t>
      </w:r>
      <w:proofErr w:type="spellStart"/>
      <w:r w:rsidRPr="009E55C7">
        <w:rPr>
          <w:rFonts w:ascii="Arial" w:hAnsi="Arial" w:cs="Arial"/>
        </w:rPr>
        <w:t>Kaundun</w:t>
      </w:r>
      <w:proofErr w:type="spellEnd"/>
      <w:r w:rsidRPr="009E55C7">
        <w:rPr>
          <w:rFonts w:ascii="Arial" w:hAnsi="Arial" w:cs="Arial"/>
        </w:rPr>
        <w:t>, Christopher Preston, R. Joseph Wuerrfel, and Peter H. Sikkema. (2024). Herbicide resistance is complex: a global review of cross-resistance in weeds within herbicide groups. </w:t>
      </w:r>
      <w:r w:rsidRPr="009E55C7">
        <w:rPr>
          <w:rFonts w:ascii="Arial" w:hAnsi="Arial" w:cs="Arial"/>
          <w:i/>
          <w:iCs/>
        </w:rPr>
        <w:t>Weed Science</w:t>
      </w:r>
      <w:r w:rsidRPr="009E55C7">
        <w:rPr>
          <w:rFonts w:ascii="Arial" w:hAnsi="Arial" w:cs="Arial"/>
        </w:rPr>
        <w:t>, 72(5), 465-486.</w:t>
      </w:r>
    </w:p>
    <w:p w14:paraId="038C1290" w14:textId="77777777" w:rsidR="00F76FF0" w:rsidRPr="009E55C7" w:rsidRDefault="00F76FF0" w:rsidP="00016663">
      <w:pPr>
        <w:pStyle w:val="Body"/>
        <w:spacing w:after="0"/>
        <w:ind w:left="709" w:hanging="709"/>
        <w:rPr>
          <w:rFonts w:ascii="Arial" w:hAnsi="Arial" w:cs="Arial"/>
        </w:rPr>
      </w:pPr>
      <w:proofErr w:type="spellStart"/>
      <w:r w:rsidRPr="009E55C7">
        <w:rPr>
          <w:rFonts w:ascii="Arial" w:hAnsi="Arial" w:cs="Arial"/>
        </w:rPr>
        <w:t>Rudell</w:t>
      </w:r>
      <w:proofErr w:type="spellEnd"/>
      <w:r w:rsidRPr="009E55C7">
        <w:rPr>
          <w:rFonts w:ascii="Arial" w:hAnsi="Arial" w:cs="Arial"/>
        </w:rPr>
        <w:t xml:space="preserve">, E.C., </w:t>
      </w:r>
      <w:proofErr w:type="spellStart"/>
      <w:r w:rsidRPr="009E55C7">
        <w:rPr>
          <w:rFonts w:ascii="Arial" w:hAnsi="Arial" w:cs="Arial"/>
        </w:rPr>
        <w:t>Zanrosso</w:t>
      </w:r>
      <w:proofErr w:type="spellEnd"/>
      <w:r w:rsidRPr="009E55C7">
        <w:rPr>
          <w:rFonts w:ascii="Arial" w:hAnsi="Arial" w:cs="Arial"/>
        </w:rPr>
        <w:t xml:space="preserve">, B.A., </w:t>
      </w:r>
      <w:proofErr w:type="spellStart"/>
      <w:r w:rsidRPr="009E55C7">
        <w:rPr>
          <w:rFonts w:ascii="Arial" w:hAnsi="Arial" w:cs="Arial"/>
        </w:rPr>
        <w:t>Frandaloso</w:t>
      </w:r>
      <w:proofErr w:type="spellEnd"/>
      <w:r w:rsidRPr="009E55C7">
        <w:rPr>
          <w:rFonts w:ascii="Arial" w:hAnsi="Arial" w:cs="Arial"/>
        </w:rPr>
        <w:t xml:space="preserve">, D., Giacomini, A.J., </w:t>
      </w:r>
      <w:proofErr w:type="spellStart"/>
      <w:r w:rsidRPr="009E55C7">
        <w:rPr>
          <w:rFonts w:ascii="Arial" w:hAnsi="Arial" w:cs="Arial"/>
        </w:rPr>
        <w:t>Spadotto</w:t>
      </w:r>
      <w:proofErr w:type="spellEnd"/>
      <w:r w:rsidRPr="009E55C7">
        <w:rPr>
          <w:rFonts w:ascii="Arial" w:hAnsi="Arial" w:cs="Arial"/>
        </w:rPr>
        <w:t>, D.V., Vargas, L., Nunes, A.L. and Santos, F.M. (2023). Integrated weed management strategies in a long-term crop rotation system. </w:t>
      </w:r>
      <w:r w:rsidRPr="009E55C7">
        <w:rPr>
          <w:rFonts w:ascii="Arial" w:hAnsi="Arial" w:cs="Arial"/>
          <w:i/>
          <w:iCs/>
        </w:rPr>
        <w:t>Advances in Weed Science</w:t>
      </w:r>
      <w:r w:rsidRPr="009E55C7">
        <w:rPr>
          <w:rFonts w:ascii="Arial" w:hAnsi="Arial" w:cs="Arial"/>
        </w:rPr>
        <w:t>, 41, e020220053.</w:t>
      </w:r>
    </w:p>
    <w:p w14:paraId="2FB0C653" w14:textId="77777777" w:rsidR="00F76FF0" w:rsidRPr="009E55C7" w:rsidRDefault="00F76FF0" w:rsidP="00016663">
      <w:pPr>
        <w:pStyle w:val="Body"/>
        <w:spacing w:after="0"/>
        <w:ind w:left="709" w:hanging="709"/>
        <w:rPr>
          <w:rFonts w:ascii="Arial" w:hAnsi="Arial" w:cs="Arial"/>
        </w:rPr>
      </w:pPr>
      <w:proofErr w:type="spellStart"/>
      <w:r w:rsidRPr="009E55C7">
        <w:rPr>
          <w:rFonts w:ascii="Arial" w:hAnsi="Arial" w:cs="Arial"/>
        </w:rPr>
        <w:t>Saulic</w:t>
      </w:r>
      <w:proofErr w:type="spellEnd"/>
      <w:r w:rsidRPr="009E55C7">
        <w:rPr>
          <w:rFonts w:ascii="Arial" w:hAnsi="Arial" w:cs="Arial"/>
        </w:rPr>
        <w:t xml:space="preserve">, M., Oveisi, M., Djalovic, I., Bozic, D., </w:t>
      </w:r>
      <w:proofErr w:type="spellStart"/>
      <w:r w:rsidRPr="009E55C7">
        <w:rPr>
          <w:rFonts w:ascii="Arial" w:hAnsi="Arial" w:cs="Arial"/>
        </w:rPr>
        <w:t>Pishyar</w:t>
      </w:r>
      <w:proofErr w:type="spellEnd"/>
      <w:r w:rsidRPr="009E55C7">
        <w:rPr>
          <w:rFonts w:ascii="Arial" w:hAnsi="Arial" w:cs="Arial"/>
        </w:rPr>
        <w:t xml:space="preserve">, A., Savić, A., Prasad, P.V. and </w:t>
      </w:r>
      <w:proofErr w:type="spellStart"/>
      <w:r w:rsidRPr="009E55C7">
        <w:rPr>
          <w:rFonts w:ascii="Arial" w:hAnsi="Arial" w:cs="Arial"/>
        </w:rPr>
        <w:t>Vrbničanin</w:t>
      </w:r>
      <w:proofErr w:type="spellEnd"/>
      <w:r w:rsidRPr="009E55C7">
        <w:rPr>
          <w:rFonts w:ascii="Arial" w:hAnsi="Arial" w:cs="Arial"/>
        </w:rPr>
        <w:t>, S. (2022). How do long term crop rotations influence weed populations: exploring the impacts of more than 50 Years of crop management in Serbia. </w:t>
      </w:r>
      <w:r w:rsidRPr="009E55C7">
        <w:rPr>
          <w:rFonts w:ascii="Arial" w:hAnsi="Arial" w:cs="Arial"/>
          <w:i/>
          <w:iCs/>
        </w:rPr>
        <w:t>Agronomy</w:t>
      </w:r>
      <w:r w:rsidRPr="009E55C7">
        <w:rPr>
          <w:rFonts w:ascii="Arial" w:hAnsi="Arial" w:cs="Arial"/>
        </w:rPr>
        <w:t>, 12(8), 1772.</w:t>
      </w:r>
    </w:p>
    <w:p w14:paraId="2BB537D8"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Sharpe, S. M., &amp; Novak, T. (2024). Sublethal dosing exposure risk of kochia (Bassia scoparia (L.) AJ Scott) to </w:t>
      </w:r>
      <w:proofErr w:type="spellStart"/>
      <w:r w:rsidRPr="009E55C7">
        <w:rPr>
          <w:rFonts w:ascii="Arial" w:hAnsi="Arial" w:cs="Arial"/>
        </w:rPr>
        <w:t>carfentrazone</w:t>
      </w:r>
      <w:proofErr w:type="spellEnd"/>
      <w:r w:rsidRPr="009E55C7">
        <w:rPr>
          <w:rFonts w:ascii="Arial" w:hAnsi="Arial" w:cs="Arial"/>
        </w:rPr>
        <w:t>-ethyl. </w:t>
      </w:r>
      <w:r w:rsidRPr="009E55C7">
        <w:rPr>
          <w:rFonts w:ascii="Arial" w:hAnsi="Arial" w:cs="Arial"/>
          <w:i/>
          <w:iCs/>
        </w:rPr>
        <w:t>Canadian Journal of Plant Science</w:t>
      </w:r>
      <w:r w:rsidRPr="009E55C7">
        <w:rPr>
          <w:rFonts w:ascii="Arial" w:hAnsi="Arial" w:cs="Arial"/>
        </w:rPr>
        <w:t>, 104(6), 555-562.</w:t>
      </w:r>
    </w:p>
    <w:p w14:paraId="622C1D34"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Singh, T., Choudhary, A., Dhanda, S., &amp; Kaur, S. (2024). Integrated weed management is the key to delay the evolution of herbicide resistance in weeds under conservation tillage–Insights. </w:t>
      </w:r>
      <w:r w:rsidRPr="009E55C7">
        <w:rPr>
          <w:rFonts w:ascii="Arial" w:hAnsi="Arial" w:cs="Arial"/>
          <w:i/>
          <w:iCs/>
        </w:rPr>
        <w:t>Indian Journal of Weed Science</w:t>
      </w:r>
      <w:r w:rsidRPr="009E55C7">
        <w:rPr>
          <w:rFonts w:ascii="Arial" w:hAnsi="Arial" w:cs="Arial"/>
        </w:rPr>
        <w:t>, 56(3), 223-229.</w:t>
      </w:r>
    </w:p>
    <w:p w14:paraId="51693585"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Soltani, N., Shropshire, C., &amp; Sikkema, P. H. (2023). Integrated weed management strategies for the depletion of multiple herbicide-resistant </w:t>
      </w:r>
      <w:proofErr w:type="spellStart"/>
      <w:r w:rsidRPr="009E55C7">
        <w:rPr>
          <w:rFonts w:ascii="Arial" w:hAnsi="Arial" w:cs="Arial"/>
        </w:rPr>
        <w:t>waterhemp</w:t>
      </w:r>
      <w:proofErr w:type="spellEnd"/>
      <w:r w:rsidRPr="009E55C7">
        <w:rPr>
          <w:rFonts w:ascii="Arial" w:hAnsi="Arial" w:cs="Arial"/>
        </w:rPr>
        <w:t xml:space="preserve"> (Amaranthus </w:t>
      </w:r>
      <w:proofErr w:type="spellStart"/>
      <w:r w:rsidRPr="009E55C7">
        <w:rPr>
          <w:rFonts w:ascii="Arial" w:hAnsi="Arial" w:cs="Arial"/>
        </w:rPr>
        <w:t>tuberculatus</w:t>
      </w:r>
      <w:proofErr w:type="spellEnd"/>
      <w:r w:rsidRPr="009E55C7">
        <w:rPr>
          <w:rFonts w:ascii="Arial" w:hAnsi="Arial" w:cs="Arial"/>
        </w:rPr>
        <w:t>) seed in the soil seedbank. </w:t>
      </w:r>
      <w:r w:rsidRPr="009E55C7">
        <w:rPr>
          <w:rFonts w:ascii="Arial" w:hAnsi="Arial" w:cs="Arial"/>
          <w:i/>
          <w:iCs/>
        </w:rPr>
        <w:t>Weed Technology</w:t>
      </w:r>
      <w:r w:rsidRPr="009E55C7">
        <w:rPr>
          <w:rFonts w:ascii="Arial" w:hAnsi="Arial" w:cs="Arial"/>
        </w:rPr>
        <w:t>, 37(1), 108-112.</w:t>
      </w:r>
    </w:p>
    <w:p w14:paraId="4C372328"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Soni, N., Westra, E.P., Allegretta, G., Araujo, A.L., de Pinho, C.F., Morran, S., Lerchl, J., Dayan, F.E., Westra, P. and Gaines, T.A. 2022. Survey of </w:t>
      </w:r>
      <w:proofErr w:type="spellStart"/>
      <w:r w:rsidRPr="009E55C7">
        <w:rPr>
          <w:rFonts w:ascii="Arial" w:hAnsi="Arial" w:cs="Arial"/>
        </w:rPr>
        <w:t>ACCase</w:t>
      </w:r>
      <w:proofErr w:type="spellEnd"/>
      <w:r w:rsidRPr="009E55C7">
        <w:rPr>
          <w:rFonts w:ascii="Arial" w:hAnsi="Arial" w:cs="Arial"/>
        </w:rPr>
        <w:t xml:space="preserve"> and ALS resistance in winter annual grasses identifies target</w:t>
      </w:r>
      <w:r w:rsidRPr="009E55C7">
        <w:rPr>
          <w:rFonts w:ascii="Cambria Math" w:hAnsi="Cambria Math" w:cs="Cambria Math"/>
        </w:rPr>
        <w:t>‐</w:t>
      </w:r>
      <w:r w:rsidRPr="009E55C7">
        <w:rPr>
          <w:rFonts w:ascii="Arial" w:hAnsi="Arial" w:cs="Arial"/>
        </w:rPr>
        <w:t>site and nontarget</w:t>
      </w:r>
      <w:r w:rsidRPr="009E55C7">
        <w:rPr>
          <w:rFonts w:ascii="Cambria Math" w:hAnsi="Cambria Math" w:cs="Cambria Math"/>
        </w:rPr>
        <w:t>‐</w:t>
      </w:r>
      <w:r w:rsidRPr="009E55C7">
        <w:rPr>
          <w:rFonts w:ascii="Arial" w:hAnsi="Arial" w:cs="Arial"/>
        </w:rPr>
        <w:t xml:space="preserve">site </w:t>
      </w:r>
      <w:proofErr w:type="spellStart"/>
      <w:r w:rsidRPr="009E55C7">
        <w:rPr>
          <w:rFonts w:ascii="Arial" w:hAnsi="Arial" w:cs="Arial"/>
        </w:rPr>
        <w:t>imazamox</w:t>
      </w:r>
      <w:proofErr w:type="spellEnd"/>
      <w:r w:rsidRPr="009E55C7">
        <w:rPr>
          <w:rFonts w:ascii="Arial" w:hAnsi="Arial" w:cs="Arial"/>
        </w:rPr>
        <w:t xml:space="preserve"> resistance in Secale cereale. </w:t>
      </w:r>
      <w:r w:rsidRPr="009E55C7">
        <w:rPr>
          <w:rFonts w:ascii="Arial" w:hAnsi="Arial" w:cs="Arial"/>
          <w:i/>
          <w:iCs/>
        </w:rPr>
        <w:t>Pest Management Science</w:t>
      </w:r>
      <w:r w:rsidRPr="009E55C7">
        <w:rPr>
          <w:rFonts w:ascii="Arial" w:hAnsi="Arial" w:cs="Arial"/>
        </w:rPr>
        <w:t>, 78(12), 5080-5089.</w:t>
      </w:r>
    </w:p>
    <w:p w14:paraId="7A4C8853"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Tang, L., Song, J., Cui, Y., Fan, H., &amp; Wang, J. (2025). Research progress on a wide and narrow row cropping system for crops. </w:t>
      </w:r>
      <w:r w:rsidRPr="009E55C7">
        <w:rPr>
          <w:rFonts w:ascii="Arial" w:hAnsi="Arial" w:cs="Arial"/>
          <w:i/>
          <w:iCs/>
        </w:rPr>
        <w:t>Agronomy</w:t>
      </w:r>
      <w:r w:rsidRPr="009E55C7">
        <w:rPr>
          <w:rFonts w:ascii="Arial" w:hAnsi="Arial" w:cs="Arial"/>
        </w:rPr>
        <w:t>, 15(1), 248.</w:t>
      </w:r>
    </w:p>
    <w:p w14:paraId="6516CD57"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Tidemann, B.D., Harker, K.N., </w:t>
      </w:r>
      <w:proofErr w:type="spellStart"/>
      <w:r w:rsidRPr="009E55C7">
        <w:rPr>
          <w:rFonts w:ascii="Arial" w:hAnsi="Arial" w:cs="Arial"/>
        </w:rPr>
        <w:t>Shirtliffe</w:t>
      </w:r>
      <w:proofErr w:type="spellEnd"/>
      <w:r w:rsidRPr="009E55C7">
        <w:rPr>
          <w:rFonts w:ascii="Arial" w:hAnsi="Arial" w:cs="Arial"/>
        </w:rPr>
        <w:t xml:space="preserve">, S., Willenborg, C., Johnson, E., Gulden, R., </w:t>
      </w:r>
      <w:proofErr w:type="spellStart"/>
      <w:r w:rsidRPr="009E55C7">
        <w:rPr>
          <w:rFonts w:ascii="Arial" w:hAnsi="Arial" w:cs="Arial"/>
        </w:rPr>
        <w:t>Lupwayi</w:t>
      </w:r>
      <w:proofErr w:type="spellEnd"/>
      <w:r w:rsidRPr="009E55C7">
        <w:rPr>
          <w:rFonts w:ascii="Arial" w:hAnsi="Arial" w:cs="Arial"/>
        </w:rPr>
        <w:t>, N.Z., Turkington, T.K., Stephens, E.C., Blackshaw, R.E. &amp; Geddes, C.M. (2023). Using integrated weed management systems to manage herbicide-resistant weeds in the Canadian Prairies. </w:t>
      </w:r>
      <w:r w:rsidRPr="009E55C7">
        <w:rPr>
          <w:rFonts w:ascii="Arial" w:hAnsi="Arial" w:cs="Arial"/>
          <w:i/>
          <w:iCs/>
        </w:rPr>
        <w:t>Frontiers in Agronomy</w:t>
      </w:r>
      <w:r w:rsidRPr="009E55C7">
        <w:rPr>
          <w:rFonts w:ascii="Arial" w:hAnsi="Arial" w:cs="Arial"/>
        </w:rPr>
        <w:t>, 5, 1304741.</w:t>
      </w:r>
    </w:p>
    <w:p w14:paraId="36D05FBE"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lastRenderedPageBreak/>
        <w:t>Torra, J., Alcántara</w:t>
      </w:r>
      <w:r w:rsidRPr="009E55C7">
        <w:rPr>
          <w:rFonts w:ascii="Cambria Math" w:hAnsi="Cambria Math" w:cs="Cambria Math"/>
        </w:rPr>
        <w:t>‐</w:t>
      </w:r>
      <w:r w:rsidRPr="009E55C7">
        <w:rPr>
          <w:rFonts w:ascii="Arial" w:hAnsi="Arial" w:cs="Arial"/>
        </w:rPr>
        <w:t xml:space="preserve">de la Cruz, R., de Figueiredo, M. R. A., Gaines, T. A., </w:t>
      </w:r>
      <w:proofErr w:type="spellStart"/>
      <w:r w:rsidRPr="009E55C7">
        <w:rPr>
          <w:rFonts w:ascii="Arial" w:hAnsi="Arial" w:cs="Arial"/>
        </w:rPr>
        <w:t>Jugulam</w:t>
      </w:r>
      <w:proofErr w:type="spellEnd"/>
      <w:r w:rsidRPr="009E55C7">
        <w:rPr>
          <w:rFonts w:ascii="Arial" w:hAnsi="Arial" w:cs="Arial"/>
        </w:rPr>
        <w:t>, M., Merotto Jr, A., ... &amp; Riechers, D. E. (2024). Metabolism of 2, 4</w:t>
      </w:r>
      <w:r w:rsidRPr="009E55C7">
        <w:rPr>
          <w:rFonts w:ascii="Cambria Math" w:hAnsi="Cambria Math" w:cs="Cambria Math"/>
        </w:rPr>
        <w:t>‐</w:t>
      </w:r>
      <w:r w:rsidRPr="009E55C7">
        <w:rPr>
          <w:rFonts w:ascii="Arial" w:hAnsi="Arial" w:cs="Arial"/>
        </w:rPr>
        <w:t>D in plants: comparative analysis of metabolic detoxification pathways in tolerant crops and resistant weeds. </w:t>
      </w:r>
      <w:r w:rsidRPr="009E55C7">
        <w:rPr>
          <w:rFonts w:ascii="Arial" w:hAnsi="Arial" w:cs="Arial"/>
          <w:i/>
          <w:iCs/>
        </w:rPr>
        <w:t>Pest Management Science</w:t>
      </w:r>
      <w:r w:rsidRPr="009E55C7">
        <w:rPr>
          <w:rFonts w:ascii="Arial" w:hAnsi="Arial" w:cs="Arial"/>
        </w:rPr>
        <w:t>, 80(12), 6041-6052.</w:t>
      </w:r>
    </w:p>
    <w:p w14:paraId="72F5CD65"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Townson, J. K. (2024). Herbicide resistance. In </w:t>
      </w:r>
      <w:r w:rsidRPr="009E55C7">
        <w:rPr>
          <w:rFonts w:ascii="Arial" w:hAnsi="Arial" w:cs="Arial"/>
          <w:i/>
          <w:iCs/>
        </w:rPr>
        <w:t>Molecular genetics of drug resistance</w:t>
      </w:r>
      <w:r w:rsidRPr="009E55C7">
        <w:rPr>
          <w:rFonts w:ascii="Arial" w:hAnsi="Arial" w:cs="Arial"/>
        </w:rPr>
        <w:t> (pp. 139-174). CRC Press.</w:t>
      </w:r>
    </w:p>
    <w:p w14:paraId="5AD57F92"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Walsh, M. J., &amp; Powles, S. B. (2022). Harvest weed seed control: impact on weed management in Australian grain production systems and potential role in global cropping systems. </w:t>
      </w:r>
      <w:r w:rsidRPr="009E55C7">
        <w:rPr>
          <w:rFonts w:ascii="Arial" w:hAnsi="Arial" w:cs="Arial"/>
          <w:i/>
          <w:iCs/>
        </w:rPr>
        <w:t>Crop &amp; Pasture Science</w:t>
      </w:r>
      <w:r w:rsidRPr="009E55C7">
        <w:rPr>
          <w:rFonts w:ascii="Arial" w:hAnsi="Arial" w:cs="Arial"/>
        </w:rPr>
        <w:t>, 73(4), 313-324.</w:t>
      </w:r>
    </w:p>
    <w:p w14:paraId="4B8BE2D3"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 xml:space="preserve">Wang, </w:t>
      </w:r>
      <w:proofErr w:type="spellStart"/>
      <w:r w:rsidRPr="009E55C7">
        <w:rPr>
          <w:rFonts w:ascii="Arial" w:hAnsi="Arial" w:cs="Arial"/>
        </w:rPr>
        <w:t>Chanyu</w:t>
      </w:r>
      <w:proofErr w:type="spellEnd"/>
      <w:r w:rsidRPr="009E55C7">
        <w:rPr>
          <w:rFonts w:ascii="Arial" w:hAnsi="Arial" w:cs="Arial"/>
        </w:rPr>
        <w:t xml:space="preserve">, Xin Luo, Yong Zhang, Xian Pu, Jing Liu, </w:t>
      </w:r>
      <w:proofErr w:type="spellStart"/>
      <w:r w:rsidRPr="009E55C7">
        <w:rPr>
          <w:rFonts w:ascii="Arial" w:hAnsi="Arial" w:cs="Arial"/>
        </w:rPr>
        <w:t>Shanqi</w:t>
      </w:r>
      <w:proofErr w:type="spellEnd"/>
      <w:r w:rsidRPr="009E55C7">
        <w:rPr>
          <w:rFonts w:ascii="Arial" w:hAnsi="Arial" w:cs="Arial"/>
        </w:rPr>
        <w:t xml:space="preserve"> Zhang, Mao Ye, and Xiangyang Li (2025). Green Pesticide Research and Development Integrating Molecular Targets, Mechanisms, Resistance, and Innovation in Theory and Technology. </w:t>
      </w:r>
      <w:r w:rsidRPr="009E55C7">
        <w:rPr>
          <w:rFonts w:ascii="Arial" w:hAnsi="Arial" w:cs="Arial"/>
          <w:i/>
          <w:iCs/>
        </w:rPr>
        <w:t>Journal of Agricultural and Food Chemistry</w:t>
      </w:r>
      <w:r w:rsidRPr="009E55C7">
        <w:rPr>
          <w:rFonts w:ascii="Arial" w:hAnsi="Arial" w:cs="Arial"/>
        </w:rPr>
        <w:t>, 73(51), 32460-32489.</w:t>
      </w:r>
    </w:p>
    <w:p w14:paraId="508989E0"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Weisberger, D., Ray, M. A., Basinger, N. T., &amp; Thompson, J. J. (2024). Chemical, ecological, other? Identifying weed management typologies within industrialized cropping systems in Georgia (US). </w:t>
      </w:r>
      <w:r w:rsidRPr="009E55C7">
        <w:rPr>
          <w:rFonts w:ascii="Arial" w:hAnsi="Arial" w:cs="Arial"/>
          <w:i/>
          <w:iCs/>
        </w:rPr>
        <w:t>Agriculture and Human Values</w:t>
      </w:r>
      <w:r w:rsidRPr="009E55C7">
        <w:rPr>
          <w:rFonts w:ascii="Arial" w:hAnsi="Arial" w:cs="Arial"/>
        </w:rPr>
        <w:t>, 41(3), 935-953.</w:t>
      </w:r>
    </w:p>
    <w:p w14:paraId="477B2C51" w14:textId="77777777" w:rsidR="00F76FF0" w:rsidRPr="009E55C7" w:rsidRDefault="00F76FF0" w:rsidP="00016663">
      <w:pPr>
        <w:pStyle w:val="Body"/>
        <w:spacing w:after="0"/>
        <w:ind w:left="709" w:hanging="709"/>
        <w:rPr>
          <w:rFonts w:ascii="Arial" w:hAnsi="Arial" w:cs="Arial"/>
        </w:rPr>
      </w:pPr>
      <w:r w:rsidRPr="009E55C7">
        <w:rPr>
          <w:rFonts w:ascii="Arial" w:hAnsi="Arial" w:cs="Arial"/>
        </w:rPr>
        <w:t>Xu, H., Cheng, J., Leng, Q., Cao, R., Su, W., Sun, L., &amp; Wu, R. (2025). Characterization of acetolactate synthase genes and resistance mechanisms of multiple herbicide resistant Lolium multiflorum. </w:t>
      </w:r>
      <w:r w:rsidRPr="009E55C7">
        <w:rPr>
          <w:rFonts w:ascii="Arial" w:hAnsi="Arial" w:cs="Arial"/>
          <w:i/>
          <w:iCs/>
        </w:rPr>
        <w:t>Plant Physiology and Biochemistry</w:t>
      </w:r>
      <w:r w:rsidRPr="009E55C7">
        <w:rPr>
          <w:rFonts w:ascii="Arial" w:hAnsi="Arial" w:cs="Arial"/>
        </w:rPr>
        <w:t>, 219, 109324.</w:t>
      </w:r>
    </w:p>
    <w:p w14:paraId="5B600660" w14:textId="159A68F2" w:rsidR="00F76FF0" w:rsidRDefault="00F76FF0" w:rsidP="00016663">
      <w:pPr>
        <w:pStyle w:val="Body"/>
        <w:spacing w:after="0"/>
        <w:ind w:left="709" w:hanging="709"/>
        <w:rPr>
          <w:rFonts w:ascii="Arial" w:hAnsi="Arial" w:cs="Arial"/>
        </w:rPr>
      </w:pPr>
      <w:r w:rsidRPr="009E55C7">
        <w:rPr>
          <w:rFonts w:ascii="Arial" w:hAnsi="Arial" w:cs="Arial"/>
        </w:rPr>
        <w:t>Zhang, L., Xu, C., Han, H., Askew, S., Ervin, E., Yu, Q., &amp; Wang, K. (2025). What Is New for the Mechanisms of Plant Resistance to Paraquat After Decades of Research? </w:t>
      </w:r>
      <w:r w:rsidRPr="009E55C7">
        <w:rPr>
          <w:rFonts w:ascii="Arial" w:hAnsi="Arial" w:cs="Arial"/>
          <w:i/>
          <w:iCs/>
        </w:rPr>
        <w:t>Agriculture</w:t>
      </w:r>
      <w:r w:rsidRPr="009E55C7">
        <w:rPr>
          <w:rFonts w:ascii="Arial" w:hAnsi="Arial" w:cs="Arial"/>
        </w:rPr>
        <w:t>, 15(12), 1288.</w:t>
      </w:r>
    </w:p>
    <w:p w14:paraId="5FB8BE1D" w14:textId="23B75D50" w:rsidR="00C854EF" w:rsidRPr="009E55C7" w:rsidRDefault="00C854EF" w:rsidP="00016663">
      <w:pPr>
        <w:pStyle w:val="Body"/>
        <w:spacing w:after="0"/>
        <w:ind w:left="709" w:hanging="709"/>
        <w:rPr>
          <w:rFonts w:ascii="Arial" w:hAnsi="Arial" w:cs="Arial"/>
        </w:rPr>
      </w:pPr>
      <w:proofErr w:type="spellStart"/>
      <w:proofErr w:type="gramStart"/>
      <w:r w:rsidRPr="00C854EF">
        <w:rPr>
          <w:rFonts w:ascii="Arial" w:hAnsi="Arial" w:cs="Arial"/>
        </w:rPr>
        <w:t>Tomar</w:t>
      </w:r>
      <w:proofErr w:type="spellEnd"/>
      <w:r w:rsidRPr="00C854EF">
        <w:rPr>
          <w:rFonts w:ascii="Arial" w:hAnsi="Arial" w:cs="Arial"/>
        </w:rPr>
        <w:t xml:space="preserve"> ,</w:t>
      </w:r>
      <w:proofErr w:type="gramEnd"/>
      <w:r w:rsidRPr="00C854EF">
        <w:rPr>
          <w:rFonts w:ascii="Arial" w:hAnsi="Arial" w:cs="Arial"/>
        </w:rPr>
        <w:t xml:space="preserve"> D. S., Jha , A. K., Verma , B., </w:t>
      </w:r>
      <w:proofErr w:type="spellStart"/>
      <w:r w:rsidRPr="00C854EF">
        <w:rPr>
          <w:rFonts w:ascii="Arial" w:hAnsi="Arial" w:cs="Arial"/>
        </w:rPr>
        <w:t>Meshram</w:t>
      </w:r>
      <w:proofErr w:type="spellEnd"/>
      <w:r w:rsidRPr="00C854EF">
        <w:rPr>
          <w:rFonts w:ascii="Arial" w:hAnsi="Arial" w:cs="Arial"/>
        </w:rPr>
        <w:t xml:space="preserve"> , R. K., </w:t>
      </w:r>
      <w:proofErr w:type="spellStart"/>
      <w:r w:rsidRPr="00C854EF">
        <w:rPr>
          <w:rFonts w:ascii="Arial" w:hAnsi="Arial" w:cs="Arial"/>
        </w:rPr>
        <w:t>Porwal</w:t>
      </w:r>
      <w:proofErr w:type="spellEnd"/>
      <w:r w:rsidRPr="00C854EF">
        <w:rPr>
          <w:rFonts w:ascii="Arial" w:hAnsi="Arial" w:cs="Arial"/>
        </w:rPr>
        <w:t xml:space="preserve"> , M., Chouhan , M., &amp; Rajpoot , A. (2023). Comparative Efficacy of Different Herbicidal Combinations on Weed Growth and Yield Attributes of </w:t>
      </w:r>
      <w:proofErr w:type="gramStart"/>
      <w:r w:rsidRPr="00C854EF">
        <w:rPr>
          <w:rFonts w:ascii="Arial" w:hAnsi="Arial" w:cs="Arial"/>
        </w:rPr>
        <w:t>Wheat .</w:t>
      </w:r>
      <w:proofErr w:type="gramEnd"/>
      <w:r w:rsidRPr="00C854EF">
        <w:rPr>
          <w:rFonts w:ascii="Arial" w:hAnsi="Arial" w:cs="Arial"/>
        </w:rPr>
        <w:t xml:space="preserve"> International Journal of Environment and Climate Change, 13(8), 889–898. </w:t>
      </w:r>
      <w:hyperlink r:id="rId15" w:history="1">
        <w:r w:rsidRPr="00D13B62">
          <w:rPr>
            <w:rStyle w:val="Hyperlink"/>
            <w:rFonts w:ascii="Arial" w:hAnsi="Arial" w:cs="Arial"/>
          </w:rPr>
          <w:t>https://doi.org/10.9734/ijecc/2023/v13i82025</w:t>
        </w:r>
      </w:hyperlink>
      <w:r>
        <w:rPr>
          <w:rFonts w:ascii="Arial" w:hAnsi="Arial" w:cs="Arial"/>
        </w:rPr>
        <w:t xml:space="preserve"> </w:t>
      </w:r>
      <w:bookmarkStart w:id="7" w:name="_GoBack"/>
      <w:bookmarkEnd w:id="7"/>
    </w:p>
    <w:sectPr w:rsidR="00C854EF" w:rsidRPr="009E55C7" w:rsidSect="00033F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9B953" w14:textId="77777777" w:rsidR="000E2201" w:rsidRDefault="000E2201" w:rsidP="00C37E61">
      <w:r>
        <w:separator/>
      </w:r>
    </w:p>
  </w:endnote>
  <w:endnote w:type="continuationSeparator" w:id="0">
    <w:p w14:paraId="74CDA5E0" w14:textId="77777777" w:rsidR="000E2201" w:rsidRDefault="000E22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1E70" w14:textId="1177B2EE" w:rsidR="0089303B" w:rsidRPr="003C732D" w:rsidRDefault="0089303B" w:rsidP="003C732D">
    <w:pPr>
      <w:pStyle w:val="Footer"/>
    </w:pPr>
    <w:r w:rsidRPr="003C732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D498" w14:textId="77777777" w:rsidR="009E048A" w:rsidRDefault="009E048A">
    <w:pPr>
      <w:pStyle w:val="Footer"/>
      <w:rPr>
        <w:rFonts w:ascii="Arial" w:hAnsi="Arial" w:cs="Arial"/>
        <w:sz w:val="16"/>
      </w:rPr>
    </w:pPr>
  </w:p>
  <w:p w14:paraId="09C7C7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35A705" w14:textId="77777777" w:rsidR="009E048A" w:rsidRDefault="009E048A">
    <w:pPr>
      <w:pStyle w:val="Footer"/>
      <w:rPr>
        <w:rFonts w:ascii="Arial" w:hAnsi="Arial" w:cs="Arial"/>
        <w:sz w:val="16"/>
      </w:rPr>
    </w:pPr>
  </w:p>
  <w:p w14:paraId="355540AF" w14:textId="4B779DE3" w:rsidR="00754C9A" w:rsidRPr="009E048A" w:rsidRDefault="00754C9A">
    <w:pPr>
      <w:pStyle w:val="Footer"/>
      <w:rPr>
        <w:rFonts w:ascii="Arial" w:hAnsi="Arial" w:cs="Arial"/>
        <w:i/>
        <w:sz w:val="16"/>
      </w:rPr>
    </w:pPr>
    <w:r w:rsidRPr="009E048A">
      <w:rPr>
        <w:rFonts w:ascii="Arial" w:hAnsi="Arial" w:cs="Arial"/>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BD600" w14:textId="77777777" w:rsidR="000E2201" w:rsidRDefault="000E2201" w:rsidP="00C37E61">
      <w:r>
        <w:separator/>
      </w:r>
    </w:p>
  </w:footnote>
  <w:footnote w:type="continuationSeparator" w:id="0">
    <w:p w14:paraId="28798456" w14:textId="77777777" w:rsidR="000E2201" w:rsidRDefault="000E22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17A1" w14:textId="5F2F04A9" w:rsidR="00325EE1" w:rsidRDefault="000E2201">
    <w:pPr>
      <w:pStyle w:val="Header"/>
    </w:pPr>
    <w:r>
      <w:rPr>
        <w:noProof/>
      </w:rPr>
      <w:pict w14:anchorId="72BD3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85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21A5" w14:textId="27B09F08" w:rsidR="00325EE1" w:rsidRDefault="000E2201">
    <w:pPr>
      <w:pStyle w:val="Header"/>
    </w:pPr>
    <w:r>
      <w:rPr>
        <w:noProof/>
      </w:rPr>
      <w:pict w14:anchorId="669CC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85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237B" w14:textId="4449CDA9" w:rsidR="00296529" w:rsidRPr="00296529" w:rsidRDefault="000E2201" w:rsidP="00296529">
    <w:pPr>
      <w:ind w:left="2160"/>
      <w:jc w:val="center"/>
      <w:rPr>
        <w:rFonts w:ascii="Times New Roman" w:eastAsia="Calibri" w:hAnsi="Times New Roman"/>
        <w:i/>
        <w:sz w:val="18"/>
        <w:szCs w:val="22"/>
      </w:rPr>
    </w:pPr>
    <w:r>
      <w:rPr>
        <w:noProof/>
      </w:rPr>
      <w:pict w14:anchorId="7B5D4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85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E701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3325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4046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D23EA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B9D5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4CB4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B802F1"/>
    <w:multiLevelType w:val="multilevel"/>
    <w:tmpl w:val="E85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D70D76"/>
    <w:multiLevelType w:val="multilevel"/>
    <w:tmpl w:val="B352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F79F5"/>
    <w:multiLevelType w:val="hybridMultilevel"/>
    <w:tmpl w:val="0BA4E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40B96"/>
    <w:multiLevelType w:val="hybridMultilevel"/>
    <w:tmpl w:val="9ABC9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B1B75FE"/>
    <w:multiLevelType w:val="hybridMultilevel"/>
    <w:tmpl w:val="A0E60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7"/>
  </w:num>
  <w:num w:numId="32">
    <w:abstractNumId w:val="21"/>
  </w:num>
  <w:num w:numId="33">
    <w:abstractNumId w:val="17"/>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NjQyNrc0MLc0tjRR0lEKTi0uzszPAykwrAUATay7iCwAAAA="/>
  </w:docVars>
  <w:rsids>
    <w:rsidRoot w:val="00AA6219"/>
    <w:rsid w:val="00000F8F"/>
    <w:rsid w:val="000033E2"/>
    <w:rsid w:val="00016663"/>
    <w:rsid w:val="00030174"/>
    <w:rsid w:val="00033F11"/>
    <w:rsid w:val="0004579C"/>
    <w:rsid w:val="00050AFE"/>
    <w:rsid w:val="000524BD"/>
    <w:rsid w:val="00055784"/>
    <w:rsid w:val="0005648A"/>
    <w:rsid w:val="000A47FA"/>
    <w:rsid w:val="000A65D3"/>
    <w:rsid w:val="000B1E33"/>
    <w:rsid w:val="000B43D4"/>
    <w:rsid w:val="000C29AF"/>
    <w:rsid w:val="000D689F"/>
    <w:rsid w:val="000E1FC4"/>
    <w:rsid w:val="000E2201"/>
    <w:rsid w:val="000E7B7B"/>
    <w:rsid w:val="000E7D62"/>
    <w:rsid w:val="00103357"/>
    <w:rsid w:val="001204E8"/>
    <w:rsid w:val="00123C9F"/>
    <w:rsid w:val="00126190"/>
    <w:rsid w:val="00130F17"/>
    <w:rsid w:val="001320BF"/>
    <w:rsid w:val="001369AC"/>
    <w:rsid w:val="001375C4"/>
    <w:rsid w:val="0013779F"/>
    <w:rsid w:val="00142C6C"/>
    <w:rsid w:val="00163BC4"/>
    <w:rsid w:val="00191062"/>
    <w:rsid w:val="0019135B"/>
    <w:rsid w:val="00192B72"/>
    <w:rsid w:val="001A29D8"/>
    <w:rsid w:val="001A5CAA"/>
    <w:rsid w:val="001B0427"/>
    <w:rsid w:val="001B34E5"/>
    <w:rsid w:val="001D3A51"/>
    <w:rsid w:val="001E10D2"/>
    <w:rsid w:val="001E25B4"/>
    <w:rsid w:val="001E2C8D"/>
    <w:rsid w:val="001E44FE"/>
    <w:rsid w:val="00200595"/>
    <w:rsid w:val="00204835"/>
    <w:rsid w:val="0021613F"/>
    <w:rsid w:val="0022098F"/>
    <w:rsid w:val="00231920"/>
    <w:rsid w:val="0023195C"/>
    <w:rsid w:val="0024282C"/>
    <w:rsid w:val="00245C95"/>
    <w:rsid w:val="002460DC"/>
    <w:rsid w:val="00250985"/>
    <w:rsid w:val="00252341"/>
    <w:rsid w:val="002556F6"/>
    <w:rsid w:val="00283105"/>
    <w:rsid w:val="00284C4C"/>
    <w:rsid w:val="00287E68"/>
    <w:rsid w:val="00296529"/>
    <w:rsid w:val="00297A9F"/>
    <w:rsid w:val="002A347B"/>
    <w:rsid w:val="002B27FB"/>
    <w:rsid w:val="002B685A"/>
    <w:rsid w:val="002B7D9B"/>
    <w:rsid w:val="002C57D2"/>
    <w:rsid w:val="002E0D56"/>
    <w:rsid w:val="002E2954"/>
    <w:rsid w:val="002E7E76"/>
    <w:rsid w:val="003070D6"/>
    <w:rsid w:val="00315186"/>
    <w:rsid w:val="00317A24"/>
    <w:rsid w:val="00323453"/>
    <w:rsid w:val="00325EE1"/>
    <w:rsid w:val="0033343E"/>
    <w:rsid w:val="00336977"/>
    <w:rsid w:val="0034023B"/>
    <w:rsid w:val="003512C2"/>
    <w:rsid w:val="00367CC5"/>
    <w:rsid w:val="00371FB6"/>
    <w:rsid w:val="00376067"/>
    <w:rsid w:val="003763C1"/>
    <w:rsid w:val="00376BBE"/>
    <w:rsid w:val="0039224F"/>
    <w:rsid w:val="0039333F"/>
    <w:rsid w:val="00396400"/>
    <w:rsid w:val="003A43A4"/>
    <w:rsid w:val="003A7E18"/>
    <w:rsid w:val="003A7F72"/>
    <w:rsid w:val="003C4C86"/>
    <w:rsid w:val="003C6258"/>
    <w:rsid w:val="003C69C2"/>
    <w:rsid w:val="003C732D"/>
    <w:rsid w:val="003E2904"/>
    <w:rsid w:val="003F2083"/>
    <w:rsid w:val="00401927"/>
    <w:rsid w:val="0041027F"/>
    <w:rsid w:val="00412475"/>
    <w:rsid w:val="00423789"/>
    <w:rsid w:val="00435C83"/>
    <w:rsid w:val="00440F43"/>
    <w:rsid w:val="00441B6F"/>
    <w:rsid w:val="00446221"/>
    <w:rsid w:val="0044786A"/>
    <w:rsid w:val="00450E62"/>
    <w:rsid w:val="004539DB"/>
    <w:rsid w:val="00460DE7"/>
    <w:rsid w:val="004632AE"/>
    <w:rsid w:val="00467D75"/>
    <w:rsid w:val="00471A80"/>
    <w:rsid w:val="0049660C"/>
    <w:rsid w:val="004A0B00"/>
    <w:rsid w:val="004A6CB8"/>
    <w:rsid w:val="004D305E"/>
    <w:rsid w:val="004D4277"/>
    <w:rsid w:val="004F7FCB"/>
    <w:rsid w:val="00502516"/>
    <w:rsid w:val="00505F06"/>
    <w:rsid w:val="00506828"/>
    <w:rsid w:val="00515856"/>
    <w:rsid w:val="00524E58"/>
    <w:rsid w:val="0053056E"/>
    <w:rsid w:val="00534C0D"/>
    <w:rsid w:val="0054240A"/>
    <w:rsid w:val="00554C50"/>
    <w:rsid w:val="00554FDA"/>
    <w:rsid w:val="00596D9E"/>
    <w:rsid w:val="005A3795"/>
    <w:rsid w:val="005B67AC"/>
    <w:rsid w:val="005C6D06"/>
    <w:rsid w:val="005C784C"/>
    <w:rsid w:val="005D17F6"/>
    <w:rsid w:val="005D452A"/>
    <w:rsid w:val="005E5539"/>
    <w:rsid w:val="005F05A8"/>
    <w:rsid w:val="00602BF5"/>
    <w:rsid w:val="00610868"/>
    <w:rsid w:val="00617FDD"/>
    <w:rsid w:val="0062677F"/>
    <w:rsid w:val="00633614"/>
    <w:rsid w:val="00633F68"/>
    <w:rsid w:val="006357C4"/>
    <w:rsid w:val="00636EB2"/>
    <w:rsid w:val="006375B8"/>
    <w:rsid w:val="00645E3B"/>
    <w:rsid w:val="0064640C"/>
    <w:rsid w:val="0066510A"/>
    <w:rsid w:val="00673F9F"/>
    <w:rsid w:val="006868DF"/>
    <w:rsid w:val="00686953"/>
    <w:rsid w:val="00687DEA"/>
    <w:rsid w:val="00687E67"/>
    <w:rsid w:val="006967F7"/>
    <w:rsid w:val="006A250C"/>
    <w:rsid w:val="006B21D3"/>
    <w:rsid w:val="006B57D0"/>
    <w:rsid w:val="006D30FF"/>
    <w:rsid w:val="006D6940"/>
    <w:rsid w:val="006E5590"/>
    <w:rsid w:val="006F11EC"/>
    <w:rsid w:val="006F3B9C"/>
    <w:rsid w:val="0070082C"/>
    <w:rsid w:val="00706577"/>
    <w:rsid w:val="007267A7"/>
    <w:rsid w:val="007369E6"/>
    <w:rsid w:val="00746E59"/>
    <w:rsid w:val="00750A90"/>
    <w:rsid w:val="00754C9A"/>
    <w:rsid w:val="0075599A"/>
    <w:rsid w:val="00761D52"/>
    <w:rsid w:val="00776D98"/>
    <w:rsid w:val="0077749E"/>
    <w:rsid w:val="00790ADA"/>
    <w:rsid w:val="007D0993"/>
    <w:rsid w:val="007D2288"/>
    <w:rsid w:val="007E088F"/>
    <w:rsid w:val="007F7B32"/>
    <w:rsid w:val="00802911"/>
    <w:rsid w:val="00804BC2"/>
    <w:rsid w:val="0081431A"/>
    <w:rsid w:val="00824A1E"/>
    <w:rsid w:val="0083216F"/>
    <w:rsid w:val="00860000"/>
    <w:rsid w:val="00863BD3"/>
    <w:rsid w:val="008641ED"/>
    <w:rsid w:val="00866D66"/>
    <w:rsid w:val="008671C6"/>
    <w:rsid w:val="00870603"/>
    <w:rsid w:val="008710A0"/>
    <w:rsid w:val="00875803"/>
    <w:rsid w:val="0088491F"/>
    <w:rsid w:val="008908A0"/>
    <w:rsid w:val="0089303B"/>
    <w:rsid w:val="008B23D6"/>
    <w:rsid w:val="008B459E"/>
    <w:rsid w:val="008E13AE"/>
    <w:rsid w:val="008E1506"/>
    <w:rsid w:val="008E710C"/>
    <w:rsid w:val="008F69D6"/>
    <w:rsid w:val="00902823"/>
    <w:rsid w:val="00915CA6"/>
    <w:rsid w:val="00927834"/>
    <w:rsid w:val="009500A6"/>
    <w:rsid w:val="0095358D"/>
    <w:rsid w:val="0095614D"/>
    <w:rsid w:val="00957C18"/>
    <w:rsid w:val="009659BA"/>
    <w:rsid w:val="00976636"/>
    <w:rsid w:val="00983040"/>
    <w:rsid w:val="009B3FB9"/>
    <w:rsid w:val="009C157C"/>
    <w:rsid w:val="009C2465"/>
    <w:rsid w:val="009C4BDA"/>
    <w:rsid w:val="009D35A0"/>
    <w:rsid w:val="009D7EB7"/>
    <w:rsid w:val="009E048A"/>
    <w:rsid w:val="009E08E9"/>
    <w:rsid w:val="009E3018"/>
    <w:rsid w:val="009E3DB9"/>
    <w:rsid w:val="009E55C7"/>
    <w:rsid w:val="009E6E35"/>
    <w:rsid w:val="009F0EDA"/>
    <w:rsid w:val="00A03B96"/>
    <w:rsid w:val="00A05B19"/>
    <w:rsid w:val="00A1134E"/>
    <w:rsid w:val="00A1437B"/>
    <w:rsid w:val="00A24E7E"/>
    <w:rsid w:val="00A25673"/>
    <w:rsid w:val="00A258C3"/>
    <w:rsid w:val="00A347C0"/>
    <w:rsid w:val="00A37F04"/>
    <w:rsid w:val="00A51431"/>
    <w:rsid w:val="00A539AD"/>
    <w:rsid w:val="00A8173E"/>
    <w:rsid w:val="00A94063"/>
    <w:rsid w:val="00AA6219"/>
    <w:rsid w:val="00AA74E0"/>
    <w:rsid w:val="00AB703F"/>
    <w:rsid w:val="00AC6BB8"/>
    <w:rsid w:val="00AE008F"/>
    <w:rsid w:val="00AF047A"/>
    <w:rsid w:val="00AF32C9"/>
    <w:rsid w:val="00AF3392"/>
    <w:rsid w:val="00B01FCD"/>
    <w:rsid w:val="00B174DD"/>
    <w:rsid w:val="00B1776C"/>
    <w:rsid w:val="00B237C2"/>
    <w:rsid w:val="00B52583"/>
    <w:rsid w:val="00B52896"/>
    <w:rsid w:val="00B61B4E"/>
    <w:rsid w:val="00B95236"/>
    <w:rsid w:val="00B96BD9"/>
    <w:rsid w:val="00BA1B01"/>
    <w:rsid w:val="00BA2641"/>
    <w:rsid w:val="00BB37AA"/>
    <w:rsid w:val="00BC0A71"/>
    <w:rsid w:val="00BC53A0"/>
    <w:rsid w:val="00BE62AD"/>
    <w:rsid w:val="00BF121F"/>
    <w:rsid w:val="00BF1F80"/>
    <w:rsid w:val="00BF37B4"/>
    <w:rsid w:val="00C166EF"/>
    <w:rsid w:val="00C17EB0"/>
    <w:rsid w:val="00C23C38"/>
    <w:rsid w:val="00C27F5F"/>
    <w:rsid w:val="00C30A0F"/>
    <w:rsid w:val="00C37E61"/>
    <w:rsid w:val="00C55F9F"/>
    <w:rsid w:val="00C70F1B"/>
    <w:rsid w:val="00C71A47"/>
    <w:rsid w:val="00C7464C"/>
    <w:rsid w:val="00C854EF"/>
    <w:rsid w:val="00C85588"/>
    <w:rsid w:val="00CB76C6"/>
    <w:rsid w:val="00CC64FC"/>
    <w:rsid w:val="00CC6CCF"/>
    <w:rsid w:val="00CD6755"/>
    <w:rsid w:val="00CD6856"/>
    <w:rsid w:val="00CE0089"/>
    <w:rsid w:val="00CE793C"/>
    <w:rsid w:val="00CF193C"/>
    <w:rsid w:val="00D153CF"/>
    <w:rsid w:val="00D173F1"/>
    <w:rsid w:val="00D23CD0"/>
    <w:rsid w:val="00D46B9E"/>
    <w:rsid w:val="00D74CB0"/>
    <w:rsid w:val="00D8295D"/>
    <w:rsid w:val="00DA7720"/>
    <w:rsid w:val="00DB3128"/>
    <w:rsid w:val="00DC2A65"/>
    <w:rsid w:val="00DD04F0"/>
    <w:rsid w:val="00DD4456"/>
    <w:rsid w:val="00DE15F0"/>
    <w:rsid w:val="00DE5663"/>
    <w:rsid w:val="00DE78AA"/>
    <w:rsid w:val="00E020C7"/>
    <w:rsid w:val="00E02631"/>
    <w:rsid w:val="00E053D0"/>
    <w:rsid w:val="00E15994"/>
    <w:rsid w:val="00E3114E"/>
    <w:rsid w:val="00E31A70"/>
    <w:rsid w:val="00E348A9"/>
    <w:rsid w:val="00E35B02"/>
    <w:rsid w:val="00E37E66"/>
    <w:rsid w:val="00E41272"/>
    <w:rsid w:val="00E47C51"/>
    <w:rsid w:val="00E60A37"/>
    <w:rsid w:val="00E66496"/>
    <w:rsid w:val="00E66B35"/>
    <w:rsid w:val="00E66E10"/>
    <w:rsid w:val="00E769F6"/>
    <w:rsid w:val="00E80723"/>
    <w:rsid w:val="00E81B3F"/>
    <w:rsid w:val="00E8407C"/>
    <w:rsid w:val="00E84F3C"/>
    <w:rsid w:val="00EA012C"/>
    <w:rsid w:val="00EC4B83"/>
    <w:rsid w:val="00EC6A55"/>
    <w:rsid w:val="00ED0288"/>
    <w:rsid w:val="00EE17E4"/>
    <w:rsid w:val="00EE52CB"/>
    <w:rsid w:val="00EF581D"/>
    <w:rsid w:val="00EF7FD8"/>
    <w:rsid w:val="00F06F59"/>
    <w:rsid w:val="00F15915"/>
    <w:rsid w:val="00F17988"/>
    <w:rsid w:val="00F40DE6"/>
    <w:rsid w:val="00F469F0"/>
    <w:rsid w:val="00F53273"/>
    <w:rsid w:val="00F54DF6"/>
    <w:rsid w:val="00F63891"/>
    <w:rsid w:val="00F755E4"/>
    <w:rsid w:val="00F76FF0"/>
    <w:rsid w:val="00F77CAE"/>
    <w:rsid w:val="00F77D02"/>
    <w:rsid w:val="00FB2B03"/>
    <w:rsid w:val="00FB3A86"/>
    <w:rsid w:val="00FC3CAA"/>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8EB74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4786A"/>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ds-markdown-paragraph">
    <w:name w:val="ds-markdown-paragraph"/>
    <w:basedOn w:val="Normal"/>
    <w:rsid w:val="0044786A"/>
    <w:pPr>
      <w:spacing w:before="100" w:beforeAutospacing="1" w:after="100" w:afterAutospacing="1"/>
    </w:pPr>
    <w:rPr>
      <w:rFonts w:ascii="Times New Roman" w:hAnsi="Times New Roman"/>
      <w:sz w:val="24"/>
      <w:szCs w:val="24"/>
      <w:lang w:val="en-IN" w:eastAsia="en-IN" w:bidi="hi-IN"/>
    </w:rPr>
  </w:style>
  <w:style w:type="character" w:styleId="Strong">
    <w:name w:val="Strong"/>
    <w:basedOn w:val="DefaultParagraphFont"/>
    <w:uiPriority w:val="22"/>
    <w:qFormat/>
    <w:rsid w:val="0044786A"/>
    <w:rPr>
      <w:b/>
      <w:bCs/>
    </w:rPr>
  </w:style>
  <w:style w:type="table" w:styleId="TableGridLight">
    <w:name w:val="Grid Table Light"/>
    <w:basedOn w:val="TableNormal"/>
    <w:uiPriority w:val="40"/>
    <w:rsid w:val="00E37E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3011720">
      <w:bodyDiv w:val="1"/>
      <w:marLeft w:val="0"/>
      <w:marRight w:val="0"/>
      <w:marTop w:val="0"/>
      <w:marBottom w:val="0"/>
      <w:divBdr>
        <w:top w:val="none" w:sz="0" w:space="0" w:color="auto"/>
        <w:left w:val="none" w:sz="0" w:space="0" w:color="auto"/>
        <w:bottom w:val="none" w:sz="0" w:space="0" w:color="auto"/>
        <w:right w:val="none" w:sz="0" w:space="0" w:color="auto"/>
      </w:divBdr>
      <w:divsChild>
        <w:div w:id="1135215123">
          <w:marLeft w:val="0"/>
          <w:marRight w:val="0"/>
          <w:marTop w:val="0"/>
          <w:marBottom w:val="0"/>
          <w:divBdr>
            <w:top w:val="none" w:sz="0" w:space="0" w:color="auto"/>
            <w:left w:val="none" w:sz="0" w:space="0" w:color="auto"/>
            <w:bottom w:val="none" w:sz="0" w:space="0" w:color="auto"/>
            <w:right w:val="none" w:sz="0" w:space="0" w:color="auto"/>
          </w:divBdr>
          <w:divsChild>
            <w:div w:id="1897663057">
              <w:marLeft w:val="0"/>
              <w:marRight w:val="0"/>
              <w:marTop w:val="0"/>
              <w:marBottom w:val="0"/>
              <w:divBdr>
                <w:top w:val="none" w:sz="0" w:space="0" w:color="auto"/>
                <w:left w:val="none" w:sz="0" w:space="0" w:color="auto"/>
                <w:bottom w:val="none" w:sz="0" w:space="0" w:color="auto"/>
                <w:right w:val="none" w:sz="0" w:space="0" w:color="auto"/>
              </w:divBdr>
              <w:divsChild>
                <w:div w:id="1394545395">
                  <w:marLeft w:val="0"/>
                  <w:marRight w:val="0"/>
                  <w:marTop w:val="0"/>
                  <w:marBottom w:val="0"/>
                  <w:divBdr>
                    <w:top w:val="none" w:sz="0" w:space="0" w:color="auto"/>
                    <w:left w:val="none" w:sz="0" w:space="0" w:color="auto"/>
                    <w:bottom w:val="none" w:sz="0" w:space="0" w:color="auto"/>
                    <w:right w:val="none" w:sz="0" w:space="0" w:color="auto"/>
                  </w:divBdr>
                  <w:divsChild>
                    <w:div w:id="11016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eedscience.org/Pages/Graphs/SOAGraph.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9734/ijecc/2023/v13i8202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eedscience.org/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FA06401-AF30-4618-9D21-6513BCB6526C}">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0906B68-2CD9-4364-9589-1223A97ED7C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44DD-F55C-40B2-B87D-4295B3DC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TotalTime>
  <Pages>12</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103</cp:revision>
  <cp:lastPrinted>1999-07-06T11:00:00Z</cp:lastPrinted>
  <dcterms:created xsi:type="dcterms:W3CDTF">2026-03-12T03:08:00Z</dcterms:created>
  <dcterms:modified xsi:type="dcterms:W3CDTF">2026-03-16T10:43:00Z</dcterms:modified>
</cp:coreProperties>
</file>