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AABB21" w14:textId="77777777" w:rsidR="000535A4" w:rsidRPr="000535A4" w:rsidRDefault="000535A4" w:rsidP="000535A4">
      <w:pPr>
        <w:spacing w:line="360" w:lineRule="auto"/>
        <w:jc w:val="both"/>
        <w:rPr>
          <w:rFonts w:ascii="Times New Roman" w:hAnsi="Times New Roman" w:cs="Times New Roman"/>
          <w:b/>
          <w:bCs/>
          <w:i/>
          <w:iCs/>
          <w:u w:val="single"/>
          <w:lang w:val="en-US"/>
        </w:rPr>
      </w:pPr>
      <w:r w:rsidRPr="000535A4">
        <w:rPr>
          <w:rFonts w:ascii="Times New Roman" w:hAnsi="Times New Roman" w:cs="Times New Roman"/>
          <w:b/>
          <w:bCs/>
          <w:i/>
          <w:iCs/>
          <w:u w:val="single"/>
          <w:lang w:val="en-US"/>
        </w:rPr>
        <w:t>Review Article</w:t>
      </w:r>
    </w:p>
    <w:p w14:paraId="57D00AA4" w14:textId="3B71D3DD" w:rsidR="00DE7AD8" w:rsidRPr="00221196" w:rsidRDefault="00CB7B38" w:rsidP="004231BC">
      <w:pPr>
        <w:spacing w:line="360" w:lineRule="auto"/>
        <w:jc w:val="both"/>
        <w:rPr>
          <w:rFonts w:ascii="Times New Roman" w:hAnsi="Times New Roman" w:cs="Times New Roman"/>
          <w:b/>
          <w:bCs/>
        </w:rPr>
      </w:pPr>
      <w:r w:rsidRPr="00CB7B38">
        <w:rPr>
          <w:rFonts w:ascii="Times New Roman" w:hAnsi="Times New Roman" w:cs="Times New Roman"/>
          <w:b/>
          <w:bCs/>
        </w:rPr>
        <w:t>Postharvest Chemical Treatments for Extending Shelf Life and Preserving Fruit Quality</w:t>
      </w:r>
    </w:p>
    <w:p w14:paraId="78FFEA5C" w14:textId="77777777" w:rsidR="00257E0B" w:rsidRDefault="00257E0B" w:rsidP="004231BC">
      <w:pPr>
        <w:spacing w:line="360" w:lineRule="auto"/>
        <w:jc w:val="both"/>
        <w:rPr>
          <w:rFonts w:ascii="Times New Roman" w:hAnsi="Times New Roman" w:cs="Times New Roman"/>
        </w:rPr>
      </w:pPr>
    </w:p>
    <w:p w14:paraId="7FD129E9" w14:textId="33C3C8ED" w:rsidR="00AA1F4F" w:rsidRPr="00221196" w:rsidRDefault="00307F32" w:rsidP="004231BC">
      <w:pPr>
        <w:spacing w:line="360" w:lineRule="auto"/>
        <w:jc w:val="both"/>
        <w:rPr>
          <w:rFonts w:ascii="Times New Roman" w:hAnsi="Times New Roman" w:cs="Times New Roman"/>
          <w:b/>
          <w:bCs/>
        </w:rPr>
      </w:pPr>
      <w:r w:rsidRPr="00221196">
        <w:rPr>
          <w:rFonts w:ascii="Times New Roman" w:hAnsi="Times New Roman" w:cs="Times New Roman"/>
          <w:b/>
          <w:bCs/>
        </w:rPr>
        <w:t>Abstract</w:t>
      </w:r>
    </w:p>
    <w:p w14:paraId="562F977F" w14:textId="6A4E46C5" w:rsidR="00B248F6" w:rsidRPr="00221196" w:rsidRDefault="00B248F6" w:rsidP="004231BC">
      <w:pPr>
        <w:spacing w:line="360" w:lineRule="auto"/>
        <w:jc w:val="both"/>
        <w:rPr>
          <w:rFonts w:ascii="Times New Roman" w:hAnsi="Times New Roman" w:cs="Times New Roman"/>
        </w:rPr>
      </w:pPr>
      <w:r w:rsidRPr="00221196">
        <w:rPr>
          <w:rFonts w:ascii="Times New Roman" w:hAnsi="Times New Roman" w:cs="Times New Roman"/>
        </w:rPr>
        <w:t>Fruits are highly perishable and often lose quality soon after harvest due to rapid ripening, moisture loss and microbial decay. These postharvest losses reduce both the nutritional value and marketability of fruits, affecting both farmers and consumers.</w:t>
      </w:r>
      <w:r w:rsidR="005B59A7" w:rsidRPr="00221196">
        <w:rPr>
          <w:rFonts w:ascii="Times New Roman" w:hAnsi="Times New Roman" w:cs="Times New Roman"/>
        </w:rPr>
        <w:t xml:space="preserve"> Globally, postharvest losses in fruits are estimated to range between 20% and 50%, with higher percentages reported in tropical and developing regions.</w:t>
      </w:r>
      <w:r w:rsidR="00057287" w:rsidRPr="00221196">
        <w:rPr>
          <w:rFonts w:ascii="Times New Roman" w:hAnsi="Times New Roman" w:cs="Times New Roman"/>
        </w:rPr>
        <w:t xml:space="preserve"> To mitigate these challenges, various postharvest management strategies have been developed, among which chemical treatments and edible coatings have gained considerable attention. Chemical treatments, including calcium chloride, calcium lactate, ethylene inhibitors such as 1-methylcyclopropene (1-MCP) and natural plant-based antimicrobials, play a crucial role in delaying senescence and maintaining fruit firmness. Calcium salts help strengthen cell wall structure and reduce enzymatic softening, while ethylene inhibitors suppress ripening processes by blocking ethylene action. Natural plant extracts and organic acids exhibit antimicrobial properties that help control postharvest pathogens and reduce spoilage. Edible coatings represent an eco-friendly and sustainable alternative to synthetic packaging materials. These coatings are composed of biodegradable materials such as polysaccharides (e.g., starch, chitosan, alginate), proteins (e.g., whey protein, </w:t>
      </w:r>
      <w:proofErr w:type="spellStart"/>
      <w:r w:rsidR="00057287" w:rsidRPr="00221196">
        <w:rPr>
          <w:rFonts w:ascii="Times New Roman" w:hAnsi="Times New Roman" w:cs="Times New Roman"/>
        </w:rPr>
        <w:t>gelatin</w:t>
      </w:r>
      <w:proofErr w:type="spellEnd"/>
      <w:r w:rsidR="00057287" w:rsidRPr="00221196">
        <w:rPr>
          <w:rFonts w:ascii="Times New Roman" w:hAnsi="Times New Roman" w:cs="Times New Roman"/>
        </w:rPr>
        <w:t>) and lipids (e.g., waxes, fatty acids). When applied to fruit surfaces, edible coatings form a thin, semi-permeable barrier that regulates gas exchange, reduces water loss, delays oxidative reactions and limits microbial contamination. Moreover, edible coatings can serve as carriers for functional additives such as antioxidants, antimicrobials</w:t>
      </w:r>
      <w:r w:rsidR="00114EDF" w:rsidRPr="00221196">
        <w:rPr>
          <w:rFonts w:ascii="Times New Roman" w:hAnsi="Times New Roman" w:cs="Times New Roman"/>
        </w:rPr>
        <w:t xml:space="preserve"> </w:t>
      </w:r>
      <w:r w:rsidR="00057287" w:rsidRPr="00221196">
        <w:rPr>
          <w:rFonts w:ascii="Times New Roman" w:hAnsi="Times New Roman" w:cs="Times New Roman"/>
        </w:rPr>
        <w:t>and nutraceutical compounds, further enhancing their protective effect.</w:t>
      </w:r>
      <w:r w:rsidRPr="00221196">
        <w:rPr>
          <w:rFonts w:ascii="Times New Roman" w:hAnsi="Times New Roman" w:cs="Times New Roman"/>
        </w:rPr>
        <w:t xml:space="preserve"> Together, these technologies play an important role in reducing postharvest losses, improving storage stability and supporting food and nutrition security.</w:t>
      </w:r>
    </w:p>
    <w:p w14:paraId="2F2218F9" w14:textId="3B47F385" w:rsidR="006B1D75" w:rsidRPr="005E430E" w:rsidRDefault="006B1D75" w:rsidP="004231BC">
      <w:pPr>
        <w:tabs>
          <w:tab w:val="left" w:pos="426"/>
        </w:tabs>
        <w:spacing w:line="360" w:lineRule="auto"/>
        <w:jc w:val="both"/>
        <w:rPr>
          <w:rFonts w:ascii="Times New Roman" w:hAnsi="Times New Roman" w:cs="Times New Roman"/>
        </w:rPr>
      </w:pPr>
      <w:r w:rsidRPr="00221196">
        <w:rPr>
          <w:rFonts w:ascii="Times New Roman" w:hAnsi="Times New Roman" w:cs="Times New Roman"/>
          <w:b/>
          <w:bCs/>
        </w:rPr>
        <w:t xml:space="preserve">Keywords: </w:t>
      </w:r>
      <w:r w:rsidR="005E430E" w:rsidRPr="005E430E">
        <w:rPr>
          <w:rFonts w:ascii="Times New Roman" w:hAnsi="Times New Roman" w:cs="Times New Roman"/>
        </w:rPr>
        <w:t>Postharvest loss, shelf life, edible coatings, chemical treatment, ripening, 1-MCP, polyamines</w:t>
      </w:r>
    </w:p>
    <w:p w14:paraId="12183C7B" w14:textId="1795FD0E" w:rsidR="00E06A52" w:rsidRDefault="00BF4CEF" w:rsidP="004231BC">
      <w:pPr>
        <w:spacing w:line="360" w:lineRule="auto"/>
        <w:jc w:val="both"/>
        <w:rPr>
          <w:rFonts w:ascii="Times New Roman" w:hAnsi="Times New Roman" w:cs="Times New Roman"/>
          <w:b/>
          <w:bCs/>
        </w:rPr>
      </w:pPr>
      <w:r w:rsidRPr="00221196">
        <w:rPr>
          <w:rFonts w:ascii="Times New Roman" w:hAnsi="Times New Roman" w:cs="Times New Roman"/>
          <w:b/>
          <w:bCs/>
        </w:rPr>
        <w:t>Introduction</w:t>
      </w:r>
    </w:p>
    <w:p w14:paraId="723E63C6" w14:textId="77777777" w:rsidR="00C855EB" w:rsidRDefault="00C65A63" w:rsidP="00C855EB">
      <w:pPr>
        <w:spacing w:line="360" w:lineRule="auto"/>
        <w:ind w:firstLine="720"/>
        <w:jc w:val="both"/>
        <w:rPr>
          <w:rFonts w:ascii="Times New Roman" w:hAnsi="Times New Roman" w:cs="Times New Roman"/>
        </w:rPr>
      </w:pPr>
      <w:r w:rsidRPr="00C65A63">
        <w:rPr>
          <w:rFonts w:ascii="Times New Roman" w:hAnsi="Times New Roman" w:cs="Times New Roman"/>
        </w:rPr>
        <w:t xml:space="preserve">Fruits constitute a fundamental component of a balanced human diet. Fruits provide essential micronutrients such as vitamin C, vitamin A, folates, potassium, dietary fibre and a wide range of phytochemicals that are useful for human body (Schreiner et al., 2013). These micronutrients support immune functions and reduce the risk of chronic diseases (Wallace et al., 2020). Increased consumer awareness regarding nutrition and lifestyle-related disorders has driven a consistent rise in global fruit demand over the past three decades. However, alongside </w:t>
      </w:r>
      <w:proofErr w:type="spellStart"/>
      <w:r w:rsidRPr="00C65A63">
        <w:rPr>
          <w:rFonts w:ascii="Times New Roman" w:hAnsi="Times New Roman" w:cs="Times New Roman"/>
        </w:rPr>
        <w:t>alongside</w:t>
      </w:r>
      <w:proofErr w:type="spellEnd"/>
      <w:r w:rsidRPr="00C65A63">
        <w:rPr>
          <w:rFonts w:ascii="Times New Roman" w:hAnsi="Times New Roman" w:cs="Times New Roman"/>
        </w:rPr>
        <w:t xml:space="preserve"> production growth, postharvest loss </w:t>
      </w:r>
      <w:r w:rsidRPr="00C65A63">
        <w:rPr>
          <w:rFonts w:ascii="Times New Roman" w:hAnsi="Times New Roman" w:cs="Times New Roman"/>
        </w:rPr>
        <w:lastRenderedPageBreak/>
        <w:t>(PHL) continues to undermine the availability, quality and economic value of fruits (</w:t>
      </w:r>
      <w:proofErr w:type="spellStart"/>
      <w:r w:rsidRPr="00C65A63">
        <w:rPr>
          <w:rFonts w:ascii="Times New Roman" w:hAnsi="Times New Roman" w:cs="Times New Roman"/>
        </w:rPr>
        <w:t>Kitingoja</w:t>
      </w:r>
      <w:proofErr w:type="spellEnd"/>
      <w:r w:rsidRPr="00C65A63">
        <w:rPr>
          <w:rFonts w:ascii="Times New Roman" w:hAnsi="Times New Roman" w:cs="Times New Roman"/>
        </w:rPr>
        <w:t xml:space="preserve"> &amp; Kader, 2015).</w:t>
      </w:r>
    </w:p>
    <w:p w14:paraId="5007D218" w14:textId="77777777" w:rsidR="00C855EB" w:rsidRDefault="00C65A63" w:rsidP="00C855EB">
      <w:pPr>
        <w:spacing w:line="360" w:lineRule="auto"/>
        <w:ind w:firstLine="720"/>
        <w:jc w:val="both"/>
        <w:rPr>
          <w:rFonts w:ascii="Times New Roman" w:hAnsi="Times New Roman" w:cs="Times New Roman"/>
        </w:rPr>
      </w:pPr>
      <w:r w:rsidRPr="00C65A63">
        <w:rPr>
          <w:rFonts w:ascii="Times New Roman" w:hAnsi="Times New Roman" w:cs="Times New Roman"/>
        </w:rPr>
        <w:t>Postharvest loss refers to the measurable quantitative and qualitative deterioration in fruits occurring between harvest and final consumption (Kader, 2005). These losses may occur during harvesting, handling, transportation, storage, processing and retail marketing. Unlike cereal grains, fruits are highly perishable due to their high moisture content (70–95%), soft texture and active metabolic processes. As a result, fruits are particularly vulnerable to rapid deterioration once detached from the plant. Globally, postharvest losses in fruits are estimated to range between 20% and 50%, with higher percentages reported in tropical and developing regions (FAO, 2019). In developing economies, limited cold chain infrastructure, inadequate packaging, poor road connectivity and traditional marketing systems contribute significantly to these losses (</w:t>
      </w:r>
      <w:proofErr w:type="spellStart"/>
      <w:r w:rsidRPr="00C65A63">
        <w:rPr>
          <w:rFonts w:ascii="Times New Roman" w:hAnsi="Times New Roman" w:cs="Times New Roman"/>
        </w:rPr>
        <w:t>Kitinoja</w:t>
      </w:r>
      <w:proofErr w:type="spellEnd"/>
      <w:r w:rsidRPr="00C65A63">
        <w:rPr>
          <w:rFonts w:ascii="Times New Roman" w:hAnsi="Times New Roman" w:cs="Times New Roman"/>
        </w:rPr>
        <w:t xml:space="preserve"> &amp; Kader, 2015).</w:t>
      </w:r>
    </w:p>
    <w:p w14:paraId="7550EB36" w14:textId="5FB8CFC6" w:rsidR="00C65A63" w:rsidRPr="00C65A63" w:rsidRDefault="00C65A63" w:rsidP="00C855EB">
      <w:pPr>
        <w:spacing w:line="360" w:lineRule="auto"/>
        <w:ind w:firstLine="720"/>
        <w:jc w:val="both"/>
        <w:rPr>
          <w:rFonts w:ascii="Times New Roman" w:hAnsi="Times New Roman" w:cs="Times New Roman"/>
        </w:rPr>
      </w:pPr>
      <w:r w:rsidRPr="00C65A63">
        <w:rPr>
          <w:rFonts w:ascii="Times New Roman" w:hAnsi="Times New Roman" w:cs="Times New Roman"/>
        </w:rPr>
        <w:t>India presents a paradoxical scenario: it is one of the largest fruit producers in the world, yet it suffers from substantial postharvest inefficiencies. India is the second largest producer of fruits and vegetables after China. According to the Ministry of Food Processing Industries (</w:t>
      </w:r>
      <w:proofErr w:type="spellStart"/>
      <w:r w:rsidRPr="00C65A63">
        <w:rPr>
          <w:rFonts w:ascii="Times New Roman" w:hAnsi="Times New Roman" w:cs="Times New Roman"/>
        </w:rPr>
        <w:t>MoFPI</w:t>
      </w:r>
      <w:proofErr w:type="spellEnd"/>
      <w:r w:rsidRPr="00C65A63">
        <w:rPr>
          <w:rFonts w:ascii="Times New Roman" w:hAnsi="Times New Roman" w:cs="Times New Roman"/>
        </w:rPr>
        <w:t>, 2022), postharvest losses in fruits in India range between 15% and 25%, depending on the crop and stage of the supply chain (Fig 1). This reflects a huge economic loss and reduced nutritional security for a growing population. Therefore, a systematic understanding of fruit production patterns and the major causes of postharvest losses is essential for developing effective mitigation strategies.</w:t>
      </w:r>
    </w:p>
    <w:p w14:paraId="6CAEF81C" w14:textId="77777777" w:rsidR="00EC0B78" w:rsidRDefault="00E20770" w:rsidP="004231BC">
      <w:pPr>
        <w:spacing w:line="360" w:lineRule="auto"/>
        <w:jc w:val="both"/>
        <w:rPr>
          <w:rFonts w:ascii="Times New Roman" w:hAnsi="Times New Roman" w:cs="Times New Roman"/>
        </w:rPr>
      </w:pPr>
      <w:r w:rsidRPr="00221196">
        <w:rPr>
          <w:rFonts w:ascii="Times New Roman" w:hAnsi="Times New Roman" w:cs="Times New Roman"/>
          <w:noProof/>
        </w:rPr>
        <w:t xml:space="preserve">         </w:t>
      </w:r>
      <w:r w:rsidR="006A1456" w:rsidRPr="00221196">
        <w:rPr>
          <w:rFonts w:ascii="Times New Roman" w:hAnsi="Times New Roman" w:cs="Times New Roman"/>
          <w:noProof/>
        </w:rPr>
        <w:t xml:space="preserve"> </w:t>
      </w:r>
      <w:r w:rsidRPr="00221196">
        <w:rPr>
          <w:rFonts w:ascii="Times New Roman" w:hAnsi="Times New Roman" w:cs="Times New Roman"/>
          <w:noProof/>
        </w:rPr>
        <w:drawing>
          <wp:inline distT="0" distB="0" distL="0" distR="0" wp14:anchorId="5C59A77A" wp14:editId="3C572927">
            <wp:extent cx="4610100" cy="2446020"/>
            <wp:effectExtent l="0" t="0" r="0" b="0"/>
            <wp:docPr id="1433044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44170" name="Picture 1433044170"/>
                    <pic:cNvPicPr/>
                  </pic:nvPicPr>
                  <pic:blipFill>
                    <a:blip r:embed="rId7">
                      <a:extLst>
                        <a:ext uri="{28A0092B-C50C-407E-A947-70E740481C1C}">
                          <a14:useLocalDpi xmlns:a14="http://schemas.microsoft.com/office/drawing/2010/main" val="0"/>
                        </a:ext>
                      </a:extLst>
                    </a:blip>
                    <a:stretch>
                      <a:fillRect/>
                    </a:stretch>
                  </pic:blipFill>
                  <pic:spPr>
                    <a:xfrm>
                      <a:off x="0" y="0"/>
                      <a:ext cx="4610100" cy="2446020"/>
                    </a:xfrm>
                    <a:prstGeom prst="rect">
                      <a:avLst/>
                    </a:prstGeom>
                  </pic:spPr>
                </pic:pic>
              </a:graphicData>
            </a:graphic>
          </wp:inline>
        </w:drawing>
      </w:r>
    </w:p>
    <w:p w14:paraId="5690B3AB" w14:textId="2C7A58D7" w:rsidR="00D46604" w:rsidRPr="00221196" w:rsidRDefault="00934574" w:rsidP="004231BC">
      <w:pPr>
        <w:spacing w:line="360" w:lineRule="auto"/>
        <w:jc w:val="both"/>
        <w:rPr>
          <w:rFonts w:ascii="Times New Roman" w:hAnsi="Times New Roman" w:cs="Times New Roman"/>
        </w:rPr>
      </w:pPr>
      <w:r w:rsidRPr="00221196">
        <w:rPr>
          <w:rFonts w:ascii="Times New Roman" w:hAnsi="Times New Roman" w:cs="Times New Roman"/>
          <w:noProof/>
        </w:rPr>
        <mc:AlternateContent>
          <mc:Choice Requires="wps">
            <w:drawing>
              <wp:anchor distT="45720" distB="45720" distL="114300" distR="114300" simplePos="0" relativeHeight="251632640" behindDoc="0" locked="0" layoutInCell="1" allowOverlap="1" wp14:anchorId="330700D3" wp14:editId="5E82628D">
                <wp:simplePos x="0" y="0"/>
                <wp:positionH relativeFrom="column">
                  <wp:posOffset>1638300</wp:posOffset>
                </wp:positionH>
                <wp:positionV relativeFrom="paragraph">
                  <wp:posOffset>12065</wp:posOffset>
                </wp:positionV>
                <wp:extent cx="2184400" cy="320040"/>
                <wp:effectExtent l="0" t="0" r="635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20040"/>
                        </a:xfrm>
                        <a:prstGeom prst="rect">
                          <a:avLst/>
                        </a:prstGeom>
                        <a:solidFill>
                          <a:srgbClr val="FFFFFF"/>
                        </a:solidFill>
                        <a:ln w="9525">
                          <a:noFill/>
                          <a:miter lim="800000"/>
                          <a:headEnd/>
                          <a:tailEnd/>
                        </a:ln>
                      </wps:spPr>
                      <wps:txbx>
                        <w:txbxContent>
                          <w:p w14:paraId="18C4611F" w14:textId="15579C24" w:rsidR="006A1456" w:rsidRPr="00DF3838" w:rsidRDefault="006A1456">
                            <w:pPr>
                              <w:rPr>
                                <w:rFonts w:ascii="Times New Roman" w:hAnsi="Times New Roman" w:cs="Times New Roman"/>
                                <w:lang w:val="en-US"/>
                              </w:rPr>
                            </w:pPr>
                            <w:r w:rsidRPr="00DF3838">
                              <w:rPr>
                                <w:rFonts w:ascii="Times New Roman" w:hAnsi="Times New Roman" w:cs="Times New Roman"/>
                                <w:b/>
                                <w:bCs/>
                                <w:lang w:val="en-US"/>
                              </w:rPr>
                              <w:t>F</w:t>
                            </w:r>
                            <w:r w:rsidR="002465F3" w:rsidRPr="00DF3838">
                              <w:rPr>
                                <w:rFonts w:ascii="Times New Roman" w:hAnsi="Times New Roman" w:cs="Times New Roman"/>
                                <w:b/>
                                <w:bCs/>
                                <w:lang w:val="en-US"/>
                              </w:rPr>
                              <w:t xml:space="preserve">ig 1. </w:t>
                            </w:r>
                            <w:r w:rsidR="002465F3" w:rsidRPr="00DF3838">
                              <w:rPr>
                                <w:rFonts w:ascii="Times New Roman" w:hAnsi="Times New Roman" w:cs="Times New Roman"/>
                                <w:lang w:val="en-US"/>
                              </w:rPr>
                              <w:t>Postharvest loss in fruit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0700D3" id="_x0000_t202" coordsize="21600,21600" o:spt="202" path="m,l,21600r21600,l21600,xe">
                <v:stroke joinstyle="miter"/>
                <v:path gradientshapeok="t" o:connecttype="rect"/>
              </v:shapetype>
              <v:shape id="Text Box 2" o:spid="_x0000_s1026" type="#_x0000_t202" style="position:absolute;left:0;text-align:left;margin-left:129pt;margin-top:.95pt;width:172pt;height:25.2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" stroked="f">
                <v:textbox>
                  <w:txbxContent>
                    <w:p w14:paraId="18C4611F" w14:textId="15579C24" w:rsidR="006A1456" w:rsidRPr="00DF3838" w:rsidRDefault="006A1456">
                      <w:pPr>
                        <w:rPr>
                          <w:rFonts w:ascii="Times New Roman" w:hAnsi="Times New Roman" w:cs="Times New Roman"/>
                          <w:lang w:val="en-US"/>
                        </w:rPr>
                      </w:pPr>
                      <w:r w:rsidRPr="00DF3838">
                        <w:rPr>
                          <w:rFonts w:ascii="Times New Roman" w:hAnsi="Times New Roman" w:cs="Times New Roman"/>
                          <w:b/>
                          <w:bCs/>
                          <w:lang w:val="en-US"/>
                        </w:rPr>
                        <w:t>F</w:t>
                      </w:r>
                      <w:r w:rsidR="002465F3" w:rsidRPr="00DF3838">
                        <w:rPr>
                          <w:rFonts w:ascii="Times New Roman" w:hAnsi="Times New Roman" w:cs="Times New Roman"/>
                          <w:b/>
                          <w:bCs/>
                          <w:lang w:val="en-US"/>
                        </w:rPr>
                        <w:t xml:space="preserve">ig 1. </w:t>
                      </w:r>
                      <w:r w:rsidR="002465F3" w:rsidRPr="00DF3838">
                        <w:rPr>
                          <w:rFonts w:ascii="Times New Roman" w:hAnsi="Times New Roman" w:cs="Times New Roman"/>
                          <w:lang w:val="en-US"/>
                        </w:rPr>
                        <w:t>Postharvest loss in fruit</w:t>
                      </w:r>
                    </w:p>
                  </w:txbxContent>
                </v:textbox>
                <w10:wrap type="square"/>
              </v:shape>
            </w:pict>
          </mc:Fallback>
        </mc:AlternateContent>
      </w:r>
    </w:p>
    <w:p w14:paraId="25981DA7" w14:textId="496BB7E3" w:rsidR="00474E40" w:rsidRPr="00474E40" w:rsidRDefault="00474E40" w:rsidP="00474E40">
      <w:pPr>
        <w:spacing w:line="360" w:lineRule="auto"/>
        <w:rPr>
          <w:rFonts w:ascii="Times New Roman" w:hAnsi="Times New Roman" w:cs="Times New Roman"/>
          <w:b/>
          <w:bCs/>
        </w:rPr>
      </w:pPr>
      <w:r w:rsidRPr="00474E40">
        <w:rPr>
          <w:rFonts w:ascii="Times New Roman" w:hAnsi="Times New Roman" w:cs="Times New Roman"/>
          <w:b/>
          <w:bCs/>
        </w:rPr>
        <w:t xml:space="preserve">Research Objective </w:t>
      </w:r>
    </w:p>
    <w:p w14:paraId="57B64C95" w14:textId="77777777" w:rsidR="00474E40" w:rsidRPr="00474E40" w:rsidRDefault="00474E40" w:rsidP="00474E40">
      <w:pPr>
        <w:spacing w:line="360" w:lineRule="auto"/>
        <w:rPr>
          <w:rFonts w:ascii="Times New Roman" w:hAnsi="Times New Roman" w:cs="Times New Roman"/>
        </w:rPr>
      </w:pPr>
      <w:r w:rsidRPr="00474E40">
        <w:rPr>
          <w:rFonts w:ascii="Times New Roman" w:hAnsi="Times New Roman" w:cs="Times New Roman"/>
        </w:rPr>
        <w:t>This review aims to:</w:t>
      </w:r>
    </w:p>
    <w:p w14:paraId="07A4E3D2" w14:textId="77777777" w:rsidR="00474E40" w:rsidRPr="00474E40" w:rsidRDefault="00474E40" w:rsidP="00474E40">
      <w:pPr>
        <w:pStyle w:val="ListParagraph"/>
        <w:numPr>
          <w:ilvl w:val="0"/>
          <w:numId w:val="5"/>
        </w:numPr>
        <w:spacing w:line="360" w:lineRule="auto"/>
        <w:rPr>
          <w:rFonts w:ascii="Times New Roman" w:hAnsi="Times New Roman" w:cs="Times New Roman"/>
        </w:rPr>
      </w:pPr>
      <w:proofErr w:type="spellStart"/>
      <w:r w:rsidRPr="00474E40">
        <w:rPr>
          <w:rFonts w:ascii="Times New Roman" w:hAnsi="Times New Roman" w:cs="Times New Roman"/>
        </w:rPr>
        <w:t>Analyze</w:t>
      </w:r>
      <w:proofErr w:type="spellEnd"/>
      <w:r w:rsidRPr="00474E40">
        <w:rPr>
          <w:rFonts w:ascii="Times New Roman" w:hAnsi="Times New Roman" w:cs="Times New Roman"/>
        </w:rPr>
        <w:t xml:space="preserve"> the major physiological, microbial and infrastructural causes of postharvest losses in fruits.</w:t>
      </w:r>
    </w:p>
    <w:p w14:paraId="5BC4B426" w14:textId="77777777" w:rsidR="00474E40" w:rsidRPr="00474E40" w:rsidRDefault="00474E40" w:rsidP="00474E40">
      <w:pPr>
        <w:pStyle w:val="ListParagraph"/>
        <w:numPr>
          <w:ilvl w:val="0"/>
          <w:numId w:val="5"/>
        </w:numPr>
        <w:spacing w:line="360" w:lineRule="auto"/>
        <w:rPr>
          <w:rFonts w:ascii="Times New Roman" w:hAnsi="Times New Roman" w:cs="Times New Roman"/>
        </w:rPr>
      </w:pPr>
      <w:r w:rsidRPr="00474E40">
        <w:rPr>
          <w:rFonts w:ascii="Times New Roman" w:hAnsi="Times New Roman" w:cs="Times New Roman"/>
        </w:rPr>
        <w:lastRenderedPageBreak/>
        <w:t>Critically evaluate the mechanisms, advantages and limitations of postharvest chemical treatments.</w:t>
      </w:r>
    </w:p>
    <w:p w14:paraId="243FECE0" w14:textId="77777777" w:rsidR="00474E40" w:rsidRPr="00474E40" w:rsidRDefault="00474E40" w:rsidP="00474E40">
      <w:pPr>
        <w:pStyle w:val="ListParagraph"/>
        <w:numPr>
          <w:ilvl w:val="0"/>
          <w:numId w:val="5"/>
        </w:numPr>
        <w:spacing w:line="360" w:lineRule="auto"/>
        <w:rPr>
          <w:rFonts w:ascii="Times New Roman" w:hAnsi="Times New Roman" w:cs="Times New Roman"/>
        </w:rPr>
      </w:pPr>
      <w:r w:rsidRPr="00474E40">
        <w:rPr>
          <w:rFonts w:ascii="Times New Roman" w:hAnsi="Times New Roman" w:cs="Times New Roman"/>
        </w:rPr>
        <w:t>Examine edible coating technologies and recent nano-enabled advancements.</w:t>
      </w:r>
    </w:p>
    <w:p w14:paraId="743AA4A4" w14:textId="436F0366" w:rsidR="00EC0B78" w:rsidRPr="00474E40" w:rsidRDefault="00474E40" w:rsidP="00474E40">
      <w:pPr>
        <w:pStyle w:val="ListParagraph"/>
        <w:numPr>
          <w:ilvl w:val="0"/>
          <w:numId w:val="5"/>
        </w:numPr>
        <w:spacing w:line="360" w:lineRule="auto"/>
        <w:rPr>
          <w:rFonts w:ascii="Times New Roman" w:hAnsi="Times New Roman" w:cs="Times New Roman"/>
        </w:rPr>
      </w:pPr>
      <w:r w:rsidRPr="00474E40">
        <w:rPr>
          <w:rFonts w:ascii="Times New Roman" w:hAnsi="Times New Roman" w:cs="Times New Roman"/>
        </w:rPr>
        <w:t>Provide a comparative framework to assess the effectiveness and commercial applicability of different treatments.</w:t>
      </w:r>
    </w:p>
    <w:p w14:paraId="1DF28DA3" w14:textId="35E4F6BC" w:rsidR="00796366" w:rsidRPr="00796366" w:rsidRDefault="00796366" w:rsidP="00796366">
      <w:pPr>
        <w:spacing w:line="360" w:lineRule="auto"/>
        <w:rPr>
          <w:rFonts w:ascii="Times New Roman" w:hAnsi="Times New Roman" w:cs="Times New Roman"/>
          <w:b/>
          <w:bCs/>
        </w:rPr>
      </w:pPr>
      <w:r w:rsidRPr="00796366">
        <w:rPr>
          <w:rFonts w:ascii="Times New Roman" w:hAnsi="Times New Roman" w:cs="Times New Roman"/>
          <w:b/>
          <w:bCs/>
        </w:rPr>
        <w:t>Methodology of the Review</w:t>
      </w:r>
    </w:p>
    <w:p w14:paraId="4C4EE81C" w14:textId="0848D865" w:rsidR="004553FE" w:rsidRDefault="00796366" w:rsidP="00133165">
      <w:pPr>
        <w:spacing w:line="360" w:lineRule="auto"/>
        <w:ind w:firstLine="720"/>
        <w:jc w:val="both"/>
        <w:rPr>
          <w:rFonts w:ascii="Times New Roman" w:hAnsi="Times New Roman" w:cs="Times New Roman"/>
        </w:rPr>
      </w:pPr>
      <w:r w:rsidRPr="00796366">
        <w:rPr>
          <w:rFonts w:ascii="Times New Roman" w:hAnsi="Times New Roman" w:cs="Times New Roman"/>
        </w:rPr>
        <w:t>This review aims to provide a comprehensive and systematic overview of postharvest chemical treatments and edible coatings used to extend the shelf life and preserve the quality of fruits. The methodology for this bibliographic review involved a structured search of peer-reviewed literature from scientific databases, including Scopus, Web of Science, PubMed</w:t>
      </w:r>
      <w:r>
        <w:rPr>
          <w:rFonts w:ascii="Times New Roman" w:hAnsi="Times New Roman" w:cs="Times New Roman"/>
        </w:rPr>
        <w:t xml:space="preserve"> </w:t>
      </w:r>
      <w:r w:rsidRPr="00796366">
        <w:rPr>
          <w:rFonts w:ascii="Times New Roman" w:hAnsi="Times New Roman" w:cs="Times New Roman"/>
        </w:rPr>
        <w:t>and Google Scholar. The search was conducted using keywords such as "postharvest losses," "fruit shelf life," "edible coatings," "1-MCP," "calcium chloride," "polyamines," "chitosan" and "nano-emulsions."</w:t>
      </w:r>
    </w:p>
    <w:p w14:paraId="08EDBEA8" w14:textId="295BEF9C" w:rsidR="00796366" w:rsidRDefault="00DC37CE" w:rsidP="00133165">
      <w:pPr>
        <w:spacing w:line="360" w:lineRule="auto"/>
        <w:ind w:firstLine="720"/>
        <w:jc w:val="both"/>
        <w:rPr>
          <w:rFonts w:ascii="Times New Roman" w:hAnsi="Times New Roman" w:cs="Times New Roman"/>
        </w:rPr>
      </w:pPr>
      <w:r w:rsidRPr="00133165">
        <w:rPr>
          <w:rFonts w:ascii="Times New Roman" w:hAnsi="Times New Roman" w:cs="Times New Roman"/>
          <w:b/>
          <w:bCs/>
        </w:rPr>
        <w:t>Inclusion criteria</w:t>
      </w:r>
      <w:r w:rsidRPr="00DC37CE">
        <w:rPr>
          <w:rFonts w:ascii="Times New Roman" w:hAnsi="Times New Roman" w:cs="Times New Roman"/>
        </w:rPr>
        <w:t xml:space="preserve"> were: (</w:t>
      </w:r>
      <w:proofErr w:type="spellStart"/>
      <w:r w:rsidRPr="00DC37CE">
        <w:rPr>
          <w:rFonts w:ascii="Times New Roman" w:hAnsi="Times New Roman" w:cs="Times New Roman"/>
        </w:rPr>
        <w:t>i</w:t>
      </w:r>
      <w:proofErr w:type="spellEnd"/>
      <w:r w:rsidRPr="00DC37CE">
        <w:rPr>
          <w:rFonts w:ascii="Times New Roman" w:hAnsi="Times New Roman" w:cs="Times New Roman"/>
        </w:rPr>
        <w:t>) original research articles and review papers published in English, (ii) studies focusing on the application of postharvest chemicals or edible coatings on whole fruits, and (iii) research reporting on quality parameters such as firmness, weight loss, microbial decay, and sensory attributes</w:t>
      </w:r>
      <w:r w:rsidRPr="00133165">
        <w:rPr>
          <w:rFonts w:ascii="Times New Roman" w:hAnsi="Times New Roman" w:cs="Times New Roman"/>
          <w:b/>
          <w:bCs/>
        </w:rPr>
        <w:t>. Exclusion criteria</w:t>
      </w:r>
      <w:r w:rsidRPr="00DC37CE">
        <w:rPr>
          <w:rFonts w:ascii="Times New Roman" w:hAnsi="Times New Roman" w:cs="Times New Roman"/>
        </w:rPr>
        <w:t xml:space="preserve"> were: (</w:t>
      </w:r>
      <w:proofErr w:type="spellStart"/>
      <w:r w:rsidRPr="00DC37CE">
        <w:rPr>
          <w:rFonts w:ascii="Times New Roman" w:hAnsi="Times New Roman" w:cs="Times New Roman"/>
        </w:rPr>
        <w:t>i</w:t>
      </w:r>
      <w:proofErr w:type="spellEnd"/>
      <w:r w:rsidRPr="00DC37CE">
        <w:rPr>
          <w:rFonts w:ascii="Times New Roman" w:hAnsi="Times New Roman" w:cs="Times New Roman"/>
        </w:rPr>
        <w:t>) studies on processed fruit products (e.g., juices, jams), (ii) articles not available in full-text, and (iii) papers focusing solely on pre-harvest treatments. The search was focused on literature published between 2000 and 2024 to ensure the inclusion of the most recent advances, though seminal older papers were also considered.</w:t>
      </w:r>
    </w:p>
    <w:p w14:paraId="6897E546" w14:textId="350B8F79" w:rsidR="00133165" w:rsidRPr="00B52954" w:rsidRDefault="00B52954" w:rsidP="00133165">
      <w:pPr>
        <w:spacing w:line="360" w:lineRule="auto"/>
        <w:jc w:val="both"/>
        <w:rPr>
          <w:rFonts w:ascii="Times New Roman" w:hAnsi="Times New Roman" w:cs="Times New Roman"/>
          <w:b/>
          <w:bCs/>
        </w:rPr>
      </w:pPr>
      <w:r w:rsidRPr="00B52954">
        <w:rPr>
          <w:rFonts w:ascii="Times New Roman" w:hAnsi="Times New Roman" w:cs="Times New Roman"/>
          <w:b/>
          <w:bCs/>
        </w:rPr>
        <w:t>Postharvest Interventions for Quality Preservation</w:t>
      </w:r>
    </w:p>
    <w:p w14:paraId="48726628" w14:textId="6011EF2B" w:rsidR="00735878" w:rsidRPr="00221196" w:rsidRDefault="00735878" w:rsidP="00DF3838">
      <w:pPr>
        <w:spacing w:line="360" w:lineRule="auto"/>
        <w:ind w:firstLine="720"/>
        <w:jc w:val="both"/>
        <w:rPr>
          <w:rFonts w:ascii="Times New Roman" w:hAnsi="Times New Roman" w:cs="Times New Roman"/>
        </w:rPr>
      </w:pPr>
      <w:r w:rsidRPr="00221196">
        <w:rPr>
          <w:rFonts w:ascii="Times New Roman" w:hAnsi="Times New Roman" w:cs="Times New Roman"/>
        </w:rPr>
        <w:t>Effective postharvest management plays a crucial role in preserving fruit quality from harvest to consumption. Since fruits remain metabolically active even after harvest, they are highly susceptible to rapid ripening, moisture loss, microbial decay and physiological deterioration. In this context, postharvest chemical treatments and edible coatings have emerged as important technological interventions to minimize losses and maintain quality during storage and marketing</w:t>
      </w:r>
      <w:r w:rsidR="0040209D">
        <w:rPr>
          <w:rFonts w:ascii="Times New Roman" w:hAnsi="Times New Roman" w:cs="Times New Roman"/>
        </w:rPr>
        <w:t xml:space="preserve"> </w:t>
      </w:r>
      <w:r w:rsidR="0040209D" w:rsidRPr="0040209D">
        <w:rPr>
          <w:rFonts w:ascii="Times New Roman" w:hAnsi="Times New Roman" w:cs="Times New Roman"/>
        </w:rPr>
        <w:t>(Mahajan et al., 2014</w:t>
      </w:r>
      <w:r w:rsidR="00783324">
        <w:rPr>
          <w:rFonts w:ascii="Times New Roman" w:hAnsi="Times New Roman" w:cs="Times New Roman"/>
        </w:rPr>
        <w:t xml:space="preserve">; </w:t>
      </w:r>
      <w:r w:rsidR="00F477BD" w:rsidRPr="00F477BD">
        <w:rPr>
          <w:rFonts w:ascii="Times New Roman" w:hAnsi="Times New Roman" w:cs="Times New Roman"/>
        </w:rPr>
        <w:t>Maurya et al., 2024</w:t>
      </w:r>
      <w:r w:rsidR="0040209D" w:rsidRPr="0040209D">
        <w:rPr>
          <w:rFonts w:ascii="Times New Roman" w:hAnsi="Times New Roman" w:cs="Times New Roman"/>
        </w:rPr>
        <w:t>)</w:t>
      </w:r>
      <w:r w:rsidRPr="00221196">
        <w:rPr>
          <w:rFonts w:ascii="Times New Roman" w:hAnsi="Times New Roman" w:cs="Times New Roman"/>
        </w:rPr>
        <w:t>.</w:t>
      </w:r>
    </w:p>
    <w:p w14:paraId="67C5DF1A" w14:textId="1A2DFBEF" w:rsidR="00735878" w:rsidRPr="00221196" w:rsidRDefault="00735878" w:rsidP="00DF3838">
      <w:pPr>
        <w:spacing w:line="360" w:lineRule="auto"/>
        <w:ind w:firstLine="720"/>
        <w:jc w:val="both"/>
        <w:rPr>
          <w:rFonts w:ascii="Times New Roman" w:hAnsi="Times New Roman" w:cs="Times New Roman"/>
        </w:rPr>
      </w:pPr>
      <w:r w:rsidRPr="00221196">
        <w:rPr>
          <w:rFonts w:ascii="Times New Roman" w:hAnsi="Times New Roman" w:cs="Times New Roman"/>
        </w:rPr>
        <w:t>Postharvest chemical treatments such as calcium salts, ethylene inhibitors (e.g., 1-MCP), salicylic acid, fungicides</w:t>
      </w:r>
      <w:r w:rsidR="00883854" w:rsidRPr="00221196">
        <w:rPr>
          <w:rFonts w:ascii="Times New Roman" w:hAnsi="Times New Roman" w:cs="Times New Roman"/>
        </w:rPr>
        <w:t xml:space="preserve"> </w:t>
      </w:r>
      <w:r w:rsidRPr="00221196">
        <w:rPr>
          <w:rFonts w:ascii="Times New Roman" w:hAnsi="Times New Roman" w:cs="Times New Roman"/>
        </w:rPr>
        <w:t>and nitric oxide donors help regulate physiological processes by slowing respiration, delaying ethylene action, strengthening cell walls</w:t>
      </w:r>
      <w:r w:rsidR="00883854" w:rsidRPr="00221196">
        <w:rPr>
          <w:rFonts w:ascii="Times New Roman" w:hAnsi="Times New Roman" w:cs="Times New Roman"/>
        </w:rPr>
        <w:t xml:space="preserve"> </w:t>
      </w:r>
      <w:r w:rsidRPr="00221196">
        <w:rPr>
          <w:rFonts w:ascii="Times New Roman" w:hAnsi="Times New Roman" w:cs="Times New Roman"/>
        </w:rPr>
        <w:t>and suppressing microbial growth</w:t>
      </w:r>
      <w:r w:rsidR="006456C0">
        <w:rPr>
          <w:rFonts w:ascii="Times New Roman" w:hAnsi="Times New Roman" w:cs="Times New Roman"/>
        </w:rPr>
        <w:t xml:space="preserve"> </w:t>
      </w:r>
      <w:r w:rsidR="006456C0" w:rsidRPr="006456C0">
        <w:rPr>
          <w:rFonts w:ascii="Times New Roman" w:hAnsi="Times New Roman" w:cs="Times New Roman"/>
        </w:rPr>
        <w:t>(Singh et al., 2022</w:t>
      </w:r>
      <w:r w:rsidR="006456C0">
        <w:rPr>
          <w:rFonts w:ascii="Times New Roman" w:hAnsi="Times New Roman" w:cs="Times New Roman"/>
        </w:rPr>
        <w:t>)</w:t>
      </w:r>
      <w:r w:rsidRPr="00221196">
        <w:rPr>
          <w:rFonts w:ascii="Times New Roman" w:hAnsi="Times New Roman" w:cs="Times New Roman"/>
        </w:rPr>
        <w:t>. These treatments contribute to maintaining firmness, reducing decay incidence, preserving nutritional quality</w:t>
      </w:r>
      <w:r w:rsidR="00883854" w:rsidRPr="00221196">
        <w:rPr>
          <w:rFonts w:ascii="Times New Roman" w:hAnsi="Times New Roman" w:cs="Times New Roman"/>
        </w:rPr>
        <w:t xml:space="preserve"> </w:t>
      </w:r>
      <w:r w:rsidRPr="00221196">
        <w:rPr>
          <w:rFonts w:ascii="Times New Roman" w:hAnsi="Times New Roman" w:cs="Times New Roman"/>
        </w:rPr>
        <w:t>and extending marketable life</w:t>
      </w:r>
      <w:r w:rsidR="007C0B15">
        <w:rPr>
          <w:rFonts w:ascii="Times New Roman" w:hAnsi="Times New Roman" w:cs="Times New Roman"/>
        </w:rPr>
        <w:t xml:space="preserve"> </w:t>
      </w:r>
      <w:r w:rsidR="007C0B15" w:rsidRPr="007C0B15">
        <w:rPr>
          <w:rFonts w:ascii="Times New Roman" w:hAnsi="Times New Roman" w:cs="Times New Roman"/>
        </w:rPr>
        <w:t>(Chen et al., 2021)</w:t>
      </w:r>
      <w:r w:rsidRPr="00221196">
        <w:rPr>
          <w:rFonts w:ascii="Times New Roman" w:hAnsi="Times New Roman" w:cs="Times New Roman"/>
        </w:rPr>
        <w:t>. When applied at appropriate concentrations and under recommended conditions, they significantly enhance storage stability and reduce quantitative and qualitative losses</w:t>
      </w:r>
      <w:r w:rsidR="007C0B15">
        <w:rPr>
          <w:rFonts w:ascii="Times New Roman" w:hAnsi="Times New Roman" w:cs="Times New Roman"/>
        </w:rPr>
        <w:t xml:space="preserve"> (</w:t>
      </w:r>
      <w:r w:rsidR="007C0B15" w:rsidRPr="007C0B15">
        <w:rPr>
          <w:rFonts w:ascii="Times New Roman" w:hAnsi="Times New Roman" w:cs="Times New Roman"/>
        </w:rPr>
        <w:t>Palou et al., 2016)</w:t>
      </w:r>
      <w:r w:rsidRPr="00221196">
        <w:rPr>
          <w:rFonts w:ascii="Times New Roman" w:hAnsi="Times New Roman" w:cs="Times New Roman"/>
        </w:rPr>
        <w:t>.</w:t>
      </w:r>
    </w:p>
    <w:p w14:paraId="1822AF2F" w14:textId="1602BB75" w:rsidR="008718B1" w:rsidRDefault="00735878" w:rsidP="00DF3838">
      <w:pPr>
        <w:spacing w:line="360" w:lineRule="auto"/>
        <w:ind w:firstLine="720"/>
        <w:jc w:val="both"/>
        <w:rPr>
          <w:rFonts w:ascii="Times New Roman" w:hAnsi="Times New Roman" w:cs="Times New Roman"/>
        </w:rPr>
      </w:pPr>
      <w:r w:rsidRPr="00221196">
        <w:rPr>
          <w:rFonts w:ascii="Times New Roman" w:hAnsi="Times New Roman" w:cs="Times New Roman"/>
        </w:rPr>
        <w:lastRenderedPageBreak/>
        <w:t>Edible coatings, on the other hand, provide a biodegradable and eco-friendly approach to postharvest preservation</w:t>
      </w:r>
      <w:r w:rsidR="0083015F">
        <w:rPr>
          <w:rFonts w:ascii="Times New Roman" w:hAnsi="Times New Roman" w:cs="Times New Roman"/>
        </w:rPr>
        <w:t xml:space="preserve"> </w:t>
      </w:r>
      <w:r w:rsidR="0083015F" w:rsidRPr="0083015F">
        <w:rPr>
          <w:rFonts w:ascii="Times New Roman" w:hAnsi="Times New Roman" w:cs="Times New Roman"/>
        </w:rPr>
        <w:t>(Flores-López et al., 2016)</w:t>
      </w:r>
      <w:r w:rsidRPr="00221196">
        <w:rPr>
          <w:rFonts w:ascii="Times New Roman" w:hAnsi="Times New Roman" w:cs="Times New Roman"/>
        </w:rPr>
        <w:t>. By forming a thin protective layer on the fruit surface, edible coatings act as semi-permeable barriers that reduce moisture loss, modify internal gas exchange and limit microbial contamination. This controlled internal environment slows ripening and senescence while maintaining texture, appearance</w:t>
      </w:r>
      <w:r w:rsidR="00883854" w:rsidRPr="00221196">
        <w:rPr>
          <w:rFonts w:ascii="Times New Roman" w:hAnsi="Times New Roman" w:cs="Times New Roman"/>
        </w:rPr>
        <w:t xml:space="preserve"> </w:t>
      </w:r>
      <w:r w:rsidRPr="00221196">
        <w:rPr>
          <w:rFonts w:ascii="Times New Roman" w:hAnsi="Times New Roman" w:cs="Times New Roman"/>
        </w:rPr>
        <w:t>and nutritional value</w:t>
      </w:r>
      <w:r w:rsidR="00371C9C" w:rsidRPr="00221196">
        <w:rPr>
          <w:rFonts w:ascii="Times New Roman" w:hAnsi="Times New Roman" w:cs="Times New Roman"/>
        </w:rPr>
        <w:t xml:space="preserve"> (Fig 2)</w:t>
      </w:r>
      <w:r w:rsidRPr="00221196">
        <w:rPr>
          <w:rFonts w:ascii="Times New Roman" w:hAnsi="Times New Roman" w:cs="Times New Roman"/>
        </w:rPr>
        <w:t>.</w:t>
      </w:r>
      <w:r w:rsidR="00820CF4" w:rsidRPr="00221196">
        <w:rPr>
          <w:rFonts w:ascii="Times New Roman" w:hAnsi="Times New Roman" w:cs="Times New Roman"/>
        </w:rPr>
        <w:t xml:space="preserve"> </w:t>
      </w:r>
      <w:r w:rsidRPr="00221196">
        <w:rPr>
          <w:rFonts w:ascii="Times New Roman" w:hAnsi="Times New Roman" w:cs="Times New Roman"/>
        </w:rPr>
        <w:t>Together, postharvest chemical treatments and edible coatings serve as complementary strategies in modern postharvest management systems</w:t>
      </w:r>
      <w:r w:rsidR="0083015F">
        <w:rPr>
          <w:rFonts w:ascii="Times New Roman" w:hAnsi="Times New Roman" w:cs="Times New Roman"/>
        </w:rPr>
        <w:t xml:space="preserve"> </w:t>
      </w:r>
      <w:r w:rsidR="0083015F" w:rsidRPr="0083015F">
        <w:rPr>
          <w:rFonts w:ascii="Times New Roman" w:hAnsi="Times New Roman" w:cs="Times New Roman"/>
        </w:rPr>
        <w:t>(Yousuf et al., 2018</w:t>
      </w:r>
      <w:r w:rsidR="00F477BD">
        <w:rPr>
          <w:rFonts w:ascii="Times New Roman" w:hAnsi="Times New Roman" w:cs="Times New Roman"/>
        </w:rPr>
        <w:t>;</w:t>
      </w:r>
      <w:r w:rsidR="00F477BD" w:rsidRPr="00F477BD">
        <w:t xml:space="preserve"> </w:t>
      </w:r>
      <w:r w:rsidR="00F477BD" w:rsidRPr="00F477BD">
        <w:rPr>
          <w:rFonts w:ascii="Times New Roman" w:hAnsi="Times New Roman" w:cs="Times New Roman"/>
        </w:rPr>
        <w:t>Singh et al., 2023</w:t>
      </w:r>
      <w:bookmarkStart w:id="0" w:name="_GoBack"/>
      <w:bookmarkEnd w:id="0"/>
      <w:r w:rsidR="0083015F" w:rsidRPr="0083015F">
        <w:rPr>
          <w:rFonts w:ascii="Times New Roman" w:hAnsi="Times New Roman" w:cs="Times New Roman"/>
        </w:rPr>
        <w:t>).</w:t>
      </w:r>
      <w:r w:rsidR="0083015F">
        <w:rPr>
          <w:rFonts w:ascii="Times New Roman" w:hAnsi="Times New Roman" w:cs="Times New Roman"/>
        </w:rPr>
        <w:t xml:space="preserve"> </w:t>
      </w:r>
      <w:r w:rsidRPr="00221196">
        <w:rPr>
          <w:rFonts w:ascii="Times New Roman" w:hAnsi="Times New Roman" w:cs="Times New Roman"/>
        </w:rPr>
        <w:t>Their integration with proper harvesting, grading, packaging, and cold chain management can substantially reduce postharvest losses, enhance fruit quality, improve economic returns for farmers and strengthen overall food and nutrition security</w:t>
      </w:r>
      <w:r w:rsidR="003E50E4">
        <w:rPr>
          <w:rFonts w:ascii="Times New Roman" w:hAnsi="Times New Roman" w:cs="Times New Roman"/>
        </w:rPr>
        <w:t xml:space="preserve"> (</w:t>
      </w:r>
      <w:r w:rsidR="003E50E4" w:rsidRPr="003E50E4">
        <w:rPr>
          <w:rFonts w:ascii="Times New Roman" w:hAnsi="Times New Roman" w:cs="Times New Roman"/>
        </w:rPr>
        <w:t>Porat et al., 2018)</w:t>
      </w:r>
      <w:r w:rsidRPr="00221196">
        <w:rPr>
          <w:rFonts w:ascii="Times New Roman" w:hAnsi="Times New Roman" w:cs="Times New Roman"/>
        </w:rPr>
        <w:t>.</w:t>
      </w:r>
    </w:p>
    <w:p w14:paraId="296BC93F" w14:textId="6C60DCE2" w:rsidR="00934574" w:rsidRDefault="00934574" w:rsidP="00DF3838">
      <w:pPr>
        <w:spacing w:line="360" w:lineRule="auto"/>
        <w:ind w:firstLine="720"/>
        <w:jc w:val="both"/>
        <w:rPr>
          <w:rFonts w:ascii="Times New Roman" w:hAnsi="Times New Roman" w:cs="Times New Roman"/>
        </w:rPr>
      </w:pPr>
      <w:r w:rsidRPr="00221196">
        <w:rPr>
          <w:rFonts w:ascii="Times New Roman" w:hAnsi="Times New Roman" w:cs="Times New Roman"/>
          <w:noProof/>
        </w:rPr>
        <w:drawing>
          <wp:inline distT="0" distB="0" distL="0" distR="0" wp14:anchorId="4F71B931" wp14:editId="2E49C6FC">
            <wp:extent cx="4602480" cy="2560320"/>
            <wp:effectExtent l="0" t="0" r="7620" b="0"/>
            <wp:docPr id="18024724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700412" name="Picture 3847004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02480" cy="2560320"/>
                    </a:xfrm>
                    <a:prstGeom prst="rect">
                      <a:avLst/>
                    </a:prstGeom>
                  </pic:spPr>
                </pic:pic>
              </a:graphicData>
            </a:graphic>
          </wp:inline>
        </w:drawing>
      </w:r>
    </w:p>
    <w:p w14:paraId="1639E013" w14:textId="5B06C894" w:rsidR="00934574" w:rsidRPr="00221196" w:rsidRDefault="003E50E4" w:rsidP="00DF3838">
      <w:pPr>
        <w:spacing w:line="360" w:lineRule="auto"/>
        <w:ind w:firstLine="720"/>
        <w:jc w:val="both"/>
        <w:rPr>
          <w:rFonts w:ascii="Times New Roman" w:hAnsi="Times New Roman" w:cs="Times New Roman"/>
        </w:rPr>
      </w:pPr>
      <w:r w:rsidRPr="00221196">
        <w:rPr>
          <w:rFonts w:ascii="Times New Roman" w:hAnsi="Times New Roman" w:cs="Times New Roman"/>
          <w:noProof/>
        </w:rPr>
        <mc:AlternateContent>
          <mc:Choice Requires="wps">
            <w:drawing>
              <wp:anchor distT="45720" distB="45720" distL="114300" distR="114300" simplePos="0" relativeHeight="251692032" behindDoc="0" locked="0" layoutInCell="1" allowOverlap="1" wp14:anchorId="0B264EE1" wp14:editId="257BD4FF">
                <wp:simplePos x="0" y="0"/>
                <wp:positionH relativeFrom="column">
                  <wp:posOffset>1447800</wp:posOffset>
                </wp:positionH>
                <wp:positionV relativeFrom="paragraph">
                  <wp:posOffset>11430</wp:posOffset>
                </wp:positionV>
                <wp:extent cx="2702560" cy="467360"/>
                <wp:effectExtent l="0" t="0" r="21590" b="27940"/>
                <wp:wrapSquare wrapText="bothSides"/>
                <wp:docPr id="1174186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467360"/>
                        </a:xfrm>
                        <a:prstGeom prst="rect">
                          <a:avLst/>
                        </a:prstGeom>
                        <a:solidFill>
                          <a:srgbClr val="FFFFFF"/>
                        </a:solidFill>
                        <a:ln w="9525">
                          <a:solidFill>
                            <a:schemeClr val="bg1"/>
                          </a:solidFill>
                          <a:miter lim="800000"/>
                          <a:headEnd/>
                          <a:tailEnd/>
                        </a:ln>
                      </wps:spPr>
                      <wps:txbx>
                        <w:txbxContent>
                          <w:p w14:paraId="4555F153" w14:textId="77777777" w:rsidR="00934574" w:rsidRPr="00DF3838" w:rsidRDefault="00934574" w:rsidP="00934574">
                            <w:pPr>
                              <w:rPr>
                                <w:rFonts w:ascii="Times New Roman" w:hAnsi="Times New Roman" w:cs="Times New Roman"/>
                                <w:lang w:val="en-US"/>
                              </w:rPr>
                            </w:pPr>
                            <w:r w:rsidRPr="00DF3838">
                              <w:rPr>
                                <w:rFonts w:ascii="Times New Roman" w:hAnsi="Times New Roman" w:cs="Times New Roman"/>
                                <w:b/>
                                <w:bCs/>
                                <w:lang w:val="en-US"/>
                              </w:rPr>
                              <w:t>Fig 2.</w:t>
                            </w:r>
                            <w:r w:rsidRPr="00DF3838">
                              <w:rPr>
                                <w:rFonts w:ascii="Times New Roman" w:hAnsi="Times New Roman" w:cs="Times New Roman"/>
                                <w:lang w:val="en-US"/>
                              </w:rPr>
                              <w:t xml:space="preserve"> Effect of edible coating on quality of strawberry (</w:t>
                            </w:r>
                            <w:proofErr w:type="spellStart"/>
                            <w:r w:rsidRPr="00DF3838">
                              <w:rPr>
                                <w:rFonts w:ascii="Times New Roman" w:hAnsi="Times New Roman" w:cs="Times New Roman"/>
                              </w:rPr>
                              <w:t>Elsabee</w:t>
                            </w:r>
                            <w:proofErr w:type="spellEnd"/>
                            <w:r w:rsidRPr="00DF3838">
                              <w:rPr>
                                <w:rFonts w:ascii="Times New Roman" w:hAnsi="Times New Roman" w:cs="Times New Roman"/>
                              </w:rPr>
                              <w:t xml:space="preserve"> &amp; Abdou 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64EE1" id="_x0000_s1027" type="#_x0000_t202" style="position:absolute;left:0;text-align:left;margin-left:114pt;margin-top:.9pt;width:212.8pt;height:36.8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" strokecolor="white [3212]">
                <v:textbox>
                  <w:txbxContent>
                    <w:p w14:paraId="4555F153" w14:textId="77777777" w:rsidR="00934574" w:rsidRPr="00DF3838" w:rsidRDefault="00934574" w:rsidP="00934574">
                      <w:pPr>
                        <w:rPr>
                          <w:rFonts w:ascii="Times New Roman" w:hAnsi="Times New Roman" w:cs="Times New Roman"/>
                          <w:lang w:val="en-US"/>
                        </w:rPr>
                      </w:pPr>
                      <w:r w:rsidRPr="00DF3838">
                        <w:rPr>
                          <w:rFonts w:ascii="Times New Roman" w:hAnsi="Times New Roman" w:cs="Times New Roman"/>
                          <w:b/>
                          <w:bCs/>
                          <w:lang w:val="en-US"/>
                        </w:rPr>
                        <w:t>Fig 2.</w:t>
                      </w:r>
                      <w:r w:rsidRPr="00DF3838">
                        <w:rPr>
                          <w:rFonts w:ascii="Times New Roman" w:hAnsi="Times New Roman" w:cs="Times New Roman"/>
                          <w:lang w:val="en-US"/>
                        </w:rPr>
                        <w:t xml:space="preserve"> Effect of edible coating on quality of strawberry (</w:t>
                      </w:r>
                      <w:proofErr w:type="spellStart"/>
                      <w:r w:rsidRPr="00DF3838">
                        <w:rPr>
                          <w:rFonts w:ascii="Times New Roman" w:hAnsi="Times New Roman" w:cs="Times New Roman"/>
                        </w:rPr>
                        <w:t>Elsabee</w:t>
                      </w:r>
                      <w:proofErr w:type="spellEnd"/>
                      <w:r w:rsidRPr="00DF3838">
                        <w:rPr>
                          <w:rFonts w:ascii="Times New Roman" w:hAnsi="Times New Roman" w:cs="Times New Roman"/>
                        </w:rPr>
                        <w:t xml:space="preserve"> &amp; Abdou 2013)</w:t>
                      </w:r>
                    </w:p>
                  </w:txbxContent>
                </v:textbox>
                <w10:wrap type="square"/>
              </v:shape>
            </w:pict>
          </mc:Fallback>
        </mc:AlternateContent>
      </w:r>
    </w:p>
    <w:p w14:paraId="1156BA05" w14:textId="210E681F" w:rsidR="00934574" w:rsidRDefault="00934574" w:rsidP="004231BC">
      <w:pPr>
        <w:spacing w:line="360" w:lineRule="auto"/>
        <w:jc w:val="both"/>
        <w:rPr>
          <w:rFonts w:ascii="Times New Roman" w:hAnsi="Times New Roman" w:cs="Times New Roman"/>
          <w:b/>
          <w:bCs/>
        </w:rPr>
      </w:pPr>
    </w:p>
    <w:p w14:paraId="5B25E102" w14:textId="77777777" w:rsidR="00934574" w:rsidRDefault="00934574" w:rsidP="004231BC">
      <w:pPr>
        <w:spacing w:line="360" w:lineRule="auto"/>
        <w:jc w:val="both"/>
        <w:rPr>
          <w:rFonts w:ascii="Times New Roman" w:hAnsi="Times New Roman" w:cs="Times New Roman"/>
          <w:b/>
          <w:bCs/>
        </w:rPr>
      </w:pPr>
    </w:p>
    <w:p w14:paraId="187A9829" w14:textId="472B1733" w:rsidR="00195840" w:rsidRPr="00221196" w:rsidRDefault="00195840" w:rsidP="004231BC">
      <w:pPr>
        <w:spacing w:line="360" w:lineRule="auto"/>
        <w:jc w:val="both"/>
        <w:rPr>
          <w:rFonts w:ascii="Times New Roman" w:hAnsi="Times New Roman" w:cs="Times New Roman"/>
          <w:b/>
          <w:bCs/>
        </w:rPr>
      </w:pPr>
      <w:r w:rsidRPr="00221196">
        <w:rPr>
          <w:rFonts w:ascii="Times New Roman" w:hAnsi="Times New Roman" w:cs="Times New Roman"/>
          <w:b/>
          <w:bCs/>
        </w:rPr>
        <w:t>Fruit Production Status in India</w:t>
      </w:r>
    </w:p>
    <w:p w14:paraId="322C1A43" w14:textId="77777777" w:rsidR="00195840" w:rsidRPr="00221196" w:rsidRDefault="00195840" w:rsidP="00DF3838">
      <w:pPr>
        <w:spacing w:line="360" w:lineRule="auto"/>
        <w:ind w:firstLine="720"/>
        <w:jc w:val="both"/>
        <w:rPr>
          <w:rFonts w:ascii="Times New Roman" w:hAnsi="Times New Roman" w:cs="Times New Roman"/>
        </w:rPr>
      </w:pPr>
      <w:r w:rsidRPr="00221196">
        <w:rPr>
          <w:rFonts w:ascii="Times New Roman" w:hAnsi="Times New Roman" w:cs="Times New Roman"/>
        </w:rPr>
        <w:t>India has emerged as a global leader in horticultural production. According to the National Horticulture Board (NHB, 2023), India produces approximately 108–110 million tonnes of fruits annually, accounting for nearly 12–13% of global fruit production.</w:t>
      </w:r>
    </w:p>
    <w:p w14:paraId="60F84D1C" w14:textId="12AC36DF" w:rsidR="00195840" w:rsidRPr="00221196" w:rsidRDefault="00195840" w:rsidP="004231BC">
      <w:pPr>
        <w:spacing w:line="360" w:lineRule="auto"/>
        <w:jc w:val="both"/>
        <w:rPr>
          <w:rFonts w:ascii="Times New Roman" w:hAnsi="Times New Roman" w:cs="Times New Roman"/>
          <w:b/>
          <w:bCs/>
        </w:rPr>
      </w:pPr>
      <w:r w:rsidRPr="00221196">
        <w:rPr>
          <w:rFonts w:ascii="Times New Roman" w:hAnsi="Times New Roman" w:cs="Times New Roman"/>
          <w:b/>
          <w:bCs/>
        </w:rPr>
        <w:t>Major Fruit Crops</w:t>
      </w:r>
    </w:p>
    <w:p w14:paraId="6B7EB57B" w14:textId="5EEDF9AA" w:rsidR="00195840" w:rsidRPr="00221196" w:rsidRDefault="00195840" w:rsidP="004231BC">
      <w:pPr>
        <w:spacing w:line="360" w:lineRule="auto"/>
        <w:jc w:val="both"/>
        <w:rPr>
          <w:rFonts w:ascii="Times New Roman" w:hAnsi="Times New Roman" w:cs="Times New Roman"/>
        </w:rPr>
      </w:pPr>
      <w:r w:rsidRPr="00221196">
        <w:rPr>
          <w:rFonts w:ascii="Times New Roman" w:hAnsi="Times New Roman" w:cs="Times New Roman"/>
        </w:rPr>
        <w:t>The principal fruit crops grown in India include:</w:t>
      </w:r>
      <w:r w:rsidR="000C7406" w:rsidRPr="00221196">
        <w:rPr>
          <w:rFonts w:ascii="Times New Roman" w:hAnsi="Times New Roman" w:cs="Times New Roman"/>
        </w:rPr>
        <w:t xml:space="preserve"> </w:t>
      </w:r>
      <w:r w:rsidRPr="00221196">
        <w:rPr>
          <w:rFonts w:ascii="Times New Roman" w:hAnsi="Times New Roman" w:cs="Times New Roman"/>
        </w:rPr>
        <w:t>Mango</w:t>
      </w:r>
      <w:r w:rsidR="000C7406" w:rsidRPr="00221196">
        <w:rPr>
          <w:rFonts w:ascii="Times New Roman" w:hAnsi="Times New Roman" w:cs="Times New Roman"/>
        </w:rPr>
        <w:t xml:space="preserve">, </w:t>
      </w:r>
      <w:r w:rsidRPr="00221196">
        <w:rPr>
          <w:rFonts w:ascii="Times New Roman" w:hAnsi="Times New Roman" w:cs="Times New Roman"/>
        </w:rPr>
        <w:t>Banana</w:t>
      </w:r>
      <w:r w:rsidR="000C7406" w:rsidRPr="00221196">
        <w:rPr>
          <w:rFonts w:ascii="Times New Roman" w:hAnsi="Times New Roman" w:cs="Times New Roman"/>
        </w:rPr>
        <w:t xml:space="preserve">, </w:t>
      </w:r>
      <w:r w:rsidRPr="00221196">
        <w:rPr>
          <w:rFonts w:ascii="Times New Roman" w:hAnsi="Times New Roman" w:cs="Times New Roman"/>
        </w:rPr>
        <w:t>Citrus</w:t>
      </w:r>
      <w:r w:rsidR="000C7406" w:rsidRPr="00221196">
        <w:rPr>
          <w:rFonts w:ascii="Times New Roman" w:hAnsi="Times New Roman" w:cs="Times New Roman"/>
        </w:rPr>
        <w:t xml:space="preserve">, </w:t>
      </w:r>
      <w:r w:rsidRPr="00221196">
        <w:rPr>
          <w:rFonts w:ascii="Times New Roman" w:hAnsi="Times New Roman" w:cs="Times New Roman"/>
        </w:rPr>
        <w:t>Papaya</w:t>
      </w:r>
      <w:r w:rsidR="000C7406" w:rsidRPr="00221196">
        <w:rPr>
          <w:rFonts w:ascii="Times New Roman" w:hAnsi="Times New Roman" w:cs="Times New Roman"/>
        </w:rPr>
        <w:t xml:space="preserve">, </w:t>
      </w:r>
      <w:r w:rsidRPr="00221196">
        <w:rPr>
          <w:rFonts w:ascii="Times New Roman" w:hAnsi="Times New Roman" w:cs="Times New Roman"/>
        </w:rPr>
        <w:t>Guava</w:t>
      </w:r>
      <w:r w:rsidR="008B1EC2" w:rsidRPr="00221196">
        <w:rPr>
          <w:rFonts w:ascii="Times New Roman" w:hAnsi="Times New Roman" w:cs="Times New Roman"/>
        </w:rPr>
        <w:t xml:space="preserve"> and</w:t>
      </w:r>
      <w:r w:rsidR="000C7406" w:rsidRPr="00221196">
        <w:rPr>
          <w:rFonts w:ascii="Times New Roman" w:hAnsi="Times New Roman" w:cs="Times New Roman"/>
        </w:rPr>
        <w:t xml:space="preserve"> </w:t>
      </w:r>
      <w:r w:rsidRPr="00221196">
        <w:rPr>
          <w:rFonts w:ascii="Times New Roman" w:hAnsi="Times New Roman" w:cs="Times New Roman"/>
        </w:rPr>
        <w:t>Pomegranate</w:t>
      </w:r>
    </w:p>
    <w:p w14:paraId="770529D0" w14:textId="77777777" w:rsidR="00195840" w:rsidRPr="00221196" w:rsidRDefault="00195840" w:rsidP="004231BC">
      <w:pPr>
        <w:spacing w:line="360" w:lineRule="auto"/>
        <w:jc w:val="both"/>
        <w:rPr>
          <w:rFonts w:ascii="Times New Roman" w:hAnsi="Times New Roman" w:cs="Times New Roman"/>
        </w:rPr>
      </w:pPr>
      <w:r w:rsidRPr="00221196">
        <w:rPr>
          <w:rFonts w:ascii="Times New Roman" w:hAnsi="Times New Roman" w:cs="Times New Roman"/>
        </w:rPr>
        <w:t>Among these:</w:t>
      </w:r>
    </w:p>
    <w:p w14:paraId="1C2213C4" w14:textId="77777777" w:rsidR="00195840" w:rsidRPr="00221196" w:rsidRDefault="00195840" w:rsidP="004231BC">
      <w:pPr>
        <w:pStyle w:val="ListParagraph"/>
        <w:numPr>
          <w:ilvl w:val="0"/>
          <w:numId w:val="1"/>
        </w:numPr>
        <w:spacing w:line="360" w:lineRule="auto"/>
        <w:jc w:val="both"/>
        <w:rPr>
          <w:rFonts w:ascii="Times New Roman" w:hAnsi="Times New Roman" w:cs="Times New Roman"/>
        </w:rPr>
      </w:pPr>
      <w:r w:rsidRPr="00221196">
        <w:rPr>
          <w:rFonts w:ascii="Times New Roman" w:hAnsi="Times New Roman" w:cs="Times New Roman"/>
        </w:rPr>
        <w:lastRenderedPageBreak/>
        <w:t>Mango contributes nearly 40–45% of global mango production (APEDA, 2023).</w:t>
      </w:r>
    </w:p>
    <w:p w14:paraId="625CFBC6" w14:textId="77777777" w:rsidR="00195840" w:rsidRPr="00221196" w:rsidRDefault="00195840" w:rsidP="004231BC">
      <w:pPr>
        <w:pStyle w:val="ListParagraph"/>
        <w:numPr>
          <w:ilvl w:val="0"/>
          <w:numId w:val="1"/>
        </w:numPr>
        <w:spacing w:line="360" w:lineRule="auto"/>
        <w:jc w:val="both"/>
        <w:rPr>
          <w:rFonts w:ascii="Times New Roman" w:hAnsi="Times New Roman" w:cs="Times New Roman"/>
        </w:rPr>
      </w:pPr>
      <w:r w:rsidRPr="00221196">
        <w:rPr>
          <w:rFonts w:ascii="Times New Roman" w:hAnsi="Times New Roman" w:cs="Times New Roman"/>
        </w:rPr>
        <w:t>Banana is the leading fruit in terms of production volume.</w:t>
      </w:r>
    </w:p>
    <w:p w14:paraId="2433D644" w14:textId="77777777" w:rsidR="00195840" w:rsidRPr="00221196" w:rsidRDefault="00195840" w:rsidP="004231BC">
      <w:pPr>
        <w:pStyle w:val="ListParagraph"/>
        <w:numPr>
          <w:ilvl w:val="0"/>
          <w:numId w:val="1"/>
        </w:numPr>
        <w:spacing w:line="360" w:lineRule="auto"/>
        <w:jc w:val="both"/>
        <w:rPr>
          <w:rFonts w:ascii="Times New Roman" w:hAnsi="Times New Roman" w:cs="Times New Roman"/>
        </w:rPr>
      </w:pPr>
      <w:r w:rsidRPr="00221196">
        <w:rPr>
          <w:rFonts w:ascii="Times New Roman" w:hAnsi="Times New Roman" w:cs="Times New Roman"/>
        </w:rPr>
        <w:t>Citrus fruits occupy significant area in states such as Maharashtra and Punjab.</w:t>
      </w:r>
    </w:p>
    <w:p w14:paraId="73AFA16D" w14:textId="77777777" w:rsidR="00195840" w:rsidRPr="00221196" w:rsidRDefault="00195840" w:rsidP="004231BC">
      <w:pPr>
        <w:spacing w:line="360" w:lineRule="auto"/>
        <w:jc w:val="both"/>
        <w:rPr>
          <w:rFonts w:ascii="Times New Roman" w:hAnsi="Times New Roman" w:cs="Times New Roman"/>
        </w:rPr>
      </w:pPr>
      <w:r w:rsidRPr="00221196">
        <w:rPr>
          <w:rFonts w:ascii="Times New Roman" w:hAnsi="Times New Roman" w:cs="Times New Roman"/>
        </w:rPr>
        <w:t>Major fruit-producing states include Maharashtra, Andhra Pradesh, Uttar Pradesh, Gujarat, Karnataka, Tamil Nadu, and Madhya Pradesh (NHB, 2023).</w:t>
      </w:r>
    </w:p>
    <w:p w14:paraId="14F1FF44" w14:textId="33D0D1AD" w:rsidR="00195840" w:rsidRPr="00221196" w:rsidRDefault="00195840" w:rsidP="004231BC">
      <w:pPr>
        <w:spacing w:line="360" w:lineRule="auto"/>
        <w:jc w:val="both"/>
        <w:rPr>
          <w:rFonts w:ascii="Times New Roman" w:hAnsi="Times New Roman" w:cs="Times New Roman"/>
        </w:rPr>
      </w:pPr>
      <w:r w:rsidRPr="00221196">
        <w:rPr>
          <w:rFonts w:ascii="Times New Roman" w:hAnsi="Times New Roman" w:cs="Times New Roman"/>
        </w:rPr>
        <w:t>Despite this impressive production base, India’s fruit export share remains relatively low compared to its production capacity. One of the primary reasons is postharvest quality deterioration and inadequate infrastructure (APEDA, 2023).</w:t>
      </w:r>
    </w:p>
    <w:p w14:paraId="27A2E70A" w14:textId="3ECBB891" w:rsidR="00692D7A" w:rsidRPr="00221196" w:rsidRDefault="00692D7A" w:rsidP="004231BC">
      <w:pPr>
        <w:spacing w:line="360" w:lineRule="auto"/>
        <w:jc w:val="both"/>
        <w:rPr>
          <w:rFonts w:ascii="Times New Roman" w:hAnsi="Times New Roman" w:cs="Times New Roman"/>
          <w:b/>
          <w:bCs/>
        </w:rPr>
      </w:pPr>
      <w:r w:rsidRPr="00221196">
        <w:rPr>
          <w:rFonts w:ascii="Times New Roman" w:hAnsi="Times New Roman" w:cs="Times New Roman"/>
          <w:b/>
          <w:bCs/>
        </w:rPr>
        <w:t>Magnitude of Postharvest Loss in Fruits</w:t>
      </w:r>
    </w:p>
    <w:p w14:paraId="2F863197" w14:textId="77777777" w:rsidR="00692D7A" w:rsidRPr="00221196" w:rsidRDefault="00692D7A" w:rsidP="004231BC">
      <w:pPr>
        <w:spacing w:line="360" w:lineRule="auto"/>
        <w:jc w:val="both"/>
        <w:rPr>
          <w:rFonts w:ascii="Times New Roman" w:hAnsi="Times New Roman" w:cs="Times New Roman"/>
        </w:rPr>
      </w:pPr>
      <w:r w:rsidRPr="00221196">
        <w:rPr>
          <w:rFonts w:ascii="Times New Roman" w:hAnsi="Times New Roman" w:cs="Times New Roman"/>
        </w:rPr>
        <w:t>Postharvest loss includes:</w:t>
      </w:r>
    </w:p>
    <w:p w14:paraId="4A294838" w14:textId="77777777" w:rsidR="00692D7A" w:rsidRPr="00DF3838" w:rsidRDefault="00692D7A" w:rsidP="00DF3838">
      <w:pPr>
        <w:pStyle w:val="ListParagraph"/>
        <w:numPr>
          <w:ilvl w:val="0"/>
          <w:numId w:val="4"/>
        </w:numPr>
        <w:spacing w:line="360" w:lineRule="auto"/>
        <w:jc w:val="both"/>
        <w:rPr>
          <w:rFonts w:ascii="Times New Roman" w:hAnsi="Times New Roman" w:cs="Times New Roman"/>
        </w:rPr>
      </w:pPr>
      <w:r w:rsidRPr="00DF3838">
        <w:rPr>
          <w:rFonts w:ascii="Times New Roman" w:hAnsi="Times New Roman" w:cs="Times New Roman"/>
        </w:rPr>
        <w:t>Quantitative loss – reduction in weight and volume</w:t>
      </w:r>
    </w:p>
    <w:p w14:paraId="2CC4686F" w14:textId="77777777" w:rsidR="00692D7A" w:rsidRPr="00DF3838" w:rsidRDefault="00692D7A" w:rsidP="00DF3838">
      <w:pPr>
        <w:pStyle w:val="ListParagraph"/>
        <w:numPr>
          <w:ilvl w:val="0"/>
          <w:numId w:val="4"/>
        </w:numPr>
        <w:spacing w:line="360" w:lineRule="auto"/>
        <w:jc w:val="both"/>
        <w:rPr>
          <w:rFonts w:ascii="Times New Roman" w:hAnsi="Times New Roman" w:cs="Times New Roman"/>
        </w:rPr>
      </w:pPr>
      <w:r w:rsidRPr="00DF3838">
        <w:rPr>
          <w:rFonts w:ascii="Times New Roman" w:hAnsi="Times New Roman" w:cs="Times New Roman"/>
        </w:rPr>
        <w:t>Qualitative loss – deterioration in appearance, texture, nutritional value and safety</w:t>
      </w:r>
    </w:p>
    <w:p w14:paraId="3E01E124" w14:textId="38F00DDE" w:rsidR="00692D7A" w:rsidRPr="00221196" w:rsidRDefault="00692D7A" w:rsidP="004231BC">
      <w:pPr>
        <w:spacing w:line="360" w:lineRule="auto"/>
        <w:jc w:val="both"/>
        <w:rPr>
          <w:rFonts w:ascii="Times New Roman" w:hAnsi="Times New Roman" w:cs="Times New Roman"/>
        </w:rPr>
      </w:pPr>
      <w:r w:rsidRPr="00221196">
        <w:rPr>
          <w:rFonts w:ascii="Times New Roman" w:hAnsi="Times New Roman" w:cs="Times New Roman"/>
        </w:rPr>
        <w:t xml:space="preserve">A nationwide assessment conducted by NABCONS under the Ministry of Food Processing Industries reported fruit losses ranging from 4.6% to 15.9% at different stages of the supply chain (NABCONS, 2022). </w:t>
      </w:r>
      <w:r w:rsidR="007A7063" w:rsidRPr="00221196">
        <w:rPr>
          <w:rFonts w:ascii="Times New Roman" w:hAnsi="Times New Roman" w:cs="Times New Roman"/>
        </w:rPr>
        <w:t xml:space="preserve">Postharvest loss in major fruit crops like </w:t>
      </w:r>
      <w:r w:rsidR="00FB28B5" w:rsidRPr="00221196">
        <w:rPr>
          <w:rFonts w:ascii="Times New Roman" w:hAnsi="Times New Roman" w:cs="Times New Roman"/>
        </w:rPr>
        <w:t>guava, apple etc. are listed in Fig 3.</w:t>
      </w:r>
    </w:p>
    <w:p w14:paraId="06773884" w14:textId="337D5059" w:rsidR="008C33D1" w:rsidRPr="00221196" w:rsidRDefault="00F95FD4" w:rsidP="004231BC">
      <w:pPr>
        <w:spacing w:line="360" w:lineRule="auto"/>
        <w:jc w:val="both"/>
        <w:rPr>
          <w:rFonts w:ascii="Times New Roman" w:hAnsi="Times New Roman" w:cs="Times New Roman"/>
        </w:rPr>
      </w:pPr>
      <w:r w:rsidRPr="00221196">
        <w:rPr>
          <w:rFonts w:ascii="Times New Roman" w:hAnsi="Times New Roman" w:cs="Times New Roman"/>
          <w:noProof/>
        </w:rPr>
        <mc:AlternateContent>
          <mc:Choice Requires="wps">
            <w:drawing>
              <wp:anchor distT="45720" distB="45720" distL="114300" distR="114300" simplePos="0" relativeHeight="251649024" behindDoc="0" locked="0" layoutInCell="1" allowOverlap="1" wp14:anchorId="22398EA4" wp14:editId="66E0CCA5">
                <wp:simplePos x="0" y="0"/>
                <wp:positionH relativeFrom="column">
                  <wp:posOffset>546735</wp:posOffset>
                </wp:positionH>
                <wp:positionV relativeFrom="paragraph">
                  <wp:posOffset>2277745</wp:posOffset>
                </wp:positionV>
                <wp:extent cx="4629150" cy="271145"/>
                <wp:effectExtent l="0" t="0" r="19050" b="14605"/>
                <wp:wrapSquare wrapText="bothSides"/>
                <wp:docPr id="16822167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271145"/>
                        </a:xfrm>
                        <a:prstGeom prst="rect">
                          <a:avLst/>
                        </a:prstGeom>
                        <a:solidFill>
                          <a:srgbClr val="FFFFFF"/>
                        </a:solidFill>
                        <a:ln w="9525">
                          <a:solidFill>
                            <a:schemeClr val="bg1"/>
                          </a:solidFill>
                          <a:miter lim="800000"/>
                          <a:headEnd/>
                          <a:tailEnd/>
                        </a:ln>
                      </wps:spPr>
                      <wps:txbx>
                        <w:txbxContent>
                          <w:p w14:paraId="762612F5" w14:textId="650D4D13" w:rsidR="00FB28B5" w:rsidRDefault="00FB28B5" w:rsidP="00FB28B5">
                            <w:r w:rsidRPr="00FB28B5">
                              <w:rPr>
                                <w:rFonts w:ascii="Times New Roman" w:hAnsi="Times New Roman" w:cs="Times New Roman"/>
                                <w:b/>
                                <w:bCs/>
                              </w:rPr>
                              <w:t>Fig 3.</w:t>
                            </w:r>
                            <w:r>
                              <w:rPr>
                                <w:rFonts w:ascii="Times New Roman" w:hAnsi="Times New Roman" w:cs="Times New Roman"/>
                              </w:rPr>
                              <w:t xml:space="preserve"> Postharvest loss in major fruit crops a</w:t>
                            </w:r>
                            <w:r w:rsidR="00F95FD4">
                              <w:rPr>
                                <w:rFonts w:ascii="Times New Roman" w:hAnsi="Times New Roman" w:cs="Times New Roman"/>
                              </w:rPr>
                              <w:t xml:space="preserve">s per </w:t>
                            </w:r>
                            <w:r w:rsidR="00F95FD4" w:rsidRPr="00692D7A">
                              <w:rPr>
                                <w:rFonts w:ascii="Times New Roman" w:hAnsi="Times New Roman" w:cs="Times New Roman"/>
                              </w:rPr>
                              <w:t>NABCONS, 2022</w:t>
                            </w:r>
                          </w:p>
                          <w:p w14:paraId="5546A103" w14:textId="55854E9F" w:rsidR="00FB28B5" w:rsidRDefault="00FB28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98EA4" id="_x0000_s1028" type="#_x0000_t202" style="position:absolute;left:0;text-align:left;margin-left:43.05pt;margin-top:179.35pt;width:364.5pt;height:21.3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" strokecolor="white [3212]">
                <v:textbox>
                  <w:txbxContent>
                    <w:p w14:paraId="762612F5" w14:textId="650D4D13" w:rsidR="00FB28B5" w:rsidRDefault="00FB28B5" w:rsidP="00FB28B5">
                      <w:r w:rsidRPr="00FB28B5">
                        <w:rPr>
                          <w:rFonts w:ascii="Times New Roman" w:hAnsi="Times New Roman" w:cs="Times New Roman"/>
                          <w:b/>
                          <w:bCs/>
                        </w:rPr>
                        <w:t>Fig 3.</w:t>
                      </w:r>
                      <w:r>
                        <w:rPr>
                          <w:rFonts w:ascii="Times New Roman" w:hAnsi="Times New Roman" w:cs="Times New Roman"/>
                        </w:rPr>
                        <w:t xml:space="preserve"> Postharvest loss in major fruit crops a</w:t>
                      </w:r>
                      <w:r w:rsidR="00F95FD4">
                        <w:rPr>
                          <w:rFonts w:ascii="Times New Roman" w:hAnsi="Times New Roman" w:cs="Times New Roman"/>
                        </w:rPr>
                        <w:t xml:space="preserve">s per </w:t>
                      </w:r>
                      <w:r w:rsidR="00F95FD4" w:rsidRPr="00692D7A">
                        <w:rPr>
                          <w:rFonts w:ascii="Times New Roman" w:hAnsi="Times New Roman" w:cs="Times New Roman"/>
                        </w:rPr>
                        <w:t>NABCONS, 2022</w:t>
                      </w:r>
                    </w:p>
                    <w:p w14:paraId="5546A103" w14:textId="55854E9F" w:rsidR="00FB28B5" w:rsidRDefault="00FB28B5"/>
                  </w:txbxContent>
                </v:textbox>
                <w10:wrap type="square"/>
              </v:shape>
            </w:pict>
          </mc:Fallback>
        </mc:AlternateContent>
      </w:r>
      <w:r w:rsidR="008C33D1" w:rsidRPr="00221196">
        <w:rPr>
          <w:rFonts w:ascii="Times New Roman" w:hAnsi="Times New Roman" w:cs="Times New Roman"/>
          <w:noProof/>
        </w:rPr>
        <w:drawing>
          <wp:inline distT="0" distB="0" distL="0" distR="0" wp14:anchorId="518A4726" wp14:editId="421E5E2A">
            <wp:extent cx="5730688" cy="2127250"/>
            <wp:effectExtent l="0" t="0" r="3810" b="0"/>
            <wp:docPr id="17323759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75939" name="Picture 1732375939"/>
                    <pic:cNvPicPr/>
                  </pic:nvPicPr>
                  <pic:blipFill rotWithShape="1">
                    <a:blip r:embed="rId9">
                      <a:extLst>
                        <a:ext uri="{28A0092B-C50C-407E-A947-70E740481C1C}">
                          <a14:useLocalDpi xmlns:a14="http://schemas.microsoft.com/office/drawing/2010/main" val="0"/>
                        </a:ext>
                      </a:extLst>
                    </a:blip>
                    <a:srcRect b="3652"/>
                    <a:stretch>
                      <a:fillRect/>
                    </a:stretch>
                  </pic:blipFill>
                  <pic:spPr bwMode="auto">
                    <a:xfrm>
                      <a:off x="0" y="0"/>
                      <a:ext cx="5730688" cy="2127250"/>
                    </a:xfrm>
                    <a:prstGeom prst="rect">
                      <a:avLst/>
                    </a:prstGeom>
                    <a:ln>
                      <a:noFill/>
                    </a:ln>
                    <a:extLst>
                      <a:ext uri="{53640926-AAD7-44D8-BBD7-CCE9431645EC}">
                        <a14:shadowObscured xmlns:a14="http://schemas.microsoft.com/office/drawing/2010/main"/>
                      </a:ext>
                    </a:extLst>
                  </pic:spPr>
                </pic:pic>
              </a:graphicData>
            </a:graphic>
          </wp:inline>
        </w:drawing>
      </w:r>
    </w:p>
    <w:p w14:paraId="4A0F9FE4" w14:textId="2AE8792C" w:rsidR="00FB28B5" w:rsidRPr="00221196" w:rsidRDefault="00FB28B5" w:rsidP="004231BC">
      <w:pPr>
        <w:spacing w:line="360" w:lineRule="auto"/>
        <w:jc w:val="both"/>
        <w:rPr>
          <w:rFonts w:ascii="Times New Roman" w:hAnsi="Times New Roman" w:cs="Times New Roman"/>
        </w:rPr>
      </w:pPr>
    </w:p>
    <w:p w14:paraId="4555E8F7" w14:textId="47A7A90F" w:rsidR="00692D7A" w:rsidRPr="00221196" w:rsidRDefault="00692D7A" w:rsidP="00E32B20">
      <w:pPr>
        <w:spacing w:line="360" w:lineRule="auto"/>
        <w:ind w:firstLine="720"/>
        <w:jc w:val="both"/>
        <w:rPr>
          <w:rFonts w:ascii="Times New Roman" w:hAnsi="Times New Roman" w:cs="Times New Roman"/>
        </w:rPr>
      </w:pPr>
      <w:r w:rsidRPr="00221196">
        <w:rPr>
          <w:rFonts w:ascii="Times New Roman" w:hAnsi="Times New Roman" w:cs="Times New Roman"/>
        </w:rPr>
        <w:t>Similarly, Jha et al. (2015) estimated that postharvest losses in mango can reach 20% in poorly managed supply chains.</w:t>
      </w:r>
      <w:r w:rsidR="00BB6C00" w:rsidRPr="00221196">
        <w:rPr>
          <w:rFonts w:ascii="Times New Roman" w:hAnsi="Times New Roman" w:cs="Times New Roman"/>
        </w:rPr>
        <w:t xml:space="preserve"> </w:t>
      </w:r>
      <w:r w:rsidRPr="00221196">
        <w:rPr>
          <w:rFonts w:ascii="Times New Roman" w:hAnsi="Times New Roman" w:cs="Times New Roman"/>
        </w:rPr>
        <w:t>These losses are highest at:</w:t>
      </w:r>
      <w:r w:rsidR="00BB6C00" w:rsidRPr="00221196">
        <w:rPr>
          <w:rFonts w:ascii="Times New Roman" w:hAnsi="Times New Roman" w:cs="Times New Roman"/>
        </w:rPr>
        <w:t xml:space="preserve"> </w:t>
      </w:r>
      <w:r w:rsidRPr="00221196">
        <w:rPr>
          <w:rFonts w:ascii="Times New Roman" w:hAnsi="Times New Roman" w:cs="Times New Roman"/>
        </w:rPr>
        <w:t>Farm level (harvesting stage)</w:t>
      </w:r>
      <w:r w:rsidR="00BB6C00" w:rsidRPr="00221196">
        <w:rPr>
          <w:rFonts w:ascii="Times New Roman" w:hAnsi="Times New Roman" w:cs="Times New Roman"/>
        </w:rPr>
        <w:t xml:space="preserve">, </w:t>
      </w:r>
      <w:r w:rsidR="004933AC" w:rsidRPr="00221196">
        <w:rPr>
          <w:rFonts w:ascii="Times New Roman" w:hAnsi="Times New Roman" w:cs="Times New Roman"/>
        </w:rPr>
        <w:t>w</w:t>
      </w:r>
      <w:r w:rsidRPr="00221196">
        <w:rPr>
          <w:rFonts w:ascii="Times New Roman" w:hAnsi="Times New Roman" w:cs="Times New Roman"/>
        </w:rPr>
        <w:t>holesale markets</w:t>
      </w:r>
      <w:r w:rsidR="004933AC" w:rsidRPr="00221196">
        <w:rPr>
          <w:rFonts w:ascii="Times New Roman" w:hAnsi="Times New Roman" w:cs="Times New Roman"/>
        </w:rPr>
        <w:t xml:space="preserve"> and r</w:t>
      </w:r>
      <w:r w:rsidRPr="00221196">
        <w:rPr>
          <w:rFonts w:ascii="Times New Roman" w:hAnsi="Times New Roman" w:cs="Times New Roman"/>
        </w:rPr>
        <w:t>etail handling</w:t>
      </w:r>
      <w:r w:rsidR="006E5E1B" w:rsidRPr="00221196">
        <w:rPr>
          <w:rFonts w:ascii="Times New Roman" w:hAnsi="Times New Roman" w:cs="Times New Roman"/>
        </w:rPr>
        <w:t xml:space="preserve">. </w:t>
      </w:r>
      <w:r w:rsidRPr="00221196">
        <w:rPr>
          <w:rFonts w:ascii="Times New Roman" w:hAnsi="Times New Roman" w:cs="Times New Roman"/>
        </w:rPr>
        <w:t>The absence of precooling facilities and improper packaging aggravates deterioration during transit.</w:t>
      </w:r>
    </w:p>
    <w:p w14:paraId="5DA14C05" w14:textId="773347D8" w:rsidR="006E5E1B" w:rsidRDefault="006E5E1B" w:rsidP="004231BC">
      <w:pPr>
        <w:spacing w:line="360" w:lineRule="auto"/>
        <w:jc w:val="both"/>
        <w:rPr>
          <w:rFonts w:ascii="Times New Roman" w:hAnsi="Times New Roman" w:cs="Times New Roman"/>
          <w:b/>
          <w:bCs/>
        </w:rPr>
      </w:pPr>
      <w:r w:rsidRPr="00221196">
        <w:rPr>
          <w:rFonts w:ascii="Times New Roman" w:hAnsi="Times New Roman" w:cs="Times New Roman"/>
          <w:b/>
          <w:bCs/>
        </w:rPr>
        <w:t>Causes of Postharvest Loss in Fruits</w:t>
      </w:r>
    </w:p>
    <w:p w14:paraId="5F644E68" w14:textId="27FBFE08" w:rsidR="00CB2D4B" w:rsidRPr="00221196" w:rsidRDefault="00CB2D4B" w:rsidP="004231BC">
      <w:pPr>
        <w:spacing w:line="360" w:lineRule="auto"/>
        <w:jc w:val="both"/>
        <w:rPr>
          <w:rFonts w:ascii="Times New Roman" w:hAnsi="Times New Roman" w:cs="Times New Roman"/>
          <w:b/>
          <w:bCs/>
        </w:rPr>
      </w:pPr>
      <w:r w:rsidRPr="00221196">
        <w:rPr>
          <w:rFonts w:ascii="Times New Roman" w:hAnsi="Times New Roman" w:cs="Times New Roman"/>
        </w:rPr>
        <w:t>Postharvest losses in fruits result from interconnected biological, physiological, mechanical,</w:t>
      </w:r>
      <w:r>
        <w:rPr>
          <w:rFonts w:ascii="Times New Roman" w:hAnsi="Times New Roman" w:cs="Times New Roman"/>
        </w:rPr>
        <w:t xml:space="preserve"> </w:t>
      </w:r>
      <w:r w:rsidRPr="00221196">
        <w:rPr>
          <w:rFonts w:ascii="Times New Roman" w:hAnsi="Times New Roman" w:cs="Times New Roman"/>
        </w:rPr>
        <w:t>environmental and infrastructural factors</w:t>
      </w:r>
      <w:r w:rsidR="00EE509C">
        <w:rPr>
          <w:rFonts w:ascii="Times New Roman" w:hAnsi="Times New Roman" w:cs="Times New Roman"/>
        </w:rPr>
        <w:t xml:space="preserve">. </w:t>
      </w:r>
      <w:r w:rsidR="00EE509C" w:rsidRPr="00EE509C">
        <w:rPr>
          <w:rFonts w:ascii="Times New Roman" w:hAnsi="Times New Roman" w:cs="Times New Roman"/>
        </w:rPr>
        <w:t xml:space="preserve">Understanding the critical stages where these losses occur is </w:t>
      </w:r>
      <w:r w:rsidR="00EE509C" w:rsidRPr="00EE509C">
        <w:rPr>
          <w:rFonts w:ascii="Times New Roman" w:hAnsi="Times New Roman" w:cs="Times New Roman"/>
        </w:rPr>
        <w:lastRenderedPageBreak/>
        <w:t>essential for targeted interventions. The primary causes, which often act synergistically, are illustrated in Fig 4 and discussed below.</w:t>
      </w:r>
    </w:p>
    <w:p w14:paraId="7C13EB29" w14:textId="05405FD4" w:rsidR="00F95FD4" w:rsidRPr="00221196" w:rsidRDefault="00A7493F" w:rsidP="00E32B20">
      <w:pPr>
        <w:spacing w:line="360" w:lineRule="auto"/>
        <w:jc w:val="center"/>
        <w:rPr>
          <w:rFonts w:ascii="Times New Roman" w:hAnsi="Times New Roman" w:cs="Times New Roman"/>
          <w:noProof/>
        </w:rPr>
      </w:pPr>
      <w:r w:rsidRPr="00221196">
        <w:rPr>
          <w:rFonts w:ascii="Times New Roman" w:hAnsi="Times New Roman" w:cs="Times New Roman"/>
          <w:noProof/>
        </w:rPr>
        <w:drawing>
          <wp:inline distT="0" distB="0" distL="0" distR="0" wp14:anchorId="279C4B24" wp14:editId="14E33087">
            <wp:extent cx="4993175" cy="3742690"/>
            <wp:effectExtent l="0" t="0" r="0" b="0"/>
            <wp:docPr id="640812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12824" name="Picture 6408128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22326" cy="3839497"/>
                    </a:xfrm>
                    <a:prstGeom prst="rect">
                      <a:avLst/>
                    </a:prstGeom>
                  </pic:spPr>
                </pic:pic>
              </a:graphicData>
            </a:graphic>
          </wp:inline>
        </w:drawing>
      </w:r>
    </w:p>
    <w:p w14:paraId="1400F6E4" w14:textId="11A8EB3C" w:rsidR="002B183D" w:rsidRPr="00221196" w:rsidRDefault="00E95D96" w:rsidP="004231BC">
      <w:pPr>
        <w:spacing w:line="360" w:lineRule="auto"/>
        <w:jc w:val="both"/>
        <w:rPr>
          <w:rFonts w:ascii="Times New Roman" w:hAnsi="Times New Roman" w:cs="Times New Roman"/>
          <w:b/>
          <w:bCs/>
        </w:rPr>
      </w:pPr>
      <w:r w:rsidRPr="00221196">
        <w:rPr>
          <w:rFonts w:ascii="Times New Roman" w:hAnsi="Times New Roman" w:cs="Times New Roman"/>
          <w:b/>
          <w:bCs/>
          <w:noProof/>
        </w:rPr>
        <mc:AlternateContent>
          <mc:Choice Requires="wps">
            <w:drawing>
              <wp:anchor distT="45720" distB="45720" distL="114300" distR="114300" simplePos="0" relativeHeight="251657216" behindDoc="0" locked="0" layoutInCell="1" allowOverlap="1" wp14:anchorId="3A26C0CF" wp14:editId="7B4FD066">
                <wp:simplePos x="0" y="0"/>
                <wp:positionH relativeFrom="margin">
                  <wp:posOffset>1537335</wp:posOffset>
                </wp:positionH>
                <wp:positionV relativeFrom="paragraph">
                  <wp:posOffset>4445</wp:posOffset>
                </wp:positionV>
                <wp:extent cx="2456180" cy="340360"/>
                <wp:effectExtent l="0" t="0" r="20320" b="21590"/>
                <wp:wrapSquare wrapText="bothSides"/>
                <wp:docPr id="591724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340360"/>
                        </a:xfrm>
                        <a:prstGeom prst="rect">
                          <a:avLst/>
                        </a:prstGeom>
                        <a:solidFill>
                          <a:srgbClr val="FFFFFF"/>
                        </a:solidFill>
                        <a:ln w="9525">
                          <a:solidFill>
                            <a:schemeClr val="bg1"/>
                          </a:solidFill>
                          <a:miter lim="800000"/>
                          <a:headEnd/>
                          <a:tailEnd/>
                        </a:ln>
                      </wps:spPr>
                      <wps:txbx>
                        <w:txbxContent>
                          <w:p w14:paraId="7D7CBCD1" w14:textId="10F1B81A" w:rsidR="00F95FD4" w:rsidRPr="00E32B20" w:rsidRDefault="002B183D" w:rsidP="00E32B20">
                            <w:pPr>
                              <w:jc w:val="center"/>
                              <w:rPr>
                                <w:rFonts w:ascii="Times New Roman" w:hAnsi="Times New Roman" w:cs="Times New Roman"/>
                                <w:lang w:val="en-US"/>
                              </w:rPr>
                            </w:pPr>
                            <w:r w:rsidRPr="00E32B20">
                              <w:rPr>
                                <w:rFonts w:ascii="Times New Roman" w:hAnsi="Times New Roman" w:cs="Times New Roman"/>
                                <w:b/>
                                <w:bCs/>
                                <w:lang w:val="en-US"/>
                              </w:rPr>
                              <w:t>Fig 4.</w:t>
                            </w:r>
                            <w:r w:rsidRPr="00E32B20">
                              <w:rPr>
                                <w:rFonts w:ascii="Times New Roman" w:hAnsi="Times New Roman" w:cs="Times New Roman"/>
                                <w:lang w:val="en-US"/>
                              </w:rPr>
                              <w:t xml:space="preserve"> Causes of Postharvest Losses</w:t>
                            </w:r>
                          </w:p>
                          <w:p w14:paraId="0E83E460" w14:textId="0F08FA7F" w:rsidR="00F95FD4" w:rsidRPr="00E32B20" w:rsidRDefault="00F95FD4" w:rsidP="00E32B20">
                            <w:pPr>
                              <w:jc w:val="center"/>
                              <w:rPr>
                                <w:rFonts w:ascii="Times New Roman" w:hAnsi="Times New Roman" w:cs="Times New Roman"/>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6C0CF" id="_x0000_s1029" type="#_x0000_t202" style="position:absolute;left:0;text-align:left;margin-left:121.05pt;margin-top:.35pt;width:193.4pt;height:26.8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" strokecolor="white [3212]">
                <v:textbox>
                  <w:txbxContent>
                    <w:p w14:paraId="7D7CBCD1" w14:textId="10F1B81A" w:rsidR="00F95FD4" w:rsidRPr="00E32B20" w:rsidRDefault="002B183D" w:rsidP="00E32B20">
                      <w:pPr>
                        <w:jc w:val="center"/>
                        <w:rPr>
                          <w:rFonts w:ascii="Times New Roman" w:hAnsi="Times New Roman" w:cs="Times New Roman"/>
                          <w:lang w:val="en-US"/>
                        </w:rPr>
                      </w:pPr>
                      <w:r w:rsidRPr="00E32B20">
                        <w:rPr>
                          <w:rFonts w:ascii="Times New Roman" w:hAnsi="Times New Roman" w:cs="Times New Roman"/>
                          <w:b/>
                          <w:bCs/>
                          <w:lang w:val="en-US"/>
                        </w:rPr>
                        <w:t>Fig 4.</w:t>
                      </w:r>
                      <w:r w:rsidRPr="00E32B20">
                        <w:rPr>
                          <w:rFonts w:ascii="Times New Roman" w:hAnsi="Times New Roman" w:cs="Times New Roman"/>
                          <w:lang w:val="en-US"/>
                        </w:rPr>
                        <w:t xml:space="preserve"> Causes of Postharvest Losses</w:t>
                      </w:r>
                    </w:p>
                    <w:p w14:paraId="0E83E460" w14:textId="0F08FA7F" w:rsidR="00F95FD4" w:rsidRPr="00E32B20" w:rsidRDefault="00F95FD4" w:rsidP="00E32B20">
                      <w:pPr>
                        <w:jc w:val="center"/>
                        <w:rPr>
                          <w:rFonts w:ascii="Times New Roman" w:hAnsi="Times New Roman" w:cs="Times New Roman"/>
                          <w:lang w:val="en-US"/>
                        </w:rPr>
                      </w:pPr>
                    </w:p>
                  </w:txbxContent>
                </v:textbox>
                <w10:wrap type="square" anchorx="margin"/>
              </v:shape>
            </w:pict>
          </mc:Fallback>
        </mc:AlternateContent>
      </w:r>
    </w:p>
    <w:p w14:paraId="45220AF0" w14:textId="538988AD" w:rsidR="006E5E1B" w:rsidRPr="00221196" w:rsidRDefault="006E5E1B" w:rsidP="004231BC">
      <w:pPr>
        <w:spacing w:line="360" w:lineRule="auto"/>
        <w:jc w:val="both"/>
        <w:rPr>
          <w:rFonts w:ascii="Times New Roman" w:hAnsi="Times New Roman" w:cs="Times New Roman"/>
          <w:noProof/>
        </w:rPr>
      </w:pPr>
      <w:r w:rsidRPr="00221196">
        <w:rPr>
          <w:rFonts w:ascii="Times New Roman" w:hAnsi="Times New Roman" w:cs="Times New Roman"/>
          <w:b/>
          <w:bCs/>
        </w:rPr>
        <w:t>Physiological Causes</w:t>
      </w:r>
    </w:p>
    <w:p w14:paraId="460A792C" w14:textId="77777777" w:rsidR="006E5E1B" w:rsidRPr="00221196" w:rsidRDefault="006E5E1B" w:rsidP="004231BC">
      <w:pPr>
        <w:spacing w:line="360" w:lineRule="auto"/>
        <w:jc w:val="both"/>
        <w:rPr>
          <w:rFonts w:ascii="Times New Roman" w:hAnsi="Times New Roman" w:cs="Times New Roman"/>
        </w:rPr>
      </w:pPr>
      <w:r w:rsidRPr="00221196">
        <w:rPr>
          <w:rFonts w:ascii="Times New Roman" w:hAnsi="Times New Roman" w:cs="Times New Roman"/>
        </w:rPr>
        <w:t>Fruits remain living tissues after harvest and continue metabolic activities such as respiration, transpiration and ripening (Wills et al., 2016).</w:t>
      </w:r>
    </w:p>
    <w:p w14:paraId="1AD75A9D" w14:textId="098EE17D" w:rsidR="006E5E1B" w:rsidRPr="00221196" w:rsidRDefault="006E5E1B" w:rsidP="004231BC">
      <w:pPr>
        <w:spacing w:line="360" w:lineRule="auto"/>
        <w:jc w:val="both"/>
        <w:rPr>
          <w:rFonts w:ascii="Times New Roman" w:hAnsi="Times New Roman" w:cs="Times New Roman"/>
          <w:b/>
          <w:bCs/>
        </w:rPr>
      </w:pPr>
      <w:r w:rsidRPr="00221196">
        <w:rPr>
          <w:rFonts w:ascii="Times New Roman" w:hAnsi="Times New Roman" w:cs="Times New Roman"/>
          <w:b/>
          <w:bCs/>
        </w:rPr>
        <w:t>Respiration</w:t>
      </w:r>
    </w:p>
    <w:p w14:paraId="52BBF367" w14:textId="77777777" w:rsidR="006E5E1B" w:rsidRPr="00221196" w:rsidRDefault="006E5E1B" w:rsidP="004231BC">
      <w:pPr>
        <w:spacing w:line="360" w:lineRule="auto"/>
        <w:jc w:val="both"/>
        <w:rPr>
          <w:rFonts w:ascii="Times New Roman" w:hAnsi="Times New Roman" w:cs="Times New Roman"/>
        </w:rPr>
      </w:pPr>
      <w:r w:rsidRPr="00221196">
        <w:rPr>
          <w:rFonts w:ascii="Times New Roman" w:hAnsi="Times New Roman" w:cs="Times New Roman"/>
        </w:rPr>
        <w:t>Respiration involves the breakdown of stored carbohydrates to produce energy. High respiration rates accelerate senescence and shorten shelf life. Climacteric fruits like mango and banana exhibit a sharp rise in respiration and ethylene production during ripening (Giovannoni, 2004).</w:t>
      </w:r>
    </w:p>
    <w:p w14:paraId="0F75A35E" w14:textId="72FBBD62" w:rsidR="006E5E1B" w:rsidRPr="00221196" w:rsidRDefault="006E5E1B" w:rsidP="004231BC">
      <w:pPr>
        <w:spacing w:line="360" w:lineRule="auto"/>
        <w:jc w:val="both"/>
        <w:rPr>
          <w:rFonts w:ascii="Times New Roman" w:hAnsi="Times New Roman" w:cs="Times New Roman"/>
          <w:b/>
          <w:bCs/>
        </w:rPr>
      </w:pPr>
      <w:r w:rsidRPr="00221196">
        <w:rPr>
          <w:rFonts w:ascii="Times New Roman" w:hAnsi="Times New Roman" w:cs="Times New Roman"/>
          <w:b/>
          <w:bCs/>
        </w:rPr>
        <w:t>Transpiration</w:t>
      </w:r>
    </w:p>
    <w:p w14:paraId="19781481" w14:textId="77777777" w:rsidR="00690BCA" w:rsidRPr="00221196" w:rsidRDefault="006E5E1B" w:rsidP="004231BC">
      <w:pPr>
        <w:spacing w:line="360" w:lineRule="auto"/>
        <w:jc w:val="both"/>
        <w:rPr>
          <w:rFonts w:ascii="Times New Roman" w:hAnsi="Times New Roman" w:cs="Times New Roman"/>
        </w:rPr>
      </w:pPr>
      <w:r w:rsidRPr="00221196">
        <w:rPr>
          <w:rFonts w:ascii="Times New Roman" w:hAnsi="Times New Roman" w:cs="Times New Roman"/>
        </w:rPr>
        <w:t xml:space="preserve">Water loss due to transpiration causes </w:t>
      </w:r>
      <w:proofErr w:type="spellStart"/>
      <w:r w:rsidRPr="00221196">
        <w:rPr>
          <w:rFonts w:ascii="Times New Roman" w:hAnsi="Times New Roman" w:cs="Times New Roman"/>
        </w:rPr>
        <w:t>shriveling</w:t>
      </w:r>
      <w:proofErr w:type="spellEnd"/>
      <w:r w:rsidRPr="00221196">
        <w:rPr>
          <w:rFonts w:ascii="Times New Roman" w:hAnsi="Times New Roman" w:cs="Times New Roman"/>
        </w:rPr>
        <w:t>, loss of firmness and reduction in market weight. High temperature and low relative humidity increase transpiration rates (Kader, 2005).</w:t>
      </w:r>
    </w:p>
    <w:p w14:paraId="080504D1" w14:textId="667E9135" w:rsidR="006E5E1B" w:rsidRPr="00221196" w:rsidRDefault="006E5E1B" w:rsidP="004231BC">
      <w:pPr>
        <w:spacing w:line="360" w:lineRule="auto"/>
        <w:jc w:val="both"/>
        <w:rPr>
          <w:rFonts w:ascii="Times New Roman" w:hAnsi="Times New Roman" w:cs="Times New Roman"/>
          <w:b/>
          <w:bCs/>
        </w:rPr>
      </w:pPr>
      <w:r w:rsidRPr="00221196">
        <w:rPr>
          <w:rFonts w:ascii="Times New Roman" w:hAnsi="Times New Roman" w:cs="Times New Roman"/>
          <w:b/>
          <w:bCs/>
        </w:rPr>
        <w:t>Ethylene-Induced Ripening</w:t>
      </w:r>
    </w:p>
    <w:p w14:paraId="43968098" w14:textId="77777777" w:rsidR="006E5E1B" w:rsidRPr="00221196" w:rsidRDefault="006E5E1B" w:rsidP="004231BC">
      <w:pPr>
        <w:spacing w:line="360" w:lineRule="auto"/>
        <w:jc w:val="both"/>
        <w:rPr>
          <w:rFonts w:ascii="Times New Roman" w:hAnsi="Times New Roman" w:cs="Times New Roman"/>
        </w:rPr>
      </w:pPr>
      <w:r w:rsidRPr="00221196">
        <w:rPr>
          <w:rFonts w:ascii="Times New Roman" w:hAnsi="Times New Roman" w:cs="Times New Roman"/>
        </w:rPr>
        <w:t>Ethylene plays a crucial role in fruit ripening. Improper storage leading to ethylene accumulation accelerates over-ripening and spoilage (Zhang et al., 2018).</w:t>
      </w:r>
    </w:p>
    <w:p w14:paraId="7FD029AC" w14:textId="20958B80" w:rsidR="006E5E1B" w:rsidRPr="00221196" w:rsidRDefault="006E5E1B" w:rsidP="004231BC">
      <w:pPr>
        <w:spacing w:line="360" w:lineRule="auto"/>
        <w:jc w:val="both"/>
        <w:rPr>
          <w:rFonts w:ascii="Times New Roman" w:hAnsi="Times New Roman" w:cs="Times New Roman"/>
          <w:b/>
          <w:bCs/>
        </w:rPr>
      </w:pPr>
      <w:r w:rsidRPr="00221196">
        <w:rPr>
          <w:rFonts w:ascii="Times New Roman" w:hAnsi="Times New Roman" w:cs="Times New Roman"/>
          <w:b/>
          <w:bCs/>
        </w:rPr>
        <w:lastRenderedPageBreak/>
        <w:t>Microbial and Biological Causes</w:t>
      </w:r>
    </w:p>
    <w:p w14:paraId="48065C3A" w14:textId="56669D95" w:rsidR="006E5E1B" w:rsidRPr="00221196" w:rsidRDefault="006E5E1B" w:rsidP="004231BC">
      <w:pPr>
        <w:spacing w:line="360" w:lineRule="auto"/>
        <w:jc w:val="both"/>
        <w:rPr>
          <w:rFonts w:ascii="Times New Roman" w:hAnsi="Times New Roman" w:cs="Times New Roman"/>
        </w:rPr>
      </w:pPr>
      <w:r w:rsidRPr="00221196">
        <w:rPr>
          <w:rFonts w:ascii="Times New Roman" w:hAnsi="Times New Roman" w:cs="Times New Roman"/>
        </w:rPr>
        <w:t>Microorganisms such as fungi and bacteria are major contributors to fruit decay. Common postharvest pathogens include:</w:t>
      </w:r>
      <w:r w:rsidR="00690BCA" w:rsidRPr="00221196">
        <w:rPr>
          <w:rFonts w:ascii="Times New Roman" w:hAnsi="Times New Roman" w:cs="Times New Roman"/>
        </w:rPr>
        <w:t xml:space="preserve"> </w:t>
      </w:r>
      <w:r w:rsidRPr="00221196">
        <w:rPr>
          <w:rFonts w:ascii="Times New Roman" w:hAnsi="Times New Roman" w:cs="Times New Roman"/>
          <w:i/>
          <w:iCs/>
        </w:rPr>
        <w:t xml:space="preserve">Colletotrichum </w:t>
      </w:r>
      <w:proofErr w:type="spellStart"/>
      <w:r w:rsidRPr="00221196">
        <w:rPr>
          <w:rFonts w:ascii="Times New Roman" w:hAnsi="Times New Roman" w:cs="Times New Roman"/>
          <w:i/>
          <w:iCs/>
        </w:rPr>
        <w:t>gloeosporioides</w:t>
      </w:r>
      <w:proofErr w:type="spellEnd"/>
      <w:r w:rsidRPr="00221196">
        <w:rPr>
          <w:rFonts w:ascii="Times New Roman" w:hAnsi="Times New Roman" w:cs="Times New Roman"/>
          <w:i/>
          <w:iCs/>
        </w:rPr>
        <w:t xml:space="preserve"> (</w:t>
      </w:r>
      <w:r w:rsidRPr="00221196">
        <w:rPr>
          <w:rFonts w:ascii="Times New Roman" w:hAnsi="Times New Roman" w:cs="Times New Roman"/>
        </w:rPr>
        <w:t>anthracnose in mango)</w:t>
      </w:r>
      <w:r w:rsidR="00690BCA" w:rsidRPr="00221196">
        <w:rPr>
          <w:rFonts w:ascii="Times New Roman" w:hAnsi="Times New Roman" w:cs="Times New Roman"/>
        </w:rPr>
        <w:t xml:space="preserve">, </w:t>
      </w:r>
      <w:r w:rsidRPr="00221196">
        <w:rPr>
          <w:rFonts w:ascii="Times New Roman" w:hAnsi="Times New Roman" w:cs="Times New Roman"/>
          <w:i/>
          <w:iCs/>
        </w:rPr>
        <w:t>Penicillium spp.</w:t>
      </w:r>
      <w:r w:rsidRPr="00221196">
        <w:rPr>
          <w:rFonts w:ascii="Times New Roman" w:hAnsi="Times New Roman" w:cs="Times New Roman"/>
        </w:rPr>
        <w:t xml:space="preserve"> (citrus rot)</w:t>
      </w:r>
      <w:r w:rsidR="00690BCA" w:rsidRPr="00221196">
        <w:rPr>
          <w:rFonts w:ascii="Times New Roman" w:hAnsi="Times New Roman" w:cs="Times New Roman"/>
        </w:rPr>
        <w:t xml:space="preserve">, </w:t>
      </w:r>
      <w:r w:rsidRPr="00221196">
        <w:rPr>
          <w:rFonts w:ascii="Times New Roman" w:hAnsi="Times New Roman" w:cs="Times New Roman"/>
          <w:i/>
          <w:iCs/>
        </w:rPr>
        <w:t xml:space="preserve">Botrytis </w:t>
      </w:r>
      <w:proofErr w:type="spellStart"/>
      <w:r w:rsidRPr="00221196">
        <w:rPr>
          <w:rFonts w:ascii="Times New Roman" w:hAnsi="Times New Roman" w:cs="Times New Roman"/>
          <w:i/>
          <w:iCs/>
        </w:rPr>
        <w:t>cinerea</w:t>
      </w:r>
      <w:proofErr w:type="spellEnd"/>
      <w:r w:rsidRPr="00221196">
        <w:rPr>
          <w:rFonts w:ascii="Times New Roman" w:hAnsi="Times New Roman" w:cs="Times New Roman"/>
          <w:i/>
          <w:iCs/>
        </w:rPr>
        <w:t xml:space="preserve"> </w:t>
      </w:r>
      <w:r w:rsidR="007F2CF2" w:rsidRPr="00221196">
        <w:rPr>
          <w:rFonts w:ascii="Times New Roman" w:hAnsi="Times New Roman" w:cs="Times New Roman"/>
        </w:rPr>
        <w:t>(</w:t>
      </w:r>
      <w:r w:rsidRPr="00221196">
        <w:rPr>
          <w:rFonts w:ascii="Times New Roman" w:hAnsi="Times New Roman" w:cs="Times New Roman"/>
        </w:rPr>
        <w:t xml:space="preserve">grey </w:t>
      </w:r>
      <w:proofErr w:type="spellStart"/>
      <w:r w:rsidRPr="00221196">
        <w:rPr>
          <w:rFonts w:ascii="Times New Roman" w:hAnsi="Times New Roman" w:cs="Times New Roman"/>
        </w:rPr>
        <w:t>mold</w:t>
      </w:r>
      <w:proofErr w:type="spellEnd"/>
      <w:r w:rsidRPr="00221196">
        <w:rPr>
          <w:rFonts w:ascii="Times New Roman" w:hAnsi="Times New Roman" w:cs="Times New Roman"/>
        </w:rPr>
        <w:t>)</w:t>
      </w:r>
      <w:r w:rsidR="007F2CF2" w:rsidRPr="00221196">
        <w:rPr>
          <w:rFonts w:ascii="Times New Roman" w:hAnsi="Times New Roman" w:cs="Times New Roman"/>
        </w:rPr>
        <w:t xml:space="preserve">. </w:t>
      </w:r>
      <w:r w:rsidRPr="00221196">
        <w:rPr>
          <w:rFonts w:ascii="Times New Roman" w:hAnsi="Times New Roman" w:cs="Times New Roman"/>
        </w:rPr>
        <w:t>Microbial infection usually begins at injury sites and spreads rapidly under warm and humid conditions (Sharma et al., 2009). Poor sanitation and delayed marketing further increase infection rates.</w:t>
      </w:r>
    </w:p>
    <w:p w14:paraId="370CEC0C" w14:textId="241580E6" w:rsidR="006E5E1B" w:rsidRPr="00221196" w:rsidRDefault="006E5E1B" w:rsidP="004231BC">
      <w:pPr>
        <w:spacing w:line="360" w:lineRule="auto"/>
        <w:jc w:val="both"/>
        <w:rPr>
          <w:rFonts w:ascii="Times New Roman" w:hAnsi="Times New Roman" w:cs="Times New Roman"/>
          <w:b/>
          <w:bCs/>
        </w:rPr>
      </w:pPr>
      <w:r w:rsidRPr="00221196">
        <w:rPr>
          <w:rFonts w:ascii="Times New Roman" w:hAnsi="Times New Roman" w:cs="Times New Roman"/>
          <w:b/>
          <w:bCs/>
        </w:rPr>
        <w:t>Mechanical Damage</w:t>
      </w:r>
    </w:p>
    <w:p w14:paraId="704174AB" w14:textId="4782D97D" w:rsidR="006E5E1B" w:rsidRPr="00221196" w:rsidRDefault="006E5E1B" w:rsidP="004231BC">
      <w:pPr>
        <w:spacing w:line="360" w:lineRule="auto"/>
        <w:jc w:val="both"/>
        <w:rPr>
          <w:rFonts w:ascii="Times New Roman" w:hAnsi="Times New Roman" w:cs="Times New Roman"/>
        </w:rPr>
      </w:pPr>
      <w:r w:rsidRPr="00221196">
        <w:rPr>
          <w:rFonts w:ascii="Times New Roman" w:hAnsi="Times New Roman" w:cs="Times New Roman"/>
        </w:rPr>
        <w:t>Mechanical injuries are common during harvesting, sorting, grading and transportation. Bruising, impact damage and compression injuries disrupt fruit tissues and increase susceptibility to microbial invasion (Jha et al., 2015).</w:t>
      </w:r>
      <w:r w:rsidR="007F2CF2" w:rsidRPr="00221196">
        <w:rPr>
          <w:rFonts w:ascii="Times New Roman" w:hAnsi="Times New Roman" w:cs="Times New Roman"/>
        </w:rPr>
        <w:t xml:space="preserve"> </w:t>
      </w:r>
      <w:r w:rsidRPr="00221196">
        <w:rPr>
          <w:rFonts w:ascii="Times New Roman" w:hAnsi="Times New Roman" w:cs="Times New Roman"/>
        </w:rPr>
        <w:t>Studies by ICAR (2019) demonstrated that improved harvesting tools and cushioning materials significantly reduce mechanical injury in mango and banana supply chains.</w:t>
      </w:r>
    </w:p>
    <w:p w14:paraId="1A25A8C1" w14:textId="67FEB166" w:rsidR="006E5E1B" w:rsidRPr="00221196" w:rsidRDefault="006E5E1B" w:rsidP="004231BC">
      <w:pPr>
        <w:spacing w:line="360" w:lineRule="auto"/>
        <w:jc w:val="both"/>
        <w:rPr>
          <w:rFonts w:ascii="Times New Roman" w:hAnsi="Times New Roman" w:cs="Times New Roman"/>
          <w:b/>
          <w:bCs/>
        </w:rPr>
      </w:pPr>
      <w:r w:rsidRPr="00221196">
        <w:rPr>
          <w:rFonts w:ascii="Times New Roman" w:hAnsi="Times New Roman" w:cs="Times New Roman"/>
          <w:b/>
          <w:bCs/>
        </w:rPr>
        <w:t>Environmental Factors</w:t>
      </w:r>
    </w:p>
    <w:p w14:paraId="5324A126" w14:textId="20EA5784" w:rsidR="006E5E1B" w:rsidRPr="00221196" w:rsidRDefault="006E5E1B" w:rsidP="004231BC">
      <w:pPr>
        <w:spacing w:line="360" w:lineRule="auto"/>
        <w:jc w:val="both"/>
        <w:rPr>
          <w:rFonts w:ascii="Times New Roman" w:hAnsi="Times New Roman" w:cs="Times New Roman"/>
        </w:rPr>
      </w:pPr>
      <w:r w:rsidRPr="00221196">
        <w:rPr>
          <w:rFonts w:ascii="Times New Roman" w:hAnsi="Times New Roman" w:cs="Times New Roman"/>
        </w:rPr>
        <w:t>Temperature is the most critical factor influencing postharvest life. High temperature increases respiration and microbial activity, while extremely low temperatures may cause chilling injury in tropical fruits (Kader, 2005).</w:t>
      </w:r>
      <w:r w:rsidR="007F2CF2" w:rsidRPr="00221196">
        <w:rPr>
          <w:rFonts w:ascii="Times New Roman" w:hAnsi="Times New Roman" w:cs="Times New Roman"/>
        </w:rPr>
        <w:t xml:space="preserve"> </w:t>
      </w:r>
      <w:r w:rsidRPr="00221196">
        <w:rPr>
          <w:rFonts w:ascii="Times New Roman" w:hAnsi="Times New Roman" w:cs="Times New Roman"/>
        </w:rPr>
        <w:t>India faces major challenges due to insufficient cold storage infrastructure. According to the Ministry of Agriculture &amp; Farmers Welfare (2023), the existing cold storage capacity is inadequate for perishable horticultural produce, leading to avoidable losses during peak harvest seasons.</w:t>
      </w:r>
    </w:p>
    <w:p w14:paraId="3F47087F" w14:textId="30E87896" w:rsidR="006E5E1B" w:rsidRPr="00221196" w:rsidRDefault="006E5E1B" w:rsidP="004231BC">
      <w:pPr>
        <w:spacing w:line="360" w:lineRule="auto"/>
        <w:jc w:val="both"/>
        <w:rPr>
          <w:rFonts w:ascii="Times New Roman" w:hAnsi="Times New Roman" w:cs="Times New Roman"/>
          <w:b/>
          <w:bCs/>
        </w:rPr>
      </w:pPr>
      <w:r w:rsidRPr="00221196">
        <w:rPr>
          <w:rFonts w:ascii="Times New Roman" w:hAnsi="Times New Roman" w:cs="Times New Roman"/>
          <w:b/>
          <w:bCs/>
        </w:rPr>
        <w:t>Infrastructural and Supply Chain Constraints</w:t>
      </w:r>
    </w:p>
    <w:p w14:paraId="231DB3E0" w14:textId="77777777" w:rsidR="006E5E1B" w:rsidRPr="00221196" w:rsidRDefault="006E5E1B" w:rsidP="004231BC">
      <w:pPr>
        <w:pStyle w:val="ListParagraph"/>
        <w:numPr>
          <w:ilvl w:val="0"/>
          <w:numId w:val="3"/>
        </w:numPr>
        <w:spacing w:line="360" w:lineRule="auto"/>
        <w:jc w:val="both"/>
        <w:rPr>
          <w:rFonts w:ascii="Times New Roman" w:hAnsi="Times New Roman" w:cs="Times New Roman"/>
        </w:rPr>
      </w:pPr>
      <w:r w:rsidRPr="00221196">
        <w:rPr>
          <w:rFonts w:ascii="Times New Roman" w:hAnsi="Times New Roman" w:cs="Times New Roman"/>
        </w:rPr>
        <w:t>Postharvest management requires:</w:t>
      </w:r>
    </w:p>
    <w:p w14:paraId="458A53A5" w14:textId="77777777" w:rsidR="006E5E1B" w:rsidRPr="00221196" w:rsidRDefault="006E5E1B" w:rsidP="004231BC">
      <w:pPr>
        <w:pStyle w:val="ListParagraph"/>
        <w:numPr>
          <w:ilvl w:val="0"/>
          <w:numId w:val="3"/>
        </w:numPr>
        <w:spacing w:line="360" w:lineRule="auto"/>
        <w:jc w:val="both"/>
        <w:rPr>
          <w:rFonts w:ascii="Times New Roman" w:hAnsi="Times New Roman" w:cs="Times New Roman"/>
        </w:rPr>
      </w:pPr>
      <w:r w:rsidRPr="00221196">
        <w:rPr>
          <w:rFonts w:ascii="Times New Roman" w:hAnsi="Times New Roman" w:cs="Times New Roman"/>
        </w:rPr>
        <w:t>Precooling facilities</w:t>
      </w:r>
    </w:p>
    <w:p w14:paraId="66B7AE6A" w14:textId="77777777" w:rsidR="006E5E1B" w:rsidRPr="00221196" w:rsidRDefault="006E5E1B" w:rsidP="004231BC">
      <w:pPr>
        <w:pStyle w:val="ListParagraph"/>
        <w:numPr>
          <w:ilvl w:val="0"/>
          <w:numId w:val="3"/>
        </w:numPr>
        <w:spacing w:line="360" w:lineRule="auto"/>
        <w:jc w:val="both"/>
        <w:rPr>
          <w:rFonts w:ascii="Times New Roman" w:hAnsi="Times New Roman" w:cs="Times New Roman"/>
        </w:rPr>
      </w:pPr>
      <w:r w:rsidRPr="00221196">
        <w:rPr>
          <w:rFonts w:ascii="Times New Roman" w:hAnsi="Times New Roman" w:cs="Times New Roman"/>
        </w:rPr>
        <w:t>Cold storage units</w:t>
      </w:r>
    </w:p>
    <w:p w14:paraId="2FAB11AB" w14:textId="77777777" w:rsidR="006E5E1B" w:rsidRPr="00221196" w:rsidRDefault="006E5E1B" w:rsidP="004231BC">
      <w:pPr>
        <w:pStyle w:val="ListParagraph"/>
        <w:numPr>
          <w:ilvl w:val="0"/>
          <w:numId w:val="3"/>
        </w:numPr>
        <w:spacing w:line="360" w:lineRule="auto"/>
        <w:jc w:val="both"/>
        <w:rPr>
          <w:rFonts w:ascii="Times New Roman" w:hAnsi="Times New Roman" w:cs="Times New Roman"/>
        </w:rPr>
      </w:pPr>
      <w:r w:rsidRPr="00221196">
        <w:rPr>
          <w:rFonts w:ascii="Times New Roman" w:hAnsi="Times New Roman" w:cs="Times New Roman"/>
        </w:rPr>
        <w:t>Controlled atmosphere storage</w:t>
      </w:r>
    </w:p>
    <w:p w14:paraId="50D19BF2" w14:textId="77777777" w:rsidR="006E5E1B" w:rsidRPr="00221196" w:rsidRDefault="006E5E1B" w:rsidP="004231BC">
      <w:pPr>
        <w:pStyle w:val="ListParagraph"/>
        <w:numPr>
          <w:ilvl w:val="0"/>
          <w:numId w:val="3"/>
        </w:numPr>
        <w:spacing w:line="360" w:lineRule="auto"/>
        <w:jc w:val="both"/>
        <w:rPr>
          <w:rFonts w:ascii="Times New Roman" w:hAnsi="Times New Roman" w:cs="Times New Roman"/>
        </w:rPr>
      </w:pPr>
      <w:r w:rsidRPr="00221196">
        <w:rPr>
          <w:rFonts w:ascii="Times New Roman" w:hAnsi="Times New Roman" w:cs="Times New Roman"/>
        </w:rPr>
        <w:t>Refrigerated transportation</w:t>
      </w:r>
    </w:p>
    <w:p w14:paraId="048BC381" w14:textId="434A436E" w:rsidR="006E5E1B" w:rsidRPr="00221196" w:rsidRDefault="006E5E1B" w:rsidP="004231BC">
      <w:pPr>
        <w:spacing w:line="360" w:lineRule="auto"/>
        <w:jc w:val="both"/>
        <w:rPr>
          <w:rFonts w:ascii="Times New Roman" w:hAnsi="Times New Roman" w:cs="Times New Roman"/>
        </w:rPr>
      </w:pPr>
      <w:r w:rsidRPr="00221196">
        <w:rPr>
          <w:rFonts w:ascii="Times New Roman" w:hAnsi="Times New Roman" w:cs="Times New Roman"/>
        </w:rPr>
        <w:t xml:space="preserve">However, smallholder farmers often lack access to these facilities. </w:t>
      </w:r>
      <w:proofErr w:type="spellStart"/>
      <w:r w:rsidRPr="00221196">
        <w:rPr>
          <w:rFonts w:ascii="Times New Roman" w:hAnsi="Times New Roman" w:cs="Times New Roman"/>
        </w:rPr>
        <w:t>Kitinoja</w:t>
      </w:r>
      <w:proofErr w:type="spellEnd"/>
      <w:r w:rsidRPr="00221196">
        <w:rPr>
          <w:rFonts w:ascii="Times New Roman" w:hAnsi="Times New Roman" w:cs="Times New Roman"/>
        </w:rPr>
        <w:t xml:space="preserve"> &amp; Kader (2015) reported that lack of cold chain integration in developing countries results in 30–40% losses in perishable commodities.</w:t>
      </w:r>
      <w:r w:rsidR="007F2CF2" w:rsidRPr="00221196">
        <w:rPr>
          <w:rFonts w:ascii="Times New Roman" w:hAnsi="Times New Roman" w:cs="Times New Roman"/>
        </w:rPr>
        <w:t xml:space="preserve"> </w:t>
      </w:r>
      <w:r w:rsidRPr="00221196">
        <w:rPr>
          <w:rFonts w:ascii="Times New Roman" w:hAnsi="Times New Roman" w:cs="Times New Roman"/>
        </w:rPr>
        <w:t>Market-level losses are exacerbated by:</w:t>
      </w:r>
      <w:r w:rsidR="007F2CF2" w:rsidRPr="00221196">
        <w:rPr>
          <w:rFonts w:ascii="Times New Roman" w:hAnsi="Times New Roman" w:cs="Times New Roman"/>
        </w:rPr>
        <w:t xml:space="preserve"> </w:t>
      </w:r>
      <w:r w:rsidRPr="00221196">
        <w:rPr>
          <w:rFonts w:ascii="Times New Roman" w:hAnsi="Times New Roman" w:cs="Times New Roman"/>
        </w:rPr>
        <w:t>Poor packaging materials</w:t>
      </w:r>
      <w:r w:rsidR="007F2CF2" w:rsidRPr="00221196">
        <w:rPr>
          <w:rFonts w:ascii="Times New Roman" w:hAnsi="Times New Roman" w:cs="Times New Roman"/>
        </w:rPr>
        <w:t xml:space="preserve">, </w:t>
      </w:r>
      <w:proofErr w:type="spellStart"/>
      <w:r w:rsidRPr="00221196">
        <w:rPr>
          <w:rFonts w:ascii="Times New Roman" w:hAnsi="Times New Roman" w:cs="Times New Roman"/>
        </w:rPr>
        <w:t>Overstacking</w:t>
      </w:r>
      <w:proofErr w:type="spellEnd"/>
      <w:r w:rsidR="007F2CF2" w:rsidRPr="00221196">
        <w:rPr>
          <w:rFonts w:ascii="Times New Roman" w:hAnsi="Times New Roman" w:cs="Times New Roman"/>
        </w:rPr>
        <w:t xml:space="preserve">, </w:t>
      </w:r>
      <w:r w:rsidRPr="00221196">
        <w:rPr>
          <w:rFonts w:ascii="Times New Roman" w:hAnsi="Times New Roman" w:cs="Times New Roman"/>
        </w:rPr>
        <w:t>Prolonged display without refrigeration</w:t>
      </w:r>
    </w:p>
    <w:p w14:paraId="00D7DF91" w14:textId="6166E6DC" w:rsidR="006E5E1B" w:rsidRPr="00221196" w:rsidRDefault="006E5E1B" w:rsidP="004231BC">
      <w:pPr>
        <w:spacing w:line="360" w:lineRule="auto"/>
        <w:jc w:val="both"/>
        <w:rPr>
          <w:rFonts w:ascii="Times New Roman" w:hAnsi="Times New Roman" w:cs="Times New Roman"/>
          <w:b/>
          <w:bCs/>
        </w:rPr>
      </w:pPr>
      <w:r w:rsidRPr="00221196">
        <w:rPr>
          <w:rFonts w:ascii="Times New Roman" w:hAnsi="Times New Roman" w:cs="Times New Roman"/>
          <w:b/>
          <w:bCs/>
        </w:rPr>
        <w:t>India-Specific Challenges</w:t>
      </w:r>
    </w:p>
    <w:p w14:paraId="7E669BBE" w14:textId="77777777" w:rsidR="000A54B7" w:rsidRPr="00221196" w:rsidRDefault="006E5E1B" w:rsidP="004231BC">
      <w:pPr>
        <w:spacing w:line="360" w:lineRule="auto"/>
        <w:jc w:val="both"/>
        <w:rPr>
          <w:rFonts w:ascii="Times New Roman" w:hAnsi="Times New Roman" w:cs="Times New Roman"/>
        </w:rPr>
      </w:pPr>
      <w:r w:rsidRPr="00221196">
        <w:rPr>
          <w:rFonts w:ascii="Times New Roman" w:hAnsi="Times New Roman" w:cs="Times New Roman"/>
        </w:rPr>
        <w:t>Several structural issues intensify fruit losses in India:</w:t>
      </w:r>
    </w:p>
    <w:p w14:paraId="7EF260DA" w14:textId="7B15623C" w:rsidR="006E5E1B" w:rsidRPr="00221196" w:rsidRDefault="006E5E1B" w:rsidP="004231BC">
      <w:pPr>
        <w:pStyle w:val="ListParagraph"/>
        <w:numPr>
          <w:ilvl w:val="0"/>
          <w:numId w:val="2"/>
        </w:numPr>
        <w:spacing w:line="360" w:lineRule="auto"/>
        <w:jc w:val="both"/>
        <w:rPr>
          <w:rFonts w:ascii="Times New Roman" w:hAnsi="Times New Roman" w:cs="Times New Roman"/>
        </w:rPr>
      </w:pPr>
      <w:r w:rsidRPr="00221196">
        <w:rPr>
          <w:rFonts w:ascii="Times New Roman" w:hAnsi="Times New Roman" w:cs="Times New Roman"/>
        </w:rPr>
        <w:t>Fragmented supply chains</w:t>
      </w:r>
    </w:p>
    <w:p w14:paraId="337A8C73" w14:textId="77777777" w:rsidR="006E5E1B" w:rsidRPr="00221196" w:rsidRDefault="006E5E1B" w:rsidP="004231BC">
      <w:pPr>
        <w:pStyle w:val="ListParagraph"/>
        <w:numPr>
          <w:ilvl w:val="0"/>
          <w:numId w:val="2"/>
        </w:numPr>
        <w:spacing w:line="360" w:lineRule="auto"/>
        <w:jc w:val="both"/>
        <w:rPr>
          <w:rFonts w:ascii="Times New Roman" w:hAnsi="Times New Roman" w:cs="Times New Roman"/>
        </w:rPr>
      </w:pPr>
      <w:r w:rsidRPr="00221196">
        <w:rPr>
          <w:rFonts w:ascii="Times New Roman" w:hAnsi="Times New Roman" w:cs="Times New Roman"/>
        </w:rPr>
        <w:t>Dominance of intermediaries</w:t>
      </w:r>
    </w:p>
    <w:p w14:paraId="7F6AD7FD" w14:textId="77777777" w:rsidR="006E5E1B" w:rsidRPr="00221196" w:rsidRDefault="006E5E1B" w:rsidP="004231BC">
      <w:pPr>
        <w:pStyle w:val="ListParagraph"/>
        <w:numPr>
          <w:ilvl w:val="0"/>
          <w:numId w:val="2"/>
        </w:numPr>
        <w:spacing w:line="360" w:lineRule="auto"/>
        <w:jc w:val="both"/>
        <w:rPr>
          <w:rFonts w:ascii="Times New Roman" w:hAnsi="Times New Roman" w:cs="Times New Roman"/>
        </w:rPr>
      </w:pPr>
      <w:r w:rsidRPr="00221196">
        <w:rPr>
          <w:rFonts w:ascii="Times New Roman" w:hAnsi="Times New Roman" w:cs="Times New Roman"/>
        </w:rPr>
        <w:lastRenderedPageBreak/>
        <w:t>Limited farmer training in postharvest handling</w:t>
      </w:r>
    </w:p>
    <w:p w14:paraId="40ECF84D" w14:textId="77777777" w:rsidR="006E5E1B" w:rsidRPr="00221196" w:rsidRDefault="006E5E1B" w:rsidP="004231BC">
      <w:pPr>
        <w:pStyle w:val="ListParagraph"/>
        <w:numPr>
          <w:ilvl w:val="0"/>
          <w:numId w:val="2"/>
        </w:numPr>
        <w:spacing w:line="360" w:lineRule="auto"/>
        <w:jc w:val="both"/>
        <w:rPr>
          <w:rFonts w:ascii="Times New Roman" w:hAnsi="Times New Roman" w:cs="Times New Roman"/>
        </w:rPr>
      </w:pPr>
      <w:r w:rsidRPr="00221196">
        <w:rPr>
          <w:rFonts w:ascii="Times New Roman" w:hAnsi="Times New Roman" w:cs="Times New Roman"/>
        </w:rPr>
        <w:t>Inadequate grading and standardization</w:t>
      </w:r>
    </w:p>
    <w:p w14:paraId="09C0B5FF" w14:textId="4435DBED" w:rsidR="006E5E1B" w:rsidRPr="00221196" w:rsidRDefault="006E5E1B" w:rsidP="004231BC">
      <w:pPr>
        <w:spacing w:line="360" w:lineRule="auto"/>
        <w:jc w:val="both"/>
        <w:rPr>
          <w:rFonts w:ascii="Times New Roman" w:hAnsi="Times New Roman" w:cs="Times New Roman"/>
        </w:rPr>
      </w:pPr>
      <w:r w:rsidRPr="00221196">
        <w:rPr>
          <w:rFonts w:ascii="Times New Roman" w:hAnsi="Times New Roman" w:cs="Times New Roman"/>
        </w:rPr>
        <w:t>The Government of India has initiated schemes such as:</w:t>
      </w:r>
      <w:r w:rsidR="00D03B3F" w:rsidRPr="00221196">
        <w:rPr>
          <w:rFonts w:ascii="Times New Roman" w:hAnsi="Times New Roman" w:cs="Times New Roman"/>
        </w:rPr>
        <w:t xml:space="preserve"> </w:t>
      </w:r>
      <w:r w:rsidRPr="00221196">
        <w:rPr>
          <w:rFonts w:ascii="Times New Roman" w:hAnsi="Times New Roman" w:cs="Times New Roman"/>
        </w:rPr>
        <w:t>Mission for Integrated Development of Horticulture (MIDH)</w:t>
      </w:r>
      <w:r w:rsidR="00D03B3F" w:rsidRPr="00221196">
        <w:rPr>
          <w:rFonts w:ascii="Times New Roman" w:hAnsi="Times New Roman" w:cs="Times New Roman"/>
        </w:rPr>
        <w:t xml:space="preserve">, </w:t>
      </w:r>
      <w:r w:rsidRPr="00221196">
        <w:rPr>
          <w:rFonts w:ascii="Times New Roman" w:hAnsi="Times New Roman" w:cs="Times New Roman"/>
        </w:rPr>
        <w:t>Pradhan Mantri Kisan SAMPADA Yojana</w:t>
      </w:r>
      <w:r w:rsidR="00D03B3F" w:rsidRPr="00221196">
        <w:rPr>
          <w:rFonts w:ascii="Times New Roman" w:hAnsi="Times New Roman" w:cs="Times New Roman"/>
        </w:rPr>
        <w:t xml:space="preserve"> and </w:t>
      </w:r>
      <w:r w:rsidRPr="00221196">
        <w:rPr>
          <w:rFonts w:ascii="Times New Roman" w:hAnsi="Times New Roman" w:cs="Times New Roman"/>
        </w:rPr>
        <w:t>Integrated Cold Chain and Value Addition Infrastructure Scheme</w:t>
      </w:r>
      <w:r w:rsidR="00D03B3F" w:rsidRPr="00221196">
        <w:rPr>
          <w:rFonts w:ascii="Times New Roman" w:hAnsi="Times New Roman" w:cs="Times New Roman"/>
        </w:rPr>
        <w:t xml:space="preserve">. </w:t>
      </w:r>
      <w:r w:rsidRPr="00221196">
        <w:rPr>
          <w:rFonts w:ascii="Times New Roman" w:hAnsi="Times New Roman" w:cs="Times New Roman"/>
        </w:rPr>
        <w:t>These initiatives aim to strengthen postharvest infrastructure and reduce losses (</w:t>
      </w:r>
      <w:proofErr w:type="spellStart"/>
      <w:r w:rsidRPr="00221196">
        <w:rPr>
          <w:rFonts w:ascii="Times New Roman" w:hAnsi="Times New Roman" w:cs="Times New Roman"/>
        </w:rPr>
        <w:t>MoFPI</w:t>
      </w:r>
      <w:proofErr w:type="spellEnd"/>
      <w:r w:rsidRPr="00221196">
        <w:rPr>
          <w:rFonts w:ascii="Times New Roman" w:hAnsi="Times New Roman" w:cs="Times New Roman"/>
        </w:rPr>
        <w:t>, 2022).</w:t>
      </w:r>
    </w:p>
    <w:p w14:paraId="05032460" w14:textId="64971BF6" w:rsidR="003C4C92" w:rsidRPr="00221196" w:rsidRDefault="003C4C92" w:rsidP="004231BC">
      <w:pPr>
        <w:spacing w:line="360" w:lineRule="auto"/>
        <w:jc w:val="both"/>
        <w:rPr>
          <w:rFonts w:ascii="Times New Roman" w:hAnsi="Times New Roman" w:cs="Times New Roman"/>
          <w:b/>
          <w:bCs/>
        </w:rPr>
      </w:pPr>
      <w:r w:rsidRPr="00221196">
        <w:rPr>
          <w:rFonts w:ascii="Times New Roman" w:hAnsi="Times New Roman" w:cs="Times New Roman"/>
          <w:b/>
          <w:bCs/>
        </w:rPr>
        <w:t>Postharvest Chemical Strategies for Shelf Life Extension and Quality Preservation of Fruits</w:t>
      </w:r>
    </w:p>
    <w:p w14:paraId="2486FB7D" w14:textId="37A6ADE5" w:rsidR="00C02024" w:rsidRPr="00221196" w:rsidRDefault="00C02024" w:rsidP="004231BC">
      <w:pPr>
        <w:spacing w:line="360" w:lineRule="auto"/>
        <w:jc w:val="both"/>
        <w:rPr>
          <w:rFonts w:ascii="Times New Roman" w:hAnsi="Times New Roman" w:cs="Times New Roman"/>
        </w:rPr>
      </w:pPr>
      <w:r w:rsidRPr="00221196">
        <w:rPr>
          <w:rFonts w:ascii="Times New Roman" w:hAnsi="Times New Roman" w:cs="Times New Roman"/>
        </w:rPr>
        <w:t>Freshly harvested horticultural products quickly lose their freshness, affecting their market value. Consequently, the horticultural industry has been exploring new methods to control ripening and prolong shelf life</w:t>
      </w:r>
      <w:r w:rsidR="00603AF3">
        <w:rPr>
          <w:rFonts w:ascii="Times New Roman" w:hAnsi="Times New Roman" w:cs="Times New Roman"/>
        </w:rPr>
        <w:t xml:space="preserve"> (Mahajan et al., 2014)</w:t>
      </w:r>
      <w:r w:rsidRPr="00221196">
        <w:rPr>
          <w:rFonts w:ascii="Times New Roman" w:hAnsi="Times New Roman" w:cs="Times New Roman"/>
        </w:rPr>
        <w:t>. Traditional techniques like cold storage and modified atmosphere storage are employed to extend the shelf life of horticultural products. In recent years, the use of post-harvest chemicals (e.g., calcium salts, salicylic acid, potassium permanganate) and edible coatings (such as starch, chitosan, lipid or nano-emulsions) has emerged as a more effective and sustainable approach</w:t>
      </w:r>
      <w:r w:rsidR="0015185F">
        <w:rPr>
          <w:rFonts w:ascii="Times New Roman" w:hAnsi="Times New Roman" w:cs="Times New Roman"/>
        </w:rPr>
        <w:t xml:space="preserve"> (Dhall, 2013)</w:t>
      </w:r>
      <w:r w:rsidRPr="00221196">
        <w:rPr>
          <w:rFonts w:ascii="Times New Roman" w:hAnsi="Times New Roman" w:cs="Times New Roman"/>
        </w:rPr>
        <w:t>. These treatments not only delay ripening and senescence but also maintain fruit firmness, reduce microbial growth and preserve sensory quality</w:t>
      </w:r>
      <w:r w:rsidR="0015185F">
        <w:rPr>
          <w:rFonts w:ascii="Times New Roman" w:hAnsi="Times New Roman" w:cs="Times New Roman"/>
        </w:rPr>
        <w:t xml:space="preserve"> (Singh et</w:t>
      </w:r>
      <w:r w:rsidR="006E03A6">
        <w:rPr>
          <w:rFonts w:ascii="Times New Roman" w:hAnsi="Times New Roman" w:cs="Times New Roman"/>
        </w:rPr>
        <w:t xml:space="preserve"> al., 2022)</w:t>
      </w:r>
      <w:r w:rsidRPr="00221196">
        <w:rPr>
          <w:rFonts w:ascii="Times New Roman" w:hAnsi="Times New Roman" w:cs="Times New Roman"/>
        </w:rPr>
        <w:t>. Compared to conventional storage, they are cost-effective, eco-friendly and enhance consumer safety while significantly extending shelf life and reducing wastage</w:t>
      </w:r>
      <w:r w:rsidR="00EF6D64" w:rsidRPr="00221196">
        <w:rPr>
          <w:rFonts w:ascii="Times New Roman" w:hAnsi="Times New Roman" w:cs="Times New Roman"/>
        </w:rPr>
        <w:t>.</w:t>
      </w:r>
    </w:p>
    <w:p w14:paraId="0311338B" w14:textId="3403DF17" w:rsidR="00306C2F" w:rsidRPr="00221196" w:rsidRDefault="00306C2F" w:rsidP="004231BC">
      <w:pPr>
        <w:spacing w:line="360" w:lineRule="auto"/>
        <w:jc w:val="both"/>
        <w:rPr>
          <w:rFonts w:ascii="Times New Roman" w:hAnsi="Times New Roman" w:cs="Times New Roman"/>
          <w:b/>
          <w:bCs/>
        </w:rPr>
      </w:pPr>
      <w:r w:rsidRPr="00221196">
        <w:rPr>
          <w:rFonts w:ascii="Times New Roman" w:hAnsi="Times New Roman" w:cs="Times New Roman"/>
          <w:b/>
          <w:bCs/>
        </w:rPr>
        <w:t>Postharvest Chemicals for Shelf Life Enhancement of Fruits</w:t>
      </w:r>
    </w:p>
    <w:p w14:paraId="6C4338E0" w14:textId="53C065A3" w:rsidR="00306C2F" w:rsidRDefault="00306C2F" w:rsidP="004231BC">
      <w:pPr>
        <w:spacing w:line="360" w:lineRule="auto"/>
        <w:jc w:val="both"/>
        <w:rPr>
          <w:rFonts w:ascii="Times New Roman" w:hAnsi="Times New Roman" w:cs="Times New Roman"/>
        </w:rPr>
      </w:pPr>
      <w:r w:rsidRPr="00221196">
        <w:rPr>
          <w:rFonts w:ascii="Times New Roman" w:hAnsi="Times New Roman" w:cs="Times New Roman"/>
        </w:rPr>
        <w:t>To maintain quality after harvest, fruits require careful handling because they continue to respire, ripen, and undergo physiological changes even after being detached from the plant. Postharvest chemical treatments are widely used to slow down these natural processes, reduce microbial decay and extend storage life without significantly affecting nutritional value. Below is a detailed explanation of the major postharvest chemicals commonly used to enhance shelf life of fruits</w:t>
      </w:r>
      <w:r w:rsidR="006322B7">
        <w:rPr>
          <w:rFonts w:ascii="Times New Roman" w:hAnsi="Times New Roman" w:cs="Times New Roman"/>
        </w:rPr>
        <w:t>, along with a compara</w:t>
      </w:r>
      <w:r w:rsidR="00B14859">
        <w:rPr>
          <w:rFonts w:ascii="Times New Roman" w:hAnsi="Times New Roman" w:cs="Times New Roman"/>
        </w:rPr>
        <w:t>tive analysis of their advantages and disadvantages</w:t>
      </w:r>
      <w:r w:rsidR="00565669">
        <w:rPr>
          <w:rFonts w:ascii="Times New Roman" w:hAnsi="Times New Roman" w:cs="Times New Roman"/>
        </w:rPr>
        <w:t xml:space="preserve"> (</w:t>
      </w:r>
      <w:r w:rsidR="00565669" w:rsidRPr="000F5021">
        <w:rPr>
          <w:rFonts w:ascii="Times New Roman" w:hAnsi="Times New Roman" w:cs="Times New Roman"/>
        </w:rPr>
        <w:t>Table</w:t>
      </w:r>
      <w:r w:rsidR="00565669">
        <w:rPr>
          <w:rFonts w:ascii="Times New Roman" w:hAnsi="Times New Roman" w:cs="Times New Roman"/>
        </w:rPr>
        <w:t xml:space="preserve"> 1)</w:t>
      </w:r>
      <w:r w:rsidR="00B14859">
        <w:rPr>
          <w:rFonts w:ascii="Times New Roman" w:hAnsi="Times New Roman" w:cs="Times New Roman"/>
        </w:rPr>
        <w:t>.</w:t>
      </w:r>
    </w:p>
    <w:p w14:paraId="666AB509" w14:textId="096CD388" w:rsidR="000F5021" w:rsidRDefault="000F5021" w:rsidP="004231BC">
      <w:pPr>
        <w:spacing w:line="360" w:lineRule="auto"/>
        <w:jc w:val="both"/>
        <w:rPr>
          <w:rFonts w:ascii="Times New Roman" w:hAnsi="Times New Roman" w:cs="Times New Roman"/>
        </w:rPr>
      </w:pPr>
      <w:r w:rsidRPr="000F5021">
        <w:rPr>
          <w:rFonts w:ascii="Times New Roman" w:hAnsi="Times New Roman" w:cs="Times New Roman"/>
        </w:rPr>
        <w:t>Table</w:t>
      </w:r>
      <w:r>
        <w:rPr>
          <w:rFonts w:ascii="Times New Roman" w:hAnsi="Times New Roman" w:cs="Times New Roman"/>
        </w:rPr>
        <w:t xml:space="preserve"> 1</w:t>
      </w:r>
      <w:r w:rsidRPr="000F5021">
        <w:rPr>
          <w:rFonts w:ascii="Times New Roman" w:hAnsi="Times New Roman" w:cs="Times New Roman"/>
        </w:rPr>
        <w:t>: Postharvest Chemical Treatments for Shelf</w:t>
      </w:r>
      <w:r w:rsidR="00565669">
        <w:rPr>
          <w:rFonts w:ascii="Times New Roman" w:hAnsi="Times New Roman" w:cs="Times New Roman"/>
        </w:rPr>
        <w:t xml:space="preserve"> </w:t>
      </w:r>
      <w:r w:rsidRPr="000F5021">
        <w:rPr>
          <w:rFonts w:ascii="Times New Roman" w:hAnsi="Times New Roman" w:cs="Times New Roman"/>
        </w:rPr>
        <w:t>Life Extension</w:t>
      </w:r>
    </w:p>
    <w:tbl>
      <w:tblPr>
        <w:tblStyle w:val="TableGrid"/>
        <w:tblW w:w="0" w:type="auto"/>
        <w:jc w:val="center"/>
        <w:tblLook w:val="04A0" w:firstRow="1" w:lastRow="0" w:firstColumn="1" w:lastColumn="0" w:noHBand="0" w:noVBand="1"/>
      </w:tblPr>
      <w:tblGrid>
        <w:gridCol w:w="1728"/>
        <w:gridCol w:w="1728"/>
        <w:gridCol w:w="1728"/>
        <w:gridCol w:w="1728"/>
        <w:gridCol w:w="2014"/>
      </w:tblGrid>
      <w:tr w:rsidR="000F5021" w:rsidRPr="000F5021" w14:paraId="0EFD6822" w14:textId="77777777" w:rsidTr="00565669">
        <w:trPr>
          <w:jc w:val="center"/>
        </w:trPr>
        <w:tc>
          <w:tcPr>
            <w:tcW w:w="1728" w:type="dxa"/>
            <w:tcBorders>
              <w:top w:val="single" w:sz="4" w:space="0" w:color="auto"/>
              <w:left w:val="single" w:sz="4" w:space="0" w:color="auto"/>
              <w:bottom w:val="single" w:sz="4" w:space="0" w:color="auto"/>
              <w:right w:val="single" w:sz="4" w:space="0" w:color="auto"/>
            </w:tcBorders>
            <w:hideMark/>
          </w:tcPr>
          <w:p w14:paraId="11B6097B"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t>Treatment Category</w:t>
            </w:r>
          </w:p>
        </w:tc>
        <w:tc>
          <w:tcPr>
            <w:tcW w:w="1728" w:type="dxa"/>
            <w:tcBorders>
              <w:top w:val="single" w:sz="4" w:space="0" w:color="auto"/>
              <w:left w:val="single" w:sz="4" w:space="0" w:color="auto"/>
              <w:bottom w:val="single" w:sz="4" w:space="0" w:color="auto"/>
              <w:right w:val="single" w:sz="4" w:space="0" w:color="auto"/>
            </w:tcBorders>
            <w:hideMark/>
          </w:tcPr>
          <w:p w14:paraId="0F966F7B"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t>Examples</w:t>
            </w:r>
          </w:p>
        </w:tc>
        <w:tc>
          <w:tcPr>
            <w:tcW w:w="1728" w:type="dxa"/>
            <w:tcBorders>
              <w:top w:val="single" w:sz="4" w:space="0" w:color="auto"/>
              <w:left w:val="single" w:sz="4" w:space="0" w:color="auto"/>
              <w:bottom w:val="single" w:sz="4" w:space="0" w:color="auto"/>
              <w:right w:val="single" w:sz="4" w:space="0" w:color="auto"/>
            </w:tcBorders>
            <w:hideMark/>
          </w:tcPr>
          <w:p w14:paraId="193F7337"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t>Mechanism of Action</w:t>
            </w:r>
          </w:p>
        </w:tc>
        <w:tc>
          <w:tcPr>
            <w:tcW w:w="1728" w:type="dxa"/>
            <w:tcBorders>
              <w:top w:val="single" w:sz="4" w:space="0" w:color="auto"/>
              <w:left w:val="single" w:sz="4" w:space="0" w:color="auto"/>
              <w:bottom w:val="single" w:sz="4" w:space="0" w:color="auto"/>
              <w:right w:val="single" w:sz="4" w:space="0" w:color="auto"/>
            </w:tcBorders>
            <w:hideMark/>
          </w:tcPr>
          <w:p w14:paraId="3233BAEE"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t>Advantages</w:t>
            </w:r>
          </w:p>
        </w:tc>
        <w:tc>
          <w:tcPr>
            <w:tcW w:w="2014" w:type="dxa"/>
            <w:tcBorders>
              <w:top w:val="single" w:sz="4" w:space="0" w:color="auto"/>
              <w:left w:val="single" w:sz="4" w:space="0" w:color="auto"/>
              <w:bottom w:val="single" w:sz="4" w:space="0" w:color="auto"/>
              <w:right w:val="single" w:sz="4" w:space="0" w:color="auto"/>
            </w:tcBorders>
            <w:hideMark/>
          </w:tcPr>
          <w:p w14:paraId="05970DE9"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t>Limitations</w:t>
            </w:r>
          </w:p>
        </w:tc>
      </w:tr>
      <w:tr w:rsidR="000F5021" w:rsidRPr="000F5021" w14:paraId="13DB1D56" w14:textId="77777777" w:rsidTr="00565669">
        <w:trPr>
          <w:jc w:val="center"/>
        </w:trPr>
        <w:tc>
          <w:tcPr>
            <w:tcW w:w="1728" w:type="dxa"/>
            <w:tcBorders>
              <w:top w:val="single" w:sz="4" w:space="0" w:color="auto"/>
              <w:left w:val="single" w:sz="4" w:space="0" w:color="auto"/>
              <w:bottom w:val="single" w:sz="4" w:space="0" w:color="auto"/>
              <w:right w:val="single" w:sz="4" w:space="0" w:color="auto"/>
            </w:tcBorders>
            <w:hideMark/>
          </w:tcPr>
          <w:p w14:paraId="2A909494"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t>Ethylene Inhibitors / Modulators</w:t>
            </w:r>
          </w:p>
        </w:tc>
        <w:tc>
          <w:tcPr>
            <w:tcW w:w="1728" w:type="dxa"/>
            <w:tcBorders>
              <w:top w:val="single" w:sz="4" w:space="0" w:color="auto"/>
              <w:left w:val="single" w:sz="4" w:space="0" w:color="auto"/>
              <w:bottom w:val="single" w:sz="4" w:space="0" w:color="auto"/>
              <w:right w:val="single" w:sz="4" w:space="0" w:color="auto"/>
            </w:tcBorders>
            <w:hideMark/>
          </w:tcPr>
          <w:p w14:paraId="07A0BC66"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t>1-MCP, Potassium permanganate (KMnO4), AVG</w:t>
            </w:r>
          </w:p>
        </w:tc>
        <w:tc>
          <w:tcPr>
            <w:tcW w:w="1728" w:type="dxa"/>
            <w:tcBorders>
              <w:top w:val="single" w:sz="4" w:space="0" w:color="auto"/>
              <w:left w:val="single" w:sz="4" w:space="0" w:color="auto"/>
              <w:bottom w:val="single" w:sz="4" w:space="0" w:color="auto"/>
              <w:right w:val="single" w:sz="4" w:space="0" w:color="auto"/>
            </w:tcBorders>
            <w:hideMark/>
          </w:tcPr>
          <w:p w14:paraId="3C68453C"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t xml:space="preserve">1-MCP blocks ethylene receptors; KMnO4 oxidizes ethylene; AVG inhibits ethylene </w:t>
            </w:r>
            <w:r w:rsidRPr="000F5021">
              <w:rPr>
                <w:rFonts w:ascii="Times New Roman" w:hAnsi="Times New Roman" w:cs="Times New Roman"/>
                <w:lang w:val="en-US"/>
              </w:rPr>
              <w:lastRenderedPageBreak/>
              <w:t>biosynthesis, thereby delaying ripening and respiration</w:t>
            </w:r>
          </w:p>
        </w:tc>
        <w:tc>
          <w:tcPr>
            <w:tcW w:w="1728" w:type="dxa"/>
            <w:tcBorders>
              <w:top w:val="single" w:sz="4" w:space="0" w:color="auto"/>
              <w:left w:val="single" w:sz="4" w:space="0" w:color="auto"/>
              <w:bottom w:val="single" w:sz="4" w:space="0" w:color="auto"/>
              <w:right w:val="single" w:sz="4" w:space="0" w:color="auto"/>
            </w:tcBorders>
            <w:hideMark/>
          </w:tcPr>
          <w:p w14:paraId="0734E0C6"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lastRenderedPageBreak/>
              <w:t xml:space="preserve">Delays ripening; maintains firmness; extends shelf </w:t>
            </w:r>
            <w:r w:rsidRPr="000F5021">
              <w:rPr>
                <w:rFonts w:ascii="Times New Roman" w:hAnsi="Times New Roman" w:cs="Times New Roman"/>
                <w:lang w:val="en-US"/>
              </w:rPr>
              <w:lastRenderedPageBreak/>
              <w:t>life; reduces respiration rate</w:t>
            </w:r>
          </w:p>
        </w:tc>
        <w:tc>
          <w:tcPr>
            <w:tcW w:w="2014" w:type="dxa"/>
            <w:tcBorders>
              <w:top w:val="single" w:sz="4" w:space="0" w:color="auto"/>
              <w:left w:val="single" w:sz="4" w:space="0" w:color="auto"/>
              <w:bottom w:val="single" w:sz="4" w:space="0" w:color="auto"/>
              <w:right w:val="single" w:sz="4" w:space="0" w:color="auto"/>
            </w:tcBorders>
            <w:hideMark/>
          </w:tcPr>
          <w:p w14:paraId="129FB478"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lastRenderedPageBreak/>
              <w:t xml:space="preserve">High cost; requires controlled conditions; uneven exposure risk; </w:t>
            </w:r>
            <w:r w:rsidRPr="000F5021">
              <w:rPr>
                <w:rFonts w:ascii="Times New Roman" w:hAnsi="Times New Roman" w:cs="Times New Roman"/>
                <w:lang w:val="en-US"/>
              </w:rPr>
              <w:lastRenderedPageBreak/>
              <w:t>regulatory restrictions</w:t>
            </w:r>
          </w:p>
        </w:tc>
      </w:tr>
      <w:tr w:rsidR="000F5021" w:rsidRPr="000F5021" w14:paraId="3A2B5A2A" w14:textId="77777777" w:rsidTr="00565669">
        <w:trPr>
          <w:jc w:val="center"/>
        </w:trPr>
        <w:tc>
          <w:tcPr>
            <w:tcW w:w="1728" w:type="dxa"/>
            <w:tcBorders>
              <w:top w:val="single" w:sz="4" w:space="0" w:color="auto"/>
              <w:left w:val="single" w:sz="4" w:space="0" w:color="auto"/>
              <w:bottom w:val="single" w:sz="4" w:space="0" w:color="auto"/>
              <w:right w:val="single" w:sz="4" w:space="0" w:color="auto"/>
            </w:tcBorders>
            <w:hideMark/>
          </w:tcPr>
          <w:p w14:paraId="5801397E"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lastRenderedPageBreak/>
              <w:t>Calcium-Based Treatments</w:t>
            </w:r>
          </w:p>
        </w:tc>
        <w:tc>
          <w:tcPr>
            <w:tcW w:w="1728" w:type="dxa"/>
            <w:tcBorders>
              <w:top w:val="single" w:sz="4" w:space="0" w:color="auto"/>
              <w:left w:val="single" w:sz="4" w:space="0" w:color="auto"/>
              <w:bottom w:val="single" w:sz="4" w:space="0" w:color="auto"/>
              <w:right w:val="single" w:sz="4" w:space="0" w:color="auto"/>
            </w:tcBorders>
            <w:hideMark/>
          </w:tcPr>
          <w:p w14:paraId="42077B07"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t>Calcium chloride (CaCl2), Calcium lactate</w:t>
            </w:r>
          </w:p>
        </w:tc>
        <w:tc>
          <w:tcPr>
            <w:tcW w:w="1728" w:type="dxa"/>
            <w:tcBorders>
              <w:top w:val="single" w:sz="4" w:space="0" w:color="auto"/>
              <w:left w:val="single" w:sz="4" w:space="0" w:color="auto"/>
              <w:bottom w:val="single" w:sz="4" w:space="0" w:color="auto"/>
              <w:right w:val="single" w:sz="4" w:space="0" w:color="auto"/>
            </w:tcBorders>
            <w:hideMark/>
          </w:tcPr>
          <w:p w14:paraId="340796BB"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t>Forms calcium pectate in cell walls; strengthens middle lamella; reduces enzymatic softening</w:t>
            </w:r>
          </w:p>
        </w:tc>
        <w:tc>
          <w:tcPr>
            <w:tcW w:w="1728" w:type="dxa"/>
            <w:tcBorders>
              <w:top w:val="single" w:sz="4" w:space="0" w:color="auto"/>
              <w:left w:val="single" w:sz="4" w:space="0" w:color="auto"/>
              <w:bottom w:val="single" w:sz="4" w:space="0" w:color="auto"/>
              <w:right w:val="single" w:sz="4" w:space="0" w:color="auto"/>
            </w:tcBorders>
            <w:hideMark/>
          </w:tcPr>
          <w:p w14:paraId="222E5FF3"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t>Improves firmness; reduces physiological disorders; enhances storage stability</w:t>
            </w:r>
          </w:p>
        </w:tc>
        <w:tc>
          <w:tcPr>
            <w:tcW w:w="2014" w:type="dxa"/>
            <w:tcBorders>
              <w:top w:val="single" w:sz="4" w:space="0" w:color="auto"/>
              <w:left w:val="single" w:sz="4" w:space="0" w:color="auto"/>
              <w:bottom w:val="single" w:sz="4" w:space="0" w:color="auto"/>
              <w:right w:val="single" w:sz="4" w:space="0" w:color="auto"/>
            </w:tcBorders>
            <w:hideMark/>
          </w:tcPr>
          <w:p w14:paraId="6823A2D9"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t>Surface injury or bitterness at high concentration; requires precise dosage control</w:t>
            </w:r>
          </w:p>
        </w:tc>
      </w:tr>
      <w:tr w:rsidR="000F5021" w:rsidRPr="000F5021" w14:paraId="62AED615" w14:textId="77777777" w:rsidTr="00565669">
        <w:trPr>
          <w:jc w:val="center"/>
        </w:trPr>
        <w:tc>
          <w:tcPr>
            <w:tcW w:w="1728" w:type="dxa"/>
            <w:tcBorders>
              <w:top w:val="single" w:sz="4" w:space="0" w:color="auto"/>
              <w:left w:val="single" w:sz="4" w:space="0" w:color="auto"/>
              <w:bottom w:val="single" w:sz="4" w:space="0" w:color="auto"/>
              <w:right w:val="single" w:sz="4" w:space="0" w:color="auto"/>
            </w:tcBorders>
            <w:hideMark/>
          </w:tcPr>
          <w:p w14:paraId="2C2ED659"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t>Antimicrobial / Disinfectant Treatments</w:t>
            </w:r>
          </w:p>
        </w:tc>
        <w:tc>
          <w:tcPr>
            <w:tcW w:w="1728" w:type="dxa"/>
            <w:tcBorders>
              <w:top w:val="single" w:sz="4" w:space="0" w:color="auto"/>
              <w:left w:val="single" w:sz="4" w:space="0" w:color="auto"/>
              <w:bottom w:val="single" w:sz="4" w:space="0" w:color="auto"/>
              <w:right w:val="single" w:sz="4" w:space="0" w:color="auto"/>
            </w:tcBorders>
            <w:hideMark/>
          </w:tcPr>
          <w:p w14:paraId="1BE1ED0D"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t>Sodium hypochlorite, Chlorine dioxide, Ozone</w:t>
            </w:r>
          </w:p>
        </w:tc>
        <w:tc>
          <w:tcPr>
            <w:tcW w:w="1728" w:type="dxa"/>
            <w:tcBorders>
              <w:top w:val="single" w:sz="4" w:space="0" w:color="auto"/>
              <w:left w:val="single" w:sz="4" w:space="0" w:color="auto"/>
              <w:bottom w:val="single" w:sz="4" w:space="0" w:color="auto"/>
              <w:right w:val="single" w:sz="4" w:space="0" w:color="auto"/>
            </w:tcBorders>
            <w:hideMark/>
          </w:tcPr>
          <w:p w14:paraId="454FC199"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t>Oxidative destruction of microbial cell walls and enzymes; reduces surface microbial load</w:t>
            </w:r>
          </w:p>
        </w:tc>
        <w:tc>
          <w:tcPr>
            <w:tcW w:w="1728" w:type="dxa"/>
            <w:tcBorders>
              <w:top w:val="single" w:sz="4" w:space="0" w:color="auto"/>
              <w:left w:val="single" w:sz="4" w:space="0" w:color="auto"/>
              <w:bottom w:val="single" w:sz="4" w:space="0" w:color="auto"/>
              <w:right w:val="single" w:sz="4" w:space="0" w:color="auto"/>
            </w:tcBorders>
            <w:hideMark/>
          </w:tcPr>
          <w:p w14:paraId="1FC2D510"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t>Controls postharvest pathogens; reduces decay; relatively low cost</w:t>
            </w:r>
          </w:p>
        </w:tc>
        <w:tc>
          <w:tcPr>
            <w:tcW w:w="2014" w:type="dxa"/>
            <w:tcBorders>
              <w:top w:val="single" w:sz="4" w:space="0" w:color="auto"/>
              <w:left w:val="single" w:sz="4" w:space="0" w:color="auto"/>
              <w:bottom w:val="single" w:sz="4" w:space="0" w:color="auto"/>
              <w:right w:val="single" w:sz="4" w:space="0" w:color="auto"/>
            </w:tcBorders>
            <w:hideMark/>
          </w:tcPr>
          <w:p w14:paraId="10748F6C"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t>Residue concerns (chlorine); equipment cost (ozone); worker safety considerations</w:t>
            </w:r>
          </w:p>
        </w:tc>
      </w:tr>
      <w:tr w:rsidR="000F5021" w:rsidRPr="000F5021" w14:paraId="537F87CA" w14:textId="77777777" w:rsidTr="00565669">
        <w:trPr>
          <w:jc w:val="center"/>
        </w:trPr>
        <w:tc>
          <w:tcPr>
            <w:tcW w:w="1728" w:type="dxa"/>
            <w:tcBorders>
              <w:top w:val="single" w:sz="4" w:space="0" w:color="auto"/>
              <w:left w:val="single" w:sz="4" w:space="0" w:color="auto"/>
              <w:bottom w:val="single" w:sz="4" w:space="0" w:color="auto"/>
              <w:right w:val="single" w:sz="4" w:space="0" w:color="auto"/>
            </w:tcBorders>
            <w:hideMark/>
          </w:tcPr>
          <w:p w14:paraId="6857D824"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t>Fungicides</w:t>
            </w:r>
          </w:p>
        </w:tc>
        <w:tc>
          <w:tcPr>
            <w:tcW w:w="1728" w:type="dxa"/>
            <w:tcBorders>
              <w:top w:val="single" w:sz="4" w:space="0" w:color="auto"/>
              <w:left w:val="single" w:sz="4" w:space="0" w:color="auto"/>
              <w:bottom w:val="single" w:sz="4" w:space="0" w:color="auto"/>
              <w:right w:val="single" w:sz="4" w:space="0" w:color="auto"/>
            </w:tcBorders>
            <w:hideMark/>
          </w:tcPr>
          <w:p w14:paraId="0D0BC83B"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t>Carbendazim, Thiabendazole</w:t>
            </w:r>
          </w:p>
        </w:tc>
        <w:tc>
          <w:tcPr>
            <w:tcW w:w="1728" w:type="dxa"/>
            <w:tcBorders>
              <w:top w:val="single" w:sz="4" w:space="0" w:color="auto"/>
              <w:left w:val="single" w:sz="4" w:space="0" w:color="auto"/>
              <w:bottom w:val="single" w:sz="4" w:space="0" w:color="auto"/>
              <w:right w:val="single" w:sz="4" w:space="0" w:color="auto"/>
            </w:tcBorders>
            <w:hideMark/>
          </w:tcPr>
          <w:p w14:paraId="180D292C"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t>Inhibits fungal growth by interfering with cell division and metabolic processes</w:t>
            </w:r>
          </w:p>
        </w:tc>
        <w:tc>
          <w:tcPr>
            <w:tcW w:w="1728" w:type="dxa"/>
            <w:tcBorders>
              <w:top w:val="single" w:sz="4" w:space="0" w:color="auto"/>
              <w:left w:val="single" w:sz="4" w:space="0" w:color="auto"/>
              <w:bottom w:val="single" w:sz="4" w:space="0" w:color="auto"/>
              <w:right w:val="single" w:sz="4" w:space="0" w:color="auto"/>
            </w:tcBorders>
            <w:hideMark/>
          </w:tcPr>
          <w:p w14:paraId="4BF13721"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t>Effective control of fungal diseases; reduces storage decay losses</w:t>
            </w:r>
          </w:p>
        </w:tc>
        <w:tc>
          <w:tcPr>
            <w:tcW w:w="2014" w:type="dxa"/>
            <w:tcBorders>
              <w:top w:val="single" w:sz="4" w:space="0" w:color="auto"/>
              <w:left w:val="single" w:sz="4" w:space="0" w:color="auto"/>
              <w:bottom w:val="single" w:sz="4" w:space="0" w:color="auto"/>
              <w:right w:val="single" w:sz="4" w:space="0" w:color="auto"/>
            </w:tcBorders>
            <w:hideMark/>
          </w:tcPr>
          <w:p w14:paraId="7FDCC507"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t>Residue and toxicity concerns; resistance development; export regulatory limitations</w:t>
            </w:r>
          </w:p>
        </w:tc>
      </w:tr>
      <w:tr w:rsidR="000F5021" w:rsidRPr="000F5021" w14:paraId="5DBC3874" w14:textId="77777777" w:rsidTr="00565669">
        <w:trPr>
          <w:jc w:val="center"/>
        </w:trPr>
        <w:tc>
          <w:tcPr>
            <w:tcW w:w="1728" w:type="dxa"/>
            <w:tcBorders>
              <w:top w:val="single" w:sz="4" w:space="0" w:color="auto"/>
              <w:left w:val="single" w:sz="4" w:space="0" w:color="auto"/>
              <w:bottom w:val="single" w:sz="4" w:space="0" w:color="auto"/>
              <w:right w:val="single" w:sz="4" w:space="0" w:color="auto"/>
            </w:tcBorders>
            <w:hideMark/>
          </w:tcPr>
          <w:p w14:paraId="5E894019"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t>Growth Regulators</w:t>
            </w:r>
          </w:p>
        </w:tc>
        <w:tc>
          <w:tcPr>
            <w:tcW w:w="1728" w:type="dxa"/>
            <w:tcBorders>
              <w:top w:val="single" w:sz="4" w:space="0" w:color="auto"/>
              <w:left w:val="single" w:sz="4" w:space="0" w:color="auto"/>
              <w:bottom w:val="single" w:sz="4" w:space="0" w:color="auto"/>
              <w:right w:val="single" w:sz="4" w:space="0" w:color="auto"/>
            </w:tcBorders>
            <w:hideMark/>
          </w:tcPr>
          <w:p w14:paraId="526CF89D"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t>Gibberellic acid (GA3), Salicylic acid</w:t>
            </w:r>
          </w:p>
        </w:tc>
        <w:tc>
          <w:tcPr>
            <w:tcW w:w="1728" w:type="dxa"/>
            <w:tcBorders>
              <w:top w:val="single" w:sz="4" w:space="0" w:color="auto"/>
              <w:left w:val="single" w:sz="4" w:space="0" w:color="auto"/>
              <w:bottom w:val="single" w:sz="4" w:space="0" w:color="auto"/>
              <w:right w:val="single" w:sz="4" w:space="0" w:color="auto"/>
            </w:tcBorders>
            <w:hideMark/>
          </w:tcPr>
          <w:p w14:paraId="398A90B4"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t>Modulates hormonal balance; reduces ethylene synthesis; enhances antioxidant defense mechanisms</w:t>
            </w:r>
          </w:p>
        </w:tc>
        <w:tc>
          <w:tcPr>
            <w:tcW w:w="1728" w:type="dxa"/>
            <w:tcBorders>
              <w:top w:val="single" w:sz="4" w:space="0" w:color="auto"/>
              <w:left w:val="single" w:sz="4" w:space="0" w:color="auto"/>
              <w:bottom w:val="single" w:sz="4" w:space="0" w:color="auto"/>
              <w:right w:val="single" w:sz="4" w:space="0" w:color="auto"/>
            </w:tcBorders>
            <w:hideMark/>
          </w:tcPr>
          <w:p w14:paraId="13DE11ED"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t>Delays senescence; reduces chilling injury; maintains nutritional quality</w:t>
            </w:r>
          </w:p>
        </w:tc>
        <w:tc>
          <w:tcPr>
            <w:tcW w:w="2014" w:type="dxa"/>
            <w:tcBorders>
              <w:top w:val="single" w:sz="4" w:space="0" w:color="auto"/>
              <w:left w:val="single" w:sz="4" w:space="0" w:color="auto"/>
              <w:bottom w:val="single" w:sz="4" w:space="0" w:color="auto"/>
              <w:right w:val="single" w:sz="4" w:space="0" w:color="auto"/>
            </w:tcBorders>
            <w:hideMark/>
          </w:tcPr>
          <w:p w14:paraId="49625DFB"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t>Over-application may cause physiological imbalance; crop-specific response variability</w:t>
            </w:r>
          </w:p>
        </w:tc>
      </w:tr>
      <w:tr w:rsidR="000F5021" w:rsidRPr="000F5021" w14:paraId="432E18F9" w14:textId="77777777" w:rsidTr="00565669">
        <w:trPr>
          <w:jc w:val="center"/>
        </w:trPr>
        <w:tc>
          <w:tcPr>
            <w:tcW w:w="1728" w:type="dxa"/>
            <w:tcBorders>
              <w:top w:val="single" w:sz="4" w:space="0" w:color="auto"/>
              <w:left w:val="single" w:sz="4" w:space="0" w:color="auto"/>
              <w:bottom w:val="single" w:sz="4" w:space="0" w:color="auto"/>
              <w:right w:val="single" w:sz="4" w:space="0" w:color="auto"/>
            </w:tcBorders>
            <w:hideMark/>
          </w:tcPr>
          <w:p w14:paraId="18CEA4EB"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lastRenderedPageBreak/>
              <w:t>Nitric Oxide (NO) Donors</w:t>
            </w:r>
          </w:p>
        </w:tc>
        <w:tc>
          <w:tcPr>
            <w:tcW w:w="1728" w:type="dxa"/>
            <w:tcBorders>
              <w:top w:val="single" w:sz="4" w:space="0" w:color="auto"/>
              <w:left w:val="single" w:sz="4" w:space="0" w:color="auto"/>
              <w:bottom w:val="single" w:sz="4" w:space="0" w:color="auto"/>
              <w:right w:val="single" w:sz="4" w:space="0" w:color="auto"/>
            </w:tcBorders>
            <w:hideMark/>
          </w:tcPr>
          <w:p w14:paraId="4A9978A1"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t>Sodium nitroprusside (SNP)</w:t>
            </w:r>
          </w:p>
        </w:tc>
        <w:tc>
          <w:tcPr>
            <w:tcW w:w="1728" w:type="dxa"/>
            <w:tcBorders>
              <w:top w:val="single" w:sz="4" w:space="0" w:color="auto"/>
              <w:left w:val="single" w:sz="4" w:space="0" w:color="auto"/>
              <w:bottom w:val="single" w:sz="4" w:space="0" w:color="auto"/>
              <w:right w:val="single" w:sz="4" w:space="0" w:color="auto"/>
            </w:tcBorders>
            <w:hideMark/>
          </w:tcPr>
          <w:p w14:paraId="7CB5873C"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t>Acts as signaling molecule; reduces oxidative stress; suppresses ethylene production</w:t>
            </w:r>
          </w:p>
        </w:tc>
        <w:tc>
          <w:tcPr>
            <w:tcW w:w="1728" w:type="dxa"/>
            <w:tcBorders>
              <w:top w:val="single" w:sz="4" w:space="0" w:color="auto"/>
              <w:left w:val="single" w:sz="4" w:space="0" w:color="auto"/>
              <w:bottom w:val="single" w:sz="4" w:space="0" w:color="auto"/>
              <w:right w:val="single" w:sz="4" w:space="0" w:color="auto"/>
            </w:tcBorders>
            <w:hideMark/>
          </w:tcPr>
          <w:p w14:paraId="5B120554"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t>Enhances antioxidant enzyme activity; delays senescence; reduces chilling injury</w:t>
            </w:r>
          </w:p>
        </w:tc>
        <w:tc>
          <w:tcPr>
            <w:tcW w:w="2014" w:type="dxa"/>
            <w:tcBorders>
              <w:top w:val="single" w:sz="4" w:space="0" w:color="auto"/>
              <w:left w:val="single" w:sz="4" w:space="0" w:color="auto"/>
              <w:bottom w:val="single" w:sz="4" w:space="0" w:color="auto"/>
              <w:right w:val="single" w:sz="4" w:space="0" w:color="auto"/>
            </w:tcBorders>
            <w:hideMark/>
          </w:tcPr>
          <w:p w14:paraId="5D633D28"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t>Requires controlled dosage; potential toxicity at high levels</w:t>
            </w:r>
          </w:p>
        </w:tc>
      </w:tr>
      <w:tr w:rsidR="000F5021" w:rsidRPr="000F5021" w14:paraId="7951CB2C" w14:textId="77777777" w:rsidTr="00565669">
        <w:trPr>
          <w:jc w:val="center"/>
        </w:trPr>
        <w:tc>
          <w:tcPr>
            <w:tcW w:w="1728" w:type="dxa"/>
            <w:tcBorders>
              <w:top w:val="single" w:sz="4" w:space="0" w:color="auto"/>
              <w:left w:val="single" w:sz="4" w:space="0" w:color="auto"/>
              <w:bottom w:val="single" w:sz="4" w:space="0" w:color="auto"/>
              <w:right w:val="single" w:sz="4" w:space="0" w:color="auto"/>
            </w:tcBorders>
            <w:hideMark/>
          </w:tcPr>
          <w:p w14:paraId="5A80E272"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t>Organic Acids / Natural Compounds</w:t>
            </w:r>
          </w:p>
        </w:tc>
        <w:tc>
          <w:tcPr>
            <w:tcW w:w="1728" w:type="dxa"/>
            <w:tcBorders>
              <w:top w:val="single" w:sz="4" w:space="0" w:color="auto"/>
              <w:left w:val="single" w:sz="4" w:space="0" w:color="auto"/>
              <w:bottom w:val="single" w:sz="4" w:space="0" w:color="auto"/>
              <w:right w:val="single" w:sz="4" w:space="0" w:color="auto"/>
            </w:tcBorders>
            <w:hideMark/>
          </w:tcPr>
          <w:p w14:paraId="1D7C0F06"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t>Oxalic acid, Citric acid, Ascorbic acid</w:t>
            </w:r>
          </w:p>
        </w:tc>
        <w:tc>
          <w:tcPr>
            <w:tcW w:w="1728" w:type="dxa"/>
            <w:tcBorders>
              <w:top w:val="single" w:sz="4" w:space="0" w:color="auto"/>
              <w:left w:val="single" w:sz="4" w:space="0" w:color="auto"/>
              <w:bottom w:val="single" w:sz="4" w:space="0" w:color="auto"/>
              <w:right w:val="single" w:sz="4" w:space="0" w:color="auto"/>
            </w:tcBorders>
            <w:hideMark/>
          </w:tcPr>
          <w:p w14:paraId="3B592A54"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t>Lowers surface pH; inhibits microbial growth; enhances antioxidant capacity</w:t>
            </w:r>
          </w:p>
        </w:tc>
        <w:tc>
          <w:tcPr>
            <w:tcW w:w="1728" w:type="dxa"/>
            <w:tcBorders>
              <w:top w:val="single" w:sz="4" w:space="0" w:color="auto"/>
              <w:left w:val="single" w:sz="4" w:space="0" w:color="auto"/>
              <w:bottom w:val="single" w:sz="4" w:space="0" w:color="auto"/>
              <w:right w:val="single" w:sz="4" w:space="0" w:color="auto"/>
            </w:tcBorders>
            <w:hideMark/>
          </w:tcPr>
          <w:p w14:paraId="66B9A77D"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t>Relatively safe; reduces decay; maintains quality attributes</w:t>
            </w:r>
          </w:p>
        </w:tc>
        <w:tc>
          <w:tcPr>
            <w:tcW w:w="2014" w:type="dxa"/>
            <w:tcBorders>
              <w:top w:val="single" w:sz="4" w:space="0" w:color="auto"/>
              <w:left w:val="single" w:sz="4" w:space="0" w:color="auto"/>
              <w:bottom w:val="single" w:sz="4" w:space="0" w:color="auto"/>
              <w:right w:val="single" w:sz="4" w:space="0" w:color="auto"/>
            </w:tcBorders>
            <w:hideMark/>
          </w:tcPr>
          <w:p w14:paraId="7B5B517B"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t>May alter taste; limited long-term protective effect</w:t>
            </w:r>
          </w:p>
        </w:tc>
      </w:tr>
      <w:tr w:rsidR="000F5021" w:rsidRPr="000F5021" w14:paraId="54833A45" w14:textId="77777777" w:rsidTr="00565669">
        <w:trPr>
          <w:jc w:val="center"/>
        </w:trPr>
        <w:tc>
          <w:tcPr>
            <w:tcW w:w="1728" w:type="dxa"/>
            <w:tcBorders>
              <w:top w:val="single" w:sz="4" w:space="0" w:color="auto"/>
              <w:left w:val="single" w:sz="4" w:space="0" w:color="auto"/>
              <w:bottom w:val="single" w:sz="4" w:space="0" w:color="auto"/>
              <w:right w:val="single" w:sz="4" w:space="0" w:color="auto"/>
            </w:tcBorders>
            <w:hideMark/>
          </w:tcPr>
          <w:p w14:paraId="51EC61FA"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t>Polyamines</w:t>
            </w:r>
          </w:p>
        </w:tc>
        <w:tc>
          <w:tcPr>
            <w:tcW w:w="1728" w:type="dxa"/>
            <w:tcBorders>
              <w:top w:val="single" w:sz="4" w:space="0" w:color="auto"/>
              <w:left w:val="single" w:sz="4" w:space="0" w:color="auto"/>
              <w:bottom w:val="single" w:sz="4" w:space="0" w:color="auto"/>
              <w:right w:val="single" w:sz="4" w:space="0" w:color="auto"/>
            </w:tcBorders>
            <w:hideMark/>
          </w:tcPr>
          <w:p w14:paraId="74778B8F"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t>Putrescine, Spermidine</w:t>
            </w:r>
          </w:p>
        </w:tc>
        <w:tc>
          <w:tcPr>
            <w:tcW w:w="1728" w:type="dxa"/>
            <w:tcBorders>
              <w:top w:val="single" w:sz="4" w:space="0" w:color="auto"/>
              <w:left w:val="single" w:sz="4" w:space="0" w:color="auto"/>
              <w:bottom w:val="single" w:sz="4" w:space="0" w:color="auto"/>
              <w:right w:val="single" w:sz="4" w:space="0" w:color="auto"/>
            </w:tcBorders>
            <w:hideMark/>
          </w:tcPr>
          <w:p w14:paraId="2931E1B0"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t>Stabilizes cell membranes; inhibits ethylene biosynthesis; delays senescence</w:t>
            </w:r>
          </w:p>
        </w:tc>
        <w:tc>
          <w:tcPr>
            <w:tcW w:w="1728" w:type="dxa"/>
            <w:tcBorders>
              <w:top w:val="single" w:sz="4" w:space="0" w:color="auto"/>
              <w:left w:val="single" w:sz="4" w:space="0" w:color="auto"/>
              <w:bottom w:val="single" w:sz="4" w:space="0" w:color="auto"/>
              <w:right w:val="single" w:sz="4" w:space="0" w:color="auto"/>
            </w:tcBorders>
            <w:hideMark/>
          </w:tcPr>
          <w:p w14:paraId="79ABF6C6"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t>Maintains firmness; reduces membrane degradation; extends storage life</w:t>
            </w:r>
          </w:p>
        </w:tc>
        <w:tc>
          <w:tcPr>
            <w:tcW w:w="2014" w:type="dxa"/>
            <w:tcBorders>
              <w:top w:val="single" w:sz="4" w:space="0" w:color="auto"/>
              <w:left w:val="single" w:sz="4" w:space="0" w:color="auto"/>
              <w:bottom w:val="single" w:sz="4" w:space="0" w:color="auto"/>
              <w:right w:val="single" w:sz="4" w:space="0" w:color="auto"/>
            </w:tcBorders>
            <w:hideMark/>
          </w:tcPr>
          <w:p w14:paraId="552701F7" w14:textId="77777777" w:rsidR="000F5021" w:rsidRPr="000F5021" w:rsidRDefault="000F5021" w:rsidP="000F5021">
            <w:pPr>
              <w:spacing w:after="160" w:line="360" w:lineRule="auto"/>
              <w:jc w:val="both"/>
              <w:rPr>
                <w:rFonts w:ascii="Times New Roman" w:hAnsi="Times New Roman" w:cs="Times New Roman"/>
                <w:lang w:val="en-US"/>
              </w:rPr>
            </w:pPr>
            <w:r w:rsidRPr="000F5021">
              <w:rPr>
                <w:rFonts w:ascii="Times New Roman" w:hAnsi="Times New Roman" w:cs="Times New Roman"/>
                <w:lang w:val="en-US"/>
              </w:rPr>
              <w:t>Cost considerations; concentration-sensitive effects</w:t>
            </w:r>
          </w:p>
        </w:tc>
      </w:tr>
    </w:tbl>
    <w:p w14:paraId="495F453A" w14:textId="77777777" w:rsidR="000F5021" w:rsidRDefault="000F5021" w:rsidP="000F5021">
      <w:pPr>
        <w:spacing w:line="360" w:lineRule="auto"/>
        <w:jc w:val="both"/>
        <w:rPr>
          <w:rFonts w:ascii="Times New Roman" w:hAnsi="Times New Roman" w:cs="Times New Roman"/>
          <w:lang w:val="en-US"/>
        </w:rPr>
      </w:pPr>
    </w:p>
    <w:p w14:paraId="572568E6" w14:textId="0B5416D6" w:rsidR="00565669" w:rsidRPr="000F5021" w:rsidRDefault="00565669" w:rsidP="000F5021">
      <w:pPr>
        <w:spacing w:line="360" w:lineRule="auto"/>
        <w:jc w:val="both"/>
        <w:rPr>
          <w:rFonts w:ascii="Times New Roman" w:hAnsi="Times New Roman" w:cs="Times New Roman"/>
          <w:b/>
          <w:bCs/>
          <w:lang w:val="en-US"/>
        </w:rPr>
      </w:pPr>
      <w:r w:rsidRPr="00565669">
        <w:rPr>
          <w:rFonts w:ascii="Times New Roman" w:hAnsi="Times New Roman" w:cs="Times New Roman"/>
          <w:b/>
          <w:bCs/>
          <w:lang w:val="en-US"/>
        </w:rPr>
        <w:t>Detailed Review of Key Chemical Treatments</w:t>
      </w:r>
    </w:p>
    <w:p w14:paraId="62C9C11B" w14:textId="368D63C3" w:rsidR="0011432B" w:rsidRPr="00221196" w:rsidRDefault="0011432B" w:rsidP="004231BC">
      <w:pPr>
        <w:spacing w:line="360" w:lineRule="auto"/>
        <w:jc w:val="both"/>
        <w:rPr>
          <w:rFonts w:ascii="Times New Roman" w:hAnsi="Times New Roman" w:cs="Times New Roman"/>
          <w:b/>
          <w:bCs/>
        </w:rPr>
      </w:pPr>
      <w:r w:rsidRPr="00221196">
        <w:rPr>
          <w:rFonts w:ascii="Times New Roman" w:hAnsi="Times New Roman" w:cs="Times New Roman"/>
          <w:b/>
          <w:bCs/>
        </w:rPr>
        <w:t>1. Ethylene Inhibitors and Modulators</w:t>
      </w:r>
    </w:p>
    <w:p w14:paraId="03E76D42" w14:textId="43B373FE" w:rsidR="00334044" w:rsidRPr="00221196" w:rsidRDefault="0011432B" w:rsidP="004231BC">
      <w:pPr>
        <w:spacing w:line="360" w:lineRule="auto"/>
        <w:jc w:val="both"/>
        <w:rPr>
          <w:rFonts w:ascii="Times New Roman" w:hAnsi="Times New Roman" w:cs="Times New Roman"/>
          <w:b/>
          <w:bCs/>
        </w:rPr>
      </w:pPr>
      <w:r w:rsidRPr="00221196">
        <w:rPr>
          <w:rFonts w:ascii="Times New Roman" w:hAnsi="Times New Roman" w:cs="Times New Roman"/>
          <w:b/>
          <w:bCs/>
        </w:rPr>
        <w:t>1-Methylcyclopropene (1-MCP)</w:t>
      </w:r>
    </w:p>
    <w:p w14:paraId="355139F7" w14:textId="0A9DA018" w:rsidR="0011432B" w:rsidRDefault="0011432B" w:rsidP="004231BC">
      <w:pPr>
        <w:spacing w:line="360" w:lineRule="auto"/>
        <w:jc w:val="both"/>
        <w:rPr>
          <w:rFonts w:ascii="Times New Roman" w:hAnsi="Times New Roman" w:cs="Times New Roman"/>
        </w:rPr>
      </w:pPr>
      <w:r w:rsidRPr="00221196">
        <w:rPr>
          <w:rFonts w:ascii="Times New Roman" w:hAnsi="Times New Roman" w:cs="Times New Roman"/>
        </w:rPr>
        <w:t>1-MCP is one of the most effective postharvest chemicals used for climacteric fruits such as mango, banana, apple, papaya</w:t>
      </w:r>
      <w:r w:rsidR="007A3FF7" w:rsidRPr="00221196">
        <w:rPr>
          <w:rFonts w:ascii="Times New Roman" w:hAnsi="Times New Roman" w:cs="Times New Roman"/>
        </w:rPr>
        <w:t xml:space="preserve"> </w:t>
      </w:r>
      <w:r w:rsidRPr="00221196">
        <w:rPr>
          <w:rFonts w:ascii="Times New Roman" w:hAnsi="Times New Roman" w:cs="Times New Roman"/>
        </w:rPr>
        <w:t>and guava. It works by blocking ethylene receptors in fruit tissues, thereby preventing ethylene from triggering ripening processes.</w:t>
      </w:r>
      <w:r w:rsidR="003411AC" w:rsidRPr="00221196">
        <w:rPr>
          <w:rFonts w:ascii="Times New Roman" w:hAnsi="Times New Roman" w:cs="Times New Roman"/>
          <w:b/>
          <w:bCs/>
        </w:rPr>
        <w:t xml:space="preserve"> </w:t>
      </w:r>
      <w:r w:rsidRPr="00221196">
        <w:rPr>
          <w:rFonts w:ascii="Times New Roman" w:hAnsi="Times New Roman" w:cs="Times New Roman"/>
        </w:rPr>
        <w:t>It is widely used in commercial storage facilities because even very low concentrations are effective</w:t>
      </w:r>
      <w:r w:rsidR="008E1AC0">
        <w:rPr>
          <w:rFonts w:ascii="Times New Roman" w:hAnsi="Times New Roman" w:cs="Times New Roman"/>
        </w:rPr>
        <w:t xml:space="preserve"> (</w:t>
      </w:r>
      <w:r w:rsidR="008E1AC0" w:rsidRPr="008E1AC0">
        <w:rPr>
          <w:rFonts w:ascii="Times New Roman" w:hAnsi="Times New Roman" w:cs="Times New Roman"/>
        </w:rPr>
        <w:t xml:space="preserve">Watkins, 2006). Blankenship and Dole (2003) reported that 1-MCP application at 1 </w:t>
      </w:r>
      <w:proofErr w:type="spellStart"/>
      <w:r w:rsidR="008E1AC0" w:rsidRPr="008E1AC0">
        <w:rPr>
          <w:rFonts w:ascii="Times New Roman" w:hAnsi="Times New Roman" w:cs="Times New Roman"/>
        </w:rPr>
        <w:t>μL</w:t>
      </w:r>
      <w:proofErr w:type="spellEnd"/>
      <w:r w:rsidR="008E1AC0" w:rsidRPr="008E1AC0">
        <w:rPr>
          <w:rFonts w:ascii="Times New Roman" w:hAnsi="Times New Roman" w:cs="Times New Roman"/>
        </w:rPr>
        <w:t xml:space="preserve"> L⁻¹ significantly delayed ripening and softened 'Tommy Atkins' mangoes during cold storage, maintaining firmness and reducing ethylene production compared with untreated fruits. Ayala-Zavala et al. (2008) observed that 1-MCP treatment prolonged storage life of papaya by up to 14–18 days at 12°C by lowering respiration rate and slowing colour changes.</w:t>
      </w:r>
    </w:p>
    <w:p w14:paraId="7DCB350A" w14:textId="77777777" w:rsidR="008E1AC0" w:rsidRDefault="008E1AC0" w:rsidP="004231BC">
      <w:pPr>
        <w:spacing w:line="360" w:lineRule="auto"/>
        <w:jc w:val="both"/>
        <w:rPr>
          <w:rFonts w:ascii="Times New Roman" w:hAnsi="Times New Roman" w:cs="Times New Roman"/>
          <w:b/>
          <w:bCs/>
        </w:rPr>
      </w:pPr>
      <w:proofErr w:type="spellStart"/>
      <w:r w:rsidRPr="008E1AC0">
        <w:rPr>
          <w:rFonts w:ascii="Times New Roman" w:hAnsi="Times New Roman" w:cs="Times New Roman"/>
          <w:b/>
          <w:bCs/>
        </w:rPr>
        <w:lastRenderedPageBreak/>
        <w:t>Aminoethoxyvinylglycine</w:t>
      </w:r>
      <w:proofErr w:type="spellEnd"/>
      <w:r w:rsidRPr="008E1AC0">
        <w:rPr>
          <w:rFonts w:ascii="Times New Roman" w:hAnsi="Times New Roman" w:cs="Times New Roman"/>
          <w:b/>
          <w:bCs/>
        </w:rPr>
        <w:t xml:space="preserve"> (AVG)</w:t>
      </w:r>
    </w:p>
    <w:p w14:paraId="703BCB0F" w14:textId="5DF43CBE" w:rsidR="008E1AC0" w:rsidRPr="00221196" w:rsidRDefault="008E1AC0" w:rsidP="004231BC">
      <w:pPr>
        <w:spacing w:line="360" w:lineRule="auto"/>
        <w:jc w:val="both"/>
        <w:rPr>
          <w:rFonts w:ascii="Times New Roman" w:hAnsi="Times New Roman" w:cs="Times New Roman"/>
        </w:rPr>
      </w:pPr>
      <w:r w:rsidRPr="008E1AC0">
        <w:rPr>
          <w:rFonts w:ascii="Times New Roman" w:hAnsi="Times New Roman" w:cs="Times New Roman"/>
        </w:rPr>
        <w:t xml:space="preserve">AVG is an inhibitor of ethylene biosynthesis. It works by blocking the enzyme ACC synthase, which is crucial for ethylene production. Pre-harvest sprays of AVG (e.g., </w:t>
      </w:r>
      <w:proofErr w:type="spellStart"/>
      <w:r w:rsidRPr="008E1AC0">
        <w:rPr>
          <w:rFonts w:ascii="Times New Roman" w:hAnsi="Times New Roman" w:cs="Times New Roman"/>
        </w:rPr>
        <w:t>ReTain</w:t>
      </w:r>
      <w:proofErr w:type="spellEnd"/>
      <w:r w:rsidRPr="008E1AC0">
        <w:rPr>
          <w:rFonts w:ascii="Times New Roman" w:hAnsi="Times New Roman" w:cs="Times New Roman"/>
        </w:rPr>
        <w:t>®) are commercially used in apples to delay harvest drop and maintain postharvest quality, but its postharvest application is less common than 1-MCP (Jobling, 2000)</w:t>
      </w:r>
    </w:p>
    <w:p w14:paraId="08297CFE" w14:textId="5675AA98" w:rsidR="0011432B" w:rsidRDefault="0011432B" w:rsidP="004231BC">
      <w:pPr>
        <w:spacing w:line="360" w:lineRule="auto"/>
        <w:jc w:val="both"/>
        <w:rPr>
          <w:rFonts w:ascii="Times New Roman" w:hAnsi="Times New Roman" w:cs="Times New Roman"/>
          <w:b/>
          <w:bCs/>
        </w:rPr>
      </w:pPr>
      <w:r w:rsidRPr="00221196">
        <w:rPr>
          <w:rFonts w:ascii="Times New Roman" w:hAnsi="Times New Roman" w:cs="Times New Roman"/>
          <w:b/>
          <w:bCs/>
        </w:rPr>
        <w:t>Potassium Permanganate (</w:t>
      </w:r>
      <w:proofErr w:type="spellStart"/>
      <w:r w:rsidRPr="00221196">
        <w:rPr>
          <w:rFonts w:ascii="Times New Roman" w:hAnsi="Times New Roman" w:cs="Times New Roman"/>
          <w:b/>
          <w:bCs/>
        </w:rPr>
        <w:t>KMnO</w:t>
      </w:r>
      <w:proofErr w:type="spellEnd"/>
      <w:r w:rsidRPr="00221196">
        <w:rPr>
          <w:rFonts w:ascii="Times New Roman" w:hAnsi="Times New Roman" w:cs="Times New Roman"/>
          <w:b/>
          <w:bCs/>
        </w:rPr>
        <w:t>₄)</w:t>
      </w:r>
    </w:p>
    <w:p w14:paraId="6966612D" w14:textId="6411951D" w:rsidR="008E1AC0" w:rsidRPr="008E1AC0" w:rsidRDefault="008E1AC0" w:rsidP="004231BC">
      <w:pPr>
        <w:spacing w:line="360" w:lineRule="auto"/>
        <w:jc w:val="both"/>
        <w:rPr>
          <w:rFonts w:ascii="Times New Roman" w:hAnsi="Times New Roman" w:cs="Times New Roman"/>
        </w:rPr>
      </w:pPr>
      <w:r w:rsidRPr="008E1AC0">
        <w:rPr>
          <w:rFonts w:ascii="Times New Roman" w:hAnsi="Times New Roman" w:cs="Times New Roman"/>
        </w:rPr>
        <w:t xml:space="preserve">Potassium permanganate acts as an ethylene absorbent. It oxidizes ethylene gas present in storage environments, reducing its concentration. This results in slow ripening, reducing premature softening and improving storage life in packaged fruits. It is commonly used in sachets inside storage containers or packaging (Singh &amp; Pareek, 2017). Fatima et al. (2023) showed that mangoes stored with </w:t>
      </w:r>
      <w:proofErr w:type="spellStart"/>
      <w:r w:rsidRPr="008E1AC0">
        <w:rPr>
          <w:rFonts w:ascii="Times New Roman" w:hAnsi="Times New Roman" w:cs="Times New Roman"/>
        </w:rPr>
        <w:t>KMnO</w:t>
      </w:r>
      <w:proofErr w:type="spellEnd"/>
      <w:r w:rsidRPr="008E1AC0">
        <w:rPr>
          <w:rFonts w:ascii="Times New Roman" w:hAnsi="Times New Roman" w:cs="Times New Roman"/>
        </w:rPr>
        <w:t>₄ retained firmness and acidity longer than untreated fruits.</w:t>
      </w:r>
    </w:p>
    <w:p w14:paraId="12F1B788" w14:textId="0DF63DEF" w:rsidR="0011432B" w:rsidRDefault="00590445" w:rsidP="004231BC">
      <w:pPr>
        <w:spacing w:line="360" w:lineRule="auto"/>
        <w:jc w:val="both"/>
        <w:rPr>
          <w:rFonts w:ascii="Times New Roman" w:hAnsi="Times New Roman" w:cs="Times New Roman"/>
          <w:b/>
          <w:bCs/>
        </w:rPr>
      </w:pPr>
      <w:r w:rsidRPr="00221196">
        <w:rPr>
          <w:rFonts w:ascii="Times New Roman" w:hAnsi="Times New Roman" w:cs="Times New Roman"/>
          <w:b/>
          <w:bCs/>
        </w:rPr>
        <w:t xml:space="preserve">2. </w:t>
      </w:r>
      <w:r w:rsidR="0011432B" w:rsidRPr="00221196">
        <w:rPr>
          <w:rFonts w:ascii="Times New Roman" w:hAnsi="Times New Roman" w:cs="Times New Roman"/>
          <w:b/>
          <w:bCs/>
        </w:rPr>
        <w:t>Calcium-Based Treatments</w:t>
      </w:r>
    </w:p>
    <w:p w14:paraId="14039674" w14:textId="77777777" w:rsidR="008E1AC0" w:rsidRDefault="008E1AC0" w:rsidP="004231BC">
      <w:pPr>
        <w:spacing w:line="360" w:lineRule="auto"/>
        <w:jc w:val="both"/>
        <w:rPr>
          <w:rFonts w:ascii="Times New Roman" w:hAnsi="Times New Roman" w:cs="Times New Roman"/>
          <w:b/>
          <w:bCs/>
        </w:rPr>
      </w:pPr>
      <w:r w:rsidRPr="008E1AC0">
        <w:rPr>
          <w:rFonts w:ascii="Times New Roman" w:hAnsi="Times New Roman" w:cs="Times New Roman"/>
          <w:b/>
          <w:bCs/>
        </w:rPr>
        <w:t>Calcium Chloride (</w:t>
      </w:r>
      <w:proofErr w:type="spellStart"/>
      <w:r w:rsidRPr="008E1AC0">
        <w:rPr>
          <w:rFonts w:ascii="Times New Roman" w:hAnsi="Times New Roman" w:cs="Times New Roman"/>
          <w:b/>
          <w:bCs/>
        </w:rPr>
        <w:t>CaCl</w:t>
      </w:r>
      <w:proofErr w:type="spellEnd"/>
      <w:r w:rsidRPr="008E1AC0">
        <w:rPr>
          <w:rFonts w:ascii="Times New Roman" w:hAnsi="Times New Roman" w:cs="Times New Roman"/>
          <w:b/>
          <w:bCs/>
        </w:rPr>
        <w:t>₂) and Calcium Lactate</w:t>
      </w:r>
    </w:p>
    <w:p w14:paraId="05008463" w14:textId="6F9A783C" w:rsidR="008E1AC0" w:rsidRPr="008E1AC0" w:rsidRDefault="008E1AC0" w:rsidP="004231BC">
      <w:pPr>
        <w:spacing w:line="360" w:lineRule="auto"/>
        <w:jc w:val="both"/>
        <w:rPr>
          <w:rFonts w:ascii="Times New Roman" w:hAnsi="Times New Roman" w:cs="Times New Roman"/>
        </w:rPr>
      </w:pPr>
      <w:r w:rsidRPr="008E1AC0">
        <w:rPr>
          <w:rFonts w:ascii="Times New Roman" w:hAnsi="Times New Roman" w:cs="Times New Roman"/>
        </w:rPr>
        <w:t xml:space="preserve">Calcium strengthens cell walls by forming calcium pectate, which enhances tissue firmness and reduces enzymatic breakdown. It maintains fruit firmness, reduces physiological disorders, delays softening and improves storage stability. Calcium chloride dips are commonly used in mango, apple, citrus, and pomegranate. Gao et al. (2020) found that dipping papaya fruits in 2% </w:t>
      </w:r>
      <w:proofErr w:type="spellStart"/>
      <w:r w:rsidRPr="008E1AC0">
        <w:rPr>
          <w:rFonts w:ascii="Times New Roman" w:hAnsi="Times New Roman" w:cs="Times New Roman"/>
        </w:rPr>
        <w:t>CaCl</w:t>
      </w:r>
      <w:proofErr w:type="spellEnd"/>
      <w:r w:rsidRPr="008E1AC0">
        <w:rPr>
          <w:rFonts w:ascii="Times New Roman" w:hAnsi="Times New Roman" w:cs="Times New Roman"/>
        </w:rPr>
        <w:t xml:space="preserve">₂ solution delayed ripening, reduced ethylene production and maintained firmness compared to control fruits during 21 days of storage. Singh et al. (2018) reported that </w:t>
      </w:r>
      <w:proofErr w:type="spellStart"/>
      <w:r w:rsidRPr="008E1AC0">
        <w:rPr>
          <w:rFonts w:ascii="Times New Roman" w:hAnsi="Times New Roman" w:cs="Times New Roman"/>
        </w:rPr>
        <w:t>CaCl</w:t>
      </w:r>
      <w:proofErr w:type="spellEnd"/>
      <w:r w:rsidRPr="008E1AC0">
        <w:rPr>
          <w:rFonts w:ascii="Times New Roman" w:hAnsi="Times New Roman" w:cs="Times New Roman"/>
        </w:rPr>
        <w:t xml:space="preserve">₂ application in mango reduced physiological weight </w:t>
      </w:r>
      <w:r w:rsidRPr="008E1AC0">
        <w:rPr>
          <w:rFonts w:ascii="Times New Roman" w:hAnsi="Times New Roman" w:cs="Times New Roman"/>
          <w:b/>
          <w:bCs/>
        </w:rPr>
        <w:t xml:space="preserve">loss </w:t>
      </w:r>
      <w:r w:rsidRPr="008E1AC0">
        <w:rPr>
          <w:rFonts w:ascii="Times New Roman" w:hAnsi="Times New Roman" w:cs="Times New Roman"/>
        </w:rPr>
        <w:t>and maintained pulp firmness during 30 days of storage. Calcium lactate is similar but often preferred due to lower risk of surface injury in some fruits (Martin-Diana et al., 2007).</w:t>
      </w:r>
    </w:p>
    <w:p w14:paraId="61FE3D90" w14:textId="77777777" w:rsidR="0011432B" w:rsidRDefault="0011432B" w:rsidP="004231BC">
      <w:pPr>
        <w:spacing w:line="360" w:lineRule="auto"/>
        <w:jc w:val="both"/>
        <w:rPr>
          <w:rFonts w:ascii="Times New Roman" w:hAnsi="Times New Roman" w:cs="Times New Roman"/>
          <w:b/>
          <w:bCs/>
        </w:rPr>
      </w:pPr>
      <w:r w:rsidRPr="00221196">
        <w:rPr>
          <w:rFonts w:ascii="Times New Roman" w:hAnsi="Times New Roman" w:cs="Times New Roman"/>
          <w:b/>
          <w:bCs/>
        </w:rPr>
        <w:t>3. Antimicrobial and Antifungal Chemicals</w:t>
      </w:r>
    </w:p>
    <w:p w14:paraId="4911919B" w14:textId="77777777" w:rsidR="008E1AC0" w:rsidRDefault="008E1AC0" w:rsidP="004231BC">
      <w:pPr>
        <w:spacing w:line="360" w:lineRule="auto"/>
        <w:jc w:val="both"/>
        <w:rPr>
          <w:rFonts w:ascii="Times New Roman" w:hAnsi="Times New Roman" w:cs="Times New Roman"/>
          <w:b/>
          <w:bCs/>
        </w:rPr>
      </w:pPr>
      <w:r w:rsidRPr="008E1AC0">
        <w:rPr>
          <w:rFonts w:ascii="Times New Roman" w:hAnsi="Times New Roman" w:cs="Times New Roman"/>
          <w:b/>
          <w:bCs/>
        </w:rPr>
        <w:t>Sodium Hypochlorite, Carbendazim and Thiabendazole</w:t>
      </w:r>
    </w:p>
    <w:p w14:paraId="4F36903B" w14:textId="65E97A9C" w:rsidR="008E1AC0" w:rsidRPr="008E1AC0" w:rsidRDefault="008E1AC0" w:rsidP="004231BC">
      <w:pPr>
        <w:spacing w:line="360" w:lineRule="auto"/>
        <w:jc w:val="both"/>
        <w:rPr>
          <w:rFonts w:ascii="Times New Roman" w:hAnsi="Times New Roman" w:cs="Times New Roman"/>
        </w:rPr>
      </w:pPr>
      <w:r w:rsidRPr="008E1AC0">
        <w:rPr>
          <w:rFonts w:ascii="Times New Roman" w:hAnsi="Times New Roman" w:cs="Times New Roman"/>
        </w:rPr>
        <w:t xml:space="preserve">These are used as disinfectant washes or fungicides to control postharvest diseases. Upadhyay et al. (2005) found that washing fruits with 100–200 ppm </w:t>
      </w:r>
      <w:proofErr w:type="spellStart"/>
      <w:r w:rsidRPr="008E1AC0">
        <w:rPr>
          <w:rFonts w:ascii="Times New Roman" w:hAnsi="Times New Roman" w:cs="Times New Roman"/>
        </w:rPr>
        <w:t>NaOCl</w:t>
      </w:r>
      <w:proofErr w:type="spellEnd"/>
      <w:r w:rsidRPr="008E1AC0">
        <w:rPr>
          <w:rFonts w:ascii="Times New Roman" w:hAnsi="Times New Roman" w:cs="Times New Roman"/>
        </w:rPr>
        <w:t xml:space="preserve"> reduced surface fungal contamination and delayed spoilage in citrus and mango. Rathore &amp; Parsad (2019) observed that sodium hypochlorite treatments reduced postharvest decay in guava by lowering microbial load. Palou et al. (2008) reported that thiabendazole treatment effectively reduced Penicillium decay in citrus fruits stored at low temperatures. Sivakumar et al. (2010) showed that carbendazim reduced anthracnose incidence in mangoes when applied in combined treatment with calcium.</w:t>
      </w:r>
    </w:p>
    <w:p w14:paraId="155527C0" w14:textId="41AFAF49" w:rsidR="00334044" w:rsidRPr="00221196" w:rsidRDefault="00D069C4" w:rsidP="004231BC">
      <w:pPr>
        <w:spacing w:line="360" w:lineRule="auto"/>
        <w:jc w:val="both"/>
        <w:rPr>
          <w:rFonts w:ascii="Times New Roman" w:hAnsi="Times New Roman" w:cs="Times New Roman"/>
          <w:b/>
          <w:bCs/>
        </w:rPr>
      </w:pPr>
      <w:r w:rsidRPr="00221196">
        <w:rPr>
          <w:rFonts w:ascii="Times New Roman" w:hAnsi="Times New Roman" w:cs="Times New Roman"/>
          <w:b/>
          <w:bCs/>
        </w:rPr>
        <w:t xml:space="preserve">4. </w:t>
      </w:r>
      <w:r w:rsidR="00334044" w:rsidRPr="00221196">
        <w:rPr>
          <w:rFonts w:ascii="Times New Roman" w:hAnsi="Times New Roman" w:cs="Times New Roman"/>
          <w:b/>
          <w:bCs/>
        </w:rPr>
        <w:t>Growth Regulators</w:t>
      </w:r>
    </w:p>
    <w:p w14:paraId="21941A13" w14:textId="77777777" w:rsidR="008E1AC0" w:rsidRPr="008E1AC0" w:rsidRDefault="00334044" w:rsidP="004231BC">
      <w:pPr>
        <w:spacing w:line="360" w:lineRule="auto"/>
        <w:jc w:val="both"/>
        <w:rPr>
          <w:rFonts w:ascii="Times New Roman" w:hAnsi="Times New Roman" w:cs="Times New Roman"/>
          <w:b/>
          <w:bCs/>
        </w:rPr>
      </w:pPr>
      <w:r w:rsidRPr="008E1AC0">
        <w:rPr>
          <w:rFonts w:ascii="Times New Roman" w:hAnsi="Times New Roman" w:cs="Times New Roman"/>
          <w:b/>
          <w:bCs/>
        </w:rPr>
        <w:t>Gibberellic Acid (GA₃)</w:t>
      </w:r>
      <w:r w:rsidR="008E1AC0" w:rsidRPr="008E1AC0">
        <w:rPr>
          <w:rFonts w:ascii="Times New Roman" w:hAnsi="Times New Roman" w:cs="Times New Roman"/>
          <w:b/>
          <w:bCs/>
        </w:rPr>
        <w:t xml:space="preserve"> and Salicylic Acid (SA)</w:t>
      </w:r>
    </w:p>
    <w:p w14:paraId="79C0D71B" w14:textId="4069454B" w:rsidR="003D65DD" w:rsidRPr="008E1AC0" w:rsidRDefault="008E1AC0" w:rsidP="004231BC">
      <w:pPr>
        <w:spacing w:line="360" w:lineRule="auto"/>
        <w:jc w:val="both"/>
        <w:rPr>
          <w:rFonts w:ascii="Times New Roman" w:hAnsi="Times New Roman" w:cs="Times New Roman"/>
        </w:rPr>
      </w:pPr>
      <w:r w:rsidRPr="008E1AC0">
        <w:rPr>
          <w:rFonts w:ascii="Times New Roman" w:hAnsi="Times New Roman" w:cs="Times New Roman"/>
        </w:rPr>
        <w:lastRenderedPageBreak/>
        <w:t xml:space="preserve">GA₃ delays senescence and reduces physiological disorders, mainly by maintaining green </w:t>
      </w:r>
      <w:proofErr w:type="spellStart"/>
      <w:r w:rsidRPr="008E1AC0">
        <w:rPr>
          <w:rFonts w:ascii="Times New Roman" w:hAnsi="Times New Roman" w:cs="Times New Roman"/>
        </w:rPr>
        <w:t>color</w:t>
      </w:r>
      <w:proofErr w:type="spellEnd"/>
      <w:r w:rsidRPr="008E1AC0">
        <w:rPr>
          <w:rFonts w:ascii="Times New Roman" w:hAnsi="Times New Roman" w:cs="Times New Roman"/>
        </w:rPr>
        <w:t xml:space="preserve"> in citrus and delaying rind aging (El-Otmani et al., 2000). Salicylic acid enhances antioxidant activity and reduces ethylene production. Amanullah et al. (2017) observed that SA treatment in guava fruits reduced physiological weight loss and maintained ascorbic acid content during 12 days of storage. </w:t>
      </w:r>
      <w:proofErr w:type="spellStart"/>
      <w:r w:rsidRPr="008E1AC0">
        <w:rPr>
          <w:rFonts w:ascii="Times New Roman" w:hAnsi="Times New Roman" w:cs="Times New Roman"/>
        </w:rPr>
        <w:t>Baswal</w:t>
      </w:r>
      <w:proofErr w:type="spellEnd"/>
      <w:r w:rsidRPr="008E1AC0">
        <w:rPr>
          <w:rFonts w:ascii="Times New Roman" w:hAnsi="Times New Roman" w:cs="Times New Roman"/>
        </w:rPr>
        <w:t xml:space="preserve"> et al. (2020) reported that SA application in </w:t>
      </w:r>
      <w:proofErr w:type="spellStart"/>
      <w:r w:rsidRPr="008E1AC0">
        <w:rPr>
          <w:rFonts w:ascii="Times New Roman" w:hAnsi="Times New Roman" w:cs="Times New Roman"/>
        </w:rPr>
        <w:t>kinnow</w:t>
      </w:r>
      <w:proofErr w:type="spellEnd"/>
      <w:r w:rsidRPr="008E1AC0">
        <w:rPr>
          <w:rFonts w:ascii="Times New Roman" w:hAnsi="Times New Roman" w:cs="Times New Roman"/>
        </w:rPr>
        <w:t xml:space="preserve"> mandarins improved firmness, reduced decay and maintained better quality during 75 days of cold storage.</w:t>
      </w:r>
    </w:p>
    <w:p w14:paraId="4533E022" w14:textId="77777777" w:rsidR="00334044" w:rsidRDefault="00334044" w:rsidP="004231BC">
      <w:pPr>
        <w:spacing w:line="360" w:lineRule="auto"/>
        <w:jc w:val="both"/>
        <w:rPr>
          <w:rFonts w:ascii="Times New Roman" w:hAnsi="Times New Roman" w:cs="Times New Roman"/>
          <w:b/>
          <w:bCs/>
        </w:rPr>
      </w:pPr>
      <w:r w:rsidRPr="00221196">
        <w:rPr>
          <w:rFonts w:ascii="Times New Roman" w:hAnsi="Times New Roman" w:cs="Times New Roman"/>
          <w:b/>
          <w:bCs/>
        </w:rPr>
        <w:t>5. Nitric Oxide Donors</w:t>
      </w:r>
    </w:p>
    <w:p w14:paraId="2E3BE3C7" w14:textId="31E1D76A" w:rsidR="008E1AC0" w:rsidRPr="008E1AC0" w:rsidRDefault="008E1AC0" w:rsidP="004231BC">
      <w:pPr>
        <w:spacing w:line="360" w:lineRule="auto"/>
        <w:jc w:val="both"/>
        <w:rPr>
          <w:rFonts w:ascii="Times New Roman" w:hAnsi="Times New Roman" w:cs="Times New Roman"/>
        </w:rPr>
      </w:pPr>
      <w:r w:rsidRPr="008E1AC0">
        <w:rPr>
          <w:rFonts w:ascii="Times New Roman" w:hAnsi="Times New Roman" w:cs="Times New Roman"/>
        </w:rPr>
        <w:t>Nitric oxide treatments are gaining attention for their ability to regulate ripening and reduce oxidative stress. Zhang et al. (2022) demonstrated that NO donor treatments delayed senescence, reduced ethylene production and improved antioxidant enzyme activity in papaya during storage. Li et al. (2019) showed that exogenous NO reduced chilling injury and maintained firmness in banana stored at low temperature.</w:t>
      </w:r>
    </w:p>
    <w:p w14:paraId="31CA94D4" w14:textId="77777777" w:rsidR="00334044" w:rsidRDefault="00334044" w:rsidP="004231BC">
      <w:pPr>
        <w:spacing w:line="360" w:lineRule="auto"/>
        <w:jc w:val="both"/>
        <w:rPr>
          <w:rFonts w:ascii="Times New Roman" w:hAnsi="Times New Roman" w:cs="Times New Roman"/>
          <w:b/>
          <w:bCs/>
        </w:rPr>
      </w:pPr>
      <w:r w:rsidRPr="00221196">
        <w:rPr>
          <w:rFonts w:ascii="Times New Roman" w:hAnsi="Times New Roman" w:cs="Times New Roman"/>
          <w:b/>
          <w:bCs/>
        </w:rPr>
        <w:t>6. Oxalic Acid</w:t>
      </w:r>
    </w:p>
    <w:p w14:paraId="7F1342B5" w14:textId="310888F8" w:rsidR="008E1AC0" w:rsidRPr="008E1AC0" w:rsidRDefault="008E1AC0" w:rsidP="004231BC">
      <w:pPr>
        <w:spacing w:line="360" w:lineRule="auto"/>
        <w:jc w:val="both"/>
        <w:rPr>
          <w:rFonts w:ascii="Times New Roman" w:hAnsi="Times New Roman" w:cs="Times New Roman"/>
        </w:rPr>
      </w:pPr>
      <w:r w:rsidRPr="008E1AC0">
        <w:rPr>
          <w:rFonts w:ascii="Times New Roman" w:hAnsi="Times New Roman" w:cs="Times New Roman"/>
        </w:rPr>
        <w:t>Oxalic acid treatments help in maintaining firmness and reducing decay by inhibiting the activity of degradative enzymes like polygalacturonase (Zheng et al., 2007).</w:t>
      </w:r>
    </w:p>
    <w:p w14:paraId="5BA37F7C" w14:textId="77777777" w:rsidR="00334044" w:rsidRDefault="00334044" w:rsidP="004231BC">
      <w:pPr>
        <w:spacing w:line="360" w:lineRule="auto"/>
        <w:jc w:val="both"/>
        <w:rPr>
          <w:rFonts w:ascii="Times New Roman" w:hAnsi="Times New Roman" w:cs="Times New Roman"/>
          <w:b/>
          <w:bCs/>
        </w:rPr>
      </w:pPr>
      <w:r w:rsidRPr="00221196">
        <w:rPr>
          <w:rFonts w:ascii="Times New Roman" w:hAnsi="Times New Roman" w:cs="Times New Roman"/>
          <w:b/>
          <w:bCs/>
        </w:rPr>
        <w:t>7. Polyamines (Putrescine, Spermidine)</w:t>
      </w:r>
    </w:p>
    <w:p w14:paraId="03343B5C" w14:textId="03FA1277" w:rsidR="008E1AC0" w:rsidRDefault="008E1AC0" w:rsidP="004231BC">
      <w:pPr>
        <w:spacing w:line="360" w:lineRule="auto"/>
        <w:jc w:val="both"/>
        <w:rPr>
          <w:rFonts w:ascii="Times New Roman" w:hAnsi="Times New Roman" w:cs="Times New Roman"/>
        </w:rPr>
      </w:pPr>
      <w:r w:rsidRPr="008E1AC0">
        <w:rPr>
          <w:rFonts w:ascii="Times New Roman" w:hAnsi="Times New Roman" w:cs="Times New Roman"/>
        </w:rPr>
        <w:t>Polyamines regulate cell membrane stability and delay senescence. Tariq et al. (2018) showed that putrescine treatments in mango increased membrane integrity, reduced ethylene evolution and maintained firmness during storage. Singh et al. (2021) reported that spermidine reduced chilling injury and extended shelf life in banana stored at low temperatures.</w:t>
      </w:r>
    </w:p>
    <w:p w14:paraId="2E23E46E" w14:textId="4262E2FD" w:rsidR="008E1AC0" w:rsidRDefault="008E1AC0" w:rsidP="004231BC">
      <w:pPr>
        <w:spacing w:line="360" w:lineRule="auto"/>
        <w:jc w:val="both"/>
        <w:rPr>
          <w:rFonts w:ascii="Times New Roman" w:hAnsi="Times New Roman" w:cs="Times New Roman"/>
          <w:b/>
          <w:bCs/>
        </w:rPr>
      </w:pPr>
      <w:r>
        <w:rPr>
          <w:rFonts w:ascii="Times New Roman" w:hAnsi="Times New Roman" w:cs="Times New Roman"/>
          <w:b/>
          <w:bCs/>
        </w:rPr>
        <w:t xml:space="preserve">8. </w:t>
      </w:r>
      <w:r w:rsidRPr="008E1AC0">
        <w:rPr>
          <w:rFonts w:ascii="Times New Roman" w:hAnsi="Times New Roman" w:cs="Times New Roman"/>
          <w:b/>
          <w:bCs/>
        </w:rPr>
        <w:t>Melatonin</w:t>
      </w:r>
    </w:p>
    <w:p w14:paraId="624CC129" w14:textId="66AAD0DC" w:rsidR="008E1AC0" w:rsidRDefault="008E1AC0" w:rsidP="004231BC">
      <w:pPr>
        <w:spacing w:line="360" w:lineRule="auto"/>
        <w:jc w:val="both"/>
        <w:rPr>
          <w:rFonts w:ascii="Times New Roman" w:hAnsi="Times New Roman" w:cs="Times New Roman"/>
        </w:rPr>
      </w:pPr>
      <w:r w:rsidRPr="008E1AC0">
        <w:rPr>
          <w:rFonts w:ascii="Times New Roman" w:hAnsi="Times New Roman" w:cs="Times New Roman"/>
        </w:rPr>
        <w:t xml:space="preserve">Emerging as a potent postharvest treatment, melatonin acts as a </w:t>
      </w:r>
      <w:proofErr w:type="spellStart"/>
      <w:r w:rsidRPr="008E1AC0">
        <w:rPr>
          <w:rFonts w:ascii="Times New Roman" w:hAnsi="Times New Roman" w:cs="Times New Roman"/>
        </w:rPr>
        <w:t>signaling</w:t>
      </w:r>
      <w:proofErr w:type="spellEnd"/>
      <w:r w:rsidRPr="008E1AC0">
        <w:rPr>
          <w:rFonts w:ascii="Times New Roman" w:hAnsi="Times New Roman" w:cs="Times New Roman"/>
        </w:rPr>
        <w:t xml:space="preserve"> molecule to regulate reactive oxygen species (ROS), delay senescence and induce disease resistance. Gao et al. (2020) reported that melatonin treatment delayed postharvest senescence and regulated ROS metabolism in peach fruit.</w:t>
      </w:r>
    </w:p>
    <w:p w14:paraId="224D3392" w14:textId="77777777" w:rsidR="008E1AC0" w:rsidRPr="008E1AC0" w:rsidRDefault="008E1AC0" w:rsidP="004231BC">
      <w:pPr>
        <w:spacing w:line="360" w:lineRule="auto"/>
        <w:jc w:val="both"/>
        <w:rPr>
          <w:rFonts w:ascii="Times New Roman" w:hAnsi="Times New Roman" w:cs="Times New Roman"/>
          <w:b/>
          <w:bCs/>
        </w:rPr>
      </w:pPr>
      <w:r w:rsidRPr="008E1AC0">
        <w:rPr>
          <w:rFonts w:ascii="Times New Roman" w:hAnsi="Times New Roman" w:cs="Times New Roman"/>
          <w:b/>
          <w:bCs/>
        </w:rPr>
        <w:t>9. Ozone (O₃)</w:t>
      </w:r>
    </w:p>
    <w:p w14:paraId="32A4436E" w14:textId="19DF3050" w:rsidR="008E1AC0" w:rsidRPr="008E1AC0" w:rsidRDefault="008E1AC0" w:rsidP="004231BC">
      <w:pPr>
        <w:spacing w:line="360" w:lineRule="auto"/>
        <w:jc w:val="both"/>
        <w:rPr>
          <w:rFonts w:ascii="Times New Roman" w:hAnsi="Times New Roman" w:cs="Times New Roman"/>
        </w:rPr>
      </w:pPr>
      <w:r w:rsidRPr="008E1AC0">
        <w:rPr>
          <w:rFonts w:ascii="Times New Roman" w:hAnsi="Times New Roman" w:cs="Times New Roman"/>
        </w:rPr>
        <w:t xml:space="preserve">Gaseous or aqueous ozone is used as an antimicrobial agent to sanitize fruit surfaces and degrade ethylene in storage rooms. It leaves no residue, making it an environmentally friendly alternative to traditional fungicides (Horvitz &amp; </w:t>
      </w:r>
      <w:proofErr w:type="spellStart"/>
      <w:r w:rsidRPr="008E1AC0">
        <w:rPr>
          <w:rFonts w:ascii="Times New Roman" w:hAnsi="Times New Roman" w:cs="Times New Roman"/>
        </w:rPr>
        <w:t>Cantalejo</w:t>
      </w:r>
      <w:proofErr w:type="spellEnd"/>
      <w:r w:rsidRPr="008E1AC0">
        <w:rPr>
          <w:rFonts w:ascii="Times New Roman" w:hAnsi="Times New Roman" w:cs="Times New Roman"/>
        </w:rPr>
        <w:t>, 2014).</w:t>
      </w:r>
    </w:p>
    <w:p w14:paraId="18948718" w14:textId="26DEC1A0" w:rsidR="00D75678" w:rsidRPr="00221196" w:rsidRDefault="0032660D" w:rsidP="00FE7172">
      <w:pPr>
        <w:spacing w:line="360" w:lineRule="auto"/>
        <w:rPr>
          <w:rFonts w:ascii="Times New Roman" w:hAnsi="Times New Roman" w:cs="Times New Roman"/>
          <w:b/>
          <w:bCs/>
        </w:rPr>
      </w:pPr>
      <w:r w:rsidRPr="00221196">
        <w:rPr>
          <w:rFonts w:ascii="Times New Roman" w:hAnsi="Times New Roman" w:cs="Times New Roman"/>
          <w:noProof/>
        </w:rPr>
        <w:lastRenderedPageBreak/>
        <mc:AlternateContent>
          <mc:Choice Requires="wps">
            <w:drawing>
              <wp:anchor distT="45720" distB="45720" distL="114300" distR="114300" simplePos="0" relativeHeight="251665408" behindDoc="0" locked="0" layoutInCell="1" allowOverlap="1" wp14:anchorId="3DA954CC" wp14:editId="72CAF840">
                <wp:simplePos x="0" y="0"/>
                <wp:positionH relativeFrom="column">
                  <wp:posOffset>1330325</wp:posOffset>
                </wp:positionH>
                <wp:positionV relativeFrom="paragraph">
                  <wp:posOffset>3143250</wp:posOffset>
                </wp:positionV>
                <wp:extent cx="3352800" cy="268605"/>
                <wp:effectExtent l="0" t="0" r="19050" b="17145"/>
                <wp:wrapSquare wrapText="bothSides"/>
                <wp:docPr id="1979393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68605"/>
                        </a:xfrm>
                        <a:prstGeom prst="rect">
                          <a:avLst/>
                        </a:prstGeom>
                        <a:solidFill>
                          <a:srgbClr val="FFFFFF"/>
                        </a:solidFill>
                        <a:ln w="9525">
                          <a:solidFill>
                            <a:schemeClr val="bg1"/>
                          </a:solidFill>
                          <a:miter lim="800000"/>
                          <a:headEnd/>
                          <a:tailEnd/>
                        </a:ln>
                      </wps:spPr>
                      <wps:txbx>
                        <w:txbxContent>
                          <w:p w14:paraId="1B74D335" w14:textId="15A97714" w:rsidR="0032660D" w:rsidRPr="00E32B20" w:rsidRDefault="0032660D">
                            <w:pPr>
                              <w:rPr>
                                <w:rFonts w:ascii="Times New Roman" w:hAnsi="Times New Roman" w:cs="Times New Roman"/>
                                <w:lang w:val="en-US"/>
                              </w:rPr>
                            </w:pPr>
                            <w:r w:rsidRPr="00E32B20">
                              <w:rPr>
                                <w:rFonts w:ascii="Times New Roman" w:hAnsi="Times New Roman" w:cs="Times New Roman"/>
                                <w:b/>
                                <w:bCs/>
                                <w:lang w:val="en-US"/>
                              </w:rPr>
                              <w:t>Fig 5</w:t>
                            </w:r>
                            <w:r w:rsidRPr="00E32B20">
                              <w:rPr>
                                <w:rFonts w:ascii="Times New Roman" w:hAnsi="Times New Roman" w:cs="Times New Roman"/>
                                <w:lang w:val="en-US"/>
                              </w:rPr>
                              <w:t>. Working mechanism of edible coatings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954CC" id="_x0000_s1030" type="#_x0000_t202" style="position:absolute;margin-left:104.75pt;margin-top:247.5pt;width:264pt;height:21.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" strokecolor="white [3212]">
                <v:textbox>
                  <w:txbxContent>
                    <w:p w14:paraId="1B74D335" w14:textId="15A97714" w:rsidR="0032660D" w:rsidRPr="00E32B20" w:rsidRDefault="0032660D">
                      <w:pPr>
                        <w:rPr>
                          <w:rFonts w:ascii="Times New Roman" w:hAnsi="Times New Roman" w:cs="Times New Roman"/>
                          <w:lang w:val="en-US"/>
                        </w:rPr>
                      </w:pPr>
                      <w:r w:rsidRPr="00E32B20">
                        <w:rPr>
                          <w:rFonts w:ascii="Times New Roman" w:hAnsi="Times New Roman" w:cs="Times New Roman"/>
                          <w:b/>
                          <w:bCs/>
                          <w:lang w:val="en-US"/>
                        </w:rPr>
                        <w:t>Fig 5</w:t>
                      </w:r>
                      <w:r w:rsidRPr="00E32B20">
                        <w:rPr>
                          <w:rFonts w:ascii="Times New Roman" w:hAnsi="Times New Roman" w:cs="Times New Roman"/>
                          <w:lang w:val="en-US"/>
                        </w:rPr>
                        <w:t>. Working mechanism of edible coatings</w:t>
                      </w:r>
                    </w:p>
                  </w:txbxContent>
                </v:textbox>
                <w10:wrap type="square"/>
              </v:shape>
            </w:pict>
          </mc:Fallback>
        </mc:AlternateContent>
      </w:r>
      <w:r w:rsidR="00861764" w:rsidRPr="00221196">
        <w:rPr>
          <w:rFonts w:ascii="Times New Roman" w:hAnsi="Times New Roman" w:cs="Times New Roman"/>
          <w:b/>
          <w:bCs/>
        </w:rPr>
        <w:t>Edible</w:t>
      </w:r>
      <w:r w:rsidR="0010143A" w:rsidRPr="00221196">
        <w:rPr>
          <w:rFonts w:ascii="Times New Roman" w:hAnsi="Times New Roman" w:cs="Times New Roman"/>
          <w:b/>
          <w:bCs/>
        </w:rPr>
        <w:t xml:space="preserve"> </w:t>
      </w:r>
      <w:r w:rsidR="00861764" w:rsidRPr="00221196">
        <w:rPr>
          <w:rFonts w:ascii="Times New Roman" w:hAnsi="Times New Roman" w:cs="Times New Roman"/>
          <w:b/>
          <w:bCs/>
        </w:rPr>
        <w:t>Coatings: An Emerging Sustainable Approach</w:t>
      </w:r>
      <w:r w:rsidR="004852C4" w:rsidRPr="00221196">
        <w:rPr>
          <w:rFonts w:ascii="Times New Roman" w:hAnsi="Times New Roman" w:cs="Times New Roman"/>
          <w:b/>
          <w:bCs/>
        </w:rPr>
        <w:t xml:space="preserve">             </w:t>
      </w:r>
      <w:r w:rsidR="0010143A" w:rsidRPr="00221196">
        <w:rPr>
          <w:rFonts w:ascii="Times New Roman" w:hAnsi="Times New Roman" w:cs="Times New Roman"/>
          <w:noProof/>
        </w:rPr>
        <w:drawing>
          <wp:inline distT="0" distB="0" distL="0" distR="0" wp14:anchorId="2E710BFD" wp14:editId="5DD28589">
            <wp:extent cx="5738446" cy="2812726"/>
            <wp:effectExtent l="0" t="0" r="0" b="6985"/>
            <wp:docPr id="2483927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92738" name="Picture 24839273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55349" cy="2870026"/>
                    </a:xfrm>
                    <a:prstGeom prst="rect">
                      <a:avLst/>
                    </a:prstGeom>
                  </pic:spPr>
                </pic:pic>
              </a:graphicData>
            </a:graphic>
          </wp:inline>
        </w:drawing>
      </w:r>
    </w:p>
    <w:p w14:paraId="5CAAB1D3" w14:textId="5D034BAD" w:rsidR="0032660D" w:rsidRPr="00221196" w:rsidRDefault="0032660D" w:rsidP="004231BC">
      <w:pPr>
        <w:spacing w:line="360" w:lineRule="auto"/>
        <w:jc w:val="both"/>
        <w:rPr>
          <w:rFonts w:ascii="Times New Roman" w:hAnsi="Times New Roman" w:cs="Times New Roman"/>
        </w:rPr>
      </w:pPr>
    </w:p>
    <w:p w14:paraId="32C2848C" w14:textId="5F03D0C9" w:rsidR="00CD2999" w:rsidRDefault="00C500A1" w:rsidP="00E32B20">
      <w:pPr>
        <w:spacing w:line="360" w:lineRule="auto"/>
        <w:jc w:val="both"/>
        <w:rPr>
          <w:rFonts w:ascii="Times New Roman" w:hAnsi="Times New Roman" w:cs="Times New Roman"/>
        </w:rPr>
      </w:pPr>
      <w:r w:rsidRPr="00221196">
        <w:rPr>
          <w:rFonts w:ascii="Times New Roman" w:hAnsi="Times New Roman" w:cs="Times New Roman"/>
        </w:rPr>
        <w:t>These coatings are made of biodegradable natural polymers, are applied as thin layers on food surfaces to enhance quality, prolong shelf life and minimize postharvest losses</w:t>
      </w:r>
      <w:r w:rsidR="004D158E">
        <w:rPr>
          <w:rFonts w:ascii="Times New Roman" w:hAnsi="Times New Roman" w:cs="Times New Roman"/>
        </w:rPr>
        <w:t xml:space="preserve"> (</w:t>
      </w:r>
      <w:r w:rsidR="004D158E" w:rsidRPr="004D158E">
        <w:rPr>
          <w:rFonts w:ascii="Times New Roman" w:hAnsi="Times New Roman" w:cs="Times New Roman"/>
        </w:rPr>
        <w:t>Flores-López et al., 2016)</w:t>
      </w:r>
      <w:r w:rsidRPr="00221196">
        <w:rPr>
          <w:rFonts w:ascii="Times New Roman" w:hAnsi="Times New Roman" w:cs="Times New Roman"/>
        </w:rPr>
        <w:t>.</w:t>
      </w:r>
      <w:r w:rsidR="00F425E3" w:rsidRPr="00221196">
        <w:rPr>
          <w:rFonts w:ascii="Times New Roman" w:hAnsi="Times New Roman" w:cs="Times New Roman"/>
        </w:rPr>
        <w:t xml:space="preserve"> This coating reduces oxygen entry and carbon dioxide loss, thereby slowing respiration and ethylene production, which delays ripening</w:t>
      </w:r>
      <w:r w:rsidR="0032660D" w:rsidRPr="00221196">
        <w:rPr>
          <w:rFonts w:ascii="Times New Roman" w:hAnsi="Times New Roman" w:cs="Times New Roman"/>
        </w:rPr>
        <w:t xml:space="preserve"> (Fig 5)</w:t>
      </w:r>
      <w:r w:rsidR="00F425E3" w:rsidRPr="00221196">
        <w:rPr>
          <w:rFonts w:ascii="Times New Roman" w:hAnsi="Times New Roman" w:cs="Times New Roman"/>
        </w:rPr>
        <w:t>. It also minimizes moisture loss, reducing shr</w:t>
      </w:r>
      <w:r w:rsidR="00307F32" w:rsidRPr="00221196">
        <w:rPr>
          <w:rFonts w:ascii="Times New Roman" w:hAnsi="Times New Roman" w:cs="Times New Roman"/>
        </w:rPr>
        <w:t>inkage</w:t>
      </w:r>
      <w:r w:rsidR="00F425E3" w:rsidRPr="00221196">
        <w:rPr>
          <w:rFonts w:ascii="Times New Roman" w:hAnsi="Times New Roman" w:cs="Times New Roman"/>
        </w:rPr>
        <w:t xml:space="preserve"> and weight loss during storage. It also creates a barrier that protects against microbes and decay</w:t>
      </w:r>
      <w:r w:rsidR="004D158E">
        <w:rPr>
          <w:rFonts w:ascii="Times New Roman" w:hAnsi="Times New Roman" w:cs="Times New Roman"/>
        </w:rPr>
        <w:t xml:space="preserve"> (</w:t>
      </w:r>
      <w:r w:rsidR="004D158E" w:rsidRPr="004D158E">
        <w:rPr>
          <w:rFonts w:ascii="Times New Roman" w:hAnsi="Times New Roman" w:cs="Times New Roman"/>
        </w:rPr>
        <w:t>Yousuf et al., 2018).</w:t>
      </w:r>
    </w:p>
    <w:p w14:paraId="297AAC2F" w14:textId="01192998" w:rsidR="009546FA" w:rsidRPr="00221196" w:rsidRDefault="00AE591F" w:rsidP="00CD2999">
      <w:pPr>
        <w:spacing w:line="360" w:lineRule="auto"/>
        <w:ind w:firstLine="720"/>
        <w:jc w:val="both"/>
        <w:rPr>
          <w:rFonts w:ascii="Times New Roman" w:hAnsi="Times New Roman" w:cs="Times New Roman"/>
        </w:rPr>
      </w:pPr>
      <w:r w:rsidRPr="00221196">
        <w:rPr>
          <w:rFonts w:ascii="Times New Roman" w:hAnsi="Times New Roman" w:cs="Times New Roman"/>
        </w:rPr>
        <w:t>Edible coatings can be applied using several practical methods depending on the type of fruit, coating material, and scale of operation</w:t>
      </w:r>
      <w:r w:rsidR="004D158E">
        <w:rPr>
          <w:rFonts w:ascii="Times New Roman" w:hAnsi="Times New Roman" w:cs="Times New Roman"/>
        </w:rPr>
        <w:t xml:space="preserve"> (</w:t>
      </w:r>
      <w:proofErr w:type="spellStart"/>
      <w:r w:rsidR="004D158E" w:rsidRPr="004D158E">
        <w:rPr>
          <w:rFonts w:ascii="Times New Roman" w:hAnsi="Times New Roman" w:cs="Times New Roman"/>
        </w:rPr>
        <w:t>Tavassoli-Kafrani</w:t>
      </w:r>
      <w:proofErr w:type="spellEnd"/>
      <w:r w:rsidR="004D158E" w:rsidRPr="004D158E">
        <w:rPr>
          <w:rFonts w:ascii="Times New Roman" w:hAnsi="Times New Roman" w:cs="Times New Roman"/>
        </w:rPr>
        <w:t xml:space="preserve"> et al., 2016)</w:t>
      </w:r>
      <w:r w:rsidRPr="00221196">
        <w:rPr>
          <w:rFonts w:ascii="Times New Roman" w:hAnsi="Times New Roman" w:cs="Times New Roman"/>
        </w:rPr>
        <w:t xml:space="preserve">. The dipping method is the most common technique, where fruits are immersed in the coating solution for a specific time and then removed and dried, ensuring complete surface coverage. In the spraying method, the solution is sprayed onto the fruit using manual or automated sprayers, which helps form a thin and uniform layer while reducing material wastage. The brushing method involves manually applying the coating with a brush and is mainly suitable for small-scale or laboratory studies. Electrostatic spraying improves adhesion by charging the droplets, allowing better and more uniform deposition on the fruit surface. In the fluidized bed method, small fruits are suspended in an air stream while the coating is sprayed, ensuring even coverage. The foam application method uses a foamed coating solution to reduce liquid usage and enhance uniformity. In the casting method, a film is first prepared separately and then wrapped around the product. The panning method, commonly used in confectionery, coats products by rotating them in a pan while adding the coating gradually. Layer-by-layer deposition involves applying multiple thin layers sequentially to improve barrier properties. Finally, vacuum impregnation allows the coating solution to penetrate surface pores under reduced pressure, providing enhanced internal protection and </w:t>
      </w:r>
      <w:r w:rsidRPr="00221196">
        <w:rPr>
          <w:rFonts w:ascii="Times New Roman" w:hAnsi="Times New Roman" w:cs="Times New Roman"/>
        </w:rPr>
        <w:lastRenderedPageBreak/>
        <w:t>extending shelf life</w:t>
      </w:r>
      <w:r w:rsidR="009546FA" w:rsidRPr="00221196">
        <w:rPr>
          <w:rFonts w:ascii="Times New Roman" w:hAnsi="Times New Roman" w:cs="Times New Roman"/>
        </w:rPr>
        <w:t xml:space="preserve"> (Fig 6).</w:t>
      </w:r>
      <w:r w:rsidR="00E65428" w:rsidRPr="00221196">
        <w:rPr>
          <w:rFonts w:ascii="Times New Roman" w:hAnsi="Times New Roman" w:cs="Times New Roman"/>
          <w:noProof/>
        </w:rPr>
        <mc:AlternateContent>
          <mc:Choice Requires="wps">
            <w:drawing>
              <wp:anchor distT="45720" distB="45720" distL="114300" distR="114300" simplePos="0" relativeHeight="251672576" behindDoc="0" locked="0" layoutInCell="1" allowOverlap="1" wp14:anchorId="65499594" wp14:editId="43FCD575">
                <wp:simplePos x="0" y="0"/>
                <wp:positionH relativeFrom="margin">
                  <wp:posOffset>-249382</wp:posOffset>
                </wp:positionH>
                <wp:positionV relativeFrom="paragraph">
                  <wp:posOffset>3282488</wp:posOffset>
                </wp:positionV>
                <wp:extent cx="5692140" cy="447675"/>
                <wp:effectExtent l="0" t="0" r="22860" b="28575"/>
                <wp:wrapSquare wrapText="bothSides"/>
                <wp:docPr id="181033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447675"/>
                        </a:xfrm>
                        <a:prstGeom prst="rect">
                          <a:avLst/>
                        </a:prstGeom>
                        <a:solidFill>
                          <a:srgbClr val="FFFFFF"/>
                        </a:solidFill>
                        <a:ln w="9525">
                          <a:solidFill>
                            <a:schemeClr val="bg1"/>
                          </a:solidFill>
                          <a:miter lim="800000"/>
                          <a:headEnd/>
                          <a:tailEnd/>
                        </a:ln>
                      </wps:spPr>
                      <wps:txbx>
                        <w:txbxContent>
                          <w:p w14:paraId="013C46AA" w14:textId="3884E3C0" w:rsidR="00C937C7" w:rsidRPr="00E32B20" w:rsidRDefault="00C937C7" w:rsidP="00E32B20">
                            <w:pPr>
                              <w:jc w:val="center"/>
                              <w:rPr>
                                <w:rFonts w:ascii="Times New Roman" w:hAnsi="Times New Roman" w:cs="Times New Roman"/>
                                <w:lang w:val="en-US"/>
                              </w:rPr>
                            </w:pPr>
                            <w:r w:rsidRPr="00E32B20">
                              <w:rPr>
                                <w:rFonts w:ascii="Times New Roman" w:hAnsi="Times New Roman" w:cs="Times New Roman"/>
                                <w:b/>
                                <w:bCs/>
                                <w:lang w:val="en-US"/>
                              </w:rPr>
                              <w:t>Fig 6.</w:t>
                            </w:r>
                            <w:r w:rsidR="00E953AB" w:rsidRPr="00E32B20">
                              <w:rPr>
                                <w:rFonts w:ascii="Times New Roman" w:hAnsi="Times New Roman" w:cs="Times New Roman"/>
                                <w:b/>
                                <w:bCs/>
                                <w:lang w:val="en-US"/>
                              </w:rPr>
                              <w:t xml:space="preserve"> </w:t>
                            </w:r>
                            <w:r w:rsidR="00E953AB" w:rsidRPr="00E32B20">
                              <w:rPr>
                                <w:rFonts w:ascii="Times New Roman" w:hAnsi="Times New Roman" w:cs="Times New Roman"/>
                                <w:lang w:val="en-US"/>
                              </w:rPr>
                              <w:t>Schematic representation of the processes used for the coating application on fruits and vegetables. (A) dipping; (B) spraying; (C)</w:t>
                            </w:r>
                            <w:r w:rsidR="00A10339" w:rsidRPr="00E32B20">
                              <w:rPr>
                                <w:rFonts w:ascii="Times New Roman" w:hAnsi="Times New Roman" w:cs="Times New Roman"/>
                                <w:lang w:val="en-US"/>
                              </w:rPr>
                              <w:t xml:space="preserve"> </w:t>
                            </w:r>
                            <w:r w:rsidR="00E953AB" w:rsidRPr="00E32B20">
                              <w:rPr>
                                <w:rFonts w:ascii="Times New Roman" w:hAnsi="Times New Roman" w:cs="Times New Roman"/>
                                <w:lang w:val="en-US"/>
                              </w:rPr>
                              <w:t>vacuum impregnation.</w:t>
                            </w:r>
                            <w:r w:rsidR="00461E23" w:rsidRPr="00E32B20">
                              <w:rPr>
                                <w:rFonts w:ascii="Times New Roman" w:hAnsi="Times New Roman" w:cs="Times New Roman"/>
                              </w:rPr>
                              <w:t xml:space="preserve"> (Perez-Vazquez et. al 2023</w:t>
                            </w:r>
                            <w:r w:rsidR="004A7ED2" w:rsidRPr="00E32B20">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99594" id="_x0000_s1031" type="#_x0000_t202" style="position:absolute;left:0;text-align:left;margin-left:-19.65pt;margin-top:258.45pt;width:448.2pt;height:35.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" strokecolor="white [3212]">
                <v:textbox>
                  <w:txbxContent>
                    <w:p w14:paraId="013C46AA" w14:textId="3884E3C0" w:rsidR="00C937C7" w:rsidRPr="00E32B20" w:rsidRDefault="00C937C7" w:rsidP="00E32B20">
                      <w:pPr>
                        <w:jc w:val="center"/>
                        <w:rPr>
                          <w:rFonts w:ascii="Times New Roman" w:hAnsi="Times New Roman" w:cs="Times New Roman"/>
                          <w:lang w:val="en-US"/>
                        </w:rPr>
                      </w:pPr>
                      <w:r w:rsidRPr="00E32B20">
                        <w:rPr>
                          <w:rFonts w:ascii="Times New Roman" w:hAnsi="Times New Roman" w:cs="Times New Roman"/>
                          <w:b/>
                          <w:bCs/>
                          <w:lang w:val="en-US"/>
                        </w:rPr>
                        <w:t>Fig 6.</w:t>
                      </w:r>
                      <w:r w:rsidR="00E953AB" w:rsidRPr="00E32B20">
                        <w:rPr>
                          <w:rFonts w:ascii="Times New Roman" w:hAnsi="Times New Roman" w:cs="Times New Roman"/>
                          <w:b/>
                          <w:bCs/>
                          <w:lang w:val="en-US"/>
                        </w:rPr>
                        <w:t xml:space="preserve"> </w:t>
                      </w:r>
                      <w:r w:rsidR="00E953AB" w:rsidRPr="00E32B20">
                        <w:rPr>
                          <w:rFonts w:ascii="Times New Roman" w:hAnsi="Times New Roman" w:cs="Times New Roman"/>
                          <w:lang w:val="en-US"/>
                        </w:rPr>
                        <w:t>Schematic representation of the processes used for the coating application on fruits and vegetables. (A) dipping; (B) spraying; (C)</w:t>
                      </w:r>
                      <w:r w:rsidR="00A10339" w:rsidRPr="00E32B20">
                        <w:rPr>
                          <w:rFonts w:ascii="Times New Roman" w:hAnsi="Times New Roman" w:cs="Times New Roman"/>
                          <w:lang w:val="en-US"/>
                        </w:rPr>
                        <w:t xml:space="preserve"> </w:t>
                      </w:r>
                      <w:r w:rsidR="00E953AB" w:rsidRPr="00E32B20">
                        <w:rPr>
                          <w:rFonts w:ascii="Times New Roman" w:hAnsi="Times New Roman" w:cs="Times New Roman"/>
                          <w:lang w:val="en-US"/>
                        </w:rPr>
                        <w:t>vacuum impregnation.</w:t>
                      </w:r>
                      <w:r w:rsidR="00461E23" w:rsidRPr="00E32B20">
                        <w:rPr>
                          <w:rFonts w:ascii="Times New Roman" w:hAnsi="Times New Roman" w:cs="Times New Roman"/>
                        </w:rPr>
                        <w:t xml:space="preserve"> (Perez-Vazquez et. al 2023</w:t>
                      </w:r>
                      <w:r w:rsidR="004A7ED2" w:rsidRPr="00E32B20">
                        <w:rPr>
                          <w:rFonts w:ascii="Times New Roman" w:hAnsi="Times New Roman" w:cs="Times New Roman"/>
                        </w:rPr>
                        <w:t>)</w:t>
                      </w:r>
                    </w:p>
                  </w:txbxContent>
                </v:textbox>
                <w10:wrap type="square" anchorx="margin"/>
              </v:shape>
            </w:pict>
          </mc:Fallback>
        </mc:AlternateContent>
      </w:r>
      <w:r w:rsidR="009546FA" w:rsidRPr="00221196">
        <w:rPr>
          <w:rFonts w:ascii="Times New Roman" w:hAnsi="Times New Roman" w:cs="Times New Roman"/>
          <w:noProof/>
        </w:rPr>
        <w:drawing>
          <wp:inline distT="0" distB="0" distL="0" distR="0" wp14:anchorId="2589C38B" wp14:editId="67A09745">
            <wp:extent cx="5729997" cy="2801470"/>
            <wp:effectExtent l="0" t="0" r="4445" b="0"/>
            <wp:docPr id="3962902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290220" name="Picture 396290220"/>
                    <pic:cNvPicPr/>
                  </pic:nvPicPr>
                  <pic:blipFill>
                    <a:blip r:embed="rId12">
                      <a:extLst>
                        <a:ext uri="{28A0092B-C50C-407E-A947-70E740481C1C}">
                          <a14:useLocalDpi xmlns:a14="http://schemas.microsoft.com/office/drawing/2010/main" val="0"/>
                        </a:ext>
                      </a:extLst>
                    </a:blip>
                    <a:stretch>
                      <a:fillRect/>
                    </a:stretch>
                  </pic:blipFill>
                  <pic:spPr>
                    <a:xfrm>
                      <a:off x="0" y="0"/>
                      <a:ext cx="5770443" cy="2821244"/>
                    </a:xfrm>
                    <a:prstGeom prst="rect">
                      <a:avLst/>
                    </a:prstGeom>
                  </pic:spPr>
                </pic:pic>
              </a:graphicData>
            </a:graphic>
          </wp:inline>
        </w:drawing>
      </w:r>
    </w:p>
    <w:p w14:paraId="47E5D0B5" w14:textId="0D9A1FA5" w:rsidR="00E65428" w:rsidRPr="00221196" w:rsidRDefault="00E65428" w:rsidP="004231BC">
      <w:pPr>
        <w:spacing w:line="360" w:lineRule="auto"/>
        <w:jc w:val="both"/>
        <w:rPr>
          <w:rFonts w:ascii="Times New Roman" w:hAnsi="Times New Roman" w:cs="Times New Roman"/>
          <w:noProof/>
        </w:rPr>
      </w:pPr>
    </w:p>
    <w:p w14:paraId="38991B9F" w14:textId="2979C42D" w:rsidR="00E65428" w:rsidRPr="00221196" w:rsidRDefault="00E65428" w:rsidP="004231BC">
      <w:pPr>
        <w:spacing w:line="360" w:lineRule="auto"/>
        <w:jc w:val="both"/>
        <w:rPr>
          <w:rFonts w:ascii="Times New Roman" w:hAnsi="Times New Roman" w:cs="Times New Roman"/>
          <w:noProof/>
        </w:rPr>
      </w:pPr>
    </w:p>
    <w:p w14:paraId="1D042618" w14:textId="5FB2AD71" w:rsidR="006A2ED4" w:rsidRPr="00221196" w:rsidRDefault="009C292E" w:rsidP="004231BC">
      <w:pPr>
        <w:spacing w:line="360" w:lineRule="auto"/>
        <w:jc w:val="both"/>
        <w:rPr>
          <w:rFonts w:ascii="Times New Roman" w:hAnsi="Times New Roman" w:cs="Times New Roman"/>
          <w:noProof/>
        </w:rPr>
      </w:pPr>
      <w:r w:rsidRPr="00221196">
        <w:rPr>
          <w:rFonts w:ascii="Times New Roman" w:hAnsi="Times New Roman" w:cs="Times New Roman"/>
          <w:noProof/>
        </w:rPr>
        <w:drawing>
          <wp:inline distT="0" distB="0" distL="0" distR="0" wp14:anchorId="1FBA83B7" wp14:editId="35D8E11B">
            <wp:extent cx="5284694" cy="2019704"/>
            <wp:effectExtent l="0" t="0" r="0" b="0"/>
            <wp:docPr id="4112267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26759" name="Picture 411226759"/>
                    <pic:cNvPicPr/>
                  </pic:nvPicPr>
                  <pic:blipFill rotWithShape="1">
                    <a:blip r:embed="rId13" cstate="print">
                      <a:extLst>
                        <a:ext uri="{28A0092B-C50C-407E-A947-70E740481C1C}">
                          <a14:useLocalDpi xmlns:a14="http://schemas.microsoft.com/office/drawing/2010/main" val="0"/>
                        </a:ext>
                      </a:extLst>
                    </a:blip>
                    <a:srcRect l="6147" t="6265" r="4927" b="15604"/>
                    <a:stretch>
                      <a:fillRect/>
                    </a:stretch>
                  </pic:blipFill>
                  <pic:spPr bwMode="auto">
                    <a:xfrm>
                      <a:off x="0" y="0"/>
                      <a:ext cx="5514909" cy="2107688"/>
                    </a:xfrm>
                    <a:prstGeom prst="rect">
                      <a:avLst/>
                    </a:prstGeom>
                    <a:ln>
                      <a:noFill/>
                    </a:ln>
                    <a:extLst>
                      <a:ext uri="{53640926-AAD7-44D8-BBD7-CCE9431645EC}">
                        <a14:shadowObscured xmlns:a14="http://schemas.microsoft.com/office/drawing/2010/main"/>
                      </a:ext>
                    </a:extLst>
                  </pic:spPr>
                </pic:pic>
              </a:graphicData>
            </a:graphic>
          </wp:inline>
        </w:drawing>
      </w:r>
    </w:p>
    <w:p w14:paraId="5C1AADBE" w14:textId="63FB0F25" w:rsidR="00E65428" w:rsidRPr="00221196" w:rsidRDefault="00E65428" w:rsidP="004231BC">
      <w:pPr>
        <w:spacing w:line="360" w:lineRule="auto"/>
        <w:jc w:val="both"/>
        <w:rPr>
          <w:rFonts w:ascii="Times New Roman" w:hAnsi="Times New Roman" w:cs="Times New Roman"/>
          <w:b/>
          <w:bCs/>
        </w:rPr>
      </w:pPr>
      <w:r w:rsidRPr="00221196">
        <w:rPr>
          <w:rFonts w:ascii="Times New Roman" w:hAnsi="Times New Roman" w:cs="Times New Roman"/>
          <w:noProof/>
        </w:rPr>
        <mc:AlternateContent>
          <mc:Choice Requires="wps">
            <w:drawing>
              <wp:anchor distT="45720" distB="45720" distL="114300" distR="114300" simplePos="0" relativeHeight="251681792" behindDoc="0" locked="0" layoutInCell="1" allowOverlap="1" wp14:anchorId="4987A071" wp14:editId="243B07CD">
                <wp:simplePos x="0" y="0"/>
                <wp:positionH relativeFrom="margin">
                  <wp:posOffset>948920</wp:posOffset>
                </wp:positionH>
                <wp:positionV relativeFrom="paragraph">
                  <wp:posOffset>9813</wp:posOffset>
                </wp:positionV>
                <wp:extent cx="3549650" cy="309245"/>
                <wp:effectExtent l="0" t="0" r="12700" b="14605"/>
                <wp:wrapSquare wrapText="bothSides"/>
                <wp:docPr id="1643289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0" cy="309245"/>
                        </a:xfrm>
                        <a:prstGeom prst="rect">
                          <a:avLst/>
                        </a:prstGeom>
                        <a:solidFill>
                          <a:srgbClr val="FFFFFF"/>
                        </a:solidFill>
                        <a:ln w="9525">
                          <a:solidFill>
                            <a:schemeClr val="bg1"/>
                          </a:solidFill>
                          <a:miter lim="800000"/>
                          <a:headEnd/>
                          <a:tailEnd/>
                        </a:ln>
                      </wps:spPr>
                      <wps:txbx>
                        <w:txbxContent>
                          <w:p w14:paraId="0D3973ED" w14:textId="468EB2FB" w:rsidR="006A2ED4" w:rsidRPr="00E32B20" w:rsidRDefault="006A2ED4" w:rsidP="00E32B20">
                            <w:pPr>
                              <w:jc w:val="center"/>
                              <w:rPr>
                                <w:rFonts w:ascii="Times New Roman" w:hAnsi="Times New Roman" w:cs="Times New Roman"/>
                                <w:lang w:val="en-US"/>
                              </w:rPr>
                            </w:pPr>
                            <w:r w:rsidRPr="00E32B20">
                              <w:rPr>
                                <w:rFonts w:ascii="Times New Roman" w:hAnsi="Times New Roman" w:cs="Times New Roman"/>
                                <w:b/>
                                <w:bCs/>
                                <w:lang w:val="en-US"/>
                              </w:rPr>
                              <w:t>Fig 7.</w:t>
                            </w:r>
                            <w:r w:rsidRPr="00E32B20">
                              <w:rPr>
                                <w:rFonts w:ascii="Times New Roman" w:hAnsi="Times New Roman" w:cs="Times New Roman"/>
                                <w:lang w:val="en-US"/>
                              </w:rPr>
                              <w:t xml:space="preserve"> Classification of edible coatings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7A071" id="_x0000_s1032" type="#_x0000_t202" style="position:absolute;left:0;text-align:left;margin-left:74.7pt;margin-top:.75pt;width:279.5pt;height:24.3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" strokecolor="white [3212]">
                <v:textbox>
                  <w:txbxContent>
                    <w:p w14:paraId="0D3973ED" w14:textId="468EB2FB" w:rsidR="006A2ED4" w:rsidRPr="00E32B20" w:rsidRDefault="006A2ED4" w:rsidP="00E32B20">
                      <w:pPr>
                        <w:jc w:val="center"/>
                        <w:rPr>
                          <w:rFonts w:ascii="Times New Roman" w:hAnsi="Times New Roman" w:cs="Times New Roman"/>
                          <w:lang w:val="en-US"/>
                        </w:rPr>
                      </w:pPr>
                      <w:r w:rsidRPr="00E32B20">
                        <w:rPr>
                          <w:rFonts w:ascii="Times New Roman" w:hAnsi="Times New Roman" w:cs="Times New Roman"/>
                          <w:b/>
                          <w:bCs/>
                          <w:lang w:val="en-US"/>
                        </w:rPr>
                        <w:t>Fig 7.</w:t>
                      </w:r>
                      <w:r w:rsidRPr="00E32B20">
                        <w:rPr>
                          <w:rFonts w:ascii="Times New Roman" w:hAnsi="Times New Roman" w:cs="Times New Roman"/>
                          <w:lang w:val="en-US"/>
                        </w:rPr>
                        <w:t xml:space="preserve"> Classification of edible coatings</w:t>
                      </w:r>
                    </w:p>
                  </w:txbxContent>
                </v:textbox>
                <w10:wrap type="square" anchorx="margin"/>
              </v:shape>
            </w:pict>
          </mc:Fallback>
        </mc:AlternateContent>
      </w:r>
    </w:p>
    <w:p w14:paraId="69BB50DC" w14:textId="77777777" w:rsidR="00C57473" w:rsidRDefault="00C57473" w:rsidP="004231BC">
      <w:pPr>
        <w:spacing w:line="360" w:lineRule="auto"/>
        <w:jc w:val="both"/>
        <w:rPr>
          <w:rFonts w:ascii="Times New Roman" w:hAnsi="Times New Roman" w:cs="Times New Roman"/>
          <w:b/>
          <w:bCs/>
          <w:lang w:val="en-US"/>
        </w:rPr>
      </w:pPr>
    </w:p>
    <w:p w14:paraId="432B3B37" w14:textId="3D25AF1A" w:rsidR="00F425E3" w:rsidRDefault="001B45CF" w:rsidP="004231BC">
      <w:pPr>
        <w:spacing w:line="360" w:lineRule="auto"/>
        <w:jc w:val="both"/>
        <w:rPr>
          <w:rFonts w:ascii="Times New Roman" w:hAnsi="Times New Roman" w:cs="Times New Roman"/>
        </w:rPr>
      </w:pPr>
      <w:r w:rsidRPr="00221196">
        <w:rPr>
          <w:rFonts w:ascii="Times New Roman" w:hAnsi="Times New Roman" w:cs="Times New Roman"/>
          <w:b/>
          <w:bCs/>
        </w:rPr>
        <w:t xml:space="preserve">Types of Edible </w:t>
      </w:r>
      <w:proofErr w:type="gramStart"/>
      <w:r w:rsidRPr="00221196">
        <w:rPr>
          <w:rFonts w:ascii="Times New Roman" w:hAnsi="Times New Roman" w:cs="Times New Roman"/>
          <w:b/>
          <w:bCs/>
        </w:rPr>
        <w:t>Coatin</w:t>
      </w:r>
      <w:r w:rsidR="00D6330A" w:rsidRPr="00221196">
        <w:rPr>
          <w:rFonts w:ascii="Times New Roman" w:hAnsi="Times New Roman" w:cs="Times New Roman"/>
          <w:b/>
          <w:bCs/>
        </w:rPr>
        <w:t>gs</w:t>
      </w:r>
      <w:r w:rsidR="00F44FF9" w:rsidRPr="00221196">
        <w:rPr>
          <w:rFonts w:ascii="Times New Roman" w:hAnsi="Times New Roman" w:cs="Times New Roman"/>
          <w:b/>
          <w:bCs/>
        </w:rPr>
        <w:t xml:space="preserve"> </w:t>
      </w:r>
      <w:r w:rsidR="006A2ED4" w:rsidRPr="00221196">
        <w:rPr>
          <w:rFonts w:ascii="Times New Roman" w:hAnsi="Times New Roman" w:cs="Times New Roman"/>
          <w:b/>
          <w:bCs/>
        </w:rPr>
        <w:t>:</w:t>
      </w:r>
      <w:proofErr w:type="gramEnd"/>
      <w:r w:rsidR="006A2ED4" w:rsidRPr="00221196">
        <w:rPr>
          <w:rFonts w:ascii="Times New Roman" w:hAnsi="Times New Roman" w:cs="Times New Roman"/>
          <w:b/>
          <w:bCs/>
        </w:rPr>
        <w:t xml:space="preserve"> </w:t>
      </w:r>
      <w:r w:rsidR="006A2ED4" w:rsidRPr="00221196">
        <w:rPr>
          <w:rFonts w:ascii="Times New Roman" w:hAnsi="Times New Roman" w:cs="Times New Roman"/>
        </w:rPr>
        <w:t>on the basis of materials used, edible coatings are classified into three main categories: polysaccharide-based, protein-based, and lipid-based coatings (Fig 7).</w:t>
      </w:r>
    </w:p>
    <w:p w14:paraId="7466F686" w14:textId="5259A1A8" w:rsidR="00C57473" w:rsidRPr="00C57473" w:rsidRDefault="00C57473" w:rsidP="00C57473">
      <w:pPr>
        <w:pStyle w:val="ListParagraph"/>
        <w:numPr>
          <w:ilvl w:val="0"/>
          <w:numId w:val="7"/>
        </w:numPr>
        <w:spacing w:line="360" w:lineRule="auto"/>
        <w:jc w:val="both"/>
        <w:rPr>
          <w:rFonts w:ascii="Times New Roman" w:hAnsi="Times New Roman" w:cs="Times New Roman"/>
          <w:b/>
          <w:bCs/>
        </w:rPr>
      </w:pPr>
      <w:r w:rsidRPr="00C57473">
        <w:rPr>
          <w:rFonts w:ascii="Times New Roman" w:hAnsi="Times New Roman" w:cs="Times New Roman"/>
          <w:b/>
          <w:bCs/>
        </w:rPr>
        <w:t>Polysaccharide-Based Coatings</w:t>
      </w:r>
    </w:p>
    <w:p w14:paraId="2D0C5CC8" w14:textId="77777777" w:rsidR="00C57473" w:rsidRPr="00C57473" w:rsidRDefault="00C57473" w:rsidP="00C57473">
      <w:pPr>
        <w:spacing w:line="360" w:lineRule="auto"/>
        <w:jc w:val="both"/>
        <w:rPr>
          <w:rFonts w:ascii="Times New Roman" w:hAnsi="Times New Roman" w:cs="Times New Roman"/>
        </w:rPr>
      </w:pPr>
      <w:r w:rsidRPr="00C57473">
        <w:rPr>
          <w:rFonts w:ascii="Times New Roman" w:hAnsi="Times New Roman" w:cs="Times New Roman"/>
        </w:rPr>
        <w:t>Examples: Chitosan, Alginate, Pectin, Starch, Cellulose derivatives</w:t>
      </w:r>
    </w:p>
    <w:p w14:paraId="72E59492" w14:textId="228F50D9" w:rsidR="00C57473" w:rsidRPr="00C57473" w:rsidRDefault="00C57473" w:rsidP="00C57473">
      <w:pPr>
        <w:spacing w:line="360" w:lineRule="auto"/>
        <w:jc w:val="both"/>
        <w:rPr>
          <w:rFonts w:ascii="Times New Roman" w:hAnsi="Times New Roman" w:cs="Times New Roman"/>
        </w:rPr>
      </w:pPr>
      <w:r w:rsidRPr="00C57473">
        <w:rPr>
          <w:rFonts w:ascii="Times New Roman" w:hAnsi="Times New Roman" w:cs="Times New Roman"/>
        </w:rPr>
        <w:lastRenderedPageBreak/>
        <w:t>Mechanism of Action:</w:t>
      </w:r>
      <w:r>
        <w:rPr>
          <w:rFonts w:ascii="Times New Roman" w:hAnsi="Times New Roman" w:cs="Times New Roman"/>
        </w:rPr>
        <w:t xml:space="preserve"> </w:t>
      </w:r>
      <w:r w:rsidRPr="00C57473">
        <w:rPr>
          <w:rFonts w:ascii="Times New Roman" w:hAnsi="Times New Roman" w:cs="Times New Roman"/>
        </w:rPr>
        <w:t>Form a semi-permeable barrier that reduces oxygen (O₂) influx and carbon dioxide (CO₂) efflux. They also reduce respiration rate and provide antimicrobial action, especially chitosan.</w:t>
      </w:r>
    </w:p>
    <w:p w14:paraId="439ED96D" w14:textId="734E8DC4" w:rsidR="00C57473" w:rsidRPr="00C57473" w:rsidRDefault="00C57473" w:rsidP="00C57473">
      <w:pPr>
        <w:spacing w:line="360" w:lineRule="auto"/>
        <w:jc w:val="both"/>
        <w:rPr>
          <w:rFonts w:ascii="Times New Roman" w:hAnsi="Times New Roman" w:cs="Times New Roman"/>
        </w:rPr>
      </w:pPr>
      <w:r w:rsidRPr="00C57473">
        <w:rPr>
          <w:rFonts w:ascii="Times New Roman" w:hAnsi="Times New Roman" w:cs="Times New Roman"/>
        </w:rPr>
        <w:t>Advantages:</w:t>
      </w:r>
      <w:r>
        <w:rPr>
          <w:rFonts w:ascii="Times New Roman" w:hAnsi="Times New Roman" w:cs="Times New Roman"/>
        </w:rPr>
        <w:t xml:space="preserve"> </w:t>
      </w:r>
      <w:r w:rsidRPr="00C57473">
        <w:rPr>
          <w:rFonts w:ascii="Times New Roman" w:hAnsi="Times New Roman" w:cs="Times New Roman"/>
        </w:rPr>
        <w:t>Biodegradable, good gas barrier properties, antimicrobial activity and delay ripening.</w:t>
      </w:r>
    </w:p>
    <w:p w14:paraId="102BBC84" w14:textId="27A1885F" w:rsidR="00C57473" w:rsidRPr="00C57473" w:rsidRDefault="00C57473" w:rsidP="00C57473">
      <w:pPr>
        <w:spacing w:line="360" w:lineRule="auto"/>
        <w:jc w:val="both"/>
        <w:rPr>
          <w:rFonts w:ascii="Times New Roman" w:hAnsi="Times New Roman" w:cs="Times New Roman"/>
        </w:rPr>
      </w:pPr>
      <w:r w:rsidRPr="00C57473">
        <w:rPr>
          <w:rFonts w:ascii="Times New Roman" w:hAnsi="Times New Roman" w:cs="Times New Roman"/>
        </w:rPr>
        <w:t>Limitations:</w:t>
      </w:r>
      <w:r>
        <w:rPr>
          <w:rFonts w:ascii="Times New Roman" w:hAnsi="Times New Roman" w:cs="Times New Roman"/>
        </w:rPr>
        <w:t xml:space="preserve"> </w:t>
      </w:r>
      <w:r w:rsidRPr="00C57473">
        <w:rPr>
          <w:rFonts w:ascii="Times New Roman" w:hAnsi="Times New Roman" w:cs="Times New Roman"/>
        </w:rPr>
        <w:t>Poor moisture barrier, may require cross-linking and have limited mechanical strength.</w:t>
      </w:r>
    </w:p>
    <w:p w14:paraId="78EBCDB8" w14:textId="77777777" w:rsidR="00C57473" w:rsidRPr="00C57473" w:rsidRDefault="00C57473" w:rsidP="00C57473">
      <w:pPr>
        <w:spacing w:line="360" w:lineRule="auto"/>
        <w:jc w:val="both"/>
        <w:rPr>
          <w:rFonts w:ascii="Times New Roman" w:hAnsi="Times New Roman" w:cs="Times New Roman"/>
          <w:b/>
          <w:bCs/>
        </w:rPr>
      </w:pPr>
      <w:r w:rsidRPr="00C57473">
        <w:rPr>
          <w:rFonts w:ascii="Times New Roman" w:hAnsi="Times New Roman" w:cs="Times New Roman"/>
          <w:b/>
          <w:bCs/>
        </w:rPr>
        <w:t>2. Protein-Based Coatings</w:t>
      </w:r>
    </w:p>
    <w:p w14:paraId="09400DC6" w14:textId="77777777" w:rsidR="00C57473" w:rsidRPr="00C57473" w:rsidRDefault="00C57473" w:rsidP="00C57473">
      <w:pPr>
        <w:spacing w:line="360" w:lineRule="auto"/>
        <w:jc w:val="both"/>
        <w:rPr>
          <w:rFonts w:ascii="Times New Roman" w:hAnsi="Times New Roman" w:cs="Times New Roman"/>
        </w:rPr>
      </w:pPr>
      <w:r w:rsidRPr="00C57473">
        <w:rPr>
          <w:rFonts w:ascii="Times New Roman" w:hAnsi="Times New Roman" w:cs="Times New Roman"/>
        </w:rPr>
        <w:t xml:space="preserve">Examples: Whey protein, Casein, Soy protein, </w:t>
      </w:r>
      <w:proofErr w:type="spellStart"/>
      <w:r w:rsidRPr="00C57473">
        <w:rPr>
          <w:rFonts w:ascii="Times New Roman" w:hAnsi="Times New Roman" w:cs="Times New Roman"/>
        </w:rPr>
        <w:t>Zein</w:t>
      </w:r>
      <w:proofErr w:type="spellEnd"/>
      <w:r w:rsidRPr="00C57473">
        <w:rPr>
          <w:rFonts w:ascii="Times New Roman" w:hAnsi="Times New Roman" w:cs="Times New Roman"/>
        </w:rPr>
        <w:t xml:space="preserve">, </w:t>
      </w:r>
      <w:proofErr w:type="spellStart"/>
      <w:r w:rsidRPr="00C57473">
        <w:rPr>
          <w:rFonts w:ascii="Times New Roman" w:hAnsi="Times New Roman" w:cs="Times New Roman"/>
        </w:rPr>
        <w:t>Gelatin</w:t>
      </w:r>
      <w:proofErr w:type="spellEnd"/>
    </w:p>
    <w:p w14:paraId="03502187" w14:textId="0599D422" w:rsidR="00C57473" w:rsidRPr="00C57473" w:rsidRDefault="00C57473" w:rsidP="00C57473">
      <w:pPr>
        <w:spacing w:line="360" w:lineRule="auto"/>
        <w:jc w:val="both"/>
        <w:rPr>
          <w:rFonts w:ascii="Times New Roman" w:hAnsi="Times New Roman" w:cs="Times New Roman"/>
        </w:rPr>
      </w:pPr>
      <w:r w:rsidRPr="00C57473">
        <w:rPr>
          <w:rFonts w:ascii="Times New Roman" w:hAnsi="Times New Roman" w:cs="Times New Roman"/>
        </w:rPr>
        <w:t>Mechanism of Action:</w:t>
      </w:r>
      <w:r>
        <w:rPr>
          <w:rFonts w:ascii="Times New Roman" w:hAnsi="Times New Roman" w:cs="Times New Roman"/>
        </w:rPr>
        <w:t xml:space="preserve"> </w:t>
      </w:r>
      <w:r w:rsidRPr="00C57473">
        <w:rPr>
          <w:rFonts w:ascii="Times New Roman" w:hAnsi="Times New Roman" w:cs="Times New Roman"/>
        </w:rPr>
        <w:t>Form a dense protein matrix that regulates gas exchange, improves structural integrity</w:t>
      </w:r>
      <w:r>
        <w:rPr>
          <w:rFonts w:ascii="Times New Roman" w:hAnsi="Times New Roman" w:cs="Times New Roman"/>
        </w:rPr>
        <w:t xml:space="preserve"> </w:t>
      </w:r>
      <w:r w:rsidRPr="00C57473">
        <w:rPr>
          <w:rFonts w:ascii="Times New Roman" w:hAnsi="Times New Roman" w:cs="Times New Roman"/>
        </w:rPr>
        <w:t>and acts as a carrier for active compounds.</w:t>
      </w:r>
    </w:p>
    <w:p w14:paraId="3908B222" w14:textId="6189DD7A" w:rsidR="00C57473" w:rsidRPr="00C57473" w:rsidRDefault="00C57473" w:rsidP="00C57473">
      <w:pPr>
        <w:spacing w:line="360" w:lineRule="auto"/>
        <w:jc w:val="both"/>
        <w:rPr>
          <w:rFonts w:ascii="Times New Roman" w:hAnsi="Times New Roman" w:cs="Times New Roman"/>
        </w:rPr>
      </w:pPr>
      <w:r w:rsidRPr="00C57473">
        <w:rPr>
          <w:rFonts w:ascii="Times New Roman" w:hAnsi="Times New Roman" w:cs="Times New Roman"/>
        </w:rPr>
        <w:t>Advantages:</w:t>
      </w:r>
      <w:r>
        <w:rPr>
          <w:rFonts w:ascii="Times New Roman" w:hAnsi="Times New Roman" w:cs="Times New Roman"/>
        </w:rPr>
        <w:t xml:space="preserve"> </w:t>
      </w:r>
      <w:r w:rsidRPr="00C57473">
        <w:rPr>
          <w:rFonts w:ascii="Times New Roman" w:hAnsi="Times New Roman" w:cs="Times New Roman"/>
        </w:rPr>
        <w:t>Good gas barrier, improves texture, enhances nutritional value.</w:t>
      </w:r>
    </w:p>
    <w:p w14:paraId="18CED77D" w14:textId="112FD6C2" w:rsidR="00C57473" w:rsidRPr="00C57473" w:rsidRDefault="00C57473" w:rsidP="00C57473">
      <w:pPr>
        <w:spacing w:line="360" w:lineRule="auto"/>
        <w:jc w:val="both"/>
        <w:rPr>
          <w:rFonts w:ascii="Times New Roman" w:hAnsi="Times New Roman" w:cs="Times New Roman"/>
        </w:rPr>
      </w:pPr>
      <w:r w:rsidRPr="00C57473">
        <w:rPr>
          <w:rFonts w:ascii="Times New Roman" w:hAnsi="Times New Roman" w:cs="Times New Roman"/>
        </w:rPr>
        <w:t>Limitations:</w:t>
      </w:r>
      <w:r>
        <w:rPr>
          <w:rFonts w:ascii="Times New Roman" w:hAnsi="Times New Roman" w:cs="Times New Roman"/>
        </w:rPr>
        <w:t xml:space="preserve"> </w:t>
      </w:r>
      <w:r w:rsidRPr="00C57473">
        <w:rPr>
          <w:rFonts w:ascii="Times New Roman" w:hAnsi="Times New Roman" w:cs="Times New Roman"/>
        </w:rPr>
        <w:t>Sensitive to moisture, potential allergenicity, limited water resistance.</w:t>
      </w:r>
    </w:p>
    <w:p w14:paraId="522D931A" w14:textId="77777777" w:rsidR="00C57473" w:rsidRPr="00C57473" w:rsidRDefault="00C57473" w:rsidP="00C57473">
      <w:pPr>
        <w:spacing w:line="360" w:lineRule="auto"/>
        <w:jc w:val="both"/>
        <w:rPr>
          <w:rFonts w:ascii="Times New Roman" w:hAnsi="Times New Roman" w:cs="Times New Roman"/>
          <w:b/>
          <w:bCs/>
        </w:rPr>
      </w:pPr>
      <w:r w:rsidRPr="00C57473">
        <w:rPr>
          <w:rFonts w:ascii="Times New Roman" w:hAnsi="Times New Roman" w:cs="Times New Roman"/>
          <w:b/>
          <w:bCs/>
        </w:rPr>
        <w:t>3. Lipid-Based Coatings</w:t>
      </w:r>
    </w:p>
    <w:p w14:paraId="39712B3B" w14:textId="77777777" w:rsidR="00C57473" w:rsidRPr="00C57473" w:rsidRDefault="00C57473" w:rsidP="00C57473">
      <w:pPr>
        <w:spacing w:line="360" w:lineRule="auto"/>
        <w:jc w:val="both"/>
        <w:rPr>
          <w:rFonts w:ascii="Times New Roman" w:hAnsi="Times New Roman" w:cs="Times New Roman"/>
        </w:rPr>
      </w:pPr>
      <w:r w:rsidRPr="00C57473">
        <w:rPr>
          <w:rFonts w:ascii="Times New Roman" w:hAnsi="Times New Roman" w:cs="Times New Roman"/>
        </w:rPr>
        <w:t>Examples: Beeswax, Carnauba wax, Fatty acids, Acetylated monoglycerides</w:t>
      </w:r>
    </w:p>
    <w:p w14:paraId="648DCDF9" w14:textId="1036D86C" w:rsidR="00C57473" w:rsidRPr="00C57473" w:rsidRDefault="00C57473" w:rsidP="00C57473">
      <w:pPr>
        <w:spacing w:line="360" w:lineRule="auto"/>
        <w:jc w:val="both"/>
        <w:rPr>
          <w:rFonts w:ascii="Times New Roman" w:hAnsi="Times New Roman" w:cs="Times New Roman"/>
        </w:rPr>
      </w:pPr>
      <w:r w:rsidRPr="00C57473">
        <w:rPr>
          <w:rFonts w:ascii="Times New Roman" w:hAnsi="Times New Roman" w:cs="Times New Roman"/>
        </w:rPr>
        <w:t>Mechanism of Action:</w:t>
      </w:r>
      <w:r>
        <w:rPr>
          <w:rFonts w:ascii="Times New Roman" w:hAnsi="Times New Roman" w:cs="Times New Roman"/>
        </w:rPr>
        <w:t xml:space="preserve"> </w:t>
      </w:r>
      <w:r w:rsidRPr="00C57473">
        <w:rPr>
          <w:rFonts w:ascii="Times New Roman" w:hAnsi="Times New Roman" w:cs="Times New Roman"/>
        </w:rPr>
        <w:t xml:space="preserve">Create a hydrophobic layer that reduces water vapor transmission, minimizing transpiration and </w:t>
      </w:r>
      <w:proofErr w:type="spellStart"/>
      <w:r w:rsidRPr="00C57473">
        <w:rPr>
          <w:rFonts w:ascii="Times New Roman" w:hAnsi="Times New Roman" w:cs="Times New Roman"/>
        </w:rPr>
        <w:t>shriveling</w:t>
      </w:r>
      <w:proofErr w:type="spellEnd"/>
      <w:r w:rsidRPr="00C57473">
        <w:rPr>
          <w:rFonts w:ascii="Times New Roman" w:hAnsi="Times New Roman" w:cs="Times New Roman"/>
        </w:rPr>
        <w:t>.</w:t>
      </w:r>
    </w:p>
    <w:p w14:paraId="073375A7" w14:textId="55513466" w:rsidR="00C57473" w:rsidRPr="00C57473" w:rsidRDefault="00C57473" w:rsidP="00C57473">
      <w:pPr>
        <w:spacing w:line="360" w:lineRule="auto"/>
        <w:jc w:val="both"/>
        <w:rPr>
          <w:rFonts w:ascii="Times New Roman" w:hAnsi="Times New Roman" w:cs="Times New Roman"/>
        </w:rPr>
      </w:pPr>
      <w:r w:rsidRPr="00C57473">
        <w:rPr>
          <w:rFonts w:ascii="Times New Roman" w:hAnsi="Times New Roman" w:cs="Times New Roman"/>
        </w:rPr>
        <w:t>Advantages:</w:t>
      </w:r>
      <w:r>
        <w:rPr>
          <w:rFonts w:ascii="Times New Roman" w:hAnsi="Times New Roman" w:cs="Times New Roman"/>
        </w:rPr>
        <w:t xml:space="preserve"> </w:t>
      </w:r>
      <w:r w:rsidRPr="00C57473">
        <w:rPr>
          <w:rFonts w:ascii="Times New Roman" w:hAnsi="Times New Roman" w:cs="Times New Roman"/>
        </w:rPr>
        <w:t>Excellent moisture barrier, improves gloss and appearance, reduces weight loss.</w:t>
      </w:r>
    </w:p>
    <w:p w14:paraId="02419F93" w14:textId="3FFD971B" w:rsidR="00C57473" w:rsidRPr="00C57473" w:rsidRDefault="00C57473" w:rsidP="00C57473">
      <w:pPr>
        <w:spacing w:line="360" w:lineRule="auto"/>
        <w:jc w:val="both"/>
        <w:rPr>
          <w:rFonts w:ascii="Times New Roman" w:hAnsi="Times New Roman" w:cs="Times New Roman"/>
        </w:rPr>
      </w:pPr>
      <w:r w:rsidRPr="00C57473">
        <w:rPr>
          <w:rFonts w:ascii="Times New Roman" w:hAnsi="Times New Roman" w:cs="Times New Roman"/>
        </w:rPr>
        <w:t>Limitations:</w:t>
      </w:r>
      <w:r>
        <w:rPr>
          <w:rFonts w:ascii="Times New Roman" w:hAnsi="Times New Roman" w:cs="Times New Roman"/>
        </w:rPr>
        <w:t xml:space="preserve"> </w:t>
      </w:r>
      <w:r w:rsidRPr="00C57473">
        <w:rPr>
          <w:rFonts w:ascii="Times New Roman" w:hAnsi="Times New Roman" w:cs="Times New Roman"/>
        </w:rPr>
        <w:t xml:space="preserve">May affect </w:t>
      </w:r>
      <w:proofErr w:type="spellStart"/>
      <w:r w:rsidRPr="00C57473">
        <w:rPr>
          <w:rFonts w:ascii="Times New Roman" w:hAnsi="Times New Roman" w:cs="Times New Roman"/>
        </w:rPr>
        <w:t>flavor</w:t>
      </w:r>
      <w:proofErr w:type="spellEnd"/>
      <w:r w:rsidRPr="00C57473">
        <w:rPr>
          <w:rFonts w:ascii="Times New Roman" w:hAnsi="Times New Roman" w:cs="Times New Roman"/>
        </w:rPr>
        <w:t>, greasy texture, limited gas permeability.</w:t>
      </w:r>
    </w:p>
    <w:p w14:paraId="2A936D52" w14:textId="77777777" w:rsidR="00C57473" w:rsidRPr="00C57473" w:rsidRDefault="00C57473" w:rsidP="00C57473">
      <w:pPr>
        <w:spacing w:line="360" w:lineRule="auto"/>
        <w:jc w:val="both"/>
        <w:rPr>
          <w:rFonts w:ascii="Times New Roman" w:hAnsi="Times New Roman" w:cs="Times New Roman"/>
          <w:b/>
          <w:bCs/>
        </w:rPr>
      </w:pPr>
      <w:r w:rsidRPr="00C57473">
        <w:rPr>
          <w:rFonts w:ascii="Times New Roman" w:hAnsi="Times New Roman" w:cs="Times New Roman"/>
          <w:b/>
          <w:bCs/>
        </w:rPr>
        <w:t>4. Composite Coatings</w:t>
      </w:r>
    </w:p>
    <w:p w14:paraId="74D5AEFE" w14:textId="77777777" w:rsidR="00C57473" w:rsidRPr="00C57473" w:rsidRDefault="00C57473" w:rsidP="00C57473">
      <w:pPr>
        <w:spacing w:line="360" w:lineRule="auto"/>
        <w:jc w:val="both"/>
        <w:rPr>
          <w:rFonts w:ascii="Times New Roman" w:hAnsi="Times New Roman" w:cs="Times New Roman"/>
        </w:rPr>
      </w:pPr>
      <w:r w:rsidRPr="00C57473">
        <w:rPr>
          <w:rFonts w:ascii="Times New Roman" w:hAnsi="Times New Roman" w:cs="Times New Roman"/>
        </w:rPr>
        <w:t>Examples: Polysaccharide + Lipid combinations; Protein + Polysaccharide combinations</w:t>
      </w:r>
    </w:p>
    <w:p w14:paraId="5C6AB48E" w14:textId="429FE679" w:rsidR="00C57473" w:rsidRPr="00C57473" w:rsidRDefault="00C57473" w:rsidP="00C57473">
      <w:pPr>
        <w:spacing w:line="360" w:lineRule="auto"/>
        <w:jc w:val="both"/>
        <w:rPr>
          <w:rFonts w:ascii="Times New Roman" w:hAnsi="Times New Roman" w:cs="Times New Roman"/>
        </w:rPr>
      </w:pPr>
      <w:r w:rsidRPr="00C57473">
        <w:rPr>
          <w:rFonts w:ascii="Times New Roman" w:hAnsi="Times New Roman" w:cs="Times New Roman"/>
        </w:rPr>
        <w:t>Mechanism of Action:</w:t>
      </w:r>
      <w:r>
        <w:rPr>
          <w:rFonts w:ascii="Times New Roman" w:hAnsi="Times New Roman" w:cs="Times New Roman"/>
        </w:rPr>
        <w:t xml:space="preserve"> </w:t>
      </w:r>
      <w:r w:rsidRPr="00C57473">
        <w:rPr>
          <w:rFonts w:ascii="Times New Roman" w:hAnsi="Times New Roman" w:cs="Times New Roman"/>
        </w:rPr>
        <w:t>Combine moisture and gas barrier properties, providing synergistic antimicrobial and mechanical effects.</w:t>
      </w:r>
    </w:p>
    <w:p w14:paraId="2AC99020" w14:textId="3D6EB5EA" w:rsidR="00C57473" w:rsidRPr="00C57473" w:rsidRDefault="00C57473" w:rsidP="00C57473">
      <w:pPr>
        <w:spacing w:line="360" w:lineRule="auto"/>
        <w:jc w:val="both"/>
        <w:rPr>
          <w:rFonts w:ascii="Times New Roman" w:hAnsi="Times New Roman" w:cs="Times New Roman"/>
        </w:rPr>
      </w:pPr>
      <w:r w:rsidRPr="00C57473">
        <w:rPr>
          <w:rFonts w:ascii="Times New Roman" w:hAnsi="Times New Roman" w:cs="Times New Roman"/>
        </w:rPr>
        <w:t>Advantages:</w:t>
      </w:r>
      <w:r>
        <w:rPr>
          <w:rFonts w:ascii="Times New Roman" w:hAnsi="Times New Roman" w:cs="Times New Roman"/>
        </w:rPr>
        <w:t xml:space="preserve"> </w:t>
      </w:r>
      <w:r w:rsidRPr="00C57473">
        <w:rPr>
          <w:rFonts w:ascii="Times New Roman" w:hAnsi="Times New Roman" w:cs="Times New Roman"/>
        </w:rPr>
        <w:t>Balanced barrier properties, improved mechanical strength, multifunctional protection.</w:t>
      </w:r>
    </w:p>
    <w:p w14:paraId="621CBB80" w14:textId="7F382201" w:rsidR="00C57473" w:rsidRPr="00C57473" w:rsidRDefault="00C57473" w:rsidP="00C57473">
      <w:pPr>
        <w:spacing w:line="360" w:lineRule="auto"/>
        <w:jc w:val="both"/>
        <w:rPr>
          <w:rFonts w:ascii="Times New Roman" w:hAnsi="Times New Roman" w:cs="Times New Roman"/>
        </w:rPr>
      </w:pPr>
      <w:r w:rsidRPr="00C57473">
        <w:rPr>
          <w:rFonts w:ascii="Times New Roman" w:hAnsi="Times New Roman" w:cs="Times New Roman"/>
        </w:rPr>
        <w:t>Limitations:</w:t>
      </w:r>
      <w:r>
        <w:rPr>
          <w:rFonts w:ascii="Times New Roman" w:hAnsi="Times New Roman" w:cs="Times New Roman"/>
        </w:rPr>
        <w:t xml:space="preserve"> </w:t>
      </w:r>
      <w:r w:rsidRPr="00C57473">
        <w:rPr>
          <w:rFonts w:ascii="Times New Roman" w:hAnsi="Times New Roman" w:cs="Times New Roman"/>
        </w:rPr>
        <w:t>Complex formulation and higher production cost.</w:t>
      </w:r>
    </w:p>
    <w:p w14:paraId="035217F0" w14:textId="77777777" w:rsidR="00C57473" w:rsidRPr="00C57473" w:rsidRDefault="00C57473" w:rsidP="00C57473">
      <w:pPr>
        <w:spacing w:line="360" w:lineRule="auto"/>
        <w:jc w:val="both"/>
        <w:rPr>
          <w:rFonts w:ascii="Times New Roman" w:hAnsi="Times New Roman" w:cs="Times New Roman"/>
          <w:b/>
          <w:bCs/>
        </w:rPr>
      </w:pPr>
      <w:r w:rsidRPr="00C57473">
        <w:rPr>
          <w:rFonts w:ascii="Times New Roman" w:hAnsi="Times New Roman" w:cs="Times New Roman"/>
          <w:b/>
          <w:bCs/>
        </w:rPr>
        <w:t>5. Nano-Enhanced / Encapsulated Coatings</w:t>
      </w:r>
    </w:p>
    <w:p w14:paraId="7F6CFE04" w14:textId="77777777" w:rsidR="00C57473" w:rsidRPr="00C57473" w:rsidRDefault="00C57473" w:rsidP="00C57473">
      <w:pPr>
        <w:spacing w:line="360" w:lineRule="auto"/>
        <w:jc w:val="both"/>
        <w:rPr>
          <w:rFonts w:ascii="Times New Roman" w:hAnsi="Times New Roman" w:cs="Times New Roman"/>
        </w:rPr>
      </w:pPr>
      <w:r w:rsidRPr="00C57473">
        <w:rPr>
          <w:rFonts w:ascii="Times New Roman" w:hAnsi="Times New Roman" w:cs="Times New Roman"/>
        </w:rPr>
        <w:t xml:space="preserve">Examples: </w:t>
      </w:r>
      <w:proofErr w:type="spellStart"/>
      <w:r w:rsidRPr="00C57473">
        <w:rPr>
          <w:rFonts w:ascii="Times New Roman" w:hAnsi="Times New Roman" w:cs="Times New Roman"/>
        </w:rPr>
        <w:t>Nanoemulsified</w:t>
      </w:r>
      <w:proofErr w:type="spellEnd"/>
      <w:r w:rsidRPr="00C57473">
        <w:rPr>
          <w:rFonts w:ascii="Times New Roman" w:hAnsi="Times New Roman" w:cs="Times New Roman"/>
        </w:rPr>
        <w:t xml:space="preserve"> essential oils, </w:t>
      </w:r>
      <w:proofErr w:type="spellStart"/>
      <w:r w:rsidRPr="00C57473">
        <w:rPr>
          <w:rFonts w:ascii="Times New Roman" w:hAnsi="Times New Roman" w:cs="Times New Roman"/>
        </w:rPr>
        <w:t>ZnO</w:t>
      </w:r>
      <w:proofErr w:type="spellEnd"/>
      <w:r w:rsidRPr="00C57473">
        <w:rPr>
          <w:rFonts w:ascii="Times New Roman" w:hAnsi="Times New Roman" w:cs="Times New Roman"/>
        </w:rPr>
        <w:t xml:space="preserve"> nanoparticles, encapsulated antioxidants</w:t>
      </w:r>
    </w:p>
    <w:p w14:paraId="7B646794" w14:textId="6E9BB86F" w:rsidR="00C57473" w:rsidRPr="00C57473" w:rsidRDefault="00C57473" w:rsidP="00C57473">
      <w:pPr>
        <w:spacing w:line="360" w:lineRule="auto"/>
        <w:jc w:val="both"/>
        <w:rPr>
          <w:rFonts w:ascii="Times New Roman" w:hAnsi="Times New Roman" w:cs="Times New Roman"/>
        </w:rPr>
      </w:pPr>
      <w:r w:rsidRPr="00C57473">
        <w:rPr>
          <w:rFonts w:ascii="Times New Roman" w:hAnsi="Times New Roman" w:cs="Times New Roman"/>
        </w:rPr>
        <w:t>Mechanism of Action:</w:t>
      </w:r>
      <w:r>
        <w:rPr>
          <w:rFonts w:ascii="Times New Roman" w:hAnsi="Times New Roman" w:cs="Times New Roman"/>
        </w:rPr>
        <w:t xml:space="preserve"> </w:t>
      </w:r>
      <w:r w:rsidRPr="00C57473">
        <w:rPr>
          <w:rFonts w:ascii="Times New Roman" w:hAnsi="Times New Roman" w:cs="Times New Roman"/>
        </w:rPr>
        <w:t xml:space="preserve">Provide controlled release of active compounds, improved surface </w:t>
      </w:r>
      <w:proofErr w:type="gramStart"/>
      <w:r w:rsidRPr="00C57473">
        <w:rPr>
          <w:rFonts w:ascii="Times New Roman" w:hAnsi="Times New Roman" w:cs="Times New Roman"/>
        </w:rPr>
        <w:t>coverag</w:t>
      </w:r>
      <w:r>
        <w:rPr>
          <w:rFonts w:ascii="Times New Roman" w:hAnsi="Times New Roman" w:cs="Times New Roman"/>
        </w:rPr>
        <w:t xml:space="preserve">e </w:t>
      </w:r>
      <w:r w:rsidRPr="00C57473">
        <w:rPr>
          <w:rFonts w:ascii="Times New Roman" w:hAnsi="Times New Roman" w:cs="Times New Roman"/>
        </w:rPr>
        <w:t xml:space="preserve"> and</w:t>
      </w:r>
      <w:proofErr w:type="gramEnd"/>
      <w:r w:rsidRPr="00C57473">
        <w:rPr>
          <w:rFonts w:ascii="Times New Roman" w:hAnsi="Times New Roman" w:cs="Times New Roman"/>
        </w:rPr>
        <w:t xml:space="preserve"> enhanced antimicrobial efficiency.</w:t>
      </w:r>
    </w:p>
    <w:p w14:paraId="087EEB54" w14:textId="1BE0A9B1" w:rsidR="00C57473" w:rsidRPr="00C57473" w:rsidRDefault="00C57473" w:rsidP="00C57473">
      <w:pPr>
        <w:spacing w:line="360" w:lineRule="auto"/>
        <w:jc w:val="both"/>
        <w:rPr>
          <w:rFonts w:ascii="Times New Roman" w:hAnsi="Times New Roman" w:cs="Times New Roman"/>
        </w:rPr>
      </w:pPr>
      <w:r w:rsidRPr="00C57473">
        <w:rPr>
          <w:rFonts w:ascii="Times New Roman" w:hAnsi="Times New Roman" w:cs="Times New Roman"/>
        </w:rPr>
        <w:t>Advantages:</w:t>
      </w:r>
      <w:r>
        <w:rPr>
          <w:rFonts w:ascii="Times New Roman" w:hAnsi="Times New Roman" w:cs="Times New Roman"/>
        </w:rPr>
        <w:t xml:space="preserve"> </w:t>
      </w:r>
      <w:r w:rsidRPr="00C57473">
        <w:rPr>
          <w:rFonts w:ascii="Times New Roman" w:hAnsi="Times New Roman" w:cs="Times New Roman"/>
        </w:rPr>
        <w:t>Extended antimicrobial action, improved stability, enhanced shelf life.</w:t>
      </w:r>
    </w:p>
    <w:p w14:paraId="1ACE6B52" w14:textId="0CF38079" w:rsidR="00C57473" w:rsidRDefault="00C57473" w:rsidP="00C57473">
      <w:pPr>
        <w:spacing w:line="360" w:lineRule="auto"/>
        <w:jc w:val="both"/>
        <w:rPr>
          <w:rFonts w:ascii="Times New Roman" w:hAnsi="Times New Roman" w:cs="Times New Roman"/>
        </w:rPr>
      </w:pPr>
      <w:r w:rsidRPr="00C57473">
        <w:rPr>
          <w:rFonts w:ascii="Times New Roman" w:hAnsi="Times New Roman" w:cs="Times New Roman"/>
        </w:rPr>
        <w:lastRenderedPageBreak/>
        <w:t>Limitations:</w:t>
      </w:r>
      <w:r>
        <w:rPr>
          <w:rFonts w:ascii="Times New Roman" w:hAnsi="Times New Roman" w:cs="Times New Roman"/>
        </w:rPr>
        <w:t xml:space="preserve"> </w:t>
      </w:r>
      <w:r w:rsidRPr="00C57473">
        <w:rPr>
          <w:rFonts w:ascii="Times New Roman" w:hAnsi="Times New Roman" w:cs="Times New Roman"/>
        </w:rPr>
        <w:t>Regulatory concerns, higher cost, need for safety validation.</w:t>
      </w:r>
    </w:p>
    <w:p w14:paraId="191B7FA6" w14:textId="56877639" w:rsidR="006329E9" w:rsidRPr="00221196" w:rsidRDefault="006B4922" w:rsidP="004231BC">
      <w:pPr>
        <w:spacing w:line="360" w:lineRule="auto"/>
        <w:jc w:val="both"/>
        <w:rPr>
          <w:rFonts w:ascii="Times New Roman" w:hAnsi="Times New Roman" w:cs="Times New Roman"/>
        </w:rPr>
      </w:pPr>
      <w:r w:rsidRPr="00221196">
        <w:rPr>
          <w:rFonts w:ascii="Times New Roman" w:hAnsi="Times New Roman" w:cs="Times New Roman"/>
        </w:rPr>
        <w:t>The different kinds of coating material</w:t>
      </w:r>
      <w:r w:rsidR="00242F6B" w:rsidRPr="00221196">
        <w:rPr>
          <w:rFonts w:ascii="Times New Roman" w:hAnsi="Times New Roman" w:cs="Times New Roman"/>
        </w:rPr>
        <w:t>s available for postharvest management are shown in Fig 8</w:t>
      </w:r>
      <w:r w:rsidR="00A63C68" w:rsidRPr="00221196">
        <w:rPr>
          <w:rFonts w:ascii="Times New Roman" w:hAnsi="Times New Roman" w:cs="Times New Roman"/>
        </w:rPr>
        <w:t>.</w:t>
      </w:r>
    </w:p>
    <w:p w14:paraId="3024E86B" w14:textId="515F0AD1" w:rsidR="006329E9" w:rsidRPr="00221196" w:rsidRDefault="006329E9" w:rsidP="004231BC">
      <w:pPr>
        <w:spacing w:line="360" w:lineRule="auto"/>
        <w:jc w:val="both"/>
        <w:rPr>
          <w:rFonts w:ascii="Times New Roman" w:hAnsi="Times New Roman" w:cs="Times New Roman"/>
        </w:rPr>
      </w:pPr>
      <w:r w:rsidRPr="00221196">
        <w:rPr>
          <w:rFonts w:ascii="Times New Roman" w:hAnsi="Times New Roman" w:cs="Times New Roman"/>
          <w:noProof/>
        </w:rPr>
        <w:drawing>
          <wp:inline distT="0" distB="0" distL="0" distR="0" wp14:anchorId="1156C290" wp14:editId="0AFD9C5F">
            <wp:extent cx="5731510" cy="3200400"/>
            <wp:effectExtent l="0" t="0" r="2540" b="0"/>
            <wp:docPr id="4620578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78201" name="Picture 877178201"/>
                    <pic:cNvPicPr/>
                  </pic:nvPicPr>
                  <pic:blipFill>
                    <a:blip r:embed="rId14">
                      <a:extLst>
                        <a:ext uri="{28A0092B-C50C-407E-A947-70E740481C1C}">
                          <a14:useLocalDpi xmlns:a14="http://schemas.microsoft.com/office/drawing/2010/main" val="0"/>
                        </a:ext>
                      </a:extLst>
                    </a:blip>
                    <a:stretch>
                      <a:fillRect/>
                    </a:stretch>
                  </pic:blipFill>
                  <pic:spPr>
                    <a:xfrm>
                      <a:off x="0" y="0"/>
                      <a:ext cx="5731510" cy="3200400"/>
                    </a:xfrm>
                    <a:prstGeom prst="rect">
                      <a:avLst/>
                    </a:prstGeom>
                  </pic:spPr>
                </pic:pic>
              </a:graphicData>
            </a:graphic>
          </wp:inline>
        </w:drawing>
      </w:r>
    </w:p>
    <w:p w14:paraId="61382803" w14:textId="462EC30D" w:rsidR="006329E9" w:rsidRPr="00221196" w:rsidRDefault="00A63C68" w:rsidP="004231BC">
      <w:pPr>
        <w:spacing w:line="360" w:lineRule="auto"/>
        <w:jc w:val="both"/>
        <w:rPr>
          <w:rFonts w:ascii="Times New Roman" w:hAnsi="Times New Roman" w:cs="Times New Roman"/>
        </w:rPr>
      </w:pPr>
      <w:r w:rsidRPr="00221196">
        <w:rPr>
          <w:rFonts w:ascii="Times New Roman" w:hAnsi="Times New Roman" w:cs="Times New Roman"/>
          <w:noProof/>
        </w:rPr>
        <mc:AlternateContent>
          <mc:Choice Requires="wps">
            <w:drawing>
              <wp:anchor distT="45720" distB="45720" distL="114300" distR="114300" simplePos="0" relativeHeight="251689984" behindDoc="0" locked="0" layoutInCell="1" allowOverlap="1" wp14:anchorId="352E83CB" wp14:editId="2ED3DEFC">
                <wp:simplePos x="0" y="0"/>
                <wp:positionH relativeFrom="column">
                  <wp:posOffset>842645</wp:posOffset>
                </wp:positionH>
                <wp:positionV relativeFrom="paragraph">
                  <wp:posOffset>6350</wp:posOffset>
                </wp:positionV>
                <wp:extent cx="3935095" cy="353695"/>
                <wp:effectExtent l="0" t="0" r="27305" b="27305"/>
                <wp:wrapSquare wrapText="bothSides"/>
                <wp:docPr id="751833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5095" cy="353695"/>
                        </a:xfrm>
                        <a:prstGeom prst="rect">
                          <a:avLst/>
                        </a:prstGeom>
                        <a:solidFill>
                          <a:srgbClr val="FFFFFF"/>
                        </a:solidFill>
                        <a:ln w="9525">
                          <a:solidFill>
                            <a:schemeClr val="bg1"/>
                          </a:solidFill>
                          <a:miter lim="800000"/>
                          <a:headEnd/>
                          <a:tailEnd/>
                        </a:ln>
                      </wps:spPr>
                      <wps:txbx>
                        <w:txbxContent>
                          <w:p w14:paraId="0B2F0176" w14:textId="73D184CD" w:rsidR="00A63C68" w:rsidRPr="00E32B20" w:rsidRDefault="00A63C68" w:rsidP="00E32B20">
                            <w:pPr>
                              <w:jc w:val="center"/>
                              <w:rPr>
                                <w:rFonts w:ascii="Times New Roman" w:hAnsi="Times New Roman" w:cs="Times New Roman"/>
                                <w:b/>
                                <w:bCs/>
                                <w:lang w:val="en-US"/>
                              </w:rPr>
                            </w:pPr>
                            <w:r w:rsidRPr="00E32B20">
                              <w:rPr>
                                <w:rFonts w:ascii="Times New Roman" w:hAnsi="Times New Roman" w:cs="Times New Roman"/>
                                <w:b/>
                                <w:bCs/>
                                <w:lang w:val="en-US"/>
                              </w:rPr>
                              <w:t xml:space="preserve">Fig 8. </w:t>
                            </w:r>
                            <w:r w:rsidR="001F7367" w:rsidRPr="00E32B20">
                              <w:rPr>
                                <w:rFonts w:ascii="Times New Roman" w:hAnsi="Times New Roman" w:cs="Times New Roman"/>
                                <w:b/>
                                <w:bCs/>
                                <w:lang w:val="en-US"/>
                              </w:rPr>
                              <w:t xml:space="preserve"> </w:t>
                            </w:r>
                            <w:r w:rsidR="001F7367" w:rsidRPr="00E32B20">
                              <w:rPr>
                                <w:rFonts w:ascii="Times New Roman" w:hAnsi="Times New Roman" w:cs="Times New Roman"/>
                                <w:lang w:val="en-US"/>
                              </w:rPr>
                              <w:t>Different edible packaging materials</w:t>
                            </w:r>
                            <w:r w:rsidR="006A35F0" w:rsidRPr="00E32B20">
                              <w:rPr>
                                <w:rFonts w:ascii="Times New Roman" w:hAnsi="Times New Roman" w:cs="Times New Roman"/>
                                <w:lang w:val="en-US"/>
                              </w:rPr>
                              <w:t xml:space="preserve"> (Kumar et. al 20</w:t>
                            </w:r>
                            <w:r w:rsidR="00313859" w:rsidRPr="00E32B20">
                              <w:rPr>
                                <w:rFonts w:ascii="Times New Roman" w:hAnsi="Times New Roman" w:cs="Times New Roman"/>
                                <w:lang w:val="en-US"/>
                              </w:rP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E83CB" id="_x0000_s1033" type="#_x0000_t202" style="position:absolute;left:0;text-align:left;margin-left:66.35pt;margin-top:.5pt;width:309.85pt;height:27.8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" strokecolor="white [3212]">
                <v:textbox>
                  <w:txbxContent>
                    <w:p w14:paraId="0B2F0176" w14:textId="73D184CD" w:rsidR="00A63C68" w:rsidRPr="00E32B20" w:rsidRDefault="00A63C68" w:rsidP="00E32B20">
                      <w:pPr>
                        <w:jc w:val="center"/>
                        <w:rPr>
                          <w:rFonts w:ascii="Times New Roman" w:hAnsi="Times New Roman" w:cs="Times New Roman"/>
                          <w:b/>
                          <w:bCs/>
                          <w:lang w:val="en-US"/>
                        </w:rPr>
                      </w:pPr>
                      <w:r w:rsidRPr="00E32B20">
                        <w:rPr>
                          <w:rFonts w:ascii="Times New Roman" w:hAnsi="Times New Roman" w:cs="Times New Roman"/>
                          <w:b/>
                          <w:bCs/>
                          <w:lang w:val="en-US"/>
                        </w:rPr>
                        <w:t xml:space="preserve">Fig 8. </w:t>
                      </w:r>
                      <w:r w:rsidR="001F7367" w:rsidRPr="00E32B20">
                        <w:rPr>
                          <w:rFonts w:ascii="Times New Roman" w:hAnsi="Times New Roman" w:cs="Times New Roman"/>
                          <w:b/>
                          <w:bCs/>
                          <w:lang w:val="en-US"/>
                        </w:rPr>
                        <w:t xml:space="preserve"> </w:t>
                      </w:r>
                      <w:r w:rsidR="001F7367" w:rsidRPr="00E32B20">
                        <w:rPr>
                          <w:rFonts w:ascii="Times New Roman" w:hAnsi="Times New Roman" w:cs="Times New Roman"/>
                          <w:lang w:val="en-US"/>
                        </w:rPr>
                        <w:t>Different edible packaging materials</w:t>
                      </w:r>
                      <w:r w:rsidR="006A35F0" w:rsidRPr="00E32B20">
                        <w:rPr>
                          <w:rFonts w:ascii="Times New Roman" w:hAnsi="Times New Roman" w:cs="Times New Roman"/>
                          <w:lang w:val="en-US"/>
                        </w:rPr>
                        <w:t xml:space="preserve"> (Kumar et. al 20</w:t>
                      </w:r>
                      <w:r w:rsidR="00313859" w:rsidRPr="00E32B20">
                        <w:rPr>
                          <w:rFonts w:ascii="Times New Roman" w:hAnsi="Times New Roman" w:cs="Times New Roman"/>
                          <w:lang w:val="en-US"/>
                        </w:rPr>
                        <w:t>25)</w:t>
                      </w:r>
                    </w:p>
                  </w:txbxContent>
                </v:textbox>
                <w10:wrap type="square"/>
              </v:shape>
            </w:pict>
          </mc:Fallback>
        </mc:AlternateContent>
      </w:r>
    </w:p>
    <w:p w14:paraId="61254046" w14:textId="77777777" w:rsidR="006329E9" w:rsidRPr="00221196" w:rsidRDefault="006329E9" w:rsidP="004231BC">
      <w:pPr>
        <w:spacing w:line="360" w:lineRule="auto"/>
        <w:jc w:val="both"/>
        <w:rPr>
          <w:rFonts w:ascii="Times New Roman" w:hAnsi="Times New Roman" w:cs="Times New Roman"/>
          <w:b/>
          <w:bCs/>
        </w:rPr>
      </w:pPr>
    </w:p>
    <w:p w14:paraId="038F0552" w14:textId="7A27BA5B" w:rsidR="00476C29" w:rsidRPr="00221196" w:rsidRDefault="00AE3C48" w:rsidP="004231BC">
      <w:pPr>
        <w:spacing w:line="360" w:lineRule="auto"/>
        <w:jc w:val="both"/>
        <w:rPr>
          <w:rFonts w:ascii="Times New Roman" w:hAnsi="Times New Roman" w:cs="Times New Roman"/>
          <w:b/>
          <w:bCs/>
        </w:rPr>
      </w:pPr>
      <w:r w:rsidRPr="00221196">
        <w:rPr>
          <w:rFonts w:ascii="Times New Roman" w:hAnsi="Times New Roman" w:cs="Times New Roman"/>
          <w:b/>
          <w:bCs/>
        </w:rPr>
        <w:t xml:space="preserve">Research Evidence: </w:t>
      </w:r>
    </w:p>
    <w:p w14:paraId="6D084C2B" w14:textId="46745B58" w:rsidR="009F1A5C" w:rsidRPr="00221196" w:rsidRDefault="009F1A5C" w:rsidP="004231BC">
      <w:pPr>
        <w:spacing w:line="360" w:lineRule="auto"/>
        <w:jc w:val="both"/>
        <w:rPr>
          <w:rFonts w:ascii="Times New Roman" w:hAnsi="Times New Roman" w:cs="Times New Roman"/>
        </w:rPr>
      </w:pPr>
      <w:r w:rsidRPr="00221196">
        <w:rPr>
          <w:rFonts w:ascii="Times New Roman" w:hAnsi="Times New Roman" w:cs="Times New Roman"/>
        </w:rPr>
        <w:t>Ali et al. (2011) reported that chitosan + Aloe vera composite coating significantly extended the shelf life of papaya up to 21 days by reducing weight loss, delaying ripening</w:t>
      </w:r>
      <w:r w:rsidR="006B2ABE" w:rsidRPr="00221196">
        <w:rPr>
          <w:rFonts w:ascii="Times New Roman" w:hAnsi="Times New Roman" w:cs="Times New Roman"/>
        </w:rPr>
        <w:t xml:space="preserve"> </w:t>
      </w:r>
      <w:r w:rsidRPr="00221196">
        <w:rPr>
          <w:rFonts w:ascii="Times New Roman" w:hAnsi="Times New Roman" w:cs="Times New Roman"/>
        </w:rPr>
        <w:t xml:space="preserve">and maintaining firmness during storage. Adetunji et al. (2012) showed that Aloe vera gel coatings effectively reduced physiological weight loss and helped retain ascorbic acid content in pineapple fruits, thereby preserving nutritional quality during storage. Zhang and Quantick (1997) demonstrated that chitosan coating reduced pericarp browning and decay incidence in litchi fruits by forming a semi-permeable barrier that slowed respiration, moisture loss and oxidative changes. Menezes and </w:t>
      </w:r>
      <w:proofErr w:type="spellStart"/>
      <w:r w:rsidRPr="00221196">
        <w:rPr>
          <w:rFonts w:ascii="Times New Roman" w:hAnsi="Times New Roman" w:cs="Times New Roman"/>
        </w:rPr>
        <w:t>Athmaselvi</w:t>
      </w:r>
      <w:proofErr w:type="spellEnd"/>
      <w:r w:rsidRPr="00221196">
        <w:rPr>
          <w:rFonts w:ascii="Times New Roman" w:hAnsi="Times New Roman" w:cs="Times New Roman"/>
        </w:rPr>
        <w:t xml:space="preserve"> (2016) reported that coated sapota fruits exhibited lower weight loss, better firmness retention and delayed ripening compared to uncoated fruits under ambient storage conditions.</w:t>
      </w:r>
      <w:r w:rsidR="00A32819" w:rsidRPr="00221196">
        <w:rPr>
          <w:rFonts w:ascii="Times New Roman" w:hAnsi="Times New Roman" w:cs="Times New Roman"/>
        </w:rPr>
        <w:t xml:space="preserve"> </w:t>
      </w:r>
      <w:proofErr w:type="spellStart"/>
      <w:r w:rsidRPr="00221196">
        <w:rPr>
          <w:rFonts w:ascii="Times New Roman" w:hAnsi="Times New Roman" w:cs="Times New Roman"/>
        </w:rPr>
        <w:t>Dulta</w:t>
      </w:r>
      <w:proofErr w:type="spellEnd"/>
      <w:r w:rsidRPr="00221196">
        <w:rPr>
          <w:rFonts w:ascii="Times New Roman" w:hAnsi="Times New Roman" w:cs="Times New Roman"/>
        </w:rPr>
        <w:t xml:space="preserve"> et al. (2022) found that alginate–chitosan composite coatings enriched with </w:t>
      </w:r>
      <w:proofErr w:type="spellStart"/>
      <w:r w:rsidRPr="00221196">
        <w:rPr>
          <w:rFonts w:ascii="Times New Roman" w:hAnsi="Times New Roman" w:cs="Times New Roman"/>
        </w:rPr>
        <w:t>ZnO</w:t>
      </w:r>
      <w:proofErr w:type="spellEnd"/>
      <w:r w:rsidRPr="00221196">
        <w:rPr>
          <w:rFonts w:ascii="Times New Roman" w:hAnsi="Times New Roman" w:cs="Times New Roman"/>
        </w:rPr>
        <w:t xml:space="preserve"> nanoparticles significantly reduced decay percentage and respiratory rate in oranges during 20 days of storage, indicating enhanced antimicrobial and barrier properties. Rosman et al. (2024) observed reduced disease incidence and minimized weight loss in </w:t>
      </w:r>
      <w:proofErr w:type="spellStart"/>
      <w:r w:rsidRPr="00221196">
        <w:rPr>
          <w:rFonts w:ascii="Times New Roman" w:hAnsi="Times New Roman" w:cs="Times New Roman"/>
        </w:rPr>
        <w:t>ZnO</w:t>
      </w:r>
      <w:proofErr w:type="spellEnd"/>
      <w:r w:rsidRPr="00221196">
        <w:rPr>
          <w:rFonts w:ascii="Times New Roman" w:hAnsi="Times New Roman" w:cs="Times New Roman"/>
        </w:rPr>
        <w:t xml:space="preserve"> nanoparticle-coated mangoes, highlighting the potential of nano-enhanced edible coatings for improving postharvest quality and extending shelf life. </w:t>
      </w:r>
    </w:p>
    <w:p w14:paraId="1F712CD8" w14:textId="474EE955" w:rsidR="000E7920" w:rsidRPr="00221196" w:rsidRDefault="000E7920" w:rsidP="004231BC">
      <w:pPr>
        <w:spacing w:line="360" w:lineRule="auto"/>
        <w:jc w:val="both"/>
        <w:rPr>
          <w:rFonts w:ascii="Times New Roman" w:hAnsi="Times New Roman" w:cs="Times New Roman"/>
          <w:b/>
          <w:bCs/>
        </w:rPr>
      </w:pPr>
      <w:r w:rsidRPr="00221196">
        <w:rPr>
          <w:rFonts w:ascii="Times New Roman" w:hAnsi="Times New Roman" w:cs="Times New Roman"/>
          <w:b/>
          <w:bCs/>
        </w:rPr>
        <w:t>Conclusion</w:t>
      </w:r>
    </w:p>
    <w:p w14:paraId="041CC177" w14:textId="4AA017B6" w:rsidR="00F22164" w:rsidRDefault="00F22164" w:rsidP="004231BC">
      <w:pPr>
        <w:spacing w:line="360" w:lineRule="auto"/>
        <w:jc w:val="both"/>
        <w:rPr>
          <w:rFonts w:ascii="Times New Roman" w:hAnsi="Times New Roman" w:cs="Times New Roman"/>
        </w:rPr>
      </w:pPr>
      <w:r w:rsidRPr="00221196">
        <w:rPr>
          <w:rFonts w:ascii="Times New Roman" w:hAnsi="Times New Roman" w:cs="Times New Roman"/>
        </w:rPr>
        <w:lastRenderedPageBreak/>
        <w:t xml:space="preserve">India is one of the world’s largest fruit producers, yet </w:t>
      </w:r>
      <w:r w:rsidR="00776671" w:rsidRPr="00221196">
        <w:rPr>
          <w:rFonts w:ascii="Times New Roman" w:hAnsi="Times New Roman" w:cs="Times New Roman"/>
        </w:rPr>
        <w:t>a major part of production is lost between harvest and final consumption as</w:t>
      </w:r>
      <w:r w:rsidRPr="00221196">
        <w:rPr>
          <w:rFonts w:ascii="Times New Roman" w:hAnsi="Times New Roman" w:cs="Times New Roman"/>
        </w:rPr>
        <w:t xml:space="preserve"> postharvest losse</w:t>
      </w:r>
      <w:r w:rsidR="00776671" w:rsidRPr="00221196">
        <w:rPr>
          <w:rFonts w:ascii="Times New Roman" w:hAnsi="Times New Roman" w:cs="Times New Roman"/>
        </w:rPr>
        <w:t xml:space="preserve">s. </w:t>
      </w:r>
      <w:r w:rsidR="00770161" w:rsidRPr="00221196">
        <w:rPr>
          <w:rFonts w:ascii="Times New Roman" w:hAnsi="Times New Roman" w:cs="Times New Roman"/>
        </w:rPr>
        <w:t xml:space="preserve">This </w:t>
      </w:r>
      <w:r w:rsidRPr="00221196">
        <w:rPr>
          <w:rFonts w:ascii="Times New Roman" w:hAnsi="Times New Roman" w:cs="Times New Roman"/>
        </w:rPr>
        <w:t>reduce the effective availability of fruits for domestic consumption and export. Losses ranging between 15–25% are common across major fruit crops</w:t>
      </w:r>
      <w:r w:rsidR="00770161" w:rsidRPr="00221196">
        <w:rPr>
          <w:rFonts w:ascii="Times New Roman" w:hAnsi="Times New Roman" w:cs="Times New Roman"/>
        </w:rPr>
        <w:t xml:space="preserve">. </w:t>
      </w:r>
      <w:r w:rsidR="00E64863" w:rsidRPr="00221196">
        <w:rPr>
          <w:rFonts w:ascii="Times New Roman" w:hAnsi="Times New Roman" w:cs="Times New Roman"/>
        </w:rPr>
        <w:t xml:space="preserve">The primary causes include physiological deterioration, microbial infection, mechanical injury, environmental stress and infrastructural deficiencies. </w:t>
      </w:r>
      <w:r w:rsidR="00C67BF7" w:rsidRPr="00221196">
        <w:rPr>
          <w:rFonts w:ascii="Times New Roman" w:hAnsi="Times New Roman" w:cs="Times New Roman"/>
        </w:rPr>
        <w:t xml:space="preserve">The available research confirms that both postharvest chemical treatments and edible coatings possess significant potential to minimize quantitative and qualitative losses in fruits. </w:t>
      </w:r>
      <w:r w:rsidR="004D158E" w:rsidRPr="004D158E">
        <w:rPr>
          <w:rFonts w:ascii="Times New Roman" w:hAnsi="Times New Roman" w:cs="Times New Roman"/>
        </w:rPr>
        <w:t xml:space="preserve">This review has systematically organized the advantages and disadvantages of key treatments, providing a clear framework for comparison. The inclusion of recent advances, such as polyamines, AVG, 1-MCP, NO, melatonin and ozone, alongside </w:t>
      </w:r>
      <w:proofErr w:type="spellStart"/>
      <w:r w:rsidR="004D158E" w:rsidRPr="004D158E">
        <w:rPr>
          <w:rFonts w:ascii="Times New Roman" w:hAnsi="Times New Roman" w:cs="Times New Roman"/>
        </w:rPr>
        <w:t>nanoemulsion</w:t>
      </w:r>
      <w:proofErr w:type="spellEnd"/>
      <w:r w:rsidR="004D158E" w:rsidRPr="004D158E">
        <w:rPr>
          <w:rFonts w:ascii="Times New Roman" w:hAnsi="Times New Roman" w:cs="Times New Roman"/>
        </w:rPr>
        <w:t xml:space="preserve"> coatings, highlights the dynamic and evolving nature of this field. The proper and regulated application of these technologies can enhance storage stability, improve marketability, increase farmer profitability and contribute meaningfully to food and nutrition security by ensuring that more high-quality fruits reach consumers. Future research should focus on optimizing concentration levels, validating consumer safety, scaling up nano-coating technologies for commercial adoption, and developing integrated management strategies that combine the strengths of both chemical and coating approaches.</w:t>
      </w:r>
    </w:p>
    <w:p w14:paraId="1748B271" w14:textId="5AF25272" w:rsidR="00076723" w:rsidRDefault="00076723" w:rsidP="004231BC">
      <w:pPr>
        <w:spacing w:line="360" w:lineRule="auto"/>
        <w:jc w:val="both"/>
        <w:rPr>
          <w:rFonts w:ascii="Times New Roman" w:hAnsi="Times New Roman" w:cs="Times New Roman"/>
        </w:rPr>
      </w:pPr>
    </w:p>
    <w:p w14:paraId="1D51BE80" w14:textId="6405FB3B" w:rsidR="00076723" w:rsidRDefault="00076723" w:rsidP="004231BC">
      <w:pPr>
        <w:spacing w:line="360" w:lineRule="auto"/>
        <w:jc w:val="both"/>
        <w:rPr>
          <w:rFonts w:ascii="Times New Roman" w:hAnsi="Times New Roman" w:cs="Times New Roman"/>
        </w:rPr>
      </w:pPr>
    </w:p>
    <w:p w14:paraId="64F19010" w14:textId="77777777" w:rsidR="00076723" w:rsidRPr="00005ED1" w:rsidRDefault="00076723" w:rsidP="00076723">
      <w:pPr>
        <w:pStyle w:val="NoSpacing"/>
        <w:rPr>
          <w:rFonts w:ascii="Arial" w:hAnsi="Arial" w:cs="Arial"/>
          <w:highlight w:val="yellow"/>
        </w:rPr>
      </w:pPr>
      <w:bookmarkStart w:id="1" w:name="_Hlk219284361"/>
      <w:bookmarkStart w:id="2" w:name="_Hlk198031404"/>
      <w:bookmarkStart w:id="3" w:name="_Hlk219128673"/>
      <w:r w:rsidRPr="00005ED1">
        <w:rPr>
          <w:rFonts w:ascii="Arial" w:hAnsi="Arial" w:cs="Arial"/>
          <w:highlight w:val="yellow"/>
        </w:rPr>
        <w:t>Disclaimer (Artificial intelligence)</w:t>
      </w:r>
    </w:p>
    <w:p w14:paraId="22309799" w14:textId="77777777" w:rsidR="00076723" w:rsidRPr="00005ED1" w:rsidRDefault="00076723" w:rsidP="00076723">
      <w:pPr>
        <w:pStyle w:val="NoSpacing"/>
        <w:rPr>
          <w:rFonts w:ascii="Arial" w:hAnsi="Arial" w:cs="Arial"/>
          <w:highlight w:val="yellow"/>
        </w:rPr>
      </w:pPr>
    </w:p>
    <w:p w14:paraId="3D347DA2" w14:textId="77777777" w:rsidR="00076723" w:rsidRPr="00005ED1" w:rsidRDefault="00076723" w:rsidP="00076723">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bookmarkEnd w:id="1"/>
      <w:r w:rsidRPr="00005ED1">
        <w:rPr>
          <w:rFonts w:ascii="Arial" w:hAnsi="Arial" w:cs="Arial"/>
          <w:highlight w:val="yellow"/>
        </w:rPr>
        <w:t xml:space="preserve">. </w:t>
      </w:r>
    </w:p>
    <w:bookmarkEnd w:id="2"/>
    <w:p w14:paraId="21C47A68" w14:textId="77777777" w:rsidR="00076723" w:rsidRDefault="00076723" w:rsidP="00076723">
      <w:pPr>
        <w:pStyle w:val="NoSpacing"/>
        <w:rPr>
          <w:rFonts w:ascii="Arial" w:hAnsi="Arial" w:cs="Arial"/>
        </w:rPr>
      </w:pPr>
    </w:p>
    <w:bookmarkEnd w:id="3"/>
    <w:p w14:paraId="5483F241" w14:textId="77777777" w:rsidR="00076723" w:rsidRPr="00221196" w:rsidRDefault="00076723" w:rsidP="004231BC">
      <w:pPr>
        <w:spacing w:line="360" w:lineRule="auto"/>
        <w:jc w:val="both"/>
        <w:rPr>
          <w:rFonts w:ascii="Times New Roman" w:hAnsi="Times New Roman" w:cs="Times New Roman"/>
        </w:rPr>
      </w:pPr>
    </w:p>
    <w:p w14:paraId="442B04B1" w14:textId="77777777" w:rsidR="00490C68" w:rsidRDefault="00A96184" w:rsidP="00490C68">
      <w:pPr>
        <w:spacing w:line="360" w:lineRule="auto"/>
        <w:jc w:val="both"/>
        <w:rPr>
          <w:rFonts w:ascii="Times New Roman" w:hAnsi="Times New Roman" w:cs="Times New Roman"/>
          <w:b/>
          <w:bCs/>
        </w:rPr>
      </w:pPr>
      <w:r w:rsidRPr="00221196">
        <w:rPr>
          <w:rFonts w:ascii="Times New Roman" w:hAnsi="Times New Roman" w:cs="Times New Roman"/>
          <w:b/>
          <w:bCs/>
        </w:rPr>
        <w:t>Referenc</w:t>
      </w:r>
      <w:r w:rsidR="00C90F27" w:rsidRPr="00221196">
        <w:rPr>
          <w:rFonts w:ascii="Times New Roman" w:hAnsi="Times New Roman" w:cs="Times New Roman"/>
          <w:b/>
          <w:bCs/>
        </w:rPr>
        <w:t xml:space="preserve">es </w:t>
      </w:r>
    </w:p>
    <w:p w14:paraId="479FDD44" w14:textId="2327AD2B" w:rsidR="00490C68" w:rsidRPr="00490C68" w:rsidRDefault="00490C68" w:rsidP="00490C68">
      <w:pPr>
        <w:spacing w:line="360" w:lineRule="auto"/>
        <w:ind w:left="720" w:hanging="720"/>
        <w:jc w:val="both"/>
        <w:rPr>
          <w:rFonts w:ascii="Times New Roman" w:hAnsi="Times New Roman" w:cs="Times New Roman"/>
          <w:b/>
          <w:bCs/>
        </w:rPr>
      </w:pPr>
      <w:r>
        <w:rPr>
          <w:rFonts w:ascii="Times New Roman" w:hAnsi="Times New Roman" w:cs="Times New Roman"/>
          <w:b/>
          <w:bCs/>
        </w:rPr>
        <w:t xml:space="preserve"> </w:t>
      </w:r>
      <w:r w:rsidRPr="00490C68">
        <w:rPr>
          <w:rFonts w:ascii="Times New Roman" w:hAnsi="Times New Roman" w:cs="Times New Roman"/>
        </w:rPr>
        <w:t xml:space="preserve">Adetunji, C. O., Fawole, O. B., </w:t>
      </w:r>
      <w:proofErr w:type="spellStart"/>
      <w:r w:rsidRPr="00490C68">
        <w:rPr>
          <w:rFonts w:ascii="Times New Roman" w:hAnsi="Times New Roman" w:cs="Times New Roman"/>
        </w:rPr>
        <w:t>Arowora</w:t>
      </w:r>
      <w:proofErr w:type="spellEnd"/>
      <w:r w:rsidRPr="00490C68">
        <w:rPr>
          <w:rFonts w:ascii="Times New Roman" w:hAnsi="Times New Roman" w:cs="Times New Roman"/>
        </w:rPr>
        <w:t xml:space="preserve">, K. A., </w:t>
      </w:r>
      <w:proofErr w:type="spellStart"/>
      <w:r w:rsidRPr="00490C68">
        <w:rPr>
          <w:rFonts w:ascii="Times New Roman" w:hAnsi="Times New Roman" w:cs="Times New Roman"/>
        </w:rPr>
        <w:t>Nwaubani</w:t>
      </w:r>
      <w:proofErr w:type="spellEnd"/>
      <w:r w:rsidRPr="00490C68">
        <w:rPr>
          <w:rFonts w:ascii="Times New Roman" w:hAnsi="Times New Roman" w:cs="Times New Roman"/>
        </w:rPr>
        <w:t xml:space="preserve">, S. I., &amp; </w:t>
      </w:r>
      <w:proofErr w:type="spellStart"/>
      <w:r w:rsidRPr="00490C68">
        <w:rPr>
          <w:rFonts w:ascii="Times New Roman" w:hAnsi="Times New Roman" w:cs="Times New Roman"/>
        </w:rPr>
        <w:t>Oloke</w:t>
      </w:r>
      <w:proofErr w:type="spellEnd"/>
      <w:r w:rsidRPr="00490C68">
        <w:rPr>
          <w:rFonts w:ascii="Times New Roman" w:hAnsi="Times New Roman" w:cs="Times New Roman"/>
        </w:rPr>
        <w:t>, J. K. (2012). Effects of edible coatings from aloe vera gel on quality and postharvest physiology of pineapple fruit during storage. Journal of Food Science and Technology, 49(6), 806–813.</w:t>
      </w:r>
    </w:p>
    <w:p w14:paraId="5AF86573" w14:textId="77777777" w:rsidR="00490C68" w:rsidRPr="00490C68" w:rsidRDefault="00490C68" w:rsidP="00490C68">
      <w:pPr>
        <w:spacing w:line="360" w:lineRule="auto"/>
        <w:ind w:left="720" w:hanging="720"/>
        <w:jc w:val="both"/>
        <w:rPr>
          <w:rFonts w:ascii="Times New Roman" w:hAnsi="Times New Roman" w:cs="Times New Roman"/>
        </w:rPr>
      </w:pPr>
      <w:r w:rsidRPr="00490C68">
        <w:rPr>
          <w:rFonts w:ascii="Times New Roman" w:hAnsi="Times New Roman" w:cs="Times New Roman"/>
        </w:rPr>
        <w:t>Agricultural and Processed Food Products Export Development Authority (APEDA). (2023). Agricultural and processed food products export data 2022–23. Ministry of Commerce &amp; Industry, Government of India. https://apeda.gov.in</w:t>
      </w:r>
    </w:p>
    <w:p w14:paraId="0658CE43" w14:textId="77777777" w:rsidR="00490C68" w:rsidRPr="00490C68" w:rsidRDefault="00490C68" w:rsidP="00490C68">
      <w:pPr>
        <w:spacing w:line="360" w:lineRule="auto"/>
        <w:ind w:left="720" w:hanging="720"/>
        <w:jc w:val="both"/>
        <w:rPr>
          <w:rFonts w:ascii="Times New Roman" w:hAnsi="Times New Roman" w:cs="Times New Roman"/>
        </w:rPr>
      </w:pPr>
      <w:r w:rsidRPr="00490C68">
        <w:rPr>
          <w:rFonts w:ascii="Times New Roman" w:hAnsi="Times New Roman" w:cs="Times New Roman"/>
        </w:rPr>
        <w:t xml:space="preserve">Ali, A., Maqbool, M., Ramachandran, S., &amp; Alderson, P. G. (2011). Gum </w:t>
      </w:r>
      <w:proofErr w:type="spellStart"/>
      <w:r w:rsidRPr="00490C68">
        <w:rPr>
          <w:rFonts w:ascii="Times New Roman" w:hAnsi="Times New Roman" w:cs="Times New Roman"/>
        </w:rPr>
        <w:t>arabic</w:t>
      </w:r>
      <w:proofErr w:type="spellEnd"/>
      <w:r w:rsidRPr="00490C68">
        <w:rPr>
          <w:rFonts w:ascii="Times New Roman" w:hAnsi="Times New Roman" w:cs="Times New Roman"/>
        </w:rPr>
        <w:t xml:space="preserve"> as a novel edible coating for enhancing shelf-life and improving postharvest quality of tomato fruit. Postharvest Biology and Technology, 58(1), 42–47.</w:t>
      </w:r>
    </w:p>
    <w:p w14:paraId="17ED9FE2"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lastRenderedPageBreak/>
        <w:t xml:space="preserve">Amanullah, S., Malik, A. U., Khan, A. S., Shahid, M., &amp; </w:t>
      </w:r>
      <w:proofErr w:type="spellStart"/>
      <w:r w:rsidRPr="00490C68">
        <w:rPr>
          <w:rFonts w:ascii="Times New Roman" w:hAnsi="Times New Roman" w:cs="Times New Roman"/>
        </w:rPr>
        <w:t>Rajwana</w:t>
      </w:r>
      <w:proofErr w:type="spellEnd"/>
      <w:r w:rsidRPr="00490C68">
        <w:rPr>
          <w:rFonts w:ascii="Times New Roman" w:hAnsi="Times New Roman" w:cs="Times New Roman"/>
        </w:rPr>
        <w:t>, I. A. (2017). Salicylic acid reduces physiological weight loss and maintains quality of guava fruit during storage. Journal of Food Processing and Preservation, 41(6), Article e13251.</w:t>
      </w:r>
    </w:p>
    <w:p w14:paraId="121B55C7"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Ayala-Zavala, J. F., Wang, S. Y., Wang, C. Y., &amp; González-Aguilar, G. A. (2008). Effect of 1-methylcyclopropene (1-MCP) on the overall quality of fresh-cut papaya. Postharvest Biology and Technology, 47(3), 316–322.</w:t>
      </w:r>
    </w:p>
    <w:p w14:paraId="3DB6815E" w14:textId="77777777" w:rsidR="00490C68" w:rsidRPr="00490C68" w:rsidRDefault="00490C68" w:rsidP="00490C68">
      <w:pPr>
        <w:spacing w:line="360" w:lineRule="auto"/>
        <w:ind w:hanging="720"/>
        <w:jc w:val="both"/>
        <w:rPr>
          <w:rFonts w:ascii="Times New Roman" w:hAnsi="Times New Roman" w:cs="Times New Roman"/>
        </w:rPr>
      </w:pPr>
      <w:proofErr w:type="spellStart"/>
      <w:r w:rsidRPr="00490C68">
        <w:rPr>
          <w:rFonts w:ascii="Times New Roman" w:hAnsi="Times New Roman" w:cs="Times New Roman"/>
        </w:rPr>
        <w:t>Baswal</w:t>
      </w:r>
      <w:proofErr w:type="spellEnd"/>
      <w:r w:rsidRPr="00490C68">
        <w:rPr>
          <w:rFonts w:ascii="Times New Roman" w:hAnsi="Times New Roman" w:cs="Times New Roman"/>
        </w:rPr>
        <w:t xml:space="preserve">, A. K., Dhaliwal, H. S., &amp; Mahajan, B. V. C. (2020). Effect of salicylic acid on quality and storage life of </w:t>
      </w:r>
      <w:proofErr w:type="spellStart"/>
      <w:r w:rsidRPr="00490C68">
        <w:rPr>
          <w:rFonts w:ascii="Times New Roman" w:hAnsi="Times New Roman" w:cs="Times New Roman"/>
        </w:rPr>
        <w:t>kinnow</w:t>
      </w:r>
      <w:proofErr w:type="spellEnd"/>
      <w:r w:rsidRPr="00490C68">
        <w:rPr>
          <w:rFonts w:ascii="Times New Roman" w:hAnsi="Times New Roman" w:cs="Times New Roman"/>
        </w:rPr>
        <w:t xml:space="preserve"> mandarin under cold storage. Scientia </w:t>
      </w:r>
      <w:proofErr w:type="spellStart"/>
      <w:r w:rsidRPr="00490C68">
        <w:rPr>
          <w:rFonts w:ascii="Times New Roman" w:hAnsi="Times New Roman" w:cs="Times New Roman"/>
        </w:rPr>
        <w:t>Horticulturae</w:t>
      </w:r>
      <w:proofErr w:type="spellEnd"/>
      <w:r w:rsidRPr="00490C68">
        <w:rPr>
          <w:rFonts w:ascii="Times New Roman" w:hAnsi="Times New Roman" w:cs="Times New Roman"/>
        </w:rPr>
        <w:t>, 261, Article 108950.</w:t>
      </w:r>
    </w:p>
    <w:p w14:paraId="1D8DD754"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Blankenship, S. M., &amp; Dole, J. M. (2003). 1-Methylcyclopropene: A review. Postharvest Biology and Technology, 28(1), 1–25.</w:t>
      </w:r>
    </w:p>
    <w:p w14:paraId="658A85BC"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 xml:space="preserve">Chen, Y., </w:t>
      </w:r>
      <w:proofErr w:type="spellStart"/>
      <w:r w:rsidRPr="00490C68">
        <w:rPr>
          <w:rFonts w:ascii="Times New Roman" w:hAnsi="Times New Roman" w:cs="Times New Roman"/>
        </w:rPr>
        <w:t>Grimplet</w:t>
      </w:r>
      <w:proofErr w:type="spellEnd"/>
      <w:r w:rsidRPr="00490C68">
        <w:rPr>
          <w:rFonts w:ascii="Times New Roman" w:hAnsi="Times New Roman" w:cs="Times New Roman"/>
        </w:rPr>
        <w:t xml:space="preserve">, J., David, K., </w:t>
      </w:r>
      <w:proofErr w:type="spellStart"/>
      <w:r w:rsidRPr="00490C68">
        <w:rPr>
          <w:rFonts w:ascii="Times New Roman" w:hAnsi="Times New Roman" w:cs="Times New Roman"/>
        </w:rPr>
        <w:t>Castellarin</w:t>
      </w:r>
      <w:proofErr w:type="spellEnd"/>
      <w:r w:rsidRPr="00490C68">
        <w:rPr>
          <w:rFonts w:ascii="Times New Roman" w:hAnsi="Times New Roman" w:cs="Times New Roman"/>
        </w:rPr>
        <w:t>, S. D., Terol, J., Wong, D. C. J., Luo, Z., &amp; Schaffer, R. (2021). Ethylene receptors and related proteins in climacteric and non-climacteric fruits. Plant Science, 313, Article 111089.</w:t>
      </w:r>
    </w:p>
    <w:p w14:paraId="0E395D6F"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Dhall, R. K. (2013). Advances in edible coatings for fresh fruits and vegetables: A review. Critical Reviews in Food Science and Nutrition, 53(5), 435–450.</w:t>
      </w:r>
    </w:p>
    <w:p w14:paraId="49C22086" w14:textId="77777777" w:rsidR="00490C68" w:rsidRPr="00490C68" w:rsidRDefault="00490C68" w:rsidP="00490C68">
      <w:pPr>
        <w:spacing w:line="360" w:lineRule="auto"/>
        <w:ind w:hanging="720"/>
        <w:jc w:val="both"/>
        <w:rPr>
          <w:rFonts w:ascii="Times New Roman" w:hAnsi="Times New Roman" w:cs="Times New Roman"/>
        </w:rPr>
      </w:pPr>
      <w:proofErr w:type="spellStart"/>
      <w:r w:rsidRPr="00490C68">
        <w:rPr>
          <w:rFonts w:ascii="Times New Roman" w:hAnsi="Times New Roman" w:cs="Times New Roman"/>
        </w:rPr>
        <w:t>Dulta</w:t>
      </w:r>
      <w:proofErr w:type="spellEnd"/>
      <w:r w:rsidRPr="00490C68">
        <w:rPr>
          <w:rFonts w:ascii="Times New Roman" w:hAnsi="Times New Roman" w:cs="Times New Roman"/>
        </w:rPr>
        <w:t xml:space="preserve">, K., Chauhan, P., &amp; Kumar, R. (2022). Alginate–chitosan composite coatings enriched with </w:t>
      </w:r>
      <w:proofErr w:type="spellStart"/>
      <w:r w:rsidRPr="00490C68">
        <w:rPr>
          <w:rFonts w:ascii="Times New Roman" w:hAnsi="Times New Roman" w:cs="Times New Roman"/>
        </w:rPr>
        <w:t>ZnO</w:t>
      </w:r>
      <w:proofErr w:type="spellEnd"/>
      <w:r w:rsidRPr="00490C68">
        <w:rPr>
          <w:rFonts w:ascii="Times New Roman" w:hAnsi="Times New Roman" w:cs="Times New Roman"/>
        </w:rPr>
        <w:t xml:space="preserve"> nanoparticles for improving postharvest quality of orange fruits. Food Packaging and Shelf Life, 31, Article 100781.</w:t>
      </w:r>
    </w:p>
    <w:p w14:paraId="37668D2C"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El-Otmani, M., Coggins, C. W., Jr., Agustí, M., &amp; Lovatt, C. J. (2000). Plant growth regulators in citriculture: World current uses. Critical Reviews in Plant Sciences, 19(5), 395–447.</w:t>
      </w:r>
    </w:p>
    <w:p w14:paraId="74429850" w14:textId="77777777" w:rsidR="00490C68" w:rsidRPr="00490C68" w:rsidRDefault="00490C68" w:rsidP="00490C68">
      <w:pPr>
        <w:spacing w:line="360" w:lineRule="auto"/>
        <w:ind w:hanging="720"/>
        <w:jc w:val="both"/>
        <w:rPr>
          <w:rFonts w:ascii="Times New Roman" w:hAnsi="Times New Roman" w:cs="Times New Roman"/>
        </w:rPr>
      </w:pPr>
      <w:proofErr w:type="spellStart"/>
      <w:r w:rsidRPr="00490C68">
        <w:rPr>
          <w:rFonts w:ascii="Times New Roman" w:hAnsi="Times New Roman" w:cs="Times New Roman"/>
        </w:rPr>
        <w:t>Elsabee</w:t>
      </w:r>
      <w:proofErr w:type="spellEnd"/>
      <w:r w:rsidRPr="00490C68">
        <w:rPr>
          <w:rFonts w:ascii="Times New Roman" w:hAnsi="Times New Roman" w:cs="Times New Roman"/>
        </w:rPr>
        <w:t>, M. Z., &amp; Abdou, E. S. (2013). Chitosan based edible films and coatings: A review. Materials Science and Engineering: C, 33(4), 1819–1841.</w:t>
      </w:r>
    </w:p>
    <w:p w14:paraId="39DA3245"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Fatima, T., Ahmad, S., &amp; Khan, M. A. (2023). Effect of potassium permanganate on storage quality and shelf life of mango fruit. Journal of Food Science and Technology, 60(5), 1632–1640.</w:t>
      </w:r>
    </w:p>
    <w:p w14:paraId="02C748A1"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Flores-López, M. L., Cerqueira, M. A., de Rodríguez, D. J., &amp; Vicente, A. A. (2016). Perspectives on utilization of edible coatings and nano-laminate coatings for extension of postharvest storage of fruits and vegetables. Food Engineering Reviews, 8(3), 292–305.</w:t>
      </w:r>
    </w:p>
    <w:p w14:paraId="3239E783"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Food and Agriculture Organization of the United Nations. (2019). The state of food and agriculture 2019: Moving forward on food loss and waste reduction. FAO. https://www.fao.org</w:t>
      </w:r>
    </w:p>
    <w:p w14:paraId="727347B5"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Gao, H., Zhang, Z., Chai, H., Cheng, N., Yang, Y., Wang, D., &amp; Cao, W. (2020). Melatonin treatment delays postharvest senescence and regulates reactive oxygen species metabolism in peach fruit. Postharvest Biology and Technology, 166, Article 111197.</w:t>
      </w:r>
    </w:p>
    <w:p w14:paraId="4B92E7A9"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lastRenderedPageBreak/>
        <w:t>Giovannoni, J. J. (2004). Genetic regulation of fruit development and ripening. The Plant Cell, 16(</w:t>
      </w:r>
      <w:proofErr w:type="spellStart"/>
      <w:r w:rsidRPr="00490C68">
        <w:rPr>
          <w:rFonts w:ascii="Times New Roman" w:hAnsi="Times New Roman" w:cs="Times New Roman"/>
        </w:rPr>
        <w:t>Suppl</w:t>
      </w:r>
      <w:proofErr w:type="spellEnd"/>
      <w:r w:rsidRPr="00490C68">
        <w:rPr>
          <w:rFonts w:ascii="Times New Roman" w:hAnsi="Times New Roman" w:cs="Times New Roman"/>
        </w:rPr>
        <w:t xml:space="preserve"> 1), S170–S180.</w:t>
      </w:r>
    </w:p>
    <w:p w14:paraId="5DCE1071"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 xml:space="preserve">Horvitz, S., &amp; </w:t>
      </w:r>
      <w:proofErr w:type="spellStart"/>
      <w:r w:rsidRPr="00490C68">
        <w:rPr>
          <w:rFonts w:ascii="Times New Roman" w:hAnsi="Times New Roman" w:cs="Times New Roman"/>
        </w:rPr>
        <w:t>Cantalejo</w:t>
      </w:r>
      <w:proofErr w:type="spellEnd"/>
      <w:r w:rsidRPr="00490C68">
        <w:rPr>
          <w:rFonts w:ascii="Times New Roman" w:hAnsi="Times New Roman" w:cs="Times New Roman"/>
        </w:rPr>
        <w:t>, M. J. (2014). Application of ozone for the postharvest treatment of fruits and vegetables. Critical Reviews in Food Science and Nutrition, 54(3), 312–339.</w:t>
      </w:r>
    </w:p>
    <w:p w14:paraId="455994EB"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Indian Council of Agricultural Research (ICAR). (2019). Post-harvest management of horticultural crops: Annual report. ICAR, New Delhi.</w:t>
      </w:r>
    </w:p>
    <w:p w14:paraId="18B2DB5B"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Jha, S. N., Vishwakarma, R. K., Ahmad, T., Rai, A., &amp; Dixit, A. K. (2015). Report on assessment of quantitative harvest and post-harvest losses of major crops and commodities in India. ICAR – Central Institute of Post-Harvest Engineering &amp; Technology (CIPHET).</w:t>
      </w:r>
    </w:p>
    <w:p w14:paraId="2095FFB0"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 xml:space="preserve">Jobling, J. (2000). A review of the effects of </w:t>
      </w:r>
      <w:proofErr w:type="spellStart"/>
      <w:r w:rsidRPr="00490C68">
        <w:rPr>
          <w:rFonts w:ascii="Times New Roman" w:hAnsi="Times New Roman" w:cs="Times New Roman"/>
        </w:rPr>
        <w:t>ReTain</w:t>
      </w:r>
      <w:proofErr w:type="spellEnd"/>
      <w:r w:rsidRPr="00490C68">
        <w:rPr>
          <w:rFonts w:ascii="Times New Roman" w:hAnsi="Times New Roman" w:cs="Times New Roman"/>
        </w:rPr>
        <w:t>® (AVG) on apple quality and storage. Sydney Postharvest Laboratory Information Sheet. https://www.postharvest.com.au/Information_Sheets/ReTain_Review.PDF</w:t>
      </w:r>
    </w:p>
    <w:p w14:paraId="357EBD4F"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 xml:space="preserve">Kader, A. A. (2005). Increasing food availability by reducing postharvest losses of fresh produce. Acta </w:t>
      </w:r>
      <w:proofErr w:type="spellStart"/>
      <w:r w:rsidRPr="00490C68">
        <w:rPr>
          <w:rFonts w:ascii="Times New Roman" w:hAnsi="Times New Roman" w:cs="Times New Roman"/>
        </w:rPr>
        <w:t>Horticulturae</w:t>
      </w:r>
      <w:proofErr w:type="spellEnd"/>
      <w:r w:rsidRPr="00490C68">
        <w:rPr>
          <w:rFonts w:ascii="Times New Roman" w:hAnsi="Times New Roman" w:cs="Times New Roman"/>
        </w:rPr>
        <w:t>, 682, 2169–2176.</w:t>
      </w:r>
    </w:p>
    <w:p w14:paraId="5A314648" w14:textId="77777777" w:rsidR="00490C68" w:rsidRPr="00490C68" w:rsidRDefault="00490C68" w:rsidP="00490C68">
      <w:pPr>
        <w:spacing w:line="360" w:lineRule="auto"/>
        <w:ind w:hanging="720"/>
        <w:jc w:val="both"/>
        <w:rPr>
          <w:rFonts w:ascii="Times New Roman" w:hAnsi="Times New Roman" w:cs="Times New Roman"/>
        </w:rPr>
      </w:pPr>
      <w:proofErr w:type="spellStart"/>
      <w:r w:rsidRPr="00490C68">
        <w:rPr>
          <w:rFonts w:ascii="Times New Roman" w:hAnsi="Times New Roman" w:cs="Times New Roman"/>
        </w:rPr>
        <w:t>Kitinoja</w:t>
      </w:r>
      <w:proofErr w:type="spellEnd"/>
      <w:r w:rsidRPr="00490C68">
        <w:rPr>
          <w:rFonts w:ascii="Times New Roman" w:hAnsi="Times New Roman" w:cs="Times New Roman"/>
        </w:rPr>
        <w:t>, L., &amp; Kader, A. A. (2015). Measuring postharvest losses of fresh fruits and vegetables in developing countries. The Postharvest Education Foundation.</w:t>
      </w:r>
    </w:p>
    <w:p w14:paraId="2F62160B"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Kumar, L., Tyagi, P., Lucia, L., &amp; Pal, L. (2025). Innovations in edible packaging films, coatings, and antimicrobial agents for applications in food industry. Comprehensive Reviews in Food Science and Food Safety, 24(4), Article e70217.</w:t>
      </w:r>
    </w:p>
    <w:p w14:paraId="60F46E53"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 xml:space="preserve">Li, L., Li, C., &amp; Li, J. (2019). Nitric oxide alleviates postharvest senescence of horticultural crops: A review. Scientia </w:t>
      </w:r>
      <w:proofErr w:type="spellStart"/>
      <w:r w:rsidRPr="00490C68">
        <w:rPr>
          <w:rFonts w:ascii="Times New Roman" w:hAnsi="Times New Roman" w:cs="Times New Roman"/>
        </w:rPr>
        <w:t>Horticulturae</w:t>
      </w:r>
      <w:proofErr w:type="spellEnd"/>
      <w:r w:rsidRPr="00490C68">
        <w:rPr>
          <w:rFonts w:ascii="Times New Roman" w:hAnsi="Times New Roman" w:cs="Times New Roman"/>
        </w:rPr>
        <w:t>, 246, 825–833.</w:t>
      </w:r>
    </w:p>
    <w:p w14:paraId="1C394730"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Mahajan, P. V., Caleb, O. J., Singh, Z., Watkins, C. B., &amp; Geyer, M. (2014). Postharvest treatments of fresh produce. Philosophical Transactions of the Royal Society A: Mathematical, Physical and Engineering Sciences, 372(2017), Article 20130309.</w:t>
      </w:r>
    </w:p>
    <w:p w14:paraId="5C6CB887"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Martin-Diana, A. B., Rico, D., Frías, J. M., Barat, J. M., Henehan, G. T. M., &amp; Barry-Ryan, C. (2007). Calcium for extending the shelf life of fresh whole and minimally processed fruits and vegetables: A review. Trends in Food Science &amp; Technology, 18(4), 210–218.</w:t>
      </w:r>
    </w:p>
    <w:p w14:paraId="51F006CE"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 xml:space="preserve">Menezes, T. P., &amp; </w:t>
      </w:r>
      <w:proofErr w:type="spellStart"/>
      <w:r w:rsidRPr="00490C68">
        <w:rPr>
          <w:rFonts w:ascii="Times New Roman" w:hAnsi="Times New Roman" w:cs="Times New Roman"/>
        </w:rPr>
        <w:t>Athmaselvi</w:t>
      </w:r>
      <w:proofErr w:type="spellEnd"/>
      <w:r w:rsidRPr="00490C68">
        <w:rPr>
          <w:rFonts w:ascii="Times New Roman" w:hAnsi="Times New Roman" w:cs="Times New Roman"/>
        </w:rPr>
        <w:t>, K. A. (2016). Effect of edible coatings on shelf life and quality of sapota fruit. Journal of Food Science and Technology, 53(1), 482–490.</w:t>
      </w:r>
    </w:p>
    <w:p w14:paraId="0041FF08"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Ministry of Agriculture &amp; Farmers Welfare, Government of India. (2023). Agricultural statistics at a glance 2022–23. Government of India. https://agricoop.nic.in</w:t>
      </w:r>
    </w:p>
    <w:p w14:paraId="7EE1827C"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lastRenderedPageBreak/>
        <w:t>Ministry of Food Processing Industries, Government of India. (2022). Annual report 2021–22. Government of India. https://mofpi.gov.in</w:t>
      </w:r>
    </w:p>
    <w:p w14:paraId="2C57D22D"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NABARD Consultancy Services (NABCONS). (2022). Study on assessment of post-harvest losses of fruits and vegetables in India. Ministry of Food Processing Industries, Government of India.</w:t>
      </w:r>
    </w:p>
    <w:p w14:paraId="4026C544"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National Horticulture Board. (2023). Horticultural statistics at a glance 2022–23. Ministry of Agriculture &amp; Farmers Welfare, Government of India. https://nhb.gov.in</w:t>
      </w:r>
    </w:p>
    <w:p w14:paraId="2A6A8F08"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 xml:space="preserve">Palou, L., </w:t>
      </w:r>
      <w:proofErr w:type="spellStart"/>
      <w:r w:rsidRPr="00490C68">
        <w:rPr>
          <w:rFonts w:ascii="Times New Roman" w:hAnsi="Times New Roman" w:cs="Times New Roman"/>
        </w:rPr>
        <w:t>Smilanick</w:t>
      </w:r>
      <w:proofErr w:type="spellEnd"/>
      <w:r w:rsidRPr="00490C68">
        <w:rPr>
          <w:rFonts w:ascii="Times New Roman" w:hAnsi="Times New Roman" w:cs="Times New Roman"/>
        </w:rPr>
        <w:t>, J. L., &amp; Crisosto, C. H. (2016). Evaluation of food additives as alternative or complementary chemicals to conventional fungicides for the control of major postharvest diseases of stone fruit. Journal of Food Protection, 79(4), 642–649.</w:t>
      </w:r>
    </w:p>
    <w:p w14:paraId="54FDEAC4"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 xml:space="preserve">Palou, L., </w:t>
      </w:r>
      <w:proofErr w:type="spellStart"/>
      <w:r w:rsidRPr="00490C68">
        <w:rPr>
          <w:rFonts w:ascii="Times New Roman" w:hAnsi="Times New Roman" w:cs="Times New Roman"/>
        </w:rPr>
        <w:t>Smilanick</w:t>
      </w:r>
      <w:proofErr w:type="spellEnd"/>
      <w:r w:rsidRPr="00490C68">
        <w:rPr>
          <w:rFonts w:ascii="Times New Roman" w:hAnsi="Times New Roman" w:cs="Times New Roman"/>
        </w:rPr>
        <w:t>, J. L., Crisosto, C. H., &amp; Mansour, M. F. (2008). Effect of thiabendazole treatment on decay development of citrus fruit during storage. Postharvest Biology and Technology, 47(2), 226–233.</w:t>
      </w:r>
    </w:p>
    <w:p w14:paraId="2C243845"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 xml:space="preserve">Perez-Vazquez, A., </w:t>
      </w:r>
      <w:proofErr w:type="spellStart"/>
      <w:r w:rsidRPr="00490C68">
        <w:rPr>
          <w:rFonts w:ascii="Times New Roman" w:hAnsi="Times New Roman" w:cs="Times New Roman"/>
        </w:rPr>
        <w:t>Barciela</w:t>
      </w:r>
      <w:proofErr w:type="spellEnd"/>
      <w:r w:rsidRPr="00490C68">
        <w:rPr>
          <w:rFonts w:ascii="Times New Roman" w:hAnsi="Times New Roman" w:cs="Times New Roman"/>
        </w:rPr>
        <w:t>, P., Carpena, M., &amp; Prieto, M. A. (2023). Edible coatings as a natural packaging system to improve fruit and vegetable shelf life and quality. Foods, 12(19), Article 3570.</w:t>
      </w:r>
    </w:p>
    <w:p w14:paraId="048F8B75"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Porat, R., Lichter, A., Terry, L. A., Harker, R., &amp; Buzby, J. (2018). Postharvest losses of fruit and vegetables during retail and in consumers' homes: Quantifications, causes, and means of prevention. Postharvest Biology and Technology, 139, 135–149.</w:t>
      </w:r>
    </w:p>
    <w:p w14:paraId="11E5B98F"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Rathore, A., &amp; Parsad, V. (2019). Effect of sodium hypochlorite on postharvest decay and quality of guava. Journal of Food Science and Technology, 56(4), 1896–1903.</w:t>
      </w:r>
    </w:p>
    <w:p w14:paraId="350C6350"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Rosman, N. F., Hassan, Z., &amp; Rahman, R. A. (2024). Zinc oxide nanoparticle-based edible coating reduces postharvest disease and maintains quality of mango fruit. Postharvest Biology and Technology, 205, Article 112541.</w:t>
      </w:r>
    </w:p>
    <w:p w14:paraId="374ACF07"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 xml:space="preserve">Schreiner, M., Korn, M., Stenger, M., </w:t>
      </w:r>
      <w:proofErr w:type="spellStart"/>
      <w:r w:rsidRPr="00490C68">
        <w:rPr>
          <w:rFonts w:ascii="Times New Roman" w:hAnsi="Times New Roman" w:cs="Times New Roman"/>
        </w:rPr>
        <w:t>Holzgreve</w:t>
      </w:r>
      <w:proofErr w:type="spellEnd"/>
      <w:r w:rsidRPr="00490C68">
        <w:rPr>
          <w:rFonts w:ascii="Times New Roman" w:hAnsi="Times New Roman" w:cs="Times New Roman"/>
        </w:rPr>
        <w:t xml:space="preserve">, L., &amp; Altmann, M. (2013). Current understanding and use of quality characteristics of horticulture products. Scientia </w:t>
      </w:r>
      <w:proofErr w:type="spellStart"/>
      <w:r w:rsidRPr="00490C68">
        <w:rPr>
          <w:rFonts w:ascii="Times New Roman" w:hAnsi="Times New Roman" w:cs="Times New Roman"/>
        </w:rPr>
        <w:t>Horticulturae</w:t>
      </w:r>
      <w:proofErr w:type="spellEnd"/>
      <w:r w:rsidRPr="00490C68">
        <w:rPr>
          <w:rFonts w:ascii="Times New Roman" w:hAnsi="Times New Roman" w:cs="Times New Roman"/>
        </w:rPr>
        <w:t>, 163, 63–70.</w:t>
      </w:r>
    </w:p>
    <w:p w14:paraId="4BF506A6"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Sharma, R. R., Singh, D., &amp; Singh, R. (2009). Biological control of postharvest diseases of fruits and vegetables by microbial antagonists: A review. Biological Control, 50(3), 205–221.</w:t>
      </w:r>
    </w:p>
    <w:p w14:paraId="120CF69C"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 xml:space="preserve">Singh, R., Kumar, D., &amp; Singh, A. (2021). Spermidine reduces chilling injury and improves postharvest quality of banana during cold storage. Scientia </w:t>
      </w:r>
      <w:proofErr w:type="spellStart"/>
      <w:r w:rsidRPr="00490C68">
        <w:rPr>
          <w:rFonts w:ascii="Times New Roman" w:hAnsi="Times New Roman" w:cs="Times New Roman"/>
        </w:rPr>
        <w:t>Horticulturae</w:t>
      </w:r>
      <w:proofErr w:type="spellEnd"/>
      <w:r w:rsidRPr="00490C68">
        <w:rPr>
          <w:rFonts w:ascii="Times New Roman" w:hAnsi="Times New Roman" w:cs="Times New Roman"/>
        </w:rPr>
        <w:t>, 283, Article 110071.</w:t>
      </w:r>
    </w:p>
    <w:p w14:paraId="165D6C28"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Singh, S. P., &amp; Pareek, S. (2017). Potassium permanganate as an ethylene absorbent to improve storage life of guava fruit. Journal of Food Science and Technology, 54(5), 1213–1221.</w:t>
      </w:r>
    </w:p>
    <w:p w14:paraId="190AF7D3"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Singh, V., Singh, A. K., &amp; Kumar, P. (2018). Effect of calcium chloride treatments on postharvest quality of mango. Indian Journal of Horticulture, 75(3), 456–462.</w:t>
      </w:r>
    </w:p>
    <w:p w14:paraId="54D22375"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lastRenderedPageBreak/>
        <w:t>Singh, V., Singh, P., &amp; Singh, A. K. (2022). Postharvest handling and diseases control in fruits: A review. Pharma Innovation Journal, 11(3), 2225–2232.</w:t>
      </w:r>
    </w:p>
    <w:p w14:paraId="1CA71620"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Sivakumar, D., Jiang, Y., &amp; Yahia, E. M. (2010). Maintaining mango fruit quality during storage by combining calcium and fungicide treatments. Postharvest Biology and Technology, 55(2), 73–79.</w:t>
      </w:r>
    </w:p>
    <w:p w14:paraId="51087C33"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Tariq, A., Malik, A. U., &amp; Khan, A. S. (2018). Putrescine application maintains membrane integrity and delays ripening in mango fruit. Journal of Food Processing and Preservation, 42(3), Article e13543.</w:t>
      </w:r>
    </w:p>
    <w:p w14:paraId="4D91A1AB" w14:textId="77777777" w:rsidR="00490C68" w:rsidRPr="00490C68" w:rsidRDefault="00490C68" w:rsidP="00490C68">
      <w:pPr>
        <w:spacing w:line="360" w:lineRule="auto"/>
        <w:ind w:hanging="720"/>
        <w:jc w:val="both"/>
        <w:rPr>
          <w:rFonts w:ascii="Times New Roman" w:hAnsi="Times New Roman" w:cs="Times New Roman"/>
        </w:rPr>
      </w:pPr>
      <w:proofErr w:type="spellStart"/>
      <w:r w:rsidRPr="00490C68">
        <w:rPr>
          <w:rFonts w:ascii="Times New Roman" w:hAnsi="Times New Roman" w:cs="Times New Roman"/>
        </w:rPr>
        <w:t>Tavassoli-Kafrani</w:t>
      </w:r>
      <w:proofErr w:type="spellEnd"/>
      <w:r w:rsidRPr="00490C68">
        <w:rPr>
          <w:rFonts w:ascii="Times New Roman" w:hAnsi="Times New Roman" w:cs="Times New Roman"/>
        </w:rPr>
        <w:t xml:space="preserve">, E., </w:t>
      </w:r>
      <w:proofErr w:type="spellStart"/>
      <w:r w:rsidRPr="00490C68">
        <w:rPr>
          <w:rFonts w:ascii="Times New Roman" w:hAnsi="Times New Roman" w:cs="Times New Roman"/>
        </w:rPr>
        <w:t>Shekarchizadeh</w:t>
      </w:r>
      <w:proofErr w:type="spellEnd"/>
      <w:r w:rsidRPr="00490C68">
        <w:rPr>
          <w:rFonts w:ascii="Times New Roman" w:hAnsi="Times New Roman" w:cs="Times New Roman"/>
        </w:rPr>
        <w:t xml:space="preserve">, H., &amp; </w:t>
      </w:r>
      <w:proofErr w:type="spellStart"/>
      <w:r w:rsidRPr="00490C68">
        <w:rPr>
          <w:rFonts w:ascii="Times New Roman" w:hAnsi="Times New Roman" w:cs="Times New Roman"/>
        </w:rPr>
        <w:t>Masoudpour-Behabadi</w:t>
      </w:r>
      <w:proofErr w:type="spellEnd"/>
      <w:r w:rsidRPr="00490C68">
        <w:rPr>
          <w:rFonts w:ascii="Times New Roman" w:hAnsi="Times New Roman" w:cs="Times New Roman"/>
        </w:rPr>
        <w:t xml:space="preserve">, M. (2016). Development of edible films and coatings from alginates and </w:t>
      </w:r>
      <w:proofErr w:type="spellStart"/>
      <w:r w:rsidRPr="00490C68">
        <w:rPr>
          <w:rFonts w:ascii="Times New Roman" w:hAnsi="Times New Roman" w:cs="Times New Roman"/>
        </w:rPr>
        <w:t>carrageenans</w:t>
      </w:r>
      <w:proofErr w:type="spellEnd"/>
      <w:r w:rsidRPr="00490C68">
        <w:rPr>
          <w:rFonts w:ascii="Times New Roman" w:hAnsi="Times New Roman" w:cs="Times New Roman"/>
        </w:rPr>
        <w:t>. Carbohydrate Polymers, 137, 360–374.</w:t>
      </w:r>
    </w:p>
    <w:p w14:paraId="66F40199"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Upadhyay, R. K., Ahmad, S., &amp; Singh, R. (2005). Effect of sodium hypochlorite treatments on postharvest quality of mango and citrus fruits. Journal of Food Science and Technology, 42(6), 463–467.</w:t>
      </w:r>
    </w:p>
    <w:p w14:paraId="39EE3AAD"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 xml:space="preserve">Wallace, T. C., Bailey, R. L., Blumberg, J. B., Burton-Freeman, B., Chen, C. O., Crowe-White, K. M., Drewnowski, A., Hooshmand, S., Johnson, E., Lewis, R., Murray, R., </w:t>
      </w:r>
      <w:proofErr w:type="spellStart"/>
      <w:r w:rsidRPr="00490C68">
        <w:rPr>
          <w:rFonts w:ascii="Times New Roman" w:hAnsi="Times New Roman" w:cs="Times New Roman"/>
        </w:rPr>
        <w:t>Shapses</w:t>
      </w:r>
      <w:proofErr w:type="spellEnd"/>
      <w:r w:rsidRPr="00490C68">
        <w:rPr>
          <w:rFonts w:ascii="Times New Roman" w:hAnsi="Times New Roman" w:cs="Times New Roman"/>
        </w:rPr>
        <w:t>, S. A., &amp; Wang, D. D. (2020). Fruits, vegetables, and health: A comprehensive narrative, umbrella review of the science and recommendations for enhanced public policy to improve intake. Critical Reviews in Food Science and Nutrition, 60(13), 2174–2211.</w:t>
      </w:r>
    </w:p>
    <w:p w14:paraId="034DCE80"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Watkins, C. B. (2006). The use of 1-methylcyclopropene (1-MCP) on fruits and vegetables. Biotechnology Advances, 24(4), 389–409.</w:t>
      </w:r>
    </w:p>
    <w:p w14:paraId="5AF7BB32"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Wills, R. B. H., McGlasson, W. B., Graham, D., &amp; Joyce, D. C. (2016). Postharvest: An introduction to the physiology and handling of fruit and vegetables (6th ed.). CABI Publishing.</w:t>
      </w:r>
    </w:p>
    <w:p w14:paraId="6CD55DEE"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Yousuf, B., Qadri, O. S., &amp; Srivastava, A. K. (2018). Recent developments in shelf-life extension of fresh-cut fruits and vegetables by application of different edible coatings: A review. LWT - Food Science and Technology, 89, 198–209.</w:t>
      </w:r>
    </w:p>
    <w:p w14:paraId="50817277"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Zhang, D., &amp; Quantick, P. C. (1997). Effects of chitosan coating on enzymatic browning and decay during postharvest storage of litchi fruit. Postharvest Biology and Technology, 12(2), 195–202.</w:t>
      </w:r>
    </w:p>
    <w:p w14:paraId="11111494"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Zhang, Y., Chen, K., Zhang, S., &amp; Ferguson, I. (2018). The role of salicylic acid in postharvest fruit preservation: A review. Postharvest Biology and Technology, 143, 152–160.</w:t>
      </w:r>
    </w:p>
    <w:p w14:paraId="574F20F8" w14:textId="77777777" w:rsidR="00490C68" w:rsidRP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 xml:space="preserve">Zhang, Y., Li, S., Chen, K., &amp; Ferguson, I. (2022). Nitric oxide treatment delays senescence and enhances antioxidant </w:t>
      </w:r>
      <w:proofErr w:type="spellStart"/>
      <w:r w:rsidRPr="00490C68">
        <w:rPr>
          <w:rFonts w:ascii="Times New Roman" w:hAnsi="Times New Roman" w:cs="Times New Roman"/>
        </w:rPr>
        <w:t>defense</w:t>
      </w:r>
      <w:proofErr w:type="spellEnd"/>
      <w:r w:rsidRPr="00490C68">
        <w:rPr>
          <w:rFonts w:ascii="Times New Roman" w:hAnsi="Times New Roman" w:cs="Times New Roman"/>
        </w:rPr>
        <w:t xml:space="preserve"> in papaya fruit. Postharvest Biology and Technology, 188, Article 111870.</w:t>
      </w:r>
    </w:p>
    <w:p w14:paraId="11B0B492" w14:textId="07B85B63" w:rsidR="00490C68" w:rsidRDefault="00490C68" w:rsidP="00490C68">
      <w:pPr>
        <w:spacing w:line="360" w:lineRule="auto"/>
        <w:ind w:hanging="720"/>
        <w:jc w:val="both"/>
        <w:rPr>
          <w:rFonts w:ascii="Times New Roman" w:hAnsi="Times New Roman" w:cs="Times New Roman"/>
        </w:rPr>
      </w:pPr>
      <w:r w:rsidRPr="00490C68">
        <w:rPr>
          <w:rFonts w:ascii="Times New Roman" w:hAnsi="Times New Roman" w:cs="Times New Roman"/>
        </w:rPr>
        <w:t>Zheng, X., Tian, S., Gidley, M. J., Yue, H., &amp; Li, B. (2007). Effects of exogenous oxalic acid on ripening and decay incidence in mango fruit during storage at room temperature. Postharvest Biology and Technology, 45(2), 281–284.</w:t>
      </w:r>
    </w:p>
    <w:p w14:paraId="46969D76" w14:textId="79362637" w:rsidR="004919D9" w:rsidRDefault="004919D9" w:rsidP="00490C68">
      <w:pPr>
        <w:spacing w:line="360" w:lineRule="auto"/>
        <w:ind w:hanging="720"/>
        <w:jc w:val="both"/>
        <w:rPr>
          <w:rFonts w:ascii="Times New Roman" w:hAnsi="Times New Roman" w:cs="Times New Roman"/>
        </w:rPr>
      </w:pPr>
      <w:proofErr w:type="gramStart"/>
      <w:r w:rsidRPr="004919D9">
        <w:rPr>
          <w:rFonts w:ascii="Times New Roman" w:hAnsi="Times New Roman" w:cs="Times New Roman"/>
        </w:rPr>
        <w:lastRenderedPageBreak/>
        <w:t>Singh ,</w:t>
      </w:r>
      <w:proofErr w:type="gramEnd"/>
      <w:r w:rsidRPr="004919D9">
        <w:rPr>
          <w:rFonts w:ascii="Times New Roman" w:hAnsi="Times New Roman" w:cs="Times New Roman"/>
        </w:rPr>
        <w:t xml:space="preserve"> A., Singh , B. K., Barman , K., &amp; Singh , A. K. (2023). Effect of Pre-Storage Edible Coating on Post Harvest Quality of Guava Fruits cv. Lalit Under Ambient Condition. International Journal of Environment and Climate Change, 13(11), 1136–1148. </w:t>
      </w:r>
      <w:hyperlink r:id="rId15" w:history="1">
        <w:r w:rsidRPr="005D0466">
          <w:rPr>
            <w:rStyle w:val="Hyperlink"/>
            <w:rFonts w:ascii="Times New Roman" w:hAnsi="Times New Roman" w:cs="Times New Roman"/>
          </w:rPr>
          <w:t>https://doi.org/10.9734/ijecc/2023/v13i113263</w:t>
        </w:r>
      </w:hyperlink>
      <w:r>
        <w:rPr>
          <w:rFonts w:ascii="Times New Roman" w:hAnsi="Times New Roman" w:cs="Times New Roman"/>
        </w:rPr>
        <w:t xml:space="preserve"> </w:t>
      </w:r>
    </w:p>
    <w:p w14:paraId="2D650DAF" w14:textId="0F59DC13" w:rsidR="00845EA7" w:rsidRPr="00490C68" w:rsidRDefault="00845EA7" w:rsidP="00490C68">
      <w:pPr>
        <w:spacing w:line="360" w:lineRule="auto"/>
        <w:ind w:hanging="720"/>
        <w:jc w:val="both"/>
        <w:rPr>
          <w:rFonts w:ascii="Times New Roman" w:hAnsi="Times New Roman" w:cs="Times New Roman"/>
        </w:rPr>
      </w:pPr>
      <w:r w:rsidRPr="00845EA7">
        <w:rPr>
          <w:rFonts w:ascii="Times New Roman" w:hAnsi="Times New Roman" w:cs="Times New Roman"/>
        </w:rPr>
        <w:t xml:space="preserve">Maurya, H. K., Lata, R., Mitra, D. S., Sundar, S., &amp; Yadav, G. C. (2024). A Review on Advanced Preservation Techniques for Post-harvest Quality Maintenance of Fruits and Vegetables. International Journal of Plant &amp; Soil Science, 36(11), 186–197. </w:t>
      </w:r>
      <w:hyperlink r:id="rId16" w:history="1">
        <w:r w:rsidRPr="005D0466">
          <w:rPr>
            <w:rStyle w:val="Hyperlink"/>
            <w:rFonts w:ascii="Times New Roman" w:hAnsi="Times New Roman" w:cs="Times New Roman"/>
          </w:rPr>
          <w:t>https://doi.org/10.9734/ijpss/2024/v36i115133</w:t>
        </w:r>
      </w:hyperlink>
      <w:r>
        <w:rPr>
          <w:rFonts w:ascii="Times New Roman" w:hAnsi="Times New Roman" w:cs="Times New Roman"/>
        </w:rPr>
        <w:t xml:space="preserve"> </w:t>
      </w:r>
    </w:p>
    <w:sectPr w:rsidR="00845EA7" w:rsidRPr="00490C68">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B7C86D" w14:textId="77777777" w:rsidR="000A2682" w:rsidRDefault="000A2682" w:rsidP="00115B19">
      <w:pPr>
        <w:spacing w:after="0" w:line="240" w:lineRule="auto"/>
      </w:pPr>
      <w:r>
        <w:separator/>
      </w:r>
    </w:p>
  </w:endnote>
  <w:endnote w:type="continuationSeparator" w:id="0">
    <w:p w14:paraId="3B103C16" w14:textId="77777777" w:rsidR="000A2682" w:rsidRDefault="000A2682" w:rsidP="00115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E1F77" w14:textId="77777777" w:rsidR="00115B19" w:rsidRDefault="00115B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59EE5" w14:textId="77777777" w:rsidR="00115B19" w:rsidRDefault="00115B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D709C" w14:textId="77777777" w:rsidR="00115B19" w:rsidRDefault="00115B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640603" w14:textId="77777777" w:rsidR="000A2682" w:rsidRDefault="000A2682" w:rsidP="00115B19">
      <w:pPr>
        <w:spacing w:after="0" w:line="240" w:lineRule="auto"/>
      </w:pPr>
      <w:r>
        <w:separator/>
      </w:r>
    </w:p>
  </w:footnote>
  <w:footnote w:type="continuationSeparator" w:id="0">
    <w:p w14:paraId="034A676E" w14:textId="77777777" w:rsidR="000A2682" w:rsidRDefault="000A2682" w:rsidP="00115B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75665" w14:textId="549B8242" w:rsidR="00115B19" w:rsidRDefault="000A2682">
    <w:pPr>
      <w:pStyle w:val="Header"/>
    </w:pPr>
    <w:r>
      <w:rPr>
        <w:noProof/>
      </w:rPr>
      <w:pict w14:anchorId="73C7D7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9327876" o:spid="_x0000_s2050" type="#_x0000_t136" style="position:absolute;margin-left:0;margin-top:0;width:535.8pt;height:100.45pt;rotation:315;z-index:-25165619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BDB61" w14:textId="48E5FCDC" w:rsidR="00115B19" w:rsidRDefault="000A2682">
    <w:pPr>
      <w:pStyle w:val="Header"/>
    </w:pPr>
    <w:r>
      <w:rPr>
        <w:noProof/>
      </w:rPr>
      <w:pict w14:anchorId="76B997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9327877" o:spid="_x0000_s2051"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E9BCB" w14:textId="3EC067D0" w:rsidR="00115B19" w:rsidRDefault="000A2682">
    <w:pPr>
      <w:pStyle w:val="Header"/>
    </w:pPr>
    <w:r>
      <w:rPr>
        <w:noProof/>
      </w:rPr>
      <w:pict w14:anchorId="567AC4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9327875" o:spid="_x0000_s2049" type="#_x0000_t136" style="position:absolute;margin-left:0;margin-top:0;width:535.8pt;height:100.4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CA2DEA"/>
    <w:multiLevelType w:val="hybridMultilevel"/>
    <w:tmpl w:val="4FCE1D3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D260334"/>
    <w:multiLevelType w:val="hybridMultilevel"/>
    <w:tmpl w:val="111A88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5BE4097B"/>
    <w:multiLevelType w:val="hybridMultilevel"/>
    <w:tmpl w:val="E65C11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647D56E9"/>
    <w:multiLevelType w:val="hybridMultilevel"/>
    <w:tmpl w:val="DDCEA9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69077123"/>
    <w:multiLevelType w:val="hybridMultilevel"/>
    <w:tmpl w:val="2996CDA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B707555"/>
    <w:multiLevelType w:val="hybridMultilevel"/>
    <w:tmpl w:val="4C3AA4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F622E53"/>
    <w:multiLevelType w:val="hybridMultilevel"/>
    <w:tmpl w:val="B12420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6"/>
  </w:num>
  <w:num w:numId="4">
    <w:abstractNumId w:val="4"/>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cyMzQwMzAytjS3MDJU0lEKTi0uzszPAykwrAUA3kt8+ywAAAA="/>
  </w:docVars>
  <w:rsids>
    <w:rsidRoot w:val="002709CB"/>
    <w:rsid w:val="00042DF2"/>
    <w:rsid w:val="000437C9"/>
    <w:rsid w:val="000535A4"/>
    <w:rsid w:val="00054E2C"/>
    <w:rsid w:val="00057287"/>
    <w:rsid w:val="00071278"/>
    <w:rsid w:val="00071CA3"/>
    <w:rsid w:val="00076723"/>
    <w:rsid w:val="00084DAE"/>
    <w:rsid w:val="00095AA1"/>
    <w:rsid w:val="000A064E"/>
    <w:rsid w:val="000A2682"/>
    <w:rsid w:val="000A54B7"/>
    <w:rsid w:val="000C7406"/>
    <w:rsid w:val="000E1863"/>
    <w:rsid w:val="000E4BC4"/>
    <w:rsid w:val="000E7920"/>
    <w:rsid w:val="000F5021"/>
    <w:rsid w:val="0010143A"/>
    <w:rsid w:val="0011432B"/>
    <w:rsid w:val="00114EDF"/>
    <w:rsid w:val="00115B19"/>
    <w:rsid w:val="00133165"/>
    <w:rsid w:val="00144DFB"/>
    <w:rsid w:val="0015185F"/>
    <w:rsid w:val="0015674B"/>
    <w:rsid w:val="00177E73"/>
    <w:rsid w:val="0019233A"/>
    <w:rsid w:val="00192F9C"/>
    <w:rsid w:val="00195840"/>
    <w:rsid w:val="001B45CF"/>
    <w:rsid w:val="001B542E"/>
    <w:rsid w:val="001B5AE1"/>
    <w:rsid w:val="001D714B"/>
    <w:rsid w:val="001E3218"/>
    <w:rsid w:val="001F2E55"/>
    <w:rsid w:val="001F7367"/>
    <w:rsid w:val="002013DD"/>
    <w:rsid w:val="00221196"/>
    <w:rsid w:val="00242F6B"/>
    <w:rsid w:val="002465F3"/>
    <w:rsid w:val="00257E0B"/>
    <w:rsid w:val="002709CB"/>
    <w:rsid w:val="00277A7B"/>
    <w:rsid w:val="0028058F"/>
    <w:rsid w:val="00290A1F"/>
    <w:rsid w:val="002B183D"/>
    <w:rsid w:val="002C3368"/>
    <w:rsid w:val="002F539B"/>
    <w:rsid w:val="002F6C5D"/>
    <w:rsid w:val="00306C2F"/>
    <w:rsid w:val="00307F32"/>
    <w:rsid w:val="00311104"/>
    <w:rsid w:val="00313859"/>
    <w:rsid w:val="003258B4"/>
    <w:rsid w:val="0032660D"/>
    <w:rsid w:val="00330593"/>
    <w:rsid w:val="00334044"/>
    <w:rsid w:val="003411AC"/>
    <w:rsid w:val="00370AF1"/>
    <w:rsid w:val="00371C9C"/>
    <w:rsid w:val="00374FB7"/>
    <w:rsid w:val="003C0065"/>
    <w:rsid w:val="003C4C92"/>
    <w:rsid w:val="003D284F"/>
    <w:rsid w:val="003D65DD"/>
    <w:rsid w:val="003E50E4"/>
    <w:rsid w:val="0040209D"/>
    <w:rsid w:val="004063A0"/>
    <w:rsid w:val="004231BC"/>
    <w:rsid w:val="004274FA"/>
    <w:rsid w:val="00435C6C"/>
    <w:rsid w:val="004553FE"/>
    <w:rsid w:val="00461E23"/>
    <w:rsid w:val="00474E40"/>
    <w:rsid w:val="00476C29"/>
    <w:rsid w:val="00483756"/>
    <w:rsid w:val="004852C4"/>
    <w:rsid w:val="00490C68"/>
    <w:rsid w:val="004919D9"/>
    <w:rsid w:val="004933AC"/>
    <w:rsid w:val="00493B9B"/>
    <w:rsid w:val="004A5319"/>
    <w:rsid w:val="004A7ED2"/>
    <w:rsid w:val="004C1D01"/>
    <w:rsid w:val="004D158E"/>
    <w:rsid w:val="0050199A"/>
    <w:rsid w:val="005516EB"/>
    <w:rsid w:val="00565669"/>
    <w:rsid w:val="00574B0A"/>
    <w:rsid w:val="00590445"/>
    <w:rsid w:val="0059355F"/>
    <w:rsid w:val="005A3DC3"/>
    <w:rsid w:val="005B59A7"/>
    <w:rsid w:val="005C3039"/>
    <w:rsid w:val="005E430E"/>
    <w:rsid w:val="00603AF3"/>
    <w:rsid w:val="00612CE7"/>
    <w:rsid w:val="00617E90"/>
    <w:rsid w:val="00623A0E"/>
    <w:rsid w:val="006322B7"/>
    <w:rsid w:val="006329E9"/>
    <w:rsid w:val="00643627"/>
    <w:rsid w:val="006456C0"/>
    <w:rsid w:val="006612AA"/>
    <w:rsid w:val="00664E2B"/>
    <w:rsid w:val="00690BCA"/>
    <w:rsid w:val="00692D7A"/>
    <w:rsid w:val="006A1456"/>
    <w:rsid w:val="006A2ED4"/>
    <w:rsid w:val="006A35F0"/>
    <w:rsid w:val="006A385B"/>
    <w:rsid w:val="006B1D75"/>
    <w:rsid w:val="006B2ABE"/>
    <w:rsid w:val="006B4922"/>
    <w:rsid w:val="006C11D0"/>
    <w:rsid w:val="006C2F1F"/>
    <w:rsid w:val="006D49D4"/>
    <w:rsid w:val="006E03A6"/>
    <w:rsid w:val="006E5E1B"/>
    <w:rsid w:val="006E7FED"/>
    <w:rsid w:val="00735878"/>
    <w:rsid w:val="0075668A"/>
    <w:rsid w:val="00770161"/>
    <w:rsid w:val="0077135F"/>
    <w:rsid w:val="00771683"/>
    <w:rsid w:val="00776671"/>
    <w:rsid w:val="00783324"/>
    <w:rsid w:val="00796366"/>
    <w:rsid w:val="007A3FF7"/>
    <w:rsid w:val="007A7063"/>
    <w:rsid w:val="007B271F"/>
    <w:rsid w:val="007B27DF"/>
    <w:rsid w:val="007B5350"/>
    <w:rsid w:val="007B68BB"/>
    <w:rsid w:val="007C0B15"/>
    <w:rsid w:val="007F2CF2"/>
    <w:rsid w:val="007F2CF4"/>
    <w:rsid w:val="00820CF4"/>
    <w:rsid w:val="0083015F"/>
    <w:rsid w:val="00831C40"/>
    <w:rsid w:val="00845EA7"/>
    <w:rsid w:val="008539BB"/>
    <w:rsid w:val="00861764"/>
    <w:rsid w:val="008718B1"/>
    <w:rsid w:val="00883854"/>
    <w:rsid w:val="00897154"/>
    <w:rsid w:val="008A2470"/>
    <w:rsid w:val="008B1EC2"/>
    <w:rsid w:val="008C33D1"/>
    <w:rsid w:val="008C4A9A"/>
    <w:rsid w:val="008E1AC0"/>
    <w:rsid w:val="00934574"/>
    <w:rsid w:val="00934C8A"/>
    <w:rsid w:val="00940A46"/>
    <w:rsid w:val="009546FA"/>
    <w:rsid w:val="0097377F"/>
    <w:rsid w:val="0098694C"/>
    <w:rsid w:val="009B0FD8"/>
    <w:rsid w:val="009C292E"/>
    <w:rsid w:val="009E559F"/>
    <w:rsid w:val="009F1A5C"/>
    <w:rsid w:val="00A10339"/>
    <w:rsid w:val="00A16256"/>
    <w:rsid w:val="00A32819"/>
    <w:rsid w:val="00A354B4"/>
    <w:rsid w:val="00A62DB2"/>
    <w:rsid w:val="00A63C68"/>
    <w:rsid w:val="00A66ACB"/>
    <w:rsid w:val="00A7493F"/>
    <w:rsid w:val="00A80FCA"/>
    <w:rsid w:val="00A900EE"/>
    <w:rsid w:val="00A96184"/>
    <w:rsid w:val="00AA1F4F"/>
    <w:rsid w:val="00AE3C48"/>
    <w:rsid w:val="00AE591F"/>
    <w:rsid w:val="00AF109F"/>
    <w:rsid w:val="00AF75BA"/>
    <w:rsid w:val="00B10031"/>
    <w:rsid w:val="00B14859"/>
    <w:rsid w:val="00B2432D"/>
    <w:rsid w:val="00B248F6"/>
    <w:rsid w:val="00B34003"/>
    <w:rsid w:val="00B52954"/>
    <w:rsid w:val="00B606C1"/>
    <w:rsid w:val="00B74E40"/>
    <w:rsid w:val="00BA27A0"/>
    <w:rsid w:val="00BB6C00"/>
    <w:rsid w:val="00BC3B3A"/>
    <w:rsid w:val="00BD5301"/>
    <w:rsid w:val="00BD5EBE"/>
    <w:rsid w:val="00BF4CEF"/>
    <w:rsid w:val="00C02024"/>
    <w:rsid w:val="00C500A1"/>
    <w:rsid w:val="00C54433"/>
    <w:rsid w:val="00C57473"/>
    <w:rsid w:val="00C65A63"/>
    <w:rsid w:val="00C67BF7"/>
    <w:rsid w:val="00C855EB"/>
    <w:rsid w:val="00C90F27"/>
    <w:rsid w:val="00C937C7"/>
    <w:rsid w:val="00CA2509"/>
    <w:rsid w:val="00CB2C53"/>
    <w:rsid w:val="00CB2D4B"/>
    <w:rsid w:val="00CB7B38"/>
    <w:rsid w:val="00CD1AEC"/>
    <w:rsid w:val="00CD2999"/>
    <w:rsid w:val="00CE0E3C"/>
    <w:rsid w:val="00D03B3F"/>
    <w:rsid w:val="00D069C4"/>
    <w:rsid w:val="00D12DB0"/>
    <w:rsid w:val="00D23311"/>
    <w:rsid w:val="00D42783"/>
    <w:rsid w:val="00D46604"/>
    <w:rsid w:val="00D54546"/>
    <w:rsid w:val="00D6330A"/>
    <w:rsid w:val="00D72DAC"/>
    <w:rsid w:val="00D75678"/>
    <w:rsid w:val="00DA7A3D"/>
    <w:rsid w:val="00DB7B49"/>
    <w:rsid w:val="00DC37CE"/>
    <w:rsid w:val="00DE7AD8"/>
    <w:rsid w:val="00DF3838"/>
    <w:rsid w:val="00E0377B"/>
    <w:rsid w:val="00E06A52"/>
    <w:rsid w:val="00E102EF"/>
    <w:rsid w:val="00E120AB"/>
    <w:rsid w:val="00E20770"/>
    <w:rsid w:val="00E32B20"/>
    <w:rsid w:val="00E35572"/>
    <w:rsid w:val="00E35D64"/>
    <w:rsid w:val="00E45F5E"/>
    <w:rsid w:val="00E64863"/>
    <w:rsid w:val="00E65428"/>
    <w:rsid w:val="00E672F7"/>
    <w:rsid w:val="00E73A94"/>
    <w:rsid w:val="00E80CAB"/>
    <w:rsid w:val="00E90F82"/>
    <w:rsid w:val="00E953AB"/>
    <w:rsid w:val="00E95D96"/>
    <w:rsid w:val="00EC0B78"/>
    <w:rsid w:val="00EE509C"/>
    <w:rsid w:val="00EF6D64"/>
    <w:rsid w:val="00F01981"/>
    <w:rsid w:val="00F22164"/>
    <w:rsid w:val="00F425E3"/>
    <w:rsid w:val="00F44FF9"/>
    <w:rsid w:val="00F477BD"/>
    <w:rsid w:val="00F657BE"/>
    <w:rsid w:val="00F95FD4"/>
    <w:rsid w:val="00FA6559"/>
    <w:rsid w:val="00FB28B5"/>
    <w:rsid w:val="00FD6B0D"/>
    <w:rsid w:val="00FE7172"/>
    <w:rsid w:val="00FF343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1960C0"/>
  <w15:chartTrackingRefBased/>
  <w15:docId w15:val="{76C2560A-551E-424A-8C35-3FB434773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09C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709C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709C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709C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709C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709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09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09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09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09C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709C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709C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709C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709C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709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09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09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09CB"/>
    <w:rPr>
      <w:rFonts w:eastAsiaTheme="majorEastAsia" w:cstheme="majorBidi"/>
      <w:color w:val="272727" w:themeColor="text1" w:themeTint="D8"/>
    </w:rPr>
  </w:style>
  <w:style w:type="paragraph" w:styleId="Title">
    <w:name w:val="Title"/>
    <w:basedOn w:val="Normal"/>
    <w:next w:val="Normal"/>
    <w:link w:val="TitleChar"/>
    <w:uiPriority w:val="10"/>
    <w:qFormat/>
    <w:rsid w:val="002709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09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09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09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09CB"/>
    <w:pPr>
      <w:spacing w:before="160"/>
      <w:jc w:val="center"/>
    </w:pPr>
    <w:rPr>
      <w:i/>
      <w:iCs/>
      <w:color w:val="404040" w:themeColor="text1" w:themeTint="BF"/>
    </w:rPr>
  </w:style>
  <w:style w:type="character" w:customStyle="1" w:styleId="QuoteChar">
    <w:name w:val="Quote Char"/>
    <w:basedOn w:val="DefaultParagraphFont"/>
    <w:link w:val="Quote"/>
    <w:uiPriority w:val="29"/>
    <w:rsid w:val="002709CB"/>
    <w:rPr>
      <w:i/>
      <w:iCs/>
      <w:color w:val="404040" w:themeColor="text1" w:themeTint="BF"/>
    </w:rPr>
  </w:style>
  <w:style w:type="paragraph" w:styleId="ListParagraph">
    <w:name w:val="List Paragraph"/>
    <w:basedOn w:val="Normal"/>
    <w:uiPriority w:val="34"/>
    <w:qFormat/>
    <w:rsid w:val="002709CB"/>
    <w:pPr>
      <w:ind w:left="720"/>
      <w:contextualSpacing/>
    </w:pPr>
  </w:style>
  <w:style w:type="character" w:styleId="IntenseEmphasis">
    <w:name w:val="Intense Emphasis"/>
    <w:basedOn w:val="DefaultParagraphFont"/>
    <w:uiPriority w:val="21"/>
    <w:qFormat/>
    <w:rsid w:val="002709CB"/>
    <w:rPr>
      <w:i/>
      <w:iCs/>
      <w:color w:val="2F5496" w:themeColor="accent1" w:themeShade="BF"/>
    </w:rPr>
  </w:style>
  <w:style w:type="paragraph" w:styleId="IntenseQuote">
    <w:name w:val="Intense Quote"/>
    <w:basedOn w:val="Normal"/>
    <w:next w:val="Normal"/>
    <w:link w:val="IntenseQuoteChar"/>
    <w:uiPriority w:val="30"/>
    <w:qFormat/>
    <w:rsid w:val="002709C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709CB"/>
    <w:rPr>
      <w:i/>
      <w:iCs/>
      <w:color w:val="2F5496" w:themeColor="accent1" w:themeShade="BF"/>
    </w:rPr>
  </w:style>
  <w:style w:type="character" w:styleId="IntenseReference">
    <w:name w:val="Intense Reference"/>
    <w:basedOn w:val="DefaultParagraphFont"/>
    <w:uiPriority w:val="32"/>
    <w:qFormat/>
    <w:rsid w:val="002709CB"/>
    <w:rPr>
      <w:b/>
      <w:bCs/>
      <w:smallCaps/>
      <w:color w:val="2F5496" w:themeColor="accent1" w:themeShade="BF"/>
      <w:spacing w:val="5"/>
    </w:rPr>
  </w:style>
  <w:style w:type="character" w:styleId="Hyperlink">
    <w:name w:val="Hyperlink"/>
    <w:basedOn w:val="DefaultParagraphFont"/>
    <w:uiPriority w:val="99"/>
    <w:unhideWhenUsed/>
    <w:rsid w:val="001E3218"/>
    <w:rPr>
      <w:color w:val="0563C1" w:themeColor="hyperlink"/>
      <w:u w:val="single"/>
    </w:rPr>
  </w:style>
  <w:style w:type="character" w:styleId="UnresolvedMention">
    <w:name w:val="Unresolved Mention"/>
    <w:basedOn w:val="DefaultParagraphFont"/>
    <w:uiPriority w:val="99"/>
    <w:semiHidden/>
    <w:unhideWhenUsed/>
    <w:rsid w:val="001E3218"/>
    <w:rPr>
      <w:color w:val="605E5C"/>
      <w:shd w:val="clear" w:color="auto" w:fill="E1DFDD"/>
    </w:rPr>
  </w:style>
  <w:style w:type="paragraph" w:styleId="NormalWeb">
    <w:name w:val="Normal (Web)"/>
    <w:basedOn w:val="Normal"/>
    <w:uiPriority w:val="99"/>
    <w:semiHidden/>
    <w:unhideWhenUsed/>
    <w:rsid w:val="00057287"/>
    <w:rPr>
      <w:rFonts w:ascii="Times New Roman" w:hAnsi="Times New Roman" w:cs="Times New Roman"/>
      <w:sz w:val="24"/>
      <w:szCs w:val="24"/>
    </w:rPr>
  </w:style>
  <w:style w:type="paragraph" w:styleId="Header">
    <w:name w:val="header"/>
    <w:basedOn w:val="Normal"/>
    <w:link w:val="HeaderChar"/>
    <w:uiPriority w:val="99"/>
    <w:unhideWhenUsed/>
    <w:rsid w:val="00115B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5B19"/>
  </w:style>
  <w:style w:type="paragraph" w:styleId="Footer">
    <w:name w:val="footer"/>
    <w:basedOn w:val="Normal"/>
    <w:link w:val="FooterChar"/>
    <w:uiPriority w:val="99"/>
    <w:unhideWhenUsed/>
    <w:rsid w:val="00115B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5B19"/>
  </w:style>
  <w:style w:type="paragraph" w:styleId="NoSpacing">
    <w:name w:val="No Spacing"/>
    <w:uiPriority w:val="1"/>
    <w:qFormat/>
    <w:rsid w:val="00076723"/>
    <w:pPr>
      <w:spacing w:after="0" w:line="240" w:lineRule="auto"/>
    </w:pPr>
    <w:rPr>
      <w:kern w:val="0"/>
      <w:lang w:val="en-GB"/>
      <w14:ligatures w14:val="none"/>
    </w:rPr>
  </w:style>
  <w:style w:type="table" w:styleId="TableGrid">
    <w:name w:val="Table Grid"/>
    <w:basedOn w:val="TableNormal"/>
    <w:uiPriority w:val="39"/>
    <w:rsid w:val="000F5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810744">
      <w:bodyDiv w:val="1"/>
      <w:marLeft w:val="0"/>
      <w:marRight w:val="0"/>
      <w:marTop w:val="0"/>
      <w:marBottom w:val="0"/>
      <w:divBdr>
        <w:top w:val="none" w:sz="0" w:space="0" w:color="auto"/>
        <w:left w:val="none" w:sz="0" w:space="0" w:color="auto"/>
        <w:bottom w:val="none" w:sz="0" w:space="0" w:color="auto"/>
        <w:right w:val="none" w:sz="0" w:space="0" w:color="auto"/>
      </w:divBdr>
      <w:divsChild>
        <w:div w:id="9918020">
          <w:marLeft w:val="0"/>
          <w:marRight w:val="0"/>
          <w:marTop w:val="0"/>
          <w:marBottom w:val="0"/>
          <w:divBdr>
            <w:top w:val="none" w:sz="0" w:space="0" w:color="auto"/>
            <w:left w:val="none" w:sz="0" w:space="0" w:color="auto"/>
            <w:bottom w:val="none" w:sz="0" w:space="0" w:color="auto"/>
            <w:right w:val="none" w:sz="0" w:space="0" w:color="auto"/>
          </w:divBdr>
          <w:divsChild>
            <w:div w:id="334651455">
              <w:marLeft w:val="0"/>
              <w:marRight w:val="0"/>
              <w:marTop w:val="0"/>
              <w:marBottom w:val="0"/>
              <w:divBdr>
                <w:top w:val="none" w:sz="0" w:space="0" w:color="auto"/>
                <w:left w:val="none" w:sz="0" w:space="0" w:color="auto"/>
                <w:bottom w:val="none" w:sz="0" w:space="0" w:color="auto"/>
                <w:right w:val="none" w:sz="0" w:space="0" w:color="auto"/>
              </w:divBdr>
              <w:divsChild>
                <w:div w:id="256598407">
                  <w:marLeft w:val="0"/>
                  <w:marRight w:val="0"/>
                  <w:marTop w:val="0"/>
                  <w:marBottom w:val="0"/>
                  <w:divBdr>
                    <w:top w:val="none" w:sz="0" w:space="0" w:color="auto"/>
                    <w:left w:val="none" w:sz="0" w:space="0" w:color="auto"/>
                    <w:bottom w:val="none" w:sz="0" w:space="0" w:color="auto"/>
                    <w:right w:val="none" w:sz="0" w:space="0" w:color="auto"/>
                  </w:divBdr>
                  <w:divsChild>
                    <w:div w:id="74360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9734/ijpss/2024/v36i115133"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9734/ijecc/2023/v13i113263"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22</Pages>
  <Words>6452</Words>
  <Characters>36777</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alishasagwal001@gmail.com</dc:creator>
  <cp:keywords/>
  <dc:description/>
  <cp:lastModifiedBy>SDI 1020</cp:lastModifiedBy>
  <cp:revision>6</cp:revision>
  <cp:lastPrinted>2026-02-20T10:31:00Z</cp:lastPrinted>
  <dcterms:created xsi:type="dcterms:W3CDTF">2026-03-02T14:14:00Z</dcterms:created>
  <dcterms:modified xsi:type="dcterms:W3CDTF">2026-03-06T09:00:00Z</dcterms:modified>
</cp:coreProperties>
</file>