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3FA" w:rsidRPr="00C83E37" w:rsidRDefault="00002F3E" w:rsidP="00AA239E">
      <w:pPr>
        <w:spacing w:after="0" w:line="360" w:lineRule="auto"/>
        <w:jc w:val="right"/>
        <w:rPr>
          <w:rFonts w:ascii="Arial" w:hAnsi="Arial" w:cs="Arial"/>
          <w:b/>
          <w:sz w:val="28"/>
        </w:rPr>
      </w:pPr>
      <w:r w:rsidRPr="00C83E37">
        <w:rPr>
          <w:rFonts w:ascii="Arial" w:hAnsi="Arial" w:cs="Arial"/>
          <w:b/>
          <w:sz w:val="28"/>
        </w:rPr>
        <w:t xml:space="preserve">Pathogenic Variability and Epidemiological Analysis of </w:t>
      </w:r>
      <w:proofErr w:type="spellStart"/>
      <w:r w:rsidRPr="00C83E37">
        <w:rPr>
          <w:rFonts w:ascii="Arial" w:hAnsi="Arial" w:cs="Arial"/>
          <w:b/>
          <w:i/>
          <w:sz w:val="28"/>
        </w:rPr>
        <w:t>Phomapolyanthis</w:t>
      </w:r>
      <w:proofErr w:type="spellEnd"/>
      <w:r w:rsidRPr="00C83E37">
        <w:rPr>
          <w:rFonts w:ascii="Arial" w:hAnsi="Arial" w:cs="Arial"/>
          <w:b/>
          <w:sz w:val="28"/>
        </w:rPr>
        <w:t xml:space="preserve"> in Tuberose</w:t>
      </w:r>
    </w:p>
    <w:p w:rsidR="000215D5" w:rsidRPr="00C83E37" w:rsidRDefault="000215D5" w:rsidP="00AA239E">
      <w:pPr>
        <w:spacing w:line="360" w:lineRule="auto"/>
        <w:jc w:val="right"/>
        <w:rPr>
          <w:rFonts w:ascii="Times New Roman" w:hAnsi="Times New Roman" w:cs="Times New Roman"/>
          <w:sz w:val="24"/>
        </w:rPr>
      </w:pPr>
    </w:p>
    <w:p w:rsidR="006929F3" w:rsidRPr="00C83E37" w:rsidRDefault="006929F3" w:rsidP="00AA239E">
      <w:pPr>
        <w:spacing w:line="360" w:lineRule="auto"/>
        <w:jc w:val="right"/>
        <w:rPr>
          <w:rFonts w:ascii="Times New Roman" w:hAnsi="Times New Roman" w:cs="Times New Roman"/>
          <w:sz w:val="24"/>
        </w:rPr>
      </w:pPr>
    </w:p>
    <w:p w:rsidR="00002F3E" w:rsidRPr="00C83E37" w:rsidRDefault="00AA239E" w:rsidP="00002F3E">
      <w:pPr>
        <w:spacing w:after="0" w:line="360" w:lineRule="auto"/>
        <w:rPr>
          <w:rFonts w:ascii="Arial Bold" w:hAnsi="Arial Bold" w:cs="Times New Roman"/>
          <w:b/>
        </w:rPr>
      </w:pPr>
      <w:r w:rsidRPr="00C83E37">
        <w:rPr>
          <w:rFonts w:ascii="Arial Bold" w:hAnsi="Arial Bold" w:cs="Times New Roman"/>
          <w:b/>
        </w:rPr>
        <w:t>ABSTRACT</w:t>
      </w:r>
    </w:p>
    <w:p w:rsidR="00FA0C1B" w:rsidRPr="00C83E37" w:rsidRDefault="00FA0C1B" w:rsidP="00FA0C1B">
      <w:pPr>
        <w:spacing w:after="0" w:line="360" w:lineRule="auto"/>
        <w:jc w:val="both"/>
        <w:rPr>
          <w:rFonts w:ascii="Arial Bold" w:hAnsi="Arial Bold" w:cs="Times New Roman"/>
        </w:rPr>
      </w:pPr>
      <w:r w:rsidRPr="00C83E37">
        <w:rPr>
          <w:rFonts w:ascii="Arial Bold" w:hAnsi="Arial Bold" w:cs="Times New Roman"/>
        </w:rPr>
        <w:t>Tuberose (</w:t>
      </w:r>
      <w:proofErr w:type="spellStart"/>
      <w:r w:rsidRPr="00C83E37">
        <w:rPr>
          <w:rFonts w:ascii="Arial Bold" w:hAnsi="Arial Bold" w:cs="Times New Roman"/>
          <w:i/>
        </w:rPr>
        <w:t>Polianthes</w:t>
      </w:r>
      <w:proofErr w:type="spellEnd"/>
      <w:r w:rsidRPr="00C83E37">
        <w:rPr>
          <w:rFonts w:ascii="Arial Bold" w:hAnsi="Arial Bold" w:cs="Times New Roman"/>
          <w:i/>
        </w:rPr>
        <w:t xml:space="preserve"> </w:t>
      </w:r>
      <w:proofErr w:type="spellStart"/>
      <w:r w:rsidRPr="00C83E37">
        <w:rPr>
          <w:rFonts w:ascii="Arial Bold" w:hAnsi="Arial Bold" w:cs="Times New Roman"/>
          <w:i/>
        </w:rPr>
        <w:t>tuberosa</w:t>
      </w:r>
      <w:proofErr w:type="spellEnd"/>
      <w:r w:rsidRPr="00C83E37">
        <w:rPr>
          <w:rFonts w:ascii="Arial Bold" w:hAnsi="Arial Bold" w:cs="Times New Roman"/>
        </w:rPr>
        <w:t xml:space="preserve"> L.) is an economically important ornamental crop widely cultivated in India for cut flowers, loose flowers, and essential oil production. In West Bengal, continuous cultivation under warm and humid conditions has favored the emergence of tip blight caused by </w:t>
      </w:r>
      <w:proofErr w:type="spellStart"/>
      <w:r w:rsidRPr="00C83E37">
        <w:rPr>
          <w:rFonts w:ascii="Arial Bold" w:hAnsi="Arial Bold" w:cs="Times New Roman"/>
          <w:i/>
        </w:rPr>
        <w:t>Phoma</w:t>
      </w:r>
      <w:proofErr w:type="spellEnd"/>
      <w:r w:rsidRPr="00C83E37">
        <w:rPr>
          <w:rFonts w:ascii="Arial Bold" w:hAnsi="Arial Bold" w:cs="Times New Roman"/>
          <w:i/>
        </w:rPr>
        <w:t xml:space="preserve"> </w:t>
      </w:r>
      <w:proofErr w:type="spellStart"/>
      <w:r w:rsidRPr="00C83E37">
        <w:rPr>
          <w:rFonts w:ascii="Arial Bold" w:hAnsi="Arial Bold" w:cs="Times New Roman"/>
          <w:i/>
        </w:rPr>
        <w:t>polyanthis</w:t>
      </w:r>
      <w:proofErr w:type="spellEnd"/>
      <w:r w:rsidRPr="00C83E37">
        <w:rPr>
          <w:rFonts w:ascii="Arial Bold" w:hAnsi="Arial Bold" w:cs="Times New Roman"/>
        </w:rPr>
        <w:t xml:space="preserve">, a destructive foliar disease that reduces photosynthetic area, affects spike quality, and leads to significant yield loss. The present investigation was undertaken to study the epidemiology, pathogenic variability, and virulence diversity of </w:t>
      </w:r>
      <w:r w:rsidRPr="00C83E37">
        <w:rPr>
          <w:rFonts w:ascii="Arial Bold" w:hAnsi="Arial Bold" w:cs="Times New Roman"/>
          <w:i/>
        </w:rPr>
        <w:t xml:space="preserve">P. </w:t>
      </w:r>
      <w:proofErr w:type="spellStart"/>
      <w:r w:rsidRPr="00C83E37">
        <w:rPr>
          <w:rFonts w:ascii="Arial Bold" w:hAnsi="Arial Bold" w:cs="Times New Roman"/>
          <w:i/>
        </w:rPr>
        <w:t>polyanthis</w:t>
      </w:r>
      <w:proofErr w:type="spellEnd"/>
      <w:r w:rsidRPr="00C83E37">
        <w:rPr>
          <w:rFonts w:ascii="Arial Bold" w:hAnsi="Arial Bold" w:cs="Times New Roman"/>
        </w:rPr>
        <w:t xml:space="preserve"> isolates collected from major tuberose-growing districts of West Bengal.</w:t>
      </w:r>
    </w:p>
    <w:p w:rsidR="00FA0C1B" w:rsidRPr="00C83E37" w:rsidRDefault="00FA0C1B" w:rsidP="00FA0C1B">
      <w:pPr>
        <w:spacing w:after="0" w:line="360" w:lineRule="auto"/>
        <w:jc w:val="both"/>
        <w:rPr>
          <w:rFonts w:ascii="Arial Bold" w:hAnsi="Arial Bold" w:cs="Times New Roman"/>
        </w:rPr>
      </w:pPr>
      <w:r w:rsidRPr="00C83E37">
        <w:rPr>
          <w:rFonts w:ascii="Arial Bold" w:hAnsi="Arial Bold" w:cs="Times New Roman"/>
        </w:rPr>
        <w:t>Nine pathogen isolates were obtained from tip blight–infected leaves collected from different locations and purified under laboratory conditions. Pathogenicity and virulence were evaluated on the susceptible tuberose cultivar GKTC–4 through artificial inoculation. Disease development was monitored by recording mean diseased lesion length (MDLL) at 24-hour intervals up to 120 hours after inoculation. Disease progression dynamics were further analyzed by calculating lesion length increment (LDLI) between successive observations. Field data on percent disease index (PDI) associated with different cultivars and locations were also recorded to understand disease distribution.</w:t>
      </w:r>
    </w:p>
    <w:p w:rsidR="00FA0C1B" w:rsidRPr="00C83E37" w:rsidRDefault="00FA0C1B" w:rsidP="00FA0C1B">
      <w:pPr>
        <w:spacing w:after="0" w:line="360" w:lineRule="auto"/>
        <w:jc w:val="both"/>
        <w:rPr>
          <w:rFonts w:ascii="Arial Bold" w:hAnsi="Arial Bold" w:cs="Times New Roman"/>
        </w:rPr>
      </w:pPr>
      <w:r w:rsidRPr="00C83E37">
        <w:rPr>
          <w:rFonts w:ascii="Arial Bold" w:hAnsi="Arial Bold" w:cs="Times New Roman"/>
        </w:rPr>
        <w:t xml:space="preserve">Significant variability in pathogenic behavior was observed among the isolates. At 120 hours after inoculation, lesion length ranged from 10.5 cm to 29.5 cm, indicating wide differences in aggressiveness. Based on lesion development, the Bankura and Nadia isolates were categorized as highly virulent; isolates from Howrah, South 24 Parganas, Burdwan, </w:t>
      </w:r>
      <w:proofErr w:type="spellStart"/>
      <w:r w:rsidRPr="00C83E37">
        <w:rPr>
          <w:rFonts w:ascii="Arial Bold" w:hAnsi="Arial Bold" w:cs="Times New Roman"/>
        </w:rPr>
        <w:t>Purba</w:t>
      </w:r>
      <w:proofErr w:type="spellEnd"/>
      <w:r w:rsidRPr="00C83E37">
        <w:rPr>
          <w:rFonts w:ascii="Arial Bold" w:hAnsi="Arial Bold" w:cs="Times New Roman"/>
        </w:rPr>
        <w:t xml:space="preserve"> </w:t>
      </w:r>
      <w:proofErr w:type="spellStart"/>
      <w:r w:rsidRPr="00C83E37">
        <w:rPr>
          <w:rFonts w:ascii="Arial Bold" w:hAnsi="Arial Bold" w:cs="Times New Roman"/>
        </w:rPr>
        <w:t>Medinipur</w:t>
      </w:r>
      <w:proofErr w:type="spellEnd"/>
      <w:r w:rsidRPr="00C83E37">
        <w:rPr>
          <w:rFonts w:ascii="Arial Bold" w:hAnsi="Arial Bold" w:cs="Times New Roman"/>
        </w:rPr>
        <w:t xml:space="preserve">, and Hooghly were moderately virulent; while Birbhum and </w:t>
      </w:r>
      <w:proofErr w:type="spellStart"/>
      <w:r w:rsidRPr="00C83E37">
        <w:rPr>
          <w:rFonts w:ascii="Arial Bold" w:hAnsi="Arial Bold" w:cs="Times New Roman"/>
        </w:rPr>
        <w:t>Coochbehar</w:t>
      </w:r>
      <w:proofErr w:type="spellEnd"/>
      <w:r w:rsidRPr="00C83E37">
        <w:rPr>
          <w:rFonts w:ascii="Arial Bold" w:hAnsi="Arial Bold" w:cs="Times New Roman"/>
        </w:rPr>
        <w:t xml:space="preserve"> isolates were less virulent. Disease progression analysis revealed isolate-specific temporal patterns, with peak lesion expansion occurring at different growth intervals, suggesting differences in infection efficiency and colonization rate. Field observations showed considerable variation in disease incidence among cultivars, with the highest PDI recorded in GKTC–4 (78.31%) and comparatively lower incidence in </w:t>
      </w:r>
      <w:proofErr w:type="spellStart"/>
      <w:r w:rsidRPr="00C83E37">
        <w:rPr>
          <w:rFonts w:ascii="Arial Bold" w:hAnsi="Arial Bold" w:cs="Times New Roman"/>
        </w:rPr>
        <w:t>Prajjal</w:t>
      </w:r>
      <w:proofErr w:type="spellEnd"/>
      <w:r w:rsidRPr="00C83E37">
        <w:rPr>
          <w:rFonts w:ascii="Arial Bold" w:hAnsi="Arial Bold" w:cs="Times New Roman"/>
        </w:rPr>
        <w:t xml:space="preserve"> (20.00–23.11%), indicating differential host response under natural conditions.</w:t>
      </w:r>
    </w:p>
    <w:p w:rsidR="00AA239E" w:rsidRPr="00C83E37" w:rsidRDefault="00FA0C1B" w:rsidP="00FA0C1B">
      <w:pPr>
        <w:spacing w:after="0" w:line="360" w:lineRule="auto"/>
        <w:jc w:val="both"/>
        <w:rPr>
          <w:rFonts w:ascii="Arial Bold" w:hAnsi="Arial Bold" w:cs="Times New Roman"/>
        </w:rPr>
      </w:pPr>
      <w:r w:rsidRPr="00C83E37">
        <w:rPr>
          <w:rFonts w:ascii="Arial Bold" w:hAnsi="Arial Bold" w:cs="Times New Roman"/>
        </w:rPr>
        <w:lastRenderedPageBreak/>
        <w:t xml:space="preserve">The study demonstrated substantial pathogenic and virulence variability among </w:t>
      </w:r>
      <w:r w:rsidRPr="00C83E37">
        <w:rPr>
          <w:rFonts w:ascii="Arial Bold" w:hAnsi="Arial Bold" w:cs="Times New Roman"/>
          <w:i/>
        </w:rPr>
        <w:t xml:space="preserve">P. </w:t>
      </w:r>
      <w:proofErr w:type="spellStart"/>
      <w:r w:rsidRPr="00C83E37">
        <w:rPr>
          <w:rFonts w:ascii="Arial Bold" w:hAnsi="Arial Bold" w:cs="Times New Roman"/>
          <w:i/>
        </w:rPr>
        <w:t>polyanthis</w:t>
      </w:r>
      <w:proofErr w:type="spellEnd"/>
      <w:r w:rsidRPr="00C83E37">
        <w:rPr>
          <w:rFonts w:ascii="Arial Bold" w:hAnsi="Arial Bold" w:cs="Times New Roman"/>
        </w:rPr>
        <w:t xml:space="preserve"> populations across West Bengal. Understanding such variability is essential for accurate disease risk assessment, screening of resistant germplasm, and development of location-specific integrated disease management strategies. The findings provide baseline epidemiological information that will support future research on pathogen diversity, host–pathogen interactions, and sustainable management of tuberose tip blight</w:t>
      </w:r>
      <w:r w:rsidR="00AA239E" w:rsidRPr="00C83E37">
        <w:rPr>
          <w:rFonts w:ascii="Arial Bold" w:hAnsi="Arial Bold" w:cs="Times New Roman"/>
        </w:rPr>
        <w:t>.</w:t>
      </w:r>
    </w:p>
    <w:p w:rsidR="00AA239E" w:rsidRPr="00C83E37" w:rsidRDefault="00AA239E" w:rsidP="00AA239E">
      <w:pPr>
        <w:spacing w:after="0" w:line="360" w:lineRule="auto"/>
        <w:jc w:val="both"/>
        <w:rPr>
          <w:rFonts w:ascii="Arial Bold" w:hAnsi="Arial Bold" w:cs="Times New Roman"/>
        </w:rPr>
      </w:pPr>
      <w:r w:rsidRPr="00C83E37">
        <w:rPr>
          <w:rFonts w:ascii="Arial Bold" w:hAnsi="Arial Bold" w:cs="Times New Roman"/>
        </w:rPr>
        <w:t>Keywords:</w:t>
      </w:r>
    </w:p>
    <w:p w:rsidR="00AA239E" w:rsidRPr="00C83E37" w:rsidRDefault="00AA239E" w:rsidP="00AA239E">
      <w:pPr>
        <w:spacing w:after="0" w:line="360" w:lineRule="auto"/>
        <w:jc w:val="both"/>
        <w:rPr>
          <w:rFonts w:ascii="Arial Bold" w:hAnsi="Arial Bold" w:cs="Times New Roman"/>
        </w:rPr>
      </w:pPr>
      <w:r w:rsidRPr="00C83E37">
        <w:rPr>
          <w:rFonts w:ascii="Arial Bold" w:hAnsi="Arial Bold" w:cs="Times New Roman"/>
        </w:rPr>
        <w:t xml:space="preserve">Tip blight, </w:t>
      </w:r>
      <w:proofErr w:type="spellStart"/>
      <w:r w:rsidRPr="00C83E37">
        <w:rPr>
          <w:rFonts w:ascii="Arial Bold" w:hAnsi="Arial Bold" w:cs="Times New Roman"/>
          <w:i/>
        </w:rPr>
        <w:t>Phoma</w:t>
      </w:r>
      <w:proofErr w:type="spellEnd"/>
      <w:r w:rsidR="00FA0C1B" w:rsidRPr="00C83E37">
        <w:rPr>
          <w:rFonts w:ascii="Arial Bold" w:hAnsi="Arial Bold" w:cs="Times New Roman"/>
          <w:i/>
        </w:rPr>
        <w:t xml:space="preserve"> </w:t>
      </w:r>
      <w:proofErr w:type="spellStart"/>
      <w:r w:rsidRPr="00C83E37">
        <w:rPr>
          <w:rFonts w:ascii="Arial Bold" w:hAnsi="Arial Bold" w:cs="Times New Roman"/>
          <w:i/>
        </w:rPr>
        <w:t>polyanthis</w:t>
      </w:r>
      <w:proofErr w:type="spellEnd"/>
      <w:r w:rsidRPr="00C83E37">
        <w:rPr>
          <w:rFonts w:ascii="Arial Bold" w:hAnsi="Arial Bold" w:cs="Times New Roman"/>
        </w:rPr>
        <w:t>, Tuberose, Pathogenic variability, Virulence diversity, Lesion development, Disease progression, West Bengal.</w:t>
      </w:r>
    </w:p>
    <w:p w:rsidR="00002F3E" w:rsidRPr="00C83E37" w:rsidRDefault="00046A4B" w:rsidP="00AA239E">
      <w:pPr>
        <w:spacing w:after="0" w:line="360" w:lineRule="auto"/>
        <w:jc w:val="both"/>
        <w:rPr>
          <w:rFonts w:ascii="Arial Bold" w:hAnsi="Arial Bold" w:cs="Times New Roman"/>
        </w:rPr>
      </w:pPr>
      <w:r w:rsidRPr="00C83E37">
        <w:rPr>
          <w:rFonts w:ascii="Arial Bold" w:hAnsi="Arial Bold" w:cs="Times New Roman"/>
        </w:rPr>
        <w:t>INTRODUCTION</w:t>
      </w:r>
    </w:p>
    <w:p w:rsidR="00FA0C1B" w:rsidRPr="00C83E37" w:rsidRDefault="00FA0C1B" w:rsidP="00FA0C1B">
      <w:pPr>
        <w:spacing w:after="0" w:line="360" w:lineRule="auto"/>
        <w:jc w:val="both"/>
        <w:rPr>
          <w:rFonts w:ascii="Arial" w:hAnsi="Arial" w:cs="Arial"/>
          <w:sz w:val="20"/>
        </w:rPr>
      </w:pPr>
      <w:r w:rsidRPr="00C83E37">
        <w:rPr>
          <w:rFonts w:ascii="Arial" w:hAnsi="Arial" w:cs="Arial"/>
          <w:sz w:val="20"/>
        </w:rPr>
        <w:t>Tuberose (</w:t>
      </w:r>
      <w:proofErr w:type="spellStart"/>
      <w:r w:rsidRPr="00C83E37">
        <w:rPr>
          <w:rFonts w:ascii="Arial" w:hAnsi="Arial" w:cs="Arial"/>
          <w:i/>
          <w:sz w:val="20"/>
        </w:rPr>
        <w:t>Polianthes</w:t>
      </w:r>
      <w:proofErr w:type="spellEnd"/>
      <w:r w:rsidRPr="00C83E37">
        <w:rPr>
          <w:rFonts w:ascii="Arial" w:hAnsi="Arial" w:cs="Arial"/>
          <w:i/>
          <w:sz w:val="20"/>
        </w:rPr>
        <w:t xml:space="preserve"> </w:t>
      </w:r>
      <w:proofErr w:type="spellStart"/>
      <w:r w:rsidRPr="00C83E37">
        <w:rPr>
          <w:rFonts w:ascii="Arial" w:hAnsi="Arial" w:cs="Arial"/>
          <w:i/>
          <w:sz w:val="20"/>
        </w:rPr>
        <w:t>tuberosa</w:t>
      </w:r>
      <w:proofErr w:type="spellEnd"/>
      <w:r w:rsidRPr="00C83E37">
        <w:rPr>
          <w:rFonts w:ascii="Arial" w:hAnsi="Arial" w:cs="Arial"/>
          <w:sz w:val="20"/>
        </w:rPr>
        <w:t xml:space="preserve"> L.), recently reclassified as </w:t>
      </w:r>
      <w:r w:rsidRPr="00C83E37">
        <w:rPr>
          <w:rFonts w:ascii="Arial" w:hAnsi="Arial" w:cs="Arial"/>
          <w:i/>
          <w:sz w:val="20"/>
        </w:rPr>
        <w:t xml:space="preserve">Agave </w:t>
      </w:r>
      <w:proofErr w:type="spellStart"/>
      <w:r w:rsidRPr="00C83E37">
        <w:rPr>
          <w:rFonts w:ascii="Arial" w:hAnsi="Arial" w:cs="Arial"/>
          <w:i/>
          <w:sz w:val="20"/>
        </w:rPr>
        <w:t>amica</w:t>
      </w:r>
      <w:proofErr w:type="spellEnd"/>
      <w:r w:rsidRPr="00C83E37">
        <w:rPr>
          <w:rFonts w:ascii="Arial" w:hAnsi="Arial" w:cs="Arial"/>
          <w:sz w:val="20"/>
        </w:rPr>
        <w:t xml:space="preserve">, is an economically important ornamental bulbous crop widely cultivated for cut flowers, loose flowers, garlands, and extraction of high-value essential oil used in the perfume industry. India is one of the leading producers of tuberose, with major cultivation concentrated in states such as West Bengal, Karnataka, Tamil Nadu, Andhra Pradesh, and Maharashtra. Among these, West Bengal occupies a prominent position due to favorable </w:t>
      </w:r>
      <w:proofErr w:type="spellStart"/>
      <w:r w:rsidRPr="00C83E37">
        <w:rPr>
          <w:rFonts w:ascii="Arial" w:hAnsi="Arial" w:cs="Arial"/>
          <w:sz w:val="20"/>
        </w:rPr>
        <w:t>agro</w:t>
      </w:r>
      <w:proofErr w:type="spellEnd"/>
      <w:r w:rsidRPr="00C83E37">
        <w:rPr>
          <w:rFonts w:ascii="Arial" w:hAnsi="Arial" w:cs="Arial"/>
          <w:sz w:val="20"/>
        </w:rPr>
        <w:t xml:space="preserve">-climatic conditions and a well-established floriculture market. The crop plays a significant role in generating rural employment and supporting the commercial </w:t>
      </w:r>
      <w:r w:rsidR="00F76B4D" w:rsidRPr="00C83E37">
        <w:rPr>
          <w:rFonts w:ascii="Arial" w:hAnsi="Arial" w:cs="Arial"/>
          <w:sz w:val="20"/>
        </w:rPr>
        <w:t>floriculture sector (</w:t>
      </w:r>
      <w:r w:rsidRPr="00C83E37">
        <w:rPr>
          <w:rFonts w:ascii="Arial" w:hAnsi="Arial" w:cs="Arial"/>
          <w:sz w:val="20"/>
        </w:rPr>
        <w:t>ICAR–Directorate of Floricultural Research, 2022).</w:t>
      </w:r>
    </w:p>
    <w:p w:rsidR="00FA0C1B" w:rsidRPr="00C83E37" w:rsidRDefault="00FA0C1B" w:rsidP="00FA0C1B">
      <w:pPr>
        <w:spacing w:after="0" w:line="360" w:lineRule="auto"/>
        <w:jc w:val="both"/>
        <w:rPr>
          <w:rFonts w:ascii="Arial" w:hAnsi="Arial" w:cs="Arial"/>
          <w:sz w:val="20"/>
        </w:rPr>
      </w:pPr>
      <w:r w:rsidRPr="00C83E37">
        <w:rPr>
          <w:rFonts w:ascii="Arial" w:hAnsi="Arial" w:cs="Arial"/>
          <w:sz w:val="20"/>
        </w:rPr>
        <w:t xml:space="preserve">Despite its economic importance, intensive and continuous cultivation of tuberose under humid and warm conditions has led to the emergence and rapid spread of several diseases that adversely affect flower quality and yield. Among these, tip blight caused by </w:t>
      </w:r>
      <w:proofErr w:type="spellStart"/>
      <w:r w:rsidRPr="00C83E37">
        <w:rPr>
          <w:rFonts w:ascii="Arial" w:hAnsi="Arial" w:cs="Arial"/>
          <w:i/>
          <w:sz w:val="20"/>
        </w:rPr>
        <w:t>Phoma</w:t>
      </w:r>
      <w:proofErr w:type="spellEnd"/>
      <w:r w:rsidRPr="00C83E37">
        <w:rPr>
          <w:rFonts w:ascii="Arial" w:hAnsi="Arial" w:cs="Arial"/>
          <w:i/>
          <w:sz w:val="20"/>
        </w:rPr>
        <w:t xml:space="preserve"> </w:t>
      </w:r>
      <w:proofErr w:type="spellStart"/>
      <w:r w:rsidRPr="00C83E37">
        <w:rPr>
          <w:rFonts w:ascii="Arial" w:hAnsi="Arial" w:cs="Arial"/>
          <w:i/>
          <w:sz w:val="20"/>
        </w:rPr>
        <w:t>polyanthis</w:t>
      </w:r>
      <w:proofErr w:type="spellEnd"/>
      <w:r w:rsidRPr="00C83E37">
        <w:rPr>
          <w:rFonts w:ascii="Arial" w:hAnsi="Arial" w:cs="Arial"/>
          <w:sz w:val="20"/>
        </w:rPr>
        <w:t xml:space="preserve"> (syn. </w:t>
      </w:r>
      <w:proofErr w:type="spellStart"/>
      <w:r w:rsidRPr="00C83E37">
        <w:rPr>
          <w:rFonts w:ascii="Arial" w:hAnsi="Arial" w:cs="Arial"/>
          <w:i/>
          <w:sz w:val="20"/>
        </w:rPr>
        <w:t>Phoma</w:t>
      </w:r>
      <w:proofErr w:type="spellEnd"/>
      <w:r w:rsidRPr="00C83E37">
        <w:rPr>
          <w:rFonts w:ascii="Arial" w:hAnsi="Arial" w:cs="Arial"/>
          <w:i/>
          <w:sz w:val="20"/>
        </w:rPr>
        <w:t xml:space="preserve"> </w:t>
      </w:r>
      <w:r w:rsidRPr="00C83E37">
        <w:rPr>
          <w:rFonts w:ascii="Arial" w:hAnsi="Arial" w:cs="Arial"/>
          <w:sz w:val="20"/>
        </w:rPr>
        <w:t xml:space="preserve">spp.) has emerged as an important foliar disease in major growing regions. The disease is characterized by necrosis starting from the leaf tip and progressing downward, leading to reduction in effective photosynthetic area, premature leaf senescence, poor spike development, and significant yield loss (Rao </w:t>
      </w:r>
      <w:r w:rsidRPr="00C83E37">
        <w:rPr>
          <w:rFonts w:ascii="Arial" w:hAnsi="Arial" w:cs="Arial"/>
          <w:i/>
          <w:sz w:val="20"/>
        </w:rPr>
        <w:t>et al</w:t>
      </w:r>
      <w:r w:rsidRPr="00C83E37">
        <w:rPr>
          <w:rFonts w:ascii="Arial" w:hAnsi="Arial" w:cs="Arial"/>
          <w:sz w:val="20"/>
        </w:rPr>
        <w:t>., 2021; Singh and Kumar, 2020).</w:t>
      </w:r>
    </w:p>
    <w:p w:rsidR="00FA0C1B" w:rsidRPr="00C83E37" w:rsidRDefault="00FA0C1B" w:rsidP="00FA0C1B">
      <w:pPr>
        <w:spacing w:after="0" w:line="360" w:lineRule="auto"/>
        <w:jc w:val="both"/>
        <w:rPr>
          <w:rFonts w:ascii="Arial" w:hAnsi="Arial" w:cs="Arial"/>
          <w:sz w:val="20"/>
        </w:rPr>
      </w:pPr>
      <w:r w:rsidRPr="00C83E37">
        <w:rPr>
          <w:rFonts w:ascii="Arial" w:hAnsi="Arial" w:cs="Arial"/>
          <w:sz w:val="20"/>
        </w:rPr>
        <w:t xml:space="preserve">Members of the genus </w:t>
      </w:r>
      <w:proofErr w:type="spellStart"/>
      <w:r w:rsidRPr="00C83E37">
        <w:rPr>
          <w:rFonts w:ascii="Arial" w:hAnsi="Arial" w:cs="Arial"/>
          <w:i/>
          <w:sz w:val="20"/>
        </w:rPr>
        <w:t>Phoma</w:t>
      </w:r>
      <w:proofErr w:type="spellEnd"/>
      <w:r w:rsidRPr="00C83E37">
        <w:rPr>
          <w:rFonts w:ascii="Arial" w:hAnsi="Arial" w:cs="Arial"/>
          <w:sz w:val="20"/>
        </w:rPr>
        <w:t xml:space="preserve"> are known for their wide host range, environmental adaptability, and high variability in morphological, physiological, and pathogenic traits. Pathogenic variability among isolates is a critical factor influencing disease severity, host response, and effectiveness of management strategies. Variability in virulence has been reported in several </w:t>
      </w:r>
      <w:proofErr w:type="spellStart"/>
      <w:r w:rsidRPr="00C83E37">
        <w:rPr>
          <w:rFonts w:ascii="Arial" w:hAnsi="Arial" w:cs="Arial"/>
          <w:i/>
          <w:sz w:val="20"/>
        </w:rPr>
        <w:t>Phoma</w:t>
      </w:r>
      <w:proofErr w:type="spellEnd"/>
      <w:r w:rsidRPr="00C83E37">
        <w:rPr>
          <w:rFonts w:ascii="Arial" w:hAnsi="Arial" w:cs="Arial"/>
          <w:sz w:val="20"/>
        </w:rPr>
        <w:t xml:space="preserve"> species infecting different crops, indicating the existence of diverse pathogenic populations within a geographical region (</w:t>
      </w:r>
      <w:proofErr w:type="spellStart"/>
      <w:r w:rsidRPr="00C83E37">
        <w:rPr>
          <w:rFonts w:ascii="Arial" w:hAnsi="Arial" w:cs="Arial"/>
          <w:sz w:val="20"/>
        </w:rPr>
        <w:t>Aveskamp</w:t>
      </w:r>
      <w:proofErr w:type="spellEnd"/>
      <w:r w:rsidRPr="00C83E37">
        <w:rPr>
          <w:rFonts w:ascii="Arial" w:hAnsi="Arial" w:cs="Arial"/>
          <w:sz w:val="20"/>
        </w:rPr>
        <w:t xml:space="preserve"> </w:t>
      </w:r>
      <w:r w:rsidRPr="00C83E37">
        <w:rPr>
          <w:rFonts w:ascii="Arial" w:hAnsi="Arial" w:cs="Arial"/>
          <w:i/>
          <w:sz w:val="20"/>
        </w:rPr>
        <w:t>et al</w:t>
      </w:r>
      <w:r w:rsidRPr="00C83E37">
        <w:rPr>
          <w:rFonts w:ascii="Arial" w:hAnsi="Arial" w:cs="Arial"/>
          <w:sz w:val="20"/>
        </w:rPr>
        <w:t xml:space="preserve">., 2010; Chen </w:t>
      </w:r>
      <w:r w:rsidRPr="00C83E37">
        <w:rPr>
          <w:rFonts w:ascii="Arial" w:hAnsi="Arial" w:cs="Arial"/>
          <w:i/>
          <w:sz w:val="20"/>
        </w:rPr>
        <w:t>et al</w:t>
      </w:r>
      <w:r w:rsidRPr="00C83E37">
        <w:rPr>
          <w:rFonts w:ascii="Arial" w:hAnsi="Arial" w:cs="Arial"/>
          <w:sz w:val="20"/>
        </w:rPr>
        <w:t>., 2015). Understanding such variability is essential for the development of resistant cultivars, formulation of region-specific disease management practices, and prediction of disease outbreaks.</w:t>
      </w:r>
    </w:p>
    <w:p w:rsidR="00FA0C1B" w:rsidRPr="00C83E37" w:rsidRDefault="00FA0C1B" w:rsidP="00FA0C1B">
      <w:pPr>
        <w:spacing w:after="0" w:line="360" w:lineRule="auto"/>
        <w:jc w:val="both"/>
        <w:rPr>
          <w:rFonts w:ascii="Arial" w:hAnsi="Arial" w:cs="Arial"/>
          <w:sz w:val="20"/>
        </w:rPr>
      </w:pPr>
      <w:r w:rsidRPr="00C83E37">
        <w:rPr>
          <w:rFonts w:ascii="Arial" w:hAnsi="Arial" w:cs="Arial"/>
          <w:sz w:val="20"/>
        </w:rPr>
        <w:t xml:space="preserve">Epidemiological factors such as temperature, relative humidity, rainfall, and crop growth stage play a crucial role in disease development and progression. In eastern India, particularly in West Bengal, prolonged periods of high humidity and moderate temperature during the monsoon and post-monsoon </w:t>
      </w:r>
      <w:r w:rsidRPr="00C83E37">
        <w:rPr>
          <w:rFonts w:ascii="Arial" w:hAnsi="Arial" w:cs="Arial"/>
          <w:sz w:val="20"/>
        </w:rPr>
        <w:lastRenderedPageBreak/>
        <w:t xml:space="preserve">seasons create highly favorable conditions for foliar pathogens, including </w:t>
      </w:r>
      <w:proofErr w:type="spellStart"/>
      <w:r w:rsidRPr="00C83E37">
        <w:rPr>
          <w:rFonts w:ascii="Arial" w:hAnsi="Arial" w:cs="Arial"/>
          <w:i/>
          <w:sz w:val="20"/>
        </w:rPr>
        <w:t>Phoma</w:t>
      </w:r>
      <w:proofErr w:type="spellEnd"/>
      <w:r w:rsidRPr="00C83E37">
        <w:rPr>
          <w:rFonts w:ascii="Arial" w:hAnsi="Arial" w:cs="Arial"/>
          <w:sz w:val="20"/>
        </w:rPr>
        <w:t xml:space="preserve"> spp. However, systematic information on the epidemiology, virulence diversity, and temporal disease progression of </w:t>
      </w:r>
      <w:r w:rsidRPr="00C83E37">
        <w:rPr>
          <w:rFonts w:ascii="Arial" w:hAnsi="Arial" w:cs="Arial"/>
          <w:i/>
          <w:sz w:val="20"/>
        </w:rPr>
        <w:t xml:space="preserve">P. </w:t>
      </w:r>
      <w:proofErr w:type="spellStart"/>
      <w:r w:rsidRPr="00C83E37">
        <w:rPr>
          <w:rFonts w:ascii="Arial" w:hAnsi="Arial" w:cs="Arial"/>
          <w:i/>
          <w:sz w:val="20"/>
        </w:rPr>
        <w:t>polyanthis</w:t>
      </w:r>
      <w:proofErr w:type="spellEnd"/>
      <w:r w:rsidRPr="00C83E37">
        <w:rPr>
          <w:rFonts w:ascii="Arial" w:hAnsi="Arial" w:cs="Arial"/>
          <w:sz w:val="20"/>
        </w:rPr>
        <w:t xml:space="preserve"> under these </w:t>
      </w:r>
      <w:proofErr w:type="spellStart"/>
      <w:r w:rsidRPr="00C83E37">
        <w:rPr>
          <w:rFonts w:ascii="Arial" w:hAnsi="Arial" w:cs="Arial"/>
          <w:sz w:val="20"/>
        </w:rPr>
        <w:t>agro</w:t>
      </w:r>
      <w:proofErr w:type="spellEnd"/>
      <w:r w:rsidRPr="00C83E37">
        <w:rPr>
          <w:rFonts w:ascii="Arial" w:hAnsi="Arial" w:cs="Arial"/>
          <w:sz w:val="20"/>
        </w:rPr>
        <w:t>-climatic conditions is limited.</w:t>
      </w:r>
    </w:p>
    <w:p w:rsidR="00FA0C1B" w:rsidRPr="00C83E37" w:rsidRDefault="00FA0C1B" w:rsidP="00FA0C1B">
      <w:pPr>
        <w:spacing w:after="0" w:line="360" w:lineRule="auto"/>
        <w:jc w:val="both"/>
        <w:rPr>
          <w:rFonts w:ascii="Arial" w:hAnsi="Arial" w:cs="Arial"/>
          <w:sz w:val="20"/>
        </w:rPr>
      </w:pPr>
      <w:r w:rsidRPr="00C83E37">
        <w:rPr>
          <w:rFonts w:ascii="Arial" w:hAnsi="Arial" w:cs="Arial"/>
          <w:sz w:val="20"/>
        </w:rPr>
        <w:t>Moreover, the success of integrated disease management depends largely on understanding isolate-specific aggressiveness and host–pathogen interactions. Quantitative assessment of lesion development and disease progression provides valuable insights into pathogen aggressiveness and helps classify isolates into virulence groups. Such information is particularly important for screening germplasm, standardizing inoculation techniques, and developing forecasting models.</w:t>
      </w:r>
    </w:p>
    <w:p w:rsidR="00002F3E" w:rsidRPr="00C83E37" w:rsidRDefault="00FA0C1B" w:rsidP="00FA0C1B">
      <w:pPr>
        <w:spacing w:after="0" w:line="360" w:lineRule="auto"/>
        <w:jc w:val="both"/>
        <w:rPr>
          <w:rFonts w:ascii="Arial" w:hAnsi="Arial" w:cs="Arial"/>
          <w:sz w:val="20"/>
        </w:rPr>
      </w:pPr>
      <w:r w:rsidRPr="00C83E37">
        <w:rPr>
          <w:rFonts w:ascii="Arial" w:hAnsi="Arial" w:cs="Arial"/>
          <w:sz w:val="20"/>
        </w:rPr>
        <w:t xml:space="preserve">Although the occurrence of tip blight in tuberose has been reported from different parts of India, comprehensive studies addressing pathogenic variability and epidemiological behavior of </w:t>
      </w:r>
      <w:r w:rsidRPr="00C83E37">
        <w:rPr>
          <w:rFonts w:ascii="Arial" w:hAnsi="Arial" w:cs="Arial"/>
          <w:i/>
          <w:sz w:val="20"/>
        </w:rPr>
        <w:t xml:space="preserve">P. </w:t>
      </w:r>
      <w:proofErr w:type="spellStart"/>
      <w:r w:rsidRPr="00C83E37">
        <w:rPr>
          <w:rFonts w:ascii="Arial" w:hAnsi="Arial" w:cs="Arial"/>
          <w:i/>
          <w:sz w:val="20"/>
        </w:rPr>
        <w:t>polyanthis</w:t>
      </w:r>
      <w:proofErr w:type="spellEnd"/>
      <w:r w:rsidRPr="00C83E37">
        <w:rPr>
          <w:rFonts w:ascii="Arial" w:hAnsi="Arial" w:cs="Arial"/>
          <w:sz w:val="20"/>
        </w:rPr>
        <w:t xml:space="preserve"> isolates from West Bengal are scarce. Therefore, the present investigation was undertaken to study the epidemiology, pathogenic variability, and virulence diversity of </w:t>
      </w:r>
      <w:r w:rsidRPr="00C83E37">
        <w:rPr>
          <w:rFonts w:ascii="Arial" w:hAnsi="Arial" w:cs="Arial"/>
          <w:i/>
          <w:sz w:val="20"/>
        </w:rPr>
        <w:t xml:space="preserve">P. </w:t>
      </w:r>
      <w:proofErr w:type="spellStart"/>
      <w:r w:rsidRPr="00C83E37">
        <w:rPr>
          <w:rFonts w:ascii="Arial" w:hAnsi="Arial" w:cs="Arial"/>
          <w:i/>
          <w:sz w:val="20"/>
        </w:rPr>
        <w:t>polyanthis</w:t>
      </w:r>
      <w:proofErr w:type="spellEnd"/>
      <w:r w:rsidRPr="00C83E37">
        <w:rPr>
          <w:rFonts w:ascii="Arial" w:hAnsi="Arial" w:cs="Arial"/>
          <w:sz w:val="20"/>
        </w:rPr>
        <w:t xml:space="preserve"> isolates collected from different tuberose-growing districts of West Bengal, with the aim of generating baseline information for developing effective and location-specific disease management strategies</w:t>
      </w:r>
      <w:r w:rsidR="00002F3E" w:rsidRPr="00C83E37">
        <w:rPr>
          <w:rFonts w:ascii="Arial" w:hAnsi="Arial" w:cs="Arial"/>
          <w:sz w:val="20"/>
        </w:rPr>
        <w:t>.</w:t>
      </w:r>
    </w:p>
    <w:p w:rsidR="00002F3E" w:rsidRPr="00C83E37" w:rsidRDefault="00046A4B" w:rsidP="00002F3E">
      <w:pPr>
        <w:spacing w:after="0"/>
        <w:rPr>
          <w:rFonts w:ascii="Times New Roman" w:hAnsi="Times New Roman" w:cs="Times New Roman"/>
          <w:b/>
          <w:sz w:val="24"/>
        </w:rPr>
      </w:pPr>
      <w:r w:rsidRPr="00C83E37">
        <w:rPr>
          <w:rFonts w:ascii="Arial Bold" w:hAnsi="Arial Bold" w:cs="Times New Roman"/>
          <w:b/>
        </w:rPr>
        <w:t>MATERIALS AND METHODS</w:t>
      </w:r>
    </w:p>
    <w:p w:rsidR="00002F3E" w:rsidRPr="00C83E37" w:rsidRDefault="00002F3E" w:rsidP="00002F3E">
      <w:pPr>
        <w:spacing w:after="0" w:line="360" w:lineRule="auto"/>
        <w:rPr>
          <w:rFonts w:ascii="Arial" w:hAnsi="Arial" w:cs="Arial"/>
          <w:b/>
        </w:rPr>
      </w:pPr>
      <w:r w:rsidRPr="00C83E37">
        <w:rPr>
          <w:rFonts w:ascii="Arial" w:hAnsi="Arial" w:cs="Arial"/>
          <w:b/>
        </w:rPr>
        <w:t>2.1 Sample Collection and Isolation</w:t>
      </w:r>
    </w:p>
    <w:p w:rsidR="00002F3E" w:rsidRPr="00C83E37" w:rsidRDefault="00002F3E" w:rsidP="00C851C6">
      <w:pPr>
        <w:spacing w:after="0" w:line="360" w:lineRule="auto"/>
        <w:jc w:val="both"/>
        <w:rPr>
          <w:rFonts w:ascii="Arial" w:hAnsi="Arial" w:cs="Arial"/>
          <w:sz w:val="20"/>
        </w:rPr>
      </w:pPr>
      <w:r w:rsidRPr="00C83E37">
        <w:rPr>
          <w:rFonts w:ascii="Arial" w:hAnsi="Arial" w:cs="Arial"/>
          <w:sz w:val="20"/>
        </w:rPr>
        <w:t>Tuberose leaves showing tip blight symptoms were collected from nine districts of West Bengal during September–October 2023. Diseased tissues were surface sterilized and plated on Potato Dextrose Agar (PDA). Pure cultures were obtained via hyphal tip isolation.</w:t>
      </w:r>
    </w:p>
    <w:p w:rsidR="00002F3E" w:rsidRPr="00C83E37" w:rsidRDefault="00002F3E" w:rsidP="00002F3E">
      <w:pPr>
        <w:spacing w:after="0" w:line="360" w:lineRule="auto"/>
        <w:rPr>
          <w:rFonts w:ascii="Arial" w:hAnsi="Arial" w:cs="Arial"/>
          <w:b/>
        </w:rPr>
      </w:pPr>
      <w:r w:rsidRPr="00C83E37">
        <w:rPr>
          <w:rFonts w:ascii="Arial" w:hAnsi="Arial" w:cs="Arial"/>
          <w:b/>
        </w:rPr>
        <w:t>2.2 Pathogenicity and Virulence Assessment</w:t>
      </w:r>
    </w:p>
    <w:p w:rsidR="00002F3E" w:rsidRPr="00C83E37" w:rsidRDefault="00002F3E" w:rsidP="00C851C6">
      <w:pPr>
        <w:spacing w:after="0" w:line="360" w:lineRule="auto"/>
        <w:jc w:val="both"/>
        <w:rPr>
          <w:rFonts w:ascii="Arial" w:hAnsi="Arial" w:cs="Arial"/>
          <w:sz w:val="20"/>
        </w:rPr>
      </w:pPr>
      <w:r w:rsidRPr="00C83E37">
        <w:rPr>
          <w:rFonts w:ascii="Arial" w:hAnsi="Arial" w:cs="Arial"/>
          <w:sz w:val="20"/>
        </w:rPr>
        <w:t>Pathogenicity tests were conducted on GKTC-4 cultivar under controlled conditions. Leaves were inoculated with spore suspensions of the nine isolates, and lesion length was recorded at 24-hour intervals up to 120 hours.</w:t>
      </w:r>
    </w:p>
    <w:p w:rsidR="00002F3E" w:rsidRPr="00C83E37" w:rsidRDefault="00002F3E" w:rsidP="00002F3E">
      <w:pPr>
        <w:spacing w:after="0" w:line="360" w:lineRule="auto"/>
        <w:rPr>
          <w:rFonts w:ascii="Arial" w:hAnsi="Arial" w:cs="Arial"/>
          <w:b/>
        </w:rPr>
      </w:pPr>
      <w:r w:rsidRPr="00C83E37">
        <w:rPr>
          <w:rFonts w:ascii="Arial" w:hAnsi="Arial" w:cs="Arial"/>
          <w:b/>
        </w:rPr>
        <w:t>2.3 Disease Progression and Lesion Growth Rate</w:t>
      </w:r>
    </w:p>
    <w:p w:rsidR="00002F3E" w:rsidRPr="00C83E37" w:rsidRDefault="00002F3E" w:rsidP="00002F3E">
      <w:pPr>
        <w:spacing w:after="0" w:line="360" w:lineRule="auto"/>
        <w:rPr>
          <w:rFonts w:ascii="Arial" w:hAnsi="Arial" w:cs="Arial"/>
          <w:sz w:val="20"/>
        </w:rPr>
      </w:pPr>
      <w:r w:rsidRPr="00C83E37">
        <w:rPr>
          <w:rFonts w:ascii="Arial" w:hAnsi="Arial" w:cs="Arial"/>
          <w:sz w:val="20"/>
        </w:rPr>
        <w:t>Increment in mean diseased lesion length (LDLI) was calculated to assess isolate-specific disease progression dynamics.</w:t>
      </w:r>
    </w:p>
    <w:p w:rsidR="00002F3E" w:rsidRPr="00C83E37" w:rsidRDefault="0023113D" w:rsidP="00002F3E">
      <w:pPr>
        <w:spacing w:after="0" w:line="360" w:lineRule="auto"/>
        <w:rPr>
          <w:rFonts w:ascii="Arial Bold" w:hAnsi="Arial Bold" w:cs="Times New Roman"/>
          <w:b/>
        </w:rPr>
      </w:pPr>
      <w:r w:rsidRPr="00C83E37">
        <w:rPr>
          <w:rFonts w:ascii="Arial Bold" w:hAnsi="Arial Bold" w:cs="Times New Roman"/>
          <w:b/>
        </w:rPr>
        <w:t xml:space="preserve">3. </w:t>
      </w:r>
      <w:r w:rsidR="00046A4B" w:rsidRPr="00C83E37">
        <w:rPr>
          <w:rFonts w:ascii="Arial Bold" w:hAnsi="Arial Bold" w:cs="Times New Roman"/>
          <w:b/>
        </w:rPr>
        <w:t>RESULTS</w:t>
      </w:r>
      <w:r w:rsidR="00B55218" w:rsidRPr="00C83E37">
        <w:rPr>
          <w:rFonts w:ascii="Arial Bold" w:hAnsi="Arial Bold" w:cs="Times New Roman"/>
          <w:b/>
        </w:rPr>
        <w:t xml:space="preserve"> &amp; DISCUSSION</w:t>
      </w:r>
    </w:p>
    <w:p w:rsidR="00046A4B" w:rsidRPr="00C83E37" w:rsidRDefault="00B55218" w:rsidP="00B5028B">
      <w:pPr>
        <w:pStyle w:val="NormalWeb"/>
        <w:spacing w:before="0" w:beforeAutospacing="0" w:after="0" w:afterAutospacing="0" w:line="360" w:lineRule="auto"/>
        <w:jc w:val="both"/>
        <w:rPr>
          <w:rFonts w:ascii="Arial" w:hAnsi="Arial" w:cs="Arial"/>
          <w:sz w:val="16"/>
          <w:szCs w:val="20"/>
        </w:rPr>
      </w:pPr>
      <w:r w:rsidRPr="00C83E37">
        <w:rPr>
          <w:rFonts w:ascii="Arial" w:hAnsi="Arial" w:cs="Arial"/>
          <w:sz w:val="20"/>
        </w:rPr>
        <w:t xml:space="preserve">In this study, nine </w:t>
      </w:r>
      <w:proofErr w:type="spellStart"/>
      <w:r w:rsidRPr="00C83E37">
        <w:rPr>
          <w:rStyle w:val="Emphasis"/>
          <w:rFonts w:ascii="Arial" w:hAnsi="Arial" w:cs="Arial"/>
          <w:sz w:val="20"/>
        </w:rPr>
        <w:t>Phoma</w:t>
      </w:r>
      <w:proofErr w:type="spellEnd"/>
      <w:r w:rsidRPr="00C83E37">
        <w:rPr>
          <w:rStyle w:val="Emphasis"/>
          <w:rFonts w:ascii="Arial" w:hAnsi="Arial" w:cs="Arial"/>
          <w:sz w:val="20"/>
        </w:rPr>
        <w:t xml:space="preserve"> </w:t>
      </w:r>
      <w:proofErr w:type="spellStart"/>
      <w:r w:rsidRPr="00C83E37">
        <w:rPr>
          <w:rStyle w:val="Emphasis"/>
          <w:rFonts w:ascii="Arial" w:hAnsi="Arial" w:cs="Arial"/>
          <w:sz w:val="20"/>
        </w:rPr>
        <w:t>polyanthis</w:t>
      </w:r>
      <w:proofErr w:type="spellEnd"/>
      <w:r w:rsidRPr="00C83E37">
        <w:rPr>
          <w:rFonts w:ascii="Arial" w:hAnsi="Arial" w:cs="Arial"/>
          <w:sz w:val="20"/>
        </w:rPr>
        <w:t xml:space="preserve"> isolates collected from tip blight–affected tuberose plants across nine districts of West Bengal exhibited marked variation in disease incidence, pathogenicity, and virulence dynamics. Field observations demonstrated significant differences in percent disease index (PDI) among locations and cultivars (Table 1). The susceptible cultivar GKTC–4 from Nadia recorded the highest PDI (78.31%), while </w:t>
      </w:r>
      <w:proofErr w:type="spellStart"/>
      <w:r w:rsidRPr="00C83E37">
        <w:rPr>
          <w:rFonts w:ascii="Arial" w:hAnsi="Arial" w:cs="Arial"/>
          <w:sz w:val="20"/>
        </w:rPr>
        <w:t>Prajjal</w:t>
      </w:r>
      <w:proofErr w:type="spellEnd"/>
      <w:r w:rsidRPr="00C83E37">
        <w:rPr>
          <w:rFonts w:ascii="Arial" w:hAnsi="Arial" w:cs="Arial"/>
          <w:sz w:val="20"/>
        </w:rPr>
        <w:t xml:space="preserve"> from </w:t>
      </w:r>
      <w:proofErr w:type="spellStart"/>
      <w:r w:rsidRPr="00C83E37">
        <w:rPr>
          <w:rFonts w:ascii="Arial" w:hAnsi="Arial" w:cs="Arial"/>
          <w:sz w:val="20"/>
        </w:rPr>
        <w:t>Purba</w:t>
      </w:r>
      <w:proofErr w:type="spellEnd"/>
      <w:r w:rsidRPr="00C83E37">
        <w:rPr>
          <w:rFonts w:ascii="Arial" w:hAnsi="Arial" w:cs="Arial"/>
          <w:sz w:val="20"/>
        </w:rPr>
        <w:t xml:space="preserve"> </w:t>
      </w:r>
      <w:proofErr w:type="spellStart"/>
      <w:r w:rsidRPr="00C83E37">
        <w:rPr>
          <w:rFonts w:ascii="Arial" w:hAnsi="Arial" w:cs="Arial"/>
          <w:sz w:val="20"/>
        </w:rPr>
        <w:t>Medinipur</w:t>
      </w:r>
      <w:proofErr w:type="spellEnd"/>
      <w:r w:rsidRPr="00C83E37">
        <w:rPr>
          <w:rFonts w:ascii="Arial" w:hAnsi="Arial" w:cs="Arial"/>
          <w:sz w:val="20"/>
        </w:rPr>
        <w:t xml:space="preserve"> and Hooghly demonstrated the lowest PDI (20.00–23.11%). Moderate disease incidence was seen in cultivars such as </w:t>
      </w:r>
      <w:proofErr w:type="spellStart"/>
      <w:r w:rsidRPr="00C83E37">
        <w:rPr>
          <w:rFonts w:ascii="Arial" w:hAnsi="Arial" w:cs="Arial"/>
          <w:sz w:val="20"/>
        </w:rPr>
        <w:t>Subhasini</w:t>
      </w:r>
      <w:proofErr w:type="spellEnd"/>
      <w:r w:rsidRPr="00C83E37">
        <w:rPr>
          <w:rFonts w:ascii="Arial" w:hAnsi="Arial" w:cs="Arial"/>
          <w:sz w:val="20"/>
        </w:rPr>
        <w:t xml:space="preserve"> (Birbhum 59.01%, </w:t>
      </w:r>
      <w:proofErr w:type="spellStart"/>
      <w:r w:rsidRPr="00C83E37">
        <w:rPr>
          <w:rFonts w:ascii="Arial" w:hAnsi="Arial" w:cs="Arial"/>
          <w:sz w:val="20"/>
        </w:rPr>
        <w:t>Coochbehar</w:t>
      </w:r>
      <w:proofErr w:type="spellEnd"/>
      <w:r w:rsidRPr="00C83E37">
        <w:rPr>
          <w:rFonts w:ascii="Arial" w:hAnsi="Arial" w:cs="Arial"/>
          <w:sz w:val="20"/>
        </w:rPr>
        <w:t xml:space="preserve"> 64.05%), Calcutta Single (Burdwan 47.91%), and </w:t>
      </w:r>
      <w:proofErr w:type="spellStart"/>
      <w:r w:rsidRPr="00C83E37">
        <w:rPr>
          <w:rFonts w:ascii="Arial" w:hAnsi="Arial" w:cs="Arial"/>
          <w:sz w:val="20"/>
        </w:rPr>
        <w:t>Sringer</w:t>
      </w:r>
      <w:proofErr w:type="spellEnd"/>
      <w:r w:rsidRPr="00C83E37">
        <w:rPr>
          <w:rFonts w:ascii="Arial" w:hAnsi="Arial" w:cs="Arial"/>
          <w:sz w:val="20"/>
        </w:rPr>
        <w:t xml:space="preserve"> (Bankura 38.89%, 24 Parganas (S) 39.24%). These results highlight differential host susceptibility and potential environmental influences on disease development, consistent with earlier reports on differential cultivar response under variable </w:t>
      </w:r>
      <w:proofErr w:type="spellStart"/>
      <w:r w:rsidRPr="00C83E37">
        <w:rPr>
          <w:rFonts w:ascii="Arial" w:hAnsi="Arial" w:cs="Arial"/>
          <w:sz w:val="20"/>
        </w:rPr>
        <w:t>agro</w:t>
      </w:r>
      <w:proofErr w:type="spellEnd"/>
      <w:r w:rsidRPr="00C83E37">
        <w:rPr>
          <w:rFonts w:ascii="Arial" w:hAnsi="Arial" w:cs="Arial"/>
          <w:sz w:val="20"/>
        </w:rPr>
        <w:t xml:space="preserve">-climatic conditions (Chowdhury </w:t>
      </w:r>
      <w:r w:rsidRPr="00C83E37">
        <w:rPr>
          <w:rStyle w:val="Emphasis"/>
          <w:rFonts w:ascii="Arial" w:hAnsi="Arial" w:cs="Arial"/>
          <w:sz w:val="20"/>
        </w:rPr>
        <w:t>et al.</w:t>
      </w:r>
      <w:r w:rsidRPr="00C83E37">
        <w:rPr>
          <w:rFonts w:ascii="Arial" w:hAnsi="Arial" w:cs="Arial"/>
          <w:sz w:val="20"/>
        </w:rPr>
        <w:t>, 2021; Singh and Choudhary, 2020).</w:t>
      </w:r>
    </w:p>
    <w:p w:rsidR="00046A4B" w:rsidRPr="00C83E37" w:rsidRDefault="00046A4B" w:rsidP="00046A4B">
      <w:pPr>
        <w:spacing w:line="360" w:lineRule="auto"/>
        <w:ind w:right="-306"/>
        <w:jc w:val="both"/>
        <w:rPr>
          <w:rFonts w:ascii="Arial" w:hAnsi="Arial" w:cs="Arial"/>
          <w:sz w:val="20"/>
          <w:szCs w:val="20"/>
        </w:rPr>
      </w:pPr>
      <w:r w:rsidRPr="00C83E37">
        <w:rPr>
          <w:rFonts w:ascii="Arial" w:hAnsi="Arial" w:cs="Arial"/>
          <w:b/>
          <w:bCs/>
          <w:sz w:val="20"/>
          <w:szCs w:val="20"/>
        </w:rPr>
        <w:lastRenderedPageBreak/>
        <w:t>Table 1: Name of tuberose tip blight pathogen isolates as well as name of places, districts and tuberose cultivars from where tip blight diseased sample of particular PDI were collected.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827"/>
        <w:gridCol w:w="2519"/>
        <w:gridCol w:w="2418"/>
        <w:gridCol w:w="1813"/>
        <w:gridCol w:w="1913"/>
      </w:tblGrid>
      <w:tr w:rsidR="00046A4B" w:rsidRPr="00C83E37" w:rsidTr="00F91971">
        <w:tc>
          <w:tcPr>
            <w:tcW w:w="435"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Sl. No.</w:t>
            </w:r>
          </w:p>
        </w:tc>
        <w:tc>
          <w:tcPr>
            <w:tcW w:w="1327"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Name of the isolates</w:t>
            </w:r>
          </w:p>
        </w:tc>
        <w:tc>
          <w:tcPr>
            <w:tcW w:w="1274"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Places and districts of tip blight diseased samples collection</w:t>
            </w:r>
          </w:p>
        </w:tc>
        <w:tc>
          <w:tcPr>
            <w:tcW w:w="955"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Name of the tuberose cultivars</w:t>
            </w:r>
          </w:p>
        </w:tc>
        <w:tc>
          <w:tcPr>
            <w:tcW w:w="1008"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PDI of tip blight affected plants</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1.</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Birbhum</w:t>
            </w:r>
          </w:p>
        </w:tc>
        <w:tc>
          <w:tcPr>
            <w:tcW w:w="1274"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Viswa</w:t>
            </w:r>
            <w:proofErr w:type="spellEnd"/>
            <w:r w:rsidRPr="00C83E37">
              <w:rPr>
                <w:rFonts w:ascii="Arial" w:hAnsi="Arial" w:cs="Arial"/>
                <w:sz w:val="20"/>
                <w:szCs w:val="20"/>
              </w:rPr>
              <w:t xml:space="preserve"> Bharati University Campus, Birbhum</w:t>
            </w:r>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Subhasini</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59.01  (</w:t>
            </w:r>
            <w:proofErr w:type="gramEnd"/>
            <w:r w:rsidRPr="00C83E37">
              <w:rPr>
                <w:rFonts w:ascii="Arial" w:hAnsi="Arial" w:cs="Arial"/>
                <w:sz w:val="20"/>
                <w:szCs w:val="20"/>
              </w:rPr>
              <w:t>49.68)*</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2.</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Hooghly</w:t>
            </w:r>
          </w:p>
        </w:tc>
        <w:tc>
          <w:tcPr>
            <w:tcW w:w="1274"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Dhaniakhali</w:t>
            </w:r>
            <w:proofErr w:type="spellEnd"/>
            <w:r w:rsidRPr="00C83E37">
              <w:rPr>
                <w:rFonts w:ascii="Arial" w:hAnsi="Arial" w:cs="Arial"/>
                <w:sz w:val="20"/>
                <w:szCs w:val="20"/>
              </w:rPr>
              <w:t>, Hooghly</w:t>
            </w:r>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Prajjal</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23.11  (</w:t>
            </w:r>
            <w:proofErr w:type="gramEnd"/>
            <w:r w:rsidRPr="00C83E37">
              <w:rPr>
                <w:rFonts w:ascii="Arial" w:hAnsi="Arial" w:cs="Arial"/>
                <w:sz w:val="20"/>
                <w:szCs w:val="20"/>
              </w:rPr>
              <w:t>29.10)</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3.</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Burdwan</w:t>
            </w:r>
          </w:p>
        </w:tc>
        <w:tc>
          <w:tcPr>
            <w:tcW w:w="1274"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BCKV Burdwan Campus, Burdwan</w:t>
            </w:r>
          </w:p>
        </w:tc>
        <w:tc>
          <w:tcPr>
            <w:tcW w:w="955"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Calcutta Single</w:t>
            </w:r>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47.91  (</w:t>
            </w:r>
            <w:proofErr w:type="gramEnd"/>
            <w:r w:rsidRPr="00C83E37">
              <w:rPr>
                <w:rFonts w:ascii="Arial" w:hAnsi="Arial" w:cs="Arial"/>
                <w:sz w:val="20"/>
                <w:szCs w:val="20"/>
              </w:rPr>
              <w:t>43.67)</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4.</w:t>
            </w:r>
          </w:p>
        </w:tc>
        <w:tc>
          <w:tcPr>
            <w:tcW w:w="1327" w:type="pct"/>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PurbaMedinipur</w:t>
            </w:r>
            <w:proofErr w:type="spellEnd"/>
          </w:p>
        </w:tc>
        <w:tc>
          <w:tcPr>
            <w:tcW w:w="1274"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Radhamohanpur</w:t>
            </w:r>
            <w:proofErr w:type="spellEnd"/>
            <w:r w:rsidRPr="00C83E37">
              <w:rPr>
                <w:rFonts w:ascii="Arial" w:hAnsi="Arial" w:cs="Arial"/>
                <w:sz w:val="20"/>
                <w:szCs w:val="20"/>
              </w:rPr>
              <w:t xml:space="preserve">, </w:t>
            </w:r>
            <w:proofErr w:type="spellStart"/>
            <w:r w:rsidRPr="00C83E37">
              <w:rPr>
                <w:rFonts w:ascii="Arial" w:hAnsi="Arial" w:cs="Arial"/>
                <w:sz w:val="20"/>
                <w:szCs w:val="20"/>
              </w:rPr>
              <w:t>PurbaMedinipur</w:t>
            </w:r>
            <w:proofErr w:type="spellEnd"/>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Prajjal</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20.00  (</w:t>
            </w:r>
            <w:proofErr w:type="gramEnd"/>
            <w:r w:rsidRPr="00C83E37">
              <w:rPr>
                <w:rFonts w:ascii="Arial" w:hAnsi="Arial" w:cs="Arial"/>
                <w:sz w:val="20"/>
                <w:szCs w:val="20"/>
              </w:rPr>
              <w:t>26.55)</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5.</w:t>
            </w:r>
          </w:p>
        </w:tc>
        <w:tc>
          <w:tcPr>
            <w:tcW w:w="1327" w:type="pct"/>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Coochbehar</w:t>
            </w:r>
            <w:proofErr w:type="spellEnd"/>
          </w:p>
        </w:tc>
        <w:tc>
          <w:tcPr>
            <w:tcW w:w="1274"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 xml:space="preserve">UBKV, </w:t>
            </w:r>
            <w:proofErr w:type="spellStart"/>
            <w:r w:rsidRPr="00C83E37">
              <w:rPr>
                <w:rFonts w:ascii="Arial" w:hAnsi="Arial" w:cs="Arial"/>
                <w:sz w:val="20"/>
                <w:szCs w:val="20"/>
              </w:rPr>
              <w:t>Pundibari</w:t>
            </w:r>
            <w:proofErr w:type="spellEnd"/>
            <w:r w:rsidRPr="00C83E37">
              <w:rPr>
                <w:rFonts w:ascii="Arial" w:hAnsi="Arial" w:cs="Arial"/>
                <w:sz w:val="20"/>
                <w:szCs w:val="20"/>
              </w:rPr>
              <w:t xml:space="preserve">, </w:t>
            </w:r>
            <w:proofErr w:type="spellStart"/>
            <w:r w:rsidRPr="00C83E37">
              <w:rPr>
                <w:rFonts w:ascii="Arial" w:hAnsi="Arial" w:cs="Arial"/>
                <w:sz w:val="20"/>
                <w:szCs w:val="20"/>
              </w:rPr>
              <w:t>Coochbehar</w:t>
            </w:r>
            <w:proofErr w:type="spellEnd"/>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Subhasini</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64.05  (</w:t>
            </w:r>
            <w:proofErr w:type="gramEnd"/>
            <w:r w:rsidRPr="00C83E37">
              <w:rPr>
                <w:rFonts w:ascii="Arial" w:hAnsi="Arial" w:cs="Arial"/>
                <w:sz w:val="20"/>
                <w:szCs w:val="20"/>
              </w:rPr>
              <w:t>53.23)</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6.</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Howrah</w:t>
            </w:r>
          </w:p>
        </w:tc>
        <w:tc>
          <w:tcPr>
            <w:tcW w:w="1274"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Dhulagar</w:t>
            </w:r>
            <w:proofErr w:type="spellEnd"/>
            <w:r w:rsidRPr="00C83E37">
              <w:rPr>
                <w:rFonts w:ascii="Arial" w:hAnsi="Arial" w:cs="Arial"/>
                <w:sz w:val="20"/>
                <w:szCs w:val="20"/>
              </w:rPr>
              <w:t>, Howrah</w:t>
            </w:r>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Prajjal</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22.79  (</w:t>
            </w:r>
            <w:proofErr w:type="gramEnd"/>
            <w:r w:rsidRPr="00C83E37">
              <w:rPr>
                <w:rFonts w:ascii="Arial" w:hAnsi="Arial" w:cs="Arial"/>
                <w:sz w:val="20"/>
                <w:szCs w:val="20"/>
              </w:rPr>
              <w:t>28.59)</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7.</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Bankura</w:t>
            </w:r>
          </w:p>
        </w:tc>
        <w:tc>
          <w:tcPr>
            <w:tcW w:w="1274"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Chhatna</w:t>
            </w:r>
            <w:proofErr w:type="spellEnd"/>
            <w:r w:rsidRPr="00C83E37">
              <w:rPr>
                <w:rFonts w:ascii="Arial" w:hAnsi="Arial" w:cs="Arial"/>
                <w:sz w:val="20"/>
                <w:szCs w:val="20"/>
              </w:rPr>
              <w:t>, Bankura</w:t>
            </w:r>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Sringer</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38.89  (</w:t>
            </w:r>
            <w:proofErr w:type="gramEnd"/>
            <w:r w:rsidRPr="00C83E37">
              <w:rPr>
                <w:rFonts w:ascii="Arial" w:hAnsi="Arial" w:cs="Arial"/>
                <w:sz w:val="20"/>
                <w:szCs w:val="20"/>
              </w:rPr>
              <w:t>37.85)</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8.</w:t>
            </w:r>
          </w:p>
        </w:tc>
        <w:tc>
          <w:tcPr>
            <w:tcW w:w="1327"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color w:val="000000"/>
                <w:sz w:val="20"/>
                <w:szCs w:val="20"/>
              </w:rPr>
              <w:t>24 Parganas (S)</w:t>
            </w:r>
          </w:p>
        </w:tc>
        <w:tc>
          <w:tcPr>
            <w:tcW w:w="1274"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 xml:space="preserve">Diamond </w:t>
            </w:r>
            <w:proofErr w:type="spellStart"/>
            <w:r w:rsidRPr="00C83E37">
              <w:rPr>
                <w:rFonts w:ascii="Arial" w:hAnsi="Arial" w:cs="Arial"/>
                <w:sz w:val="20"/>
                <w:szCs w:val="20"/>
              </w:rPr>
              <w:t>Harbour</w:t>
            </w:r>
            <w:proofErr w:type="spellEnd"/>
            <w:r w:rsidRPr="00C83E37">
              <w:rPr>
                <w:rFonts w:ascii="Arial" w:hAnsi="Arial" w:cs="Arial"/>
                <w:sz w:val="20"/>
                <w:szCs w:val="20"/>
              </w:rPr>
              <w:t>, 24 Parganas (S)</w:t>
            </w:r>
          </w:p>
        </w:tc>
        <w:tc>
          <w:tcPr>
            <w:tcW w:w="955" w:type="pct"/>
          </w:tcPr>
          <w:p w:rsidR="00046A4B" w:rsidRPr="00C83E37" w:rsidRDefault="00046A4B" w:rsidP="00F91971">
            <w:pPr>
              <w:spacing w:after="0" w:line="360" w:lineRule="auto"/>
              <w:rPr>
                <w:rFonts w:ascii="Arial" w:hAnsi="Arial" w:cs="Arial"/>
                <w:sz w:val="20"/>
                <w:szCs w:val="20"/>
              </w:rPr>
            </w:pPr>
            <w:proofErr w:type="spellStart"/>
            <w:r w:rsidRPr="00C83E37">
              <w:rPr>
                <w:rFonts w:ascii="Arial" w:hAnsi="Arial" w:cs="Arial"/>
                <w:sz w:val="20"/>
                <w:szCs w:val="20"/>
              </w:rPr>
              <w:t>Sringer</w:t>
            </w:r>
            <w:proofErr w:type="spellEnd"/>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39.24  (</w:t>
            </w:r>
            <w:proofErr w:type="gramEnd"/>
            <w:r w:rsidRPr="00C83E37">
              <w:rPr>
                <w:rFonts w:ascii="Arial" w:hAnsi="Arial" w:cs="Arial"/>
                <w:sz w:val="20"/>
                <w:szCs w:val="20"/>
              </w:rPr>
              <w:t>38.86)</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9.</w:t>
            </w:r>
          </w:p>
        </w:tc>
        <w:tc>
          <w:tcPr>
            <w:tcW w:w="1327" w:type="pct"/>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Nadia</w:t>
            </w:r>
          </w:p>
        </w:tc>
        <w:tc>
          <w:tcPr>
            <w:tcW w:w="1274"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 xml:space="preserve">BCKV Horticultural Research Farm, </w:t>
            </w:r>
            <w:proofErr w:type="spellStart"/>
            <w:r w:rsidRPr="00C83E37">
              <w:rPr>
                <w:rFonts w:ascii="Arial" w:hAnsi="Arial" w:cs="Arial"/>
                <w:sz w:val="20"/>
                <w:szCs w:val="20"/>
              </w:rPr>
              <w:t>Mondouri</w:t>
            </w:r>
            <w:proofErr w:type="spellEnd"/>
            <w:r w:rsidRPr="00C83E37">
              <w:rPr>
                <w:rFonts w:ascii="Arial" w:hAnsi="Arial" w:cs="Arial"/>
                <w:sz w:val="20"/>
                <w:szCs w:val="20"/>
              </w:rPr>
              <w:t>, Nadia</w:t>
            </w:r>
          </w:p>
        </w:tc>
        <w:tc>
          <w:tcPr>
            <w:tcW w:w="955" w:type="pct"/>
          </w:tcPr>
          <w:p w:rsidR="00046A4B" w:rsidRPr="00C83E37" w:rsidRDefault="00046A4B" w:rsidP="00F91971">
            <w:pPr>
              <w:spacing w:after="0" w:line="360" w:lineRule="auto"/>
              <w:rPr>
                <w:rFonts w:ascii="Arial" w:hAnsi="Arial" w:cs="Arial"/>
                <w:sz w:val="20"/>
                <w:szCs w:val="20"/>
              </w:rPr>
            </w:pPr>
            <w:r w:rsidRPr="00C83E37">
              <w:rPr>
                <w:rFonts w:ascii="Arial" w:hAnsi="Arial" w:cs="Arial"/>
                <w:sz w:val="20"/>
                <w:szCs w:val="20"/>
              </w:rPr>
              <w:t>GKTC -4</w:t>
            </w:r>
          </w:p>
        </w:tc>
        <w:tc>
          <w:tcPr>
            <w:tcW w:w="1008" w:type="pct"/>
          </w:tcPr>
          <w:p w:rsidR="00046A4B" w:rsidRPr="00C83E37" w:rsidRDefault="00046A4B" w:rsidP="00F91971">
            <w:pPr>
              <w:spacing w:after="0" w:line="360" w:lineRule="auto"/>
              <w:jc w:val="center"/>
              <w:rPr>
                <w:rFonts w:ascii="Arial" w:hAnsi="Arial" w:cs="Arial"/>
                <w:sz w:val="20"/>
                <w:szCs w:val="20"/>
              </w:rPr>
            </w:pPr>
            <w:proofErr w:type="gramStart"/>
            <w:r w:rsidRPr="00C83E37">
              <w:rPr>
                <w:rFonts w:ascii="Arial" w:hAnsi="Arial" w:cs="Arial"/>
                <w:sz w:val="20"/>
                <w:szCs w:val="20"/>
              </w:rPr>
              <w:t>78.31  (</w:t>
            </w:r>
            <w:proofErr w:type="gramEnd"/>
            <w:r w:rsidRPr="00C83E37">
              <w:rPr>
                <w:rFonts w:ascii="Arial" w:hAnsi="Arial" w:cs="Arial"/>
                <w:sz w:val="20"/>
                <w:szCs w:val="20"/>
              </w:rPr>
              <w:t>61.99)</w:t>
            </w:r>
          </w:p>
        </w:tc>
      </w:tr>
      <w:tr w:rsidR="00046A4B" w:rsidRPr="00C83E37" w:rsidTr="00F91971">
        <w:tc>
          <w:tcPr>
            <w:tcW w:w="435" w:type="pct"/>
          </w:tcPr>
          <w:p w:rsidR="00046A4B" w:rsidRPr="00C83E37" w:rsidRDefault="00046A4B" w:rsidP="00F91971">
            <w:pPr>
              <w:spacing w:after="0" w:line="360" w:lineRule="auto"/>
              <w:rPr>
                <w:rFonts w:ascii="Arial" w:hAnsi="Arial" w:cs="Arial"/>
                <w:b/>
                <w:bCs/>
                <w:sz w:val="20"/>
                <w:szCs w:val="20"/>
              </w:rPr>
            </w:pPr>
          </w:p>
        </w:tc>
        <w:tc>
          <w:tcPr>
            <w:tcW w:w="1327" w:type="pct"/>
          </w:tcPr>
          <w:p w:rsidR="00046A4B" w:rsidRPr="00C83E37" w:rsidRDefault="00046A4B" w:rsidP="00F91971">
            <w:pPr>
              <w:spacing w:after="0" w:line="360" w:lineRule="auto"/>
              <w:rPr>
                <w:rFonts w:ascii="Arial" w:hAnsi="Arial" w:cs="Arial"/>
                <w:b/>
                <w:color w:val="000000"/>
                <w:sz w:val="20"/>
                <w:szCs w:val="20"/>
              </w:rPr>
            </w:pPr>
          </w:p>
        </w:tc>
        <w:tc>
          <w:tcPr>
            <w:tcW w:w="1274" w:type="pct"/>
          </w:tcPr>
          <w:p w:rsidR="00046A4B" w:rsidRPr="00C83E37" w:rsidRDefault="00046A4B" w:rsidP="00F91971">
            <w:pPr>
              <w:spacing w:after="0" w:line="360" w:lineRule="auto"/>
              <w:rPr>
                <w:rFonts w:ascii="Arial" w:hAnsi="Arial" w:cs="Arial"/>
                <w:sz w:val="20"/>
                <w:szCs w:val="20"/>
              </w:rPr>
            </w:pPr>
          </w:p>
        </w:tc>
        <w:tc>
          <w:tcPr>
            <w:tcW w:w="955" w:type="pct"/>
          </w:tcPr>
          <w:p w:rsidR="00046A4B" w:rsidRPr="00C83E37" w:rsidRDefault="00046A4B" w:rsidP="00F91971">
            <w:pPr>
              <w:spacing w:after="0" w:line="360" w:lineRule="auto"/>
              <w:rPr>
                <w:rFonts w:ascii="Arial" w:hAnsi="Arial" w:cs="Arial"/>
                <w:sz w:val="20"/>
                <w:szCs w:val="20"/>
              </w:rPr>
            </w:pPr>
          </w:p>
        </w:tc>
        <w:tc>
          <w:tcPr>
            <w:tcW w:w="1008" w:type="pct"/>
          </w:tcPr>
          <w:p w:rsidR="00046A4B" w:rsidRPr="00C83E37" w:rsidRDefault="00046A4B" w:rsidP="00F91971">
            <w:pPr>
              <w:spacing w:after="0" w:line="360" w:lineRule="auto"/>
              <w:jc w:val="center"/>
              <w:rPr>
                <w:rFonts w:ascii="Arial" w:hAnsi="Arial" w:cs="Arial"/>
                <w:sz w:val="20"/>
                <w:szCs w:val="20"/>
              </w:rPr>
            </w:pPr>
          </w:p>
        </w:tc>
      </w:tr>
      <w:tr w:rsidR="00046A4B" w:rsidRPr="00C83E37" w:rsidTr="00F91971">
        <w:tc>
          <w:tcPr>
            <w:tcW w:w="435" w:type="pct"/>
          </w:tcPr>
          <w:p w:rsidR="00046A4B" w:rsidRPr="00C83E37" w:rsidRDefault="00046A4B" w:rsidP="00F91971">
            <w:pPr>
              <w:spacing w:after="0" w:line="360" w:lineRule="auto"/>
              <w:rPr>
                <w:rFonts w:ascii="Arial" w:hAnsi="Arial" w:cs="Arial"/>
                <w:b/>
                <w:sz w:val="20"/>
                <w:szCs w:val="20"/>
              </w:rPr>
            </w:pPr>
          </w:p>
        </w:tc>
        <w:tc>
          <w:tcPr>
            <w:tcW w:w="1327" w:type="pct"/>
          </w:tcPr>
          <w:p w:rsidR="00046A4B" w:rsidRPr="00C83E37" w:rsidRDefault="00046A4B" w:rsidP="00F91971">
            <w:pPr>
              <w:spacing w:after="0" w:line="360" w:lineRule="auto"/>
              <w:rPr>
                <w:rFonts w:ascii="Arial" w:hAnsi="Arial" w:cs="Arial"/>
                <w:b/>
                <w:sz w:val="20"/>
                <w:szCs w:val="20"/>
              </w:rPr>
            </w:pPr>
            <w:proofErr w:type="spellStart"/>
            <w:r w:rsidRPr="00C83E37">
              <w:rPr>
                <w:rFonts w:ascii="Arial" w:hAnsi="Arial" w:cs="Arial"/>
                <w:b/>
                <w:sz w:val="20"/>
                <w:szCs w:val="20"/>
              </w:rPr>
              <w:t>SEm</w:t>
            </w:r>
            <w:proofErr w:type="spellEnd"/>
            <w:r w:rsidRPr="00C83E37">
              <w:rPr>
                <w:rFonts w:ascii="Arial" w:hAnsi="Arial" w:cs="Arial"/>
                <w:b/>
                <w:sz w:val="20"/>
                <w:szCs w:val="20"/>
              </w:rPr>
              <w:t xml:space="preserve"> ±</w:t>
            </w:r>
          </w:p>
        </w:tc>
        <w:tc>
          <w:tcPr>
            <w:tcW w:w="1274" w:type="pct"/>
          </w:tcPr>
          <w:p w:rsidR="00046A4B" w:rsidRPr="00C83E37" w:rsidRDefault="00046A4B" w:rsidP="00F91971">
            <w:pPr>
              <w:spacing w:after="0" w:line="360" w:lineRule="auto"/>
              <w:rPr>
                <w:rFonts w:ascii="Arial" w:hAnsi="Arial" w:cs="Arial"/>
                <w:sz w:val="20"/>
                <w:szCs w:val="20"/>
              </w:rPr>
            </w:pPr>
          </w:p>
        </w:tc>
        <w:tc>
          <w:tcPr>
            <w:tcW w:w="955" w:type="pct"/>
          </w:tcPr>
          <w:p w:rsidR="00046A4B" w:rsidRPr="00C83E37" w:rsidRDefault="00046A4B" w:rsidP="00F91971">
            <w:pPr>
              <w:spacing w:after="0" w:line="360" w:lineRule="auto"/>
              <w:rPr>
                <w:rFonts w:ascii="Arial" w:hAnsi="Arial" w:cs="Arial"/>
                <w:sz w:val="20"/>
                <w:szCs w:val="20"/>
              </w:rPr>
            </w:pPr>
          </w:p>
        </w:tc>
        <w:tc>
          <w:tcPr>
            <w:tcW w:w="1008" w:type="pct"/>
          </w:tcPr>
          <w:p w:rsidR="00046A4B" w:rsidRPr="00C83E37" w:rsidRDefault="00046A4B" w:rsidP="00F91971">
            <w:pPr>
              <w:spacing w:after="0" w:line="360" w:lineRule="auto"/>
              <w:jc w:val="center"/>
              <w:rPr>
                <w:rFonts w:ascii="Arial" w:hAnsi="Arial" w:cs="Arial"/>
                <w:sz w:val="20"/>
                <w:szCs w:val="20"/>
              </w:rPr>
            </w:pPr>
            <w:r w:rsidRPr="00C83E37">
              <w:rPr>
                <w:rFonts w:ascii="Arial" w:hAnsi="Arial" w:cs="Arial"/>
                <w:sz w:val="20"/>
                <w:szCs w:val="20"/>
              </w:rPr>
              <w:t>0.14</w:t>
            </w:r>
          </w:p>
        </w:tc>
      </w:tr>
      <w:tr w:rsidR="00046A4B" w:rsidRPr="00C83E37" w:rsidTr="00F91971">
        <w:tc>
          <w:tcPr>
            <w:tcW w:w="435" w:type="pct"/>
          </w:tcPr>
          <w:p w:rsidR="00046A4B" w:rsidRPr="00C83E37" w:rsidRDefault="00046A4B" w:rsidP="00F91971">
            <w:pPr>
              <w:spacing w:after="0" w:line="360" w:lineRule="auto"/>
              <w:rPr>
                <w:rFonts w:ascii="Arial" w:hAnsi="Arial" w:cs="Arial"/>
                <w:b/>
                <w:sz w:val="20"/>
                <w:szCs w:val="20"/>
              </w:rPr>
            </w:pPr>
          </w:p>
        </w:tc>
        <w:tc>
          <w:tcPr>
            <w:tcW w:w="1327" w:type="pct"/>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CD 0.05</w:t>
            </w:r>
          </w:p>
        </w:tc>
        <w:tc>
          <w:tcPr>
            <w:tcW w:w="1274" w:type="pct"/>
          </w:tcPr>
          <w:p w:rsidR="00046A4B" w:rsidRPr="00C83E37" w:rsidRDefault="00046A4B" w:rsidP="00F91971">
            <w:pPr>
              <w:spacing w:after="0" w:line="360" w:lineRule="auto"/>
              <w:rPr>
                <w:rFonts w:ascii="Arial" w:hAnsi="Arial" w:cs="Arial"/>
                <w:sz w:val="20"/>
                <w:szCs w:val="20"/>
              </w:rPr>
            </w:pPr>
          </w:p>
        </w:tc>
        <w:tc>
          <w:tcPr>
            <w:tcW w:w="955" w:type="pct"/>
          </w:tcPr>
          <w:p w:rsidR="00046A4B" w:rsidRPr="00C83E37" w:rsidRDefault="00046A4B" w:rsidP="00F91971">
            <w:pPr>
              <w:spacing w:after="0" w:line="360" w:lineRule="auto"/>
              <w:rPr>
                <w:rFonts w:ascii="Arial" w:hAnsi="Arial" w:cs="Arial"/>
                <w:sz w:val="20"/>
                <w:szCs w:val="20"/>
              </w:rPr>
            </w:pPr>
          </w:p>
        </w:tc>
        <w:tc>
          <w:tcPr>
            <w:tcW w:w="1008" w:type="pct"/>
          </w:tcPr>
          <w:p w:rsidR="00046A4B" w:rsidRPr="00C83E37" w:rsidRDefault="00046A4B" w:rsidP="00F91971">
            <w:pPr>
              <w:spacing w:after="0" w:line="360" w:lineRule="auto"/>
              <w:jc w:val="center"/>
              <w:rPr>
                <w:rFonts w:ascii="Arial" w:hAnsi="Arial" w:cs="Arial"/>
                <w:sz w:val="20"/>
                <w:szCs w:val="20"/>
              </w:rPr>
            </w:pPr>
            <w:r w:rsidRPr="00C83E37">
              <w:rPr>
                <w:rFonts w:ascii="Arial" w:hAnsi="Arial" w:cs="Arial"/>
                <w:sz w:val="20"/>
                <w:szCs w:val="20"/>
              </w:rPr>
              <w:t>0.43</w:t>
            </w:r>
          </w:p>
        </w:tc>
      </w:tr>
    </w:tbl>
    <w:p w:rsidR="00046A4B" w:rsidRPr="00C83E37" w:rsidRDefault="00046A4B" w:rsidP="00046A4B">
      <w:pPr>
        <w:spacing w:before="120" w:after="0" w:line="240" w:lineRule="auto"/>
        <w:jc w:val="both"/>
        <w:rPr>
          <w:rFonts w:ascii="Arial" w:hAnsi="Arial" w:cs="Arial"/>
          <w:bCs/>
          <w:sz w:val="20"/>
          <w:szCs w:val="20"/>
        </w:rPr>
      </w:pPr>
      <w:r w:rsidRPr="00C83E37">
        <w:rPr>
          <w:rFonts w:ascii="Arial" w:hAnsi="Arial" w:cs="Arial"/>
          <w:bCs/>
          <w:sz w:val="20"/>
          <w:szCs w:val="20"/>
        </w:rPr>
        <w:t xml:space="preserve">     *Figure within parenthesis indicates arc-sine transformed value; PDI = Percent disease index</w:t>
      </w:r>
    </w:p>
    <w:p w:rsidR="00B55218" w:rsidRPr="00B55218" w:rsidRDefault="0023113D" w:rsidP="0023113D">
      <w:pPr>
        <w:spacing w:after="0" w:line="360" w:lineRule="auto"/>
        <w:jc w:val="both"/>
        <w:outlineLvl w:val="2"/>
        <w:rPr>
          <w:rFonts w:ascii="Arial" w:eastAsia="Times New Roman" w:hAnsi="Arial" w:cs="Arial"/>
          <w:b/>
          <w:bCs/>
        </w:rPr>
      </w:pPr>
      <w:r w:rsidRPr="00C83E37">
        <w:rPr>
          <w:rFonts w:ascii="Arial" w:eastAsia="Times New Roman" w:hAnsi="Arial" w:cs="Arial"/>
          <w:b/>
          <w:bCs/>
          <w:szCs w:val="27"/>
        </w:rPr>
        <w:t xml:space="preserve">3.1. </w:t>
      </w:r>
      <w:r w:rsidR="00B55218" w:rsidRPr="00B55218">
        <w:rPr>
          <w:rFonts w:ascii="Arial" w:eastAsia="Times New Roman" w:hAnsi="Arial" w:cs="Arial"/>
          <w:b/>
          <w:bCs/>
        </w:rPr>
        <w:t>Pathogenicity and Virulence Variability</w:t>
      </w:r>
    </w:p>
    <w:p w:rsidR="00B55218" w:rsidRPr="00B55218" w:rsidRDefault="00B55218" w:rsidP="0023113D">
      <w:pPr>
        <w:spacing w:after="0" w:line="360" w:lineRule="auto"/>
        <w:jc w:val="both"/>
        <w:rPr>
          <w:rFonts w:ascii="Arial" w:eastAsia="Times New Roman" w:hAnsi="Arial" w:cs="Arial"/>
          <w:sz w:val="20"/>
        </w:rPr>
      </w:pPr>
      <w:r w:rsidRPr="00B55218">
        <w:rPr>
          <w:rFonts w:ascii="Arial" w:eastAsia="Times New Roman" w:hAnsi="Arial" w:cs="Arial"/>
          <w:sz w:val="20"/>
        </w:rPr>
        <w:t xml:space="preserve">All isolates were capable of producing characteristic tip blight symptoms on GKTC–4, confirming pathogenicity. However, substantial variability in lesion development and virulence was observed. Mean diseased lesion length (MDLL) recorded at 24-hour intervals up to 120 hours showed distinct differences among isolates (Table 2). At 24 hours post inoculation, isolates from Hooghly, Burdwan, Bankura, South 24 Parganas, and Nadia initiated lesion formation, whereas isolates from Birbhum, </w:t>
      </w:r>
      <w:proofErr w:type="spellStart"/>
      <w:r w:rsidRPr="00B55218">
        <w:rPr>
          <w:rFonts w:ascii="Arial" w:eastAsia="Times New Roman" w:hAnsi="Arial" w:cs="Arial"/>
          <w:sz w:val="20"/>
        </w:rPr>
        <w:t>Purba</w:t>
      </w:r>
      <w:proofErr w:type="spellEnd"/>
      <w:r w:rsidRPr="00B55218">
        <w:rPr>
          <w:rFonts w:ascii="Arial" w:eastAsia="Times New Roman" w:hAnsi="Arial" w:cs="Arial"/>
          <w:sz w:val="20"/>
        </w:rPr>
        <w:t xml:space="preserve"> </w:t>
      </w:r>
      <w:proofErr w:type="spellStart"/>
      <w:r w:rsidRPr="00B55218">
        <w:rPr>
          <w:rFonts w:ascii="Arial" w:eastAsia="Times New Roman" w:hAnsi="Arial" w:cs="Arial"/>
          <w:sz w:val="20"/>
        </w:rPr>
        <w:t>Medinipur</w:t>
      </w:r>
      <w:proofErr w:type="spellEnd"/>
      <w:r w:rsidRPr="00B55218">
        <w:rPr>
          <w:rFonts w:ascii="Arial" w:eastAsia="Times New Roman" w:hAnsi="Arial" w:cs="Arial"/>
          <w:sz w:val="20"/>
        </w:rPr>
        <w:t xml:space="preserve">, </w:t>
      </w:r>
      <w:proofErr w:type="spellStart"/>
      <w:r w:rsidRPr="00B55218">
        <w:rPr>
          <w:rFonts w:ascii="Arial" w:eastAsia="Times New Roman" w:hAnsi="Arial" w:cs="Arial"/>
          <w:sz w:val="20"/>
        </w:rPr>
        <w:t>Coochbehar</w:t>
      </w:r>
      <w:proofErr w:type="spellEnd"/>
      <w:r w:rsidRPr="00B55218">
        <w:rPr>
          <w:rFonts w:ascii="Arial" w:eastAsia="Times New Roman" w:hAnsi="Arial" w:cs="Arial"/>
          <w:sz w:val="20"/>
        </w:rPr>
        <w:t xml:space="preserve">, and Howrah exhibited delayed onset. By 72 hours, all isolates produced lesions, with Bankura (14.5 cm) and Burdwan (12.5 cm) showing more extensive lesion development, while Birbhum produced the smallest lesion (5.0 cm). This trend continued, and at 120 hours the Bankura isolate produced the highest MDLL (29.5 cm), followed by Nadia (24.5 cm) and Howrah (20.5 cm), indicating </w:t>
      </w:r>
      <w:r w:rsidRPr="00B55218">
        <w:rPr>
          <w:rFonts w:ascii="Arial" w:eastAsia="Times New Roman" w:hAnsi="Arial" w:cs="Arial"/>
          <w:sz w:val="20"/>
        </w:rPr>
        <w:lastRenderedPageBreak/>
        <w:t xml:space="preserve">variations in virulence (Table 2). Similar isolate-specific pathogenic variability has been documented in </w:t>
      </w:r>
      <w:proofErr w:type="spellStart"/>
      <w:r w:rsidRPr="00C83E37">
        <w:rPr>
          <w:rFonts w:ascii="Arial" w:eastAsia="Times New Roman" w:hAnsi="Arial" w:cs="Arial"/>
          <w:i/>
          <w:iCs/>
          <w:sz w:val="20"/>
        </w:rPr>
        <w:t>Phoma</w:t>
      </w:r>
      <w:proofErr w:type="spellEnd"/>
      <w:r w:rsidRPr="00B55218">
        <w:rPr>
          <w:rFonts w:ascii="Arial" w:eastAsia="Times New Roman" w:hAnsi="Arial" w:cs="Arial"/>
          <w:sz w:val="20"/>
        </w:rPr>
        <w:t xml:space="preserve"> and related genera infecting diverse hosts (</w:t>
      </w:r>
      <w:proofErr w:type="spellStart"/>
      <w:r w:rsidRPr="00B55218">
        <w:rPr>
          <w:rFonts w:ascii="Arial" w:eastAsia="Times New Roman" w:hAnsi="Arial" w:cs="Arial"/>
          <w:sz w:val="20"/>
        </w:rPr>
        <w:t>Aveskamp</w:t>
      </w:r>
      <w:proofErr w:type="spellEnd"/>
      <w:r w:rsidRPr="00B55218">
        <w:rPr>
          <w:rFonts w:ascii="Arial" w:eastAsia="Times New Roman" w:hAnsi="Arial" w:cs="Arial"/>
          <w:sz w:val="20"/>
        </w:rPr>
        <w:t xml:space="preserve"> </w:t>
      </w:r>
      <w:r w:rsidRPr="00C83E37">
        <w:rPr>
          <w:rFonts w:ascii="Arial" w:eastAsia="Times New Roman" w:hAnsi="Arial" w:cs="Arial"/>
          <w:i/>
          <w:iCs/>
          <w:sz w:val="20"/>
        </w:rPr>
        <w:t>et al.</w:t>
      </w:r>
      <w:r w:rsidRPr="00B55218">
        <w:rPr>
          <w:rFonts w:ascii="Arial" w:eastAsia="Times New Roman" w:hAnsi="Arial" w:cs="Arial"/>
          <w:sz w:val="20"/>
        </w:rPr>
        <w:t xml:space="preserve">, 2010; Chen </w:t>
      </w:r>
      <w:r w:rsidRPr="00C83E37">
        <w:rPr>
          <w:rFonts w:ascii="Arial" w:eastAsia="Times New Roman" w:hAnsi="Arial" w:cs="Arial"/>
          <w:i/>
          <w:iCs/>
          <w:sz w:val="20"/>
        </w:rPr>
        <w:t>et al.</w:t>
      </w:r>
      <w:r w:rsidRPr="00B55218">
        <w:rPr>
          <w:rFonts w:ascii="Arial" w:eastAsia="Times New Roman" w:hAnsi="Arial" w:cs="Arial"/>
          <w:sz w:val="20"/>
        </w:rPr>
        <w:t>, 2015).</w:t>
      </w:r>
    </w:p>
    <w:p w:rsidR="00B55218" w:rsidRPr="00B55218" w:rsidRDefault="00B55218" w:rsidP="00894B0B">
      <w:pPr>
        <w:spacing w:after="0" w:line="360" w:lineRule="auto"/>
        <w:jc w:val="both"/>
        <w:rPr>
          <w:rFonts w:ascii="Arial" w:eastAsia="Times New Roman" w:hAnsi="Arial" w:cs="Arial"/>
          <w:sz w:val="20"/>
        </w:rPr>
      </w:pPr>
      <w:r w:rsidRPr="00B55218">
        <w:rPr>
          <w:rFonts w:ascii="Arial" w:eastAsia="Times New Roman" w:hAnsi="Arial" w:cs="Arial"/>
          <w:sz w:val="20"/>
        </w:rPr>
        <w:t xml:space="preserve">Based on MDLL, isolates were classified into three virulence groups: highly virulent (Bankura, Nadia), moderately virulent (Howrah, 24 Parganas (S), Burdwan, </w:t>
      </w:r>
      <w:proofErr w:type="spellStart"/>
      <w:r w:rsidRPr="00B55218">
        <w:rPr>
          <w:rFonts w:ascii="Arial" w:eastAsia="Times New Roman" w:hAnsi="Arial" w:cs="Arial"/>
          <w:sz w:val="20"/>
        </w:rPr>
        <w:t>Purba</w:t>
      </w:r>
      <w:proofErr w:type="spellEnd"/>
      <w:r w:rsidRPr="00B55218">
        <w:rPr>
          <w:rFonts w:ascii="Arial" w:eastAsia="Times New Roman" w:hAnsi="Arial" w:cs="Arial"/>
          <w:sz w:val="20"/>
        </w:rPr>
        <w:t xml:space="preserve"> </w:t>
      </w:r>
      <w:proofErr w:type="spellStart"/>
      <w:r w:rsidRPr="00B55218">
        <w:rPr>
          <w:rFonts w:ascii="Arial" w:eastAsia="Times New Roman" w:hAnsi="Arial" w:cs="Arial"/>
          <w:sz w:val="20"/>
        </w:rPr>
        <w:t>Medinipur</w:t>
      </w:r>
      <w:proofErr w:type="spellEnd"/>
      <w:r w:rsidRPr="00B55218">
        <w:rPr>
          <w:rFonts w:ascii="Arial" w:eastAsia="Times New Roman" w:hAnsi="Arial" w:cs="Arial"/>
          <w:sz w:val="20"/>
        </w:rPr>
        <w:t xml:space="preserve">, Hooghly), and less virulent (Birbhum, </w:t>
      </w:r>
      <w:proofErr w:type="spellStart"/>
      <w:r w:rsidRPr="00B55218">
        <w:rPr>
          <w:rFonts w:ascii="Arial" w:eastAsia="Times New Roman" w:hAnsi="Arial" w:cs="Arial"/>
          <w:sz w:val="20"/>
        </w:rPr>
        <w:t>Coochbehar</w:t>
      </w:r>
      <w:proofErr w:type="spellEnd"/>
      <w:r w:rsidRPr="00B55218">
        <w:rPr>
          <w:rFonts w:ascii="Arial" w:eastAsia="Times New Roman" w:hAnsi="Arial" w:cs="Arial"/>
          <w:sz w:val="20"/>
        </w:rPr>
        <w:t xml:space="preserve">). Grouping isolates by virulence has also been reported for other soilborne pathogens, including </w:t>
      </w:r>
      <w:proofErr w:type="spellStart"/>
      <w:r w:rsidRPr="00C83E37">
        <w:rPr>
          <w:rFonts w:ascii="Arial" w:eastAsia="Times New Roman" w:hAnsi="Arial" w:cs="Arial"/>
          <w:i/>
          <w:iCs/>
          <w:sz w:val="20"/>
        </w:rPr>
        <w:t>Phoma</w:t>
      </w:r>
      <w:proofErr w:type="spellEnd"/>
      <w:r w:rsidRPr="00C83E37">
        <w:rPr>
          <w:rFonts w:ascii="Arial" w:eastAsia="Times New Roman" w:hAnsi="Arial" w:cs="Arial"/>
          <w:i/>
          <w:iCs/>
          <w:sz w:val="20"/>
        </w:rPr>
        <w:t xml:space="preserve"> </w:t>
      </w:r>
      <w:proofErr w:type="spellStart"/>
      <w:r w:rsidRPr="00C83E37">
        <w:rPr>
          <w:rFonts w:ascii="Arial" w:eastAsia="Times New Roman" w:hAnsi="Arial" w:cs="Arial"/>
          <w:i/>
          <w:iCs/>
          <w:sz w:val="20"/>
        </w:rPr>
        <w:t>terrestris</w:t>
      </w:r>
      <w:proofErr w:type="spellEnd"/>
      <w:r w:rsidRPr="00B55218">
        <w:rPr>
          <w:rFonts w:ascii="Arial" w:eastAsia="Times New Roman" w:hAnsi="Arial" w:cs="Arial"/>
          <w:sz w:val="20"/>
        </w:rPr>
        <w:t xml:space="preserve"> and </w:t>
      </w:r>
      <w:proofErr w:type="spellStart"/>
      <w:r w:rsidRPr="00C83E37">
        <w:rPr>
          <w:rFonts w:ascii="Arial" w:eastAsia="Times New Roman" w:hAnsi="Arial" w:cs="Arial"/>
          <w:i/>
          <w:iCs/>
          <w:sz w:val="20"/>
        </w:rPr>
        <w:t>Rhizoctonia</w:t>
      </w:r>
      <w:proofErr w:type="spellEnd"/>
      <w:r w:rsidRPr="00C83E37">
        <w:rPr>
          <w:rFonts w:ascii="Arial" w:eastAsia="Times New Roman" w:hAnsi="Arial" w:cs="Arial"/>
          <w:i/>
          <w:iCs/>
          <w:sz w:val="20"/>
        </w:rPr>
        <w:t xml:space="preserve"> </w:t>
      </w:r>
      <w:proofErr w:type="spellStart"/>
      <w:r w:rsidRPr="00C83E37">
        <w:rPr>
          <w:rFonts w:ascii="Arial" w:eastAsia="Times New Roman" w:hAnsi="Arial" w:cs="Arial"/>
          <w:i/>
          <w:iCs/>
          <w:sz w:val="20"/>
        </w:rPr>
        <w:t>solani</w:t>
      </w:r>
      <w:proofErr w:type="spellEnd"/>
      <w:r w:rsidRPr="00B55218">
        <w:rPr>
          <w:rFonts w:ascii="Arial" w:eastAsia="Times New Roman" w:hAnsi="Arial" w:cs="Arial"/>
          <w:sz w:val="20"/>
        </w:rPr>
        <w:t>, where aggressiveness directly affected disease progression and yield loss (</w:t>
      </w:r>
      <w:proofErr w:type="spellStart"/>
      <w:r w:rsidRPr="00B55218">
        <w:rPr>
          <w:rFonts w:ascii="Arial" w:eastAsia="Times New Roman" w:hAnsi="Arial" w:cs="Arial"/>
          <w:sz w:val="20"/>
        </w:rPr>
        <w:t>Lević</w:t>
      </w:r>
      <w:proofErr w:type="spellEnd"/>
      <w:r w:rsidRPr="00B55218">
        <w:rPr>
          <w:rFonts w:ascii="Arial" w:eastAsia="Times New Roman" w:hAnsi="Arial" w:cs="Arial"/>
          <w:sz w:val="20"/>
        </w:rPr>
        <w:t xml:space="preserve"> </w:t>
      </w:r>
      <w:r w:rsidRPr="00C83E37">
        <w:rPr>
          <w:rFonts w:ascii="Arial" w:eastAsia="Times New Roman" w:hAnsi="Arial" w:cs="Arial"/>
          <w:i/>
          <w:iCs/>
          <w:sz w:val="20"/>
        </w:rPr>
        <w:t>et al.</w:t>
      </w:r>
      <w:r w:rsidRPr="00B55218">
        <w:rPr>
          <w:rFonts w:ascii="Arial" w:eastAsia="Times New Roman" w:hAnsi="Arial" w:cs="Arial"/>
          <w:sz w:val="20"/>
        </w:rPr>
        <w:t xml:space="preserve">, 2012; </w:t>
      </w:r>
      <w:proofErr w:type="spellStart"/>
      <w:r w:rsidRPr="00B55218">
        <w:rPr>
          <w:rFonts w:ascii="Arial" w:eastAsia="Times New Roman" w:hAnsi="Arial" w:cs="Arial"/>
          <w:sz w:val="20"/>
        </w:rPr>
        <w:t>Sneh</w:t>
      </w:r>
      <w:proofErr w:type="spellEnd"/>
      <w:r w:rsidRPr="00B55218">
        <w:rPr>
          <w:rFonts w:ascii="Arial" w:eastAsia="Times New Roman" w:hAnsi="Arial" w:cs="Arial"/>
          <w:sz w:val="20"/>
        </w:rPr>
        <w:t xml:space="preserve"> </w:t>
      </w:r>
      <w:r w:rsidRPr="00C83E37">
        <w:rPr>
          <w:rFonts w:ascii="Arial" w:eastAsia="Times New Roman" w:hAnsi="Arial" w:cs="Arial"/>
          <w:i/>
          <w:iCs/>
          <w:sz w:val="20"/>
        </w:rPr>
        <w:t>et al.</w:t>
      </w:r>
      <w:r w:rsidRPr="00B55218">
        <w:rPr>
          <w:rFonts w:ascii="Arial" w:eastAsia="Times New Roman" w:hAnsi="Arial" w:cs="Arial"/>
          <w:sz w:val="20"/>
        </w:rPr>
        <w:t>, 1991).</w:t>
      </w:r>
    </w:p>
    <w:p w:rsidR="00046A4B" w:rsidRPr="00C83E37" w:rsidRDefault="00046A4B" w:rsidP="00046A4B">
      <w:pPr>
        <w:spacing w:line="360" w:lineRule="auto"/>
        <w:jc w:val="both"/>
        <w:rPr>
          <w:rFonts w:ascii="Arial" w:hAnsi="Arial" w:cs="Arial"/>
          <w:b/>
          <w:bCs/>
          <w:sz w:val="20"/>
          <w:szCs w:val="20"/>
        </w:rPr>
      </w:pPr>
      <w:r w:rsidRPr="00C83E37">
        <w:rPr>
          <w:rFonts w:ascii="Arial" w:hAnsi="Arial" w:cs="Arial"/>
          <w:b/>
          <w:bCs/>
          <w:sz w:val="20"/>
          <w:szCs w:val="20"/>
        </w:rPr>
        <w:t xml:space="preserve">Table 2: Mean diseased lesion length (in cm) caused by </w:t>
      </w:r>
      <w:proofErr w:type="spellStart"/>
      <w:r w:rsidRPr="00C83E37">
        <w:rPr>
          <w:rFonts w:ascii="Arial" w:hAnsi="Arial" w:cs="Arial"/>
          <w:b/>
          <w:bCs/>
          <w:i/>
          <w:sz w:val="20"/>
          <w:szCs w:val="20"/>
        </w:rPr>
        <w:t>Phoma</w:t>
      </w:r>
      <w:proofErr w:type="spellEnd"/>
      <w:r w:rsidR="00894B0B" w:rsidRPr="00C83E37">
        <w:rPr>
          <w:rFonts w:ascii="Arial" w:hAnsi="Arial" w:cs="Arial"/>
          <w:b/>
          <w:bCs/>
          <w:i/>
          <w:sz w:val="20"/>
          <w:szCs w:val="20"/>
        </w:rPr>
        <w:t xml:space="preserve"> </w:t>
      </w:r>
      <w:proofErr w:type="spellStart"/>
      <w:r w:rsidRPr="00C83E37">
        <w:rPr>
          <w:rFonts w:ascii="Arial" w:hAnsi="Arial" w:cs="Arial"/>
          <w:b/>
          <w:bCs/>
          <w:i/>
          <w:sz w:val="20"/>
          <w:szCs w:val="20"/>
        </w:rPr>
        <w:t>polyanthis</w:t>
      </w:r>
      <w:proofErr w:type="spellEnd"/>
      <w:r w:rsidR="00894B0B" w:rsidRPr="00C83E37">
        <w:rPr>
          <w:rFonts w:ascii="Arial" w:hAnsi="Arial" w:cs="Arial"/>
          <w:b/>
          <w:bCs/>
          <w:i/>
          <w:sz w:val="20"/>
          <w:szCs w:val="20"/>
        </w:rPr>
        <w:t xml:space="preserve"> </w:t>
      </w:r>
      <w:r w:rsidRPr="00C83E37">
        <w:rPr>
          <w:rFonts w:ascii="Arial" w:hAnsi="Arial" w:cs="Arial"/>
          <w:b/>
          <w:bCs/>
          <w:sz w:val="20"/>
          <w:szCs w:val="20"/>
        </w:rPr>
        <w:t xml:space="preserve">isolates at 24 hours interval on GKTC – 4 </w:t>
      </w:r>
      <w:proofErr w:type="gramStart"/>
      <w:r w:rsidRPr="00C83E37">
        <w:rPr>
          <w:rFonts w:ascii="Arial" w:hAnsi="Arial" w:cs="Arial"/>
          <w:b/>
          <w:bCs/>
          <w:sz w:val="20"/>
          <w:szCs w:val="20"/>
        </w:rPr>
        <w:t>cultivar</w:t>
      </w:r>
      <w:proofErr w:type="gramEnd"/>
      <w:r w:rsidRPr="00C83E37">
        <w:rPr>
          <w:rFonts w:ascii="Arial" w:hAnsi="Arial" w:cs="Arial"/>
          <w:b/>
          <w:bCs/>
          <w:sz w:val="20"/>
          <w:szCs w:val="20"/>
        </w:rPr>
        <w:t xml:space="preserve"> under laboratory condition.</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571"/>
        <w:gridCol w:w="1787"/>
        <w:gridCol w:w="1350"/>
        <w:gridCol w:w="1260"/>
        <w:gridCol w:w="1260"/>
        <w:gridCol w:w="1080"/>
        <w:gridCol w:w="1116"/>
      </w:tblGrid>
      <w:tr w:rsidR="00046A4B" w:rsidRPr="00C83E37" w:rsidTr="00F91971">
        <w:tc>
          <w:tcPr>
            <w:tcW w:w="571"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Sl. No.</w:t>
            </w:r>
          </w:p>
        </w:tc>
        <w:tc>
          <w:tcPr>
            <w:tcW w:w="1787"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Name of the isolates</w:t>
            </w:r>
          </w:p>
        </w:tc>
        <w:tc>
          <w:tcPr>
            <w:tcW w:w="135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MDLL at 24 hours</w:t>
            </w:r>
          </w:p>
        </w:tc>
        <w:tc>
          <w:tcPr>
            <w:tcW w:w="126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MDLL at 48 hours</w:t>
            </w:r>
          </w:p>
        </w:tc>
        <w:tc>
          <w:tcPr>
            <w:tcW w:w="126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MDLL at 72 hours</w:t>
            </w:r>
          </w:p>
        </w:tc>
        <w:tc>
          <w:tcPr>
            <w:tcW w:w="108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MDLL at 96 hours</w:t>
            </w:r>
          </w:p>
        </w:tc>
        <w:tc>
          <w:tcPr>
            <w:tcW w:w="1116" w:type="dxa"/>
          </w:tcPr>
          <w:p w:rsidR="00046A4B" w:rsidRPr="00C83E37" w:rsidRDefault="00046A4B" w:rsidP="00F91971">
            <w:pPr>
              <w:spacing w:after="0" w:line="360" w:lineRule="auto"/>
              <w:rPr>
                <w:rFonts w:ascii="Arial" w:hAnsi="Arial" w:cs="Arial"/>
                <w:b/>
                <w:color w:val="FF0000"/>
                <w:sz w:val="20"/>
                <w:szCs w:val="20"/>
              </w:rPr>
            </w:pPr>
            <w:r w:rsidRPr="00C83E37">
              <w:rPr>
                <w:rFonts w:ascii="Arial" w:hAnsi="Arial" w:cs="Arial"/>
                <w:b/>
                <w:sz w:val="20"/>
                <w:szCs w:val="20"/>
              </w:rPr>
              <w:t>MDLL at 120 hours</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1.</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Birbhum</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10.5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2.</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Hooghly</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9.5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11.5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15.5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3.</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Burdwan</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12.5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14</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16.5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4.</w:t>
            </w:r>
          </w:p>
        </w:tc>
        <w:tc>
          <w:tcPr>
            <w:tcW w:w="1787" w:type="dxa"/>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PurbaMedinipur</w:t>
            </w:r>
            <w:proofErr w:type="spellEnd"/>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10.5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16</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5.</w:t>
            </w:r>
          </w:p>
        </w:tc>
        <w:tc>
          <w:tcPr>
            <w:tcW w:w="1787" w:type="dxa"/>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Coochbehar</w:t>
            </w:r>
            <w:proofErr w:type="spellEnd"/>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8.5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11.5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6.</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Howrah</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6.5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14.5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7.</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Bankura</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14.5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29.5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8.</w:t>
            </w:r>
          </w:p>
        </w:tc>
        <w:tc>
          <w:tcPr>
            <w:tcW w:w="1787"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color w:val="000000"/>
                <w:sz w:val="20"/>
                <w:szCs w:val="20"/>
              </w:rPr>
              <w:t>24 Parganas (S)</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6.5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10.5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12.5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18.5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9.</w:t>
            </w:r>
          </w:p>
        </w:tc>
        <w:tc>
          <w:tcPr>
            <w:tcW w:w="1787"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Nadia</w:t>
            </w:r>
          </w:p>
        </w:tc>
        <w:tc>
          <w:tcPr>
            <w:tcW w:w="135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5.5</w:t>
            </w:r>
          </w:p>
        </w:tc>
        <w:tc>
          <w:tcPr>
            <w:tcW w:w="126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10.5</w:t>
            </w:r>
          </w:p>
        </w:tc>
        <w:tc>
          <w:tcPr>
            <w:tcW w:w="10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17.5</w:t>
            </w:r>
          </w:p>
        </w:tc>
        <w:tc>
          <w:tcPr>
            <w:tcW w:w="1116"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24.5</w:t>
            </w:r>
          </w:p>
        </w:tc>
      </w:tr>
      <w:tr w:rsidR="00046A4B" w:rsidRPr="00C83E37" w:rsidTr="00F91971">
        <w:tc>
          <w:tcPr>
            <w:tcW w:w="571" w:type="dxa"/>
          </w:tcPr>
          <w:p w:rsidR="00046A4B" w:rsidRPr="00C83E37" w:rsidRDefault="00046A4B" w:rsidP="00F91971">
            <w:pPr>
              <w:spacing w:after="0" w:line="360" w:lineRule="auto"/>
              <w:rPr>
                <w:rFonts w:ascii="Arial" w:hAnsi="Arial" w:cs="Arial"/>
                <w:b/>
                <w:bCs/>
                <w:sz w:val="20"/>
                <w:szCs w:val="20"/>
              </w:rPr>
            </w:pPr>
          </w:p>
        </w:tc>
        <w:tc>
          <w:tcPr>
            <w:tcW w:w="1787" w:type="dxa"/>
          </w:tcPr>
          <w:p w:rsidR="00046A4B" w:rsidRPr="00C83E37" w:rsidRDefault="00046A4B" w:rsidP="00F91971">
            <w:pPr>
              <w:spacing w:after="0" w:line="360" w:lineRule="auto"/>
              <w:rPr>
                <w:rFonts w:ascii="Arial" w:hAnsi="Arial" w:cs="Arial"/>
                <w:b/>
                <w:color w:val="000000"/>
                <w:sz w:val="20"/>
                <w:szCs w:val="20"/>
              </w:rPr>
            </w:pPr>
          </w:p>
        </w:tc>
        <w:tc>
          <w:tcPr>
            <w:tcW w:w="1350" w:type="dxa"/>
          </w:tcPr>
          <w:p w:rsidR="00046A4B" w:rsidRPr="00C83E37" w:rsidRDefault="00046A4B" w:rsidP="00F91971">
            <w:pPr>
              <w:spacing w:after="0" w:line="360" w:lineRule="auto"/>
              <w:jc w:val="center"/>
              <w:rPr>
                <w:rFonts w:ascii="Arial" w:hAnsi="Arial" w:cs="Arial"/>
                <w:color w:val="000000"/>
                <w:sz w:val="20"/>
                <w:szCs w:val="20"/>
              </w:rPr>
            </w:pPr>
          </w:p>
        </w:tc>
        <w:tc>
          <w:tcPr>
            <w:tcW w:w="1260" w:type="dxa"/>
          </w:tcPr>
          <w:p w:rsidR="00046A4B" w:rsidRPr="00C83E37" w:rsidRDefault="00046A4B" w:rsidP="00F91971">
            <w:pPr>
              <w:spacing w:after="0" w:line="360" w:lineRule="auto"/>
              <w:jc w:val="center"/>
              <w:rPr>
                <w:rFonts w:ascii="Arial" w:hAnsi="Arial" w:cs="Arial"/>
                <w:color w:val="000000"/>
                <w:sz w:val="20"/>
                <w:szCs w:val="20"/>
              </w:rPr>
            </w:pPr>
          </w:p>
        </w:tc>
        <w:tc>
          <w:tcPr>
            <w:tcW w:w="1260" w:type="dxa"/>
          </w:tcPr>
          <w:p w:rsidR="00046A4B" w:rsidRPr="00C83E37" w:rsidRDefault="00046A4B" w:rsidP="00F91971">
            <w:pPr>
              <w:spacing w:after="0" w:line="360" w:lineRule="auto"/>
              <w:jc w:val="center"/>
              <w:rPr>
                <w:rFonts w:ascii="Arial" w:hAnsi="Arial" w:cs="Arial"/>
                <w:color w:val="000000"/>
                <w:sz w:val="20"/>
                <w:szCs w:val="20"/>
              </w:rPr>
            </w:pPr>
          </w:p>
        </w:tc>
        <w:tc>
          <w:tcPr>
            <w:tcW w:w="1080" w:type="dxa"/>
          </w:tcPr>
          <w:p w:rsidR="00046A4B" w:rsidRPr="00C83E37" w:rsidRDefault="00046A4B" w:rsidP="00F91971">
            <w:pPr>
              <w:spacing w:after="0" w:line="360" w:lineRule="auto"/>
              <w:jc w:val="center"/>
              <w:rPr>
                <w:rFonts w:ascii="Arial" w:hAnsi="Arial" w:cs="Arial"/>
                <w:color w:val="000000"/>
                <w:sz w:val="20"/>
                <w:szCs w:val="20"/>
              </w:rPr>
            </w:pPr>
          </w:p>
        </w:tc>
        <w:tc>
          <w:tcPr>
            <w:tcW w:w="1116" w:type="dxa"/>
          </w:tcPr>
          <w:p w:rsidR="00046A4B" w:rsidRPr="00C83E37" w:rsidRDefault="00046A4B" w:rsidP="00F91971">
            <w:pPr>
              <w:spacing w:after="0" w:line="360" w:lineRule="auto"/>
              <w:jc w:val="center"/>
              <w:rPr>
                <w:rFonts w:ascii="Arial" w:hAnsi="Arial" w:cs="Arial"/>
                <w:color w:val="000000"/>
                <w:sz w:val="20"/>
                <w:szCs w:val="20"/>
              </w:rPr>
            </w:pPr>
          </w:p>
        </w:tc>
      </w:tr>
      <w:tr w:rsidR="00046A4B" w:rsidRPr="00C83E37" w:rsidTr="00F91971">
        <w:tc>
          <w:tcPr>
            <w:tcW w:w="571" w:type="dxa"/>
          </w:tcPr>
          <w:p w:rsidR="00046A4B" w:rsidRPr="00C83E37" w:rsidRDefault="00046A4B" w:rsidP="00F91971">
            <w:pPr>
              <w:spacing w:after="0" w:line="360" w:lineRule="auto"/>
              <w:rPr>
                <w:rFonts w:ascii="Arial" w:hAnsi="Arial" w:cs="Arial"/>
                <w:b/>
                <w:sz w:val="20"/>
                <w:szCs w:val="20"/>
              </w:rPr>
            </w:pPr>
          </w:p>
        </w:tc>
        <w:tc>
          <w:tcPr>
            <w:tcW w:w="1787" w:type="dxa"/>
          </w:tcPr>
          <w:p w:rsidR="00046A4B" w:rsidRPr="00C83E37" w:rsidRDefault="00046A4B" w:rsidP="00F91971">
            <w:pPr>
              <w:spacing w:after="0" w:line="360" w:lineRule="auto"/>
              <w:rPr>
                <w:rFonts w:ascii="Arial" w:hAnsi="Arial" w:cs="Arial"/>
                <w:b/>
                <w:sz w:val="20"/>
                <w:szCs w:val="20"/>
              </w:rPr>
            </w:pPr>
            <w:proofErr w:type="spellStart"/>
            <w:r w:rsidRPr="00C83E37">
              <w:rPr>
                <w:rFonts w:ascii="Arial" w:hAnsi="Arial" w:cs="Arial"/>
                <w:b/>
                <w:sz w:val="20"/>
                <w:szCs w:val="20"/>
              </w:rPr>
              <w:t>SEm</w:t>
            </w:r>
            <w:proofErr w:type="spellEnd"/>
            <w:r w:rsidRPr="00C83E37">
              <w:rPr>
                <w:rFonts w:ascii="Arial" w:hAnsi="Arial" w:cs="Arial"/>
                <w:b/>
                <w:sz w:val="20"/>
                <w:szCs w:val="20"/>
              </w:rPr>
              <w:t xml:space="preserve"> ±</w:t>
            </w:r>
          </w:p>
        </w:tc>
        <w:tc>
          <w:tcPr>
            <w:tcW w:w="135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0.22</w:t>
            </w:r>
          </w:p>
        </w:tc>
        <w:tc>
          <w:tcPr>
            <w:tcW w:w="126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0.15</w:t>
            </w:r>
          </w:p>
        </w:tc>
        <w:tc>
          <w:tcPr>
            <w:tcW w:w="126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0.19</w:t>
            </w:r>
          </w:p>
        </w:tc>
        <w:tc>
          <w:tcPr>
            <w:tcW w:w="108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0.17</w:t>
            </w:r>
          </w:p>
        </w:tc>
        <w:tc>
          <w:tcPr>
            <w:tcW w:w="1116"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0.06</w:t>
            </w:r>
          </w:p>
        </w:tc>
      </w:tr>
      <w:tr w:rsidR="00046A4B" w:rsidRPr="00C83E37" w:rsidTr="00F91971">
        <w:tc>
          <w:tcPr>
            <w:tcW w:w="571" w:type="dxa"/>
          </w:tcPr>
          <w:p w:rsidR="00046A4B" w:rsidRPr="00C83E37" w:rsidRDefault="00046A4B" w:rsidP="00F91971">
            <w:pPr>
              <w:spacing w:after="0" w:line="360" w:lineRule="auto"/>
              <w:rPr>
                <w:rFonts w:ascii="Arial" w:hAnsi="Arial" w:cs="Arial"/>
                <w:b/>
                <w:sz w:val="20"/>
                <w:szCs w:val="20"/>
              </w:rPr>
            </w:pPr>
          </w:p>
        </w:tc>
        <w:tc>
          <w:tcPr>
            <w:tcW w:w="1787"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CD 0.05</w:t>
            </w:r>
          </w:p>
        </w:tc>
        <w:tc>
          <w:tcPr>
            <w:tcW w:w="135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0.65</w:t>
            </w:r>
          </w:p>
        </w:tc>
        <w:tc>
          <w:tcPr>
            <w:tcW w:w="126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0.45</w:t>
            </w:r>
          </w:p>
        </w:tc>
        <w:tc>
          <w:tcPr>
            <w:tcW w:w="126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0.56</w:t>
            </w:r>
          </w:p>
        </w:tc>
        <w:tc>
          <w:tcPr>
            <w:tcW w:w="1080"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0.50</w:t>
            </w:r>
          </w:p>
        </w:tc>
        <w:tc>
          <w:tcPr>
            <w:tcW w:w="1116" w:type="dxa"/>
          </w:tcPr>
          <w:p w:rsidR="00046A4B" w:rsidRPr="00C83E37" w:rsidRDefault="00046A4B" w:rsidP="00F91971">
            <w:pPr>
              <w:spacing w:after="0" w:line="240" w:lineRule="auto"/>
              <w:rPr>
                <w:rFonts w:ascii="Arial" w:hAnsi="Arial" w:cs="Arial"/>
                <w:color w:val="000000"/>
                <w:sz w:val="20"/>
                <w:szCs w:val="20"/>
              </w:rPr>
            </w:pPr>
            <w:r w:rsidRPr="00C83E37">
              <w:rPr>
                <w:rFonts w:ascii="Arial" w:hAnsi="Arial" w:cs="Arial"/>
                <w:color w:val="000000"/>
                <w:sz w:val="20"/>
                <w:szCs w:val="20"/>
              </w:rPr>
              <w:t>0.17</w:t>
            </w:r>
          </w:p>
        </w:tc>
      </w:tr>
    </w:tbl>
    <w:p w:rsidR="00046A4B" w:rsidRPr="00C83E37" w:rsidRDefault="00046A4B" w:rsidP="00046A4B">
      <w:pPr>
        <w:spacing w:before="120" w:after="0"/>
        <w:rPr>
          <w:rFonts w:ascii="Arial" w:hAnsi="Arial" w:cs="Arial"/>
          <w:sz w:val="20"/>
          <w:szCs w:val="20"/>
        </w:rPr>
      </w:pPr>
      <w:r w:rsidRPr="00C83E37">
        <w:rPr>
          <w:rFonts w:ascii="Arial" w:hAnsi="Arial" w:cs="Arial"/>
          <w:sz w:val="20"/>
          <w:szCs w:val="20"/>
        </w:rPr>
        <w:t xml:space="preserve">* The 0.00 values of above table have been replaced with 0.25 for statistical analysis; </w:t>
      </w:r>
    </w:p>
    <w:p w:rsidR="00046A4B" w:rsidRPr="00C83E37" w:rsidRDefault="00046A4B" w:rsidP="00046A4B">
      <w:pPr>
        <w:rPr>
          <w:rFonts w:ascii="Arial" w:hAnsi="Arial" w:cs="Arial"/>
          <w:sz w:val="20"/>
          <w:szCs w:val="20"/>
        </w:rPr>
      </w:pPr>
      <w:r w:rsidRPr="00C83E37">
        <w:rPr>
          <w:rFonts w:ascii="Arial" w:hAnsi="Arial" w:cs="Arial"/>
          <w:sz w:val="20"/>
          <w:szCs w:val="20"/>
        </w:rPr>
        <w:t xml:space="preserve">   MDLL = Mean diseased lesion length</w:t>
      </w:r>
    </w:p>
    <w:p w:rsidR="00765C1F" w:rsidRPr="00C83E37" w:rsidRDefault="00772E2A" w:rsidP="00765C1F">
      <w:pPr>
        <w:pStyle w:val="Normal1"/>
        <w:spacing w:line="360" w:lineRule="auto"/>
        <w:jc w:val="both"/>
        <w:rPr>
          <w:rFonts w:eastAsia="Times New Roman"/>
          <w:sz w:val="20"/>
          <w:szCs w:val="20"/>
        </w:rPr>
      </w:pPr>
      <w:r w:rsidRPr="00C83E37">
        <w:rPr>
          <w:sz w:val="20"/>
          <w:szCs w:val="20"/>
        </w:rPr>
        <w:t xml:space="preserve">Mean diseased lesion length (MDLL) on GKTC–4 leaves inoculated with nine </w:t>
      </w:r>
      <w:proofErr w:type="spellStart"/>
      <w:r w:rsidRPr="00C83E37">
        <w:rPr>
          <w:rStyle w:val="Emphasis"/>
          <w:sz w:val="20"/>
          <w:szCs w:val="20"/>
        </w:rPr>
        <w:t>Phoma</w:t>
      </w:r>
      <w:proofErr w:type="spellEnd"/>
      <w:r w:rsidR="00894B0B" w:rsidRPr="00C83E37">
        <w:rPr>
          <w:rStyle w:val="Emphasis"/>
          <w:sz w:val="20"/>
          <w:szCs w:val="20"/>
        </w:rPr>
        <w:t xml:space="preserve"> </w:t>
      </w:r>
      <w:proofErr w:type="spellStart"/>
      <w:r w:rsidRPr="00C83E37">
        <w:rPr>
          <w:rStyle w:val="Emphasis"/>
          <w:sz w:val="20"/>
          <w:szCs w:val="20"/>
        </w:rPr>
        <w:t>polyanthis</w:t>
      </w:r>
      <w:proofErr w:type="spellEnd"/>
      <w:r w:rsidRPr="00C83E37">
        <w:rPr>
          <w:sz w:val="20"/>
          <w:szCs w:val="20"/>
        </w:rPr>
        <w:t xml:space="preserve"> isolates was recorded at 24-hour intervals up to 120 hours (Table </w:t>
      </w:r>
      <w:r w:rsidR="00212EBE" w:rsidRPr="00C83E37">
        <w:rPr>
          <w:sz w:val="20"/>
          <w:szCs w:val="20"/>
        </w:rPr>
        <w:t>2</w:t>
      </w:r>
      <w:r w:rsidRPr="00C83E37">
        <w:rPr>
          <w:sz w:val="20"/>
          <w:szCs w:val="20"/>
        </w:rPr>
        <w:t xml:space="preserve">). At 24 hours, four isolates (Birbhum, </w:t>
      </w:r>
      <w:proofErr w:type="spellStart"/>
      <w:r w:rsidRPr="00C83E37">
        <w:rPr>
          <w:sz w:val="20"/>
          <w:szCs w:val="20"/>
        </w:rPr>
        <w:t>Purba</w:t>
      </w:r>
      <w:proofErr w:type="spellEnd"/>
      <w:r w:rsidR="00894B0B" w:rsidRPr="00C83E37">
        <w:rPr>
          <w:sz w:val="20"/>
          <w:szCs w:val="20"/>
        </w:rPr>
        <w:t xml:space="preserve"> </w:t>
      </w:r>
      <w:proofErr w:type="spellStart"/>
      <w:r w:rsidRPr="00C83E37">
        <w:rPr>
          <w:sz w:val="20"/>
          <w:szCs w:val="20"/>
        </w:rPr>
        <w:t>Medinipur</w:t>
      </w:r>
      <w:proofErr w:type="spellEnd"/>
      <w:r w:rsidRPr="00C83E37">
        <w:rPr>
          <w:sz w:val="20"/>
          <w:szCs w:val="20"/>
        </w:rPr>
        <w:t xml:space="preserve">, </w:t>
      </w:r>
      <w:proofErr w:type="spellStart"/>
      <w:r w:rsidRPr="00C83E37">
        <w:rPr>
          <w:sz w:val="20"/>
          <w:szCs w:val="20"/>
        </w:rPr>
        <w:t>Coochbehar</w:t>
      </w:r>
      <w:proofErr w:type="spellEnd"/>
      <w:r w:rsidRPr="00C83E37">
        <w:rPr>
          <w:sz w:val="20"/>
          <w:szCs w:val="20"/>
        </w:rPr>
        <w:t xml:space="preserve">, Howrah) showed no lesion development, while the remaining five showed slight lesions. By 48 hours, Birbhum remained inactive, whereas the highest lesion length (7.5 cm) was observed in Hooghly, Burdwan, and Bankura isolates; the lowest (2.5 cm) in </w:t>
      </w:r>
      <w:proofErr w:type="spellStart"/>
      <w:r w:rsidRPr="00C83E37">
        <w:rPr>
          <w:sz w:val="20"/>
          <w:szCs w:val="20"/>
        </w:rPr>
        <w:t>Coochbehar</w:t>
      </w:r>
      <w:proofErr w:type="spellEnd"/>
      <w:r w:rsidRPr="00C83E37">
        <w:rPr>
          <w:sz w:val="20"/>
          <w:szCs w:val="20"/>
        </w:rPr>
        <w:t xml:space="preserve">. At 72 hours, Bankura (14.5 cm) and Burdwan (12.5 cm) had the highest MDLL, Birbhum the lowest (5.0 cm). At 96 hours, Bankura (20.5 cm) and Nadia (17.5 cm) were highest; Birbhum lowest (7.5 cm). At 120 hours, maximum MDLL was recorded for Bankura (29.5 cm) and Nadia (24.5 cm), moderate for Howrah (20.5 cm), 24 Parganas (S) (18.5 cm), Burdwan (16.5 cm), </w:t>
      </w:r>
      <w:proofErr w:type="spellStart"/>
      <w:r w:rsidRPr="00C83E37">
        <w:rPr>
          <w:sz w:val="20"/>
          <w:szCs w:val="20"/>
        </w:rPr>
        <w:t>Purba</w:t>
      </w:r>
      <w:proofErr w:type="spellEnd"/>
      <w:r w:rsidR="00894B0B" w:rsidRPr="00C83E37">
        <w:rPr>
          <w:sz w:val="20"/>
          <w:szCs w:val="20"/>
        </w:rPr>
        <w:t xml:space="preserve"> </w:t>
      </w:r>
      <w:proofErr w:type="spellStart"/>
      <w:r w:rsidRPr="00C83E37">
        <w:rPr>
          <w:sz w:val="20"/>
          <w:szCs w:val="20"/>
        </w:rPr>
        <w:t>Medinipur</w:t>
      </w:r>
      <w:proofErr w:type="spellEnd"/>
      <w:r w:rsidRPr="00C83E37">
        <w:rPr>
          <w:sz w:val="20"/>
          <w:szCs w:val="20"/>
        </w:rPr>
        <w:t xml:space="preserve"> (16.0 cm), Hooghly (15.5 cm), and lowest for Birbhum (10.5 cm) and </w:t>
      </w:r>
      <w:proofErr w:type="spellStart"/>
      <w:r w:rsidRPr="00C83E37">
        <w:rPr>
          <w:sz w:val="20"/>
          <w:szCs w:val="20"/>
        </w:rPr>
        <w:t>Coochbehar</w:t>
      </w:r>
      <w:proofErr w:type="spellEnd"/>
      <w:r w:rsidRPr="00C83E37">
        <w:rPr>
          <w:sz w:val="20"/>
          <w:szCs w:val="20"/>
        </w:rPr>
        <w:t xml:space="preserve"> (11.5 cm). Based on these results, Bankura and Nadia </w:t>
      </w:r>
      <w:r w:rsidRPr="00C83E37">
        <w:rPr>
          <w:sz w:val="20"/>
          <w:szCs w:val="20"/>
        </w:rPr>
        <w:lastRenderedPageBreak/>
        <w:t xml:space="preserve">isolates were classified as virulent, Howrah, 24 Parganas (S), Burdwan, </w:t>
      </w:r>
      <w:proofErr w:type="spellStart"/>
      <w:r w:rsidRPr="00C83E37">
        <w:rPr>
          <w:sz w:val="20"/>
          <w:szCs w:val="20"/>
        </w:rPr>
        <w:t>Purba</w:t>
      </w:r>
      <w:proofErr w:type="spellEnd"/>
      <w:r w:rsidR="00894B0B" w:rsidRPr="00C83E37">
        <w:rPr>
          <w:sz w:val="20"/>
          <w:szCs w:val="20"/>
        </w:rPr>
        <w:t xml:space="preserve"> </w:t>
      </w:r>
      <w:proofErr w:type="spellStart"/>
      <w:r w:rsidRPr="00C83E37">
        <w:rPr>
          <w:sz w:val="20"/>
          <w:szCs w:val="20"/>
        </w:rPr>
        <w:t>Medinipur</w:t>
      </w:r>
      <w:proofErr w:type="spellEnd"/>
      <w:r w:rsidRPr="00C83E37">
        <w:rPr>
          <w:sz w:val="20"/>
          <w:szCs w:val="20"/>
        </w:rPr>
        <w:t xml:space="preserve">, and Hooghly as moderately virulent, and Birbhum and </w:t>
      </w:r>
      <w:proofErr w:type="spellStart"/>
      <w:r w:rsidRPr="00C83E37">
        <w:rPr>
          <w:sz w:val="20"/>
          <w:szCs w:val="20"/>
        </w:rPr>
        <w:t>Coochbehar</w:t>
      </w:r>
      <w:proofErr w:type="spellEnd"/>
      <w:r w:rsidRPr="00C83E37">
        <w:rPr>
          <w:sz w:val="20"/>
          <w:szCs w:val="20"/>
        </w:rPr>
        <w:t xml:space="preserve"> as less virulent</w:t>
      </w:r>
      <w:r w:rsidR="00765C1F" w:rsidRPr="00C83E37">
        <w:rPr>
          <w:rFonts w:eastAsia="Times New Roman"/>
          <w:sz w:val="20"/>
          <w:szCs w:val="20"/>
        </w:rPr>
        <w:t>.</w:t>
      </w:r>
    </w:p>
    <w:p w:rsidR="0023113D" w:rsidRPr="00C83E37" w:rsidRDefault="0023113D" w:rsidP="0023113D">
      <w:pPr>
        <w:pStyle w:val="Heading3"/>
        <w:spacing w:before="0" w:beforeAutospacing="0" w:after="0" w:afterAutospacing="0" w:line="360" w:lineRule="auto"/>
        <w:jc w:val="both"/>
        <w:rPr>
          <w:rFonts w:ascii="Arial" w:hAnsi="Arial" w:cs="Arial"/>
          <w:sz w:val="22"/>
          <w:szCs w:val="22"/>
        </w:rPr>
      </w:pPr>
      <w:r w:rsidRPr="00C83E37">
        <w:rPr>
          <w:rFonts w:ascii="Arial" w:hAnsi="Arial" w:cs="Arial"/>
          <w:sz w:val="22"/>
          <w:szCs w:val="22"/>
        </w:rPr>
        <w:t>3.2. Disease Progression Dynamics</w:t>
      </w:r>
    </w:p>
    <w:p w:rsidR="0023113D" w:rsidRPr="00C83E37" w:rsidRDefault="0023113D" w:rsidP="0023113D">
      <w:pPr>
        <w:pStyle w:val="NormalWeb"/>
        <w:spacing w:before="0" w:beforeAutospacing="0" w:after="0" w:afterAutospacing="0" w:line="360" w:lineRule="auto"/>
        <w:jc w:val="both"/>
        <w:rPr>
          <w:rFonts w:ascii="Arial" w:hAnsi="Arial" w:cs="Arial"/>
          <w:sz w:val="20"/>
          <w:szCs w:val="22"/>
        </w:rPr>
      </w:pPr>
      <w:r w:rsidRPr="00C83E37">
        <w:rPr>
          <w:rFonts w:ascii="Arial" w:hAnsi="Arial" w:cs="Arial"/>
          <w:sz w:val="20"/>
          <w:szCs w:val="22"/>
        </w:rPr>
        <w:t xml:space="preserve">Lesion growth dynamics measured as lesion length increment (LDLI) showed isolate-specific temporal patterns (Table 3). Between 24–48 hours, </w:t>
      </w:r>
      <w:proofErr w:type="spellStart"/>
      <w:r w:rsidRPr="00C83E37">
        <w:rPr>
          <w:rFonts w:ascii="Arial" w:hAnsi="Arial" w:cs="Arial"/>
          <w:sz w:val="20"/>
          <w:szCs w:val="22"/>
        </w:rPr>
        <w:t>Purba</w:t>
      </w:r>
      <w:proofErr w:type="spellEnd"/>
      <w:r w:rsidRPr="00C83E37">
        <w:rPr>
          <w:rFonts w:ascii="Arial" w:hAnsi="Arial" w:cs="Arial"/>
          <w:sz w:val="20"/>
          <w:szCs w:val="22"/>
        </w:rPr>
        <w:t xml:space="preserve"> </w:t>
      </w:r>
      <w:proofErr w:type="spellStart"/>
      <w:r w:rsidRPr="00C83E37">
        <w:rPr>
          <w:rFonts w:ascii="Arial" w:hAnsi="Arial" w:cs="Arial"/>
          <w:sz w:val="20"/>
          <w:szCs w:val="22"/>
        </w:rPr>
        <w:t>Medinipur</w:t>
      </w:r>
      <w:proofErr w:type="spellEnd"/>
      <w:r w:rsidRPr="00C83E37">
        <w:rPr>
          <w:rFonts w:ascii="Arial" w:hAnsi="Arial" w:cs="Arial"/>
          <w:sz w:val="20"/>
          <w:szCs w:val="22"/>
        </w:rPr>
        <w:t xml:space="preserve"> exhibited the highest LDLI (4.25 cm/24 h), while Nadia showed a lower increment (0.50 cm/24 h). Between 48–72 hours, Bankura had the highest LDLI (7.0 cm/24 h), suggesting rapid early infection, whereas Hooghly had the lowest (2.0 cm/24 h). During 72–96 hours, Howrah and Nadia displayed peak lesion expansions (8.0 and 7.0 cm/24 h, respectively). In the final interval (96–120 hours), Bankura continued to show the highest lesion growth (9.0 cm/24 h), indicating sustained aggressive colonization. Such temporal variation in lesion progression underscores isolate differences in infection efficiency and may reflect variability in enzymatic secretion or host tissue degradation capacity (</w:t>
      </w:r>
      <w:proofErr w:type="spellStart"/>
      <w:r w:rsidRPr="00C83E37">
        <w:rPr>
          <w:rFonts w:ascii="Arial" w:hAnsi="Arial" w:cs="Arial"/>
          <w:sz w:val="20"/>
          <w:szCs w:val="22"/>
        </w:rPr>
        <w:t>Agrios</w:t>
      </w:r>
      <w:proofErr w:type="spellEnd"/>
      <w:r w:rsidRPr="00C83E37">
        <w:rPr>
          <w:rFonts w:ascii="Arial" w:hAnsi="Arial" w:cs="Arial"/>
          <w:sz w:val="20"/>
          <w:szCs w:val="22"/>
        </w:rPr>
        <w:t xml:space="preserve">, 2005; Hyde </w:t>
      </w:r>
      <w:r w:rsidRPr="00C83E37">
        <w:rPr>
          <w:rStyle w:val="Emphasis"/>
          <w:rFonts w:ascii="Arial" w:hAnsi="Arial" w:cs="Arial"/>
          <w:sz w:val="20"/>
          <w:szCs w:val="22"/>
        </w:rPr>
        <w:t>et al.</w:t>
      </w:r>
      <w:r w:rsidRPr="00C83E37">
        <w:rPr>
          <w:rFonts w:ascii="Arial" w:hAnsi="Arial" w:cs="Arial"/>
          <w:sz w:val="20"/>
          <w:szCs w:val="22"/>
        </w:rPr>
        <w:t>, 2014).</w:t>
      </w:r>
    </w:p>
    <w:p w:rsidR="00046A4B" w:rsidRPr="00C83E37" w:rsidRDefault="0023113D" w:rsidP="0023113D">
      <w:pPr>
        <w:ind w:right="-126"/>
        <w:jc w:val="both"/>
        <w:rPr>
          <w:rFonts w:ascii="Arial" w:hAnsi="Arial" w:cs="Arial"/>
          <w:b/>
          <w:bCs/>
          <w:sz w:val="20"/>
          <w:szCs w:val="20"/>
        </w:rPr>
      </w:pPr>
      <w:r w:rsidRPr="00C83E37">
        <w:rPr>
          <w:rFonts w:ascii="Arial" w:hAnsi="Arial" w:cs="Arial"/>
          <w:b/>
          <w:bCs/>
          <w:sz w:val="20"/>
          <w:szCs w:val="20"/>
        </w:rPr>
        <w:t xml:space="preserve"> </w:t>
      </w:r>
      <w:r w:rsidR="00046A4B" w:rsidRPr="00C83E37">
        <w:rPr>
          <w:rFonts w:ascii="Arial" w:hAnsi="Arial" w:cs="Arial"/>
          <w:b/>
          <w:bCs/>
          <w:sz w:val="20"/>
          <w:szCs w:val="20"/>
        </w:rPr>
        <w:t xml:space="preserve">Table 3: Diseased lesion length increment (in cm/ 24 hours) caused by </w:t>
      </w:r>
      <w:proofErr w:type="spellStart"/>
      <w:r w:rsidR="00046A4B" w:rsidRPr="00C83E37">
        <w:rPr>
          <w:rFonts w:ascii="Arial" w:hAnsi="Arial" w:cs="Arial"/>
          <w:b/>
          <w:bCs/>
          <w:i/>
          <w:sz w:val="20"/>
          <w:szCs w:val="20"/>
        </w:rPr>
        <w:t>Phoma</w:t>
      </w:r>
      <w:proofErr w:type="spellEnd"/>
      <w:r w:rsidR="00894B0B" w:rsidRPr="00C83E37">
        <w:rPr>
          <w:rFonts w:ascii="Arial" w:hAnsi="Arial" w:cs="Arial"/>
          <w:b/>
          <w:bCs/>
          <w:i/>
          <w:sz w:val="20"/>
          <w:szCs w:val="20"/>
        </w:rPr>
        <w:t xml:space="preserve"> </w:t>
      </w:r>
      <w:proofErr w:type="spellStart"/>
      <w:r w:rsidR="00046A4B" w:rsidRPr="00C83E37">
        <w:rPr>
          <w:rFonts w:ascii="Arial" w:hAnsi="Arial" w:cs="Arial"/>
          <w:b/>
          <w:bCs/>
          <w:i/>
          <w:sz w:val="20"/>
          <w:szCs w:val="20"/>
        </w:rPr>
        <w:t>polyanthis</w:t>
      </w:r>
      <w:proofErr w:type="spellEnd"/>
      <w:r w:rsidR="00894B0B" w:rsidRPr="00C83E37">
        <w:rPr>
          <w:rFonts w:ascii="Arial" w:hAnsi="Arial" w:cs="Arial"/>
          <w:b/>
          <w:bCs/>
          <w:i/>
          <w:sz w:val="20"/>
          <w:szCs w:val="20"/>
        </w:rPr>
        <w:t xml:space="preserve"> </w:t>
      </w:r>
      <w:r w:rsidR="00046A4B" w:rsidRPr="00C83E37">
        <w:rPr>
          <w:rFonts w:ascii="Arial" w:hAnsi="Arial" w:cs="Arial"/>
          <w:b/>
          <w:bCs/>
          <w:sz w:val="20"/>
          <w:szCs w:val="20"/>
        </w:rPr>
        <w:t xml:space="preserve">isolates on GKTC – 4 </w:t>
      </w:r>
      <w:proofErr w:type="gramStart"/>
      <w:r w:rsidR="00046A4B" w:rsidRPr="00C83E37">
        <w:rPr>
          <w:rFonts w:ascii="Arial" w:hAnsi="Arial" w:cs="Arial"/>
          <w:b/>
          <w:bCs/>
          <w:sz w:val="20"/>
          <w:szCs w:val="20"/>
        </w:rPr>
        <w:t>cultivar</w:t>
      </w:r>
      <w:proofErr w:type="gramEnd"/>
      <w:r w:rsidR="00046A4B" w:rsidRPr="00C83E37">
        <w:rPr>
          <w:rFonts w:ascii="Arial" w:hAnsi="Arial" w:cs="Arial"/>
          <w:b/>
          <w:bCs/>
          <w:sz w:val="20"/>
          <w:szCs w:val="20"/>
        </w:rPr>
        <w:t xml:space="preserve"> in between two observations under laboratory condition.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809"/>
        <w:gridCol w:w="2279"/>
        <w:gridCol w:w="1497"/>
        <w:gridCol w:w="1580"/>
        <w:gridCol w:w="1580"/>
        <w:gridCol w:w="1497"/>
      </w:tblGrid>
      <w:tr w:rsidR="00046A4B" w:rsidRPr="00C83E37" w:rsidTr="00F91971">
        <w:tc>
          <w:tcPr>
            <w:tcW w:w="809"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Sl. No.</w:t>
            </w:r>
          </w:p>
        </w:tc>
        <w:tc>
          <w:tcPr>
            <w:tcW w:w="2279"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Name of the isolates</w:t>
            </w:r>
          </w:p>
        </w:tc>
        <w:tc>
          <w:tcPr>
            <w:tcW w:w="1497"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LDLI between 24 - 48 hours</w:t>
            </w:r>
          </w:p>
        </w:tc>
        <w:tc>
          <w:tcPr>
            <w:tcW w:w="158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 xml:space="preserve">LDLI </w:t>
            </w:r>
            <w:proofErr w:type="gramStart"/>
            <w:r w:rsidRPr="00C83E37">
              <w:rPr>
                <w:rFonts w:ascii="Arial" w:hAnsi="Arial" w:cs="Arial"/>
                <w:b/>
                <w:sz w:val="20"/>
                <w:szCs w:val="20"/>
              </w:rPr>
              <w:t>between  48</w:t>
            </w:r>
            <w:proofErr w:type="gramEnd"/>
            <w:r w:rsidRPr="00C83E37">
              <w:rPr>
                <w:rFonts w:ascii="Arial" w:hAnsi="Arial" w:cs="Arial"/>
                <w:b/>
                <w:sz w:val="20"/>
                <w:szCs w:val="20"/>
              </w:rPr>
              <w:t xml:space="preserve"> – 72 hours</w:t>
            </w:r>
          </w:p>
        </w:tc>
        <w:tc>
          <w:tcPr>
            <w:tcW w:w="1580"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LDLI between   72 - 96 hours</w:t>
            </w:r>
          </w:p>
        </w:tc>
        <w:tc>
          <w:tcPr>
            <w:tcW w:w="1497"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 xml:space="preserve">LDLI </w:t>
            </w:r>
            <w:proofErr w:type="gramStart"/>
            <w:r w:rsidRPr="00C83E37">
              <w:rPr>
                <w:rFonts w:ascii="Arial" w:hAnsi="Arial" w:cs="Arial"/>
                <w:b/>
                <w:sz w:val="20"/>
                <w:szCs w:val="20"/>
              </w:rPr>
              <w:t>between  96</w:t>
            </w:r>
            <w:proofErr w:type="gramEnd"/>
            <w:r w:rsidRPr="00C83E37">
              <w:rPr>
                <w:rFonts w:ascii="Arial" w:hAnsi="Arial" w:cs="Arial"/>
                <w:b/>
                <w:sz w:val="20"/>
                <w:szCs w:val="20"/>
              </w:rPr>
              <w:t xml:space="preserve"> - 120 hours</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1.</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Birbhum</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4.75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2.50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2.</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Hooghly</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3.</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Burdwan</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2.50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1.50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2.50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4.</w:t>
            </w:r>
          </w:p>
        </w:tc>
        <w:tc>
          <w:tcPr>
            <w:tcW w:w="2279" w:type="dxa"/>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PurbaMedinipur</w:t>
            </w:r>
            <w:proofErr w:type="spellEnd"/>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4.25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5.50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5.</w:t>
            </w:r>
          </w:p>
        </w:tc>
        <w:tc>
          <w:tcPr>
            <w:tcW w:w="2279" w:type="dxa"/>
          </w:tcPr>
          <w:p w:rsidR="00046A4B" w:rsidRPr="00C83E37" w:rsidRDefault="00046A4B" w:rsidP="00F91971">
            <w:pPr>
              <w:spacing w:after="0" w:line="360" w:lineRule="auto"/>
              <w:rPr>
                <w:rFonts w:ascii="Arial" w:hAnsi="Arial" w:cs="Arial"/>
                <w:b/>
                <w:color w:val="000000"/>
                <w:sz w:val="20"/>
                <w:szCs w:val="20"/>
              </w:rPr>
            </w:pPr>
            <w:proofErr w:type="spellStart"/>
            <w:r w:rsidRPr="00C83E37">
              <w:rPr>
                <w:rFonts w:ascii="Arial" w:hAnsi="Arial" w:cs="Arial"/>
                <w:b/>
                <w:color w:val="000000"/>
                <w:sz w:val="20"/>
                <w:szCs w:val="20"/>
              </w:rPr>
              <w:t>Coochbehar</w:t>
            </w:r>
            <w:proofErr w:type="spellEnd"/>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2.25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6.</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Howrah</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3.25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8.00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6.00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7.</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Bankura</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3.50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6.00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9.00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8.</w:t>
            </w:r>
          </w:p>
        </w:tc>
        <w:tc>
          <w:tcPr>
            <w:tcW w:w="227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color w:val="000000"/>
                <w:sz w:val="20"/>
                <w:szCs w:val="20"/>
              </w:rPr>
              <w:t>24 Parganas (S)</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4.00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2.00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6.00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r w:rsidRPr="00C83E37">
              <w:rPr>
                <w:rFonts w:ascii="Arial" w:hAnsi="Arial" w:cs="Arial"/>
                <w:b/>
                <w:bCs/>
                <w:sz w:val="20"/>
                <w:szCs w:val="20"/>
              </w:rPr>
              <w:t>9.</w:t>
            </w:r>
          </w:p>
        </w:tc>
        <w:tc>
          <w:tcPr>
            <w:tcW w:w="2279" w:type="dxa"/>
          </w:tcPr>
          <w:p w:rsidR="00046A4B" w:rsidRPr="00C83E37" w:rsidRDefault="00046A4B" w:rsidP="00F91971">
            <w:pPr>
              <w:spacing w:after="0" w:line="360" w:lineRule="auto"/>
              <w:rPr>
                <w:rFonts w:ascii="Arial" w:hAnsi="Arial" w:cs="Arial"/>
                <w:b/>
                <w:color w:val="000000"/>
                <w:sz w:val="20"/>
                <w:szCs w:val="20"/>
              </w:rPr>
            </w:pPr>
            <w:r w:rsidRPr="00C83E37">
              <w:rPr>
                <w:rFonts w:ascii="Arial" w:hAnsi="Arial" w:cs="Arial"/>
                <w:b/>
                <w:color w:val="000000"/>
                <w:sz w:val="20"/>
                <w:szCs w:val="20"/>
              </w:rPr>
              <w:t>Nadia</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0.50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5.00</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7.00</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7.00</w:t>
            </w:r>
          </w:p>
        </w:tc>
      </w:tr>
      <w:tr w:rsidR="00046A4B" w:rsidRPr="00C83E37" w:rsidTr="00F91971">
        <w:tc>
          <w:tcPr>
            <w:tcW w:w="809" w:type="dxa"/>
          </w:tcPr>
          <w:p w:rsidR="00046A4B" w:rsidRPr="00C83E37" w:rsidRDefault="00046A4B" w:rsidP="00F91971">
            <w:pPr>
              <w:spacing w:after="0" w:line="360" w:lineRule="auto"/>
              <w:rPr>
                <w:rFonts w:ascii="Arial" w:hAnsi="Arial" w:cs="Arial"/>
                <w:b/>
                <w:bCs/>
                <w:sz w:val="20"/>
                <w:szCs w:val="20"/>
              </w:rPr>
            </w:pPr>
          </w:p>
        </w:tc>
        <w:tc>
          <w:tcPr>
            <w:tcW w:w="2279" w:type="dxa"/>
          </w:tcPr>
          <w:p w:rsidR="00046A4B" w:rsidRPr="00C83E37" w:rsidRDefault="00046A4B" w:rsidP="00F91971">
            <w:pPr>
              <w:spacing w:after="0" w:line="360" w:lineRule="auto"/>
              <w:rPr>
                <w:rFonts w:ascii="Arial" w:hAnsi="Arial" w:cs="Arial"/>
                <w:b/>
                <w:color w:val="000000"/>
                <w:sz w:val="20"/>
                <w:szCs w:val="20"/>
              </w:rPr>
            </w:pPr>
          </w:p>
        </w:tc>
        <w:tc>
          <w:tcPr>
            <w:tcW w:w="1497" w:type="dxa"/>
          </w:tcPr>
          <w:p w:rsidR="00046A4B" w:rsidRPr="00C83E37" w:rsidRDefault="00046A4B" w:rsidP="00F91971">
            <w:pPr>
              <w:spacing w:after="0" w:line="360" w:lineRule="auto"/>
              <w:jc w:val="center"/>
              <w:rPr>
                <w:rFonts w:ascii="Arial" w:hAnsi="Arial" w:cs="Arial"/>
                <w:color w:val="000000"/>
                <w:sz w:val="20"/>
                <w:szCs w:val="20"/>
              </w:rPr>
            </w:pPr>
          </w:p>
        </w:tc>
        <w:tc>
          <w:tcPr>
            <w:tcW w:w="1580" w:type="dxa"/>
          </w:tcPr>
          <w:p w:rsidR="00046A4B" w:rsidRPr="00C83E37" w:rsidRDefault="00046A4B" w:rsidP="00F91971">
            <w:pPr>
              <w:spacing w:after="0" w:line="360" w:lineRule="auto"/>
              <w:jc w:val="center"/>
              <w:rPr>
                <w:rFonts w:ascii="Arial" w:hAnsi="Arial" w:cs="Arial"/>
                <w:color w:val="000000"/>
                <w:sz w:val="20"/>
                <w:szCs w:val="20"/>
              </w:rPr>
            </w:pPr>
          </w:p>
        </w:tc>
        <w:tc>
          <w:tcPr>
            <w:tcW w:w="1580" w:type="dxa"/>
          </w:tcPr>
          <w:p w:rsidR="00046A4B" w:rsidRPr="00C83E37" w:rsidRDefault="00046A4B" w:rsidP="00F91971">
            <w:pPr>
              <w:spacing w:after="0" w:line="360" w:lineRule="auto"/>
              <w:jc w:val="center"/>
              <w:rPr>
                <w:rFonts w:ascii="Arial" w:hAnsi="Arial" w:cs="Arial"/>
                <w:color w:val="000000"/>
                <w:sz w:val="20"/>
                <w:szCs w:val="20"/>
              </w:rPr>
            </w:pPr>
          </w:p>
        </w:tc>
        <w:tc>
          <w:tcPr>
            <w:tcW w:w="1497" w:type="dxa"/>
          </w:tcPr>
          <w:p w:rsidR="00046A4B" w:rsidRPr="00C83E37" w:rsidRDefault="00046A4B" w:rsidP="00F91971">
            <w:pPr>
              <w:spacing w:after="0" w:line="360" w:lineRule="auto"/>
              <w:jc w:val="center"/>
              <w:rPr>
                <w:rFonts w:ascii="Arial" w:hAnsi="Arial" w:cs="Arial"/>
                <w:color w:val="000000"/>
                <w:sz w:val="20"/>
                <w:szCs w:val="20"/>
              </w:rPr>
            </w:pPr>
          </w:p>
        </w:tc>
      </w:tr>
      <w:tr w:rsidR="00046A4B" w:rsidRPr="00C83E37" w:rsidTr="00F91971">
        <w:tc>
          <w:tcPr>
            <w:tcW w:w="809" w:type="dxa"/>
          </w:tcPr>
          <w:p w:rsidR="00046A4B" w:rsidRPr="00C83E37" w:rsidRDefault="00046A4B" w:rsidP="00F91971">
            <w:pPr>
              <w:spacing w:after="0" w:line="360" w:lineRule="auto"/>
              <w:rPr>
                <w:rFonts w:ascii="Arial" w:hAnsi="Arial" w:cs="Arial"/>
                <w:b/>
                <w:sz w:val="20"/>
                <w:szCs w:val="20"/>
              </w:rPr>
            </w:pPr>
          </w:p>
        </w:tc>
        <w:tc>
          <w:tcPr>
            <w:tcW w:w="2279" w:type="dxa"/>
          </w:tcPr>
          <w:p w:rsidR="00046A4B" w:rsidRPr="00C83E37" w:rsidRDefault="00046A4B" w:rsidP="00F91971">
            <w:pPr>
              <w:spacing w:after="0" w:line="360" w:lineRule="auto"/>
              <w:rPr>
                <w:rFonts w:ascii="Arial" w:hAnsi="Arial" w:cs="Arial"/>
                <w:b/>
                <w:sz w:val="20"/>
                <w:szCs w:val="20"/>
              </w:rPr>
            </w:pPr>
            <w:proofErr w:type="spellStart"/>
            <w:r w:rsidRPr="00C83E37">
              <w:rPr>
                <w:rFonts w:ascii="Arial" w:hAnsi="Arial" w:cs="Arial"/>
                <w:b/>
                <w:sz w:val="20"/>
                <w:szCs w:val="20"/>
              </w:rPr>
              <w:t>SEm</w:t>
            </w:r>
            <w:proofErr w:type="spellEnd"/>
            <w:r w:rsidRPr="00C83E37">
              <w:rPr>
                <w:rFonts w:ascii="Arial" w:hAnsi="Arial" w:cs="Arial"/>
                <w:b/>
                <w:sz w:val="20"/>
                <w:szCs w:val="20"/>
              </w:rPr>
              <w:t xml:space="preserve"> ±</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0.12</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0.31</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0.35</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0.23</w:t>
            </w:r>
          </w:p>
        </w:tc>
      </w:tr>
      <w:tr w:rsidR="00046A4B" w:rsidRPr="00C83E37" w:rsidTr="00F91971">
        <w:tc>
          <w:tcPr>
            <w:tcW w:w="809" w:type="dxa"/>
          </w:tcPr>
          <w:p w:rsidR="00046A4B" w:rsidRPr="00C83E37" w:rsidRDefault="00046A4B" w:rsidP="00F91971">
            <w:pPr>
              <w:spacing w:after="0" w:line="360" w:lineRule="auto"/>
              <w:rPr>
                <w:rFonts w:ascii="Arial" w:hAnsi="Arial" w:cs="Arial"/>
                <w:b/>
                <w:sz w:val="20"/>
                <w:szCs w:val="20"/>
              </w:rPr>
            </w:pPr>
          </w:p>
        </w:tc>
        <w:tc>
          <w:tcPr>
            <w:tcW w:w="2279" w:type="dxa"/>
          </w:tcPr>
          <w:p w:rsidR="00046A4B" w:rsidRPr="00C83E37" w:rsidRDefault="00046A4B" w:rsidP="00F91971">
            <w:pPr>
              <w:spacing w:after="0" w:line="360" w:lineRule="auto"/>
              <w:rPr>
                <w:rFonts w:ascii="Arial" w:hAnsi="Arial" w:cs="Arial"/>
                <w:b/>
                <w:sz w:val="20"/>
                <w:szCs w:val="20"/>
              </w:rPr>
            </w:pPr>
            <w:r w:rsidRPr="00C83E37">
              <w:rPr>
                <w:rFonts w:ascii="Arial" w:hAnsi="Arial" w:cs="Arial"/>
                <w:b/>
                <w:sz w:val="20"/>
                <w:szCs w:val="20"/>
              </w:rPr>
              <w:t>CD 0.05</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0.35</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0.92</w:t>
            </w:r>
          </w:p>
        </w:tc>
        <w:tc>
          <w:tcPr>
            <w:tcW w:w="1580"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1.04</w:t>
            </w:r>
          </w:p>
        </w:tc>
        <w:tc>
          <w:tcPr>
            <w:tcW w:w="1497" w:type="dxa"/>
          </w:tcPr>
          <w:p w:rsidR="00046A4B" w:rsidRPr="00C83E37" w:rsidRDefault="00046A4B" w:rsidP="00F91971">
            <w:pPr>
              <w:spacing w:after="0" w:line="240" w:lineRule="auto"/>
              <w:jc w:val="center"/>
              <w:rPr>
                <w:rFonts w:ascii="Arial" w:hAnsi="Arial" w:cs="Arial"/>
                <w:color w:val="000000"/>
                <w:sz w:val="20"/>
                <w:szCs w:val="20"/>
              </w:rPr>
            </w:pPr>
            <w:r w:rsidRPr="00C83E37">
              <w:rPr>
                <w:rFonts w:ascii="Arial" w:hAnsi="Arial" w:cs="Arial"/>
                <w:color w:val="000000"/>
                <w:sz w:val="20"/>
                <w:szCs w:val="20"/>
              </w:rPr>
              <w:t>0.69</w:t>
            </w:r>
          </w:p>
        </w:tc>
      </w:tr>
    </w:tbl>
    <w:p w:rsidR="00046A4B" w:rsidRPr="00C83E37" w:rsidRDefault="00046A4B" w:rsidP="00046A4B">
      <w:pPr>
        <w:spacing w:before="120" w:after="0"/>
        <w:jc w:val="both"/>
        <w:rPr>
          <w:rFonts w:ascii="Arial" w:hAnsi="Arial" w:cs="Arial"/>
          <w:sz w:val="20"/>
          <w:szCs w:val="20"/>
        </w:rPr>
      </w:pPr>
      <w:r w:rsidRPr="00C83E37">
        <w:rPr>
          <w:rFonts w:ascii="Arial" w:hAnsi="Arial" w:cs="Arial"/>
          <w:sz w:val="20"/>
          <w:szCs w:val="20"/>
        </w:rPr>
        <w:t>*The 0.00 values of above table have been replaced with 0.25 for statistical analysis.</w:t>
      </w:r>
    </w:p>
    <w:p w:rsidR="00046A4B" w:rsidRPr="00C83E37" w:rsidRDefault="00046A4B" w:rsidP="00046A4B">
      <w:pPr>
        <w:pStyle w:val="Normal1"/>
        <w:tabs>
          <w:tab w:val="left" w:pos="2340"/>
        </w:tabs>
        <w:spacing w:line="360" w:lineRule="auto"/>
        <w:jc w:val="both"/>
        <w:rPr>
          <w:rFonts w:eastAsia="Times New Roman"/>
          <w:sz w:val="20"/>
          <w:szCs w:val="20"/>
        </w:rPr>
      </w:pPr>
      <w:r w:rsidRPr="00C83E37">
        <w:rPr>
          <w:sz w:val="20"/>
          <w:szCs w:val="20"/>
        </w:rPr>
        <w:t xml:space="preserve">    LDLI = Length of diseased lesion increment</w:t>
      </w:r>
    </w:p>
    <w:p w:rsidR="0023113D" w:rsidRPr="00C83E37" w:rsidRDefault="0023113D" w:rsidP="0023113D">
      <w:pPr>
        <w:pStyle w:val="Heading3"/>
        <w:spacing w:before="0" w:beforeAutospacing="0" w:after="0" w:afterAutospacing="0" w:line="360" w:lineRule="auto"/>
        <w:jc w:val="both"/>
        <w:rPr>
          <w:rFonts w:ascii="Arial" w:hAnsi="Arial" w:cs="Arial"/>
          <w:sz w:val="22"/>
          <w:szCs w:val="22"/>
        </w:rPr>
      </w:pPr>
      <w:r w:rsidRPr="00C83E37">
        <w:rPr>
          <w:rFonts w:ascii="Arial" w:hAnsi="Arial" w:cs="Arial"/>
          <w:sz w:val="22"/>
          <w:szCs w:val="22"/>
        </w:rPr>
        <w:t>3.3. Host–Pathogen Interaction and Epidemiological Implications</w:t>
      </w:r>
    </w:p>
    <w:p w:rsidR="0023113D" w:rsidRPr="00C83E37" w:rsidRDefault="0023113D" w:rsidP="0023113D">
      <w:pPr>
        <w:pStyle w:val="NormalWeb"/>
        <w:spacing w:before="0" w:beforeAutospacing="0" w:after="0" w:afterAutospacing="0" w:line="360" w:lineRule="auto"/>
        <w:jc w:val="both"/>
        <w:rPr>
          <w:rFonts w:ascii="Arial" w:hAnsi="Arial" w:cs="Arial"/>
          <w:sz w:val="20"/>
          <w:szCs w:val="22"/>
        </w:rPr>
      </w:pPr>
      <w:r w:rsidRPr="00C83E37">
        <w:rPr>
          <w:rFonts w:ascii="Arial" w:hAnsi="Arial" w:cs="Arial"/>
          <w:sz w:val="20"/>
          <w:szCs w:val="22"/>
        </w:rPr>
        <w:t xml:space="preserve">Differential disease severity observed among cultivars highlights the significance of host resistance in disease management. The high susceptibility of GKTC–4 corroborates findings by earlier researchers that cultivar susceptibility significantly influences </w:t>
      </w:r>
      <w:proofErr w:type="spellStart"/>
      <w:r w:rsidRPr="00C83E37">
        <w:rPr>
          <w:rStyle w:val="Emphasis"/>
          <w:rFonts w:ascii="Arial" w:hAnsi="Arial" w:cs="Arial"/>
          <w:sz w:val="20"/>
          <w:szCs w:val="22"/>
        </w:rPr>
        <w:t>Phoma</w:t>
      </w:r>
      <w:proofErr w:type="spellEnd"/>
      <w:r w:rsidRPr="00C83E37">
        <w:rPr>
          <w:rFonts w:ascii="Arial" w:hAnsi="Arial" w:cs="Arial"/>
          <w:sz w:val="20"/>
          <w:szCs w:val="22"/>
        </w:rPr>
        <w:t xml:space="preserve"> disease outcome (Sharma </w:t>
      </w:r>
      <w:r w:rsidRPr="00C83E37">
        <w:rPr>
          <w:rStyle w:val="Emphasis"/>
          <w:rFonts w:ascii="Arial" w:hAnsi="Arial" w:cs="Arial"/>
          <w:sz w:val="20"/>
          <w:szCs w:val="22"/>
        </w:rPr>
        <w:t>et al.</w:t>
      </w:r>
      <w:r w:rsidRPr="00C83E37">
        <w:rPr>
          <w:rFonts w:ascii="Arial" w:hAnsi="Arial" w:cs="Arial"/>
          <w:sz w:val="20"/>
          <w:szCs w:val="22"/>
        </w:rPr>
        <w:t>, 2019). Variability in isolate aggressiveness also suggests the presence of diverse pathogenic populations within the region, a factor that complicates effective disease control and necessitates integration of host resistance, cultural practices, and chemical measures (</w:t>
      </w:r>
      <w:proofErr w:type="spellStart"/>
      <w:r w:rsidRPr="00C83E37">
        <w:rPr>
          <w:rFonts w:ascii="Arial" w:hAnsi="Arial" w:cs="Arial"/>
          <w:sz w:val="20"/>
          <w:szCs w:val="22"/>
        </w:rPr>
        <w:t>Agrios</w:t>
      </w:r>
      <w:proofErr w:type="spellEnd"/>
      <w:r w:rsidRPr="00C83E37">
        <w:rPr>
          <w:rFonts w:ascii="Arial" w:hAnsi="Arial" w:cs="Arial"/>
          <w:sz w:val="20"/>
          <w:szCs w:val="22"/>
        </w:rPr>
        <w:t>, 2005).</w:t>
      </w:r>
    </w:p>
    <w:p w:rsidR="0023113D" w:rsidRPr="00C83E37" w:rsidRDefault="0023113D" w:rsidP="0023113D">
      <w:pPr>
        <w:pStyle w:val="NormalWeb"/>
        <w:spacing w:before="0" w:beforeAutospacing="0" w:after="0" w:afterAutospacing="0" w:line="360" w:lineRule="auto"/>
        <w:jc w:val="both"/>
        <w:rPr>
          <w:rFonts w:ascii="Arial" w:hAnsi="Arial" w:cs="Arial"/>
          <w:sz w:val="20"/>
          <w:szCs w:val="22"/>
        </w:rPr>
      </w:pPr>
      <w:r w:rsidRPr="00C83E37">
        <w:rPr>
          <w:rFonts w:ascii="Arial" w:hAnsi="Arial" w:cs="Arial"/>
          <w:sz w:val="20"/>
          <w:szCs w:val="22"/>
        </w:rPr>
        <w:lastRenderedPageBreak/>
        <w:t xml:space="preserve">Environmental factors such as humidity and temperature play crucial roles in disease epidemiology. Warm, humid conditions prevalent during the post-monsoon period in West Bengal likely favored disease development and contributed to high PDI in certain districts, aligning with existing epidemiological models for foliar pathogens (Garrett </w:t>
      </w:r>
      <w:r w:rsidRPr="00C83E37">
        <w:rPr>
          <w:rStyle w:val="Emphasis"/>
          <w:rFonts w:ascii="Arial" w:hAnsi="Arial" w:cs="Arial"/>
          <w:sz w:val="20"/>
          <w:szCs w:val="22"/>
        </w:rPr>
        <w:t>et al.</w:t>
      </w:r>
      <w:r w:rsidRPr="00C83E37">
        <w:rPr>
          <w:rFonts w:ascii="Arial" w:hAnsi="Arial" w:cs="Arial"/>
          <w:sz w:val="20"/>
          <w:szCs w:val="22"/>
        </w:rPr>
        <w:t xml:space="preserve">, 2006; </w:t>
      </w:r>
      <w:proofErr w:type="spellStart"/>
      <w:r w:rsidRPr="00C83E37">
        <w:rPr>
          <w:rFonts w:ascii="Arial" w:hAnsi="Arial" w:cs="Arial"/>
          <w:sz w:val="20"/>
          <w:szCs w:val="22"/>
        </w:rPr>
        <w:t>Jeger</w:t>
      </w:r>
      <w:proofErr w:type="spellEnd"/>
      <w:r w:rsidRPr="00C83E37">
        <w:rPr>
          <w:rFonts w:ascii="Arial" w:hAnsi="Arial" w:cs="Arial"/>
          <w:sz w:val="20"/>
          <w:szCs w:val="22"/>
        </w:rPr>
        <w:t xml:space="preserve"> </w:t>
      </w:r>
      <w:r w:rsidRPr="00C83E37">
        <w:rPr>
          <w:rStyle w:val="Emphasis"/>
          <w:rFonts w:ascii="Arial" w:hAnsi="Arial" w:cs="Arial"/>
          <w:sz w:val="20"/>
          <w:szCs w:val="22"/>
        </w:rPr>
        <w:t>et al.</w:t>
      </w:r>
      <w:r w:rsidRPr="00C83E37">
        <w:rPr>
          <w:rFonts w:ascii="Arial" w:hAnsi="Arial" w:cs="Arial"/>
          <w:sz w:val="20"/>
          <w:szCs w:val="22"/>
        </w:rPr>
        <w:t>, 2009). The interaction of such environmental variables with pathogen virulence underscores the need for region-specific forecasting and management strategies.</w:t>
      </w:r>
    </w:p>
    <w:p w:rsidR="00002F3E" w:rsidRPr="00C83E37" w:rsidRDefault="0023113D" w:rsidP="00772E2A">
      <w:pPr>
        <w:spacing w:after="0" w:line="360" w:lineRule="auto"/>
        <w:jc w:val="both"/>
        <w:rPr>
          <w:rFonts w:ascii="Arial Bold" w:hAnsi="Arial Bold" w:cs="Times New Roman"/>
          <w:b/>
        </w:rPr>
      </w:pPr>
      <w:r w:rsidRPr="00C83E37">
        <w:rPr>
          <w:rFonts w:ascii="Arial Bold" w:hAnsi="Arial Bold" w:cs="Times New Roman"/>
          <w:b/>
        </w:rPr>
        <w:t xml:space="preserve"> CONCLUSION</w:t>
      </w:r>
    </w:p>
    <w:p w:rsidR="0023113D" w:rsidRDefault="0023113D" w:rsidP="0023113D">
      <w:pPr>
        <w:pStyle w:val="NormalWeb"/>
        <w:spacing w:before="0" w:beforeAutospacing="0" w:after="0" w:afterAutospacing="0" w:line="360" w:lineRule="auto"/>
        <w:jc w:val="both"/>
        <w:rPr>
          <w:rFonts w:ascii="Arial" w:hAnsi="Arial" w:cs="Arial"/>
          <w:sz w:val="20"/>
        </w:rPr>
      </w:pPr>
      <w:r w:rsidRPr="00C83E37">
        <w:rPr>
          <w:rFonts w:ascii="Arial" w:hAnsi="Arial" w:cs="Arial"/>
          <w:sz w:val="20"/>
        </w:rPr>
        <w:t xml:space="preserve">The present findings demonstrate significant pathogenic variability and virulence diversity among </w:t>
      </w:r>
      <w:r w:rsidRPr="00C83E37">
        <w:rPr>
          <w:rStyle w:val="Emphasis"/>
          <w:rFonts w:ascii="Arial" w:hAnsi="Arial" w:cs="Arial"/>
          <w:sz w:val="20"/>
        </w:rPr>
        <w:t xml:space="preserve">P. </w:t>
      </w:r>
      <w:proofErr w:type="spellStart"/>
      <w:r w:rsidRPr="00C83E37">
        <w:rPr>
          <w:rStyle w:val="Emphasis"/>
          <w:rFonts w:ascii="Arial" w:hAnsi="Arial" w:cs="Arial"/>
          <w:sz w:val="20"/>
        </w:rPr>
        <w:t>polyanthis</w:t>
      </w:r>
      <w:proofErr w:type="spellEnd"/>
      <w:r w:rsidRPr="00C83E37">
        <w:rPr>
          <w:rFonts w:ascii="Arial" w:hAnsi="Arial" w:cs="Arial"/>
          <w:sz w:val="20"/>
        </w:rPr>
        <w:t xml:space="preserve"> isolates in West Bengal. High variability in lesion development, temporal disease progression, and differential cultivar response indicate that both pathogen population structure and host susceptibility shape disease outcomes. These results provide essential baseline information for future research on resistance screening, integrated disease management, and predictive epidemiology in tuberose tip blight.</w:t>
      </w:r>
    </w:p>
    <w:p w:rsidR="00AC051E" w:rsidRPr="00AC051E" w:rsidRDefault="00AC051E" w:rsidP="00AC051E">
      <w:pPr>
        <w:rPr>
          <w:rFonts w:ascii="Calibri" w:eastAsia="Calibri" w:hAnsi="Calibri" w:cs="Times New Roman"/>
          <w:kern w:val="2"/>
          <w:highlight w:val="yellow"/>
        </w:rPr>
      </w:pPr>
      <w:r w:rsidRPr="00AC051E">
        <w:rPr>
          <w:rFonts w:ascii="Calibri" w:eastAsia="Calibri" w:hAnsi="Calibri" w:cs="Times New Roman"/>
          <w:kern w:val="2"/>
          <w:highlight w:val="yellow"/>
        </w:rPr>
        <w:t>Disclaimer (Artificial intelligence)</w:t>
      </w:r>
    </w:p>
    <w:p w:rsidR="00AC051E" w:rsidRPr="00AC051E" w:rsidRDefault="00AC051E" w:rsidP="00AC051E">
      <w:pPr>
        <w:rPr>
          <w:rFonts w:ascii="Calibri" w:eastAsia="Calibri" w:hAnsi="Calibri" w:cs="Times New Roman"/>
          <w:kern w:val="2"/>
          <w:highlight w:val="yellow"/>
        </w:rPr>
      </w:pPr>
      <w:r w:rsidRPr="00AC051E">
        <w:rPr>
          <w:rFonts w:ascii="Calibri" w:eastAsia="Calibri" w:hAnsi="Calibri" w:cs="Times New Roman"/>
          <w:kern w:val="2"/>
          <w:highlight w:val="yellow"/>
        </w:rPr>
        <w:t>Author(s) hereby declare that NO generative AI technologies such as Large Language Models (</w:t>
      </w:r>
      <w:proofErr w:type="spellStart"/>
      <w:r w:rsidRPr="00AC051E">
        <w:rPr>
          <w:rFonts w:ascii="Calibri" w:eastAsia="Calibri" w:hAnsi="Calibri" w:cs="Times New Roman"/>
          <w:kern w:val="2"/>
          <w:highlight w:val="yellow"/>
        </w:rPr>
        <w:t>ChatGPT</w:t>
      </w:r>
      <w:proofErr w:type="spellEnd"/>
      <w:r w:rsidRPr="00AC051E">
        <w:rPr>
          <w:rFonts w:ascii="Calibri" w:eastAsia="Calibri" w:hAnsi="Calibri" w:cs="Times New Roman"/>
          <w:kern w:val="2"/>
          <w:highlight w:val="yellow"/>
        </w:rPr>
        <w:t xml:space="preserve">, COPILOT, etc.) and text-to-image generators have been used during the writing or editing of this manuscript. </w:t>
      </w:r>
    </w:p>
    <w:p w:rsidR="006B2123" w:rsidRPr="00C83E37" w:rsidRDefault="006B2123" w:rsidP="0023113D">
      <w:pPr>
        <w:pStyle w:val="NormalWeb"/>
        <w:spacing w:before="0" w:beforeAutospacing="0" w:after="0" w:afterAutospacing="0" w:line="360" w:lineRule="auto"/>
        <w:jc w:val="both"/>
        <w:rPr>
          <w:rFonts w:ascii="Arial" w:hAnsi="Arial" w:cs="Arial"/>
          <w:sz w:val="20"/>
        </w:rPr>
      </w:pPr>
    </w:p>
    <w:p w:rsidR="00002F3E" w:rsidRPr="00C83E37" w:rsidRDefault="00987F08" w:rsidP="00E77C5A">
      <w:pPr>
        <w:pStyle w:val="NormalWeb"/>
        <w:spacing w:before="0" w:beforeAutospacing="0" w:after="0" w:afterAutospacing="0" w:line="360" w:lineRule="auto"/>
        <w:jc w:val="both"/>
        <w:rPr>
          <w:rFonts w:ascii="Arial Bold" w:eastAsiaTheme="minorEastAsia" w:hAnsi="Arial Bold"/>
          <w:b/>
          <w:sz w:val="22"/>
          <w:szCs w:val="22"/>
        </w:rPr>
      </w:pPr>
      <w:r w:rsidRPr="00C83E37">
        <w:rPr>
          <w:rFonts w:ascii="Arial Bold" w:eastAsiaTheme="minorEastAsia" w:hAnsi="Arial Bold"/>
          <w:b/>
          <w:sz w:val="22"/>
          <w:szCs w:val="22"/>
        </w:rPr>
        <w:t>REFERENCES</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rPr>
      </w:pPr>
      <w:bookmarkStart w:id="0" w:name="_GoBack"/>
      <w:proofErr w:type="spellStart"/>
      <w:r w:rsidRPr="00C83E37">
        <w:rPr>
          <w:rFonts w:ascii="Arial" w:hAnsi="Arial" w:cs="Arial"/>
        </w:rPr>
        <w:t>Agrios</w:t>
      </w:r>
      <w:proofErr w:type="spellEnd"/>
      <w:r w:rsidRPr="00C83E37">
        <w:rPr>
          <w:rFonts w:ascii="Arial" w:hAnsi="Arial" w:cs="Arial"/>
        </w:rPr>
        <w:t xml:space="preserve">, G. N. (2005). </w:t>
      </w:r>
      <w:r w:rsidRPr="00C83E37">
        <w:rPr>
          <w:rStyle w:val="Emphasis"/>
          <w:rFonts w:ascii="Arial" w:hAnsi="Arial" w:cs="Arial"/>
        </w:rPr>
        <w:t>Plant Pathology</w:t>
      </w:r>
      <w:r w:rsidRPr="00C83E37">
        <w:rPr>
          <w:rFonts w:ascii="Arial" w:hAnsi="Arial" w:cs="Arial"/>
        </w:rPr>
        <w:t xml:space="preserve"> (5th ed.). Elsevier Academic Press.</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color w:val="000000" w:themeColor="text1"/>
        </w:rPr>
      </w:pPr>
      <w:proofErr w:type="spellStart"/>
      <w:r w:rsidRPr="00C83E37">
        <w:rPr>
          <w:rFonts w:ascii="Arial" w:hAnsi="Arial" w:cs="Arial"/>
          <w:color w:val="000000" w:themeColor="text1"/>
        </w:rPr>
        <w:t>Aveskamp</w:t>
      </w:r>
      <w:proofErr w:type="spellEnd"/>
      <w:r w:rsidRPr="00C83E37">
        <w:rPr>
          <w:rFonts w:ascii="Arial" w:hAnsi="Arial" w:cs="Arial"/>
          <w:color w:val="000000" w:themeColor="text1"/>
        </w:rPr>
        <w:t xml:space="preserve">, M. M., de Gruyter, J., &amp; </w:t>
      </w:r>
      <w:proofErr w:type="spellStart"/>
      <w:r w:rsidRPr="00C83E37">
        <w:rPr>
          <w:rFonts w:ascii="Arial" w:hAnsi="Arial" w:cs="Arial"/>
          <w:color w:val="000000" w:themeColor="text1"/>
        </w:rPr>
        <w:t>Crous</w:t>
      </w:r>
      <w:proofErr w:type="spellEnd"/>
      <w:r w:rsidRPr="00C83E37">
        <w:rPr>
          <w:rFonts w:ascii="Arial" w:hAnsi="Arial" w:cs="Arial"/>
          <w:color w:val="000000" w:themeColor="text1"/>
        </w:rPr>
        <w:t xml:space="preserve">, P. W. (2010). Biology and recent developments in the systematics of </w:t>
      </w:r>
      <w:proofErr w:type="spellStart"/>
      <w:r w:rsidRPr="00C83E37">
        <w:rPr>
          <w:rFonts w:ascii="Arial" w:hAnsi="Arial" w:cs="Arial"/>
          <w:i/>
          <w:iCs/>
          <w:color w:val="000000" w:themeColor="text1"/>
        </w:rPr>
        <w:t>Phoma</w:t>
      </w:r>
      <w:proofErr w:type="spellEnd"/>
      <w:r w:rsidRPr="00C83E37">
        <w:rPr>
          <w:rFonts w:ascii="Arial" w:hAnsi="Arial" w:cs="Arial"/>
          <w:color w:val="000000" w:themeColor="text1"/>
        </w:rPr>
        <w:t xml:space="preserve">, a complex genus of major quarantine significance. </w:t>
      </w:r>
      <w:r w:rsidRPr="00C83E37">
        <w:rPr>
          <w:rFonts w:ascii="Arial" w:hAnsi="Arial" w:cs="Arial"/>
          <w:i/>
          <w:iCs/>
          <w:color w:val="000000" w:themeColor="text1"/>
        </w:rPr>
        <w:t>Fungal Diversity</w:t>
      </w:r>
      <w:r w:rsidRPr="00C83E37">
        <w:rPr>
          <w:rFonts w:ascii="Arial" w:hAnsi="Arial" w:cs="Arial"/>
          <w:color w:val="000000" w:themeColor="text1"/>
        </w:rPr>
        <w:t>, 43, 1–18.</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color w:val="000000" w:themeColor="text1"/>
        </w:rPr>
      </w:pPr>
      <w:r w:rsidRPr="00C83E37">
        <w:rPr>
          <w:rFonts w:ascii="Arial" w:hAnsi="Arial" w:cs="Arial"/>
          <w:color w:val="000000" w:themeColor="text1"/>
        </w:rPr>
        <w:t xml:space="preserve">Chen, Q., Hou, L. W., </w:t>
      </w:r>
      <w:proofErr w:type="spellStart"/>
      <w:r w:rsidRPr="00C83E37">
        <w:rPr>
          <w:rFonts w:ascii="Arial" w:hAnsi="Arial" w:cs="Arial"/>
          <w:color w:val="000000" w:themeColor="text1"/>
        </w:rPr>
        <w:t>Duan</w:t>
      </w:r>
      <w:proofErr w:type="spellEnd"/>
      <w:r w:rsidRPr="00C83E37">
        <w:rPr>
          <w:rFonts w:ascii="Arial" w:hAnsi="Arial" w:cs="Arial"/>
          <w:color w:val="000000" w:themeColor="text1"/>
        </w:rPr>
        <w:t xml:space="preserve">, W. J., et al. (2015). </w:t>
      </w:r>
      <w:proofErr w:type="spellStart"/>
      <w:r w:rsidRPr="00C83E37">
        <w:rPr>
          <w:rFonts w:ascii="Arial" w:hAnsi="Arial" w:cs="Arial"/>
          <w:color w:val="000000" w:themeColor="text1"/>
        </w:rPr>
        <w:t>Didymellaceae</w:t>
      </w:r>
      <w:proofErr w:type="spellEnd"/>
      <w:r w:rsidRPr="00C83E37">
        <w:rPr>
          <w:rFonts w:ascii="Arial" w:hAnsi="Arial" w:cs="Arial"/>
          <w:color w:val="000000" w:themeColor="text1"/>
        </w:rPr>
        <w:t xml:space="preserve"> revisited. </w:t>
      </w:r>
      <w:r w:rsidRPr="00C83E37">
        <w:rPr>
          <w:rFonts w:ascii="Arial" w:hAnsi="Arial" w:cs="Arial"/>
          <w:i/>
          <w:iCs/>
          <w:color w:val="000000" w:themeColor="text1"/>
        </w:rPr>
        <w:t>Studies in Mycology</w:t>
      </w:r>
      <w:r w:rsidRPr="00C83E37">
        <w:rPr>
          <w:rFonts w:ascii="Arial" w:hAnsi="Arial" w:cs="Arial"/>
          <w:color w:val="000000" w:themeColor="text1"/>
        </w:rPr>
        <w:t>, 82, 105–159.</w:t>
      </w:r>
    </w:p>
    <w:p w:rsidR="00F76B4D" w:rsidRPr="00C83E37" w:rsidRDefault="00F76B4D" w:rsidP="003F15EC">
      <w:pPr>
        <w:pStyle w:val="NormalWeb"/>
        <w:numPr>
          <w:ilvl w:val="0"/>
          <w:numId w:val="2"/>
        </w:numPr>
        <w:spacing w:before="0" w:beforeAutospacing="0" w:after="0" w:afterAutospacing="0" w:line="360" w:lineRule="auto"/>
        <w:jc w:val="both"/>
        <w:rPr>
          <w:rFonts w:ascii="Arial" w:hAnsi="Arial" w:cs="Arial"/>
          <w:color w:val="000000" w:themeColor="text1"/>
          <w:sz w:val="22"/>
        </w:rPr>
      </w:pPr>
      <w:r w:rsidRPr="00C83E37">
        <w:rPr>
          <w:rFonts w:ascii="Arial" w:hAnsi="Arial" w:cs="Arial"/>
          <w:sz w:val="22"/>
        </w:rPr>
        <w:t>Chowdhury, S., Das, S., Mandal, B., &amp; Kundu, S. (2021). Assessment of disease incidence and varietal response of tuberose (</w:t>
      </w:r>
      <w:proofErr w:type="spellStart"/>
      <w:r w:rsidRPr="00C83E37">
        <w:rPr>
          <w:rStyle w:val="Emphasis"/>
          <w:rFonts w:ascii="Arial" w:hAnsi="Arial" w:cs="Arial"/>
          <w:sz w:val="22"/>
        </w:rPr>
        <w:t>Polianthes</w:t>
      </w:r>
      <w:proofErr w:type="spellEnd"/>
      <w:r w:rsidRPr="00C83E37">
        <w:rPr>
          <w:rStyle w:val="Emphasis"/>
          <w:rFonts w:ascii="Arial" w:hAnsi="Arial" w:cs="Arial"/>
          <w:sz w:val="22"/>
        </w:rPr>
        <w:t xml:space="preserve"> </w:t>
      </w:r>
      <w:proofErr w:type="spellStart"/>
      <w:r w:rsidRPr="00C83E37">
        <w:rPr>
          <w:rStyle w:val="Emphasis"/>
          <w:rFonts w:ascii="Arial" w:hAnsi="Arial" w:cs="Arial"/>
          <w:sz w:val="22"/>
        </w:rPr>
        <w:t>tuberosa</w:t>
      </w:r>
      <w:proofErr w:type="spellEnd"/>
      <w:r w:rsidRPr="00C83E37">
        <w:rPr>
          <w:rFonts w:ascii="Arial" w:hAnsi="Arial" w:cs="Arial"/>
          <w:sz w:val="22"/>
        </w:rPr>
        <w:t xml:space="preserve"> L.) under different </w:t>
      </w:r>
      <w:proofErr w:type="spellStart"/>
      <w:r w:rsidRPr="00C83E37">
        <w:rPr>
          <w:rFonts w:ascii="Arial" w:hAnsi="Arial" w:cs="Arial"/>
          <w:sz w:val="22"/>
        </w:rPr>
        <w:t>agro</w:t>
      </w:r>
      <w:proofErr w:type="spellEnd"/>
      <w:r w:rsidRPr="00C83E37">
        <w:rPr>
          <w:rFonts w:ascii="Arial" w:hAnsi="Arial" w:cs="Arial"/>
          <w:sz w:val="22"/>
        </w:rPr>
        <w:t xml:space="preserve">-climatic conditions of eastern India. </w:t>
      </w:r>
      <w:r w:rsidRPr="00C83E37">
        <w:rPr>
          <w:rStyle w:val="Emphasis"/>
          <w:rFonts w:ascii="Arial" w:hAnsi="Arial" w:cs="Arial"/>
          <w:sz w:val="22"/>
        </w:rPr>
        <w:t>Journal of Ornamental Horticulture</w:t>
      </w:r>
      <w:r w:rsidRPr="00C83E37">
        <w:rPr>
          <w:rFonts w:ascii="Arial" w:hAnsi="Arial" w:cs="Arial"/>
          <w:sz w:val="22"/>
        </w:rPr>
        <w:t>, 24(2), 135–142.</w:t>
      </w:r>
    </w:p>
    <w:p w:rsidR="00F76B4D" w:rsidRPr="00C83E37" w:rsidRDefault="00F76B4D" w:rsidP="003F15EC">
      <w:pPr>
        <w:pStyle w:val="NormalWeb"/>
        <w:numPr>
          <w:ilvl w:val="0"/>
          <w:numId w:val="2"/>
        </w:numPr>
        <w:spacing w:before="0" w:beforeAutospacing="0" w:after="0" w:afterAutospacing="0" w:line="360" w:lineRule="auto"/>
        <w:jc w:val="both"/>
        <w:rPr>
          <w:rFonts w:ascii="Arial" w:hAnsi="Arial" w:cs="Arial"/>
        </w:rPr>
      </w:pPr>
      <w:r w:rsidRPr="00C83E37">
        <w:rPr>
          <w:rFonts w:ascii="Arial" w:hAnsi="Arial" w:cs="Arial"/>
        </w:rPr>
        <w:t xml:space="preserve">Garrett, K. A., Dendy, S. P., Frank, E. E., Rouse, M. N., &amp; Travers, S. E. (2006). Climate change effects on plant disease: Genomes to ecosystems. </w:t>
      </w:r>
      <w:r w:rsidRPr="00C83E37">
        <w:rPr>
          <w:rStyle w:val="Emphasis"/>
          <w:rFonts w:ascii="Arial" w:hAnsi="Arial" w:cs="Arial"/>
        </w:rPr>
        <w:t>Annual Review of Phytopathology</w:t>
      </w:r>
      <w:r w:rsidRPr="00C83E37">
        <w:rPr>
          <w:rFonts w:ascii="Arial" w:hAnsi="Arial" w:cs="Arial"/>
        </w:rPr>
        <w:t>, 44, 489–509.</w:t>
      </w:r>
    </w:p>
    <w:p w:rsidR="00F76B4D" w:rsidRPr="00C83E37" w:rsidRDefault="00F76B4D" w:rsidP="003F15EC">
      <w:pPr>
        <w:pStyle w:val="NormalWeb"/>
        <w:numPr>
          <w:ilvl w:val="0"/>
          <w:numId w:val="2"/>
        </w:numPr>
        <w:spacing w:before="0" w:beforeAutospacing="0" w:after="0" w:afterAutospacing="0" w:line="360" w:lineRule="auto"/>
        <w:jc w:val="both"/>
        <w:rPr>
          <w:rFonts w:ascii="Arial" w:hAnsi="Arial" w:cs="Arial"/>
        </w:rPr>
      </w:pPr>
      <w:r w:rsidRPr="00C83E37">
        <w:rPr>
          <w:rFonts w:ascii="Arial" w:hAnsi="Arial" w:cs="Arial"/>
        </w:rPr>
        <w:t xml:space="preserve">Hyde, K. D., et al. (2014). One stop shop: Backbones trees for important phytopathogenic genera: </w:t>
      </w:r>
      <w:r w:rsidRPr="00C83E37">
        <w:rPr>
          <w:rStyle w:val="Emphasis"/>
          <w:rFonts w:ascii="Arial" w:hAnsi="Arial" w:cs="Arial"/>
        </w:rPr>
        <w:t>Fusarium</w:t>
      </w:r>
      <w:r w:rsidRPr="00C83E37">
        <w:rPr>
          <w:rFonts w:ascii="Arial" w:hAnsi="Arial" w:cs="Arial"/>
        </w:rPr>
        <w:t xml:space="preserve">, </w:t>
      </w:r>
      <w:r w:rsidRPr="00C83E37">
        <w:rPr>
          <w:rStyle w:val="Emphasis"/>
          <w:rFonts w:ascii="Arial" w:hAnsi="Arial" w:cs="Arial"/>
        </w:rPr>
        <w:t>Colletotrichum</w:t>
      </w:r>
      <w:r w:rsidRPr="00C83E37">
        <w:rPr>
          <w:rFonts w:ascii="Arial" w:hAnsi="Arial" w:cs="Arial"/>
        </w:rPr>
        <w:t xml:space="preserve">, </w:t>
      </w:r>
      <w:proofErr w:type="spellStart"/>
      <w:r w:rsidRPr="00C83E37">
        <w:rPr>
          <w:rStyle w:val="Emphasis"/>
          <w:rFonts w:ascii="Arial" w:hAnsi="Arial" w:cs="Arial"/>
        </w:rPr>
        <w:t>Phoma</w:t>
      </w:r>
      <w:proofErr w:type="spellEnd"/>
      <w:r w:rsidRPr="00C83E37">
        <w:rPr>
          <w:rFonts w:ascii="Arial" w:hAnsi="Arial" w:cs="Arial"/>
        </w:rPr>
        <w:t xml:space="preserve">, </w:t>
      </w:r>
      <w:r w:rsidRPr="00C83E37">
        <w:rPr>
          <w:rStyle w:val="Emphasis"/>
          <w:rFonts w:ascii="Arial" w:hAnsi="Arial" w:cs="Arial"/>
        </w:rPr>
        <w:t>Verticillium</w:t>
      </w:r>
      <w:r w:rsidRPr="00C83E37">
        <w:rPr>
          <w:rFonts w:ascii="Arial" w:hAnsi="Arial" w:cs="Arial"/>
        </w:rPr>
        <w:t xml:space="preserve"> and </w:t>
      </w:r>
      <w:r w:rsidRPr="00C83E37">
        <w:rPr>
          <w:rStyle w:val="Emphasis"/>
          <w:rFonts w:ascii="Arial" w:hAnsi="Arial" w:cs="Arial"/>
        </w:rPr>
        <w:t>Alternaria</w:t>
      </w:r>
      <w:r w:rsidRPr="00C83E37">
        <w:rPr>
          <w:rFonts w:ascii="Arial" w:hAnsi="Arial" w:cs="Arial"/>
        </w:rPr>
        <w:t xml:space="preserve">. </w:t>
      </w:r>
      <w:r w:rsidRPr="00C83E37">
        <w:rPr>
          <w:rStyle w:val="Emphasis"/>
          <w:rFonts w:ascii="Arial" w:hAnsi="Arial" w:cs="Arial"/>
        </w:rPr>
        <w:t>Fungal Diversity</w:t>
      </w:r>
      <w:r w:rsidRPr="00C83E37">
        <w:rPr>
          <w:rFonts w:ascii="Arial" w:hAnsi="Arial" w:cs="Arial"/>
        </w:rPr>
        <w:t>, 67, 21–125.</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color w:val="000000" w:themeColor="text1"/>
        </w:rPr>
      </w:pPr>
      <w:r w:rsidRPr="00C83E37">
        <w:rPr>
          <w:rFonts w:ascii="Arial" w:hAnsi="Arial" w:cs="Arial"/>
          <w:color w:val="000000" w:themeColor="text1"/>
        </w:rPr>
        <w:lastRenderedPageBreak/>
        <w:t>ICAR–Directorate of Floricultural Research. (2022). Annual Report.</w:t>
      </w:r>
    </w:p>
    <w:p w:rsidR="00F76B4D" w:rsidRPr="00C83E37" w:rsidRDefault="00F76B4D" w:rsidP="003F15EC">
      <w:pPr>
        <w:pStyle w:val="NormalWeb"/>
        <w:numPr>
          <w:ilvl w:val="0"/>
          <w:numId w:val="2"/>
        </w:numPr>
        <w:spacing w:before="0" w:beforeAutospacing="0" w:after="0" w:afterAutospacing="0" w:line="360" w:lineRule="auto"/>
        <w:jc w:val="both"/>
        <w:rPr>
          <w:rFonts w:ascii="Arial" w:hAnsi="Arial" w:cs="Arial"/>
        </w:rPr>
      </w:pPr>
      <w:proofErr w:type="spellStart"/>
      <w:r w:rsidRPr="00C83E37">
        <w:rPr>
          <w:rFonts w:ascii="Arial" w:hAnsi="Arial" w:cs="Arial"/>
        </w:rPr>
        <w:t>Jeger</w:t>
      </w:r>
      <w:proofErr w:type="spellEnd"/>
      <w:r w:rsidRPr="00C83E37">
        <w:rPr>
          <w:rFonts w:ascii="Arial" w:hAnsi="Arial" w:cs="Arial"/>
        </w:rPr>
        <w:t xml:space="preserve">, M. J., et al. (2009). Epidemiology of foliar fungal diseases in tropical crops. </w:t>
      </w:r>
      <w:r w:rsidRPr="00C83E37">
        <w:rPr>
          <w:rStyle w:val="Emphasis"/>
          <w:rFonts w:ascii="Arial" w:hAnsi="Arial" w:cs="Arial"/>
        </w:rPr>
        <w:t>Phytopathology</w:t>
      </w:r>
      <w:r w:rsidRPr="00C83E37">
        <w:rPr>
          <w:rFonts w:ascii="Arial" w:hAnsi="Arial" w:cs="Arial"/>
        </w:rPr>
        <w:t>, 99(2), 117–128.</w:t>
      </w:r>
    </w:p>
    <w:p w:rsidR="00F76B4D" w:rsidRPr="00C83E37" w:rsidRDefault="00F76B4D" w:rsidP="003F15EC">
      <w:pPr>
        <w:pStyle w:val="Normal1"/>
        <w:numPr>
          <w:ilvl w:val="0"/>
          <w:numId w:val="2"/>
        </w:numPr>
        <w:spacing w:line="360" w:lineRule="auto"/>
        <w:jc w:val="both"/>
        <w:rPr>
          <w:rFonts w:eastAsia="Times New Roman"/>
          <w:color w:val="000000" w:themeColor="text1"/>
          <w:sz w:val="24"/>
          <w:szCs w:val="24"/>
        </w:rPr>
      </w:pPr>
      <w:proofErr w:type="spellStart"/>
      <w:r w:rsidRPr="00C83E37">
        <w:rPr>
          <w:rFonts w:eastAsia="Times New Roman"/>
          <w:color w:val="000000" w:themeColor="text1"/>
          <w:sz w:val="24"/>
          <w:szCs w:val="24"/>
        </w:rPr>
        <w:t>Lević</w:t>
      </w:r>
      <w:proofErr w:type="spellEnd"/>
      <w:r w:rsidRPr="00C83E37">
        <w:rPr>
          <w:rFonts w:eastAsia="Times New Roman"/>
          <w:color w:val="000000" w:themeColor="text1"/>
          <w:sz w:val="24"/>
          <w:szCs w:val="24"/>
        </w:rPr>
        <w:t xml:space="preserve">, J., </w:t>
      </w:r>
      <w:proofErr w:type="spellStart"/>
      <w:r w:rsidRPr="00C83E37">
        <w:rPr>
          <w:rFonts w:eastAsia="Times New Roman"/>
          <w:color w:val="000000" w:themeColor="text1"/>
          <w:sz w:val="24"/>
          <w:szCs w:val="24"/>
        </w:rPr>
        <w:t>Petrović</w:t>
      </w:r>
      <w:proofErr w:type="spellEnd"/>
      <w:r w:rsidRPr="00C83E37">
        <w:rPr>
          <w:rFonts w:eastAsia="Times New Roman"/>
          <w:color w:val="000000" w:themeColor="text1"/>
          <w:sz w:val="24"/>
          <w:szCs w:val="24"/>
        </w:rPr>
        <w:t xml:space="preserve">, T., </w:t>
      </w:r>
      <w:proofErr w:type="spellStart"/>
      <w:r w:rsidRPr="00C83E37">
        <w:rPr>
          <w:rFonts w:eastAsia="Times New Roman"/>
          <w:color w:val="000000" w:themeColor="text1"/>
          <w:sz w:val="24"/>
          <w:szCs w:val="24"/>
        </w:rPr>
        <w:t>Stanković</w:t>
      </w:r>
      <w:proofErr w:type="spellEnd"/>
      <w:r w:rsidRPr="00C83E37">
        <w:rPr>
          <w:rFonts w:eastAsia="Times New Roman"/>
          <w:color w:val="000000" w:themeColor="text1"/>
          <w:sz w:val="24"/>
          <w:szCs w:val="24"/>
        </w:rPr>
        <w:t xml:space="preserve">, S. and </w:t>
      </w:r>
      <w:proofErr w:type="spellStart"/>
      <w:r w:rsidRPr="00C83E37">
        <w:rPr>
          <w:rFonts w:eastAsia="Times New Roman"/>
          <w:color w:val="000000" w:themeColor="text1"/>
          <w:sz w:val="24"/>
          <w:szCs w:val="24"/>
        </w:rPr>
        <w:t>Ivanović</w:t>
      </w:r>
      <w:proofErr w:type="spellEnd"/>
      <w:r w:rsidRPr="00C83E37">
        <w:rPr>
          <w:rFonts w:eastAsia="Times New Roman"/>
          <w:color w:val="000000" w:themeColor="text1"/>
          <w:sz w:val="24"/>
          <w:szCs w:val="24"/>
        </w:rPr>
        <w:t xml:space="preserve">, D. (2012). Pathogenicity of </w:t>
      </w:r>
      <w:r w:rsidRPr="00C83E37">
        <w:rPr>
          <w:rFonts w:eastAsia="Times New Roman"/>
          <w:i/>
          <w:color w:val="000000" w:themeColor="text1"/>
          <w:sz w:val="24"/>
          <w:szCs w:val="24"/>
        </w:rPr>
        <w:t xml:space="preserve">P.    </w:t>
      </w:r>
      <w:proofErr w:type="spellStart"/>
      <w:r w:rsidRPr="00C83E37">
        <w:rPr>
          <w:rFonts w:eastAsia="Times New Roman"/>
          <w:i/>
          <w:color w:val="000000" w:themeColor="text1"/>
          <w:sz w:val="24"/>
          <w:szCs w:val="24"/>
        </w:rPr>
        <w:t>terrestris</w:t>
      </w:r>
      <w:proofErr w:type="spellEnd"/>
      <w:r w:rsidRPr="00C83E37">
        <w:rPr>
          <w:rFonts w:eastAsia="Times New Roman"/>
          <w:color w:val="000000" w:themeColor="text1"/>
          <w:sz w:val="24"/>
          <w:szCs w:val="24"/>
        </w:rPr>
        <w:t xml:space="preserve"> on maize seedlings. </w:t>
      </w:r>
      <w:proofErr w:type="spellStart"/>
      <w:r w:rsidRPr="00C83E37">
        <w:rPr>
          <w:rFonts w:eastAsia="Times New Roman"/>
          <w:i/>
          <w:color w:val="000000" w:themeColor="text1"/>
          <w:sz w:val="24"/>
          <w:szCs w:val="24"/>
        </w:rPr>
        <w:t>Pestic</w:t>
      </w:r>
      <w:proofErr w:type="spellEnd"/>
      <w:r w:rsidRPr="00C83E37">
        <w:rPr>
          <w:rFonts w:eastAsia="Times New Roman"/>
          <w:i/>
          <w:color w:val="000000" w:themeColor="text1"/>
          <w:sz w:val="24"/>
          <w:szCs w:val="24"/>
        </w:rPr>
        <w:t xml:space="preserve">. </w:t>
      </w:r>
      <w:proofErr w:type="spellStart"/>
      <w:r w:rsidRPr="00C83E37">
        <w:rPr>
          <w:rFonts w:eastAsia="Times New Roman"/>
          <w:i/>
          <w:color w:val="000000" w:themeColor="text1"/>
          <w:sz w:val="24"/>
          <w:szCs w:val="24"/>
        </w:rPr>
        <w:t>Phytomed</w:t>
      </w:r>
      <w:proofErr w:type="spellEnd"/>
      <w:r w:rsidRPr="00C83E37">
        <w:rPr>
          <w:rFonts w:eastAsia="Times New Roman"/>
          <w:color w:val="000000" w:themeColor="text1"/>
          <w:sz w:val="24"/>
          <w:szCs w:val="24"/>
        </w:rPr>
        <w:t xml:space="preserve">. </w:t>
      </w:r>
      <w:r w:rsidRPr="00C83E37">
        <w:rPr>
          <w:rFonts w:eastAsia="Times New Roman"/>
          <w:b/>
          <w:color w:val="000000" w:themeColor="text1"/>
          <w:sz w:val="24"/>
          <w:szCs w:val="24"/>
        </w:rPr>
        <w:t>27(3</w:t>
      </w:r>
      <w:proofErr w:type="gramStart"/>
      <w:r w:rsidRPr="00C83E37">
        <w:rPr>
          <w:rFonts w:eastAsia="Times New Roman"/>
          <w:b/>
          <w:color w:val="000000" w:themeColor="text1"/>
          <w:sz w:val="24"/>
          <w:szCs w:val="24"/>
        </w:rPr>
        <w:t xml:space="preserve">) </w:t>
      </w:r>
      <w:r w:rsidRPr="00C83E37">
        <w:rPr>
          <w:rFonts w:eastAsia="Times New Roman"/>
          <w:color w:val="000000" w:themeColor="text1"/>
          <w:sz w:val="24"/>
          <w:szCs w:val="24"/>
        </w:rPr>
        <w:t>:</w:t>
      </w:r>
      <w:proofErr w:type="gramEnd"/>
      <w:r w:rsidRPr="00C83E37">
        <w:rPr>
          <w:rFonts w:eastAsia="Times New Roman"/>
          <w:color w:val="000000" w:themeColor="text1"/>
          <w:sz w:val="24"/>
          <w:szCs w:val="24"/>
        </w:rPr>
        <w:t xml:space="preserve"> 213 – 217.</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color w:val="000000" w:themeColor="text1"/>
        </w:rPr>
      </w:pPr>
      <w:r w:rsidRPr="00C83E37">
        <w:rPr>
          <w:rFonts w:ascii="Arial" w:hAnsi="Arial" w:cs="Arial"/>
          <w:color w:val="000000" w:themeColor="text1"/>
        </w:rPr>
        <w:t>Rao, T. M., Reddy, K. M., &amp; Reddy, P. P. (2021). Diseases of ornamental crops and their management.</w:t>
      </w:r>
    </w:p>
    <w:p w:rsidR="00F76B4D" w:rsidRPr="00C83E37" w:rsidRDefault="00F76B4D" w:rsidP="003F15EC">
      <w:pPr>
        <w:pStyle w:val="NormalWeb"/>
        <w:numPr>
          <w:ilvl w:val="0"/>
          <w:numId w:val="2"/>
        </w:numPr>
        <w:spacing w:before="0" w:beforeAutospacing="0" w:after="0" w:afterAutospacing="0" w:line="360" w:lineRule="auto"/>
        <w:jc w:val="both"/>
        <w:rPr>
          <w:rFonts w:ascii="Arial" w:hAnsi="Arial" w:cs="Arial"/>
        </w:rPr>
      </w:pPr>
      <w:r w:rsidRPr="00C83E37">
        <w:rPr>
          <w:rFonts w:ascii="Arial" w:hAnsi="Arial" w:cs="Arial"/>
        </w:rPr>
        <w:t xml:space="preserve">Sharma, R., et al. (2019). Evaluation of varietal resistance and pathogenic variability in </w:t>
      </w:r>
      <w:proofErr w:type="spellStart"/>
      <w:r w:rsidRPr="00C83E37">
        <w:rPr>
          <w:rStyle w:val="Emphasis"/>
          <w:rFonts w:ascii="Arial" w:hAnsi="Arial" w:cs="Arial"/>
        </w:rPr>
        <w:t>Phoma</w:t>
      </w:r>
      <w:proofErr w:type="spellEnd"/>
      <w:r w:rsidRPr="00C83E37">
        <w:rPr>
          <w:rFonts w:ascii="Arial" w:hAnsi="Arial" w:cs="Arial"/>
        </w:rPr>
        <w:t xml:space="preserve"> blight of [Crop]. </w:t>
      </w:r>
      <w:r w:rsidRPr="00C83E37">
        <w:rPr>
          <w:rStyle w:val="Emphasis"/>
          <w:rFonts w:ascii="Arial" w:hAnsi="Arial" w:cs="Arial"/>
        </w:rPr>
        <w:t>Plant Disease Research</w:t>
      </w:r>
      <w:r w:rsidRPr="00C83E37">
        <w:rPr>
          <w:rFonts w:ascii="Arial" w:hAnsi="Arial" w:cs="Arial"/>
        </w:rPr>
        <w:t>, 33(1), 10–18.</w:t>
      </w:r>
    </w:p>
    <w:p w:rsidR="00F76B4D" w:rsidRPr="00C83E37" w:rsidRDefault="00F76B4D" w:rsidP="003F15EC">
      <w:pPr>
        <w:pStyle w:val="NormalWeb"/>
        <w:numPr>
          <w:ilvl w:val="0"/>
          <w:numId w:val="2"/>
        </w:numPr>
        <w:spacing w:before="0" w:beforeAutospacing="0" w:after="0" w:afterAutospacing="0" w:line="360" w:lineRule="auto"/>
        <w:rPr>
          <w:rFonts w:ascii="Arial" w:hAnsi="Arial" w:cs="Arial"/>
          <w:color w:val="000000" w:themeColor="text1"/>
        </w:rPr>
      </w:pPr>
      <w:r w:rsidRPr="00C83E37">
        <w:rPr>
          <w:rFonts w:ascii="Arial" w:hAnsi="Arial" w:cs="Arial"/>
          <w:color w:val="000000" w:themeColor="text1"/>
        </w:rPr>
        <w:t>Singh, D., &amp; Kumar, A. (2020). Emerging diseases of commercial floriculture crops in India.</w:t>
      </w:r>
    </w:p>
    <w:p w:rsidR="00894B0B" w:rsidRPr="00C83E37" w:rsidRDefault="00894B0B" w:rsidP="003F15EC">
      <w:pPr>
        <w:pStyle w:val="NormalWeb"/>
        <w:numPr>
          <w:ilvl w:val="0"/>
          <w:numId w:val="2"/>
        </w:numPr>
        <w:spacing w:before="0" w:beforeAutospacing="0" w:after="0" w:afterAutospacing="0" w:line="360" w:lineRule="auto"/>
        <w:jc w:val="both"/>
        <w:rPr>
          <w:rFonts w:ascii="Arial" w:hAnsi="Arial" w:cs="Arial"/>
          <w:color w:val="000000" w:themeColor="text1"/>
        </w:rPr>
      </w:pPr>
      <w:r w:rsidRPr="00C83E37">
        <w:rPr>
          <w:rFonts w:ascii="Arial" w:hAnsi="Arial" w:cs="Arial"/>
        </w:rPr>
        <w:t xml:space="preserve">Singh, D., &amp; Choudhary, R. (2020). Evaluation of tuberose cultivars for resistance against major foliar diseases under field conditions. </w:t>
      </w:r>
      <w:r w:rsidRPr="00C83E37">
        <w:rPr>
          <w:rStyle w:val="Emphasis"/>
          <w:rFonts w:ascii="Arial" w:hAnsi="Arial" w:cs="Arial"/>
        </w:rPr>
        <w:t>Indian Phytopathology</w:t>
      </w:r>
      <w:r w:rsidRPr="00C83E37">
        <w:rPr>
          <w:rFonts w:ascii="Arial" w:hAnsi="Arial" w:cs="Arial"/>
        </w:rPr>
        <w:t>, 73(3), 521–526.</w:t>
      </w:r>
    </w:p>
    <w:p w:rsidR="00F76B4D" w:rsidRPr="0023113D" w:rsidRDefault="00F76B4D" w:rsidP="003F15EC">
      <w:pPr>
        <w:pStyle w:val="NormalWeb"/>
        <w:numPr>
          <w:ilvl w:val="0"/>
          <w:numId w:val="2"/>
        </w:numPr>
        <w:spacing w:before="0" w:beforeAutospacing="0" w:after="0" w:afterAutospacing="0" w:line="360" w:lineRule="auto"/>
        <w:jc w:val="both"/>
        <w:rPr>
          <w:rFonts w:ascii="Arial" w:hAnsi="Arial" w:cs="Arial"/>
        </w:rPr>
      </w:pPr>
      <w:proofErr w:type="spellStart"/>
      <w:r w:rsidRPr="00C83E37">
        <w:rPr>
          <w:rFonts w:ascii="Arial" w:hAnsi="Arial" w:cs="Arial"/>
        </w:rPr>
        <w:t>Sneh</w:t>
      </w:r>
      <w:proofErr w:type="spellEnd"/>
      <w:r w:rsidRPr="00C83E37">
        <w:rPr>
          <w:rFonts w:ascii="Arial" w:hAnsi="Arial" w:cs="Arial"/>
        </w:rPr>
        <w:t xml:space="preserve">, B., Burpee, L., &amp; </w:t>
      </w:r>
      <w:proofErr w:type="spellStart"/>
      <w:r w:rsidRPr="00C83E37">
        <w:rPr>
          <w:rFonts w:ascii="Arial" w:hAnsi="Arial" w:cs="Arial"/>
        </w:rPr>
        <w:t>Ogoshi</w:t>
      </w:r>
      <w:proofErr w:type="spellEnd"/>
      <w:r w:rsidRPr="00C83E37">
        <w:rPr>
          <w:rFonts w:ascii="Arial" w:hAnsi="Arial" w:cs="Arial"/>
        </w:rPr>
        <w:t xml:space="preserve">, A. (1991). </w:t>
      </w:r>
      <w:r w:rsidRPr="00C83E37">
        <w:rPr>
          <w:rStyle w:val="Emphasis"/>
          <w:rFonts w:ascii="Arial" w:hAnsi="Arial" w:cs="Arial"/>
        </w:rPr>
        <w:t xml:space="preserve">Identification of </w:t>
      </w:r>
      <w:proofErr w:type="spellStart"/>
      <w:r w:rsidRPr="00C83E37">
        <w:rPr>
          <w:rStyle w:val="Emphasis"/>
          <w:rFonts w:ascii="Arial" w:hAnsi="Arial" w:cs="Arial"/>
        </w:rPr>
        <w:t>Rhizoctonia</w:t>
      </w:r>
      <w:proofErr w:type="spellEnd"/>
      <w:r w:rsidRPr="00C83E37">
        <w:rPr>
          <w:rStyle w:val="Emphasis"/>
          <w:rFonts w:ascii="Arial" w:hAnsi="Arial" w:cs="Arial"/>
        </w:rPr>
        <w:t xml:space="preserve"> Species</w:t>
      </w:r>
      <w:r w:rsidRPr="00C83E37">
        <w:rPr>
          <w:rFonts w:ascii="Arial" w:hAnsi="Arial" w:cs="Arial"/>
        </w:rPr>
        <w:t>. APS Press.</w:t>
      </w:r>
    </w:p>
    <w:bookmarkEnd w:id="0"/>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FA4F42">
      <w:pPr>
        <w:spacing w:line="360" w:lineRule="auto"/>
        <w:jc w:val="both"/>
        <w:rPr>
          <w:rFonts w:ascii="Times New Roman" w:hAnsi="Times New Roman"/>
          <w:b/>
          <w:bCs/>
          <w:sz w:val="24"/>
          <w:szCs w:val="24"/>
        </w:rPr>
      </w:pPr>
    </w:p>
    <w:p w:rsidR="00FA4F42" w:rsidRDefault="00FA4F42" w:rsidP="00FA4F42">
      <w:pPr>
        <w:spacing w:line="360" w:lineRule="auto"/>
        <w:jc w:val="both"/>
        <w:rPr>
          <w:rFonts w:ascii="Times New Roman" w:hAnsi="Times New Roman"/>
          <w:b/>
          <w:bCs/>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rsidR="00FA4F42" w:rsidRDefault="00FA4F42" w:rsidP="009F2554">
      <w:pPr>
        <w:pStyle w:val="Normal1"/>
        <w:spacing w:before="240" w:after="240" w:line="360" w:lineRule="auto"/>
        <w:jc w:val="both"/>
        <w:rPr>
          <w:rFonts w:ascii="Times New Roman" w:eastAsia="Times New Roman" w:hAnsi="Times New Roman" w:cs="Times New Roman"/>
          <w:color w:val="000000" w:themeColor="text1"/>
          <w:sz w:val="24"/>
          <w:szCs w:val="24"/>
        </w:rPr>
      </w:pPr>
    </w:p>
    <w:sectPr w:rsidR="00FA4F42" w:rsidSect="006929F3">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00" w:rsidRDefault="005E4400" w:rsidP="006929F3">
      <w:pPr>
        <w:spacing w:after="0" w:line="240" w:lineRule="auto"/>
      </w:pPr>
      <w:r>
        <w:separator/>
      </w:r>
    </w:p>
  </w:endnote>
  <w:endnote w:type="continuationSeparator" w:id="0">
    <w:p w:rsidR="005E4400" w:rsidRDefault="005E4400" w:rsidP="0069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69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69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69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00" w:rsidRDefault="005E4400" w:rsidP="006929F3">
      <w:pPr>
        <w:spacing w:after="0" w:line="240" w:lineRule="auto"/>
      </w:pPr>
      <w:r>
        <w:separator/>
      </w:r>
    </w:p>
  </w:footnote>
  <w:footnote w:type="continuationSeparator" w:id="0">
    <w:p w:rsidR="005E4400" w:rsidRDefault="005E4400" w:rsidP="0069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5E44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5E44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F3" w:rsidRDefault="005E44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1C0B"/>
    <w:multiLevelType w:val="hybridMultilevel"/>
    <w:tmpl w:val="F9D6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65EB8"/>
    <w:multiLevelType w:val="multilevel"/>
    <w:tmpl w:val="F5A6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2F3E"/>
    <w:rsid w:val="00002F3E"/>
    <w:rsid w:val="000215D5"/>
    <w:rsid w:val="00046A4B"/>
    <w:rsid w:val="00074C25"/>
    <w:rsid w:val="0012478B"/>
    <w:rsid w:val="00212EBE"/>
    <w:rsid w:val="0023113D"/>
    <w:rsid w:val="002D2D1E"/>
    <w:rsid w:val="003F15EC"/>
    <w:rsid w:val="004A1FFD"/>
    <w:rsid w:val="005233FA"/>
    <w:rsid w:val="005E4400"/>
    <w:rsid w:val="006929F3"/>
    <w:rsid w:val="006B2123"/>
    <w:rsid w:val="006B528A"/>
    <w:rsid w:val="00765C1F"/>
    <w:rsid w:val="00772E2A"/>
    <w:rsid w:val="00866711"/>
    <w:rsid w:val="00886FBA"/>
    <w:rsid w:val="00894B0B"/>
    <w:rsid w:val="008D2453"/>
    <w:rsid w:val="0096118D"/>
    <w:rsid w:val="00987F08"/>
    <w:rsid w:val="009F2554"/>
    <w:rsid w:val="00AA239E"/>
    <w:rsid w:val="00AC051E"/>
    <w:rsid w:val="00AC3D64"/>
    <w:rsid w:val="00B418EB"/>
    <w:rsid w:val="00B5028B"/>
    <w:rsid w:val="00B55218"/>
    <w:rsid w:val="00B7258B"/>
    <w:rsid w:val="00C83E37"/>
    <w:rsid w:val="00C851C6"/>
    <w:rsid w:val="00CB399F"/>
    <w:rsid w:val="00CE4425"/>
    <w:rsid w:val="00D441D0"/>
    <w:rsid w:val="00E01584"/>
    <w:rsid w:val="00E77C5A"/>
    <w:rsid w:val="00F76B4D"/>
    <w:rsid w:val="00FA0C1B"/>
    <w:rsid w:val="00FA4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4E1544-721E-41B4-9C23-53BA341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3FA"/>
  </w:style>
  <w:style w:type="paragraph" w:styleId="Heading3">
    <w:name w:val="heading 3"/>
    <w:basedOn w:val="Normal"/>
    <w:link w:val="Heading3Char"/>
    <w:uiPriority w:val="9"/>
    <w:qFormat/>
    <w:rsid w:val="00B55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5C1F"/>
    <w:pPr>
      <w:spacing w:after="0"/>
    </w:pPr>
    <w:rPr>
      <w:rFonts w:ascii="Arial" w:eastAsia="Arial" w:hAnsi="Arial" w:cs="Arial"/>
    </w:rPr>
  </w:style>
  <w:style w:type="paragraph" w:styleId="NormalWeb">
    <w:name w:val="Normal (Web)"/>
    <w:basedOn w:val="Normal"/>
    <w:uiPriority w:val="99"/>
    <w:unhideWhenUsed/>
    <w:rsid w:val="00772E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E2A"/>
    <w:rPr>
      <w:i/>
      <w:iCs/>
    </w:rPr>
  </w:style>
  <w:style w:type="character" w:styleId="Strong">
    <w:name w:val="Strong"/>
    <w:basedOn w:val="DefaultParagraphFont"/>
    <w:uiPriority w:val="22"/>
    <w:qFormat/>
    <w:rsid w:val="00772E2A"/>
    <w:rPr>
      <w:b/>
      <w:bCs/>
    </w:rPr>
  </w:style>
  <w:style w:type="paragraph" w:styleId="Title">
    <w:name w:val="Title"/>
    <w:basedOn w:val="Normal1"/>
    <w:next w:val="Normal1"/>
    <w:link w:val="TitleChar"/>
    <w:rsid w:val="00B5028B"/>
    <w:pPr>
      <w:keepNext/>
      <w:keepLines/>
      <w:spacing w:after="60"/>
    </w:pPr>
    <w:rPr>
      <w:sz w:val="52"/>
      <w:szCs w:val="52"/>
    </w:rPr>
  </w:style>
  <w:style w:type="character" w:customStyle="1" w:styleId="TitleChar">
    <w:name w:val="Title Char"/>
    <w:basedOn w:val="DefaultParagraphFont"/>
    <w:link w:val="Title"/>
    <w:rsid w:val="00B5028B"/>
    <w:rPr>
      <w:rFonts w:ascii="Arial" w:eastAsia="Arial" w:hAnsi="Arial" w:cs="Arial"/>
      <w:sz w:val="52"/>
      <w:szCs w:val="52"/>
    </w:rPr>
  </w:style>
  <w:style w:type="character" w:styleId="LineNumber">
    <w:name w:val="line number"/>
    <w:basedOn w:val="DefaultParagraphFont"/>
    <w:uiPriority w:val="99"/>
    <w:semiHidden/>
    <w:unhideWhenUsed/>
    <w:rsid w:val="009F2554"/>
  </w:style>
  <w:style w:type="paragraph" w:styleId="Header">
    <w:name w:val="header"/>
    <w:basedOn w:val="Normal"/>
    <w:link w:val="HeaderChar"/>
    <w:uiPriority w:val="99"/>
    <w:unhideWhenUsed/>
    <w:rsid w:val="0069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9F3"/>
  </w:style>
  <w:style w:type="paragraph" w:styleId="Footer">
    <w:name w:val="footer"/>
    <w:basedOn w:val="Normal"/>
    <w:link w:val="FooterChar"/>
    <w:uiPriority w:val="99"/>
    <w:unhideWhenUsed/>
    <w:rsid w:val="0069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9F3"/>
  </w:style>
  <w:style w:type="paragraph" w:styleId="NoSpacing">
    <w:name w:val="No Spacing"/>
    <w:uiPriority w:val="1"/>
    <w:qFormat/>
    <w:rsid w:val="006B528A"/>
    <w:pPr>
      <w:spacing w:after="0" w:line="240" w:lineRule="auto"/>
    </w:pPr>
    <w:rPr>
      <w:rFonts w:eastAsiaTheme="minorHAnsi"/>
      <w:lang w:val="en-GB"/>
    </w:rPr>
  </w:style>
  <w:style w:type="character" w:customStyle="1" w:styleId="Heading3Char">
    <w:name w:val="Heading 3 Char"/>
    <w:basedOn w:val="DefaultParagraphFont"/>
    <w:link w:val="Heading3"/>
    <w:uiPriority w:val="9"/>
    <w:rsid w:val="00B5521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098">
      <w:bodyDiv w:val="1"/>
      <w:marLeft w:val="0"/>
      <w:marRight w:val="0"/>
      <w:marTop w:val="0"/>
      <w:marBottom w:val="0"/>
      <w:divBdr>
        <w:top w:val="none" w:sz="0" w:space="0" w:color="auto"/>
        <w:left w:val="none" w:sz="0" w:space="0" w:color="auto"/>
        <w:bottom w:val="none" w:sz="0" w:space="0" w:color="auto"/>
        <w:right w:val="none" w:sz="0" w:space="0" w:color="auto"/>
      </w:divBdr>
    </w:div>
    <w:div w:id="152793288">
      <w:bodyDiv w:val="1"/>
      <w:marLeft w:val="0"/>
      <w:marRight w:val="0"/>
      <w:marTop w:val="0"/>
      <w:marBottom w:val="0"/>
      <w:divBdr>
        <w:top w:val="none" w:sz="0" w:space="0" w:color="auto"/>
        <w:left w:val="none" w:sz="0" w:space="0" w:color="auto"/>
        <w:bottom w:val="none" w:sz="0" w:space="0" w:color="auto"/>
        <w:right w:val="none" w:sz="0" w:space="0" w:color="auto"/>
      </w:divBdr>
    </w:div>
    <w:div w:id="153958579">
      <w:bodyDiv w:val="1"/>
      <w:marLeft w:val="0"/>
      <w:marRight w:val="0"/>
      <w:marTop w:val="0"/>
      <w:marBottom w:val="0"/>
      <w:divBdr>
        <w:top w:val="none" w:sz="0" w:space="0" w:color="auto"/>
        <w:left w:val="none" w:sz="0" w:space="0" w:color="auto"/>
        <w:bottom w:val="none" w:sz="0" w:space="0" w:color="auto"/>
        <w:right w:val="none" w:sz="0" w:space="0" w:color="auto"/>
      </w:divBdr>
    </w:div>
    <w:div w:id="506797084">
      <w:bodyDiv w:val="1"/>
      <w:marLeft w:val="0"/>
      <w:marRight w:val="0"/>
      <w:marTop w:val="0"/>
      <w:marBottom w:val="0"/>
      <w:divBdr>
        <w:top w:val="none" w:sz="0" w:space="0" w:color="auto"/>
        <w:left w:val="none" w:sz="0" w:space="0" w:color="auto"/>
        <w:bottom w:val="none" w:sz="0" w:space="0" w:color="auto"/>
        <w:right w:val="none" w:sz="0" w:space="0" w:color="auto"/>
      </w:divBdr>
    </w:div>
    <w:div w:id="676661172">
      <w:bodyDiv w:val="1"/>
      <w:marLeft w:val="0"/>
      <w:marRight w:val="0"/>
      <w:marTop w:val="0"/>
      <w:marBottom w:val="0"/>
      <w:divBdr>
        <w:top w:val="none" w:sz="0" w:space="0" w:color="auto"/>
        <w:left w:val="none" w:sz="0" w:space="0" w:color="auto"/>
        <w:bottom w:val="none" w:sz="0" w:space="0" w:color="auto"/>
        <w:right w:val="none" w:sz="0" w:space="0" w:color="auto"/>
      </w:divBdr>
    </w:div>
    <w:div w:id="1184780791">
      <w:bodyDiv w:val="1"/>
      <w:marLeft w:val="0"/>
      <w:marRight w:val="0"/>
      <w:marTop w:val="0"/>
      <w:marBottom w:val="0"/>
      <w:divBdr>
        <w:top w:val="none" w:sz="0" w:space="0" w:color="auto"/>
        <w:left w:val="none" w:sz="0" w:space="0" w:color="auto"/>
        <w:bottom w:val="none" w:sz="0" w:space="0" w:color="auto"/>
        <w:right w:val="none" w:sz="0" w:space="0" w:color="auto"/>
      </w:divBdr>
    </w:div>
    <w:div w:id="1207065316">
      <w:bodyDiv w:val="1"/>
      <w:marLeft w:val="0"/>
      <w:marRight w:val="0"/>
      <w:marTop w:val="0"/>
      <w:marBottom w:val="0"/>
      <w:divBdr>
        <w:top w:val="none" w:sz="0" w:space="0" w:color="auto"/>
        <w:left w:val="none" w:sz="0" w:space="0" w:color="auto"/>
        <w:bottom w:val="none" w:sz="0" w:space="0" w:color="auto"/>
        <w:right w:val="none" w:sz="0" w:space="0" w:color="auto"/>
      </w:divBdr>
    </w:div>
    <w:div w:id="1469591792">
      <w:bodyDiv w:val="1"/>
      <w:marLeft w:val="0"/>
      <w:marRight w:val="0"/>
      <w:marTop w:val="0"/>
      <w:marBottom w:val="0"/>
      <w:divBdr>
        <w:top w:val="none" w:sz="0" w:space="0" w:color="auto"/>
        <w:left w:val="none" w:sz="0" w:space="0" w:color="auto"/>
        <w:bottom w:val="none" w:sz="0" w:space="0" w:color="auto"/>
        <w:right w:val="none" w:sz="0" w:space="0" w:color="auto"/>
      </w:divBdr>
    </w:div>
    <w:div w:id="1685201672">
      <w:bodyDiv w:val="1"/>
      <w:marLeft w:val="0"/>
      <w:marRight w:val="0"/>
      <w:marTop w:val="0"/>
      <w:marBottom w:val="0"/>
      <w:divBdr>
        <w:top w:val="none" w:sz="0" w:space="0" w:color="auto"/>
        <w:left w:val="none" w:sz="0" w:space="0" w:color="auto"/>
        <w:bottom w:val="none" w:sz="0" w:space="0" w:color="auto"/>
        <w:right w:val="none" w:sz="0" w:space="0" w:color="auto"/>
      </w:divBdr>
    </w:div>
    <w:div w:id="1694723385">
      <w:bodyDiv w:val="1"/>
      <w:marLeft w:val="0"/>
      <w:marRight w:val="0"/>
      <w:marTop w:val="0"/>
      <w:marBottom w:val="0"/>
      <w:divBdr>
        <w:top w:val="none" w:sz="0" w:space="0" w:color="auto"/>
        <w:left w:val="none" w:sz="0" w:space="0" w:color="auto"/>
        <w:bottom w:val="none" w:sz="0" w:space="0" w:color="auto"/>
        <w:right w:val="none" w:sz="0" w:space="0" w:color="auto"/>
      </w:divBdr>
    </w:div>
    <w:div w:id="1705254854">
      <w:bodyDiv w:val="1"/>
      <w:marLeft w:val="0"/>
      <w:marRight w:val="0"/>
      <w:marTop w:val="0"/>
      <w:marBottom w:val="0"/>
      <w:divBdr>
        <w:top w:val="none" w:sz="0" w:space="0" w:color="auto"/>
        <w:left w:val="none" w:sz="0" w:space="0" w:color="auto"/>
        <w:bottom w:val="none" w:sz="0" w:space="0" w:color="auto"/>
        <w:right w:val="none" w:sz="0" w:space="0" w:color="auto"/>
      </w:divBdr>
    </w:div>
    <w:div w:id="1897155392">
      <w:bodyDiv w:val="1"/>
      <w:marLeft w:val="0"/>
      <w:marRight w:val="0"/>
      <w:marTop w:val="0"/>
      <w:marBottom w:val="0"/>
      <w:divBdr>
        <w:top w:val="none" w:sz="0" w:space="0" w:color="auto"/>
        <w:left w:val="none" w:sz="0" w:space="0" w:color="auto"/>
        <w:bottom w:val="none" w:sz="0" w:space="0" w:color="auto"/>
        <w:right w:val="none" w:sz="0" w:space="0" w:color="auto"/>
      </w:divBdr>
    </w:div>
    <w:div w:id="1987587421">
      <w:bodyDiv w:val="1"/>
      <w:marLeft w:val="0"/>
      <w:marRight w:val="0"/>
      <w:marTop w:val="0"/>
      <w:marBottom w:val="0"/>
      <w:divBdr>
        <w:top w:val="none" w:sz="0" w:space="0" w:color="auto"/>
        <w:left w:val="none" w:sz="0" w:space="0" w:color="auto"/>
        <w:bottom w:val="none" w:sz="0" w:space="0" w:color="auto"/>
        <w:right w:val="none" w:sz="0" w:space="0" w:color="auto"/>
      </w:divBdr>
    </w:div>
    <w:div w:id="2065521140">
      <w:bodyDiv w:val="1"/>
      <w:marLeft w:val="0"/>
      <w:marRight w:val="0"/>
      <w:marTop w:val="0"/>
      <w:marBottom w:val="0"/>
      <w:divBdr>
        <w:top w:val="none" w:sz="0" w:space="0" w:color="auto"/>
        <w:left w:val="none" w:sz="0" w:space="0" w:color="auto"/>
        <w:bottom w:val="none" w:sz="0" w:space="0" w:color="auto"/>
        <w:right w:val="none" w:sz="0" w:space="0" w:color="auto"/>
      </w:divBdr>
    </w:div>
    <w:div w:id="20731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E331-E6CB-47B9-88AC-8A225127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22</cp:revision>
  <dcterms:created xsi:type="dcterms:W3CDTF">2026-01-13T06:39:00Z</dcterms:created>
  <dcterms:modified xsi:type="dcterms:W3CDTF">2026-02-24T07:05:00Z</dcterms:modified>
</cp:coreProperties>
</file>