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792" w:rsidRDefault="00F067CE" w:rsidP="001E4350">
      <w:pPr>
        <w:jc w:val="center"/>
        <w:rPr>
          <w:rFonts w:ascii="Times New Roman" w:hAnsi="Times New Roman" w:cs="Times New Roman"/>
          <w:b/>
          <w:bCs/>
          <w:sz w:val="28"/>
          <w:szCs w:val="28"/>
        </w:rPr>
      </w:pPr>
      <w:r w:rsidRPr="001E4350">
        <w:rPr>
          <w:rFonts w:ascii="Times New Roman" w:hAnsi="Times New Roman" w:cs="Times New Roman"/>
          <w:b/>
          <w:bCs/>
          <w:sz w:val="28"/>
          <w:szCs w:val="28"/>
        </w:rPr>
        <w:t>Effect of Super</w:t>
      </w:r>
      <w:r w:rsidR="00CB0BE3" w:rsidRPr="001E4350">
        <w:rPr>
          <w:rFonts w:ascii="Times New Roman" w:hAnsi="Times New Roman" w:cs="Times New Roman"/>
          <w:b/>
          <w:bCs/>
          <w:sz w:val="28"/>
          <w:szCs w:val="28"/>
        </w:rPr>
        <w:t xml:space="preserve"> </w:t>
      </w:r>
      <w:r w:rsidRPr="001E4350">
        <w:rPr>
          <w:rFonts w:ascii="Times New Roman" w:hAnsi="Times New Roman" w:cs="Times New Roman"/>
          <w:b/>
          <w:bCs/>
          <w:sz w:val="28"/>
          <w:szCs w:val="28"/>
        </w:rPr>
        <w:t xml:space="preserve">chilling and Freezing on shelf life and quality attributes of improved </w:t>
      </w:r>
      <w:r w:rsidR="00B17CCC" w:rsidRPr="001E4350">
        <w:rPr>
          <w:rFonts w:ascii="Times New Roman" w:hAnsi="Times New Roman" w:cs="Times New Roman"/>
          <w:b/>
          <w:bCs/>
          <w:sz w:val="28"/>
          <w:szCs w:val="28"/>
        </w:rPr>
        <w:t xml:space="preserve">native </w:t>
      </w:r>
      <w:r w:rsidRPr="001E4350">
        <w:rPr>
          <w:rFonts w:ascii="Times New Roman" w:hAnsi="Times New Roman" w:cs="Times New Roman"/>
          <w:b/>
          <w:bCs/>
          <w:sz w:val="28"/>
          <w:szCs w:val="28"/>
        </w:rPr>
        <w:t xml:space="preserve">chicken </w:t>
      </w:r>
      <w:r w:rsidR="00754884" w:rsidRPr="001E4350">
        <w:rPr>
          <w:rFonts w:ascii="Times New Roman" w:hAnsi="Times New Roman" w:cs="Times New Roman"/>
          <w:b/>
          <w:bCs/>
          <w:sz w:val="28"/>
          <w:szCs w:val="28"/>
        </w:rPr>
        <w:t xml:space="preserve">varieties </w:t>
      </w:r>
      <w:r w:rsidRPr="001E4350">
        <w:rPr>
          <w:rFonts w:ascii="Times New Roman" w:hAnsi="Times New Roman" w:cs="Times New Roman"/>
          <w:b/>
          <w:bCs/>
          <w:sz w:val="28"/>
          <w:szCs w:val="28"/>
        </w:rPr>
        <w:t>and commercial broilers</w:t>
      </w:r>
    </w:p>
    <w:p w:rsidR="007E1E74" w:rsidRDefault="00ED7BAB" w:rsidP="0070107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Abstract</w:t>
      </w:r>
    </w:p>
    <w:p w:rsidR="004E567A" w:rsidRDefault="004E567A" w:rsidP="00701070">
      <w:pPr>
        <w:autoSpaceDE w:val="0"/>
        <w:autoSpaceDN w:val="0"/>
        <w:adjustRightInd w:val="0"/>
        <w:spacing w:after="0" w:line="240" w:lineRule="auto"/>
        <w:jc w:val="center"/>
        <w:rPr>
          <w:rFonts w:ascii="Times New Roman" w:hAnsi="Times New Roman"/>
          <w:b/>
          <w:bCs/>
          <w:sz w:val="28"/>
          <w:szCs w:val="28"/>
        </w:rPr>
      </w:pPr>
    </w:p>
    <w:p w:rsidR="001B1B9F" w:rsidRPr="001B1B9F" w:rsidRDefault="008902D6" w:rsidP="001B1B9F">
      <w:pPr>
        <w:pStyle w:val="NormalWeb"/>
        <w:jc w:val="both"/>
      </w:pPr>
      <w:r w:rsidRPr="00CE5E87">
        <w:t xml:space="preserve">          </w:t>
      </w:r>
      <w:r w:rsidR="00CE5E87" w:rsidRPr="00CE5E87">
        <w:t>The preservation of poultry meat through advanced storage techniques such as super-chilling and freezing is essential for maintaining quality and extending shelf life in modern retail systems. However, limited information is available on the effects of these preservation methods on the quality attributes of slow-growing chicken varieties compared with commercial broilers.</w:t>
      </w:r>
      <w:r w:rsidRPr="00CE5E87">
        <w:t xml:space="preserve"> </w:t>
      </w:r>
      <w:r w:rsidR="001B1B9F" w:rsidRPr="001B1B9F">
        <w:t xml:space="preserve">The present investigation was undertaken to compare the meat quality characteristics of three chicken varieties, namely </w:t>
      </w:r>
      <w:proofErr w:type="spellStart"/>
      <w:r w:rsidR="001B1B9F" w:rsidRPr="001B1B9F">
        <w:t>Vanaraja</w:t>
      </w:r>
      <w:proofErr w:type="spellEnd"/>
      <w:r w:rsidR="001B1B9F" w:rsidRPr="001B1B9F">
        <w:t xml:space="preserve">, </w:t>
      </w:r>
      <w:proofErr w:type="spellStart"/>
      <w:r w:rsidR="001B1B9F" w:rsidRPr="001B1B9F">
        <w:t>Indbro</w:t>
      </w:r>
      <w:proofErr w:type="spellEnd"/>
      <w:r w:rsidR="001B1B9F" w:rsidRPr="001B1B9F">
        <w:t xml:space="preserve">, and commercial broilers, under different storage conditions, specifically super-chilling (0 to −2 °C) and freezing (−20 ± 1 °C). In recent years, several slow-growing broiler varieties have been developed and introduced to meet evolving consumer preferences for improved meat quality and </w:t>
      </w:r>
      <w:proofErr w:type="spellStart"/>
      <w:r w:rsidR="001B1B9F" w:rsidRPr="001B1B9F">
        <w:t>flavour</w:t>
      </w:r>
      <w:proofErr w:type="spellEnd"/>
      <w:r w:rsidR="001B1B9F" w:rsidRPr="001B1B9F">
        <w:t xml:space="preserve">, and their contribution to the poultry market has been steadily increasing. The evaluation of meat quality under different preservation conditions is therefore essential for determining the suitability of these varieties for extended storage and commercial </w:t>
      </w:r>
      <w:proofErr w:type="spellStart"/>
      <w:r w:rsidR="001B1B9F" w:rsidRPr="001B1B9F">
        <w:t>utilisation</w:t>
      </w:r>
      <w:proofErr w:type="spellEnd"/>
      <w:r w:rsidR="001B1B9F" w:rsidRPr="001B1B9F">
        <w:t>.</w:t>
      </w:r>
      <w:r w:rsidR="001B1B9F">
        <w:t xml:space="preserve"> </w:t>
      </w:r>
      <w:r w:rsidR="001B1B9F" w:rsidRPr="001B1B9F">
        <w:t xml:space="preserve">A total of 180 birds were included in the study, comprising 60 birds each of </w:t>
      </w:r>
      <w:proofErr w:type="spellStart"/>
      <w:r w:rsidR="001B1B9F" w:rsidRPr="001B1B9F">
        <w:t>Vanaraja</w:t>
      </w:r>
      <w:proofErr w:type="spellEnd"/>
      <w:r w:rsidR="001B1B9F" w:rsidRPr="001B1B9F">
        <w:t xml:space="preserve"> (8 weeks of age), </w:t>
      </w:r>
      <w:proofErr w:type="spellStart"/>
      <w:r w:rsidR="001B1B9F" w:rsidRPr="001B1B9F">
        <w:t>Indbro</w:t>
      </w:r>
      <w:proofErr w:type="spellEnd"/>
      <w:r w:rsidR="001B1B9F" w:rsidRPr="001B1B9F">
        <w:t xml:space="preserve"> (7 weeks of age), and commercial broilers (38 days of age). Breast meat samples obtained from each group were stored under super-chilled conditions for 30 days and frozen conditions for 60 days, and were periodically </w:t>
      </w:r>
      <w:proofErr w:type="spellStart"/>
      <w:r w:rsidR="001B1B9F" w:rsidRPr="001B1B9F">
        <w:t>analysed</w:t>
      </w:r>
      <w:proofErr w:type="spellEnd"/>
      <w:r w:rsidR="001B1B9F" w:rsidRPr="001B1B9F">
        <w:t xml:space="preserve"> for various physicochemical, sensory, and microbiological quality parameters during the storage period.</w:t>
      </w:r>
      <w:r w:rsidR="001B1B9F">
        <w:t xml:space="preserve"> </w:t>
      </w:r>
      <w:r w:rsidR="001B1B9F" w:rsidRPr="001B1B9F">
        <w:t xml:space="preserve">The results indicated that commercial broilers exhibited significantly (P &lt; 0.05) higher pH and water-holding capacity (%) values compared with </w:t>
      </w:r>
      <w:proofErr w:type="spellStart"/>
      <w:r w:rsidR="001B1B9F" w:rsidRPr="001B1B9F">
        <w:t>Vanaraja</w:t>
      </w:r>
      <w:proofErr w:type="spellEnd"/>
      <w:r w:rsidR="001B1B9F" w:rsidRPr="001B1B9F">
        <w:t xml:space="preserve"> and </w:t>
      </w:r>
      <w:proofErr w:type="spellStart"/>
      <w:r w:rsidR="001B1B9F" w:rsidRPr="001B1B9F">
        <w:t>Indbro</w:t>
      </w:r>
      <w:proofErr w:type="spellEnd"/>
      <w:r w:rsidR="001B1B9F" w:rsidRPr="001B1B9F">
        <w:t xml:space="preserve"> birds. However, both pH and water-holding capacity showed a gradual decline in all groups with increasing storage duration. Sensory evaluation of cooked breast meat samples demonstrated that </w:t>
      </w:r>
      <w:proofErr w:type="spellStart"/>
      <w:r w:rsidR="001B1B9F" w:rsidRPr="001B1B9F">
        <w:t>Vanaraja</w:t>
      </w:r>
      <w:proofErr w:type="spellEnd"/>
      <w:r w:rsidR="001B1B9F" w:rsidRPr="001B1B9F">
        <w:t xml:space="preserve"> and </w:t>
      </w:r>
      <w:proofErr w:type="spellStart"/>
      <w:r w:rsidR="001B1B9F" w:rsidRPr="001B1B9F">
        <w:t>Indbro</w:t>
      </w:r>
      <w:proofErr w:type="spellEnd"/>
      <w:r w:rsidR="001B1B9F" w:rsidRPr="001B1B9F">
        <w:t xml:space="preserve"> varieties received higher scores for appearance, </w:t>
      </w:r>
      <w:proofErr w:type="spellStart"/>
      <w:r w:rsidR="001B1B9F" w:rsidRPr="001B1B9F">
        <w:t>flavour</w:t>
      </w:r>
      <w:proofErr w:type="spellEnd"/>
      <w:r w:rsidR="001B1B9F" w:rsidRPr="001B1B9F">
        <w:t>, juiciness, texture, and overall acceptability compared with commercial broilers, indicating superior organoleptic quality in the slow-growing varieties.</w:t>
      </w:r>
      <w:r w:rsidR="001B1B9F">
        <w:t xml:space="preserve"> </w:t>
      </w:r>
      <w:r w:rsidR="001B1B9F" w:rsidRPr="001B1B9F">
        <w:t xml:space="preserve">Lipid oxidation, as indicated by </w:t>
      </w:r>
      <w:proofErr w:type="spellStart"/>
      <w:r w:rsidR="001B1B9F" w:rsidRPr="001B1B9F">
        <w:t>thiobarbituric</w:t>
      </w:r>
      <w:proofErr w:type="spellEnd"/>
      <w:r w:rsidR="001B1B9F" w:rsidRPr="001B1B9F">
        <w:t xml:space="preserve"> acid reactive substances (TBARS) values, increased progressively during storage in all three groups, whereas shear force values (SFV) showed a decreasing trend, suggesting gradual </w:t>
      </w:r>
      <w:proofErr w:type="spellStart"/>
      <w:r w:rsidR="001B1B9F" w:rsidRPr="001B1B9F">
        <w:t>tenderisation</w:t>
      </w:r>
      <w:proofErr w:type="spellEnd"/>
      <w:r w:rsidR="001B1B9F" w:rsidRPr="001B1B9F">
        <w:t xml:space="preserve"> of the meat over time. Microbiological analysis revealed a consistent increase in microbial load with prolonged storage under both super-chilled and frozen conditions for all chicken varieties. Drip loss measurements in frozen meat samples did not differ significantly (P &gt; 0.05) among the experimental groups.</w:t>
      </w:r>
      <w:r w:rsidR="001B1B9F">
        <w:t xml:space="preserve"> </w:t>
      </w:r>
      <w:r w:rsidR="001B1B9F" w:rsidRPr="001B1B9F">
        <w:t xml:space="preserve">Overall, the findings suggest that slow-growing chicken varieties such as </w:t>
      </w:r>
      <w:proofErr w:type="spellStart"/>
      <w:r w:rsidR="001B1B9F" w:rsidRPr="001B1B9F">
        <w:t>Vanaraja</w:t>
      </w:r>
      <w:proofErr w:type="spellEnd"/>
      <w:r w:rsidR="001B1B9F" w:rsidRPr="001B1B9F">
        <w:t xml:space="preserve"> and </w:t>
      </w:r>
      <w:proofErr w:type="spellStart"/>
      <w:r w:rsidR="001B1B9F" w:rsidRPr="001B1B9F">
        <w:t>Indbro</w:t>
      </w:r>
      <w:proofErr w:type="spellEnd"/>
      <w:r w:rsidR="001B1B9F" w:rsidRPr="001B1B9F">
        <w:t xml:space="preserve"> possess superior sensory quality attributes and may serve as valuable alternatives to commercial broilers for the production of high-quality poultry meat. Furthermore, the results indicate that super-chilling represents an effective preservation method for maintaining the freshness and quality characteristics of chicken meat during storage.</w:t>
      </w:r>
    </w:p>
    <w:p w:rsidR="004F76F8" w:rsidRPr="00163621" w:rsidRDefault="004F76F8" w:rsidP="00701070">
      <w:pPr>
        <w:autoSpaceDE w:val="0"/>
        <w:autoSpaceDN w:val="0"/>
        <w:adjustRightInd w:val="0"/>
        <w:spacing w:line="240" w:lineRule="auto"/>
        <w:jc w:val="both"/>
        <w:rPr>
          <w:rFonts w:ascii="Times New Roman" w:hAnsi="Times New Roman"/>
          <w:sz w:val="24"/>
          <w:szCs w:val="24"/>
        </w:rPr>
      </w:pPr>
      <w:r w:rsidRPr="00163621">
        <w:rPr>
          <w:rFonts w:ascii="Times New Roman" w:hAnsi="Times New Roman"/>
          <w:b/>
          <w:bCs/>
          <w:i/>
          <w:iCs/>
          <w:sz w:val="24"/>
          <w:szCs w:val="24"/>
        </w:rPr>
        <w:t>Keywords:</w:t>
      </w:r>
      <w:r w:rsidR="00163621">
        <w:rPr>
          <w:rFonts w:ascii="Times New Roman" w:hAnsi="Times New Roman"/>
          <w:b/>
          <w:bCs/>
          <w:sz w:val="24"/>
          <w:szCs w:val="24"/>
        </w:rPr>
        <w:t xml:space="preserve"> </w:t>
      </w:r>
      <w:r w:rsidR="000509DC" w:rsidRPr="000509DC">
        <w:rPr>
          <w:rFonts w:ascii="Times New Roman" w:hAnsi="Times New Roman"/>
          <w:sz w:val="24"/>
          <w:szCs w:val="24"/>
        </w:rPr>
        <w:t>meat quality, improved native chicken breeds</w:t>
      </w:r>
      <w:r w:rsidR="000509DC">
        <w:rPr>
          <w:rFonts w:ascii="Times New Roman" w:hAnsi="Times New Roman"/>
          <w:b/>
          <w:bCs/>
          <w:sz w:val="24"/>
          <w:szCs w:val="24"/>
        </w:rPr>
        <w:t xml:space="preserve">, </w:t>
      </w:r>
      <w:r w:rsidR="0044443E">
        <w:rPr>
          <w:rFonts w:ascii="Times New Roman" w:hAnsi="Times New Roman"/>
          <w:sz w:val="24"/>
          <w:szCs w:val="24"/>
        </w:rPr>
        <w:t>super</w:t>
      </w:r>
      <w:r w:rsidR="00A72A0A">
        <w:rPr>
          <w:rFonts w:ascii="Times New Roman" w:hAnsi="Times New Roman"/>
          <w:sz w:val="24"/>
          <w:szCs w:val="24"/>
        </w:rPr>
        <w:t xml:space="preserve"> chilling</w:t>
      </w:r>
      <w:r w:rsidR="00163621" w:rsidRPr="00163621">
        <w:rPr>
          <w:rFonts w:ascii="Times New Roman" w:hAnsi="Times New Roman"/>
          <w:sz w:val="24"/>
          <w:szCs w:val="24"/>
        </w:rPr>
        <w:t xml:space="preserve"> </w:t>
      </w:r>
    </w:p>
    <w:p w:rsidR="00534C98" w:rsidRDefault="00815792" w:rsidP="00701070">
      <w:pPr>
        <w:autoSpaceDE w:val="0"/>
        <w:autoSpaceDN w:val="0"/>
        <w:adjustRightInd w:val="0"/>
        <w:spacing w:after="0" w:line="240" w:lineRule="auto"/>
        <w:rPr>
          <w:rFonts w:ascii="Times New Roman" w:hAnsi="Times New Roman"/>
          <w:b/>
          <w:bCs/>
          <w:sz w:val="28"/>
          <w:szCs w:val="28"/>
        </w:rPr>
      </w:pPr>
      <w:r w:rsidRPr="00815792">
        <w:rPr>
          <w:rFonts w:ascii="Times New Roman" w:hAnsi="Times New Roman"/>
          <w:b/>
          <w:bCs/>
          <w:sz w:val="28"/>
          <w:szCs w:val="28"/>
        </w:rPr>
        <w:t xml:space="preserve">Introduction </w:t>
      </w:r>
    </w:p>
    <w:p w:rsidR="00AD7C3E" w:rsidRPr="00AD7C3E" w:rsidRDefault="00AD7C3E" w:rsidP="00AD7C3E">
      <w:pPr>
        <w:spacing w:before="100" w:beforeAutospacing="1" w:after="100" w:afterAutospacing="1" w:line="240" w:lineRule="auto"/>
        <w:jc w:val="both"/>
        <w:rPr>
          <w:rFonts w:ascii="Times New Roman" w:eastAsia="Times New Roman" w:hAnsi="Times New Roman" w:cs="Times New Roman"/>
          <w:sz w:val="24"/>
          <w:szCs w:val="24"/>
          <w:lang w:val="en-US"/>
        </w:rPr>
      </w:pPr>
      <w:r w:rsidRPr="00AD7C3E">
        <w:rPr>
          <w:rFonts w:ascii="Times New Roman" w:eastAsia="Times New Roman" w:hAnsi="Times New Roman" w:cs="Times New Roman"/>
          <w:sz w:val="24"/>
          <w:szCs w:val="24"/>
          <w:lang w:val="en-US"/>
        </w:rPr>
        <w:t xml:space="preserve">Meat is an excellent source of high-quality protein, supplying all essential amino acids along with important micronutrients in balanced proportions required for human nutrition. It continues to be economically significant, nutritionally valuable, and highly appreciated by consumers for its desirable sensory attributes. The poultry sector, particularly the broiler segment, has experienced sustained growth in recent decades, largely driven by increasing </w:t>
      </w:r>
      <w:r w:rsidRPr="00AD7C3E">
        <w:rPr>
          <w:rFonts w:ascii="Times New Roman" w:eastAsia="Times New Roman" w:hAnsi="Times New Roman" w:cs="Times New Roman"/>
          <w:sz w:val="24"/>
          <w:szCs w:val="24"/>
          <w:lang w:val="en-US"/>
        </w:rPr>
        <w:lastRenderedPageBreak/>
        <w:t xml:space="preserve">consumer preference for chicken meat, rising income levels, and changing dietary patterns </w:t>
      </w:r>
      <w:proofErr w:type="spellStart"/>
      <w:r w:rsidRPr="00AD7C3E">
        <w:rPr>
          <w:rFonts w:ascii="Times New Roman" w:eastAsia="Times New Roman" w:hAnsi="Times New Roman" w:cs="Times New Roman"/>
          <w:sz w:val="24"/>
          <w:szCs w:val="24"/>
          <w:lang w:val="en-US"/>
        </w:rPr>
        <w:t>favouring</w:t>
      </w:r>
      <w:proofErr w:type="spellEnd"/>
      <w:r w:rsidRPr="00AD7C3E">
        <w:rPr>
          <w:rFonts w:ascii="Times New Roman" w:eastAsia="Times New Roman" w:hAnsi="Times New Roman" w:cs="Times New Roman"/>
          <w:sz w:val="24"/>
          <w:szCs w:val="24"/>
          <w:lang w:val="en-US"/>
        </w:rPr>
        <w:t xml:space="preserve"> animal-based protein sources. </w:t>
      </w:r>
    </w:p>
    <w:p w:rsidR="00AD7C3E" w:rsidRPr="00AD7C3E" w:rsidRDefault="00AD7C3E" w:rsidP="00AD7C3E">
      <w:pPr>
        <w:spacing w:before="100" w:beforeAutospacing="1" w:after="100" w:afterAutospacing="1" w:line="240" w:lineRule="auto"/>
        <w:jc w:val="both"/>
        <w:rPr>
          <w:rFonts w:ascii="Times New Roman" w:eastAsia="Times New Roman" w:hAnsi="Times New Roman" w:cs="Times New Roman"/>
          <w:sz w:val="24"/>
          <w:szCs w:val="24"/>
          <w:lang w:val="en-US"/>
        </w:rPr>
      </w:pPr>
      <w:r w:rsidRPr="00AD7C3E">
        <w:rPr>
          <w:rFonts w:ascii="Times New Roman" w:eastAsia="Times New Roman" w:hAnsi="Times New Roman" w:cs="Times New Roman"/>
          <w:sz w:val="24"/>
          <w:szCs w:val="24"/>
          <w:lang w:val="en-US"/>
        </w:rPr>
        <w:t xml:space="preserve">Although the majority of poultry production is carried out under intensive commercial systems, approximately 40 per cent of the national poultry population is still maintained under backyard production systems. Indigenous or native chicken breeds such as Aseel, </w:t>
      </w:r>
      <w:proofErr w:type="spellStart"/>
      <w:r w:rsidRPr="00AD7C3E">
        <w:rPr>
          <w:rFonts w:ascii="Times New Roman" w:eastAsia="Times New Roman" w:hAnsi="Times New Roman" w:cs="Times New Roman"/>
          <w:sz w:val="24"/>
          <w:szCs w:val="24"/>
          <w:lang w:val="en-US"/>
        </w:rPr>
        <w:t>Kadaknath</w:t>
      </w:r>
      <w:proofErr w:type="spellEnd"/>
      <w:r w:rsidRPr="00AD7C3E">
        <w:rPr>
          <w:rFonts w:ascii="Times New Roman" w:eastAsia="Times New Roman" w:hAnsi="Times New Roman" w:cs="Times New Roman"/>
          <w:sz w:val="24"/>
          <w:szCs w:val="24"/>
          <w:lang w:val="en-US"/>
        </w:rPr>
        <w:t xml:space="preserve">, Chittagong, and </w:t>
      </w:r>
      <w:proofErr w:type="spellStart"/>
      <w:r w:rsidRPr="00AD7C3E">
        <w:rPr>
          <w:rFonts w:ascii="Times New Roman" w:eastAsia="Times New Roman" w:hAnsi="Times New Roman" w:cs="Times New Roman"/>
          <w:sz w:val="24"/>
          <w:szCs w:val="24"/>
          <w:lang w:val="en-US"/>
        </w:rPr>
        <w:t>Busra</w:t>
      </w:r>
      <w:proofErr w:type="spellEnd"/>
      <w:r w:rsidRPr="00AD7C3E">
        <w:rPr>
          <w:rFonts w:ascii="Times New Roman" w:eastAsia="Times New Roman" w:hAnsi="Times New Roman" w:cs="Times New Roman"/>
          <w:sz w:val="24"/>
          <w:szCs w:val="24"/>
          <w:lang w:val="en-US"/>
        </w:rPr>
        <w:t xml:space="preserve"> constitute important components of these traditional production systems. There is considerable consumer demand for country chicken meat owing to its characteristic strong </w:t>
      </w:r>
      <w:proofErr w:type="spellStart"/>
      <w:r w:rsidRPr="00AD7C3E">
        <w:rPr>
          <w:rFonts w:ascii="Times New Roman" w:eastAsia="Times New Roman" w:hAnsi="Times New Roman" w:cs="Times New Roman"/>
          <w:sz w:val="24"/>
          <w:szCs w:val="24"/>
          <w:lang w:val="en-US"/>
        </w:rPr>
        <w:t>flavour</w:t>
      </w:r>
      <w:proofErr w:type="spellEnd"/>
      <w:r w:rsidRPr="00AD7C3E">
        <w:rPr>
          <w:rFonts w:ascii="Times New Roman" w:eastAsia="Times New Roman" w:hAnsi="Times New Roman" w:cs="Times New Roman"/>
          <w:sz w:val="24"/>
          <w:szCs w:val="24"/>
          <w:lang w:val="en-US"/>
        </w:rPr>
        <w:t xml:space="preserve">, firm texture, and comparatively lower fat content, and it often commands nearly three times the market price of conventional broiler meat (Rajkumar </w:t>
      </w:r>
      <w:r w:rsidRPr="00AD7C3E">
        <w:rPr>
          <w:rFonts w:ascii="Times New Roman" w:eastAsia="Times New Roman" w:hAnsi="Times New Roman" w:cs="Times New Roman"/>
          <w:i/>
          <w:iCs/>
          <w:sz w:val="24"/>
          <w:szCs w:val="24"/>
          <w:lang w:val="en-US"/>
        </w:rPr>
        <w:t>et al</w:t>
      </w:r>
      <w:r w:rsidRPr="00AD7C3E">
        <w:rPr>
          <w:rFonts w:ascii="Times New Roman" w:eastAsia="Times New Roman" w:hAnsi="Times New Roman" w:cs="Times New Roman"/>
          <w:sz w:val="24"/>
          <w:szCs w:val="24"/>
          <w:lang w:val="en-US"/>
        </w:rPr>
        <w:t xml:space="preserve">., 2016; Zhao </w:t>
      </w:r>
      <w:r w:rsidRPr="00AD7C3E">
        <w:rPr>
          <w:rFonts w:ascii="Times New Roman" w:eastAsia="Times New Roman" w:hAnsi="Times New Roman" w:cs="Times New Roman"/>
          <w:i/>
          <w:iCs/>
          <w:sz w:val="24"/>
          <w:szCs w:val="24"/>
          <w:lang w:val="en-US"/>
        </w:rPr>
        <w:t>et al</w:t>
      </w:r>
      <w:r w:rsidRPr="00AD7C3E">
        <w:rPr>
          <w:rFonts w:ascii="Times New Roman" w:eastAsia="Times New Roman" w:hAnsi="Times New Roman" w:cs="Times New Roman"/>
          <w:sz w:val="24"/>
          <w:szCs w:val="24"/>
          <w:lang w:val="en-US"/>
        </w:rPr>
        <w:t xml:space="preserve">., 2007; Chen </w:t>
      </w:r>
      <w:r w:rsidRPr="00AD7C3E">
        <w:rPr>
          <w:rFonts w:ascii="Times New Roman" w:eastAsia="Times New Roman" w:hAnsi="Times New Roman" w:cs="Times New Roman"/>
          <w:i/>
          <w:iCs/>
          <w:sz w:val="24"/>
          <w:szCs w:val="24"/>
          <w:lang w:val="en-US"/>
        </w:rPr>
        <w:t>et al</w:t>
      </w:r>
      <w:r w:rsidRPr="00AD7C3E">
        <w:rPr>
          <w:rFonts w:ascii="Times New Roman" w:eastAsia="Times New Roman" w:hAnsi="Times New Roman" w:cs="Times New Roman"/>
          <w:sz w:val="24"/>
          <w:szCs w:val="24"/>
          <w:lang w:val="en-US"/>
        </w:rPr>
        <w:t>., 2008). However, the production cost of country chicken is relatively higher than that of commercial broilers because of their slower growth rate; typically, native chickens attain a body weight of only 0.5–0.75 kg at six weeks of age, whereas commercial broilers reach approximately 1.75–2.0 kg during the same period.</w:t>
      </w:r>
    </w:p>
    <w:p w:rsidR="00AD7C3E" w:rsidRPr="00AD7C3E" w:rsidRDefault="00AD7C3E" w:rsidP="00AD7C3E">
      <w:pPr>
        <w:spacing w:before="100" w:beforeAutospacing="1" w:after="100" w:afterAutospacing="1" w:line="240" w:lineRule="auto"/>
        <w:jc w:val="both"/>
        <w:rPr>
          <w:rFonts w:ascii="Times New Roman" w:eastAsia="Times New Roman" w:hAnsi="Times New Roman" w:cs="Times New Roman"/>
          <w:sz w:val="24"/>
          <w:szCs w:val="24"/>
          <w:lang w:val="en-US"/>
        </w:rPr>
      </w:pPr>
      <w:r w:rsidRPr="00AD7C3E">
        <w:rPr>
          <w:rFonts w:ascii="Times New Roman" w:eastAsia="Times New Roman" w:hAnsi="Times New Roman" w:cs="Times New Roman"/>
          <w:sz w:val="24"/>
          <w:szCs w:val="24"/>
          <w:lang w:val="en-US"/>
        </w:rPr>
        <w:t xml:space="preserve">With increasing consumer awareness regarding food safety and hygienic meat handling, significant changes have occurred in poultry meat marketing systems. The gradual transition from traditional wet markets to professionally managed </w:t>
      </w:r>
      <w:proofErr w:type="spellStart"/>
      <w:r w:rsidRPr="00AD7C3E">
        <w:rPr>
          <w:rFonts w:ascii="Times New Roman" w:eastAsia="Times New Roman" w:hAnsi="Times New Roman" w:cs="Times New Roman"/>
          <w:sz w:val="24"/>
          <w:szCs w:val="24"/>
          <w:lang w:val="en-US"/>
        </w:rPr>
        <w:t>centralised</w:t>
      </w:r>
      <w:proofErr w:type="spellEnd"/>
      <w:r w:rsidRPr="00AD7C3E">
        <w:rPr>
          <w:rFonts w:ascii="Times New Roman" w:eastAsia="Times New Roman" w:hAnsi="Times New Roman" w:cs="Times New Roman"/>
          <w:sz w:val="24"/>
          <w:szCs w:val="24"/>
          <w:lang w:val="en-US"/>
        </w:rPr>
        <w:t xml:space="preserve"> processing units, together with the expansion of </w:t>
      </w:r>
      <w:proofErr w:type="spellStart"/>
      <w:r w:rsidRPr="00AD7C3E">
        <w:rPr>
          <w:rFonts w:ascii="Times New Roman" w:eastAsia="Times New Roman" w:hAnsi="Times New Roman" w:cs="Times New Roman"/>
          <w:sz w:val="24"/>
          <w:szCs w:val="24"/>
          <w:lang w:val="en-US"/>
        </w:rPr>
        <w:t>organised</w:t>
      </w:r>
      <w:proofErr w:type="spellEnd"/>
      <w:r w:rsidRPr="00AD7C3E">
        <w:rPr>
          <w:rFonts w:ascii="Times New Roman" w:eastAsia="Times New Roman" w:hAnsi="Times New Roman" w:cs="Times New Roman"/>
          <w:sz w:val="24"/>
          <w:szCs w:val="24"/>
          <w:lang w:val="en-US"/>
        </w:rPr>
        <w:t xml:space="preserve"> retail chains and e-commerce platforms, has led to a greater availability of poultry meat in chilled and frozen forms. While considerable research has been conducted on the effects of chilling, super-chilling, and freezing on the quality characteristics of commercial broiler meat, information regarding the influence of super-chilling and freezing on the quality attributes of slow-growing broiler varieties remains limited. In addition, the occurrence of bone darkening, a quality concern frequently observed in slow-growing broilers, requires systematic evaluation. Therefore, a comprehensive investigation is needed to assess the effects of preservation methods, particularly super-chilling and freezing, on the quality characteristics and shelf life of slow-growing broiler chickens.</w:t>
      </w:r>
    </w:p>
    <w:p w:rsidR="005C1615" w:rsidRDefault="005C1615" w:rsidP="00701070">
      <w:pPr>
        <w:pStyle w:val="ListParagraph"/>
        <w:spacing w:before="240"/>
        <w:ind w:left="0" w:firstLine="720"/>
        <w:jc w:val="both"/>
      </w:pPr>
    </w:p>
    <w:p w:rsidR="000573DB" w:rsidRDefault="000573DB" w:rsidP="00701070">
      <w:pPr>
        <w:spacing w:line="240" w:lineRule="auto"/>
        <w:jc w:val="both"/>
        <w:rPr>
          <w:rFonts w:ascii="Times New Roman" w:hAnsi="Times New Roman" w:cs="Times New Roman"/>
          <w:b/>
          <w:sz w:val="24"/>
          <w:szCs w:val="24"/>
        </w:rPr>
      </w:pPr>
      <w:r w:rsidRPr="00CC104C">
        <w:rPr>
          <w:rFonts w:ascii="Times New Roman" w:hAnsi="Times New Roman" w:cs="Times New Roman"/>
          <w:b/>
          <w:sz w:val="24"/>
          <w:szCs w:val="24"/>
        </w:rPr>
        <w:t>MATERIALS AND METHODS:</w:t>
      </w:r>
    </w:p>
    <w:p w:rsidR="000573DB" w:rsidRPr="00720C51" w:rsidRDefault="000573DB" w:rsidP="00701070">
      <w:pPr>
        <w:pStyle w:val="Default"/>
        <w:tabs>
          <w:tab w:val="left" w:pos="228"/>
        </w:tabs>
        <w:jc w:val="both"/>
        <w:rPr>
          <w:b/>
          <w:bCs/>
        </w:rPr>
      </w:pPr>
      <w:r>
        <w:rPr>
          <w:b/>
          <w:bCs/>
        </w:rPr>
        <w:t xml:space="preserve">A. </w:t>
      </w:r>
      <w:r w:rsidRPr="00720C51">
        <w:rPr>
          <w:b/>
          <w:bCs/>
        </w:rPr>
        <w:t>PROCUREMENT AND SLAUGHTER, DRESSING OF BIRDS</w:t>
      </w:r>
    </w:p>
    <w:p w:rsidR="000573DB" w:rsidRDefault="000573DB" w:rsidP="00701070">
      <w:pPr>
        <w:pStyle w:val="Default"/>
        <w:tabs>
          <w:tab w:val="left" w:pos="228"/>
        </w:tabs>
        <w:jc w:val="both"/>
        <w:rPr>
          <w:bCs/>
        </w:rPr>
      </w:pPr>
      <w:r w:rsidRPr="00720C51">
        <w:rPr>
          <w:bCs/>
        </w:rPr>
        <w:tab/>
      </w:r>
      <w:r w:rsidRPr="00720C51">
        <w:rPr>
          <w:bCs/>
        </w:rPr>
        <w:tab/>
        <w:t xml:space="preserve">  Different varieties of chicken i.e.</w:t>
      </w:r>
      <w:r>
        <w:rPr>
          <w:bCs/>
        </w:rPr>
        <w:t>,</w:t>
      </w:r>
      <w:r w:rsidRPr="00720C51">
        <w:rPr>
          <w:bCs/>
        </w:rPr>
        <w:t xml:space="preserve"> Vanaraja</w:t>
      </w:r>
      <w:r>
        <w:rPr>
          <w:bCs/>
        </w:rPr>
        <w:t xml:space="preserve"> (8weeks old)</w:t>
      </w:r>
      <w:r w:rsidRPr="00720C51">
        <w:rPr>
          <w:bCs/>
        </w:rPr>
        <w:t>, Indbro</w:t>
      </w:r>
      <w:r>
        <w:rPr>
          <w:bCs/>
        </w:rPr>
        <w:t xml:space="preserve"> (7weeks old) </w:t>
      </w:r>
      <w:r w:rsidRPr="00720C51">
        <w:rPr>
          <w:bCs/>
        </w:rPr>
        <w:t>and</w:t>
      </w:r>
      <w:r>
        <w:rPr>
          <w:bCs/>
        </w:rPr>
        <w:t xml:space="preserve"> C</w:t>
      </w:r>
      <w:r w:rsidRPr="00720C51">
        <w:rPr>
          <w:bCs/>
        </w:rPr>
        <w:t xml:space="preserve">ommercial broilers </w:t>
      </w:r>
      <w:r>
        <w:rPr>
          <w:bCs/>
        </w:rPr>
        <w:t xml:space="preserve">(38days old) </w:t>
      </w:r>
      <w:r w:rsidRPr="00720C51">
        <w:rPr>
          <w:bCs/>
        </w:rPr>
        <w:t>were procured from Directorate of Poultry Research, Indbro Research and Breeding Farms Pvt Ltd., and local markets of Hyderabad, respectively. In total, 180 birds were utilized for the research work comprising 60 birds in each variety group. All the birds were transported from the procured places to ICAR- National Research Centre on Meat</w:t>
      </w:r>
      <w:r w:rsidR="00984A43">
        <w:rPr>
          <w:bCs/>
        </w:rPr>
        <w:t xml:space="preserve"> and the</w:t>
      </w:r>
      <w:r w:rsidRPr="00720C51">
        <w:rPr>
          <w:bCs/>
        </w:rPr>
        <w:t xml:space="preserve"> birds were slaughtered and dressed at the primary poultr</w:t>
      </w:r>
      <w:r w:rsidR="00B206B2">
        <w:rPr>
          <w:bCs/>
        </w:rPr>
        <w:t>y processing plant of the meat</w:t>
      </w:r>
      <w:r w:rsidR="00984A43">
        <w:rPr>
          <w:bCs/>
        </w:rPr>
        <w:t xml:space="preserve">, </w:t>
      </w:r>
      <w:r w:rsidRPr="00720C51">
        <w:rPr>
          <w:bCs/>
        </w:rPr>
        <w:t xml:space="preserve">dressed carcasses were weighed. </w:t>
      </w:r>
    </w:p>
    <w:p w:rsidR="00984A43" w:rsidRPr="00720C51" w:rsidRDefault="00984A43" w:rsidP="00701070">
      <w:pPr>
        <w:pStyle w:val="Default"/>
        <w:tabs>
          <w:tab w:val="left" w:pos="228"/>
        </w:tabs>
        <w:jc w:val="both"/>
        <w:rPr>
          <w:bCs/>
        </w:rPr>
      </w:pPr>
      <w:r w:rsidRPr="00720C51">
        <w:rPr>
          <w:b/>
          <w:bCs/>
        </w:rPr>
        <w:t xml:space="preserve">STORAGE OF MEAT SAMPLE </w:t>
      </w:r>
    </w:p>
    <w:p w:rsidR="00984A43" w:rsidRDefault="00984A43" w:rsidP="00701070">
      <w:pPr>
        <w:pStyle w:val="Default"/>
        <w:tabs>
          <w:tab w:val="left" w:pos="228"/>
        </w:tabs>
        <w:jc w:val="both"/>
        <w:rPr>
          <w:bCs/>
        </w:rPr>
      </w:pPr>
      <w:r w:rsidRPr="00720C51">
        <w:rPr>
          <w:bCs/>
        </w:rPr>
        <w:tab/>
      </w:r>
      <w:r w:rsidRPr="00720C51">
        <w:rPr>
          <w:bCs/>
        </w:rPr>
        <w:tab/>
        <w:t xml:space="preserve">Meat samples (breasts and thighs) from individual bird were collected and packed in trays and sealed. The packed samples were preserved at different storage conditions viz., chilled </w:t>
      </w:r>
      <w:r w:rsidRPr="00720C51">
        <w:t>(4±1</w:t>
      </w:r>
      <w:r w:rsidRPr="00720C51">
        <w:rPr>
          <w:bCs/>
          <w:vertAlign w:val="superscript"/>
        </w:rPr>
        <w:t>0</w:t>
      </w:r>
      <w:r w:rsidRPr="00720C51">
        <w:t>C</w:t>
      </w:r>
      <w:r w:rsidRPr="00720C51">
        <w:rPr>
          <w:bCs/>
        </w:rPr>
        <w:t>), super</w:t>
      </w:r>
      <w:r>
        <w:rPr>
          <w:bCs/>
        </w:rPr>
        <w:t xml:space="preserve"> </w:t>
      </w:r>
      <w:r w:rsidRPr="00720C51">
        <w:rPr>
          <w:bCs/>
        </w:rPr>
        <w:t>chilled (0 to -2</w:t>
      </w:r>
      <w:r w:rsidRPr="00720C51">
        <w:rPr>
          <w:bCs/>
          <w:vertAlign w:val="superscript"/>
        </w:rPr>
        <w:t>0</w:t>
      </w:r>
      <w:r w:rsidRPr="00720C51">
        <w:rPr>
          <w:bCs/>
        </w:rPr>
        <w:t>C) and frozen (-20</w:t>
      </w:r>
      <w:r w:rsidRPr="00720C51">
        <w:rPr>
          <w:bCs/>
          <w:vertAlign w:val="superscript"/>
        </w:rPr>
        <w:t>0</w:t>
      </w:r>
      <w:r w:rsidRPr="00720C51">
        <w:rPr>
          <w:bCs/>
        </w:rPr>
        <w:t xml:space="preserve">C) </w:t>
      </w:r>
      <w:r>
        <w:rPr>
          <w:bCs/>
        </w:rPr>
        <w:t xml:space="preserve">as shown in figure 1 and 2 </w:t>
      </w:r>
      <w:r w:rsidRPr="00720C51">
        <w:rPr>
          <w:bCs/>
        </w:rPr>
        <w:t>for analysis of different parameters at regular intervals.  Analysis of super</w:t>
      </w:r>
      <w:r>
        <w:rPr>
          <w:bCs/>
        </w:rPr>
        <w:t xml:space="preserve"> </w:t>
      </w:r>
      <w:r w:rsidRPr="00720C51">
        <w:rPr>
          <w:bCs/>
        </w:rPr>
        <w:t>chilled samples was carried out on 6</w:t>
      </w:r>
      <w:r w:rsidRPr="00720C51">
        <w:rPr>
          <w:bCs/>
          <w:vertAlign w:val="superscript"/>
        </w:rPr>
        <w:t>th</w:t>
      </w:r>
      <w:r w:rsidRPr="00720C51">
        <w:rPr>
          <w:bCs/>
        </w:rPr>
        <w:t>, 12</w:t>
      </w:r>
      <w:r w:rsidRPr="00720C51">
        <w:rPr>
          <w:bCs/>
          <w:vertAlign w:val="superscript"/>
        </w:rPr>
        <w:t>th</w:t>
      </w:r>
      <w:r w:rsidRPr="00720C51">
        <w:rPr>
          <w:bCs/>
        </w:rPr>
        <w:t>,</w:t>
      </w:r>
      <w:r>
        <w:rPr>
          <w:bCs/>
        </w:rPr>
        <w:t xml:space="preserve"> </w:t>
      </w:r>
      <w:r w:rsidRPr="00720C51">
        <w:rPr>
          <w:bCs/>
        </w:rPr>
        <w:t>18</w:t>
      </w:r>
      <w:r w:rsidRPr="00720C51">
        <w:rPr>
          <w:bCs/>
          <w:vertAlign w:val="superscript"/>
        </w:rPr>
        <w:t>th</w:t>
      </w:r>
      <w:r w:rsidRPr="00720C51">
        <w:rPr>
          <w:bCs/>
        </w:rPr>
        <w:t>, 24</w:t>
      </w:r>
      <w:r w:rsidRPr="00720C51">
        <w:rPr>
          <w:bCs/>
          <w:vertAlign w:val="superscript"/>
        </w:rPr>
        <w:t>th</w:t>
      </w:r>
      <w:r w:rsidRPr="00720C51">
        <w:rPr>
          <w:bCs/>
        </w:rPr>
        <w:t xml:space="preserve"> and 30</w:t>
      </w:r>
      <w:r w:rsidRPr="00720C51">
        <w:rPr>
          <w:bCs/>
          <w:vertAlign w:val="superscript"/>
        </w:rPr>
        <w:t>th</w:t>
      </w:r>
      <w:r w:rsidRPr="00720C51">
        <w:rPr>
          <w:bCs/>
        </w:rPr>
        <w:t xml:space="preserve"> day and frozen sample on 30</w:t>
      </w:r>
      <w:r w:rsidRPr="00720C51">
        <w:rPr>
          <w:bCs/>
          <w:vertAlign w:val="superscript"/>
        </w:rPr>
        <w:t xml:space="preserve">th </w:t>
      </w:r>
      <w:r>
        <w:rPr>
          <w:bCs/>
        </w:rPr>
        <w:t xml:space="preserve">and </w:t>
      </w:r>
      <w:r w:rsidRPr="00720C51">
        <w:rPr>
          <w:bCs/>
        </w:rPr>
        <w:t>60</w:t>
      </w:r>
      <w:r w:rsidRPr="00720C51">
        <w:rPr>
          <w:bCs/>
          <w:vertAlign w:val="superscript"/>
        </w:rPr>
        <w:t xml:space="preserve">th  </w:t>
      </w:r>
      <w:r>
        <w:rPr>
          <w:bCs/>
          <w:vertAlign w:val="superscript"/>
        </w:rPr>
        <w:t xml:space="preserve"> </w:t>
      </w:r>
      <w:r w:rsidRPr="00720C51">
        <w:rPr>
          <w:bCs/>
        </w:rPr>
        <w:t>day of storage.</w:t>
      </w:r>
    </w:p>
    <w:p w:rsidR="000573DB" w:rsidRPr="00720C51" w:rsidRDefault="00D46F9C" w:rsidP="00701070">
      <w:pPr>
        <w:pStyle w:val="Default"/>
        <w:tabs>
          <w:tab w:val="left" w:pos="228"/>
        </w:tabs>
        <w:spacing w:after="240"/>
        <w:jc w:val="both"/>
        <w:rPr>
          <w:bCs/>
        </w:rPr>
      </w:pPr>
      <w:r>
        <w:rPr>
          <w:noProof/>
          <w:lang w:val="en-IN" w:eastAsia="en-IN" w:bidi="hi-IN"/>
        </w:rPr>
        <w:lastRenderedPageBreak/>
        <w:drawing>
          <wp:anchor distT="0" distB="0" distL="114300" distR="114300" simplePos="0" relativeHeight="251661312" behindDoc="0" locked="0" layoutInCell="1" allowOverlap="1" wp14:anchorId="42628D8D" wp14:editId="59DD3C14">
            <wp:simplePos x="0" y="0"/>
            <wp:positionH relativeFrom="column">
              <wp:posOffset>2825115</wp:posOffset>
            </wp:positionH>
            <wp:positionV relativeFrom="paragraph">
              <wp:posOffset>137795</wp:posOffset>
            </wp:positionV>
            <wp:extent cx="2009775" cy="1776095"/>
            <wp:effectExtent l="0" t="0" r="9525" b="0"/>
            <wp:wrapThrough wrapText="bothSides">
              <wp:wrapPolygon edited="0">
                <wp:start x="0" y="0"/>
                <wp:lineTo x="0" y="21314"/>
                <wp:lineTo x="21498" y="21314"/>
                <wp:lineTo x="21498" y="0"/>
                <wp:lineTo x="0" y="0"/>
              </wp:wrapPolygon>
            </wp:wrapThrough>
            <wp:docPr id="4" name="Picture 23" descr="C:\Users\Lenovo\Pictures\chilling , freezing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Pictures\chilling , freezing pic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77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hi-IN"/>
        </w:rPr>
        <w:drawing>
          <wp:anchor distT="0" distB="0" distL="114300" distR="114300" simplePos="0" relativeHeight="251659264" behindDoc="0" locked="0" layoutInCell="1" allowOverlap="1" wp14:anchorId="4647E8E4" wp14:editId="4FBE4FAA">
            <wp:simplePos x="0" y="0"/>
            <wp:positionH relativeFrom="column">
              <wp:posOffset>711835</wp:posOffset>
            </wp:positionH>
            <wp:positionV relativeFrom="paragraph">
              <wp:posOffset>137795</wp:posOffset>
            </wp:positionV>
            <wp:extent cx="1910715" cy="1776095"/>
            <wp:effectExtent l="0" t="0" r="0" b="0"/>
            <wp:wrapThrough wrapText="bothSides">
              <wp:wrapPolygon edited="0">
                <wp:start x="0" y="0"/>
                <wp:lineTo x="0" y="21314"/>
                <wp:lineTo x="21320" y="21314"/>
                <wp:lineTo x="21320" y="0"/>
                <wp:lineTo x="0" y="0"/>
              </wp:wrapPolygon>
            </wp:wrapThrough>
            <wp:docPr id="6" name="Picture 21" descr="C:\Users\Lenovo\Pictures\superchilling cabinet pic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superchilling cabinet pic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715"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792" w:rsidRPr="003A7658" w:rsidRDefault="00815792" w:rsidP="00701070">
      <w:pPr>
        <w:pStyle w:val="Default"/>
        <w:tabs>
          <w:tab w:val="left" w:pos="228"/>
        </w:tabs>
        <w:spacing w:after="240"/>
        <w:jc w:val="both"/>
        <w:rPr>
          <w:color w:val="FF0000"/>
          <w:shd w:val="clear" w:color="auto" w:fill="FFFFFF"/>
        </w:rPr>
      </w:pPr>
    </w:p>
    <w:p w:rsidR="00815792" w:rsidRDefault="00815792" w:rsidP="00701070">
      <w:pPr>
        <w:autoSpaceDE w:val="0"/>
        <w:autoSpaceDN w:val="0"/>
        <w:adjustRightInd w:val="0"/>
        <w:spacing w:line="240" w:lineRule="auto"/>
        <w:ind w:firstLine="720"/>
        <w:jc w:val="both"/>
        <w:rPr>
          <w:rFonts w:ascii="Times New Roman" w:hAnsi="Times New Roman"/>
          <w:sz w:val="24"/>
          <w:szCs w:val="24"/>
        </w:rPr>
      </w:pPr>
    </w:p>
    <w:p w:rsidR="00984A43" w:rsidRDefault="00984A43" w:rsidP="00701070">
      <w:pPr>
        <w:spacing w:line="240" w:lineRule="auto"/>
        <w:rPr>
          <w:rFonts w:ascii="Times New Roman" w:hAnsi="Times New Roman" w:cs="Times New Roman"/>
          <w:b/>
          <w:bCs/>
          <w:sz w:val="32"/>
          <w:szCs w:val="32"/>
        </w:rPr>
      </w:pPr>
    </w:p>
    <w:p w:rsidR="00407C25" w:rsidRDefault="00407C25" w:rsidP="00701070">
      <w:pPr>
        <w:tabs>
          <w:tab w:val="center" w:pos="4873"/>
        </w:tabs>
        <w:spacing w:line="240" w:lineRule="auto"/>
        <w:rPr>
          <w:rFonts w:ascii="Times New Roman" w:hAnsi="Times New Roman" w:cs="Times New Roman"/>
          <w:sz w:val="32"/>
          <w:szCs w:val="32"/>
        </w:rPr>
      </w:pPr>
    </w:p>
    <w:p w:rsidR="00D46F9C" w:rsidRDefault="00407C25" w:rsidP="00701070">
      <w:pPr>
        <w:tabs>
          <w:tab w:val="center" w:pos="4873"/>
        </w:tabs>
        <w:spacing w:line="240" w:lineRule="auto"/>
        <w:ind w:firstLine="720"/>
        <w:rPr>
          <w:rFonts w:ascii="Times New Roman" w:hAnsi="Times New Roman" w:cs="Times New Roman"/>
          <w:sz w:val="32"/>
          <w:szCs w:val="32"/>
        </w:rPr>
      </w:pPr>
      <w:r>
        <w:rPr>
          <w:rFonts w:ascii="Times New Roman" w:hAnsi="Times New Roman" w:cs="Times New Roman"/>
          <w:sz w:val="32"/>
          <w:szCs w:val="32"/>
        </w:rPr>
        <w:t xml:space="preserve">  </w:t>
      </w:r>
      <w:r w:rsidR="00D46F9C">
        <w:rPr>
          <w:rFonts w:ascii="Times New Roman" w:hAnsi="Times New Roman" w:cs="Times New Roman"/>
          <w:sz w:val="32"/>
          <w:szCs w:val="32"/>
        </w:rPr>
        <w:t xml:space="preserve">  </w:t>
      </w:r>
      <w:r>
        <w:rPr>
          <w:rFonts w:ascii="Times New Roman" w:hAnsi="Times New Roman" w:cs="Times New Roman"/>
          <w:sz w:val="32"/>
          <w:szCs w:val="32"/>
        </w:rPr>
        <w:t xml:space="preserve"> </w:t>
      </w:r>
      <w:r w:rsidR="00D46F9C">
        <w:rPr>
          <w:rFonts w:ascii="Times New Roman" w:hAnsi="Times New Roman" w:cs="Times New Roman"/>
          <w:sz w:val="32"/>
          <w:szCs w:val="32"/>
        </w:rPr>
        <w:t xml:space="preserve">        </w:t>
      </w:r>
    </w:p>
    <w:p w:rsidR="00157A35" w:rsidRDefault="0073563A" w:rsidP="00701070">
      <w:pPr>
        <w:tabs>
          <w:tab w:val="center" w:pos="4873"/>
        </w:tabs>
        <w:spacing w:line="240" w:lineRule="auto"/>
        <w:ind w:firstLine="720"/>
        <w:rPr>
          <w:rFonts w:ascii="Times New Roman" w:hAnsi="Times New Roman" w:cs="Times New Roman"/>
          <w:sz w:val="32"/>
          <w:szCs w:val="32"/>
        </w:rPr>
      </w:pPr>
      <w:r>
        <w:rPr>
          <w:rFonts w:ascii="Times New Roman" w:hAnsi="Times New Roman" w:cs="Times New Roman"/>
          <w:sz w:val="32"/>
          <w:szCs w:val="32"/>
        </w:rPr>
        <w:t xml:space="preserve">  </w:t>
      </w:r>
    </w:p>
    <w:p w:rsidR="00F067CE" w:rsidRDefault="00157A35" w:rsidP="00701070">
      <w:pPr>
        <w:tabs>
          <w:tab w:val="center" w:pos="4873"/>
        </w:tabs>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Fig .1 </w:t>
      </w:r>
      <w:r w:rsidR="00984A43" w:rsidRPr="00984A43">
        <w:rPr>
          <w:rFonts w:ascii="Times New Roman" w:hAnsi="Times New Roman" w:cs="Times New Roman"/>
          <w:b/>
          <w:bCs/>
          <w:sz w:val="24"/>
          <w:szCs w:val="24"/>
        </w:rPr>
        <w:t>Super</w:t>
      </w:r>
      <w:r w:rsidR="00CF3C75">
        <w:rPr>
          <w:rFonts w:ascii="Times New Roman" w:hAnsi="Times New Roman" w:cs="Times New Roman"/>
          <w:b/>
          <w:bCs/>
          <w:sz w:val="24"/>
          <w:szCs w:val="24"/>
        </w:rPr>
        <w:t xml:space="preserve"> </w:t>
      </w:r>
      <w:r w:rsidR="00984A43" w:rsidRPr="00984A43">
        <w:rPr>
          <w:rFonts w:ascii="Times New Roman" w:hAnsi="Times New Roman" w:cs="Times New Roman"/>
          <w:b/>
          <w:bCs/>
          <w:sz w:val="24"/>
          <w:szCs w:val="24"/>
        </w:rPr>
        <w:t>chilling (0 to -2</w:t>
      </w:r>
      <w:r w:rsidR="00984A43" w:rsidRPr="00984A43">
        <w:rPr>
          <w:rFonts w:ascii="Times New Roman" w:hAnsi="Times New Roman" w:cs="Times New Roman"/>
          <w:b/>
          <w:bCs/>
          <w:sz w:val="24"/>
          <w:szCs w:val="24"/>
          <w:vertAlign w:val="superscript"/>
        </w:rPr>
        <w:t>0</w:t>
      </w:r>
      <w:r w:rsidR="00984A43" w:rsidRPr="00984A43">
        <w:rPr>
          <w:rFonts w:ascii="Times New Roman" w:hAnsi="Times New Roman" w:cs="Times New Roman"/>
          <w:b/>
          <w:bCs/>
          <w:sz w:val="24"/>
          <w:szCs w:val="24"/>
        </w:rPr>
        <w:t>C)</w:t>
      </w:r>
      <w:r w:rsidR="00984A43" w:rsidRPr="00984A43">
        <w:rPr>
          <w:rFonts w:ascii="Times New Roman" w:hAnsi="Times New Roman" w:cs="Times New Roman"/>
          <w:b/>
          <w:bCs/>
          <w:sz w:val="24"/>
          <w:szCs w:val="24"/>
        </w:rPr>
        <w:tab/>
        <w:t xml:space="preserve">             </w:t>
      </w:r>
      <w:r w:rsidR="00984A43">
        <w:rPr>
          <w:rFonts w:ascii="Times New Roman" w:hAnsi="Times New Roman" w:cs="Times New Roman"/>
          <w:b/>
          <w:bCs/>
          <w:sz w:val="24"/>
          <w:szCs w:val="24"/>
        </w:rPr>
        <w:t xml:space="preserve">    </w:t>
      </w:r>
      <w:r w:rsidR="00407C25">
        <w:rPr>
          <w:rFonts w:ascii="Times New Roman" w:hAnsi="Times New Roman" w:cs="Times New Roman"/>
          <w:b/>
          <w:bCs/>
          <w:sz w:val="24"/>
          <w:szCs w:val="24"/>
        </w:rPr>
        <w:t xml:space="preserve"> </w:t>
      </w:r>
      <w:r w:rsidR="00984A43">
        <w:rPr>
          <w:rFonts w:ascii="Times New Roman" w:hAnsi="Times New Roman" w:cs="Times New Roman"/>
          <w:b/>
          <w:bCs/>
          <w:sz w:val="24"/>
          <w:szCs w:val="24"/>
        </w:rPr>
        <w:t xml:space="preserve">  </w:t>
      </w:r>
      <w:r>
        <w:rPr>
          <w:rFonts w:ascii="Times New Roman" w:hAnsi="Times New Roman" w:cs="Times New Roman"/>
          <w:b/>
          <w:bCs/>
          <w:sz w:val="24"/>
          <w:szCs w:val="24"/>
        </w:rPr>
        <w:t xml:space="preserve">Fig .2. </w:t>
      </w:r>
      <w:r w:rsidR="00984A43" w:rsidRPr="00984A43">
        <w:rPr>
          <w:rFonts w:ascii="Times New Roman" w:hAnsi="Times New Roman" w:cs="Times New Roman"/>
          <w:b/>
          <w:bCs/>
          <w:sz w:val="24"/>
          <w:szCs w:val="24"/>
        </w:rPr>
        <w:t>Freezing (-20</w:t>
      </w:r>
      <w:r w:rsidR="00984A43" w:rsidRPr="00984A43">
        <w:rPr>
          <w:rFonts w:ascii="Times New Roman" w:hAnsi="Times New Roman" w:cs="Times New Roman"/>
          <w:b/>
          <w:bCs/>
          <w:sz w:val="24"/>
          <w:szCs w:val="24"/>
          <w:vertAlign w:val="superscript"/>
        </w:rPr>
        <w:t>0</w:t>
      </w:r>
      <w:r w:rsidR="00984A43" w:rsidRPr="00984A43">
        <w:rPr>
          <w:rFonts w:ascii="Times New Roman" w:hAnsi="Times New Roman" w:cs="Times New Roman"/>
          <w:b/>
          <w:bCs/>
          <w:sz w:val="24"/>
          <w:szCs w:val="24"/>
        </w:rPr>
        <w:t>C)</w:t>
      </w:r>
    </w:p>
    <w:p w:rsidR="007C019F" w:rsidRPr="00534C98" w:rsidRDefault="006144F7" w:rsidP="00701070">
      <w:pPr>
        <w:autoSpaceDE w:val="0"/>
        <w:autoSpaceDN w:val="0"/>
        <w:adjustRightInd w:val="0"/>
        <w:spacing w:line="240" w:lineRule="auto"/>
        <w:jc w:val="both"/>
        <w:rPr>
          <w:rFonts w:ascii="Times New Roman" w:hAnsi="Times New Roman"/>
          <w:b/>
          <w:sz w:val="24"/>
          <w:szCs w:val="24"/>
        </w:rPr>
      </w:pPr>
      <w:r w:rsidRPr="00720C51">
        <w:rPr>
          <w:rFonts w:ascii="Times New Roman" w:hAnsi="Times New Roman"/>
          <w:b/>
          <w:bCs/>
          <w:sz w:val="24"/>
          <w:szCs w:val="24"/>
        </w:rPr>
        <w:t>P</w:t>
      </w:r>
      <w:r>
        <w:rPr>
          <w:rFonts w:ascii="Times New Roman" w:hAnsi="Times New Roman"/>
          <w:b/>
          <w:bCs/>
          <w:sz w:val="24"/>
          <w:szCs w:val="24"/>
        </w:rPr>
        <w:t>HYSICO-CHEMICAL PARAMETERS</w:t>
      </w:r>
      <w:r>
        <w:rPr>
          <w:rFonts w:ascii="Times New Roman" w:hAnsi="Times New Roman"/>
          <w:b/>
          <w:sz w:val="24"/>
          <w:szCs w:val="24"/>
        </w:rPr>
        <w:t xml:space="preserve"> </w:t>
      </w:r>
    </w:p>
    <w:p w:rsidR="007C019F" w:rsidRPr="00A844B7" w:rsidRDefault="007C019F" w:rsidP="00701070">
      <w:pPr>
        <w:pStyle w:val="Default"/>
        <w:jc w:val="both"/>
        <w:rPr>
          <w:b/>
          <w:bCs/>
        </w:rPr>
      </w:pPr>
      <w:r w:rsidRPr="00A844B7">
        <w:rPr>
          <w:b/>
          <w:bCs/>
        </w:rPr>
        <w:t>p</w:t>
      </w:r>
      <w:r w:rsidRPr="00A844B7">
        <w:rPr>
          <w:b/>
          <w:bCs/>
          <w:vertAlign w:val="superscript"/>
        </w:rPr>
        <w:t>H</w:t>
      </w:r>
    </w:p>
    <w:p w:rsidR="00D953B5" w:rsidRDefault="00E34914" w:rsidP="00E34914">
      <w:pPr>
        <w:pStyle w:val="Default"/>
        <w:spacing w:after="240"/>
        <w:ind w:firstLine="720"/>
        <w:jc w:val="both"/>
      </w:pPr>
      <w:r>
        <w:t xml:space="preserve"> P</w:t>
      </w:r>
      <w:r w:rsidR="007C019F">
        <w:rPr>
          <w:vertAlign w:val="superscript"/>
        </w:rPr>
        <w:t>H</w:t>
      </w:r>
      <w:r w:rsidR="007C019F">
        <w:t xml:space="preserve"> for the meat sample estimated by following the method given by Trout </w:t>
      </w:r>
      <w:r w:rsidR="007C019F">
        <w:rPr>
          <w:i/>
          <w:iCs/>
        </w:rPr>
        <w:t>et al</w:t>
      </w:r>
      <w:r w:rsidR="007C019F">
        <w:t xml:space="preserve">. (1992). </w:t>
      </w:r>
      <w:r>
        <w:rPr>
          <w:color w:val="auto"/>
        </w:rPr>
        <w:t>P</w:t>
      </w:r>
      <w:r w:rsidR="007C019F">
        <w:rPr>
          <w:color w:val="auto"/>
          <w:vertAlign w:val="superscript"/>
        </w:rPr>
        <w:t>H</w:t>
      </w:r>
      <w:r w:rsidR="007C019F">
        <w:rPr>
          <w:color w:val="auto"/>
        </w:rPr>
        <w:t xml:space="preserve"> recorded by digital p</w:t>
      </w:r>
      <w:r w:rsidR="007C019F">
        <w:rPr>
          <w:color w:val="auto"/>
          <w:vertAlign w:val="superscript"/>
        </w:rPr>
        <w:t>H</w:t>
      </w:r>
      <w:r w:rsidR="007C019F">
        <w:rPr>
          <w:color w:val="auto"/>
        </w:rPr>
        <w:t xml:space="preserve"> meter by immersing the glass electrode </w:t>
      </w:r>
      <w:r>
        <w:t xml:space="preserve">into the homogenate of sample. </w:t>
      </w:r>
      <w:r>
        <w:rPr>
          <w:color w:val="auto"/>
        </w:rPr>
        <w:t>P</w:t>
      </w:r>
      <w:r w:rsidR="007C019F">
        <w:rPr>
          <w:color w:val="auto"/>
          <w:vertAlign w:val="superscript"/>
        </w:rPr>
        <w:t>H</w:t>
      </w:r>
      <w:r w:rsidR="007C019F">
        <w:t xml:space="preserve"> of the sample was measured with the </w:t>
      </w:r>
      <w:r w:rsidR="007C019F">
        <w:rPr>
          <w:color w:val="auto"/>
        </w:rPr>
        <w:t>p</w:t>
      </w:r>
      <w:r w:rsidR="007C019F">
        <w:rPr>
          <w:color w:val="auto"/>
          <w:vertAlign w:val="superscript"/>
        </w:rPr>
        <w:t>H</w:t>
      </w:r>
      <w:r w:rsidR="007C019F">
        <w:t xml:space="preserve"> meter, </w:t>
      </w:r>
      <w:r w:rsidR="007C019F">
        <w:rPr>
          <w:color w:val="auto"/>
        </w:rPr>
        <w:t>p</w:t>
      </w:r>
      <w:r w:rsidR="007C019F">
        <w:rPr>
          <w:color w:val="auto"/>
          <w:vertAlign w:val="superscript"/>
        </w:rPr>
        <w:t>H</w:t>
      </w:r>
      <w:r w:rsidR="007C019F">
        <w:t xml:space="preserve"> 4, 7 and 14 </w:t>
      </w:r>
      <w:r w:rsidR="00D46F9C">
        <w:t>as per user manual instructions.</w:t>
      </w:r>
    </w:p>
    <w:p w:rsidR="00414A3C" w:rsidRPr="00720C51" w:rsidRDefault="00414A3C" w:rsidP="00D953B5">
      <w:pPr>
        <w:pStyle w:val="Default"/>
        <w:spacing w:after="240"/>
        <w:jc w:val="both"/>
      </w:pPr>
      <w:r w:rsidRPr="00720C51">
        <w:rPr>
          <w:b/>
          <w:bCs/>
        </w:rPr>
        <w:t>Thiobarbituric Acid Reac</w:t>
      </w:r>
      <w:r>
        <w:rPr>
          <w:b/>
          <w:bCs/>
        </w:rPr>
        <w:t>tive Substances (TBARS)</w:t>
      </w:r>
    </w:p>
    <w:p w:rsidR="00A933F9" w:rsidRPr="00A933F9" w:rsidRDefault="00A933F9" w:rsidP="00A933F9">
      <w:pPr>
        <w:spacing w:before="100" w:beforeAutospacing="1" w:after="100" w:afterAutospacing="1" w:line="240" w:lineRule="auto"/>
        <w:jc w:val="both"/>
        <w:rPr>
          <w:rFonts w:ascii="Times New Roman" w:eastAsia="Times New Roman" w:hAnsi="Times New Roman" w:cs="Times New Roman"/>
          <w:sz w:val="24"/>
          <w:szCs w:val="24"/>
          <w:lang w:val="en-US"/>
        </w:rPr>
      </w:pPr>
      <w:r w:rsidRPr="00A933F9">
        <w:rPr>
          <w:rFonts w:ascii="Times New Roman" w:eastAsia="Times New Roman" w:hAnsi="Times New Roman" w:cs="Times New Roman"/>
          <w:sz w:val="24"/>
          <w:szCs w:val="24"/>
          <w:lang w:val="en-US"/>
        </w:rPr>
        <w:t xml:space="preserve">Lipid oxidation in chicken meat samples was determined in terms of </w:t>
      </w:r>
      <w:proofErr w:type="spellStart"/>
      <w:r w:rsidRPr="00A933F9">
        <w:rPr>
          <w:rFonts w:ascii="Times New Roman" w:eastAsia="Times New Roman" w:hAnsi="Times New Roman" w:cs="Times New Roman"/>
          <w:sz w:val="24"/>
          <w:szCs w:val="24"/>
          <w:lang w:val="en-US"/>
        </w:rPr>
        <w:t>thiobarbituric</w:t>
      </w:r>
      <w:proofErr w:type="spellEnd"/>
      <w:r w:rsidRPr="00A933F9">
        <w:rPr>
          <w:rFonts w:ascii="Times New Roman" w:eastAsia="Times New Roman" w:hAnsi="Times New Roman" w:cs="Times New Roman"/>
          <w:sz w:val="24"/>
          <w:szCs w:val="24"/>
          <w:lang w:val="en-US"/>
        </w:rPr>
        <w:t xml:space="preserve"> acid reactive substances (TBARS) following the method described by Strange </w:t>
      </w:r>
      <w:r w:rsidRPr="00A933F9">
        <w:rPr>
          <w:rFonts w:ascii="Times New Roman" w:eastAsia="Times New Roman" w:hAnsi="Times New Roman" w:cs="Times New Roman"/>
          <w:i/>
          <w:iCs/>
          <w:sz w:val="24"/>
          <w:szCs w:val="24"/>
          <w:lang w:val="en-US"/>
        </w:rPr>
        <w:t>et al.</w:t>
      </w:r>
      <w:r w:rsidRPr="00A933F9">
        <w:rPr>
          <w:rFonts w:ascii="Times New Roman" w:eastAsia="Times New Roman" w:hAnsi="Times New Roman" w:cs="Times New Roman"/>
          <w:sz w:val="24"/>
          <w:szCs w:val="24"/>
          <w:lang w:val="en-US"/>
        </w:rPr>
        <w:t xml:space="preserve"> (1977), with minor modifications. Approximately 4 g of finely minced meat sample was </w:t>
      </w:r>
      <w:proofErr w:type="spellStart"/>
      <w:r w:rsidRPr="00A933F9">
        <w:rPr>
          <w:rFonts w:ascii="Times New Roman" w:eastAsia="Times New Roman" w:hAnsi="Times New Roman" w:cs="Times New Roman"/>
          <w:sz w:val="24"/>
          <w:szCs w:val="24"/>
          <w:lang w:val="en-US"/>
        </w:rPr>
        <w:t>homogenised</w:t>
      </w:r>
      <w:proofErr w:type="spellEnd"/>
      <w:r w:rsidRPr="00A933F9">
        <w:rPr>
          <w:rFonts w:ascii="Times New Roman" w:eastAsia="Times New Roman" w:hAnsi="Times New Roman" w:cs="Times New Roman"/>
          <w:sz w:val="24"/>
          <w:szCs w:val="24"/>
          <w:lang w:val="en-US"/>
        </w:rPr>
        <w:t xml:space="preserve"> with 20 ml of 20% trichloroacetic acid (TCA) for 3 minutes using a laboratory blender to ensure thorough extraction of lipid oxidation products. The homogenate was subsequently centrifuged at 5000 rpm for 15 minutes to obtain a clear supernatant.</w:t>
      </w:r>
      <w:r>
        <w:rPr>
          <w:rFonts w:ascii="Times New Roman" w:eastAsia="Times New Roman" w:hAnsi="Times New Roman" w:cs="Times New Roman"/>
          <w:sz w:val="24"/>
          <w:szCs w:val="24"/>
          <w:lang w:val="en-US"/>
        </w:rPr>
        <w:t xml:space="preserve"> </w:t>
      </w:r>
      <w:r w:rsidRPr="00A933F9">
        <w:rPr>
          <w:rFonts w:ascii="Times New Roman" w:eastAsia="Times New Roman" w:hAnsi="Times New Roman" w:cs="Times New Roman"/>
          <w:sz w:val="24"/>
          <w:szCs w:val="24"/>
          <w:lang w:val="en-US"/>
        </w:rPr>
        <w:t xml:space="preserve">The resulting supernatant was filtered through Whatman No. 1 filter paper (18.5 cm diameter), and the clear filtrate was collected. This filtrate, referred to as the TCA extract, was used for the determination of </w:t>
      </w:r>
      <w:proofErr w:type="spellStart"/>
      <w:r w:rsidRPr="00A933F9">
        <w:rPr>
          <w:rFonts w:ascii="Times New Roman" w:eastAsia="Times New Roman" w:hAnsi="Times New Roman" w:cs="Times New Roman"/>
          <w:sz w:val="24"/>
          <w:szCs w:val="24"/>
          <w:lang w:val="en-US"/>
        </w:rPr>
        <w:t>thiobarbituric</w:t>
      </w:r>
      <w:proofErr w:type="spellEnd"/>
      <w:r w:rsidRPr="00A933F9">
        <w:rPr>
          <w:rFonts w:ascii="Times New Roman" w:eastAsia="Times New Roman" w:hAnsi="Times New Roman" w:cs="Times New Roman"/>
          <w:sz w:val="24"/>
          <w:szCs w:val="24"/>
          <w:lang w:val="en-US"/>
        </w:rPr>
        <w:t xml:space="preserve"> acid (TBA) number. For the preparation of the test solution, 3 ml of TCA extract was mixed with 3 ml of 0.1% </w:t>
      </w:r>
      <w:proofErr w:type="spellStart"/>
      <w:r w:rsidRPr="00A933F9">
        <w:rPr>
          <w:rFonts w:ascii="Times New Roman" w:eastAsia="Times New Roman" w:hAnsi="Times New Roman" w:cs="Times New Roman"/>
          <w:sz w:val="24"/>
          <w:szCs w:val="24"/>
          <w:lang w:val="en-US"/>
        </w:rPr>
        <w:t>thiobarbituric</w:t>
      </w:r>
      <w:proofErr w:type="spellEnd"/>
      <w:r w:rsidRPr="00A933F9">
        <w:rPr>
          <w:rFonts w:ascii="Times New Roman" w:eastAsia="Times New Roman" w:hAnsi="Times New Roman" w:cs="Times New Roman"/>
          <w:sz w:val="24"/>
          <w:szCs w:val="24"/>
          <w:lang w:val="en-US"/>
        </w:rPr>
        <w:t xml:space="preserve"> acid reagent in clean test tubes and thoroughly mixed.</w:t>
      </w:r>
      <w:r>
        <w:rPr>
          <w:rFonts w:ascii="Times New Roman" w:eastAsia="Times New Roman" w:hAnsi="Times New Roman" w:cs="Times New Roman"/>
          <w:sz w:val="24"/>
          <w:szCs w:val="24"/>
          <w:lang w:val="en-US"/>
        </w:rPr>
        <w:t xml:space="preserve"> </w:t>
      </w:r>
      <w:r w:rsidRPr="00A933F9">
        <w:rPr>
          <w:rFonts w:ascii="Times New Roman" w:eastAsia="Times New Roman" w:hAnsi="Times New Roman" w:cs="Times New Roman"/>
          <w:sz w:val="24"/>
          <w:szCs w:val="24"/>
          <w:lang w:val="en-US"/>
        </w:rPr>
        <w:t xml:space="preserve">The reaction mixtures were heated in a boiling water bath at 100°C for 30 minutes along with a reagent blank to allow </w:t>
      </w:r>
      <w:proofErr w:type="spellStart"/>
      <w:r w:rsidRPr="00A933F9">
        <w:rPr>
          <w:rFonts w:ascii="Times New Roman" w:eastAsia="Times New Roman" w:hAnsi="Times New Roman" w:cs="Times New Roman"/>
          <w:sz w:val="24"/>
          <w:szCs w:val="24"/>
          <w:lang w:val="en-US"/>
        </w:rPr>
        <w:t>colour</w:t>
      </w:r>
      <w:proofErr w:type="spellEnd"/>
      <w:r w:rsidRPr="00A933F9">
        <w:rPr>
          <w:rFonts w:ascii="Times New Roman" w:eastAsia="Times New Roman" w:hAnsi="Times New Roman" w:cs="Times New Roman"/>
          <w:sz w:val="24"/>
          <w:szCs w:val="24"/>
          <w:lang w:val="en-US"/>
        </w:rPr>
        <w:t xml:space="preserve"> development. The blank solution was prepared by mixing 5 ml of 20% trichloroacetic acid with an equal volume of 0.1% </w:t>
      </w:r>
      <w:proofErr w:type="spellStart"/>
      <w:r w:rsidRPr="00A933F9">
        <w:rPr>
          <w:rFonts w:ascii="Times New Roman" w:eastAsia="Times New Roman" w:hAnsi="Times New Roman" w:cs="Times New Roman"/>
          <w:sz w:val="24"/>
          <w:szCs w:val="24"/>
          <w:lang w:val="en-US"/>
        </w:rPr>
        <w:t>thiobarbituric</w:t>
      </w:r>
      <w:proofErr w:type="spellEnd"/>
      <w:r w:rsidRPr="00A933F9">
        <w:rPr>
          <w:rFonts w:ascii="Times New Roman" w:eastAsia="Times New Roman" w:hAnsi="Times New Roman" w:cs="Times New Roman"/>
          <w:sz w:val="24"/>
          <w:szCs w:val="24"/>
          <w:lang w:val="en-US"/>
        </w:rPr>
        <w:t xml:space="preserve"> acid reagent and was processed simultaneously to </w:t>
      </w:r>
      <w:proofErr w:type="spellStart"/>
      <w:r w:rsidRPr="00A933F9">
        <w:rPr>
          <w:rFonts w:ascii="Times New Roman" w:eastAsia="Times New Roman" w:hAnsi="Times New Roman" w:cs="Times New Roman"/>
          <w:sz w:val="24"/>
          <w:szCs w:val="24"/>
          <w:lang w:val="en-US"/>
        </w:rPr>
        <w:t>minimise</w:t>
      </w:r>
      <w:proofErr w:type="spellEnd"/>
      <w:r w:rsidRPr="00A933F9">
        <w:rPr>
          <w:rFonts w:ascii="Times New Roman" w:eastAsia="Times New Roman" w:hAnsi="Times New Roman" w:cs="Times New Roman"/>
          <w:sz w:val="24"/>
          <w:szCs w:val="24"/>
          <w:lang w:val="en-US"/>
        </w:rPr>
        <w:t xml:space="preserve"> experimental error.</w:t>
      </w:r>
      <w:r>
        <w:rPr>
          <w:rFonts w:ascii="Times New Roman" w:eastAsia="Times New Roman" w:hAnsi="Times New Roman" w:cs="Times New Roman"/>
          <w:sz w:val="24"/>
          <w:szCs w:val="24"/>
          <w:lang w:val="en-US"/>
        </w:rPr>
        <w:t xml:space="preserve"> </w:t>
      </w:r>
      <w:r w:rsidRPr="00A933F9">
        <w:rPr>
          <w:rFonts w:ascii="Times New Roman" w:eastAsia="Times New Roman" w:hAnsi="Times New Roman" w:cs="Times New Roman"/>
          <w:sz w:val="24"/>
          <w:szCs w:val="24"/>
          <w:lang w:val="en-US"/>
        </w:rPr>
        <w:t xml:space="preserve">After heating, the tubes were allowed to cool to room temperature, and the optical density (OD) of the developed pink chromogen was measured at 532 nm using a UV–Visible spectrophotometer (Shimadzu UV-1700, Japan). The TBARS values were expressed as milligrams of malonaldehyde (MDA) per </w:t>
      </w:r>
      <w:bookmarkStart w:id="0" w:name="_GoBack"/>
      <w:bookmarkEnd w:id="0"/>
      <w:r w:rsidRPr="00A933F9">
        <w:rPr>
          <w:rFonts w:ascii="Times New Roman" w:eastAsia="Times New Roman" w:hAnsi="Times New Roman" w:cs="Times New Roman"/>
          <w:sz w:val="24"/>
          <w:szCs w:val="24"/>
          <w:lang w:val="en-US"/>
        </w:rPr>
        <w:t>kilogram of sample, which served as an index of lipid oxidation in the chicken meat samples.</w:t>
      </w:r>
    </w:p>
    <w:p w:rsidR="00933E2A" w:rsidRPr="00933E2A" w:rsidRDefault="00933E2A" w:rsidP="00933E2A">
      <w:pPr>
        <w:spacing w:before="100" w:beforeAutospacing="1" w:after="100" w:afterAutospacing="1" w:line="240" w:lineRule="auto"/>
        <w:rPr>
          <w:rFonts w:ascii="Times New Roman" w:eastAsia="Times New Roman" w:hAnsi="Times New Roman" w:cs="Times New Roman"/>
          <w:sz w:val="24"/>
          <w:szCs w:val="24"/>
          <w:lang w:val="en-US"/>
        </w:rPr>
      </w:pPr>
      <w:r w:rsidRPr="00933E2A">
        <w:rPr>
          <w:rFonts w:ascii="Times New Roman" w:eastAsia="Times New Roman" w:hAnsi="Times New Roman" w:cs="Times New Roman"/>
          <w:b/>
          <w:bCs/>
          <w:sz w:val="24"/>
          <w:szCs w:val="24"/>
          <w:lang w:val="en-US"/>
        </w:rPr>
        <w:t>Water-Holding Capacity (WHC)</w:t>
      </w:r>
      <w:r w:rsidRPr="00933E2A">
        <w:rPr>
          <w:rFonts w:ascii="Times New Roman" w:eastAsia="Times New Roman" w:hAnsi="Times New Roman" w:cs="Times New Roman"/>
          <w:sz w:val="24"/>
          <w:szCs w:val="24"/>
          <w:lang w:val="en-US"/>
        </w:rPr>
        <w:br/>
        <w:t xml:space="preserve">The water-holding capacity (WHC) of meat samples was determined following the method described by </w:t>
      </w:r>
      <w:proofErr w:type="spellStart"/>
      <w:r w:rsidRPr="00933E2A">
        <w:rPr>
          <w:rFonts w:ascii="Times New Roman" w:eastAsia="Times New Roman" w:hAnsi="Times New Roman" w:cs="Times New Roman"/>
          <w:sz w:val="24"/>
          <w:szCs w:val="24"/>
          <w:lang w:val="en-US"/>
        </w:rPr>
        <w:t>Barbut</w:t>
      </w:r>
      <w:proofErr w:type="spellEnd"/>
      <w:r w:rsidRPr="00933E2A">
        <w:rPr>
          <w:rFonts w:ascii="Times New Roman" w:eastAsia="Times New Roman" w:hAnsi="Times New Roman" w:cs="Times New Roman"/>
          <w:sz w:val="24"/>
          <w:szCs w:val="24"/>
          <w:lang w:val="en-US"/>
        </w:rPr>
        <w:t xml:space="preserve"> (2024), with slight modifications. Approximately 5 g of meat sample was finely minced and thoroughly </w:t>
      </w:r>
      <w:proofErr w:type="spellStart"/>
      <w:r w:rsidRPr="00933E2A">
        <w:rPr>
          <w:rFonts w:ascii="Times New Roman" w:eastAsia="Times New Roman" w:hAnsi="Times New Roman" w:cs="Times New Roman"/>
          <w:sz w:val="24"/>
          <w:szCs w:val="24"/>
          <w:lang w:val="en-US"/>
        </w:rPr>
        <w:t>homogenised</w:t>
      </w:r>
      <w:proofErr w:type="spellEnd"/>
      <w:r w:rsidRPr="00933E2A">
        <w:rPr>
          <w:rFonts w:ascii="Times New Roman" w:eastAsia="Times New Roman" w:hAnsi="Times New Roman" w:cs="Times New Roman"/>
          <w:sz w:val="24"/>
          <w:szCs w:val="24"/>
          <w:lang w:val="en-US"/>
        </w:rPr>
        <w:t xml:space="preserve"> with 8 ml of 0.6 M sodium chloride (NaCl) solution in a centrifuge tube. The tubes were maintained at a temperature of 2 ± 1 °C for 7.5 minutes to facilitate extraction, after which the contents were gently stirred and centrifuged at 5000 rpm for 25 minutes. Following centrifugation, the volume of the supernatant was </w:t>
      </w:r>
      <w:r w:rsidRPr="00933E2A">
        <w:rPr>
          <w:rFonts w:ascii="Times New Roman" w:eastAsia="Times New Roman" w:hAnsi="Times New Roman" w:cs="Times New Roman"/>
          <w:sz w:val="24"/>
          <w:szCs w:val="24"/>
          <w:lang w:val="en-US"/>
        </w:rPr>
        <w:lastRenderedPageBreak/>
        <w:t>carefully measured. The WHC was calculated from the difference between the initial volume of NaCl solution (8 ml) and the volume of supernatant recovered after centrifugation. The results were expressed as a percentage relative to the weight of the meat sample (5 g).</w:t>
      </w:r>
    </w:p>
    <w:p w:rsidR="00933E2A" w:rsidRPr="00933E2A" w:rsidRDefault="00933E2A" w:rsidP="00933E2A">
      <w:pPr>
        <w:spacing w:before="100" w:beforeAutospacing="1" w:after="100" w:afterAutospacing="1" w:line="240" w:lineRule="auto"/>
        <w:rPr>
          <w:rFonts w:ascii="Times New Roman" w:eastAsia="Times New Roman" w:hAnsi="Times New Roman" w:cs="Times New Roman"/>
          <w:sz w:val="24"/>
          <w:szCs w:val="24"/>
          <w:lang w:val="en-US"/>
        </w:rPr>
      </w:pPr>
      <w:r w:rsidRPr="00933E2A">
        <w:rPr>
          <w:rFonts w:ascii="Times New Roman" w:eastAsia="Times New Roman" w:hAnsi="Times New Roman" w:cs="Times New Roman"/>
          <w:b/>
          <w:bCs/>
          <w:sz w:val="24"/>
          <w:szCs w:val="24"/>
          <w:lang w:val="en-US"/>
        </w:rPr>
        <w:t>Shear Force Value (SFV)</w:t>
      </w:r>
      <w:r w:rsidRPr="00933E2A">
        <w:rPr>
          <w:rFonts w:ascii="Times New Roman" w:eastAsia="Times New Roman" w:hAnsi="Times New Roman" w:cs="Times New Roman"/>
          <w:sz w:val="24"/>
          <w:szCs w:val="24"/>
          <w:lang w:val="en-US"/>
        </w:rPr>
        <w:br/>
        <w:t>The Warner–</w:t>
      </w:r>
      <w:proofErr w:type="spellStart"/>
      <w:r w:rsidRPr="00933E2A">
        <w:rPr>
          <w:rFonts w:ascii="Times New Roman" w:eastAsia="Times New Roman" w:hAnsi="Times New Roman" w:cs="Times New Roman"/>
          <w:sz w:val="24"/>
          <w:szCs w:val="24"/>
          <w:lang w:val="en-US"/>
        </w:rPr>
        <w:t>Bratzler</w:t>
      </w:r>
      <w:proofErr w:type="spellEnd"/>
      <w:r w:rsidRPr="00933E2A">
        <w:rPr>
          <w:rFonts w:ascii="Times New Roman" w:eastAsia="Times New Roman" w:hAnsi="Times New Roman" w:cs="Times New Roman"/>
          <w:sz w:val="24"/>
          <w:szCs w:val="24"/>
          <w:lang w:val="en-US"/>
        </w:rPr>
        <w:t xml:space="preserve"> shear force value (SFV) was determined to assess the tenderness of meat samples. Meat portions were packed in low-density polyethylene bags and securely sealed to prevent the ingress of water during cooking. The sealed samples were cooked in a water bath maintained at 80 °C for 10–20 minutes. After cooking, the samples were cooled and cylindrical cores were prepared from each sample. These cores were then positioned beneath the V-notched shear blade of a texture </w:t>
      </w:r>
      <w:proofErr w:type="spellStart"/>
      <w:r w:rsidRPr="00933E2A">
        <w:rPr>
          <w:rFonts w:ascii="Times New Roman" w:eastAsia="Times New Roman" w:hAnsi="Times New Roman" w:cs="Times New Roman"/>
          <w:sz w:val="24"/>
          <w:szCs w:val="24"/>
          <w:lang w:val="en-US"/>
        </w:rPr>
        <w:t>analyser</w:t>
      </w:r>
      <w:proofErr w:type="spellEnd"/>
      <w:r w:rsidRPr="00933E2A">
        <w:rPr>
          <w:rFonts w:ascii="Times New Roman" w:eastAsia="Times New Roman" w:hAnsi="Times New Roman" w:cs="Times New Roman"/>
          <w:sz w:val="24"/>
          <w:szCs w:val="24"/>
          <w:lang w:val="en-US"/>
        </w:rPr>
        <w:t xml:space="preserve"> and sheared perpendicular to the direction of muscle </w:t>
      </w:r>
      <w:proofErr w:type="spellStart"/>
      <w:r w:rsidRPr="00933E2A">
        <w:rPr>
          <w:rFonts w:ascii="Times New Roman" w:eastAsia="Times New Roman" w:hAnsi="Times New Roman" w:cs="Times New Roman"/>
          <w:sz w:val="24"/>
          <w:szCs w:val="24"/>
          <w:lang w:val="en-US"/>
        </w:rPr>
        <w:t>fibres</w:t>
      </w:r>
      <w:proofErr w:type="spellEnd"/>
      <w:r w:rsidRPr="00933E2A">
        <w:rPr>
          <w:rFonts w:ascii="Times New Roman" w:eastAsia="Times New Roman" w:hAnsi="Times New Roman" w:cs="Times New Roman"/>
          <w:sz w:val="24"/>
          <w:szCs w:val="24"/>
          <w:lang w:val="en-US"/>
        </w:rPr>
        <w:t xml:space="preserve"> to ensure uniform measurement. The peak shear force required to cut through each core was recorded in newtons (N), and the average value obtained from three cores per sample was used to represent the shear force value.</w:t>
      </w:r>
    </w:p>
    <w:p w:rsidR="007669DE" w:rsidRPr="007669DE" w:rsidRDefault="007669DE" w:rsidP="007669DE">
      <w:pPr>
        <w:spacing w:before="100" w:beforeAutospacing="1" w:after="100" w:afterAutospacing="1" w:line="240" w:lineRule="auto"/>
        <w:rPr>
          <w:rFonts w:ascii="Times New Roman" w:eastAsia="Times New Roman" w:hAnsi="Times New Roman" w:cs="Times New Roman"/>
          <w:sz w:val="24"/>
          <w:szCs w:val="24"/>
          <w:lang w:val="en-US"/>
        </w:rPr>
      </w:pPr>
      <w:r w:rsidRPr="007669DE">
        <w:rPr>
          <w:rFonts w:ascii="Times New Roman" w:eastAsia="Times New Roman" w:hAnsi="Times New Roman" w:cs="Times New Roman"/>
          <w:b/>
          <w:bCs/>
          <w:sz w:val="28"/>
          <w:szCs w:val="24"/>
          <w:lang w:val="en-US"/>
        </w:rPr>
        <w:t>Microbial Analysis</w:t>
      </w:r>
      <w:r w:rsidRPr="007669DE">
        <w:rPr>
          <w:rFonts w:ascii="Times New Roman" w:eastAsia="Times New Roman" w:hAnsi="Times New Roman" w:cs="Times New Roman"/>
          <w:sz w:val="24"/>
          <w:szCs w:val="24"/>
          <w:lang w:val="en-US"/>
        </w:rPr>
        <w:br/>
        <w:t xml:space="preserve">The microbiological quality of the meat samples was assessed by determining the Total Plate Count (TPC), </w:t>
      </w:r>
      <w:proofErr w:type="spellStart"/>
      <w:r w:rsidRPr="007669DE">
        <w:rPr>
          <w:rFonts w:ascii="Times New Roman" w:eastAsia="Times New Roman" w:hAnsi="Times New Roman" w:cs="Times New Roman"/>
          <w:sz w:val="24"/>
          <w:szCs w:val="24"/>
          <w:lang w:val="en-US"/>
        </w:rPr>
        <w:t>Psychrotrophic</w:t>
      </w:r>
      <w:proofErr w:type="spellEnd"/>
      <w:r w:rsidRPr="007669DE">
        <w:rPr>
          <w:rFonts w:ascii="Times New Roman" w:eastAsia="Times New Roman" w:hAnsi="Times New Roman" w:cs="Times New Roman"/>
          <w:sz w:val="24"/>
          <w:szCs w:val="24"/>
          <w:lang w:val="en-US"/>
        </w:rPr>
        <w:t xml:space="preserve"> Bacterial Count (PBC), and Yeast and </w:t>
      </w:r>
      <w:proofErr w:type="spellStart"/>
      <w:r w:rsidRPr="007669DE">
        <w:rPr>
          <w:rFonts w:ascii="Times New Roman" w:eastAsia="Times New Roman" w:hAnsi="Times New Roman" w:cs="Times New Roman"/>
          <w:sz w:val="24"/>
          <w:szCs w:val="24"/>
          <w:lang w:val="en-US"/>
        </w:rPr>
        <w:t>Mould</w:t>
      </w:r>
      <w:proofErr w:type="spellEnd"/>
      <w:r w:rsidRPr="007669DE">
        <w:rPr>
          <w:rFonts w:ascii="Times New Roman" w:eastAsia="Times New Roman" w:hAnsi="Times New Roman" w:cs="Times New Roman"/>
          <w:sz w:val="24"/>
          <w:szCs w:val="24"/>
          <w:lang w:val="en-US"/>
        </w:rPr>
        <w:t xml:space="preserve"> Count (YMC) using the spread plate technique in accordance with the standard procedures described by ICMSF (1980). All microbiological analyses were carried out under aseptic conditions, and the results were expressed as logarithmic colony-forming units per gram (log CFU g⁻¹) of sample.</w:t>
      </w:r>
    </w:p>
    <w:p w:rsidR="007669DE" w:rsidRPr="007669DE" w:rsidRDefault="007669DE" w:rsidP="007669DE">
      <w:pPr>
        <w:spacing w:before="100" w:beforeAutospacing="1" w:after="100" w:afterAutospacing="1" w:line="240" w:lineRule="auto"/>
        <w:rPr>
          <w:rFonts w:ascii="Times New Roman" w:eastAsia="Times New Roman" w:hAnsi="Times New Roman" w:cs="Times New Roman"/>
          <w:sz w:val="24"/>
          <w:szCs w:val="24"/>
          <w:lang w:val="en-US"/>
        </w:rPr>
      </w:pPr>
      <w:r w:rsidRPr="007669DE">
        <w:rPr>
          <w:rFonts w:ascii="Times New Roman" w:eastAsia="Times New Roman" w:hAnsi="Times New Roman" w:cs="Times New Roman"/>
          <w:b/>
          <w:bCs/>
          <w:sz w:val="24"/>
          <w:szCs w:val="24"/>
          <w:lang w:val="en-US"/>
        </w:rPr>
        <w:t>Preparation of Serial Dilutions</w:t>
      </w:r>
      <w:r w:rsidR="00EF4997">
        <w:rPr>
          <w:rFonts w:ascii="Times New Roman" w:eastAsia="Times New Roman" w:hAnsi="Times New Roman" w:cs="Times New Roman"/>
          <w:b/>
          <w:bCs/>
          <w:sz w:val="24"/>
          <w:szCs w:val="24"/>
          <w:lang w:val="en-US"/>
        </w:rPr>
        <w:t xml:space="preserve">: </w:t>
      </w:r>
      <w:r w:rsidRPr="007669DE">
        <w:rPr>
          <w:rFonts w:ascii="Times New Roman" w:eastAsia="Times New Roman" w:hAnsi="Times New Roman" w:cs="Times New Roman"/>
          <w:sz w:val="24"/>
          <w:szCs w:val="24"/>
          <w:lang w:val="en-US"/>
        </w:rPr>
        <w:t xml:space="preserve">For microbiological analysis, 5 g of representative meat sample was aseptically weighed and </w:t>
      </w:r>
      <w:proofErr w:type="spellStart"/>
      <w:r w:rsidRPr="007669DE">
        <w:rPr>
          <w:rFonts w:ascii="Times New Roman" w:eastAsia="Times New Roman" w:hAnsi="Times New Roman" w:cs="Times New Roman"/>
          <w:sz w:val="24"/>
          <w:szCs w:val="24"/>
          <w:lang w:val="en-US"/>
        </w:rPr>
        <w:t>homogenised</w:t>
      </w:r>
      <w:proofErr w:type="spellEnd"/>
      <w:r w:rsidRPr="007669DE">
        <w:rPr>
          <w:rFonts w:ascii="Times New Roman" w:eastAsia="Times New Roman" w:hAnsi="Times New Roman" w:cs="Times New Roman"/>
          <w:sz w:val="24"/>
          <w:szCs w:val="24"/>
          <w:lang w:val="en-US"/>
        </w:rPr>
        <w:t xml:space="preserve"> with 45 ml of sterile 0.1% peptone water in a laboratory blender to obtain the initial (10⁻¹) dilution. Subsequently, tenfold serial dilutions were prepared using sterile 0.1% peptone water as the diluent. Appropriate dilutions were selected for enumeration of microbial populations.</w:t>
      </w:r>
    </w:p>
    <w:p w:rsidR="007669DE" w:rsidRPr="007669DE" w:rsidRDefault="007669DE" w:rsidP="007669DE">
      <w:pPr>
        <w:spacing w:before="100" w:beforeAutospacing="1" w:after="100" w:afterAutospacing="1" w:line="240" w:lineRule="auto"/>
        <w:rPr>
          <w:rFonts w:ascii="Times New Roman" w:eastAsia="Times New Roman" w:hAnsi="Times New Roman" w:cs="Times New Roman"/>
          <w:sz w:val="24"/>
          <w:szCs w:val="24"/>
          <w:lang w:val="en-US"/>
        </w:rPr>
      </w:pPr>
      <w:r w:rsidRPr="007669DE">
        <w:rPr>
          <w:rFonts w:ascii="Times New Roman" w:eastAsia="Times New Roman" w:hAnsi="Times New Roman" w:cs="Times New Roman"/>
          <w:b/>
          <w:bCs/>
          <w:sz w:val="24"/>
          <w:szCs w:val="24"/>
          <w:lang w:val="en-US"/>
        </w:rPr>
        <w:t>Total Plate Count (TPC)</w:t>
      </w:r>
      <w:r w:rsidR="00EF4997">
        <w:rPr>
          <w:rFonts w:ascii="Times New Roman" w:eastAsia="Times New Roman" w:hAnsi="Times New Roman" w:cs="Times New Roman"/>
          <w:b/>
          <w:bCs/>
          <w:sz w:val="24"/>
          <w:szCs w:val="24"/>
          <w:lang w:val="en-US"/>
        </w:rPr>
        <w:t xml:space="preserve">: </w:t>
      </w:r>
      <w:r w:rsidRPr="007669DE">
        <w:rPr>
          <w:rFonts w:ascii="Times New Roman" w:eastAsia="Times New Roman" w:hAnsi="Times New Roman" w:cs="Times New Roman"/>
          <w:sz w:val="24"/>
          <w:szCs w:val="24"/>
          <w:lang w:val="en-US"/>
        </w:rPr>
        <w:t xml:space="preserve">Total viable bacterial counts were determined using plate count agar (PCA). Approximately 15–20 ml of </w:t>
      </w:r>
      <w:proofErr w:type="spellStart"/>
      <w:r w:rsidRPr="007669DE">
        <w:rPr>
          <w:rFonts w:ascii="Times New Roman" w:eastAsia="Times New Roman" w:hAnsi="Times New Roman" w:cs="Times New Roman"/>
          <w:sz w:val="24"/>
          <w:szCs w:val="24"/>
          <w:lang w:val="en-US"/>
        </w:rPr>
        <w:t>sterilised</w:t>
      </w:r>
      <w:proofErr w:type="spellEnd"/>
      <w:r w:rsidRPr="007669DE">
        <w:rPr>
          <w:rFonts w:ascii="Times New Roman" w:eastAsia="Times New Roman" w:hAnsi="Times New Roman" w:cs="Times New Roman"/>
          <w:sz w:val="24"/>
          <w:szCs w:val="24"/>
          <w:lang w:val="en-US"/>
        </w:rPr>
        <w:t xml:space="preserve"> plate count agar, tempered to 44–46 °C, was poured into sterile Petri plates and allowed to solidify under aseptic conditions. The plates were incubated in an inverted position at 37 °C for 24 hours to confirm sterility prior to use. After sterility verification, 0.1 ml aliquots from appropriate serial dilutions were aseptically spread in duplicate onto the surface of the prepared agar plates using a sterile L-shaped spreader. The inoculated plates were incubated in an inverted position at 37 °C for 24 hours. Plates containing 40–300 colonies were selected for enumeration, and the results were expressed as log CFU g⁻¹ of sample.</w:t>
      </w:r>
    </w:p>
    <w:p w:rsidR="007669DE" w:rsidRPr="007669DE" w:rsidRDefault="007669DE" w:rsidP="007669DE">
      <w:pPr>
        <w:spacing w:before="100" w:beforeAutospacing="1" w:after="100" w:afterAutospacing="1" w:line="240" w:lineRule="auto"/>
        <w:rPr>
          <w:rFonts w:ascii="Times New Roman" w:eastAsia="Times New Roman" w:hAnsi="Times New Roman" w:cs="Times New Roman"/>
          <w:sz w:val="24"/>
          <w:szCs w:val="24"/>
          <w:lang w:val="en-US"/>
        </w:rPr>
      </w:pPr>
      <w:r w:rsidRPr="007669DE">
        <w:rPr>
          <w:rFonts w:ascii="Times New Roman" w:eastAsia="Times New Roman" w:hAnsi="Times New Roman" w:cs="Times New Roman"/>
          <w:b/>
          <w:bCs/>
          <w:sz w:val="24"/>
          <w:szCs w:val="24"/>
          <w:lang w:val="en-US"/>
        </w:rPr>
        <w:t xml:space="preserve">Yeast and </w:t>
      </w:r>
      <w:proofErr w:type="spellStart"/>
      <w:r w:rsidRPr="007669DE">
        <w:rPr>
          <w:rFonts w:ascii="Times New Roman" w:eastAsia="Times New Roman" w:hAnsi="Times New Roman" w:cs="Times New Roman"/>
          <w:b/>
          <w:bCs/>
          <w:sz w:val="24"/>
          <w:szCs w:val="24"/>
          <w:lang w:val="en-US"/>
        </w:rPr>
        <w:t>Mould</w:t>
      </w:r>
      <w:proofErr w:type="spellEnd"/>
      <w:r w:rsidRPr="007669DE">
        <w:rPr>
          <w:rFonts w:ascii="Times New Roman" w:eastAsia="Times New Roman" w:hAnsi="Times New Roman" w:cs="Times New Roman"/>
          <w:b/>
          <w:bCs/>
          <w:sz w:val="24"/>
          <w:szCs w:val="24"/>
          <w:lang w:val="en-US"/>
        </w:rPr>
        <w:t xml:space="preserve"> Count (YMC)</w:t>
      </w:r>
      <w:r w:rsidR="00EF4997">
        <w:rPr>
          <w:rFonts w:ascii="Times New Roman" w:eastAsia="Times New Roman" w:hAnsi="Times New Roman" w:cs="Times New Roman"/>
          <w:b/>
          <w:bCs/>
          <w:sz w:val="24"/>
          <w:szCs w:val="24"/>
          <w:lang w:val="en-US"/>
        </w:rPr>
        <w:t xml:space="preserve">: </w:t>
      </w:r>
      <w:r w:rsidRPr="007669DE">
        <w:rPr>
          <w:rFonts w:ascii="Times New Roman" w:eastAsia="Times New Roman" w:hAnsi="Times New Roman" w:cs="Times New Roman"/>
          <w:sz w:val="24"/>
          <w:szCs w:val="24"/>
          <w:lang w:val="en-US"/>
        </w:rPr>
        <w:t xml:space="preserve">Yeast and </w:t>
      </w:r>
      <w:proofErr w:type="spellStart"/>
      <w:r w:rsidRPr="007669DE">
        <w:rPr>
          <w:rFonts w:ascii="Times New Roman" w:eastAsia="Times New Roman" w:hAnsi="Times New Roman" w:cs="Times New Roman"/>
          <w:sz w:val="24"/>
          <w:szCs w:val="24"/>
          <w:lang w:val="en-US"/>
        </w:rPr>
        <w:t>mould</w:t>
      </w:r>
      <w:proofErr w:type="spellEnd"/>
      <w:r w:rsidRPr="007669DE">
        <w:rPr>
          <w:rFonts w:ascii="Times New Roman" w:eastAsia="Times New Roman" w:hAnsi="Times New Roman" w:cs="Times New Roman"/>
          <w:sz w:val="24"/>
          <w:szCs w:val="24"/>
          <w:lang w:val="en-US"/>
        </w:rPr>
        <w:t xml:space="preserve"> counts were determined by the spread plate method using potato dextrose agar (PDA). Sterile agar plates were inoculated with 0.1 ml aliquots from appropriate dilutions and evenly spread using a sterile L-shaped spreader. The inoculated plates were incubated at 23–25 °C for 5 days. After incubation, visible colonies were counted, and the results were expressed as log CFU g⁻¹ of sample.</w:t>
      </w:r>
    </w:p>
    <w:p w:rsidR="00414A3C" w:rsidRDefault="00414A3C" w:rsidP="00701070">
      <w:pPr>
        <w:pStyle w:val="Default"/>
        <w:jc w:val="both"/>
      </w:pPr>
      <w:proofErr w:type="spellStart"/>
      <w:r>
        <w:rPr>
          <w:b/>
          <w:bCs/>
          <w:color w:val="auto"/>
        </w:rPr>
        <w:t>Psychrotrophic</w:t>
      </w:r>
      <w:proofErr w:type="spellEnd"/>
      <w:r>
        <w:rPr>
          <w:b/>
          <w:bCs/>
          <w:color w:val="auto"/>
        </w:rPr>
        <w:t xml:space="preserve"> Count: </w:t>
      </w:r>
      <w:proofErr w:type="spellStart"/>
      <w:r w:rsidRPr="00720C51">
        <w:t>Psychrotrophic</w:t>
      </w:r>
      <w:proofErr w:type="spellEnd"/>
      <w:r w:rsidRPr="00720C51">
        <w:t xml:space="preserve"> counts were obtained by incubating the plates through spread plate method using plate count agar. Plates inoculated with the diluted sample (0.1ml), using sterilized L spreader were incubated for 7-10 days at 7±1ºC. The colonies were counted and results were expressed as lo</w:t>
      </w:r>
      <w:r>
        <w:t>g units per gram of the sample.</w:t>
      </w:r>
    </w:p>
    <w:p w:rsidR="00EF1392" w:rsidRPr="00E330AE" w:rsidRDefault="00EF1392" w:rsidP="00701070">
      <w:pPr>
        <w:pStyle w:val="Default"/>
        <w:jc w:val="both"/>
      </w:pPr>
    </w:p>
    <w:p w:rsidR="007C019F" w:rsidRPr="00E330AE" w:rsidRDefault="007C019F" w:rsidP="00701070">
      <w:pPr>
        <w:pStyle w:val="Default"/>
        <w:jc w:val="both"/>
        <w:rPr>
          <w:b/>
          <w:bCs/>
          <w:color w:val="auto"/>
        </w:rPr>
      </w:pPr>
      <w:r w:rsidRPr="00E330AE">
        <w:rPr>
          <w:b/>
          <w:bCs/>
          <w:color w:val="auto"/>
        </w:rPr>
        <w:lastRenderedPageBreak/>
        <w:t xml:space="preserve">Sensory Evaluation </w:t>
      </w:r>
    </w:p>
    <w:p w:rsidR="00525378" w:rsidRPr="00525378" w:rsidRDefault="00525378" w:rsidP="00525378">
      <w:pPr>
        <w:autoSpaceDE w:val="0"/>
        <w:autoSpaceDN w:val="0"/>
        <w:adjustRightInd w:val="0"/>
        <w:spacing w:after="0" w:line="240" w:lineRule="auto"/>
        <w:jc w:val="both"/>
        <w:rPr>
          <w:rFonts w:ascii="Times New Roman" w:hAnsi="Times New Roman" w:cs="Times New Roman"/>
          <w:sz w:val="24"/>
          <w:szCs w:val="24"/>
        </w:rPr>
      </w:pPr>
      <w:r w:rsidRPr="00525378">
        <w:rPr>
          <w:rFonts w:ascii="Times New Roman" w:hAnsi="Times New Roman" w:cs="Times New Roman"/>
          <w:sz w:val="24"/>
          <w:szCs w:val="24"/>
        </w:rPr>
        <w:t>Sensory evaluation of the meat samples was carried out to assess attributes such as appearance, flavour, texture, juiciness, and overall acceptability using an 8-point descriptive scale as described by Keeton (1983). In this scale, a score of 8 represented the highest level of quality for a given attribute, while scores ranging from 5 to 8 were considered acceptable and those below 5 were regarded as unacceptable.</w:t>
      </w:r>
    </w:p>
    <w:p w:rsidR="00525378" w:rsidRPr="00525378" w:rsidRDefault="00525378" w:rsidP="00525378">
      <w:pPr>
        <w:autoSpaceDE w:val="0"/>
        <w:autoSpaceDN w:val="0"/>
        <w:adjustRightInd w:val="0"/>
        <w:spacing w:after="0" w:line="240" w:lineRule="auto"/>
        <w:jc w:val="both"/>
        <w:rPr>
          <w:rFonts w:ascii="Times New Roman" w:hAnsi="Times New Roman" w:cs="Times New Roman"/>
          <w:sz w:val="24"/>
          <w:szCs w:val="24"/>
        </w:rPr>
      </w:pPr>
    </w:p>
    <w:p w:rsidR="00525378" w:rsidRPr="00525378" w:rsidRDefault="00525378" w:rsidP="00525378">
      <w:pPr>
        <w:autoSpaceDE w:val="0"/>
        <w:autoSpaceDN w:val="0"/>
        <w:adjustRightInd w:val="0"/>
        <w:spacing w:after="0" w:line="240" w:lineRule="auto"/>
        <w:jc w:val="both"/>
        <w:rPr>
          <w:rFonts w:ascii="Times New Roman" w:hAnsi="Times New Roman" w:cs="Times New Roman"/>
          <w:sz w:val="24"/>
          <w:szCs w:val="24"/>
        </w:rPr>
      </w:pPr>
      <w:r w:rsidRPr="00525378">
        <w:rPr>
          <w:rFonts w:ascii="Times New Roman" w:hAnsi="Times New Roman" w:cs="Times New Roman"/>
          <w:sz w:val="24"/>
          <w:szCs w:val="24"/>
        </w:rPr>
        <w:t>The sensory panel consisted of a minimum of six trained and experienced members from the institute who were well acquainted with the sensory characteristics of poultry meat. Prior to evaluation, the meat samples were cooked in a water bath at 80 °C for 20 minutes with the addition of common salt at 0.5% of the sample weight to enhance palatability and ensure uniform preparation. After cooking, the samples were cut into small, uniform square-shaped pieces and allowed to equilibrate to room temperature before evaluation.</w:t>
      </w:r>
    </w:p>
    <w:p w:rsidR="00525378" w:rsidRPr="00525378" w:rsidRDefault="00525378" w:rsidP="00525378">
      <w:pPr>
        <w:autoSpaceDE w:val="0"/>
        <w:autoSpaceDN w:val="0"/>
        <w:adjustRightInd w:val="0"/>
        <w:spacing w:after="0" w:line="240" w:lineRule="auto"/>
        <w:jc w:val="both"/>
        <w:rPr>
          <w:rFonts w:ascii="Times New Roman" w:hAnsi="Times New Roman" w:cs="Times New Roman"/>
          <w:sz w:val="24"/>
          <w:szCs w:val="24"/>
        </w:rPr>
      </w:pPr>
    </w:p>
    <w:p w:rsidR="00525378" w:rsidRDefault="00525378" w:rsidP="00525378">
      <w:pPr>
        <w:autoSpaceDE w:val="0"/>
        <w:autoSpaceDN w:val="0"/>
        <w:adjustRightInd w:val="0"/>
        <w:spacing w:after="0" w:line="240" w:lineRule="auto"/>
        <w:jc w:val="both"/>
        <w:rPr>
          <w:rFonts w:ascii="Times New Roman" w:hAnsi="Times New Roman" w:cs="Times New Roman"/>
          <w:sz w:val="24"/>
          <w:szCs w:val="24"/>
        </w:rPr>
      </w:pPr>
      <w:r w:rsidRPr="00525378">
        <w:rPr>
          <w:rFonts w:ascii="Times New Roman" w:hAnsi="Times New Roman" w:cs="Times New Roman"/>
          <w:sz w:val="24"/>
          <w:szCs w:val="24"/>
        </w:rPr>
        <w:t>The coded samples were served individually on clean plates in separate sensory evaluation booths to minimise bias and prevent interference among samples. Panel members evaluated each sample independently, and potable water was provided between successive samples to cleanse the palate and avoid carry-over of sensory impressions. The mean scores assigned by the panel members were used for statistical analysis.</w:t>
      </w:r>
    </w:p>
    <w:p w:rsidR="00525378" w:rsidRDefault="00525378" w:rsidP="00525378">
      <w:pPr>
        <w:autoSpaceDE w:val="0"/>
        <w:autoSpaceDN w:val="0"/>
        <w:adjustRightInd w:val="0"/>
        <w:spacing w:after="0" w:line="240" w:lineRule="auto"/>
        <w:jc w:val="both"/>
        <w:rPr>
          <w:rFonts w:ascii="Times New Roman" w:hAnsi="Times New Roman"/>
          <w:b/>
          <w:sz w:val="24"/>
          <w:szCs w:val="24"/>
        </w:rPr>
      </w:pPr>
    </w:p>
    <w:p w:rsidR="00414A3C" w:rsidRPr="00720C51" w:rsidRDefault="00414A3C" w:rsidP="00525378">
      <w:pPr>
        <w:autoSpaceDE w:val="0"/>
        <w:autoSpaceDN w:val="0"/>
        <w:adjustRightInd w:val="0"/>
        <w:spacing w:after="0" w:line="240" w:lineRule="auto"/>
        <w:jc w:val="both"/>
        <w:rPr>
          <w:rFonts w:ascii="Times New Roman" w:hAnsi="Times New Roman"/>
          <w:b/>
          <w:sz w:val="24"/>
          <w:szCs w:val="24"/>
        </w:rPr>
      </w:pPr>
      <w:r w:rsidRPr="00720C51">
        <w:rPr>
          <w:rFonts w:ascii="Times New Roman" w:hAnsi="Times New Roman"/>
          <w:b/>
          <w:sz w:val="24"/>
          <w:szCs w:val="24"/>
        </w:rPr>
        <w:t>Drip Loss</w:t>
      </w:r>
    </w:p>
    <w:p w:rsidR="00414A3C" w:rsidRPr="00720C51" w:rsidRDefault="00414A3C" w:rsidP="0070107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20C51">
        <w:rPr>
          <w:rFonts w:ascii="Times New Roman" w:hAnsi="Times New Roman"/>
          <w:sz w:val="24"/>
          <w:szCs w:val="24"/>
        </w:rPr>
        <w:t>Drip loss of meat samples were determined as per the AOAC (1995) method from the known weights of before thawing and after thawing and expressed as percentage.</w:t>
      </w:r>
    </w:p>
    <w:p w:rsidR="00414A3C" w:rsidRPr="00720C51" w:rsidRDefault="00414A3C" w:rsidP="00701070">
      <w:pPr>
        <w:autoSpaceDE w:val="0"/>
        <w:autoSpaceDN w:val="0"/>
        <w:adjustRightInd w:val="0"/>
        <w:spacing w:after="0" w:line="240" w:lineRule="auto"/>
        <w:jc w:val="both"/>
        <w:rPr>
          <w:rFonts w:ascii="Times New Roman" w:hAnsi="Times New Roman"/>
          <w:sz w:val="24"/>
          <w:szCs w:val="24"/>
        </w:rPr>
      </w:pPr>
      <w:r w:rsidRPr="00720C51">
        <w:rPr>
          <w:rFonts w:ascii="Times New Roman" w:hAnsi="Times New Roman"/>
          <w:sz w:val="24"/>
          <w:szCs w:val="24"/>
        </w:rPr>
        <w:t xml:space="preserve"> </w:t>
      </w:r>
      <w:r w:rsidRPr="00720C51">
        <w:rPr>
          <w:rFonts w:ascii="Times New Roman" w:hAnsi="Times New Roman"/>
          <w:sz w:val="24"/>
          <w:szCs w:val="24"/>
        </w:rPr>
        <w:tab/>
      </w:r>
      <w:r w:rsidRPr="00720C51">
        <w:rPr>
          <w:rFonts w:ascii="Times New Roman" w:hAnsi="Times New Roman"/>
          <w:sz w:val="24"/>
          <w:szCs w:val="24"/>
        </w:rPr>
        <w:tab/>
      </w:r>
      <w:r w:rsidRPr="00720C51">
        <w:rPr>
          <w:rFonts w:ascii="Times New Roman" w:hAnsi="Times New Roman"/>
          <w:sz w:val="24"/>
          <w:szCs w:val="24"/>
        </w:rPr>
        <w:tab/>
        <w:t xml:space="preserve">     </w:t>
      </w:r>
      <w:r>
        <w:rPr>
          <w:rFonts w:ascii="Times New Roman" w:hAnsi="Times New Roman"/>
          <w:sz w:val="24"/>
          <w:szCs w:val="24"/>
        </w:rPr>
        <w:t xml:space="preserve">    </w:t>
      </w:r>
      <w:r w:rsidRPr="00720C51">
        <w:rPr>
          <w:rFonts w:ascii="Times New Roman" w:hAnsi="Times New Roman"/>
          <w:sz w:val="24"/>
          <w:szCs w:val="24"/>
        </w:rPr>
        <w:t xml:space="preserve">Initial weight of sample – final weight </w:t>
      </w:r>
    </w:p>
    <w:p w:rsidR="00414A3C" w:rsidRPr="00720C51" w:rsidRDefault="00414A3C" w:rsidP="00701070">
      <w:pPr>
        <w:tabs>
          <w:tab w:val="left" w:pos="7272"/>
        </w:tabs>
        <w:autoSpaceDE w:val="0"/>
        <w:autoSpaceDN w:val="0"/>
        <w:adjustRightInd w:val="0"/>
        <w:spacing w:after="0" w:line="240" w:lineRule="auto"/>
        <w:jc w:val="both"/>
        <w:rPr>
          <w:rFonts w:ascii="Times New Roman" w:hAnsi="Times New Roman"/>
          <w:sz w:val="24"/>
          <w:szCs w:val="24"/>
        </w:rPr>
      </w:pPr>
      <w:r>
        <w:rPr>
          <w:noProof/>
          <w:lang w:eastAsia="en-IN" w:bidi="hi-IN"/>
        </w:rPr>
        <mc:AlternateContent>
          <mc:Choice Requires="wps">
            <w:drawing>
              <wp:anchor distT="0" distB="0" distL="114300" distR="114300" simplePos="0" relativeHeight="251663360" behindDoc="0" locked="0" layoutInCell="1" allowOverlap="1" wp14:anchorId="74D87E1A" wp14:editId="306A91E0">
                <wp:simplePos x="0" y="0"/>
                <wp:positionH relativeFrom="column">
                  <wp:posOffset>1539240</wp:posOffset>
                </wp:positionH>
                <wp:positionV relativeFrom="paragraph">
                  <wp:posOffset>76835</wp:posOffset>
                </wp:positionV>
                <wp:extent cx="2895600" cy="15240"/>
                <wp:effectExtent l="5715" t="10160" r="13335"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0" cy="1524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69E8E5"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6.05pt" to="34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" strokeweight=".5pt">
                <v:stroke joinstyle="miter"/>
              </v:line>
            </w:pict>
          </mc:Fallback>
        </mc:AlternateContent>
      </w:r>
      <w:r w:rsidRPr="00720C51">
        <w:rPr>
          <w:rFonts w:ascii="Times New Roman" w:hAnsi="Times New Roman"/>
          <w:sz w:val="24"/>
          <w:szCs w:val="24"/>
        </w:rPr>
        <w:t xml:space="preserve">       % Drip loss = </w:t>
      </w:r>
      <w:r w:rsidRPr="00720C51">
        <w:rPr>
          <w:rFonts w:ascii="Times New Roman" w:hAnsi="Times New Roman"/>
          <w:sz w:val="24"/>
          <w:szCs w:val="24"/>
        </w:rPr>
        <w:tab/>
        <w:t>x 100</w:t>
      </w:r>
    </w:p>
    <w:p w:rsidR="00414A3C" w:rsidRPr="00414A3C" w:rsidRDefault="00414A3C" w:rsidP="00701070">
      <w:pPr>
        <w:autoSpaceDE w:val="0"/>
        <w:autoSpaceDN w:val="0"/>
        <w:adjustRightInd w:val="0"/>
        <w:spacing w:after="0" w:line="240" w:lineRule="auto"/>
        <w:jc w:val="both"/>
        <w:rPr>
          <w:rFonts w:ascii="Times New Roman" w:hAnsi="Times New Roman"/>
          <w:sz w:val="24"/>
          <w:szCs w:val="24"/>
        </w:rPr>
      </w:pPr>
      <w:r w:rsidRPr="00720C51">
        <w:rPr>
          <w:rFonts w:ascii="Times New Roman" w:hAnsi="Times New Roman"/>
          <w:sz w:val="24"/>
          <w:szCs w:val="24"/>
        </w:rPr>
        <w:t xml:space="preserve">                                                    Initial weight </w:t>
      </w:r>
    </w:p>
    <w:p w:rsidR="007C019F" w:rsidRPr="00844FBE" w:rsidRDefault="007C019F" w:rsidP="00701070">
      <w:pPr>
        <w:autoSpaceDE w:val="0"/>
        <w:autoSpaceDN w:val="0"/>
        <w:adjustRightInd w:val="0"/>
        <w:spacing w:line="240" w:lineRule="auto"/>
        <w:jc w:val="both"/>
        <w:rPr>
          <w:rFonts w:ascii="Times New Roman" w:hAnsi="Times New Roman" w:cs="Times New Roman"/>
          <w:sz w:val="24"/>
          <w:szCs w:val="24"/>
        </w:rPr>
      </w:pPr>
      <w:r w:rsidRPr="00E330AE">
        <w:rPr>
          <w:rFonts w:ascii="Times New Roman" w:hAnsi="Times New Roman" w:cs="Times New Roman"/>
          <w:b/>
          <w:sz w:val="24"/>
          <w:szCs w:val="24"/>
        </w:rPr>
        <w:t>STATISTICAL ANALYSIS</w:t>
      </w:r>
    </w:p>
    <w:p w:rsidR="005E7B39" w:rsidRPr="005E7B39" w:rsidRDefault="005E7B39" w:rsidP="005E7B39">
      <w:pPr>
        <w:autoSpaceDE w:val="0"/>
        <w:autoSpaceDN w:val="0"/>
        <w:adjustRightInd w:val="0"/>
        <w:spacing w:line="240" w:lineRule="auto"/>
        <w:jc w:val="both"/>
        <w:rPr>
          <w:rFonts w:ascii="Times New Roman" w:hAnsi="Times New Roman" w:cs="Times New Roman"/>
          <w:color w:val="0D0D0D"/>
          <w:sz w:val="24"/>
          <w:szCs w:val="24"/>
        </w:rPr>
      </w:pPr>
      <w:r w:rsidRPr="005E7B39">
        <w:rPr>
          <w:rFonts w:ascii="Times New Roman" w:hAnsi="Times New Roman" w:cs="Times New Roman"/>
          <w:color w:val="0D0D0D"/>
          <w:sz w:val="24"/>
          <w:szCs w:val="24"/>
        </w:rPr>
        <w:t>The data generated in the present study for carcass characteristics and various meat quality parameters were compiled and analysed using the SPSS statistical software package. The experimental data were subjected to analysis of variance (one-way ANOVA) to evaluate the effects of different chicken varieties and storage conditions on the measured parameters.</w:t>
      </w:r>
    </w:p>
    <w:p w:rsidR="005E7B39" w:rsidRPr="005E7B39" w:rsidRDefault="005E7B39" w:rsidP="005E7B39">
      <w:pPr>
        <w:autoSpaceDE w:val="0"/>
        <w:autoSpaceDN w:val="0"/>
        <w:adjustRightInd w:val="0"/>
        <w:spacing w:line="240" w:lineRule="auto"/>
        <w:jc w:val="both"/>
        <w:rPr>
          <w:rFonts w:ascii="Times New Roman" w:hAnsi="Times New Roman" w:cs="Times New Roman"/>
          <w:color w:val="0D0D0D"/>
          <w:sz w:val="24"/>
          <w:szCs w:val="24"/>
        </w:rPr>
      </w:pPr>
    </w:p>
    <w:p w:rsidR="005E7B39" w:rsidRDefault="005E7B39" w:rsidP="005E7B39">
      <w:pPr>
        <w:autoSpaceDE w:val="0"/>
        <w:autoSpaceDN w:val="0"/>
        <w:adjustRightInd w:val="0"/>
        <w:spacing w:line="240" w:lineRule="auto"/>
        <w:jc w:val="both"/>
        <w:rPr>
          <w:rFonts w:ascii="Times New Roman" w:hAnsi="Times New Roman" w:cs="Times New Roman"/>
          <w:color w:val="0D0D0D"/>
          <w:sz w:val="24"/>
          <w:szCs w:val="24"/>
        </w:rPr>
      </w:pPr>
      <w:r w:rsidRPr="005E7B39">
        <w:rPr>
          <w:rFonts w:ascii="Times New Roman" w:hAnsi="Times New Roman" w:cs="Times New Roman"/>
          <w:color w:val="0D0D0D"/>
          <w:sz w:val="24"/>
          <w:szCs w:val="24"/>
        </w:rPr>
        <w:t>Post hoc comparisons of treatment means were performed using the least significant difference (LSD) test and Duncan’s multiple range test in order to identify significant differences among groups. Differences between means were considered statistically significant at the 5% probability level (P &lt; 0.05). The results are presented as mean values with corresponding measures of variation where appropriate.</w:t>
      </w:r>
    </w:p>
    <w:p w:rsidR="0009160E" w:rsidRPr="00844FBE" w:rsidRDefault="0009160E" w:rsidP="005E7B39">
      <w:pPr>
        <w:autoSpaceDE w:val="0"/>
        <w:autoSpaceDN w:val="0"/>
        <w:adjustRightInd w:val="0"/>
        <w:spacing w:line="240" w:lineRule="auto"/>
        <w:jc w:val="both"/>
        <w:rPr>
          <w:rFonts w:ascii="Times New Roman" w:hAnsi="Times New Roman" w:cs="Times New Roman"/>
          <w:b/>
          <w:color w:val="0D0D0D"/>
          <w:sz w:val="24"/>
          <w:szCs w:val="24"/>
        </w:rPr>
      </w:pPr>
      <w:r w:rsidRPr="00844FBE">
        <w:rPr>
          <w:rFonts w:ascii="Times New Roman" w:hAnsi="Times New Roman" w:cs="Times New Roman"/>
          <w:b/>
          <w:color w:val="0D0D0D"/>
          <w:sz w:val="24"/>
          <w:szCs w:val="24"/>
        </w:rPr>
        <w:t xml:space="preserve">RESULTS </w:t>
      </w:r>
      <w:r w:rsidR="00ED0DFD">
        <w:rPr>
          <w:rFonts w:ascii="Times New Roman" w:hAnsi="Times New Roman" w:cs="Times New Roman"/>
          <w:b/>
          <w:color w:val="0D0D0D"/>
          <w:sz w:val="24"/>
          <w:szCs w:val="24"/>
        </w:rPr>
        <w:t>AND DISCUSSION</w:t>
      </w:r>
    </w:p>
    <w:p w:rsidR="00AF5B19" w:rsidRPr="00AF5B19" w:rsidRDefault="00AF5B19" w:rsidP="00701070">
      <w:pPr>
        <w:pStyle w:val="Default"/>
        <w:jc w:val="both"/>
        <w:rPr>
          <w:b/>
          <w:bCs/>
        </w:rPr>
      </w:pPr>
      <w:r w:rsidRPr="00A844B7">
        <w:rPr>
          <w:b/>
          <w:bCs/>
        </w:rPr>
        <w:t>p</w:t>
      </w:r>
      <w:r w:rsidRPr="00A844B7">
        <w:rPr>
          <w:b/>
          <w:bCs/>
          <w:vertAlign w:val="superscript"/>
        </w:rPr>
        <w:t>H</w:t>
      </w:r>
    </w:p>
    <w:p w:rsidR="00103EFB" w:rsidRDefault="00CB3FE0" w:rsidP="00701070">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F5B19">
        <w:rPr>
          <w:rFonts w:ascii="Times New Roman" w:hAnsi="Times New Roman"/>
          <w:sz w:val="24"/>
          <w:szCs w:val="24"/>
        </w:rPr>
        <w:t>There was no significant (P&gt;0.05) difference in mean ± SE values for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between meat of Vanaraja and Indbro birds on 6, and 18 days of super chilling and 30, and 60 days of freezing storage conditions. However, the p</w:t>
      </w:r>
      <w:r w:rsidR="00AF5B19" w:rsidRPr="008234D2">
        <w:rPr>
          <w:rFonts w:ascii="Times New Roman" w:hAnsi="Times New Roman"/>
          <w:sz w:val="24"/>
          <w:szCs w:val="24"/>
          <w:vertAlign w:val="superscript"/>
        </w:rPr>
        <w:t>H</w:t>
      </w:r>
      <w:r w:rsidR="00A30428">
        <w:rPr>
          <w:rFonts w:ascii="Times New Roman" w:hAnsi="Times New Roman"/>
          <w:sz w:val="24"/>
          <w:szCs w:val="24"/>
        </w:rPr>
        <w:t xml:space="preserve"> values for</w:t>
      </w:r>
      <w:r w:rsidR="00AF5B19">
        <w:rPr>
          <w:rFonts w:ascii="Times New Roman" w:hAnsi="Times New Roman"/>
          <w:sz w:val="24"/>
          <w:szCs w:val="24"/>
        </w:rPr>
        <w:t xml:space="preserve"> meat of Vanaraja (5.84± 0.01) and Indbro (5.80± 0.01) birds differed significantly (P&gt;0.05) on 12 days of super chilling. Further, the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values of Commercial broilers meat were significantly (P&lt;0.05) different from other groups during entire storage period. Irrespective of storage conditions, the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values of meat of different group of birds decreased gradually with storage time.</w:t>
      </w:r>
      <w:r w:rsidR="00E35CAD">
        <w:rPr>
          <w:rFonts w:ascii="Times New Roman" w:hAnsi="Times New Roman"/>
          <w:sz w:val="24"/>
          <w:szCs w:val="24"/>
        </w:rPr>
        <w:t xml:space="preserve"> </w:t>
      </w:r>
      <w:r w:rsidR="00E35CAD" w:rsidRPr="0095573E">
        <w:rPr>
          <w:rFonts w:ascii="Times New Roman" w:hAnsi="Times New Roman"/>
          <w:color w:val="000000" w:themeColor="text1"/>
          <w:sz w:val="24"/>
          <w:szCs w:val="24"/>
        </w:rPr>
        <w:t>In the present study</w:t>
      </w:r>
      <w:r w:rsidR="00E35CAD">
        <w:rPr>
          <w:rFonts w:ascii="Times New Roman" w:hAnsi="Times New Roman"/>
          <w:color w:val="000000" w:themeColor="text1"/>
          <w:sz w:val="24"/>
          <w:szCs w:val="24"/>
        </w:rPr>
        <w:t>,</w:t>
      </w:r>
      <w:r w:rsidR="00E35CAD" w:rsidRPr="0095573E">
        <w:rPr>
          <w:rFonts w:ascii="Times New Roman" w:hAnsi="Times New Roman"/>
          <w:color w:val="000000" w:themeColor="text1"/>
          <w:sz w:val="24"/>
          <w:szCs w:val="24"/>
        </w:rPr>
        <w:t xml:space="preserve"> the p</w:t>
      </w:r>
      <w:r w:rsidR="00E35CAD" w:rsidRPr="00650736">
        <w:rPr>
          <w:rFonts w:ascii="Times New Roman" w:hAnsi="Times New Roman"/>
          <w:color w:val="000000" w:themeColor="text1"/>
          <w:sz w:val="24"/>
          <w:szCs w:val="24"/>
          <w:vertAlign w:val="superscript"/>
        </w:rPr>
        <w:t>H</w:t>
      </w:r>
      <w:r w:rsidR="00E35CAD" w:rsidRPr="0095573E">
        <w:rPr>
          <w:rFonts w:ascii="Times New Roman" w:hAnsi="Times New Roman"/>
          <w:color w:val="000000" w:themeColor="text1"/>
          <w:sz w:val="24"/>
          <w:szCs w:val="24"/>
        </w:rPr>
        <w:t xml:space="preserve"> values decreased with the increa</w:t>
      </w:r>
      <w:r w:rsidR="00E35CAD">
        <w:rPr>
          <w:rFonts w:ascii="Times New Roman" w:hAnsi="Times New Roman"/>
          <w:color w:val="000000" w:themeColor="text1"/>
          <w:sz w:val="24"/>
          <w:szCs w:val="24"/>
        </w:rPr>
        <w:t xml:space="preserve">sed duration </w:t>
      </w:r>
      <w:r w:rsidR="00E35CAD" w:rsidRPr="00D529E8">
        <w:rPr>
          <w:rFonts w:ascii="Times New Roman" w:hAnsi="Times New Roman"/>
          <w:sz w:val="24"/>
          <w:szCs w:val="24"/>
        </w:rPr>
        <w:t xml:space="preserve">of frozen storage. This is in agreement with </w:t>
      </w:r>
      <w:r w:rsidR="00E35CAD" w:rsidRPr="00D529E8">
        <w:rPr>
          <w:rFonts w:ascii="Times New Roman" w:hAnsi="Times New Roman"/>
          <w:sz w:val="24"/>
          <w:szCs w:val="24"/>
        </w:rPr>
        <w:lastRenderedPageBreak/>
        <w:t xml:space="preserve">the findings of Leygonie </w:t>
      </w:r>
      <w:r w:rsidR="00E35CAD" w:rsidRPr="00D529E8">
        <w:rPr>
          <w:rFonts w:ascii="Times New Roman" w:hAnsi="Times New Roman"/>
          <w:i/>
          <w:sz w:val="24"/>
          <w:szCs w:val="24"/>
        </w:rPr>
        <w:t>et al</w:t>
      </w:r>
      <w:r w:rsidR="00E35CAD" w:rsidRPr="00D529E8">
        <w:rPr>
          <w:rFonts w:ascii="Times New Roman" w:hAnsi="Times New Roman"/>
          <w:sz w:val="24"/>
          <w:szCs w:val="24"/>
        </w:rPr>
        <w:t>. (2012), who</w:t>
      </w:r>
      <w:r w:rsidR="00E35CAD" w:rsidRPr="0095573E">
        <w:rPr>
          <w:rFonts w:ascii="Times New Roman" w:hAnsi="Times New Roman"/>
          <w:color w:val="000000" w:themeColor="text1"/>
          <w:sz w:val="24"/>
          <w:szCs w:val="24"/>
        </w:rPr>
        <w:t xml:space="preserve"> reported that if the storage conditions were proper for freezing</w:t>
      </w:r>
      <w:r w:rsidR="00E35CAD">
        <w:rPr>
          <w:rFonts w:ascii="Times New Roman" w:hAnsi="Times New Roman"/>
          <w:color w:val="000000" w:themeColor="text1"/>
          <w:sz w:val="24"/>
          <w:szCs w:val="24"/>
        </w:rPr>
        <w:t>,</w:t>
      </w:r>
      <w:r w:rsidR="00E35CAD" w:rsidRPr="0095573E">
        <w:rPr>
          <w:rFonts w:ascii="Times New Roman" w:hAnsi="Times New Roman"/>
          <w:color w:val="000000" w:themeColor="text1"/>
          <w:sz w:val="24"/>
          <w:szCs w:val="24"/>
        </w:rPr>
        <w:t xml:space="preserve"> the p</w:t>
      </w:r>
      <w:r w:rsidR="00E35CAD" w:rsidRPr="00650736">
        <w:rPr>
          <w:rFonts w:ascii="Times New Roman" w:hAnsi="Times New Roman"/>
          <w:color w:val="000000" w:themeColor="text1"/>
          <w:sz w:val="24"/>
          <w:szCs w:val="24"/>
          <w:vertAlign w:val="superscript"/>
        </w:rPr>
        <w:t>H</w:t>
      </w:r>
      <w:r w:rsidR="00E35CAD" w:rsidRPr="0095573E">
        <w:rPr>
          <w:rFonts w:ascii="Times New Roman" w:hAnsi="Times New Roman"/>
          <w:color w:val="000000" w:themeColor="text1"/>
          <w:sz w:val="24"/>
          <w:szCs w:val="24"/>
        </w:rPr>
        <w:t xml:space="preserve"> of broiler chicken breast meat decreased with increasing storage duration, which is attributable to the loss of water with its associated soluble substances, the progressing process of glycogenolysis, and the accumulation of acidic products</w:t>
      </w:r>
      <w:r w:rsidR="00E35CAD">
        <w:rPr>
          <w:rFonts w:ascii="Times New Roman" w:hAnsi="Times New Roman"/>
          <w:color w:val="000000" w:themeColor="text1"/>
          <w:sz w:val="24"/>
          <w:szCs w:val="24"/>
        </w:rPr>
        <w:t>.</w:t>
      </w:r>
      <w:r w:rsidR="002A19F0" w:rsidRPr="002A19F0">
        <w:rPr>
          <w:rFonts w:ascii="Times New Roman" w:hAnsi="Times New Roman"/>
          <w:sz w:val="24"/>
          <w:szCs w:val="24"/>
        </w:rPr>
        <w:t xml:space="preserve"> </w:t>
      </w:r>
      <w:r w:rsidR="002A19F0">
        <w:rPr>
          <w:rFonts w:ascii="Times New Roman" w:hAnsi="Times New Roman"/>
          <w:sz w:val="24"/>
          <w:szCs w:val="24"/>
        </w:rPr>
        <w:t xml:space="preserve">The results of present study are in line with the Khan </w:t>
      </w:r>
      <w:r w:rsidR="002A19F0" w:rsidRPr="00B33EE3">
        <w:rPr>
          <w:rFonts w:ascii="Times New Roman" w:hAnsi="Times New Roman"/>
          <w:i/>
          <w:sz w:val="24"/>
          <w:szCs w:val="24"/>
        </w:rPr>
        <w:t>et al.</w:t>
      </w:r>
      <w:r w:rsidR="002A19F0">
        <w:rPr>
          <w:rFonts w:ascii="Times New Roman" w:hAnsi="Times New Roman"/>
          <w:sz w:val="24"/>
          <w:szCs w:val="24"/>
        </w:rPr>
        <w:t xml:space="preserve"> (2019); Xiong </w:t>
      </w:r>
      <w:r w:rsidR="002A19F0" w:rsidRPr="00B33EE3">
        <w:rPr>
          <w:rFonts w:ascii="Times New Roman" w:hAnsi="Times New Roman"/>
          <w:i/>
          <w:sz w:val="24"/>
          <w:szCs w:val="24"/>
        </w:rPr>
        <w:t>et al</w:t>
      </w:r>
      <w:r w:rsidR="002A19F0">
        <w:rPr>
          <w:rFonts w:ascii="Times New Roman" w:hAnsi="Times New Roman"/>
          <w:sz w:val="24"/>
          <w:szCs w:val="24"/>
        </w:rPr>
        <w:t xml:space="preserve">. (1993); Fernandez </w:t>
      </w:r>
      <w:r w:rsidR="002A19F0" w:rsidRPr="00B33EE3">
        <w:rPr>
          <w:rFonts w:ascii="Times New Roman" w:hAnsi="Times New Roman"/>
          <w:i/>
          <w:sz w:val="24"/>
          <w:szCs w:val="24"/>
        </w:rPr>
        <w:t>et al</w:t>
      </w:r>
      <w:r w:rsidR="002A19F0">
        <w:rPr>
          <w:rFonts w:ascii="Times New Roman" w:hAnsi="Times New Roman"/>
          <w:sz w:val="24"/>
          <w:szCs w:val="24"/>
        </w:rPr>
        <w:t xml:space="preserve">. (2002), who found significant differences in the ultimate </w:t>
      </w:r>
      <w:r w:rsidR="002A19F0" w:rsidRPr="008F46A1">
        <w:rPr>
          <w:rFonts w:ascii="Times New Roman" w:hAnsi="Times New Roman"/>
          <w:sz w:val="24"/>
          <w:szCs w:val="24"/>
        </w:rPr>
        <w:t>p</w:t>
      </w:r>
      <w:r w:rsidR="002A19F0" w:rsidRPr="00650736">
        <w:rPr>
          <w:rFonts w:ascii="Times New Roman" w:hAnsi="Times New Roman"/>
          <w:sz w:val="24"/>
          <w:szCs w:val="24"/>
          <w:vertAlign w:val="superscript"/>
        </w:rPr>
        <w:t>H</w:t>
      </w:r>
      <w:r w:rsidR="002A19F0">
        <w:rPr>
          <w:rFonts w:ascii="Times New Roman" w:hAnsi="Times New Roman"/>
          <w:sz w:val="24"/>
          <w:szCs w:val="24"/>
        </w:rPr>
        <w:t xml:space="preserve"> among different genotypes of chicken. Similarly, Debut </w:t>
      </w:r>
      <w:r w:rsidR="002A19F0" w:rsidRPr="007303C8">
        <w:rPr>
          <w:rFonts w:ascii="Times New Roman" w:hAnsi="Times New Roman"/>
          <w:i/>
          <w:sz w:val="24"/>
          <w:szCs w:val="24"/>
        </w:rPr>
        <w:t>et al</w:t>
      </w:r>
      <w:r w:rsidR="002A19F0">
        <w:rPr>
          <w:rFonts w:ascii="Times New Roman" w:hAnsi="Times New Roman"/>
          <w:sz w:val="24"/>
          <w:szCs w:val="24"/>
        </w:rPr>
        <w:t xml:space="preserve">. (2003) reported that the rate of </w:t>
      </w:r>
      <w:r w:rsidR="002A19F0" w:rsidRPr="008F46A1">
        <w:rPr>
          <w:rFonts w:ascii="Times New Roman" w:hAnsi="Times New Roman"/>
          <w:sz w:val="24"/>
          <w:szCs w:val="24"/>
        </w:rPr>
        <w:t>p</w:t>
      </w:r>
      <w:r w:rsidR="002A19F0" w:rsidRPr="00650736">
        <w:rPr>
          <w:rFonts w:ascii="Times New Roman" w:hAnsi="Times New Roman"/>
          <w:sz w:val="24"/>
          <w:szCs w:val="24"/>
          <w:vertAlign w:val="superscript"/>
        </w:rPr>
        <w:t>H</w:t>
      </w:r>
      <w:r w:rsidR="002A19F0">
        <w:rPr>
          <w:rFonts w:ascii="Times New Roman" w:hAnsi="Times New Roman"/>
          <w:sz w:val="24"/>
          <w:szCs w:val="24"/>
        </w:rPr>
        <w:t xml:space="preserve"> decline of slow growing chicken is faster than in fast growing chicken. </w:t>
      </w:r>
    </w:p>
    <w:p w:rsidR="00754884" w:rsidRDefault="00A30428" w:rsidP="0070107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54884" w:rsidRPr="00B94DF7">
        <w:rPr>
          <w:rFonts w:ascii="Times New Roman" w:hAnsi="Times New Roman" w:cs="Times New Roman"/>
          <w:sz w:val="24"/>
          <w:szCs w:val="24"/>
        </w:rPr>
        <w:t>The meat samples (breast and thighs) of all the group of birds preserved under the super chilling condition spoiled on 24 days of storage</w:t>
      </w:r>
      <w:r w:rsidR="00972233">
        <w:rPr>
          <w:rFonts w:ascii="Times New Roman" w:hAnsi="Times New Roman" w:cs="Times New Roman"/>
          <w:sz w:val="24"/>
          <w:szCs w:val="24"/>
        </w:rPr>
        <w:t>.</w:t>
      </w:r>
    </w:p>
    <w:p w:rsidR="00DF36A4" w:rsidRPr="00DF36A4" w:rsidRDefault="00157A35" w:rsidP="00DF36A4">
      <w:pPr>
        <w:tabs>
          <w:tab w:val="left" w:pos="2712"/>
        </w:tabs>
        <w:spacing w:after="0" w:line="240" w:lineRule="auto"/>
        <w:ind w:right="350"/>
        <w:jc w:val="both"/>
        <w:rPr>
          <w:rFonts w:ascii="Times New Roman" w:hAnsi="Times New Roman"/>
          <w:b/>
          <w:sz w:val="24"/>
          <w:szCs w:val="24"/>
        </w:rPr>
      </w:pPr>
      <w:r>
        <w:rPr>
          <w:rFonts w:ascii="Times New Roman" w:hAnsi="Times New Roman"/>
          <w:b/>
          <w:sz w:val="24"/>
          <w:szCs w:val="24"/>
        </w:rPr>
        <w:t xml:space="preserve">Table 1. </w:t>
      </w:r>
      <w:r w:rsidR="00DF36A4">
        <w:rPr>
          <w:rFonts w:ascii="Times New Roman" w:hAnsi="Times New Roman"/>
          <w:b/>
          <w:sz w:val="24"/>
          <w:szCs w:val="24"/>
        </w:rPr>
        <w:t>P</w:t>
      </w:r>
      <w:r w:rsidR="00DF36A4">
        <w:rPr>
          <w:rFonts w:ascii="Times New Roman" w:hAnsi="Times New Roman"/>
          <w:b/>
          <w:sz w:val="24"/>
          <w:szCs w:val="24"/>
          <w:vertAlign w:val="superscript"/>
        </w:rPr>
        <w:t>H</w:t>
      </w:r>
      <w:r w:rsidR="00DF36A4">
        <w:rPr>
          <w:rFonts w:ascii="Times New Roman" w:hAnsi="Times New Roman"/>
          <w:b/>
          <w:sz w:val="24"/>
          <w:szCs w:val="24"/>
        </w:rPr>
        <w:t>,TBARS, WHC &amp; S</w:t>
      </w:r>
      <w:r w:rsidR="00DF36A4" w:rsidRPr="003C097F">
        <w:rPr>
          <w:rFonts w:ascii="Times New Roman" w:hAnsi="Times New Roman"/>
          <w:b/>
          <w:sz w:val="24"/>
          <w:szCs w:val="24"/>
        </w:rPr>
        <w:t xml:space="preserve">hear force </w:t>
      </w:r>
      <w:r w:rsidR="00DF36A4">
        <w:rPr>
          <w:rFonts w:ascii="Times New Roman" w:hAnsi="Times New Roman"/>
          <w:b/>
          <w:sz w:val="24"/>
          <w:szCs w:val="24"/>
        </w:rPr>
        <w:t>values of Vanaraja, Indbro, and C</w:t>
      </w:r>
      <w:r w:rsidR="00DF36A4" w:rsidRPr="003C097F">
        <w:rPr>
          <w:rFonts w:ascii="Times New Roman" w:hAnsi="Times New Roman"/>
          <w:b/>
          <w:sz w:val="24"/>
          <w:szCs w:val="24"/>
        </w:rPr>
        <w:t>ommercial broiler chicken preserved at super</w:t>
      </w:r>
      <w:r w:rsidR="00DF36A4">
        <w:rPr>
          <w:rFonts w:ascii="Times New Roman" w:hAnsi="Times New Roman"/>
          <w:b/>
          <w:sz w:val="24"/>
          <w:szCs w:val="24"/>
        </w:rPr>
        <w:t xml:space="preserve"> chilled, and </w:t>
      </w:r>
      <w:r w:rsidR="00DF36A4" w:rsidRPr="003C097F">
        <w:rPr>
          <w:rFonts w:ascii="Times New Roman" w:hAnsi="Times New Roman"/>
          <w:b/>
          <w:sz w:val="24"/>
          <w:szCs w:val="24"/>
        </w:rPr>
        <w:t>frozen storage conditions</w:t>
      </w:r>
      <w:r w:rsidR="00DF36A4">
        <w:rPr>
          <w:rFonts w:ascii="Times New Roman" w:hAnsi="Times New Roman"/>
          <w:b/>
          <w:sz w:val="24"/>
          <w:szCs w:val="24"/>
        </w:rPr>
        <w:t xml:space="preserve"> (</w:t>
      </w:r>
      <w:r w:rsidR="00DF36A4" w:rsidRPr="003C097F">
        <w:rPr>
          <w:rFonts w:ascii="Times New Roman" w:hAnsi="Times New Roman"/>
          <w:b/>
          <w:sz w:val="24"/>
          <w:szCs w:val="24"/>
        </w:rPr>
        <w:t>Mean ± SE</w:t>
      </w:r>
      <w:r w:rsidR="00DF36A4">
        <w:rPr>
          <w:rFonts w:ascii="Times New Roman" w:hAnsi="Times New Roman"/>
          <w:b/>
          <w:sz w:val="24"/>
          <w:szCs w:val="24"/>
        </w:rPr>
        <w:t>).</w:t>
      </w:r>
    </w:p>
    <w:tbl>
      <w:tblPr>
        <w:tblStyle w:val="TableGrid"/>
        <w:tblW w:w="9295" w:type="dxa"/>
        <w:tblInd w:w="-5" w:type="dxa"/>
        <w:tblLook w:val="04A0" w:firstRow="1" w:lastRow="0" w:firstColumn="1" w:lastColumn="0" w:noHBand="0" w:noVBand="1"/>
      </w:tblPr>
      <w:tblGrid>
        <w:gridCol w:w="1309"/>
        <w:gridCol w:w="1305"/>
        <w:gridCol w:w="1264"/>
        <w:gridCol w:w="1758"/>
        <w:gridCol w:w="1935"/>
        <w:gridCol w:w="1724"/>
      </w:tblGrid>
      <w:tr w:rsidR="008A55F3" w:rsidTr="00870BE1">
        <w:trPr>
          <w:trHeight w:val="464"/>
        </w:trPr>
        <w:tc>
          <w:tcPr>
            <w:tcW w:w="1270" w:type="dxa"/>
            <w:vMerge w:val="restart"/>
          </w:tcPr>
          <w:p w:rsidR="008A55F3" w:rsidRPr="00434017" w:rsidRDefault="008A55F3" w:rsidP="00434017">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2588" w:type="dxa"/>
            <w:gridSpan w:val="2"/>
            <w:vMerge w:val="restart"/>
          </w:tcPr>
          <w:p w:rsidR="008A55F3" w:rsidRPr="00434017" w:rsidRDefault="008A55F3" w:rsidP="00434017">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5437" w:type="dxa"/>
            <w:gridSpan w:val="3"/>
          </w:tcPr>
          <w:p w:rsidR="008A55F3" w:rsidRPr="00434017" w:rsidRDefault="008A55F3" w:rsidP="00434017">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8A55F3" w:rsidTr="00870BE1">
        <w:trPr>
          <w:trHeight w:val="649"/>
        </w:trPr>
        <w:tc>
          <w:tcPr>
            <w:tcW w:w="1270" w:type="dxa"/>
            <w:vMerge/>
          </w:tcPr>
          <w:p w:rsidR="008A55F3" w:rsidRPr="00434017" w:rsidRDefault="008A55F3" w:rsidP="008A55F3">
            <w:pPr>
              <w:jc w:val="center"/>
              <w:rPr>
                <w:rFonts w:ascii="Times New Roman" w:hAnsi="Times New Roman" w:cs="Times New Roman"/>
                <w:b/>
                <w:bCs/>
                <w:sz w:val="24"/>
                <w:szCs w:val="24"/>
              </w:rPr>
            </w:pPr>
          </w:p>
        </w:tc>
        <w:tc>
          <w:tcPr>
            <w:tcW w:w="2588" w:type="dxa"/>
            <w:gridSpan w:val="2"/>
            <w:vMerge/>
          </w:tcPr>
          <w:p w:rsidR="008A55F3" w:rsidRPr="00434017" w:rsidRDefault="008A55F3" w:rsidP="008A55F3">
            <w:pPr>
              <w:jc w:val="center"/>
              <w:rPr>
                <w:rFonts w:ascii="Times New Roman" w:hAnsi="Times New Roman" w:cs="Times New Roman"/>
                <w:b/>
                <w:bCs/>
                <w:sz w:val="24"/>
                <w:szCs w:val="24"/>
              </w:rPr>
            </w:pPr>
          </w:p>
        </w:tc>
        <w:tc>
          <w:tcPr>
            <w:tcW w:w="1763" w:type="dxa"/>
          </w:tcPr>
          <w:p w:rsidR="008A55F3" w:rsidRPr="00434017" w:rsidRDefault="008A55F3" w:rsidP="008A55F3">
            <w:pPr>
              <w:jc w:val="center"/>
              <w:rPr>
                <w:rFonts w:ascii="Times New Roman" w:hAnsi="Times New Roman" w:cs="Times New Roman"/>
                <w:b/>
                <w:bCs/>
                <w:sz w:val="24"/>
                <w:szCs w:val="24"/>
              </w:rPr>
            </w:pPr>
            <w:r w:rsidRPr="00434017">
              <w:rPr>
                <w:rFonts w:ascii="Times New Roman" w:hAnsi="Times New Roman" w:cs="Times New Roman"/>
                <w:b/>
                <w:bCs/>
                <w:sz w:val="24"/>
                <w:szCs w:val="24"/>
              </w:rPr>
              <w:t>Vanaraja</w:t>
            </w:r>
          </w:p>
        </w:tc>
        <w:tc>
          <w:tcPr>
            <w:tcW w:w="1946" w:type="dxa"/>
          </w:tcPr>
          <w:p w:rsidR="008A55F3" w:rsidRPr="00434017" w:rsidRDefault="008A55F3" w:rsidP="008A55F3">
            <w:pPr>
              <w:jc w:val="center"/>
              <w:rPr>
                <w:rFonts w:ascii="Times New Roman" w:hAnsi="Times New Roman" w:cs="Times New Roman"/>
                <w:b/>
                <w:bCs/>
                <w:sz w:val="24"/>
                <w:szCs w:val="24"/>
              </w:rPr>
            </w:pPr>
            <w:r w:rsidRPr="00434017">
              <w:rPr>
                <w:rFonts w:ascii="Times New Roman" w:hAnsi="Times New Roman" w:cs="Times New Roman"/>
                <w:b/>
                <w:bCs/>
                <w:sz w:val="24"/>
                <w:szCs w:val="24"/>
              </w:rPr>
              <w:t>Indbro</w:t>
            </w:r>
          </w:p>
        </w:tc>
        <w:tc>
          <w:tcPr>
            <w:tcW w:w="1728" w:type="dxa"/>
          </w:tcPr>
          <w:p w:rsidR="008A55F3" w:rsidRPr="00434017" w:rsidRDefault="008A55F3" w:rsidP="008A55F3">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142F2A" w:rsidTr="00870BE1">
        <w:trPr>
          <w:trHeight w:val="376"/>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PH</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5.93±0.02</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aD</w:t>
            </w:r>
            <w:proofErr w:type="spellEnd"/>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5.93±0.03</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6.05±0.02</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bD</w:t>
            </w:r>
            <w:proofErr w:type="spellEnd"/>
          </w:p>
        </w:tc>
      </w:tr>
      <w:tr w:rsidR="00142F2A" w:rsidTr="00870BE1">
        <w:trPr>
          <w:trHeight w:val="393"/>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5.84±0.01</w:t>
            </w:r>
            <m:oMath>
              <m:r>
                <w:rPr>
                  <w:rFonts w:ascii="Cambria Math" w:hAnsi="Cambria Math"/>
                  <w:sz w:val="24"/>
                  <w:szCs w:val="24"/>
                </w:rPr>
                <m:t xml:space="preserve"> </m:t>
              </m:r>
            </m:oMath>
            <w:r w:rsidRPr="00B16C8E">
              <w:rPr>
                <w:rFonts w:ascii="Times New Roman" w:hAnsi="Times New Roman"/>
                <w:sz w:val="24"/>
                <w:szCs w:val="24"/>
                <w:vertAlign w:val="superscript"/>
              </w:rPr>
              <w:t>bC</w:t>
            </w:r>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5.80±0.00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aBC</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5.89±0.01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cC</w:t>
            </w:r>
            <w:proofErr w:type="spellEnd"/>
          </w:p>
        </w:tc>
      </w:tr>
      <w:tr w:rsidR="00142F2A" w:rsidTr="00870BE1">
        <w:trPr>
          <w:trHeight w:val="296"/>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5.82±0.00</w:t>
            </w:r>
            <m:oMath>
              <m:r>
                <w:rPr>
                  <w:rFonts w:ascii="Cambria Math" w:hAnsi="Cambria Math"/>
                  <w:sz w:val="24"/>
                  <w:szCs w:val="24"/>
                </w:rPr>
                <m:t xml:space="preserve"> </m:t>
              </m:r>
            </m:oMath>
            <w:r>
              <w:rPr>
                <w:rFonts w:ascii="Times New Roman" w:hAnsi="Times New Roman"/>
                <w:sz w:val="24"/>
                <w:szCs w:val="24"/>
              </w:rPr>
              <w:t xml:space="preserve"> </w:t>
            </w:r>
            <w:proofErr w:type="spellStart"/>
            <w:r w:rsidRPr="00B16C8E">
              <w:rPr>
                <w:rFonts w:ascii="Times New Roman" w:hAnsi="Times New Roman"/>
                <w:sz w:val="24"/>
                <w:szCs w:val="24"/>
                <w:vertAlign w:val="superscript"/>
              </w:rPr>
              <w:t>aBC</w:t>
            </w:r>
            <w:proofErr w:type="spellEnd"/>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5.83±0.01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aC</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5.87±0.01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bBC</w:t>
            </w:r>
            <w:proofErr w:type="spellEnd"/>
          </w:p>
        </w:tc>
      </w:tr>
      <w:tr w:rsidR="00142F2A" w:rsidTr="00870BE1">
        <w:trPr>
          <w:trHeight w:val="135"/>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5.77±0.00</w:t>
            </w:r>
            <m:oMath>
              <m:r>
                <w:rPr>
                  <w:rFonts w:ascii="Cambria Math" w:hAnsi="Cambria Math"/>
                  <w:sz w:val="24"/>
                  <w:szCs w:val="24"/>
                </w:rPr>
                <m:t xml:space="preserve"> </m:t>
              </m:r>
            </m:oMath>
            <w:r>
              <w:rPr>
                <w:rFonts w:ascii="Times New Roman" w:hAnsi="Times New Roman"/>
                <w:sz w:val="24"/>
                <w:szCs w:val="24"/>
              </w:rPr>
              <w:t xml:space="preserve"> </w:t>
            </w:r>
            <w:proofErr w:type="spellStart"/>
            <w:r w:rsidRPr="00B16C8E">
              <w:rPr>
                <w:rFonts w:ascii="Times New Roman" w:hAnsi="Times New Roman"/>
                <w:sz w:val="24"/>
                <w:szCs w:val="24"/>
                <w:vertAlign w:val="superscript"/>
              </w:rPr>
              <w:t>aAB</w:t>
            </w:r>
            <w:proofErr w:type="spellEnd"/>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5.76±0.01</w:t>
            </w:r>
            <w:r w:rsidRPr="00B16C8E">
              <w:rPr>
                <w:rFonts w:ascii="Times New Roman" w:hAnsi="Times New Roman"/>
                <w:sz w:val="24"/>
                <w:szCs w:val="24"/>
                <w:vertAlign w:val="superscript"/>
              </w:rPr>
              <w:t xml:space="preserve"> </w:t>
            </w:r>
            <w:proofErr w:type="spellStart"/>
            <w:r>
              <w:rPr>
                <w:rFonts w:ascii="Times New Roman" w:hAnsi="Times New Roman"/>
                <w:sz w:val="24"/>
                <w:szCs w:val="24"/>
                <w:vertAlign w:val="superscript"/>
              </w:rPr>
              <w:t>aB</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5.83±0.00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bB</w:t>
            </w:r>
            <w:proofErr w:type="spellEnd"/>
          </w:p>
        </w:tc>
      </w:tr>
      <w:tr w:rsidR="00142F2A" w:rsidTr="00870BE1">
        <w:trPr>
          <w:trHeight w:val="135"/>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5.73±0.01</w:t>
            </w:r>
            <m:oMath>
              <m:r>
                <w:rPr>
                  <w:rFonts w:ascii="Cambria Math" w:hAnsi="Cambria Math"/>
                  <w:sz w:val="24"/>
                  <w:szCs w:val="24"/>
                </w:rPr>
                <m:t xml:space="preserve">  </m:t>
              </m:r>
            </m:oMath>
            <w:r w:rsidRPr="00B16C8E">
              <w:rPr>
                <w:rFonts w:ascii="Times New Roman" w:hAnsi="Times New Roman"/>
                <w:sz w:val="24"/>
                <w:szCs w:val="24"/>
                <w:vertAlign w:val="superscript"/>
              </w:rPr>
              <w:t>aA</w:t>
            </w:r>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5.71±0.00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aA</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5.78±0.01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bA</w:t>
            </w:r>
            <w:proofErr w:type="spellEnd"/>
          </w:p>
        </w:tc>
      </w:tr>
      <w:tr w:rsidR="00142F2A" w:rsidTr="00870BE1">
        <w:trPr>
          <w:trHeight w:val="333"/>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TBARS</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0.07±0.002</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bA</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0.06±0.001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aA</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0.06±0.001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aA</w:t>
            </w:r>
            <w:proofErr w:type="spellEnd"/>
          </w:p>
        </w:tc>
      </w:tr>
      <w:tr w:rsidR="00142F2A" w:rsidTr="00870BE1">
        <w:trPr>
          <w:trHeight w:val="33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0.09±</w:t>
            </w:r>
            <w:r>
              <w:rPr>
                <w:rFonts w:ascii="Times New Roman" w:hAnsi="Times New Roman"/>
                <w:sz w:val="24"/>
                <w:szCs w:val="24"/>
              </w:rPr>
              <w:t xml:space="preserve">0.001 </w:t>
            </w:r>
            <w:proofErr w:type="spellStart"/>
            <w:r w:rsidR="006B1AA9">
              <w:rPr>
                <w:rFonts w:ascii="Times New Roman" w:hAnsi="Times New Roman"/>
                <w:sz w:val="24"/>
                <w:szCs w:val="24"/>
                <w:vertAlign w:val="superscript"/>
              </w:rPr>
              <w:t>bB</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w:t>
            </w:r>
            <w:proofErr w:type="spellEnd"/>
          </w:p>
        </w:tc>
      </w:tr>
      <w:tr w:rsidR="00142F2A" w:rsidTr="00870BE1">
        <w:trPr>
          <w:trHeight w:val="122"/>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0.12±0.005</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bC</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0.10±0.004</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aC</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0.09±0.001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aC</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0.15±0.001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bD</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0.15±0.001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0.14±0.000</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bE</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0.17±0.001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abE</w:t>
            </w:r>
            <w:proofErr w:type="spellEnd"/>
          </w:p>
        </w:tc>
        <w:tc>
          <w:tcPr>
            <w:tcW w:w="1728" w:type="dxa"/>
            <w:vAlign w:val="center"/>
          </w:tcPr>
          <w:p w:rsidR="00142F2A" w:rsidRPr="00EB3B59" w:rsidRDefault="00142F2A" w:rsidP="00142F2A">
            <w:pPr>
              <w:tabs>
                <w:tab w:val="left" w:pos="2712"/>
              </w:tabs>
              <w:jc w:val="center"/>
              <w:rPr>
                <w:rFonts w:ascii="Times New Roman" w:hAnsi="Times New Roman"/>
                <w:sz w:val="24"/>
                <w:szCs w:val="24"/>
              </w:rPr>
            </w:pPr>
            <w:r w:rsidRPr="00EB3B59">
              <w:rPr>
                <w:rFonts w:ascii="Times New Roman" w:hAnsi="Times New Roman"/>
                <w:sz w:val="24"/>
                <w:szCs w:val="24"/>
              </w:rPr>
              <w:t>0.17±0.001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aE</w:t>
            </w:r>
            <w:proofErr w:type="spellEnd"/>
          </w:p>
        </w:tc>
      </w:tr>
      <w:tr w:rsidR="00142F2A" w:rsidTr="00870BE1">
        <w:trPr>
          <w:trHeight w:val="333"/>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WHC</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25.66±0.24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aE</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30.41±0.20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bE</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35.91±0.45</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cE</w:t>
            </w:r>
            <w:proofErr w:type="spellEnd"/>
          </w:p>
        </w:tc>
      </w:tr>
      <w:tr w:rsidR="00142F2A" w:rsidTr="00870BE1">
        <w:trPr>
          <w:trHeight w:val="33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23.41±0.20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aD</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26.91±0.27</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bD</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32.91±0.30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cD</w:t>
            </w:r>
            <w:proofErr w:type="spellEnd"/>
          </w:p>
        </w:tc>
      </w:tr>
      <w:tr w:rsidR="00142F2A" w:rsidTr="00870BE1">
        <w:trPr>
          <w:trHeight w:val="122"/>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20.50±0.18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aC</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25.75±0.21</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bC</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30.50±0.18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cC</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19.00±0.28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aB</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24.66±0.24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bB</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27.83±0.24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cB</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15.66±0.16</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aA</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22.50±0.48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bA</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24.33±0.33</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cA</w:t>
            </w:r>
            <w:proofErr w:type="spellEnd"/>
          </w:p>
        </w:tc>
      </w:tr>
      <w:tr w:rsidR="00142F2A" w:rsidTr="00870BE1">
        <w:trPr>
          <w:trHeight w:val="333"/>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Shear force</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10.77±0.21 </w:t>
            </w:r>
            <w:proofErr w:type="spellStart"/>
            <w:r w:rsidRPr="00AC554A">
              <w:rPr>
                <w:rFonts w:ascii="Times New Roman" w:hAnsi="Times New Roman"/>
                <w:sz w:val="24"/>
                <w:szCs w:val="24"/>
                <w:vertAlign w:val="superscript"/>
              </w:rPr>
              <w:t>cD</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9.77±0.13 </w:t>
            </w:r>
            <w:proofErr w:type="spellStart"/>
            <w:r w:rsidRPr="00AC554A">
              <w:rPr>
                <w:rFonts w:ascii="Times New Roman" w:hAnsi="Times New Roman"/>
                <w:sz w:val="24"/>
                <w:szCs w:val="24"/>
                <w:vertAlign w:val="superscript"/>
              </w:rPr>
              <w:t>bCD</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6.58±0.06</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aE</w:t>
            </w:r>
            <w:proofErr w:type="spellEnd"/>
          </w:p>
        </w:tc>
      </w:tr>
      <w:tr w:rsidR="00142F2A" w:rsidTr="00870BE1">
        <w:trPr>
          <w:trHeight w:val="33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10.13±0.04 </w:t>
            </w:r>
            <w:proofErr w:type="spellStart"/>
            <w:r w:rsidRPr="00AC554A">
              <w:rPr>
                <w:rFonts w:ascii="Times New Roman" w:hAnsi="Times New Roman"/>
                <w:sz w:val="24"/>
                <w:szCs w:val="24"/>
                <w:vertAlign w:val="superscript"/>
              </w:rPr>
              <w:t>cC</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9.34±0.16 </w:t>
            </w:r>
            <w:proofErr w:type="spellStart"/>
            <w:r w:rsidRPr="00AC554A">
              <w:rPr>
                <w:rFonts w:ascii="Times New Roman" w:hAnsi="Times New Roman"/>
                <w:sz w:val="24"/>
                <w:szCs w:val="24"/>
                <w:vertAlign w:val="superscript"/>
              </w:rPr>
              <w:t>bC</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6.05±0.04</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aD</w:t>
            </w:r>
            <w:proofErr w:type="spellEnd"/>
          </w:p>
        </w:tc>
      </w:tr>
      <w:tr w:rsidR="00142F2A" w:rsidTr="00870BE1">
        <w:trPr>
          <w:trHeight w:val="122"/>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9.90±0.04</w:t>
            </w:r>
            <w:r>
              <w:rPr>
                <w:rFonts w:ascii="Times New Roman" w:hAnsi="Times New Roman"/>
                <w:sz w:val="24"/>
                <w:szCs w:val="24"/>
              </w:rPr>
              <w:t>0</w:t>
            </w:r>
            <w:r w:rsidRPr="00AC554A">
              <w:rPr>
                <w:rFonts w:ascii="Times New Roman" w:hAnsi="Times New Roman"/>
                <w:sz w:val="24"/>
                <w:szCs w:val="24"/>
              </w:rPr>
              <w:t xml:space="preserve"> </w:t>
            </w:r>
            <w:proofErr w:type="spellStart"/>
            <w:r w:rsidRPr="00AC554A">
              <w:rPr>
                <w:rFonts w:ascii="Times New Roman" w:hAnsi="Times New Roman"/>
                <w:sz w:val="24"/>
                <w:szCs w:val="24"/>
                <w:vertAlign w:val="superscript"/>
              </w:rPr>
              <w:t>cC</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8.87±0.11 </w:t>
            </w:r>
            <w:proofErr w:type="spellStart"/>
            <w:r w:rsidRPr="00AC554A">
              <w:rPr>
                <w:rFonts w:ascii="Times New Roman" w:hAnsi="Times New Roman"/>
                <w:sz w:val="24"/>
                <w:szCs w:val="24"/>
                <w:vertAlign w:val="superscript"/>
              </w:rPr>
              <w:t>bB</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5.78±0.07</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aC</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9.31±0.04 </w:t>
            </w:r>
            <w:proofErr w:type="spellStart"/>
            <w:r w:rsidRPr="00AC554A">
              <w:rPr>
                <w:rFonts w:ascii="Times New Roman" w:hAnsi="Times New Roman"/>
                <w:sz w:val="24"/>
                <w:szCs w:val="24"/>
                <w:vertAlign w:val="superscript"/>
              </w:rPr>
              <w:t>cB</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8.47±0.07 </w:t>
            </w:r>
            <w:proofErr w:type="spellStart"/>
            <w:r w:rsidRPr="00AC554A">
              <w:rPr>
                <w:rFonts w:ascii="Times New Roman" w:hAnsi="Times New Roman"/>
                <w:sz w:val="24"/>
                <w:szCs w:val="24"/>
                <w:vertAlign w:val="superscript"/>
              </w:rPr>
              <w:t>bAB</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5.28±0.07</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aB</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both"/>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8.82±0.04 </w:t>
            </w:r>
            <w:proofErr w:type="spellStart"/>
            <w:r w:rsidRPr="00AC554A">
              <w:rPr>
                <w:rFonts w:ascii="Times New Roman" w:hAnsi="Times New Roman"/>
                <w:sz w:val="24"/>
                <w:szCs w:val="24"/>
                <w:vertAlign w:val="superscript"/>
              </w:rPr>
              <w:t>cA</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8.30±0.05 </w:t>
            </w:r>
            <w:proofErr w:type="spellStart"/>
            <w:r w:rsidRPr="00AC554A">
              <w:rPr>
                <w:rFonts w:ascii="Times New Roman" w:hAnsi="Times New Roman"/>
                <w:sz w:val="24"/>
                <w:szCs w:val="24"/>
                <w:vertAlign w:val="superscript"/>
              </w:rPr>
              <w:t>bA</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4.85±0.04</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aA</w:t>
            </w:r>
            <w:proofErr w:type="spellEnd"/>
          </w:p>
        </w:tc>
      </w:tr>
    </w:tbl>
    <w:p w:rsidR="00F24436" w:rsidRPr="00CA2E51" w:rsidRDefault="00D242D1" w:rsidP="00701070">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rsidR="00972233" w:rsidRPr="00972233" w:rsidRDefault="00972233" w:rsidP="00701070">
      <w:pPr>
        <w:keepNext/>
        <w:widowControl w:val="0"/>
        <w:tabs>
          <w:tab w:val="left" w:pos="180"/>
        </w:tabs>
        <w:spacing w:after="0" w:line="240" w:lineRule="auto"/>
        <w:jc w:val="both"/>
        <w:rPr>
          <w:rFonts w:ascii="Times New Roman" w:hAnsi="Times New Roman" w:cs="Times New Roman"/>
          <w:b/>
          <w:bCs/>
          <w:sz w:val="24"/>
          <w:szCs w:val="24"/>
        </w:rPr>
      </w:pPr>
      <w:r w:rsidRPr="00972233">
        <w:rPr>
          <w:rFonts w:ascii="Times New Roman" w:hAnsi="Times New Roman" w:cs="Times New Roman"/>
          <w:b/>
          <w:bCs/>
          <w:sz w:val="24"/>
          <w:szCs w:val="24"/>
        </w:rPr>
        <w:t>TBARS</w:t>
      </w:r>
    </w:p>
    <w:p w:rsidR="00972233" w:rsidRPr="00B105B5" w:rsidRDefault="009F08E6" w:rsidP="00701070">
      <w:pPr>
        <w:tabs>
          <w:tab w:val="left" w:pos="3744"/>
        </w:tabs>
        <w:spacing w:line="240" w:lineRule="auto"/>
        <w:jc w:val="both"/>
        <w:rPr>
          <w:rFonts w:ascii="Times New Roman" w:hAnsi="Times New Roman" w:cs="Times New Roman"/>
          <w:sz w:val="24"/>
          <w:szCs w:val="24"/>
        </w:rPr>
      </w:pPr>
      <w:r w:rsidRPr="009F08E6">
        <w:rPr>
          <w:rFonts w:ascii="Times New Roman" w:hAnsi="Times New Roman" w:cs="Times New Roman"/>
          <w:sz w:val="24"/>
          <w:szCs w:val="24"/>
        </w:rPr>
        <w:t>T</w:t>
      </w:r>
      <w:r w:rsidR="00972233" w:rsidRPr="009F08E6">
        <w:rPr>
          <w:rFonts w:ascii="Times New Roman" w:hAnsi="Times New Roman" w:cs="Times New Roman"/>
          <w:sz w:val="24"/>
          <w:szCs w:val="24"/>
        </w:rPr>
        <w:t>h</w:t>
      </w:r>
      <w:r w:rsidR="00972233" w:rsidRPr="00B105B5">
        <w:rPr>
          <w:rFonts w:ascii="Times New Roman" w:hAnsi="Times New Roman" w:cs="Times New Roman"/>
          <w:sz w:val="24"/>
          <w:szCs w:val="24"/>
        </w:rPr>
        <w:t>ere was a significant (P&lt;0.05) increase in mean ± SE values of TBARS for meat of all group of birds with storage time, except for Vanaraja, Indbro on 6</w:t>
      </w:r>
      <w:r w:rsidR="00972233" w:rsidRPr="00B105B5">
        <w:rPr>
          <w:rFonts w:ascii="Times New Roman" w:hAnsi="Times New Roman" w:cs="Times New Roman"/>
          <w:sz w:val="24"/>
          <w:szCs w:val="24"/>
          <w:vertAlign w:val="superscript"/>
        </w:rPr>
        <w:t>th</w:t>
      </w:r>
      <w:r w:rsidR="00972233" w:rsidRPr="00B105B5">
        <w:rPr>
          <w:rFonts w:ascii="Times New Roman" w:hAnsi="Times New Roman" w:cs="Times New Roman"/>
          <w:sz w:val="24"/>
          <w:szCs w:val="24"/>
        </w:rPr>
        <w:t xml:space="preserve"> day of super chilling did not differ significantly (P&gt;0.05).</w:t>
      </w:r>
      <w:r w:rsidR="00B105B5" w:rsidRPr="00B105B5">
        <w:rPr>
          <w:rFonts w:ascii="Times New Roman" w:hAnsi="Times New Roman" w:cs="Times New Roman"/>
          <w:sz w:val="24"/>
          <w:szCs w:val="24"/>
        </w:rPr>
        <w:t xml:space="preserve"> This finding is correlated with results of Yang Lan </w:t>
      </w:r>
      <w:r w:rsidR="00B105B5" w:rsidRPr="00B105B5">
        <w:rPr>
          <w:rFonts w:ascii="Times New Roman" w:hAnsi="Times New Roman" w:cs="Times New Roman"/>
          <w:i/>
          <w:sz w:val="24"/>
          <w:szCs w:val="24"/>
        </w:rPr>
        <w:t>et al.</w:t>
      </w:r>
      <w:r w:rsidR="00B105B5" w:rsidRPr="00B105B5">
        <w:rPr>
          <w:rFonts w:ascii="Times New Roman" w:hAnsi="Times New Roman" w:cs="Times New Roman"/>
          <w:sz w:val="24"/>
          <w:szCs w:val="24"/>
        </w:rPr>
        <w:t xml:space="preserve"> (2016) who reported that the TBARS values of rabbit hind legs steadily increased from 0.05 mg/kg (initial) to 0.6mg/kg, 1.037mg/kg, and 0.773mg/kg when stored at 4</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C and super chilled storage at -</w:t>
      </w:r>
      <w:r w:rsidR="00B105B5" w:rsidRPr="00B105B5">
        <w:rPr>
          <w:rFonts w:ascii="Times New Roman" w:hAnsi="Times New Roman" w:cs="Times New Roman"/>
          <w:sz w:val="24"/>
          <w:szCs w:val="24"/>
        </w:rPr>
        <w:lastRenderedPageBreak/>
        <w:t>2.5</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C, -4</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 xml:space="preserve">C respectively over the entire storage period. </w:t>
      </w:r>
      <w:r w:rsidR="00972233" w:rsidRPr="00B105B5">
        <w:rPr>
          <w:rFonts w:ascii="Times New Roman" w:hAnsi="Times New Roman" w:cs="Times New Roman"/>
          <w:sz w:val="24"/>
          <w:szCs w:val="24"/>
        </w:rPr>
        <w:t xml:space="preserve">Among the birds group, Vanaraja had significantly (P&lt;0.05) higher TBARS values </w:t>
      </w:r>
      <w:r w:rsidR="006D4BDA">
        <w:rPr>
          <w:rFonts w:ascii="Times New Roman" w:hAnsi="Times New Roman" w:cs="Times New Roman"/>
          <w:sz w:val="24"/>
          <w:szCs w:val="24"/>
        </w:rPr>
        <w:t xml:space="preserve">during entire storage period of </w:t>
      </w:r>
      <w:r w:rsidR="00972233" w:rsidRPr="00B105B5">
        <w:rPr>
          <w:rFonts w:ascii="Times New Roman" w:hAnsi="Times New Roman" w:cs="Times New Roman"/>
          <w:sz w:val="24"/>
          <w:szCs w:val="24"/>
        </w:rPr>
        <w:t xml:space="preserve">super chilling, and freezing. Further, there was no significant (P&gt;0.05) difference for </w:t>
      </w:r>
      <w:r w:rsidR="00602EBC" w:rsidRPr="00B105B5">
        <w:rPr>
          <w:rFonts w:ascii="Times New Roman" w:hAnsi="Times New Roman" w:cs="Times New Roman"/>
          <w:sz w:val="24"/>
          <w:szCs w:val="24"/>
        </w:rPr>
        <w:t xml:space="preserve">values </w:t>
      </w:r>
      <w:r w:rsidR="00972233" w:rsidRPr="00B105B5">
        <w:rPr>
          <w:rFonts w:ascii="Times New Roman" w:hAnsi="Times New Roman" w:cs="Times New Roman"/>
          <w:sz w:val="24"/>
          <w:szCs w:val="24"/>
        </w:rPr>
        <w:t>between Indbro and Commercial broiler</w:t>
      </w:r>
      <w:r w:rsidR="00B105B5" w:rsidRPr="00B105B5">
        <w:rPr>
          <w:rFonts w:ascii="Times New Roman" w:hAnsi="Times New Roman" w:cs="Times New Roman"/>
          <w:sz w:val="24"/>
          <w:szCs w:val="24"/>
        </w:rPr>
        <w:t xml:space="preserve"> on same days. In the current study, the TBARS values of meat of all the groups of birds increased significantly (P&lt;0.05) during 30 and 60 days of frozen storage. This is in congruence with the</w:t>
      </w:r>
      <w:r w:rsidR="00B105B5">
        <w:rPr>
          <w:rFonts w:ascii="Times New Roman" w:hAnsi="Times New Roman"/>
          <w:sz w:val="24"/>
          <w:szCs w:val="24"/>
        </w:rPr>
        <w:t xml:space="preserve"> studies of Leygonie </w:t>
      </w:r>
      <w:r w:rsidR="00B105B5" w:rsidRPr="005F676F">
        <w:rPr>
          <w:rFonts w:ascii="Times New Roman" w:hAnsi="Times New Roman"/>
          <w:i/>
          <w:sz w:val="24"/>
          <w:szCs w:val="24"/>
        </w:rPr>
        <w:t>et al.</w:t>
      </w:r>
      <w:r w:rsidR="00B105B5">
        <w:rPr>
          <w:rFonts w:ascii="Times New Roman" w:hAnsi="Times New Roman"/>
          <w:sz w:val="24"/>
          <w:szCs w:val="24"/>
        </w:rPr>
        <w:t xml:space="preserve"> (2012a), who argued that frozen storage is not sufficient to prevent oxidation. Hansen </w:t>
      </w:r>
      <w:r w:rsidR="00B105B5" w:rsidRPr="00556B91">
        <w:rPr>
          <w:rFonts w:ascii="Times New Roman" w:hAnsi="Times New Roman"/>
          <w:i/>
          <w:sz w:val="24"/>
          <w:szCs w:val="24"/>
        </w:rPr>
        <w:t>et al</w:t>
      </w:r>
      <w:r w:rsidR="00B105B5">
        <w:rPr>
          <w:rFonts w:ascii="Times New Roman" w:hAnsi="Times New Roman"/>
          <w:sz w:val="24"/>
          <w:szCs w:val="24"/>
        </w:rPr>
        <w:t xml:space="preserve">. (2004) and Xia </w:t>
      </w:r>
      <w:r w:rsidR="00B105B5" w:rsidRPr="00556B91">
        <w:rPr>
          <w:rFonts w:ascii="Times New Roman" w:hAnsi="Times New Roman"/>
          <w:i/>
          <w:sz w:val="24"/>
          <w:szCs w:val="24"/>
        </w:rPr>
        <w:t>et al</w:t>
      </w:r>
      <w:r w:rsidR="00B105B5">
        <w:rPr>
          <w:rFonts w:ascii="Times New Roman" w:hAnsi="Times New Roman"/>
          <w:sz w:val="24"/>
          <w:szCs w:val="24"/>
        </w:rPr>
        <w:t xml:space="preserve">.  (2009) stated that freezing and thawing of muscle tissues accelerate lipid oxidation. Vieira </w:t>
      </w:r>
      <w:r w:rsidR="00B105B5" w:rsidRPr="00060778">
        <w:rPr>
          <w:rFonts w:ascii="Times New Roman" w:hAnsi="Times New Roman"/>
          <w:i/>
          <w:sz w:val="24"/>
          <w:szCs w:val="24"/>
        </w:rPr>
        <w:t>et al.</w:t>
      </w:r>
      <w:r w:rsidR="00B105B5">
        <w:rPr>
          <w:rFonts w:ascii="Times New Roman" w:hAnsi="Times New Roman"/>
          <w:sz w:val="24"/>
          <w:szCs w:val="24"/>
        </w:rPr>
        <w:t xml:space="preserve"> (2009) also found that the TBARS values of rustic crossbred beef increased from 30 days of frozen storage, and more pronounced from 90 days. Benjakul and Bauer (2001) reported that ice crystals injure cells and cause the subsequent release of pro-oxidants for lipid oxidation, particularly non-heme iron.</w:t>
      </w:r>
      <w:r w:rsidR="00B105B5" w:rsidRPr="00B105B5">
        <w:rPr>
          <w:rFonts w:ascii="Times New Roman" w:hAnsi="Times New Roman"/>
          <w:sz w:val="24"/>
          <w:szCs w:val="24"/>
        </w:rPr>
        <w:t xml:space="preserve"> </w:t>
      </w:r>
      <w:r w:rsidR="00B105B5">
        <w:rPr>
          <w:rFonts w:ascii="Times New Roman" w:hAnsi="Times New Roman"/>
          <w:sz w:val="24"/>
          <w:szCs w:val="24"/>
        </w:rPr>
        <w:t xml:space="preserve">Daming Ding </w:t>
      </w:r>
      <w:r w:rsidR="00B105B5" w:rsidRPr="00160458">
        <w:rPr>
          <w:rFonts w:ascii="Times New Roman" w:hAnsi="Times New Roman"/>
          <w:i/>
          <w:sz w:val="24"/>
          <w:szCs w:val="24"/>
        </w:rPr>
        <w:t>et al.</w:t>
      </w:r>
      <w:r w:rsidR="00B105B5">
        <w:rPr>
          <w:rFonts w:ascii="Times New Roman" w:hAnsi="Times New Roman"/>
          <w:sz w:val="24"/>
          <w:szCs w:val="24"/>
        </w:rPr>
        <w:t xml:space="preserve"> (2020) reported that substantial increase in TBARS values of pork stored under three different degrees of super chilling (-1</w:t>
      </w:r>
      <w:r w:rsidR="00B105B5">
        <w:rPr>
          <w:rFonts w:ascii="Times New Roman" w:hAnsi="Times New Roman"/>
          <w:sz w:val="24"/>
          <w:szCs w:val="24"/>
          <w:vertAlign w:val="superscript"/>
        </w:rPr>
        <w:t>0</w:t>
      </w:r>
      <w:r w:rsidR="00B105B5">
        <w:rPr>
          <w:rFonts w:ascii="Times New Roman" w:hAnsi="Times New Roman"/>
          <w:sz w:val="24"/>
          <w:szCs w:val="24"/>
        </w:rPr>
        <w:t>C</w:t>
      </w:r>
      <w:r w:rsidR="00B105B5" w:rsidRPr="00D529E8">
        <w:rPr>
          <w:rFonts w:ascii="Times New Roman" w:hAnsi="Times New Roman"/>
          <w:sz w:val="24"/>
          <w:szCs w:val="24"/>
        </w:rPr>
        <w:t>, -2</w:t>
      </w:r>
      <w:r w:rsidR="00B105B5" w:rsidRPr="00D529E8">
        <w:rPr>
          <w:rFonts w:ascii="Times New Roman" w:hAnsi="Times New Roman"/>
          <w:sz w:val="24"/>
          <w:szCs w:val="24"/>
          <w:vertAlign w:val="superscript"/>
        </w:rPr>
        <w:t>0</w:t>
      </w:r>
      <w:r w:rsidR="00B105B5" w:rsidRPr="00D529E8">
        <w:rPr>
          <w:rFonts w:ascii="Times New Roman" w:hAnsi="Times New Roman"/>
          <w:sz w:val="24"/>
          <w:szCs w:val="24"/>
        </w:rPr>
        <w:t>C, -3</w:t>
      </w:r>
      <w:r w:rsidR="00B105B5" w:rsidRPr="00D529E8">
        <w:rPr>
          <w:rFonts w:ascii="Times New Roman" w:hAnsi="Times New Roman"/>
          <w:sz w:val="24"/>
          <w:szCs w:val="24"/>
          <w:vertAlign w:val="superscript"/>
        </w:rPr>
        <w:t>0</w:t>
      </w:r>
      <w:r w:rsidR="00B105B5" w:rsidRPr="00D529E8">
        <w:rPr>
          <w:rFonts w:ascii="Times New Roman" w:hAnsi="Times New Roman"/>
          <w:sz w:val="24"/>
          <w:szCs w:val="24"/>
        </w:rPr>
        <w:t>C)</w:t>
      </w:r>
      <w:r w:rsidR="00B105B5">
        <w:rPr>
          <w:rFonts w:ascii="Times New Roman" w:hAnsi="Times New Roman"/>
          <w:sz w:val="24"/>
          <w:szCs w:val="24"/>
        </w:rPr>
        <w:t xml:space="preserve"> which is similar with the current study.</w:t>
      </w:r>
    </w:p>
    <w:p w:rsidR="00972233" w:rsidRDefault="00972233" w:rsidP="00701070">
      <w:pPr>
        <w:keepNext/>
        <w:widowControl w:val="0"/>
        <w:tabs>
          <w:tab w:val="left" w:pos="0"/>
        </w:tabs>
        <w:spacing w:after="0" w:line="240" w:lineRule="auto"/>
        <w:jc w:val="both"/>
        <w:rPr>
          <w:rFonts w:ascii="Times New Roman" w:hAnsi="Times New Roman"/>
          <w:b/>
          <w:bCs/>
          <w:sz w:val="24"/>
          <w:szCs w:val="24"/>
        </w:rPr>
      </w:pPr>
      <w:r w:rsidRPr="00972233">
        <w:rPr>
          <w:rFonts w:ascii="Times New Roman" w:hAnsi="Times New Roman"/>
          <w:b/>
          <w:bCs/>
          <w:sz w:val="24"/>
          <w:szCs w:val="24"/>
        </w:rPr>
        <w:t>WHC</w:t>
      </w:r>
    </w:p>
    <w:p w:rsidR="00EA2446" w:rsidRPr="00EA2446" w:rsidRDefault="00EA2446" w:rsidP="00EA2446">
      <w:pPr>
        <w:spacing w:before="100" w:beforeAutospacing="1" w:after="100" w:afterAutospacing="1" w:line="240" w:lineRule="auto"/>
        <w:rPr>
          <w:rFonts w:ascii="Times New Roman" w:eastAsia="Times New Roman" w:hAnsi="Times New Roman" w:cs="Times New Roman"/>
          <w:sz w:val="24"/>
          <w:szCs w:val="24"/>
          <w:lang w:val="en-US"/>
        </w:rPr>
      </w:pPr>
      <w:r w:rsidRPr="00EA2446">
        <w:rPr>
          <w:rFonts w:ascii="Times New Roman" w:eastAsia="Times New Roman" w:hAnsi="Times New Roman" w:cs="Times New Roman"/>
          <w:sz w:val="24"/>
          <w:szCs w:val="24"/>
          <w:lang w:val="en-US"/>
        </w:rPr>
        <w:t xml:space="preserve">A significant (P &lt; 0.05) decline in the mean ± SE values of water-holding capacity (WHC) was observed in the meat of all experimental groups with increasing storage duration under both super-chilled and frozen conditions. Moreover, WHC values differed significantly (P &lt; 0.05) among </w:t>
      </w:r>
      <w:proofErr w:type="spellStart"/>
      <w:r w:rsidRPr="00EA2446">
        <w:rPr>
          <w:rFonts w:ascii="Times New Roman" w:eastAsia="Times New Roman" w:hAnsi="Times New Roman" w:cs="Times New Roman"/>
          <w:sz w:val="24"/>
          <w:szCs w:val="24"/>
          <w:lang w:val="en-US"/>
        </w:rPr>
        <w:t>Vanaraja</w:t>
      </w:r>
      <w:proofErr w:type="spellEnd"/>
      <w:r w:rsidRPr="00EA2446">
        <w:rPr>
          <w:rFonts w:ascii="Times New Roman" w:eastAsia="Times New Roman" w:hAnsi="Times New Roman" w:cs="Times New Roman"/>
          <w:sz w:val="24"/>
          <w:szCs w:val="24"/>
          <w:lang w:val="en-US"/>
        </w:rPr>
        <w:t xml:space="preserve">, </w:t>
      </w:r>
      <w:proofErr w:type="spellStart"/>
      <w:r w:rsidRPr="00EA2446">
        <w:rPr>
          <w:rFonts w:ascii="Times New Roman" w:eastAsia="Times New Roman" w:hAnsi="Times New Roman" w:cs="Times New Roman"/>
          <w:sz w:val="24"/>
          <w:szCs w:val="24"/>
          <w:lang w:val="en-US"/>
        </w:rPr>
        <w:t>Indbro</w:t>
      </w:r>
      <w:proofErr w:type="spellEnd"/>
      <w:r w:rsidRPr="00EA2446">
        <w:rPr>
          <w:rFonts w:ascii="Times New Roman" w:eastAsia="Times New Roman" w:hAnsi="Times New Roman" w:cs="Times New Roman"/>
          <w:sz w:val="24"/>
          <w:szCs w:val="24"/>
          <w:lang w:val="en-US"/>
        </w:rPr>
        <w:t>, and commercial broiler meat throughout the entire storage period. Among the three groups, commercial broilers consistently exhibited significantly (P &lt; 0.05) higher WHC values during both super-chilling and freezing storage conditions.</w:t>
      </w:r>
    </w:p>
    <w:p w:rsidR="00EA2446" w:rsidRPr="00EA2446" w:rsidRDefault="00EA2446" w:rsidP="00EA2446">
      <w:pPr>
        <w:spacing w:before="100" w:beforeAutospacing="1" w:after="100" w:afterAutospacing="1" w:line="240" w:lineRule="auto"/>
        <w:rPr>
          <w:rFonts w:ascii="Times New Roman" w:eastAsia="Times New Roman" w:hAnsi="Times New Roman" w:cs="Times New Roman"/>
          <w:sz w:val="24"/>
          <w:szCs w:val="24"/>
          <w:lang w:val="en-US"/>
        </w:rPr>
      </w:pPr>
      <w:r w:rsidRPr="00EA2446">
        <w:rPr>
          <w:rFonts w:ascii="Times New Roman" w:eastAsia="Times New Roman" w:hAnsi="Times New Roman" w:cs="Times New Roman"/>
          <w:sz w:val="24"/>
          <w:szCs w:val="24"/>
          <w:lang w:val="en-US"/>
        </w:rPr>
        <w:t xml:space="preserve">The present findings are consistent with the observations of </w:t>
      </w:r>
      <w:proofErr w:type="spellStart"/>
      <w:r w:rsidRPr="00EA2446">
        <w:rPr>
          <w:rFonts w:ascii="Times New Roman" w:eastAsia="Times New Roman" w:hAnsi="Times New Roman" w:cs="Times New Roman"/>
          <w:sz w:val="24"/>
          <w:szCs w:val="24"/>
          <w:lang w:val="en-US"/>
        </w:rPr>
        <w:t>Fanatico</w:t>
      </w:r>
      <w:proofErr w:type="spellEnd"/>
      <w:r w:rsidRPr="00EA2446">
        <w:rPr>
          <w:rFonts w:ascii="Times New Roman" w:eastAsia="Times New Roman" w:hAnsi="Times New Roman" w:cs="Times New Roman"/>
          <w:sz w:val="24"/>
          <w:szCs w:val="24"/>
          <w:lang w:val="en-US"/>
        </w:rPr>
        <w:t xml:space="preserve"> </w:t>
      </w:r>
      <w:r w:rsidRPr="00EA2446">
        <w:rPr>
          <w:rFonts w:ascii="Times New Roman" w:eastAsia="Times New Roman" w:hAnsi="Times New Roman" w:cs="Times New Roman"/>
          <w:i/>
          <w:iCs/>
          <w:sz w:val="24"/>
          <w:szCs w:val="24"/>
          <w:lang w:val="en-US"/>
        </w:rPr>
        <w:t>et al.</w:t>
      </w:r>
      <w:r w:rsidRPr="00EA2446">
        <w:rPr>
          <w:rFonts w:ascii="Times New Roman" w:eastAsia="Times New Roman" w:hAnsi="Times New Roman" w:cs="Times New Roman"/>
          <w:sz w:val="24"/>
          <w:szCs w:val="24"/>
          <w:lang w:val="en-US"/>
        </w:rPr>
        <w:t xml:space="preserve"> (2007), who reported higher drip loss (indicating lower WHC) in slow-growing birds compared with fast-growing broilers. Similarly, the results of the current study demonstrated comparatively lower WHC values in </w:t>
      </w:r>
      <w:proofErr w:type="spellStart"/>
      <w:r w:rsidRPr="00EA2446">
        <w:rPr>
          <w:rFonts w:ascii="Times New Roman" w:eastAsia="Times New Roman" w:hAnsi="Times New Roman" w:cs="Times New Roman"/>
          <w:sz w:val="24"/>
          <w:szCs w:val="24"/>
          <w:lang w:val="en-US"/>
        </w:rPr>
        <w:t>Vanaraja</w:t>
      </w:r>
      <w:proofErr w:type="spellEnd"/>
      <w:r w:rsidRPr="00EA2446">
        <w:rPr>
          <w:rFonts w:ascii="Times New Roman" w:eastAsia="Times New Roman" w:hAnsi="Times New Roman" w:cs="Times New Roman"/>
          <w:sz w:val="24"/>
          <w:szCs w:val="24"/>
          <w:lang w:val="en-US"/>
        </w:rPr>
        <w:t xml:space="preserve"> and </w:t>
      </w:r>
      <w:proofErr w:type="spellStart"/>
      <w:r w:rsidRPr="00EA2446">
        <w:rPr>
          <w:rFonts w:ascii="Times New Roman" w:eastAsia="Times New Roman" w:hAnsi="Times New Roman" w:cs="Times New Roman"/>
          <w:sz w:val="24"/>
          <w:szCs w:val="24"/>
          <w:lang w:val="en-US"/>
        </w:rPr>
        <w:t>Indbro</w:t>
      </w:r>
      <w:proofErr w:type="spellEnd"/>
      <w:r w:rsidRPr="00EA2446">
        <w:rPr>
          <w:rFonts w:ascii="Times New Roman" w:eastAsia="Times New Roman" w:hAnsi="Times New Roman" w:cs="Times New Roman"/>
          <w:sz w:val="24"/>
          <w:szCs w:val="24"/>
          <w:lang w:val="en-US"/>
        </w:rPr>
        <w:t xml:space="preserve"> birds than in commercial broilers. The reduced WHC observed in slow-growing birds may be attributed to their relatively thinner and smaller fillet dimensions, which result in a greater surface area relative to muscle mass. This increased exposure to air may promote moisture loss and consequently reduce the water-holding capacity of the meat. Comparable findings were reported by Santos </w:t>
      </w:r>
      <w:r w:rsidRPr="00EA2446">
        <w:rPr>
          <w:rFonts w:ascii="Times New Roman" w:eastAsia="Times New Roman" w:hAnsi="Times New Roman" w:cs="Times New Roman"/>
          <w:i/>
          <w:iCs/>
          <w:sz w:val="24"/>
          <w:szCs w:val="24"/>
          <w:lang w:val="en-US"/>
        </w:rPr>
        <w:t>et al.</w:t>
      </w:r>
      <w:r w:rsidRPr="00EA2446">
        <w:rPr>
          <w:rFonts w:ascii="Times New Roman" w:eastAsia="Times New Roman" w:hAnsi="Times New Roman" w:cs="Times New Roman"/>
          <w:sz w:val="24"/>
          <w:szCs w:val="24"/>
          <w:lang w:val="en-US"/>
        </w:rPr>
        <w:t xml:space="preserve"> (2005b), who observed lower WHC in the breast meat of slow-growing genotypes compared with fast-growing strains.</w:t>
      </w:r>
    </w:p>
    <w:p w:rsidR="00EA2446" w:rsidRPr="00EA2446" w:rsidRDefault="00EA2446" w:rsidP="00EA2446">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446">
        <w:rPr>
          <w:rFonts w:ascii="Times New Roman" w:eastAsia="Times New Roman" w:hAnsi="Times New Roman" w:cs="Times New Roman"/>
          <w:sz w:val="24"/>
          <w:szCs w:val="24"/>
          <w:lang w:val="en-US"/>
        </w:rPr>
        <w:t>Castellini</w:t>
      </w:r>
      <w:proofErr w:type="spellEnd"/>
      <w:r w:rsidRPr="00EA2446">
        <w:rPr>
          <w:rFonts w:ascii="Times New Roman" w:eastAsia="Times New Roman" w:hAnsi="Times New Roman" w:cs="Times New Roman"/>
          <w:sz w:val="24"/>
          <w:szCs w:val="24"/>
          <w:lang w:val="en-US"/>
        </w:rPr>
        <w:t xml:space="preserve"> </w:t>
      </w:r>
      <w:r w:rsidRPr="00EA2446">
        <w:rPr>
          <w:rFonts w:ascii="Times New Roman" w:eastAsia="Times New Roman" w:hAnsi="Times New Roman" w:cs="Times New Roman"/>
          <w:i/>
          <w:iCs/>
          <w:sz w:val="24"/>
          <w:szCs w:val="24"/>
          <w:lang w:val="en-US"/>
        </w:rPr>
        <w:t>et al.</w:t>
      </w:r>
      <w:r w:rsidRPr="00EA2446">
        <w:rPr>
          <w:rFonts w:ascii="Times New Roman" w:eastAsia="Times New Roman" w:hAnsi="Times New Roman" w:cs="Times New Roman"/>
          <w:sz w:val="24"/>
          <w:szCs w:val="24"/>
          <w:lang w:val="en-US"/>
        </w:rPr>
        <w:t xml:space="preserve"> (2002b) suggested that the relatively poor WHC in slow-growing birds may be associated with differences in muscle metabolism and structural characteristics at the time of slaughter, resulting in less tender tissue compared with fast-growing broilers. However, contrasting results were reported by Berri </w:t>
      </w:r>
      <w:r w:rsidRPr="00EA2446">
        <w:rPr>
          <w:rFonts w:ascii="Times New Roman" w:eastAsia="Times New Roman" w:hAnsi="Times New Roman" w:cs="Times New Roman"/>
          <w:i/>
          <w:iCs/>
          <w:sz w:val="24"/>
          <w:szCs w:val="24"/>
          <w:lang w:val="en-US"/>
        </w:rPr>
        <w:t>et al.</w:t>
      </w:r>
      <w:r w:rsidRPr="00EA2446">
        <w:rPr>
          <w:rFonts w:ascii="Times New Roman" w:eastAsia="Times New Roman" w:hAnsi="Times New Roman" w:cs="Times New Roman"/>
          <w:sz w:val="24"/>
          <w:szCs w:val="24"/>
          <w:lang w:val="en-US"/>
        </w:rPr>
        <w:t xml:space="preserve"> (2005), who observed improved WHC in slow-growing birds when slaughter conditions were </w:t>
      </w:r>
      <w:proofErr w:type="spellStart"/>
      <w:r w:rsidRPr="00EA2446">
        <w:rPr>
          <w:rFonts w:ascii="Times New Roman" w:eastAsia="Times New Roman" w:hAnsi="Times New Roman" w:cs="Times New Roman"/>
          <w:sz w:val="24"/>
          <w:szCs w:val="24"/>
          <w:lang w:val="en-US"/>
        </w:rPr>
        <w:t>optimised</w:t>
      </w:r>
      <w:proofErr w:type="spellEnd"/>
      <w:r w:rsidRPr="00EA2446">
        <w:rPr>
          <w:rFonts w:ascii="Times New Roman" w:eastAsia="Times New Roman" w:hAnsi="Times New Roman" w:cs="Times New Roman"/>
          <w:sz w:val="24"/>
          <w:szCs w:val="24"/>
          <w:lang w:val="en-US"/>
        </w:rPr>
        <w:t xml:space="preserve"> to </w:t>
      </w:r>
      <w:proofErr w:type="spellStart"/>
      <w:r w:rsidRPr="00EA2446">
        <w:rPr>
          <w:rFonts w:ascii="Times New Roman" w:eastAsia="Times New Roman" w:hAnsi="Times New Roman" w:cs="Times New Roman"/>
          <w:sz w:val="24"/>
          <w:szCs w:val="24"/>
          <w:lang w:val="en-US"/>
        </w:rPr>
        <w:t>minimise</w:t>
      </w:r>
      <w:proofErr w:type="spellEnd"/>
      <w:r w:rsidRPr="00EA2446">
        <w:rPr>
          <w:rFonts w:ascii="Times New Roman" w:eastAsia="Times New Roman" w:hAnsi="Times New Roman" w:cs="Times New Roman"/>
          <w:sz w:val="24"/>
          <w:szCs w:val="24"/>
          <w:lang w:val="en-US"/>
        </w:rPr>
        <w:t xml:space="preserve"> pre-slaughter stress. In addition, Farouk </w:t>
      </w:r>
      <w:r w:rsidRPr="00EA2446">
        <w:rPr>
          <w:rFonts w:ascii="Times New Roman" w:eastAsia="Times New Roman" w:hAnsi="Times New Roman" w:cs="Times New Roman"/>
          <w:i/>
          <w:iCs/>
          <w:sz w:val="24"/>
          <w:szCs w:val="24"/>
          <w:lang w:val="en-US"/>
        </w:rPr>
        <w:t>et al.</w:t>
      </w:r>
      <w:r w:rsidRPr="00EA2446">
        <w:rPr>
          <w:rFonts w:ascii="Times New Roman" w:eastAsia="Times New Roman" w:hAnsi="Times New Roman" w:cs="Times New Roman"/>
          <w:sz w:val="24"/>
          <w:szCs w:val="24"/>
          <w:lang w:val="en-US"/>
        </w:rPr>
        <w:t xml:space="preserve"> (2004) reported a gradual decline in WHC with prolonged storage, which was attributed to increased protein denaturation and a consequent reduction in the ability of muscle proteins to retain water. These findings </w:t>
      </w:r>
      <w:proofErr w:type="gramStart"/>
      <w:r w:rsidRPr="00EA2446">
        <w:rPr>
          <w:rFonts w:ascii="Times New Roman" w:eastAsia="Times New Roman" w:hAnsi="Times New Roman" w:cs="Times New Roman"/>
          <w:sz w:val="24"/>
          <w:szCs w:val="24"/>
          <w:lang w:val="en-US"/>
        </w:rPr>
        <w:t>are in agreement</w:t>
      </w:r>
      <w:proofErr w:type="gramEnd"/>
      <w:r w:rsidRPr="00EA2446">
        <w:rPr>
          <w:rFonts w:ascii="Times New Roman" w:eastAsia="Times New Roman" w:hAnsi="Times New Roman" w:cs="Times New Roman"/>
          <w:sz w:val="24"/>
          <w:szCs w:val="24"/>
          <w:lang w:val="en-US"/>
        </w:rPr>
        <w:t xml:space="preserve"> with the progressive reduction in WHC observed in the present study during the storage period.</w:t>
      </w:r>
    </w:p>
    <w:p w:rsidR="003C11CB" w:rsidRPr="003C11CB" w:rsidRDefault="003C11CB" w:rsidP="00701070">
      <w:pPr>
        <w:spacing w:line="240" w:lineRule="auto"/>
        <w:jc w:val="both"/>
        <w:rPr>
          <w:rFonts w:ascii="Times New Roman" w:hAnsi="Times New Roman" w:cs="Times New Roman"/>
          <w:b/>
          <w:bCs/>
          <w:sz w:val="24"/>
          <w:szCs w:val="24"/>
        </w:rPr>
      </w:pPr>
      <w:r w:rsidRPr="003C11CB">
        <w:rPr>
          <w:rFonts w:ascii="Times New Roman" w:hAnsi="Times New Roman" w:cs="Times New Roman"/>
          <w:b/>
          <w:bCs/>
          <w:sz w:val="24"/>
          <w:szCs w:val="24"/>
        </w:rPr>
        <w:t xml:space="preserve">Shear force Value </w:t>
      </w:r>
    </w:p>
    <w:p w:rsidR="00681397" w:rsidRPr="007E47B4" w:rsidRDefault="003C11CB" w:rsidP="007E47B4">
      <w:pPr>
        <w:tabs>
          <w:tab w:val="left" w:pos="3744"/>
        </w:tabs>
        <w:spacing w:line="240" w:lineRule="auto"/>
        <w:jc w:val="both"/>
        <w:rPr>
          <w:rFonts w:ascii="Times New Roman" w:hAnsi="Times New Roman"/>
          <w:color w:val="000000" w:themeColor="text1"/>
          <w:sz w:val="24"/>
          <w:szCs w:val="24"/>
        </w:rPr>
      </w:pPr>
      <w:r>
        <w:rPr>
          <w:rFonts w:ascii="Times New Roman" w:hAnsi="Times New Roman"/>
          <w:sz w:val="24"/>
          <w:szCs w:val="24"/>
        </w:rPr>
        <w:t xml:space="preserve">The </w:t>
      </w:r>
      <w:r w:rsidRPr="00C90CA9">
        <w:rPr>
          <w:rFonts w:ascii="Times New Roman" w:hAnsi="Times New Roman"/>
          <w:sz w:val="24"/>
          <w:szCs w:val="24"/>
        </w:rPr>
        <w:t>mea</w:t>
      </w:r>
      <w:r>
        <w:rPr>
          <w:rFonts w:ascii="Times New Roman" w:hAnsi="Times New Roman"/>
          <w:sz w:val="24"/>
          <w:szCs w:val="24"/>
        </w:rPr>
        <w:t xml:space="preserve">n </w:t>
      </w:r>
      <w:r w:rsidRPr="00C90CA9">
        <w:rPr>
          <w:rFonts w:ascii="Times New Roman" w:hAnsi="Times New Roman"/>
          <w:sz w:val="24"/>
          <w:szCs w:val="24"/>
        </w:rPr>
        <w:t>±</w:t>
      </w:r>
      <w:r>
        <w:rPr>
          <w:rFonts w:ascii="Times New Roman" w:hAnsi="Times New Roman"/>
          <w:sz w:val="24"/>
          <w:szCs w:val="24"/>
        </w:rPr>
        <w:t xml:space="preserve"> </w:t>
      </w:r>
      <w:r w:rsidRPr="00C90CA9">
        <w:rPr>
          <w:rFonts w:ascii="Times New Roman" w:hAnsi="Times New Roman"/>
          <w:sz w:val="24"/>
          <w:szCs w:val="24"/>
        </w:rPr>
        <w:t>SE values of</w:t>
      </w:r>
      <w:r>
        <w:rPr>
          <w:rFonts w:ascii="Times New Roman" w:hAnsi="Times New Roman"/>
          <w:sz w:val="24"/>
          <w:szCs w:val="24"/>
        </w:rPr>
        <w:t xml:space="preserve"> SFV for all group of birds decreased gradually with storage time. T</w:t>
      </w:r>
      <w:r w:rsidRPr="001258B6">
        <w:rPr>
          <w:rFonts w:ascii="Times New Roman" w:hAnsi="Times New Roman"/>
          <w:sz w:val="24"/>
          <w:szCs w:val="24"/>
        </w:rPr>
        <w:t>here was a significant (</w:t>
      </w:r>
      <w:r>
        <w:rPr>
          <w:rFonts w:ascii="Times New Roman" w:hAnsi="Times New Roman"/>
          <w:sz w:val="24"/>
          <w:szCs w:val="24"/>
        </w:rPr>
        <w:t>P</w:t>
      </w:r>
      <w:r w:rsidRPr="001258B6">
        <w:rPr>
          <w:rFonts w:ascii="Times New Roman" w:hAnsi="Times New Roman"/>
          <w:sz w:val="24"/>
          <w:szCs w:val="24"/>
        </w:rPr>
        <w:t>&lt;0.05) differen</w:t>
      </w:r>
      <w:r>
        <w:rPr>
          <w:rFonts w:ascii="Times New Roman" w:hAnsi="Times New Roman"/>
          <w:sz w:val="24"/>
          <w:szCs w:val="24"/>
        </w:rPr>
        <w:t xml:space="preserve">ce </w:t>
      </w:r>
      <w:r w:rsidRPr="001258B6">
        <w:rPr>
          <w:rFonts w:ascii="Times New Roman" w:hAnsi="Times New Roman"/>
          <w:sz w:val="24"/>
          <w:szCs w:val="24"/>
        </w:rPr>
        <w:t xml:space="preserve">in mean ± SE values for </w:t>
      </w:r>
      <w:r>
        <w:rPr>
          <w:rFonts w:ascii="Times New Roman" w:hAnsi="Times New Roman"/>
          <w:sz w:val="24"/>
          <w:szCs w:val="24"/>
        </w:rPr>
        <w:t xml:space="preserve">shear force </w:t>
      </w:r>
      <w:r w:rsidRPr="001258B6">
        <w:rPr>
          <w:rFonts w:ascii="Times New Roman" w:hAnsi="Times New Roman"/>
          <w:sz w:val="24"/>
          <w:szCs w:val="24"/>
        </w:rPr>
        <w:t>among</w:t>
      </w:r>
      <w:r>
        <w:rPr>
          <w:rFonts w:ascii="Times New Roman" w:hAnsi="Times New Roman"/>
          <w:sz w:val="24"/>
          <w:szCs w:val="24"/>
        </w:rPr>
        <w:t xml:space="preserve"> Vanaraja, Indbro, and Commercial broilers meat during entire storage period. Among the birds group, Vanaraja had significantly (P&lt;</w:t>
      </w:r>
      <w:r w:rsidR="00FA22A2">
        <w:rPr>
          <w:rFonts w:ascii="Times New Roman" w:hAnsi="Times New Roman"/>
          <w:sz w:val="24"/>
          <w:szCs w:val="24"/>
        </w:rPr>
        <w:t xml:space="preserve">0.05) higher shear force values </w:t>
      </w:r>
      <w:r>
        <w:rPr>
          <w:rFonts w:ascii="Times New Roman" w:hAnsi="Times New Roman"/>
          <w:sz w:val="24"/>
          <w:szCs w:val="24"/>
        </w:rPr>
        <w:t xml:space="preserve">during entire storage </w:t>
      </w:r>
      <w:r>
        <w:rPr>
          <w:rFonts w:ascii="Times New Roman" w:hAnsi="Times New Roman"/>
          <w:sz w:val="24"/>
          <w:szCs w:val="24"/>
        </w:rPr>
        <w:lastRenderedPageBreak/>
        <w:t xml:space="preserve">period </w:t>
      </w:r>
      <w:r w:rsidR="00954BA3">
        <w:rPr>
          <w:rFonts w:ascii="Times New Roman" w:hAnsi="Times New Roman"/>
          <w:sz w:val="24"/>
          <w:szCs w:val="24"/>
        </w:rPr>
        <w:t>of super</w:t>
      </w:r>
      <w:r w:rsidR="00CB0BE3">
        <w:rPr>
          <w:rFonts w:ascii="Times New Roman" w:hAnsi="Times New Roman"/>
          <w:sz w:val="24"/>
          <w:szCs w:val="24"/>
        </w:rPr>
        <w:t xml:space="preserve"> </w:t>
      </w:r>
      <w:r w:rsidR="00954BA3">
        <w:rPr>
          <w:rFonts w:ascii="Times New Roman" w:hAnsi="Times New Roman"/>
          <w:sz w:val="24"/>
          <w:szCs w:val="24"/>
        </w:rPr>
        <w:t xml:space="preserve">chilling and freezing. </w:t>
      </w:r>
      <w:r w:rsidR="00B105B5">
        <w:rPr>
          <w:rFonts w:ascii="Times New Roman" w:hAnsi="Times New Roman"/>
          <w:color w:val="000000" w:themeColor="text1"/>
          <w:sz w:val="24"/>
          <w:szCs w:val="24"/>
        </w:rPr>
        <w:t xml:space="preserve">Daming Ding </w:t>
      </w:r>
      <w:r w:rsidR="00B105B5" w:rsidRPr="00FA38F8">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(2020) studied the SFV of pork samples stored at different degrees of super chilling and observed that samples stored at -1</w:t>
      </w:r>
      <w:r w:rsidR="00B105B5">
        <w:rPr>
          <w:rFonts w:ascii="Times New Roman" w:hAnsi="Times New Roman"/>
          <w:color w:val="000000" w:themeColor="text1"/>
          <w:sz w:val="24"/>
          <w:szCs w:val="24"/>
          <w:vertAlign w:val="superscript"/>
        </w:rPr>
        <w:t>0</w:t>
      </w:r>
      <w:r w:rsidR="00B105B5">
        <w:rPr>
          <w:rFonts w:ascii="Times New Roman" w:hAnsi="Times New Roman"/>
          <w:color w:val="000000" w:themeColor="text1"/>
          <w:sz w:val="24"/>
          <w:szCs w:val="24"/>
        </w:rPr>
        <w:t xml:space="preserve">C where no ice crystal formation showed higher SFV values when compared to those samples where there is a formation of ice crystals. The formation of ice crystals disrupts the physical structure of pork tissue, breaking myofibrils apart thereby resulting in tenderization (Vieira </w:t>
      </w:r>
      <w:r w:rsidR="00B105B5" w:rsidRPr="003D1754">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2009). The loss in membrane strength due to ice crystal formation reduces the force needed to shear the meat (Liu </w:t>
      </w:r>
      <w:r w:rsidR="00B105B5" w:rsidRPr="003D1754">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2010). Similar to present study, Rajkumar </w:t>
      </w:r>
      <w:r w:rsidR="00B105B5" w:rsidRPr="0096440A">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(2016) observed higher SFV in larger Aseel followed by smaller Aseel than Commercial broilers. High SFV consistent with the high collagen content which, is as</w:t>
      </w:r>
      <w:r w:rsidR="007E47B4">
        <w:rPr>
          <w:rFonts w:ascii="Times New Roman" w:hAnsi="Times New Roman"/>
          <w:color w:val="000000" w:themeColor="text1"/>
          <w:sz w:val="24"/>
          <w:szCs w:val="24"/>
        </w:rPr>
        <w:t>sociated with the age of birds.</w:t>
      </w:r>
    </w:p>
    <w:p w:rsidR="00FA22A2" w:rsidRPr="00D03537" w:rsidRDefault="00FA22A2" w:rsidP="00701070">
      <w:pPr>
        <w:pStyle w:val="Default"/>
        <w:jc w:val="both"/>
      </w:pPr>
      <w:r w:rsidRPr="00D03537">
        <w:rPr>
          <w:b/>
          <w:color w:val="auto"/>
        </w:rPr>
        <w:t>Microbial Analysis</w:t>
      </w:r>
    </w:p>
    <w:p w:rsidR="00FA22A2" w:rsidRPr="00D03537" w:rsidRDefault="00FA22A2" w:rsidP="00701070">
      <w:pPr>
        <w:keepNext/>
        <w:widowControl w:val="0"/>
        <w:tabs>
          <w:tab w:val="left" w:pos="180"/>
        </w:tabs>
        <w:spacing w:after="0" w:line="240" w:lineRule="auto"/>
        <w:jc w:val="both"/>
        <w:rPr>
          <w:rFonts w:ascii="Times New Roman" w:hAnsi="Times New Roman" w:cs="Times New Roman"/>
          <w:b/>
          <w:sz w:val="24"/>
          <w:szCs w:val="24"/>
        </w:rPr>
      </w:pPr>
      <w:r w:rsidRPr="00D03537">
        <w:rPr>
          <w:rFonts w:ascii="Times New Roman" w:hAnsi="Times New Roman" w:cs="Times New Roman"/>
          <w:b/>
          <w:sz w:val="24"/>
          <w:szCs w:val="24"/>
        </w:rPr>
        <w:t>Total plate count (TPC)</w:t>
      </w:r>
    </w:p>
    <w:p w:rsidR="00C63D2D" w:rsidRDefault="00FA22A2" w:rsidP="00D464A6">
      <w:pPr>
        <w:tabs>
          <w:tab w:val="left" w:pos="3744"/>
        </w:tabs>
        <w:spacing w:after="0" w:line="240" w:lineRule="auto"/>
        <w:jc w:val="both"/>
        <w:rPr>
          <w:rFonts w:ascii="Times New Roman" w:hAnsi="Times New Roman"/>
          <w:color w:val="000000" w:themeColor="text1"/>
          <w:sz w:val="24"/>
          <w:szCs w:val="24"/>
        </w:rPr>
      </w:pPr>
      <w:r w:rsidRPr="00A864AB">
        <w:rPr>
          <w:rFonts w:ascii="Times New Roman" w:hAnsi="Times New Roman" w:cs="Times New Roman"/>
          <w:sz w:val="24"/>
          <w:szCs w:val="24"/>
        </w:rPr>
        <w:t>The mean ± SE values of TPC for all group of birds increased gradually with respective storage condition. The values for Commercial broilers on 6, and 12 day of super chilling were significantly (p&lt;0.05) lower w</w:t>
      </w:r>
      <w:r w:rsidR="00A864AB" w:rsidRPr="00A864AB">
        <w:rPr>
          <w:rFonts w:ascii="Times New Roman" w:hAnsi="Times New Roman" w:cs="Times New Roman"/>
          <w:sz w:val="24"/>
          <w:szCs w:val="24"/>
        </w:rPr>
        <w:t xml:space="preserve">hen compared with other groups. Whereas meat of Vanaraja showed higher TPC values during entire storage period </w:t>
      </w:r>
      <w:r w:rsidRPr="00A864AB">
        <w:rPr>
          <w:rFonts w:ascii="Times New Roman" w:hAnsi="Times New Roman" w:cs="Times New Roman"/>
          <w:sz w:val="24"/>
          <w:szCs w:val="24"/>
        </w:rPr>
        <w:t xml:space="preserve">when compared with other groups. There was no significant (p&lt;0.05) difference in </w:t>
      </w:r>
      <w:r w:rsidR="00B774F6" w:rsidRPr="00A864AB">
        <w:rPr>
          <w:rFonts w:ascii="Times New Roman" w:hAnsi="Times New Roman" w:cs="Times New Roman"/>
          <w:sz w:val="24"/>
          <w:szCs w:val="24"/>
        </w:rPr>
        <w:t xml:space="preserve">values </w:t>
      </w:r>
      <w:r w:rsidRPr="00A864AB">
        <w:rPr>
          <w:rFonts w:ascii="Times New Roman" w:hAnsi="Times New Roman" w:cs="Times New Roman"/>
          <w:sz w:val="24"/>
          <w:szCs w:val="24"/>
        </w:rPr>
        <w:t>between Vanaraja and Indbro birds on day 30, and 60 days of freezing storage.</w:t>
      </w:r>
      <w:r w:rsidR="00A864AB" w:rsidRPr="00A864AB">
        <w:rPr>
          <w:rFonts w:ascii="Times New Roman" w:hAnsi="Times New Roman" w:cs="Times New Roman"/>
          <w:sz w:val="24"/>
          <w:szCs w:val="24"/>
        </w:rPr>
        <w:t xml:space="preserve"> </w:t>
      </w:r>
      <w:r w:rsidR="00A864AB" w:rsidRPr="00A864AB">
        <w:rPr>
          <w:rFonts w:ascii="Times New Roman" w:hAnsi="Times New Roman" w:cs="Times New Roman"/>
          <w:color w:val="000000" w:themeColor="text1"/>
          <w:sz w:val="24"/>
          <w:szCs w:val="24"/>
        </w:rPr>
        <w:t>In super chilled and frozen fillet, the growth of bacteria is prevented by reducing the availability of water by the ice crystals formation. However, the release of drip, which has provided excellent medium for microbial growth (Nirmal and Benjakul, 2010) might be the reason for increase in TPC counts in super chilled breast fillet.</w:t>
      </w:r>
      <w:r w:rsidR="00A864AB">
        <w:rPr>
          <w:rFonts w:ascii="Times New Roman" w:hAnsi="Times New Roman" w:cs="Times New Roman"/>
          <w:color w:val="000000" w:themeColor="text1"/>
          <w:sz w:val="24"/>
          <w:szCs w:val="24"/>
        </w:rPr>
        <w:t xml:space="preserve"> </w:t>
      </w:r>
      <w:r w:rsidR="00C63D2D">
        <w:rPr>
          <w:rFonts w:ascii="Times New Roman" w:hAnsi="Times New Roman"/>
          <w:color w:val="000000" w:themeColor="text1"/>
          <w:sz w:val="24"/>
          <w:szCs w:val="24"/>
        </w:rPr>
        <w:t xml:space="preserve">Increase in TPC counts with increased storage time might be due to the reactivation of microbial activity upon thawing along with cellular damage resulting from frozen storage (Farouk </w:t>
      </w:r>
      <w:r w:rsidR="00C63D2D" w:rsidRPr="00365861">
        <w:rPr>
          <w:rFonts w:ascii="Times New Roman" w:hAnsi="Times New Roman"/>
          <w:i/>
          <w:color w:val="000000" w:themeColor="text1"/>
          <w:sz w:val="24"/>
          <w:szCs w:val="24"/>
        </w:rPr>
        <w:t>et al</w:t>
      </w:r>
      <w:r w:rsidR="00C63D2D">
        <w:rPr>
          <w:rFonts w:ascii="Times New Roman" w:hAnsi="Times New Roman"/>
          <w:color w:val="000000" w:themeColor="text1"/>
          <w:sz w:val="24"/>
          <w:szCs w:val="24"/>
        </w:rPr>
        <w:t>.,</w:t>
      </w:r>
      <w:r w:rsidR="00C63D2D" w:rsidRPr="00365861">
        <w:rPr>
          <w:rFonts w:ascii="Times New Roman" w:hAnsi="Times New Roman"/>
          <w:color w:val="000000" w:themeColor="text1"/>
          <w:sz w:val="24"/>
          <w:szCs w:val="24"/>
        </w:rPr>
        <w:t xml:space="preserve"> </w:t>
      </w:r>
      <w:r w:rsidR="00C63D2D">
        <w:rPr>
          <w:rFonts w:ascii="Times New Roman" w:hAnsi="Times New Roman"/>
          <w:color w:val="000000" w:themeColor="text1"/>
          <w:sz w:val="24"/>
          <w:szCs w:val="24"/>
        </w:rPr>
        <w:t xml:space="preserve">2004; Leygonie </w:t>
      </w:r>
      <w:r w:rsidR="00C63D2D" w:rsidRPr="00365861">
        <w:rPr>
          <w:rFonts w:ascii="Times New Roman" w:hAnsi="Times New Roman"/>
          <w:i/>
          <w:color w:val="000000" w:themeColor="text1"/>
          <w:sz w:val="24"/>
          <w:szCs w:val="24"/>
        </w:rPr>
        <w:t>et al</w:t>
      </w:r>
      <w:r w:rsidR="00C63D2D">
        <w:rPr>
          <w:rFonts w:ascii="Times New Roman" w:hAnsi="Times New Roman"/>
          <w:color w:val="000000" w:themeColor="text1"/>
          <w:sz w:val="24"/>
          <w:szCs w:val="24"/>
        </w:rPr>
        <w:t>., 2012).</w:t>
      </w:r>
    </w:p>
    <w:p w:rsidR="00157A35" w:rsidRDefault="00157A35" w:rsidP="00D464A6">
      <w:pPr>
        <w:tabs>
          <w:tab w:val="left" w:pos="3744"/>
        </w:tabs>
        <w:spacing w:after="0" w:line="240" w:lineRule="auto"/>
        <w:jc w:val="both"/>
        <w:rPr>
          <w:rFonts w:ascii="Times New Roman" w:hAnsi="Times New Roman"/>
          <w:color w:val="000000" w:themeColor="text1"/>
          <w:sz w:val="24"/>
          <w:szCs w:val="24"/>
        </w:rPr>
      </w:pPr>
    </w:p>
    <w:p w:rsidR="00D90E7D" w:rsidRPr="00D90E7D" w:rsidRDefault="00157A35" w:rsidP="00D464A6">
      <w:pPr>
        <w:spacing w:after="0" w:line="240" w:lineRule="auto"/>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2</w:t>
      </w:r>
      <w:r w:rsidRPr="00157A35">
        <w:rPr>
          <w:rFonts w:ascii="Times New Roman" w:hAnsi="Times New Roman"/>
          <w:b/>
          <w:sz w:val="24"/>
          <w:szCs w:val="24"/>
        </w:rPr>
        <w:t xml:space="preserve">. </w:t>
      </w:r>
      <w:r w:rsidR="00D90E7D" w:rsidRPr="003C097F">
        <w:rPr>
          <w:rFonts w:ascii="Times New Roman" w:hAnsi="Times New Roman"/>
          <w:b/>
          <w:sz w:val="24"/>
          <w:szCs w:val="24"/>
        </w:rPr>
        <w:t>Total Plate count</w:t>
      </w:r>
      <w:r w:rsidR="00D90E7D">
        <w:rPr>
          <w:rFonts w:ascii="Times New Roman" w:hAnsi="Times New Roman"/>
          <w:b/>
          <w:sz w:val="24"/>
          <w:szCs w:val="24"/>
        </w:rPr>
        <w:t xml:space="preserve"> </w:t>
      </w:r>
      <w:r w:rsidR="00D90E7D" w:rsidRPr="003C097F">
        <w:rPr>
          <w:rFonts w:ascii="Times New Roman" w:hAnsi="Times New Roman"/>
          <w:b/>
          <w:sz w:val="24"/>
          <w:szCs w:val="24"/>
        </w:rPr>
        <w:t>(TPC)</w:t>
      </w:r>
      <w:r w:rsidR="00D90E7D">
        <w:rPr>
          <w:rFonts w:ascii="Times New Roman" w:hAnsi="Times New Roman"/>
          <w:b/>
          <w:sz w:val="24"/>
          <w:szCs w:val="24"/>
        </w:rPr>
        <w:t>, Psychrotropic counts, &amp; Yeast &amp; Mould counts (YMC) values of Vanaraja, Indbro, and C</w:t>
      </w:r>
      <w:r w:rsidR="00D90E7D" w:rsidRPr="003C097F">
        <w:rPr>
          <w:rFonts w:ascii="Times New Roman" w:hAnsi="Times New Roman"/>
          <w:b/>
          <w:sz w:val="24"/>
          <w:szCs w:val="24"/>
        </w:rPr>
        <w:t>ommerc</w:t>
      </w:r>
      <w:r w:rsidR="00D90E7D">
        <w:rPr>
          <w:rFonts w:ascii="Times New Roman" w:hAnsi="Times New Roman"/>
          <w:b/>
          <w:sz w:val="24"/>
          <w:szCs w:val="24"/>
        </w:rPr>
        <w:t xml:space="preserve">ial broiler chicken preserved at </w:t>
      </w:r>
      <w:r w:rsidR="00D90E7D" w:rsidRPr="003C097F">
        <w:rPr>
          <w:rFonts w:ascii="Times New Roman" w:hAnsi="Times New Roman"/>
          <w:b/>
          <w:sz w:val="24"/>
          <w:szCs w:val="24"/>
        </w:rPr>
        <w:t>super</w:t>
      </w:r>
      <w:r w:rsidR="00D90E7D">
        <w:rPr>
          <w:rFonts w:ascii="Times New Roman" w:hAnsi="Times New Roman"/>
          <w:b/>
          <w:sz w:val="24"/>
          <w:szCs w:val="24"/>
        </w:rPr>
        <w:t xml:space="preserve"> chilled </w:t>
      </w:r>
      <w:r w:rsidR="00D90E7D" w:rsidRPr="003C097F">
        <w:rPr>
          <w:rFonts w:ascii="Times New Roman" w:hAnsi="Times New Roman"/>
          <w:b/>
          <w:sz w:val="24"/>
          <w:szCs w:val="24"/>
        </w:rPr>
        <w:t>and frozen storage conditions</w:t>
      </w:r>
      <w:r w:rsidR="00D90E7D">
        <w:rPr>
          <w:rFonts w:ascii="Times New Roman" w:hAnsi="Times New Roman"/>
          <w:b/>
          <w:sz w:val="24"/>
          <w:szCs w:val="24"/>
        </w:rPr>
        <w:t xml:space="preserve"> (</w:t>
      </w:r>
      <w:r w:rsidR="00D90E7D" w:rsidRPr="003C097F">
        <w:rPr>
          <w:rFonts w:ascii="Times New Roman" w:hAnsi="Times New Roman"/>
          <w:b/>
          <w:sz w:val="24"/>
          <w:szCs w:val="24"/>
        </w:rPr>
        <w:t>Mean ± SE</w:t>
      </w:r>
      <w:r w:rsidR="00D90E7D">
        <w:rPr>
          <w:rFonts w:ascii="Times New Roman" w:hAnsi="Times New Roman"/>
          <w:b/>
          <w:sz w:val="24"/>
          <w:szCs w:val="24"/>
        </w:rPr>
        <w:t>).</w:t>
      </w:r>
    </w:p>
    <w:tbl>
      <w:tblPr>
        <w:tblStyle w:val="TableGrid"/>
        <w:tblW w:w="9319" w:type="dxa"/>
        <w:tblInd w:w="-5" w:type="dxa"/>
        <w:tblLook w:val="04A0" w:firstRow="1" w:lastRow="0" w:firstColumn="1" w:lastColumn="0" w:noHBand="0" w:noVBand="1"/>
      </w:tblPr>
      <w:tblGrid>
        <w:gridCol w:w="1191"/>
        <w:gridCol w:w="1587"/>
        <w:gridCol w:w="1134"/>
        <w:gridCol w:w="467"/>
        <w:gridCol w:w="1610"/>
        <w:gridCol w:w="1671"/>
        <w:gridCol w:w="1659"/>
      </w:tblGrid>
      <w:tr w:rsidR="00D26997" w:rsidRPr="00434017" w:rsidTr="00765DD9">
        <w:trPr>
          <w:trHeight w:val="482"/>
        </w:trPr>
        <w:tc>
          <w:tcPr>
            <w:tcW w:w="2778" w:type="dxa"/>
            <w:gridSpan w:val="2"/>
            <w:vMerge w:val="restart"/>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1601" w:type="dxa"/>
            <w:gridSpan w:val="2"/>
            <w:vMerge w:val="restart"/>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4940" w:type="dxa"/>
            <w:gridSpan w:val="3"/>
          </w:tcPr>
          <w:p w:rsidR="00D90E7D" w:rsidRPr="00434017" w:rsidRDefault="00D90E7D" w:rsidP="00D84356">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765DD9" w:rsidRPr="00434017" w:rsidTr="00765DD9">
        <w:trPr>
          <w:trHeight w:val="675"/>
        </w:trPr>
        <w:tc>
          <w:tcPr>
            <w:tcW w:w="2778" w:type="dxa"/>
            <w:gridSpan w:val="2"/>
            <w:vMerge/>
          </w:tcPr>
          <w:p w:rsidR="00D90E7D" w:rsidRPr="00434017" w:rsidRDefault="00D90E7D" w:rsidP="00D84356">
            <w:pPr>
              <w:jc w:val="center"/>
              <w:rPr>
                <w:rFonts w:ascii="Times New Roman" w:hAnsi="Times New Roman" w:cs="Times New Roman"/>
                <w:b/>
                <w:bCs/>
                <w:sz w:val="24"/>
                <w:szCs w:val="24"/>
              </w:rPr>
            </w:pPr>
          </w:p>
        </w:tc>
        <w:tc>
          <w:tcPr>
            <w:tcW w:w="1601" w:type="dxa"/>
            <w:gridSpan w:val="2"/>
            <w:vMerge/>
          </w:tcPr>
          <w:p w:rsidR="00D90E7D" w:rsidRPr="00434017" w:rsidRDefault="00D90E7D" w:rsidP="00D84356">
            <w:pPr>
              <w:jc w:val="center"/>
              <w:rPr>
                <w:rFonts w:ascii="Times New Roman" w:hAnsi="Times New Roman" w:cs="Times New Roman"/>
                <w:b/>
                <w:bCs/>
                <w:sz w:val="24"/>
                <w:szCs w:val="24"/>
              </w:rPr>
            </w:pPr>
          </w:p>
        </w:tc>
        <w:tc>
          <w:tcPr>
            <w:tcW w:w="1610" w:type="dxa"/>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Vanaraja</w:t>
            </w:r>
          </w:p>
        </w:tc>
        <w:tc>
          <w:tcPr>
            <w:tcW w:w="1671" w:type="dxa"/>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Indbro</w:t>
            </w:r>
          </w:p>
        </w:tc>
        <w:tc>
          <w:tcPr>
            <w:tcW w:w="1659" w:type="dxa"/>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765DD9" w:rsidRPr="00B16C8E" w:rsidTr="00765DD9">
        <w:trPr>
          <w:trHeight w:val="391"/>
        </w:trPr>
        <w:tc>
          <w:tcPr>
            <w:tcW w:w="1191"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Microbial analysis</w:t>
            </w:r>
          </w:p>
        </w:tc>
        <w:tc>
          <w:tcPr>
            <w:tcW w:w="1587"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TPC</w:t>
            </w: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3.16±0.007</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bA</w:t>
            </w:r>
            <w:proofErr w:type="spellEnd"/>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3.14±0.003</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bA</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3.13±0.004</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aA</w:t>
            </w:r>
            <w:proofErr w:type="spellEnd"/>
          </w:p>
        </w:tc>
      </w:tr>
      <w:tr w:rsidR="00765DD9" w:rsidRPr="00B16C8E" w:rsidTr="00765DD9">
        <w:trPr>
          <w:trHeight w:val="358"/>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3.18±0.005</w:t>
            </w:r>
            <w:r w:rsidR="00C805F0">
              <w:rPr>
                <w:rFonts w:ascii="Times New Roman" w:hAnsi="Times New Roman"/>
                <w:sz w:val="24"/>
                <w:szCs w:val="24"/>
                <w:vertAlign w:val="superscript"/>
              </w:rPr>
              <w:t>bB</w:t>
            </w:r>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3.17±0.002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bB</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3.16±0.002</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aB</w:t>
            </w:r>
            <w:proofErr w:type="spellEnd"/>
          </w:p>
        </w:tc>
      </w:tr>
      <w:tr w:rsidR="00765DD9" w:rsidRPr="00B16C8E" w:rsidTr="00765DD9">
        <w:trPr>
          <w:trHeight w:val="308"/>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3.22±0.005</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3.21±0.004</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aC</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3.20±0.005</w:t>
            </w:r>
            <w:r w:rsidR="00294276">
              <w:rPr>
                <w:rFonts w:ascii="Times New Roman" w:hAnsi="Times New Roman"/>
                <w:sz w:val="24"/>
                <w:szCs w:val="24"/>
              </w:rPr>
              <w:t xml:space="preserve"> </w:t>
            </w:r>
            <w:proofErr w:type="spellStart"/>
            <w:r w:rsidR="00294276">
              <w:rPr>
                <w:rFonts w:ascii="Times New Roman" w:hAnsi="Times New Roman"/>
                <w:sz w:val="24"/>
                <w:szCs w:val="24"/>
                <w:vertAlign w:val="superscript"/>
              </w:rPr>
              <w:t>aC</w:t>
            </w:r>
            <w:proofErr w:type="spellEnd"/>
          </w:p>
        </w:tc>
      </w:tr>
      <w:tr w:rsidR="00765DD9" w:rsidRPr="00B16C8E" w:rsidTr="00765DD9">
        <w:trPr>
          <w:trHeight w:val="140"/>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3.23±0.003</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3.22±0.002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3.21±0.002</w:t>
            </w:r>
            <w:r w:rsidR="00294276">
              <w:rPr>
                <w:rFonts w:ascii="Times New Roman" w:hAnsi="Times New Roman"/>
                <w:sz w:val="24"/>
                <w:szCs w:val="24"/>
              </w:rPr>
              <w:t xml:space="preserve"> </w:t>
            </w:r>
            <w:proofErr w:type="spellStart"/>
            <w:r w:rsidR="00294276">
              <w:rPr>
                <w:rFonts w:ascii="Times New Roman" w:hAnsi="Times New Roman"/>
                <w:sz w:val="24"/>
                <w:szCs w:val="24"/>
                <w:vertAlign w:val="superscript"/>
              </w:rPr>
              <w:t>aC</w:t>
            </w:r>
            <w:proofErr w:type="spellEnd"/>
          </w:p>
        </w:tc>
      </w:tr>
      <w:tr w:rsidR="00765DD9" w:rsidRPr="00B16C8E" w:rsidTr="00765DD9">
        <w:trPr>
          <w:trHeight w:val="140"/>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3.26±0.001</w:t>
            </w:r>
            <w:r w:rsidR="00C805F0">
              <w:rPr>
                <w:rFonts w:ascii="Times New Roman" w:hAnsi="Times New Roman"/>
                <w:sz w:val="24"/>
                <w:szCs w:val="24"/>
                <w:vertAlign w:val="superscript"/>
              </w:rPr>
              <w:t>bD</w:t>
            </w:r>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3.26±0.002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bD</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3.25±0.004</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aD</w:t>
            </w:r>
            <w:proofErr w:type="spellEnd"/>
          </w:p>
        </w:tc>
      </w:tr>
      <w:tr w:rsidR="00765DD9" w:rsidRPr="00EB3B59" w:rsidTr="00765DD9">
        <w:trPr>
          <w:trHeight w:val="346"/>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Psychrotropic counts</w:t>
            </w: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2.92±0.012</w:t>
            </w:r>
            <w:r w:rsidR="00E6625B">
              <w:rPr>
                <w:rFonts w:ascii="Times New Roman" w:hAnsi="Times New Roman"/>
                <w:sz w:val="24"/>
                <w:szCs w:val="24"/>
                <w:vertAlign w:val="superscript"/>
              </w:rPr>
              <w:t>bA</w:t>
            </w:r>
          </w:p>
        </w:tc>
        <w:tc>
          <w:tcPr>
            <w:tcW w:w="1671" w:type="dxa"/>
            <w:vAlign w:val="center"/>
          </w:tcPr>
          <w:p w:rsidR="00765DD9" w:rsidRPr="00485C49" w:rsidRDefault="00765DD9" w:rsidP="00765DD9">
            <w:pPr>
              <w:rPr>
                <w:rFonts w:ascii="Times New Roman" w:hAnsi="Times New Roman"/>
                <w:sz w:val="24"/>
                <w:szCs w:val="24"/>
              </w:rPr>
            </w:pPr>
            <w:r>
              <w:rPr>
                <w:rFonts w:ascii="Times New Roman" w:hAnsi="Times New Roman"/>
                <w:sz w:val="24"/>
                <w:szCs w:val="24"/>
              </w:rPr>
              <w:t>2.90</w:t>
            </w:r>
            <w:r w:rsidRPr="00485C49">
              <w:rPr>
                <w:rFonts w:ascii="Times New Roman" w:hAnsi="Times New Roman"/>
                <w:sz w:val="24"/>
                <w:szCs w:val="24"/>
              </w:rPr>
              <w:t>±0.007</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abA</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2.87±0.008</w:t>
            </w:r>
            <w:r>
              <w:rPr>
                <w:rFonts w:ascii="Times New Roman" w:hAnsi="Times New Roman"/>
                <w:sz w:val="24"/>
                <w:szCs w:val="24"/>
              </w:rPr>
              <w:t xml:space="preserve"> </w:t>
            </w:r>
            <w:proofErr w:type="spellStart"/>
            <w:r w:rsidRPr="00485C49">
              <w:rPr>
                <w:rFonts w:ascii="Times New Roman" w:hAnsi="Times New Roman"/>
                <w:sz w:val="24"/>
                <w:szCs w:val="24"/>
                <w:vertAlign w:val="superscript"/>
              </w:rPr>
              <w:t>aA</w:t>
            </w:r>
            <w:proofErr w:type="spellEnd"/>
          </w:p>
        </w:tc>
      </w:tr>
      <w:tr w:rsidR="00765DD9" w:rsidRPr="00EB3B59" w:rsidTr="00765DD9">
        <w:trPr>
          <w:trHeight w:val="344"/>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2.95±0.015</w:t>
            </w:r>
            <w:r w:rsidR="00E6625B">
              <w:rPr>
                <w:rFonts w:ascii="Times New Roman" w:hAnsi="Times New Roman"/>
                <w:sz w:val="24"/>
                <w:szCs w:val="24"/>
                <w:vertAlign w:val="superscript"/>
              </w:rPr>
              <w:t>aB</w:t>
            </w:r>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2.94±0.011</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2.93±</w:t>
            </w:r>
            <w:r>
              <w:rPr>
                <w:rFonts w:ascii="Times New Roman" w:hAnsi="Times New Roman"/>
                <w:sz w:val="24"/>
                <w:szCs w:val="24"/>
              </w:rPr>
              <w:t>0.0</w:t>
            </w:r>
            <w:r w:rsidRPr="00485C49">
              <w:rPr>
                <w:rFonts w:ascii="Times New Roman" w:hAnsi="Times New Roman"/>
                <w:sz w:val="24"/>
                <w:szCs w:val="24"/>
              </w:rPr>
              <w:t>1</w:t>
            </w:r>
            <w:r>
              <w:rPr>
                <w:rFonts w:ascii="Times New Roman" w:hAnsi="Times New Roman"/>
                <w:sz w:val="24"/>
                <w:szCs w:val="24"/>
              </w:rPr>
              <w:t>1</w:t>
            </w:r>
            <w:r w:rsidR="00F24CA5">
              <w:rPr>
                <w:rFonts w:ascii="Times New Roman" w:hAnsi="Times New Roman"/>
                <w:sz w:val="24"/>
                <w:szCs w:val="24"/>
                <w:vertAlign w:val="superscript"/>
              </w:rPr>
              <w:t>aB</w:t>
            </w:r>
          </w:p>
        </w:tc>
      </w:tr>
      <w:tr w:rsidR="00765DD9" w:rsidRPr="00EB3B59" w:rsidTr="00765DD9">
        <w:trPr>
          <w:trHeight w:val="126"/>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3.02±0.009</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bC</w:t>
            </w:r>
            <w:proofErr w:type="spellEnd"/>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3.01±0.005</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abC</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2.99±0.006</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B3B59" w:rsidTr="00765DD9">
        <w:trPr>
          <w:trHeight w:val="125"/>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3.02±0.004</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cC</w:t>
            </w:r>
            <w:proofErr w:type="spellEnd"/>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3.01±0.003</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bC</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2.99±0.002</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B3B59" w:rsidTr="00765DD9">
        <w:trPr>
          <w:trHeight w:val="125"/>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3.04±0.007</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bC</w:t>
            </w:r>
            <w:proofErr w:type="spellEnd"/>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3.03±0.006</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bD</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3.01±0.008</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96687" w:rsidTr="00765DD9">
        <w:trPr>
          <w:trHeight w:val="346"/>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YMC</w:t>
            </w: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2.88±0.010</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bA</w:t>
            </w:r>
            <w:proofErr w:type="spellEnd"/>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2.87±0.006</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bA</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2.84±0.006</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aA</w:t>
            </w:r>
            <w:proofErr w:type="spellEnd"/>
          </w:p>
        </w:tc>
      </w:tr>
      <w:tr w:rsidR="00765DD9" w:rsidRPr="00E96687" w:rsidTr="00765DD9">
        <w:trPr>
          <w:trHeight w:val="344"/>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2.93±0.007</w:t>
            </w:r>
            <w:r w:rsidR="00AF2F06">
              <w:rPr>
                <w:rFonts w:ascii="Times New Roman" w:hAnsi="Times New Roman"/>
                <w:sz w:val="24"/>
                <w:szCs w:val="24"/>
                <w:vertAlign w:val="superscript"/>
              </w:rPr>
              <w:t>bBC</w:t>
            </w:r>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2.92±0.005</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abB</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2.90±0.008</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aA</w:t>
            </w:r>
            <w:proofErr w:type="spellEnd"/>
          </w:p>
        </w:tc>
      </w:tr>
      <w:tr w:rsidR="00765DD9" w:rsidRPr="00E96687" w:rsidTr="00765DD9">
        <w:trPr>
          <w:trHeight w:val="126"/>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2.95±0.013</w:t>
            </w:r>
            <w:r w:rsidR="00AF2F06">
              <w:rPr>
                <w:rFonts w:ascii="Times New Roman" w:hAnsi="Times New Roman"/>
                <w:sz w:val="24"/>
                <w:szCs w:val="24"/>
                <w:vertAlign w:val="superscript"/>
              </w:rPr>
              <w:t>aCD</w:t>
            </w:r>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2.95±0.008</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aCD</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2.92±0.006</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aB</w:t>
            </w:r>
            <w:proofErr w:type="spellEnd"/>
          </w:p>
        </w:tc>
      </w:tr>
      <w:tr w:rsidR="00765DD9" w:rsidRPr="00E96687" w:rsidTr="00765DD9">
        <w:trPr>
          <w:trHeight w:val="125"/>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2.95±0.007</w:t>
            </w:r>
            <w:r w:rsidR="00AF2F06">
              <w:rPr>
                <w:rFonts w:ascii="Times New Roman" w:hAnsi="Times New Roman"/>
                <w:sz w:val="24"/>
                <w:szCs w:val="24"/>
                <w:vertAlign w:val="superscript"/>
              </w:rPr>
              <w:t>bCD</w:t>
            </w:r>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2.93±0.006</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bBC</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2.91±0.008</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aB</w:t>
            </w:r>
            <w:proofErr w:type="spellEnd"/>
          </w:p>
        </w:tc>
      </w:tr>
      <w:tr w:rsidR="00765DD9" w:rsidRPr="00E96687" w:rsidTr="00765DD9">
        <w:trPr>
          <w:trHeight w:val="125"/>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2.97±0.015</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aD</w:t>
            </w:r>
            <w:proofErr w:type="spellEnd"/>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2.96±0.009</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aD</w:t>
            </w:r>
            <w:proofErr w:type="spellEnd"/>
          </w:p>
        </w:tc>
        <w:tc>
          <w:tcPr>
            <w:tcW w:w="1659" w:type="dxa"/>
            <w:vAlign w:val="center"/>
          </w:tcPr>
          <w:p w:rsidR="00765DD9" w:rsidRPr="00F37749" w:rsidRDefault="00765DD9" w:rsidP="00765DD9">
            <w:pPr>
              <w:tabs>
                <w:tab w:val="left" w:pos="2712"/>
              </w:tabs>
              <w:rPr>
                <w:rFonts w:ascii="Times New Roman" w:hAnsi="Times New Roman"/>
                <w:sz w:val="24"/>
                <w:szCs w:val="24"/>
              </w:rPr>
            </w:pPr>
            <w:r w:rsidRPr="00F37749">
              <w:rPr>
                <w:rFonts w:ascii="Times New Roman" w:hAnsi="Times New Roman"/>
                <w:sz w:val="24"/>
                <w:szCs w:val="24"/>
              </w:rPr>
              <w:t>2.95±0.007</w:t>
            </w:r>
            <w:r w:rsidRPr="00F37749">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proofErr w:type="spellStart"/>
            <w:r w:rsidR="00631BFB">
              <w:rPr>
                <w:rFonts w:ascii="Times New Roman" w:hAnsi="Times New Roman"/>
                <w:sz w:val="24"/>
                <w:szCs w:val="24"/>
                <w:vertAlign w:val="superscript"/>
              </w:rPr>
              <w:t>aC</w:t>
            </w:r>
            <w:proofErr w:type="spellEnd"/>
          </w:p>
        </w:tc>
      </w:tr>
    </w:tbl>
    <w:p w:rsidR="0058513F" w:rsidRPr="00CA2E51" w:rsidRDefault="0058513F" w:rsidP="0058513F">
      <w:pPr>
        <w:spacing w:line="240" w:lineRule="auto"/>
        <w:jc w:val="both"/>
        <w:rPr>
          <w:rFonts w:ascii="Times New Roman" w:hAnsi="Times New Roman" w:cs="Times New Roman"/>
          <w:sz w:val="24"/>
          <w:szCs w:val="24"/>
        </w:rPr>
      </w:pPr>
      <w:r>
        <w:rPr>
          <w:rFonts w:ascii="Times New Roman" w:hAnsi="Times New Roman"/>
          <w:sz w:val="24"/>
          <w:szCs w:val="24"/>
        </w:rPr>
        <w:lastRenderedPageBreak/>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rsidR="00FA22A2" w:rsidRPr="00D03537" w:rsidRDefault="00FA22A2" w:rsidP="00701070">
      <w:pPr>
        <w:keepNext/>
        <w:widowControl w:val="0"/>
        <w:tabs>
          <w:tab w:val="left" w:pos="180"/>
        </w:tabs>
        <w:spacing w:after="0" w:line="240" w:lineRule="auto"/>
        <w:jc w:val="both"/>
        <w:rPr>
          <w:rFonts w:ascii="Times New Roman" w:hAnsi="Times New Roman" w:cs="Times New Roman"/>
          <w:b/>
          <w:sz w:val="24"/>
          <w:szCs w:val="24"/>
        </w:rPr>
      </w:pPr>
      <w:r w:rsidRPr="00D03537">
        <w:rPr>
          <w:rFonts w:ascii="Times New Roman" w:hAnsi="Times New Roman" w:cs="Times New Roman"/>
          <w:b/>
          <w:sz w:val="24"/>
          <w:szCs w:val="24"/>
        </w:rPr>
        <w:t>Psychrotropic bacterial count (PBC)</w:t>
      </w:r>
    </w:p>
    <w:p w:rsidR="001D4041" w:rsidRPr="00BD500F" w:rsidRDefault="00FA22A2" w:rsidP="00BD500F">
      <w:pPr>
        <w:tabs>
          <w:tab w:val="left" w:pos="3744"/>
        </w:tabs>
        <w:spacing w:line="240" w:lineRule="auto"/>
        <w:jc w:val="both"/>
        <w:rPr>
          <w:rFonts w:ascii="Times New Roman" w:hAnsi="Times New Roman" w:cs="Times New Roman"/>
          <w:color w:val="000000" w:themeColor="text1"/>
          <w:sz w:val="24"/>
          <w:szCs w:val="24"/>
        </w:rPr>
      </w:pPr>
      <w:r w:rsidRPr="000A2175">
        <w:rPr>
          <w:rFonts w:ascii="Times New Roman" w:hAnsi="Times New Roman" w:cs="Times New Roman"/>
          <w:sz w:val="24"/>
          <w:szCs w:val="24"/>
        </w:rPr>
        <w:t xml:space="preserve">               The mean ± SE values of PBC for all group of birds increased gradually with respective storage condition</w:t>
      </w:r>
      <w:r w:rsidR="000A2175" w:rsidRPr="000A2175">
        <w:rPr>
          <w:rFonts w:ascii="Times New Roman" w:hAnsi="Times New Roman" w:cs="Times New Roman"/>
          <w:sz w:val="24"/>
          <w:szCs w:val="24"/>
        </w:rPr>
        <w:t xml:space="preserve">, </w:t>
      </w:r>
      <w:r w:rsidR="000A2175">
        <w:rPr>
          <w:rFonts w:ascii="Times New Roman" w:hAnsi="Times New Roman" w:cs="Times New Roman"/>
          <w:sz w:val="24"/>
          <w:szCs w:val="24"/>
        </w:rPr>
        <w:t xml:space="preserve">this </w:t>
      </w:r>
      <w:r w:rsidR="000A2175" w:rsidRPr="000A2175">
        <w:rPr>
          <w:rFonts w:ascii="Times New Roman" w:hAnsi="Times New Roman" w:cs="Times New Roman"/>
          <w:color w:val="000000" w:themeColor="text1"/>
          <w:sz w:val="24"/>
          <w:szCs w:val="24"/>
        </w:rPr>
        <w:t>increase in counts might be due to increased enzymatic activity of psychrotrophs at low temperature (Kandeepan and Biswas, 2007).</w:t>
      </w:r>
      <w:r w:rsidRPr="00FA22A2">
        <w:t xml:space="preserve"> </w:t>
      </w:r>
      <w:r w:rsidRPr="000A199E">
        <w:rPr>
          <w:rFonts w:ascii="Times New Roman" w:hAnsi="Times New Roman" w:cs="Times New Roman"/>
          <w:sz w:val="24"/>
          <w:szCs w:val="24"/>
        </w:rPr>
        <w:t>There was no significant (P&lt;0.05) difference in mean ± SE values for PBC among the all groups of birds.</w:t>
      </w:r>
      <w:r w:rsidRPr="00FA22A2">
        <w:t xml:space="preserve"> </w:t>
      </w:r>
      <w:r w:rsidR="00D47D57" w:rsidRPr="0017025E">
        <w:rPr>
          <w:rFonts w:ascii="Times New Roman" w:hAnsi="Times New Roman" w:cs="Times New Roman"/>
          <w:sz w:val="24"/>
          <w:szCs w:val="24"/>
        </w:rPr>
        <w:t>The</w:t>
      </w:r>
      <w:r w:rsidR="000A199E" w:rsidRPr="0017025E">
        <w:rPr>
          <w:rFonts w:ascii="Times New Roman" w:hAnsi="Times New Roman" w:cs="Times New Roman"/>
          <w:sz w:val="24"/>
          <w:szCs w:val="24"/>
        </w:rPr>
        <w:t xml:space="preserve"> </w:t>
      </w:r>
      <w:r w:rsidRPr="0017025E">
        <w:rPr>
          <w:rFonts w:ascii="Times New Roman" w:hAnsi="Times New Roman" w:cs="Times New Roman"/>
          <w:sz w:val="24"/>
          <w:szCs w:val="24"/>
        </w:rPr>
        <w:t>values for Vanaraja and Commercial broilers on 6, 18 days of super chilling were significantly (P&lt;0.05) different. However, there was no significant (P&gt;0.05) difference in mean PBC values on 12 days of super chilling among the 3 groups of birds. Further the mean PBC values on 30 days of freezing were significantly (P&lt;0.05) different among the groups, whereas there was no significant (P&gt;0.05) difference in mean PBC values between Indbro and Vanaraja birds on 60 days of freezing storage.</w:t>
      </w:r>
      <w:r w:rsidR="000A2175" w:rsidRPr="0017025E">
        <w:rPr>
          <w:rFonts w:ascii="Times New Roman" w:hAnsi="Times New Roman" w:cs="Times New Roman"/>
          <w:color w:val="000000" w:themeColor="text1"/>
          <w:sz w:val="24"/>
          <w:szCs w:val="24"/>
        </w:rPr>
        <w:t xml:space="preserve"> Vieira </w:t>
      </w:r>
      <w:r w:rsidR="000A2175" w:rsidRPr="0017025E">
        <w:rPr>
          <w:rFonts w:ascii="Times New Roman" w:hAnsi="Times New Roman" w:cs="Times New Roman"/>
          <w:i/>
          <w:color w:val="000000" w:themeColor="text1"/>
          <w:sz w:val="24"/>
          <w:szCs w:val="24"/>
        </w:rPr>
        <w:t>et al</w:t>
      </w:r>
      <w:r w:rsidR="000A2175" w:rsidRPr="0017025E">
        <w:rPr>
          <w:rFonts w:ascii="Times New Roman" w:hAnsi="Times New Roman" w:cs="Times New Roman"/>
          <w:color w:val="000000" w:themeColor="text1"/>
          <w:sz w:val="24"/>
          <w:szCs w:val="24"/>
        </w:rPr>
        <w:t>. (2009) observed that the psychrotrophic bacterial counts were significantly (P&lt;0.01) higher in rustic crossbred Beef samples which are aged for a longer period before freezing. They also noticed that the psychrotrophic counts increased gradually throughout the frozen storage period from an initial log</w:t>
      </w:r>
      <w:r w:rsidR="000A2175" w:rsidRPr="0017025E">
        <w:rPr>
          <w:rFonts w:ascii="Times New Roman" w:hAnsi="Times New Roman" w:cs="Times New Roman"/>
          <w:color w:val="000000" w:themeColor="text1"/>
          <w:sz w:val="24"/>
          <w:szCs w:val="24"/>
          <w:vertAlign w:val="subscript"/>
        </w:rPr>
        <w:t>10</w:t>
      </w:r>
      <w:r w:rsidR="000A2175" w:rsidRPr="0017025E">
        <w:rPr>
          <w:rFonts w:ascii="Times New Roman" w:hAnsi="Times New Roman" w:cs="Times New Roman"/>
          <w:color w:val="000000" w:themeColor="text1"/>
          <w:sz w:val="24"/>
          <w:szCs w:val="24"/>
        </w:rPr>
        <w:t xml:space="preserve"> value of approximately 1.7 in fresh meat (0 day) to</w:t>
      </w:r>
      <w:r w:rsidR="000A2175">
        <w:rPr>
          <w:rFonts w:ascii="Times New Roman" w:hAnsi="Times New Roman"/>
          <w:color w:val="000000" w:themeColor="text1"/>
          <w:sz w:val="24"/>
          <w:szCs w:val="24"/>
        </w:rPr>
        <w:t xml:space="preserve"> 3.1 in meat stored under frozen conditions for 90 days</w:t>
      </w:r>
    </w:p>
    <w:p w:rsidR="00FA22A2" w:rsidRDefault="00FA22A2" w:rsidP="00701070">
      <w:pPr>
        <w:pStyle w:val="Default"/>
        <w:jc w:val="both"/>
        <w:rPr>
          <w:b/>
          <w:color w:val="auto"/>
        </w:rPr>
      </w:pPr>
      <w:r w:rsidRPr="00457E0E">
        <w:rPr>
          <w:b/>
          <w:color w:val="auto"/>
        </w:rPr>
        <w:t>Yeast and mould count (YMC)</w:t>
      </w:r>
      <w:r>
        <w:rPr>
          <w:b/>
          <w:color w:val="auto"/>
        </w:rPr>
        <w:t>:</w:t>
      </w:r>
    </w:p>
    <w:p w:rsidR="00EE4A79" w:rsidRPr="00EE4A79" w:rsidRDefault="00E36D58" w:rsidP="00701070">
      <w:pPr>
        <w:tabs>
          <w:tab w:val="left" w:pos="3744"/>
        </w:tabs>
        <w:spacing w:line="240" w:lineRule="auto"/>
        <w:jc w:val="both"/>
        <w:rPr>
          <w:rFonts w:ascii="Times New Roman" w:hAnsi="Times New Roman" w:cs="Times New Roman"/>
          <w:sz w:val="24"/>
          <w:szCs w:val="24"/>
        </w:rPr>
      </w:pPr>
      <w:r w:rsidRPr="00EE4A79">
        <w:rPr>
          <w:rFonts w:ascii="Times New Roman" w:hAnsi="Times New Roman" w:cs="Times New Roman"/>
          <w:sz w:val="24"/>
          <w:szCs w:val="24"/>
        </w:rPr>
        <w:t>The mean YMC values for meat of Vanaraja and Commercial broilers on 12 days of super chilling, were si</w:t>
      </w:r>
      <w:r w:rsidR="00B83E33">
        <w:rPr>
          <w:rFonts w:ascii="Times New Roman" w:hAnsi="Times New Roman" w:cs="Times New Roman"/>
          <w:sz w:val="24"/>
          <w:szCs w:val="24"/>
        </w:rPr>
        <w:t>gnificantly (P&lt;0.05) different. T</w:t>
      </w:r>
      <w:r w:rsidRPr="00EE4A79">
        <w:rPr>
          <w:rFonts w:ascii="Times New Roman" w:hAnsi="Times New Roman" w:cs="Times New Roman"/>
          <w:sz w:val="24"/>
          <w:szCs w:val="24"/>
        </w:rPr>
        <w:t>he values for meat of Vanaraja and Indbro on 6 days of super chilling did not differ significantly (P&gt;0.05), whereas YMC values for Commercial broilers were significantly (P&lt;0.05) lower when compared with other 2 groups. There was no significant (P&gt;0.05) difference in mean YMC values on 18 days of super chilling among the all groups of birds. The mean YMC values for meat of Vanaraja and Indbro on 30 days of freezing were significantly (P&lt;0.05) different. However, there was no significant (P&gt;0.05) differences among all groups of birds on 60 days of freezing storage.</w:t>
      </w:r>
      <w:r w:rsidR="00EE4A79" w:rsidRPr="00EE4A79">
        <w:rPr>
          <w:rFonts w:ascii="Times New Roman" w:hAnsi="Times New Roman" w:cs="Times New Roman"/>
          <w:sz w:val="24"/>
          <w:szCs w:val="24"/>
        </w:rPr>
        <w:t xml:space="preserve"> Patsias </w:t>
      </w:r>
      <w:r w:rsidR="00EE4A79" w:rsidRPr="00EE4A79">
        <w:rPr>
          <w:rFonts w:ascii="Times New Roman" w:hAnsi="Times New Roman" w:cs="Times New Roman"/>
          <w:i/>
          <w:sz w:val="24"/>
          <w:szCs w:val="24"/>
        </w:rPr>
        <w:t>et al.</w:t>
      </w:r>
      <w:r w:rsidR="00EE4A79" w:rsidRPr="00EE4A79">
        <w:rPr>
          <w:rFonts w:ascii="Times New Roman" w:hAnsi="Times New Roman" w:cs="Times New Roman"/>
          <w:sz w:val="24"/>
          <w:szCs w:val="24"/>
        </w:rPr>
        <w:t xml:space="preserve"> (2008) reported that the Y &amp; M counts increased from 2.9-3.0 to 6.3 log CFU/g in chilled air packed chicken fillets stored for 15 days.</w:t>
      </w:r>
    </w:p>
    <w:p w:rsidR="00D03537" w:rsidRPr="00FF700B" w:rsidRDefault="00D03537" w:rsidP="00701070">
      <w:pPr>
        <w:pStyle w:val="Default"/>
        <w:jc w:val="both"/>
      </w:pPr>
      <w:r w:rsidRPr="00537764">
        <w:rPr>
          <w:b/>
          <w:color w:val="auto"/>
        </w:rPr>
        <w:t>Sensory Evaluation</w:t>
      </w:r>
    </w:p>
    <w:p w:rsidR="00D03537" w:rsidRDefault="00D03537" w:rsidP="00701070">
      <w:pPr>
        <w:pStyle w:val="Default"/>
        <w:jc w:val="both"/>
      </w:pPr>
      <w:r>
        <w:rPr>
          <w:b/>
          <w:color w:val="auto"/>
        </w:rPr>
        <w:t>Appearance</w:t>
      </w:r>
    </w:p>
    <w:p w:rsidR="00344F97" w:rsidRPr="0029562A" w:rsidRDefault="00D03537" w:rsidP="00701070">
      <w:pPr>
        <w:tabs>
          <w:tab w:val="left" w:pos="3744"/>
        </w:tabs>
        <w:spacing w:after="0" w:line="240" w:lineRule="auto"/>
        <w:jc w:val="both"/>
        <w:rPr>
          <w:rFonts w:ascii="Times New Roman" w:hAnsi="Times New Roman"/>
          <w:b/>
          <w:sz w:val="24"/>
          <w:szCs w:val="24"/>
        </w:rPr>
      </w:pPr>
      <w:r>
        <w:rPr>
          <w:rFonts w:ascii="Times New Roman" w:hAnsi="Times New Roman"/>
          <w:sz w:val="24"/>
          <w:szCs w:val="24"/>
        </w:rPr>
        <w:t>The mean appearance scores not differed significantly</w:t>
      </w:r>
      <w:r w:rsidR="00C72FB7">
        <w:rPr>
          <w:rFonts w:ascii="Times New Roman" w:hAnsi="Times New Roman"/>
          <w:sz w:val="24"/>
          <w:szCs w:val="24"/>
        </w:rPr>
        <w:t xml:space="preserve"> (P&gt;0.05) among the birds group</w:t>
      </w:r>
      <w:r w:rsidR="00E6710E">
        <w:rPr>
          <w:rFonts w:ascii="Times New Roman" w:hAnsi="Times New Roman"/>
          <w:sz w:val="24"/>
          <w:szCs w:val="24"/>
        </w:rPr>
        <w:t xml:space="preserve"> during entire storage period of super</w:t>
      </w:r>
      <w:r w:rsidR="00CB0BE3">
        <w:rPr>
          <w:rFonts w:ascii="Times New Roman" w:hAnsi="Times New Roman"/>
          <w:sz w:val="24"/>
          <w:szCs w:val="24"/>
        </w:rPr>
        <w:t xml:space="preserve"> </w:t>
      </w:r>
      <w:r w:rsidR="00E6710E">
        <w:rPr>
          <w:rFonts w:ascii="Times New Roman" w:hAnsi="Times New Roman"/>
          <w:sz w:val="24"/>
          <w:szCs w:val="24"/>
        </w:rPr>
        <w:t>chilling</w:t>
      </w:r>
      <w:r w:rsidR="005C37B4">
        <w:rPr>
          <w:rFonts w:ascii="Times New Roman" w:hAnsi="Times New Roman"/>
          <w:sz w:val="24"/>
          <w:szCs w:val="24"/>
        </w:rPr>
        <w:t xml:space="preserve">, except </w:t>
      </w:r>
      <w:r>
        <w:rPr>
          <w:rFonts w:ascii="Times New Roman" w:hAnsi="Times New Roman"/>
          <w:sz w:val="24"/>
          <w:szCs w:val="24"/>
        </w:rPr>
        <w:t>the Commercial broilers showed lower scores for appearance</w:t>
      </w:r>
      <w:r w:rsidR="005C37B4">
        <w:rPr>
          <w:rFonts w:ascii="Times New Roman" w:hAnsi="Times New Roman"/>
          <w:sz w:val="24"/>
          <w:szCs w:val="24"/>
        </w:rPr>
        <w:t xml:space="preserve"> on 6</w:t>
      </w:r>
      <w:r w:rsidR="005C37B4" w:rsidRPr="005C37B4">
        <w:rPr>
          <w:rFonts w:ascii="Times New Roman" w:hAnsi="Times New Roman"/>
          <w:sz w:val="24"/>
          <w:szCs w:val="24"/>
          <w:vertAlign w:val="superscript"/>
        </w:rPr>
        <w:t>th</w:t>
      </w:r>
      <w:r w:rsidR="005C37B4">
        <w:rPr>
          <w:rFonts w:ascii="Times New Roman" w:hAnsi="Times New Roman"/>
          <w:sz w:val="24"/>
          <w:szCs w:val="24"/>
        </w:rPr>
        <w:t xml:space="preserve"> day</w:t>
      </w:r>
      <w:r>
        <w:rPr>
          <w:rFonts w:ascii="Times New Roman" w:hAnsi="Times New Roman"/>
          <w:sz w:val="24"/>
          <w:szCs w:val="24"/>
        </w:rPr>
        <w:t xml:space="preserve">. The scores on 30 days of freezing did not differ significantly (P&lt;0.05) among the groups. </w:t>
      </w:r>
      <w:r w:rsidR="0029562A">
        <w:rPr>
          <w:rFonts w:ascii="Times New Roman" w:hAnsi="Times New Roman"/>
          <w:sz w:val="24"/>
          <w:szCs w:val="24"/>
        </w:rPr>
        <w:t xml:space="preserve">These findings are in agreement with Ullengala </w:t>
      </w:r>
      <w:r w:rsidR="0029562A" w:rsidRPr="004F451D">
        <w:rPr>
          <w:rFonts w:ascii="Times New Roman" w:hAnsi="Times New Roman"/>
          <w:i/>
          <w:sz w:val="24"/>
          <w:szCs w:val="24"/>
        </w:rPr>
        <w:t>et al</w:t>
      </w:r>
      <w:r w:rsidR="0029562A">
        <w:rPr>
          <w:rFonts w:ascii="Times New Roman" w:hAnsi="Times New Roman"/>
          <w:sz w:val="24"/>
          <w:szCs w:val="24"/>
        </w:rPr>
        <w:t xml:space="preserve">. (2020), who also observed no significant differences for appearance scores among Aseel crosses. Results also correlated with findings of Rajkumar </w:t>
      </w:r>
      <w:r w:rsidR="0029562A" w:rsidRPr="004F451D">
        <w:rPr>
          <w:rFonts w:ascii="Times New Roman" w:hAnsi="Times New Roman"/>
          <w:i/>
          <w:sz w:val="24"/>
          <w:szCs w:val="24"/>
        </w:rPr>
        <w:t>et al</w:t>
      </w:r>
      <w:r w:rsidR="0029562A">
        <w:rPr>
          <w:rFonts w:ascii="Times New Roman" w:hAnsi="Times New Roman"/>
          <w:sz w:val="24"/>
          <w:szCs w:val="24"/>
        </w:rPr>
        <w:t>. (2016), who observed no significant differences for appearance scores between Aseel and Broilers and also no significant differences observed between different weights</w:t>
      </w:r>
      <w:r w:rsidR="0029562A" w:rsidRPr="00B02B29">
        <w:rPr>
          <w:rFonts w:ascii="Times New Roman" w:hAnsi="Times New Roman"/>
          <w:sz w:val="24"/>
          <w:szCs w:val="24"/>
        </w:rPr>
        <w:t xml:space="preserve"> </w:t>
      </w:r>
      <w:r w:rsidR="0029562A">
        <w:rPr>
          <w:rFonts w:ascii="Times New Roman" w:hAnsi="Times New Roman"/>
          <w:sz w:val="24"/>
          <w:szCs w:val="24"/>
        </w:rPr>
        <w:t xml:space="preserve">groups. </w:t>
      </w:r>
      <w:r>
        <w:rPr>
          <w:rFonts w:ascii="Times New Roman" w:hAnsi="Times New Roman"/>
          <w:sz w:val="24"/>
          <w:szCs w:val="24"/>
        </w:rPr>
        <w:t>The scores for Vanaraja and Commercial broilers on 60 days of freezing d</w:t>
      </w:r>
      <w:r w:rsidR="005C37B4">
        <w:rPr>
          <w:rFonts w:ascii="Times New Roman" w:hAnsi="Times New Roman"/>
          <w:sz w:val="24"/>
          <w:szCs w:val="24"/>
        </w:rPr>
        <w:t xml:space="preserve">iffered significantly (P&lt;0.05). </w:t>
      </w:r>
    </w:p>
    <w:p w:rsidR="00D03537" w:rsidRDefault="00344F97" w:rsidP="00701070">
      <w:pPr>
        <w:keepNext/>
        <w:widowControl w:val="0"/>
        <w:spacing w:after="0" w:line="240" w:lineRule="auto"/>
        <w:jc w:val="both"/>
        <w:rPr>
          <w:rFonts w:ascii="Times New Roman" w:hAnsi="Times New Roman"/>
          <w:sz w:val="24"/>
          <w:szCs w:val="24"/>
        </w:rPr>
      </w:pPr>
      <w:r>
        <w:rPr>
          <w:rFonts w:ascii="Times New Roman" w:hAnsi="Times New Roman"/>
          <w:sz w:val="24"/>
          <w:szCs w:val="24"/>
        </w:rPr>
        <w:t>*</w:t>
      </w:r>
      <w:r w:rsidR="00D03537">
        <w:rPr>
          <w:rFonts w:ascii="Times New Roman" w:hAnsi="Times New Roman"/>
          <w:sz w:val="24"/>
          <w:szCs w:val="24"/>
        </w:rPr>
        <w:t xml:space="preserve">Comparatively Commercial broilers showed lower scores for </w:t>
      </w:r>
      <w:r>
        <w:rPr>
          <w:rFonts w:ascii="Times New Roman" w:hAnsi="Times New Roman"/>
          <w:sz w:val="24"/>
          <w:szCs w:val="24"/>
        </w:rPr>
        <w:t xml:space="preserve">all the sensory evaluation parameters </w:t>
      </w:r>
      <w:r w:rsidR="00D03537">
        <w:rPr>
          <w:rFonts w:ascii="Times New Roman" w:hAnsi="Times New Roman"/>
          <w:sz w:val="24"/>
          <w:szCs w:val="24"/>
        </w:rPr>
        <w:t>during entire storage period.</w:t>
      </w:r>
    </w:p>
    <w:p w:rsidR="00D03537" w:rsidRDefault="00D03537" w:rsidP="00701070">
      <w:pPr>
        <w:pStyle w:val="Default"/>
        <w:jc w:val="both"/>
      </w:pPr>
      <w:r w:rsidRPr="00676094">
        <w:rPr>
          <w:b/>
          <w:color w:val="auto"/>
        </w:rPr>
        <w:t>Flavour</w:t>
      </w:r>
      <w:r>
        <w:rPr>
          <w:b/>
          <w:color w:val="auto"/>
        </w:rPr>
        <w:t>:</w:t>
      </w:r>
      <w:r w:rsidRPr="00D03537">
        <w:t xml:space="preserve"> </w:t>
      </w:r>
      <w:r>
        <w:t>The mean flavour scores for meat of Vanaraja and Indbro not differed significantly (P&lt;0.05)</w:t>
      </w:r>
      <w:r w:rsidR="00C72FB7">
        <w:t xml:space="preserve"> during entire storage period of super</w:t>
      </w:r>
      <w:r w:rsidR="00C75059">
        <w:t xml:space="preserve"> </w:t>
      </w:r>
      <w:r w:rsidR="00C72FB7">
        <w:t>chilling</w:t>
      </w:r>
      <w:r>
        <w:t xml:space="preserve">, whereas Commercial broilers showed significantly (P&lt;0.05) lower scores compared with other 2 groups. </w:t>
      </w:r>
      <w:r w:rsidR="0029562A">
        <w:t xml:space="preserve">Flavour is a sensation of the mouth provoked by fats and other precursors such as sugars and amino acids in meat, which impacts upon consumer taste (Khan </w:t>
      </w:r>
      <w:r w:rsidR="0029562A" w:rsidRPr="00267B52">
        <w:rPr>
          <w:i/>
        </w:rPr>
        <w:t>et al</w:t>
      </w:r>
      <w:r w:rsidR="0029562A">
        <w:t>., 2015).</w:t>
      </w:r>
      <w:r>
        <w:t xml:space="preserve">The scores for meat on 30 </w:t>
      </w:r>
      <w:r w:rsidR="002905C1">
        <w:t xml:space="preserve">and 60 </w:t>
      </w:r>
      <w:r>
        <w:t xml:space="preserve">days of </w:t>
      </w:r>
      <w:r>
        <w:lastRenderedPageBreak/>
        <w:t xml:space="preserve">freezing did not differ significantly (P&gt;0.05) among the </w:t>
      </w:r>
      <w:r w:rsidR="00C72FB7">
        <w:t xml:space="preserve">all the </w:t>
      </w:r>
      <w:r>
        <w:t>groups</w:t>
      </w:r>
      <w:r w:rsidR="00E6710E">
        <w:t xml:space="preserve"> except the meat of</w:t>
      </w:r>
      <w:r>
        <w:t xml:space="preserve"> Indbro showed significantly (P&lt;0.05) lower scores </w:t>
      </w:r>
      <w:r w:rsidR="00E6710E">
        <w:t>on 60</w:t>
      </w:r>
      <w:r w:rsidR="00E6710E" w:rsidRPr="00E6710E">
        <w:rPr>
          <w:vertAlign w:val="superscript"/>
        </w:rPr>
        <w:t>th</w:t>
      </w:r>
      <w:r w:rsidR="00E6710E">
        <w:t xml:space="preserve"> day. </w:t>
      </w:r>
    </w:p>
    <w:p w:rsidR="00D26997" w:rsidRDefault="00D26997" w:rsidP="00D26997">
      <w:pPr>
        <w:tabs>
          <w:tab w:val="left" w:pos="3744"/>
        </w:tabs>
        <w:spacing w:line="240" w:lineRule="auto"/>
        <w:jc w:val="both"/>
        <w:rPr>
          <w:rFonts w:ascii="Times New Roman" w:hAnsi="Times New Roman"/>
          <w:sz w:val="24"/>
          <w:szCs w:val="24"/>
        </w:rPr>
      </w:pPr>
      <w:r w:rsidRPr="00D6430F">
        <w:rPr>
          <w:rFonts w:ascii="Times New Roman" w:hAnsi="Times New Roman" w:cs="Times New Roman"/>
          <w:b/>
          <w:sz w:val="24"/>
          <w:szCs w:val="24"/>
        </w:rPr>
        <w:t>Juiciness:</w:t>
      </w:r>
      <w:r w:rsidRPr="00D6430F">
        <w:rPr>
          <w:rFonts w:ascii="Times New Roman" w:hAnsi="Times New Roman" w:cs="Times New Roman"/>
          <w:sz w:val="24"/>
          <w:szCs w:val="24"/>
        </w:rPr>
        <w:t xml:space="preserve"> The mean juiciness scores for meat of Vanaraja and Indbro on 12 and 18 days of super chilling</w:t>
      </w:r>
      <w:r>
        <w:rPr>
          <w:rFonts w:ascii="Times New Roman" w:hAnsi="Times New Roman"/>
          <w:sz w:val="24"/>
          <w:szCs w:val="24"/>
        </w:rPr>
        <w:t xml:space="preserve"> not differed significantly (P&gt;0.05), whereas Commercial broilers showed significantly(P&lt;0.05) lower scores compared with other 2 groups. The scores for meat of Vanaraja and Commercial broilers on 6 days of super chilling differed significantly (P&lt;0.05), whereas the Indbro showed no significant (P&gt;0.05) difference with 2 groups. The mean juiciness scores for meat of Vanaraja and Indbro on 30, and 60 days of freezing did not differ significantly (P&gt;0.05), whereas Commercial broilers showed significantly (P&lt;0.05) lower scores when compared with other 2 groups. Bueno </w:t>
      </w:r>
      <w:r w:rsidRPr="00373DF4">
        <w:rPr>
          <w:rFonts w:ascii="Times New Roman" w:hAnsi="Times New Roman"/>
          <w:i/>
          <w:sz w:val="24"/>
          <w:szCs w:val="24"/>
        </w:rPr>
        <w:t>et al</w:t>
      </w:r>
      <w:r>
        <w:rPr>
          <w:rFonts w:ascii="Times New Roman" w:hAnsi="Times New Roman"/>
          <w:sz w:val="24"/>
          <w:szCs w:val="24"/>
        </w:rPr>
        <w:t>. 2013) reported that the process of frozen storage, alterations in water activity (a</w:t>
      </w:r>
      <w:r>
        <w:rPr>
          <w:rFonts w:ascii="Times New Roman" w:hAnsi="Times New Roman"/>
          <w:sz w:val="24"/>
          <w:szCs w:val="24"/>
          <w:vertAlign w:val="subscript"/>
        </w:rPr>
        <w:t>w</w:t>
      </w:r>
      <w:r>
        <w:rPr>
          <w:rFonts w:ascii="Times New Roman" w:hAnsi="Times New Roman"/>
          <w:sz w:val="24"/>
          <w:szCs w:val="24"/>
        </w:rPr>
        <w:t xml:space="preserve">) and consequent losses of furaneol due to freezing will potentially reduce the juiciness (Bueno </w:t>
      </w:r>
      <w:r w:rsidRPr="0066578E">
        <w:rPr>
          <w:rFonts w:ascii="Times New Roman" w:hAnsi="Times New Roman"/>
          <w:i/>
          <w:sz w:val="24"/>
          <w:szCs w:val="24"/>
        </w:rPr>
        <w:t>et al</w:t>
      </w:r>
      <w:r>
        <w:rPr>
          <w:rFonts w:ascii="Times New Roman" w:hAnsi="Times New Roman"/>
          <w:sz w:val="24"/>
          <w:szCs w:val="24"/>
        </w:rPr>
        <w:t>., 2013).</w:t>
      </w:r>
    </w:p>
    <w:p w:rsidR="00D464A6" w:rsidRDefault="00D464A6" w:rsidP="00D464A6">
      <w:pPr>
        <w:pStyle w:val="Default"/>
        <w:jc w:val="both"/>
      </w:pPr>
      <w:r>
        <w:rPr>
          <w:b/>
          <w:color w:val="auto"/>
        </w:rPr>
        <w:t>Texture:</w:t>
      </w:r>
      <w:r>
        <w:t xml:space="preserve">  The mean texture scores on 6, and 12 days of super chilling not differed significantly (P&gt;0.05) among the groups. The scores for meat of Indbro and Commercial broilers on 18 days of super chilling and 30 days of freezing not differed significantly (P&gt;0.05), whereas Vanaraja showed significantly (P&lt;0.05) higher scores when compared with other 2 groups. These results were in agreement with the studies of Rajkumar </w:t>
      </w:r>
      <w:r w:rsidRPr="00B52249">
        <w:rPr>
          <w:i/>
        </w:rPr>
        <w:t>et al</w:t>
      </w:r>
      <w:r>
        <w:t>. (2016), who observed that Aseel meat showed significantly (P≤ 0.05) higher scores for texture compared to Commercial broilers.</w:t>
      </w:r>
      <w:r w:rsidRPr="00066596">
        <w:t xml:space="preserve"> </w:t>
      </w:r>
      <w:r>
        <w:t xml:space="preserve">The palatability of the meat is associated to the texture and according to Baracho </w:t>
      </w:r>
      <w:r w:rsidRPr="00570B8A">
        <w:rPr>
          <w:i/>
        </w:rPr>
        <w:t>et al</w:t>
      </w:r>
      <w:r>
        <w:t xml:space="preserve">. (2006), the texture can be affected by ante mortem factors like species, genetic factors, age, nutritional status and stress. The scores on 60 days of freezing did not differ significantly (P&gt;0.05) among the groups. </w:t>
      </w:r>
    </w:p>
    <w:p w:rsidR="00157A35" w:rsidRDefault="00157A35" w:rsidP="00D464A6">
      <w:pPr>
        <w:pStyle w:val="Default"/>
        <w:jc w:val="both"/>
      </w:pPr>
    </w:p>
    <w:p w:rsidR="00D26997" w:rsidRPr="00D464A6" w:rsidRDefault="00157A35" w:rsidP="00D464A6">
      <w:pPr>
        <w:spacing w:line="240" w:lineRule="auto"/>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3</w:t>
      </w:r>
      <w:r w:rsidRPr="00157A35">
        <w:rPr>
          <w:rFonts w:ascii="Times New Roman" w:hAnsi="Times New Roman"/>
          <w:b/>
          <w:sz w:val="24"/>
          <w:szCs w:val="24"/>
        </w:rPr>
        <w:t xml:space="preserve">. </w:t>
      </w:r>
      <w:r w:rsidR="00D26997">
        <w:rPr>
          <w:rFonts w:ascii="Times New Roman" w:hAnsi="Times New Roman"/>
          <w:b/>
          <w:sz w:val="24"/>
          <w:szCs w:val="24"/>
        </w:rPr>
        <w:t>Sensory evaluation scores of Vanaraja, Indbro and C</w:t>
      </w:r>
      <w:r w:rsidR="00D26997" w:rsidRPr="003C097F">
        <w:rPr>
          <w:rFonts w:ascii="Times New Roman" w:hAnsi="Times New Roman"/>
          <w:b/>
          <w:sz w:val="24"/>
          <w:szCs w:val="24"/>
        </w:rPr>
        <w:t>ommercial broiler chicken preserved at</w:t>
      </w:r>
      <w:r w:rsidR="00D26997">
        <w:rPr>
          <w:rFonts w:ascii="Times New Roman" w:hAnsi="Times New Roman"/>
          <w:b/>
          <w:sz w:val="24"/>
          <w:szCs w:val="24"/>
        </w:rPr>
        <w:t xml:space="preserve"> </w:t>
      </w:r>
      <w:r w:rsidR="00D26997" w:rsidRPr="003C097F">
        <w:rPr>
          <w:rFonts w:ascii="Times New Roman" w:hAnsi="Times New Roman"/>
          <w:b/>
          <w:sz w:val="24"/>
          <w:szCs w:val="24"/>
        </w:rPr>
        <w:t>super</w:t>
      </w:r>
      <w:r w:rsidR="00D26997">
        <w:rPr>
          <w:rFonts w:ascii="Times New Roman" w:hAnsi="Times New Roman"/>
          <w:b/>
          <w:sz w:val="24"/>
          <w:szCs w:val="24"/>
        </w:rPr>
        <w:t xml:space="preserve"> chilled, and frozen storage </w:t>
      </w:r>
      <w:r w:rsidR="00D26997" w:rsidRPr="003C097F">
        <w:rPr>
          <w:rFonts w:ascii="Times New Roman" w:hAnsi="Times New Roman"/>
          <w:b/>
          <w:sz w:val="24"/>
          <w:szCs w:val="24"/>
        </w:rPr>
        <w:t>Conditions</w:t>
      </w:r>
      <w:r w:rsidR="00D26997">
        <w:rPr>
          <w:rFonts w:ascii="Times New Roman" w:hAnsi="Times New Roman"/>
          <w:b/>
          <w:sz w:val="24"/>
          <w:szCs w:val="24"/>
        </w:rPr>
        <w:t xml:space="preserve"> (</w:t>
      </w:r>
      <w:r w:rsidR="00D26997" w:rsidRPr="003C097F">
        <w:rPr>
          <w:rFonts w:ascii="Times New Roman" w:hAnsi="Times New Roman"/>
          <w:b/>
          <w:sz w:val="24"/>
          <w:szCs w:val="24"/>
        </w:rPr>
        <w:t>Mean ± SE</w:t>
      </w:r>
      <w:r w:rsidR="00D26997">
        <w:rPr>
          <w:rFonts w:ascii="Times New Roman" w:hAnsi="Times New Roman"/>
          <w:b/>
          <w:sz w:val="24"/>
          <w:szCs w:val="24"/>
        </w:rPr>
        <w:t>).</w:t>
      </w:r>
    </w:p>
    <w:tbl>
      <w:tblPr>
        <w:tblStyle w:val="TableGrid"/>
        <w:tblW w:w="9188" w:type="dxa"/>
        <w:tblInd w:w="-5" w:type="dxa"/>
        <w:tblLook w:val="04A0" w:firstRow="1" w:lastRow="0" w:firstColumn="1" w:lastColumn="0" w:noHBand="0" w:noVBand="1"/>
      </w:tblPr>
      <w:tblGrid>
        <w:gridCol w:w="1314"/>
        <w:gridCol w:w="1423"/>
        <w:gridCol w:w="1107"/>
        <w:gridCol w:w="539"/>
        <w:gridCol w:w="1597"/>
        <w:gridCol w:w="1620"/>
        <w:gridCol w:w="1588"/>
      </w:tblGrid>
      <w:tr w:rsidR="00870BE1" w:rsidTr="00D84356">
        <w:trPr>
          <w:trHeight w:val="475"/>
        </w:trPr>
        <w:tc>
          <w:tcPr>
            <w:tcW w:w="2748" w:type="dxa"/>
            <w:gridSpan w:val="2"/>
            <w:vMerge w:val="restart"/>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1664" w:type="dxa"/>
            <w:gridSpan w:val="2"/>
            <w:vMerge w:val="restart"/>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4776" w:type="dxa"/>
            <w:gridSpan w:val="3"/>
          </w:tcPr>
          <w:p w:rsidR="00870BE1" w:rsidRPr="00434017" w:rsidRDefault="00870BE1" w:rsidP="00D84356">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870BE1" w:rsidTr="00D84356">
        <w:trPr>
          <w:trHeight w:val="665"/>
        </w:trPr>
        <w:tc>
          <w:tcPr>
            <w:tcW w:w="2748" w:type="dxa"/>
            <w:gridSpan w:val="2"/>
            <w:vMerge/>
          </w:tcPr>
          <w:p w:rsidR="00870BE1" w:rsidRPr="00434017" w:rsidRDefault="00870BE1" w:rsidP="00D84356">
            <w:pPr>
              <w:jc w:val="center"/>
              <w:rPr>
                <w:rFonts w:ascii="Times New Roman" w:hAnsi="Times New Roman" w:cs="Times New Roman"/>
                <w:b/>
                <w:bCs/>
                <w:sz w:val="24"/>
                <w:szCs w:val="24"/>
              </w:rPr>
            </w:pPr>
          </w:p>
        </w:tc>
        <w:tc>
          <w:tcPr>
            <w:tcW w:w="1664" w:type="dxa"/>
            <w:gridSpan w:val="2"/>
            <w:vMerge/>
          </w:tcPr>
          <w:p w:rsidR="00870BE1" w:rsidRPr="00434017" w:rsidRDefault="00870BE1" w:rsidP="00D84356">
            <w:pPr>
              <w:jc w:val="center"/>
              <w:rPr>
                <w:rFonts w:ascii="Times New Roman" w:hAnsi="Times New Roman" w:cs="Times New Roman"/>
                <w:b/>
                <w:bCs/>
                <w:sz w:val="24"/>
                <w:szCs w:val="24"/>
              </w:rPr>
            </w:pPr>
          </w:p>
        </w:tc>
        <w:tc>
          <w:tcPr>
            <w:tcW w:w="1565" w:type="dxa"/>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Vanaraja</w:t>
            </w:r>
          </w:p>
        </w:tc>
        <w:tc>
          <w:tcPr>
            <w:tcW w:w="1623" w:type="dxa"/>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Indbro</w:t>
            </w:r>
          </w:p>
        </w:tc>
        <w:tc>
          <w:tcPr>
            <w:tcW w:w="1588" w:type="dxa"/>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D84356" w:rsidTr="00D84356">
        <w:trPr>
          <w:trHeight w:val="385"/>
        </w:trPr>
        <w:tc>
          <w:tcPr>
            <w:tcW w:w="1322"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Sensory Evaluation</w:t>
            </w: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Appearance</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6.72±0.00 </w:t>
            </w:r>
            <w:proofErr w:type="spellStart"/>
            <w:r w:rsidRPr="001516DC">
              <w:rPr>
                <w:rFonts w:ascii="Times New Roman" w:hAnsi="Times New Roman"/>
                <w:sz w:val="24"/>
                <w:szCs w:val="24"/>
                <w:vertAlign w:val="superscript"/>
              </w:rPr>
              <w:t>bAB</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6.72</w:t>
            </w:r>
            <w:r>
              <w:rPr>
                <w:rFonts w:ascii="Times New Roman" w:hAnsi="Times New Roman"/>
                <w:sz w:val="24"/>
                <w:szCs w:val="24"/>
              </w:rPr>
              <w:t>±0.00</w:t>
            </w:r>
            <w:r w:rsidRPr="001516DC">
              <w:rPr>
                <w:rFonts w:ascii="Times New Roman" w:hAnsi="Times New Roman"/>
                <w:sz w:val="24"/>
                <w:szCs w:val="24"/>
                <w:vertAlign w:val="superscript"/>
              </w:rPr>
              <w:t>bABC</w:t>
            </w:r>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6.68</w:t>
            </w:r>
            <w:r>
              <w:rPr>
                <w:rFonts w:ascii="Times New Roman" w:hAnsi="Times New Roman"/>
                <w:sz w:val="24"/>
                <w:szCs w:val="24"/>
              </w:rPr>
              <w:t>±0.00</w:t>
            </w:r>
            <w:r w:rsidRPr="001516DC">
              <w:rPr>
                <w:rFonts w:ascii="Times New Roman" w:hAnsi="Times New Roman"/>
                <w:sz w:val="24"/>
                <w:szCs w:val="24"/>
                <w:vertAlign w:val="superscript"/>
              </w:rPr>
              <w:t>aABC</w:t>
            </w:r>
          </w:p>
        </w:tc>
      </w:tr>
      <w:tr w:rsidR="00D84356" w:rsidTr="00D84356">
        <w:trPr>
          <w:trHeight w:val="402"/>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6.60±0.02</w:t>
            </w:r>
            <w:r>
              <w:rPr>
                <w:rFonts w:ascii="Times New Roman" w:hAnsi="Times New Roman"/>
                <w:sz w:val="24"/>
                <w:szCs w:val="24"/>
              </w:rPr>
              <w:t xml:space="preserve"> </w:t>
            </w:r>
            <w:proofErr w:type="spellStart"/>
            <w:r w:rsidRPr="001516DC">
              <w:rPr>
                <w:rFonts w:ascii="Times New Roman" w:hAnsi="Times New Roman"/>
                <w:sz w:val="24"/>
                <w:szCs w:val="24"/>
                <w:vertAlign w:val="superscript"/>
              </w:rPr>
              <w:t>aA</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6.60±0.02 </w:t>
            </w:r>
            <w:proofErr w:type="spellStart"/>
            <w:r w:rsidRPr="001516DC">
              <w:rPr>
                <w:rFonts w:ascii="Times New Roman" w:hAnsi="Times New Roman"/>
                <w:sz w:val="24"/>
                <w:szCs w:val="24"/>
                <w:vertAlign w:val="superscript"/>
              </w:rPr>
              <w:t>aAB</w:t>
            </w:r>
            <w:proofErr w:type="spellEnd"/>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6.60</w:t>
            </w:r>
            <w:r>
              <w:rPr>
                <w:rFonts w:ascii="Times New Roman" w:hAnsi="Times New Roman"/>
                <w:sz w:val="24"/>
                <w:szCs w:val="24"/>
              </w:rPr>
              <w:t>±0.03</w:t>
            </w:r>
            <w:r w:rsidRPr="001516DC">
              <w:rPr>
                <w:rFonts w:ascii="Times New Roman" w:hAnsi="Times New Roman"/>
                <w:sz w:val="24"/>
                <w:szCs w:val="24"/>
                <w:vertAlign w:val="superscript"/>
              </w:rPr>
              <w:t>aAB</w:t>
            </w:r>
          </w:p>
        </w:tc>
      </w:tr>
      <w:tr w:rsidR="00D84356" w:rsidTr="00D84356">
        <w:trPr>
          <w:trHeight w:val="302"/>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6.56±0.02 </w:t>
            </w:r>
            <w:proofErr w:type="spellStart"/>
            <w:r w:rsidRPr="001516DC">
              <w:rPr>
                <w:rFonts w:ascii="Times New Roman" w:hAnsi="Times New Roman"/>
                <w:sz w:val="24"/>
                <w:szCs w:val="24"/>
                <w:vertAlign w:val="superscript"/>
              </w:rPr>
              <w:t>aA</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6.55±0.02 </w:t>
            </w:r>
            <w:proofErr w:type="spellStart"/>
            <w:r w:rsidRPr="001516DC">
              <w:rPr>
                <w:rFonts w:ascii="Times New Roman" w:hAnsi="Times New Roman"/>
                <w:sz w:val="24"/>
                <w:szCs w:val="24"/>
                <w:vertAlign w:val="superscript"/>
              </w:rPr>
              <w:t>aA</w:t>
            </w:r>
            <w:proofErr w:type="spellEnd"/>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6.48±0.03 </w:t>
            </w:r>
            <w:proofErr w:type="spellStart"/>
            <w:r w:rsidRPr="001516DC">
              <w:rPr>
                <w:rFonts w:ascii="Times New Roman" w:hAnsi="Times New Roman"/>
                <w:sz w:val="24"/>
                <w:szCs w:val="24"/>
                <w:vertAlign w:val="superscript"/>
              </w:rPr>
              <w:t>aA</w:t>
            </w:r>
            <w:proofErr w:type="spellEnd"/>
          </w:p>
        </w:tc>
      </w:tr>
      <w:tr w:rsidR="00D84356" w:rsidTr="00D84356">
        <w:trPr>
          <w:trHeight w:val="138"/>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6.85±0.17 </w:t>
            </w:r>
            <w:proofErr w:type="spellStart"/>
            <w:r w:rsidRPr="001516DC">
              <w:rPr>
                <w:rFonts w:ascii="Times New Roman" w:hAnsi="Times New Roman"/>
                <w:sz w:val="24"/>
                <w:szCs w:val="24"/>
                <w:vertAlign w:val="superscript"/>
              </w:rPr>
              <w:t>aBC</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6.85±0.17 </w:t>
            </w:r>
            <w:proofErr w:type="spellStart"/>
            <w:r w:rsidRPr="001516DC">
              <w:rPr>
                <w:rFonts w:ascii="Times New Roman" w:hAnsi="Times New Roman"/>
                <w:sz w:val="24"/>
                <w:szCs w:val="24"/>
                <w:vertAlign w:val="superscript"/>
              </w:rPr>
              <w:t>aCD</w:t>
            </w:r>
            <w:proofErr w:type="spellEnd"/>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6.58</w:t>
            </w:r>
            <w:r>
              <w:rPr>
                <w:rFonts w:ascii="Times New Roman" w:hAnsi="Times New Roman"/>
                <w:sz w:val="24"/>
                <w:szCs w:val="24"/>
              </w:rPr>
              <w:t>±0.20</w:t>
            </w:r>
            <w:r w:rsidRPr="001516DC">
              <w:rPr>
                <w:rFonts w:ascii="Times New Roman" w:hAnsi="Times New Roman"/>
                <w:sz w:val="24"/>
                <w:szCs w:val="24"/>
                <w:vertAlign w:val="superscript"/>
              </w:rPr>
              <w:t>aAB</w:t>
            </w:r>
          </w:p>
        </w:tc>
      </w:tr>
      <w:tr w:rsidR="00D84356" w:rsidTr="00D84356">
        <w:trPr>
          <w:trHeight w:val="138"/>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6.81±0.02</w:t>
            </w:r>
            <w:r w:rsidRPr="001516DC">
              <w:rPr>
                <w:rFonts w:ascii="Times New Roman" w:hAnsi="Times New Roman"/>
                <w:sz w:val="24"/>
                <w:szCs w:val="24"/>
                <w:vertAlign w:val="superscript"/>
              </w:rPr>
              <w:t>bBC</w:t>
            </w:r>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6.80</w:t>
            </w:r>
            <w:r>
              <w:rPr>
                <w:rFonts w:ascii="Times New Roman" w:hAnsi="Times New Roman"/>
                <w:sz w:val="24"/>
                <w:szCs w:val="24"/>
              </w:rPr>
              <w:t>±0.02</w:t>
            </w:r>
            <w:r w:rsidRPr="001516DC">
              <w:rPr>
                <w:rFonts w:ascii="Times New Roman" w:hAnsi="Times New Roman"/>
                <w:sz w:val="24"/>
                <w:szCs w:val="24"/>
                <w:vertAlign w:val="superscript"/>
              </w:rPr>
              <w:t>abCD</w:t>
            </w:r>
          </w:p>
        </w:tc>
        <w:tc>
          <w:tcPr>
            <w:tcW w:w="1588" w:type="dxa"/>
            <w:vAlign w:val="center"/>
          </w:tcPr>
          <w:p w:rsidR="00D84356" w:rsidRPr="001516DC" w:rsidRDefault="00D84356" w:rsidP="00D84356">
            <w:pPr>
              <w:rPr>
                <w:rFonts w:ascii="Times New Roman" w:hAnsi="Times New Roman"/>
                <w:sz w:val="24"/>
                <w:szCs w:val="24"/>
              </w:rPr>
            </w:pPr>
            <w:r>
              <w:rPr>
                <w:rFonts w:ascii="Times New Roman" w:hAnsi="Times New Roman"/>
                <w:sz w:val="24"/>
                <w:szCs w:val="24"/>
              </w:rPr>
              <w:t>6.5</w:t>
            </w:r>
            <w:r w:rsidRPr="001516DC">
              <w:rPr>
                <w:rFonts w:ascii="Times New Roman" w:hAnsi="Times New Roman"/>
                <w:sz w:val="24"/>
                <w:szCs w:val="24"/>
              </w:rPr>
              <w:t>3</w:t>
            </w:r>
            <w:r>
              <w:rPr>
                <w:rFonts w:ascii="Times New Roman" w:hAnsi="Times New Roman"/>
                <w:sz w:val="24"/>
                <w:szCs w:val="24"/>
              </w:rPr>
              <w:t>±0.02</w:t>
            </w:r>
            <w:r w:rsidRPr="001516DC">
              <w:rPr>
                <w:rFonts w:ascii="Times New Roman" w:hAnsi="Times New Roman"/>
                <w:sz w:val="24"/>
                <w:szCs w:val="24"/>
                <w:vertAlign w:val="superscript"/>
              </w:rPr>
              <w:t>aBC</w:t>
            </w:r>
          </w:p>
        </w:tc>
      </w:tr>
      <w:tr w:rsidR="00D84356" w:rsidTr="00D84356">
        <w:trPr>
          <w:trHeight w:val="341"/>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Flavour</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CF5E67" w:rsidRDefault="00DB0D62" w:rsidP="00773277">
            <w:pPr>
              <w:rPr>
                <w:rFonts w:ascii="Times New Roman" w:hAnsi="Times New Roman"/>
                <w:sz w:val="24"/>
                <w:szCs w:val="24"/>
              </w:rPr>
            </w:pPr>
            <w:r>
              <w:rPr>
                <w:rFonts w:ascii="Times New Roman" w:hAnsi="Times New Roman"/>
                <w:sz w:val="24"/>
                <w:szCs w:val="24"/>
              </w:rPr>
              <w:t>6.89±0.02</w:t>
            </w:r>
            <w:r w:rsidR="00D84356" w:rsidRPr="00CF5E67">
              <w:rPr>
                <w:rFonts w:ascii="Times New Roman" w:hAnsi="Times New Roman"/>
                <w:sz w:val="24"/>
                <w:szCs w:val="24"/>
                <w:vertAlign w:val="superscript"/>
              </w:rPr>
              <w:t>bCDE</w:t>
            </w:r>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6.88±0.00 </w:t>
            </w:r>
            <w:proofErr w:type="spellStart"/>
            <w:r w:rsidR="00F92A8F">
              <w:rPr>
                <w:rFonts w:ascii="Times New Roman" w:hAnsi="Times New Roman"/>
                <w:sz w:val="24"/>
                <w:szCs w:val="24"/>
                <w:vertAlign w:val="superscript"/>
              </w:rPr>
              <w:t>bC</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6.81±0.02 </w:t>
            </w:r>
            <w:proofErr w:type="spellStart"/>
            <w:r w:rsidRPr="00CF5E67">
              <w:rPr>
                <w:rFonts w:ascii="Times New Roman" w:hAnsi="Times New Roman"/>
                <w:sz w:val="24"/>
                <w:szCs w:val="24"/>
                <w:vertAlign w:val="superscript"/>
              </w:rPr>
              <w:t>aBC</w:t>
            </w:r>
            <w:proofErr w:type="spellEnd"/>
          </w:p>
        </w:tc>
      </w:tr>
      <w:tr w:rsidR="00D84356" w:rsidTr="00D84356">
        <w:trPr>
          <w:trHeight w:val="339"/>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6.70±0.01 </w:t>
            </w:r>
            <w:proofErr w:type="spellStart"/>
            <w:r w:rsidRPr="00CF5E67">
              <w:rPr>
                <w:rFonts w:ascii="Times New Roman" w:hAnsi="Times New Roman"/>
                <w:sz w:val="24"/>
                <w:szCs w:val="24"/>
                <w:vertAlign w:val="superscript"/>
              </w:rPr>
              <w:t>bB</w:t>
            </w:r>
            <w:proofErr w:type="spellEnd"/>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6.68±0.00 </w:t>
            </w:r>
            <w:proofErr w:type="spellStart"/>
            <w:r w:rsidRPr="00CF5E67">
              <w:rPr>
                <w:rFonts w:ascii="Times New Roman" w:hAnsi="Times New Roman"/>
                <w:sz w:val="24"/>
                <w:szCs w:val="24"/>
                <w:vertAlign w:val="superscript"/>
              </w:rPr>
              <w:t>bB</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6.58±0.01 </w:t>
            </w:r>
            <w:proofErr w:type="spellStart"/>
            <w:r w:rsidRPr="00CF5E67">
              <w:rPr>
                <w:rFonts w:ascii="Times New Roman" w:hAnsi="Times New Roman"/>
                <w:sz w:val="24"/>
                <w:szCs w:val="24"/>
                <w:vertAlign w:val="superscript"/>
              </w:rPr>
              <w:t>aB</w:t>
            </w:r>
            <w:proofErr w:type="spellEnd"/>
          </w:p>
        </w:tc>
      </w:tr>
      <w:tr w:rsidR="00D84356" w:rsidTr="00D84356">
        <w:trPr>
          <w:trHeight w:val="124"/>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6.51±0.03 </w:t>
            </w:r>
            <w:proofErr w:type="spellStart"/>
            <w:r w:rsidRPr="00CF5E67">
              <w:rPr>
                <w:rFonts w:ascii="Times New Roman" w:hAnsi="Times New Roman"/>
                <w:sz w:val="24"/>
                <w:szCs w:val="24"/>
                <w:vertAlign w:val="superscript"/>
              </w:rPr>
              <w:t>bA</w:t>
            </w:r>
            <w:proofErr w:type="spellEnd"/>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6.49±0.02 </w:t>
            </w:r>
            <w:proofErr w:type="spellStart"/>
            <w:r w:rsidRPr="00CF5E67">
              <w:rPr>
                <w:rFonts w:ascii="Times New Roman" w:hAnsi="Times New Roman"/>
                <w:sz w:val="24"/>
                <w:szCs w:val="24"/>
                <w:vertAlign w:val="superscript"/>
              </w:rPr>
              <w:t>bA</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6.29±0.04 </w:t>
            </w:r>
            <w:proofErr w:type="spellStart"/>
            <w:r w:rsidRPr="00CF5E67">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7.01±0.03 </w:t>
            </w:r>
            <w:proofErr w:type="spellStart"/>
            <w:r w:rsidR="00F92A8F">
              <w:rPr>
                <w:rFonts w:ascii="Times New Roman" w:hAnsi="Times New Roman"/>
                <w:sz w:val="24"/>
                <w:szCs w:val="24"/>
                <w:vertAlign w:val="superscript"/>
              </w:rPr>
              <w:t>aE</w:t>
            </w:r>
            <w:proofErr w:type="spellEnd"/>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7.00±0.02 </w:t>
            </w:r>
            <w:proofErr w:type="spellStart"/>
            <w:r w:rsidR="00F92A8F">
              <w:rPr>
                <w:rFonts w:ascii="Times New Roman" w:hAnsi="Times New Roman"/>
                <w:sz w:val="24"/>
                <w:szCs w:val="24"/>
                <w:vertAlign w:val="superscript"/>
              </w:rPr>
              <w:t>aD</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6.66±0.21 </w:t>
            </w:r>
            <w:proofErr w:type="spellStart"/>
            <w:r w:rsidRPr="00CF5E67">
              <w:rPr>
                <w:rFonts w:ascii="Times New Roman" w:hAnsi="Times New Roman"/>
                <w:sz w:val="24"/>
                <w:szCs w:val="24"/>
                <w:vertAlign w:val="superscript"/>
              </w:rPr>
              <w:t>aBC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CF5E67" w:rsidRDefault="00773277" w:rsidP="00773277">
            <w:pPr>
              <w:rPr>
                <w:rFonts w:ascii="Times New Roman" w:hAnsi="Times New Roman"/>
                <w:sz w:val="24"/>
                <w:szCs w:val="24"/>
              </w:rPr>
            </w:pPr>
            <w:r>
              <w:rPr>
                <w:rFonts w:ascii="Times New Roman" w:hAnsi="Times New Roman"/>
                <w:sz w:val="24"/>
                <w:szCs w:val="24"/>
              </w:rPr>
              <w:t>6.81±0.07</w:t>
            </w:r>
            <w:r w:rsidR="00D84356" w:rsidRPr="00CF5E67">
              <w:rPr>
                <w:rFonts w:ascii="Times New Roman" w:hAnsi="Times New Roman"/>
                <w:sz w:val="24"/>
                <w:szCs w:val="24"/>
                <w:vertAlign w:val="superscript"/>
              </w:rPr>
              <w:t>bBCD</w:t>
            </w:r>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6.80±0.06 </w:t>
            </w:r>
            <w:proofErr w:type="spellStart"/>
            <w:r w:rsidRPr="00CF5E67">
              <w:rPr>
                <w:rFonts w:ascii="Times New Roman" w:hAnsi="Times New Roman"/>
                <w:sz w:val="24"/>
                <w:szCs w:val="24"/>
                <w:vertAlign w:val="superscript"/>
              </w:rPr>
              <w:t>bC</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6.56±0.06 </w:t>
            </w:r>
            <w:proofErr w:type="spellStart"/>
            <w:r w:rsidRPr="00CF5E67">
              <w:rPr>
                <w:rFonts w:ascii="Times New Roman" w:hAnsi="Times New Roman"/>
                <w:sz w:val="24"/>
                <w:szCs w:val="24"/>
                <w:vertAlign w:val="superscript"/>
              </w:rPr>
              <w:t>aB</w:t>
            </w:r>
            <w:proofErr w:type="spellEnd"/>
          </w:p>
        </w:tc>
      </w:tr>
      <w:tr w:rsidR="00D84356" w:rsidTr="00D84356">
        <w:trPr>
          <w:trHeight w:val="341"/>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Juiciness</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6.76±0.02 </w:t>
            </w:r>
            <w:proofErr w:type="spellStart"/>
            <w:r w:rsidRPr="00197E22">
              <w:rPr>
                <w:rFonts w:ascii="Times New Roman" w:hAnsi="Times New Roman"/>
                <w:sz w:val="24"/>
                <w:szCs w:val="24"/>
                <w:vertAlign w:val="superscript"/>
              </w:rPr>
              <w:t>bB</w:t>
            </w:r>
            <w:proofErr w:type="spellEnd"/>
          </w:p>
        </w:tc>
        <w:tc>
          <w:tcPr>
            <w:tcW w:w="1623" w:type="dxa"/>
            <w:vAlign w:val="center"/>
          </w:tcPr>
          <w:p w:rsidR="00D84356" w:rsidRPr="00197E22" w:rsidRDefault="00773277" w:rsidP="00773277">
            <w:pPr>
              <w:rPr>
                <w:rFonts w:ascii="Times New Roman" w:hAnsi="Times New Roman"/>
                <w:sz w:val="24"/>
                <w:szCs w:val="24"/>
              </w:rPr>
            </w:pPr>
            <w:r>
              <w:rPr>
                <w:rFonts w:ascii="Times New Roman" w:hAnsi="Times New Roman"/>
                <w:sz w:val="24"/>
                <w:szCs w:val="24"/>
              </w:rPr>
              <w:t>6.73±0.01</w:t>
            </w:r>
            <w:r w:rsidR="00D84356" w:rsidRPr="00197E22">
              <w:rPr>
                <w:rFonts w:ascii="Times New Roman" w:hAnsi="Times New Roman"/>
                <w:sz w:val="24"/>
                <w:szCs w:val="24"/>
                <w:vertAlign w:val="superscript"/>
              </w:rPr>
              <w:t>abAB</w:t>
            </w:r>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6.69±</w:t>
            </w:r>
            <w:r w:rsidR="00773277">
              <w:rPr>
                <w:rFonts w:ascii="Times New Roman" w:hAnsi="Times New Roman"/>
                <w:sz w:val="24"/>
                <w:szCs w:val="24"/>
              </w:rPr>
              <w:t>0.02</w:t>
            </w:r>
            <w:r w:rsidRPr="00197E22">
              <w:rPr>
                <w:rFonts w:ascii="Times New Roman" w:hAnsi="Times New Roman"/>
                <w:sz w:val="24"/>
                <w:szCs w:val="24"/>
                <w:vertAlign w:val="superscript"/>
              </w:rPr>
              <w:t>aBCD</w:t>
            </w:r>
          </w:p>
        </w:tc>
      </w:tr>
      <w:tr w:rsidR="00D84356" w:rsidTr="00D84356">
        <w:trPr>
          <w:trHeight w:val="339"/>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6.63±0.01 </w:t>
            </w:r>
            <w:proofErr w:type="spellStart"/>
            <w:r w:rsidRPr="00197E22">
              <w:rPr>
                <w:rFonts w:ascii="Times New Roman" w:hAnsi="Times New Roman"/>
                <w:sz w:val="24"/>
                <w:szCs w:val="24"/>
                <w:vertAlign w:val="superscript"/>
              </w:rPr>
              <w:t>bAB</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6.63±0.01 </w:t>
            </w:r>
            <w:proofErr w:type="spellStart"/>
            <w:r w:rsidRPr="00197E22">
              <w:rPr>
                <w:rFonts w:ascii="Times New Roman" w:hAnsi="Times New Roman"/>
                <w:sz w:val="24"/>
                <w:szCs w:val="24"/>
                <w:vertAlign w:val="superscript"/>
              </w:rPr>
              <w:t>bA</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6.54±0.04 </w:t>
            </w:r>
            <w:proofErr w:type="spellStart"/>
            <w:r w:rsidRPr="00197E22">
              <w:rPr>
                <w:rFonts w:ascii="Times New Roman" w:hAnsi="Times New Roman"/>
                <w:sz w:val="24"/>
                <w:szCs w:val="24"/>
                <w:vertAlign w:val="superscript"/>
              </w:rPr>
              <w:t>aBC</w:t>
            </w:r>
            <w:proofErr w:type="spellEnd"/>
          </w:p>
        </w:tc>
      </w:tr>
      <w:tr w:rsidR="00D84356" w:rsidTr="00D84356">
        <w:trPr>
          <w:trHeight w:val="124"/>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6.54±0.02 </w:t>
            </w:r>
            <w:proofErr w:type="spellStart"/>
            <w:r w:rsidRPr="00197E22">
              <w:rPr>
                <w:rFonts w:ascii="Times New Roman" w:hAnsi="Times New Roman"/>
                <w:sz w:val="24"/>
                <w:szCs w:val="24"/>
                <w:vertAlign w:val="superscript"/>
              </w:rPr>
              <w:t>bA</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6.54±0.01 </w:t>
            </w:r>
            <w:proofErr w:type="spellStart"/>
            <w:r w:rsidRPr="00197E22">
              <w:rPr>
                <w:rFonts w:ascii="Times New Roman" w:hAnsi="Times New Roman"/>
                <w:sz w:val="24"/>
                <w:szCs w:val="24"/>
                <w:vertAlign w:val="superscript"/>
              </w:rPr>
              <w:t>bA</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6.06±0.08 </w:t>
            </w:r>
            <w:proofErr w:type="spellStart"/>
            <w:r w:rsidRPr="00197E22">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7.26±0.15 </w:t>
            </w:r>
            <w:proofErr w:type="spellStart"/>
            <w:r w:rsidR="00F92A8F">
              <w:rPr>
                <w:rFonts w:ascii="Times New Roman" w:hAnsi="Times New Roman"/>
                <w:sz w:val="24"/>
                <w:szCs w:val="24"/>
                <w:vertAlign w:val="superscript"/>
              </w:rPr>
              <w:t>bD</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7.20±0.16 </w:t>
            </w:r>
            <w:proofErr w:type="spellStart"/>
            <w:r w:rsidRPr="00197E22">
              <w:rPr>
                <w:rFonts w:ascii="Times New Roman" w:hAnsi="Times New Roman"/>
                <w:sz w:val="24"/>
                <w:szCs w:val="24"/>
                <w:vertAlign w:val="superscript"/>
              </w:rPr>
              <w:t>bD</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6.73±0.16 </w:t>
            </w:r>
            <w:proofErr w:type="spellStart"/>
            <w:r w:rsidRPr="00197E22">
              <w:rPr>
                <w:rFonts w:ascii="Times New Roman" w:hAnsi="Times New Roman"/>
                <w:sz w:val="24"/>
                <w:szCs w:val="24"/>
                <w:vertAlign w:val="superscript"/>
              </w:rPr>
              <w:t>aCD</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6.84±0.08 </w:t>
            </w:r>
            <w:proofErr w:type="spellStart"/>
            <w:r w:rsidRPr="00197E22">
              <w:rPr>
                <w:rFonts w:ascii="Times New Roman" w:hAnsi="Times New Roman"/>
                <w:sz w:val="24"/>
                <w:szCs w:val="24"/>
                <w:vertAlign w:val="superscript"/>
              </w:rPr>
              <w:t>bBC</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6.84±0.08 </w:t>
            </w:r>
            <w:proofErr w:type="spellStart"/>
            <w:r w:rsidRPr="00197E22">
              <w:rPr>
                <w:rFonts w:ascii="Times New Roman" w:hAnsi="Times New Roman"/>
                <w:sz w:val="24"/>
                <w:szCs w:val="24"/>
                <w:vertAlign w:val="superscript"/>
              </w:rPr>
              <w:t>bBC</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6.61±0.04 </w:t>
            </w:r>
            <w:proofErr w:type="spellStart"/>
            <w:r w:rsidRPr="00197E22">
              <w:rPr>
                <w:rFonts w:ascii="Times New Roman" w:hAnsi="Times New Roman"/>
                <w:sz w:val="24"/>
                <w:szCs w:val="24"/>
                <w:vertAlign w:val="superscript"/>
              </w:rPr>
              <w:t>aBC</w:t>
            </w:r>
            <w:proofErr w:type="spellEnd"/>
          </w:p>
        </w:tc>
      </w:tr>
      <w:tr w:rsidR="00D84356" w:rsidTr="00D84356">
        <w:trPr>
          <w:trHeight w:val="341"/>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Texture</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6.68±0.01 </w:t>
            </w:r>
            <w:proofErr w:type="spellStart"/>
            <w:r w:rsidRPr="002E2368">
              <w:rPr>
                <w:rFonts w:ascii="Times New Roman" w:hAnsi="Times New Roman"/>
                <w:sz w:val="24"/>
                <w:szCs w:val="24"/>
                <w:vertAlign w:val="superscript"/>
              </w:rPr>
              <w:t>aC</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6.55±0.11 </w:t>
            </w:r>
            <w:proofErr w:type="spellStart"/>
            <w:r w:rsidRPr="002E2368">
              <w:rPr>
                <w:rFonts w:ascii="Times New Roman" w:hAnsi="Times New Roman"/>
                <w:sz w:val="24"/>
                <w:szCs w:val="24"/>
                <w:vertAlign w:val="superscript"/>
              </w:rPr>
              <w:t>aB</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6.52±0.10 </w:t>
            </w:r>
            <w:proofErr w:type="spellStart"/>
            <w:r w:rsidRPr="002E2368">
              <w:rPr>
                <w:rFonts w:ascii="Times New Roman" w:hAnsi="Times New Roman"/>
                <w:sz w:val="24"/>
                <w:szCs w:val="24"/>
                <w:vertAlign w:val="superscript"/>
              </w:rPr>
              <w:t>aB</w:t>
            </w:r>
            <w:proofErr w:type="spellEnd"/>
          </w:p>
        </w:tc>
      </w:tr>
      <w:tr w:rsidR="00D84356" w:rsidTr="00D84356">
        <w:trPr>
          <w:trHeight w:val="339"/>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6.53±0.02 </w:t>
            </w:r>
            <w:proofErr w:type="spellStart"/>
            <w:r w:rsidRPr="002E2368">
              <w:rPr>
                <w:rFonts w:ascii="Times New Roman" w:hAnsi="Times New Roman"/>
                <w:sz w:val="24"/>
                <w:szCs w:val="24"/>
                <w:vertAlign w:val="superscript"/>
              </w:rPr>
              <w:t>aB</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6.54±0.01 </w:t>
            </w:r>
            <w:proofErr w:type="spellStart"/>
            <w:r w:rsidRPr="002E2368">
              <w:rPr>
                <w:rFonts w:ascii="Times New Roman" w:hAnsi="Times New Roman"/>
                <w:sz w:val="24"/>
                <w:szCs w:val="24"/>
                <w:vertAlign w:val="superscript"/>
              </w:rPr>
              <w:t>aB</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6.54±0.01 </w:t>
            </w:r>
            <w:proofErr w:type="spellStart"/>
            <w:r w:rsidRPr="002E2368">
              <w:rPr>
                <w:rFonts w:ascii="Times New Roman" w:hAnsi="Times New Roman"/>
                <w:sz w:val="24"/>
                <w:szCs w:val="24"/>
                <w:vertAlign w:val="superscript"/>
              </w:rPr>
              <w:t>aB</w:t>
            </w:r>
            <w:proofErr w:type="spellEnd"/>
          </w:p>
        </w:tc>
      </w:tr>
      <w:tr w:rsidR="00D84356" w:rsidTr="00D84356">
        <w:trPr>
          <w:trHeight w:val="124"/>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6.17±0.02 </w:t>
            </w:r>
            <w:proofErr w:type="spellStart"/>
            <w:r w:rsidRPr="002E2368">
              <w:rPr>
                <w:rFonts w:ascii="Times New Roman" w:hAnsi="Times New Roman"/>
                <w:sz w:val="24"/>
                <w:szCs w:val="24"/>
                <w:vertAlign w:val="superscript"/>
              </w:rPr>
              <w:t>bA</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5.91±0.08 </w:t>
            </w:r>
            <w:proofErr w:type="spellStart"/>
            <w:r w:rsidRPr="002E2368">
              <w:rPr>
                <w:rFonts w:ascii="Times New Roman" w:hAnsi="Times New Roman"/>
                <w:sz w:val="24"/>
                <w:szCs w:val="24"/>
                <w:vertAlign w:val="superscript"/>
              </w:rPr>
              <w:t>aA</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5.91±0.08 </w:t>
            </w:r>
            <w:proofErr w:type="spellStart"/>
            <w:r w:rsidRPr="002E2368">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6.91±0.03 </w:t>
            </w:r>
            <w:proofErr w:type="spellStart"/>
            <w:r w:rsidRPr="002E2368">
              <w:rPr>
                <w:rFonts w:ascii="Times New Roman" w:hAnsi="Times New Roman"/>
                <w:sz w:val="24"/>
                <w:szCs w:val="24"/>
                <w:vertAlign w:val="superscript"/>
              </w:rPr>
              <w:t>bD</w:t>
            </w:r>
            <w:proofErr w:type="spellEnd"/>
          </w:p>
        </w:tc>
        <w:tc>
          <w:tcPr>
            <w:tcW w:w="1623" w:type="dxa"/>
            <w:vAlign w:val="center"/>
          </w:tcPr>
          <w:p w:rsidR="00D84356" w:rsidRPr="002E2368" w:rsidRDefault="00773277" w:rsidP="00773277">
            <w:pPr>
              <w:rPr>
                <w:rFonts w:ascii="Times New Roman" w:hAnsi="Times New Roman"/>
                <w:sz w:val="24"/>
                <w:szCs w:val="24"/>
              </w:rPr>
            </w:pPr>
            <w:r>
              <w:rPr>
                <w:rFonts w:ascii="Times New Roman" w:hAnsi="Times New Roman"/>
                <w:sz w:val="24"/>
                <w:szCs w:val="24"/>
              </w:rPr>
              <w:t>6.81±0.01</w:t>
            </w:r>
            <w:r w:rsidR="00E772BB">
              <w:rPr>
                <w:rFonts w:ascii="Times New Roman" w:hAnsi="Times New Roman"/>
                <w:sz w:val="24"/>
                <w:szCs w:val="24"/>
                <w:vertAlign w:val="superscript"/>
              </w:rPr>
              <w:t>aC</w:t>
            </w:r>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6.79±0.00 </w:t>
            </w:r>
            <w:proofErr w:type="spellStart"/>
            <w:r w:rsidR="00E772BB">
              <w:rPr>
                <w:rFonts w:ascii="Times New Roman" w:hAnsi="Times New Roman"/>
                <w:sz w:val="24"/>
                <w:szCs w:val="24"/>
                <w:vertAlign w:val="superscript"/>
              </w:rPr>
              <w:t>aC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6.69±0.04 </w:t>
            </w:r>
            <w:proofErr w:type="spellStart"/>
            <w:r w:rsidRPr="002E2368">
              <w:rPr>
                <w:rFonts w:ascii="Times New Roman" w:hAnsi="Times New Roman"/>
                <w:sz w:val="24"/>
                <w:szCs w:val="24"/>
                <w:vertAlign w:val="superscript"/>
              </w:rPr>
              <w:t>aC</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6.68±0.01 </w:t>
            </w:r>
            <w:proofErr w:type="spellStart"/>
            <w:r w:rsidRPr="002E2368">
              <w:rPr>
                <w:rFonts w:ascii="Times New Roman" w:hAnsi="Times New Roman"/>
                <w:sz w:val="24"/>
                <w:szCs w:val="24"/>
                <w:vertAlign w:val="superscript"/>
              </w:rPr>
              <w:t>aBC</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6.66±0.02 </w:t>
            </w:r>
            <w:proofErr w:type="spellStart"/>
            <w:r w:rsidRPr="002E2368">
              <w:rPr>
                <w:rFonts w:ascii="Times New Roman" w:hAnsi="Times New Roman"/>
                <w:sz w:val="24"/>
                <w:szCs w:val="24"/>
                <w:vertAlign w:val="superscript"/>
              </w:rPr>
              <w:t>aBC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Overall acceptibility</w:t>
            </w:r>
          </w:p>
        </w:tc>
        <w:tc>
          <w:tcPr>
            <w:tcW w:w="1114"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6.83±0.04 </w:t>
            </w:r>
            <w:proofErr w:type="spellStart"/>
            <w:r w:rsidRPr="00B500B4">
              <w:rPr>
                <w:rFonts w:ascii="Times New Roman" w:hAnsi="Times New Roman"/>
                <w:sz w:val="24"/>
                <w:szCs w:val="24"/>
                <w:vertAlign w:val="superscript"/>
              </w:rPr>
              <w:t>bC</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6.79±0.02 </w:t>
            </w:r>
            <w:proofErr w:type="spellStart"/>
            <w:r w:rsidR="00E772BB">
              <w:rPr>
                <w:rFonts w:ascii="Times New Roman" w:hAnsi="Times New Roman"/>
                <w:sz w:val="24"/>
                <w:szCs w:val="24"/>
                <w:vertAlign w:val="superscript"/>
              </w:rPr>
              <w:t>abB</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6.71±0.01 </w:t>
            </w:r>
            <w:proofErr w:type="spellStart"/>
            <w:r w:rsidRPr="00B500B4">
              <w:rPr>
                <w:rFonts w:ascii="Times New Roman" w:hAnsi="Times New Roman"/>
                <w:sz w:val="24"/>
                <w:szCs w:val="24"/>
                <w:vertAlign w:val="superscript"/>
              </w:rPr>
              <w:t>aD</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6.63±0.01 </w:t>
            </w:r>
            <w:proofErr w:type="spellStart"/>
            <w:r w:rsidRPr="00B500B4">
              <w:rPr>
                <w:rFonts w:ascii="Times New Roman" w:hAnsi="Times New Roman"/>
                <w:sz w:val="24"/>
                <w:szCs w:val="24"/>
                <w:vertAlign w:val="superscript"/>
              </w:rPr>
              <w:t>bB</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6.61±0.02 </w:t>
            </w:r>
            <w:proofErr w:type="spellStart"/>
            <w:r w:rsidR="00E772BB">
              <w:rPr>
                <w:rFonts w:ascii="Times New Roman" w:hAnsi="Times New Roman"/>
                <w:sz w:val="24"/>
                <w:szCs w:val="24"/>
                <w:vertAlign w:val="superscript"/>
              </w:rPr>
              <w:t>bA</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6.50±0.03 </w:t>
            </w:r>
            <w:proofErr w:type="spellStart"/>
            <w:r w:rsidRPr="00B500B4">
              <w:rPr>
                <w:rFonts w:ascii="Times New Roman" w:hAnsi="Times New Roman"/>
                <w:sz w:val="24"/>
                <w:szCs w:val="24"/>
                <w:vertAlign w:val="superscript"/>
              </w:rPr>
              <w:t>aC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6.08±0.08 </w:t>
            </w:r>
            <w:proofErr w:type="spellStart"/>
            <w:r w:rsidRPr="00B500B4">
              <w:rPr>
                <w:rFonts w:ascii="Times New Roman" w:hAnsi="Times New Roman"/>
                <w:sz w:val="24"/>
                <w:szCs w:val="24"/>
                <w:vertAlign w:val="superscript"/>
              </w:rPr>
              <w:t>bA</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6.00±0.02 </w:t>
            </w:r>
            <w:proofErr w:type="spellStart"/>
            <w:r w:rsidR="00E772BB">
              <w:rPr>
                <w:rFonts w:ascii="Times New Roman" w:hAnsi="Times New Roman"/>
                <w:sz w:val="24"/>
                <w:szCs w:val="24"/>
                <w:vertAlign w:val="superscript"/>
              </w:rPr>
              <w:t>abB</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5.90±0.03 </w:t>
            </w:r>
            <w:proofErr w:type="spellStart"/>
            <w:r w:rsidRPr="00B500B4">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9F4640" w:rsidP="00D84356">
            <w:pPr>
              <w:jc w:val="both"/>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6.91±0.04 </w:t>
            </w:r>
            <w:proofErr w:type="spellStart"/>
            <w:r w:rsidRPr="00B500B4">
              <w:rPr>
                <w:rFonts w:ascii="Times New Roman" w:hAnsi="Times New Roman"/>
                <w:sz w:val="24"/>
                <w:szCs w:val="24"/>
                <w:vertAlign w:val="superscript"/>
              </w:rPr>
              <w:t>bC</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6.88±0.04 </w:t>
            </w:r>
            <w:proofErr w:type="spellStart"/>
            <w:r w:rsidR="00E772BB">
              <w:rPr>
                <w:rFonts w:ascii="Times New Roman" w:hAnsi="Times New Roman"/>
                <w:sz w:val="24"/>
                <w:szCs w:val="24"/>
                <w:vertAlign w:val="superscript"/>
              </w:rPr>
              <w:t>bC</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6.75±0.02 </w:t>
            </w:r>
            <w:proofErr w:type="spellStart"/>
            <w:r w:rsidR="00E772BB">
              <w:rPr>
                <w:rFonts w:ascii="Times New Roman" w:hAnsi="Times New Roman"/>
                <w:sz w:val="24"/>
                <w:szCs w:val="24"/>
                <w:vertAlign w:val="superscript"/>
              </w:rPr>
              <w:t>aD</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6.64±0.03 </w:t>
            </w:r>
            <w:proofErr w:type="spellStart"/>
            <w:r w:rsidRPr="00B500B4">
              <w:rPr>
                <w:rFonts w:ascii="Times New Roman" w:hAnsi="Times New Roman"/>
                <w:sz w:val="24"/>
                <w:szCs w:val="24"/>
                <w:vertAlign w:val="superscript"/>
              </w:rPr>
              <w:t>bB</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6.60±0.03 </w:t>
            </w:r>
            <w:proofErr w:type="spellStart"/>
            <w:r w:rsidR="00E772BB">
              <w:rPr>
                <w:rFonts w:ascii="Times New Roman" w:hAnsi="Times New Roman"/>
                <w:sz w:val="24"/>
                <w:szCs w:val="24"/>
                <w:vertAlign w:val="superscript"/>
              </w:rPr>
              <w:t>bA</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6.33±0.10 </w:t>
            </w:r>
            <w:proofErr w:type="spellStart"/>
            <w:r w:rsidRPr="00B500B4">
              <w:rPr>
                <w:rFonts w:ascii="Times New Roman" w:hAnsi="Times New Roman"/>
                <w:sz w:val="24"/>
                <w:szCs w:val="24"/>
                <w:vertAlign w:val="superscript"/>
              </w:rPr>
              <w:t>aB</w:t>
            </w:r>
            <w:proofErr w:type="spellEnd"/>
          </w:p>
        </w:tc>
      </w:tr>
    </w:tbl>
    <w:p w:rsidR="00870BE1" w:rsidRPr="0058513F" w:rsidRDefault="0058513F" w:rsidP="0058513F">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rsidR="00A13983" w:rsidRDefault="00A13983" w:rsidP="00701070">
      <w:pPr>
        <w:tabs>
          <w:tab w:val="left" w:pos="3744"/>
        </w:tabs>
        <w:spacing w:line="240" w:lineRule="auto"/>
        <w:jc w:val="both"/>
        <w:rPr>
          <w:rFonts w:ascii="Times New Roman" w:hAnsi="Times New Roman"/>
          <w:sz w:val="24"/>
          <w:szCs w:val="24"/>
        </w:rPr>
      </w:pPr>
      <w:r w:rsidRPr="0081713E">
        <w:rPr>
          <w:rFonts w:ascii="Times New Roman" w:hAnsi="Times New Roman" w:cs="Times New Roman"/>
          <w:b/>
          <w:sz w:val="24"/>
          <w:szCs w:val="24"/>
        </w:rPr>
        <w:t>Overall acceptability:</w:t>
      </w:r>
      <w:r w:rsidRPr="00A13983">
        <w:rPr>
          <w:rFonts w:ascii="Times New Roman" w:hAnsi="Times New Roman"/>
          <w:sz w:val="24"/>
          <w:szCs w:val="24"/>
        </w:rPr>
        <w:t xml:space="preserve"> </w:t>
      </w:r>
      <w:r w:rsidRPr="00047DA3">
        <w:rPr>
          <w:rFonts w:ascii="Times New Roman" w:hAnsi="Times New Roman"/>
          <w:sz w:val="24"/>
          <w:szCs w:val="24"/>
        </w:rPr>
        <w:t>The mean overall acceptability scores for meat of Vanaraja and Indb</w:t>
      </w:r>
      <w:r w:rsidR="00CE2490">
        <w:rPr>
          <w:rFonts w:ascii="Times New Roman" w:hAnsi="Times New Roman"/>
          <w:sz w:val="24"/>
          <w:szCs w:val="24"/>
        </w:rPr>
        <w:t xml:space="preserve">ro on 12 days of super chilling, </w:t>
      </w:r>
      <w:r w:rsidR="00CE2490">
        <w:rPr>
          <w:rFonts w:ascii="Times New Roman" w:hAnsi="Times New Roman"/>
          <w:color w:val="000000"/>
          <w:sz w:val="24"/>
          <w:szCs w:val="24"/>
        </w:rPr>
        <w:t>30 and 60 days of freezing</w:t>
      </w:r>
      <w:r w:rsidR="00CE2490">
        <w:rPr>
          <w:rFonts w:ascii="Times New Roman" w:hAnsi="Times New Roman"/>
          <w:sz w:val="24"/>
          <w:szCs w:val="24"/>
        </w:rPr>
        <w:t xml:space="preserve"> </w:t>
      </w:r>
      <w:r w:rsidRPr="00047DA3">
        <w:rPr>
          <w:rFonts w:ascii="Times New Roman" w:hAnsi="Times New Roman"/>
          <w:sz w:val="24"/>
          <w:szCs w:val="24"/>
        </w:rPr>
        <w:t xml:space="preserve">not differed significantly (P&gt;0.05), </w:t>
      </w:r>
      <w:r w:rsidR="002304B0">
        <w:rPr>
          <w:rFonts w:ascii="Times New Roman" w:hAnsi="Times New Roman"/>
          <w:sz w:val="24"/>
          <w:szCs w:val="24"/>
        </w:rPr>
        <w:t xml:space="preserve">but </w:t>
      </w:r>
      <w:r w:rsidRPr="00047DA3">
        <w:rPr>
          <w:rFonts w:ascii="Times New Roman" w:hAnsi="Times New Roman"/>
          <w:sz w:val="24"/>
          <w:szCs w:val="24"/>
        </w:rPr>
        <w:t>differed significantly (</w:t>
      </w:r>
      <w:r>
        <w:rPr>
          <w:rFonts w:ascii="Times New Roman" w:hAnsi="Times New Roman"/>
          <w:sz w:val="24"/>
          <w:szCs w:val="24"/>
        </w:rPr>
        <w:t>P</w:t>
      </w:r>
      <w:r w:rsidR="00F363E3">
        <w:rPr>
          <w:rFonts w:ascii="Times New Roman" w:hAnsi="Times New Roman"/>
          <w:sz w:val="24"/>
          <w:szCs w:val="24"/>
        </w:rPr>
        <w:t>&lt;0.05)</w:t>
      </w:r>
      <w:r w:rsidR="00CE2490">
        <w:rPr>
          <w:rFonts w:ascii="Times New Roman" w:hAnsi="Times New Roman"/>
          <w:sz w:val="24"/>
          <w:szCs w:val="24"/>
        </w:rPr>
        <w:t xml:space="preserve"> </w:t>
      </w:r>
      <w:r w:rsidR="002304B0">
        <w:rPr>
          <w:rFonts w:ascii="Times New Roman" w:hAnsi="Times New Roman"/>
          <w:sz w:val="24"/>
          <w:szCs w:val="24"/>
        </w:rPr>
        <w:t>on 6 and 18 days of super</w:t>
      </w:r>
      <w:r w:rsidR="00CB0BE3">
        <w:rPr>
          <w:rFonts w:ascii="Times New Roman" w:hAnsi="Times New Roman"/>
          <w:sz w:val="24"/>
          <w:szCs w:val="24"/>
        </w:rPr>
        <w:t xml:space="preserve"> </w:t>
      </w:r>
      <w:r w:rsidR="002304B0">
        <w:rPr>
          <w:rFonts w:ascii="Times New Roman" w:hAnsi="Times New Roman"/>
          <w:sz w:val="24"/>
          <w:szCs w:val="24"/>
        </w:rPr>
        <w:t>chilling</w:t>
      </w:r>
      <w:r w:rsidR="00F363E3">
        <w:rPr>
          <w:rFonts w:ascii="Times New Roman" w:hAnsi="Times New Roman"/>
          <w:sz w:val="24"/>
          <w:szCs w:val="24"/>
        </w:rPr>
        <w:t xml:space="preserve">, </w:t>
      </w:r>
      <w:r w:rsidRPr="00047DA3">
        <w:rPr>
          <w:rFonts w:ascii="Times New Roman" w:hAnsi="Times New Roman"/>
          <w:color w:val="000000"/>
          <w:sz w:val="24"/>
          <w:szCs w:val="24"/>
        </w:rPr>
        <w:t>whereas the Commercial broilers showed no</w:t>
      </w:r>
      <w:r>
        <w:rPr>
          <w:rFonts w:ascii="Times New Roman" w:hAnsi="Times New Roman"/>
          <w:color w:val="000000"/>
          <w:sz w:val="24"/>
          <w:szCs w:val="24"/>
        </w:rPr>
        <w:t xml:space="preserve"> significant (P&gt;0.05) difference with 2 groups</w:t>
      </w:r>
      <w:r w:rsidR="00CE2490">
        <w:rPr>
          <w:rFonts w:ascii="Times New Roman" w:hAnsi="Times New Roman"/>
          <w:color w:val="000000"/>
          <w:sz w:val="24"/>
          <w:szCs w:val="24"/>
        </w:rPr>
        <w:t xml:space="preserve"> during 6 and 18 days of super</w:t>
      </w:r>
      <w:r w:rsidR="00CB0BE3">
        <w:rPr>
          <w:rFonts w:ascii="Times New Roman" w:hAnsi="Times New Roman"/>
          <w:color w:val="000000"/>
          <w:sz w:val="24"/>
          <w:szCs w:val="24"/>
        </w:rPr>
        <w:t xml:space="preserve"> </w:t>
      </w:r>
      <w:r w:rsidR="00CE2490">
        <w:rPr>
          <w:rFonts w:ascii="Times New Roman" w:hAnsi="Times New Roman"/>
          <w:color w:val="000000"/>
          <w:sz w:val="24"/>
          <w:szCs w:val="24"/>
        </w:rPr>
        <w:t>chilling</w:t>
      </w:r>
      <w:r>
        <w:rPr>
          <w:rFonts w:ascii="Times New Roman" w:hAnsi="Times New Roman"/>
          <w:color w:val="000000"/>
          <w:sz w:val="24"/>
          <w:szCs w:val="24"/>
        </w:rPr>
        <w:t xml:space="preserve">. </w:t>
      </w:r>
      <w:r w:rsidR="00F679B9">
        <w:rPr>
          <w:rFonts w:ascii="Times New Roman" w:hAnsi="Times New Roman"/>
          <w:sz w:val="24"/>
          <w:szCs w:val="24"/>
        </w:rPr>
        <w:t xml:space="preserve">Devatkal </w:t>
      </w:r>
      <w:r w:rsidR="00F679B9" w:rsidRPr="00326F36">
        <w:rPr>
          <w:rFonts w:ascii="Times New Roman" w:hAnsi="Times New Roman"/>
          <w:i/>
          <w:sz w:val="24"/>
          <w:szCs w:val="24"/>
        </w:rPr>
        <w:t>et al.</w:t>
      </w:r>
      <w:r w:rsidR="00F679B9">
        <w:rPr>
          <w:rFonts w:ascii="Times New Roman" w:hAnsi="Times New Roman"/>
          <w:sz w:val="24"/>
          <w:szCs w:val="24"/>
        </w:rPr>
        <w:t xml:space="preserve"> (2019) reported that Indbro breast meat scores were higher when compared to Commercial broiler breast meat.</w:t>
      </w:r>
      <w:r w:rsidR="000711CC" w:rsidRPr="000711CC">
        <w:rPr>
          <w:rFonts w:ascii="Times New Roman" w:hAnsi="Times New Roman"/>
          <w:sz w:val="24"/>
          <w:szCs w:val="24"/>
        </w:rPr>
        <w:t xml:space="preserve"> </w:t>
      </w:r>
      <w:r w:rsidR="000711CC">
        <w:rPr>
          <w:rFonts w:ascii="Times New Roman" w:hAnsi="Times New Roman"/>
          <w:sz w:val="24"/>
          <w:szCs w:val="24"/>
        </w:rPr>
        <w:t xml:space="preserve">Present results are in agreement with Rajkumar </w:t>
      </w:r>
      <w:r w:rsidR="000711CC" w:rsidRPr="002519BF">
        <w:rPr>
          <w:rFonts w:ascii="Times New Roman" w:hAnsi="Times New Roman"/>
          <w:i/>
          <w:sz w:val="24"/>
          <w:szCs w:val="24"/>
        </w:rPr>
        <w:t>et al</w:t>
      </w:r>
      <w:r w:rsidR="000711CC">
        <w:rPr>
          <w:rFonts w:ascii="Times New Roman" w:hAnsi="Times New Roman"/>
          <w:sz w:val="24"/>
          <w:szCs w:val="24"/>
        </w:rPr>
        <w:t>. (2016), who also observed lower overall acceptability scores in Commercial broilers meat than Aseel meat.</w:t>
      </w:r>
    </w:p>
    <w:p w:rsidR="00FA22A2" w:rsidRDefault="00A13983" w:rsidP="00701070">
      <w:pPr>
        <w:keepNext/>
        <w:widowControl w:val="0"/>
        <w:tabs>
          <w:tab w:val="left" w:pos="180"/>
        </w:tabs>
        <w:spacing w:after="0" w:line="240" w:lineRule="auto"/>
        <w:jc w:val="both"/>
        <w:rPr>
          <w:rFonts w:ascii="Times New Roman" w:hAnsi="Times New Roman"/>
          <w:b/>
          <w:sz w:val="24"/>
          <w:szCs w:val="24"/>
        </w:rPr>
      </w:pPr>
      <w:r w:rsidRPr="00753212">
        <w:rPr>
          <w:rFonts w:ascii="Times New Roman" w:hAnsi="Times New Roman"/>
          <w:b/>
          <w:sz w:val="24"/>
          <w:szCs w:val="24"/>
        </w:rPr>
        <w:t xml:space="preserve">Drip </w:t>
      </w:r>
      <w:r>
        <w:rPr>
          <w:rFonts w:ascii="Times New Roman" w:hAnsi="Times New Roman"/>
          <w:b/>
          <w:sz w:val="24"/>
          <w:szCs w:val="24"/>
        </w:rPr>
        <w:t>L</w:t>
      </w:r>
      <w:r w:rsidRPr="00753212">
        <w:rPr>
          <w:rFonts w:ascii="Times New Roman" w:hAnsi="Times New Roman"/>
          <w:b/>
          <w:sz w:val="24"/>
          <w:szCs w:val="24"/>
        </w:rPr>
        <w:t>oss</w:t>
      </w:r>
      <w:r>
        <w:rPr>
          <w:rFonts w:ascii="Times New Roman" w:hAnsi="Times New Roman"/>
          <w:b/>
          <w:sz w:val="24"/>
          <w:szCs w:val="24"/>
        </w:rPr>
        <w:t xml:space="preserve"> (frozen sample)</w:t>
      </w:r>
      <w:r w:rsidRPr="00753212">
        <w:rPr>
          <w:rFonts w:ascii="Times New Roman" w:hAnsi="Times New Roman"/>
          <w:b/>
          <w:sz w:val="24"/>
          <w:szCs w:val="24"/>
        </w:rPr>
        <w:t xml:space="preserve">         </w:t>
      </w:r>
    </w:p>
    <w:p w:rsidR="00F1228C" w:rsidRDefault="00A13983" w:rsidP="00701070">
      <w:pPr>
        <w:tabs>
          <w:tab w:val="left" w:pos="3744"/>
        </w:tabs>
        <w:spacing w:line="240" w:lineRule="auto"/>
        <w:jc w:val="both"/>
        <w:rPr>
          <w:rFonts w:ascii="Times New Roman" w:hAnsi="Times New Roman" w:cs="Times New Roman"/>
          <w:sz w:val="24"/>
          <w:szCs w:val="24"/>
        </w:rPr>
      </w:pPr>
      <w:r w:rsidRPr="00F1228C">
        <w:rPr>
          <w:rFonts w:ascii="Times New Roman" w:hAnsi="Times New Roman" w:cs="Times New Roman"/>
          <w:sz w:val="24"/>
          <w:szCs w:val="24"/>
        </w:rPr>
        <w:t>The mean ± SE values of drip loss for meat of Vanaraja, Indbro, and Commercial broilers on 30 days of freezing was 3.40±0.01, 3.38±0.00 and 3.36±0.01 and on 60 days of freezing was 3.41±0.01, 3.39±0.02 and 3.38±0.00, respectively</w:t>
      </w:r>
      <w:r w:rsidR="009D3012">
        <w:rPr>
          <w:rFonts w:ascii="Times New Roman" w:hAnsi="Times New Roman" w:cs="Times New Roman"/>
          <w:sz w:val="24"/>
          <w:szCs w:val="24"/>
        </w:rPr>
        <w:t xml:space="preserve">, </w:t>
      </w:r>
      <w:r w:rsidR="00F1228C">
        <w:rPr>
          <w:rFonts w:ascii="Times New Roman" w:hAnsi="Times New Roman" w:cs="Times New Roman"/>
          <w:sz w:val="24"/>
          <w:szCs w:val="24"/>
        </w:rPr>
        <w:t>and the values</w:t>
      </w:r>
      <w:r w:rsidRPr="00F1228C">
        <w:rPr>
          <w:rFonts w:ascii="Times New Roman" w:hAnsi="Times New Roman" w:cs="Times New Roman"/>
          <w:sz w:val="24"/>
          <w:szCs w:val="24"/>
        </w:rPr>
        <w:t xml:space="preserve"> not differed significantly (p&gt;0.05) among all the groups of birds.</w:t>
      </w:r>
      <w:r w:rsidR="00F1228C" w:rsidRPr="00F1228C">
        <w:rPr>
          <w:rFonts w:ascii="Times New Roman" w:hAnsi="Times New Roman"/>
          <w:sz w:val="24"/>
          <w:szCs w:val="24"/>
        </w:rPr>
        <w:t xml:space="preserve"> </w:t>
      </w:r>
      <w:r w:rsidR="00F1228C">
        <w:rPr>
          <w:rFonts w:ascii="Times New Roman" w:hAnsi="Times New Roman"/>
          <w:sz w:val="24"/>
          <w:szCs w:val="24"/>
        </w:rPr>
        <w:t xml:space="preserve">More drip loss in frozen sample could be due to the mechanical damage to cell membranes caused by destruction of muscular tissue due to freezing resulting in low WHC (Anese </w:t>
      </w:r>
      <w:r w:rsidR="00F1228C" w:rsidRPr="00B603DA">
        <w:rPr>
          <w:rFonts w:ascii="Times New Roman" w:hAnsi="Times New Roman"/>
          <w:i/>
          <w:sz w:val="24"/>
          <w:szCs w:val="24"/>
        </w:rPr>
        <w:t>et al</w:t>
      </w:r>
      <w:r w:rsidR="00F1228C">
        <w:rPr>
          <w:rFonts w:ascii="Times New Roman" w:hAnsi="Times New Roman"/>
          <w:sz w:val="24"/>
          <w:szCs w:val="24"/>
        </w:rPr>
        <w:t xml:space="preserve">., 2012; Srinivasan </w:t>
      </w:r>
      <w:r w:rsidR="00F1228C" w:rsidRPr="007B152D">
        <w:rPr>
          <w:rFonts w:ascii="Times New Roman" w:hAnsi="Times New Roman"/>
          <w:i/>
          <w:sz w:val="24"/>
          <w:szCs w:val="24"/>
        </w:rPr>
        <w:t>et al</w:t>
      </w:r>
      <w:r w:rsidR="00F1228C">
        <w:rPr>
          <w:rFonts w:ascii="Times New Roman" w:hAnsi="Times New Roman"/>
          <w:sz w:val="24"/>
          <w:szCs w:val="24"/>
        </w:rPr>
        <w:t xml:space="preserve">., 1997). </w:t>
      </w:r>
      <w:r w:rsidR="00F1228C" w:rsidRPr="00F1228C">
        <w:rPr>
          <w:rFonts w:ascii="Times New Roman" w:hAnsi="Times New Roman" w:cs="Times New Roman"/>
          <w:sz w:val="24"/>
          <w:szCs w:val="24"/>
        </w:rPr>
        <w:t xml:space="preserve">Vieira </w:t>
      </w:r>
      <w:r w:rsidR="00F1228C" w:rsidRPr="00F1228C">
        <w:rPr>
          <w:rFonts w:ascii="Times New Roman" w:hAnsi="Times New Roman" w:cs="Times New Roman"/>
          <w:i/>
          <w:sz w:val="24"/>
          <w:szCs w:val="24"/>
        </w:rPr>
        <w:t>et al</w:t>
      </w:r>
      <w:r w:rsidR="00F1228C" w:rsidRPr="00F1228C">
        <w:rPr>
          <w:rFonts w:ascii="Times New Roman" w:hAnsi="Times New Roman" w:cs="Times New Roman"/>
          <w:sz w:val="24"/>
          <w:szCs w:val="24"/>
        </w:rPr>
        <w:t xml:space="preserve">. (2009) observed slight increase in drip loss of rustic crossbred beef meat during frozen storage for 90 days (i.e., 3.45% during 30 days of storage, 3.47% during 75 days, and 3.73% during 90 days of frozen storage). Slight lower drip loss observed in present study. Augustynska </w:t>
      </w:r>
      <w:r w:rsidR="00F1228C" w:rsidRPr="00F1228C">
        <w:rPr>
          <w:rFonts w:ascii="Times New Roman" w:hAnsi="Times New Roman" w:cs="Times New Roman"/>
          <w:i/>
          <w:sz w:val="24"/>
          <w:szCs w:val="24"/>
        </w:rPr>
        <w:t>et al</w:t>
      </w:r>
      <w:r w:rsidR="00F1228C" w:rsidRPr="00F1228C">
        <w:rPr>
          <w:rFonts w:ascii="Times New Roman" w:hAnsi="Times New Roman" w:cs="Times New Roman"/>
          <w:sz w:val="24"/>
          <w:szCs w:val="24"/>
        </w:rPr>
        <w:t>. (2018) also observed increase in drip loss of frozen chicken breast meat with increased storage time.</w:t>
      </w:r>
    </w:p>
    <w:p w:rsidR="000437DC" w:rsidRPr="00BA3D00" w:rsidRDefault="00157A35" w:rsidP="000437DC">
      <w:pPr>
        <w:tabs>
          <w:tab w:val="left" w:pos="2712"/>
        </w:tabs>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4</w:t>
      </w:r>
      <w:r w:rsidRPr="00157A35">
        <w:rPr>
          <w:rFonts w:ascii="Times New Roman" w:hAnsi="Times New Roman"/>
          <w:b/>
          <w:sz w:val="24"/>
          <w:szCs w:val="24"/>
        </w:rPr>
        <w:t xml:space="preserve">. </w:t>
      </w:r>
      <w:r w:rsidR="000437DC">
        <w:rPr>
          <w:rFonts w:ascii="Times New Roman" w:hAnsi="Times New Roman"/>
          <w:b/>
          <w:sz w:val="24"/>
          <w:szCs w:val="24"/>
        </w:rPr>
        <w:t>D</w:t>
      </w:r>
      <w:r w:rsidR="000437DC" w:rsidRPr="00F6048A">
        <w:rPr>
          <w:rFonts w:ascii="Times New Roman" w:hAnsi="Times New Roman"/>
          <w:b/>
          <w:sz w:val="24"/>
          <w:szCs w:val="24"/>
        </w:rPr>
        <w:t>rip loss of V</w:t>
      </w:r>
      <w:r w:rsidR="000437DC">
        <w:rPr>
          <w:rFonts w:ascii="Times New Roman" w:hAnsi="Times New Roman"/>
          <w:b/>
          <w:sz w:val="24"/>
          <w:szCs w:val="24"/>
        </w:rPr>
        <w:t>anaraja</w:t>
      </w:r>
      <w:r w:rsidR="000437DC" w:rsidRPr="00F6048A">
        <w:rPr>
          <w:rFonts w:ascii="Times New Roman" w:hAnsi="Times New Roman"/>
          <w:b/>
          <w:sz w:val="24"/>
          <w:szCs w:val="24"/>
        </w:rPr>
        <w:t>, Indbro, and Commercial broiler chicken</w:t>
      </w:r>
      <w:r w:rsidR="000437DC">
        <w:rPr>
          <w:rFonts w:ascii="Times New Roman" w:hAnsi="Times New Roman"/>
          <w:b/>
          <w:sz w:val="24"/>
          <w:szCs w:val="24"/>
        </w:rPr>
        <w:t xml:space="preserve"> at frozen storage conditions (</w:t>
      </w:r>
      <w:r w:rsidR="000437DC" w:rsidRPr="003C097F">
        <w:rPr>
          <w:rFonts w:ascii="Times New Roman" w:hAnsi="Times New Roman"/>
          <w:b/>
          <w:sz w:val="24"/>
          <w:szCs w:val="24"/>
        </w:rPr>
        <w:t>Mean ± SE</w:t>
      </w:r>
      <w:r w:rsidR="000437DC">
        <w:rPr>
          <w:rFonts w:ascii="Times New Roman" w:hAnsi="Times New Roman"/>
          <w:b/>
          <w:sz w:val="24"/>
          <w:szCs w:val="24"/>
        </w:rPr>
        <w:t>)</w:t>
      </w:r>
    </w:p>
    <w:tbl>
      <w:tblPr>
        <w:tblStyle w:val="TableGrid"/>
        <w:tblW w:w="4046" w:type="pct"/>
        <w:jc w:val="center"/>
        <w:tblLook w:val="04A0" w:firstRow="1" w:lastRow="0" w:firstColumn="1" w:lastColumn="0" w:noHBand="0" w:noVBand="1"/>
      </w:tblPr>
      <w:tblGrid>
        <w:gridCol w:w="1402"/>
        <w:gridCol w:w="1097"/>
        <w:gridCol w:w="1566"/>
        <w:gridCol w:w="1645"/>
        <w:gridCol w:w="1586"/>
      </w:tblGrid>
      <w:tr w:rsidR="00E76F71" w:rsidRPr="00F6048A" w:rsidTr="00E76F71">
        <w:trPr>
          <w:trHeight w:val="450"/>
          <w:jc w:val="center"/>
        </w:trPr>
        <w:tc>
          <w:tcPr>
            <w:tcW w:w="961" w:type="pct"/>
            <w:vMerge w:val="restart"/>
            <w:vAlign w:val="center"/>
          </w:tcPr>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Parameter</w:t>
            </w:r>
          </w:p>
        </w:tc>
        <w:tc>
          <w:tcPr>
            <w:tcW w:w="752" w:type="pct"/>
            <w:vMerge w:val="restart"/>
            <w:vAlign w:val="center"/>
          </w:tcPr>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Storage period</w:t>
            </w:r>
          </w:p>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(days)</w:t>
            </w:r>
          </w:p>
        </w:tc>
        <w:tc>
          <w:tcPr>
            <w:tcW w:w="3287" w:type="pct"/>
            <w:gridSpan w:val="3"/>
            <w:vAlign w:val="center"/>
          </w:tcPr>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Birds variety</w:t>
            </w:r>
          </w:p>
        </w:tc>
      </w:tr>
      <w:tr w:rsidR="00E76F71" w:rsidRPr="00F6048A" w:rsidTr="00E76F71">
        <w:trPr>
          <w:trHeight w:val="467"/>
          <w:jc w:val="center"/>
        </w:trPr>
        <w:tc>
          <w:tcPr>
            <w:tcW w:w="961" w:type="pct"/>
            <w:vMerge/>
            <w:vAlign w:val="center"/>
          </w:tcPr>
          <w:p w:rsidR="00E76F71" w:rsidRPr="00F6048A" w:rsidRDefault="00E76F71" w:rsidP="00D84356">
            <w:pPr>
              <w:tabs>
                <w:tab w:val="left" w:pos="2712"/>
              </w:tabs>
              <w:jc w:val="center"/>
              <w:rPr>
                <w:rFonts w:ascii="Times New Roman" w:hAnsi="Times New Roman"/>
                <w:b/>
                <w:sz w:val="24"/>
                <w:szCs w:val="24"/>
              </w:rPr>
            </w:pPr>
          </w:p>
        </w:tc>
        <w:tc>
          <w:tcPr>
            <w:tcW w:w="752" w:type="pct"/>
            <w:vMerge/>
            <w:vAlign w:val="center"/>
          </w:tcPr>
          <w:p w:rsidR="00E76F71" w:rsidRPr="00F6048A" w:rsidRDefault="00E76F71" w:rsidP="00D84356">
            <w:pPr>
              <w:tabs>
                <w:tab w:val="left" w:pos="1260"/>
              </w:tabs>
              <w:jc w:val="center"/>
              <w:rPr>
                <w:rFonts w:ascii="Times New Roman" w:hAnsi="Times New Roman"/>
                <w:b/>
                <w:sz w:val="24"/>
                <w:szCs w:val="24"/>
              </w:rPr>
            </w:pPr>
          </w:p>
        </w:tc>
        <w:tc>
          <w:tcPr>
            <w:tcW w:w="1073" w:type="pct"/>
            <w:vAlign w:val="center"/>
          </w:tcPr>
          <w:p w:rsidR="00E76F71" w:rsidRPr="00F6048A" w:rsidRDefault="00E76F71" w:rsidP="00D84356">
            <w:pPr>
              <w:tabs>
                <w:tab w:val="left" w:pos="1260"/>
              </w:tabs>
              <w:jc w:val="center"/>
              <w:rPr>
                <w:rFonts w:ascii="Times New Roman" w:hAnsi="Times New Roman"/>
                <w:b/>
                <w:sz w:val="24"/>
                <w:szCs w:val="24"/>
              </w:rPr>
            </w:pPr>
            <w:r w:rsidRPr="00F6048A">
              <w:rPr>
                <w:rFonts w:ascii="Times New Roman" w:hAnsi="Times New Roman"/>
                <w:b/>
                <w:sz w:val="24"/>
                <w:szCs w:val="24"/>
              </w:rPr>
              <w:t>Vanaraja</w:t>
            </w:r>
          </w:p>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(V)</w:t>
            </w:r>
          </w:p>
        </w:tc>
        <w:tc>
          <w:tcPr>
            <w:tcW w:w="1127" w:type="pct"/>
            <w:vAlign w:val="center"/>
          </w:tcPr>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Indbro</w:t>
            </w:r>
          </w:p>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(I)</w:t>
            </w:r>
          </w:p>
        </w:tc>
        <w:tc>
          <w:tcPr>
            <w:tcW w:w="1087" w:type="pct"/>
            <w:vAlign w:val="center"/>
          </w:tcPr>
          <w:p w:rsidR="00E76F71" w:rsidRPr="00F6048A" w:rsidRDefault="00E76F71" w:rsidP="00D84356">
            <w:pPr>
              <w:tabs>
                <w:tab w:val="left" w:pos="2712"/>
              </w:tabs>
              <w:jc w:val="center"/>
              <w:rPr>
                <w:rFonts w:ascii="Times New Roman" w:hAnsi="Times New Roman"/>
                <w:b/>
                <w:sz w:val="24"/>
                <w:szCs w:val="24"/>
              </w:rPr>
            </w:pPr>
            <w:r w:rsidRPr="00F6048A">
              <w:rPr>
                <w:rFonts w:ascii="Times New Roman" w:hAnsi="Times New Roman"/>
                <w:b/>
                <w:sz w:val="24"/>
                <w:szCs w:val="24"/>
              </w:rPr>
              <w:t>Commercial broilers (C.B)</w:t>
            </w:r>
          </w:p>
        </w:tc>
      </w:tr>
      <w:tr w:rsidR="00E76F71" w:rsidRPr="00F6048A" w:rsidTr="00E76F71">
        <w:trPr>
          <w:trHeight w:val="298"/>
          <w:jc w:val="center"/>
        </w:trPr>
        <w:tc>
          <w:tcPr>
            <w:tcW w:w="961" w:type="pct"/>
            <w:vMerge w:val="restart"/>
            <w:vAlign w:val="center"/>
          </w:tcPr>
          <w:p w:rsidR="00E76F71" w:rsidRPr="00F6048A" w:rsidRDefault="00E76F71" w:rsidP="00D84356">
            <w:pPr>
              <w:tabs>
                <w:tab w:val="left" w:pos="2712"/>
              </w:tabs>
              <w:jc w:val="center"/>
              <w:rPr>
                <w:rFonts w:ascii="Times New Roman" w:hAnsi="Times New Roman"/>
                <w:sz w:val="24"/>
                <w:szCs w:val="24"/>
              </w:rPr>
            </w:pPr>
            <w:r w:rsidRPr="00F6048A">
              <w:rPr>
                <w:rFonts w:ascii="Times New Roman" w:hAnsi="Times New Roman"/>
                <w:sz w:val="24"/>
                <w:szCs w:val="24"/>
              </w:rPr>
              <w:t>Drip loss</w:t>
            </w:r>
          </w:p>
        </w:tc>
        <w:tc>
          <w:tcPr>
            <w:tcW w:w="752" w:type="pct"/>
            <w:vAlign w:val="center"/>
          </w:tcPr>
          <w:p w:rsidR="00E76F71" w:rsidRPr="00F6048A" w:rsidRDefault="00E76F71" w:rsidP="00D84356">
            <w:pPr>
              <w:tabs>
                <w:tab w:val="left" w:pos="2712"/>
              </w:tabs>
              <w:jc w:val="center"/>
              <w:rPr>
                <w:rFonts w:ascii="Times New Roman" w:hAnsi="Times New Roman"/>
                <w:sz w:val="24"/>
                <w:szCs w:val="24"/>
              </w:rPr>
            </w:pPr>
            <w:r w:rsidRPr="00F6048A">
              <w:rPr>
                <w:rFonts w:ascii="Times New Roman" w:hAnsi="Times New Roman"/>
                <w:sz w:val="24"/>
                <w:szCs w:val="24"/>
              </w:rPr>
              <w:t>30</w:t>
            </w:r>
          </w:p>
        </w:tc>
        <w:tc>
          <w:tcPr>
            <w:tcW w:w="1073" w:type="pct"/>
            <w:vAlign w:val="center"/>
          </w:tcPr>
          <w:p w:rsidR="00E76F71" w:rsidRPr="002E2368" w:rsidRDefault="00E76F71" w:rsidP="00D84356">
            <w:pPr>
              <w:tabs>
                <w:tab w:val="left" w:pos="2712"/>
              </w:tabs>
              <w:jc w:val="center"/>
              <w:rPr>
                <w:rFonts w:ascii="Times New Roman" w:hAnsi="Times New Roman"/>
                <w:sz w:val="24"/>
                <w:szCs w:val="24"/>
                <w:vertAlign w:val="superscript"/>
              </w:rPr>
            </w:pPr>
            <w:r w:rsidRPr="002E2368">
              <w:rPr>
                <w:rFonts w:ascii="Times New Roman" w:hAnsi="Times New Roman"/>
                <w:sz w:val="24"/>
                <w:szCs w:val="24"/>
              </w:rPr>
              <w:t xml:space="preserve">3.40±0.01 </w:t>
            </w:r>
            <w:r w:rsidRPr="002E2368">
              <w:rPr>
                <w:rFonts w:ascii="Times New Roman" w:hAnsi="Times New Roman"/>
                <w:sz w:val="24"/>
                <w:szCs w:val="24"/>
                <w:vertAlign w:val="superscript"/>
              </w:rPr>
              <w:t>a</w:t>
            </w:r>
          </w:p>
        </w:tc>
        <w:tc>
          <w:tcPr>
            <w:tcW w:w="1127" w:type="pct"/>
            <w:vAlign w:val="center"/>
          </w:tcPr>
          <w:p w:rsidR="00E76F71" w:rsidRPr="002E2368" w:rsidRDefault="00E76F71"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3.38±0.00  </w:t>
            </w:r>
            <w:r w:rsidRPr="002E2368">
              <w:rPr>
                <w:rFonts w:ascii="Times New Roman" w:hAnsi="Times New Roman"/>
                <w:sz w:val="24"/>
                <w:szCs w:val="24"/>
                <w:vertAlign w:val="superscript"/>
              </w:rPr>
              <w:t>a</w:t>
            </w:r>
          </w:p>
        </w:tc>
        <w:tc>
          <w:tcPr>
            <w:tcW w:w="1087" w:type="pct"/>
            <w:vAlign w:val="center"/>
          </w:tcPr>
          <w:p w:rsidR="00E76F71" w:rsidRPr="002E2368" w:rsidRDefault="00E76F71"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3.36±0.01 </w:t>
            </w:r>
            <w:r w:rsidRPr="002E2368">
              <w:rPr>
                <w:rFonts w:ascii="Times New Roman" w:hAnsi="Times New Roman"/>
                <w:sz w:val="24"/>
                <w:szCs w:val="24"/>
                <w:vertAlign w:val="superscript"/>
              </w:rPr>
              <w:t>a</w:t>
            </w:r>
          </w:p>
        </w:tc>
      </w:tr>
      <w:tr w:rsidR="00E76F71" w:rsidRPr="00F6048A" w:rsidTr="00E76F71">
        <w:trPr>
          <w:trHeight w:val="308"/>
          <w:jc w:val="center"/>
        </w:trPr>
        <w:tc>
          <w:tcPr>
            <w:tcW w:w="961" w:type="pct"/>
            <w:vMerge/>
            <w:vAlign w:val="center"/>
          </w:tcPr>
          <w:p w:rsidR="00E76F71" w:rsidRPr="00F6048A" w:rsidRDefault="00E76F71" w:rsidP="00D84356">
            <w:pPr>
              <w:tabs>
                <w:tab w:val="left" w:pos="2712"/>
              </w:tabs>
              <w:jc w:val="center"/>
              <w:rPr>
                <w:rFonts w:ascii="Times New Roman" w:hAnsi="Times New Roman"/>
                <w:sz w:val="24"/>
                <w:szCs w:val="24"/>
              </w:rPr>
            </w:pPr>
          </w:p>
        </w:tc>
        <w:tc>
          <w:tcPr>
            <w:tcW w:w="752" w:type="pct"/>
            <w:vAlign w:val="center"/>
          </w:tcPr>
          <w:p w:rsidR="00E76F71" w:rsidRPr="00F6048A" w:rsidRDefault="00E76F71" w:rsidP="00D84356">
            <w:pPr>
              <w:tabs>
                <w:tab w:val="left" w:pos="2712"/>
              </w:tabs>
              <w:jc w:val="center"/>
              <w:rPr>
                <w:rFonts w:ascii="Times New Roman" w:hAnsi="Times New Roman"/>
                <w:sz w:val="24"/>
                <w:szCs w:val="24"/>
              </w:rPr>
            </w:pPr>
            <w:r w:rsidRPr="00F6048A">
              <w:rPr>
                <w:rFonts w:ascii="Times New Roman" w:hAnsi="Times New Roman"/>
                <w:sz w:val="24"/>
                <w:szCs w:val="24"/>
              </w:rPr>
              <w:t>60</w:t>
            </w:r>
          </w:p>
        </w:tc>
        <w:tc>
          <w:tcPr>
            <w:tcW w:w="1073" w:type="pct"/>
            <w:vAlign w:val="center"/>
          </w:tcPr>
          <w:p w:rsidR="00E76F71" w:rsidRPr="002E2368" w:rsidRDefault="00E76F71"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3.41±0.01 </w:t>
            </w:r>
            <w:r w:rsidRPr="002E2368">
              <w:rPr>
                <w:rFonts w:ascii="Times New Roman" w:hAnsi="Times New Roman"/>
                <w:sz w:val="24"/>
                <w:szCs w:val="24"/>
                <w:vertAlign w:val="superscript"/>
              </w:rPr>
              <w:t>a</w:t>
            </w:r>
          </w:p>
        </w:tc>
        <w:tc>
          <w:tcPr>
            <w:tcW w:w="1127" w:type="pct"/>
            <w:vAlign w:val="center"/>
          </w:tcPr>
          <w:p w:rsidR="00E76F71" w:rsidRPr="002E2368" w:rsidRDefault="00E76F71" w:rsidP="00D84356">
            <w:pPr>
              <w:tabs>
                <w:tab w:val="left" w:pos="2712"/>
              </w:tabs>
              <w:jc w:val="center"/>
              <w:rPr>
                <w:rFonts w:ascii="Times New Roman" w:hAnsi="Times New Roman"/>
                <w:sz w:val="24"/>
                <w:szCs w:val="24"/>
              </w:rPr>
            </w:pPr>
            <w:r w:rsidRPr="002E2368">
              <w:rPr>
                <w:rFonts w:ascii="Times New Roman" w:hAnsi="Times New Roman"/>
                <w:sz w:val="24"/>
                <w:szCs w:val="24"/>
              </w:rPr>
              <w:t>3.39</w:t>
            </w:r>
            <w:r>
              <w:rPr>
                <w:rFonts w:ascii="Times New Roman" w:hAnsi="Times New Roman"/>
                <w:sz w:val="24"/>
                <w:szCs w:val="24"/>
              </w:rPr>
              <w:t xml:space="preserve">±0.02 </w:t>
            </w:r>
            <w:r w:rsidRPr="002E2368">
              <w:rPr>
                <w:rFonts w:ascii="Times New Roman" w:hAnsi="Times New Roman"/>
                <w:sz w:val="24"/>
                <w:szCs w:val="24"/>
                <w:vertAlign w:val="superscript"/>
              </w:rPr>
              <w:t>a</w:t>
            </w:r>
          </w:p>
        </w:tc>
        <w:tc>
          <w:tcPr>
            <w:tcW w:w="1087" w:type="pct"/>
            <w:vAlign w:val="center"/>
          </w:tcPr>
          <w:p w:rsidR="00E76F71" w:rsidRPr="002E2368" w:rsidRDefault="00E76F71"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3.38±0.00 </w:t>
            </w:r>
            <w:r w:rsidRPr="002E2368">
              <w:rPr>
                <w:rFonts w:ascii="Times New Roman" w:hAnsi="Times New Roman"/>
                <w:sz w:val="24"/>
                <w:szCs w:val="24"/>
                <w:vertAlign w:val="superscript"/>
              </w:rPr>
              <w:t>a</w:t>
            </w:r>
          </w:p>
        </w:tc>
      </w:tr>
    </w:tbl>
    <w:p w:rsidR="00E76F71" w:rsidRDefault="00E76F71" w:rsidP="00051F37">
      <w:pPr>
        <w:spacing w:line="240" w:lineRule="auto"/>
        <w:jc w:val="both"/>
        <w:rPr>
          <w:rFonts w:ascii="Times New Roman" w:hAnsi="Times New Roman"/>
          <w:sz w:val="24"/>
          <w:szCs w:val="24"/>
        </w:rPr>
      </w:pPr>
    </w:p>
    <w:p w:rsidR="00D338B3" w:rsidRDefault="007C40C7" w:rsidP="00051F37">
      <w:pPr>
        <w:spacing w:line="240" w:lineRule="auto"/>
        <w:jc w:val="both"/>
        <w:rPr>
          <w:rFonts w:ascii="Times New Roman" w:hAnsi="Times New Roman"/>
          <w:b/>
          <w:bCs/>
          <w:sz w:val="24"/>
          <w:szCs w:val="24"/>
        </w:rPr>
      </w:pPr>
      <w:r w:rsidRPr="007C40C7">
        <w:rPr>
          <w:rFonts w:ascii="Times New Roman" w:hAnsi="Times New Roman"/>
          <w:b/>
          <w:bCs/>
          <w:sz w:val="24"/>
          <w:szCs w:val="24"/>
        </w:rPr>
        <w:t>CONCLUSION:</w:t>
      </w:r>
    </w:p>
    <w:p w:rsidR="007C40C7" w:rsidRPr="00AE74B1" w:rsidRDefault="005674C0" w:rsidP="00AE74B1">
      <w:pPr>
        <w:spacing w:line="240" w:lineRule="auto"/>
        <w:ind w:firstLine="720"/>
        <w:jc w:val="both"/>
        <w:rPr>
          <w:rFonts w:ascii="Times New Roman" w:hAnsi="Times New Roman"/>
          <w:sz w:val="24"/>
          <w:szCs w:val="24"/>
        </w:rPr>
      </w:pPr>
      <w:r w:rsidRPr="004F214A">
        <w:rPr>
          <w:rFonts w:ascii="Times New Roman" w:hAnsi="Times New Roman"/>
          <w:sz w:val="24"/>
          <w:szCs w:val="24"/>
        </w:rPr>
        <w:t xml:space="preserve">Based </w:t>
      </w:r>
      <w:r>
        <w:rPr>
          <w:rFonts w:ascii="Times New Roman" w:hAnsi="Times New Roman"/>
          <w:sz w:val="24"/>
          <w:szCs w:val="24"/>
        </w:rPr>
        <w:t xml:space="preserve">on the results of present study, it was concluded that the super chilling could be a good alternative to preserve freshness of chicken meat with improvement in the quality characteristics, since the meat quality traits were better appreciated during super chilling compared </w:t>
      </w:r>
      <w:r w:rsidR="0073563A">
        <w:rPr>
          <w:rFonts w:ascii="Times New Roman" w:hAnsi="Times New Roman"/>
          <w:sz w:val="24"/>
          <w:szCs w:val="24"/>
        </w:rPr>
        <w:t xml:space="preserve">to </w:t>
      </w:r>
      <w:r>
        <w:rPr>
          <w:rFonts w:ascii="Times New Roman" w:hAnsi="Times New Roman"/>
          <w:sz w:val="24"/>
          <w:szCs w:val="24"/>
        </w:rPr>
        <w:t xml:space="preserve">freezing storage. In terms of meat quality traits the present study concluded that some variation exists among different breeds of chickens. Commercial broiler meat was better than Vanaraja and Indbro in terms of water holding capacity. But the sensory evaluation studies </w:t>
      </w:r>
      <w:r>
        <w:rPr>
          <w:rFonts w:ascii="Times New Roman" w:hAnsi="Times New Roman"/>
          <w:sz w:val="24"/>
          <w:szCs w:val="24"/>
        </w:rPr>
        <w:lastRenderedPageBreak/>
        <w:t>revealed that meat from Vanaraja and Indbro was distinguishable from Commercial broilers for their unique flavour, juiciness texture, and overall acceptability.</w:t>
      </w:r>
      <w:r w:rsidRPr="00F41329">
        <w:rPr>
          <w:rFonts w:ascii="Times New Roman" w:hAnsi="Times New Roman"/>
        </w:rPr>
        <w:t xml:space="preserve"> </w:t>
      </w:r>
      <w:r>
        <w:rPr>
          <w:rFonts w:ascii="Times New Roman" w:hAnsi="Times New Roman"/>
          <w:sz w:val="24"/>
          <w:szCs w:val="24"/>
        </w:rPr>
        <w:t xml:space="preserve">The </w:t>
      </w:r>
      <w:r w:rsidRPr="00F41329">
        <w:rPr>
          <w:rFonts w:ascii="Times New Roman" w:hAnsi="Times New Roman"/>
          <w:sz w:val="24"/>
          <w:szCs w:val="24"/>
        </w:rPr>
        <w:t>slow growing chicken varieties have better meat quality attributes</w:t>
      </w:r>
      <w:r>
        <w:rPr>
          <w:rFonts w:ascii="Times New Roman" w:hAnsi="Times New Roman"/>
          <w:sz w:val="24"/>
          <w:szCs w:val="24"/>
        </w:rPr>
        <w:t xml:space="preserve"> </w:t>
      </w:r>
      <w:r w:rsidRPr="00F41329">
        <w:rPr>
          <w:rFonts w:ascii="Times New Roman" w:hAnsi="Times New Roman"/>
          <w:sz w:val="24"/>
          <w:szCs w:val="24"/>
        </w:rPr>
        <w:t xml:space="preserve">and have potential to form a significant source of chicken with better sensory attributes. </w:t>
      </w:r>
    </w:p>
    <w:p w:rsidR="00C14C42" w:rsidRPr="00C20B85" w:rsidRDefault="00C14C42" w:rsidP="00C14C42">
      <w:pPr>
        <w:pStyle w:val="NoSpacing"/>
        <w:rPr>
          <w:rFonts w:ascii="Arial" w:hAnsi="Arial" w:cs="Arial"/>
          <w:b/>
          <w:highlight w:val="yellow"/>
        </w:rPr>
      </w:pPr>
      <w:bookmarkStart w:id="1" w:name="_Hlk219284361"/>
      <w:bookmarkStart w:id="2" w:name="_Hlk198031404"/>
      <w:r w:rsidRPr="00C20B85">
        <w:rPr>
          <w:rFonts w:ascii="Arial" w:hAnsi="Arial" w:cs="Arial"/>
          <w:b/>
          <w:highlight w:val="yellow"/>
        </w:rPr>
        <w:t>Disclaimer (Artificial intelligence)</w:t>
      </w:r>
    </w:p>
    <w:p w:rsidR="00C14C42" w:rsidRPr="00005ED1" w:rsidRDefault="00C14C42" w:rsidP="00C14C42">
      <w:pPr>
        <w:pStyle w:val="NoSpacing"/>
        <w:rPr>
          <w:rFonts w:ascii="Arial" w:hAnsi="Arial" w:cs="Arial"/>
          <w:highlight w:val="yellow"/>
        </w:rPr>
      </w:pPr>
    </w:p>
    <w:p w:rsidR="00C14C42" w:rsidRPr="00005ED1" w:rsidRDefault="00C14C42" w:rsidP="00C14C4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C14C42" w:rsidRPr="00F1228C" w:rsidRDefault="00C14C42" w:rsidP="00701070">
      <w:pPr>
        <w:tabs>
          <w:tab w:val="left" w:pos="3744"/>
        </w:tabs>
        <w:spacing w:line="240" w:lineRule="auto"/>
        <w:jc w:val="both"/>
        <w:rPr>
          <w:rFonts w:ascii="Times New Roman" w:hAnsi="Times New Roman"/>
          <w:sz w:val="24"/>
          <w:szCs w:val="24"/>
        </w:rPr>
      </w:pPr>
    </w:p>
    <w:p w:rsidR="00CC4717" w:rsidRDefault="00331718" w:rsidP="00CC4717">
      <w:pPr>
        <w:tabs>
          <w:tab w:val="left" w:pos="3744"/>
        </w:tabs>
        <w:spacing w:line="276" w:lineRule="auto"/>
        <w:jc w:val="both"/>
        <w:rPr>
          <w:rFonts w:ascii="Times New Roman" w:hAnsi="Times New Roman"/>
          <w:b/>
          <w:sz w:val="24"/>
          <w:szCs w:val="24"/>
        </w:rPr>
      </w:pPr>
      <w:r w:rsidRPr="004C7889">
        <w:rPr>
          <w:rFonts w:ascii="Times New Roman" w:hAnsi="Times New Roman"/>
          <w:b/>
          <w:sz w:val="24"/>
          <w:szCs w:val="24"/>
        </w:rPr>
        <w:t>REFERENCES:</w:t>
      </w:r>
    </w:p>
    <w:p w:rsidR="00853EC0" w:rsidRPr="00D4124D" w:rsidRDefault="00853EC0" w:rsidP="00D4124D">
      <w:pPr>
        <w:pStyle w:val="ListParagraph"/>
        <w:numPr>
          <w:ilvl w:val="0"/>
          <w:numId w:val="1"/>
        </w:numPr>
        <w:tabs>
          <w:tab w:val="left" w:pos="3744"/>
        </w:tabs>
        <w:spacing w:line="276" w:lineRule="auto"/>
        <w:jc w:val="both"/>
        <w:rPr>
          <w:b/>
        </w:rPr>
      </w:pPr>
      <w:proofErr w:type="spellStart"/>
      <w:r w:rsidRPr="00D4124D">
        <w:rPr>
          <w:shd w:val="clear" w:color="auto" w:fill="FFFFFF"/>
        </w:rPr>
        <w:t>Anese</w:t>
      </w:r>
      <w:proofErr w:type="spellEnd"/>
      <w:r w:rsidRPr="00D4124D">
        <w:rPr>
          <w:shd w:val="clear" w:color="auto" w:fill="FFFFFF"/>
        </w:rPr>
        <w:t xml:space="preserve"> M, </w:t>
      </w:r>
      <w:proofErr w:type="spellStart"/>
      <w:r w:rsidRPr="00D4124D">
        <w:rPr>
          <w:shd w:val="clear" w:color="auto" w:fill="FFFFFF"/>
        </w:rPr>
        <w:t>Manzocco</w:t>
      </w:r>
      <w:proofErr w:type="spellEnd"/>
      <w:r w:rsidRPr="00D4124D">
        <w:rPr>
          <w:shd w:val="clear" w:color="auto" w:fill="FFFFFF"/>
        </w:rPr>
        <w:t xml:space="preserve"> L, </w:t>
      </w:r>
      <w:proofErr w:type="spellStart"/>
      <w:r w:rsidRPr="00D4124D">
        <w:rPr>
          <w:shd w:val="clear" w:color="auto" w:fill="FFFFFF"/>
        </w:rPr>
        <w:t>Panozzo</w:t>
      </w:r>
      <w:proofErr w:type="spellEnd"/>
      <w:r w:rsidRPr="00D4124D">
        <w:rPr>
          <w:shd w:val="clear" w:color="auto" w:fill="FFFFFF"/>
        </w:rPr>
        <w:t xml:space="preserve"> A, </w:t>
      </w:r>
      <w:proofErr w:type="spellStart"/>
      <w:r w:rsidRPr="00D4124D">
        <w:rPr>
          <w:shd w:val="clear" w:color="auto" w:fill="FFFFFF"/>
        </w:rPr>
        <w:t>Beraldo</w:t>
      </w:r>
      <w:proofErr w:type="spellEnd"/>
      <w:r w:rsidRPr="00D4124D">
        <w:rPr>
          <w:shd w:val="clear" w:color="auto" w:fill="FFFFFF"/>
        </w:rPr>
        <w:t xml:space="preserve"> P, </w:t>
      </w:r>
      <w:proofErr w:type="spellStart"/>
      <w:r w:rsidRPr="00D4124D">
        <w:rPr>
          <w:shd w:val="clear" w:color="auto" w:fill="FFFFFF"/>
        </w:rPr>
        <w:t>Foschia</w:t>
      </w:r>
      <w:proofErr w:type="spellEnd"/>
      <w:r w:rsidRPr="00D4124D">
        <w:rPr>
          <w:shd w:val="clear" w:color="auto" w:fill="FFFFFF"/>
        </w:rPr>
        <w:t xml:space="preserve"> M, and </w:t>
      </w:r>
      <w:proofErr w:type="spellStart"/>
      <w:r w:rsidRPr="00D4124D">
        <w:rPr>
          <w:shd w:val="clear" w:color="auto" w:fill="FFFFFF"/>
        </w:rPr>
        <w:t>Nicoli</w:t>
      </w:r>
      <w:proofErr w:type="spellEnd"/>
      <w:r w:rsidRPr="00D4124D">
        <w:rPr>
          <w:shd w:val="clear" w:color="auto" w:fill="FFFFFF"/>
        </w:rPr>
        <w:t xml:space="preserve"> M C. 2012. Effect of radiofrequency assisted freezing on meat microstructure and quality. </w:t>
      </w:r>
      <w:r w:rsidRPr="00D4124D">
        <w:rPr>
          <w:i/>
          <w:iCs/>
          <w:shd w:val="clear" w:color="auto" w:fill="FFFFFF"/>
        </w:rPr>
        <w:t>Food Research International</w:t>
      </w:r>
      <w:r w:rsidRPr="00D4124D">
        <w:rPr>
          <w:shd w:val="clear" w:color="auto" w:fill="FFFFFF"/>
        </w:rPr>
        <w:t> </w:t>
      </w:r>
      <w:r w:rsidRPr="00D4124D">
        <w:rPr>
          <w:b/>
          <w:iCs/>
          <w:shd w:val="clear" w:color="auto" w:fill="FFFFFF"/>
        </w:rPr>
        <w:t xml:space="preserve">46 </w:t>
      </w:r>
      <w:r w:rsidRPr="00D4124D">
        <w:rPr>
          <w:shd w:val="clear" w:color="auto" w:fill="FFFFFF"/>
        </w:rPr>
        <w:t>(1): 50-54.</w:t>
      </w:r>
    </w:p>
    <w:p w:rsidR="00853EC0" w:rsidRPr="00D4124D" w:rsidRDefault="00853EC0" w:rsidP="00D4124D">
      <w:pPr>
        <w:pStyle w:val="ListParagraph"/>
        <w:numPr>
          <w:ilvl w:val="0"/>
          <w:numId w:val="1"/>
        </w:numPr>
        <w:jc w:val="both"/>
        <w:rPr>
          <w:color w:val="222222"/>
          <w:shd w:val="clear" w:color="auto" w:fill="FFFFFF"/>
        </w:rPr>
      </w:pPr>
      <w:r w:rsidRPr="00D4124D">
        <w:rPr>
          <w:color w:val="222222"/>
          <w:shd w:val="clear" w:color="auto" w:fill="FFFFFF"/>
        </w:rPr>
        <w:t>Association Official Analytical Chemist AOAC. 1995. Official methods of analysis.</w:t>
      </w:r>
    </w:p>
    <w:p w:rsidR="00853EC0" w:rsidRPr="00D4124D" w:rsidRDefault="00853EC0" w:rsidP="00D4124D">
      <w:pPr>
        <w:pStyle w:val="ListParagraph"/>
        <w:numPr>
          <w:ilvl w:val="0"/>
          <w:numId w:val="1"/>
        </w:numPr>
        <w:jc w:val="both"/>
        <w:rPr>
          <w:shd w:val="clear" w:color="auto" w:fill="FFFFFF"/>
        </w:rPr>
      </w:pPr>
      <w:proofErr w:type="spellStart"/>
      <w:r w:rsidRPr="00D4124D">
        <w:rPr>
          <w:shd w:val="clear" w:color="auto" w:fill="FFFFFF"/>
        </w:rPr>
        <w:t>Augustyńska</w:t>
      </w:r>
      <w:proofErr w:type="spellEnd"/>
      <w:r w:rsidRPr="00D4124D">
        <w:rPr>
          <w:shd w:val="clear" w:color="auto" w:fill="FFFFFF"/>
        </w:rPr>
        <w:t xml:space="preserve"> </w:t>
      </w:r>
      <w:proofErr w:type="spellStart"/>
      <w:r w:rsidRPr="00D4124D">
        <w:rPr>
          <w:shd w:val="clear" w:color="auto" w:fill="FFFFFF"/>
        </w:rPr>
        <w:t>Prejsnar</w:t>
      </w:r>
      <w:proofErr w:type="spellEnd"/>
      <w:r w:rsidRPr="00D4124D">
        <w:rPr>
          <w:shd w:val="clear" w:color="auto" w:fill="FFFFFF"/>
        </w:rPr>
        <w:t xml:space="preserve"> A, </w:t>
      </w:r>
      <w:proofErr w:type="spellStart"/>
      <w:r w:rsidRPr="00D4124D">
        <w:rPr>
          <w:shd w:val="clear" w:color="auto" w:fill="FFFFFF"/>
        </w:rPr>
        <w:t>Ormian</w:t>
      </w:r>
      <w:proofErr w:type="spellEnd"/>
      <w:r w:rsidRPr="00D4124D">
        <w:rPr>
          <w:shd w:val="clear" w:color="auto" w:fill="FFFFFF"/>
        </w:rPr>
        <w:t xml:space="preserve"> M, and </w:t>
      </w:r>
      <w:proofErr w:type="spellStart"/>
      <w:r w:rsidRPr="00D4124D">
        <w:rPr>
          <w:shd w:val="clear" w:color="auto" w:fill="FFFFFF"/>
        </w:rPr>
        <w:t>Sokołowicz</w:t>
      </w:r>
      <w:proofErr w:type="spellEnd"/>
      <w:r w:rsidRPr="00D4124D">
        <w:rPr>
          <w:shd w:val="clear" w:color="auto" w:fill="FFFFFF"/>
        </w:rPr>
        <w:t xml:space="preserve"> Z. 2018. Physicochemical and sensory properties of broiler chicken breast meat stored frozen and thawed using various methods. </w:t>
      </w:r>
      <w:r w:rsidRPr="00D4124D">
        <w:rPr>
          <w:i/>
          <w:iCs/>
          <w:shd w:val="clear" w:color="auto" w:fill="FFFFFF"/>
        </w:rPr>
        <w:t>Journal of Food Quality</w:t>
      </w:r>
      <w:r w:rsidRPr="00D4124D">
        <w:rPr>
          <w:shd w:val="clear" w:color="auto" w:fill="FFFFFF"/>
        </w:rPr>
        <w:t xml:space="preserve"> 6754070.</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Baracho M S, Camargo G A, Lima A M C, </w:t>
      </w:r>
      <w:proofErr w:type="spellStart"/>
      <w:r w:rsidRPr="00D4124D">
        <w:rPr>
          <w:shd w:val="clear" w:color="auto" w:fill="FFFFFF"/>
        </w:rPr>
        <w:t>Mentem</w:t>
      </w:r>
      <w:proofErr w:type="spellEnd"/>
      <w:r w:rsidRPr="00D4124D">
        <w:rPr>
          <w:shd w:val="clear" w:color="auto" w:fill="FFFFFF"/>
        </w:rPr>
        <w:t xml:space="preserve"> J F, Moura D J, Moreira J and </w:t>
      </w:r>
      <w:proofErr w:type="spellStart"/>
      <w:r w:rsidRPr="00D4124D">
        <w:rPr>
          <w:shd w:val="clear" w:color="auto" w:fill="FFFFFF"/>
        </w:rPr>
        <w:t>Nääs</w:t>
      </w:r>
      <w:proofErr w:type="spellEnd"/>
      <w:r w:rsidRPr="00D4124D">
        <w:rPr>
          <w:shd w:val="clear" w:color="auto" w:fill="FFFFFF"/>
        </w:rPr>
        <w:t xml:space="preserve"> I A. 2006. Variables impacting poultry meat quality from production to pre-slaughter: a review. </w:t>
      </w:r>
      <w:r w:rsidRPr="00D4124D">
        <w:rPr>
          <w:i/>
          <w:iCs/>
          <w:shd w:val="clear" w:color="auto" w:fill="FFFFFF"/>
        </w:rPr>
        <w:t>Brazilian Journal of Poultry Science</w:t>
      </w:r>
      <w:r w:rsidRPr="00D4124D">
        <w:rPr>
          <w:shd w:val="clear" w:color="auto" w:fill="FFFFFF"/>
        </w:rPr>
        <w:t> </w:t>
      </w:r>
      <w:r w:rsidRPr="00D4124D">
        <w:rPr>
          <w:b/>
          <w:iCs/>
          <w:shd w:val="clear" w:color="auto" w:fill="FFFFFF"/>
        </w:rPr>
        <w:t xml:space="preserve">8 </w:t>
      </w:r>
      <w:r w:rsidRPr="00D4124D">
        <w:rPr>
          <w:shd w:val="clear" w:color="auto" w:fill="FFFFFF"/>
        </w:rPr>
        <w:t>(4): 201-212.</w:t>
      </w:r>
    </w:p>
    <w:p w:rsidR="00853EC0" w:rsidRPr="00D4124D" w:rsidRDefault="00853EC0" w:rsidP="00D4124D">
      <w:pPr>
        <w:pStyle w:val="ListParagraph"/>
        <w:numPr>
          <w:ilvl w:val="0"/>
          <w:numId w:val="1"/>
        </w:numPr>
        <w:jc w:val="both"/>
        <w:rPr>
          <w:shd w:val="clear" w:color="auto" w:fill="FFFFFF"/>
        </w:rPr>
      </w:pPr>
      <w:r w:rsidRPr="00D4124D">
        <w:rPr>
          <w:color w:val="222222"/>
          <w:shd w:val="clear" w:color="auto" w:fill="FFFFFF"/>
        </w:rPr>
        <w:t>Barbut, S. (2024). Measuring water holding capacity in poultry meat. </w:t>
      </w:r>
      <w:r w:rsidRPr="00D4124D">
        <w:rPr>
          <w:i/>
          <w:iCs/>
          <w:color w:val="222222"/>
          <w:shd w:val="clear" w:color="auto" w:fill="FFFFFF"/>
        </w:rPr>
        <w:t>Poultry Science</w:t>
      </w:r>
      <w:r w:rsidRPr="00D4124D">
        <w:rPr>
          <w:color w:val="222222"/>
          <w:shd w:val="clear" w:color="auto" w:fill="FFFFFF"/>
        </w:rPr>
        <w:t>, </w:t>
      </w:r>
      <w:r w:rsidRPr="00D4124D">
        <w:rPr>
          <w:b/>
          <w:bCs/>
          <w:color w:val="222222"/>
          <w:shd w:val="clear" w:color="auto" w:fill="FFFFFF"/>
        </w:rPr>
        <w:t xml:space="preserve">103 </w:t>
      </w:r>
      <w:r w:rsidRPr="00D4124D">
        <w:rPr>
          <w:color w:val="222222"/>
          <w:shd w:val="clear" w:color="auto" w:fill="FFFFFF"/>
        </w:rPr>
        <w:t>(5): 103577.</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Benjakul S and Bauer F. 2001. Biochemical and physicochemical changes in catfish (</w:t>
      </w:r>
      <w:proofErr w:type="spellStart"/>
      <w:r w:rsidRPr="00D4124D">
        <w:rPr>
          <w:shd w:val="clear" w:color="auto" w:fill="FFFFFF"/>
        </w:rPr>
        <w:t>Silurus</w:t>
      </w:r>
      <w:proofErr w:type="spellEnd"/>
      <w:r w:rsidRPr="00D4124D">
        <w:rPr>
          <w:shd w:val="clear" w:color="auto" w:fill="FFFFFF"/>
        </w:rPr>
        <w:t xml:space="preserve"> </w:t>
      </w:r>
      <w:proofErr w:type="spellStart"/>
      <w:r w:rsidRPr="00D4124D">
        <w:rPr>
          <w:shd w:val="clear" w:color="auto" w:fill="FFFFFF"/>
        </w:rPr>
        <w:t>glanis</w:t>
      </w:r>
      <w:proofErr w:type="spellEnd"/>
      <w:r w:rsidRPr="00D4124D">
        <w:rPr>
          <w:shd w:val="clear" w:color="auto" w:fill="FFFFFF"/>
        </w:rPr>
        <w:t xml:space="preserve"> </w:t>
      </w:r>
      <w:proofErr w:type="spellStart"/>
      <w:r w:rsidRPr="00D4124D">
        <w:rPr>
          <w:shd w:val="clear" w:color="auto" w:fill="FFFFFF"/>
        </w:rPr>
        <w:t>Linne</w:t>
      </w:r>
      <w:proofErr w:type="spellEnd"/>
      <w:r w:rsidRPr="00D4124D">
        <w:rPr>
          <w:shd w:val="clear" w:color="auto" w:fill="FFFFFF"/>
        </w:rPr>
        <w:t>) muscle as influenced by different freeze–thaw cycles. </w:t>
      </w:r>
      <w:r w:rsidRPr="00D4124D">
        <w:rPr>
          <w:i/>
          <w:iCs/>
          <w:shd w:val="clear" w:color="auto" w:fill="FFFFFF"/>
        </w:rPr>
        <w:t>Food Chemistry</w:t>
      </w:r>
      <w:r w:rsidRPr="00D4124D">
        <w:rPr>
          <w:shd w:val="clear" w:color="auto" w:fill="FFFFFF"/>
        </w:rPr>
        <w:t xml:space="preserve"> </w:t>
      </w:r>
      <w:r w:rsidRPr="00D4124D">
        <w:rPr>
          <w:b/>
          <w:iCs/>
          <w:shd w:val="clear" w:color="auto" w:fill="FFFFFF"/>
        </w:rPr>
        <w:t xml:space="preserve">72 </w:t>
      </w:r>
      <w:r w:rsidRPr="00D4124D">
        <w:rPr>
          <w:shd w:val="clear" w:color="auto" w:fill="FFFFFF"/>
        </w:rPr>
        <w:t>(2): 207-217.</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Berri C, Debut M, </w:t>
      </w:r>
      <w:proofErr w:type="spellStart"/>
      <w:r w:rsidRPr="00D4124D">
        <w:rPr>
          <w:shd w:val="clear" w:color="auto" w:fill="FFFFFF"/>
        </w:rPr>
        <w:t>Sante</w:t>
      </w:r>
      <w:proofErr w:type="spellEnd"/>
      <w:r w:rsidRPr="00D4124D">
        <w:rPr>
          <w:shd w:val="clear" w:color="auto" w:fill="FFFFFF"/>
        </w:rPr>
        <w:t xml:space="preserve"> </w:t>
      </w:r>
      <w:proofErr w:type="spellStart"/>
      <w:r w:rsidRPr="00D4124D">
        <w:rPr>
          <w:shd w:val="clear" w:color="auto" w:fill="FFFFFF"/>
        </w:rPr>
        <w:t>Lhoutellier</w:t>
      </w:r>
      <w:proofErr w:type="spellEnd"/>
      <w:r w:rsidRPr="00D4124D">
        <w:rPr>
          <w:shd w:val="clear" w:color="auto" w:fill="FFFFFF"/>
        </w:rPr>
        <w:t xml:space="preserve"> V, </w:t>
      </w:r>
      <w:proofErr w:type="spellStart"/>
      <w:r w:rsidRPr="00D4124D">
        <w:rPr>
          <w:shd w:val="clear" w:color="auto" w:fill="FFFFFF"/>
        </w:rPr>
        <w:t>Arnould</w:t>
      </w:r>
      <w:proofErr w:type="spellEnd"/>
      <w:r w:rsidRPr="00D4124D">
        <w:rPr>
          <w:shd w:val="clear" w:color="auto" w:fill="FFFFFF"/>
        </w:rPr>
        <w:t xml:space="preserve"> C, </w:t>
      </w:r>
      <w:proofErr w:type="spellStart"/>
      <w:r w:rsidRPr="00D4124D">
        <w:rPr>
          <w:shd w:val="clear" w:color="auto" w:fill="FFFFFF"/>
        </w:rPr>
        <w:t>Boutten</w:t>
      </w:r>
      <w:proofErr w:type="spellEnd"/>
      <w:r w:rsidRPr="00D4124D">
        <w:rPr>
          <w:shd w:val="clear" w:color="auto" w:fill="FFFFFF"/>
        </w:rPr>
        <w:t xml:space="preserve"> B, Sellier N, and Le </w:t>
      </w:r>
      <w:proofErr w:type="spellStart"/>
      <w:r w:rsidRPr="00D4124D">
        <w:rPr>
          <w:shd w:val="clear" w:color="auto" w:fill="FFFFFF"/>
        </w:rPr>
        <w:t>Bihan</w:t>
      </w:r>
      <w:proofErr w:type="spellEnd"/>
      <w:r w:rsidRPr="00D4124D">
        <w:rPr>
          <w:shd w:val="clear" w:color="auto" w:fill="FFFFFF"/>
        </w:rPr>
        <w:t>-Duval E. 2005. Variations in chicken breast meat quality: implications of struggle and muscle glycogen content at death. </w:t>
      </w:r>
      <w:r w:rsidRPr="00D4124D">
        <w:rPr>
          <w:i/>
          <w:iCs/>
          <w:shd w:val="clear" w:color="auto" w:fill="FFFFFF"/>
        </w:rPr>
        <w:t>British Poultry Science</w:t>
      </w:r>
      <w:r w:rsidRPr="00D4124D">
        <w:rPr>
          <w:shd w:val="clear" w:color="auto" w:fill="FFFFFF"/>
        </w:rPr>
        <w:t> </w:t>
      </w:r>
      <w:r w:rsidRPr="00D4124D">
        <w:rPr>
          <w:b/>
          <w:iCs/>
          <w:shd w:val="clear" w:color="auto" w:fill="FFFFFF"/>
        </w:rPr>
        <w:t>46</w:t>
      </w:r>
      <w:r w:rsidRPr="00D4124D">
        <w:rPr>
          <w:shd w:val="clear" w:color="auto" w:fill="FFFFFF"/>
        </w:rPr>
        <w:t xml:space="preserve"> (5): 572-579.</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Bueno M, </w:t>
      </w:r>
      <w:proofErr w:type="spellStart"/>
      <w:r w:rsidRPr="00D4124D">
        <w:rPr>
          <w:shd w:val="clear" w:color="auto" w:fill="FFFFFF"/>
        </w:rPr>
        <w:t>Resconi</w:t>
      </w:r>
      <w:proofErr w:type="spellEnd"/>
      <w:r w:rsidRPr="00D4124D">
        <w:rPr>
          <w:shd w:val="clear" w:color="auto" w:fill="FFFFFF"/>
        </w:rPr>
        <w:t xml:space="preserve"> V C, Campo M </w:t>
      </w:r>
      <w:proofErr w:type="spellStart"/>
      <w:r w:rsidRPr="00D4124D">
        <w:rPr>
          <w:shd w:val="clear" w:color="auto" w:fill="FFFFFF"/>
        </w:rPr>
        <w:t>M</w:t>
      </w:r>
      <w:proofErr w:type="spellEnd"/>
      <w:r w:rsidRPr="00D4124D">
        <w:rPr>
          <w:shd w:val="clear" w:color="auto" w:fill="FFFFFF"/>
        </w:rPr>
        <w:t>, Cacho J, Ferreira V and Escudero A. 2013. Effect of freezing method and frozen storage duration on odor-active compounds and sensory perception of lamb. </w:t>
      </w:r>
      <w:r w:rsidRPr="00D4124D">
        <w:rPr>
          <w:i/>
          <w:iCs/>
          <w:shd w:val="clear" w:color="auto" w:fill="FFFFFF"/>
        </w:rPr>
        <w:t>Food Research International</w:t>
      </w:r>
      <w:r w:rsidRPr="00D4124D">
        <w:rPr>
          <w:shd w:val="clear" w:color="auto" w:fill="FFFFFF"/>
        </w:rPr>
        <w:t xml:space="preserve"> </w:t>
      </w:r>
      <w:r w:rsidRPr="00D4124D">
        <w:rPr>
          <w:b/>
          <w:iCs/>
          <w:shd w:val="clear" w:color="auto" w:fill="FFFFFF"/>
        </w:rPr>
        <w:t>54</w:t>
      </w:r>
      <w:r w:rsidRPr="00D4124D">
        <w:rPr>
          <w:shd w:val="clear" w:color="auto" w:fill="FFFFFF"/>
        </w:rPr>
        <w:t xml:space="preserve"> (1): 772-780.</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Castellini C, Mugnai C A N D and Dal Bosco A. 2002. Effect of organic production system on broiler carcass and meat quality. </w:t>
      </w:r>
      <w:r w:rsidRPr="00D4124D">
        <w:rPr>
          <w:i/>
          <w:iCs/>
          <w:shd w:val="clear" w:color="auto" w:fill="FFFFFF"/>
        </w:rPr>
        <w:t>Meat Science</w:t>
      </w:r>
      <w:r w:rsidRPr="00D4124D">
        <w:rPr>
          <w:shd w:val="clear" w:color="auto" w:fill="FFFFFF"/>
        </w:rPr>
        <w:t xml:space="preserve"> </w:t>
      </w:r>
      <w:r w:rsidRPr="00D4124D">
        <w:rPr>
          <w:b/>
          <w:iCs/>
          <w:shd w:val="clear" w:color="auto" w:fill="FFFFFF"/>
        </w:rPr>
        <w:t>60</w:t>
      </w:r>
      <w:r w:rsidRPr="00D4124D">
        <w:rPr>
          <w:shd w:val="clear" w:color="auto" w:fill="FFFFFF"/>
        </w:rPr>
        <w:t xml:space="preserve"> (3): 219-225.</w:t>
      </w:r>
    </w:p>
    <w:p w:rsidR="00853EC0" w:rsidRPr="00D4124D" w:rsidRDefault="00853EC0" w:rsidP="00D4124D">
      <w:pPr>
        <w:pStyle w:val="ListParagraph"/>
        <w:numPr>
          <w:ilvl w:val="0"/>
          <w:numId w:val="1"/>
        </w:numPr>
        <w:jc w:val="both"/>
        <w:rPr>
          <w:shd w:val="clear" w:color="auto" w:fill="FFFFFF"/>
        </w:rPr>
      </w:pPr>
      <w:r w:rsidRPr="00D4124D">
        <w:rPr>
          <w:color w:val="222222"/>
          <w:shd w:val="clear" w:color="auto" w:fill="FFFFFF"/>
        </w:rPr>
        <w:t>Chen J L, Zhao G P, Zheng M Q, Wen J and Yang, N 2008. Estimation of genetic parameters for contents of intramuscular fat and inosine-5′-monophosphate and carcass traits in Chinese Beijing-You chickens. </w:t>
      </w:r>
      <w:r w:rsidRPr="00D4124D">
        <w:rPr>
          <w:i/>
          <w:iCs/>
          <w:color w:val="222222"/>
          <w:shd w:val="clear" w:color="auto" w:fill="FFFFFF"/>
        </w:rPr>
        <w:t>Poultry Science</w:t>
      </w:r>
      <w:r w:rsidRPr="00D4124D">
        <w:rPr>
          <w:color w:val="222222"/>
          <w:shd w:val="clear" w:color="auto" w:fill="FFFFFF"/>
        </w:rPr>
        <w:t> </w:t>
      </w:r>
      <w:r w:rsidRPr="00D4124D">
        <w:rPr>
          <w:b/>
          <w:iCs/>
          <w:color w:val="222222"/>
          <w:shd w:val="clear" w:color="auto" w:fill="FFFFFF"/>
        </w:rPr>
        <w:t xml:space="preserve">87 </w:t>
      </w:r>
      <w:r w:rsidRPr="00D4124D">
        <w:rPr>
          <w:color w:val="222222"/>
          <w:shd w:val="clear" w:color="auto" w:fill="FFFFFF"/>
        </w:rPr>
        <w:t>(6): 1098-1104.</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Debut M, Berri C, </w:t>
      </w:r>
      <w:proofErr w:type="spellStart"/>
      <w:r w:rsidRPr="00D4124D">
        <w:rPr>
          <w:shd w:val="clear" w:color="auto" w:fill="FFFFFF"/>
        </w:rPr>
        <w:t>Baéza</w:t>
      </w:r>
      <w:proofErr w:type="spellEnd"/>
      <w:r w:rsidRPr="00D4124D">
        <w:rPr>
          <w:shd w:val="clear" w:color="auto" w:fill="FFFFFF"/>
        </w:rPr>
        <w:t xml:space="preserve"> E, Sellier N, </w:t>
      </w:r>
      <w:proofErr w:type="spellStart"/>
      <w:r w:rsidRPr="00D4124D">
        <w:rPr>
          <w:shd w:val="clear" w:color="auto" w:fill="FFFFFF"/>
        </w:rPr>
        <w:t>Arnould</w:t>
      </w:r>
      <w:proofErr w:type="spellEnd"/>
      <w:r w:rsidRPr="00D4124D">
        <w:rPr>
          <w:shd w:val="clear" w:color="auto" w:fill="FFFFFF"/>
        </w:rPr>
        <w:t xml:space="preserve"> C, </w:t>
      </w:r>
      <w:proofErr w:type="spellStart"/>
      <w:r w:rsidRPr="00D4124D">
        <w:rPr>
          <w:shd w:val="clear" w:color="auto" w:fill="FFFFFF"/>
        </w:rPr>
        <w:t>Guemene</w:t>
      </w:r>
      <w:proofErr w:type="spellEnd"/>
      <w:r w:rsidRPr="00D4124D">
        <w:rPr>
          <w:shd w:val="clear" w:color="auto" w:fill="FFFFFF"/>
        </w:rPr>
        <w:t xml:space="preserve"> D and Le </w:t>
      </w:r>
      <w:proofErr w:type="spellStart"/>
      <w:r w:rsidRPr="00D4124D">
        <w:rPr>
          <w:shd w:val="clear" w:color="auto" w:fill="FFFFFF"/>
        </w:rPr>
        <w:t>Bihan</w:t>
      </w:r>
      <w:proofErr w:type="spellEnd"/>
      <w:r w:rsidRPr="00D4124D">
        <w:rPr>
          <w:shd w:val="clear" w:color="auto" w:fill="FFFFFF"/>
        </w:rPr>
        <w:t xml:space="preserve"> Duval E. 2003. Variation of chicken technological meat quality in relation to genotype and preslaughter stress conditions. </w:t>
      </w:r>
      <w:r w:rsidRPr="00D4124D">
        <w:rPr>
          <w:i/>
          <w:iCs/>
          <w:shd w:val="clear" w:color="auto" w:fill="FFFFFF"/>
        </w:rPr>
        <w:t>Poultry Science</w:t>
      </w:r>
      <w:r w:rsidRPr="00D4124D">
        <w:rPr>
          <w:shd w:val="clear" w:color="auto" w:fill="FFFFFF"/>
        </w:rPr>
        <w:t> </w:t>
      </w:r>
      <w:r w:rsidRPr="00D4124D">
        <w:rPr>
          <w:b/>
          <w:iCs/>
          <w:shd w:val="clear" w:color="auto" w:fill="FFFFFF"/>
        </w:rPr>
        <w:t xml:space="preserve">82 </w:t>
      </w:r>
      <w:r w:rsidRPr="00D4124D">
        <w:rPr>
          <w:shd w:val="clear" w:color="auto" w:fill="FFFFFF"/>
        </w:rPr>
        <w:t>(12): 1829-1838.</w:t>
      </w:r>
    </w:p>
    <w:p w:rsidR="00853EC0" w:rsidRPr="00D4124D" w:rsidRDefault="00853EC0" w:rsidP="00D4124D">
      <w:pPr>
        <w:pStyle w:val="ListParagraph"/>
        <w:numPr>
          <w:ilvl w:val="0"/>
          <w:numId w:val="1"/>
        </w:numPr>
        <w:jc w:val="both"/>
        <w:rPr>
          <w:shd w:val="clear" w:color="auto" w:fill="FFFFFF"/>
        </w:rPr>
      </w:pPr>
      <w:proofErr w:type="spellStart"/>
      <w:r w:rsidRPr="00D4124D">
        <w:rPr>
          <w:shd w:val="clear" w:color="auto" w:fill="FFFFFF"/>
        </w:rPr>
        <w:t>Devatkal</w:t>
      </w:r>
      <w:proofErr w:type="spellEnd"/>
      <w:r w:rsidRPr="00D4124D">
        <w:rPr>
          <w:shd w:val="clear" w:color="auto" w:fill="FFFFFF"/>
        </w:rPr>
        <w:t xml:space="preserve"> S K, </w:t>
      </w:r>
      <w:proofErr w:type="spellStart"/>
      <w:r w:rsidRPr="00D4124D">
        <w:rPr>
          <w:shd w:val="clear" w:color="auto" w:fill="FFFFFF"/>
        </w:rPr>
        <w:t>Naveena</w:t>
      </w:r>
      <w:proofErr w:type="spellEnd"/>
      <w:r w:rsidRPr="00D4124D">
        <w:rPr>
          <w:shd w:val="clear" w:color="auto" w:fill="FFFFFF"/>
        </w:rPr>
        <w:t xml:space="preserve"> B M and </w:t>
      </w:r>
      <w:proofErr w:type="spellStart"/>
      <w:r w:rsidRPr="00D4124D">
        <w:rPr>
          <w:shd w:val="clear" w:color="auto" w:fill="FFFFFF"/>
        </w:rPr>
        <w:t>Kotaiah</w:t>
      </w:r>
      <w:proofErr w:type="spellEnd"/>
      <w:r w:rsidRPr="00D4124D">
        <w:rPr>
          <w:shd w:val="clear" w:color="auto" w:fill="FFFFFF"/>
        </w:rPr>
        <w:t xml:space="preserve"> T. 2019. Quality, composition, and consumer evaluation of meat from slow-growing broilers relative to commercial broilers. </w:t>
      </w:r>
      <w:r w:rsidRPr="00D4124D">
        <w:rPr>
          <w:i/>
          <w:iCs/>
          <w:shd w:val="clear" w:color="auto" w:fill="FFFFFF"/>
        </w:rPr>
        <w:t>Poultry Science</w:t>
      </w:r>
      <w:r w:rsidRPr="00D4124D">
        <w:rPr>
          <w:shd w:val="clear" w:color="auto" w:fill="FFFFFF"/>
        </w:rPr>
        <w:t> </w:t>
      </w:r>
      <w:r w:rsidRPr="00D4124D">
        <w:rPr>
          <w:b/>
          <w:iCs/>
          <w:shd w:val="clear" w:color="auto" w:fill="FFFFFF"/>
        </w:rPr>
        <w:t xml:space="preserve">98 </w:t>
      </w:r>
      <w:r w:rsidRPr="00D4124D">
        <w:rPr>
          <w:shd w:val="clear" w:color="auto" w:fill="FFFFFF"/>
        </w:rPr>
        <w:t>(11): 6177-6186.</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Ding D, Zhou C, Ge X, Ye K, Wang P, Bai Y and Zhou G. 2020. The effect of different degrees of </w:t>
      </w:r>
      <w:proofErr w:type="spellStart"/>
      <w:r w:rsidRPr="00D4124D">
        <w:rPr>
          <w:shd w:val="clear" w:color="auto" w:fill="FFFFFF"/>
        </w:rPr>
        <w:t>superchilling</w:t>
      </w:r>
      <w:proofErr w:type="spellEnd"/>
      <w:r w:rsidRPr="00D4124D">
        <w:rPr>
          <w:shd w:val="clear" w:color="auto" w:fill="FFFFFF"/>
        </w:rPr>
        <w:t xml:space="preserve"> on shelf life and quality of pork during storage. </w:t>
      </w:r>
      <w:r w:rsidRPr="00D4124D">
        <w:rPr>
          <w:i/>
          <w:iCs/>
          <w:shd w:val="clear" w:color="auto" w:fill="FFFFFF"/>
        </w:rPr>
        <w:t>Journal of Food Processing and Preservation</w:t>
      </w:r>
      <w:r w:rsidRPr="00D4124D">
        <w:rPr>
          <w:shd w:val="clear" w:color="auto" w:fill="FFFFFF"/>
        </w:rPr>
        <w:t> </w:t>
      </w:r>
      <w:r w:rsidRPr="00D4124D">
        <w:rPr>
          <w:b/>
          <w:iCs/>
          <w:shd w:val="clear" w:color="auto" w:fill="FFFFFF"/>
        </w:rPr>
        <w:t xml:space="preserve">44 </w:t>
      </w:r>
      <w:r w:rsidRPr="00D4124D">
        <w:rPr>
          <w:shd w:val="clear" w:color="auto" w:fill="FFFFFF"/>
        </w:rPr>
        <w:t>(4): e14394.</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lastRenderedPageBreak/>
        <w:t>Fanatico A C, Pillai P B, Emmert J L and Owens C M. 2007. Meat quality of slow-and fast-growing chicken genotypes fed low-nutrient or standard diets and raised indoors or with outdoor access. </w:t>
      </w:r>
      <w:r w:rsidRPr="00D4124D">
        <w:rPr>
          <w:i/>
          <w:iCs/>
          <w:shd w:val="clear" w:color="auto" w:fill="FFFFFF"/>
        </w:rPr>
        <w:t>Poultry Science</w:t>
      </w:r>
      <w:r w:rsidRPr="00D4124D">
        <w:rPr>
          <w:shd w:val="clear" w:color="auto" w:fill="FFFFFF"/>
        </w:rPr>
        <w:t> </w:t>
      </w:r>
      <w:r w:rsidRPr="00D4124D">
        <w:rPr>
          <w:b/>
          <w:iCs/>
          <w:shd w:val="clear" w:color="auto" w:fill="FFFFFF"/>
        </w:rPr>
        <w:t xml:space="preserve">86 </w:t>
      </w:r>
      <w:r w:rsidRPr="00D4124D">
        <w:rPr>
          <w:shd w:val="clear" w:color="auto" w:fill="FFFFFF"/>
        </w:rPr>
        <w:t>(10): 2245-2255.</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Farouk M </w:t>
      </w:r>
      <w:proofErr w:type="spellStart"/>
      <w:r w:rsidRPr="00D4124D">
        <w:rPr>
          <w:shd w:val="clear" w:color="auto" w:fill="FFFFFF"/>
        </w:rPr>
        <w:t>M</w:t>
      </w:r>
      <w:proofErr w:type="spellEnd"/>
      <w:r w:rsidRPr="00D4124D">
        <w:rPr>
          <w:shd w:val="clear" w:color="auto" w:fill="FFFFFF"/>
        </w:rPr>
        <w:t xml:space="preserve">, </w:t>
      </w:r>
      <w:proofErr w:type="spellStart"/>
      <w:r w:rsidRPr="00D4124D">
        <w:rPr>
          <w:shd w:val="clear" w:color="auto" w:fill="FFFFFF"/>
        </w:rPr>
        <w:t>Wieliczko</w:t>
      </w:r>
      <w:proofErr w:type="spellEnd"/>
      <w:r w:rsidRPr="00D4124D">
        <w:rPr>
          <w:shd w:val="clear" w:color="auto" w:fill="FFFFFF"/>
        </w:rPr>
        <w:t xml:space="preserve"> K J and </w:t>
      </w:r>
      <w:proofErr w:type="spellStart"/>
      <w:r w:rsidRPr="00D4124D">
        <w:rPr>
          <w:shd w:val="clear" w:color="auto" w:fill="FFFFFF"/>
        </w:rPr>
        <w:t>Merts</w:t>
      </w:r>
      <w:proofErr w:type="spellEnd"/>
      <w:r w:rsidRPr="00D4124D">
        <w:rPr>
          <w:shd w:val="clear" w:color="auto" w:fill="FFFFFF"/>
        </w:rPr>
        <w:t xml:space="preserve"> I. 2004. Ultra-fast freezing and low storage temperatures are not necessary to maintain the functional properties of manufacturing beef. </w:t>
      </w:r>
      <w:r w:rsidRPr="00D4124D">
        <w:rPr>
          <w:i/>
          <w:iCs/>
          <w:shd w:val="clear" w:color="auto" w:fill="FFFFFF"/>
        </w:rPr>
        <w:t>Meat Science</w:t>
      </w:r>
      <w:r w:rsidRPr="00D4124D">
        <w:rPr>
          <w:shd w:val="clear" w:color="auto" w:fill="FFFFFF"/>
        </w:rPr>
        <w:t> </w:t>
      </w:r>
      <w:r w:rsidRPr="00D4124D">
        <w:rPr>
          <w:b/>
          <w:iCs/>
          <w:shd w:val="clear" w:color="auto" w:fill="FFFFFF"/>
        </w:rPr>
        <w:t xml:space="preserve">66 </w:t>
      </w:r>
      <w:r w:rsidRPr="00D4124D">
        <w:rPr>
          <w:shd w:val="clear" w:color="auto" w:fill="FFFFFF"/>
        </w:rPr>
        <w:t>(1): 171-179.</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Fernandez X, Santé V, </w:t>
      </w:r>
      <w:proofErr w:type="spellStart"/>
      <w:r w:rsidRPr="00D4124D">
        <w:rPr>
          <w:shd w:val="clear" w:color="auto" w:fill="FFFFFF"/>
        </w:rPr>
        <w:t>Baéza</w:t>
      </w:r>
      <w:proofErr w:type="spellEnd"/>
      <w:r w:rsidRPr="00D4124D">
        <w:rPr>
          <w:shd w:val="clear" w:color="auto" w:fill="FFFFFF"/>
        </w:rPr>
        <w:t xml:space="preserve"> E, </w:t>
      </w:r>
      <w:proofErr w:type="spellStart"/>
      <w:r w:rsidRPr="00D4124D">
        <w:rPr>
          <w:shd w:val="clear" w:color="auto" w:fill="FFFFFF"/>
        </w:rPr>
        <w:t>Lebihan</w:t>
      </w:r>
      <w:proofErr w:type="spellEnd"/>
      <w:r w:rsidRPr="00D4124D">
        <w:rPr>
          <w:shd w:val="clear" w:color="auto" w:fill="FFFFFF"/>
        </w:rPr>
        <w:t xml:space="preserve"> Duval E, Berri C, </w:t>
      </w:r>
      <w:proofErr w:type="spellStart"/>
      <w:r w:rsidRPr="00D4124D">
        <w:rPr>
          <w:shd w:val="clear" w:color="auto" w:fill="FFFFFF"/>
        </w:rPr>
        <w:t>Rémignon</w:t>
      </w:r>
      <w:proofErr w:type="spellEnd"/>
      <w:r w:rsidRPr="00D4124D">
        <w:rPr>
          <w:shd w:val="clear" w:color="auto" w:fill="FFFFFF"/>
        </w:rPr>
        <w:t xml:space="preserve"> H and </w:t>
      </w:r>
      <w:proofErr w:type="spellStart"/>
      <w:r w:rsidRPr="00D4124D">
        <w:rPr>
          <w:shd w:val="clear" w:color="auto" w:fill="FFFFFF"/>
        </w:rPr>
        <w:t>Astruc</w:t>
      </w:r>
      <w:proofErr w:type="spellEnd"/>
      <w:r w:rsidRPr="00D4124D">
        <w:rPr>
          <w:shd w:val="clear" w:color="auto" w:fill="FFFFFF"/>
        </w:rPr>
        <w:t xml:space="preserve"> T. 2002. Effects of the rate of muscle post mortem pH fall on the technological quality of turkey meat. </w:t>
      </w:r>
      <w:r w:rsidRPr="00D4124D">
        <w:rPr>
          <w:i/>
          <w:iCs/>
          <w:shd w:val="clear" w:color="auto" w:fill="FFFFFF"/>
        </w:rPr>
        <w:t>British Poultry Science</w:t>
      </w:r>
      <w:r w:rsidRPr="00D4124D">
        <w:rPr>
          <w:shd w:val="clear" w:color="auto" w:fill="FFFFFF"/>
        </w:rPr>
        <w:t xml:space="preserve"> </w:t>
      </w:r>
      <w:r w:rsidRPr="00D4124D">
        <w:rPr>
          <w:b/>
          <w:iCs/>
          <w:shd w:val="clear" w:color="auto" w:fill="FFFFFF"/>
        </w:rPr>
        <w:t xml:space="preserve">43 </w:t>
      </w:r>
      <w:r w:rsidRPr="00D4124D">
        <w:rPr>
          <w:shd w:val="clear" w:color="auto" w:fill="FFFFFF"/>
        </w:rPr>
        <w:t>(2): 245-252.</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Hansen E, </w:t>
      </w:r>
      <w:proofErr w:type="spellStart"/>
      <w:r w:rsidRPr="00D4124D">
        <w:rPr>
          <w:shd w:val="clear" w:color="auto" w:fill="FFFFFF"/>
        </w:rPr>
        <w:t>Juncher</w:t>
      </w:r>
      <w:proofErr w:type="spellEnd"/>
      <w:r w:rsidRPr="00D4124D">
        <w:rPr>
          <w:shd w:val="clear" w:color="auto" w:fill="FFFFFF"/>
        </w:rPr>
        <w:t xml:space="preserve"> D, </w:t>
      </w:r>
      <w:proofErr w:type="spellStart"/>
      <w:r w:rsidRPr="00D4124D">
        <w:rPr>
          <w:shd w:val="clear" w:color="auto" w:fill="FFFFFF"/>
        </w:rPr>
        <w:t>Henckel</w:t>
      </w:r>
      <w:proofErr w:type="spellEnd"/>
      <w:r w:rsidRPr="00D4124D">
        <w:rPr>
          <w:shd w:val="clear" w:color="auto" w:fill="FFFFFF"/>
        </w:rPr>
        <w:t xml:space="preserve"> P, Karlsson A, </w:t>
      </w:r>
      <w:proofErr w:type="spellStart"/>
      <w:r w:rsidRPr="00D4124D">
        <w:rPr>
          <w:shd w:val="clear" w:color="auto" w:fill="FFFFFF"/>
        </w:rPr>
        <w:t>Bertelsen</w:t>
      </w:r>
      <w:proofErr w:type="spellEnd"/>
      <w:r w:rsidRPr="00D4124D">
        <w:rPr>
          <w:shd w:val="clear" w:color="auto" w:fill="FFFFFF"/>
        </w:rPr>
        <w:t xml:space="preserve"> G and </w:t>
      </w:r>
      <w:proofErr w:type="spellStart"/>
      <w:r w:rsidRPr="00D4124D">
        <w:rPr>
          <w:shd w:val="clear" w:color="auto" w:fill="FFFFFF"/>
        </w:rPr>
        <w:t>Skibsted</w:t>
      </w:r>
      <w:proofErr w:type="spellEnd"/>
      <w:r w:rsidRPr="00D4124D">
        <w:rPr>
          <w:shd w:val="clear" w:color="auto" w:fill="FFFFFF"/>
        </w:rPr>
        <w:t xml:space="preserve"> L H. 2004. Oxidative stability of chilled pork chops following long term freeze storage. </w:t>
      </w:r>
      <w:r w:rsidRPr="00D4124D">
        <w:rPr>
          <w:i/>
          <w:iCs/>
          <w:shd w:val="clear" w:color="auto" w:fill="FFFFFF"/>
        </w:rPr>
        <w:t>Meat Science</w:t>
      </w:r>
      <w:r w:rsidRPr="00D4124D">
        <w:rPr>
          <w:shd w:val="clear" w:color="auto" w:fill="FFFFFF"/>
        </w:rPr>
        <w:t> </w:t>
      </w:r>
      <w:r w:rsidRPr="00D4124D">
        <w:rPr>
          <w:b/>
          <w:iCs/>
          <w:shd w:val="clear" w:color="auto" w:fill="FFFFFF"/>
        </w:rPr>
        <w:t xml:space="preserve">68 </w:t>
      </w:r>
      <w:r w:rsidRPr="00D4124D">
        <w:rPr>
          <w:shd w:val="clear" w:color="auto" w:fill="FFFFFF"/>
        </w:rPr>
        <w:t>(3): 479-484.</w:t>
      </w:r>
    </w:p>
    <w:p w:rsidR="00853EC0" w:rsidRPr="00D4124D" w:rsidRDefault="00853EC0" w:rsidP="00D4124D">
      <w:pPr>
        <w:pStyle w:val="ListParagraph"/>
        <w:numPr>
          <w:ilvl w:val="0"/>
          <w:numId w:val="1"/>
        </w:numPr>
        <w:jc w:val="both"/>
        <w:rPr>
          <w:color w:val="222222"/>
          <w:shd w:val="clear" w:color="auto" w:fill="FFFFFF"/>
        </w:rPr>
      </w:pPr>
      <w:r w:rsidRPr="00D4124D">
        <w:t>ICMSF. 1980. Food commodities. Microbial ecology of foods vol. 1. London: Academic Press.</w:t>
      </w:r>
    </w:p>
    <w:p w:rsidR="00853EC0" w:rsidRPr="00D4124D" w:rsidRDefault="00853EC0" w:rsidP="00D4124D">
      <w:pPr>
        <w:pStyle w:val="ListParagraph"/>
        <w:numPr>
          <w:ilvl w:val="0"/>
          <w:numId w:val="1"/>
        </w:numPr>
        <w:jc w:val="both"/>
        <w:rPr>
          <w:color w:val="222222"/>
          <w:shd w:val="clear" w:color="auto" w:fill="FFFFFF"/>
        </w:rPr>
      </w:pPr>
      <w:r w:rsidRPr="00D4124D">
        <w:rPr>
          <w:color w:val="222222"/>
          <w:shd w:val="clear" w:color="auto" w:fill="FFFFFF"/>
        </w:rPr>
        <w:t>Keeton J T. 1983. Effects of fat and NaCl/phosphate levels on the chemical and sensory properties of pork patties. </w:t>
      </w:r>
      <w:r w:rsidRPr="00D4124D">
        <w:rPr>
          <w:i/>
          <w:iCs/>
          <w:color w:val="222222"/>
          <w:shd w:val="clear" w:color="auto" w:fill="FFFFFF"/>
        </w:rPr>
        <w:t>Journal of Food Science</w:t>
      </w:r>
      <w:r w:rsidRPr="00D4124D">
        <w:rPr>
          <w:color w:val="222222"/>
          <w:shd w:val="clear" w:color="auto" w:fill="FFFFFF"/>
        </w:rPr>
        <w:t> </w:t>
      </w:r>
      <w:r w:rsidRPr="00D4124D">
        <w:rPr>
          <w:b/>
          <w:iCs/>
          <w:color w:val="222222"/>
          <w:shd w:val="clear" w:color="auto" w:fill="FFFFFF"/>
        </w:rPr>
        <w:t xml:space="preserve">48 </w:t>
      </w:r>
      <w:r w:rsidRPr="00D4124D">
        <w:rPr>
          <w:color w:val="222222"/>
          <w:shd w:val="clear" w:color="auto" w:fill="FFFFFF"/>
        </w:rPr>
        <w:t>(3): 878-881.</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Khan M I, Jo C and Tariq M R. 2015. Meat flavor precursors and factors influencing flavor precursors—A systematic review. </w:t>
      </w:r>
      <w:r w:rsidRPr="00D4124D">
        <w:rPr>
          <w:i/>
          <w:iCs/>
          <w:shd w:val="clear" w:color="auto" w:fill="FFFFFF"/>
        </w:rPr>
        <w:t>Meat Science</w:t>
      </w:r>
      <w:r w:rsidRPr="00D4124D">
        <w:rPr>
          <w:shd w:val="clear" w:color="auto" w:fill="FFFFFF"/>
        </w:rPr>
        <w:t xml:space="preserve"> </w:t>
      </w:r>
      <w:r w:rsidRPr="00D4124D">
        <w:rPr>
          <w:b/>
          <w:iCs/>
          <w:shd w:val="clear" w:color="auto" w:fill="FFFFFF"/>
        </w:rPr>
        <w:t>110</w:t>
      </w:r>
      <w:r w:rsidRPr="00D4124D">
        <w:rPr>
          <w:shd w:val="clear" w:color="auto" w:fill="FFFFFF"/>
        </w:rPr>
        <w:t>: 278-284.</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Khan U, Hussain J, Mahmud A, </w:t>
      </w:r>
      <w:proofErr w:type="spellStart"/>
      <w:r w:rsidRPr="00D4124D">
        <w:rPr>
          <w:shd w:val="clear" w:color="auto" w:fill="FFFFFF"/>
        </w:rPr>
        <w:t>Khalique</w:t>
      </w:r>
      <w:proofErr w:type="spellEnd"/>
      <w:r w:rsidRPr="00D4124D">
        <w:rPr>
          <w:shd w:val="clear" w:color="auto" w:fill="FFFFFF"/>
        </w:rPr>
        <w:t xml:space="preserve"> A, Mehmood S, </w:t>
      </w:r>
      <w:proofErr w:type="spellStart"/>
      <w:r w:rsidRPr="00D4124D">
        <w:rPr>
          <w:shd w:val="clear" w:color="auto" w:fill="FFFFFF"/>
        </w:rPr>
        <w:t>Badar</w:t>
      </w:r>
      <w:proofErr w:type="spellEnd"/>
      <w:r w:rsidRPr="00D4124D">
        <w:rPr>
          <w:shd w:val="clear" w:color="auto" w:fill="FFFFFF"/>
        </w:rPr>
        <w:t xml:space="preserve"> I H and Ahmad S. 2019. Comparative study on carcass traits, meat quality and taste in broiler, broiler breeder and aseel chickens. </w:t>
      </w:r>
      <w:r w:rsidRPr="00D4124D">
        <w:rPr>
          <w:i/>
          <w:iCs/>
          <w:shd w:val="clear" w:color="auto" w:fill="FFFFFF"/>
        </w:rPr>
        <w:t>Brazilian Journal of Poultry Science</w:t>
      </w:r>
      <w:r w:rsidRPr="00D4124D">
        <w:rPr>
          <w:shd w:val="clear" w:color="auto" w:fill="FFFFFF"/>
        </w:rPr>
        <w:t xml:space="preserve"> </w:t>
      </w:r>
      <w:r w:rsidRPr="00D4124D">
        <w:rPr>
          <w:b/>
          <w:bCs/>
          <w:shd w:val="clear" w:color="auto" w:fill="FFFFFF"/>
        </w:rPr>
        <w:t>21</w:t>
      </w:r>
      <w:r w:rsidRPr="00D4124D">
        <w:rPr>
          <w:shd w:val="clear" w:color="auto" w:fill="FFFFFF"/>
        </w:rPr>
        <w:t>.</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Lan Y, Shang Y, Song Y and Dong Q. 2016. Changes in the quality of </w:t>
      </w:r>
      <w:proofErr w:type="spellStart"/>
      <w:r w:rsidRPr="00D4124D">
        <w:rPr>
          <w:shd w:val="clear" w:color="auto" w:fill="FFFFFF"/>
        </w:rPr>
        <w:t>superchilled</w:t>
      </w:r>
      <w:proofErr w:type="spellEnd"/>
      <w:r w:rsidRPr="00D4124D">
        <w:rPr>
          <w:shd w:val="clear" w:color="auto" w:fill="FFFFFF"/>
        </w:rPr>
        <w:t xml:space="preserve"> rabbit meat stored at different temperatures. </w:t>
      </w:r>
      <w:r w:rsidRPr="00D4124D">
        <w:rPr>
          <w:i/>
          <w:iCs/>
          <w:shd w:val="clear" w:color="auto" w:fill="FFFFFF"/>
        </w:rPr>
        <w:t>Meat Science</w:t>
      </w:r>
      <w:r w:rsidRPr="00D4124D">
        <w:rPr>
          <w:shd w:val="clear" w:color="auto" w:fill="FFFFFF"/>
        </w:rPr>
        <w:t xml:space="preserve"> </w:t>
      </w:r>
      <w:r w:rsidRPr="00D4124D">
        <w:rPr>
          <w:b/>
          <w:iCs/>
          <w:shd w:val="clear" w:color="auto" w:fill="FFFFFF"/>
        </w:rPr>
        <w:t>117</w:t>
      </w:r>
      <w:r w:rsidRPr="00D4124D">
        <w:rPr>
          <w:shd w:val="clear" w:color="auto" w:fill="FFFFFF"/>
        </w:rPr>
        <w:t>: 173-181.</w:t>
      </w:r>
    </w:p>
    <w:p w:rsidR="00853EC0" w:rsidRPr="00D4124D" w:rsidRDefault="00853EC0" w:rsidP="00D4124D">
      <w:pPr>
        <w:pStyle w:val="ListParagraph"/>
        <w:numPr>
          <w:ilvl w:val="0"/>
          <w:numId w:val="1"/>
        </w:numPr>
        <w:jc w:val="both"/>
        <w:rPr>
          <w:shd w:val="clear" w:color="auto" w:fill="FFFFFF"/>
        </w:rPr>
      </w:pPr>
      <w:proofErr w:type="spellStart"/>
      <w:r w:rsidRPr="00D4124D">
        <w:rPr>
          <w:shd w:val="clear" w:color="auto" w:fill="FFFFFF"/>
        </w:rPr>
        <w:t>Leygonie</w:t>
      </w:r>
      <w:proofErr w:type="spellEnd"/>
      <w:r w:rsidRPr="00D4124D">
        <w:rPr>
          <w:shd w:val="clear" w:color="auto" w:fill="FFFFFF"/>
        </w:rPr>
        <w:t xml:space="preserve"> C, </w:t>
      </w:r>
      <w:proofErr w:type="spellStart"/>
      <w:r w:rsidRPr="00D4124D">
        <w:rPr>
          <w:shd w:val="clear" w:color="auto" w:fill="FFFFFF"/>
        </w:rPr>
        <w:t>Britz</w:t>
      </w:r>
      <w:proofErr w:type="spellEnd"/>
      <w:r w:rsidRPr="00D4124D">
        <w:rPr>
          <w:shd w:val="clear" w:color="auto" w:fill="FFFFFF"/>
        </w:rPr>
        <w:t xml:space="preserve"> T J and Hoffman L C. 2012. Impact of freezing and thawing on the quality    of meat. </w:t>
      </w:r>
      <w:r w:rsidRPr="00D4124D">
        <w:rPr>
          <w:i/>
          <w:iCs/>
          <w:shd w:val="clear" w:color="auto" w:fill="FFFFFF"/>
        </w:rPr>
        <w:t>Meat Science</w:t>
      </w:r>
      <w:r w:rsidRPr="00D4124D">
        <w:rPr>
          <w:shd w:val="clear" w:color="auto" w:fill="FFFFFF"/>
        </w:rPr>
        <w:t> </w:t>
      </w:r>
      <w:r w:rsidRPr="00D4124D">
        <w:rPr>
          <w:b/>
          <w:iCs/>
          <w:shd w:val="clear" w:color="auto" w:fill="FFFFFF"/>
        </w:rPr>
        <w:t xml:space="preserve">91 </w:t>
      </w:r>
      <w:r w:rsidRPr="00D4124D">
        <w:rPr>
          <w:shd w:val="clear" w:color="auto" w:fill="FFFFFF"/>
        </w:rPr>
        <w:t>(2): 93-98.</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Liu Z, Xiong Y L and Chen J. 2010. Protein oxidation enhances hydration but suppresses water-holding capacity in porcine longissimus muscle. </w:t>
      </w:r>
      <w:r w:rsidRPr="00D4124D">
        <w:rPr>
          <w:i/>
          <w:iCs/>
          <w:shd w:val="clear" w:color="auto" w:fill="FFFFFF"/>
        </w:rPr>
        <w:t>Journal of Agricultural and Food Chemistry</w:t>
      </w:r>
      <w:r w:rsidRPr="00D4124D">
        <w:rPr>
          <w:shd w:val="clear" w:color="auto" w:fill="FFFFFF"/>
        </w:rPr>
        <w:t xml:space="preserve"> </w:t>
      </w:r>
      <w:r w:rsidRPr="00D4124D">
        <w:rPr>
          <w:b/>
          <w:iCs/>
          <w:shd w:val="clear" w:color="auto" w:fill="FFFFFF"/>
        </w:rPr>
        <w:t xml:space="preserve">58 </w:t>
      </w:r>
      <w:r w:rsidRPr="00D4124D">
        <w:rPr>
          <w:shd w:val="clear" w:color="auto" w:fill="FFFFFF"/>
        </w:rPr>
        <w:t>(19): 10697-10704.</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Nirmal N P and Benjakul S. 2010. Effect of catechin and ferulic acid on melanosis and quality of Pacific white shrimp subjected to prior freeze–thawing during refrigerated storage. </w:t>
      </w:r>
      <w:r w:rsidRPr="00D4124D">
        <w:rPr>
          <w:i/>
          <w:iCs/>
          <w:shd w:val="clear" w:color="auto" w:fill="FFFFFF"/>
        </w:rPr>
        <w:t>Food Control</w:t>
      </w:r>
      <w:r w:rsidRPr="00D4124D">
        <w:rPr>
          <w:shd w:val="clear" w:color="auto" w:fill="FFFFFF"/>
        </w:rPr>
        <w:t> </w:t>
      </w:r>
      <w:r w:rsidRPr="00D4124D">
        <w:rPr>
          <w:b/>
          <w:iCs/>
          <w:shd w:val="clear" w:color="auto" w:fill="FFFFFF"/>
        </w:rPr>
        <w:t>21</w:t>
      </w:r>
      <w:r w:rsidRPr="00D4124D">
        <w:rPr>
          <w:shd w:val="clear" w:color="auto" w:fill="FFFFFF"/>
        </w:rPr>
        <w:t xml:space="preserve"> (9): 1263-1271.</w:t>
      </w:r>
    </w:p>
    <w:p w:rsidR="00853EC0" w:rsidRPr="00D4124D" w:rsidRDefault="00853EC0" w:rsidP="00D4124D">
      <w:pPr>
        <w:pStyle w:val="ListParagraph"/>
        <w:numPr>
          <w:ilvl w:val="0"/>
          <w:numId w:val="1"/>
        </w:numPr>
        <w:jc w:val="both"/>
        <w:rPr>
          <w:shd w:val="clear" w:color="auto" w:fill="FFFFFF"/>
        </w:rPr>
      </w:pPr>
      <w:proofErr w:type="spellStart"/>
      <w:r w:rsidRPr="00D4124D">
        <w:rPr>
          <w:shd w:val="clear" w:color="auto" w:fill="FFFFFF"/>
        </w:rPr>
        <w:t>Patsias</w:t>
      </w:r>
      <w:proofErr w:type="spellEnd"/>
      <w:r w:rsidRPr="00D4124D">
        <w:rPr>
          <w:shd w:val="clear" w:color="auto" w:fill="FFFFFF"/>
        </w:rPr>
        <w:t xml:space="preserve"> A, </w:t>
      </w:r>
      <w:proofErr w:type="spellStart"/>
      <w:r w:rsidRPr="00D4124D">
        <w:rPr>
          <w:shd w:val="clear" w:color="auto" w:fill="FFFFFF"/>
        </w:rPr>
        <w:t>Badeka</w:t>
      </w:r>
      <w:proofErr w:type="spellEnd"/>
      <w:r w:rsidRPr="00D4124D">
        <w:rPr>
          <w:shd w:val="clear" w:color="auto" w:fill="FFFFFF"/>
        </w:rPr>
        <w:t xml:space="preserve"> A V, </w:t>
      </w:r>
      <w:proofErr w:type="spellStart"/>
      <w:r w:rsidRPr="00D4124D">
        <w:rPr>
          <w:shd w:val="clear" w:color="auto" w:fill="FFFFFF"/>
        </w:rPr>
        <w:t>Savvaidis</w:t>
      </w:r>
      <w:proofErr w:type="spellEnd"/>
      <w:r w:rsidRPr="00D4124D">
        <w:rPr>
          <w:shd w:val="clear" w:color="auto" w:fill="FFFFFF"/>
        </w:rPr>
        <w:t xml:space="preserve"> I N and </w:t>
      </w:r>
      <w:proofErr w:type="spellStart"/>
      <w:r w:rsidRPr="00D4124D">
        <w:rPr>
          <w:shd w:val="clear" w:color="auto" w:fill="FFFFFF"/>
        </w:rPr>
        <w:t>Kontominas</w:t>
      </w:r>
      <w:proofErr w:type="spellEnd"/>
      <w:r w:rsidRPr="00D4124D">
        <w:rPr>
          <w:shd w:val="clear" w:color="auto" w:fill="FFFFFF"/>
        </w:rPr>
        <w:t xml:space="preserve"> M G. 2008. Combined effect of freeze chilling and MAP on quality parameters of raw chicken fillets. </w:t>
      </w:r>
      <w:r w:rsidRPr="00D4124D">
        <w:rPr>
          <w:i/>
          <w:iCs/>
          <w:shd w:val="clear" w:color="auto" w:fill="FFFFFF"/>
        </w:rPr>
        <w:t>Food Microbiology</w:t>
      </w:r>
      <w:r w:rsidRPr="00D4124D">
        <w:rPr>
          <w:shd w:val="clear" w:color="auto" w:fill="FFFFFF"/>
        </w:rPr>
        <w:t xml:space="preserve"> </w:t>
      </w:r>
      <w:r w:rsidRPr="00D4124D">
        <w:rPr>
          <w:b/>
          <w:iCs/>
          <w:shd w:val="clear" w:color="auto" w:fill="FFFFFF"/>
        </w:rPr>
        <w:t xml:space="preserve">25 </w:t>
      </w:r>
      <w:r w:rsidRPr="00D4124D">
        <w:rPr>
          <w:shd w:val="clear" w:color="auto" w:fill="FFFFFF"/>
        </w:rPr>
        <w:t>(4): 575-581.</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Rajkumar U, Muthukumar M, Haunshi S, Niranjan M, Raju M V L N, Rama Rao S V and Chatterjee R N. 2016. Comparative evaluation of carcass traits and meat quality in native Aseel chickens and commercial broilers. </w:t>
      </w:r>
      <w:r w:rsidRPr="00D4124D">
        <w:rPr>
          <w:i/>
          <w:iCs/>
          <w:shd w:val="clear" w:color="auto" w:fill="FFFFFF"/>
        </w:rPr>
        <w:t>British Poultry Science</w:t>
      </w:r>
      <w:r w:rsidRPr="00D4124D">
        <w:rPr>
          <w:shd w:val="clear" w:color="auto" w:fill="FFFFFF"/>
        </w:rPr>
        <w:t xml:space="preserve"> </w:t>
      </w:r>
      <w:r w:rsidRPr="00D4124D">
        <w:rPr>
          <w:b/>
          <w:iCs/>
          <w:shd w:val="clear" w:color="auto" w:fill="FFFFFF"/>
        </w:rPr>
        <w:t xml:space="preserve">57 </w:t>
      </w:r>
      <w:r w:rsidRPr="00D4124D">
        <w:rPr>
          <w:shd w:val="clear" w:color="auto" w:fill="FFFFFF"/>
        </w:rPr>
        <w:t>(3): 339-347.</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Santos A L D, </w:t>
      </w:r>
      <w:proofErr w:type="spellStart"/>
      <w:r w:rsidRPr="00D4124D">
        <w:rPr>
          <w:shd w:val="clear" w:color="auto" w:fill="FFFFFF"/>
        </w:rPr>
        <w:t>Sakomura</w:t>
      </w:r>
      <w:proofErr w:type="spellEnd"/>
      <w:r w:rsidRPr="00D4124D">
        <w:rPr>
          <w:shd w:val="clear" w:color="auto" w:fill="FFFFFF"/>
        </w:rPr>
        <w:t xml:space="preserve"> N K, Freitas E R, Fortes C M L S, </w:t>
      </w:r>
      <w:proofErr w:type="spellStart"/>
      <w:r w:rsidRPr="00D4124D">
        <w:rPr>
          <w:shd w:val="clear" w:color="auto" w:fill="FFFFFF"/>
        </w:rPr>
        <w:t>Carrilho</w:t>
      </w:r>
      <w:proofErr w:type="spellEnd"/>
      <w:r w:rsidRPr="00D4124D">
        <w:rPr>
          <w:shd w:val="clear" w:color="auto" w:fill="FFFFFF"/>
        </w:rPr>
        <w:t xml:space="preserve"> E N V M and Fernandes J B K. 2005. Growth, performance, carcass yield and meat quality of three broiler </w:t>
      </w:r>
      <w:proofErr w:type="gramStart"/>
      <w:r w:rsidRPr="00D4124D">
        <w:rPr>
          <w:shd w:val="clear" w:color="auto" w:fill="FFFFFF"/>
        </w:rPr>
        <w:t>chickens</w:t>
      </w:r>
      <w:proofErr w:type="gramEnd"/>
      <w:r w:rsidRPr="00D4124D">
        <w:rPr>
          <w:shd w:val="clear" w:color="auto" w:fill="FFFFFF"/>
        </w:rPr>
        <w:t xml:space="preserve"> strains. </w:t>
      </w:r>
      <w:proofErr w:type="spellStart"/>
      <w:r w:rsidRPr="00D4124D">
        <w:rPr>
          <w:i/>
          <w:iCs/>
          <w:shd w:val="clear" w:color="auto" w:fill="FFFFFF"/>
        </w:rPr>
        <w:t>Revista</w:t>
      </w:r>
      <w:proofErr w:type="spellEnd"/>
      <w:r w:rsidRPr="00D4124D">
        <w:rPr>
          <w:i/>
          <w:iCs/>
          <w:shd w:val="clear" w:color="auto" w:fill="FFFFFF"/>
        </w:rPr>
        <w:t xml:space="preserve"> </w:t>
      </w:r>
      <w:proofErr w:type="spellStart"/>
      <w:r w:rsidRPr="00D4124D">
        <w:rPr>
          <w:i/>
          <w:iCs/>
          <w:shd w:val="clear" w:color="auto" w:fill="FFFFFF"/>
        </w:rPr>
        <w:t>Brasileira</w:t>
      </w:r>
      <w:proofErr w:type="spellEnd"/>
      <w:r w:rsidRPr="00D4124D">
        <w:rPr>
          <w:i/>
          <w:iCs/>
          <w:shd w:val="clear" w:color="auto" w:fill="FFFFFF"/>
        </w:rPr>
        <w:t xml:space="preserve"> de </w:t>
      </w:r>
      <w:proofErr w:type="spellStart"/>
      <w:r w:rsidRPr="00D4124D">
        <w:rPr>
          <w:i/>
          <w:iCs/>
          <w:shd w:val="clear" w:color="auto" w:fill="FFFFFF"/>
        </w:rPr>
        <w:t>Zootecnia</w:t>
      </w:r>
      <w:proofErr w:type="spellEnd"/>
      <w:r w:rsidRPr="00D4124D">
        <w:rPr>
          <w:shd w:val="clear" w:color="auto" w:fill="FFFFFF"/>
        </w:rPr>
        <w:t> </w:t>
      </w:r>
      <w:r w:rsidRPr="00D4124D">
        <w:rPr>
          <w:b/>
          <w:iCs/>
          <w:shd w:val="clear" w:color="auto" w:fill="FFFFFF"/>
        </w:rPr>
        <w:t xml:space="preserve">34 </w:t>
      </w:r>
      <w:r w:rsidRPr="00D4124D">
        <w:rPr>
          <w:shd w:val="clear" w:color="auto" w:fill="FFFFFF"/>
        </w:rPr>
        <w:t>(5): 1589-1598.</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Srinivasan S, Xiong Y L, Blanchard S P and Tidwell J H. 1997. Physicochemical changes in prawns (</w:t>
      </w:r>
      <w:proofErr w:type="spellStart"/>
      <w:r w:rsidRPr="00D4124D">
        <w:rPr>
          <w:shd w:val="clear" w:color="auto" w:fill="FFFFFF"/>
        </w:rPr>
        <w:t>Machrobrachium</w:t>
      </w:r>
      <w:proofErr w:type="spellEnd"/>
      <w:r w:rsidRPr="00D4124D">
        <w:rPr>
          <w:shd w:val="clear" w:color="auto" w:fill="FFFFFF"/>
        </w:rPr>
        <w:t xml:space="preserve"> </w:t>
      </w:r>
      <w:proofErr w:type="spellStart"/>
      <w:r w:rsidRPr="00D4124D">
        <w:rPr>
          <w:shd w:val="clear" w:color="auto" w:fill="FFFFFF"/>
        </w:rPr>
        <w:t>rosenbergii</w:t>
      </w:r>
      <w:proofErr w:type="spellEnd"/>
      <w:r w:rsidRPr="00D4124D">
        <w:rPr>
          <w:shd w:val="clear" w:color="auto" w:fill="FFFFFF"/>
        </w:rPr>
        <w:t>) subjected to multiple freeze‐thaw cycles. </w:t>
      </w:r>
      <w:r w:rsidRPr="00D4124D">
        <w:rPr>
          <w:i/>
          <w:iCs/>
          <w:shd w:val="clear" w:color="auto" w:fill="FFFFFF"/>
        </w:rPr>
        <w:t>Journal of Food science</w:t>
      </w:r>
      <w:r w:rsidRPr="00D4124D">
        <w:rPr>
          <w:shd w:val="clear" w:color="auto" w:fill="FFFFFF"/>
        </w:rPr>
        <w:t> </w:t>
      </w:r>
      <w:r w:rsidRPr="00D4124D">
        <w:rPr>
          <w:b/>
          <w:iCs/>
          <w:shd w:val="clear" w:color="auto" w:fill="FFFFFF"/>
        </w:rPr>
        <w:t xml:space="preserve">62 </w:t>
      </w:r>
      <w:r w:rsidRPr="00D4124D">
        <w:rPr>
          <w:shd w:val="clear" w:color="auto" w:fill="FFFFFF"/>
        </w:rPr>
        <w:t>(1): 123-127.</w:t>
      </w:r>
    </w:p>
    <w:p w:rsidR="00853EC0" w:rsidRPr="00D4124D" w:rsidRDefault="00853EC0" w:rsidP="00D4124D">
      <w:pPr>
        <w:pStyle w:val="ListParagraph"/>
        <w:numPr>
          <w:ilvl w:val="0"/>
          <w:numId w:val="1"/>
        </w:numPr>
        <w:jc w:val="both"/>
        <w:rPr>
          <w:color w:val="222222"/>
          <w:shd w:val="clear" w:color="auto" w:fill="FFFFFF"/>
        </w:rPr>
      </w:pPr>
      <w:r w:rsidRPr="00D4124D">
        <w:rPr>
          <w:color w:val="222222"/>
          <w:shd w:val="clear" w:color="auto" w:fill="FFFFFF"/>
        </w:rPr>
        <w:t>Strange E D, Benedict R C, Smith J L and Swift C E. 1977. Evaluation of rapid tests for monitoring alterations in meat quality during storage: I. Intact meat. </w:t>
      </w:r>
      <w:r w:rsidRPr="00D4124D">
        <w:rPr>
          <w:i/>
          <w:iCs/>
          <w:color w:val="222222"/>
          <w:shd w:val="clear" w:color="auto" w:fill="FFFFFF"/>
        </w:rPr>
        <w:t>Journal of Food Protection</w:t>
      </w:r>
      <w:r w:rsidRPr="00D4124D">
        <w:rPr>
          <w:color w:val="222222"/>
          <w:shd w:val="clear" w:color="auto" w:fill="FFFFFF"/>
        </w:rPr>
        <w:t> </w:t>
      </w:r>
      <w:r w:rsidRPr="00D4124D">
        <w:rPr>
          <w:b/>
          <w:iCs/>
          <w:color w:val="222222"/>
          <w:shd w:val="clear" w:color="auto" w:fill="FFFFFF"/>
        </w:rPr>
        <w:t>40</w:t>
      </w:r>
      <w:r w:rsidRPr="00D4124D">
        <w:rPr>
          <w:i/>
          <w:iCs/>
          <w:color w:val="222222"/>
          <w:shd w:val="clear" w:color="auto" w:fill="FFFFFF"/>
        </w:rPr>
        <w:t xml:space="preserve"> </w:t>
      </w:r>
      <w:r w:rsidRPr="00D4124D">
        <w:rPr>
          <w:color w:val="222222"/>
          <w:shd w:val="clear" w:color="auto" w:fill="FFFFFF"/>
        </w:rPr>
        <w:t>(12): 843-847.</w:t>
      </w:r>
    </w:p>
    <w:p w:rsidR="00853EC0" w:rsidRPr="00D4124D" w:rsidRDefault="00853EC0" w:rsidP="00D4124D">
      <w:pPr>
        <w:pStyle w:val="ListParagraph"/>
        <w:numPr>
          <w:ilvl w:val="0"/>
          <w:numId w:val="1"/>
        </w:numPr>
        <w:jc w:val="both"/>
      </w:pPr>
      <w:r w:rsidRPr="00D4124D">
        <w:t xml:space="preserve">Trout E S, Hunt M C, Johnson D E, Claus J R, Kastner C L and </w:t>
      </w:r>
      <w:proofErr w:type="spellStart"/>
      <w:proofErr w:type="gramStart"/>
      <w:r w:rsidRPr="00D4124D">
        <w:t>Kropf</w:t>
      </w:r>
      <w:proofErr w:type="spellEnd"/>
      <w:r w:rsidRPr="00D4124D">
        <w:t xml:space="preserve">  D</w:t>
      </w:r>
      <w:proofErr w:type="gramEnd"/>
      <w:r w:rsidRPr="00D4124D">
        <w:t xml:space="preserve"> H. 1992. Characteristics of low-fat ground beef containing texture-modifying ingredients. </w:t>
      </w:r>
      <w:r w:rsidRPr="00D4124D">
        <w:rPr>
          <w:i/>
          <w:iCs/>
          <w:shd w:val="clear" w:color="auto" w:fill="FFFFFF"/>
        </w:rPr>
        <w:t>Journal of Food Science</w:t>
      </w:r>
      <w:r w:rsidRPr="00D4124D">
        <w:rPr>
          <w:shd w:val="clear" w:color="auto" w:fill="FFFFFF"/>
        </w:rPr>
        <w:t> </w:t>
      </w:r>
      <w:r w:rsidRPr="00D4124D">
        <w:rPr>
          <w:b/>
        </w:rPr>
        <w:t>57</w:t>
      </w:r>
      <w:r w:rsidRPr="00D4124D">
        <w:t>: 19-24.</w:t>
      </w:r>
    </w:p>
    <w:p w:rsidR="00853EC0" w:rsidRPr="00D4124D" w:rsidRDefault="00853EC0" w:rsidP="00D4124D">
      <w:pPr>
        <w:pStyle w:val="ListParagraph"/>
        <w:numPr>
          <w:ilvl w:val="0"/>
          <w:numId w:val="1"/>
        </w:numPr>
        <w:jc w:val="both"/>
        <w:rPr>
          <w:shd w:val="clear" w:color="auto" w:fill="FFFFFF"/>
        </w:rPr>
      </w:pPr>
      <w:proofErr w:type="spellStart"/>
      <w:r w:rsidRPr="00D4124D">
        <w:rPr>
          <w:shd w:val="clear" w:color="auto" w:fill="FFFFFF"/>
        </w:rPr>
        <w:lastRenderedPageBreak/>
        <w:t>Ullengala</w:t>
      </w:r>
      <w:proofErr w:type="spellEnd"/>
      <w:r w:rsidRPr="00D4124D">
        <w:rPr>
          <w:shd w:val="clear" w:color="auto" w:fill="FFFFFF"/>
        </w:rPr>
        <w:t xml:space="preserve"> R, </w:t>
      </w:r>
      <w:proofErr w:type="spellStart"/>
      <w:r w:rsidRPr="00D4124D">
        <w:rPr>
          <w:shd w:val="clear" w:color="auto" w:fill="FFFFFF"/>
        </w:rPr>
        <w:t>Paswan</w:t>
      </w:r>
      <w:proofErr w:type="spellEnd"/>
      <w:r w:rsidRPr="00D4124D">
        <w:rPr>
          <w:shd w:val="clear" w:color="auto" w:fill="FFFFFF"/>
        </w:rPr>
        <w:t xml:space="preserve"> C, Prince L </w:t>
      </w:r>
      <w:proofErr w:type="spellStart"/>
      <w:r w:rsidRPr="00D4124D">
        <w:rPr>
          <w:shd w:val="clear" w:color="auto" w:fill="FFFFFF"/>
        </w:rPr>
        <w:t>L</w:t>
      </w:r>
      <w:proofErr w:type="spellEnd"/>
      <w:r w:rsidRPr="00D4124D">
        <w:rPr>
          <w:shd w:val="clear" w:color="auto" w:fill="FFFFFF"/>
        </w:rPr>
        <w:t xml:space="preserve"> </w:t>
      </w:r>
      <w:proofErr w:type="spellStart"/>
      <w:r w:rsidRPr="00D4124D">
        <w:rPr>
          <w:shd w:val="clear" w:color="auto" w:fill="FFFFFF"/>
        </w:rPr>
        <w:t>L</w:t>
      </w:r>
      <w:proofErr w:type="spellEnd"/>
      <w:r w:rsidRPr="00D4124D">
        <w:rPr>
          <w:shd w:val="clear" w:color="auto" w:fill="FFFFFF"/>
        </w:rPr>
        <w:t xml:space="preserve">, </w:t>
      </w:r>
      <w:proofErr w:type="spellStart"/>
      <w:r w:rsidRPr="00D4124D">
        <w:rPr>
          <w:shd w:val="clear" w:color="auto" w:fill="FFFFFF"/>
        </w:rPr>
        <w:t>Muthukumar</w:t>
      </w:r>
      <w:proofErr w:type="spellEnd"/>
      <w:r w:rsidRPr="00D4124D">
        <w:rPr>
          <w:shd w:val="clear" w:color="auto" w:fill="FFFFFF"/>
        </w:rPr>
        <w:t xml:space="preserve"> M, Haunshi S, Reddy B L and Chatterjee R. 2020. Studies on growth, carcass and meat quality traits in Aseel crosses suitable for small scale intensive broiler farming. </w:t>
      </w:r>
      <w:r w:rsidRPr="00D4124D">
        <w:rPr>
          <w:i/>
          <w:iCs/>
          <w:shd w:val="clear" w:color="auto" w:fill="FFFFFF"/>
        </w:rPr>
        <w:t>Journal of Applied Animal Research</w:t>
      </w:r>
      <w:r w:rsidRPr="00D4124D">
        <w:rPr>
          <w:shd w:val="clear" w:color="auto" w:fill="FFFFFF"/>
        </w:rPr>
        <w:t> </w:t>
      </w:r>
      <w:r w:rsidRPr="00D4124D">
        <w:rPr>
          <w:b/>
          <w:iCs/>
          <w:shd w:val="clear" w:color="auto" w:fill="FFFFFF"/>
        </w:rPr>
        <w:t xml:space="preserve">48 </w:t>
      </w:r>
      <w:r w:rsidRPr="00D4124D">
        <w:rPr>
          <w:shd w:val="clear" w:color="auto" w:fill="FFFFFF"/>
        </w:rPr>
        <w:t>(1): 507-514.</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Vieira C, Diaz M T, Martínez B and García-</w:t>
      </w:r>
      <w:proofErr w:type="spellStart"/>
      <w:r w:rsidRPr="00D4124D">
        <w:rPr>
          <w:shd w:val="clear" w:color="auto" w:fill="FFFFFF"/>
        </w:rPr>
        <w:t>Cachán</w:t>
      </w:r>
      <w:proofErr w:type="spellEnd"/>
      <w:r w:rsidRPr="00D4124D">
        <w:rPr>
          <w:shd w:val="clear" w:color="auto" w:fill="FFFFFF"/>
        </w:rPr>
        <w:t xml:space="preserve"> M D. 2009. Effect of frozen storage conditions (temperature and length of storage) on microbiological and sensory quality of rustic crossbred beef at different states of ageing. </w:t>
      </w:r>
      <w:r w:rsidRPr="00D4124D">
        <w:rPr>
          <w:i/>
          <w:iCs/>
          <w:shd w:val="clear" w:color="auto" w:fill="FFFFFF"/>
        </w:rPr>
        <w:t>Meat Science</w:t>
      </w:r>
      <w:r w:rsidRPr="00D4124D">
        <w:rPr>
          <w:shd w:val="clear" w:color="auto" w:fill="FFFFFF"/>
        </w:rPr>
        <w:t> </w:t>
      </w:r>
      <w:r w:rsidRPr="00D4124D">
        <w:rPr>
          <w:b/>
          <w:iCs/>
          <w:shd w:val="clear" w:color="auto" w:fill="FFFFFF"/>
        </w:rPr>
        <w:t xml:space="preserve">83 </w:t>
      </w:r>
      <w:r w:rsidRPr="00D4124D">
        <w:rPr>
          <w:shd w:val="clear" w:color="auto" w:fill="FFFFFF"/>
        </w:rPr>
        <w:t>(3): 398-404.</w:t>
      </w:r>
    </w:p>
    <w:p w:rsidR="00853EC0" w:rsidRPr="00D4124D" w:rsidRDefault="00853EC0" w:rsidP="00D4124D">
      <w:pPr>
        <w:pStyle w:val="ListParagraph"/>
        <w:numPr>
          <w:ilvl w:val="0"/>
          <w:numId w:val="1"/>
        </w:numPr>
        <w:jc w:val="both"/>
        <w:rPr>
          <w:shd w:val="clear" w:color="auto" w:fill="FFFFFF"/>
        </w:rPr>
      </w:pPr>
      <w:r w:rsidRPr="00D4124D">
        <w:t xml:space="preserve">Wardlaw F B, McCaskill L H and Acton J C. 1973. Effect of postmortem muscle changes on poultry meat loaf properties. </w:t>
      </w:r>
      <w:r w:rsidRPr="00D4124D">
        <w:rPr>
          <w:i/>
          <w:iCs/>
          <w:shd w:val="clear" w:color="auto" w:fill="FFFFFF"/>
        </w:rPr>
        <w:t>Journal of Food Science</w:t>
      </w:r>
      <w:r w:rsidRPr="00D4124D">
        <w:rPr>
          <w:shd w:val="clear" w:color="auto" w:fill="FFFFFF"/>
        </w:rPr>
        <w:t> </w:t>
      </w:r>
      <w:r w:rsidRPr="00D4124D">
        <w:rPr>
          <w:b/>
        </w:rPr>
        <w:t>38</w:t>
      </w:r>
      <w:r w:rsidRPr="00D4124D">
        <w:t>: 421.</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Xia X, Kong B, Liu Q and Liu J. 2009. Physicochemical change and protein oxidation in porcine longissimus dorsi as influenced by different freeze–thaw cycles. </w:t>
      </w:r>
      <w:r w:rsidRPr="00D4124D">
        <w:rPr>
          <w:i/>
          <w:iCs/>
          <w:shd w:val="clear" w:color="auto" w:fill="FFFFFF"/>
        </w:rPr>
        <w:t>Meat Science</w:t>
      </w:r>
      <w:r w:rsidRPr="00D4124D">
        <w:rPr>
          <w:shd w:val="clear" w:color="auto" w:fill="FFFFFF"/>
        </w:rPr>
        <w:t xml:space="preserve"> </w:t>
      </w:r>
      <w:r w:rsidRPr="00D4124D">
        <w:rPr>
          <w:b/>
          <w:iCs/>
          <w:shd w:val="clear" w:color="auto" w:fill="FFFFFF"/>
        </w:rPr>
        <w:t xml:space="preserve">83 </w:t>
      </w:r>
      <w:r w:rsidRPr="00D4124D">
        <w:rPr>
          <w:shd w:val="clear" w:color="auto" w:fill="FFFFFF"/>
        </w:rPr>
        <w:t>(2): 239-245.</w:t>
      </w:r>
    </w:p>
    <w:p w:rsidR="00853EC0" w:rsidRPr="00D4124D" w:rsidRDefault="00853EC0" w:rsidP="00D4124D">
      <w:pPr>
        <w:pStyle w:val="ListParagraph"/>
        <w:numPr>
          <w:ilvl w:val="0"/>
          <w:numId w:val="1"/>
        </w:numPr>
        <w:jc w:val="both"/>
        <w:rPr>
          <w:shd w:val="clear" w:color="auto" w:fill="FFFFFF"/>
        </w:rPr>
      </w:pPr>
      <w:r w:rsidRPr="00D4124D">
        <w:rPr>
          <w:shd w:val="clear" w:color="auto" w:fill="FFFFFF"/>
        </w:rPr>
        <w:t xml:space="preserve">Xiong Y L, Cantor A H, </w:t>
      </w:r>
      <w:proofErr w:type="spellStart"/>
      <w:r w:rsidRPr="00D4124D">
        <w:rPr>
          <w:shd w:val="clear" w:color="auto" w:fill="FFFFFF"/>
        </w:rPr>
        <w:t>Pescatore</w:t>
      </w:r>
      <w:proofErr w:type="spellEnd"/>
      <w:r w:rsidRPr="00D4124D">
        <w:rPr>
          <w:shd w:val="clear" w:color="auto" w:fill="FFFFFF"/>
        </w:rPr>
        <w:t xml:space="preserve"> A J, Blanchard S P and Straw M L. 1993. Variations in muscle chemical composition, pH, and protein extractability among eight different </w:t>
      </w:r>
      <w:proofErr w:type="gramStart"/>
      <w:r w:rsidRPr="00D4124D">
        <w:rPr>
          <w:shd w:val="clear" w:color="auto" w:fill="FFFFFF"/>
        </w:rPr>
        <w:t>broiler</w:t>
      </w:r>
      <w:proofErr w:type="gramEnd"/>
      <w:r w:rsidRPr="00D4124D">
        <w:rPr>
          <w:shd w:val="clear" w:color="auto" w:fill="FFFFFF"/>
        </w:rPr>
        <w:t xml:space="preserve"> </w:t>
      </w:r>
    </w:p>
    <w:p w:rsidR="00853EC0" w:rsidRPr="00D4124D" w:rsidRDefault="00853EC0" w:rsidP="00D4124D">
      <w:pPr>
        <w:pStyle w:val="ListParagraph"/>
        <w:numPr>
          <w:ilvl w:val="0"/>
          <w:numId w:val="1"/>
        </w:numPr>
        <w:jc w:val="both"/>
        <w:rPr>
          <w:shd w:val="clear" w:color="auto" w:fill="FFFFFF"/>
        </w:rPr>
      </w:pPr>
      <w:r w:rsidRPr="00D4124D">
        <w:rPr>
          <w:color w:val="222222"/>
          <w:shd w:val="clear" w:color="auto" w:fill="FFFFFF"/>
        </w:rPr>
        <w:t>Zhao G P, Chen J L, Zheng M Q, Wen J and Zhang Y</w:t>
      </w:r>
      <w:r w:rsidR="004270DF" w:rsidRPr="00D4124D">
        <w:rPr>
          <w:color w:val="222222"/>
          <w:shd w:val="clear" w:color="auto" w:fill="FFFFFF"/>
        </w:rPr>
        <w:t>.</w:t>
      </w:r>
      <w:r w:rsidRPr="00D4124D">
        <w:rPr>
          <w:color w:val="222222"/>
          <w:shd w:val="clear" w:color="auto" w:fill="FFFFFF"/>
        </w:rPr>
        <w:t xml:space="preserve"> 2007. Correlated responses to selection for increased intramuscular fat in a Chinese quality chicken line. </w:t>
      </w:r>
      <w:r w:rsidRPr="00D4124D">
        <w:rPr>
          <w:i/>
          <w:iCs/>
          <w:color w:val="222222"/>
          <w:shd w:val="clear" w:color="auto" w:fill="FFFFFF"/>
        </w:rPr>
        <w:t>Poultry Science</w:t>
      </w:r>
      <w:r w:rsidRPr="00D4124D">
        <w:rPr>
          <w:color w:val="222222"/>
          <w:shd w:val="clear" w:color="auto" w:fill="FFFFFF"/>
        </w:rPr>
        <w:t> </w:t>
      </w:r>
      <w:r w:rsidRPr="00D4124D">
        <w:rPr>
          <w:b/>
          <w:iCs/>
          <w:color w:val="222222"/>
          <w:shd w:val="clear" w:color="auto" w:fill="FFFFFF"/>
        </w:rPr>
        <w:t>86</w:t>
      </w:r>
      <w:r w:rsidRPr="00D4124D">
        <w:rPr>
          <w:iCs/>
          <w:color w:val="222222"/>
          <w:shd w:val="clear" w:color="auto" w:fill="FFFFFF"/>
        </w:rPr>
        <w:t xml:space="preserve"> </w:t>
      </w:r>
      <w:r w:rsidRPr="00D4124D">
        <w:rPr>
          <w:color w:val="222222"/>
          <w:shd w:val="clear" w:color="auto" w:fill="FFFFFF"/>
        </w:rPr>
        <w:t>(11): 2309-2314.</w:t>
      </w:r>
    </w:p>
    <w:sectPr w:rsidR="00853EC0" w:rsidRPr="00D412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5E1" w:rsidRDefault="00B535E1" w:rsidP="00414A3C">
      <w:pPr>
        <w:spacing w:after="0" w:line="240" w:lineRule="auto"/>
      </w:pPr>
      <w:r>
        <w:separator/>
      </w:r>
    </w:p>
  </w:endnote>
  <w:endnote w:type="continuationSeparator" w:id="0">
    <w:p w:rsidR="00B535E1" w:rsidRDefault="00B535E1" w:rsidP="0041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B4" w:rsidRDefault="007E4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B4" w:rsidRDefault="007E4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B4" w:rsidRDefault="007E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5E1" w:rsidRDefault="00B535E1" w:rsidP="00414A3C">
      <w:pPr>
        <w:spacing w:after="0" w:line="240" w:lineRule="auto"/>
      </w:pPr>
      <w:r>
        <w:separator/>
      </w:r>
    </w:p>
  </w:footnote>
  <w:footnote w:type="continuationSeparator" w:id="0">
    <w:p w:rsidR="00B535E1" w:rsidRDefault="00B535E1" w:rsidP="0041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B4" w:rsidRDefault="00B535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B4" w:rsidRDefault="00B535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B4" w:rsidRDefault="00B535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27BCB"/>
    <w:multiLevelType w:val="hybridMultilevel"/>
    <w:tmpl w:val="BC383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TM2MDYwMzSyMDZQ0lEKTi0uzszPAykwrgUAsEFOcywAAAA="/>
  </w:docVars>
  <w:rsids>
    <w:rsidRoot w:val="008B5CD6"/>
    <w:rsid w:val="00013375"/>
    <w:rsid w:val="000437DC"/>
    <w:rsid w:val="000509DC"/>
    <w:rsid w:val="00051F37"/>
    <w:rsid w:val="000573DB"/>
    <w:rsid w:val="00066596"/>
    <w:rsid w:val="000711CC"/>
    <w:rsid w:val="0007547C"/>
    <w:rsid w:val="0007604F"/>
    <w:rsid w:val="0009160E"/>
    <w:rsid w:val="000A199E"/>
    <w:rsid w:val="000A2175"/>
    <w:rsid w:val="000C443E"/>
    <w:rsid w:val="000C7FA9"/>
    <w:rsid w:val="000D2AC4"/>
    <w:rsid w:val="00103EFB"/>
    <w:rsid w:val="00107185"/>
    <w:rsid w:val="0011257A"/>
    <w:rsid w:val="00142F2A"/>
    <w:rsid w:val="00157A35"/>
    <w:rsid w:val="00163621"/>
    <w:rsid w:val="00163D13"/>
    <w:rsid w:val="0017025E"/>
    <w:rsid w:val="00176CD3"/>
    <w:rsid w:val="001903C2"/>
    <w:rsid w:val="001A1C9E"/>
    <w:rsid w:val="001B1B9F"/>
    <w:rsid w:val="001D4041"/>
    <w:rsid w:val="001D5AB6"/>
    <w:rsid w:val="001D7B76"/>
    <w:rsid w:val="001E0EF8"/>
    <w:rsid w:val="001E4350"/>
    <w:rsid w:val="0022426F"/>
    <w:rsid w:val="002304B0"/>
    <w:rsid w:val="00231CA3"/>
    <w:rsid w:val="002369E6"/>
    <w:rsid w:val="00252042"/>
    <w:rsid w:val="002905C1"/>
    <w:rsid w:val="00292BD5"/>
    <w:rsid w:val="00294276"/>
    <w:rsid w:val="0029562A"/>
    <w:rsid w:val="002A19F0"/>
    <w:rsid w:val="002A1FF9"/>
    <w:rsid w:val="002A5ED0"/>
    <w:rsid w:val="002B1EB9"/>
    <w:rsid w:val="002B79AF"/>
    <w:rsid w:val="002D2295"/>
    <w:rsid w:val="00317204"/>
    <w:rsid w:val="00331718"/>
    <w:rsid w:val="00344F97"/>
    <w:rsid w:val="0039282E"/>
    <w:rsid w:val="003B03D5"/>
    <w:rsid w:val="003C11CB"/>
    <w:rsid w:val="003F454E"/>
    <w:rsid w:val="003F519A"/>
    <w:rsid w:val="00407C25"/>
    <w:rsid w:val="00414A3C"/>
    <w:rsid w:val="004270DF"/>
    <w:rsid w:val="004334A7"/>
    <w:rsid w:val="00434017"/>
    <w:rsid w:val="0044443E"/>
    <w:rsid w:val="004B34A6"/>
    <w:rsid w:val="004E567A"/>
    <w:rsid w:val="004F3D26"/>
    <w:rsid w:val="004F61FD"/>
    <w:rsid w:val="004F76F8"/>
    <w:rsid w:val="005122FD"/>
    <w:rsid w:val="00525009"/>
    <w:rsid w:val="00525378"/>
    <w:rsid w:val="00531DE4"/>
    <w:rsid w:val="00534C98"/>
    <w:rsid w:val="0055128C"/>
    <w:rsid w:val="005674C0"/>
    <w:rsid w:val="0056762A"/>
    <w:rsid w:val="00574BA7"/>
    <w:rsid w:val="0058513F"/>
    <w:rsid w:val="005A2C1C"/>
    <w:rsid w:val="005C0771"/>
    <w:rsid w:val="005C1615"/>
    <w:rsid w:val="005C259D"/>
    <w:rsid w:val="005C37B4"/>
    <w:rsid w:val="005E7B39"/>
    <w:rsid w:val="00602EBC"/>
    <w:rsid w:val="006144F7"/>
    <w:rsid w:val="00625914"/>
    <w:rsid w:val="00631BFB"/>
    <w:rsid w:val="00681397"/>
    <w:rsid w:val="006A47A3"/>
    <w:rsid w:val="006B0F78"/>
    <w:rsid w:val="006B1AA9"/>
    <w:rsid w:val="006D4BDA"/>
    <w:rsid w:val="00701070"/>
    <w:rsid w:val="0071367D"/>
    <w:rsid w:val="00732823"/>
    <w:rsid w:val="0073563A"/>
    <w:rsid w:val="00754884"/>
    <w:rsid w:val="00764CC0"/>
    <w:rsid w:val="00765DD9"/>
    <w:rsid w:val="007669DE"/>
    <w:rsid w:val="00767099"/>
    <w:rsid w:val="00773277"/>
    <w:rsid w:val="007768CC"/>
    <w:rsid w:val="007A1314"/>
    <w:rsid w:val="007A389C"/>
    <w:rsid w:val="007B52DD"/>
    <w:rsid w:val="007C019F"/>
    <w:rsid w:val="007C40C7"/>
    <w:rsid w:val="007E1E74"/>
    <w:rsid w:val="007E47B4"/>
    <w:rsid w:val="007F6A8A"/>
    <w:rsid w:val="00815792"/>
    <w:rsid w:val="0081713E"/>
    <w:rsid w:val="008228AF"/>
    <w:rsid w:val="00822B75"/>
    <w:rsid w:val="00853EC0"/>
    <w:rsid w:val="0086190D"/>
    <w:rsid w:val="00867427"/>
    <w:rsid w:val="00870BE1"/>
    <w:rsid w:val="0087335D"/>
    <w:rsid w:val="008902D6"/>
    <w:rsid w:val="0089111A"/>
    <w:rsid w:val="008A55F3"/>
    <w:rsid w:val="008B5CD6"/>
    <w:rsid w:val="0090581B"/>
    <w:rsid w:val="009132F2"/>
    <w:rsid w:val="00926977"/>
    <w:rsid w:val="00933E2A"/>
    <w:rsid w:val="00954BA3"/>
    <w:rsid w:val="00972233"/>
    <w:rsid w:val="00984A43"/>
    <w:rsid w:val="009B5445"/>
    <w:rsid w:val="009D08AF"/>
    <w:rsid w:val="009D3012"/>
    <w:rsid w:val="009D3B8B"/>
    <w:rsid w:val="009D5FC6"/>
    <w:rsid w:val="009E0877"/>
    <w:rsid w:val="009F08E6"/>
    <w:rsid w:val="009F1D16"/>
    <w:rsid w:val="009F4640"/>
    <w:rsid w:val="00A13983"/>
    <w:rsid w:val="00A21BF2"/>
    <w:rsid w:val="00A30428"/>
    <w:rsid w:val="00A34791"/>
    <w:rsid w:val="00A4123A"/>
    <w:rsid w:val="00A420A4"/>
    <w:rsid w:val="00A4306A"/>
    <w:rsid w:val="00A44C19"/>
    <w:rsid w:val="00A66E1F"/>
    <w:rsid w:val="00A72A0A"/>
    <w:rsid w:val="00A77D4B"/>
    <w:rsid w:val="00A8503E"/>
    <w:rsid w:val="00A864AB"/>
    <w:rsid w:val="00A933F9"/>
    <w:rsid w:val="00AA35AF"/>
    <w:rsid w:val="00AC4A72"/>
    <w:rsid w:val="00AD7C3E"/>
    <w:rsid w:val="00AE74B1"/>
    <w:rsid w:val="00AF2F06"/>
    <w:rsid w:val="00AF5B19"/>
    <w:rsid w:val="00B105B5"/>
    <w:rsid w:val="00B17CCC"/>
    <w:rsid w:val="00B206B2"/>
    <w:rsid w:val="00B535E1"/>
    <w:rsid w:val="00B55744"/>
    <w:rsid w:val="00B774F6"/>
    <w:rsid w:val="00B83E33"/>
    <w:rsid w:val="00B91999"/>
    <w:rsid w:val="00B94DF7"/>
    <w:rsid w:val="00BA0E13"/>
    <w:rsid w:val="00BC76CA"/>
    <w:rsid w:val="00BD500F"/>
    <w:rsid w:val="00BE147A"/>
    <w:rsid w:val="00C05828"/>
    <w:rsid w:val="00C14C42"/>
    <w:rsid w:val="00C20B85"/>
    <w:rsid w:val="00C23270"/>
    <w:rsid w:val="00C57B18"/>
    <w:rsid w:val="00C63D2D"/>
    <w:rsid w:val="00C65143"/>
    <w:rsid w:val="00C72FB7"/>
    <w:rsid w:val="00C75059"/>
    <w:rsid w:val="00C805F0"/>
    <w:rsid w:val="00C92897"/>
    <w:rsid w:val="00CA0154"/>
    <w:rsid w:val="00CA2E51"/>
    <w:rsid w:val="00CB0BE3"/>
    <w:rsid w:val="00CB389C"/>
    <w:rsid w:val="00CB3E32"/>
    <w:rsid w:val="00CB3FE0"/>
    <w:rsid w:val="00CC4717"/>
    <w:rsid w:val="00CE2490"/>
    <w:rsid w:val="00CE5ADA"/>
    <w:rsid w:val="00CE5E67"/>
    <w:rsid w:val="00CE5E87"/>
    <w:rsid w:val="00CE6802"/>
    <w:rsid w:val="00CF3C75"/>
    <w:rsid w:val="00CF591B"/>
    <w:rsid w:val="00D03537"/>
    <w:rsid w:val="00D242D1"/>
    <w:rsid w:val="00D26997"/>
    <w:rsid w:val="00D338B3"/>
    <w:rsid w:val="00D4124D"/>
    <w:rsid w:val="00D4497F"/>
    <w:rsid w:val="00D464A6"/>
    <w:rsid w:val="00D46F9C"/>
    <w:rsid w:val="00D47D57"/>
    <w:rsid w:val="00D613FA"/>
    <w:rsid w:val="00D6430F"/>
    <w:rsid w:val="00D84356"/>
    <w:rsid w:val="00D90E7D"/>
    <w:rsid w:val="00D93F9C"/>
    <w:rsid w:val="00D953B5"/>
    <w:rsid w:val="00D96D31"/>
    <w:rsid w:val="00DB0D62"/>
    <w:rsid w:val="00DD44A3"/>
    <w:rsid w:val="00DE7D39"/>
    <w:rsid w:val="00DF1433"/>
    <w:rsid w:val="00DF1582"/>
    <w:rsid w:val="00DF36A4"/>
    <w:rsid w:val="00E34914"/>
    <w:rsid w:val="00E35CAD"/>
    <w:rsid w:val="00E36D58"/>
    <w:rsid w:val="00E376D1"/>
    <w:rsid w:val="00E447B1"/>
    <w:rsid w:val="00E6625B"/>
    <w:rsid w:val="00E6710E"/>
    <w:rsid w:val="00E76F71"/>
    <w:rsid w:val="00E772BB"/>
    <w:rsid w:val="00E94A7B"/>
    <w:rsid w:val="00EA2446"/>
    <w:rsid w:val="00EB657C"/>
    <w:rsid w:val="00ED0DFD"/>
    <w:rsid w:val="00ED7BAB"/>
    <w:rsid w:val="00EE4A79"/>
    <w:rsid w:val="00EF1392"/>
    <w:rsid w:val="00EF2C1A"/>
    <w:rsid w:val="00EF4997"/>
    <w:rsid w:val="00F067CE"/>
    <w:rsid w:val="00F1228C"/>
    <w:rsid w:val="00F15232"/>
    <w:rsid w:val="00F22479"/>
    <w:rsid w:val="00F24436"/>
    <w:rsid w:val="00F24CA5"/>
    <w:rsid w:val="00F363E3"/>
    <w:rsid w:val="00F636F8"/>
    <w:rsid w:val="00F679B9"/>
    <w:rsid w:val="00F91A79"/>
    <w:rsid w:val="00F92A8F"/>
    <w:rsid w:val="00F96B75"/>
    <w:rsid w:val="00FA0C57"/>
    <w:rsid w:val="00FA22A2"/>
    <w:rsid w:val="00FE18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05B94"/>
  <w15:chartTrackingRefBased/>
  <w15:docId w15:val="{261C144E-0691-424E-B137-A30FD076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792"/>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0573DB"/>
    <w:pPr>
      <w:autoSpaceDE w:val="0"/>
      <w:autoSpaceDN w:val="0"/>
      <w:adjustRightInd w:val="0"/>
      <w:spacing w:after="0" w:line="240" w:lineRule="auto"/>
    </w:pPr>
    <w:rPr>
      <w:rFonts w:ascii="Times New Roman" w:eastAsia="Times New Roman" w:hAnsi="Times New Roman" w:cs="Times New Roman"/>
      <w:color w:val="000000"/>
      <w:sz w:val="24"/>
      <w:szCs w:val="24"/>
      <w:lang w:val="en-US" w:bidi="ta-IN"/>
    </w:rPr>
  </w:style>
  <w:style w:type="paragraph" w:styleId="Header">
    <w:name w:val="header"/>
    <w:basedOn w:val="Normal"/>
    <w:link w:val="HeaderChar"/>
    <w:uiPriority w:val="99"/>
    <w:unhideWhenUsed/>
    <w:rsid w:val="00414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A3C"/>
  </w:style>
  <w:style w:type="paragraph" w:styleId="Footer">
    <w:name w:val="footer"/>
    <w:basedOn w:val="Normal"/>
    <w:link w:val="FooterChar"/>
    <w:uiPriority w:val="99"/>
    <w:unhideWhenUsed/>
    <w:rsid w:val="00414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A3C"/>
  </w:style>
  <w:style w:type="paragraph" w:styleId="NormalWeb">
    <w:name w:val="Normal (Web)"/>
    <w:basedOn w:val="Normal"/>
    <w:uiPriority w:val="99"/>
    <w:unhideWhenUsed/>
    <w:rsid w:val="008902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journal">
    <w:name w:val="ref-journal"/>
    <w:basedOn w:val="DefaultParagraphFont"/>
    <w:rsid w:val="0055128C"/>
  </w:style>
  <w:style w:type="character" w:customStyle="1" w:styleId="ref-vol">
    <w:name w:val="ref-vol"/>
    <w:basedOn w:val="DefaultParagraphFont"/>
    <w:rsid w:val="0055128C"/>
  </w:style>
  <w:style w:type="table" w:styleId="TableGrid">
    <w:name w:val="Table Grid"/>
    <w:basedOn w:val="TableNormal"/>
    <w:uiPriority w:val="39"/>
    <w:rsid w:val="00F2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433"/>
    <w:rPr>
      <w:color w:val="0563C1" w:themeColor="hyperlink"/>
      <w:u w:val="single"/>
    </w:rPr>
  </w:style>
  <w:style w:type="character" w:customStyle="1" w:styleId="UnresolvedMention1">
    <w:name w:val="Unresolved Mention1"/>
    <w:basedOn w:val="DefaultParagraphFont"/>
    <w:uiPriority w:val="99"/>
    <w:semiHidden/>
    <w:unhideWhenUsed/>
    <w:rsid w:val="00DF1433"/>
    <w:rPr>
      <w:color w:val="605E5C"/>
      <w:shd w:val="clear" w:color="auto" w:fill="E1DFDD"/>
    </w:rPr>
  </w:style>
  <w:style w:type="paragraph" w:styleId="NoSpacing">
    <w:name w:val="No Spacing"/>
    <w:uiPriority w:val="1"/>
    <w:qFormat/>
    <w:rsid w:val="00C14C4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840">
      <w:bodyDiv w:val="1"/>
      <w:marLeft w:val="0"/>
      <w:marRight w:val="0"/>
      <w:marTop w:val="0"/>
      <w:marBottom w:val="0"/>
      <w:divBdr>
        <w:top w:val="none" w:sz="0" w:space="0" w:color="auto"/>
        <w:left w:val="none" w:sz="0" w:space="0" w:color="auto"/>
        <w:bottom w:val="none" w:sz="0" w:space="0" w:color="auto"/>
        <w:right w:val="none" w:sz="0" w:space="0" w:color="auto"/>
      </w:divBdr>
    </w:div>
    <w:div w:id="325330443">
      <w:bodyDiv w:val="1"/>
      <w:marLeft w:val="0"/>
      <w:marRight w:val="0"/>
      <w:marTop w:val="0"/>
      <w:marBottom w:val="0"/>
      <w:divBdr>
        <w:top w:val="none" w:sz="0" w:space="0" w:color="auto"/>
        <w:left w:val="none" w:sz="0" w:space="0" w:color="auto"/>
        <w:bottom w:val="none" w:sz="0" w:space="0" w:color="auto"/>
        <w:right w:val="none" w:sz="0" w:space="0" w:color="auto"/>
      </w:divBdr>
    </w:div>
    <w:div w:id="377897751">
      <w:bodyDiv w:val="1"/>
      <w:marLeft w:val="0"/>
      <w:marRight w:val="0"/>
      <w:marTop w:val="0"/>
      <w:marBottom w:val="0"/>
      <w:divBdr>
        <w:top w:val="none" w:sz="0" w:space="0" w:color="auto"/>
        <w:left w:val="none" w:sz="0" w:space="0" w:color="auto"/>
        <w:bottom w:val="none" w:sz="0" w:space="0" w:color="auto"/>
        <w:right w:val="none" w:sz="0" w:space="0" w:color="auto"/>
      </w:divBdr>
    </w:div>
    <w:div w:id="405616221">
      <w:bodyDiv w:val="1"/>
      <w:marLeft w:val="0"/>
      <w:marRight w:val="0"/>
      <w:marTop w:val="0"/>
      <w:marBottom w:val="0"/>
      <w:divBdr>
        <w:top w:val="none" w:sz="0" w:space="0" w:color="auto"/>
        <w:left w:val="none" w:sz="0" w:space="0" w:color="auto"/>
        <w:bottom w:val="none" w:sz="0" w:space="0" w:color="auto"/>
        <w:right w:val="none" w:sz="0" w:space="0" w:color="auto"/>
      </w:divBdr>
    </w:div>
    <w:div w:id="528031498">
      <w:bodyDiv w:val="1"/>
      <w:marLeft w:val="0"/>
      <w:marRight w:val="0"/>
      <w:marTop w:val="0"/>
      <w:marBottom w:val="0"/>
      <w:divBdr>
        <w:top w:val="none" w:sz="0" w:space="0" w:color="auto"/>
        <w:left w:val="none" w:sz="0" w:space="0" w:color="auto"/>
        <w:bottom w:val="none" w:sz="0" w:space="0" w:color="auto"/>
        <w:right w:val="none" w:sz="0" w:space="0" w:color="auto"/>
      </w:divBdr>
    </w:div>
    <w:div w:id="711274975">
      <w:bodyDiv w:val="1"/>
      <w:marLeft w:val="0"/>
      <w:marRight w:val="0"/>
      <w:marTop w:val="0"/>
      <w:marBottom w:val="0"/>
      <w:divBdr>
        <w:top w:val="none" w:sz="0" w:space="0" w:color="auto"/>
        <w:left w:val="none" w:sz="0" w:space="0" w:color="auto"/>
        <w:bottom w:val="none" w:sz="0" w:space="0" w:color="auto"/>
        <w:right w:val="none" w:sz="0" w:space="0" w:color="auto"/>
      </w:divBdr>
    </w:div>
    <w:div w:id="830683074">
      <w:bodyDiv w:val="1"/>
      <w:marLeft w:val="0"/>
      <w:marRight w:val="0"/>
      <w:marTop w:val="0"/>
      <w:marBottom w:val="0"/>
      <w:divBdr>
        <w:top w:val="none" w:sz="0" w:space="0" w:color="auto"/>
        <w:left w:val="none" w:sz="0" w:space="0" w:color="auto"/>
        <w:bottom w:val="none" w:sz="0" w:space="0" w:color="auto"/>
        <w:right w:val="none" w:sz="0" w:space="0" w:color="auto"/>
      </w:divBdr>
    </w:div>
    <w:div w:id="886838448">
      <w:bodyDiv w:val="1"/>
      <w:marLeft w:val="0"/>
      <w:marRight w:val="0"/>
      <w:marTop w:val="0"/>
      <w:marBottom w:val="0"/>
      <w:divBdr>
        <w:top w:val="none" w:sz="0" w:space="0" w:color="auto"/>
        <w:left w:val="none" w:sz="0" w:space="0" w:color="auto"/>
        <w:bottom w:val="none" w:sz="0" w:space="0" w:color="auto"/>
        <w:right w:val="none" w:sz="0" w:space="0" w:color="auto"/>
      </w:divBdr>
    </w:div>
    <w:div w:id="1237521704">
      <w:bodyDiv w:val="1"/>
      <w:marLeft w:val="0"/>
      <w:marRight w:val="0"/>
      <w:marTop w:val="0"/>
      <w:marBottom w:val="0"/>
      <w:divBdr>
        <w:top w:val="none" w:sz="0" w:space="0" w:color="auto"/>
        <w:left w:val="none" w:sz="0" w:space="0" w:color="auto"/>
        <w:bottom w:val="none" w:sz="0" w:space="0" w:color="auto"/>
        <w:right w:val="none" w:sz="0" w:space="0" w:color="auto"/>
      </w:divBdr>
    </w:div>
    <w:div w:id="1296838694">
      <w:bodyDiv w:val="1"/>
      <w:marLeft w:val="0"/>
      <w:marRight w:val="0"/>
      <w:marTop w:val="0"/>
      <w:marBottom w:val="0"/>
      <w:divBdr>
        <w:top w:val="none" w:sz="0" w:space="0" w:color="auto"/>
        <w:left w:val="none" w:sz="0" w:space="0" w:color="auto"/>
        <w:bottom w:val="none" w:sz="0" w:space="0" w:color="auto"/>
        <w:right w:val="none" w:sz="0" w:space="0" w:color="auto"/>
      </w:divBdr>
    </w:div>
    <w:div w:id="1465853930">
      <w:bodyDiv w:val="1"/>
      <w:marLeft w:val="0"/>
      <w:marRight w:val="0"/>
      <w:marTop w:val="0"/>
      <w:marBottom w:val="0"/>
      <w:divBdr>
        <w:top w:val="none" w:sz="0" w:space="0" w:color="auto"/>
        <w:left w:val="none" w:sz="0" w:space="0" w:color="auto"/>
        <w:bottom w:val="none" w:sz="0" w:space="0" w:color="auto"/>
        <w:right w:val="none" w:sz="0" w:space="0" w:color="auto"/>
      </w:divBdr>
    </w:div>
    <w:div w:id="1561867065">
      <w:bodyDiv w:val="1"/>
      <w:marLeft w:val="0"/>
      <w:marRight w:val="0"/>
      <w:marTop w:val="0"/>
      <w:marBottom w:val="0"/>
      <w:divBdr>
        <w:top w:val="none" w:sz="0" w:space="0" w:color="auto"/>
        <w:left w:val="none" w:sz="0" w:space="0" w:color="auto"/>
        <w:bottom w:val="none" w:sz="0" w:space="0" w:color="auto"/>
        <w:right w:val="none" w:sz="0" w:space="0" w:color="auto"/>
      </w:divBdr>
    </w:div>
    <w:div w:id="1740248847">
      <w:bodyDiv w:val="1"/>
      <w:marLeft w:val="0"/>
      <w:marRight w:val="0"/>
      <w:marTop w:val="0"/>
      <w:marBottom w:val="0"/>
      <w:divBdr>
        <w:top w:val="none" w:sz="0" w:space="0" w:color="auto"/>
        <w:left w:val="none" w:sz="0" w:space="0" w:color="auto"/>
        <w:bottom w:val="none" w:sz="0" w:space="0" w:color="auto"/>
        <w:right w:val="none" w:sz="0" w:space="0" w:color="auto"/>
      </w:divBdr>
    </w:div>
    <w:div w:id="1975139386">
      <w:bodyDiv w:val="1"/>
      <w:marLeft w:val="0"/>
      <w:marRight w:val="0"/>
      <w:marTop w:val="0"/>
      <w:marBottom w:val="0"/>
      <w:divBdr>
        <w:top w:val="none" w:sz="0" w:space="0" w:color="auto"/>
        <w:left w:val="none" w:sz="0" w:space="0" w:color="auto"/>
        <w:bottom w:val="none" w:sz="0" w:space="0" w:color="auto"/>
        <w:right w:val="none" w:sz="0" w:space="0" w:color="auto"/>
      </w:divBdr>
    </w:div>
    <w:div w:id="20735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45AA-03A9-4A59-BF58-5A8BDBBB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14</Pages>
  <Words>6564</Words>
  <Characters>37420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1020</cp:lastModifiedBy>
  <cp:revision>290</cp:revision>
  <dcterms:created xsi:type="dcterms:W3CDTF">2026-01-30T09:24:00Z</dcterms:created>
  <dcterms:modified xsi:type="dcterms:W3CDTF">2026-02-27T11:17:00Z</dcterms:modified>
</cp:coreProperties>
</file>