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3B50" w14:textId="77777777" w:rsidR="00B07920" w:rsidRPr="00B07920" w:rsidRDefault="00B07920" w:rsidP="007E58A5">
      <w:pPr>
        <w:pStyle w:val="Heading1"/>
        <w:jc w:val="both"/>
        <w:rPr>
          <w:i/>
          <w:iCs/>
          <w:u w:val="single"/>
        </w:rPr>
      </w:pPr>
      <w:r w:rsidRPr="00B07920">
        <w:rPr>
          <w:i/>
          <w:iCs/>
          <w:u w:val="single"/>
        </w:rPr>
        <w:t>Review Article</w:t>
      </w:r>
    </w:p>
    <w:p w14:paraId="57D7A0B8" w14:textId="0658558B" w:rsidR="00294D81" w:rsidRPr="007E58A5" w:rsidRDefault="00162E9C" w:rsidP="007E58A5">
      <w:pPr>
        <w:spacing w:before="100" w:beforeAutospacing="1" w:after="100" w:afterAutospacing="1" w:line="240" w:lineRule="auto"/>
        <w:ind w:left="0" w:right="0" w:firstLine="0"/>
        <w:outlineLvl w:val="1"/>
        <w:rPr>
          <w:b/>
          <w:bCs/>
          <w:color w:val="auto"/>
          <w:kern w:val="0"/>
          <w:sz w:val="22"/>
          <w:szCs w:val="36"/>
          <w:lang w:val="en-GB" w:eastAsia="en-US"/>
        </w:rPr>
      </w:pPr>
      <w:r w:rsidRPr="007E58A5">
        <w:rPr>
          <w:b/>
          <w:bCs/>
          <w:color w:val="auto"/>
          <w:kern w:val="36"/>
          <w:sz w:val="32"/>
          <w:szCs w:val="48"/>
          <w:highlight w:val="yellow"/>
          <w:lang w:val="en-US" w:eastAsia="en-US"/>
        </w:rPr>
        <w:t>Utilization of Plant-Based Nutraceuticals for Optimizing Fish Reproduction in Aquaculture</w:t>
      </w:r>
    </w:p>
    <w:p w14:paraId="063D84D2"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Abstract</w:t>
      </w:r>
      <w:bookmarkStart w:id="0" w:name="_GoBack"/>
      <w:bookmarkEnd w:id="0"/>
    </w:p>
    <w:p w14:paraId="011D14D4" w14:textId="77777777"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 xml:space="preserve">Plant-derived nutraceuticals are increasingly incorporated into aquafeeds as functional ingredients that may influence fish reproductive physiology, gamete quality, and spawning outcomes. Their effects span beneficial actions, such as antioxidant protection of gonads and gametes, immunoendocrine stabilization under farming stressors, and modulation of metabolic pathways supporting steroidogenesis and vitellogenesis, as well as potentially adverse endocrine-disrupting outcomes when estrogenic phytochemicals are present at inappropriate doses or life stages. This review synthesizes mechanistic understanding and experimental evidence on how botanical nutraceuticals—including polyphenols, phytoestrogens, carotenoids and pigment-rich matrices, essential oils, and algae- or leaf-derived bioactive complexes—interact with the hypothalamic–pituitary–gonadal axis, redox </w:t>
      </w:r>
      <w:proofErr w:type="spellStart"/>
      <w:r w:rsidRPr="00294D81">
        <w:rPr>
          <w:color w:val="auto"/>
          <w:kern w:val="0"/>
          <w:lang w:val="en-GB" w:eastAsia="en-US"/>
        </w:rPr>
        <w:t>signaling</w:t>
      </w:r>
      <w:proofErr w:type="spellEnd"/>
      <w:r w:rsidRPr="00294D81">
        <w:rPr>
          <w:color w:val="auto"/>
          <w:kern w:val="0"/>
          <w:lang w:val="en-GB" w:eastAsia="en-US"/>
        </w:rPr>
        <w:t>, lipid metabolism, gut–microbiome processes, and epigenetic programming relevant to reproduction. Evidence from teleost models and aquaculture species indicates that outcomes are strongly context dependent, governed by ingredient standardization, bioavailability, species- and sex-specific sensitivity, reproductive stage, and environmental conditions such as salinity or pollutant exposure. Translational opportunities include broodstock diet design to improve sperm motility, egg biochemical quality, larval robustness, and reproductive resilience in variable culture environments, alongside cautionary strategies to avoid unintended feminization, disrupted sex differentiation, or compromised gametogenesis. Practical considerations for aquaculture implementation are discussed, emphasizing quality control, dose optimization, safety assessment, and research directions to strengthen causality and reproducibility.</w:t>
      </w:r>
    </w:p>
    <w:p w14:paraId="53B4C6C1" w14:textId="2CF9BA91"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7E58A5">
        <w:rPr>
          <w:b/>
          <w:bCs/>
          <w:color w:val="auto"/>
          <w:kern w:val="0"/>
          <w:highlight w:val="yellow"/>
          <w:lang w:val="en-GB" w:eastAsia="en-US"/>
        </w:rPr>
        <w:t>Keywords:</w:t>
      </w:r>
      <w:r w:rsidRPr="007E58A5">
        <w:rPr>
          <w:color w:val="auto"/>
          <w:kern w:val="0"/>
          <w:highlight w:val="yellow"/>
          <w:lang w:val="en-GB" w:eastAsia="en-US"/>
        </w:rPr>
        <w:t xml:space="preserve"> </w:t>
      </w:r>
      <w:r w:rsidR="002761A6">
        <w:rPr>
          <w:color w:val="auto"/>
          <w:kern w:val="0"/>
          <w:highlight w:val="yellow"/>
          <w:lang w:val="en-GB" w:eastAsia="en-US"/>
        </w:rPr>
        <w:t>A</w:t>
      </w:r>
      <w:r w:rsidRPr="007E58A5">
        <w:rPr>
          <w:color w:val="auto"/>
          <w:kern w:val="0"/>
          <w:highlight w:val="yellow"/>
          <w:lang w:val="en-GB" w:eastAsia="en-US"/>
        </w:rPr>
        <w:t xml:space="preserve">quaculture; </w:t>
      </w:r>
      <w:proofErr w:type="spellStart"/>
      <w:r w:rsidRPr="007E58A5">
        <w:rPr>
          <w:color w:val="auto"/>
          <w:kern w:val="0"/>
          <w:highlight w:val="yellow"/>
          <w:lang w:val="en-GB" w:eastAsia="en-US"/>
        </w:rPr>
        <w:t>broodstock</w:t>
      </w:r>
      <w:proofErr w:type="spellEnd"/>
      <w:r w:rsidRPr="007E58A5">
        <w:rPr>
          <w:color w:val="auto"/>
          <w:kern w:val="0"/>
          <w:highlight w:val="yellow"/>
          <w:lang w:val="en-GB" w:eastAsia="en-US"/>
        </w:rPr>
        <w:t xml:space="preserve"> nutrition; fish reproduction; nutraceuticals; phytochemicals; steroidogenesis; </w:t>
      </w:r>
    </w:p>
    <w:p w14:paraId="5939CDBA" w14:textId="77777777" w:rsidR="00294D81" w:rsidRPr="00294D81" w:rsidRDefault="00294D81" w:rsidP="007E58A5">
      <w:pPr>
        <w:spacing w:after="0" w:line="240" w:lineRule="auto"/>
        <w:ind w:left="0" w:right="0" w:firstLine="0"/>
        <w:rPr>
          <w:color w:val="auto"/>
          <w:kern w:val="0"/>
          <w:lang w:val="en-GB" w:eastAsia="en-US"/>
        </w:rPr>
      </w:pPr>
    </w:p>
    <w:p w14:paraId="1996484B"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1. Introduction</w:t>
      </w:r>
    </w:p>
    <w:p w14:paraId="3560120E" w14:textId="41BC97AD" w:rsidR="0077761A" w:rsidRPr="0077761A" w:rsidRDefault="00162E9C" w:rsidP="007E58A5">
      <w:pPr>
        <w:spacing w:before="100" w:beforeAutospacing="1" w:after="100" w:afterAutospacing="1" w:line="240" w:lineRule="auto"/>
        <w:ind w:left="0" w:right="0" w:firstLine="0"/>
        <w:rPr>
          <w:color w:val="auto"/>
          <w:kern w:val="0"/>
          <w:lang w:val="en-US" w:eastAsia="en-US"/>
        </w:rPr>
      </w:pPr>
      <w:r w:rsidRPr="007E58A5">
        <w:rPr>
          <w:color w:val="auto"/>
          <w:kern w:val="0"/>
          <w:highlight w:val="yellow"/>
          <w:lang w:val="en-US" w:eastAsia="en-US"/>
        </w:rPr>
        <w:t>Nutraceuticals are distinct from dietary supplements, as they are typically integrated into the regular dietary intake and contain one or more bioactive components that exhibit physiological effects and possess the potential to enhance health, all within the natural food matrix. Their perceived safety and the promise of nutritional and therapeutic advantages have propelled nutraceuticals to greater popularity compared to pharmaceutical drugs and conventional dietary supplements. While the original concept was primarily established for the enhancement of human health, in recent times, it has also gained significant recognition in the realm of animal nutrition</w:t>
      </w:r>
      <w:r>
        <w:rPr>
          <w:color w:val="auto"/>
          <w:kern w:val="0"/>
          <w:highlight w:val="yellow"/>
          <w:lang w:val="en-US" w:eastAsia="en-US"/>
        </w:rPr>
        <w:t xml:space="preserve"> (</w:t>
      </w:r>
      <w:r w:rsidRPr="007E58A5">
        <w:rPr>
          <w:color w:val="auto"/>
          <w:kern w:val="0"/>
          <w:highlight w:val="yellow"/>
          <w:lang w:val="en-US" w:eastAsia="en-US"/>
        </w:rPr>
        <w:t>Sagar et al., 2024</w:t>
      </w:r>
      <w:r>
        <w:rPr>
          <w:color w:val="auto"/>
          <w:kern w:val="0"/>
          <w:highlight w:val="yellow"/>
          <w:lang w:val="en-US" w:eastAsia="en-US"/>
        </w:rPr>
        <w:t>)</w:t>
      </w:r>
      <w:r w:rsidRPr="007E58A5">
        <w:rPr>
          <w:color w:val="auto"/>
          <w:kern w:val="0"/>
          <w:highlight w:val="yellow"/>
          <w:lang w:val="en-US" w:eastAsia="en-US"/>
        </w:rPr>
        <w:t>.</w:t>
      </w:r>
      <w:r>
        <w:rPr>
          <w:color w:val="auto"/>
          <w:kern w:val="0"/>
          <w:lang w:val="en-US" w:eastAsia="en-US"/>
        </w:rPr>
        <w:t xml:space="preserve"> </w:t>
      </w:r>
      <w:r w:rsidR="0077761A" w:rsidRPr="0077761A">
        <w:rPr>
          <w:color w:val="auto"/>
          <w:kern w:val="0"/>
          <w:lang w:val="en-US" w:eastAsia="en-US"/>
        </w:rPr>
        <w:t xml:space="preserve">Aquaculture has become one of the world’s fastest-growing food-production sectors, and its continued expansion depends heavily on dependable seed supply from hatcheries. For many commercially important fishes, the major bottleneck is not merely growth performance in grow-out systems, but the consistency and </w:t>
      </w:r>
      <w:r w:rsidR="0077761A" w:rsidRPr="0077761A">
        <w:rPr>
          <w:color w:val="auto"/>
          <w:kern w:val="0"/>
          <w:lang w:val="en-US" w:eastAsia="en-US"/>
        </w:rPr>
        <w:lastRenderedPageBreak/>
        <w:t xml:space="preserve">quality of reproduction in broodstock: reliable gamete production, predictable spawning, high fertilization success, strong hatch rates, and robust early larval survival. </w:t>
      </w:r>
      <w:r w:rsidR="00FD6E69" w:rsidRPr="007E58A5">
        <w:rPr>
          <w:color w:val="auto"/>
          <w:kern w:val="0"/>
          <w:highlight w:val="yellow"/>
          <w:lang w:val="en-US" w:eastAsia="en-US"/>
        </w:rPr>
        <w:t>Aquaculture contributes remarkably to the global economy and food security through seafood production, an important part of the global food supply chain. The success of this industry depends heavily on aquafeeds, and the nutritional composition of the feed is an important factor for the quality, productivity, and profitability of aquaculture species. The sustainability of the aquaculture industry depends on the accessibility of quality feed ingredients, such as fishmeal and fish oil. These traditional feedstuffs are under increasing significant pressure due to the rapid expansion of aquaculture for human consumption and the decline of natural fish harvest</w:t>
      </w:r>
      <w:r w:rsidR="00FD6E69">
        <w:rPr>
          <w:color w:val="auto"/>
          <w:kern w:val="0"/>
          <w:highlight w:val="yellow"/>
          <w:lang w:val="en-US" w:eastAsia="en-US"/>
        </w:rPr>
        <w:t xml:space="preserve"> (</w:t>
      </w:r>
      <w:proofErr w:type="spellStart"/>
      <w:r w:rsidR="00FD6E69" w:rsidRPr="007E58A5">
        <w:rPr>
          <w:color w:val="auto"/>
          <w:kern w:val="0"/>
          <w:highlight w:val="yellow"/>
          <w:lang w:val="en-US" w:eastAsia="en-US"/>
        </w:rPr>
        <w:t>Idenyi</w:t>
      </w:r>
      <w:proofErr w:type="spellEnd"/>
      <w:r w:rsidR="00FD6E69" w:rsidRPr="007E58A5">
        <w:rPr>
          <w:color w:val="auto"/>
          <w:kern w:val="0"/>
          <w:highlight w:val="yellow"/>
          <w:lang w:val="en-US" w:eastAsia="en-US"/>
        </w:rPr>
        <w:t xml:space="preserve"> et al., 2022</w:t>
      </w:r>
      <w:r w:rsidR="00FD6E69">
        <w:rPr>
          <w:color w:val="auto"/>
          <w:kern w:val="0"/>
          <w:highlight w:val="yellow"/>
          <w:lang w:val="en-US" w:eastAsia="en-US"/>
        </w:rPr>
        <w:t>)</w:t>
      </w:r>
      <w:r w:rsidR="00FD6E69" w:rsidRPr="007E58A5">
        <w:rPr>
          <w:color w:val="auto"/>
          <w:kern w:val="0"/>
          <w:highlight w:val="yellow"/>
          <w:lang w:val="en-US" w:eastAsia="en-US"/>
        </w:rPr>
        <w:t>.</w:t>
      </w:r>
      <w:r w:rsidR="00FD6E69" w:rsidRPr="00FD6E69">
        <w:rPr>
          <w:color w:val="auto"/>
          <w:kern w:val="0"/>
          <w:lang w:val="en-US" w:eastAsia="en-US"/>
        </w:rPr>
        <w:t xml:space="preserve"> </w:t>
      </w:r>
      <w:r w:rsidR="0077761A" w:rsidRPr="0077761A">
        <w:rPr>
          <w:color w:val="auto"/>
          <w:kern w:val="0"/>
          <w:lang w:val="en-US" w:eastAsia="en-US"/>
        </w:rPr>
        <w:t>Hatchery failures frequently trace back to subtle impairments in gonadal development, disrupted timing of maturation, reduced sperm motility, poor egg buoyancy or yolk provisioning, and weakened embryo resilience—outcomes that can occur even when adult fish appear healthy and feed intake is adequate. As broodstock are often maintained across multiple seasons, small deficits in reproductive conditioning can accumulate into major reductions in long-term productivity and genetic progress. Nutrition remains one of the most controllable levers in this process because it influences reproductive endocrine signaling, oxidative balance, immune competence, and the biochemical composition of eggs and sperm. The foundational principle that broodstock diet quality shapes reproductive performance and progeny quality has been recognized for decades and continues to motivate modern functional-feed research (Izquierdo et al., 2001</w:t>
      </w:r>
      <w:r w:rsidR="00705A87">
        <w:rPr>
          <w:color w:val="auto"/>
          <w:kern w:val="0"/>
          <w:lang w:val="en-US" w:eastAsia="en-US"/>
        </w:rPr>
        <w:t xml:space="preserve">; </w:t>
      </w:r>
      <w:r w:rsidR="00705A87" w:rsidRPr="00705A87">
        <w:rPr>
          <w:color w:val="auto"/>
          <w:kern w:val="0"/>
          <w:lang w:val="en-US" w:eastAsia="en-US"/>
        </w:rPr>
        <w:t>Moezzi et al., 2025; Park &amp; Lim, 2025</w:t>
      </w:r>
      <w:r w:rsidR="0077761A" w:rsidRPr="0077761A">
        <w:rPr>
          <w:color w:val="auto"/>
          <w:kern w:val="0"/>
          <w:lang w:val="en-US" w:eastAsia="en-US"/>
        </w:rPr>
        <w:t>).</w:t>
      </w:r>
      <w:r w:rsidR="00ED51E0">
        <w:rPr>
          <w:color w:val="auto"/>
          <w:kern w:val="0"/>
          <w:lang w:val="en-US" w:eastAsia="en-US"/>
        </w:rPr>
        <w:t xml:space="preserve"> </w:t>
      </w:r>
      <w:r w:rsidR="00ED51E0" w:rsidRPr="00694CBA">
        <w:rPr>
          <w:highlight w:val="yellow"/>
        </w:rPr>
        <w:t>By interacting with hormone receptors, phytochemicals can promote the development of reproductive organs and the initiation of gametogenesis. They have been shown to modulate the growth and development of gonads in fish and can stimulate the production of gonadotropins, which are responsible for regulating gonadal functions. By promoting the proliferation of germ cells and increasing the synthesis of sex steroids, phytochemicals can enhance gonadal development and ameliorate reproductive performance</w:t>
      </w:r>
      <w:r w:rsidR="00A65F4B" w:rsidRPr="00C65B08">
        <w:rPr>
          <w:highlight w:val="yellow"/>
        </w:rPr>
        <w:t xml:space="preserve"> (</w:t>
      </w:r>
      <w:proofErr w:type="spellStart"/>
      <w:r w:rsidR="00A65F4B" w:rsidRPr="00694CBA">
        <w:rPr>
          <w:highlight w:val="yellow"/>
        </w:rPr>
        <w:t>Sepehrfar</w:t>
      </w:r>
      <w:proofErr w:type="spellEnd"/>
      <w:r w:rsidR="00A65F4B" w:rsidRPr="00694CBA">
        <w:rPr>
          <w:highlight w:val="yellow"/>
        </w:rPr>
        <w:t xml:space="preserve"> et al., 2023</w:t>
      </w:r>
      <w:r w:rsidR="00A65F4B" w:rsidRPr="00C65B08">
        <w:rPr>
          <w:highlight w:val="yellow"/>
        </w:rPr>
        <w:t>)</w:t>
      </w:r>
      <w:r w:rsidR="00ED51E0" w:rsidRPr="00694CBA">
        <w:rPr>
          <w:highlight w:val="yellow"/>
        </w:rPr>
        <w:t>.</w:t>
      </w:r>
    </w:p>
    <w:p w14:paraId="41A16E6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In parallel with the need for reproductive reliability, aquaculture is undergoing rapid feed-system transformation. Sustainability pressures and ingredient economics have accelerated the inclusion of plant-derived materials as protein and lipid sources. This shift increases exposure to plant </w:t>
      </w:r>
      <w:proofErr w:type="spellStart"/>
      <w:r w:rsidRPr="0077761A">
        <w:rPr>
          <w:color w:val="auto"/>
          <w:kern w:val="0"/>
          <w:lang w:val="en-US" w:eastAsia="en-US"/>
        </w:rPr>
        <w:t>bioactives</w:t>
      </w:r>
      <w:proofErr w:type="spellEnd"/>
      <w:r w:rsidRPr="0077761A">
        <w:rPr>
          <w:color w:val="auto"/>
          <w:kern w:val="0"/>
          <w:lang w:val="en-US" w:eastAsia="en-US"/>
        </w:rPr>
        <w:t>, some intentionally added for functionality and others introduced inadvertently as natural components of feed ingredients. Against this background, the concept of plant-derived “nutraceuticals” has gained prominence in aquaculture. In practice, nutraceuticals include purified phytochemicals (e.g., polyphenols), standardized botanical extracts (e.g., leaf or seed extracts), essential-oil fractions, and complex botanical matrices that naturally combine pigments, micronutrients, and bioactive metabolites. These materials are typically used at low inclusion rates relative to macronutrients but can exert disproportionately large biological effects through pleiotropic mechanisms. Importantly, their effects are often non-linear: moderate dosing may enhance physiological resilience, while high or poorly timed exposure may produce neutral or even adverse outcomes.</w:t>
      </w:r>
    </w:p>
    <w:p w14:paraId="6914BADB"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Fish reproduction is particularly sensitive to such bioactive exposures because it is governed by coordinated endocrine control and high biochemical demands. Teleost reproductive function is orchestrated through the hypothalamic–pituitary–gonadal axis, where environmental cues and internal energy status are integrated to regulate gonadotropin release, steroidogenesis, gametogenesis, and final maturation. In females, estrogen-driven vitellogenesis supports yolk deposition and oocyte growth; in males, spermatogenesis and sperm quality depend on gonadal function, membrane lipid integrity, and protection from oxidative damage. Because gametes and gonadal tissues are rich in polyunsaturated lipids and </w:t>
      </w:r>
      <w:r w:rsidRPr="0077761A">
        <w:rPr>
          <w:color w:val="auto"/>
          <w:kern w:val="0"/>
          <w:lang w:val="en-US" w:eastAsia="en-US"/>
        </w:rPr>
        <w:lastRenderedPageBreak/>
        <w:t>have tightly regulated redox signaling, they are vulnerable to oxidative stress. Consequently, nutraceuticals with antioxidant and anti-inflammatory properties may support reproduction by reducing lipid peroxidation, stabilizing mitochondrial function, and preserving cellular signaling environments required for normal maturation.</w:t>
      </w:r>
    </w:p>
    <w:p w14:paraId="5B515D2A"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At the same time, not all plant-derived nutraceutical actions are benign. A major concern is endocrine activity, especially from phytoestrogens commonly associated with plant ingredients that contain isoflavones and related compounds. Phytoestrogens can interact with estrogen-responsive pathways and modify transcriptional programs involved in sex differentiation and maturation. Experimental work in zebrafish demonstrates that genistein can influence development via estrogen-related mechanisms, including changes in aromatase expression patterns, illustrating how a single plant compound may affect reproductive biology through multiple routes (Sassi-Messai et al., 2009). From an aquaculture standpoint, </w:t>
      </w:r>
      <w:proofErr w:type="gramStart"/>
      <w:r w:rsidRPr="0077761A">
        <w:rPr>
          <w:color w:val="auto"/>
          <w:kern w:val="0"/>
          <w:lang w:val="en-US" w:eastAsia="en-US"/>
        </w:rPr>
        <w:t>this matters</w:t>
      </w:r>
      <w:proofErr w:type="gramEnd"/>
      <w:r w:rsidRPr="0077761A">
        <w:rPr>
          <w:color w:val="auto"/>
          <w:kern w:val="0"/>
          <w:lang w:val="en-US" w:eastAsia="en-US"/>
        </w:rPr>
        <w:t xml:space="preserve"> because dietary estrogenic burden can shift hormonal homeostasis in ways that may alter vitellogenesis timing, disrupt sex differentiation in sensitive species, or contribute to feminization risks if exposure occurs at inappropriate life stages. As plant-based ingredients become more prevalent, the question is no longer whether phytochemicals influence reproduction, but how to distinguish supportive functional modulation from unintended endocrine disruption and how to manage dose, timing, and ingredient standardization to achieve consistent outcomes (Chakraborty &amp; Mallick, 2025</w:t>
      </w:r>
      <w:r w:rsidR="00705A87">
        <w:rPr>
          <w:color w:val="auto"/>
          <w:kern w:val="0"/>
          <w:lang w:val="en-US" w:eastAsia="en-US"/>
        </w:rPr>
        <w:t xml:space="preserve">; </w:t>
      </w:r>
      <w:r w:rsidR="00705A87" w:rsidRPr="00705A87">
        <w:rPr>
          <w:color w:val="auto"/>
          <w:kern w:val="0"/>
          <w:lang w:val="en-US" w:eastAsia="en-US"/>
        </w:rPr>
        <w:t>Sumana et al., 2025; Lazzarotto et al., 2015</w:t>
      </w:r>
      <w:r w:rsidRPr="0077761A">
        <w:rPr>
          <w:color w:val="auto"/>
          <w:kern w:val="0"/>
          <w:lang w:val="en-US" w:eastAsia="en-US"/>
        </w:rPr>
        <w:t>).</w:t>
      </w:r>
    </w:p>
    <w:p w14:paraId="5B700CE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Beyond endocrine modulation, plant-derived nutraceuticals may influence reproduction indirectly by increasing resilience to common aquaculture stressors. Handling, high stocking density, fluctuating salinity, temperature variation, and suboptimal water quality can elevate stress responses and oxidative load, often suppressing reproductive output. In such contexts, nutraceuticals may function less as “fertility boosters” and more as stabilizers that protect reproductive processes under stress. Evidence from tilapia cultured under saline conditions indicates that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can improve maturation and reproduction alongside broader performance and immune benefits, supporting the view that immuno-oxidative stabilization may translate into improved reproductive reliability in challenging environments (Sallam et al., 2025). This stress-resilience framing is particularly relevant to commercial hatcheries because reproductive output must remain consistent despite variable operational conditions.</w:t>
      </w:r>
    </w:p>
    <w:p w14:paraId="74AB7199" w14:textId="4A9BF0CE"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Despite growing interest and an expanding evidence base, translation of plant-derived nutraceuticals into routine broodstock protocols remains uneven. Results differ across species, sexes, reproductive stages, and ingredient preparations. Some studies test purified compounds with clear dosing, while others rely on complex extracts whose bioactive composition varies with cultivar, harvest season, extraction method, and storage stability. These differences complicate comparison and can explain why promising outcomes in one system do not replicate elsewhere. Additionally, reproduction-related endpoints are diverse, spanning gonadosomatic indices, steroid profiles, fecundity, sperm motility parameters, egg biochemical quality, fertilization and hatch success, and larval robustness. Without a mechanistic framework connecting nutraceutical inputs to endocrine, redox, metabolic, and immune pathways, it is difficult to identify which interventions are broadly generalizable and which are </w:t>
      </w:r>
      <w:r w:rsidR="00C65B08" w:rsidRPr="00694CBA">
        <w:rPr>
          <w:color w:val="auto"/>
          <w:kern w:val="0"/>
          <w:highlight w:val="yellow"/>
          <w:lang w:val="en-US" w:eastAsia="en-US"/>
        </w:rPr>
        <w:t>context-</w:t>
      </w:r>
      <w:r w:rsidRPr="00694CBA">
        <w:rPr>
          <w:color w:val="auto"/>
          <w:kern w:val="0"/>
          <w:highlight w:val="yellow"/>
          <w:lang w:val="en-US" w:eastAsia="en-US"/>
        </w:rPr>
        <w:t>bound.</w:t>
      </w:r>
    </w:p>
    <w:p w14:paraId="7031F490"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This review synthesizes current understanding of how plant-derived nutraceuticals can influence fish reproduction, integrating mechanistic pathways with experimental evidence </w:t>
      </w:r>
      <w:r w:rsidRPr="0077761A">
        <w:rPr>
          <w:color w:val="auto"/>
          <w:kern w:val="0"/>
          <w:lang w:val="en-US" w:eastAsia="en-US"/>
        </w:rPr>
        <w:lastRenderedPageBreak/>
        <w:t xml:space="preserve">and focusing on relevance to aquaculture applications. Particular attention is given to the dual nature of botanical interventions: their potential to improve gamete quality and reproductive resilience through antioxidant and </w:t>
      </w:r>
      <w:proofErr w:type="spellStart"/>
      <w:r w:rsidRPr="0077761A">
        <w:rPr>
          <w:color w:val="auto"/>
          <w:kern w:val="0"/>
          <w:lang w:val="en-US" w:eastAsia="en-US"/>
        </w:rPr>
        <w:t>immunometabolic</w:t>
      </w:r>
      <w:proofErr w:type="spellEnd"/>
      <w:r w:rsidRPr="0077761A">
        <w:rPr>
          <w:color w:val="auto"/>
          <w:kern w:val="0"/>
          <w:lang w:val="en-US" w:eastAsia="en-US"/>
        </w:rPr>
        <w:t xml:space="preserve"> support, and their capacity to disrupt reproductive endocrinology when estrogenic activity or inappropriate dosing is involved (Chakraborty &amp; Mallick, 2025; Sassi-Messai et al., 2009). By grounding discussion in broodstock nutrition principles (Izquierdo et al., 2001) and considering aquaculture-relevant case evidence under environmental stress (Sallam et al., 2025), the aim is to provide a practical and mechanistically informed foundation for designing nutraceutical strategies that enhance reproductive performance while minimizing risk.</w:t>
      </w:r>
    </w:p>
    <w:p w14:paraId="47802D6D"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1.1 Scope and objectives</w:t>
      </w:r>
    </w:p>
    <w:p w14:paraId="1B5B84D8"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This article reviews plant-derived nutraceuticals and botanical matrices used in aquaculture that may influence reproductive development, endocrine function, gametogenesis, gamete quality, and spawning outcomes in fish. The objectives are to explain key mechanisms of action, critically summarize evidence across fish models and aquaculture species, identify realistic applications in broodstock management and hatchery production, and highlight safety and research gaps related to standardization, dose–timing optimization, and reproductive risk management.</w:t>
      </w:r>
    </w:p>
    <w:p w14:paraId="21040892"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2. Methods for literature selection</w:t>
      </w:r>
    </w:p>
    <w:p w14:paraId="32C98210" w14:textId="5B71F26A"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Literature was identified using Web of Science, Scopus, PubMed, and Google Scholar, covering publications from January 2000 through December 2025. Search strings combined reproduction-related terms with nutraceutical and botanical keywords, including: “fish broodstock reproduction nutraceutical,” “plant extract fish spawning,” “polyphenol fish gonad steroidogenesis,” “phytoestrogen fish sex differentiation,” “essential oil fish sperm motility,” “Moringa tilapia reproduction,” “macroalgae sperm quality fish,” and “microalgae broodstock egg quality.” Inclusion criteria prioritized peer-reviewed journal articles reporting mechanistic endpoints (e.g., steroid hormones, gene expression in steroidogenic pathways, vitellogenin responses), reproductive performance metrics (e.g., fecundity, fertilization rate, hatch rate), and gamete quality measures (e.g., sperm motility, DNA integrity, egg biochemical composition). Studies were excluded when they lacked reproductive outcomes, used non-</w:t>
      </w:r>
      <w:r w:rsidR="00C65B08" w:rsidRPr="00694CBA">
        <w:rPr>
          <w:color w:val="auto"/>
          <w:kern w:val="0"/>
          <w:highlight w:val="yellow"/>
          <w:lang w:val="en-GB" w:eastAsia="en-US"/>
        </w:rPr>
        <w:t xml:space="preserve">characterised </w:t>
      </w:r>
      <w:r w:rsidRPr="00694CBA">
        <w:rPr>
          <w:color w:val="auto"/>
          <w:kern w:val="0"/>
          <w:highlight w:val="yellow"/>
          <w:lang w:val="en-GB" w:eastAsia="en-US"/>
        </w:rPr>
        <w:t>complex mixtures</w:t>
      </w:r>
      <w:r w:rsidRPr="00294D81">
        <w:rPr>
          <w:color w:val="auto"/>
          <w:kern w:val="0"/>
          <w:lang w:val="en-GB" w:eastAsia="en-US"/>
        </w:rPr>
        <w:t xml:space="preserve"> without dosing detail, or were limited to non-fish taxa. Review articles were used to contextualize mechanisms and identify seminal and recent experimental studies. Where possible, DOI links and bibliographic metadata were cross-checked against multiple indexing records; however, direct resolution of some DOI landing pages may be restricted by automated access controls, which is noted as a methodological constraint in the Limitations section.</w:t>
      </w:r>
    </w:p>
    <w:p w14:paraId="778F5C0D" w14:textId="77777777" w:rsidR="00294D81" w:rsidRPr="00294D81" w:rsidRDefault="00294D81" w:rsidP="007E58A5">
      <w:pPr>
        <w:spacing w:after="0" w:line="240" w:lineRule="auto"/>
        <w:ind w:left="0" w:right="0" w:firstLine="0"/>
        <w:rPr>
          <w:color w:val="auto"/>
          <w:kern w:val="0"/>
          <w:lang w:val="en-GB" w:eastAsia="en-US"/>
        </w:rPr>
      </w:pPr>
    </w:p>
    <w:p w14:paraId="51CB606C"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 xml:space="preserve">3. </w:t>
      </w:r>
      <w:r w:rsidRPr="00694CBA">
        <w:rPr>
          <w:b/>
          <w:bCs/>
          <w:color w:val="auto"/>
          <w:kern w:val="0"/>
          <w:sz w:val="32"/>
          <w:szCs w:val="36"/>
          <w:lang w:val="en-US" w:eastAsia="en-US"/>
        </w:rPr>
        <w:t>Conceptual framework: fish reproduction and nutraceutical leverage points</w:t>
      </w:r>
    </w:p>
    <w:p w14:paraId="023EF943"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The reproductive biology of cultured fishes is governed by an integration of endocrine signaling, energetic status, tissue redox balance, and environmental context. Plant-derived nutraceuticals can intersect with each of these layers, creating multiple “leverage points” through which broodstock diets may alter reproductive development, gamete competence, </w:t>
      </w:r>
      <w:r w:rsidRPr="0077761A">
        <w:rPr>
          <w:color w:val="auto"/>
          <w:kern w:val="0"/>
          <w:lang w:val="en-US" w:eastAsia="en-US"/>
        </w:rPr>
        <w:lastRenderedPageBreak/>
        <w:t>and spawning outcomes. A conceptual framework is useful because it separates direct endocrine effects—where a compound behaves like a signaling molecule—from indirect effects mediated by improved health, stress buffering, nutrient utilization, or oxidative protection. This distinction is particularly important for botanical ingredients because the same plant source may contain compounds that are simultaneously antioxidant, immunomodulatory, and endocrine-active, yielding outcomes that are strongly dose-, life-stage-, and species-dependent.</w:t>
      </w:r>
    </w:p>
    <w:p w14:paraId="44ED33A4"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 xml:space="preserve">3.1 Endocrine control of reproduction in </w:t>
      </w:r>
      <w:proofErr w:type="spellStart"/>
      <w:r w:rsidRPr="0077761A">
        <w:rPr>
          <w:b/>
          <w:bCs/>
          <w:color w:val="auto"/>
          <w:kern w:val="0"/>
          <w:sz w:val="27"/>
          <w:szCs w:val="27"/>
          <w:lang w:val="en-US" w:eastAsia="en-US"/>
        </w:rPr>
        <w:t>teleosts</w:t>
      </w:r>
      <w:proofErr w:type="spellEnd"/>
      <w:r w:rsidRPr="0077761A">
        <w:rPr>
          <w:b/>
          <w:bCs/>
          <w:color w:val="auto"/>
          <w:kern w:val="0"/>
          <w:sz w:val="27"/>
          <w:szCs w:val="27"/>
          <w:lang w:val="en-US" w:eastAsia="en-US"/>
        </w:rPr>
        <w:t xml:space="preserve"> and endocrine-sensitive leverage points</w:t>
      </w:r>
    </w:p>
    <w:p w14:paraId="5AE2EC2D"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Reproduction in </w:t>
      </w:r>
      <w:proofErr w:type="spellStart"/>
      <w:r w:rsidRPr="0077761A">
        <w:rPr>
          <w:color w:val="auto"/>
          <w:kern w:val="0"/>
          <w:lang w:val="en-US" w:eastAsia="en-US"/>
        </w:rPr>
        <w:t>teleosts</w:t>
      </w:r>
      <w:proofErr w:type="spellEnd"/>
      <w:r w:rsidRPr="0077761A">
        <w:rPr>
          <w:color w:val="auto"/>
          <w:kern w:val="0"/>
          <w:lang w:val="en-US" w:eastAsia="en-US"/>
        </w:rPr>
        <w:t xml:space="preserve"> is centrally organized by the hypothalamic–pituitary–gonadal (HPG) axis. Environmental cues such as photoperiod and temperature, along with internal metabolic signals reflecting energy availability, influence hypothalamic control of pituitary gonadotropin release, which in turn regulates gonadal steroidogenesis, gametogenesis, and final maturation processes. In females, estrogen signaling supports vitellogenesis and oocyte growth, while in males, androgens and associated pathways regulate spermatogenesis and the maturation of spermatozoa. Nutraceutical leverage points appear at multiple levels: a compound may alter upstream neuroendocrine signaling, modulate gonadal responsiveness to gonadotropins, or affect steroidogenic enzyme expression and activity within the gonads. Botanical compounds with estrogenic properties are especially influential because they can interact with estrogen-responsive pathways that determine </w:t>
      </w:r>
      <w:proofErr w:type="spellStart"/>
      <w:r w:rsidRPr="0077761A">
        <w:rPr>
          <w:color w:val="auto"/>
          <w:kern w:val="0"/>
          <w:lang w:val="en-US" w:eastAsia="en-US"/>
        </w:rPr>
        <w:t>vitellogenic</w:t>
      </w:r>
      <w:proofErr w:type="spellEnd"/>
      <w:r w:rsidRPr="0077761A">
        <w:rPr>
          <w:color w:val="auto"/>
          <w:kern w:val="0"/>
          <w:lang w:val="en-US" w:eastAsia="en-US"/>
        </w:rPr>
        <w:t xml:space="preserve"> activity and reproductive timing.</w:t>
      </w:r>
    </w:p>
    <w:p w14:paraId="4E8B63C5"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Phytoestrogens provide a clear example of endocrine-sensitive leverage points. Evidence from zebrafish indicates that genistein can affect development through at least two distinct pathways, highlighting that a single plant-derived compound may influence endocrine systems both through classical estrogen-related mechanisms and through additional, potentially non-identical routes (Sassi-Messai et al., 2009</w:t>
      </w:r>
      <w:r w:rsidR="00705A87">
        <w:rPr>
          <w:color w:val="auto"/>
          <w:kern w:val="0"/>
          <w:lang w:val="en-US" w:eastAsia="en-US"/>
        </w:rPr>
        <w:t xml:space="preserve">; </w:t>
      </w:r>
      <w:r w:rsidR="00705A87" w:rsidRPr="00705A87">
        <w:rPr>
          <w:color w:val="auto"/>
          <w:kern w:val="0"/>
          <w:lang w:val="en-US" w:eastAsia="en-US"/>
        </w:rPr>
        <w:t>Abaho et al., 2023; Di Sotto et al., 2020</w:t>
      </w:r>
      <w:r w:rsidRPr="0077761A">
        <w:rPr>
          <w:color w:val="auto"/>
          <w:kern w:val="0"/>
          <w:lang w:val="en-US" w:eastAsia="en-US"/>
        </w:rPr>
        <w:t>). In conceptual terms, this means nutraceuticals may not behave as simple “on/off” endocrine switches. Instead, they can reshape endocrine landscapes by influencing receptor signaling strength, feedback loops, and local steroid metabolism. In aquaculture, this creates both opportunity (functional modulation) and risk (unintended disruption), especially if endocrine-active botanicals are delivered during sensitive windows such as sex differentiation, early gametogenesis, or late maturation phases when the axis is most responsive.</w:t>
      </w:r>
    </w:p>
    <w:p w14:paraId="547F6C35"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3.2 Gonadal function and molecular endpoints as mechanistic anchors</w:t>
      </w:r>
    </w:p>
    <w:p w14:paraId="37671FD2"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second leverage point is the gonad itself, where nutraceutical effects can manifest as changes in cellular organization, gametogenic progression, steroidogenic capacity, and local signaling networks. Traditional production metrics—gonadosomatic index, fecundity, fertilization rate, hatch rate—are valuable for hatchery decisions but often do not distinguish mechanism. Mechanistic anchors such as sex-related gene expression, aromatase-related regulation, and markers of steroidogenic activity help interpret whether an intervention is acting directly on reproductive physiology or indirectly through systemic improvements.</w:t>
      </w:r>
    </w:p>
    <w:p w14:paraId="0A3C8AB7"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Long-term dietary phytoestrogen exposure can leave molecular signatures that precede or occur independently of overt performance changes. In Russian sturgeon, supplementation with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expression of sex-related genes across </w:t>
      </w:r>
      <w:r w:rsidRPr="0077761A">
        <w:rPr>
          <w:color w:val="auto"/>
          <w:kern w:val="0"/>
          <w:lang w:val="en-US" w:eastAsia="en-US"/>
        </w:rPr>
        <w:lastRenderedPageBreak/>
        <w:t>gonads, brain, and liver, supporting the view that botanical endocrine-active compounds can modulate reproductive trajectories at the transcriptional level (</w:t>
      </w:r>
      <w:proofErr w:type="spellStart"/>
      <w:r w:rsidRPr="0077761A">
        <w:rPr>
          <w:color w:val="auto"/>
          <w:kern w:val="0"/>
          <w:lang w:val="en-US" w:eastAsia="en-US"/>
        </w:rPr>
        <w:t>Fajkowska</w:t>
      </w:r>
      <w:proofErr w:type="spellEnd"/>
      <w:r w:rsidRPr="0077761A">
        <w:rPr>
          <w:color w:val="auto"/>
          <w:kern w:val="0"/>
          <w:lang w:val="en-US" w:eastAsia="en-US"/>
        </w:rPr>
        <w:t xml:space="preserve"> et al., 2021). In a conceptual framework, such findings underscore why reproduction-focused nutraceutical studies should not rely exclusively on gross indices. Molecular endpoints provide early warning signals for endocrine perturbation and help identify whether a compound is shifting sex differentiation pathways, altering gonadal maturation programs, or changing the endocrine–metabolic coupling that supports gametogenesis.</w:t>
      </w:r>
    </w:p>
    <w:p w14:paraId="4FA256A3"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3.3 Energetic allocation, oxidative balance, and “robustness” of gametes</w:t>
      </w:r>
    </w:p>
    <w:p w14:paraId="21E281F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Reproduction is among the most energetically expensive biological processes. Oocytes require extensive provisioning of lipids, proteins, and micronutrients into yolk and membranes, while sperm quality depends on the integrity of motility systems and membrane structures that are highly sensitive to oxidative damage. Even when endocrine signaling is adequate, reproduction can fail when energy allocation is constrained or when oxidative stress overwhelms protective capacity. Plant-derived nutraceuticals frequently target these constraints by enhancing antioxidant defenses, stabilizing membranes, and supporting metabolic efficiency. Within this framework, improvement in reproductive outcomes may arise not because the nutraceutical “pushes” the HPG axis, but because it reduces physiological noise and damage, allowing normal endocrine programs to proceed effectively.</w:t>
      </w:r>
    </w:p>
    <w:p w14:paraId="09A16110"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However, oxidative and metabolic benefits do not guarantee reproductive benefit if endocrine-active compounds simultaneously perturb signaling. The conceptual implication is that botanical nutraceuticals should be assessed as multi-dimensional interventions: their net reproductive effect reflects the balance between beneficial support (e.g., antioxidant buffering) and potential endocrine interference. This is consistent with the idea that phytoestrogens can produce complex biological responses rather than a single predictable outcome, as demonstrated by pathway-diverse effects in zebrafish exposed to genistein (Sassi-Messai et al., 2009).</w:t>
      </w:r>
    </w:p>
    <w:p w14:paraId="0F15655A"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3.4 The gut–metabolism interface and context dependence</w:t>
      </w:r>
    </w:p>
    <w:p w14:paraId="42DDEC8F" w14:textId="3D6DB5B5"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 further leverage point is the gut–metabolism interface, which influences bioavailability, biotransformation, and systemic exposure to active metabolites. Botanical compounds often occur as mixtures and may be transformed during digestion or by intestinal microbiota into metabolites with different potency and </w:t>
      </w:r>
      <w:r w:rsidRPr="00694CBA">
        <w:rPr>
          <w:color w:val="auto"/>
          <w:kern w:val="0"/>
          <w:highlight w:val="yellow"/>
          <w:lang w:val="en-US" w:eastAsia="en-US"/>
        </w:rPr>
        <w:t xml:space="preserve">target </w:t>
      </w:r>
      <w:r w:rsidR="00C65B08" w:rsidRPr="00694CBA">
        <w:rPr>
          <w:color w:val="auto"/>
          <w:kern w:val="0"/>
          <w:highlight w:val="yellow"/>
          <w:lang w:val="en-US" w:eastAsia="en-US"/>
        </w:rPr>
        <w:t>specificities</w:t>
      </w:r>
      <w:r w:rsidRPr="00694CBA">
        <w:rPr>
          <w:color w:val="auto"/>
          <w:kern w:val="0"/>
          <w:highlight w:val="yellow"/>
          <w:lang w:val="en-US" w:eastAsia="en-US"/>
        </w:rPr>
        <w:t>. As a result, two farms using the same nominal botanical ingredient could observe different reproductive</w:t>
      </w:r>
      <w:r w:rsidRPr="0077761A">
        <w:rPr>
          <w:color w:val="auto"/>
          <w:kern w:val="0"/>
          <w:lang w:val="en-US" w:eastAsia="en-US"/>
        </w:rPr>
        <w:t xml:space="preserve"> outcomes if diet composition, gut microbial ecology, or rearing environment differs. Conceptually, this means reproduction outcomes are not only ingredient-dependent but also “context dependent,” shaped by species physiology, sex, maturity stage, background diet, and environment.</w:t>
      </w:r>
    </w:p>
    <w:p w14:paraId="56C912FF"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The sturgeon gene-expression findings reinforce this context dependence: even under dietary supplementation, responses are distributed across multiple tissues—gonads, brain, liver—implying whole-organism integration rather than isolated gonadal effects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Thus, a practical conceptual model treats nutraceuticals as modulators of a network, not a single pathway, and encourages experimental designs that capture endocrine biomarkers, gonadal molecular endpoints, and performance metrics simultaneously.</w:t>
      </w:r>
    </w:p>
    <w:p w14:paraId="7AEAB3CC"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3.5 Translational endpoints: from mechanism to hatchery decision-making</w:t>
      </w:r>
    </w:p>
    <w:p w14:paraId="1900A048"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lastRenderedPageBreak/>
        <w:t>From an aquaculture application standpoint, the conceptual framework must connect mechanistic levers to operational endpoints. For females, key translational endpoints include oocyte growth dynamics, egg biochemical quality, fertilization success, hatch rate, and larval robustness. For males, endpoints include sperm motility characteristics, sperm concentration, and functional measures of fertilization competence. Importantly, endocrine and molecular markers help interpret whether changes in these endpoints arise from supportive conditioning or from endocrine perturbations that might carry long-term costs. The combined evidence that phytoestrogens can affect developmental pathways in zebrafish (Sassi-Messai et al., 2009) and can shift sex-related gene expression patterns in sturgeon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highlights why hatchery-oriented nutraceutical strategies must integrate both benefit-seeking and risk-screening within the same evaluation plan.</w:t>
      </w:r>
    </w:p>
    <w:p w14:paraId="4811B7B5" w14:textId="77777777" w:rsidR="0077761A" w:rsidRDefault="0077761A" w:rsidP="007E58A5">
      <w:pPr>
        <w:spacing w:before="100" w:beforeAutospacing="1" w:after="100" w:afterAutospacing="1" w:line="240" w:lineRule="auto"/>
        <w:ind w:left="0" w:right="0" w:firstLine="0"/>
        <w:outlineLvl w:val="1"/>
        <w:rPr>
          <w:b/>
          <w:bCs/>
          <w:color w:val="auto"/>
          <w:kern w:val="0"/>
          <w:sz w:val="36"/>
          <w:szCs w:val="36"/>
          <w:lang w:val="en-GB" w:eastAsia="en-US"/>
        </w:rPr>
      </w:pPr>
    </w:p>
    <w:p w14:paraId="6AC17484"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4. Mechanistic bases for plant-derived nutraceutical action on fish reproduction</w:t>
      </w:r>
    </w:p>
    <w:p w14:paraId="1A9FDD0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Plant-derived nutraceuticals can influence fish reproduction through several interlinked mechanisms that operate across endocrine regulation, tissue redox balance, metabolic allocation, immune–inflammation dynamics, and nutrient–microbiome interactions. These mechanisms rarely act in isolation. Instead, botanical supplements often behave as “multi-target” interventions, where net reproductive outcomes reflect the combined direction and magnitude of endocrine and non-endocrine effects, their timing relative to the reproductive cycle, and species- and sex-specific sensitivity. This systems perspective is especially important in aquaculture because the same ingredient can improve performance in one setting and impair reproductive stability in another if dose, life stage, or background diet composition changes. In particular, endocrine-active phytochemicals in plant ingredients require a risk-aware framing: the mechanistic pathways that enable functional modulation can also produce endocrine disruption when exposure is excessive or poorly timed (Chakraborty &amp; Mallick, 2025).</w:t>
      </w:r>
    </w:p>
    <w:p w14:paraId="01EEE655"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4.1 Endocrine modulation: receptor signaling, steroidogenic enzymes, and hormonal homeostasis</w:t>
      </w:r>
    </w:p>
    <w:p w14:paraId="4506F25E"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primary mechanistic route is direct endocrine modulation, most prominently through estrogen receptor interactions and downstream transcriptional programs that regulate vitellogenesis and reproductive timing. Many plant compounds can act as weak estrogen receptor ligands (phytoestrogens) or influence steroidogenic enzyme pathways, effectively shifting the endocrine balance that coordinates gonadal maturation. Evidence from zebrafish illustrates how a single phytoestrogen, genistein, can affect development through more than one pathway, including changes consistent with estrogen-responsive regulation and aromatase-related modulation (Sassi-Messai et al., 2009). Mechanistically, this implies that botanical nutraceuticals may alter reproductive endpoints by changing receptor activation patterns, feedback sensitivity within the hypothalamic–pituitary–gonadal axis, and local gonadal signaling microenvironments.</w:t>
      </w:r>
    </w:p>
    <w:p w14:paraId="368CCF6D"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Endocrine modulation is also not limited to receptor binding. Plant compounds may influence steroid availability by altering synthesis, conversion, or clearance. In aquaculture-relevant </w:t>
      </w:r>
      <w:r w:rsidRPr="0077761A">
        <w:rPr>
          <w:color w:val="auto"/>
          <w:kern w:val="0"/>
          <w:lang w:val="en-US" w:eastAsia="en-US"/>
        </w:rPr>
        <w:lastRenderedPageBreak/>
        <w:t xml:space="preserve">contexts, </w:t>
      </w:r>
      <w:proofErr w:type="gramStart"/>
      <w:r w:rsidRPr="0077761A">
        <w:rPr>
          <w:color w:val="auto"/>
          <w:kern w:val="0"/>
          <w:lang w:val="en-US" w:eastAsia="en-US"/>
        </w:rPr>
        <w:t>this matters</w:t>
      </w:r>
      <w:proofErr w:type="gramEnd"/>
      <w:r w:rsidRPr="0077761A">
        <w:rPr>
          <w:color w:val="auto"/>
          <w:kern w:val="0"/>
          <w:lang w:val="en-US" w:eastAsia="en-US"/>
        </w:rPr>
        <w:t xml:space="preserve"> because small shifts in estrogenic tone can alter </w:t>
      </w:r>
      <w:proofErr w:type="spellStart"/>
      <w:r w:rsidRPr="0077761A">
        <w:rPr>
          <w:color w:val="auto"/>
          <w:kern w:val="0"/>
          <w:lang w:val="en-US" w:eastAsia="en-US"/>
        </w:rPr>
        <w:t>vitellogenic</w:t>
      </w:r>
      <w:proofErr w:type="spellEnd"/>
      <w:r w:rsidRPr="0077761A">
        <w:rPr>
          <w:color w:val="auto"/>
          <w:kern w:val="0"/>
          <w:lang w:val="en-US" w:eastAsia="en-US"/>
        </w:rPr>
        <w:t xml:space="preserve"> drive, follicular progression, and synchronization of maturation—features that directly impact egg quality and spawning consistency. Because endocrine effects can be beneficial, neutral, or harmful depending on dose and life stage, reproductive nutraceutical design must explicitly treat phytoestrogenic potency as a controllable variable rather than an incidental property of “plant-based” feeds (Chakraborty &amp; Mallick, 2025</w:t>
      </w:r>
      <w:r w:rsidR="00705A87">
        <w:rPr>
          <w:color w:val="auto"/>
          <w:kern w:val="0"/>
          <w:lang w:val="en-US" w:eastAsia="en-US"/>
        </w:rPr>
        <w:t xml:space="preserve">; </w:t>
      </w:r>
      <w:r w:rsidR="00705A87" w:rsidRPr="00705A87">
        <w:rPr>
          <w:color w:val="auto"/>
          <w:kern w:val="0"/>
          <w:lang w:val="en-US" w:eastAsia="en-US"/>
        </w:rPr>
        <w:t>Park &amp; Lim, 2025; Sumana et al., 2025</w:t>
      </w:r>
      <w:r w:rsidRPr="0077761A">
        <w:rPr>
          <w:color w:val="auto"/>
          <w:kern w:val="0"/>
          <w:lang w:val="en-US" w:eastAsia="en-US"/>
        </w:rPr>
        <w:t>).</w:t>
      </w:r>
    </w:p>
    <w:p w14:paraId="52FE59D2"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4.2 Modulation of steroid metabolism and clearance: altering effective hormone exposure</w:t>
      </w:r>
    </w:p>
    <w:p w14:paraId="02C8A33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closely related but distinct mechanism is altered steroid metabolism and clearance, which can change “effective exposure” to endogenous hormones without necessarily changing their production rate. This route is especially relevant for feeds containing soybean-derived isoflavones or concentrated phytoestrogen fractions. In salmonid fish, genistein and related isoflavones have been shown to inhibit estrogen metabolism in hepatic and renal tissues, suggesting that dietary phytoestrogens can prolong or intensify estrogen signaling by slowing steroid clearance (Ng et al., 2006). Mechanistically, such inhibition can shift the temporal profile of endocrine signals that regulate reproduction, potentially changing the onset and duration of vitellogenesis, altering the timing of final maturation, or modifying the balance between estrogen- and androgen-mediated processes.</w:t>
      </w:r>
    </w:p>
    <w:p w14:paraId="662AF562"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In broodstock settings, the practical implication is that botanicals may create endocrine effects that are not apparent from gonadal steroidogenesis markers alone, because circulating hormone concentrations and tissue responses may reflect altered metabolic turnover. This reinforces the importance of integrated monitoring—combining reproductive performance endpoints with endocrine biomarkers—when implementing nutraceutical strategies in hatchery programs (Chakraborty &amp; Mallick, 2025; Ng et al., 2006).</w:t>
      </w:r>
    </w:p>
    <w:p w14:paraId="1914A079"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4.3 Oxidative stress and redox signaling: gonadal protection and gamete integrity</w:t>
      </w:r>
    </w:p>
    <w:p w14:paraId="475D13B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Oxidative balance is a central determinant of gamete competence. Oocytes and spermatozoa are particularly vulnerable to lipid peroxidation and oxidative DNA damage due to their membrane composition and limited repair capacity during key reproductive windows. Many plant-derived nutraceuticals act as antioxidants or redox modulators, thereby protecting gonadal tissue, stabilizing mitochondrial function, and preserving membrane integrity required for fertilization and embryogenesis. While oxidative stress is often framed as purely damaging, redox signaling also participates in normal cellular communication; thus, nutraceuticals that dampen excessive oxidative load without suppressing physiological signaling may offer the greatest reproductive benefit.</w:t>
      </w:r>
    </w:p>
    <w:p w14:paraId="58C9C0BF"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This mechanism becomes especially prominent under aquaculture stressors—salinity shifts, handling, crowding, and variable water quality—that elevate stress hormones and oxidative load.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performance and immune outcomes, which is consistent with a protective model where antioxidant and </w:t>
      </w:r>
      <w:proofErr w:type="spellStart"/>
      <w:r w:rsidRPr="0077761A">
        <w:rPr>
          <w:color w:val="auto"/>
          <w:kern w:val="0"/>
          <w:lang w:val="en-US" w:eastAsia="en-US"/>
        </w:rPr>
        <w:t>immunophysiological</w:t>
      </w:r>
      <w:proofErr w:type="spellEnd"/>
      <w:r w:rsidRPr="0077761A">
        <w:rPr>
          <w:color w:val="auto"/>
          <w:kern w:val="0"/>
          <w:lang w:val="en-US" w:eastAsia="en-US"/>
        </w:rPr>
        <w:t xml:space="preserve"> stabilization supports reproductive processes under stress (Sallam et al., 2025). Although such studies typically report integrated endpoints rather than isolating one biochemical pathway, the convergence of improved </w:t>
      </w:r>
      <w:r w:rsidRPr="0077761A">
        <w:rPr>
          <w:color w:val="auto"/>
          <w:kern w:val="0"/>
          <w:lang w:val="en-US" w:eastAsia="en-US"/>
        </w:rPr>
        <w:lastRenderedPageBreak/>
        <w:t>systemic condition and reproductive performance supports redox protection as a plausible mediator.</w:t>
      </w:r>
    </w:p>
    <w:p w14:paraId="4EF44FDA"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4.4 Metabolic allocation and nutrient provisioning: supporting steroidogenic substrates and egg quality</w:t>
      </w:r>
    </w:p>
    <w:p w14:paraId="0DA850B0"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Reproduction requires coordinated allocation of energy, lipids, and micronutrients. Steroidogenesis depends on cholesterol and metabolic energy, while egg quality depends on yolk provisioning, membrane lipid composition, and antioxidant reserves deposited into oocytes. Plant-derived nutraceuticals can influence reproduction indirectly by improving nutrient assimilation and metabolic stability, which may shift energy partitioning toward gonadal development and improve egg biochemical composition. Complex botanical matrices—rather than single purified compounds—may be particularly effective here because they provide multiple supportive components (pigments, vitamins, functional lipids, and antioxidants) in a form that resembles natural trophic inputs.</w:t>
      </w:r>
    </w:p>
    <w:p w14:paraId="0D2C386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Microalgae illustrate this “matrix” mechanism. In Nile tilapia broodstock, dietary inclusion of the diatom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suggesting benefits consistent with enhanced micronutrient/pigment provisioning and improved oxidative stability of reproductive tissues and developing oocytes (Abdel-Moez et al., 2024</w:t>
      </w:r>
      <w:r w:rsidR="00705A87">
        <w:rPr>
          <w:color w:val="auto"/>
          <w:kern w:val="0"/>
          <w:lang w:val="en-US" w:eastAsia="en-US"/>
        </w:rPr>
        <w:t xml:space="preserve">; </w:t>
      </w:r>
      <w:r w:rsidR="00705A87" w:rsidRPr="00705A87">
        <w:rPr>
          <w:color w:val="auto"/>
          <w:kern w:val="0"/>
          <w:lang w:val="en-US" w:eastAsia="en-US"/>
        </w:rPr>
        <w:t>Moezzi et al., 2025</w:t>
      </w:r>
      <w:r w:rsidRPr="0077761A">
        <w:rPr>
          <w:color w:val="auto"/>
          <w:kern w:val="0"/>
          <w:lang w:val="en-US" w:eastAsia="en-US"/>
        </w:rPr>
        <w:t>). Mechanistically, such matrices may support both the structural requirements of egg membranes and the biochemical defenses needed to protect embryos against oxidative stress during early development.</w:t>
      </w:r>
    </w:p>
    <w:p w14:paraId="747C46F7"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4.5 Immunity–inflammation–reproduction coupling: reducing hidden reproductive suppression</w:t>
      </w:r>
    </w:p>
    <w:p w14:paraId="5EBB6E7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Reproductive output is often suppressed by chronic inflammation and immune activation, which divert energy and signaling resources away from gonadal maturation. Many botanical nutraceuticals exert immunomodulatory effects that may indirectly support reproduction by reducing inflammatory burden and improving resilience to subclinical disease pressure in broodstock populations. This coupling is operationally important in aquaculture, where broodstock may be maintained over multiple spawning cycles and exposed to recurring stressors. The observed improvement in maturation and reproduction in saltwater-cultured tilapia receiving </w:t>
      </w:r>
      <w:r w:rsidRPr="0077761A">
        <w:rPr>
          <w:i/>
          <w:iCs/>
          <w:color w:val="auto"/>
          <w:kern w:val="0"/>
          <w:lang w:val="en-US" w:eastAsia="en-US"/>
        </w:rPr>
        <w:t>Moringa oleifera</w:t>
      </w:r>
      <w:r w:rsidRPr="0077761A">
        <w:rPr>
          <w:color w:val="auto"/>
          <w:kern w:val="0"/>
          <w:lang w:val="en-US" w:eastAsia="en-US"/>
        </w:rPr>
        <w:t xml:space="preserve"> leaf extract is compatible with this integrated mechanism, where immune stabilization and stress buffering contribute to reproductive reliability (Sallam et al., 2025). The broader literature also cautions that botanicals with endocrine activity may complicate this benefit–risk profile, reinforcing the need for careful ingredient selection and dose management (Chakraborty &amp; Mallick, 2025).</w:t>
      </w:r>
    </w:p>
    <w:p w14:paraId="578A7585"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4.6 Microbiome-mediated transformations and context dependence of botanical effects</w:t>
      </w:r>
    </w:p>
    <w:p w14:paraId="75CB4D6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 final mechanistic layer involves gastrointestinal processing and microbiome-mediated transformation of phytochemicals into metabolites with altered potency and target specificity. Isoflavone glycosides, for example, can be converted into aglycones with different biological activity, potentially changing endocrine impact. While this section emphasizes conceptual mechanisms rather than detailed microbiome datasets, the key implication is that nutraceutical outcomes can vary with background diet composition and gut microbial </w:t>
      </w:r>
      <w:r w:rsidRPr="0077761A">
        <w:rPr>
          <w:color w:val="auto"/>
          <w:kern w:val="0"/>
          <w:lang w:val="en-US" w:eastAsia="en-US"/>
        </w:rPr>
        <w:lastRenderedPageBreak/>
        <w:t>ecology, which influence bioavailability and systemic exposure. This variability helps explain why botanical interventions may not replicate uniformly across farms, species, or production systems. When combined with evidence that phytoestrogens can influence endocrine pathways and steroid metabolism (Ng et al., 2006; Sassi-Messai et al., 2009), microbiome-dependent biotransformation becomes a plausible contributor to observed context dependence and underscores the importance of standardized formulations and consistent feeding protocols (Chakraborty &amp; Mallick, 2025).</w:t>
      </w:r>
    </w:p>
    <w:p w14:paraId="13662DD6"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5. Evidence by nutraceutical class, ingredient source, and reproductive outcome</w:t>
      </w:r>
    </w:p>
    <w:p w14:paraId="51F9191F"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The evidence base linking plant-derived nutraceuticals to fish reproduction is diverse in both study design and biological endpoints, ranging from controlled laboratory exposures that establish endocrine plausibility to broodstock feeding trials that report hatchery-relevant outcomes such as spawning frequency, egg biochemical quality, fertilization success, and larval robustness. Interpreting this literature requires attention to three consistent sources of variation. First, nutraceuticals differ in biological “mode of entry” into reproduction: some act directly on endocrine signaling (notably phytoestrogens), whereas others act indirectly by improving oxidative balance, immune stability, and metabolic allocation to gonadal tissues. Second, the same ingredient can yield different outcomes depending on species, sex, developmental stage, and reproductive phase, because endocrine setpoints, steroid metabolism, and gametogenic schedules differ across taxa. Third, formulation and standardization strongly govern bioavailability and effective dose at target tissues, so outcomes are often more predictable when compounds are chemically characterized and delivered in formats designed to enhance absorption. These interpretive principles are especially emphasized in discussions of phytoestrogens in aquaculture, where botanical compounds may function as supportive modulators at appropriate exposure but can become disruptive when dosing, timing, or cumulative dietary estrogenic burden is uncontrolled (Chakraborty &amp; Mallick, 2025).</w:t>
      </w:r>
    </w:p>
    <w:p w14:paraId="5C45A4CF"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5.1 Phytoestrogens and endocrine-active botanicals: strong mechanistic plausibility, variable phenotypes</w:t>
      </w:r>
    </w:p>
    <w:p w14:paraId="76D07E4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Among plant-derived classes, phytoestrogens provide the clearest mechanistic bridge to reproduction because they can engage estrogen-responsive signaling, which is central to vitellogenesis, ovarian maturation, and broader reproductive coordination. Laboratory model evidence illustrates how even a single phytoestrogen can generate multi-pathway effects that complicate linear predictions. In zebrafish, genistein was shown to affect development through two different pathways, underscoring that endocrine-active phytochemicals may alter reproductive biology not only through classical estrogen receptor-mediated signaling but also via additional regulatory routes that change developmental programming and steroid-related gene expression patterns (Sassi-Messai et al., 2009). This matters for aquaculture translation because it </w:t>
      </w:r>
      <w:proofErr w:type="gramStart"/>
      <w:r w:rsidRPr="0077761A">
        <w:rPr>
          <w:color w:val="auto"/>
          <w:kern w:val="0"/>
          <w:lang w:val="en-US" w:eastAsia="en-US"/>
        </w:rPr>
        <w:t>implies</w:t>
      </w:r>
      <w:proofErr w:type="gramEnd"/>
      <w:r w:rsidRPr="0077761A">
        <w:rPr>
          <w:color w:val="auto"/>
          <w:kern w:val="0"/>
          <w:lang w:val="en-US" w:eastAsia="en-US"/>
        </w:rPr>
        <w:t xml:space="preserve"> that reproductive outcomes may not scale simply with dietary inclusion rate; instead, thresholds, life-stage sensitivity, and the interaction of pathways can produce non-monotonic or context-specific responses.</w:t>
      </w:r>
    </w:p>
    <w:p w14:paraId="378944E8"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Aquaculture-relevant evidence further indicates that endocrine-active botanicals can influence reproduction by altering steroid dynamics without necessarily changing steroid synthesis rates. In salmonid fish, genistein and other isoflavones found in soybeans inhibited </w:t>
      </w:r>
      <w:r w:rsidRPr="0077761A">
        <w:rPr>
          <w:color w:val="auto"/>
          <w:kern w:val="0"/>
          <w:lang w:val="en-US" w:eastAsia="en-US"/>
        </w:rPr>
        <w:lastRenderedPageBreak/>
        <w:t>estrogen metabolism in hepatic and renal tissues (Ng et al., 2006). From a reproductive-outcome perspective, inhibition of estrogen metabolism can prolong or intensify endogenous estrogen signaling, effectively shifting the “duration” and “shape” of endocrine exposure that drives vitellogenesis and maturation. Such an effect is operationally important because two diets with similar proximate composition may differ substantially in endocrine impact if one contains higher isoflavone loads or more bioavailable isoflavone fractions. This mechanism also helps explain why broodstock performance sometimes changes in ways that appear disproportionate to macronutrient differences: altered steroid clearance can change reproductive timing and coordination, potentially affecting egg quality or spawning synchrony even when growth and general health look stable.</w:t>
      </w:r>
    </w:p>
    <w:p w14:paraId="28254D5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Evidence from long-lived, late-maturing species strengthens the argument that chronic phytoestrogen exposure can create persistent reproductive signatures at the molecular level. In Russian sturgeon, dietary exposure to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sex-related gene expression across gonads, brain, and liver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This multi-tissue response highlights two points of practical relevance. First, endocrine-active botanicals may influence central neuroendocrine regulation (brain), gonadal differentiation or function (gonads), and vitellogenin-related or steroid-metabolic processes (liver) simultaneously, increasing both the reach and the complexity of effects. Second, gene-expression shifts may occur before, or even without, obvious phenotypic outcomes in the short term, implying that reliance on production endpoints alone can miss early warning signals of reproductive perturbation. Taken together with mechanistic and conceptual discussions of phytoestrogens in aquaculture, these findings support a cautious but not dismissive stance: endocrine-active botanicals can be powerful levers, but they demand dose–timing discipline, awareness of species sensitivity, and monitoring strategies that can distinguish beneficial modulation from disruptive endocrine drift (Chakraborty &amp; Mallick, 2025).</w:t>
      </w:r>
    </w:p>
    <w:p w14:paraId="3A144936"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5.2 Polyphenol antioxidants and formulation-dependent efficacy: curcumin as an applied example</w:t>
      </w:r>
    </w:p>
    <w:p w14:paraId="3749713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In contrast to phytoestrogens, many polyphenol nutraceuticals are pursued primarily for antioxidant and anti-inflammatory actions. Their reproductive effects are often interpreted as indirect: by reducing oxidative damage to gonadal tissues and gametes, stabilizing mitochondrial function in sperm, and supporting a physiological state conducive to normal endocrine coordination. However, the applied evidence increasingly shows that “formulation” can be as important as “compound identity,” because bioavailability constraints can otherwise prevent effective tissue exposure.</w:t>
      </w:r>
    </w:p>
    <w:p w14:paraId="1789013B"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 clear applied example is the comparative evaluation of curcumin, nano-curcumin, and their combination in red tilapia, where differences were observed in reproductive traits and spawning performance (Eissa et al., 2024). This study supports a broader inference relevant to aquaculture deployment: reproductive outcomes may hinge on whether a compound reaches target tissues at biologically meaningful concentrations and during the appropriate reproductive window. Nano-formulation can plausibly increase absorption and stability, thereby amplifying physiological effects at lower inclusion rates and potentially widening the safety margin. Importantly, the combination approach evaluated by Eissa et al. (2024) also illustrates that nutraceutical mixtures do not necessarily behave as simple sums of their components; interactions can alter net effect size or shift which endpoints respond. For hatchery practice, this strengthens the rationale for evaluating nutraceuticals using both reproductive performance metrics (spawning success, egg output) and mechanistic proxies </w:t>
      </w:r>
      <w:r w:rsidRPr="0077761A">
        <w:rPr>
          <w:color w:val="auto"/>
          <w:kern w:val="0"/>
          <w:lang w:val="en-US" w:eastAsia="en-US"/>
        </w:rPr>
        <w:lastRenderedPageBreak/>
        <w:t>(oxidative stress indicators, endocrine biomarkers) where feasible, rather than assuming that an antioxidant label guarantees reproductive benefit.</w:t>
      </w:r>
    </w:p>
    <w:p w14:paraId="7E00FB63"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5.3 Leaf-extract nutraceutical complexes: Moringa and the “reproductive resilience” pattern</w:t>
      </w:r>
    </w:p>
    <w:p w14:paraId="06B905B2"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Leaf-extract nutraceuticals often contain complex mixtures of phenolics, flavonoids, vitamins, minerals, and other metabolites, making them multifunctional interventions that can support reproduction through convergent pathways. The applied relevance of such complexes becomes particularly apparent under environmental stressors that commonly suppress reproduction in aquaculture systems.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improvements in performance and immunity (Sallam et al., 2025). This pattern is best interpreted as “reproductive resilience”: rather than acting as a narrow endocrine stimulant, the nutraceutical appears to support systemic robustness—potentially through oxidative and immune stabilization—allowing reproductive processes to proceed more consistently under stress.</w:t>
      </w:r>
    </w:p>
    <w:p w14:paraId="031C338B"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Male reproductive outcomes provide complementary evidence for Moringa-based strategies. In male rainbow trout broodstock, dietary </w:t>
      </w:r>
      <w:r w:rsidRPr="0077761A">
        <w:rPr>
          <w:i/>
          <w:iCs/>
          <w:color w:val="auto"/>
          <w:kern w:val="0"/>
          <w:lang w:val="en-US" w:eastAsia="en-US"/>
        </w:rPr>
        <w:t>Moringa oleifera</w:t>
      </w:r>
      <w:r w:rsidRPr="0077761A">
        <w:rPr>
          <w:color w:val="auto"/>
          <w:kern w:val="0"/>
          <w:lang w:val="en-US" w:eastAsia="en-US"/>
        </w:rPr>
        <w:t xml:space="preserve"> leaves influenced sperm quality and reproductive performance (Momin &amp; Memiş, 2023). The inclusion of male endpoints is important because hatchery limitations are frequently male-mediated (poor motility, reduced fertilization capacity) and because sperm are particularly vulnerable to oxidative damage. While species and system differences limit direct generalization between trout and tilapia, the shared direction of findings supports the plausibility that leaf-extract complexes can enhance reproductive endpoints across distinct physiological contexts, particularly when oxidative stress and immunological load are meaningful constraints. At the same time, because botanical complexes can vary greatly by preparation method and source, consistent outcomes likely depend on standardization and careful dose selection, consistent with broader cautions about nutraceutical variability and risk management in aquaculture (Chakraborty &amp; Mallick, 2025</w:t>
      </w:r>
      <w:r w:rsidR="00705A87">
        <w:rPr>
          <w:color w:val="auto"/>
          <w:kern w:val="0"/>
          <w:lang w:val="en-US" w:eastAsia="en-US"/>
        </w:rPr>
        <w:t xml:space="preserve">; </w:t>
      </w:r>
      <w:r w:rsidR="00705A87" w:rsidRPr="00705A87">
        <w:rPr>
          <w:color w:val="auto"/>
          <w:kern w:val="0"/>
          <w:lang w:val="en-US" w:eastAsia="en-US"/>
        </w:rPr>
        <w:t>Di Sotto et al., 2020</w:t>
      </w:r>
      <w:r w:rsidRPr="0077761A">
        <w:rPr>
          <w:color w:val="auto"/>
          <w:kern w:val="0"/>
          <w:lang w:val="en-US" w:eastAsia="en-US"/>
        </w:rPr>
        <w:t>).</w:t>
      </w:r>
    </w:p>
    <w:p w14:paraId="6BF1FF9C"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 xml:space="preserve">5.4 Algae and seaweed matrices: nutrient provisioning plus functional </w:t>
      </w:r>
      <w:proofErr w:type="spellStart"/>
      <w:r w:rsidRPr="0077761A">
        <w:rPr>
          <w:b/>
          <w:bCs/>
          <w:color w:val="auto"/>
          <w:kern w:val="0"/>
          <w:sz w:val="27"/>
          <w:szCs w:val="27"/>
          <w:lang w:val="en-US" w:eastAsia="en-US"/>
        </w:rPr>
        <w:t>bioactives</w:t>
      </w:r>
      <w:proofErr w:type="spellEnd"/>
    </w:p>
    <w:p w14:paraId="3DE7F2A5"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Algae-derived nutraceuticals occupy a distinctive niche because they are often delivered as matrices rich in pigments, vitamins, and other micronutrients that may directly influence egg composition and gamete membrane integrity, while also providing antioxidant capacity. Microalgae evidence in broodstock contexts shows that such matrices can translate into clear hatchery-relevant endpoints. In Nile tilapia broodstock, dietary inclusion of dried microalgae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(Abdel-Moez et al., 2024). This outcome aligns with the idea that microalgal matrices can enhance oocyte provisioning and biochemical robustness, potentially by supporting antioxidant reserves and improving the quality of lipids and micronutrients deposited into eggs. From an operational viewpoint, egg quality is often a stronger predictor of larval survival than sheer egg number, so improvements in egg quality can be disproportionately valuable even when fecundity gains are modest.</w:t>
      </w:r>
    </w:p>
    <w:p w14:paraId="06546EC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lastRenderedPageBreak/>
        <w:t>Macroalgae evidence extends this logic, particularly for male reproductive endpoints in marine broodstock systems. Dietary supplementation with macroalgae has been associated with improved sperm quality and reproductive parameters in marine fish broodstock (Félix et al., 2024). Although the specific mechanisms can vary by macroalgal type and preparation, the evidence supports a general inference: seaweed-derived matrices may confer reproductive benefits through combined antioxidant and immunomodulatory actions and by supplying micronutrients that support gamete function. Importantly, algae-based interventions are often viewed as comparatively lower-risk than phytoestrogen-rich plant meals with strong endocrine activity, but they still require compositional profiling and quality control to ensure consistent bioactive delivery and to avoid batch-to-batch variability that undermines reproducibility.</w:t>
      </w:r>
    </w:p>
    <w:p w14:paraId="702B4D31"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5.5 Integrating across classes: when benefits are most reproducible and when risks dominate</w:t>
      </w:r>
    </w:p>
    <w:p w14:paraId="483D3CC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Across nutraceutical classes, two broad evidence patterns emerge. The first is that interventions improving systemic condition—oxidative balance, immune stability, and nutrient provisioning—tend to yield more reproducible improvements in reproductive performance and gamete/egg quality in aquaculture trials, as suggested by outcomes observed with </w:t>
      </w:r>
      <w:r w:rsidRPr="0077761A">
        <w:rPr>
          <w:i/>
          <w:iCs/>
          <w:color w:val="auto"/>
          <w:kern w:val="0"/>
          <w:lang w:val="en-US" w:eastAsia="en-US"/>
        </w:rPr>
        <w:t>Moringa oleifera</w:t>
      </w:r>
      <w:r w:rsidRPr="0077761A">
        <w:rPr>
          <w:color w:val="auto"/>
          <w:kern w:val="0"/>
          <w:lang w:val="en-US" w:eastAsia="en-US"/>
        </w:rPr>
        <w:t xml:space="preserve"> extract under saltwater stress (Sallam et al., 2025), Moringa leaves in male trout broodstock (Momin &amp; Memiş, 2023), microalgae inclusion improving egg quality (Abdel-Moez et al., 2024), macroalgae supporting sperm quality (Félix et al., 2024), and formulation-optimized polyphenols affecting spawning performance (Eissa et al., 2024). The second pattern is that endocrine-active botanicals (phytoestrogens) show the strongest mechanistic plausibility but the widest outcome variance, with clear potential for beneficial modulation in some contexts and disruption in others. This variance is supported by model and mechanistic evidence of multi-pathway developmental effects (Sassi-Messai et al., 2009), altered steroid metabolism and clearance (Ng et al., 2006), and multi-tissue changes in sex-related gene expression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alongside broader synthesis emphasizing friend–foe duality in aquaculture applications (Chakraborty &amp; Mallick, 2025).</w:t>
      </w:r>
    </w:p>
    <w:p w14:paraId="70514807"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practical synthesis is therefore to treat nutraceutical selection as a match between “dominant bottleneck” and “dominant mechanism.” When hatchery outcomes are constrained by environmental stress, disease pressure, or oxidative instability, matrix-based and antioxidant-focused nutraceuticals may offer the most reliable gains. When interventions involve endocrine-active components, the evidence supports a stricter governance approach: conservative dosing, avoidance of sensitive developmental windows, and use of mechanistic biomarkers to detect unintended endocrine drift early, consistent with the risk-aware framing of phytoestrogens in aquaculture (Chakraborty &amp; Mallick, 2025). In this way, the evidence across classes becomes coherent: nutraceuticals can improve reproduction, but reproducibility depends on mechanism, formulation, and context, and the strongest endocrine levers are also the levers most likely to generate unintended consequences if unmanaged.</w:t>
      </w:r>
    </w:p>
    <w:p w14:paraId="7945150C" w14:textId="77777777" w:rsidR="00294D81" w:rsidRPr="00294D81" w:rsidRDefault="00294D81" w:rsidP="007E58A5">
      <w:pPr>
        <w:spacing w:after="0" w:line="240" w:lineRule="auto"/>
        <w:ind w:left="0" w:right="0" w:firstLine="0"/>
        <w:rPr>
          <w:color w:val="auto"/>
          <w:kern w:val="0"/>
          <w:lang w:val="en-GB" w:eastAsia="en-US"/>
        </w:rPr>
      </w:pPr>
    </w:p>
    <w:p w14:paraId="6A456BC3" w14:textId="77777777" w:rsidR="00926AE1" w:rsidRPr="00926AE1" w:rsidRDefault="00926AE1"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926AE1">
        <w:rPr>
          <w:b/>
          <w:bCs/>
          <w:color w:val="auto"/>
          <w:kern w:val="0"/>
          <w:sz w:val="36"/>
          <w:szCs w:val="36"/>
          <w:lang w:val="en-US" w:eastAsia="en-US"/>
        </w:rPr>
        <w:t>6. Applications in aquaculture: design principles and operational use-cases</w:t>
      </w:r>
    </w:p>
    <w:p w14:paraId="0444022B"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lastRenderedPageBreak/>
        <w:t>Plant-derived nutraceuticals are most useful in aquaculture when they are treated as precision tools within a broodstock and hatchery management system, rather than as generic “health boosters.” The practical aim is to improve the reliability of gamete output, fertilization and hatch success, and early larval robustness under real farming conditions where broodfish experience handling stress, environmental variability, and fluctuating feed ingredient composition. Broodstock nutrition studies have long established that pre-spawning dietary conditioning can shape reproductive performance and progeny quality, providing the conceptual foundation for adding functional ingredients with targeted physiological roles (Izquierdo et al., 2001). The design challenge in nutraceutical applications is to translate mechanistic promise into reproducible outcomes while minimizing reproductive risk from endocrine-active phytochemicals that may be present in plant-rich diets (Chakraborty &amp; Mallick, 2025).</w:t>
      </w:r>
    </w:p>
    <w:p w14:paraId="4013D56E"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6.1 Broodstock conditioning strategies aligned to bottlenecks in reproduction</w:t>
      </w:r>
    </w:p>
    <w:p w14:paraId="53EFC470"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Operational use begins with identifying the primary reproductive bottleneck in a given system: inconsistent maturation, poor egg quality, low fertilization, weak hatch performance, or reduced sperm function. Nutraceuticals that primarily support oxidative balance and nutrient provisioning are often most defensible as first-line interventions because they act through broad, resilience-oriented pathways. For example, microalgal matrices that improve egg quality in broodstock offer a practical route to enhance oocyte provisioning and embryo robustness without relying on deliberate endocrine manipulation. In Nile tilapia, inclusion of dried </w:t>
      </w:r>
      <w:r w:rsidRPr="00926AE1">
        <w:rPr>
          <w:i/>
          <w:iCs/>
          <w:color w:val="auto"/>
          <w:kern w:val="0"/>
          <w:lang w:val="en-US" w:eastAsia="en-US"/>
        </w:rPr>
        <w:t xml:space="preserve">Cyclotella </w:t>
      </w:r>
      <w:proofErr w:type="spellStart"/>
      <w:r w:rsidRPr="00926AE1">
        <w:rPr>
          <w:i/>
          <w:iCs/>
          <w:color w:val="auto"/>
          <w:kern w:val="0"/>
          <w:lang w:val="en-US" w:eastAsia="en-US"/>
        </w:rPr>
        <w:t>menegheniana</w:t>
      </w:r>
      <w:proofErr w:type="spellEnd"/>
      <w:r w:rsidRPr="00926AE1">
        <w:rPr>
          <w:color w:val="auto"/>
          <w:kern w:val="0"/>
          <w:lang w:val="en-US" w:eastAsia="en-US"/>
        </w:rPr>
        <w:t xml:space="preserve"> in </w:t>
      </w:r>
      <w:proofErr w:type="spellStart"/>
      <w:r w:rsidRPr="00926AE1">
        <w:rPr>
          <w:color w:val="auto"/>
          <w:kern w:val="0"/>
          <w:lang w:val="en-US" w:eastAsia="en-US"/>
        </w:rPr>
        <w:t>broodstock</w:t>
      </w:r>
      <w:proofErr w:type="spellEnd"/>
      <w:r w:rsidRPr="00926AE1">
        <w:rPr>
          <w:color w:val="auto"/>
          <w:kern w:val="0"/>
          <w:lang w:val="en-US" w:eastAsia="en-US"/>
        </w:rPr>
        <w:t xml:space="preserve"> diets improved reproductive performance and egg quality, illustrating a direct hatchery-relevant outcome consistent with improved biochemical support for oogenesis and embryogenesis (Abdel-Moez et al., 2024). Such results encourage a “quality-first” design logic: even when fecundity changes are modest, improvements in egg quality can yield disproportionate gains in larval viability and hatchery throughput.</w:t>
      </w:r>
    </w:p>
    <w:p w14:paraId="304FD09C"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For male-focused constraints, nutraceutical design should prioritize maintenance of sperm motility and integrity, which are sensitive to oxidative and metabolic disturbances. Formulation becomes central here because bioavailability can determine whether a compound affects reproductive tissues. Evidence that curcumin, nano-curcumin, and their combination can differentially influence spawning-related traits in tilapia underscores that delivery format is not a minor detail; it can be a deciding factor in efficacy and consistency in farm-like feeding regimes (Eissa et al., 2024). In practice, this means that “ingredient selection” should be paired with “formulation selection,” especially for polyphenol-type nutraceuticals where absorption can be limiting.</w:t>
      </w:r>
    </w:p>
    <w:p w14:paraId="0102B4F0"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6.2 Reproductive resilience under environmental stress and intensification</w:t>
      </w:r>
    </w:p>
    <w:p w14:paraId="5FE3FA82"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A high-value operational use-case is buffering reproduction against stressors that commonly suppress the reproductive axis or damage gametes, such as salinity shifts, crowding, and frequent handling. In these settings, nutraceuticals may not primarily act by stimulating reproduction, but by stabilizing systemic physiology so that normal maturation and gamete development proceed reliably. A salient example is long-term dietary supplementation with </w:t>
      </w:r>
      <w:r w:rsidRPr="00926AE1">
        <w:rPr>
          <w:i/>
          <w:iCs/>
          <w:color w:val="auto"/>
          <w:kern w:val="0"/>
          <w:lang w:val="en-US" w:eastAsia="en-US"/>
        </w:rPr>
        <w:t>Moringa oleifera</w:t>
      </w:r>
      <w:r w:rsidRPr="00926AE1">
        <w:rPr>
          <w:color w:val="auto"/>
          <w:kern w:val="0"/>
          <w:lang w:val="en-US" w:eastAsia="en-US"/>
        </w:rPr>
        <w:t xml:space="preserve"> leaf extract in Florida red tilapia reared in saltwater, where improvements were reported in maturation and reproduction alongside broader performance and immune outcomes (Sallam et al., 2025). For aquaculture operations, this supports a practical principle: nutraceutical inclusion can be targeted to predictable “high-risk” periods (pre-spawning </w:t>
      </w:r>
      <w:r w:rsidRPr="00926AE1">
        <w:rPr>
          <w:color w:val="auto"/>
          <w:kern w:val="0"/>
          <w:lang w:val="en-US" w:eastAsia="en-US"/>
        </w:rPr>
        <w:lastRenderedPageBreak/>
        <w:t>conditioning, environmental transitions, or high handling frequency) to reduce variability in reproductive outputs, rather than being used continuously without regard to reproductive stage.</w:t>
      </w:r>
    </w:p>
    <w:p w14:paraId="480E2438"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6.3 Managing endocrine-active exposure in plant-forward feeds</w:t>
      </w:r>
    </w:p>
    <w:p w14:paraId="61905939"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As aquaculture shifts further toward plant-based ingredients, the reproductive consequences of dietary phytoestrogens become a management issue rather than a niche concern. The operational risk is not limited to overt feminization; subtler endocrine effects can shift reproductive timing, disrupt steroid balance, and alter molecular programming relevant to sex and maturation. Mechanistically, soybean isoflavones such as genistein can inhibit estrogen metabolism in salmonid fish, implying that diets can modify effective estrogen exposure by slowing clearance rather than changing synthesis (Ng et al., 2006). This has direct operational implications for broodstock: even when total dietary protein and energy are appropriate, changes in ingredient sourcing or processing that increase isoflavone exposure may shift reproductive dynamics across a season.</w:t>
      </w:r>
    </w:p>
    <w:p w14:paraId="79BBDA96"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Moreover, evidence that phytoestrogen supplementation can alter sex-related gene expression across gonads, brain, and liver in Russian sturgeon indicates that endocrine-active components can imprint multi-tissue molecular changes that may not be immediately obvious from short-term performance metrics (</w:t>
      </w:r>
      <w:proofErr w:type="spellStart"/>
      <w:r w:rsidRPr="00926AE1">
        <w:rPr>
          <w:color w:val="auto"/>
          <w:kern w:val="0"/>
          <w:lang w:val="en-US" w:eastAsia="en-US"/>
        </w:rPr>
        <w:t>Fajkowska</w:t>
      </w:r>
      <w:proofErr w:type="spellEnd"/>
      <w:r w:rsidRPr="00926AE1">
        <w:rPr>
          <w:color w:val="auto"/>
          <w:kern w:val="0"/>
          <w:lang w:val="en-US" w:eastAsia="en-US"/>
        </w:rPr>
        <w:t xml:space="preserve"> et al., 2021). Developmental model evidence also highlights that endocrine-active compounds like genistein can affect biological pathways in more than one way, supporting a conservative approach during sensitive windows (Sassi-Messai et al., 2009). In operational terms, this favors a staged strategy: minimizing high-phytoestrogen exposure during early life stages and sex differentiation windows, and using any endocrine-active botanical interventions—if used at all—under controlled conditions with defined objectives and monitoring, consistent with the “friend or foe” framing in aquaculture discussions (Chakraborty &amp; Mallick, 2025).</w:t>
      </w:r>
    </w:p>
    <w:p w14:paraId="36BDA880"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6.4 Implementation: quality control, monitoring, and decision rules for adoption</w:t>
      </w:r>
    </w:p>
    <w:p w14:paraId="24F601A8"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Even when a nutraceutical has supportive evidence, successful deployment depends on repeatability, which is frequently undermined by variability in botanical composition. Therefore, implementation should emphasize standardization (marker compounds, batch specifications), stability during storage, and consistency in inclusion rates across feed manufacturing. Formulation choice can be integral to quality control because it shapes bioavailability and can alter the apparent dose–response relationship, as highlighted by comparative outcomes between curcumin and nano-curcumin approaches (Eissa et al., 2024). In addition, because endocrine-active exposures can produce molecular shifts before visible production impacts, performance-only monitoring is insufficient for higher-risk botanicals. Where feasible, routine screening of endocrine-sensitive indicators or tissue-level reproductive biomarkers can provide early detection of undesirable drift, which is particularly relevant given evidence of altered steroid metabolism (Ng et al., 2006) and sex-related gene expression responses (</w:t>
      </w:r>
      <w:proofErr w:type="spellStart"/>
      <w:r w:rsidRPr="00926AE1">
        <w:rPr>
          <w:color w:val="auto"/>
          <w:kern w:val="0"/>
          <w:lang w:val="en-US" w:eastAsia="en-US"/>
        </w:rPr>
        <w:t>Fajkowska</w:t>
      </w:r>
      <w:proofErr w:type="spellEnd"/>
      <w:r w:rsidRPr="00926AE1">
        <w:rPr>
          <w:color w:val="auto"/>
          <w:kern w:val="0"/>
          <w:lang w:val="en-US" w:eastAsia="en-US"/>
        </w:rPr>
        <w:t xml:space="preserve"> et al., 2021).</w:t>
      </w:r>
    </w:p>
    <w:p w14:paraId="0CAA44A1"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Ultimately, the operational decision to adopt a nutraceutical should be anchored to hatchery outcomes that matter economically—spawning frequency, viable egg output, fertilization and hatch success, and larval robustness—while also integrating a safety mindset for endocrine-active ingredients. This dual approach aligns nutraceutical use with the long-established </w:t>
      </w:r>
      <w:r w:rsidRPr="00926AE1">
        <w:rPr>
          <w:color w:val="auto"/>
          <w:kern w:val="0"/>
          <w:lang w:val="en-US" w:eastAsia="en-US"/>
        </w:rPr>
        <w:lastRenderedPageBreak/>
        <w:t xml:space="preserve">broodstock nutrition paradigm that reproductive success is an outcome of sustained conditioning and biochemical preparedness, not a single additive effect (Izquierdo et al., 2001), and it reflects the modern reality that plant-derived </w:t>
      </w:r>
      <w:proofErr w:type="spellStart"/>
      <w:r w:rsidRPr="00926AE1">
        <w:rPr>
          <w:color w:val="auto"/>
          <w:kern w:val="0"/>
          <w:lang w:val="en-US" w:eastAsia="en-US"/>
        </w:rPr>
        <w:t>bioactives</w:t>
      </w:r>
      <w:proofErr w:type="spellEnd"/>
      <w:r w:rsidRPr="00926AE1">
        <w:rPr>
          <w:color w:val="auto"/>
          <w:kern w:val="0"/>
          <w:lang w:val="en-US" w:eastAsia="en-US"/>
        </w:rPr>
        <w:t xml:space="preserve"> can be both beneficial tools and potential reproductive stressors depending on exposure conditions (Chakraborty &amp; Mallick, 2025).</w:t>
      </w:r>
    </w:p>
    <w:p w14:paraId="7B17899C" w14:textId="77777777" w:rsidR="00926AE1" w:rsidRDefault="00926AE1" w:rsidP="007E58A5">
      <w:pPr>
        <w:spacing w:before="100" w:beforeAutospacing="1" w:after="100" w:afterAutospacing="1" w:line="240" w:lineRule="auto"/>
        <w:ind w:left="0" w:right="0" w:firstLine="0"/>
        <w:outlineLvl w:val="1"/>
        <w:rPr>
          <w:b/>
          <w:bCs/>
          <w:color w:val="auto"/>
          <w:kern w:val="0"/>
          <w:sz w:val="36"/>
          <w:szCs w:val="36"/>
          <w:lang w:val="en-GB" w:eastAsia="en-US"/>
        </w:rPr>
      </w:pPr>
    </w:p>
    <w:p w14:paraId="51071D8E" w14:textId="77777777" w:rsidR="00926AE1" w:rsidRPr="00926AE1" w:rsidRDefault="00926AE1"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926AE1">
        <w:rPr>
          <w:b/>
          <w:bCs/>
          <w:color w:val="auto"/>
          <w:kern w:val="0"/>
          <w:sz w:val="36"/>
          <w:szCs w:val="36"/>
          <w:lang w:val="en-US" w:eastAsia="en-US"/>
        </w:rPr>
        <w:t>7. Research gaps and future directions</w:t>
      </w:r>
    </w:p>
    <w:p w14:paraId="1905C268"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Despite rapidly expanding interest in plant-derived nutraceuticals for broodstock conditioning and reproductive management, the field remains constrained by several structural gaps that limit reproducibility and slow translation into standardized hatchery protocols. These gaps span ingredient chemistry, experimental design, endpoint selection, and the ecological realism of trials. Addressing them requires a shift from short-term, single-cycle demonstrations toward mechanistically anchored, multi-cycle, and species-specific evaluation frameworks that reflect the complexity of reproduction in aquaculture settings.</w:t>
      </w:r>
    </w:p>
    <w:p w14:paraId="0CFFBFE3"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7.1 Ingredient standardization and chemical specification</w:t>
      </w:r>
    </w:p>
    <w:p w14:paraId="4A713278"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One of the most persistent barriers is variability in nutraceutical composition. Botanical materials differ by genotype, cultivation conditions, harvest timing, processing steps, extraction solvents, storage duration, and oxidation state. Even when the same plant species is used, the bioactive fraction may fluctuate enough to change biological potency, particularly for endocrine-active components. Future studies should specify at least one to several chemical markers (identity and concentration) that represent the active class, and should report stability over the feeding and storage period. For complex matrices, compositional profiling should extend beyond single-marker reporting because biological effects are frequently driven by mixtures. Stronger reporting standards would enable cross-study comparison and provide the baseline data needed for dose–response synthesis and meta-analysis.</w:t>
      </w:r>
    </w:p>
    <w:p w14:paraId="73A9F89D"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7.2 Dose–response architecture and life-stage sensitivity</w:t>
      </w:r>
    </w:p>
    <w:p w14:paraId="5AB382C3"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A second gap is the limited exploration of dose–response shape and exposure timing relative to reproductive stage. Many nutraceutical effects are plausibly non-linear, with thresholds, plateaus, and potential reversal at high inclusion rates. However, numerous studies assess one or two doses without establishing whether an observed improvement reflects an optimal range or an incidental point on a broader curve. This limitation is amplified for endocrine-active botanicals, where outcomes may depend more on developmental window than on absolute dose. Future work should adopt structured dose designs that span low, intermediate, and high levels, paired with clear reporting of exposure duration and reproductive phase. In addition, life-stage sensitivity should be considered a primary experimental variable, with explicit differentiation between juvenile exposures (including sex differentiation windows), pre-maturation conditioning, active gametogenesis, and final maturation/spawning phases.</w:t>
      </w:r>
    </w:p>
    <w:p w14:paraId="33AC6A0D"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7.3 Endpoint harmonization: linking molecular signals to hatchery outcomes</w:t>
      </w:r>
    </w:p>
    <w:p w14:paraId="786D4E2F"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lastRenderedPageBreak/>
        <w:t>Reproductive outcomes are commonly measured with heterogeneous endpoints, making comparisons difficult. Some studies prioritize gonadosomatic index or steroid hormone concentrations, while others emphasize spawning frequency, egg size distributions, fertilization success, hatch rate, or larval survival. These endpoints do not always align, and improvements in one may not translate into improvements in another. Future research would benefit from a harmonized “core outcome set” that includes at minimum: (</w:t>
      </w:r>
      <w:proofErr w:type="spellStart"/>
      <w:r w:rsidRPr="00926AE1">
        <w:rPr>
          <w:color w:val="auto"/>
          <w:kern w:val="0"/>
          <w:lang w:val="en-US" w:eastAsia="en-US"/>
        </w:rPr>
        <w:t>i</w:t>
      </w:r>
      <w:proofErr w:type="spellEnd"/>
      <w:r w:rsidRPr="00926AE1">
        <w:rPr>
          <w:color w:val="auto"/>
          <w:kern w:val="0"/>
          <w:lang w:val="en-US" w:eastAsia="en-US"/>
        </w:rPr>
        <w:t>) a reproductive performance endpoint (e.g., viable egg output per female or fertilization rate under standardized conditions), (ii) a gamete quality endpoint (e.g., sperm motility and integrity measures, or egg biochemical quality indices), and (iii) a mechanistic proxy (e.g., key steroidogenic or stress-related pathways) sufficient to interpret causality. This structure would allow the field to move from descriptive associations toward testable mechanistic inference and comparability across species and farming systems.</w:t>
      </w:r>
    </w:p>
    <w:p w14:paraId="145D5CA2"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7.4 Multi-cycle, long-term, and transgenerational designs</w:t>
      </w:r>
    </w:p>
    <w:p w14:paraId="5CB77A8E"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Reproduction in aquaculture is inherently cyclical, and broodstock are often maintained for multiple seasons. Yet, many nutraceutical studies are conducted over limited time spans that may capture only a single maturation phase. This creates uncertainty about whether observed benefits persist, diminish, or reverse with repeated use. Long-term exposure also raises the possibility of cumulative endocrine effects or adaptive responses that alter efficacy. Future directions should therefore include multi-cycle broodstock trials that track consistency across successive spawning seasons, as well as designs that evaluate whether nutraceutical exposure influences offspring performance beyond early larval survival, including growth, stress tolerance, and later reproductive traits. Where feasible, transgenerational frameworks should be used to examine whether nutraceutical-driven changes in broodstock physiology translate into heritable or persistent developmental programming effects in progeny.</w:t>
      </w:r>
    </w:p>
    <w:p w14:paraId="05E59346"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7.5 Microbiome and bioavailability: explaining context dependence</w:t>
      </w:r>
    </w:p>
    <w:p w14:paraId="534F974E"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A major unresolved question is why nutraceutical effects are often inconsistent across studies. One plausible driver is the interaction between botanical compounds and gastrointestinal transformation, including microbiome-mediated bioconversion that can change potency and tissue exposure. Bioavailability is also strongly influenced by formulation, particle size, encapsulation, and interactions with dietary lipids and fibers. Future research should better integrate bioavailability measurements (e.g., plasma or tissue exposure markers) and microbiome profiling to clarify whether inconsistent reproductive outcomes reflect true biological variability or differences in effective dose. This is particularly relevant for complex botanical matrices and endocrine-active classes where metabolites may differ in receptor affinity and biological half-life.</w:t>
      </w:r>
    </w:p>
    <w:p w14:paraId="2F6C71FD"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7.6 Ecological realism, stressor interactions, and operational decision tools</w:t>
      </w:r>
    </w:p>
    <w:p w14:paraId="6E5DCAE7"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Hatchery environments include multiple interacting stressors—handling, density, temperature fluctuation, salinity shifts, and subclinical pathogen pressure—that can amplify or mask nutraceutical effects. Many studies are conducted under stable laboratory conditions that underestimate this interaction complexity. A priority future direction is the design of nutraceutical trials that incorporate controlled stressor challenges representative of farming systems, enabling evaluation of whether nutraceuticals enhance reproductive resilience rather than merely improving baseline performance. In parallel, the field needs practical decision tools for industry adoption, including risk-screening workflows for endocrine-active </w:t>
      </w:r>
      <w:r w:rsidRPr="00926AE1">
        <w:rPr>
          <w:color w:val="auto"/>
          <w:kern w:val="0"/>
          <w:lang w:val="en-US" w:eastAsia="en-US"/>
        </w:rPr>
        <w:lastRenderedPageBreak/>
        <w:t>materials, quality-control specifications for botanical batches, and cost–benefit modeling that accounts for improvements in viable larval output rather than only broodstock performance metrics.</w:t>
      </w:r>
    </w:p>
    <w:p w14:paraId="1F3DF183"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7.7 Toward stronger evidence synthesis and reproducibility</w:t>
      </w:r>
    </w:p>
    <w:p w14:paraId="2666F027"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Finally, the evidence base would benefit from greater transparency and replication. Pre-registration of feeding trials, reporting of negative results, and multi-site evaluations would reduce publication bias and improve generalizability. Shared reporting templates—covering ingredient characterization, feeding duration, reproductive stage, sex composition, background diet, and environmental parameters—would strengthen interpretability. Over time, these practices would enable robust synthesis across studies and facilitate the development of standardized nutraceutical guidelines tailored to species, reproductive strategy, and production environment.</w:t>
      </w:r>
    </w:p>
    <w:p w14:paraId="5617DF89" w14:textId="77777777" w:rsidR="00294D81" w:rsidRPr="00294D81" w:rsidRDefault="00294D81" w:rsidP="007E58A5">
      <w:pPr>
        <w:spacing w:after="0" w:line="240" w:lineRule="auto"/>
        <w:ind w:left="0" w:right="0" w:firstLine="0"/>
        <w:rPr>
          <w:color w:val="auto"/>
          <w:kern w:val="0"/>
          <w:lang w:val="en-GB" w:eastAsia="en-US"/>
        </w:rPr>
      </w:pPr>
    </w:p>
    <w:p w14:paraId="6CE75CAA"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8. Conclusions</w:t>
      </w:r>
    </w:p>
    <w:p w14:paraId="02DAD40E" w14:textId="77777777"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Plant-derived nutraceuticals can influence fish reproduction through endocrine modulation, antioxidant protection, metabolic allocation, immune stabilization, and microbiome-mediated biotransformation. Evidence indicates meaningful opportunities to enhance broodstock maturation, gamete quality, and reproductive resilience under aquaculture stressors, particularly when nutraceuticals are standardized, appropriately dosed, and targeted to species- and stage-specific needs. At the same time, endocrine-active phytochemicals—especially phytoestrogens common in plant-based feeds—can disrupt steroid dynamics and sex-related molecular pathways, creating risks that must be actively managed. The most defensible path forward is precision nutraceutical use: chemically characterized ingredients deployed within a monitoring framework that links mechanistic biomarkers to hatchery performance outcomes.</w:t>
      </w:r>
    </w:p>
    <w:p w14:paraId="2005DEF3" w14:textId="77777777" w:rsidR="00294D81" w:rsidRPr="00294D81" w:rsidRDefault="00294D81" w:rsidP="007E58A5">
      <w:pPr>
        <w:spacing w:after="0" w:line="240" w:lineRule="auto"/>
        <w:ind w:left="0" w:right="0" w:firstLine="0"/>
        <w:rPr>
          <w:color w:val="auto"/>
          <w:kern w:val="0"/>
          <w:lang w:val="en-GB" w:eastAsia="en-US"/>
        </w:rPr>
      </w:pPr>
    </w:p>
    <w:p w14:paraId="1C46DD29"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9. Limitations</w:t>
      </w:r>
    </w:p>
    <w:p w14:paraId="659F1FF2" w14:textId="53254C85" w:rsid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Although this review applied explicit database searching and prioritized peer-reviewed studies with mechanistic and performance endpoints, heterogeneity in nutraceutical formulations, dosing regimens, and reproductive metrics limits direct comparability across studies. In addition, automated access controls can restrict direct resolution of some DOI landing pages during verification workflows; while cross-index checks were used where feasible, readers preparing regulatory dossiers or meta-analyses should re-validate all bibliographic metadata directly within their institutional access environment. Finally, the field’s rapid growth means that conclusions may evolve as more standardized, multi-cycle broodstock trials and multigenerational studies become available.</w:t>
      </w:r>
    </w:p>
    <w:p w14:paraId="4C06D58D" w14:textId="77777777" w:rsidR="007E58A5" w:rsidRPr="00694CBA" w:rsidRDefault="007E58A5" w:rsidP="007E58A5">
      <w:pPr>
        <w:spacing w:before="100" w:beforeAutospacing="1" w:after="100" w:afterAutospacing="1" w:line="240" w:lineRule="auto"/>
        <w:ind w:left="0" w:right="0" w:firstLine="0"/>
        <w:rPr>
          <w:b/>
          <w:color w:val="auto"/>
          <w:kern w:val="0"/>
          <w:highlight w:val="yellow"/>
          <w:lang w:val="en-GB" w:eastAsia="en-US"/>
        </w:rPr>
      </w:pPr>
      <w:r w:rsidRPr="00694CBA">
        <w:rPr>
          <w:b/>
          <w:color w:val="auto"/>
          <w:kern w:val="0"/>
          <w:highlight w:val="yellow"/>
          <w:lang w:val="en-GB" w:eastAsia="en-US"/>
        </w:rPr>
        <w:t>Disclaimer (Artificial intelligence)</w:t>
      </w:r>
    </w:p>
    <w:p w14:paraId="58F565CD" w14:textId="2A501797" w:rsidR="007E58A5" w:rsidRPr="00294D81" w:rsidRDefault="007E58A5" w:rsidP="007E58A5">
      <w:pPr>
        <w:spacing w:before="100" w:beforeAutospacing="1" w:after="100" w:afterAutospacing="1" w:line="240" w:lineRule="auto"/>
        <w:ind w:left="0" w:right="0" w:firstLine="0"/>
        <w:rPr>
          <w:color w:val="auto"/>
          <w:kern w:val="0"/>
          <w:lang w:val="en-GB" w:eastAsia="en-US"/>
        </w:rPr>
      </w:pPr>
      <w:r w:rsidRPr="00694CBA">
        <w:rPr>
          <w:color w:val="auto"/>
          <w:kern w:val="0"/>
          <w:highlight w:val="yellow"/>
          <w:lang w:val="en-GB" w:eastAsia="en-US"/>
        </w:rPr>
        <w:lastRenderedPageBreak/>
        <w:t>Author(s) hereby declare that NO generative AI technologies such as Large Language Models (</w:t>
      </w:r>
      <w:proofErr w:type="spellStart"/>
      <w:r w:rsidRPr="00694CBA">
        <w:rPr>
          <w:color w:val="auto"/>
          <w:kern w:val="0"/>
          <w:highlight w:val="yellow"/>
          <w:lang w:val="en-GB" w:eastAsia="en-US"/>
        </w:rPr>
        <w:t>ChatGPT</w:t>
      </w:r>
      <w:proofErr w:type="spellEnd"/>
      <w:r w:rsidRPr="00694CBA">
        <w:rPr>
          <w:color w:val="auto"/>
          <w:kern w:val="0"/>
          <w:highlight w:val="yellow"/>
          <w:lang w:val="en-GB" w:eastAsia="en-US"/>
        </w:rPr>
        <w:t>, COPILOT, etc.) and text-to-image generators have been used during the writing or editing of this manuscript.</w:t>
      </w:r>
    </w:p>
    <w:p w14:paraId="24996DA5" w14:textId="77777777" w:rsidR="00294D81" w:rsidRPr="00294D81" w:rsidRDefault="00294D81" w:rsidP="007E58A5">
      <w:pPr>
        <w:spacing w:after="0" w:line="240" w:lineRule="auto"/>
        <w:ind w:left="0" w:right="0" w:firstLine="0"/>
        <w:rPr>
          <w:color w:val="auto"/>
          <w:kern w:val="0"/>
          <w:lang w:val="en-GB" w:eastAsia="en-US"/>
        </w:rPr>
      </w:pPr>
    </w:p>
    <w:p w14:paraId="2D10078B"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 xml:space="preserve">References </w:t>
      </w:r>
    </w:p>
    <w:p w14:paraId="5AFE269A"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Abaho, I., Gabriel, N. N., &amp; </w:t>
      </w:r>
      <w:proofErr w:type="spellStart"/>
      <w:r w:rsidRPr="00705A87">
        <w:rPr>
          <w:kern w:val="0"/>
        </w:rPr>
        <w:t>Izaara</w:t>
      </w:r>
      <w:proofErr w:type="spellEnd"/>
      <w:r w:rsidRPr="00705A87">
        <w:rPr>
          <w:kern w:val="0"/>
        </w:rPr>
        <w:t>, A. A. (2023). Use of plant extracts to control reproduction in tilapia production systems: An Emerging Eco-Friendly Innovation. In </w:t>
      </w:r>
      <w:r w:rsidRPr="00705A87">
        <w:rPr>
          <w:i/>
          <w:iCs/>
          <w:kern w:val="0"/>
        </w:rPr>
        <w:t>Emerging Sustainable Aquaculture Innovations in Africa</w:t>
      </w:r>
      <w:r w:rsidRPr="00705A87">
        <w:rPr>
          <w:kern w:val="0"/>
        </w:rPr>
        <w:t xml:space="preserve"> (pp. 167-196). Singapore: Springer Nature Singapore. </w:t>
      </w:r>
      <w:hyperlink r:id="rId7" w:history="1">
        <w:r w:rsidRPr="00705A87">
          <w:rPr>
            <w:rStyle w:val="Hyperlink"/>
            <w:kern w:val="0"/>
            <w:lang w:val="en-GB"/>
          </w:rPr>
          <w:t>https://doi.org/10.1007/978-981-19-7451-9_7</w:t>
        </w:r>
      </w:hyperlink>
      <w:r w:rsidRPr="00705A87">
        <w:rPr>
          <w:kern w:val="0"/>
        </w:rPr>
        <w:t xml:space="preserve"> </w:t>
      </w:r>
    </w:p>
    <w:p w14:paraId="631BCA3E"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Abdel-Moez, A. M., Khalil, A. A., Khalil, M. N. E., &amp; Sherif, E. A. (2024). Effect of including dried microalgae </w:t>
      </w:r>
      <w:r w:rsidRPr="00705A87">
        <w:rPr>
          <w:i/>
          <w:iCs/>
          <w:kern w:val="0"/>
        </w:rPr>
        <w:t xml:space="preserve">Cyclotella </w:t>
      </w:r>
      <w:proofErr w:type="spellStart"/>
      <w:r w:rsidRPr="00705A87">
        <w:rPr>
          <w:i/>
          <w:iCs/>
          <w:kern w:val="0"/>
        </w:rPr>
        <w:t>menegheniana</w:t>
      </w:r>
      <w:proofErr w:type="spellEnd"/>
      <w:r w:rsidRPr="00705A87">
        <w:rPr>
          <w:kern w:val="0"/>
        </w:rPr>
        <w:t xml:space="preserve"> in diets on reproductive performance and egg quality of Nile tilapia (</w:t>
      </w:r>
      <w:r w:rsidRPr="00705A87">
        <w:rPr>
          <w:i/>
          <w:iCs/>
          <w:kern w:val="0"/>
        </w:rPr>
        <w:t>Oreochromis niloticus</w:t>
      </w:r>
      <w:r w:rsidRPr="00705A87">
        <w:rPr>
          <w:kern w:val="0"/>
        </w:rPr>
        <w:t xml:space="preserve">) broodstock. </w:t>
      </w:r>
      <w:r w:rsidRPr="00705A87">
        <w:rPr>
          <w:i/>
          <w:iCs/>
          <w:kern w:val="0"/>
        </w:rPr>
        <w:t>Aquaculture Reports, 38</w:t>
      </w:r>
      <w:r w:rsidRPr="00705A87">
        <w:rPr>
          <w:kern w:val="0"/>
        </w:rPr>
        <w:t xml:space="preserve">, 102099. </w:t>
      </w:r>
      <w:hyperlink r:id="rId8" w:history="1">
        <w:r w:rsidRPr="00705A87">
          <w:rPr>
            <w:rStyle w:val="Hyperlink"/>
            <w:kern w:val="0"/>
            <w:lang w:val="en-GB" w:eastAsia="en-US"/>
          </w:rPr>
          <w:t>https://doi.org/10.1016/j.aqrep.2024.102099</w:t>
        </w:r>
      </w:hyperlink>
      <w:r w:rsidRPr="00705A87">
        <w:rPr>
          <w:kern w:val="0"/>
        </w:rPr>
        <w:t xml:space="preserve"> </w:t>
      </w:r>
    </w:p>
    <w:p w14:paraId="3C2AA6BB"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Chakraborty, A., &amp; Mallick, S. (2025). Phytoestrogens in aquaculture: friend or foe to fish growth and reproductive health? </w:t>
      </w:r>
      <w:r w:rsidRPr="00705A87">
        <w:rPr>
          <w:i/>
          <w:iCs/>
          <w:kern w:val="0"/>
        </w:rPr>
        <w:t>Blue Biotechnology, 1</w:t>
      </w:r>
      <w:r w:rsidRPr="00705A87">
        <w:rPr>
          <w:kern w:val="0"/>
        </w:rPr>
        <w:t xml:space="preserve">, Article 00037. </w:t>
      </w:r>
      <w:hyperlink r:id="rId9" w:history="1">
        <w:r w:rsidRPr="00705A87">
          <w:rPr>
            <w:rStyle w:val="Hyperlink"/>
            <w:kern w:val="0"/>
            <w:lang w:val="en-GB" w:eastAsia="en-US"/>
          </w:rPr>
          <w:t>https://doi.org/10.1186/s44315-025-00037-7</w:t>
        </w:r>
      </w:hyperlink>
      <w:r w:rsidRPr="00705A87">
        <w:rPr>
          <w:kern w:val="0"/>
        </w:rPr>
        <w:t xml:space="preserve"> </w:t>
      </w:r>
    </w:p>
    <w:p w14:paraId="4B4B3796"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Di Sotto, A., Vitalone, A., &amp; Di Giacomo, S. (2020). Plant-Derived Nutraceuticals and Immune System Modulation: An Evidence-Based Overview. </w:t>
      </w:r>
      <w:r w:rsidRPr="00705A87">
        <w:rPr>
          <w:i/>
          <w:iCs/>
          <w:kern w:val="0"/>
        </w:rPr>
        <w:t>Vaccines</w:t>
      </w:r>
      <w:r w:rsidRPr="00705A87">
        <w:rPr>
          <w:kern w:val="0"/>
        </w:rPr>
        <w:t>, </w:t>
      </w:r>
      <w:r w:rsidRPr="00705A87">
        <w:rPr>
          <w:i/>
          <w:iCs/>
          <w:kern w:val="0"/>
        </w:rPr>
        <w:t>8</w:t>
      </w:r>
      <w:r w:rsidRPr="00705A87">
        <w:rPr>
          <w:kern w:val="0"/>
        </w:rPr>
        <w:t xml:space="preserve">(3), 468. </w:t>
      </w:r>
      <w:hyperlink r:id="rId10" w:history="1">
        <w:r w:rsidRPr="00705A87">
          <w:rPr>
            <w:rStyle w:val="Hyperlink"/>
            <w:kern w:val="0"/>
            <w:lang w:val="en-GB"/>
          </w:rPr>
          <w:t>https://doi.org/10.3390/vaccines8030468</w:t>
        </w:r>
      </w:hyperlink>
      <w:r w:rsidRPr="00705A87">
        <w:rPr>
          <w:kern w:val="0"/>
        </w:rPr>
        <w:t xml:space="preserve"> </w:t>
      </w:r>
    </w:p>
    <w:p w14:paraId="1FA065AA"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Eissa, E.-S. H., </w:t>
      </w:r>
      <w:proofErr w:type="spellStart"/>
      <w:r w:rsidRPr="00705A87">
        <w:rPr>
          <w:kern w:val="0"/>
        </w:rPr>
        <w:t>Hendam</w:t>
      </w:r>
      <w:proofErr w:type="spellEnd"/>
      <w:r w:rsidRPr="00705A87">
        <w:rPr>
          <w:kern w:val="0"/>
        </w:rPr>
        <w:t xml:space="preserve">, B. M., </w:t>
      </w:r>
      <w:proofErr w:type="spellStart"/>
      <w:r w:rsidRPr="00705A87">
        <w:rPr>
          <w:kern w:val="0"/>
        </w:rPr>
        <w:t>Dighiesh</w:t>
      </w:r>
      <w:proofErr w:type="spellEnd"/>
      <w:r w:rsidRPr="00705A87">
        <w:rPr>
          <w:kern w:val="0"/>
        </w:rPr>
        <w:t>, H. S., Abd Elnabi, H. E., Abd El-Aziz, Y. M., Eissa, M. E. H., Abdelnour, S. A., &amp; Ghanem, S. F. (2024). Comparative effects of curcumin, nano curcumin and their combination on reproductive traits and spawning performance of red tilapia (</w:t>
      </w:r>
      <w:r w:rsidRPr="00705A87">
        <w:rPr>
          <w:i/>
          <w:iCs/>
          <w:kern w:val="0"/>
        </w:rPr>
        <w:t>Oreochromis niloticus</w:t>
      </w:r>
      <w:r w:rsidRPr="00705A87">
        <w:rPr>
          <w:kern w:val="0"/>
        </w:rPr>
        <w:t xml:space="preserve"> × </w:t>
      </w:r>
      <w:r w:rsidRPr="00705A87">
        <w:rPr>
          <w:i/>
          <w:iCs/>
          <w:kern w:val="0"/>
        </w:rPr>
        <w:t xml:space="preserve">O. </w:t>
      </w:r>
      <w:proofErr w:type="spellStart"/>
      <w:r w:rsidRPr="00705A87">
        <w:rPr>
          <w:i/>
          <w:iCs/>
          <w:kern w:val="0"/>
        </w:rPr>
        <w:t>mossambicus</w:t>
      </w:r>
      <w:proofErr w:type="spellEnd"/>
      <w:r w:rsidRPr="00705A87">
        <w:rPr>
          <w:kern w:val="0"/>
        </w:rPr>
        <w:t xml:space="preserve">). </w:t>
      </w:r>
      <w:r w:rsidRPr="00705A87">
        <w:rPr>
          <w:i/>
          <w:iCs/>
          <w:kern w:val="0"/>
        </w:rPr>
        <w:t>BMC Veterinary Research, 20</w:t>
      </w:r>
      <w:r w:rsidRPr="00705A87">
        <w:rPr>
          <w:kern w:val="0"/>
        </w:rPr>
        <w:t xml:space="preserve">, Article 4257. </w:t>
      </w:r>
      <w:hyperlink r:id="rId11" w:history="1">
        <w:r w:rsidRPr="00705A87">
          <w:rPr>
            <w:rStyle w:val="Hyperlink"/>
            <w:kern w:val="0"/>
            <w:lang w:val="en-GB" w:eastAsia="en-US"/>
          </w:rPr>
          <w:t>https://doi.org/10.1186/s12917-024-04257-8</w:t>
        </w:r>
      </w:hyperlink>
      <w:r w:rsidRPr="00705A87">
        <w:rPr>
          <w:kern w:val="0"/>
        </w:rPr>
        <w:t xml:space="preserve"> </w:t>
      </w:r>
    </w:p>
    <w:p w14:paraId="6768DB02" w14:textId="77777777" w:rsidR="00705A87" w:rsidRPr="00705A87" w:rsidRDefault="00705A87" w:rsidP="00162E9C">
      <w:pPr>
        <w:spacing w:before="100" w:beforeAutospacing="1" w:after="100" w:afterAutospacing="1" w:line="240" w:lineRule="auto"/>
        <w:ind w:left="0" w:firstLine="0"/>
        <w:rPr>
          <w:kern w:val="0"/>
        </w:rPr>
      </w:pPr>
      <w:proofErr w:type="spellStart"/>
      <w:r w:rsidRPr="00705A87">
        <w:rPr>
          <w:kern w:val="0"/>
        </w:rPr>
        <w:t>Fajkowska</w:t>
      </w:r>
      <w:proofErr w:type="spellEnd"/>
      <w:r w:rsidRPr="00705A87">
        <w:rPr>
          <w:kern w:val="0"/>
        </w:rPr>
        <w:t xml:space="preserve">, M., Adamek-Urbańska, D., </w:t>
      </w:r>
      <w:proofErr w:type="spellStart"/>
      <w:r w:rsidRPr="00705A87">
        <w:rPr>
          <w:kern w:val="0"/>
        </w:rPr>
        <w:t>Ostaszewska</w:t>
      </w:r>
      <w:proofErr w:type="spellEnd"/>
      <w:r w:rsidRPr="00705A87">
        <w:rPr>
          <w:kern w:val="0"/>
        </w:rPr>
        <w:t xml:space="preserve">, T., Szczepkowski, M., &amp; </w:t>
      </w:r>
      <w:proofErr w:type="spellStart"/>
      <w:r w:rsidRPr="00705A87">
        <w:rPr>
          <w:kern w:val="0"/>
        </w:rPr>
        <w:t>Rzepkowska</w:t>
      </w:r>
      <w:proofErr w:type="spellEnd"/>
      <w:r w:rsidRPr="00705A87">
        <w:rPr>
          <w:kern w:val="0"/>
        </w:rPr>
        <w:t xml:space="preserve">, M. (2021). Effect of genistein, daidzein and </w:t>
      </w:r>
      <w:proofErr w:type="spellStart"/>
      <w:r w:rsidRPr="00705A87">
        <w:rPr>
          <w:kern w:val="0"/>
        </w:rPr>
        <w:t>coumestrol</w:t>
      </w:r>
      <w:proofErr w:type="spellEnd"/>
      <w:r w:rsidRPr="00705A87">
        <w:rPr>
          <w:kern w:val="0"/>
        </w:rPr>
        <w:t xml:space="preserve"> on sex-related genes expression in Russian sturgeon (</w:t>
      </w:r>
      <w:proofErr w:type="spellStart"/>
      <w:r w:rsidRPr="00705A87">
        <w:rPr>
          <w:i/>
          <w:iCs/>
          <w:kern w:val="0"/>
        </w:rPr>
        <w:t>Acipenser</w:t>
      </w:r>
      <w:proofErr w:type="spellEnd"/>
      <w:r w:rsidRPr="00705A87">
        <w:rPr>
          <w:i/>
          <w:iCs/>
          <w:kern w:val="0"/>
        </w:rPr>
        <w:t xml:space="preserve"> </w:t>
      </w:r>
      <w:proofErr w:type="spellStart"/>
      <w:r w:rsidRPr="00705A87">
        <w:rPr>
          <w:i/>
          <w:iCs/>
          <w:kern w:val="0"/>
        </w:rPr>
        <w:t>gueldenstaedtii</w:t>
      </w:r>
      <w:proofErr w:type="spellEnd"/>
      <w:r w:rsidRPr="00705A87">
        <w:rPr>
          <w:kern w:val="0"/>
        </w:rPr>
        <w:t xml:space="preserve">). </w:t>
      </w:r>
      <w:r w:rsidRPr="00705A87">
        <w:rPr>
          <w:i/>
          <w:iCs/>
          <w:kern w:val="0"/>
        </w:rPr>
        <w:t>Aquaculture, 530</w:t>
      </w:r>
      <w:r w:rsidRPr="00705A87">
        <w:rPr>
          <w:kern w:val="0"/>
        </w:rPr>
        <w:t xml:space="preserve">, 735872. </w:t>
      </w:r>
      <w:hyperlink r:id="rId12" w:history="1">
        <w:r w:rsidRPr="00705A87">
          <w:rPr>
            <w:rStyle w:val="Hyperlink"/>
            <w:kern w:val="0"/>
            <w:lang w:val="en-GB" w:eastAsia="en-US"/>
          </w:rPr>
          <w:t>https://doi.org/10.1016/j.aquaculture.2020.735872</w:t>
        </w:r>
      </w:hyperlink>
      <w:r w:rsidRPr="00705A87">
        <w:rPr>
          <w:kern w:val="0"/>
        </w:rPr>
        <w:t xml:space="preserve"> </w:t>
      </w:r>
    </w:p>
    <w:p w14:paraId="3CA6DB08" w14:textId="77777777" w:rsidR="00705A87" w:rsidRPr="00705A87" w:rsidRDefault="00705A87" w:rsidP="00FD6E69">
      <w:pPr>
        <w:spacing w:before="100" w:beforeAutospacing="1" w:after="100" w:afterAutospacing="1" w:line="240" w:lineRule="auto"/>
        <w:ind w:left="0" w:firstLine="0"/>
        <w:rPr>
          <w:kern w:val="0"/>
        </w:rPr>
      </w:pPr>
      <w:r w:rsidRPr="00705A87">
        <w:rPr>
          <w:kern w:val="0"/>
        </w:rPr>
        <w:t xml:space="preserve">Izquierdo, M. S., Fernández-Palacios, H., &amp; Tacon, A. G. J. (2001). Effect of broodstock nutrition on reproductive performance of fish. </w:t>
      </w:r>
      <w:r w:rsidRPr="00705A87">
        <w:rPr>
          <w:i/>
          <w:iCs/>
          <w:kern w:val="0"/>
        </w:rPr>
        <w:t>Aquaculture, 197</w:t>
      </w:r>
      <w:r w:rsidRPr="00705A87">
        <w:rPr>
          <w:kern w:val="0"/>
        </w:rPr>
        <w:t xml:space="preserve">(1–4), 25–42. </w:t>
      </w:r>
      <w:hyperlink r:id="rId13" w:history="1">
        <w:r w:rsidRPr="00705A87">
          <w:rPr>
            <w:rStyle w:val="Hyperlink"/>
            <w:kern w:val="0"/>
            <w:lang w:val="en-GB" w:eastAsia="en-US"/>
          </w:rPr>
          <w:t>https://doi.org/10.1016/S0044-8486(01)00581-6</w:t>
        </w:r>
      </w:hyperlink>
      <w:r w:rsidRPr="00705A87">
        <w:rPr>
          <w:kern w:val="0"/>
        </w:rPr>
        <w:t xml:space="preserve"> </w:t>
      </w:r>
    </w:p>
    <w:p w14:paraId="682D8CAF" w14:textId="77777777" w:rsidR="00705A87" w:rsidRPr="00705A87" w:rsidRDefault="00705A87" w:rsidP="00FD6E69">
      <w:pPr>
        <w:spacing w:before="100" w:beforeAutospacing="1" w:after="100" w:afterAutospacing="1" w:line="240" w:lineRule="auto"/>
        <w:ind w:left="0" w:firstLine="0"/>
        <w:rPr>
          <w:kern w:val="0"/>
        </w:rPr>
      </w:pPr>
      <w:r w:rsidRPr="00705A87">
        <w:rPr>
          <w:kern w:val="0"/>
        </w:rPr>
        <w:t xml:space="preserve">Kidd, K. A., Blanchfield, P. J., Mills, K. H., Palace, V. P., Evans, R. E., Lazorchak, J. M., &amp; Flick, R. W. (2007). Collapse of a fish population after exposure to a synthetic </w:t>
      </w:r>
      <w:proofErr w:type="spellStart"/>
      <w:r w:rsidRPr="00705A87">
        <w:rPr>
          <w:kern w:val="0"/>
        </w:rPr>
        <w:t>estrogen</w:t>
      </w:r>
      <w:proofErr w:type="spellEnd"/>
      <w:r w:rsidRPr="00705A87">
        <w:rPr>
          <w:kern w:val="0"/>
        </w:rPr>
        <w:t xml:space="preserve">. </w:t>
      </w:r>
      <w:r w:rsidRPr="00705A87">
        <w:rPr>
          <w:i/>
          <w:iCs/>
          <w:kern w:val="0"/>
        </w:rPr>
        <w:t>Proceedings of the National Academy of Sciences of the United States of America, 104</w:t>
      </w:r>
      <w:r w:rsidRPr="00705A87">
        <w:rPr>
          <w:kern w:val="0"/>
        </w:rPr>
        <w:t xml:space="preserve">(21), 8897–8901. </w:t>
      </w:r>
      <w:hyperlink r:id="rId14" w:history="1">
        <w:r w:rsidRPr="00705A87">
          <w:rPr>
            <w:rStyle w:val="Hyperlink"/>
            <w:kern w:val="0"/>
            <w:lang w:val="en-GB" w:eastAsia="en-US"/>
          </w:rPr>
          <w:t>https://doi.org/10.1073/pnas.0609568104</w:t>
        </w:r>
      </w:hyperlink>
      <w:r w:rsidRPr="00705A87">
        <w:rPr>
          <w:kern w:val="0"/>
        </w:rPr>
        <w:t xml:space="preserve"> </w:t>
      </w:r>
    </w:p>
    <w:p w14:paraId="367AFA0E" w14:textId="77777777" w:rsidR="00705A87" w:rsidRPr="00705A87" w:rsidRDefault="00705A87" w:rsidP="00FD6E69">
      <w:pPr>
        <w:spacing w:before="100" w:beforeAutospacing="1" w:after="100" w:afterAutospacing="1" w:line="240" w:lineRule="auto"/>
        <w:ind w:left="0" w:firstLine="0"/>
        <w:rPr>
          <w:kern w:val="0"/>
        </w:rPr>
      </w:pPr>
      <w:r w:rsidRPr="00705A87">
        <w:rPr>
          <w:kern w:val="0"/>
        </w:rPr>
        <w:t xml:space="preserve">Lazzarotto, V., </w:t>
      </w:r>
      <w:proofErr w:type="spellStart"/>
      <w:r w:rsidRPr="00705A87">
        <w:rPr>
          <w:kern w:val="0"/>
        </w:rPr>
        <w:t>Corraze</w:t>
      </w:r>
      <w:proofErr w:type="spellEnd"/>
      <w:r w:rsidRPr="00705A87">
        <w:rPr>
          <w:kern w:val="0"/>
        </w:rPr>
        <w:t xml:space="preserve">, G., Leprevost, A., Quillet, E., Dupont-Nivet, M., &amp; </w:t>
      </w:r>
      <w:proofErr w:type="spellStart"/>
      <w:r w:rsidRPr="00705A87">
        <w:rPr>
          <w:kern w:val="0"/>
        </w:rPr>
        <w:t>Médale</w:t>
      </w:r>
      <w:proofErr w:type="spellEnd"/>
      <w:r w:rsidRPr="00705A87">
        <w:rPr>
          <w:kern w:val="0"/>
        </w:rPr>
        <w:t xml:space="preserve">, F. (2015). Three-year breeding cycle of rainbow trout (Oncorhynchus mykiss) fed a plant-based diet, totally free of marine resources: consequences for reproduction, fatty acid composition </w:t>
      </w:r>
      <w:r w:rsidRPr="00705A87">
        <w:rPr>
          <w:kern w:val="0"/>
        </w:rPr>
        <w:lastRenderedPageBreak/>
        <w:t>and progeny survival. </w:t>
      </w:r>
      <w:proofErr w:type="spellStart"/>
      <w:r w:rsidRPr="00705A87">
        <w:rPr>
          <w:i/>
          <w:iCs/>
          <w:kern w:val="0"/>
        </w:rPr>
        <w:t>PloS</w:t>
      </w:r>
      <w:proofErr w:type="spellEnd"/>
      <w:r w:rsidRPr="00705A87">
        <w:rPr>
          <w:i/>
          <w:iCs/>
          <w:kern w:val="0"/>
        </w:rPr>
        <w:t xml:space="preserve"> one</w:t>
      </w:r>
      <w:r w:rsidRPr="00705A87">
        <w:rPr>
          <w:kern w:val="0"/>
        </w:rPr>
        <w:t>, </w:t>
      </w:r>
      <w:r w:rsidRPr="00705A87">
        <w:rPr>
          <w:i/>
          <w:iCs/>
          <w:kern w:val="0"/>
        </w:rPr>
        <w:t>10</w:t>
      </w:r>
      <w:r w:rsidRPr="00705A87">
        <w:rPr>
          <w:kern w:val="0"/>
        </w:rPr>
        <w:t xml:space="preserve">(2), e0117609. </w:t>
      </w:r>
      <w:hyperlink r:id="rId15" w:history="1">
        <w:r w:rsidRPr="00705A87">
          <w:rPr>
            <w:rStyle w:val="Hyperlink"/>
            <w:kern w:val="0"/>
            <w:lang w:val="en-GB"/>
          </w:rPr>
          <w:t>https://doi.org/10.1371/journal.pone.0117609</w:t>
        </w:r>
      </w:hyperlink>
      <w:r w:rsidRPr="00705A87">
        <w:rPr>
          <w:kern w:val="0"/>
        </w:rPr>
        <w:t xml:space="preserve"> </w:t>
      </w:r>
    </w:p>
    <w:p w14:paraId="26D7B4D1" w14:textId="77777777" w:rsidR="00705A87" w:rsidRPr="00705A87" w:rsidRDefault="00705A87" w:rsidP="002761A6">
      <w:pPr>
        <w:spacing w:before="100" w:beforeAutospacing="1" w:after="100" w:afterAutospacing="1" w:line="240" w:lineRule="auto"/>
        <w:ind w:left="0" w:firstLine="0"/>
        <w:rPr>
          <w:kern w:val="0"/>
        </w:rPr>
      </w:pPr>
      <w:r w:rsidRPr="00705A87">
        <w:rPr>
          <w:kern w:val="0"/>
        </w:rPr>
        <w:t xml:space="preserve">Moezzi, S. A., Ramezani, S., Rezaei, K., &amp; </w:t>
      </w:r>
      <w:proofErr w:type="spellStart"/>
      <w:r w:rsidRPr="00705A87">
        <w:rPr>
          <w:kern w:val="0"/>
        </w:rPr>
        <w:t>Khoei</w:t>
      </w:r>
      <w:proofErr w:type="spellEnd"/>
      <w:r w:rsidRPr="00705A87">
        <w:rPr>
          <w:kern w:val="0"/>
        </w:rPr>
        <w:t xml:space="preserve">, A. J. (2025). Mechanisms of Pesticide Toxicity in Fish: Insights </w:t>
      </w:r>
      <w:proofErr w:type="gramStart"/>
      <w:r w:rsidRPr="00705A87">
        <w:rPr>
          <w:kern w:val="0"/>
        </w:rPr>
        <w:t>Into</w:t>
      </w:r>
      <w:proofErr w:type="gramEnd"/>
      <w:r w:rsidRPr="00705A87">
        <w:rPr>
          <w:kern w:val="0"/>
        </w:rPr>
        <w:t xml:space="preserve"> the Ameliorative Role of Plant‐Derived Compounds—A Review. </w:t>
      </w:r>
      <w:r w:rsidRPr="00705A87">
        <w:rPr>
          <w:i/>
          <w:iCs/>
          <w:kern w:val="0"/>
        </w:rPr>
        <w:t>Aquaculture Nutrition</w:t>
      </w:r>
      <w:r w:rsidRPr="00705A87">
        <w:rPr>
          <w:kern w:val="0"/>
        </w:rPr>
        <w:t>, </w:t>
      </w:r>
      <w:r w:rsidRPr="00705A87">
        <w:rPr>
          <w:i/>
          <w:iCs/>
          <w:kern w:val="0"/>
        </w:rPr>
        <w:t>2025</w:t>
      </w:r>
      <w:r w:rsidRPr="00705A87">
        <w:rPr>
          <w:kern w:val="0"/>
        </w:rPr>
        <w:t xml:space="preserve">(1), 5328773.  </w:t>
      </w:r>
      <w:hyperlink r:id="rId16" w:history="1">
        <w:r w:rsidRPr="00705A87">
          <w:rPr>
            <w:rStyle w:val="Hyperlink"/>
            <w:kern w:val="0"/>
            <w:lang w:val="en-GB"/>
          </w:rPr>
          <w:t>https://doi.org/10.1155/anu/5328773</w:t>
        </w:r>
      </w:hyperlink>
      <w:r w:rsidRPr="00705A87">
        <w:rPr>
          <w:kern w:val="0"/>
        </w:rPr>
        <w:t xml:space="preserve"> </w:t>
      </w:r>
    </w:p>
    <w:p w14:paraId="3C408593"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 xml:space="preserve">Momin, M., &amp; Memiş, D. (2023). Dietary </w:t>
      </w:r>
      <w:r w:rsidRPr="00705A87">
        <w:rPr>
          <w:i/>
          <w:iCs/>
          <w:kern w:val="0"/>
        </w:rPr>
        <w:t>Moringa oleifera</w:t>
      </w:r>
      <w:r w:rsidRPr="00705A87">
        <w:rPr>
          <w:kern w:val="0"/>
        </w:rPr>
        <w:t xml:space="preserve"> leaves to male rainbow trout (</w:t>
      </w:r>
      <w:r w:rsidRPr="00705A87">
        <w:rPr>
          <w:i/>
          <w:iCs/>
          <w:kern w:val="0"/>
        </w:rPr>
        <w:t>Oncorhynchus mykiss</w:t>
      </w:r>
      <w:r w:rsidRPr="00705A87">
        <w:rPr>
          <w:kern w:val="0"/>
        </w:rPr>
        <w:t xml:space="preserve">) broodstock: Effects on sperm quality and reproductive performance. </w:t>
      </w:r>
      <w:r w:rsidRPr="00705A87">
        <w:rPr>
          <w:i/>
          <w:iCs/>
          <w:kern w:val="0"/>
        </w:rPr>
        <w:t>Aquaculture, 577</w:t>
      </w:r>
      <w:r w:rsidRPr="00705A87">
        <w:rPr>
          <w:kern w:val="0"/>
        </w:rPr>
        <w:t xml:space="preserve">, 739991. </w:t>
      </w:r>
      <w:hyperlink r:id="rId17" w:history="1">
        <w:r w:rsidRPr="00705A87">
          <w:rPr>
            <w:rStyle w:val="Hyperlink"/>
            <w:kern w:val="0"/>
            <w:lang w:val="en-GB" w:eastAsia="en-US"/>
          </w:rPr>
          <w:t>https://doi.org/10.1016/j.aquaculture.2023.739991</w:t>
        </w:r>
      </w:hyperlink>
      <w:r w:rsidRPr="00705A87">
        <w:rPr>
          <w:kern w:val="0"/>
        </w:rPr>
        <w:t xml:space="preserve"> </w:t>
      </w:r>
    </w:p>
    <w:p w14:paraId="12513577"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 xml:space="preserve">Ng, Y., Hanson, S., </w:t>
      </w:r>
      <w:proofErr w:type="spellStart"/>
      <w:r w:rsidRPr="00705A87">
        <w:rPr>
          <w:kern w:val="0"/>
        </w:rPr>
        <w:t>Malison</w:t>
      </w:r>
      <w:proofErr w:type="spellEnd"/>
      <w:r w:rsidRPr="00705A87">
        <w:rPr>
          <w:kern w:val="0"/>
        </w:rPr>
        <w:t xml:space="preserve">, J. A., Wentworth, B., &amp; Barry, T. P. (2006). Genistein and other isoflavones found in soybeans inhibit </w:t>
      </w:r>
      <w:proofErr w:type="spellStart"/>
      <w:r w:rsidRPr="00705A87">
        <w:rPr>
          <w:kern w:val="0"/>
        </w:rPr>
        <w:t>estrogen</w:t>
      </w:r>
      <w:proofErr w:type="spellEnd"/>
      <w:r w:rsidRPr="00705A87">
        <w:rPr>
          <w:kern w:val="0"/>
        </w:rPr>
        <w:t xml:space="preserve"> metabolism in salmonid fish. </w:t>
      </w:r>
      <w:r w:rsidRPr="00705A87">
        <w:rPr>
          <w:i/>
          <w:iCs/>
          <w:kern w:val="0"/>
        </w:rPr>
        <w:t>Aquaculture, 254</w:t>
      </w:r>
      <w:r w:rsidRPr="00705A87">
        <w:rPr>
          <w:kern w:val="0"/>
        </w:rPr>
        <w:t xml:space="preserve">(1–4), 658–665. </w:t>
      </w:r>
      <w:hyperlink r:id="rId18" w:history="1">
        <w:r w:rsidRPr="00705A87">
          <w:rPr>
            <w:rStyle w:val="Hyperlink"/>
            <w:kern w:val="0"/>
            <w:lang w:val="en-GB" w:eastAsia="en-US"/>
          </w:rPr>
          <w:t>https://doi.org/10.1016/j.aquaculture.2005.10.039</w:t>
        </w:r>
      </w:hyperlink>
      <w:r w:rsidRPr="00705A87">
        <w:rPr>
          <w:kern w:val="0"/>
        </w:rPr>
        <w:t xml:space="preserve"> </w:t>
      </w:r>
    </w:p>
    <w:p w14:paraId="507CE0A2"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Park, C., &amp; Lim, H. B. (2025). Unveiling the Endocrine-Disrupting Potential of Plant-Derived Compounds: An Ecotoxicological Review. </w:t>
      </w:r>
      <w:r w:rsidRPr="00705A87">
        <w:rPr>
          <w:i/>
          <w:iCs/>
          <w:kern w:val="0"/>
        </w:rPr>
        <w:t>Toxins</w:t>
      </w:r>
      <w:r w:rsidRPr="00705A87">
        <w:rPr>
          <w:kern w:val="0"/>
        </w:rPr>
        <w:t>, </w:t>
      </w:r>
      <w:r w:rsidRPr="00705A87">
        <w:rPr>
          <w:i/>
          <w:iCs/>
          <w:kern w:val="0"/>
        </w:rPr>
        <w:t>17</w:t>
      </w:r>
      <w:r w:rsidRPr="00705A87">
        <w:rPr>
          <w:kern w:val="0"/>
        </w:rPr>
        <w:t xml:space="preserve">(8), 423. </w:t>
      </w:r>
      <w:hyperlink r:id="rId19" w:history="1">
        <w:r w:rsidRPr="00705A87">
          <w:rPr>
            <w:rStyle w:val="Hyperlink"/>
            <w:kern w:val="0"/>
            <w:lang w:val="en-GB"/>
          </w:rPr>
          <w:t>https://doi.org/10.3390/toxins17080423</w:t>
        </w:r>
      </w:hyperlink>
      <w:r w:rsidRPr="00705A87">
        <w:rPr>
          <w:kern w:val="0"/>
        </w:rPr>
        <w:t xml:space="preserve"> </w:t>
      </w:r>
    </w:p>
    <w:p w14:paraId="61C28EDA"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Sallam, G. R., Abdel-Rahim, M. M., Lotfy, A. M., Elwan, R. I., Al-</w:t>
      </w:r>
      <w:proofErr w:type="spellStart"/>
      <w:r w:rsidRPr="00705A87">
        <w:rPr>
          <w:kern w:val="0"/>
        </w:rPr>
        <w:t>absawey</w:t>
      </w:r>
      <w:proofErr w:type="spellEnd"/>
      <w:r w:rsidRPr="00705A87">
        <w:rPr>
          <w:kern w:val="0"/>
        </w:rPr>
        <w:t xml:space="preserve">, M. A., </w:t>
      </w:r>
      <w:proofErr w:type="spellStart"/>
      <w:r w:rsidRPr="00705A87">
        <w:rPr>
          <w:kern w:val="0"/>
        </w:rPr>
        <w:t>Elhetawy</w:t>
      </w:r>
      <w:proofErr w:type="spellEnd"/>
      <w:r w:rsidRPr="00705A87">
        <w:rPr>
          <w:kern w:val="0"/>
        </w:rPr>
        <w:t xml:space="preserve">, A. I. G., Fayed, W. M., Shehata, A. I., &amp; El </w:t>
      </w:r>
      <w:proofErr w:type="spellStart"/>
      <w:r w:rsidRPr="00705A87">
        <w:rPr>
          <w:kern w:val="0"/>
        </w:rPr>
        <w:t>Basuini</w:t>
      </w:r>
      <w:proofErr w:type="spellEnd"/>
      <w:r w:rsidRPr="00705A87">
        <w:rPr>
          <w:kern w:val="0"/>
        </w:rPr>
        <w:t xml:space="preserve">, M. F. (2025). Long term dietary </w:t>
      </w:r>
      <w:r w:rsidRPr="00705A87">
        <w:rPr>
          <w:i/>
          <w:iCs/>
          <w:kern w:val="0"/>
        </w:rPr>
        <w:t>Moringa oleifera</w:t>
      </w:r>
      <w:r w:rsidRPr="00705A87">
        <w:rPr>
          <w:kern w:val="0"/>
        </w:rPr>
        <w:t xml:space="preserve"> leaf extract to Florida red tilapia </w:t>
      </w:r>
      <w:r w:rsidRPr="00705A87">
        <w:rPr>
          <w:i/>
          <w:iCs/>
          <w:kern w:val="0"/>
        </w:rPr>
        <w:t>Oreochromis</w:t>
      </w:r>
      <w:r w:rsidRPr="00705A87">
        <w:rPr>
          <w:kern w:val="0"/>
        </w:rPr>
        <w:t xml:space="preserve"> </w:t>
      </w:r>
      <w:proofErr w:type="spellStart"/>
      <w:r w:rsidRPr="00705A87">
        <w:rPr>
          <w:kern w:val="0"/>
        </w:rPr>
        <w:t>sp</w:t>
      </w:r>
      <w:proofErr w:type="spellEnd"/>
      <w:r w:rsidRPr="00705A87">
        <w:rPr>
          <w:kern w:val="0"/>
        </w:rPr>
        <w:t xml:space="preserve"> improves performance immunity maturation and reproduction in saltwater. </w:t>
      </w:r>
      <w:r w:rsidRPr="00705A87">
        <w:rPr>
          <w:i/>
          <w:iCs/>
          <w:kern w:val="0"/>
        </w:rPr>
        <w:t>Scientific Reports, 15</w:t>
      </w:r>
      <w:r w:rsidRPr="00705A87">
        <w:rPr>
          <w:kern w:val="0"/>
        </w:rPr>
        <w:t xml:space="preserve">, 20261. </w:t>
      </w:r>
      <w:hyperlink r:id="rId20" w:history="1">
        <w:r w:rsidRPr="00705A87">
          <w:rPr>
            <w:rStyle w:val="Hyperlink"/>
            <w:kern w:val="0"/>
            <w:lang w:val="en-GB" w:eastAsia="en-US"/>
          </w:rPr>
          <w:t>https://doi.org/10.1038/s41598-025-06881-2</w:t>
        </w:r>
      </w:hyperlink>
      <w:r w:rsidRPr="00705A87">
        <w:rPr>
          <w:kern w:val="0"/>
        </w:rPr>
        <w:t xml:space="preserve"> </w:t>
      </w:r>
    </w:p>
    <w:p w14:paraId="7FEF1F87"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 xml:space="preserve">Sassi-Messai, S., Gibert, Y., Bernard, L., Nishio, S.-I., Ferri Lagneau, K. F., &amp; </w:t>
      </w:r>
      <w:proofErr w:type="spellStart"/>
      <w:r w:rsidRPr="00705A87">
        <w:rPr>
          <w:kern w:val="0"/>
        </w:rPr>
        <w:t>Laudet</w:t>
      </w:r>
      <w:proofErr w:type="spellEnd"/>
      <w:r w:rsidRPr="00705A87">
        <w:rPr>
          <w:kern w:val="0"/>
        </w:rPr>
        <w:t xml:space="preserve">, V. (2009). The phytoestrogen genistein affects zebrafish development through two different pathways. </w:t>
      </w:r>
      <w:r w:rsidRPr="00705A87">
        <w:rPr>
          <w:i/>
          <w:iCs/>
          <w:kern w:val="0"/>
        </w:rPr>
        <w:t>PLOS ONE, 4</w:t>
      </w:r>
      <w:r w:rsidRPr="00705A87">
        <w:rPr>
          <w:kern w:val="0"/>
        </w:rPr>
        <w:t xml:space="preserve">(3), e4935. </w:t>
      </w:r>
      <w:hyperlink r:id="rId21" w:history="1">
        <w:r w:rsidRPr="00705A87">
          <w:rPr>
            <w:rStyle w:val="Hyperlink"/>
            <w:kern w:val="0"/>
            <w:lang w:val="en-GB" w:eastAsia="en-US"/>
          </w:rPr>
          <w:t>https://doi.org/10.1371/journal.pone.0004935</w:t>
        </w:r>
      </w:hyperlink>
      <w:r w:rsidRPr="00705A87">
        <w:rPr>
          <w:kern w:val="0"/>
        </w:rPr>
        <w:t xml:space="preserve"> </w:t>
      </w:r>
    </w:p>
    <w:p w14:paraId="1399722F" w14:textId="3AE6B459" w:rsidR="00705A87" w:rsidRDefault="00705A87" w:rsidP="00162E9C">
      <w:pPr>
        <w:spacing w:before="100" w:beforeAutospacing="1" w:after="100" w:afterAutospacing="1" w:line="240" w:lineRule="auto"/>
        <w:ind w:left="0" w:firstLine="0"/>
        <w:rPr>
          <w:kern w:val="0"/>
        </w:rPr>
      </w:pPr>
      <w:r w:rsidRPr="00705A87">
        <w:rPr>
          <w:kern w:val="0"/>
        </w:rPr>
        <w:t>Sumana, S. L., Xue, T., Hu, H., Abdullateef, M. M., Shui, Y., Ayana, G. U., ... &amp; Xiaojun, J. (2025). Medicinal Plants as Ecological Solutions for Fish Growth and Immunostimulatory Effects in Aquaculture. </w:t>
      </w:r>
      <w:r w:rsidRPr="00705A87">
        <w:rPr>
          <w:i/>
          <w:iCs/>
          <w:kern w:val="0"/>
        </w:rPr>
        <w:t>Aquaculture Research</w:t>
      </w:r>
      <w:r w:rsidRPr="00705A87">
        <w:rPr>
          <w:kern w:val="0"/>
        </w:rPr>
        <w:t>, </w:t>
      </w:r>
      <w:r w:rsidRPr="00705A87">
        <w:rPr>
          <w:i/>
          <w:iCs/>
          <w:kern w:val="0"/>
        </w:rPr>
        <w:t>2025</w:t>
      </w:r>
      <w:r w:rsidRPr="00705A87">
        <w:rPr>
          <w:kern w:val="0"/>
        </w:rPr>
        <w:t xml:space="preserve">(1), 9778623. </w:t>
      </w:r>
      <w:hyperlink r:id="rId22" w:history="1">
        <w:r w:rsidRPr="00705A87">
          <w:rPr>
            <w:rStyle w:val="Hyperlink"/>
            <w:kern w:val="0"/>
            <w:lang w:val="en-GB"/>
          </w:rPr>
          <w:t>https://doi.org/10.1155/are/9778623</w:t>
        </w:r>
      </w:hyperlink>
      <w:r w:rsidRPr="00705A87">
        <w:rPr>
          <w:kern w:val="0"/>
        </w:rPr>
        <w:t xml:space="preserve"> </w:t>
      </w:r>
    </w:p>
    <w:p w14:paraId="3FA19991" w14:textId="79ED552C" w:rsidR="00162E9C" w:rsidRDefault="00162E9C" w:rsidP="00162E9C">
      <w:pPr>
        <w:spacing w:before="100" w:beforeAutospacing="1" w:after="100" w:afterAutospacing="1" w:line="240" w:lineRule="auto"/>
        <w:ind w:left="0" w:firstLine="0"/>
        <w:rPr>
          <w:kern w:val="0"/>
          <w:highlight w:val="yellow"/>
        </w:rPr>
      </w:pPr>
      <w:r w:rsidRPr="007E58A5">
        <w:rPr>
          <w:kern w:val="0"/>
          <w:highlight w:val="yellow"/>
        </w:rPr>
        <w:t xml:space="preserve">Sagar </w:t>
      </w:r>
      <w:proofErr w:type="spellStart"/>
      <w:r w:rsidRPr="007E58A5">
        <w:rPr>
          <w:kern w:val="0"/>
          <w:highlight w:val="yellow"/>
        </w:rPr>
        <w:t>Vitthal</w:t>
      </w:r>
      <w:proofErr w:type="spellEnd"/>
      <w:r w:rsidRPr="007E58A5">
        <w:rPr>
          <w:kern w:val="0"/>
          <w:highlight w:val="yellow"/>
        </w:rPr>
        <w:t xml:space="preserve"> Shinde, Shamika Sawant, Sagar Sitaram Rathod, Prakash </w:t>
      </w:r>
      <w:proofErr w:type="spellStart"/>
      <w:r w:rsidRPr="007E58A5">
        <w:rPr>
          <w:kern w:val="0"/>
          <w:highlight w:val="yellow"/>
        </w:rPr>
        <w:t>Patekar</w:t>
      </w:r>
      <w:proofErr w:type="spellEnd"/>
      <w:r w:rsidRPr="007E58A5">
        <w:rPr>
          <w:kern w:val="0"/>
          <w:highlight w:val="yellow"/>
        </w:rPr>
        <w:t xml:space="preserve">, Samad Sheikh, Swapnil </w:t>
      </w:r>
      <w:proofErr w:type="spellStart"/>
      <w:r w:rsidRPr="007E58A5">
        <w:rPr>
          <w:kern w:val="0"/>
          <w:highlight w:val="yellow"/>
        </w:rPr>
        <w:t>Narsale</w:t>
      </w:r>
      <w:proofErr w:type="spellEnd"/>
      <w:r w:rsidRPr="007E58A5">
        <w:rPr>
          <w:kern w:val="0"/>
          <w:highlight w:val="yellow"/>
        </w:rPr>
        <w:t xml:space="preserve"> and Kapil </w:t>
      </w:r>
      <w:proofErr w:type="spellStart"/>
      <w:r w:rsidRPr="007E58A5">
        <w:rPr>
          <w:kern w:val="0"/>
          <w:highlight w:val="yellow"/>
        </w:rPr>
        <w:t>Sukhdhane</w:t>
      </w:r>
      <w:proofErr w:type="spellEnd"/>
      <w:r w:rsidRPr="007E58A5">
        <w:rPr>
          <w:kern w:val="0"/>
          <w:highlight w:val="yellow"/>
        </w:rPr>
        <w:t xml:space="preserve">. Strategic nutraceutical approaches for enhancing fisheries and aquaculture: A comprehensive review. Int. J. Adv. </w:t>
      </w:r>
      <w:proofErr w:type="spellStart"/>
      <w:r w:rsidRPr="007E58A5">
        <w:rPr>
          <w:kern w:val="0"/>
          <w:highlight w:val="yellow"/>
        </w:rPr>
        <w:t>Biochem</w:t>
      </w:r>
      <w:proofErr w:type="spellEnd"/>
      <w:r w:rsidRPr="007E58A5">
        <w:rPr>
          <w:kern w:val="0"/>
          <w:highlight w:val="yellow"/>
        </w:rPr>
        <w:t>. Res. 2024;8(3S):104-110. DOI: 10.33545/</w:t>
      </w:r>
      <w:proofErr w:type="gramStart"/>
      <w:r w:rsidRPr="007E58A5">
        <w:rPr>
          <w:kern w:val="0"/>
          <w:highlight w:val="yellow"/>
        </w:rPr>
        <w:t>26174693.2024.v</w:t>
      </w:r>
      <w:proofErr w:type="gramEnd"/>
      <w:r w:rsidRPr="007E58A5">
        <w:rPr>
          <w:kern w:val="0"/>
          <w:highlight w:val="yellow"/>
        </w:rPr>
        <w:t>8.i3Sb.701</w:t>
      </w:r>
    </w:p>
    <w:p w14:paraId="20E96FBF" w14:textId="279A80EB" w:rsidR="00FD6E69" w:rsidRPr="00705A87" w:rsidRDefault="00FD6E69" w:rsidP="00162E9C">
      <w:pPr>
        <w:spacing w:before="100" w:beforeAutospacing="1" w:after="100" w:afterAutospacing="1" w:line="240" w:lineRule="auto"/>
        <w:ind w:left="0" w:firstLine="0"/>
        <w:rPr>
          <w:kern w:val="0"/>
        </w:rPr>
      </w:pPr>
      <w:proofErr w:type="spellStart"/>
      <w:r w:rsidRPr="007E58A5">
        <w:rPr>
          <w:kern w:val="0"/>
          <w:highlight w:val="yellow"/>
        </w:rPr>
        <w:t>Idenyi</w:t>
      </w:r>
      <w:proofErr w:type="spellEnd"/>
      <w:r w:rsidRPr="007E58A5">
        <w:rPr>
          <w:kern w:val="0"/>
          <w:highlight w:val="yellow"/>
        </w:rPr>
        <w:t xml:space="preserve">, J. N., </w:t>
      </w:r>
      <w:proofErr w:type="spellStart"/>
      <w:r w:rsidRPr="007E58A5">
        <w:rPr>
          <w:kern w:val="0"/>
          <w:highlight w:val="yellow"/>
        </w:rPr>
        <w:t>Eya</w:t>
      </w:r>
      <w:proofErr w:type="spellEnd"/>
      <w:r w:rsidRPr="007E58A5">
        <w:rPr>
          <w:kern w:val="0"/>
          <w:highlight w:val="yellow"/>
        </w:rPr>
        <w:t xml:space="preserve">, J. C., </w:t>
      </w:r>
      <w:proofErr w:type="spellStart"/>
      <w:r w:rsidRPr="007E58A5">
        <w:rPr>
          <w:kern w:val="0"/>
          <w:highlight w:val="yellow"/>
        </w:rPr>
        <w:t>Nwankwegu</w:t>
      </w:r>
      <w:proofErr w:type="spellEnd"/>
      <w:r w:rsidRPr="007E58A5">
        <w:rPr>
          <w:kern w:val="0"/>
          <w:highlight w:val="yellow"/>
        </w:rPr>
        <w:t xml:space="preserve">, A. S., &amp; </w:t>
      </w:r>
      <w:proofErr w:type="spellStart"/>
      <w:r w:rsidRPr="007E58A5">
        <w:rPr>
          <w:kern w:val="0"/>
          <w:highlight w:val="yellow"/>
        </w:rPr>
        <w:t>Nwoba</w:t>
      </w:r>
      <w:proofErr w:type="spellEnd"/>
      <w:r w:rsidRPr="007E58A5">
        <w:rPr>
          <w:kern w:val="0"/>
          <w:highlight w:val="yellow"/>
        </w:rPr>
        <w:t>, E. G. (2022). Aquaculture sustainability through alternative dietary ingredients: Microalgal value-added products. Engineering microbiology, 2(4), 100049.</w:t>
      </w:r>
    </w:p>
    <w:p w14:paraId="00BE3D89" w14:textId="557FF17F" w:rsidR="00705A87" w:rsidRPr="00926AE1" w:rsidRDefault="00ED51E0" w:rsidP="00162E9C">
      <w:pPr>
        <w:spacing w:before="100" w:beforeAutospacing="1" w:after="100" w:afterAutospacing="1" w:line="240" w:lineRule="auto"/>
        <w:ind w:left="0" w:firstLine="0"/>
        <w:rPr>
          <w:kern w:val="0"/>
        </w:rPr>
      </w:pPr>
      <w:proofErr w:type="spellStart"/>
      <w:r w:rsidRPr="00694CBA">
        <w:rPr>
          <w:kern w:val="0"/>
          <w:highlight w:val="yellow"/>
        </w:rPr>
        <w:t>Sepehrfar</w:t>
      </w:r>
      <w:proofErr w:type="spellEnd"/>
      <w:r w:rsidRPr="00694CBA">
        <w:rPr>
          <w:kern w:val="0"/>
          <w:highlight w:val="yellow"/>
        </w:rPr>
        <w:t xml:space="preserve">, D., </w:t>
      </w:r>
      <w:proofErr w:type="spellStart"/>
      <w:r w:rsidRPr="00694CBA">
        <w:rPr>
          <w:kern w:val="0"/>
          <w:highlight w:val="yellow"/>
        </w:rPr>
        <w:t>Sudagar</w:t>
      </w:r>
      <w:proofErr w:type="spellEnd"/>
      <w:r w:rsidRPr="00694CBA">
        <w:rPr>
          <w:kern w:val="0"/>
          <w:highlight w:val="yellow"/>
        </w:rPr>
        <w:t xml:space="preserve">, M., </w:t>
      </w:r>
      <w:proofErr w:type="spellStart"/>
      <w:r w:rsidRPr="00694CBA">
        <w:rPr>
          <w:kern w:val="0"/>
          <w:highlight w:val="yellow"/>
        </w:rPr>
        <w:t>Paknejad</w:t>
      </w:r>
      <w:proofErr w:type="spellEnd"/>
      <w:r w:rsidRPr="00694CBA">
        <w:rPr>
          <w:kern w:val="0"/>
          <w:highlight w:val="yellow"/>
        </w:rPr>
        <w:t xml:space="preserve">, H., </w:t>
      </w:r>
      <w:proofErr w:type="spellStart"/>
      <w:r w:rsidRPr="00694CBA">
        <w:rPr>
          <w:kern w:val="0"/>
          <w:highlight w:val="yellow"/>
        </w:rPr>
        <w:t>Yousefi</w:t>
      </w:r>
      <w:proofErr w:type="spellEnd"/>
      <w:r w:rsidRPr="00694CBA">
        <w:rPr>
          <w:kern w:val="0"/>
          <w:highlight w:val="yellow"/>
        </w:rPr>
        <w:t xml:space="preserve">, S. S., &amp; </w:t>
      </w:r>
      <w:proofErr w:type="spellStart"/>
      <w:r w:rsidRPr="00694CBA">
        <w:rPr>
          <w:kern w:val="0"/>
          <w:highlight w:val="yellow"/>
        </w:rPr>
        <w:t>Norouzitallab</w:t>
      </w:r>
      <w:proofErr w:type="spellEnd"/>
      <w:r w:rsidRPr="00694CBA">
        <w:rPr>
          <w:kern w:val="0"/>
          <w:highlight w:val="yellow"/>
        </w:rPr>
        <w:t>, P. (2023). Role of phytochemicals in farmed fish reproductive performance: A review.</w:t>
      </w:r>
      <w:r w:rsidR="00A65F4B" w:rsidRPr="00694CBA">
        <w:rPr>
          <w:kern w:val="0"/>
          <w:highlight w:val="yellow"/>
        </w:rPr>
        <w:t xml:space="preserve"> Iranian Journal of Fisheries Sciences, 22(5) 1039-1068. DOI: 10.22092/ijfs.2023.130580</w:t>
      </w:r>
    </w:p>
    <w:p w14:paraId="1D4B56B0" w14:textId="77777777" w:rsidR="000C411D" w:rsidRPr="00294D81" w:rsidRDefault="000C411D" w:rsidP="00FD6E69">
      <w:pPr>
        <w:rPr>
          <w:lang w:val="en-GB"/>
        </w:rPr>
      </w:pPr>
    </w:p>
    <w:sectPr w:rsidR="000C411D" w:rsidRPr="00294D81" w:rsidSect="00CB6E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F2CF2" w16cex:dateUtc="2026-02-10T21:55:00Z"/>
  <w16cex:commentExtensible w16cex:durableId="5FCD78B8" w16cex:dateUtc="2026-02-10T22:10:00Z"/>
  <w16cex:commentExtensible w16cex:durableId="1789C6D3" w16cex:dateUtc="2026-02-10T22:25:00Z"/>
  <w16cex:commentExtensible w16cex:durableId="3357F061" w16cex:dateUtc="2026-02-10T22:02:00Z"/>
  <w16cex:commentExtensible w16cex:durableId="64FA8388" w16cex:dateUtc="2026-02-10T22:21:00Z"/>
  <w16cex:commentExtensible w16cex:durableId="5116A1E1" w16cex:dateUtc="2026-02-10T22:33:00Z"/>
  <w16cex:commentExtensible w16cex:durableId="6D77A362" w16cex:dateUtc="2026-02-10T22:37:00Z"/>
  <w16cex:commentExtensible w16cex:durableId="784583B5" w16cex:dateUtc="2026-02-10T22:42:00Z"/>
  <w16cex:commentExtensible w16cex:durableId="53C56676" w16cex:dateUtc="2026-02-10T22:42:00Z"/>
  <w16cex:commentExtensible w16cex:durableId="769E0430" w16cex:dateUtc="2026-02-10T22:43:00Z"/>
  <w16cex:commentExtensible w16cex:durableId="654AEB52" w16cex:dateUtc="2026-02-10T22:43:00Z"/>
  <w16cex:commentExtensible w16cex:durableId="34576CEE" w16cex:dateUtc="2026-02-10T22:44:00Z"/>
  <w16cex:commentExtensible w16cex:durableId="1B92B24E" w16cex:dateUtc="2026-02-10T22:47:00Z"/>
  <w16cex:commentExtensible w16cex:durableId="09E7D7C7" w16cex:dateUtc="2026-02-10T2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D3B16" w14:textId="77777777" w:rsidR="0013574E" w:rsidRDefault="0013574E" w:rsidP="009A7885">
      <w:pPr>
        <w:spacing w:after="0" w:line="240" w:lineRule="auto"/>
      </w:pPr>
      <w:r>
        <w:separator/>
      </w:r>
    </w:p>
  </w:endnote>
  <w:endnote w:type="continuationSeparator" w:id="0">
    <w:p w14:paraId="673DD739" w14:textId="77777777" w:rsidR="0013574E" w:rsidRDefault="0013574E" w:rsidP="009A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9C32" w14:textId="77777777" w:rsidR="009A7885" w:rsidRDefault="009A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069A" w14:textId="77777777" w:rsidR="009A7885" w:rsidRDefault="009A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530C" w14:textId="77777777" w:rsidR="009A7885" w:rsidRDefault="009A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B5E2B" w14:textId="77777777" w:rsidR="0013574E" w:rsidRDefault="0013574E" w:rsidP="009A7885">
      <w:pPr>
        <w:spacing w:after="0" w:line="240" w:lineRule="auto"/>
      </w:pPr>
      <w:r>
        <w:separator/>
      </w:r>
    </w:p>
  </w:footnote>
  <w:footnote w:type="continuationSeparator" w:id="0">
    <w:p w14:paraId="4345CFC1" w14:textId="77777777" w:rsidR="0013574E" w:rsidRDefault="0013574E" w:rsidP="009A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0AAB" w14:textId="6E9717B6" w:rsidR="009A7885" w:rsidRDefault="0013574E">
    <w:pPr>
      <w:pStyle w:val="Header"/>
    </w:pPr>
    <w:r>
      <w:rPr>
        <w:noProof/>
      </w:rPr>
      <w:pict w14:anchorId="5AE06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BC49" w14:textId="009A8405" w:rsidR="009A7885" w:rsidRDefault="0013574E">
    <w:pPr>
      <w:pStyle w:val="Header"/>
    </w:pPr>
    <w:r>
      <w:rPr>
        <w:noProof/>
      </w:rPr>
      <w:pict w14:anchorId="6E139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6AB3" w14:textId="01558650" w:rsidR="009A7885" w:rsidRDefault="0013574E">
    <w:pPr>
      <w:pStyle w:val="Header"/>
    </w:pPr>
    <w:r>
      <w:rPr>
        <w:noProof/>
      </w:rPr>
      <w:pict w14:anchorId="319D7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yNzIxNjEwNzc0MjdR0lEKTi0uzszPAykwrAUA98iipywAAAA="/>
  </w:docVars>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3574E"/>
    <w:rsid w:val="00142919"/>
    <w:rsid w:val="001514E1"/>
    <w:rsid w:val="001560E3"/>
    <w:rsid w:val="001622A1"/>
    <w:rsid w:val="00162E9C"/>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312EA"/>
    <w:rsid w:val="0024324D"/>
    <w:rsid w:val="00246BC3"/>
    <w:rsid w:val="0025135B"/>
    <w:rsid w:val="00257AC1"/>
    <w:rsid w:val="00260455"/>
    <w:rsid w:val="00260B1D"/>
    <w:rsid w:val="002673C8"/>
    <w:rsid w:val="00267B17"/>
    <w:rsid w:val="00271A26"/>
    <w:rsid w:val="002761A6"/>
    <w:rsid w:val="002778DD"/>
    <w:rsid w:val="00284F1F"/>
    <w:rsid w:val="00294D81"/>
    <w:rsid w:val="002A01F2"/>
    <w:rsid w:val="002A4C47"/>
    <w:rsid w:val="002B76E6"/>
    <w:rsid w:val="002C0DF9"/>
    <w:rsid w:val="002C48BB"/>
    <w:rsid w:val="002D0FD7"/>
    <w:rsid w:val="002D4EA4"/>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02E"/>
    <w:rsid w:val="00405181"/>
    <w:rsid w:val="004132B1"/>
    <w:rsid w:val="004148C1"/>
    <w:rsid w:val="004148F5"/>
    <w:rsid w:val="00416C8C"/>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1D42"/>
    <w:rsid w:val="00692471"/>
    <w:rsid w:val="00692A8B"/>
    <w:rsid w:val="00693DFE"/>
    <w:rsid w:val="00694CBA"/>
    <w:rsid w:val="00695D59"/>
    <w:rsid w:val="006A2C8B"/>
    <w:rsid w:val="006A39B3"/>
    <w:rsid w:val="006A7ABC"/>
    <w:rsid w:val="006B66BC"/>
    <w:rsid w:val="006D2558"/>
    <w:rsid w:val="006D455D"/>
    <w:rsid w:val="006E13D4"/>
    <w:rsid w:val="006E4B0A"/>
    <w:rsid w:val="006F1FC2"/>
    <w:rsid w:val="006F708E"/>
    <w:rsid w:val="00705A87"/>
    <w:rsid w:val="00711B14"/>
    <w:rsid w:val="00713825"/>
    <w:rsid w:val="00720F41"/>
    <w:rsid w:val="00721966"/>
    <w:rsid w:val="00737A32"/>
    <w:rsid w:val="00755BDC"/>
    <w:rsid w:val="00761CB6"/>
    <w:rsid w:val="00773599"/>
    <w:rsid w:val="00774395"/>
    <w:rsid w:val="0077761A"/>
    <w:rsid w:val="0078275D"/>
    <w:rsid w:val="00783E9E"/>
    <w:rsid w:val="00786C67"/>
    <w:rsid w:val="00796571"/>
    <w:rsid w:val="007B0E74"/>
    <w:rsid w:val="007B437D"/>
    <w:rsid w:val="007B515D"/>
    <w:rsid w:val="007C5F8A"/>
    <w:rsid w:val="007C7951"/>
    <w:rsid w:val="007D03BC"/>
    <w:rsid w:val="007D38FC"/>
    <w:rsid w:val="007E249F"/>
    <w:rsid w:val="007E58A5"/>
    <w:rsid w:val="007F1928"/>
    <w:rsid w:val="008017C0"/>
    <w:rsid w:val="00804929"/>
    <w:rsid w:val="008107F6"/>
    <w:rsid w:val="00812006"/>
    <w:rsid w:val="008132DB"/>
    <w:rsid w:val="00820C75"/>
    <w:rsid w:val="00831623"/>
    <w:rsid w:val="0083179B"/>
    <w:rsid w:val="008374C4"/>
    <w:rsid w:val="008426E2"/>
    <w:rsid w:val="008461BC"/>
    <w:rsid w:val="00852537"/>
    <w:rsid w:val="00854085"/>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851F5"/>
    <w:rsid w:val="009903E9"/>
    <w:rsid w:val="009929A7"/>
    <w:rsid w:val="00992B92"/>
    <w:rsid w:val="00994A4A"/>
    <w:rsid w:val="00994D23"/>
    <w:rsid w:val="009A7885"/>
    <w:rsid w:val="009B3A8A"/>
    <w:rsid w:val="009B55DE"/>
    <w:rsid w:val="009C2C46"/>
    <w:rsid w:val="009D05A9"/>
    <w:rsid w:val="009D0B9D"/>
    <w:rsid w:val="009D13F6"/>
    <w:rsid w:val="009D5BA5"/>
    <w:rsid w:val="009E5244"/>
    <w:rsid w:val="009F0120"/>
    <w:rsid w:val="00A0012E"/>
    <w:rsid w:val="00A00B22"/>
    <w:rsid w:val="00A029C3"/>
    <w:rsid w:val="00A2270F"/>
    <w:rsid w:val="00A22B39"/>
    <w:rsid w:val="00A23EB8"/>
    <w:rsid w:val="00A24B38"/>
    <w:rsid w:val="00A27BF4"/>
    <w:rsid w:val="00A32ED4"/>
    <w:rsid w:val="00A35A95"/>
    <w:rsid w:val="00A37F9F"/>
    <w:rsid w:val="00A4069A"/>
    <w:rsid w:val="00A43928"/>
    <w:rsid w:val="00A478B2"/>
    <w:rsid w:val="00A50845"/>
    <w:rsid w:val="00A5299F"/>
    <w:rsid w:val="00A54719"/>
    <w:rsid w:val="00A57A87"/>
    <w:rsid w:val="00A62C46"/>
    <w:rsid w:val="00A64590"/>
    <w:rsid w:val="00A65F4B"/>
    <w:rsid w:val="00A66C70"/>
    <w:rsid w:val="00A7055A"/>
    <w:rsid w:val="00A8506E"/>
    <w:rsid w:val="00A94050"/>
    <w:rsid w:val="00A95D31"/>
    <w:rsid w:val="00A97AEF"/>
    <w:rsid w:val="00AA06F7"/>
    <w:rsid w:val="00AA2B64"/>
    <w:rsid w:val="00AA4644"/>
    <w:rsid w:val="00AA4B35"/>
    <w:rsid w:val="00AB0C7A"/>
    <w:rsid w:val="00AB1103"/>
    <w:rsid w:val="00AC1BD8"/>
    <w:rsid w:val="00AD7B8B"/>
    <w:rsid w:val="00AE651D"/>
    <w:rsid w:val="00AE79C2"/>
    <w:rsid w:val="00AF279A"/>
    <w:rsid w:val="00AF7425"/>
    <w:rsid w:val="00B06888"/>
    <w:rsid w:val="00B07920"/>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0C38"/>
    <w:rsid w:val="00C1225B"/>
    <w:rsid w:val="00C13468"/>
    <w:rsid w:val="00C27740"/>
    <w:rsid w:val="00C3420C"/>
    <w:rsid w:val="00C40318"/>
    <w:rsid w:val="00C404E0"/>
    <w:rsid w:val="00C41073"/>
    <w:rsid w:val="00C41BA6"/>
    <w:rsid w:val="00C47A2A"/>
    <w:rsid w:val="00C524EC"/>
    <w:rsid w:val="00C54922"/>
    <w:rsid w:val="00C5683C"/>
    <w:rsid w:val="00C57B8F"/>
    <w:rsid w:val="00C65B08"/>
    <w:rsid w:val="00C6694F"/>
    <w:rsid w:val="00C7136B"/>
    <w:rsid w:val="00C85998"/>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41065"/>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51E0"/>
    <w:rsid w:val="00EE2E7D"/>
    <w:rsid w:val="00EE53A3"/>
    <w:rsid w:val="00EF4D40"/>
    <w:rsid w:val="00EF4D87"/>
    <w:rsid w:val="00EF5941"/>
    <w:rsid w:val="00F0228E"/>
    <w:rsid w:val="00F13040"/>
    <w:rsid w:val="00F133C3"/>
    <w:rsid w:val="00F278AB"/>
    <w:rsid w:val="00F349C1"/>
    <w:rsid w:val="00F36C5B"/>
    <w:rsid w:val="00F43253"/>
    <w:rsid w:val="00F43CC2"/>
    <w:rsid w:val="00F45317"/>
    <w:rsid w:val="00F4728A"/>
    <w:rsid w:val="00F533A4"/>
    <w:rsid w:val="00F6047F"/>
    <w:rsid w:val="00F754E8"/>
    <w:rsid w:val="00F97B7F"/>
    <w:rsid w:val="00FA03AB"/>
    <w:rsid w:val="00FA1C67"/>
    <w:rsid w:val="00FA4290"/>
    <w:rsid w:val="00FA5C8B"/>
    <w:rsid w:val="00FA7321"/>
    <w:rsid w:val="00FB1450"/>
    <w:rsid w:val="00FB5CFC"/>
    <w:rsid w:val="00FB6475"/>
    <w:rsid w:val="00FC1A30"/>
    <w:rsid w:val="00FC3FB3"/>
    <w:rsid w:val="00FD042D"/>
    <w:rsid w:val="00FD1C43"/>
    <w:rsid w:val="00FD402F"/>
    <w:rsid w:val="00FD6E69"/>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8277E"/>
  <w15:docId w15:val="{4D7835FD-DEC9-444B-AE12-8CB355E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88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9A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885"/>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40502E"/>
    <w:rPr>
      <w:sz w:val="16"/>
      <w:szCs w:val="16"/>
    </w:rPr>
  </w:style>
  <w:style w:type="paragraph" w:styleId="CommentText">
    <w:name w:val="annotation text"/>
    <w:basedOn w:val="Normal"/>
    <w:link w:val="CommentTextChar"/>
    <w:uiPriority w:val="99"/>
    <w:semiHidden/>
    <w:unhideWhenUsed/>
    <w:rsid w:val="0040502E"/>
    <w:pPr>
      <w:spacing w:line="240" w:lineRule="auto"/>
    </w:pPr>
    <w:rPr>
      <w:sz w:val="20"/>
      <w:szCs w:val="20"/>
    </w:rPr>
  </w:style>
  <w:style w:type="character" w:customStyle="1" w:styleId="CommentTextChar">
    <w:name w:val="Comment Text Char"/>
    <w:basedOn w:val="DefaultParagraphFont"/>
    <w:link w:val="CommentText"/>
    <w:uiPriority w:val="99"/>
    <w:semiHidden/>
    <w:rsid w:val="0040502E"/>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40502E"/>
    <w:rPr>
      <w:b/>
      <w:bCs/>
    </w:rPr>
  </w:style>
  <w:style w:type="character" w:customStyle="1" w:styleId="CommentSubjectChar">
    <w:name w:val="Comment Subject Char"/>
    <w:basedOn w:val="CommentTextChar"/>
    <w:link w:val="CommentSubject"/>
    <w:uiPriority w:val="99"/>
    <w:semiHidden/>
    <w:rsid w:val="0040502E"/>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1022295">
      <w:bodyDiv w:val="1"/>
      <w:marLeft w:val="0"/>
      <w:marRight w:val="0"/>
      <w:marTop w:val="0"/>
      <w:marBottom w:val="0"/>
      <w:divBdr>
        <w:top w:val="none" w:sz="0" w:space="0" w:color="auto"/>
        <w:left w:val="none" w:sz="0" w:space="0" w:color="auto"/>
        <w:bottom w:val="none" w:sz="0" w:space="0" w:color="auto"/>
        <w:right w:val="none" w:sz="0" w:space="0" w:color="auto"/>
      </w:divBdr>
      <w:divsChild>
        <w:div w:id="346441417">
          <w:marLeft w:val="0"/>
          <w:marRight w:val="0"/>
          <w:marTop w:val="0"/>
          <w:marBottom w:val="0"/>
          <w:divBdr>
            <w:top w:val="none" w:sz="0" w:space="0" w:color="auto"/>
            <w:left w:val="none" w:sz="0" w:space="0" w:color="auto"/>
            <w:bottom w:val="none" w:sz="0" w:space="0" w:color="auto"/>
            <w:right w:val="none" w:sz="0" w:space="0" w:color="auto"/>
          </w:divBdr>
          <w:divsChild>
            <w:div w:id="673537955">
              <w:marLeft w:val="-225"/>
              <w:marRight w:val="-225"/>
              <w:marTop w:val="0"/>
              <w:marBottom w:val="0"/>
              <w:divBdr>
                <w:top w:val="none" w:sz="0" w:space="0" w:color="auto"/>
                <w:left w:val="none" w:sz="0" w:space="0" w:color="auto"/>
                <w:bottom w:val="none" w:sz="0" w:space="0" w:color="auto"/>
                <w:right w:val="none" w:sz="0" w:space="0" w:color="auto"/>
              </w:divBdr>
              <w:divsChild>
                <w:div w:id="819422907">
                  <w:marLeft w:val="0"/>
                  <w:marRight w:val="0"/>
                  <w:marTop w:val="0"/>
                  <w:marBottom w:val="0"/>
                  <w:divBdr>
                    <w:top w:val="none" w:sz="0" w:space="0" w:color="auto"/>
                    <w:left w:val="none" w:sz="0" w:space="0" w:color="auto"/>
                    <w:bottom w:val="none" w:sz="0" w:space="0" w:color="auto"/>
                    <w:right w:val="none" w:sz="0" w:space="0" w:color="auto"/>
                  </w:divBdr>
                  <w:divsChild>
                    <w:div w:id="971787034">
                      <w:marLeft w:val="0"/>
                      <w:marRight w:val="0"/>
                      <w:marTop w:val="0"/>
                      <w:marBottom w:val="0"/>
                      <w:divBdr>
                        <w:top w:val="none" w:sz="0" w:space="0" w:color="auto"/>
                        <w:left w:val="none" w:sz="0" w:space="0" w:color="auto"/>
                        <w:bottom w:val="none" w:sz="0" w:space="0" w:color="auto"/>
                        <w:right w:val="none" w:sz="0" w:space="0" w:color="auto"/>
                      </w:divBdr>
                      <w:divsChild>
                        <w:div w:id="60103880">
                          <w:marLeft w:val="0"/>
                          <w:marRight w:val="0"/>
                          <w:marTop w:val="0"/>
                          <w:marBottom w:val="0"/>
                          <w:divBdr>
                            <w:top w:val="none" w:sz="0" w:space="0" w:color="auto"/>
                            <w:left w:val="none" w:sz="0" w:space="0" w:color="auto"/>
                            <w:bottom w:val="none" w:sz="0" w:space="0" w:color="auto"/>
                            <w:right w:val="none" w:sz="0" w:space="0" w:color="auto"/>
                          </w:divBdr>
                          <w:divsChild>
                            <w:div w:id="1807969695">
                              <w:marLeft w:val="0"/>
                              <w:marRight w:val="0"/>
                              <w:marTop w:val="0"/>
                              <w:marBottom w:val="0"/>
                              <w:divBdr>
                                <w:top w:val="none" w:sz="0" w:space="0" w:color="auto"/>
                                <w:left w:val="none" w:sz="0" w:space="0" w:color="auto"/>
                                <w:bottom w:val="none" w:sz="0" w:space="0" w:color="auto"/>
                                <w:right w:val="none" w:sz="0" w:space="0" w:color="auto"/>
                              </w:divBdr>
                              <w:divsChild>
                                <w:div w:id="762074915">
                                  <w:marLeft w:val="0"/>
                                  <w:marRight w:val="0"/>
                                  <w:marTop w:val="0"/>
                                  <w:marBottom w:val="0"/>
                                  <w:divBdr>
                                    <w:top w:val="none" w:sz="0" w:space="0" w:color="auto"/>
                                    <w:left w:val="none" w:sz="0" w:space="0" w:color="auto"/>
                                    <w:bottom w:val="none" w:sz="0" w:space="0" w:color="auto"/>
                                    <w:right w:val="none" w:sz="0" w:space="0" w:color="auto"/>
                                  </w:divBdr>
                                  <w:divsChild>
                                    <w:div w:id="184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qrep.2024.102099" TargetMode="External"/><Relationship Id="rId13" Type="http://schemas.openxmlformats.org/officeDocument/2006/relationships/hyperlink" Target="https://doi.org/10.1016/S0044-8486(01)00581-6" TargetMode="External"/><Relationship Id="rId18" Type="http://schemas.openxmlformats.org/officeDocument/2006/relationships/hyperlink" Target="https://doi.org/10.1016/j.aquaculture.2005.10.03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004935" TargetMode="External"/><Relationship Id="rId7" Type="http://schemas.openxmlformats.org/officeDocument/2006/relationships/hyperlink" Target="https://doi.org/10.1007/978-981-19-7451-9_7" TargetMode="External"/><Relationship Id="rId12" Type="http://schemas.openxmlformats.org/officeDocument/2006/relationships/hyperlink" Target="https://doi.org/10.1016/j.aquaculture.2020.735872" TargetMode="External"/><Relationship Id="rId17" Type="http://schemas.openxmlformats.org/officeDocument/2006/relationships/hyperlink" Target="https://doi.org/10.1016/j.aquaculture.2023.73999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55/anu/5328773" TargetMode="External"/><Relationship Id="rId20" Type="http://schemas.openxmlformats.org/officeDocument/2006/relationships/hyperlink" Target="https://doi.org/10.1038/s41598-025-0688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86/s12917-024-04257-8"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1371/journal.pone.01176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vaccines8030468" TargetMode="External"/><Relationship Id="rId19" Type="http://schemas.openxmlformats.org/officeDocument/2006/relationships/hyperlink" Target="https://doi.org/10.3390/toxins17080423" TargetMode="External"/><Relationship Id="rId4" Type="http://schemas.openxmlformats.org/officeDocument/2006/relationships/webSettings" Target="webSettings.xml"/><Relationship Id="rId9" Type="http://schemas.openxmlformats.org/officeDocument/2006/relationships/hyperlink" Target="https://doi.org/10.1186/s44315-025-00037-7" TargetMode="External"/><Relationship Id="rId14" Type="http://schemas.openxmlformats.org/officeDocument/2006/relationships/hyperlink" Target="https://doi.org/10.1073/pnas.0609568104" TargetMode="External"/><Relationship Id="rId22" Type="http://schemas.openxmlformats.org/officeDocument/2006/relationships/hyperlink" Target="https://doi.org/10.1155/are/977862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E51FE-4F5D-4F7F-966E-9A0EA4DF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9190</TotalTime>
  <Pages>20</Pages>
  <Words>10412</Words>
  <Characters>59350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1089</cp:lastModifiedBy>
  <cp:revision>126</cp:revision>
  <cp:lastPrinted>2025-12-13T07:14:00Z</cp:lastPrinted>
  <dcterms:created xsi:type="dcterms:W3CDTF">2025-09-24T12:44:00Z</dcterms:created>
  <dcterms:modified xsi:type="dcterms:W3CDTF">2026-02-16T05:22:00Z</dcterms:modified>
</cp:coreProperties>
</file>