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3C6F58" w14:textId="77777777" w:rsidR="00C43D90" w:rsidRPr="00C43D90" w:rsidRDefault="00C43D90" w:rsidP="00C43D90">
      <w:pPr>
        <w:spacing w:before="100" w:beforeAutospacing="1" w:after="0" w:line="240" w:lineRule="auto"/>
        <w:jc w:val="center"/>
        <w:rPr>
          <w:rFonts w:ascii="Arial" w:eastAsia="Times New Roman" w:hAnsi="Arial" w:cs="Arial"/>
          <w:b/>
          <w:sz w:val="28"/>
          <w:szCs w:val="28"/>
          <w:lang w:bidi="ta-IN"/>
        </w:rPr>
      </w:pPr>
      <w:bookmarkStart w:id="0" w:name="_Hlk224570883"/>
      <w:r w:rsidRPr="00C43D90">
        <w:rPr>
          <w:rFonts w:ascii="Arial" w:eastAsia="Times New Roman" w:hAnsi="Arial" w:cs="Arial"/>
          <w:b/>
          <w:iCs/>
          <w:sz w:val="28"/>
          <w:szCs w:val="28"/>
          <w:highlight w:val="yellow"/>
          <w:lang w:bidi="ta-IN"/>
        </w:rPr>
        <w:t>Effects of Cannabidiol and Tetrahydrocannabinol on Behavioral and Neurochemical Alterations in Experimental Parkinson’s Disease</w:t>
      </w:r>
    </w:p>
    <w:bookmarkEnd w:id="0"/>
    <w:p w14:paraId="00464A02" w14:textId="4B7BABCE" w:rsidR="00113930" w:rsidRDefault="00113930" w:rsidP="0081312C">
      <w:pPr>
        <w:spacing w:after="0" w:line="240" w:lineRule="auto"/>
        <w:jc w:val="center"/>
        <w:rPr>
          <w:rFonts w:ascii="Arial" w:hAnsi="Arial" w:cs="Arial"/>
          <w:u w:val="single"/>
        </w:rPr>
      </w:pPr>
    </w:p>
    <w:p w14:paraId="627AED1A" w14:textId="77777777" w:rsidR="00BD55D3" w:rsidRDefault="00BD55D3" w:rsidP="0081312C">
      <w:pPr>
        <w:spacing w:after="0" w:line="240" w:lineRule="auto"/>
        <w:jc w:val="center"/>
        <w:rPr>
          <w:rFonts w:ascii="Arial" w:hAnsi="Arial" w:cs="Arial"/>
          <w:u w:val="single"/>
        </w:rPr>
      </w:pPr>
    </w:p>
    <w:p w14:paraId="40A4A558" w14:textId="77777777" w:rsidR="00C552A7" w:rsidRDefault="00113930" w:rsidP="00113930">
      <w:pPr>
        <w:spacing w:before="240" w:line="240" w:lineRule="auto"/>
        <w:jc w:val="both"/>
        <w:rPr>
          <w:rFonts w:ascii="Arial" w:hAnsi="Arial" w:cs="Arial"/>
          <w:color w:val="000000" w:themeColor="text1"/>
        </w:rPr>
      </w:pPr>
      <w:r w:rsidRPr="00C552A7">
        <w:rPr>
          <w:rFonts w:ascii="Arial" w:hAnsi="Arial" w:cs="Arial"/>
          <w:b/>
        </w:rPr>
        <w:t>Abstract:</w:t>
      </w:r>
      <w:r>
        <w:rPr>
          <w:rFonts w:ascii="Arial" w:hAnsi="Arial" w:cs="Arial"/>
        </w:rPr>
        <w:t xml:space="preserve"> </w:t>
      </w:r>
    </w:p>
    <w:p w14:paraId="5BC81DC0" w14:textId="14FA1AC5" w:rsidR="00113930" w:rsidRDefault="00960E28" w:rsidP="00113930">
      <w:pPr>
        <w:spacing w:before="240" w:line="240" w:lineRule="auto"/>
        <w:jc w:val="both"/>
        <w:rPr>
          <w:rFonts w:ascii="Arial" w:hAnsi="Arial" w:cs="Arial"/>
          <w:color w:val="000000" w:themeColor="text1"/>
        </w:rPr>
      </w:pPr>
      <w:r w:rsidRPr="00960E28">
        <w:rPr>
          <w:rFonts w:ascii="Arial" w:hAnsi="Arial" w:cs="Arial"/>
          <w:color w:val="000000" w:themeColor="text1"/>
        </w:rPr>
        <w:t xml:space="preserve">Parkinson’s disease (PD) is a progressive and debilitating neurodegenerative disorder that predominantly affects the substantia </w:t>
      </w:r>
      <w:proofErr w:type="spellStart"/>
      <w:r w:rsidRPr="00960E28">
        <w:rPr>
          <w:rFonts w:ascii="Arial" w:hAnsi="Arial" w:cs="Arial"/>
          <w:color w:val="000000" w:themeColor="text1"/>
        </w:rPr>
        <w:t>nigra</w:t>
      </w:r>
      <w:proofErr w:type="spellEnd"/>
      <w:r w:rsidRPr="00960E28">
        <w:rPr>
          <w:rFonts w:ascii="Arial" w:hAnsi="Arial" w:cs="Arial"/>
          <w:color w:val="000000" w:themeColor="text1"/>
        </w:rPr>
        <w:t xml:space="preserve"> (SN) and the locus coeruleus. In rodent models, administration of reserpine has been shown to induce motor dysfunction alongside impairments in memory, cognition, and emotional regulation</w:t>
      </w:r>
      <w:r w:rsidR="00113930">
        <w:rPr>
          <w:rFonts w:ascii="Arial" w:hAnsi="Arial" w:cs="Arial"/>
          <w:color w:val="000000" w:themeColor="text1"/>
        </w:rPr>
        <w:t xml:space="preserve">. The study aims to </w:t>
      </w:r>
      <w:r w:rsidR="00113930" w:rsidRPr="00F4640D">
        <w:rPr>
          <w:rFonts w:ascii="Arial" w:hAnsi="Arial" w:cs="Arial"/>
          <w:color w:val="000000" w:themeColor="text1"/>
          <w:shd w:val="clear" w:color="auto" w:fill="FFFFFF"/>
        </w:rPr>
        <w:t xml:space="preserve">investigate the modulatory effects of cannabidiol and tetrahydrocannabinol on neurobehavioral, neurochemical, and histoarchitectural </w:t>
      </w:r>
      <w:r w:rsidR="00113930">
        <w:rPr>
          <w:rFonts w:ascii="Arial" w:hAnsi="Arial" w:cs="Arial"/>
          <w:color w:val="000000" w:themeColor="text1"/>
          <w:shd w:val="clear" w:color="auto" w:fill="FFFFFF"/>
        </w:rPr>
        <w:t>changes</w:t>
      </w:r>
      <w:r w:rsidR="00113930" w:rsidRPr="00F4640D">
        <w:rPr>
          <w:rFonts w:ascii="Arial" w:hAnsi="Arial" w:cs="Arial"/>
          <w:color w:val="000000" w:themeColor="text1"/>
          <w:shd w:val="clear" w:color="auto" w:fill="FFFFFF"/>
        </w:rPr>
        <w:t xml:space="preserve"> in a reserpine-induced Parkinson’s disease mouse model.</w:t>
      </w:r>
      <w:r w:rsidR="00113930">
        <w:rPr>
          <w:rFonts w:ascii="Arial" w:hAnsi="Arial" w:cs="Arial"/>
          <w:color w:val="000000" w:themeColor="text1"/>
          <w:shd w:val="clear" w:color="auto" w:fill="FFFFFF"/>
        </w:rPr>
        <w:t xml:space="preserve"> </w:t>
      </w:r>
      <w:r w:rsidR="00113930" w:rsidRPr="00113930">
        <w:rPr>
          <w:rFonts w:ascii="Arial" w:hAnsi="Arial" w:cs="Arial"/>
          <w:color w:val="000000" w:themeColor="text1"/>
          <w:shd w:val="clear" w:color="auto" w:fill="FFFFFF"/>
        </w:rPr>
        <w:t xml:space="preserve">Forty-two adult mice </w:t>
      </w:r>
      <w:r w:rsidR="00113930">
        <w:rPr>
          <w:rFonts w:ascii="Arial" w:hAnsi="Arial" w:cs="Arial"/>
          <w:color w:val="000000" w:themeColor="text1"/>
          <w:shd w:val="clear" w:color="auto" w:fill="FFFFFF"/>
        </w:rPr>
        <w:t>(</w:t>
      </w:r>
      <w:r w:rsidR="00113930" w:rsidRPr="00113930">
        <w:rPr>
          <w:rFonts w:ascii="Arial" w:hAnsi="Arial" w:cs="Arial"/>
          <w:color w:val="000000" w:themeColor="text1"/>
          <w:shd w:val="clear" w:color="auto" w:fill="FFFFFF"/>
        </w:rPr>
        <w:t>25–32 g</w:t>
      </w:r>
      <w:r w:rsidR="00113930">
        <w:rPr>
          <w:rFonts w:ascii="Arial" w:hAnsi="Arial" w:cs="Arial"/>
          <w:color w:val="000000" w:themeColor="text1"/>
          <w:shd w:val="clear" w:color="auto" w:fill="FFFFFF"/>
        </w:rPr>
        <w:t xml:space="preserve"> and </w:t>
      </w:r>
      <w:r w:rsidR="00113930" w:rsidRPr="00113930">
        <w:rPr>
          <w:rFonts w:ascii="Arial" w:hAnsi="Arial" w:cs="Arial"/>
          <w:color w:val="000000" w:themeColor="text1"/>
          <w:shd w:val="clear" w:color="auto" w:fill="FFFFFF"/>
        </w:rPr>
        <w:t>8–10 weeks old) of either sex were randomly divided into seven groups (n = 6). Parkinsonian-like symptoms were induced through intraperitoneal administration of reserpine (0.5 mg/kg) once daily for ten days. Twenty-four hours after the last reserpine injection, mice received intraperitoneal treatments of cannabidiol (30 mg/kg or 60 mg/kg), tetrahydrocannabinol (4 mg/kg or 6 mg/kg), or a combination of CBD (60 mg/kg) and THC (6 mg/kg) for fourteen consecutive days.</w:t>
      </w:r>
      <w:r w:rsidR="00113930">
        <w:rPr>
          <w:rFonts w:ascii="Arial" w:hAnsi="Arial" w:cs="Arial"/>
          <w:color w:val="000000" w:themeColor="text1"/>
          <w:shd w:val="clear" w:color="auto" w:fill="FFFFFF"/>
        </w:rPr>
        <w:t xml:space="preserve"> </w:t>
      </w:r>
      <w:r w:rsidR="00113930" w:rsidRPr="00217644">
        <w:rPr>
          <w:rFonts w:ascii="Arial" w:eastAsiaTheme="minorEastAsia" w:hAnsi="Arial" w:cs="Arial"/>
          <w:color w:val="000000" w:themeColor="text1"/>
        </w:rPr>
        <w:t xml:space="preserve">The data from each group were </w:t>
      </w:r>
      <w:proofErr w:type="spellStart"/>
      <w:r w:rsidR="00113930" w:rsidRPr="00217644">
        <w:rPr>
          <w:rFonts w:ascii="Arial" w:eastAsiaTheme="minorEastAsia" w:hAnsi="Arial" w:cs="Arial"/>
          <w:color w:val="000000" w:themeColor="text1"/>
        </w:rPr>
        <w:t>analysed</w:t>
      </w:r>
      <w:proofErr w:type="spellEnd"/>
      <w:r w:rsidR="00113930" w:rsidRPr="00217644">
        <w:rPr>
          <w:rFonts w:ascii="Arial" w:eastAsiaTheme="minorEastAsia" w:hAnsi="Arial" w:cs="Arial"/>
          <w:color w:val="000000" w:themeColor="text1"/>
        </w:rPr>
        <w:t xml:space="preserve"> using one-way analysis of variance (ANOVA), followed by Tukey’s </w:t>
      </w:r>
      <w:r w:rsidR="00113930" w:rsidRPr="00217644">
        <w:rPr>
          <w:rFonts w:ascii="Arial" w:eastAsiaTheme="minorEastAsia" w:hAnsi="Arial" w:cs="Arial"/>
          <w:i/>
          <w:color w:val="000000" w:themeColor="text1"/>
        </w:rPr>
        <w:t>post-hoc</w:t>
      </w:r>
      <w:r w:rsidR="00113930" w:rsidRPr="00217644">
        <w:rPr>
          <w:rFonts w:ascii="Arial" w:eastAsiaTheme="minorEastAsia" w:hAnsi="Arial" w:cs="Arial"/>
          <w:color w:val="000000" w:themeColor="text1"/>
        </w:rPr>
        <w:t xml:space="preserve"> test for multiple comparisons.</w:t>
      </w:r>
      <w:r w:rsidR="00ED4CF4">
        <w:rPr>
          <w:rFonts w:ascii="Arial" w:eastAsiaTheme="minorEastAsia" w:hAnsi="Arial" w:cs="Arial"/>
          <w:color w:val="000000" w:themeColor="text1"/>
        </w:rPr>
        <w:t xml:space="preserve"> </w:t>
      </w:r>
      <w:r w:rsidR="00ED4CF4" w:rsidRPr="005D6DB9">
        <w:rPr>
          <w:rFonts w:ascii="Arial" w:hAnsi="Arial" w:cs="Arial"/>
          <w:color w:val="000000" w:themeColor="text1"/>
        </w:rPr>
        <w:t>Treatment with CBD at 30 mg/kg and 60 mg/kg showed a significant reduction (P &lt; 0.001) in open arm avoidance (</w:t>
      </w:r>
      <w:r w:rsidR="00ED4CF4" w:rsidRPr="005D6DB9">
        <w:rPr>
          <w:rFonts w:ascii="Arial" w:eastAsia="Times New Roman" w:hAnsi="Arial" w:cs="Arial"/>
          <w:color w:val="000000" w:themeColor="text1"/>
        </w:rPr>
        <w:t xml:space="preserve">71.75 ± 0.85 % and 68.50 ± 1.66 % respectively) </w:t>
      </w:r>
      <w:r w:rsidR="00ED4CF4" w:rsidRPr="005D6DB9">
        <w:rPr>
          <w:rFonts w:ascii="Arial" w:hAnsi="Arial" w:cs="Arial"/>
          <w:color w:val="000000" w:themeColor="text1"/>
        </w:rPr>
        <w:t>compared to the reserpine-only group (</w:t>
      </w:r>
      <w:r w:rsidR="00ED4CF4" w:rsidRPr="005D6DB9">
        <w:rPr>
          <w:rFonts w:ascii="Arial" w:eastAsia="Times New Roman" w:hAnsi="Arial" w:cs="Arial"/>
          <w:color w:val="000000" w:themeColor="text1"/>
        </w:rPr>
        <w:t>96.25 ± 3.75 %</w:t>
      </w:r>
      <w:r w:rsidR="00ED4CF4" w:rsidRPr="005D6DB9">
        <w:rPr>
          <w:rFonts w:ascii="Arial" w:hAnsi="Arial" w:cs="Arial"/>
          <w:color w:val="000000" w:themeColor="text1"/>
        </w:rPr>
        <w:t>).</w:t>
      </w:r>
      <w:r w:rsidR="00ED4CF4">
        <w:rPr>
          <w:rFonts w:ascii="Arial" w:hAnsi="Arial" w:cs="Arial"/>
          <w:color w:val="000000" w:themeColor="text1"/>
        </w:rPr>
        <w:t xml:space="preserve"> </w:t>
      </w:r>
      <w:r w:rsidR="00ED4CF4">
        <w:rPr>
          <w:rFonts w:ascii="Arial" w:hAnsi="Arial" w:cs="Arial"/>
        </w:rPr>
        <w:t>The study concludes that</w:t>
      </w:r>
      <w:r w:rsidR="00ED4CF4" w:rsidRPr="00AE08ED">
        <w:rPr>
          <w:rFonts w:ascii="Arial" w:hAnsi="Arial" w:cs="Arial"/>
        </w:rPr>
        <w:t xml:space="preserve"> </w:t>
      </w:r>
      <w:r w:rsidR="00ED4CF4">
        <w:rPr>
          <w:rFonts w:ascii="Arial" w:hAnsi="Arial" w:cs="Arial"/>
        </w:rPr>
        <w:t>c</w:t>
      </w:r>
      <w:r w:rsidR="00ED4CF4" w:rsidRPr="00AE08ED">
        <w:rPr>
          <w:rFonts w:ascii="Arial" w:hAnsi="Arial" w:cs="Arial"/>
        </w:rPr>
        <w:t xml:space="preserve">annabidiol and tetrahydrocannabinol </w:t>
      </w:r>
      <w:r w:rsidR="00ED4CF4">
        <w:rPr>
          <w:rFonts w:ascii="Arial" w:hAnsi="Arial" w:cs="Arial"/>
        </w:rPr>
        <w:t>modulate</w:t>
      </w:r>
      <w:r w:rsidR="00ED4CF4" w:rsidRPr="00AE08ED">
        <w:rPr>
          <w:rFonts w:ascii="Arial" w:hAnsi="Arial" w:cs="Arial"/>
        </w:rPr>
        <w:t xml:space="preserve"> neurobehavioral, neurochemical and histoarchitectural changes in reserpine-induced </w:t>
      </w:r>
      <w:r w:rsidR="00ED4CF4">
        <w:rPr>
          <w:rFonts w:ascii="Arial" w:hAnsi="Arial" w:cs="Arial"/>
        </w:rPr>
        <w:t>P</w:t>
      </w:r>
      <w:r w:rsidR="00ED4CF4" w:rsidRPr="00AE08ED">
        <w:rPr>
          <w:rFonts w:ascii="Arial" w:hAnsi="Arial" w:cs="Arial"/>
        </w:rPr>
        <w:t>arkinson’s disease in mice</w:t>
      </w:r>
      <w:r w:rsidR="00ED4CF4">
        <w:rPr>
          <w:rFonts w:ascii="Arial" w:hAnsi="Arial" w:cs="Arial"/>
          <w:color w:val="000000" w:themeColor="text1"/>
        </w:rPr>
        <w:t xml:space="preserve"> by reducing anxiety, improving cognition, increasing serotonin levels in the brain and reducing neuronal damage. </w:t>
      </w:r>
      <w:r w:rsidR="00ED4CF4" w:rsidRPr="00ED4CF4">
        <w:rPr>
          <w:rFonts w:ascii="Arial" w:hAnsi="Arial" w:cs="Arial"/>
          <w:color w:val="000000" w:themeColor="text1"/>
        </w:rPr>
        <w:t>Further molecular investigations are required to determine alterations in gene and protein expression related to monoamine neurotransmission, oxidative stress, and neuroinflammatory processes in Parkinson’s disease. Additionally, future research should explore the long-term effects of chronic administration of cannabidiol (CBD) and tetrahydrocannabinol (THC) in the management of non-motor symptoms associated with Parkinson’s disease.</w:t>
      </w:r>
    </w:p>
    <w:p w14:paraId="5FB46097" w14:textId="77777777" w:rsidR="00ED4CF4" w:rsidRDefault="00ED4CF4" w:rsidP="00113930">
      <w:pPr>
        <w:spacing w:before="240" w:line="240" w:lineRule="auto"/>
        <w:jc w:val="both"/>
        <w:rPr>
          <w:rFonts w:ascii="Arial" w:hAnsi="Arial" w:cs="Arial"/>
          <w:color w:val="000000" w:themeColor="text1"/>
        </w:rPr>
      </w:pPr>
    </w:p>
    <w:p w14:paraId="2E6EE4C1" w14:textId="1A411866" w:rsidR="00ED4CF4" w:rsidRPr="00ED4CF4" w:rsidRDefault="00ED4CF4" w:rsidP="00D96F0B">
      <w:pPr>
        <w:spacing w:before="240" w:line="240" w:lineRule="auto"/>
        <w:jc w:val="both"/>
        <w:rPr>
          <w:rFonts w:ascii="Arial" w:hAnsi="Arial" w:cs="Arial"/>
          <w:i/>
          <w:iCs/>
          <w:color w:val="000000" w:themeColor="text1"/>
          <w:shd w:val="clear" w:color="auto" w:fill="FFFFFF"/>
        </w:rPr>
      </w:pPr>
      <w:r>
        <w:rPr>
          <w:rFonts w:ascii="Arial" w:hAnsi="Arial" w:cs="Arial"/>
          <w:color w:val="000000" w:themeColor="text1"/>
        </w:rPr>
        <w:t xml:space="preserve">Keywords: </w:t>
      </w:r>
      <w:r w:rsidRPr="00ED4CF4">
        <w:rPr>
          <w:rFonts w:ascii="Arial" w:hAnsi="Arial" w:cs="Arial"/>
          <w:i/>
          <w:iCs/>
          <w:color w:val="000000" w:themeColor="text1"/>
        </w:rPr>
        <w:t xml:space="preserve">Parkinson's disease, Cognitive change, </w:t>
      </w:r>
      <w:r w:rsidRPr="00ED4CF4">
        <w:rPr>
          <w:rFonts w:ascii="Arial" w:hAnsi="Arial" w:cs="Arial"/>
          <w:i/>
          <w:iCs/>
          <w:color w:val="000000" w:themeColor="text1"/>
          <w:shd w:val="clear" w:color="auto" w:fill="FFFFFF"/>
        </w:rPr>
        <w:t xml:space="preserve">Cannabidiol, Tetrahydrocannabinol, </w:t>
      </w:r>
      <w:r w:rsidR="00D96F0B" w:rsidRPr="00D96F0B">
        <w:rPr>
          <w:rFonts w:ascii="Arial" w:hAnsi="Arial" w:cs="Arial"/>
          <w:highlight w:val="yellow"/>
          <w:lang w:bidi="ta-IN"/>
        </w:rPr>
        <w:t>serotonin changes</w:t>
      </w:r>
      <w:r w:rsidR="00D96F0B">
        <w:rPr>
          <w:rFonts w:ascii="Arial" w:hAnsi="Arial" w:cs="Arial"/>
          <w:lang w:bidi="ta-IN"/>
        </w:rPr>
        <w:t>,</w:t>
      </w:r>
      <w:r w:rsidR="00D96F0B" w:rsidRPr="00ED4CF4">
        <w:rPr>
          <w:rFonts w:ascii="Arial" w:hAnsi="Arial" w:cs="Arial"/>
          <w:i/>
          <w:iCs/>
          <w:color w:val="000000" w:themeColor="text1"/>
          <w:shd w:val="clear" w:color="auto" w:fill="FFFFFF"/>
        </w:rPr>
        <w:t xml:space="preserve"> </w:t>
      </w:r>
      <w:r w:rsidRPr="00ED4CF4">
        <w:rPr>
          <w:rFonts w:ascii="Arial" w:hAnsi="Arial" w:cs="Arial"/>
          <w:i/>
          <w:iCs/>
          <w:color w:val="000000" w:themeColor="text1"/>
          <w:shd w:val="clear" w:color="auto" w:fill="FFFFFF"/>
        </w:rPr>
        <w:t>Reserpine-induced</w:t>
      </w:r>
    </w:p>
    <w:p w14:paraId="7CA2EBB1" w14:textId="272A4331" w:rsidR="00113930" w:rsidRDefault="00113930" w:rsidP="00113930"/>
    <w:p w14:paraId="2BCF2E88" w14:textId="1138D446" w:rsidR="00113930" w:rsidRPr="00113930" w:rsidRDefault="00113930" w:rsidP="00113930">
      <w:pPr>
        <w:spacing w:after="0" w:line="240" w:lineRule="auto"/>
        <w:rPr>
          <w:rFonts w:ascii="Arial" w:hAnsi="Arial" w:cs="Arial"/>
        </w:rPr>
      </w:pPr>
    </w:p>
    <w:p w14:paraId="24CE17D2" w14:textId="77777777" w:rsidR="005A500C" w:rsidRDefault="005A500C" w:rsidP="0081312C">
      <w:pPr>
        <w:spacing w:after="0" w:line="240" w:lineRule="auto"/>
        <w:jc w:val="center"/>
        <w:rPr>
          <w:rFonts w:ascii="Arial" w:hAnsi="Arial" w:cs="Arial"/>
        </w:rPr>
      </w:pPr>
    </w:p>
    <w:p w14:paraId="091DFBC0" w14:textId="77777777" w:rsidR="005A500C" w:rsidRDefault="005A500C" w:rsidP="005A500C">
      <w:pPr>
        <w:spacing w:line="240" w:lineRule="auto"/>
        <w:jc w:val="both"/>
        <w:rPr>
          <w:rFonts w:ascii="Arial" w:hAnsi="Arial" w:cs="Arial"/>
          <w:b/>
          <w:shd w:val="clear" w:color="auto" w:fill="FFFFFF"/>
        </w:rPr>
      </w:pPr>
    </w:p>
    <w:p w14:paraId="20855569" w14:textId="77777777" w:rsidR="00960E28" w:rsidRDefault="005A500C" w:rsidP="00960E28">
      <w:pPr>
        <w:pStyle w:val="ListParagraph"/>
        <w:numPr>
          <w:ilvl w:val="0"/>
          <w:numId w:val="1"/>
        </w:numPr>
        <w:spacing w:line="240" w:lineRule="auto"/>
        <w:jc w:val="both"/>
        <w:rPr>
          <w:rFonts w:ascii="Arial" w:hAnsi="Arial" w:cs="Arial"/>
          <w:b/>
          <w:shd w:val="clear" w:color="auto" w:fill="FFFFFF"/>
        </w:rPr>
      </w:pPr>
      <w:r w:rsidRPr="005A500C">
        <w:rPr>
          <w:rFonts w:ascii="Arial" w:hAnsi="Arial" w:cs="Arial"/>
          <w:b/>
          <w:shd w:val="clear" w:color="auto" w:fill="FFFFFF"/>
        </w:rPr>
        <w:t>Introduction</w:t>
      </w:r>
    </w:p>
    <w:p w14:paraId="625C0088" w14:textId="3BE02201" w:rsidR="00960E28" w:rsidRPr="00960E28" w:rsidRDefault="00960E28" w:rsidP="00960E28">
      <w:pPr>
        <w:pStyle w:val="ListParagraph"/>
        <w:spacing w:line="240" w:lineRule="auto"/>
        <w:jc w:val="both"/>
        <w:rPr>
          <w:rFonts w:ascii="Arial" w:hAnsi="Arial" w:cs="Arial"/>
          <w:b/>
          <w:shd w:val="clear" w:color="auto" w:fill="FFFFFF"/>
        </w:rPr>
      </w:pPr>
      <w:r w:rsidRPr="00960E28">
        <w:rPr>
          <w:rFonts w:ascii="Arial" w:eastAsia="Times New Roman" w:hAnsi="Arial" w:cs="Arial"/>
          <w:sz w:val="24"/>
          <w:szCs w:val="24"/>
        </w:rPr>
        <w:t>Parkinson’s disease (PD) is the second most prevalent neurodegenerative disorder, following Alzheimer’s disease (</w:t>
      </w:r>
      <w:proofErr w:type="spellStart"/>
      <w:r w:rsidRPr="00960E28">
        <w:rPr>
          <w:rFonts w:ascii="Arial" w:eastAsia="Times New Roman" w:hAnsi="Arial" w:cs="Arial"/>
          <w:sz w:val="24"/>
          <w:szCs w:val="24"/>
        </w:rPr>
        <w:t>Kouli</w:t>
      </w:r>
      <w:proofErr w:type="spellEnd"/>
      <w:r w:rsidRPr="00960E28">
        <w:rPr>
          <w:rFonts w:ascii="Arial" w:eastAsia="Times New Roman" w:hAnsi="Arial" w:cs="Arial"/>
          <w:sz w:val="24"/>
          <w:szCs w:val="24"/>
        </w:rPr>
        <w:t xml:space="preserve"> et al., 2018). It is a progressive and debilitating neurological condition that primarily affects the substantia </w:t>
      </w:r>
      <w:proofErr w:type="spellStart"/>
      <w:r w:rsidRPr="00960E28">
        <w:rPr>
          <w:rFonts w:ascii="Arial" w:eastAsia="Times New Roman" w:hAnsi="Arial" w:cs="Arial"/>
          <w:sz w:val="24"/>
          <w:szCs w:val="24"/>
        </w:rPr>
        <w:t>nigra</w:t>
      </w:r>
      <w:proofErr w:type="spellEnd"/>
      <w:r w:rsidRPr="00960E28">
        <w:rPr>
          <w:rFonts w:ascii="Arial" w:eastAsia="Times New Roman" w:hAnsi="Arial" w:cs="Arial"/>
          <w:sz w:val="24"/>
          <w:szCs w:val="24"/>
        </w:rPr>
        <w:t xml:space="preserve"> (SN) and the locus coeruleus. The disease often begins with subtle prodromal manifestations, such as hyposmia, and gradually progresses to pronounced impairments in motor function (Kumar et al., 2024). Beyond its characteristic </w:t>
      </w:r>
      <w:r w:rsidRPr="00960E28">
        <w:rPr>
          <w:rFonts w:ascii="Arial" w:eastAsia="Times New Roman" w:hAnsi="Arial" w:cs="Arial"/>
          <w:sz w:val="24"/>
          <w:szCs w:val="24"/>
        </w:rPr>
        <w:lastRenderedPageBreak/>
        <w:t>motor symptoms, Parkinson’s disease also involves widespread non-motor disturbances, including anxiety, dizziness, constipation, pain, cognitive decline, and depressive symptoms, which considerably complicate disease management (</w:t>
      </w:r>
      <w:proofErr w:type="spellStart"/>
      <w:r w:rsidRPr="00960E28">
        <w:rPr>
          <w:rFonts w:ascii="Arial" w:eastAsia="Times New Roman" w:hAnsi="Arial" w:cs="Arial"/>
          <w:sz w:val="24"/>
          <w:szCs w:val="24"/>
        </w:rPr>
        <w:t>Comi</w:t>
      </w:r>
      <w:proofErr w:type="spellEnd"/>
      <w:r w:rsidRPr="00960E28">
        <w:rPr>
          <w:rFonts w:ascii="Arial" w:eastAsia="Times New Roman" w:hAnsi="Arial" w:cs="Arial"/>
          <w:sz w:val="24"/>
          <w:szCs w:val="24"/>
        </w:rPr>
        <w:t xml:space="preserve"> et al., 2014). Emerging evidence indicates that the underlying pathophysiological alterations may precede the onset of motor symptoms and encompass a range of non-motor features, such as sleep disturbances, depression, and cognitive impairment (</w:t>
      </w:r>
      <w:proofErr w:type="spellStart"/>
      <w:r w:rsidRPr="00960E28">
        <w:rPr>
          <w:rFonts w:ascii="Arial" w:eastAsia="Times New Roman" w:hAnsi="Arial" w:cs="Arial"/>
          <w:sz w:val="24"/>
          <w:szCs w:val="24"/>
        </w:rPr>
        <w:t>Schrag</w:t>
      </w:r>
      <w:proofErr w:type="spellEnd"/>
      <w:r w:rsidRPr="00960E28">
        <w:rPr>
          <w:rFonts w:ascii="Arial" w:eastAsia="Times New Roman" w:hAnsi="Arial" w:cs="Arial"/>
          <w:sz w:val="24"/>
          <w:szCs w:val="24"/>
        </w:rPr>
        <w:t xml:space="preserve"> et al., 2015).</w:t>
      </w:r>
    </w:p>
    <w:p w14:paraId="5F0F9634" w14:textId="77777777" w:rsidR="008E2F1E" w:rsidRDefault="005A500C" w:rsidP="008E2F1E">
      <w:pPr>
        <w:spacing w:before="240" w:line="240" w:lineRule="auto"/>
        <w:jc w:val="both"/>
        <w:rPr>
          <w:rFonts w:ascii="Arial" w:hAnsi="Arial" w:cs="Arial"/>
          <w:color w:val="000000" w:themeColor="text1"/>
        </w:rPr>
      </w:pPr>
      <w:r w:rsidRPr="008E2F1E">
        <w:rPr>
          <w:rFonts w:ascii="Arial" w:hAnsi="Arial" w:cs="Arial"/>
          <w:color w:val="000000" w:themeColor="text1"/>
        </w:rPr>
        <w:t xml:space="preserve">The disease may originate in the peripheral autonomic nervous system or olfactory bulb, spreading to the central nervous system and eventually affecting the substantia </w:t>
      </w:r>
      <w:proofErr w:type="spellStart"/>
      <w:r w:rsidRPr="008E2F1E">
        <w:rPr>
          <w:rFonts w:ascii="Arial" w:hAnsi="Arial" w:cs="Arial"/>
          <w:color w:val="000000" w:themeColor="text1"/>
        </w:rPr>
        <w:t>nigra</w:t>
      </w:r>
      <w:proofErr w:type="spellEnd"/>
      <w:r w:rsidRPr="008E2F1E">
        <w:rPr>
          <w:rFonts w:ascii="Arial" w:hAnsi="Arial" w:cs="Arial"/>
          <w:color w:val="000000" w:themeColor="text1"/>
        </w:rPr>
        <w:t xml:space="preserve"> (</w:t>
      </w:r>
      <w:proofErr w:type="spellStart"/>
      <w:r w:rsidRPr="008E2F1E">
        <w:rPr>
          <w:rFonts w:ascii="Arial" w:hAnsi="Arial" w:cs="Arial"/>
          <w:color w:val="000000" w:themeColor="text1"/>
        </w:rPr>
        <w:t>Kouli</w:t>
      </w:r>
      <w:proofErr w:type="spellEnd"/>
      <w:r w:rsidRPr="008E2F1E">
        <w:rPr>
          <w:rFonts w:ascii="Arial" w:hAnsi="Arial" w:cs="Arial"/>
          <w:color w:val="000000" w:themeColor="text1"/>
        </w:rPr>
        <w:t xml:space="preserve"> </w:t>
      </w:r>
      <w:r w:rsidRPr="008E2F1E">
        <w:rPr>
          <w:rFonts w:ascii="Arial" w:hAnsi="Arial" w:cs="Arial"/>
          <w:i/>
          <w:iCs/>
          <w:color w:val="000000" w:themeColor="text1"/>
        </w:rPr>
        <w:t>et al</w:t>
      </w:r>
      <w:r w:rsidRPr="008E2F1E">
        <w:rPr>
          <w:rFonts w:ascii="Arial" w:hAnsi="Arial" w:cs="Arial"/>
          <w:color w:val="000000" w:themeColor="text1"/>
        </w:rPr>
        <w:t>., 2018).  This progression explains early non-motor symptoms such as rapid eye movement sleep disorders, hyposmia, and constipation. Research indicates that symptoms like depression, tremor, constipation, fatigue, balance issues, and urinary dysfunction five years prior to diagnosis are strong predictors of PD (</w:t>
      </w:r>
      <w:proofErr w:type="spellStart"/>
      <w:r w:rsidRPr="008E2F1E">
        <w:rPr>
          <w:rFonts w:ascii="Arial" w:hAnsi="Arial" w:cs="Arial"/>
          <w:color w:val="000000" w:themeColor="text1"/>
        </w:rPr>
        <w:t>Schrag</w:t>
      </w:r>
      <w:proofErr w:type="spellEnd"/>
      <w:r w:rsidRPr="008E2F1E">
        <w:rPr>
          <w:rFonts w:ascii="Arial" w:hAnsi="Arial" w:cs="Arial"/>
          <w:color w:val="000000" w:themeColor="text1"/>
        </w:rPr>
        <w:t xml:space="preserve"> </w:t>
      </w:r>
      <w:r w:rsidRPr="008E2F1E">
        <w:rPr>
          <w:rFonts w:ascii="Arial" w:hAnsi="Arial" w:cs="Arial"/>
          <w:i/>
          <w:iCs/>
          <w:color w:val="000000" w:themeColor="text1"/>
        </w:rPr>
        <w:t>et al</w:t>
      </w:r>
      <w:r w:rsidRPr="008E2F1E">
        <w:rPr>
          <w:rFonts w:ascii="Arial" w:hAnsi="Arial" w:cs="Arial"/>
          <w:i/>
          <w:color w:val="000000" w:themeColor="text1"/>
        </w:rPr>
        <w:t xml:space="preserve">., </w:t>
      </w:r>
      <w:r w:rsidRPr="008E2F1E">
        <w:rPr>
          <w:rFonts w:ascii="Arial" w:hAnsi="Arial" w:cs="Arial"/>
          <w:color w:val="000000" w:themeColor="text1"/>
        </w:rPr>
        <w:t>2015).</w:t>
      </w:r>
      <w:r w:rsidR="008E2F1E">
        <w:rPr>
          <w:rFonts w:ascii="Arial" w:hAnsi="Arial" w:cs="Arial"/>
          <w:color w:val="000000" w:themeColor="text1"/>
        </w:rPr>
        <w:t xml:space="preserve"> </w:t>
      </w:r>
      <w:r w:rsidRPr="008E2F1E">
        <w:rPr>
          <w:rFonts w:ascii="Arial" w:hAnsi="Arial" w:cs="Arial"/>
          <w:color w:val="000000" w:themeColor="text1"/>
        </w:rPr>
        <w:t>As PD advances, motor symptoms such as tremor, rigidity, bradykinesia, and postural instability worsen, and complications from long-term levodopa therapy, including dyskinesias, non-motor fluctuations, and psychosis, become more challenging to manage (</w:t>
      </w:r>
      <w:proofErr w:type="spellStart"/>
      <w:r w:rsidRPr="008E2F1E">
        <w:rPr>
          <w:rFonts w:ascii="Arial" w:hAnsi="Arial" w:cs="Arial"/>
          <w:color w:val="000000" w:themeColor="text1"/>
        </w:rPr>
        <w:t>Kouli</w:t>
      </w:r>
      <w:proofErr w:type="spellEnd"/>
      <w:r w:rsidRPr="008E2F1E">
        <w:rPr>
          <w:rFonts w:ascii="Arial" w:hAnsi="Arial" w:cs="Arial"/>
          <w:color w:val="000000" w:themeColor="text1"/>
        </w:rPr>
        <w:t xml:space="preserve"> </w:t>
      </w:r>
      <w:r w:rsidRPr="008E2F1E">
        <w:rPr>
          <w:rFonts w:ascii="Arial" w:hAnsi="Arial" w:cs="Arial"/>
          <w:i/>
          <w:iCs/>
          <w:color w:val="000000" w:themeColor="text1"/>
        </w:rPr>
        <w:t>et al</w:t>
      </w:r>
      <w:r w:rsidRPr="008E2F1E">
        <w:rPr>
          <w:rFonts w:ascii="Arial" w:hAnsi="Arial" w:cs="Arial"/>
          <w:color w:val="000000" w:themeColor="text1"/>
        </w:rPr>
        <w:t>., 2018).</w:t>
      </w:r>
    </w:p>
    <w:p w14:paraId="33F7332A" w14:textId="77777777" w:rsidR="00960E28" w:rsidRDefault="00960E28" w:rsidP="00960E28">
      <w:pPr>
        <w:spacing w:before="240" w:line="240" w:lineRule="auto"/>
        <w:jc w:val="both"/>
        <w:rPr>
          <w:rFonts w:ascii="Arial" w:hAnsi="Arial" w:cs="Arial"/>
          <w:color w:val="000000" w:themeColor="text1"/>
        </w:rPr>
      </w:pPr>
      <w:r w:rsidRPr="00960E28">
        <w:rPr>
          <w:rFonts w:ascii="Arial" w:hAnsi="Arial" w:cs="Arial"/>
          <w:color w:val="000000" w:themeColor="text1"/>
        </w:rPr>
        <w:t xml:space="preserve">Reserpine, a pharmacological model of Parkinson’s disease (PD), acts as an inhibitor of vesicular monoamine transporter type 2 (VMAT2) (Bernstein et al., 2014). Its administration leads to depletion of monoamines in nerve terminals by impairing their vesicular storage and release. This reduction in monoamine levels results in </w:t>
      </w:r>
      <w:proofErr w:type="spellStart"/>
      <w:r w:rsidRPr="00960E28">
        <w:rPr>
          <w:rFonts w:ascii="Arial" w:hAnsi="Arial" w:cs="Arial"/>
          <w:color w:val="000000" w:themeColor="text1"/>
        </w:rPr>
        <w:t>hypolocomotion</w:t>
      </w:r>
      <w:proofErr w:type="spellEnd"/>
      <w:r w:rsidRPr="00960E28">
        <w:rPr>
          <w:rFonts w:ascii="Arial" w:hAnsi="Arial" w:cs="Arial"/>
          <w:color w:val="000000" w:themeColor="text1"/>
        </w:rPr>
        <w:t xml:space="preserve"> and muscular rigidity (Fernandes et al., 2012).</w:t>
      </w:r>
      <w:r>
        <w:rPr>
          <w:rFonts w:ascii="Arial" w:hAnsi="Arial" w:cs="Arial"/>
          <w:color w:val="000000" w:themeColor="text1"/>
        </w:rPr>
        <w:t xml:space="preserve"> </w:t>
      </w:r>
      <w:r w:rsidRPr="00960E28">
        <w:rPr>
          <w:rFonts w:ascii="Arial" w:hAnsi="Arial" w:cs="Arial"/>
          <w:color w:val="000000" w:themeColor="text1"/>
        </w:rPr>
        <w:t xml:space="preserve">In rodent models, reserpine induces not only motor impairments but also deficits in memory, cognition, and emotional </w:t>
      </w:r>
      <w:proofErr w:type="spellStart"/>
      <w:r w:rsidRPr="00960E28">
        <w:rPr>
          <w:rFonts w:ascii="Arial" w:hAnsi="Arial" w:cs="Arial"/>
          <w:color w:val="000000" w:themeColor="text1"/>
        </w:rPr>
        <w:t>behaviour</w:t>
      </w:r>
      <w:proofErr w:type="spellEnd"/>
      <w:r w:rsidRPr="00960E28">
        <w:rPr>
          <w:rFonts w:ascii="Arial" w:hAnsi="Arial" w:cs="Arial"/>
          <w:color w:val="000000" w:themeColor="text1"/>
        </w:rPr>
        <w:t xml:space="preserve"> (Santos et al., 2013). Its administration partially replicates the pathogenesis of PD, producing akinesia and rigidity that resemble key clinical features of the disorder (Fernandes et al., 2012; </w:t>
      </w:r>
      <w:proofErr w:type="spellStart"/>
      <w:r w:rsidRPr="00960E28">
        <w:rPr>
          <w:rFonts w:ascii="Arial" w:hAnsi="Arial" w:cs="Arial"/>
          <w:color w:val="000000" w:themeColor="text1"/>
        </w:rPr>
        <w:t>Telega</w:t>
      </w:r>
      <w:proofErr w:type="spellEnd"/>
      <w:r w:rsidRPr="00960E28">
        <w:rPr>
          <w:rFonts w:ascii="Arial" w:hAnsi="Arial" w:cs="Arial"/>
          <w:color w:val="000000" w:themeColor="text1"/>
        </w:rPr>
        <w:t xml:space="preserve"> et al., 2024). Furthermore, reserpine elicits several non-motor manifestations relevant to the prodromal stages of PD, including sleep disturbances, anxiety, depressive-like </w:t>
      </w:r>
      <w:proofErr w:type="spellStart"/>
      <w:r w:rsidRPr="00960E28">
        <w:rPr>
          <w:rFonts w:ascii="Arial" w:hAnsi="Arial" w:cs="Arial"/>
          <w:color w:val="000000" w:themeColor="text1"/>
        </w:rPr>
        <w:t>behaviour</w:t>
      </w:r>
      <w:proofErr w:type="spellEnd"/>
      <w:r w:rsidRPr="00960E28">
        <w:rPr>
          <w:rFonts w:ascii="Arial" w:hAnsi="Arial" w:cs="Arial"/>
          <w:color w:val="000000" w:themeColor="text1"/>
        </w:rPr>
        <w:t>, and gastrointestinal dysfunction (Leal et al., 2016). Consequently, it is widely employed as an experimental model to investigate disease progression and the neurochemical alterations associated with PD (Leal et al., 2016).</w:t>
      </w:r>
      <w:r>
        <w:rPr>
          <w:rFonts w:ascii="Arial" w:hAnsi="Arial" w:cs="Arial"/>
          <w:color w:val="000000" w:themeColor="text1"/>
        </w:rPr>
        <w:t xml:space="preserve"> </w:t>
      </w:r>
    </w:p>
    <w:p w14:paraId="1093B644" w14:textId="7EFC26E1" w:rsidR="008E2F1E" w:rsidRPr="00960E28" w:rsidRDefault="00960E28" w:rsidP="00960E28">
      <w:pPr>
        <w:spacing w:before="240" w:line="240" w:lineRule="auto"/>
        <w:jc w:val="both"/>
        <w:rPr>
          <w:rFonts w:ascii="Arial" w:hAnsi="Arial" w:cs="Arial"/>
          <w:color w:val="000000" w:themeColor="text1"/>
          <w:shd w:val="clear" w:color="auto" w:fill="FFFFFF"/>
        </w:rPr>
      </w:pPr>
      <w:r w:rsidRPr="00960E28">
        <w:rPr>
          <w:rFonts w:ascii="Arial" w:hAnsi="Arial" w:cs="Arial"/>
          <w:color w:val="000000" w:themeColor="text1"/>
          <w:shd w:val="clear" w:color="auto" w:fill="FFFFFF"/>
        </w:rPr>
        <w:t>For several decades, considerable scientific attention has been directed towards the role of the endocannabinoid system in the physiological regulation of conditions such as pain, nausea and vomiting, seizures, neuroprotection, anxiety, and multiple sclerosis (</w:t>
      </w:r>
      <w:proofErr w:type="spellStart"/>
      <w:r w:rsidRPr="00960E28">
        <w:rPr>
          <w:rFonts w:ascii="Arial" w:hAnsi="Arial" w:cs="Arial"/>
          <w:color w:val="000000" w:themeColor="text1"/>
          <w:shd w:val="clear" w:color="auto" w:fill="FFFFFF"/>
        </w:rPr>
        <w:t>Fraguas</w:t>
      </w:r>
      <w:proofErr w:type="spellEnd"/>
      <w:r w:rsidRPr="00960E28">
        <w:rPr>
          <w:rFonts w:ascii="Arial" w:hAnsi="Arial" w:cs="Arial"/>
          <w:color w:val="000000" w:themeColor="text1"/>
          <w:shd w:val="clear" w:color="auto" w:fill="FFFFFF"/>
        </w:rPr>
        <w:t xml:space="preserve">-Sánchez and Torres-Suárez, 2018). The </w:t>
      </w:r>
      <w:r w:rsidRPr="00960E28">
        <w:rPr>
          <w:rFonts w:ascii="Arial" w:hAnsi="Arial" w:cs="Arial"/>
          <w:i/>
          <w:color w:val="000000" w:themeColor="text1"/>
          <w:shd w:val="clear" w:color="auto" w:fill="FFFFFF"/>
        </w:rPr>
        <w:t>Cannabis sativa</w:t>
      </w:r>
      <w:r w:rsidRPr="00960E28">
        <w:rPr>
          <w:rFonts w:ascii="Arial" w:hAnsi="Arial" w:cs="Arial"/>
          <w:color w:val="000000" w:themeColor="text1"/>
          <w:shd w:val="clear" w:color="auto" w:fill="FFFFFF"/>
        </w:rPr>
        <w:t xml:space="preserve"> plant contains over 100 </w:t>
      </w:r>
      <w:proofErr w:type="spellStart"/>
      <w:r w:rsidRPr="00960E28">
        <w:rPr>
          <w:rFonts w:ascii="Arial" w:hAnsi="Arial" w:cs="Arial"/>
          <w:color w:val="000000" w:themeColor="text1"/>
          <w:shd w:val="clear" w:color="auto" w:fill="FFFFFF"/>
        </w:rPr>
        <w:t>phytocannabinoids</w:t>
      </w:r>
      <w:proofErr w:type="spellEnd"/>
      <w:r w:rsidRPr="00960E28">
        <w:rPr>
          <w:rFonts w:ascii="Arial" w:hAnsi="Arial" w:cs="Arial"/>
          <w:color w:val="000000" w:themeColor="text1"/>
          <w:shd w:val="clear" w:color="auto" w:fill="FFFFFF"/>
        </w:rPr>
        <w:t xml:space="preserve">, which are </w:t>
      </w:r>
      <w:proofErr w:type="spellStart"/>
      <w:r w:rsidRPr="00960E28">
        <w:rPr>
          <w:rFonts w:ascii="Arial" w:hAnsi="Arial" w:cs="Arial"/>
          <w:color w:val="000000" w:themeColor="text1"/>
          <w:shd w:val="clear" w:color="auto" w:fill="FFFFFF"/>
        </w:rPr>
        <w:t>categorised</w:t>
      </w:r>
      <w:proofErr w:type="spellEnd"/>
      <w:r w:rsidRPr="00960E28">
        <w:rPr>
          <w:rFonts w:ascii="Arial" w:hAnsi="Arial" w:cs="Arial"/>
          <w:color w:val="000000" w:themeColor="text1"/>
          <w:shd w:val="clear" w:color="auto" w:fill="FFFFFF"/>
        </w:rPr>
        <w:t xml:space="preserve"> into 11 chemical classes (</w:t>
      </w:r>
      <w:proofErr w:type="spellStart"/>
      <w:r w:rsidRPr="00960E28">
        <w:rPr>
          <w:rFonts w:ascii="Arial" w:hAnsi="Arial" w:cs="Arial"/>
          <w:color w:val="000000" w:themeColor="text1"/>
          <w:shd w:val="clear" w:color="auto" w:fill="FFFFFF"/>
        </w:rPr>
        <w:t>Corroon</w:t>
      </w:r>
      <w:proofErr w:type="spellEnd"/>
      <w:r w:rsidRPr="00960E28">
        <w:rPr>
          <w:rFonts w:ascii="Arial" w:hAnsi="Arial" w:cs="Arial"/>
          <w:color w:val="000000" w:themeColor="text1"/>
          <w:shd w:val="clear" w:color="auto" w:fill="FFFFFF"/>
        </w:rPr>
        <w:t xml:space="preserve"> and Phillips, 2018). Among these, Δ9-tetrahydrocannabinol (Δ9-THC), a psychoactive compound, and cannabidiol (CBD), a non-intoxicating constituent, are the most extensively investigated (Abrams, 2018).</w:t>
      </w:r>
      <w:r>
        <w:rPr>
          <w:rFonts w:ascii="Arial" w:hAnsi="Arial" w:cs="Arial"/>
          <w:color w:val="000000" w:themeColor="text1"/>
          <w:shd w:val="clear" w:color="auto" w:fill="FFFFFF"/>
        </w:rPr>
        <w:t xml:space="preserve"> </w:t>
      </w:r>
      <w:r w:rsidRPr="00960E28">
        <w:rPr>
          <w:rFonts w:ascii="Arial" w:hAnsi="Arial" w:cs="Arial"/>
          <w:color w:val="000000" w:themeColor="text1"/>
          <w:shd w:val="clear" w:color="auto" w:fill="FFFFFF"/>
        </w:rPr>
        <w:t xml:space="preserve">Cannabinoid-containing products may be administered via several routes. Inhalation methods include smoking, water pipes, and </w:t>
      </w:r>
      <w:proofErr w:type="spellStart"/>
      <w:r w:rsidRPr="00960E28">
        <w:rPr>
          <w:rFonts w:ascii="Arial" w:hAnsi="Arial" w:cs="Arial"/>
          <w:color w:val="000000" w:themeColor="text1"/>
          <w:shd w:val="clear" w:color="auto" w:fill="FFFFFF"/>
        </w:rPr>
        <w:t>vapour</w:t>
      </w:r>
      <w:proofErr w:type="spellEnd"/>
      <w:r w:rsidRPr="00960E28">
        <w:rPr>
          <w:rFonts w:ascii="Arial" w:hAnsi="Arial" w:cs="Arial"/>
          <w:color w:val="000000" w:themeColor="text1"/>
          <w:shd w:val="clear" w:color="auto" w:fill="FFFFFF"/>
        </w:rPr>
        <w:t xml:space="preserve">-based techniques such as </w:t>
      </w:r>
      <w:proofErr w:type="spellStart"/>
      <w:r w:rsidRPr="00960E28">
        <w:rPr>
          <w:rFonts w:ascii="Arial" w:hAnsi="Arial" w:cs="Arial"/>
          <w:color w:val="000000" w:themeColor="text1"/>
          <w:shd w:val="clear" w:color="auto" w:fill="FFFFFF"/>
        </w:rPr>
        <w:t>vaporisation</w:t>
      </w:r>
      <w:proofErr w:type="spellEnd"/>
      <w:r w:rsidRPr="00960E28">
        <w:rPr>
          <w:rFonts w:ascii="Arial" w:hAnsi="Arial" w:cs="Arial"/>
          <w:color w:val="000000" w:themeColor="text1"/>
          <w:shd w:val="clear" w:color="auto" w:fill="FFFFFF"/>
        </w:rPr>
        <w:t xml:space="preserve">, dabbing, and </w:t>
      </w:r>
      <w:proofErr w:type="spellStart"/>
      <w:r w:rsidRPr="00960E28">
        <w:rPr>
          <w:rFonts w:ascii="Arial" w:hAnsi="Arial" w:cs="Arial"/>
          <w:color w:val="000000" w:themeColor="text1"/>
          <w:shd w:val="clear" w:color="auto" w:fill="FFFFFF"/>
        </w:rPr>
        <w:t>nebulisation</w:t>
      </w:r>
      <w:proofErr w:type="spellEnd"/>
      <w:r w:rsidRPr="00960E28">
        <w:rPr>
          <w:rFonts w:ascii="Arial" w:hAnsi="Arial" w:cs="Arial"/>
          <w:color w:val="000000" w:themeColor="text1"/>
          <w:shd w:val="clear" w:color="auto" w:fill="FFFFFF"/>
        </w:rPr>
        <w:t xml:space="preserve"> (</w:t>
      </w:r>
      <w:proofErr w:type="spellStart"/>
      <w:r w:rsidRPr="00960E28">
        <w:rPr>
          <w:rFonts w:ascii="Arial" w:hAnsi="Arial" w:cs="Arial"/>
          <w:color w:val="000000" w:themeColor="text1"/>
          <w:shd w:val="clear" w:color="auto" w:fill="FFFFFF"/>
        </w:rPr>
        <w:t>Kocis</w:t>
      </w:r>
      <w:proofErr w:type="spellEnd"/>
      <w:r w:rsidRPr="00960E28">
        <w:rPr>
          <w:rFonts w:ascii="Arial" w:hAnsi="Arial" w:cs="Arial"/>
          <w:color w:val="000000" w:themeColor="text1"/>
          <w:shd w:val="clear" w:color="auto" w:fill="FFFFFF"/>
        </w:rPr>
        <w:t xml:space="preserve"> and </w:t>
      </w:r>
      <w:proofErr w:type="spellStart"/>
      <w:r w:rsidRPr="00960E28">
        <w:rPr>
          <w:rFonts w:ascii="Arial" w:hAnsi="Arial" w:cs="Arial"/>
          <w:color w:val="000000" w:themeColor="text1"/>
          <w:shd w:val="clear" w:color="auto" w:fill="FFFFFF"/>
        </w:rPr>
        <w:t>Vrana</w:t>
      </w:r>
      <w:proofErr w:type="spellEnd"/>
      <w:r w:rsidRPr="00960E28">
        <w:rPr>
          <w:rFonts w:ascii="Arial" w:hAnsi="Arial" w:cs="Arial"/>
          <w:color w:val="000000" w:themeColor="text1"/>
          <w:shd w:val="clear" w:color="auto" w:fill="FFFFFF"/>
        </w:rPr>
        <w:t>, 2020). Oral administration is also common, with cannabinoids delivered in the form of capsules, oils, solutions, or tinctures. Furthermore, they can be incorporated into food products, such as baked goods and confectionery, or infused into beverages (</w:t>
      </w:r>
      <w:proofErr w:type="spellStart"/>
      <w:r w:rsidRPr="00960E28">
        <w:rPr>
          <w:rFonts w:ascii="Arial" w:hAnsi="Arial" w:cs="Arial"/>
          <w:color w:val="000000" w:themeColor="text1"/>
          <w:shd w:val="clear" w:color="auto" w:fill="FFFFFF"/>
        </w:rPr>
        <w:t>Corroon</w:t>
      </w:r>
      <w:proofErr w:type="spellEnd"/>
      <w:r w:rsidRPr="00960E28">
        <w:rPr>
          <w:rFonts w:ascii="Arial" w:hAnsi="Arial" w:cs="Arial"/>
          <w:color w:val="000000" w:themeColor="text1"/>
          <w:shd w:val="clear" w:color="auto" w:fill="FFFFFF"/>
        </w:rPr>
        <w:t xml:space="preserve"> and Phillips, 2018).</w:t>
      </w:r>
      <w:r>
        <w:rPr>
          <w:rFonts w:ascii="Arial" w:hAnsi="Arial" w:cs="Arial"/>
          <w:color w:val="000000" w:themeColor="text1"/>
          <w:shd w:val="clear" w:color="auto" w:fill="FFFFFF"/>
        </w:rPr>
        <w:t xml:space="preserve"> </w:t>
      </w:r>
      <w:r w:rsidR="008E2F1E">
        <w:rPr>
          <w:rFonts w:ascii="Arial" w:hAnsi="Arial" w:cs="Arial"/>
          <w:color w:val="000000" w:themeColor="text1"/>
          <w:shd w:val="clear" w:color="auto" w:fill="FFFFFF"/>
        </w:rPr>
        <w:t xml:space="preserve">The aim of this research work </w:t>
      </w:r>
      <w:r w:rsidR="00F4640D" w:rsidRPr="00F4640D">
        <w:rPr>
          <w:rFonts w:ascii="Arial" w:hAnsi="Arial" w:cs="Arial"/>
          <w:color w:val="000000" w:themeColor="text1"/>
          <w:shd w:val="clear" w:color="auto" w:fill="FFFFFF"/>
        </w:rPr>
        <w:t xml:space="preserve">was to investigate the modulatory effects of cannabidiol and tetrahydrocannabinol on neurobehavioral, neurochemical, and histoarchitectural </w:t>
      </w:r>
      <w:r w:rsidR="00F4640D">
        <w:rPr>
          <w:rFonts w:ascii="Arial" w:hAnsi="Arial" w:cs="Arial"/>
          <w:color w:val="000000" w:themeColor="text1"/>
          <w:shd w:val="clear" w:color="auto" w:fill="FFFFFF"/>
        </w:rPr>
        <w:t>changes</w:t>
      </w:r>
      <w:r w:rsidR="00F4640D" w:rsidRPr="00F4640D">
        <w:rPr>
          <w:rFonts w:ascii="Arial" w:hAnsi="Arial" w:cs="Arial"/>
          <w:color w:val="000000" w:themeColor="text1"/>
          <w:shd w:val="clear" w:color="auto" w:fill="FFFFFF"/>
        </w:rPr>
        <w:t xml:space="preserve"> in a reserpine-induced Parkinson’s disease mouse model.</w:t>
      </w:r>
    </w:p>
    <w:p w14:paraId="0DC3FCCA" w14:textId="77777777" w:rsidR="005A500C" w:rsidRPr="00217644" w:rsidRDefault="005A500C" w:rsidP="005A500C">
      <w:pPr>
        <w:spacing w:line="240" w:lineRule="auto"/>
        <w:jc w:val="both"/>
        <w:rPr>
          <w:rFonts w:ascii="Arial" w:hAnsi="Arial" w:cs="Arial"/>
          <w:b/>
          <w:shd w:val="clear" w:color="auto" w:fill="FFFFFF"/>
        </w:rPr>
      </w:pPr>
      <w:r>
        <w:rPr>
          <w:rFonts w:ascii="Arial" w:hAnsi="Arial" w:cs="Arial"/>
          <w:b/>
          <w:shd w:val="clear" w:color="auto" w:fill="FFFFFF"/>
        </w:rPr>
        <w:t>2.0</w:t>
      </w:r>
      <w:r>
        <w:rPr>
          <w:rFonts w:ascii="Arial" w:hAnsi="Arial" w:cs="Arial"/>
          <w:b/>
          <w:shd w:val="clear" w:color="auto" w:fill="FFFFFF"/>
        </w:rPr>
        <w:tab/>
      </w:r>
      <w:r w:rsidRPr="00217644">
        <w:rPr>
          <w:rFonts w:ascii="Arial" w:hAnsi="Arial" w:cs="Arial"/>
          <w:b/>
          <w:shd w:val="clear" w:color="auto" w:fill="FFFFFF"/>
        </w:rPr>
        <w:t>Materials and Methods</w:t>
      </w:r>
    </w:p>
    <w:p w14:paraId="32C579B2" w14:textId="77777777" w:rsidR="005A500C" w:rsidRPr="00217644" w:rsidRDefault="005A500C" w:rsidP="005A500C">
      <w:pPr>
        <w:pStyle w:val="Heading3"/>
        <w:spacing w:line="240" w:lineRule="auto"/>
        <w:rPr>
          <w:rFonts w:ascii="Arial" w:hAnsi="Arial" w:cs="Arial"/>
          <w:b/>
          <w:color w:val="auto"/>
          <w:sz w:val="22"/>
          <w:szCs w:val="22"/>
        </w:rPr>
      </w:pPr>
      <w:r>
        <w:rPr>
          <w:rFonts w:ascii="Arial" w:hAnsi="Arial" w:cs="Arial"/>
          <w:b/>
          <w:color w:val="auto"/>
          <w:sz w:val="22"/>
          <w:szCs w:val="22"/>
        </w:rPr>
        <w:lastRenderedPageBreak/>
        <w:t>2.1</w:t>
      </w:r>
      <w:r>
        <w:rPr>
          <w:rFonts w:ascii="Arial" w:hAnsi="Arial" w:cs="Arial"/>
          <w:b/>
          <w:color w:val="auto"/>
          <w:sz w:val="22"/>
          <w:szCs w:val="22"/>
        </w:rPr>
        <w:tab/>
      </w:r>
      <w:r w:rsidRPr="00217644">
        <w:rPr>
          <w:rFonts w:ascii="Arial" w:hAnsi="Arial" w:cs="Arial"/>
          <w:b/>
          <w:color w:val="auto"/>
          <w:sz w:val="22"/>
          <w:szCs w:val="22"/>
        </w:rPr>
        <w:t>Source of Materials</w:t>
      </w:r>
    </w:p>
    <w:p w14:paraId="5CDA70DD" w14:textId="77777777" w:rsidR="005A500C" w:rsidRPr="00217644" w:rsidRDefault="005A500C" w:rsidP="005A500C">
      <w:pPr>
        <w:spacing w:before="240" w:line="240" w:lineRule="auto"/>
        <w:jc w:val="both"/>
        <w:rPr>
          <w:rFonts w:ascii="Arial" w:hAnsi="Arial" w:cs="Arial"/>
        </w:rPr>
      </w:pPr>
      <w:r w:rsidRPr="00217644">
        <w:rPr>
          <w:rFonts w:ascii="Arial" w:hAnsi="Arial" w:cs="Arial"/>
        </w:rPr>
        <w:t>Cannabis sativa (National Drug Law Enforcement Agency, Kaduna State Command), Cannabidiol (</w:t>
      </w:r>
      <w:proofErr w:type="spellStart"/>
      <w:r w:rsidRPr="00217644">
        <w:rPr>
          <w:rFonts w:ascii="Arial" w:hAnsi="Arial" w:cs="Arial"/>
        </w:rPr>
        <w:t>Releaf</w:t>
      </w:r>
      <w:proofErr w:type="spellEnd"/>
      <w:r w:rsidRPr="00217644">
        <w:rPr>
          <w:rFonts w:ascii="Arial" w:hAnsi="Arial" w:cs="Arial"/>
        </w:rPr>
        <w:t xml:space="preserve"> Pharmaceuticals, South Africa), Tetrahydrocannabinol (extracted from </w:t>
      </w:r>
      <w:r w:rsidRPr="00217644">
        <w:rPr>
          <w:rFonts w:ascii="Arial" w:hAnsi="Arial" w:cs="Arial"/>
          <w:i/>
          <w:iCs/>
        </w:rPr>
        <w:t>cannabis sativa</w:t>
      </w:r>
      <w:r w:rsidRPr="00217644">
        <w:rPr>
          <w:rFonts w:ascii="Arial" w:hAnsi="Arial" w:cs="Arial"/>
        </w:rPr>
        <w:t xml:space="preserve"> in the Department of Pharmacognosy, ABU Zaria), Reserpine (Shanghai Ideal Medical Tech. Co., Ltd, China; CAS No. 50-55-5), Ethyl acetate, Tween 80, ELISA kits (Wuhan Fine Biotech Co., Ltd, China) and Methylated spirit.</w:t>
      </w:r>
    </w:p>
    <w:p w14:paraId="4328A7E6" w14:textId="77777777" w:rsidR="005A500C" w:rsidRPr="00217644" w:rsidRDefault="005A500C" w:rsidP="005A500C">
      <w:pPr>
        <w:pStyle w:val="Heading3"/>
        <w:spacing w:line="240" w:lineRule="auto"/>
        <w:rPr>
          <w:rFonts w:ascii="Arial" w:hAnsi="Arial" w:cs="Arial"/>
          <w:b/>
          <w:color w:val="auto"/>
          <w:sz w:val="22"/>
          <w:szCs w:val="22"/>
        </w:rPr>
      </w:pPr>
      <w:bookmarkStart w:id="1" w:name="_Toc167827531"/>
      <w:bookmarkStart w:id="2" w:name="_Toc188528745"/>
      <w:bookmarkStart w:id="3" w:name="_Toc190933925"/>
      <w:bookmarkStart w:id="4" w:name="_Toc210132735"/>
      <w:r>
        <w:rPr>
          <w:rFonts w:ascii="Arial" w:hAnsi="Arial" w:cs="Arial"/>
          <w:b/>
          <w:color w:val="auto"/>
          <w:sz w:val="22"/>
          <w:szCs w:val="22"/>
        </w:rPr>
        <w:t>2.2</w:t>
      </w:r>
      <w:r>
        <w:rPr>
          <w:rFonts w:ascii="Arial" w:hAnsi="Arial" w:cs="Arial"/>
          <w:b/>
          <w:color w:val="auto"/>
          <w:sz w:val="22"/>
          <w:szCs w:val="22"/>
        </w:rPr>
        <w:tab/>
      </w:r>
      <w:r w:rsidRPr="00217644">
        <w:rPr>
          <w:rFonts w:ascii="Arial" w:hAnsi="Arial" w:cs="Arial"/>
          <w:b/>
          <w:color w:val="auto"/>
          <w:sz w:val="22"/>
          <w:szCs w:val="22"/>
        </w:rPr>
        <w:t xml:space="preserve">Instruments and </w:t>
      </w:r>
      <w:bookmarkEnd w:id="1"/>
      <w:bookmarkEnd w:id="2"/>
      <w:bookmarkEnd w:id="3"/>
      <w:r w:rsidRPr="00217644">
        <w:rPr>
          <w:rFonts w:ascii="Arial" w:hAnsi="Arial" w:cs="Arial"/>
          <w:b/>
          <w:color w:val="auto"/>
          <w:sz w:val="22"/>
          <w:szCs w:val="22"/>
        </w:rPr>
        <w:t>equipment</w:t>
      </w:r>
      <w:bookmarkEnd w:id="4"/>
    </w:p>
    <w:p w14:paraId="09BE05B0" w14:textId="77777777" w:rsidR="005A500C" w:rsidRPr="00217644" w:rsidRDefault="005A500C" w:rsidP="005A500C">
      <w:pPr>
        <w:spacing w:before="240" w:line="240" w:lineRule="auto"/>
        <w:jc w:val="both"/>
        <w:rPr>
          <w:rFonts w:ascii="Arial" w:hAnsi="Arial" w:cs="Arial"/>
        </w:rPr>
      </w:pPr>
      <w:r w:rsidRPr="00217644">
        <w:rPr>
          <w:rFonts w:ascii="Arial" w:hAnsi="Arial" w:cs="Arial"/>
        </w:rPr>
        <w:t>Animal feed, plastic cages, hand gloves, hand towels, cotton wool, distilled water, face mask, feeders, markers, sawdust, stop watch, plain bottles, syringes and needles, water and weighing balance, dissecting kits and dissecting board.</w:t>
      </w:r>
    </w:p>
    <w:p w14:paraId="59ECF053" w14:textId="77777777" w:rsidR="005A500C" w:rsidRPr="00217644" w:rsidRDefault="005A500C" w:rsidP="005A500C">
      <w:pPr>
        <w:pStyle w:val="Heading3"/>
        <w:spacing w:after="240" w:line="240" w:lineRule="auto"/>
        <w:rPr>
          <w:rFonts w:ascii="Arial" w:hAnsi="Arial" w:cs="Arial"/>
          <w:b/>
          <w:color w:val="auto"/>
          <w:sz w:val="22"/>
          <w:szCs w:val="22"/>
        </w:rPr>
      </w:pPr>
      <w:bookmarkStart w:id="5" w:name="_Toc188528746"/>
      <w:bookmarkStart w:id="6" w:name="_Toc190933926"/>
      <w:bookmarkStart w:id="7" w:name="_Toc210132736"/>
      <w:r>
        <w:rPr>
          <w:rFonts w:ascii="Arial" w:hAnsi="Arial" w:cs="Arial"/>
          <w:b/>
          <w:color w:val="auto"/>
          <w:sz w:val="22"/>
          <w:szCs w:val="22"/>
        </w:rPr>
        <w:t>2.3</w:t>
      </w:r>
      <w:r>
        <w:rPr>
          <w:rFonts w:ascii="Arial" w:hAnsi="Arial" w:cs="Arial"/>
          <w:b/>
          <w:color w:val="auto"/>
          <w:sz w:val="22"/>
          <w:szCs w:val="22"/>
        </w:rPr>
        <w:tab/>
      </w:r>
      <w:r w:rsidRPr="00217644">
        <w:rPr>
          <w:rFonts w:ascii="Arial" w:hAnsi="Arial" w:cs="Arial"/>
          <w:b/>
          <w:color w:val="auto"/>
          <w:sz w:val="22"/>
          <w:szCs w:val="22"/>
        </w:rPr>
        <w:t>Experimental animals</w:t>
      </w:r>
      <w:bookmarkEnd w:id="5"/>
      <w:bookmarkEnd w:id="6"/>
      <w:bookmarkEnd w:id="7"/>
    </w:p>
    <w:p w14:paraId="71CC939D" w14:textId="77777777" w:rsidR="005A500C" w:rsidRPr="00217644" w:rsidRDefault="005A500C" w:rsidP="005A500C">
      <w:pPr>
        <w:spacing w:line="240" w:lineRule="auto"/>
        <w:jc w:val="both"/>
        <w:rPr>
          <w:rFonts w:ascii="Arial" w:hAnsi="Arial" w:cs="Arial"/>
          <w:b/>
        </w:rPr>
      </w:pPr>
      <w:r w:rsidRPr="00217644">
        <w:rPr>
          <w:rFonts w:ascii="Arial" w:hAnsi="Arial" w:cs="Arial"/>
        </w:rPr>
        <w:t>A total of forty-two (42)</w:t>
      </w:r>
      <w:r w:rsidRPr="00217644">
        <w:rPr>
          <w:rFonts w:ascii="Arial" w:hAnsi="Arial" w:cs="Arial"/>
          <w:b/>
        </w:rPr>
        <w:t xml:space="preserve"> </w:t>
      </w:r>
      <w:r w:rsidRPr="00217644">
        <w:rPr>
          <w:rFonts w:ascii="Arial" w:hAnsi="Arial" w:cs="Arial"/>
        </w:rPr>
        <w:t>adult mice of either sex weighing between 25-32g, of ages between 8 to 10 weeks were used for the study. They were sourced from the Animal house, Department of Human Physiology, Ahmadu Bello University Zaria. Mice were fed with standard diet and allowed free access to drinking water.</w:t>
      </w:r>
    </w:p>
    <w:p w14:paraId="5047EAB7" w14:textId="77777777" w:rsidR="005A500C" w:rsidRPr="00217644" w:rsidRDefault="005A500C" w:rsidP="005A500C">
      <w:pPr>
        <w:pStyle w:val="Heading3"/>
        <w:spacing w:line="240" w:lineRule="auto"/>
        <w:rPr>
          <w:rFonts w:ascii="Arial" w:hAnsi="Arial" w:cs="Arial"/>
          <w:b/>
          <w:color w:val="auto"/>
          <w:sz w:val="22"/>
          <w:szCs w:val="22"/>
        </w:rPr>
      </w:pPr>
      <w:r>
        <w:rPr>
          <w:rFonts w:ascii="Arial" w:hAnsi="Arial" w:cs="Arial"/>
          <w:b/>
          <w:color w:val="auto"/>
          <w:sz w:val="22"/>
          <w:szCs w:val="22"/>
        </w:rPr>
        <w:t>2.3</w:t>
      </w:r>
      <w:r>
        <w:rPr>
          <w:rFonts w:ascii="Arial" w:hAnsi="Arial" w:cs="Arial"/>
          <w:b/>
          <w:color w:val="auto"/>
          <w:sz w:val="22"/>
          <w:szCs w:val="22"/>
        </w:rPr>
        <w:tab/>
      </w:r>
      <w:r w:rsidRPr="00217644">
        <w:rPr>
          <w:rFonts w:ascii="Arial" w:hAnsi="Arial" w:cs="Arial"/>
          <w:b/>
          <w:color w:val="auto"/>
          <w:sz w:val="22"/>
          <w:szCs w:val="22"/>
        </w:rPr>
        <w:t xml:space="preserve">Extraction of Δ⁹-tetrahydrocannabinol (THC) </w:t>
      </w:r>
    </w:p>
    <w:p w14:paraId="720451E8" w14:textId="77777777" w:rsidR="005A500C" w:rsidRPr="00217644" w:rsidRDefault="005A500C" w:rsidP="005A500C">
      <w:pPr>
        <w:spacing w:line="240" w:lineRule="auto"/>
        <w:jc w:val="both"/>
        <w:rPr>
          <w:rFonts w:ascii="Arial" w:hAnsi="Arial" w:cs="Arial"/>
        </w:rPr>
      </w:pPr>
      <w:bookmarkStart w:id="8" w:name="_Toc188528750"/>
      <w:r w:rsidRPr="00217644">
        <w:rPr>
          <w:rFonts w:ascii="Arial" w:hAnsi="Arial" w:cs="Arial"/>
        </w:rPr>
        <w:t xml:space="preserve">Tetrahydrocannabinol (THC) was extracted from the dried </w:t>
      </w:r>
      <w:r w:rsidRPr="00217644">
        <w:rPr>
          <w:rFonts w:ascii="Arial" w:hAnsi="Arial" w:cs="Arial"/>
          <w:i/>
          <w:iCs/>
        </w:rPr>
        <w:t>cannabis sativa</w:t>
      </w:r>
      <w:r w:rsidRPr="00217644">
        <w:rPr>
          <w:rFonts w:ascii="Arial" w:hAnsi="Arial" w:cs="Arial"/>
        </w:rPr>
        <w:t xml:space="preserve"> plant in the Department of Pharmacognosy, Ahmadu Bello University (ABU), Zaria, following a protocol adapted from WO2016/179247 A1. The process involved solvent extraction, phase separation, purification, and decarboxylation. Initially, the plant material was soaked in heptane for one hour at room temperature to dissolve </w:t>
      </w:r>
      <w:r w:rsidRPr="00217644">
        <w:rPr>
          <w:rFonts w:ascii="Arial" w:hAnsi="Arial" w:cs="Arial"/>
          <w:bCs/>
        </w:rPr>
        <w:t>Δ⁹-</w:t>
      </w:r>
      <w:proofErr w:type="spellStart"/>
      <w:r w:rsidRPr="00217644">
        <w:rPr>
          <w:rFonts w:ascii="Arial" w:hAnsi="Arial" w:cs="Arial"/>
        </w:rPr>
        <w:t>tetrahydrocannabinolic</w:t>
      </w:r>
      <w:proofErr w:type="spellEnd"/>
      <w:r w:rsidRPr="00217644">
        <w:rPr>
          <w:rFonts w:ascii="Arial" w:hAnsi="Arial" w:cs="Arial"/>
        </w:rPr>
        <w:t xml:space="preserve"> acid (THC-A). The extract was filtered through </w:t>
      </w:r>
      <w:proofErr w:type="spellStart"/>
      <w:r w:rsidRPr="00217644">
        <w:rPr>
          <w:rFonts w:ascii="Arial" w:hAnsi="Arial" w:cs="Arial"/>
        </w:rPr>
        <w:t>Celite</w:t>
      </w:r>
      <w:proofErr w:type="spellEnd"/>
      <w:r w:rsidRPr="00217644">
        <w:rPr>
          <w:rFonts w:ascii="Arial" w:hAnsi="Arial" w:cs="Arial"/>
        </w:rPr>
        <w:t xml:space="preserve"> to remove plant debris, then combined with an aqueous sodium chloride (NaCl) solution and adjusted to a high pH using sodium hydroxide (NaOH). This facilitated phase separation, where the middle oily layer, enriched with THC-A, was collected. Further washing and extraction using tert-butyl methyl ether (TBME) converted any remaining THC-A into its sodium salt, followed by acidification with hydrochloric acid (HCl) to regenerate THC-A. Purification was achieved by dissolving the crude THC-A in pentane and treating it with activated carbon. The pentane was then evaporated, yielding purified THC-A (97–99% purity). Decarboxylation was performed by dissolving the purified THC-A in ethanol and heating it at 90°C under a nitrogen atmosphere for 40 minutes, converting THC-A into Δ⁹-THC. The final product was extracted using pentane, dried over sodium sulphate (</w:t>
      </w:r>
      <w:proofErr w:type="spellStart"/>
      <w:r w:rsidRPr="00217644">
        <w:rPr>
          <w:rFonts w:ascii="Arial" w:hAnsi="Arial" w:cs="Arial"/>
        </w:rPr>
        <w:t>Na</w:t>
      </w:r>
      <w:r w:rsidRPr="00217644">
        <w:rPr>
          <w:rFonts w:ascii="Cambria Math" w:hAnsi="Cambria Math" w:cs="Cambria Math"/>
        </w:rPr>
        <w:t>₂</w:t>
      </w:r>
      <w:r w:rsidRPr="00217644">
        <w:rPr>
          <w:rFonts w:ascii="Arial" w:hAnsi="Arial" w:cs="Arial"/>
        </w:rPr>
        <w:t>SO</w:t>
      </w:r>
      <w:proofErr w:type="spellEnd"/>
      <w:r w:rsidRPr="00217644">
        <w:rPr>
          <w:rFonts w:ascii="Cambria Math" w:hAnsi="Cambria Math" w:cs="Cambria Math"/>
        </w:rPr>
        <w:t>₄</w:t>
      </w:r>
      <w:r w:rsidRPr="00217644">
        <w:rPr>
          <w:rFonts w:ascii="Arial" w:hAnsi="Arial" w:cs="Arial"/>
        </w:rPr>
        <w:t>), and concentrated under vacuum, resulting in Δ⁹-THC with a purity of 92–94%, giving rise to a THC-rich extract.</w:t>
      </w:r>
    </w:p>
    <w:p w14:paraId="02868EE7" w14:textId="4F6C3113" w:rsidR="005A500C" w:rsidRPr="00217644" w:rsidRDefault="005A500C" w:rsidP="005A500C">
      <w:pPr>
        <w:pStyle w:val="Heading3"/>
        <w:spacing w:line="240" w:lineRule="auto"/>
        <w:rPr>
          <w:rFonts w:ascii="Arial" w:hAnsi="Arial" w:cs="Arial"/>
          <w:b/>
          <w:bCs/>
          <w:color w:val="auto"/>
          <w:sz w:val="22"/>
          <w:szCs w:val="22"/>
        </w:rPr>
      </w:pPr>
      <w:bookmarkStart w:id="9" w:name="_Toc210132741"/>
      <w:bookmarkEnd w:id="8"/>
      <w:r>
        <w:rPr>
          <w:rFonts w:ascii="Arial" w:hAnsi="Arial" w:cs="Arial"/>
          <w:b/>
          <w:bCs/>
          <w:color w:val="auto"/>
          <w:sz w:val="22"/>
          <w:szCs w:val="22"/>
        </w:rPr>
        <w:t>2.</w:t>
      </w:r>
      <w:r w:rsidR="007369EB">
        <w:rPr>
          <w:rFonts w:ascii="Arial" w:hAnsi="Arial" w:cs="Arial"/>
          <w:b/>
          <w:bCs/>
          <w:color w:val="auto"/>
          <w:sz w:val="22"/>
          <w:szCs w:val="22"/>
        </w:rPr>
        <w:t>4</w:t>
      </w:r>
      <w:r>
        <w:rPr>
          <w:rFonts w:ascii="Arial" w:hAnsi="Arial" w:cs="Arial"/>
          <w:b/>
          <w:bCs/>
          <w:color w:val="auto"/>
          <w:sz w:val="22"/>
          <w:szCs w:val="22"/>
        </w:rPr>
        <w:tab/>
      </w:r>
      <w:r w:rsidRPr="00217644">
        <w:rPr>
          <w:rFonts w:ascii="Arial" w:hAnsi="Arial" w:cs="Arial"/>
          <w:b/>
          <w:bCs/>
          <w:color w:val="auto"/>
          <w:sz w:val="22"/>
          <w:szCs w:val="22"/>
        </w:rPr>
        <w:t>Dose selection of cannabidiol and tetrahydrocannabinol</w:t>
      </w:r>
      <w:bookmarkEnd w:id="9"/>
    </w:p>
    <w:p w14:paraId="7F24DAA7" w14:textId="77777777" w:rsidR="005A500C" w:rsidRPr="00217644" w:rsidRDefault="005A500C" w:rsidP="005A500C">
      <w:pPr>
        <w:spacing w:before="240" w:line="240" w:lineRule="auto"/>
        <w:jc w:val="both"/>
        <w:rPr>
          <w:rFonts w:ascii="Arial" w:hAnsi="Arial" w:cs="Arial"/>
        </w:rPr>
      </w:pPr>
      <w:r w:rsidRPr="00217644">
        <w:rPr>
          <w:rFonts w:ascii="Arial" w:hAnsi="Arial" w:cs="Arial"/>
        </w:rPr>
        <w:t>The doses of cannabidiol and tetrahydrocannabinol used in this study were selected based on a preliminary study and adopted LD</w:t>
      </w:r>
      <w:r w:rsidRPr="00217644">
        <w:rPr>
          <w:rFonts w:ascii="Cambria Math" w:hAnsi="Cambria Math" w:cs="Cambria Math"/>
        </w:rPr>
        <w:t>₅₀</w:t>
      </w:r>
      <w:r w:rsidRPr="00217644">
        <w:rPr>
          <w:rFonts w:ascii="Arial" w:hAnsi="Arial" w:cs="Arial"/>
        </w:rPr>
        <w:t xml:space="preserve"> values from previous studies. The intraperitoneal LD</w:t>
      </w:r>
      <w:r w:rsidRPr="00217644">
        <w:rPr>
          <w:rFonts w:ascii="Cambria Math" w:hAnsi="Cambria Math" w:cs="Cambria Math"/>
        </w:rPr>
        <w:t>₅₀</w:t>
      </w:r>
      <w:r w:rsidRPr="00217644">
        <w:rPr>
          <w:rFonts w:ascii="Arial" w:hAnsi="Arial" w:cs="Arial"/>
        </w:rPr>
        <w:t xml:space="preserve"> of THC in mice has been reported as approximately 454.5 mg/kg (Phillips </w:t>
      </w:r>
      <w:r w:rsidRPr="00217644">
        <w:rPr>
          <w:rFonts w:ascii="Arial" w:hAnsi="Arial" w:cs="Arial"/>
          <w:i/>
          <w:iCs/>
        </w:rPr>
        <w:t>et al.,</w:t>
      </w:r>
      <w:r w:rsidRPr="00217644">
        <w:rPr>
          <w:rFonts w:ascii="Arial" w:hAnsi="Arial" w:cs="Arial"/>
        </w:rPr>
        <w:t xml:space="preserve"> 1971). For cannabidiol, a reliable intraperitoneal LD</w:t>
      </w:r>
      <w:r w:rsidRPr="00217644">
        <w:rPr>
          <w:rFonts w:ascii="Cambria Math" w:hAnsi="Cambria Math" w:cs="Cambria Math"/>
        </w:rPr>
        <w:t>₅₀</w:t>
      </w:r>
      <w:r w:rsidRPr="00217644">
        <w:rPr>
          <w:rFonts w:ascii="Arial" w:hAnsi="Arial" w:cs="Arial"/>
        </w:rPr>
        <w:t xml:space="preserve"> in mice has not been firmly established. However, studies report its low acute toxicity, with lethal doses rarely observed within the ranges used in experimental studies (Huestis </w:t>
      </w:r>
      <w:r w:rsidRPr="00217644">
        <w:rPr>
          <w:rFonts w:ascii="Arial" w:hAnsi="Arial" w:cs="Arial"/>
          <w:i/>
          <w:iCs/>
        </w:rPr>
        <w:t>et al.,</w:t>
      </w:r>
      <w:r w:rsidRPr="00217644">
        <w:rPr>
          <w:rFonts w:ascii="Arial" w:hAnsi="Arial" w:cs="Arial"/>
        </w:rPr>
        <w:t xml:space="preserve"> 2019). In our preliminary study, various doses of CBD (15, 30, and 60 mg/kg) and THC (2, 4, and 6 mg/kg) were evaluated through </w:t>
      </w:r>
      <w:proofErr w:type="spellStart"/>
      <w:r w:rsidRPr="00217644">
        <w:rPr>
          <w:rFonts w:ascii="Arial" w:hAnsi="Arial" w:cs="Arial"/>
        </w:rPr>
        <w:t>neurobehavioural</w:t>
      </w:r>
      <w:proofErr w:type="spellEnd"/>
      <w:r w:rsidRPr="00217644">
        <w:rPr>
          <w:rFonts w:ascii="Arial" w:hAnsi="Arial" w:cs="Arial"/>
        </w:rPr>
        <w:t xml:space="preserve"> assessments including the open field test, elevated plus maze, forced swim test, novel object recognition, and histological examination of the substantia </w:t>
      </w:r>
      <w:proofErr w:type="spellStart"/>
      <w:r w:rsidRPr="00217644">
        <w:rPr>
          <w:rFonts w:ascii="Arial" w:hAnsi="Arial" w:cs="Arial"/>
        </w:rPr>
        <w:t>nigra</w:t>
      </w:r>
      <w:proofErr w:type="spellEnd"/>
      <w:r w:rsidRPr="00217644">
        <w:rPr>
          <w:rFonts w:ascii="Arial" w:hAnsi="Arial" w:cs="Arial"/>
        </w:rPr>
        <w:t xml:space="preserve"> pars compacta. The doses of 60 mg/kg CBD and 6 mg/kg THC produced the most potent effects, followed by 30 mg/kg CBD </w:t>
      </w:r>
      <w:r w:rsidRPr="00217644">
        <w:rPr>
          <w:rFonts w:ascii="Arial" w:hAnsi="Arial" w:cs="Arial"/>
        </w:rPr>
        <w:lastRenderedPageBreak/>
        <w:t>and 4 mg/kg THC. Based on these findings, together with the reported LD</w:t>
      </w:r>
      <w:r w:rsidRPr="00217644">
        <w:rPr>
          <w:rFonts w:ascii="Cambria Math" w:hAnsi="Cambria Math" w:cs="Cambria Math"/>
        </w:rPr>
        <w:t>₅₀</w:t>
      </w:r>
      <w:r w:rsidRPr="00217644">
        <w:rPr>
          <w:rFonts w:ascii="Arial" w:hAnsi="Arial" w:cs="Arial"/>
        </w:rPr>
        <w:t xml:space="preserve"> values, these doses were selected for use in the present study.</w:t>
      </w:r>
    </w:p>
    <w:p w14:paraId="43E5355A" w14:textId="0E1AFCB3" w:rsidR="005A500C" w:rsidRPr="00217644" w:rsidRDefault="005A500C" w:rsidP="005A500C">
      <w:pPr>
        <w:pStyle w:val="Heading3"/>
        <w:spacing w:line="240" w:lineRule="auto"/>
        <w:rPr>
          <w:rFonts w:ascii="Arial" w:hAnsi="Arial" w:cs="Arial"/>
          <w:b/>
          <w:color w:val="auto"/>
          <w:sz w:val="22"/>
          <w:szCs w:val="22"/>
        </w:rPr>
      </w:pPr>
      <w:bookmarkStart w:id="10" w:name="_Toc188528752"/>
      <w:bookmarkStart w:id="11" w:name="_Toc190933932"/>
      <w:bookmarkStart w:id="12" w:name="_Toc210132742"/>
      <w:r>
        <w:rPr>
          <w:rFonts w:ascii="Arial" w:hAnsi="Arial" w:cs="Arial"/>
          <w:b/>
          <w:color w:val="auto"/>
          <w:sz w:val="22"/>
          <w:szCs w:val="22"/>
        </w:rPr>
        <w:t>2.</w:t>
      </w:r>
      <w:r w:rsidR="007369EB">
        <w:rPr>
          <w:rFonts w:ascii="Arial" w:hAnsi="Arial" w:cs="Arial"/>
          <w:b/>
          <w:color w:val="auto"/>
          <w:sz w:val="22"/>
          <w:szCs w:val="22"/>
        </w:rPr>
        <w:t>5</w:t>
      </w:r>
      <w:r>
        <w:rPr>
          <w:rFonts w:ascii="Arial" w:hAnsi="Arial" w:cs="Arial"/>
          <w:b/>
          <w:color w:val="auto"/>
          <w:sz w:val="22"/>
          <w:szCs w:val="22"/>
        </w:rPr>
        <w:tab/>
      </w:r>
      <w:r w:rsidRPr="00217644">
        <w:rPr>
          <w:rFonts w:ascii="Arial" w:hAnsi="Arial" w:cs="Arial"/>
          <w:b/>
          <w:color w:val="auto"/>
          <w:sz w:val="22"/>
          <w:szCs w:val="22"/>
        </w:rPr>
        <w:t>Animal groupings</w:t>
      </w:r>
      <w:bookmarkEnd w:id="10"/>
      <w:bookmarkEnd w:id="11"/>
      <w:bookmarkEnd w:id="12"/>
    </w:p>
    <w:p w14:paraId="4B3C91D7" w14:textId="77777777" w:rsidR="005A500C" w:rsidRDefault="005A500C" w:rsidP="005A500C">
      <w:pPr>
        <w:autoSpaceDE w:val="0"/>
        <w:autoSpaceDN w:val="0"/>
        <w:adjustRightInd w:val="0"/>
        <w:spacing w:before="240" w:after="0" w:line="240" w:lineRule="auto"/>
        <w:jc w:val="both"/>
        <w:rPr>
          <w:rFonts w:ascii="Arial" w:hAnsi="Arial" w:cs="Arial"/>
        </w:rPr>
      </w:pPr>
      <w:r w:rsidRPr="00217644">
        <w:rPr>
          <w:rFonts w:ascii="Arial" w:hAnsi="Arial" w:cs="Arial"/>
        </w:rPr>
        <w:t xml:space="preserve">Mice were divided randomly into 7 groups of 6 each as follows; </w:t>
      </w:r>
    </w:p>
    <w:p w14:paraId="6DB3BE45" w14:textId="77777777" w:rsidR="005A500C" w:rsidRPr="00217644" w:rsidRDefault="005A500C" w:rsidP="005A500C">
      <w:pPr>
        <w:autoSpaceDE w:val="0"/>
        <w:autoSpaceDN w:val="0"/>
        <w:adjustRightInd w:val="0"/>
        <w:spacing w:after="0" w:line="240" w:lineRule="auto"/>
        <w:jc w:val="both"/>
        <w:rPr>
          <w:rFonts w:ascii="Arial" w:hAnsi="Arial" w:cs="Arial"/>
        </w:rPr>
      </w:pPr>
    </w:p>
    <w:p w14:paraId="23973CC0" w14:textId="77777777" w:rsidR="005A500C" w:rsidRPr="00217644" w:rsidRDefault="005A500C" w:rsidP="005A500C">
      <w:pPr>
        <w:spacing w:line="240" w:lineRule="auto"/>
        <w:jc w:val="both"/>
        <w:rPr>
          <w:rFonts w:ascii="Arial" w:hAnsi="Arial" w:cs="Arial"/>
        </w:rPr>
      </w:pPr>
      <w:r w:rsidRPr="00217644">
        <w:rPr>
          <w:rFonts w:ascii="Arial" w:hAnsi="Arial" w:cs="Arial"/>
        </w:rPr>
        <w:t xml:space="preserve">GROUP 1 (Normal Control): Distilled water (10 ml/kg </w:t>
      </w:r>
      <w:proofErr w:type="spellStart"/>
      <w:r w:rsidRPr="00217644">
        <w:rPr>
          <w:rFonts w:ascii="Arial" w:hAnsi="Arial" w:cs="Arial"/>
        </w:rPr>
        <w:t>i.p</w:t>
      </w:r>
      <w:proofErr w:type="spellEnd"/>
      <w:r w:rsidRPr="00217644">
        <w:rPr>
          <w:rFonts w:ascii="Arial" w:hAnsi="Arial" w:cs="Arial"/>
        </w:rPr>
        <w:t>) (</w:t>
      </w:r>
      <w:proofErr w:type="spellStart"/>
      <w:r w:rsidRPr="00217644">
        <w:rPr>
          <w:rFonts w:ascii="Arial" w:hAnsi="Arial" w:cs="Arial"/>
        </w:rPr>
        <w:t>Aigbe</w:t>
      </w:r>
      <w:proofErr w:type="spellEnd"/>
      <w:r w:rsidRPr="00217644">
        <w:rPr>
          <w:rFonts w:ascii="Arial" w:hAnsi="Arial" w:cs="Arial"/>
        </w:rPr>
        <w:t xml:space="preserve"> </w:t>
      </w:r>
      <w:r w:rsidRPr="00217644">
        <w:rPr>
          <w:rFonts w:ascii="Arial" w:hAnsi="Arial" w:cs="Arial"/>
          <w:i/>
          <w:iCs/>
        </w:rPr>
        <w:t>et al</w:t>
      </w:r>
      <w:r w:rsidRPr="00217644">
        <w:rPr>
          <w:rFonts w:ascii="Arial" w:hAnsi="Arial" w:cs="Arial"/>
        </w:rPr>
        <w:t xml:space="preserve">., 2014)    </w:t>
      </w:r>
    </w:p>
    <w:p w14:paraId="7C0269F0" w14:textId="77777777" w:rsidR="005A500C" w:rsidRPr="00217644" w:rsidRDefault="005A500C" w:rsidP="005A500C">
      <w:pPr>
        <w:spacing w:line="240" w:lineRule="auto"/>
        <w:jc w:val="both"/>
        <w:rPr>
          <w:rFonts w:ascii="Arial" w:hAnsi="Arial" w:cs="Arial"/>
        </w:rPr>
      </w:pPr>
      <w:r w:rsidRPr="00217644">
        <w:rPr>
          <w:rFonts w:ascii="Arial" w:hAnsi="Arial" w:cs="Arial"/>
        </w:rPr>
        <w:t xml:space="preserve">GROUP 2: Reserpine only (Park </w:t>
      </w:r>
      <w:r w:rsidRPr="00217644">
        <w:rPr>
          <w:rFonts w:ascii="Arial" w:hAnsi="Arial" w:cs="Arial"/>
          <w:i/>
          <w:iCs/>
        </w:rPr>
        <w:t xml:space="preserve">et al., </w:t>
      </w:r>
      <w:r w:rsidRPr="00217644">
        <w:rPr>
          <w:rFonts w:ascii="Arial" w:hAnsi="Arial" w:cs="Arial"/>
        </w:rPr>
        <w:t>2018)</w:t>
      </w:r>
    </w:p>
    <w:p w14:paraId="03A71460" w14:textId="77777777" w:rsidR="005A500C" w:rsidRPr="00217644" w:rsidRDefault="005A500C" w:rsidP="005A500C">
      <w:pPr>
        <w:spacing w:line="240" w:lineRule="auto"/>
        <w:jc w:val="both"/>
        <w:rPr>
          <w:rFonts w:ascii="Arial" w:hAnsi="Arial" w:cs="Arial"/>
        </w:rPr>
      </w:pPr>
      <w:r w:rsidRPr="00217644">
        <w:rPr>
          <w:rFonts w:ascii="Arial" w:hAnsi="Arial" w:cs="Arial"/>
        </w:rPr>
        <w:t xml:space="preserve">GROUP 3: Reserpine + Cannabidiol (30 mg/kg </w:t>
      </w:r>
      <w:proofErr w:type="spellStart"/>
      <w:r w:rsidRPr="00217644">
        <w:rPr>
          <w:rFonts w:ascii="Arial" w:hAnsi="Arial" w:cs="Arial"/>
        </w:rPr>
        <w:t>i.p</w:t>
      </w:r>
      <w:proofErr w:type="spellEnd"/>
      <w:r w:rsidRPr="00217644">
        <w:rPr>
          <w:rFonts w:ascii="Arial" w:hAnsi="Arial" w:cs="Arial"/>
        </w:rPr>
        <w:t>)</w:t>
      </w:r>
    </w:p>
    <w:p w14:paraId="3BC567D7" w14:textId="77777777" w:rsidR="005A500C" w:rsidRPr="00217644" w:rsidRDefault="005A500C" w:rsidP="005A500C">
      <w:pPr>
        <w:spacing w:line="240" w:lineRule="auto"/>
        <w:jc w:val="both"/>
        <w:rPr>
          <w:rFonts w:ascii="Arial" w:hAnsi="Arial" w:cs="Arial"/>
        </w:rPr>
      </w:pPr>
      <w:r w:rsidRPr="00217644">
        <w:rPr>
          <w:rFonts w:ascii="Arial" w:hAnsi="Arial" w:cs="Arial"/>
        </w:rPr>
        <w:t xml:space="preserve">GROUP 4: Reserpine + Cannabidiol (60 mg/kg </w:t>
      </w:r>
      <w:proofErr w:type="spellStart"/>
      <w:r w:rsidRPr="00217644">
        <w:rPr>
          <w:rFonts w:ascii="Arial" w:hAnsi="Arial" w:cs="Arial"/>
        </w:rPr>
        <w:t>i.p</w:t>
      </w:r>
      <w:proofErr w:type="spellEnd"/>
      <w:r w:rsidRPr="00217644">
        <w:rPr>
          <w:rFonts w:ascii="Arial" w:hAnsi="Arial" w:cs="Arial"/>
        </w:rPr>
        <w:t>)</w:t>
      </w:r>
    </w:p>
    <w:p w14:paraId="1F2D6917" w14:textId="77777777" w:rsidR="005A500C" w:rsidRPr="00217644" w:rsidRDefault="005A500C" w:rsidP="005A500C">
      <w:pPr>
        <w:spacing w:line="240" w:lineRule="auto"/>
        <w:jc w:val="both"/>
        <w:rPr>
          <w:rFonts w:ascii="Arial" w:hAnsi="Arial" w:cs="Arial"/>
        </w:rPr>
      </w:pPr>
      <w:r w:rsidRPr="00217644">
        <w:rPr>
          <w:rFonts w:ascii="Arial" w:hAnsi="Arial" w:cs="Arial"/>
        </w:rPr>
        <w:t xml:space="preserve">GROUP 5: Reserpine + Tetrahydrocannabinol (4 mg/kg </w:t>
      </w:r>
      <w:proofErr w:type="spellStart"/>
      <w:r w:rsidRPr="00217644">
        <w:rPr>
          <w:rFonts w:ascii="Arial" w:hAnsi="Arial" w:cs="Arial"/>
        </w:rPr>
        <w:t>i.p</w:t>
      </w:r>
      <w:proofErr w:type="spellEnd"/>
      <w:r w:rsidRPr="00217644">
        <w:rPr>
          <w:rFonts w:ascii="Arial" w:hAnsi="Arial" w:cs="Arial"/>
        </w:rPr>
        <w:t>)</w:t>
      </w:r>
    </w:p>
    <w:p w14:paraId="2C2563DC" w14:textId="77777777" w:rsidR="005A500C" w:rsidRPr="00217644" w:rsidRDefault="005A500C" w:rsidP="005A500C">
      <w:pPr>
        <w:spacing w:line="240" w:lineRule="auto"/>
        <w:jc w:val="both"/>
        <w:rPr>
          <w:rFonts w:ascii="Arial" w:hAnsi="Arial" w:cs="Arial"/>
        </w:rPr>
      </w:pPr>
      <w:r w:rsidRPr="00217644">
        <w:rPr>
          <w:rFonts w:ascii="Arial" w:hAnsi="Arial" w:cs="Arial"/>
        </w:rPr>
        <w:t xml:space="preserve">GROUP 6: Reserpine + Tetrahydrocannabinol (6 mg/kg </w:t>
      </w:r>
      <w:proofErr w:type="spellStart"/>
      <w:r w:rsidRPr="00217644">
        <w:rPr>
          <w:rFonts w:ascii="Arial" w:hAnsi="Arial" w:cs="Arial"/>
        </w:rPr>
        <w:t>i.p</w:t>
      </w:r>
      <w:proofErr w:type="spellEnd"/>
      <w:r w:rsidRPr="00217644">
        <w:rPr>
          <w:rFonts w:ascii="Arial" w:hAnsi="Arial" w:cs="Arial"/>
        </w:rPr>
        <w:t>)</w:t>
      </w:r>
    </w:p>
    <w:p w14:paraId="3174B3DB" w14:textId="77777777" w:rsidR="005A500C" w:rsidRPr="00217644" w:rsidRDefault="005A500C" w:rsidP="005A500C">
      <w:pPr>
        <w:spacing w:line="240" w:lineRule="auto"/>
        <w:jc w:val="both"/>
        <w:rPr>
          <w:rFonts w:ascii="Arial" w:hAnsi="Arial" w:cs="Arial"/>
        </w:rPr>
      </w:pPr>
      <w:r w:rsidRPr="00217644">
        <w:rPr>
          <w:rFonts w:ascii="Arial" w:hAnsi="Arial" w:cs="Arial"/>
        </w:rPr>
        <w:t xml:space="preserve">GROUP 7: Reserpine + Cannabidiol (60 mg/kg </w:t>
      </w:r>
      <w:proofErr w:type="spellStart"/>
      <w:r w:rsidRPr="00217644">
        <w:rPr>
          <w:rFonts w:ascii="Arial" w:hAnsi="Arial" w:cs="Arial"/>
        </w:rPr>
        <w:t>i.p</w:t>
      </w:r>
      <w:proofErr w:type="spellEnd"/>
      <w:r w:rsidRPr="00217644">
        <w:rPr>
          <w:rFonts w:ascii="Arial" w:hAnsi="Arial" w:cs="Arial"/>
        </w:rPr>
        <w:t xml:space="preserve">) + Tetrahydrocannabinol (6 mg/kg </w:t>
      </w:r>
      <w:proofErr w:type="spellStart"/>
      <w:r w:rsidRPr="00217644">
        <w:rPr>
          <w:rFonts w:ascii="Arial" w:hAnsi="Arial" w:cs="Arial"/>
        </w:rPr>
        <w:t>i.p</w:t>
      </w:r>
      <w:proofErr w:type="spellEnd"/>
      <w:r w:rsidRPr="00217644">
        <w:rPr>
          <w:rFonts w:ascii="Arial" w:hAnsi="Arial" w:cs="Arial"/>
        </w:rPr>
        <w:t>)</w:t>
      </w:r>
    </w:p>
    <w:p w14:paraId="6524B697" w14:textId="77777777" w:rsidR="005A500C" w:rsidRPr="00217644" w:rsidRDefault="005A500C" w:rsidP="005A500C">
      <w:pPr>
        <w:spacing w:after="0" w:line="240" w:lineRule="auto"/>
        <w:rPr>
          <w:rFonts w:ascii="Arial" w:hAnsi="Arial" w:cs="Arial"/>
          <w:b/>
          <w:iCs/>
        </w:rPr>
      </w:pPr>
    </w:p>
    <w:p w14:paraId="710AA831" w14:textId="79AAEEFC" w:rsidR="008E2F1E" w:rsidRDefault="00EA6F20" w:rsidP="00EA6F20">
      <w:pPr>
        <w:pStyle w:val="Heading3"/>
        <w:spacing w:after="240" w:line="240" w:lineRule="auto"/>
        <w:rPr>
          <w:rFonts w:ascii="Arial" w:hAnsi="Arial" w:cs="Arial"/>
          <w:b/>
          <w:color w:val="000000" w:themeColor="text1"/>
          <w:sz w:val="22"/>
          <w:szCs w:val="22"/>
        </w:rPr>
      </w:pPr>
      <w:r w:rsidRPr="00EA6F20">
        <w:rPr>
          <w:rFonts w:ascii="Arial" w:hAnsi="Arial" w:cs="Arial"/>
          <w:b/>
          <w:color w:val="000000" w:themeColor="text1"/>
          <w:sz w:val="22"/>
          <w:szCs w:val="22"/>
        </w:rPr>
        <w:t>2.</w:t>
      </w:r>
      <w:r w:rsidR="007369EB">
        <w:rPr>
          <w:rFonts w:ascii="Arial" w:hAnsi="Arial" w:cs="Arial"/>
          <w:b/>
          <w:color w:val="000000" w:themeColor="text1"/>
          <w:sz w:val="22"/>
          <w:szCs w:val="22"/>
        </w:rPr>
        <w:t>6</w:t>
      </w:r>
      <w:r w:rsidRPr="00EA6F20">
        <w:rPr>
          <w:rFonts w:ascii="Arial" w:hAnsi="Arial" w:cs="Arial"/>
          <w:b/>
          <w:color w:val="000000" w:themeColor="text1"/>
          <w:sz w:val="22"/>
          <w:szCs w:val="22"/>
        </w:rPr>
        <w:tab/>
      </w:r>
      <w:r w:rsidR="008E2F1E" w:rsidRPr="00EA6F20">
        <w:rPr>
          <w:rFonts w:ascii="Arial" w:hAnsi="Arial" w:cs="Arial"/>
          <w:b/>
          <w:color w:val="000000" w:themeColor="text1"/>
          <w:sz w:val="22"/>
          <w:szCs w:val="22"/>
        </w:rPr>
        <w:t>Study design</w:t>
      </w:r>
    </w:p>
    <w:p w14:paraId="58137403" w14:textId="7F853C78" w:rsidR="007369EB" w:rsidRPr="00217644" w:rsidRDefault="007369EB" w:rsidP="007369EB">
      <w:pPr>
        <w:pStyle w:val="Heading3"/>
        <w:spacing w:line="240" w:lineRule="auto"/>
        <w:rPr>
          <w:rFonts w:ascii="Arial" w:hAnsi="Arial" w:cs="Arial"/>
          <w:b/>
          <w:color w:val="auto"/>
          <w:sz w:val="22"/>
          <w:szCs w:val="22"/>
        </w:rPr>
      </w:pPr>
      <w:bookmarkStart w:id="13" w:name="_Toc188528751"/>
      <w:bookmarkStart w:id="14" w:name="_Toc190933931"/>
      <w:bookmarkStart w:id="15" w:name="_Toc210132740"/>
      <w:r>
        <w:rPr>
          <w:rFonts w:ascii="Arial" w:hAnsi="Arial" w:cs="Arial"/>
          <w:b/>
          <w:color w:val="auto"/>
          <w:sz w:val="22"/>
          <w:szCs w:val="22"/>
        </w:rPr>
        <w:t>2.6.1</w:t>
      </w:r>
      <w:r>
        <w:rPr>
          <w:rFonts w:ascii="Arial" w:hAnsi="Arial" w:cs="Arial"/>
          <w:b/>
          <w:color w:val="auto"/>
          <w:sz w:val="22"/>
          <w:szCs w:val="22"/>
        </w:rPr>
        <w:tab/>
      </w:r>
      <w:r w:rsidRPr="00217644">
        <w:rPr>
          <w:rFonts w:ascii="Arial" w:hAnsi="Arial" w:cs="Arial"/>
          <w:b/>
          <w:color w:val="auto"/>
          <w:sz w:val="22"/>
          <w:szCs w:val="22"/>
        </w:rPr>
        <w:t>Induction of Parkinson’s disease-like symptoms</w:t>
      </w:r>
      <w:bookmarkEnd w:id="13"/>
      <w:bookmarkEnd w:id="14"/>
      <w:bookmarkEnd w:id="15"/>
    </w:p>
    <w:p w14:paraId="7D566EC1" w14:textId="77777777" w:rsidR="007369EB" w:rsidRPr="00217644" w:rsidRDefault="007369EB" w:rsidP="007369EB">
      <w:pPr>
        <w:spacing w:line="240" w:lineRule="auto"/>
        <w:jc w:val="both"/>
        <w:rPr>
          <w:rFonts w:ascii="Arial" w:hAnsi="Arial" w:cs="Arial"/>
        </w:rPr>
      </w:pPr>
      <w:r w:rsidRPr="00217644">
        <w:rPr>
          <w:rFonts w:ascii="Arial" w:hAnsi="Arial" w:cs="Arial"/>
        </w:rPr>
        <w:t xml:space="preserve">In this study, induction of Parkinson’s disease-like symptoms was carried out by the administration of reserpine intraperitoneally at a dose of 0.5 mg/kg once per day for a period of 10 days, according to the procedure described by Park </w:t>
      </w:r>
      <w:r w:rsidRPr="00217644">
        <w:rPr>
          <w:rFonts w:ascii="Arial" w:hAnsi="Arial" w:cs="Arial"/>
          <w:i/>
          <w:iCs/>
        </w:rPr>
        <w:t>et al</w:t>
      </w:r>
      <w:r w:rsidRPr="00217644">
        <w:rPr>
          <w:rFonts w:ascii="Arial" w:hAnsi="Arial" w:cs="Arial"/>
          <w:i/>
        </w:rPr>
        <w:t>.</w:t>
      </w:r>
      <w:r w:rsidRPr="00217644">
        <w:rPr>
          <w:rFonts w:ascii="Arial" w:hAnsi="Arial" w:cs="Arial"/>
        </w:rPr>
        <w:t xml:space="preserve"> (2018). </w:t>
      </w:r>
    </w:p>
    <w:p w14:paraId="5C30D2CA" w14:textId="77777777" w:rsidR="007369EB" w:rsidRPr="007369EB" w:rsidRDefault="007369EB" w:rsidP="007369EB">
      <w:pPr>
        <w:rPr>
          <w:lang w:val="en-GB"/>
        </w:rPr>
      </w:pPr>
    </w:p>
    <w:p w14:paraId="40E35D02" w14:textId="55279207" w:rsidR="008E2F1E" w:rsidRPr="00EA6F20" w:rsidRDefault="00EA6F20" w:rsidP="00EA6F20">
      <w:pPr>
        <w:spacing w:after="0" w:line="240" w:lineRule="auto"/>
        <w:rPr>
          <w:rFonts w:ascii="Arial" w:hAnsi="Arial" w:cs="Arial"/>
          <w:b/>
          <w:iCs/>
          <w:color w:val="000000" w:themeColor="text1"/>
        </w:rPr>
      </w:pPr>
      <w:r w:rsidRPr="00EA6F20">
        <w:rPr>
          <w:rFonts w:ascii="Arial" w:hAnsi="Arial" w:cs="Arial"/>
          <w:b/>
          <w:iCs/>
          <w:color w:val="000000" w:themeColor="text1"/>
        </w:rPr>
        <w:t>2.</w:t>
      </w:r>
      <w:r w:rsidR="007369EB">
        <w:rPr>
          <w:rFonts w:ascii="Arial" w:hAnsi="Arial" w:cs="Arial"/>
          <w:b/>
          <w:iCs/>
          <w:color w:val="000000" w:themeColor="text1"/>
        </w:rPr>
        <w:t>6.2</w:t>
      </w:r>
      <w:r w:rsidRPr="00EA6F20">
        <w:rPr>
          <w:rFonts w:ascii="Arial" w:hAnsi="Arial" w:cs="Arial"/>
          <w:b/>
          <w:iCs/>
          <w:color w:val="000000" w:themeColor="text1"/>
        </w:rPr>
        <w:tab/>
      </w:r>
      <w:r w:rsidR="008E2F1E" w:rsidRPr="00EA6F20">
        <w:rPr>
          <w:rFonts w:ascii="Arial" w:hAnsi="Arial" w:cs="Arial"/>
          <w:b/>
          <w:iCs/>
          <w:color w:val="000000" w:themeColor="text1"/>
        </w:rPr>
        <w:t xml:space="preserve">Preparation and administration of cannabidiol and tetrahydrocannabinol-rich </w:t>
      </w:r>
      <w:r w:rsidRPr="00EA6F20">
        <w:rPr>
          <w:rFonts w:ascii="Arial" w:hAnsi="Arial" w:cs="Arial"/>
          <w:b/>
          <w:iCs/>
          <w:color w:val="000000" w:themeColor="text1"/>
        </w:rPr>
        <w:tab/>
      </w:r>
      <w:r w:rsidR="008E2F1E" w:rsidRPr="00EA6F20">
        <w:rPr>
          <w:rFonts w:ascii="Arial" w:hAnsi="Arial" w:cs="Arial"/>
          <w:b/>
          <w:iCs/>
          <w:color w:val="000000" w:themeColor="text1"/>
        </w:rPr>
        <w:t xml:space="preserve">extract </w:t>
      </w:r>
    </w:p>
    <w:p w14:paraId="6D73DD48" w14:textId="77777777" w:rsidR="008E2F1E" w:rsidRDefault="008E2F1E" w:rsidP="00EA6F20">
      <w:pPr>
        <w:spacing w:after="0" w:line="240" w:lineRule="auto"/>
        <w:jc w:val="both"/>
        <w:rPr>
          <w:rFonts w:ascii="Arial" w:hAnsi="Arial" w:cs="Arial"/>
          <w:color w:val="000000" w:themeColor="text1"/>
        </w:rPr>
      </w:pPr>
      <w:r w:rsidRPr="00EA6F20">
        <w:rPr>
          <w:rFonts w:ascii="Arial" w:hAnsi="Arial" w:cs="Arial"/>
          <w:color w:val="000000" w:themeColor="text1"/>
        </w:rPr>
        <w:t>Cannabidiol was prepared by dispersing 1 mL of CBD oil in 19 mL of distilled water with 1 mL of Tween 80 to aid solubility. Tetrahydrocannabinol was prepared by dissolving 100 mg of THC-rich extract in 99 mL of distilled water and 1 mL of Tween 80. The solutions were stored appropriately until use. Twenty-four hours after the last day of reserpine administration, cannabidiol (30 mg/kg and 60 mg/kg), tetrahydrocannabinol (4 mg/kg and 6 mg/kg) and a combination of both (CBD: 60 mg/kg and THC: 6 mg/kg) were administered every day, intraperitoneally for a period of fourteen (14) days to their respective groups.</w:t>
      </w:r>
    </w:p>
    <w:p w14:paraId="6EE22F98" w14:textId="77777777" w:rsidR="00F05CE4" w:rsidRPr="00EA6F20" w:rsidRDefault="00F05CE4" w:rsidP="00EA6F20">
      <w:pPr>
        <w:spacing w:after="0" w:line="240" w:lineRule="auto"/>
        <w:jc w:val="both"/>
        <w:rPr>
          <w:rFonts w:ascii="Arial" w:hAnsi="Arial" w:cs="Arial"/>
          <w:color w:val="000000" w:themeColor="text1"/>
        </w:rPr>
      </w:pPr>
    </w:p>
    <w:p w14:paraId="10FCFEE8" w14:textId="52E47C5D" w:rsidR="008E2F1E" w:rsidRPr="00EA6F20" w:rsidRDefault="00EA6F20" w:rsidP="00EA6F20">
      <w:pPr>
        <w:spacing w:line="240" w:lineRule="auto"/>
        <w:rPr>
          <w:rFonts w:ascii="Arial" w:hAnsi="Arial" w:cs="Arial"/>
          <w:b/>
          <w:iCs/>
          <w:color w:val="000000" w:themeColor="text1"/>
        </w:rPr>
      </w:pPr>
      <w:r w:rsidRPr="00EA6F20">
        <w:rPr>
          <w:rFonts w:ascii="Arial" w:hAnsi="Arial" w:cs="Arial"/>
          <w:b/>
          <w:iCs/>
          <w:color w:val="000000" w:themeColor="text1"/>
        </w:rPr>
        <w:t>2.</w:t>
      </w:r>
      <w:r w:rsidR="007369EB">
        <w:rPr>
          <w:rFonts w:ascii="Arial" w:hAnsi="Arial" w:cs="Arial"/>
          <w:b/>
          <w:iCs/>
          <w:color w:val="000000" w:themeColor="text1"/>
        </w:rPr>
        <w:t>6.3</w:t>
      </w:r>
      <w:r w:rsidRPr="00EA6F20">
        <w:rPr>
          <w:rFonts w:ascii="Arial" w:hAnsi="Arial" w:cs="Arial"/>
          <w:b/>
          <w:iCs/>
          <w:color w:val="000000" w:themeColor="text1"/>
        </w:rPr>
        <w:tab/>
      </w:r>
      <w:proofErr w:type="spellStart"/>
      <w:r w:rsidR="008E2F1E" w:rsidRPr="00EA6F20">
        <w:rPr>
          <w:rFonts w:ascii="Arial" w:hAnsi="Arial" w:cs="Arial"/>
          <w:b/>
          <w:iCs/>
          <w:color w:val="000000" w:themeColor="text1"/>
        </w:rPr>
        <w:t>Neurobehavioural</w:t>
      </w:r>
      <w:proofErr w:type="spellEnd"/>
      <w:r w:rsidR="008E2F1E" w:rsidRPr="00EA6F20">
        <w:rPr>
          <w:rFonts w:ascii="Arial" w:hAnsi="Arial" w:cs="Arial"/>
          <w:b/>
          <w:iCs/>
          <w:color w:val="000000" w:themeColor="text1"/>
        </w:rPr>
        <w:t xml:space="preserve"> assessment</w:t>
      </w:r>
    </w:p>
    <w:p w14:paraId="54CBC58C" w14:textId="7D6538F8" w:rsidR="008E2F1E" w:rsidRDefault="008E2F1E" w:rsidP="00EA6F20">
      <w:pPr>
        <w:spacing w:line="240" w:lineRule="auto"/>
        <w:jc w:val="both"/>
        <w:rPr>
          <w:rFonts w:ascii="Arial" w:hAnsi="Arial" w:cs="Arial"/>
          <w:color w:val="000000" w:themeColor="text1"/>
        </w:rPr>
      </w:pPr>
      <w:r w:rsidRPr="00EA6F20">
        <w:rPr>
          <w:rFonts w:ascii="Arial" w:hAnsi="Arial" w:cs="Arial"/>
          <w:color w:val="000000" w:themeColor="text1"/>
        </w:rPr>
        <w:t xml:space="preserve">Following the fourteen (14) days administration of CBD and THC-rich extract, </w:t>
      </w:r>
      <w:proofErr w:type="spellStart"/>
      <w:r w:rsidRPr="00EA6F20">
        <w:rPr>
          <w:rFonts w:ascii="Arial" w:hAnsi="Arial" w:cs="Arial"/>
          <w:color w:val="000000" w:themeColor="text1"/>
        </w:rPr>
        <w:t>behavioural</w:t>
      </w:r>
      <w:proofErr w:type="spellEnd"/>
      <w:r w:rsidRPr="00EA6F20">
        <w:rPr>
          <w:rFonts w:ascii="Arial" w:hAnsi="Arial" w:cs="Arial"/>
          <w:color w:val="000000" w:themeColor="text1"/>
        </w:rPr>
        <w:t xml:space="preserve"> assessments commenced 24 hours after the final dose and were conducted </w:t>
      </w:r>
      <w:r w:rsidR="00913A3A">
        <w:rPr>
          <w:rFonts w:ascii="Arial" w:hAnsi="Arial" w:cs="Arial"/>
          <w:color w:val="000000" w:themeColor="text1"/>
        </w:rPr>
        <w:t>for a period of two days</w:t>
      </w:r>
      <w:r w:rsidRPr="00EA6F20">
        <w:rPr>
          <w:rFonts w:ascii="Arial" w:hAnsi="Arial" w:cs="Arial"/>
          <w:color w:val="000000" w:themeColor="text1"/>
        </w:rPr>
        <w:t xml:space="preserve">, with one test per day: elevated plus maze for anxiety-like </w:t>
      </w:r>
      <w:proofErr w:type="spellStart"/>
      <w:r w:rsidRPr="00EA6F20">
        <w:rPr>
          <w:rFonts w:ascii="Arial" w:hAnsi="Arial" w:cs="Arial"/>
          <w:color w:val="000000" w:themeColor="text1"/>
        </w:rPr>
        <w:t>behaviour</w:t>
      </w:r>
      <w:proofErr w:type="spellEnd"/>
      <w:r w:rsidRPr="00EA6F20">
        <w:rPr>
          <w:rFonts w:ascii="Arial" w:hAnsi="Arial" w:cs="Arial"/>
          <w:color w:val="000000" w:themeColor="text1"/>
        </w:rPr>
        <w:t>, and the novel object recognition test for working memory.</w:t>
      </w:r>
    </w:p>
    <w:p w14:paraId="55C9D402" w14:textId="48E03074" w:rsidR="00080694" w:rsidRPr="00080694" w:rsidRDefault="00080694" w:rsidP="00080694">
      <w:pPr>
        <w:spacing w:line="240" w:lineRule="auto"/>
        <w:jc w:val="both"/>
        <w:rPr>
          <w:rFonts w:ascii="Arial" w:hAnsi="Arial" w:cs="Arial"/>
          <w:b/>
          <w:bCs/>
          <w:color w:val="000000" w:themeColor="text1"/>
        </w:rPr>
      </w:pPr>
      <w:r w:rsidRPr="00080694">
        <w:rPr>
          <w:rFonts w:ascii="Arial" w:hAnsi="Arial" w:cs="Arial"/>
          <w:b/>
          <w:bCs/>
          <w:color w:val="000000" w:themeColor="text1"/>
        </w:rPr>
        <w:t>2.</w:t>
      </w:r>
      <w:r w:rsidR="007369EB">
        <w:rPr>
          <w:rFonts w:ascii="Arial" w:hAnsi="Arial" w:cs="Arial"/>
          <w:b/>
          <w:bCs/>
          <w:color w:val="000000" w:themeColor="text1"/>
        </w:rPr>
        <w:t>6.3.1</w:t>
      </w:r>
      <w:r w:rsidRPr="00080694">
        <w:rPr>
          <w:rFonts w:ascii="Arial" w:hAnsi="Arial" w:cs="Arial"/>
          <w:b/>
          <w:bCs/>
          <w:color w:val="000000" w:themeColor="text1"/>
        </w:rPr>
        <w:t xml:space="preserve"> Elevated plus maze test</w:t>
      </w:r>
    </w:p>
    <w:p w14:paraId="3AD73B33" w14:textId="77777777" w:rsidR="00080694" w:rsidRPr="00080694" w:rsidRDefault="00080694" w:rsidP="00080694">
      <w:pPr>
        <w:spacing w:line="240" w:lineRule="auto"/>
        <w:jc w:val="both"/>
        <w:rPr>
          <w:rFonts w:ascii="Arial" w:hAnsi="Arial" w:cs="Arial"/>
          <w:color w:val="000000" w:themeColor="text1"/>
        </w:rPr>
      </w:pPr>
      <w:r w:rsidRPr="00080694">
        <w:rPr>
          <w:rFonts w:ascii="Arial" w:hAnsi="Arial" w:cs="Arial"/>
          <w:color w:val="000000" w:themeColor="text1"/>
        </w:rPr>
        <w:t xml:space="preserve">Anxiety was assessed using elevated plus maze (EPM) test as described by </w:t>
      </w:r>
      <w:proofErr w:type="spellStart"/>
      <w:r w:rsidRPr="00080694">
        <w:rPr>
          <w:rFonts w:ascii="Arial" w:hAnsi="Arial" w:cs="Arial"/>
          <w:color w:val="000000" w:themeColor="text1"/>
        </w:rPr>
        <w:t>Komada</w:t>
      </w:r>
      <w:proofErr w:type="spellEnd"/>
      <w:r w:rsidRPr="00080694">
        <w:rPr>
          <w:rFonts w:ascii="Arial" w:hAnsi="Arial" w:cs="Arial"/>
          <w:color w:val="000000" w:themeColor="text1"/>
        </w:rPr>
        <w:t xml:space="preserve"> et al. (2008). The elevated plus maze apparatus consisted of a "plus" shaped maze elevated above </w:t>
      </w:r>
      <w:r w:rsidRPr="00080694">
        <w:rPr>
          <w:rFonts w:ascii="Arial" w:hAnsi="Arial" w:cs="Arial"/>
          <w:color w:val="000000" w:themeColor="text1"/>
        </w:rPr>
        <w:lastRenderedPageBreak/>
        <w:t xml:space="preserve">the floor with two oppositely positioned closed arms, two oppositely positioned open arms, and a </w:t>
      </w:r>
      <w:proofErr w:type="spellStart"/>
      <w:r w:rsidRPr="00080694">
        <w:rPr>
          <w:rFonts w:ascii="Arial" w:hAnsi="Arial" w:cs="Arial"/>
          <w:color w:val="000000" w:themeColor="text1"/>
        </w:rPr>
        <w:t>centre</w:t>
      </w:r>
      <w:proofErr w:type="spellEnd"/>
      <w:r w:rsidRPr="00080694">
        <w:rPr>
          <w:rFonts w:ascii="Arial" w:hAnsi="Arial" w:cs="Arial"/>
          <w:color w:val="000000" w:themeColor="text1"/>
        </w:rPr>
        <w:t xml:space="preserve"> area. Mice were allowed to explore an elevated platform (55 cm above the floor) consisting of the two opposing open (25 × 5 cm), and the two opposing closed arms (25 × 5 cm) with 15cm high wooden walls, for a total of 5 minutes. Mice were placed individually in the </w:t>
      </w:r>
      <w:proofErr w:type="spellStart"/>
      <w:r w:rsidRPr="00080694">
        <w:rPr>
          <w:rFonts w:ascii="Arial" w:hAnsi="Arial" w:cs="Arial"/>
          <w:color w:val="000000" w:themeColor="text1"/>
        </w:rPr>
        <w:t>centre</w:t>
      </w:r>
      <w:proofErr w:type="spellEnd"/>
      <w:r w:rsidRPr="00080694">
        <w:rPr>
          <w:rFonts w:ascii="Arial" w:hAnsi="Arial" w:cs="Arial"/>
          <w:color w:val="000000" w:themeColor="text1"/>
        </w:rPr>
        <w:t xml:space="preserve"> of the platform facing a closed arm. The </w:t>
      </w:r>
      <w:proofErr w:type="spellStart"/>
      <w:r w:rsidRPr="00080694">
        <w:rPr>
          <w:rFonts w:ascii="Arial" w:hAnsi="Arial" w:cs="Arial"/>
          <w:color w:val="000000" w:themeColor="text1"/>
        </w:rPr>
        <w:t>behaviour</w:t>
      </w:r>
      <w:proofErr w:type="spellEnd"/>
      <w:r w:rsidRPr="00080694">
        <w:rPr>
          <w:rFonts w:ascii="Arial" w:hAnsi="Arial" w:cs="Arial"/>
          <w:color w:val="000000" w:themeColor="text1"/>
        </w:rPr>
        <w:t xml:space="preserve"> of each mouse was recorded. Arm entries were defined as crossing of the </w:t>
      </w:r>
      <w:proofErr w:type="spellStart"/>
      <w:r w:rsidRPr="00080694">
        <w:rPr>
          <w:rFonts w:ascii="Arial" w:hAnsi="Arial" w:cs="Arial"/>
          <w:color w:val="000000" w:themeColor="text1"/>
        </w:rPr>
        <w:t>centre</w:t>
      </w:r>
      <w:proofErr w:type="spellEnd"/>
      <w:r w:rsidRPr="00080694">
        <w:rPr>
          <w:rFonts w:ascii="Arial" w:hAnsi="Arial" w:cs="Arial"/>
          <w:color w:val="000000" w:themeColor="text1"/>
        </w:rPr>
        <w:t xml:space="preserve"> point (located at approximately two thirds of the mouse body) into the arm. Percentage time spent in the open arms, arm entries and distance travelled were recorded. Index of open arm avoidance was calculated as: </w:t>
      </w:r>
    </w:p>
    <w:p w14:paraId="6E06F1A3" w14:textId="77777777" w:rsidR="00080694" w:rsidRPr="00080694" w:rsidRDefault="00080694" w:rsidP="00080694">
      <w:pPr>
        <w:spacing w:line="240" w:lineRule="auto"/>
        <w:jc w:val="both"/>
        <w:rPr>
          <w:rFonts w:ascii="Arial" w:hAnsi="Arial" w:cs="Arial"/>
          <w:color w:val="000000" w:themeColor="text1"/>
        </w:rPr>
      </w:pPr>
      <w:r w:rsidRPr="00080694">
        <w:rPr>
          <w:rFonts w:ascii="Arial" w:hAnsi="Arial" w:cs="Arial"/>
          <w:color w:val="000000" w:themeColor="text1"/>
        </w:rPr>
        <w:t>Index of open arm avoidance = 100- [% time in open arm + % entries into open arm]</w:t>
      </w:r>
    </w:p>
    <w:p w14:paraId="0B749B2E" w14:textId="1B70D974" w:rsidR="00080694" w:rsidRDefault="00080694" w:rsidP="00080694">
      <w:pPr>
        <w:spacing w:line="240" w:lineRule="auto"/>
        <w:jc w:val="both"/>
        <w:rPr>
          <w:rFonts w:ascii="Arial" w:hAnsi="Arial" w:cs="Arial"/>
          <w:color w:val="000000" w:themeColor="text1"/>
        </w:rPr>
      </w:pPr>
      <w:r w:rsidRPr="00080694">
        <w:rPr>
          <w:rFonts w:ascii="Arial" w:hAnsi="Arial" w:cs="Arial"/>
          <w:color w:val="000000" w:themeColor="text1"/>
        </w:rPr>
        <w:t xml:space="preserve">                                                                                             2</w:t>
      </w:r>
    </w:p>
    <w:p w14:paraId="01C639F2" w14:textId="3D996706" w:rsidR="007369EB" w:rsidRPr="007369EB" w:rsidRDefault="00080694" w:rsidP="007369EB">
      <w:pPr>
        <w:spacing w:line="240" w:lineRule="auto"/>
        <w:jc w:val="both"/>
        <w:rPr>
          <w:rFonts w:ascii="Arial" w:hAnsi="Arial" w:cs="Arial"/>
          <w:b/>
          <w:bCs/>
          <w:color w:val="000000" w:themeColor="text1"/>
        </w:rPr>
      </w:pPr>
      <w:r w:rsidRPr="007369EB">
        <w:rPr>
          <w:rFonts w:ascii="Arial" w:hAnsi="Arial" w:cs="Arial"/>
          <w:b/>
          <w:bCs/>
          <w:color w:val="000000" w:themeColor="text1"/>
        </w:rPr>
        <w:t>2.</w:t>
      </w:r>
      <w:r w:rsidR="007369EB">
        <w:rPr>
          <w:rFonts w:ascii="Arial" w:hAnsi="Arial" w:cs="Arial"/>
          <w:b/>
          <w:bCs/>
          <w:color w:val="000000" w:themeColor="text1"/>
        </w:rPr>
        <w:t>6.3.2</w:t>
      </w:r>
      <w:r w:rsidRPr="007369EB">
        <w:rPr>
          <w:rFonts w:ascii="Arial" w:hAnsi="Arial" w:cs="Arial"/>
          <w:b/>
          <w:bCs/>
          <w:color w:val="000000" w:themeColor="text1"/>
        </w:rPr>
        <w:t xml:space="preserve"> </w:t>
      </w:r>
      <w:r w:rsidR="007369EB" w:rsidRPr="007369EB">
        <w:rPr>
          <w:rFonts w:ascii="Arial" w:hAnsi="Arial" w:cs="Arial"/>
          <w:b/>
          <w:bCs/>
          <w:color w:val="000000" w:themeColor="text1"/>
        </w:rPr>
        <w:t>Novel object recognition test</w:t>
      </w:r>
    </w:p>
    <w:p w14:paraId="2E3C09DE" w14:textId="18C90BBF" w:rsidR="00080694" w:rsidRPr="00EA6F20" w:rsidRDefault="00960E28" w:rsidP="00960E28">
      <w:pPr>
        <w:spacing w:line="240" w:lineRule="auto"/>
        <w:jc w:val="both"/>
        <w:rPr>
          <w:rFonts w:ascii="Arial" w:hAnsi="Arial" w:cs="Arial"/>
          <w:color w:val="000000" w:themeColor="text1"/>
        </w:rPr>
      </w:pPr>
      <w:r w:rsidRPr="00960E28">
        <w:rPr>
          <w:rFonts w:ascii="Arial" w:hAnsi="Arial" w:cs="Arial"/>
          <w:color w:val="000000" w:themeColor="text1"/>
        </w:rPr>
        <w:t>The novel object recognition test (NORT) apparatus consisted of a rectangular arena constructed from opaque plastic, measuring 42 cm × 52 cm, with walls 40 cm in height (as illustrated in Plate 1). Mice were initially placed in the arena for a duration of 5 minutes during the sample phase, in which they were exposed to two identical objects. Upon completion of this phase, the animals were returned to their home cages for an inter-trial interval of 5 minutes (± 15 seconds).</w:t>
      </w:r>
      <w:r>
        <w:rPr>
          <w:rFonts w:ascii="Arial" w:hAnsi="Arial" w:cs="Arial"/>
          <w:color w:val="000000" w:themeColor="text1"/>
        </w:rPr>
        <w:t xml:space="preserve"> </w:t>
      </w:r>
      <w:r w:rsidRPr="00960E28">
        <w:rPr>
          <w:rFonts w:ascii="Arial" w:hAnsi="Arial" w:cs="Arial"/>
          <w:color w:val="000000" w:themeColor="text1"/>
        </w:rPr>
        <w:t xml:space="preserve">During the testing phase, the mice were reintroduced into the arena for 3 minutes, where one of the familiar objects was substituted with a novel object differing in both </w:t>
      </w:r>
      <w:proofErr w:type="spellStart"/>
      <w:r w:rsidRPr="00960E28">
        <w:rPr>
          <w:rFonts w:ascii="Arial" w:hAnsi="Arial" w:cs="Arial"/>
          <w:color w:val="000000" w:themeColor="text1"/>
        </w:rPr>
        <w:t>colour</w:t>
      </w:r>
      <w:proofErr w:type="spellEnd"/>
      <w:r w:rsidRPr="00960E28">
        <w:rPr>
          <w:rFonts w:ascii="Arial" w:hAnsi="Arial" w:cs="Arial"/>
          <w:color w:val="000000" w:themeColor="text1"/>
        </w:rPr>
        <w:t xml:space="preserve"> and shape. Following each trial, the arena and objects were thoroughly cleaned with 70% ethanol to eliminate potential olfactory cues.</w:t>
      </w:r>
      <w:r>
        <w:rPr>
          <w:rFonts w:ascii="Arial" w:hAnsi="Arial" w:cs="Arial"/>
          <w:color w:val="000000" w:themeColor="text1"/>
        </w:rPr>
        <w:t xml:space="preserve"> </w:t>
      </w:r>
      <w:bookmarkStart w:id="16" w:name="_GoBack"/>
      <w:bookmarkEnd w:id="16"/>
      <w:r w:rsidRPr="00960E28">
        <w:rPr>
          <w:rFonts w:ascii="Arial" w:hAnsi="Arial" w:cs="Arial"/>
          <w:color w:val="000000" w:themeColor="text1"/>
        </w:rPr>
        <w:t xml:space="preserve">Exploratory </w:t>
      </w:r>
      <w:proofErr w:type="spellStart"/>
      <w:r w:rsidRPr="00960E28">
        <w:rPr>
          <w:rFonts w:ascii="Arial" w:hAnsi="Arial" w:cs="Arial"/>
          <w:color w:val="000000" w:themeColor="text1"/>
        </w:rPr>
        <w:t>behaviour</w:t>
      </w:r>
      <w:proofErr w:type="spellEnd"/>
      <w:r w:rsidRPr="00960E28">
        <w:rPr>
          <w:rFonts w:ascii="Arial" w:hAnsi="Arial" w:cs="Arial"/>
          <w:color w:val="000000" w:themeColor="text1"/>
        </w:rPr>
        <w:t xml:space="preserve"> was operationally defined as the mouse sniffing, gnawing, or touching the object with its nose, or orienting its head towards the object at a distance of less than 1.0 cm. The duration of time spent exploring both the familiar and novel objects was recorded. Successful recognition memory was indicated by a greater duration of exploration directed towards the novel object relative to the familiar one. The discrimination ratio was calculated as the time spent exploring the novel object divided by the total time spent exploring both objects, multiplied by 100 (</w:t>
      </w:r>
      <w:proofErr w:type="spellStart"/>
      <w:r w:rsidRPr="00960E28">
        <w:rPr>
          <w:rFonts w:ascii="Arial" w:hAnsi="Arial" w:cs="Arial"/>
          <w:color w:val="000000" w:themeColor="text1"/>
        </w:rPr>
        <w:t>Sivakumaran</w:t>
      </w:r>
      <w:proofErr w:type="spellEnd"/>
      <w:r w:rsidRPr="00960E28">
        <w:rPr>
          <w:rFonts w:ascii="Arial" w:hAnsi="Arial" w:cs="Arial"/>
          <w:color w:val="000000" w:themeColor="text1"/>
        </w:rPr>
        <w:t xml:space="preserve"> et al., 2018).</w:t>
      </w:r>
    </w:p>
    <w:p w14:paraId="4D1C39DE" w14:textId="0932CEA0" w:rsidR="00D96F0B" w:rsidRPr="00D96F0B" w:rsidRDefault="00D96F0B" w:rsidP="00EA6F20">
      <w:pPr>
        <w:spacing w:line="240" w:lineRule="auto"/>
        <w:rPr>
          <w:rFonts w:ascii="Arial" w:hAnsi="Arial" w:cs="Arial"/>
          <w:b/>
          <w:iCs/>
          <w:color w:val="000000" w:themeColor="text1"/>
          <w:highlight w:val="yellow"/>
        </w:rPr>
      </w:pPr>
      <w:r w:rsidRPr="00D96F0B">
        <w:rPr>
          <w:rFonts w:ascii="Calibri" w:eastAsia="Calibri" w:hAnsi="Calibri" w:cs="Arial"/>
          <w:noProof/>
          <w:color w:val="000000"/>
          <w:highlight w:val="yellow"/>
        </w:rPr>
        <w:drawing>
          <wp:inline distT="0" distB="0" distL="0" distR="0" wp14:anchorId="7D2D8E2A" wp14:editId="57B3D5E2">
            <wp:extent cx="5731510" cy="25527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552700"/>
                    </a:xfrm>
                    <a:prstGeom prst="rect">
                      <a:avLst/>
                    </a:prstGeom>
                    <a:noFill/>
                    <a:ln>
                      <a:noFill/>
                    </a:ln>
                  </pic:spPr>
                </pic:pic>
              </a:graphicData>
            </a:graphic>
          </wp:inline>
        </w:drawing>
      </w:r>
    </w:p>
    <w:p w14:paraId="292121A2" w14:textId="0C029A41" w:rsidR="00D96F0B" w:rsidRPr="00D96F0B" w:rsidRDefault="00D96F0B" w:rsidP="00D96F0B">
      <w:pPr>
        <w:spacing w:before="240" w:line="240" w:lineRule="auto"/>
        <w:rPr>
          <w:rFonts w:ascii="Arial" w:hAnsi="Arial" w:cs="Arial"/>
          <w:color w:val="000000" w:themeColor="text1"/>
        </w:rPr>
      </w:pPr>
      <w:r w:rsidRPr="00D96F0B">
        <w:rPr>
          <w:rFonts w:ascii="Arial" w:hAnsi="Arial" w:cs="Arial"/>
          <w:b/>
          <w:bCs/>
          <w:color w:val="000000" w:themeColor="text1"/>
          <w:highlight w:val="yellow"/>
        </w:rPr>
        <w:t>Plate 1:</w:t>
      </w:r>
      <w:r w:rsidRPr="00D96F0B">
        <w:rPr>
          <w:rFonts w:ascii="Arial" w:hAnsi="Arial" w:cs="Arial"/>
          <w:color w:val="000000" w:themeColor="text1"/>
          <w:highlight w:val="yellow"/>
        </w:rPr>
        <w:t xml:space="preserve"> Assessment of working memory using NORT apparatus (Snapped by candidate, 2024)</w:t>
      </w:r>
    </w:p>
    <w:p w14:paraId="28667FB3" w14:textId="4E5E3D5A" w:rsidR="008E2F1E" w:rsidRPr="00EA6F20" w:rsidRDefault="00EA6F20" w:rsidP="00EA6F20">
      <w:pPr>
        <w:spacing w:line="240" w:lineRule="auto"/>
        <w:rPr>
          <w:rFonts w:ascii="Arial" w:hAnsi="Arial" w:cs="Arial"/>
          <w:b/>
          <w:iCs/>
          <w:color w:val="000000" w:themeColor="text1"/>
        </w:rPr>
      </w:pPr>
      <w:r w:rsidRPr="00EA6F20">
        <w:rPr>
          <w:rFonts w:ascii="Arial" w:hAnsi="Arial" w:cs="Arial"/>
          <w:b/>
          <w:iCs/>
          <w:color w:val="000000" w:themeColor="text1"/>
        </w:rPr>
        <w:t>2.</w:t>
      </w:r>
      <w:r w:rsidR="007369EB">
        <w:rPr>
          <w:rFonts w:ascii="Arial" w:hAnsi="Arial" w:cs="Arial"/>
          <w:b/>
          <w:iCs/>
          <w:color w:val="000000" w:themeColor="text1"/>
        </w:rPr>
        <w:t>6.4</w:t>
      </w:r>
      <w:r w:rsidRPr="00EA6F20">
        <w:rPr>
          <w:rFonts w:ascii="Arial" w:hAnsi="Arial" w:cs="Arial"/>
          <w:b/>
          <w:iCs/>
          <w:color w:val="000000" w:themeColor="text1"/>
        </w:rPr>
        <w:tab/>
      </w:r>
      <w:r w:rsidR="008E2F1E" w:rsidRPr="00EA6F20">
        <w:rPr>
          <w:rFonts w:ascii="Arial" w:hAnsi="Arial" w:cs="Arial"/>
          <w:b/>
          <w:iCs/>
          <w:color w:val="000000" w:themeColor="text1"/>
        </w:rPr>
        <w:t xml:space="preserve">Euthanasia </w:t>
      </w:r>
    </w:p>
    <w:p w14:paraId="7F3DC8D2" w14:textId="77777777" w:rsidR="008E2F1E" w:rsidRDefault="008E2F1E" w:rsidP="00EA6F20">
      <w:pPr>
        <w:spacing w:line="240" w:lineRule="auto"/>
        <w:jc w:val="both"/>
        <w:rPr>
          <w:rFonts w:ascii="Arial" w:hAnsi="Arial" w:cs="Arial"/>
          <w:color w:val="000000" w:themeColor="text1"/>
        </w:rPr>
      </w:pPr>
      <w:r w:rsidRPr="00EA6F20">
        <w:rPr>
          <w:rFonts w:ascii="Arial" w:hAnsi="Arial" w:cs="Arial"/>
          <w:color w:val="000000" w:themeColor="text1"/>
        </w:rPr>
        <w:lastRenderedPageBreak/>
        <w:t xml:space="preserve">At the end of the experiment, mice were </w:t>
      </w:r>
      <w:r w:rsidR="00EA6F20" w:rsidRPr="00EA6F20">
        <w:rPr>
          <w:rFonts w:ascii="Arial" w:hAnsi="Arial" w:cs="Arial"/>
          <w:color w:val="000000" w:themeColor="text1"/>
        </w:rPr>
        <w:t>anaesthetized</w:t>
      </w:r>
      <w:r w:rsidRPr="00EA6F20">
        <w:rPr>
          <w:rFonts w:ascii="Arial" w:hAnsi="Arial" w:cs="Arial"/>
          <w:color w:val="000000" w:themeColor="text1"/>
        </w:rPr>
        <w:t xml:space="preserve"> using the open-drop method, wherein each mouse was placed individually in a sealed chamber containing cotton wool as an absorbent material, soaked with ethyl acetate (</w:t>
      </w:r>
      <w:proofErr w:type="spellStart"/>
      <w:r w:rsidRPr="00EA6F20">
        <w:rPr>
          <w:rFonts w:ascii="Arial" w:hAnsi="Arial" w:cs="Arial"/>
          <w:color w:val="000000" w:themeColor="text1"/>
        </w:rPr>
        <w:t>Loru</w:t>
      </w:r>
      <w:proofErr w:type="spellEnd"/>
      <w:r w:rsidRPr="00EA6F20">
        <w:rPr>
          <w:rFonts w:ascii="Arial" w:hAnsi="Arial" w:cs="Arial"/>
          <w:color w:val="000000" w:themeColor="text1"/>
        </w:rPr>
        <w:t xml:space="preserve"> </w:t>
      </w:r>
      <w:r w:rsidRPr="00EA6F20">
        <w:rPr>
          <w:rFonts w:ascii="Arial" w:hAnsi="Arial" w:cs="Arial"/>
          <w:i/>
          <w:iCs/>
          <w:color w:val="000000" w:themeColor="text1"/>
        </w:rPr>
        <w:t xml:space="preserve">et al., </w:t>
      </w:r>
      <w:r w:rsidRPr="00EA6F20">
        <w:rPr>
          <w:rFonts w:ascii="Arial" w:hAnsi="Arial" w:cs="Arial"/>
          <w:color w:val="000000" w:themeColor="text1"/>
        </w:rPr>
        <w:t xml:space="preserve">2010). This ensured controlled inhalation </w:t>
      </w:r>
      <w:proofErr w:type="spellStart"/>
      <w:r w:rsidRPr="00EA6F20">
        <w:rPr>
          <w:rFonts w:ascii="Arial" w:hAnsi="Arial" w:cs="Arial"/>
          <w:color w:val="000000" w:themeColor="text1"/>
        </w:rPr>
        <w:t>anaesthesia</w:t>
      </w:r>
      <w:proofErr w:type="spellEnd"/>
      <w:r w:rsidRPr="00EA6F20">
        <w:rPr>
          <w:rFonts w:ascii="Arial" w:hAnsi="Arial" w:cs="Arial"/>
          <w:color w:val="000000" w:themeColor="text1"/>
        </w:rPr>
        <w:t xml:space="preserve"> prior to brain extraction for further analysis.</w:t>
      </w:r>
      <w:r w:rsidR="00EA6F20" w:rsidRPr="00EA6F20">
        <w:rPr>
          <w:rFonts w:ascii="Arial" w:hAnsi="Arial" w:cs="Arial"/>
          <w:color w:val="000000" w:themeColor="text1"/>
        </w:rPr>
        <w:t xml:space="preserve"> The study design is shown on table 1.</w:t>
      </w:r>
    </w:p>
    <w:p w14:paraId="67784A2F" w14:textId="77777777" w:rsidR="00746D48" w:rsidRPr="00EA6F20" w:rsidRDefault="00746D48" w:rsidP="00746D48">
      <w:pPr>
        <w:pStyle w:val="Heading3"/>
        <w:spacing w:after="0" w:line="240" w:lineRule="auto"/>
        <w:rPr>
          <w:rFonts w:ascii="Arial" w:hAnsi="Arial" w:cs="Arial"/>
          <w:b/>
          <w:bCs/>
          <w:color w:val="000000" w:themeColor="text1"/>
          <w:sz w:val="22"/>
          <w:szCs w:val="22"/>
        </w:rPr>
      </w:pPr>
      <w:r w:rsidRPr="00EA6F20">
        <w:rPr>
          <w:rFonts w:ascii="Arial" w:hAnsi="Arial" w:cs="Arial"/>
          <w:b/>
          <w:bCs/>
          <w:color w:val="000000" w:themeColor="text1"/>
          <w:sz w:val="22"/>
          <w:szCs w:val="22"/>
        </w:rPr>
        <w:t>2.</w:t>
      </w:r>
      <w:r>
        <w:rPr>
          <w:rFonts w:ascii="Arial" w:hAnsi="Arial" w:cs="Arial"/>
          <w:b/>
          <w:bCs/>
          <w:color w:val="000000" w:themeColor="text1"/>
          <w:sz w:val="22"/>
          <w:szCs w:val="22"/>
        </w:rPr>
        <w:t>6.5</w:t>
      </w:r>
      <w:r w:rsidRPr="00EA6F20">
        <w:rPr>
          <w:rFonts w:ascii="Arial" w:hAnsi="Arial" w:cs="Arial"/>
          <w:b/>
          <w:bCs/>
          <w:color w:val="000000" w:themeColor="text1"/>
          <w:sz w:val="22"/>
          <w:szCs w:val="22"/>
        </w:rPr>
        <w:tab/>
        <w:t>Neurochemical Assessment</w:t>
      </w:r>
    </w:p>
    <w:p w14:paraId="05FA1EB2" w14:textId="2AC2893D" w:rsidR="00746D48" w:rsidRPr="00EA6F20" w:rsidRDefault="00746D48" w:rsidP="00746D48">
      <w:pPr>
        <w:autoSpaceDE w:val="0"/>
        <w:autoSpaceDN w:val="0"/>
        <w:adjustRightInd w:val="0"/>
        <w:spacing w:before="240" w:after="0" w:line="240" w:lineRule="auto"/>
        <w:jc w:val="both"/>
        <w:rPr>
          <w:rFonts w:ascii="Arial" w:hAnsi="Arial" w:cs="Arial"/>
          <w:color w:val="000000" w:themeColor="text1"/>
        </w:rPr>
      </w:pPr>
      <w:r w:rsidRPr="00EA6F20">
        <w:rPr>
          <w:rFonts w:ascii="Arial" w:hAnsi="Arial" w:cs="Arial"/>
          <w:color w:val="000000" w:themeColor="text1"/>
        </w:rPr>
        <w:t xml:space="preserve">At the end of the experiment, the animals were sacrificed. Brain of each animal was harvested and a sagittal dissection of the brain was carried out. The right half was </w:t>
      </w:r>
      <w:proofErr w:type="spellStart"/>
      <w:r w:rsidRPr="00EA6F20">
        <w:rPr>
          <w:rFonts w:ascii="Arial" w:hAnsi="Arial" w:cs="Arial"/>
          <w:color w:val="000000" w:themeColor="text1"/>
        </w:rPr>
        <w:t>homogenised</w:t>
      </w:r>
      <w:proofErr w:type="spellEnd"/>
      <w:r w:rsidRPr="00EA6F20">
        <w:rPr>
          <w:rFonts w:ascii="Arial" w:hAnsi="Arial" w:cs="Arial"/>
          <w:color w:val="000000" w:themeColor="text1"/>
        </w:rPr>
        <w:t xml:space="preserve"> in phosphate buffer solution, pH 7.4 and molar concentration, 0.1 M. The total homogenate was centrifuged for 5 minutes at 5,000 × g, and the supernatants were used to assess for dopamine and serotonin concentration.</w:t>
      </w:r>
    </w:p>
    <w:p w14:paraId="004E157B" w14:textId="77777777" w:rsidR="00EA6F20" w:rsidRPr="00EA6F20" w:rsidRDefault="00EA6F20" w:rsidP="00EA6F20">
      <w:pPr>
        <w:spacing w:before="240" w:after="0" w:line="240" w:lineRule="auto"/>
        <w:jc w:val="both"/>
        <w:rPr>
          <w:rFonts w:ascii="Arial" w:hAnsi="Arial" w:cs="Arial"/>
          <w:b/>
          <w:bCs/>
          <w:color w:val="000000" w:themeColor="text1"/>
        </w:rPr>
      </w:pPr>
    </w:p>
    <w:p w14:paraId="4E9AC675" w14:textId="77777777" w:rsidR="008E2F1E" w:rsidRPr="00EA6F20" w:rsidRDefault="00EA6F20" w:rsidP="00EA6F20">
      <w:pPr>
        <w:spacing w:before="240" w:after="0" w:line="240" w:lineRule="auto"/>
        <w:jc w:val="both"/>
        <w:rPr>
          <w:rFonts w:ascii="Arial" w:hAnsi="Arial" w:cs="Arial"/>
          <w:b/>
          <w:color w:val="000000" w:themeColor="text1"/>
        </w:rPr>
      </w:pPr>
      <w:r w:rsidRPr="00EA6F20">
        <w:rPr>
          <w:rFonts w:ascii="Arial" w:hAnsi="Arial" w:cs="Arial"/>
          <w:b/>
          <w:bCs/>
          <w:color w:val="000000" w:themeColor="text1"/>
        </w:rPr>
        <w:t xml:space="preserve">Table </w:t>
      </w:r>
      <w:r w:rsidR="008E2F1E" w:rsidRPr="00EA6F20">
        <w:rPr>
          <w:rFonts w:ascii="Arial" w:hAnsi="Arial" w:cs="Arial"/>
          <w:b/>
          <w:bCs/>
          <w:color w:val="000000" w:themeColor="text1"/>
        </w:rPr>
        <w:t>1:</w:t>
      </w:r>
      <w:r w:rsidR="008E2F1E" w:rsidRPr="00EA6F20">
        <w:rPr>
          <w:rFonts w:ascii="Arial" w:hAnsi="Arial" w:cs="Arial"/>
          <w:b/>
          <w:color w:val="000000" w:themeColor="text1"/>
        </w:rPr>
        <w:t xml:space="preserve"> Study design</w:t>
      </w:r>
    </w:p>
    <w:tbl>
      <w:tblPr>
        <w:tblStyle w:val="TableGrid"/>
        <w:tblW w:w="93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2268"/>
        <w:gridCol w:w="2580"/>
      </w:tblGrid>
      <w:tr w:rsidR="008E2F1E" w:rsidRPr="00EA6F20" w14:paraId="3B47916A" w14:textId="77777777" w:rsidTr="00382263">
        <w:trPr>
          <w:trHeight w:val="287"/>
        </w:trPr>
        <w:tc>
          <w:tcPr>
            <w:tcW w:w="4503" w:type="dxa"/>
            <w:tcBorders>
              <w:top w:val="single" w:sz="4" w:space="0" w:color="auto"/>
              <w:bottom w:val="single" w:sz="4" w:space="0" w:color="auto"/>
            </w:tcBorders>
          </w:tcPr>
          <w:p w14:paraId="22BC47E1" w14:textId="77777777" w:rsidR="008E2F1E" w:rsidRPr="00EA6F20" w:rsidRDefault="008E2F1E" w:rsidP="00EA6F20">
            <w:pPr>
              <w:jc w:val="both"/>
              <w:rPr>
                <w:rFonts w:ascii="Arial" w:hAnsi="Arial" w:cs="Arial"/>
                <w:b/>
                <w:bCs/>
                <w:color w:val="000000" w:themeColor="text1"/>
              </w:rPr>
            </w:pPr>
            <w:r w:rsidRPr="00EA6F20">
              <w:rPr>
                <w:rFonts w:ascii="Arial" w:hAnsi="Arial" w:cs="Arial"/>
                <w:b/>
                <w:bCs/>
                <w:color w:val="000000" w:themeColor="text1"/>
              </w:rPr>
              <w:t>Activities</w:t>
            </w:r>
          </w:p>
        </w:tc>
        <w:tc>
          <w:tcPr>
            <w:tcW w:w="2268" w:type="dxa"/>
            <w:tcBorders>
              <w:top w:val="single" w:sz="4" w:space="0" w:color="auto"/>
              <w:bottom w:val="single" w:sz="4" w:space="0" w:color="auto"/>
            </w:tcBorders>
          </w:tcPr>
          <w:p w14:paraId="2C1E4EA4" w14:textId="77777777" w:rsidR="008E2F1E" w:rsidRPr="00EA6F20" w:rsidRDefault="008E2F1E" w:rsidP="00EA6F20">
            <w:pPr>
              <w:jc w:val="both"/>
              <w:rPr>
                <w:rFonts w:ascii="Arial" w:hAnsi="Arial" w:cs="Arial"/>
                <w:b/>
                <w:bCs/>
                <w:color w:val="000000" w:themeColor="text1"/>
              </w:rPr>
            </w:pPr>
            <w:r w:rsidRPr="00EA6F20">
              <w:rPr>
                <w:rFonts w:ascii="Arial" w:hAnsi="Arial" w:cs="Arial"/>
                <w:b/>
                <w:bCs/>
                <w:color w:val="000000" w:themeColor="text1"/>
              </w:rPr>
              <w:t>Duration</w:t>
            </w:r>
          </w:p>
        </w:tc>
        <w:tc>
          <w:tcPr>
            <w:tcW w:w="2580" w:type="dxa"/>
            <w:tcBorders>
              <w:top w:val="single" w:sz="4" w:space="0" w:color="auto"/>
              <w:bottom w:val="single" w:sz="4" w:space="0" w:color="auto"/>
            </w:tcBorders>
          </w:tcPr>
          <w:p w14:paraId="21BBC37F" w14:textId="77777777" w:rsidR="008E2F1E" w:rsidRPr="00EA6F20" w:rsidRDefault="008E2F1E" w:rsidP="00EA6F20">
            <w:pPr>
              <w:jc w:val="both"/>
              <w:rPr>
                <w:rFonts w:ascii="Arial" w:hAnsi="Arial" w:cs="Arial"/>
                <w:b/>
                <w:bCs/>
                <w:color w:val="000000" w:themeColor="text1"/>
              </w:rPr>
            </w:pPr>
            <w:r w:rsidRPr="00EA6F20">
              <w:rPr>
                <w:rFonts w:ascii="Arial" w:hAnsi="Arial" w:cs="Arial"/>
                <w:b/>
                <w:bCs/>
                <w:color w:val="000000" w:themeColor="text1"/>
              </w:rPr>
              <w:t>Days of Experiment</w:t>
            </w:r>
          </w:p>
        </w:tc>
      </w:tr>
      <w:tr w:rsidR="008E2F1E" w:rsidRPr="00EA6F20" w14:paraId="41D2B5F8" w14:textId="77777777" w:rsidTr="00382263">
        <w:tc>
          <w:tcPr>
            <w:tcW w:w="4503" w:type="dxa"/>
            <w:tcBorders>
              <w:top w:val="single" w:sz="4" w:space="0" w:color="auto"/>
            </w:tcBorders>
          </w:tcPr>
          <w:p w14:paraId="43A264C7" w14:textId="77777777" w:rsidR="008E2F1E" w:rsidRPr="00EA6F20" w:rsidRDefault="008E2F1E" w:rsidP="00EA6F20">
            <w:pPr>
              <w:jc w:val="both"/>
              <w:rPr>
                <w:rFonts w:ascii="Arial" w:hAnsi="Arial" w:cs="Arial"/>
                <w:color w:val="000000" w:themeColor="text1"/>
              </w:rPr>
            </w:pPr>
            <w:proofErr w:type="spellStart"/>
            <w:r w:rsidRPr="00EA6F20">
              <w:rPr>
                <w:rFonts w:ascii="Arial" w:hAnsi="Arial" w:cs="Arial"/>
                <w:color w:val="000000" w:themeColor="text1"/>
              </w:rPr>
              <w:t>Acclimatisation</w:t>
            </w:r>
            <w:proofErr w:type="spellEnd"/>
          </w:p>
        </w:tc>
        <w:tc>
          <w:tcPr>
            <w:tcW w:w="2268" w:type="dxa"/>
            <w:tcBorders>
              <w:top w:val="single" w:sz="4" w:space="0" w:color="auto"/>
            </w:tcBorders>
          </w:tcPr>
          <w:p w14:paraId="4800F4E5" w14:textId="77777777" w:rsidR="008E2F1E" w:rsidRPr="00EA6F20" w:rsidRDefault="008E2F1E" w:rsidP="00EA6F20">
            <w:pPr>
              <w:jc w:val="both"/>
              <w:rPr>
                <w:rFonts w:ascii="Arial" w:hAnsi="Arial" w:cs="Arial"/>
                <w:color w:val="000000" w:themeColor="text1"/>
              </w:rPr>
            </w:pPr>
            <w:r w:rsidRPr="00EA6F20">
              <w:rPr>
                <w:rFonts w:ascii="Arial" w:hAnsi="Arial" w:cs="Arial"/>
                <w:color w:val="000000" w:themeColor="text1"/>
              </w:rPr>
              <w:t>7 days</w:t>
            </w:r>
          </w:p>
        </w:tc>
        <w:tc>
          <w:tcPr>
            <w:tcW w:w="2580" w:type="dxa"/>
            <w:tcBorders>
              <w:top w:val="single" w:sz="4" w:space="0" w:color="auto"/>
            </w:tcBorders>
          </w:tcPr>
          <w:p w14:paraId="67BFBD6C" w14:textId="77777777" w:rsidR="008E2F1E" w:rsidRPr="00EA6F20" w:rsidRDefault="008E2F1E" w:rsidP="00EA6F20">
            <w:pPr>
              <w:jc w:val="both"/>
              <w:rPr>
                <w:rFonts w:ascii="Arial" w:hAnsi="Arial" w:cs="Arial"/>
                <w:color w:val="000000" w:themeColor="text1"/>
              </w:rPr>
            </w:pPr>
            <w:r w:rsidRPr="00EA6F20">
              <w:rPr>
                <w:rFonts w:ascii="Arial" w:hAnsi="Arial" w:cs="Arial"/>
                <w:color w:val="000000" w:themeColor="text1"/>
              </w:rPr>
              <w:t>Day 1-7</w:t>
            </w:r>
          </w:p>
        </w:tc>
      </w:tr>
      <w:tr w:rsidR="008E2F1E" w:rsidRPr="00EA6F20" w14:paraId="0F891467" w14:textId="77777777" w:rsidTr="00382263">
        <w:trPr>
          <w:trHeight w:val="281"/>
        </w:trPr>
        <w:tc>
          <w:tcPr>
            <w:tcW w:w="4503" w:type="dxa"/>
          </w:tcPr>
          <w:p w14:paraId="4B9BCDD9" w14:textId="77777777" w:rsidR="008E2F1E" w:rsidRPr="00EA6F20" w:rsidRDefault="008E2F1E" w:rsidP="00EA6F20">
            <w:pPr>
              <w:jc w:val="both"/>
              <w:rPr>
                <w:rFonts w:ascii="Arial" w:hAnsi="Arial" w:cs="Arial"/>
                <w:color w:val="000000" w:themeColor="text1"/>
              </w:rPr>
            </w:pPr>
            <w:r w:rsidRPr="00EA6F20">
              <w:rPr>
                <w:rFonts w:ascii="Arial" w:hAnsi="Arial" w:cs="Arial"/>
                <w:color w:val="000000" w:themeColor="text1"/>
              </w:rPr>
              <w:t xml:space="preserve">Induction of Parkinson’s-like symptoms </w:t>
            </w:r>
          </w:p>
        </w:tc>
        <w:tc>
          <w:tcPr>
            <w:tcW w:w="2268" w:type="dxa"/>
          </w:tcPr>
          <w:p w14:paraId="3334E71B" w14:textId="77777777" w:rsidR="008E2F1E" w:rsidRPr="00EA6F20" w:rsidRDefault="008E2F1E" w:rsidP="00EA6F20">
            <w:pPr>
              <w:jc w:val="both"/>
              <w:rPr>
                <w:rFonts w:ascii="Arial" w:hAnsi="Arial" w:cs="Arial"/>
                <w:color w:val="000000" w:themeColor="text1"/>
              </w:rPr>
            </w:pPr>
            <w:r w:rsidRPr="00EA6F20">
              <w:rPr>
                <w:rFonts w:ascii="Arial" w:hAnsi="Arial" w:cs="Arial"/>
                <w:color w:val="000000" w:themeColor="text1"/>
              </w:rPr>
              <w:t>10 days</w:t>
            </w:r>
          </w:p>
        </w:tc>
        <w:tc>
          <w:tcPr>
            <w:tcW w:w="2580" w:type="dxa"/>
          </w:tcPr>
          <w:p w14:paraId="0F92D885" w14:textId="77777777" w:rsidR="008E2F1E" w:rsidRPr="00EA6F20" w:rsidRDefault="008E2F1E" w:rsidP="00EA6F20">
            <w:pPr>
              <w:jc w:val="both"/>
              <w:rPr>
                <w:rFonts w:ascii="Arial" w:hAnsi="Arial" w:cs="Arial"/>
                <w:color w:val="000000" w:themeColor="text1"/>
              </w:rPr>
            </w:pPr>
            <w:r w:rsidRPr="00EA6F20">
              <w:rPr>
                <w:rFonts w:ascii="Arial" w:hAnsi="Arial" w:cs="Arial"/>
                <w:color w:val="000000" w:themeColor="text1"/>
              </w:rPr>
              <w:t>Day 8-17</w:t>
            </w:r>
          </w:p>
        </w:tc>
      </w:tr>
      <w:tr w:rsidR="008E2F1E" w:rsidRPr="00EA6F20" w14:paraId="424677DC" w14:textId="77777777" w:rsidTr="00382263">
        <w:tc>
          <w:tcPr>
            <w:tcW w:w="4503" w:type="dxa"/>
          </w:tcPr>
          <w:p w14:paraId="18E05BBB" w14:textId="77777777" w:rsidR="008E2F1E" w:rsidRPr="00EA6F20" w:rsidRDefault="008E2F1E" w:rsidP="00EA6F20">
            <w:pPr>
              <w:jc w:val="both"/>
              <w:rPr>
                <w:rFonts w:ascii="Arial" w:hAnsi="Arial" w:cs="Arial"/>
                <w:color w:val="000000" w:themeColor="text1"/>
              </w:rPr>
            </w:pPr>
            <w:r w:rsidRPr="00EA6F20">
              <w:rPr>
                <w:rFonts w:ascii="Arial" w:hAnsi="Arial" w:cs="Arial"/>
                <w:color w:val="000000" w:themeColor="text1"/>
              </w:rPr>
              <w:t>CBD and THC administration</w:t>
            </w:r>
          </w:p>
        </w:tc>
        <w:tc>
          <w:tcPr>
            <w:tcW w:w="2268" w:type="dxa"/>
          </w:tcPr>
          <w:p w14:paraId="722BE421" w14:textId="77777777" w:rsidR="008E2F1E" w:rsidRPr="00EA6F20" w:rsidRDefault="008E2F1E" w:rsidP="00EA6F20">
            <w:pPr>
              <w:jc w:val="both"/>
              <w:rPr>
                <w:rFonts w:ascii="Arial" w:hAnsi="Arial" w:cs="Arial"/>
                <w:color w:val="000000" w:themeColor="text1"/>
              </w:rPr>
            </w:pPr>
            <w:r w:rsidRPr="00EA6F20">
              <w:rPr>
                <w:rFonts w:ascii="Arial" w:hAnsi="Arial" w:cs="Arial"/>
                <w:color w:val="000000" w:themeColor="text1"/>
              </w:rPr>
              <w:t>14 days</w:t>
            </w:r>
          </w:p>
        </w:tc>
        <w:tc>
          <w:tcPr>
            <w:tcW w:w="2580" w:type="dxa"/>
          </w:tcPr>
          <w:p w14:paraId="18DBC5F8" w14:textId="77777777" w:rsidR="008E2F1E" w:rsidRPr="00EA6F20" w:rsidRDefault="008E2F1E" w:rsidP="00EA6F20">
            <w:pPr>
              <w:jc w:val="both"/>
              <w:rPr>
                <w:rFonts w:ascii="Arial" w:hAnsi="Arial" w:cs="Arial"/>
                <w:color w:val="000000" w:themeColor="text1"/>
              </w:rPr>
            </w:pPr>
            <w:r w:rsidRPr="00EA6F20">
              <w:rPr>
                <w:rFonts w:ascii="Arial" w:hAnsi="Arial" w:cs="Arial"/>
                <w:color w:val="000000" w:themeColor="text1"/>
              </w:rPr>
              <w:t>Day 18-31</w:t>
            </w:r>
          </w:p>
        </w:tc>
      </w:tr>
      <w:tr w:rsidR="008E2F1E" w:rsidRPr="00EA6F20" w14:paraId="1379A3A7" w14:textId="77777777" w:rsidTr="00382263">
        <w:tc>
          <w:tcPr>
            <w:tcW w:w="4503" w:type="dxa"/>
          </w:tcPr>
          <w:p w14:paraId="247118AD" w14:textId="77777777" w:rsidR="008E2F1E" w:rsidRPr="00EA6F20" w:rsidRDefault="008E2F1E" w:rsidP="00EA6F20">
            <w:pPr>
              <w:jc w:val="both"/>
              <w:rPr>
                <w:rFonts w:ascii="Arial" w:hAnsi="Arial" w:cs="Arial"/>
                <w:color w:val="000000" w:themeColor="text1"/>
              </w:rPr>
            </w:pPr>
            <w:proofErr w:type="spellStart"/>
            <w:r w:rsidRPr="00EA6F20">
              <w:rPr>
                <w:rFonts w:ascii="Arial" w:hAnsi="Arial" w:cs="Arial"/>
                <w:color w:val="000000" w:themeColor="text1"/>
              </w:rPr>
              <w:t>Neurobehavioural</w:t>
            </w:r>
            <w:proofErr w:type="spellEnd"/>
            <w:r w:rsidRPr="00EA6F20">
              <w:rPr>
                <w:rFonts w:ascii="Arial" w:hAnsi="Arial" w:cs="Arial"/>
                <w:color w:val="000000" w:themeColor="text1"/>
              </w:rPr>
              <w:t xml:space="preserve"> assessment</w:t>
            </w:r>
          </w:p>
        </w:tc>
        <w:tc>
          <w:tcPr>
            <w:tcW w:w="2268" w:type="dxa"/>
          </w:tcPr>
          <w:p w14:paraId="21CC71F3" w14:textId="621FB4CE" w:rsidR="008E2F1E" w:rsidRPr="00EA6F20" w:rsidRDefault="00913A3A" w:rsidP="00EA6F20">
            <w:pPr>
              <w:jc w:val="both"/>
              <w:rPr>
                <w:rFonts w:ascii="Arial" w:hAnsi="Arial" w:cs="Arial"/>
                <w:color w:val="000000" w:themeColor="text1"/>
              </w:rPr>
            </w:pPr>
            <w:r>
              <w:rPr>
                <w:rFonts w:ascii="Arial" w:hAnsi="Arial" w:cs="Arial"/>
                <w:color w:val="000000" w:themeColor="text1"/>
              </w:rPr>
              <w:t>2</w:t>
            </w:r>
            <w:r w:rsidR="008E2F1E" w:rsidRPr="00EA6F20">
              <w:rPr>
                <w:rFonts w:ascii="Arial" w:hAnsi="Arial" w:cs="Arial"/>
                <w:color w:val="000000" w:themeColor="text1"/>
              </w:rPr>
              <w:t xml:space="preserve"> days</w:t>
            </w:r>
          </w:p>
        </w:tc>
        <w:tc>
          <w:tcPr>
            <w:tcW w:w="2580" w:type="dxa"/>
          </w:tcPr>
          <w:p w14:paraId="3B3C4D98" w14:textId="53BA6C03" w:rsidR="008E2F1E" w:rsidRPr="00EA6F20" w:rsidRDefault="008E2F1E" w:rsidP="00EA6F20">
            <w:pPr>
              <w:jc w:val="both"/>
              <w:rPr>
                <w:rFonts w:ascii="Arial" w:hAnsi="Arial" w:cs="Arial"/>
                <w:color w:val="000000" w:themeColor="text1"/>
              </w:rPr>
            </w:pPr>
            <w:r w:rsidRPr="00EA6F20">
              <w:rPr>
                <w:rFonts w:ascii="Arial" w:hAnsi="Arial" w:cs="Arial"/>
                <w:color w:val="000000" w:themeColor="text1"/>
              </w:rPr>
              <w:t>Day 32-</w:t>
            </w:r>
            <w:r w:rsidR="00913A3A">
              <w:rPr>
                <w:rFonts w:ascii="Arial" w:hAnsi="Arial" w:cs="Arial"/>
                <w:color w:val="000000" w:themeColor="text1"/>
              </w:rPr>
              <w:t>33</w:t>
            </w:r>
          </w:p>
        </w:tc>
      </w:tr>
      <w:tr w:rsidR="008E2F1E" w:rsidRPr="00EA6F20" w14:paraId="7562CD2C" w14:textId="77777777" w:rsidTr="00382263">
        <w:tc>
          <w:tcPr>
            <w:tcW w:w="4503" w:type="dxa"/>
          </w:tcPr>
          <w:p w14:paraId="3C87F291" w14:textId="77777777" w:rsidR="008E2F1E" w:rsidRPr="00EA6F20" w:rsidRDefault="008E2F1E" w:rsidP="00EA6F20">
            <w:pPr>
              <w:jc w:val="both"/>
              <w:rPr>
                <w:rFonts w:ascii="Arial" w:hAnsi="Arial" w:cs="Arial"/>
                <w:color w:val="000000" w:themeColor="text1"/>
              </w:rPr>
            </w:pPr>
            <w:r w:rsidRPr="00EA6F20">
              <w:rPr>
                <w:rFonts w:ascii="Arial" w:hAnsi="Arial" w:cs="Arial"/>
                <w:color w:val="000000" w:themeColor="text1"/>
              </w:rPr>
              <w:t>Euthanasia and tissue collection</w:t>
            </w:r>
          </w:p>
        </w:tc>
        <w:tc>
          <w:tcPr>
            <w:tcW w:w="2268" w:type="dxa"/>
          </w:tcPr>
          <w:p w14:paraId="467187A8" w14:textId="77777777" w:rsidR="008E2F1E" w:rsidRPr="00EA6F20" w:rsidRDefault="008E2F1E" w:rsidP="00EA6F20">
            <w:pPr>
              <w:jc w:val="both"/>
              <w:rPr>
                <w:rFonts w:ascii="Arial" w:hAnsi="Arial" w:cs="Arial"/>
                <w:color w:val="000000" w:themeColor="text1"/>
              </w:rPr>
            </w:pPr>
            <w:r w:rsidRPr="00EA6F20">
              <w:rPr>
                <w:rFonts w:ascii="Arial" w:hAnsi="Arial" w:cs="Arial"/>
                <w:color w:val="000000" w:themeColor="text1"/>
              </w:rPr>
              <w:t>1 day</w:t>
            </w:r>
          </w:p>
        </w:tc>
        <w:tc>
          <w:tcPr>
            <w:tcW w:w="2580" w:type="dxa"/>
          </w:tcPr>
          <w:p w14:paraId="0C6E0FDA" w14:textId="5AC6EB60" w:rsidR="008E2F1E" w:rsidRPr="00EA6F20" w:rsidRDefault="008E2F1E" w:rsidP="00EA6F20">
            <w:pPr>
              <w:jc w:val="both"/>
              <w:rPr>
                <w:rFonts w:ascii="Arial" w:hAnsi="Arial" w:cs="Arial"/>
                <w:color w:val="000000" w:themeColor="text1"/>
              </w:rPr>
            </w:pPr>
            <w:r w:rsidRPr="00EA6F20">
              <w:rPr>
                <w:rFonts w:ascii="Arial" w:hAnsi="Arial" w:cs="Arial"/>
                <w:color w:val="000000" w:themeColor="text1"/>
              </w:rPr>
              <w:t>Day 3</w:t>
            </w:r>
            <w:r w:rsidR="00913A3A">
              <w:rPr>
                <w:rFonts w:ascii="Arial" w:hAnsi="Arial" w:cs="Arial"/>
                <w:color w:val="000000" w:themeColor="text1"/>
              </w:rPr>
              <w:t>4</w:t>
            </w:r>
          </w:p>
        </w:tc>
      </w:tr>
      <w:tr w:rsidR="008E2F1E" w:rsidRPr="00EA6F20" w14:paraId="32B809C3" w14:textId="77777777" w:rsidTr="00382263">
        <w:trPr>
          <w:trHeight w:val="585"/>
        </w:trPr>
        <w:tc>
          <w:tcPr>
            <w:tcW w:w="4503" w:type="dxa"/>
          </w:tcPr>
          <w:p w14:paraId="6A660CEA" w14:textId="77777777" w:rsidR="008E2F1E" w:rsidRPr="00EA6F20" w:rsidRDefault="008E2F1E" w:rsidP="00EA6F20">
            <w:pPr>
              <w:jc w:val="both"/>
              <w:rPr>
                <w:rFonts w:ascii="Arial" w:hAnsi="Arial" w:cs="Arial"/>
                <w:color w:val="000000" w:themeColor="text1"/>
              </w:rPr>
            </w:pPr>
            <w:r w:rsidRPr="00EA6F20">
              <w:rPr>
                <w:rFonts w:ascii="Arial" w:hAnsi="Arial" w:cs="Arial"/>
                <w:color w:val="000000" w:themeColor="text1"/>
              </w:rPr>
              <w:t>Neurochemical and histological assessment</w:t>
            </w:r>
          </w:p>
        </w:tc>
        <w:tc>
          <w:tcPr>
            <w:tcW w:w="2268" w:type="dxa"/>
          </w:tcPr>
          <w:p w14:paraId="680A57A1" w14:textId="77777777" w:rsidR="008E2F1E" w:rsidRPr="00EA6F20" w:rsidRDefault="008E2F1E" w:rsidP="00EA6F20">
            <w:pPr>
              <w:jc w:val="both"/>
              <w:rPr>
                <w:rFonts w:ascii="Arial" w:hAnsi="Arial" w:cs="Arial"/>
                <w:color w:val="000000" w:themeColor="text1"/>
              </w:rPr>
            </w:pPr>
            <w:r w:rsidRPr="00EA6F20">
              <w:rPr>
                <w:rFonts w:ascii="Arial" w:hAnsi="Arial" w:cs="Arial"/>
                <w:color w:val="000000" w:themeColor="text1"/>
              </w:rPr>
              <w:t>7 days</w:t>
            </w:r>
          </w:p>
        </w:tc>
        <w:tc>
          <w:tcPr>
            <w:tcW w:w="2580" w:type="dxa"/>
          </w:tcPr>
          <w:p w14:paraId="6FD0A788" w14:textId="4F84DEA7" w:rsidR="008E2F1E" w:rsidRPr="00EA6F20" w:rsidRDefault="008E2F1E" w:rsidP="00EA6F20">
            <w:pPr>
              <w:jc w:val="both"/>
              <w:rPr>
                <w:rFonts w:ascii="Arial" w:hAnsi="Arial" w:cs="Arial"/>
                <w:color w:val="000000" w:themeColor="text1"/>
              </w:rPr>
            </w:pPr>
            <w:r w:rsidRPr="00EA6F20">
              <w:rPr>
                <w:rFonts w:ascii="Arial" w:hAnsi="Arial" w:cs="Arial"/>
                <w:color w:val="000000" w:themeColor="text1"/>
              </w:rPr>
              <w:t>Day 3</w:t>
            </w:r>
            <w:r w:rsidR="00913A3A">
              <w:rPr>
                <w:rFonts w:ascii="Arial" w:hAnsi="Arial" w:cs="Arial"/>
                <w:color w:val="000000" w:themeColor="text1"/>
              </w:rPr>
              <w:t>5</w:t>
            </w:r>
            <w:r w:rsidRPr="00EA6F20">
              <w:rPr>
                <w:rFonts w:ascii="Arial" w:hAnsi="Arial" w:cs="Arial"/>
                <w:color w:val="000000" w:themeColor="text1"/>
              </w:rPr>
              <w:t>-4</w:t>
            </w:r>
            <w:r w:rsidR="00913A3A">
              <w:rPr>
                <w:rFonts w:ascii="Arial" w:hAnsi="Arial" w:cs="Arial"/>
                <w:color w:val="000000" w:themeColor="text1"/>
              </w:rPr>
              <w:t>1</w:t>
            </w:r>
          </w:p>
        </w:tc>
      </w:tr>
    </w:tbl>
    <w:p w14:paraId="0A68C085" w14:textId="4D5FE725" w:rsidR="005A500C" w:rsidRPr="00EA6F20" w:rsidRDefault="005A500C" w:rsidP="00EA6F20">
      <w:pPr>
        <w:pStyle w:val="Heading2"/>
        <w:spacing w:line="240" w:lineRule="auto"/>
        <w:rPr>
          <w:rFonts w:ascii="Arial" w:hAnsi="Arial" w:cs="Arial"/>
          <w:b w:val="0"/>
          <w:bCs w:val="0"/>
          <w:color w:val="000000" w:themeColor="text1"/>
          <w:sz w:val="22"/>
          <w:szCs w:val="22"/>
        </w:rPr>
      </w:pPr>
      <w:r w:rsidRPr="00EA6F20">
        <w:rPr>
          <w:rFonts w:ascii="Arial" w:hAnsi="Arial" w:cs="Arial"/>
          <w:color w:val="000000" w:themeColor="text1"/>
          <w:sz w:val="22"/>
          <w:szCs w:val="22"/>
        </w:rPr>
        <w:t>2.</w:t>
      </w:r>
      <w:r w:rsidR="007369EB">
        <w:rPr>
          <w:rFonts w:ascii="Arial" w:hAnsi="Arial" w:cs="Arial"/>
          <w:color w:val="000000" w:themeColor="text1"/>
          <w:sz w:val="22"/>
          <w:szCs w:val="22"/>
        </w:rPr>
        <w:t>7</w:t>
      </w:r>
      <w:r w:rsidRPr="00EA6F20">
        <w:rPr>
          <w:rFonts w:ascii="Arial" w:hAnsi="Arial" w:cs="Arial"/>
          <w:color w:val="000000" w:themeColor="text1"/>
          <w:sz w:val="22"/>
          <w:szCs w:val="22"/>
        </w:rPr>
        <w:tab/>
        <w:t>Data Analysis</w:t>
      </w:r>
    </w:p>
    <w:p w14:paraId="6FAE6F47" w14:textId="77777777" w:rsidR="005A500C" w:rsidRPr="00217644" w:rsidRDefault="005A500C" w:rsidP="005A500C">
      <w:pPr>
        <w:spacing w:before="240" w:after="0" w:line="240" w:lineRule="auto"/>
        <w:jc w:val="both"/>
        <w:rPr>
          <w:rFonts w:ascii="Arial" w:eastAsiaTheme="minorEastAsia" w:hAnsi="Arial" w:cs="Arial"/>
          <w:color w:val="000000" w:themeColor="text1"/>
        </w:rPr>
      </w:pPr>
      <w:r w:rsidRPr="00217644">
        <w:rPr>
          <w:rFonts w:ascii="Arial" w:hAnsi="Arial" w:cs="Arial"/>
          <w:color w:val="000000" w:themeColor="text1"/>
        </w:rPr>
        <w:t xml:space="preserve">Data was </w:t>
      </w:r>
      <w:proofErr w:type="spellStart"/>
      <w:r w:rsidRPr="00217644">
        <w:rPr>
          <w:rFonts w:ascii="Arial" w:hAnsi="Arial" w:cs="Arial"/>
          <w:color w:val="000000" w:themeColor="text1"/>
        </w:rPr>
        <w:t>analysed</w:t>
      </w:r>
      <w:proofErr w:type="spellEnd"/>
      <w:r w:rsidRPr="00217644">
        <w:rPr>
          <w:rFonts w:ascii="Arial" w:hAnsi="Arial" w:cs="Arial"/>
          <w:color w:val="000000" w:themeColor="text1"/>
        </w:rPr>
        <w:t xml:space="preserve"> using Statistical Product and Service Solutions (SPSS) version 23.0 while GraphPad Prism version 10.2.0 (windows) </w:t>
      </w:r>
      <w:r w:rsidRPr="00217644">
        <w:rPr>
          <w:rFonts w:ascii="Arial" w:eastAsiaTheme="minorEastAsia" w:hAnsi="Arial" w:cs="Arial"/>
          <w:color w:val="000000" w:themeColor="text1"/>
        </w:rPr>
        <w:t xml:space="preserve">was used for data </w:t>
      </w:r>
      <w:proofErr w:type="spellStart"/>
      <w:r w:rsidRPr="00217644">
        <w:rPr>
          <w:rFonts w:ascii="Arial" w:eastAsiaTheme="minorEastAsia" w:hAnsi="Arial" w:cs="Arial"/>
          <w:color w:val="000000" w:themeColor="text1"/>
        </w:rPr>
        <w:t>visualisation</w:t>
      </w:r>
      <w:proofErr w:type="spellEnd"/>
      <w:r w:rsidRPr="00217644">
        <w:rPr>
          <w:rFonts w:ascii="Arial" w:hAnsi="Arial" w:cs="Arial"/>
          <w:color w:val="000000" w:themeColor="text1"/>
        </w:rPr>
        <w:t xml:space="preserve">. </w:t>
      </w:r>
      <w:r w:rsidRPr="00217644">
        <w:rPr>
          <w:rFonts w:ascii="Arial" w:eastAsiaTheme="minorEastAsia" w:hAnsi="Arial" w:cs="Arial"/>
          <w:color w:val="000000" w:themeColor="text1"/>
        </w:rPr>
        <w:t xml:space="preserve">The data from each group were </w:t>
      </w:r>
      <w:proofErr w:type="spellStart"/>
      <w:r w:rsidRPr="00217644">
        <w:rPr>
          <w:rFonts w:ascii="Arial" w:eastAsiaTheme="minorEastAsia" w:hAnsi="Arial" w:cs="Arial"/>
          <w:color w:val="000000" w:themeColor="text1"/>
        </w:rPr>
        <w:t>analysed</w:t>
      </w:r>
      <w:proofErr w:type="spellEnd"/>
      <w:r w:rsidRPr="00217644">
        <w:rPr>
          <w:rFonts w:ascii="Arial" w:eastAsiaTheme="minorEastAsia" w:hAnsi="Arial" w:cs="Arial"/>
          <w:color w:val="000000" w:themeColor="text1"/>
        </w:rPr>
        <w:t xml:space="preserve"> using one-way analysis of variance (ANOVA), followed by Tukey’s </w:t>
      </w:r>
      <w:r w:rsidRPr="00217644">
        <w:rPr>
          <w:rFonts w:ascii="Arial" w:eastAsiaTheme="minorEastAsia" w:hAnsi="Arial" w:cs="Arial"/>
          <w:i/>
          <w:color w:val="000000" w:themeColor="text1"/>
        </w:rPr>
        <w:t>post-hoc</w:t>
      </w:r>
      <w:r w:rsidRPr="00217644">
        <w:rPr>
          <w:rFonts w:ascii="Arial" w:eastAsiaTheme="minorEastAsia" w:hAnsi="Arial" w:cs="Arial"/>
          <w:color w:val="000000" w:themeColor="text1"/>
        </w:rPr>
        <w:t xml:space="preserve"> test for multiple comparisons. Data obtained were expressed as mean ± S.E.M and values of P</w:t>
      </w:r>
      <m:oMath>
        <m:r>
          <w:rPr>
            <w:rFonts w:ascii="Cambria Math" w:eastAsiaTheme="minorEastAsia" w:hAnsi="Cambria Math" w:cs="Arial"/>
            <w:color w:val="000000" w:themeColor="text1"/>
          </w:rPr>
          <m:t xml:space="preserve"> &lt;</m:t>
        </m:r>
      </m:oMath>
      <w:r w:rsidRPr="00217644">
        <w:rPr>
          <w:rFonts w:ascii="Arial" w:eastAsiaTheme="minorEastAsia" w:hAnsi="Arial" w:cs="Arial"/>
          <w:color w:val="000000" w:themeColor="text1"/>
        </w:rPr>
        <w:t xml:space="preserve"> 0.05 were considered statistically significant.</w:t>
      </w:r>
    </w:p>
    <w:p w14:paraId="11EFE324" w14:textId="77777777" w:rsidR="005A500C" w:rsidRPr="00217644" w:rsidRDefault="005A500C" w:rsidP="005A500C">
      <w:pPr>
        <w:spacing w:line="240" w:lineRule="auto"/>
        <w:jc w:val="both"/>
        <w:rPr>
          <w:rFonts w:ascii="Arial" w:hAnsi="Arial" w:cs="Arial"/>
          <w:shd w:val="clear" w:color="auto" w:fill="FFFFFF"/>
        </w:rPr>
      </w:pPr>
    </w:p>
    <w:p w14:paraId="3AE9A8BB" w14:textId="77777777" w:rsidR="005A500C" w:rsidRPr="00217644" w:rsidRDefault="005A500C" w:rsidP="005A500C">
      <w:pPr>
        <w:spacing w:line="240" w:lineRule="auto"/>
        <w:rPr>
          <w:rFonts w:ascii="Arial" w:hAnsi="Arial" w:cs="Arial"/>
          <w:b/>
        </w:rPr>
      </w:pPr>
      <w:r>
        <w:rPr>
          <w:rFonts w:ascii="Arial" w:hAnsi="Arial" w:cs="Arial"/>
          <w:b/>
        </w:rPr>
        <w:t>3.0</w:t>
      </w:r>
      <w:r>
        <w:rPr>
          <w:rFonts w:ascii="Arial" w:hAnsi="Arial" w:cs="Arial"/>
          <w:b/>
        </w:rPr>
        <w:tab/>
      </w:r>
      <w:r w:rsidRPr="00217644">
        <w:rPr>
          <w:rFonts w:ascii="Arial" w:hAnsi="Arial" w:cs="Arial"/>
          <w:b/>
        </w:rPr>
        <w:t>Results and Discussion</w:t>
      </w:r>
    </w:p>
    <w:p w14:paraId="30FAE0CE" w14:textId="77777777" w:rsidR="00EA6F20" w:rsidRDefault="00EA6F20" w:rsidP="00EA6F20">
      <w:pPr>
        <w:jc w:val="both"/>
        <w:rPr>
          <w:rFonts w:ascii="Arial" w:hAnsi="Arial" w:cs="Arial"/>
          <w:color w:val="000000" w:themeColor="text1"/>
          <w:sz w:val="20"/>
          <w:szCs w:val="20"/>
        </w:rPr>
      </w:pPr>
      <w:r w:rsidRPr="0009543A">
        <w:rPr>
          <w:color w:val="000000" w:themeColor="text1"/>
        </w:rPr>
        <w:object w:dxaOrig="10858" w:dyaOrig="10829" w14:anchorId="389D29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2pt;height:453.3pt" o:ole="">
            <v:imagedata r:id="rId8" o:title=""/>
          </v:shape>
          <o:OLEObject Type="Embed" ProgID="Prism9.Document" ShapeID="_x0000_i1025" DrawAspect="Content" ObjectID="_1835967707" r:id="rId9"/>
        </w:object>
      </w:r>
      <w:r w:rsidRPr="00EA6F20">
        <w:rPr>
          <w:rFonts w:ascii="Times New Roman" w:hAnsi="Times New Roman" w:cs="Times New Roman"/>
          <w:b/>
          <w:bCs/>
          <w:color w:val="000000" w:themeColor="text1"/>
          <w:sz w:val="24"/>
          <w:szCs w:val="24"/>
        </w:rPr>
        <w:t xml:space="preserve"> </w:t>
      </w:r>
      <w:r w:rsidRPr="00EA6F20">
        <w:rPr>
          <w:rFonts w:ascii="Arial" w:hAnsi="Arial" w:cs="Arial"/>
          <w:bCs/>
          <w:color w:val="000000" w:themeColor="text1"/>
          <w:sz w:val="20"/>
          <w:szCs w:val="20"/>
        </w:rPr>
        <w:t>Figure 1</w:t>
      </w:r>
      <w:r w:rsidRPr="00EA6F20">
        <w:rPr>
          <w:rFonts w:ascii="Arial" w:hAnsi="Arial" w:cs="Arial"/>
          <w:color w:val="000000" w:themeColor="text1"/>
          <w:sz w:val="20"/>
          <w:szCs w:val="20"/>
        </w:rPr>
        <w:t>: Effect of Cannabidiol and Tetrahydrocannabinol on Open Arm Avoidance Index using Elevated Plus Maze in Reserpine-induced Parkinson’s disease in mice. Res = Reserpine, CBD = Cannabidiol, THC = Tetrahydrocannabinol, *** = P &lt; 0.001 (ANOVA)</w:t>
      </w:r>
      <w:r>
        <w:rPr>
          <w:rFonts w:ascii="Arial" w:hAnsi="Arial" w:cs="Arial"/>
          <w:color w:val="000000" w:themeColor="text1"/>
          <w:sz w:val="20"/>
          <w:szCs w:val="20"/>
        </w:rPr>
        <w:t>.</w:t>
      </w:r>
    </w:p>
    <w:p w14:paraId="238F14A2" w14:textId="77777777" w:rsidR="005D6DB9" w:rsidRPr="005D6DB9" w:rsidRDefault="005D6DB9" w:rsidP="005D6DB9">
      <w:pPr>
        <w:spacing w:line="240" w:lineRule="auto"/>
        <w:jc w:val="both"/>
        <w:rPr>
          <w:rFonts w:ascii="Arial" w:hAnsi="Arial" w:cs="Arial"/>
          <w:color w:val="000000" w:themeColor="text1"/>
        </w:rPr>
      </w:pPr>
      <w:r w:rsidRPr="005D6DB9">
        <w:rPr>
          <w:rFonts w:ascii="Arial" w:hAnsi="Arial" w:cs="Arial"/>
          <w:color w:val="000000" w:themeColor="text1"/>
        </w:rPr>
        <w:t xml:space="preserve">In the Elevated Plus </w:t>
      </w:r>
      <w:r>
        <w:rPr>
          <w:rFonts w:ascii="Arial" w:hAnsi="Arial" w:cs="Arial"/>
          <w:color w:val="000000" w:themeColor="text1"/>
        </w:rPr>
        <w:t xml:space="preserve">Maze test for anxiety (Figure </w:t>
      </w:r>
      <w:r w:rsidRPr="005D6DB9">
        <w:rPr>
          <w:rFonts w:ascii="Arial" w:hAnsi="Arial" w:cs="Arial"/>
          <w:color w:val="000000" w:themeColor="text1"/>
        </w:rPr>
        <w:t>1), there was a significant increase (P &lt; 0.001) in the index of open arm avoidance (%) in the reserpine-only treated group (</w:t>
      </w:r>
      <w:r w:rsidRPr="005D6DB9">
        <w:rPr>
          <w:rFonts w:ascii="Arial" w:eastAsia="Times New Roman" w:hAnsi="Arial" w:cs="Arial"/>
          <w:color w:val="000000" w:themeColor="text1"/>
        </w:rPr>
        <w:t xml:space="preserve">96.25 ± 3.75 %) </w:t>
      </w:r>
      <w:r w:rsidRPr="005D6DB9">
        <w:rPr>
          <w:rFonts w:ascii="Arial" w:hAnsi="Arial" w:cs="Arial"/>
          <w:color w:val="000000" w:themeColor="text1"/>
        </w:rPr>
        <w:t>compared to the normal control group (</w:t>
      </w:r>
      <w:r w:rsidRPr="005D6DB9">
        <w:rPr>
          <w:rFonts w:ascii="Arial" w:eastAsia="Times New Roman" w:hAnsi="Arial" w:cs="Arial"/>
          <w:color w:val="000000" w:themeColor="text1"/>
        </w:rPr>
        <w:t>67.25 ± 1.44 %</w:t>
      </w:r>
      <w:r w:rsidRPr="005D6DB9">
        <w:rPr>
          <w:rFonts w:ascii="Arial" w:hAnsi="Arial" w:cs="Arial"/>
          <w:color w:val="000000" w:themeColor="text1"/>
        </w:rPr>
        <w:t>). Treatment with CBD at 30 mg/kg and 60 mg/kg showed a significant reduction (P &lt; 0.001) in open arm avoidance (</w:t>
      </w:r>
      <w:r w:rsidRPr="005D6DB9">
        <w:rPr>
          <w:rFonts w:ascii="Arial" w:eastAsia="Times New Roman" w:hAnsi="Arial" w:cs="Arial"/>
          <w:color w:val="000000" w:themeColor="text1"/>
        </w:rPr>
        <w:t xml:space="preserve">71.75 ± 0.85 % and 68.50 ± 1.66 % respectively) </w:t>
      </w:r>
      <w:r w:rsidRPr="005D6DB9">
        <w:rPr>
          <w:rFonts w:ascii="Arial" w:hAnsi="Arial" w:cs="Arial"/>
          <w:color w:val="000000" w:themeColor="text1"/>
        </w:rPr>
        <w:t>compared to the reserpine-only group (</w:t>
      </w:r>
      <w:r w:rsidRPr="005D6DB9">
        <w:rPr>
          <w:rFonts w:ascii="Arial" w:eastAsia="Times New Roman" w:hAnsi="Arial" w:cs="Arial"/>
          <w:color w:val="000000" w:themeColor="text1"/>
        </w:rPr>
        <w:t>96.25 ± 3.75 %</w:t>
      </w:r>
      <w:r w:rsidRPr="005D6DB9">
        <w:rPr>
          <w:rFonts w:ascii="Arial" w:hAnsi="Arial" w:cs="Arial"/>
          <w:color w:val="000000" w:themeColor="text1"/>
        </w:rPr>
        <w:t>). THC treated groups (4 mg/kg and 6 mg/kg) also significantly decreased (P &lt; 0.001) the anxiety index (</w:t>
      </w:r>
      <w:r w:rsidRPr="005D6DB9">
        <w:rPr>
          <w:rFonts w:ascii="Arial" w:eastAsia="Times New Roman" w:hAnsi="Arial" w:cs="Arial"/>
          <w:color w:val="000000" w:themeColor="text1"/>
        </w:rPr>
        <w:t>61.25 ± 4.13 %</w:t>
      </w:r>
      <w:r w:rsidRPr="005D6DB9">
        <w:rPr>
          <w:rFonts w:ascii="Arial" w:hAnsi="Arial" w:cs="Arial"/>
          <w:color w:val="000000" w:themeColor="text1"/>
        </w:rPr>
        <w:t xml:space="preserve"> and </w:t>
      </w:r>
      <w:r w:rsidRPr="005D6DB9">
        <w:rPr>
          <w:rFonts w:ascii="Arial" w:eastAsia="Times New Roman" w:hAnsi="Arial" w:cs="Arial"/>
          <w:color w:val="000000" w:themeColor="text1"/>
        </w:rPr>
        <w:t xml:space="preserve">69.25 ± 5.63 % </w:t>
      </w:r>
      <w:r w:rsidRPr="005D6DB9">
        <w:rPr>
          <w:rFonts w:ascii="Arial" w:hAnsi="Arial" w:cs="Arial"/>
          <w:color w:val="000000" w:themeColor="text1"/>
        </w:rPr>
        <w:t>respectively</w:t>
      </w:r>
      <w:r w:rsidRPr="005D6DB9">
        <w:rPr>
          <w:rFonts w:ascii="Arial" w:eastAsia="Times New Roman" w:hAnsi="Arial" w:cs="Arial"/>
          <w:color w:val="000000" w:themeColor="text1"/>
        </w:rPr>
        <w:t>)</w:t>
      </w:r>
      <w:r w:rsidRPr="005D6DB9">
        <w:rPr>
          <w:rFonts w:ascii="Arial" w:hAnsi="Arial" w:cs="Arial"/>
          <w:color w:val="000000" w:themeColor="text1"/>
        </w:rPr>
        <w:t xml:space="preserve"> compared to the reserpine-only group. The combination of CBD and THC at doses of 60 mg/kg and 6 mg/kg respectively, resulted in an open arm avoidance index of </w:t>
      </w:r>
      <w:r w:rsidRPr="005D6DB9">
        <w:rPr>
          <w:rFonts w:ascii="Arial" w:eastAsia="Times New Roman" w:hAnsi="Arial" w:cs="Arial"/>
          <w:color w:val="000000" w:themeColor="text1"/>
        </w:rPr>
        <w:t xml:space="preserve">70.25 ± 0.85 %, </w:t>
      </w:r>
      <w:r w:rsidRPr="005D6DB9">
        <w:rPr>
          <w:rFonts w:ascii="Arial" w:hAnsi="Arial" w:cs="Arial"/>
          <w:color w:val="000000" w:themeColor="text1"/>
        </w:rPr>
        <w:t>which was comparable to the normal control group (</w:t>
      </w:r>
      <w:r w:rsidRPr="005D6DB9">
        <w:rPr>
          <w:rFonts w:ascii="Arial" w:eastAsia="Times New Roman" w:hAnsi="Arial" w:cs="Arial"/>
          <w:color w:val="000000" w:themeColor="text1"/>
        </w:rPr>
        <w:t>67.25 ± 1.44 %)</w:t>
      </w:r>
      <w:r w:rsidRPr="005D6DB9">
        <w:rPr>
          <w:rFonts w:ascii="Arial" w:hAnsi="Arial" w:cs="Arial"/>
          <w:color w:val="000000" w:themeColor="text1"/>
        </w:rPr>
        <w:t xml:space="preserve"> and significantly lower (P &lt; 0.001) than the reserpine group.</w:t>
      </w:r>
    </w:p>
    <w:p w14:paraId="43173D81" w14:textId="77777777" w:rsidR="005D6DB9" w:rsidRDefault="005D6DB9" w:rsidP="00EA6F20">
      <w:pPr>
        <w:jc w:val="both"/>
        <w:rPr>
          <w:rFonts w:ascii="Arial" w:hAnsi="Arial" w:cs="Arial"/>
          <w:color w:val="000000" w:themeColor="text1"/>
          <w:sz w:val="20"/>
          <w:szCs w:val="20"/>
        </w:rPr>
      </w:pPr>
    </w:p>
    <w:p w14:paraId="6D9F4F9C" w14:textId="77777777" w:rsidR="00EA6F20" w:rsidRPr="005D6DB9" w:rsidRDefault="00EA6F20" w:rsidP="00EA6F20">
      <w:pPr>
        <w:spacing w:before="240" w:after="100" w:afterAutospacing="1" w:line="240" w:lineRule="auto"/>
        <w:jc w:val="both"/>
        <w:rPr>
          <w:rFonts w:ascii="Arial" w:hAnsi="Arial" w:cs="Arial"/>
          <w:color w:val="000000" w:themeColor="text1"/>
        </w:rPr>
      </w:pPr>
      <w:r w:rsidRPr="0009543A">
        <w:rPr>
          <w:rFonts w:ascii="Times New Roman" w:hAnsi="Times New Roman" w:cs="Times New Roman"/>
          <w:color w:val="000000" w:themeColor="text1"/>
          <w:sz w:val="24"/>
          <w:szCs w:val="24"/>
        </w:rPr>
        <w:object w:dxaOrig="10329" w:dyaOrig="11407" w14:anchorId="004B5853">
          <v:shape id="_x0000_i1026" type="#_x0000_t75" style="width:7in;height:554.1pt" o:ole="" filled="t">
            <v:imagedata r:id="rId10" o:title=""/>
          </v:shape>
          <o:OLEObject Type="Embed" ProgID="Prism9.Document" ShapeID="_x0000_i1026" DrawAspect="Content" ObjectID="_1835967708" r:id="rId11"/>
        </w:object>
      </w:r>
      <w:bookmarkStart w:id="17" w:name="_Hlk190372128"/>
      <w:r w:rsidRPr="00EA6F20">
        <w:rPr>
          <w:rFonts w:ascii="Arial" w:hAnsi="Arial" w:cs="Arial"/>
          <w:b/>
          <w:bCs/>
          <w:color w:val="000000" w:themeColor="text1"/>
          <w:sz w:val="20"/>
          <w:szCs w:val="20"/>
        </w:rPr>
        <w:t>Figure 2</w:t>
      </w:r>
      <w:r w:rsidRPr="00EA6F20">
        <w:rPr>
          <w:rFonts w:ascii="Arial" w:hAnsi="Arial" w:cs="Arial"/>
          <w:color w:val="000000" w:themeColor="text1"/>
          <w:sz w:val="20"/>
          <w:szCs w:val="20"/>
        </w:rPr>
        <w:t>: Effect of Cannabidiol and Tetrahydrocannabinol on Working Memory using Novel Object Recognition Test in Reserpine-induced Parkinson’s model in mice.</w:t>
      </w:r>
      <w:bookmarkEnd w:id="17"/>
      <w:r w:rsidRPr="00EA6F20">
        <w:rPr>
          <w:rFonts w:ascii="Arial" w:hAnsi="Arial" w:cs="Arial"/>
          <w:color w:val="000000" w:themeColor="text1"/>
          <w:sz w:val="20"/>
          <w:szCs w:val="20"/>
        </w:rPr>
        <w:t xml:space="preserve"> Res = Reserpine, CBD = Cannabidiol, THC = Tetrahydrocannabinol, n = 6, * = P &lt; 0.05, ** = P &lt; 0.01 and *** = P &lt; 0.001 (ANOVA)</w:t>
      </w:r>
      <w:r>
        <w:rPr>
          <w:rFonts w:ascii="Arial" w:hAnsi="Arial" w:cs="Arial"/>
          <w:color w:val="000000" w:themeColor="text1"/>
          <w:sz w:val="20"/>
          <w:szCs w:val="20"/>
        </w:rPr>
        <w:t>.</w:t>
      </w:r>
    </w:p>
    <w:p w14:paraId="13BDF408" w14:textId="77777777" w:rsidR="005D6DB9" w:rsidRPr="005D6DB9" w:rsidRDefault="005D6DB9" w:rsidP="00EA6F20">
      <w:pPr>
        <w:spacing w:before="240" w:after="100" w:afterAutospacing="1" w:line="240" w:lineRule="auto"/>
        <w:jc w:val="both"/>
        <w:rPr>
          <w:rFonts w:ascii="Arial" w:hAnsi="Arial" w:cs="Arial"/>
          <w:color w:val="000000" w:themeColor="text1"/>
        </w:rPr>
      </w:pPr>
      <w:r w:rsidRPr="005D6DB9">
        <w:rPr>
          <w:rFonts w:ascii="Arial" w:eastAsia="Times New Roman" w:hAnsi="Arial" w:cs="Arial"/>
          <w:color w:val="000000" w:themeColor="text1"/>
        </w:rPr>
        <w:lastRenderedPageBreak/>
        <w:t>A significant decrease (</w:t>
      </w:r>
      <w:r w:rsidRPr="005D6DB9">
        <w:rPr>
          <w:rFonts w:ascii="Arial" w:eastAsia="Times New Roman" w:hAnsi="Arial" w:cs="Arial"/>
          <w:bCs/>
          <w:color w:val="000000" w:themeColor="text1"/>
        </w:rPr>
        <w:t>P &lt; 0.001</w:t>
      </w:r>
      <w:r w:rsidRPr="005D6DB9">
        <w:rPr>
          <w:rFonts w:ascii="Arial" w:eastAsia="Times New Roman" w:hAnsi="Arial" w:cs="Arial"/>
          <w:color w:val="000000" w:themeColor="text1"/>
        </w:rPr>
        <w:t xml:space="preserve">) in the preference score (%) was observed in the reserpine-only treated group (28.00 ± 16.17 %) compared to the normal control group (83.00 ± 4.70 %). However, treatment with </w:t>
      </w:r>
      <w:r w:rsidRPr="005D6DB9">
        <w:rPr>
          <w:rFonts w:ascii="Arial" w:eastAsia="Times New Roman" w:hAnsi="Arial" w:cs="Arial"/>
          <w:bCs/>
          <w:color w:val="000000" w:themeColor="text1"/>
        </w:rPr>
        <w:t>CBD (30 mg/kg and 60 mg/kg)</w:t>
      </w:r>
      <w:r w:rsidRPr="005D6DB9">
        <w:rPr>
          <w:rFonts w:ascii="Arial" w:eastAsia="Times New Roman" w:hAnsi="Arial" w:cs="Arial"/>
          <w:color w:val="000000" w:themeColor="text1"/>
        </w:rPr>
        <w:t xml:space="preserve"> resulted in a significant increase (</w:t>
      </w:r>
      <w:r w:rsidRPr="005D6DB9">
        <w:rPr>
          <w:rFonts w:ascii="Arial" w:eastAsia="Times New Roman" w:hAnsi="Arial" w:cs="Arial"/>
          <w:bCs/>
          <w:color w:val="000000" w:themeColor="text1"/>
        </w:rPr>
        <w:t>P &lt; 0.01 and P &lt; 0.05 respectively</w:t>
      </w:r>
      <w:r w:rsidRPr="005D6DB9">
        <w:rPr>
          <w:rFonts w:ascii="Arial" w:eastAsia="Times New Roman" w:hAnsi="Arial" w:cs="Arial"/>
          <w:color w:val="000000" w:themeColor="text1"/>
        </w:rPr>
        <w:t xml:space="preserve">) in the preference score (74.25 ± 3.77 % and 64.00 ± 2.08 % respectively) compared to the reserpine-only group. </w:t>
      </w:r>
      <w:r w:rsidRPr="005D6DB9">
        <w:rPr>
          <w:rFonts w:ascii="Arial" w:eastAsia="Times New Roman" w:hAnsi="Arial" w:cs="Arial"/>
          <w:bCs/>
          <w:color w:val="000000" w:themeColor="text1"/>
        </w:rPr>
        <w:t>THC (4 mg/kg and 6 mg/kg) treated groups</w:t>
      </w:r>
      <w:r w:rsidRPr="005D6DB9">
        <w:rPr>
          <w:rFonts w:ascii="Arial" w:eastAsia="Times New Roman" w:hAnsi="Arial" w:cs="Arial"/>
          <w:color w:val="000000" w:themeColor="text1"/>
        </w:rPr>
        <w:t xml:space="preserve"> also showed significant increase (</w:t>
      </w:r>
      <w:r w:rsidRPr="005D6DB9">
        <w:rPr>
          <w:rFonts w:ascii="Arial" w:eastAsia="Times New Roman" w:hAnsi="Arial" w:cs="Arial"/>
          <w:bCs/>
          <w:color w:val="000000" w:themeColor="text1"/>
        </w:rPr>
        <w:t>P &lt; 0.001</w:t>
      </w:r>
      <w:r w:rsidRPr="005D6DB9">
        <w:rPr>
          <w:rFonts w:ascii="Arial" w:eastAsia="Times New Roman" w:hAnsi="Arial" w:cs="Arial"/>
          <w:color w:val="000000" w:themeColor="text1"/>
        </w:rPr>
        <w:t xml:space="preserve">) with values of 79.50 ± 3.97 % and 83.50 ± 5.81 % respectively, compared to the reserpine-only group. Treatment with combination CBD and THC </w:t>
      </w:r>
      <w:r w:rsidRPr="005D6DB9">
        <w:rPr>
          <w:rFonts w:ascii="Arial" w:hAnsi="Arial" w:cs="Arial"/>
          <w:color w:val="000000" w:themeColor="text1"/>
        </w:rPr>
        <w:t>at doses of 60 mg/kg and 6 mg/kg respectively,</w:t>
      </w:r>
      <w:r w:rsidRPr="005D6DB9">
        <w:rPr>
          <w:rFonts w:ascii="Arial" w:eastAsia="Times New Roman" w:hAnsi="Arial" w:cs="Arial"/>
          <w:color w:val="000000" w:themeColor="text1"/>
        </w:rPr>
        <w:t xml:space="preserve"> indicated a significant increase (</w:t>
      </w:r>
      <w:r w:rsidRPr="005D6DB9">
        <w:rPr>
          <w:rFonts w:ascii="Arial" w:eastAsia="Times New Roman" w:hAnsi="Arial" w:cs="Arial"/>
          <w:bCs/>
          <w:color w:val="000000" w:themeColor="text1"/>
        </w:rPr>
        <w:t xml:space="preserve">P &lt; 0.001) </w:t>
      </w:r>
      <w:r w:rsidRPr="005D6DB9">
        <w:rPr>
          <w:rFonts w:ascii="Arial" w:eastAsia="Times New Roman" w:hAnsi="Arial" w:cs="Arial"/>
          <w:color w:val="000000" w:themeColor="text1"/>
        </w:rPr>
        <w:t>in the preference score (79.75 ± 0.48 %) compared to reserpine-only group, but a decrease was observed compared to normal control group, although it</w:t>
      </w:r>
      <w:r>
        <w:rPr>
          <w:rFonts w:ascii="Arial" w:eastAsia="Times New Roman" w:hAnsi="Arial" w:cs="Arial"/>
          <w:color w:val="000000" w:themeColor="text1"/>
        </w:rPr>
        <w:t xml:space="preserve"> was not significant (Figure 2.</w:t>
      </w:r>
      <w:r w:rsidRPr="005D6DB9">
        <w:rPr>
          <w:rFonts w:ascii="Arial" w:eastAsia="Times New Roman" w:hAnsi="Arial" w:cs="Arial"/>
          <w:color w:val="000000" w:themeColor="text1"/>
        </w:rPr>
        <w:t>)</w:t>
      </w:r>
    </w:p>
    <w:p w14:paraId="7947A128" w14:textId="77777777" w:rsidR="00EA6F20" w:rsidRDefault="00EA6F20" w:rsidP="00EA6F20">
      <w:pPr>
        <w:spacing w:after="100" w:afterAutospacing="1" w:line="240" w:lineRule="auto"/>
        <w:jc w:val="both"/>
        <w:rPr>
          <w:rFonts w:ascii="Arial" w:hAnsi="Arial" w:cs="Arial"/>
          <w:color w:val="000000" w:themeColor="text1"/>
          <w:sz w:val="20"/>
          <w:szCs w:val="20"/>
        </w:rPr>
      </w:pPr>
      <w:r w:rsidRPr="0009543A">
        <w:rPr>
          <w:rFonts w:ascii="Times New Roman" w:hAnsi="Times New Roman" w:cs="Times New Roman"/>
          <w:color w:val="000000" w:themeColor="text1"/>
          <w:sz w:val="24"/>
          <w:szCs w:val="24"/>
        </w:rPr>
        <w:object w:dxaOrig="10721" w:dyaOrig="10673" w14:anchorId="65882930">
          <v:shape id="_x0000_i1027" type="#_x0000_t75" style="width:489pt;height:489pt" o:ole="" filled="t">
            <v:imagedata r:id="rId12" o:title=""/>
          </v:shape>
          <o:OLEObject Type="Embed" ProgID="Prism9.Document" ShapeID="_x0000_i1027" DrawAspect="Content" ObjectID="_1835967709" r:id="rId13"/>
        </w:object>
      </w:r>
      <w:r w:rsidRPr="00EA6F20">
        <w:rPr>
          <w:rFonts w:ascii="Arial" w:hAnsi="Arial" w:cs="Arial"/>
          <w:b/>
          <w:bCs/>
          <w:color w:val="000000" w:themeColor="text1"/>
          <w:sz w:val="20"/>
          <w:szCs w:val="20"/>
        </w:rPr>
        <w:t>Figure 3:</w:t>
      </w:r>
      <w:r w:rsidRPr="00EA6F20">
        <w:rPr>
          <w:rFonts w:ascii="Arial" w:hAnsi="Arial" w:cs="Arial"/>
          <w:color w:val="000000" w:themeColor="text1"/>
          <w:sz w:val="20"/>
          <w:szCs w:val="20"/>
        </w:rPr>
        <w:t xml:space="preserve"> Effect of Cannabidiol and Tetrahydrocannabinol on Brain Serotonin Concentration in </w:t>
      </w:r>
      <w:r w:rsidRPr="00EA6F20">
        <w:rPr>
          <w:rFonts w:ascii="Arial" w:hAnsi="Arial" w:cs="Arial"/>
          <w:color w:val="000000" w:themeColor="text1"/>
          <w:sz w:val="20"/>
          <w:szCs w:val="20"/>
        </w:rPr>
        <w:lastRenderedPageBreak/>
        <w:t>Reserpine-induced Parkinson’s disease in mice. Res = Reserpine, CBD = Cannabidiol, THC = Tetrahydrocannabinol, n = 6, * = P &lt; 0.05 and ** = P &lt; 0.01 (ANOVA)</w:t>
      </w:r>
      <w:r>
        <w:rPr>
          <w:rFonts w:ascii="Arial" w:hAnsi="Arial" w:cs="Arial"/>
          <w:color w:val="000000" w:themeColor="text1"/>
          <w:sz w:val="20"/>
          <w:szCs w:val="20"/>
        </w:rPr>
        <w:t>.</w:t>
      </w:r>
    </w:p>
    <w:p w14:paraId="579E7113" w14:textId="77777777" w:rsidR="00C37BD3" w:rsidRPr="0009543A" w:rsidRDefault="00C37BD3" w:rsidP="00C37BD3">
      <w:pPr>
        <w:spacing w:after="100" w:afterAutospacing="1" w:line="480" w:lineRule="auto"/>
        <w:jc w:val="both"/>
        <w:rPr>
          <w:rFonts w:ascii="Times New Roman" w:eastAsia="Times New Roman" w:hAnsi="Times New Roman" w:cs="Times New Roman"/>
          <w:color w:val="000000" w:themeColor="text1"/>
          <w:sz w:val="24"/>
          <w:szCs w:val="24"/>
        </w:rPr>
      </w:pPr>
    </w:p>
    <w:p w14:paraId="7464D086" w14:textId="77777777" w:rsidR="00C37BD3" w:rsidRPr="0009543A" w:rsidRDefault="00C37BD3" w:rsidP="00C37BD3">
      <w:pPr>
        <w:spacing w:after="0"/>
        <w:jc w:val="center"/>
        <w:rPr>
          <w:rFonts w:ascii="Times New Roman" w:hAnsi="Times New Roman" w:cs="Times New Roman"/>
          <w:b/>
          <w:color w:val="000000" w:themeColor="text1"/>
          <w:sz w:val="24"/>
          <w:szCs w:val="24"/>
        </w:rPr>
      </w:pPr>
      <w:r w:rsidRPr="0009543A">
        <w:rPr>
          <w:rFonts w:ascii="Times New Roman" w:hAnsi="Times New Roman" w:cs="Times New Roman"/>
          <w:noProof/>
          <w:color w:val="000000" w:themeColor="text1"/>
          <w:sz w:val="24"/>
          <w:szCs w:val="24"/>
        </w:rPr>
        <w:drawing>
          <wp:inline distT="0" distB="0" distL="0" distR="0" wp14:anchorId="58018D9A" wp14:editId="4EA22D9A">
            <wp:extent cx="4790048" cy="2855741"/>
            <wp:effectExtent l="0" t="0" r="0" b="1905"/>
            <wp:docPr id="2826192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5113" cy="2876646"/>
                    </a:xfrm>
                    <a:prstGeom prst="rect">
                      <a:avLst/>
                    </a:prstGeom>
                    <a:noFill/>
                    <a:ln>
                      <a:noFill/>
                    </a:ln>
                  </pic:spPr>
                </pic:pic>
              </a:graphicData>
            </a:graphic>
          </wp:inline>
        </w:drawing>
      </w:r>
    </w:p>
    <w:p w14:paraId="5AA090BA" w14:textId="7417CACB" w:rsidR="00C37BD3" w:rsidRDefault="00C37BD3" w:rsidP="00C37BD3">
      <w:pPr>
        <w:spacing w:line="240" w:lineRule="auto"/>
        <w:jc w:val="both"/>
        <w:rPr>
          <w:rFonts w:ascii="Arial" w:hAnsi="Arial" w:cs="Arial"/>
          <w:color w:val="000000" w:themeColor="text1"/>
          <w:sz w:val="20"/>
          <w:szCs w:val="20"/>
        </w:rPr>
      </w:pPr>
      <w:r w:rsidRPr="00765DAB">
        <w:rPr>
          <w:rFonts w:ascii="Arial" w:hAnsi="Arial" w:cs="Arial"/>
          <w:b/>
          <w:bCs/>
          <w:color w:val="000000" w:themeColor="text1"/>
          <w:sz w:val="20"/>
          <w:szCs w:val="20"/>
        </w:rPr>
        <w:t xml:space="preserve">Plate </w:t>
      </w:r>
      <w:r w:rsidR="00014030">
        <w:rPr>
          <w:rFonts w:ascii="Arial" w:hAnsi="Arial" w:cs="Arial"/>
          <w:b/>
          <w:bCs/>
          <w:color w:val="000000" w:themeColor="text1"/>
          <w:sz w:val="20"/>
          <w:szCs w:val="20"/>
        </w:rPr>
        <w:t>2</w:t>
      </w:r>
      <w:r w:rsidRPr="00765DAB">
        <w:rPr>
          <w:rFonts w:ascii="Arial" w:hAnsi="Arial" w:cs="Arial"/>
          <w:b/>
          <w:bCs/>
          <w:color w:val="000000" w:themeColor="text1"/>
          <w:sz w:val="20"/>
          <w:szCs w:val="20"/>
        </w:rPr>
        <w:t>:</w:t>
      </w:r>
      <w:r w:rsidRPr="00765DAB">
        <w:rPr>
          <w:rFonts w:ascii="Arial" w:hAnsi="Arial" w:cs="Arial"/>
          <w:color w:val="000000" w:themeColor="text1"/>
          <w:sz w:val="20"/>
          <w:szCs w:val="20"/>
        </w:rPr>
        <w:t xml:space="preserve"> A section of the substantia </w:t>
      </w:r>
      <w:proofErr w:type="spellStart"/>
      <w:r w:rsidRPr="00765DAB">
        <w:rPr>
          <w:rFonts w:ascii="Arial" w:hAnsi="Arial" w:cs="Arial"/>
          <w:color w:val="000000" w:themeColor="text1"/>
          <w:sz w:val="20"/>
          <w:szCs w:val="20"/>
        </w:rPr>
        <w:t>nigra</w:t>
      </w:r>
      <w:proofErr w:type="spellEnd"/>
      <w:r w:rsidRPr="00765DAB">
        <w:rPr>
          <w:rFonts w:ascii="Arial" w:hAnsi="Arial" w:cs="Arial"/>
          <w:color w:val="000000" w:themeColor="text1"/>
          <w:sz w:val="20"/>
          <w:szCs w:val="20"/>
        </w:rPr>
        <w:t xml:space="preserve"> pars compacta of the control group treated with distilled water (10 ml/kg) showing relatively normal histoarchitectural feature: Dopaminergic </w:t>
      </w:r>
      <w:proofErr w:type="spellStart"/>
      <w:r w:rsidRPr="00765DAB">
        <w:rPr>
          <w:rFonts w:ascii="Arial" w:hAnsi="Arial" w:cs="Arial"/>
          <w:color w:val="000000" w:themeColor="text1"/>
          <w:sz w:val="20"/>
          <w:szCs w:val="20"/>
        </w:rPr>
        <w:t>neurone</w:t>
      </w:r>
      <w:proofErr w:type="spellEnd"/>
      <w:r w:rsidRPr="00765DAB">
        <w:rPr>
          <w:rFonts w:ascii="Arial" w:hAnsi="Arial" w:cs="Arial"/>
          <w:color w:val="000000" w:themeColor="text1"/>
          <w:sz w:val="20"/>
          <w:szCs w:val="20"/>
        </w:rPr>
        <w:t xml:space="preserve"> (D), (H and E x400).</w:t>
      </w:r>
    </w:p>
    <w:p w14:paraId="5CDD06B6" w14:textId="77777777" w:rsidR="00C37BD3" w:rsidRDefault="00C37BD3" w:rsidP="00C37BD3">
      <w:pPr>
        <w:jc w:val="center"/>
        <w:rPr>
          <w:rFonts w:ascii="Arial" w:hAnsi="Arial" w:cs="Arial"/>
          <w:b/>
          <w:bCs/>
          <w:color w:val="000000" w:themeColor="text1"/>
        </w:rPr>
      </w:pPr>
      <w:r w:rsidRPr="0009543A">
        <w:rPr>
          <w:noProof/>
          <w:color w:val="000000" w:themeColor="text1"/>
          <w14:ligatures w14:val="standardContextual"/>
        </w:rPr>
        <mc:AlternateContent>
          <mc:Choice Requires="wps">
            <w:drawing>
              <wp:anchor distT="0" distB="0" distL="114300" distR="114300" simplePos="0" relativeHeight="251663360" behindDoc="0" locked="0" layoutInCell="1" allowOverlap="1" wp14:anchorId="3EBC52EC" wp14:editId="59C609BD">
                <wp:simplePos x="0" y="0"/>
                <wp:positionH relativeFrom="column">
                  <wp:posOffset>1602994</wp:posOffset>
                </wp:positionH>
                <wp:positionV relativeFrom="paragraph">
                  <wp:posOffset>936752</wp:posOffset>
                </wp:positionV>
                <wp:extent cx="356259" cy="475013"/>
                <wp:effectExtent l="0" t="0" r="0" b="1270"/>
                <wp:wrapNone/>
                <wp:docPr id="1781883000" name="Text Box 7"/>
                <wp:cNvGraphicFramePr/>
                <a:graphic xmlns:a="http://schemas.openxmlformats.org/drawingml/2006/main">
                  <a:graphicData uri="http://schemas.microsoft.com/office/word/2010/wordprocessingShape">
                    <wps:wsp>
                      <wps:cNvSpPr txBox="1"/>
                      <wps:spPr>
                        <a:xfrm>
                          <a:off x="0" y="0"/>
                          <a:ext cx="356259" cy="475013"/>
                        </a:xfrm>
                        <a:prstGeom prst="rect">
                          <a:avLst/>
                        </a:prstGeom>
                        <a:noFill/>
                        <a:ln w="6350">
                          <a:noFill/>
                        </a:ln>
                      </wps:spPr>
                      <wps:txbx>
                        <w:txbxContent>
                          <w:p w14:paraId="2CE8BFD6"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BC52EC" id="_x0000_t202" coordsize="21600,21600" o:spt="202" path="m,l,21600r21600,l21600,xe">
                <v:stroke joinstyle="miter"/>
                <v:path gradientshapeok="t" o:connecttype="rect"/>
              </v:shapetype>
              <v:shape id="Text Box 7" o:spid="_x0000_s1026" type="#_x0000_t202" style="position:absolute;left:0;text-align:left;margin-left:126.2pt;margin-top:73.75pt;width:28.05pt;height:37.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rfMwIAAFkEAAAOAAAAZHJzL2Uyb0RvYy54bWysVE1v2zAMvQ/YfxB0X2znu0GcImuRYUDR&#10;FkiGnhVZjg1IoiYpsbNfP0p20qDbadhFpkjqUXyP8vK+VZKchHU16Jxmg5QSoTkUtT7k9Mdu82VO&#10;ifNMF0yCFjk9C0fvV58/LRuzEEOoQBbCEgTRbtGYnFbem0WSOF4JxdwAjNAYLMEq5nFrD0lhWYPo&#10;SibDNJ0mDdjCWODCOfQ+dkG6ivhlKbh/KUsnPJE5xbv5uNq47sOarJZscbDMVDXvr8H+4RaK1RqL&#10;XqEemWfkaOs/oFTNLTgo/YCDSqAsay5iD9hNln7oZlsxI2IvSI4zV5rc/4Plz6dXS+oCtZvNs/l8&#10;lKZIk2YKtdqJ1pOv0JJZoKkxboHZW4P5vkU3Hrn4HTpD921pVfhiXwTjiHS+khzAODpHk+lwckcJ&#10;x9B4NkmzUUBJ3g8b6/w3AYoEI6cWNYzUstOT813qJSXU0rCppYw6Sk2anE5HkzQeuEYQXGqsEVro&#10;rhos3+7bvq89FGdsy0I3H87wTY3Fn5jzr8ziQGAnOOT+BZdSAhaB3qKkAvvrb/6QjzphlJIGByyn&#10;7ueRWUGJ/K5RwbtsPA4TGTfjyWyIG3sb2d9G9FE9AM5whs/J8GiGfC8vZmlBveFbWIeqGGKaY+2c&#10;+ov54Luxx7fExXodk3AGDfNPemt4gA50Bmp37Ruzpuffo3DPcBlFtvggQ5fbCbE+eijrqFEguGO1&#10;5x3nN6rcv7XwQG73Mev9j7D6DQAA//8DAFBLAwQUAAYACAAAACEA4gXSNOEAAAALAQAADwAAAGRy&#10;cy9kb3ducmV2LnhtbEyPwU7DMAyG70i8Q2QkbiwlW6Hqmk5TpQkJwWFjl93SJmsrEqc02VZ4esxp&#10;3Gx9v35/LlaTs+xsxtB7lPA4S4AZbLzusZWw/9g8ZMBCVKiV9WgkfJsAq/L2plC59hfcmvMutoxK&#10;MORKQhfjkHMems44FWZ+MEjs6EenIq1jy/WoLlTuLBdJ8sSd6pEudGowVWeaz93JSXitNu9qWwuX&#10;/djq5e24Hr72h1TK+7tpvQQWzRSvYfjTJ3Uoyan2J9SBWQkiFQuKElg8p8AoMU8yGmpCQsyBlwX/&#10;/0P5CwAA//8DAFBLAQItABQABgAIAAAAIQC2gziS/gAAAOEBAAATAAAAAAAAAAAAAAAAAAAAAABb&#10;Q29udGVudF9UeXBlc10ueG1sUEsBAi0AFAAGAAgAAAAhADj9If/WAAAAlAEAAAsAAAAAAAAAAAAA&#10;AAAALwEAAF9yZWxzLy5yZWxzUEsBAi0AFAAGAAgAAAAhAAoJ2t8zAgAAWQQAAA4AAAAAAAAAAAAA&#10;AAAALgIAAGRycy9lMm9Eb2MueG1sUEsBAi0AFAAGAAgAAAAhAOIF0jThAAAACwEAAA8AAAAAAAAA&#10;AAAAAAAAjQQAAGRycy9kb3ducmV2LnhtbFBLBQYAAAAABAAEAPMAAACbBQAAAAA=&#10;" filled="f" stroked="f" strokeweight=".5pt">
                <v:textbox>
                  <w:txbxContent>
                    <w:p w14:paraId="2CE8BFD6"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P</w:t>
                      </w:r>
                    </w:p>
                  </w:txbxContent>
                </v:textbox>
              </v:shape>
            </w:pict>
          </mc:Fallback>
        </mc:AlternateContent>
      </w:r>
      <w:r w:rsidRPr="0009543A">
        <w:rPr>
          <w:noProof/>
          <w:color w:val="000000" w:themeColor="text1"/>
        </w:rPr>
        <mc:AlternateContent>
          <mc:Choice Requires="wps">
            <w:drawing>
              <wp:anchor distT="0" distB="0" distL="114300" distR="114300" simplePos="0" relativeHeight="251660288" behindDoc="0" locked="0" layoutInCell="1" allowOverlap="1" wp14:anchorId="1D7087FB" wp14:editId="011D6661">
                <wp:simplePos x="0" y="0"/>
                <wp:positionH relativeFrom="column">
                  <wp:posOffset>1755775</wp:posOffset>
                </wp:positionH>
                <wp:positionV relativeFrom="paragraph">
                  <wp:posOffset>1326134</wp:posOffset>
                </wp:positionV>
                <wp:extent cx="20990" cy="662296"/>
                <wp:effectExtent l="114300" t="0" r="93345" b="62230"/>
                <wp:wrapNone/>
                <wp:docPr id="34" name="Straight Arrow Connector 33">
                  <a:extLst xmlns:a="http://schemas.openxmlformats.org/drawingml/2006/main">
                    <a:ext uri="{FF2B5EF4-FFF2-40B4-BE49-F238E27FC236}">
                      <a16:creationId xmlns:a16="http://schemas.microsoft.com/office/drawing/2014/main" id="{6EBA16BE-04B1-CCA4-5C0D-20416750EF0E}"/>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90" cy="662296"/>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5AEFF5A" id="_x0000_t32" coordsize="21600,21600" o:spt="32" o:oned="t" path="m,l21600,21600e" filled="f">
                <v:path arrowok="t" fillok="f" o:connecttype="none"/>
                <o:lock v:ext="edit" shapetype="t"/>
              </v:shapetype>
              <v:shape id="Straight Arrow Connector 33" o:spid="_x0000_s1026" type="#_x0000_t32" style="position:absolute;margin-left:138.25pt;margin-top:104.4pt;width:1.65pt;height:52.1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0MMyQIAAAoGAAAOAAAAZHJzL2Uyb0RvYy54bWysVMlu2zAQvRfoPxC6K1otL4gcWLbUFkjb&#10;oGk/gKEoWyhFCiTrBUH+vUNSVuLm0hQ9SOD2Zt57M+T1zbFjaE+lagXPvegq9BDlRNQt3+bej++V&#10;P/OQ0pjXmAlOc+9ElXezfP/u+tAvaCx2gtVUIgjC1eLQ595O634RBIrsaIfVlegph81GyA5rmMpt&#10;UEt8gOgdC+IwzIKDkHUvBaFKwerGbXpLG79pKNFfm0ZRjVjuATdt/9L+H8w/WF7jxVbifteSgQb+&#10;BxYdbjkkHUNtsMbol2xfhepaIoUSjb4iogtE07SEWg2gJgr/UHO/wz21WsAc1Y82qf8XlnzZ30nU&#10;1rmXpB7iuIMa3WuJ2+1Oo5WU4oDWgnPwUUiUJFYjPepbpY1aGDmVj1UVF5OySv0KRn4aFqlflOnc&#10;r+JkVsbTah0n2ZNBR9mCSIo19Mun+ux4lP2doqH2xqs0sJ5b6o9ZWayirCj9MC0if71epf5kHW78&#10;OEyjbDoJyyosn0ytA8v5kvo6miWbaZX5RTqf+WlSJP48nRV+NI1nxSRerbIytdRrShbwCQns9/TM&#10;HVbeTH4aPMfx0B5Dc0Yv6Tma1uTg0KuFrZLpaTtc8ztpJJAjv+9vBfmpjLKLTTNRvTt2bGSHGtb2&#10;H00WA4S2Q0d7B07jHTClJLAYh/M5XBQCO1kWx/Ns4GWiGGwvlf5ARYfMIPfU0Ctjk7gMeA/knd9n&#10;gAEzjg65NwlnYWiJKMHaumoZM5v2ztM1k84QTAjl2oVjv7rPonbrUE5Au9gjxFb2IprGLSt5jfSp&#10;h5bWssV8y+iAY3wwzHlk3dInRh3Hb7SBtgIvXPIxySUvx4BxOG1gDagYgYM684i9FuSAw3kDpfad&#10;egt4RNjMgusR3LVcSOftZXZ9PHdY486fHXC6jQUPoj7dSUPPzODBsa4Oj6N50V7O7annJ3z5GwAA&#10;//8DAFBLAwQUAAYACAAAACEAm+yVLuIAAAALAQAADwAAAGRycy9kb3ducmV2LnhtbEyPwU7DMBBE&#10;70j8g7VI3KiTVLQlxKkACS49oJZSiZsbL0lKvA6226b9epYT3Ga0T7MzxXywnTigD60jBekoAYFU&#10;OdNSrWD99nwzAxGiJqM7R6jghAHm5eVFoXPjjrTEwyrWgkMo5FpBE2OfSxmqBq0OI9cj8e3Teasj&#10;W19L4/WRw20nsySZSKtb4g+N7vGpweprtbcKstfNZv3xcjrrx0W/231T6s+Ld6Wur4aHexARh/gH&#10;w299rg4ld9q6PZkgOs6YTm4ZZZHMeAMT2fSOxVbBOB2nIMtC/t9Q/gAAAP//AwBQSwECLQAUAAYA&#10;CAAAACEAtoM4kv4AAADhAQAAEwAAAAAAAAAAAAAAAAAAAAAAW0NvbnRlbnRfVHlwZXNdLnhtbFBL&#10;AQItABQABgAIAAAAIQA4/SH/1gAAAJQBAAALAAAAAAAAAAAAAAAAAC8BAABfcmVscy8ucmVsc1BL&#10;AQItABQABgAIAAAAIQC8s0MMyQIAAAoGAAAOAAAAAAAAAAAAAAAAAC4CAABkcnMvZTJvRG9jLnht&#10;bFBLAQItABQABgAIAAAAIQCb7JUu4gAAAAsBAAAPAAAAAAAAAAAAAAAAACMFAABkcnMvZG93bnJl&#10;di54bWxQSwUGAAAAAAQABADzAAAAMgYAAAAA&#10;" strokecolor="#365f91 [2404]" strokeweight="4pt">
                <v:stroke endarrow="block"/>
                <o:lock v:ext="edit" shapetype="f"/>
              </v:shape>
            </w:pict>
          </mc:Fallback>
        </mc:AlternateContent>
      </w:r>
      <w:r w:rsidRPr="0009543A">
        <w:rPr>
          <w:noProof/>
          <w:color w:val="000000" w:themeColor="text1"/>
          <w14:ligatures w14:val="standardContextual"/>
        </w:rPr>
        <mc:AlternateContent>
          <mc:Choice Requires="wps">
            <w:drawing>
              <wp:anchor distT="0" distB="0" distL="114300" distR="114300" simplePos="0" relativeHeight="251664384" behindDoc="0" locked="0" layoutInCell="1" allowOverlap="1" wp14:anchorId="5FED4192" wp14:editId="2BF96FEF">
                <wp:simplePos x="0" y="0"/>
                <wp:positionH relativeFrom="column">
                  <wp:posOffset>2946654</wp:posOffset>
                </wp:positionH>
                <wp:positionV relativeFrom="paragraph">
                  <wp:posOffset>10922</wp:posOffset>
                </wp:positionV>
                <wp:extent cx="475013" cy="700644"/>
                <wp:effectExtent l="0" t="0" r="0" b="4445"/>
                <wp:wrapNone/>
                <wp:docPr id="1556288275" name="Text Box 8"/>
                <wp:cNvGraphicFramePr/>
                <a:graphic xmlns:a="http://schemas.openxmlformats.org/drawingml/2006/main">
                  <a:graphicData uri="http://schemas.microsoft.com/office/word/2010/wordprocessingShape">
                    <wps:wsp>
                      <wps:cNvSpPr txBox="1"/>
                      <wps:spPr>
                        <a:xfrm>
                          <a:off x="0" y="0"/>
                          <a:ext cx="475013" cy="700644"/>
                        </a:xfrm>
                        <a:prstGeom prst="rect">
                          <a:avLst/>
                        </a:prstGeom>
                        <a:noFill/>
                        <a:ln w="6350">
                          <a:noFill/>
                        </a:ln>
                      </wps:spPr>
                      <wps:txbx>
                        <w:txbxContent>
                          <w:p w14:paraId="78144BE1"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D4192" id="Text Box 8" o:spid="_x0000_s1027" type="#_x0000_t202" style="position:absolute;left:0;text-align:left;margin-left:232pt;margin-top:.85pt;width:37.4pt;height:5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6nNgIAAGAEAAAOAAAAZHJzL2Uyb0RvYy54bWysVFFv2jAQfp+0/2D5fSTQBGhEqFgrpkmo&#10;rQRTn43jkEixz7MNCfv1OzuEom5P016c8935zt/3nbN46GRDTsLYGlROx6OYEqE4FLU65PTHbv1l&#10;Tol1TBWsASVyehaWPiw/f1q0OhMTqKAphCFYRNms1TmtnNNZFFleCcnsCLRQGCzBSOZwaw5RYViL&#10;1WUTTeJ4GrVgCm2AC2vR+9QH6TLUL0vB3UtZWuFIk1O8mwurCever9FywbKDYbqq+eUa7B9uIVmt&#10;sOm11BNzjBxN/UcpWXMDFko34iAjKMuai4AB0YzjD2i2FdMiYEFyrL7SZP9fWf58ejWkLlC7NJ1O&#10;5vPJLKVEMYla7UTnyFfoyNzT1GqbYfZWY77r0I1HBr9Fp0fflUb6L+IiGEfCz1eSfTGOzmSWxuM7&#10;SjiGZqhgkvgq0fthbaz7JkASb+TUoIaBWnbaWNenDim+l4J13TRBx0aRNqfTuzQOB64RLN4o7OEh&#10;9Ff1luv2XY98gLGH4ozoDPRjYjVf13iHDbPulRmcCwSEs+5ecCkbwF5wsSipwPz6m9/no1wYpaTF&#10;Ocup/XlkRlDSfFco5P04Sfxghk2Szia4MbeR/W1EHeUj4CiP8VVpHkyf75rBLA3IN3wSK98VQ0xx&#10;7J1TN5iPrp9+fFJcrFYhCUdRM7dRW819ac+qZ3jXvTGjLzI41O8Zholk2Qc1+txej9XRQVkHqTzP&#10;PasX+nGMg9iXJ+ffye0+ZL3/GJa/AQAA//8DAFBLAwQUAAYACAAAACEAAxMFLt8AAAAJAQAADwAA&#10;AGRycy9kb3ducmV2LnhtbEyPTUvDQBCG74L/YRnBm900tjXEbEoJFEH00NqLt0l2mgT3I2a3bfTX&#10;O570+PIO7zxPsZ6sEWcaQ++dgvksAUGu8bp3rYLD2/YuAxEiOo3GO1LwRQHW5fVVgbn2F7ej8z62&#10;gkdcyFFBF+OQSxmajiyGmR/IcXf0o8XIcWylHvHC49bINElW0mLv+EOHA1UdNR/7k1XwXG1fcVen&#10;Nvs21dPLcTN8Ht6XSt3eTJtHEJGm+HcMv/iMDiUz1f7kdBBGwWK1YJfIxQMI7pf3GavUnOdpArIs&#10;5H+D8gcAAP//AwBQSwECLQAUAAYACAAAACEAtoM4kv4AAADhAQAAEwAAAAAAAAAAAAAAAAAAAAAA&#10;W0NvbnRlbnRfVHlwZXNdLnhtbFBLAQItABQABgAIAAAAIQA4/SH/1gAAAJQBAAALAAAAAAAAAAAA&#10;AAAAAC8BAABfcmVscy8ucmVsc1BLAQItABQABgAIAAAAIQCfhL6nNgIAAGAEAAAOAAAAAAAAAAAA&#10;AAAAAC4CAABkcnMvZTJvRG9jLnhtbFBLAQItABQABgAIAAAAIQADEwUu3wAAAAkBAAAPAAAAAAAA&#10;AAAAAAAAAJAEAABkcnMvZG93bnJldi54bWxQSwUGAAAAAAQABADzAAAAnAUAAAAA&#10;" filled="f" stroked="f" strokeweight=".5pt">
                <v:textbox>
                  <w:txbxContent>
                    <w:p w14:paraId="78144BE1"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V</w:t>
                      </w:r>
                    </w:p>
                  </w:txbxContent>
                </v:textbox>
              </v:shape>
            </w:pict>
          </mc:Fallback>
        </mc:AlternateContent>
      </w:r>
      <w:r w:rsidRPr="0009543A">
        <w:rPr>
          <w:noProof/>
          <w:color w:val="000000" w:themeColor="text1"/>
        </w:rPr>
        <mc:AlternateContent>
          <mc:Choice Requires="wps">
            <w:drawing>
              <wp:anchor distT="0" distB="0" distL="114300" distR="114300" simplePos="0" relativeHeight="251661312" behindDoc="0" locked="0" layoutInCell="1" allowOverlap="1" wp14:anchorId="1B47E65D" wp14:editId="305D3CA7">
                <wp:simplePos x="0" y="0"/>
                <wp:positionH relativeFrom="column">
                  <wp:posOffset>3127629</wp:posOffset>
                </wp:positionH>
                <wp:positionV relativeFrom="paragraph">
                  <wp:posOffset>343027</wp:posOffset>
                </wp:positionV>
                <wp:extent cx="20990" cy="662296"/>
                <wp:effectExtent l="114300" t="0" r="93345" b="62230"/>
                <wp:wrapNone/>
                <wp:docPr id="72874039" name="Straight Arrow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90" cy="662296"/>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E9DDC5" id="Straight Arrow Connector 33" o:spid="_x0000_s1026" type="#_x0000_t32" style="position:absolute;margin-left:246.25pt;margin-top:27pt;width:1.65pt;height:52.1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uDdgIAAFUFAAAOAAAAZHJzL2Uyb0RvYy54bWysVN1u0zAYvUfiHSzfd0nTv7RaOq3tBhcD&#10;KgYP4Dl2a+HYlu01rRDvzmc7zSi7AcRF0/jnnO+c4y++vjk2Eh2YdUKrCg+vcoyYoroWalfhr1/u&#10;ByVGzhNVE6kVq/CJOXyzfPvmujULVui9ljWzCEiUW7SmwnvvzSLLHN2zhrgrbZiCRa5tQzwM7S6r&#10;LWmBvZFZkefTrNW2NlZT5hzMbtIiXkZ+zhn1nzh3zCNZYdDm49PG51N4ZstrsthZYvaCdjLIP6ho&#10;iFBQtKfaEE/QsxWvqBpBrXaa+yuqm0xzLiiLHsDNMP/NzeOeGBa9QDjO9DG5/0dLPx62Fom6wrOi&#10;nI3z0RwjRRo4qUdvidjtPbq1VrdorZWCNLVFo1F0yo7+wfngGd6S1+/rYTnazO6ng9V4Xg7Go9Vo&#10;MB+Xq8EQyFeT4vZ2ejf+EdA1owv4aUu8OLBz8DDzZ866HgiZzbIXHowOBM55GE41i7rO/1Fp1hq3&#10;iIZDe8TXtdraYIEe1aN50PSbC9CLxTBwJm07ctsgLoV5H6oEIJwgOsZ2OvXtFPKgMFnk8zn0HIWV&#10;6bQo5tNOV2AJWGOdf8d0g8JLhV0XeJ90qkAOID4ZOgMCWCrUVniSl3kehTgtRX0vpAyL8fNha2lT&#10;IIRSpnyik8/NB12n+dkkB3Ti7iExsgs2T4S8UzXyJwN94a0gaidZh5OqCyxlFNPyJ8mSxs+MQ3NB&#10;Fql4X+RSV1IgFewOMA4uemDnLtwHrw0lYLc/QFn85P8G3CNiZa18D26E0jZle1ndH88dxtP+cwLJ&#10;d4jgSdenrQ3ywgi+3Zhqd8+Ey+HXcdz1chsufwIAAP//AwBQSwMEFAAGAAgAAAAhAGMOapHhAAAA&#10;CgEAAA8AAABkcnMvZG93bnJldi54bWxMj8tOwzAQRfdI/IM1SOyo05CgNsSpAAk2XaA+JXZuPCQp&#10;8TjEbpv26xlWsBzN0b3n5rPBtuKIvW8cKRiPIhBIpTMNVQrWq9e7CQgfNBndOkIFZ/QwK66vcp0Z&#10;d6IFHpehEhxCPtMK6hC6TEpf1mi1H7kOiX+frrc68NlX0vT6xOG2lXEUPUirG+KGWnf4UmP5tTxY&#10;BfH7drv+eDtf9PO82++/adxf5hulbm+Gp0cQAYfwB8OvPqtDwU47dyDjRasgmcYpowrShDcxkExT&#10;3rJjMp3cgyxy+X9C8QMAAP//AwBQSwECLQAUAAYACAAAACEAtoM4kv4AAADhAQAAEwAAAAAAAAAA&#10;AAAAAAAAAAAAW0NvbnRlbnRfVHlwZXNdLnhtbFBLAQItABQABgAIAAAAIQA4/SH/1gAAAJQBAAAL&#10;AAAAAAAAAAAAAAAAAC8BAABfcmVscy8ucmVsc1BLAQItABQABgAIAAAAIQCtuhuDdgIAAFUFAAAO&#10;AAAAAAAAAAAAAAAAAC4CAABkcnMvZTJvRG9jLnhtbFBLAQItABQABgAIAAAAIQBjDmqR4QAAAAoB&#10;AAAPAAAAAAAAAAAAAAAAANAEAABkcnMvZG93bnJldi54bWxQSwUGAAAAAAQABADzAAAA3gUAAAAA&#10;" strokecolor="#365f91 [2404]" strokeweight="4pt">
                <v:stroke endarrow="block"/>
                <o:lock v:ext="edit" shapetype="f"/>
              </v:shape>
            </w:pict>
          </mc:Fallback>
        </mc:AlternateContent>
      </w:r>
      <w:r w:rsidRPr="0009543A">
        <w:rPr>
          <w:noProof/>
          <w:color w:val="000000" w:themeColor="text1"/>
        </w:rPr>
        <w:drawing>
          <wp:inline distT="0" distB="0" distL="0" distR="0" wp14:anchorId="03EC955C" wp14:editId="262A90DD">
            <wp:extent cx="4628270" cy="2243797"/>
            <wp:effectExtent l="0" t="0" r="1270" b="4445"/>
            <wp:docPr id="12248835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57062" cy="2257755"/>
                    </a:xfrm>
                    <a:prstGeom prst="rect">
                      <a:avLst/>
                    </a:prstGeom>
                    <a:noFill/>
                    <a:ln>
                      <a:noFill/>
                    </a:ln>
                  </pic:spPr>
                </pic:pic>
              </a:graphicData>
            </a:graphic>
          </wp:inline>
        </w:drawing>
      </w:r>
    </w:p>
    <w:p w14:paraId="26575779" w14:textId="59B6E8DE" w:rsidR="00C37BD3" w:rsidRPr="00765DAB" w:rsidRDefault="00C37BD3" w:rsidP="00C37BD3">
      <w:pPr>
        <w:jc w:val="both"/>
        <w:rPr>
          <w:rFonts w:ascii="Times New Roman" w:hAnsi="Times New Roman" w:cs="Times New Roman"/>
          <w:color w:val="000000" w:themeColor="text1"/>
          <w:sz w:val="24"/>
          <w:szCs w:val="24"/>
        </w:rPr>
      </w:pPr>
      <w:r w:rsidRPr="00765DAB">
        <w:rPr>
          <w:rFonts w:ascii="Arial" w:hAnsi="Arial" w:cs="Arial"/>
          <w:noProof/>
          <w:color w:val="000000" w:themeColor="text1"/>
          <w14:ligatures w14:val="standardContextual"/>
        </w:rPr>
        <mc:AlternateContent>
          <mc:Choice Requires="wps">
            <w:drawing>
              <wp:anchor distT="0" distB="0" distL="114300" distR="114300" simplePos="0" relativeHeight="251665408" behindDoc="0" locked="0" layoutInCell="1" allowOverlap="1" wp14:anchorId="4A0428BB" wp14:editId="1C9B5B7D">
                <wp:simplePos x="0" y="0"/>
                <wp:positionH relativeFrom="column">
                  <wp:posOffset>1970026</wp:posOffset>
                </wp:positionH>
                <wp:positionV relativeFrom="paragraph">
                  <wp:posOffset>2646026</wp:posOffset>
                </wp:positionV>
                <wp:extent cx="510639" cy="605641"/>
                <wp:effectExtent l="0" t="0" r="0" b="4445"/>
                <wp:wrapNone/>
                <wp:docPr id="1013662536" name="Text Box 9"/>
                <wp:cNvGraphicFramePr/>
                <a:graphic xmlns:a="http://schemas.openxmlformats.org/drawingml/2006/main">
                  <a:graphicData uri="http://schemas.microsoft.com/office/word/2010/wordprocessingShape">
                    <wps:wsp>
                      <wps:cNvSpPr txBox="1"/>
                      <wps:spPr>
                        <a:xfrm>
                          <a:off x="0" y="0"/>
                          <a:ext cx="510639" cy="605641"/>
                        </a:xfrm>
                        <a:prstGeom prst="rect">
                          <a:avLst/>
                        </a:prstGeom>
                        <a:noFill/>
                        <a:ln w="6350">
                          <a:noFill/>
                        </a:ln>
                      </wps:spPr>
                      <wps:txbx>
                        <w:txbxContent>
                          <w:p w14:paraId="3DB00075" w14:textId="77777777" w:rsidR="00C37BD3" w:rsidRPr="0009543A" w:rsidRDefault="00C37BD3" w:rsidP="00C37BD3">
                            <w:pPr>
                              <w:rPr>
                                <w:rFonts w:ascii="Arial Black" w:hAnsi="Arial Black"/>
                                <w:color w:val="00B050"/>
                                <w:sz w:val="40"/>
                                <w:szCs w:val="40"/>
                              </w:rPr>
                            </w:pPr>
                            <w:r w:rsidRPr="0009543A">
                              <w:rPr>
                                <w:rFonts w:ascii="Arial Black" w:hAnsi="Arial Black"/>
                                <w:color w:val="00B050"/>
                                <w:sz w:val="40"/>
                                <w:szCs w:val="40"/>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428BB" id="Text Box 9" o:spid="_x0000_s1028" type="#_x0000_t202" style="position:absolute;left:0;text-align:left;margin-left:155.1pt;margin-top:208.35pt;width:40.2pt;height:4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7PNwIAAGAEAAAOAAAAZHJzL2Uyb0RvYy54bWysVE1v2zAMvQ/YfxB0X2znw1uMOEXWIsOA&#10;oi2QDD0rshQbsERNUmJnv36UnKRBt9Owi0yRFMX3HuXFXa9achTWNaBLmo1SSoTmUDV6X9If2/Wn&#10;L5Q4z3TFWtCipCfh6N3y44dFZwoxhhraSliCRbQrOlPS2ntTJInjtVDMjcAIjUEJVjGPW7tPKss6&#10;rK7aZJymedKBrYwFLpxD78MQpMtYX0rB/bOUTnjSlhR783G1cd2FNVkuWLG3zNQNP7fB/qELxRqN&#10;l15LPTDPyME2f5RSDbfgQPoRB5WAlA0XEQOiydJ3aDY1MyJiQXKcudLk/l9Z/nR8saSpULs0m+T5&#10;eDbJKdFMoVZb0XvyFXoyDzR1xhWYvTGY73t045GL36EzoO+lVeGLuAjGkfDTleRQjKNzlqX5ZE4J&#10;x1CezvJprJK8HTbW+W8CFAlGSS1qGKllx0fnsRFMvaSEuzSsm7aNOraadFh0MkvjgWsET7QaDwYI&#10;Q6vB8v2uj8jHFxg7qE6IzsIwJs7wdYM9PDLnX5jFuUBAOOv+GRfZAt4FZ4uSGuyvv/lDPsqFUUo6&#10;nLOSup8HZgUl7XeNQs6z6TQMZtxMZ5/HuLG3kd1tRB/UPeAoZ/iqDI9myPftxZQW1Cs+iVW4FUNM&#10;c7y7pP5i3vth+vFJcbFaxSQcRcP8o94YHkoHVgPD2/6VWXOWwaN+T3CZSFa8U2PIHfRYHTzIJkoV&#10;eB5YPdOPYxwVPD+58E5u9zHr7cew/A0AAP//AwBQSwMEFAAGAAgAAAAhAPdyHAHjAAAACwEAAA8A&#10;AABkcnMvZG93bnJldi54bWxMj8FOwzAQRO9I/IO1SNyo7ZSGErKpqkgVEqKHll64OfE2iYjtELtt&#10;4OsxJziu5mnmbb6aTM/ONPrOWQQ5E8DI1k53tkE4vG3ulsB8UFar3llC+CIPq+L6KleZdhe7o/M+&#10;NCyWWJ8phDaEIePc1y0Z5WduIBuzoxuNCvEcG65HdYnlpueJECk3qrNxoVUDlS3VH/uTQXgpN1u1&#10;qxKz/O7L59fjevg8vC8Qb2+m9ROwQFP4g+FXP6pDEZ0qd7Lasx5hLkUSUYR7mT4Ai8T8UaTAKoSF&#10;TCTwIuf/fyh+AAAA//8DAFBLAQItABQABgAIAAAAIQC2gziS/gAAAOEBAAATAAAAAAAAAAAAAAAA&#10;AAAAAABbQ29udGVudF9UeXBlc10ueG1sUEsBAi0AFAAGAAgAAAAhADj9If/WAAAAlAEAAAsAAAAA&#10;AAAAAAAAAAAALwEAAF9yZWxzLy5yZWxzUEsBAi0AFAAGAAgAAAAhAA2Nfs83AgAAYAQAAA4AAAAA&#10;AAAAAAAAAAAALgIAAGRycy9lMm9Eb2MueG1sUEsBAi0AFAAGAAgAAAAhAPdyHAHjAAAACwEAAA8A&#10;AAAAAAAAAAAAAAAAkQQAAGRycy9kb3ducmV2LnhtbFBLBQYAAAAABAAEAPMAAAChBQAAAAA=&#10;" filled="f" stroked="f" strokeweight=".5pt">
                <v:textbox>
                  <w:txbxContent>
                    <w:p w14:paraId="3DB00075" w14:textId="77777777" w:rsidR="00C37BD3" w:rsidRPr="0009543A" w:rsidRDefault="00C37BD3" w:rsidP="00C37BD3">
                      <w:pPr>
                        <w:rPr>
                          <w:rFonts w:ascii="Arial Black" w:hAnsi="Arial Black"/>
                          <w:color w:val="00B050"/>
                          <w:sz w:val="40"/>
                          <w:szCs w:val="40"/>
                        </w:rPr>
                      </w:pPr>
                      <w:r w:rsidRPr="0009543A">
                        <w:rPr>
                          <w:rFonts w:ascii="Arial Black" w:hAnsi="Arial Black"/>
                          <w:color w:val="00B050"/>
                          <w:sz w:val="40"/>
                          <w:szCs w:val="40"/>
                        </w:rPr>
                        <w:t>R</w:t>
                      </w:r>
                    </w:p>
                  </w:txbxContent>
                </v:textbox>
              </v:shape>
            </w:pict>
          </mc:Fallback>
        </mc:AlternateContent>
      </w:r>
      <w:r w:rsidRPr="00765DAB">
        <w:rPr>
          <w:rFonts w:ascii="Arial" w:hAnsi="Arial" w:cs="Arial"/>
          <w:b/>
          <w:bCs/>
          <w:color w:val="000000" w:themeColor="text1"/>
        </w:rPr>
        <w:t xml:space="preserve">Plate </w:t>
      </w:r>
      <w:r w:rsidR="00014030">
        <w:rPr>
          <w:rFonts w:ascii="Arial" w:hAnsi="Arial" w:cs="Arial"/>
          <w:b/>
          <w:bCs/>
          <w:color w:val="000000" w:themeColor="text1"/>
        </w:rPr>
        <w:t>3</w:t>
      </w:r>
      <w:r w:rsidRPr="00765DAB">
        <w:rPr>
          <w:rFonts w:ascii="Arial" w:hAnsi="Arial" w:cs="Arial"/>
          <w:color w:val="000000" w:themeColor="text1"/>
        </w:rPr>
        <w:t xml:space="preserve">: A section of the substantia </w:t>
      </w:r>
      <w:proofErr w:type="spellStart"/>
      <w:r w:rsidRPr="00765DAB">
        <w:rPr>
          <w:rFonts w:ascii="Arial" w:hAnsi="Arial" w:cs="Arial"/>
          <w:color w:val="000000" w:themeColor="text1"/>
        </w:rPr>
        <w:t>nigra</w:t>
      </w:r>
      <w:proofErr w:type="spellEnd"/>
      <w:r w:rsidRPr="00765DAB">
        <w:rPr>
          <w:rFonts w:ascii="Arial" w:hAnsi="Arial" w:cs="Arial"/>
          <w:color w:val="000000" w:themeColor="text1"/>
        </w:rPr>
        <w:t xml:space="preserve"> pars compacta treated with reserpine only showing relative histoarchitectural distortion: Reticulata (R); Pyknosis (P); Vacuolation (V) (H and E</w:t>
      </w:r>
      <w:r>
        <w:rPr>
          <w:rFonts w:ascii="Arial" w:hAnsi="Arial" w:cs="Arial"/>
          <w:color w:val="000000" w:themeColor="text1"/>
        </w:rPr>
        <w:t xml:space="preserve"> </w:t>
      </w:r>
      <w:r w:rsidRPr="00765DAB">
        <w:rPr>
          <w:rFonts w:ascii="Arial" w:hAnsi="Arial" w:cs="Arial"/>
          <w:color w:val="000000" w:themeColor="text1"/>
        </w:rPr>
        <w:t>x400).</w:t>
      </w:r>
    </w:p>
    <w:p w14:paraId="7FC3913F" w14:textId="77777777" w:rsidR="00C37BD3" w:rsidRPr="00D46FA7" w:rsidRDefault="00C37BD3" w:rsidP="00C37BD3">
      <w:pPr>
        <w:spacing w:before="240" w:after="0"/>
        <w:jc w:val="both"/>
        <w:rPr>
          <w:color w:val="000000" w:themeColor="text1"/>
        </w:rPr>
      </w:pPr>
      <w:r w:rsidRPr="0009543A">
        <w:rPr>
          <w:color w:val="000000" w:themeColor="text1"/>
        </w:rPr>
        <w:t xml:space="preserve">          </w:t>
      </w:r>
    </w:p>
    <w:p w14:paraId="0CA82B5B" w14:textId="77777777" w:rsidR="00C37BD3" w:rsidRPr="0009543A" w:rsidRDefault="00C37BD3" w:rsidP="00C37BD3">
      <w:pPr>
        <w:spacing w:after="0"/>
        <w:jc w:val="center"/>
        <w:rPr>
          <w:rFonts w:ascii="Times New Roman" w:hAnsi="Times New Roman" w:cs="Times New Roman"/>
          <w:color w:val="000000" w:themeColor="text1"/>
          <w:sz w:val="24"/>
          <w:szCs w:val="24"/>
        </w:rPr>
      </w:pPr>
      <w:r w:rsidRPr="0009543A">
        <w:rPr>
          <w:noProof/>
          <w:color w:val="000000" w:themeColor="text1"/>
          <w14:ligatures w14:val="standardContextual"/>
        </w:rPr>
        <w:lastRenderedPageBreak/>
        <mc:AlternateContent>
          <mc:Choice Requires="wps">
            <w:drawing>
              <wp:anchor distT="0" distB="0" distL="114300" distR="114300" simplePos="0" relativeHeight="251670528" behindDoc="0" locked="0" layoutInCell="1" allowOverlap="1" wp14:anchorId="0F117DD0" wp14:editId="2D145F44">
                <wp:simplePos x="0" y="0"/>
                <wp:positionH relativeFrom="column">
                  <wp:posOffset>3300986</wp:posOffset>
                </wp:positionH>
                <wp:positionV relativeFrom="paragraph">
                  <wp:posOffset>344170</wp:posOffset>
                </wp:positionV>
                <wp:extent cx="332509" cy="391886"/>
                <wp:effectExtent l="0" t="0" r="0" b="0"/>
                <wp:wrapNone/>
                <wp:docPr id="1895513384" name="Text Box 15"/>
                <wp:cNvGraphicFramePr/>
                <a:graphic xmlns:a="http://schemas.openxmlformats.org/drawingml/2006/main">
                  <a:graphicData uri="http://schemas.microsoft.com/office/word/2010/wordprocessingShape">
                    <wps:wsp>
                      <wps:cNvSpPr txBox="1"/>
                      <wps:spPr>
                        <a:xfrm>
                          <a:off x="0" y="0"/>
                          <a:ext cx="332509" cy="391886"/>
                        </a:xfrm>
                        <a:prstGeom prst="rect">
                          <a:avLst/>
                        </a:prstGeom>
                        <a:noFill/>
                        <a:ln w="6350">
                          <a:noFill/>
                        </a:ln>
                      </wps:spPr>
                      <wps:txbx>
                        <w:txbxContent>
                          <w:p w14:paraId="240E5CF3"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117DD0" id="Text Box 15" o:spid="_x0000_s1029" type="#_x0000_t202" style="position:absolute;left:0;text-align:left;margin-left:259.9pt;margin-top:27.1pt;width:26.2pt;height:30.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CeOAIAAGEEAAAOAAAAZHJzL2Uyb0RvYy54bWysVFFv2jAQfp+0/2D5fSQhhEFEqFgrpklV&#10;WwmqPhvHIZEcn2cbEvbrd3aAom5P016c8935zt/3nbO461tJjsLYBlRBk1FMiVAcykbtC/q6XX+Z&#10;UWIdUyWToERBT8LSu+XnT4tO52IMNchSGIJFlM07XdDaOZ1HkeW1aJkdgRYKgxWYljncmn1UGtZh&#10;9VZG4zieRh2YUhvgwlr0PgxBugz1q0pw91xVVjgiC4p3c2E1Yd35NVouWL43TNcNP1+D/cMtWtYo&#10;bHot9cAcIwfT/FGqbbgBC5UbcWgjqKqGi4AB0STxBzSbmmkRsCA5Vl9psv+vLH86vhjSlKjdbJ5l&#10;SZrOJpQo1qJWW9E78g16kmSep07bHNM3Gg+4Hv145uK36PTw+8q0/ovACMaR8dOVZV+NozNNx1k8&#10;p4RjKJ0ns9nUV4neD2tj3XcBLfFGQQ2KGLhlx0frhtRLiu+lYN1IGYSUinQFnaZZHA5cI1hcKuzh&#10;IQxX9Zbrd32Anl5g7KA8IToDw5xYzdcN3uGRWffCDA4GAsJhd8+4VBKwF5wtSmowv/7m9/moF0Yp&#10;6XDQCmp/HpgRlMgfCpWcJ5OJn8ywmWRfx7gxt5HdbUQd2nvAWU7wWWkeTJ/v5MWsDLRv+CZWviuG&#10;mOLYu6DuYt67YfzxTXGxWoUknEXN3KPaaO5Le1Y9w9v+jRl9lsGhfk9wGUmWf1BjyB30WB0cVE2Q&#10;yvM8sHqmH+c4iH1+c/6h3O5D1vufYfkbAAD//wMAUEsDBBQABgAIAAAAIQA7U2sQ4QAAAAoBAAAP&#10;AAAAZHJzL2Rvd25yZXYueG1sTI/BTsMwDIbvSLxDZCRuLG1FYeuaTlOlCQnBYWMXbm7jtdWapDTZ&#10;Vnh6zGncfsuffn/OV5PpxZlG3zmrIJ5FIMjWTne2UbD/2DzMQfiAVmPvLCn4Jg+r4vYmx0y7i93S&#10;eRcawSXWZ6igDWHIpPR1Swb9zA1keXdwo8HA49hIPeKFy00vkyh6kgY7yxdaHKhsqT7uTkbBa7l5&#10;x22VmPlPX768HdbD1/4zVer+blovQQSawhWGP31Wh4KdKney2oteQRovWD1weExAMJA+JxwqJuN0&#10;AbLI5f8Xil8AAAD//wMAUEsBAi0AFAAGAAgAAAAhALaDOJL+AAAA4QEAABMAAAAAAAAAAAAAAAAA&#10;AAAAAFtDb250ZW50X1R5cGVzXS54bWxQSwECLQAUAAYACAAAACEAOP0h/9YAAACUAQAACwAAAAAA&#10;AAAAAAAAAAAvAQAAX3JlbHMvLnJlbHNQSwECLQAUAAYACAAAACEA2QrAnjgCAABhBAAADgAAAAAA&#10;AAAAAAAAAAAuAgAAZHJzL2Uyb0RvYy54bWxQSwECLQAUAAYACAAAACEAO1NrEOEAAAAKAQAADwAA&#10;AAAAAAAAAAAAAACSBAAAZHJzL2Rvd25yZXYueG1sUEsFBgAAAAAEAAQA8wAAAKAFAAAAAA==&#10;" filled="f" stroked="f" strokeweight=".5pt">
                <v:textbox>
                  <w:txbxContent>
                    <w:p w14:paraId="240E5CF3"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V</w:t>
                      </w:r>
                    </w:p>
                  </w:txbxContent>
                </v:textbox>
              </v:shape>
            </w:pict>
          </mc:Fallback>
        </mc:AlternateContent>
      </w:r>
      <w:r w:rsidRPr="0009543A">
        <w:rPr>
          <w:noProof/>
          <w:color w:val="000000" w:themeColor="text1"/>
          <w14:ligatures w14:val="standardContextual"/>
        </w:rPr>
        <mc:AlternateContent>
          <mc:Choice Requires="wps">
            <w:drawing>
              <wp:anchor distT="0" distB="0" distL="114300" distR="114300" simplePos="0" relativeHeight="251669504" behindDoc="0" locked="0" layoutInCell="1" allowOverlap="1" wp14:anchorId="01979138" wp14:editId="2EAAB8D5">
                <wp:simplePos x="0" y="0"/>
                <wp:positionH relativeFrom="column">
                  <wp:posOffset>1970719</wp:posOffset>
                </wp:positionH>
                <wp:positionV relativeFrom="paragraph">
                  <wp:posOffset>201551</wp:posOffset>
                </wp:positionV>
                <wp:extent cx="415636" cy="450965"/>
                <wp:effectExtent l="0" t="0" r="0" b="6350"/>
                <wp:wrapNone/>
                <wp:docPr id="335250460" name="Text Box 14"/>
                <wp:cNvGraphicFramePr/>
                <a:graphic xmlns:a="http://schemas.openxmlformats.org/drawingml/2006/main">
                  <a:graphicData uri="http://schemas.microsoft.com/office/word/2010/wordprocessingShape">
                    <wps:wsp>
                      <wps:cNvSpPr txBox="1"/>
                      <wps:spPr>
                        <a:xfrm>
                          <a:off x="0" y="0"/>
                          <a:ext cx="415636" cy="450965"/>
                        </a:xfrm>
                        <a:prstGeom prst="rect">
                          <a:avLst/>
                        </a:prstGeom>
                        <a:noFill/>
                        <a:ln w="6350">
                          <a:noFill/>
                        </a:ln>
                      </wps:spPr>
                      <wps:txbx>
                        <w:txbxContent>
                          <w:p w14:paraId="5610A4F3"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79138" id="Text Box 14" o:spid="_x0000_s1030" type="#_x0000_t202" style="position:absolute;left:0;text-align:left;margin-left:155.15pt;margin-top:15.85pt;width:32.75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PQkNgIAAGAEAAAOAAAAZHJzL2Uyb0RvYy54bWysVMGO2jAQvVfqP1i+lySQpN2IsKK7oqqE&#10;dleCas/GsUmkxOPahoR+fccOsGjbU9WLGc9M3vjNm2F+P3QtOQpjG1AlTSYxJUJxqBq1L+mP7erT&#10;F0qsY6piLShR0pOw9H7x8cO814WYQg1tJQxBEGWLXpe0dk4XUWR5LTpmJ6CFwqAE0zGHV7OPKsN6&#10;RO/aaBrHedSDqbQBLqxF7+MYpIuAL6Xg7llKKxxpS4pvc+E04dz5M1rMWbE3TNcNPz+D/cMrOtYo&#10;LHqFemSOkYNp/oDqGm7AgnQTDl0EUjZcBA7IJonfsdnUTIvABZtj9bVN9v/B8qfjiyFNVdLZLJtm&#10;cZpjlxTrUKqtGBz5CgNJUt+mXtsCszca892AfpT74rfo9OwHaTr/i7wIxhHqdG2yR+PoTJMsn+WU&#10;cAylWXyXZx4levtYG+u+CeiIN0pqUMPQWnZcWzemXlJ8LQWrpm2Djq0ifUnzWRaHD64RBG8V1vAU&#10;xqd6yw27ITC/0ttBdUJ2BsYxsZqvGnzDmln3wgzOBRLCWXfPeMgWsBacLUpqML/+5vf5KBdGKelx&#10;zkpqfx6YEZS03xUKeZekqR/McEmzz1O8mNvI7jaiDt0D4CgnuFWaB9Pnu/ZiSgPdK67E0lfFEFMc&#10;a5fUXcwHN04/rhQXy2VIwlHUzK3VRnMP7bvqO7wdXpnRZxkc6vcEl4lkxTs1xtxRj+XBgWyCVL7P&#10;Y1fP7ccxDmKfV87vye09ZL39MSx+AwAA//8DAFBLAwQUAAYACAAAACEA5HlI/eEAAAAKAQAADwAA&#10;AGRycy9kb3ducmV2LnhtbEyPTUvDQBCG74L/YZmCN7vbhJoSsyklUATRQ2sv3ibZbRK6HzG7baO/&#10;3ulJbzPMwzvPW6wna9hFj6H3TsJiLoBp13jVu1bC4WP7uAIWIjqFxjst4VsHWJf3dwXmyl/dTl/2&#10;sWUU4kKOEroYh5zz0HTaYpj7QTu6Hf1oMdI6tlyNeKVwa3gixBO32Dv60OGgq043p/3ZSnittu+4&#10;qxO7+jHVy9txM3wdPpdSPsymzTOwqKf4B8NNn9ShJKfan50KzEhIFyIl9DZkwAhIsyV1qYkUSQa8&#10;LPj/CuUvAAAA//8DAFBLAQItABQABgAIAAAAIQC2gziS/gAAAOEBAAATAAAAAAAAAAAAAAAAAAAA&#10;AABbQ29udGVudF9UeXBlc10ueG1sUEsBAi0AFAAGAAgAAAAhADj9If/WAAAAlAEAAAsAAAAAAAAA&#10;AAAAAAAALwEAAF9yZWxzLy5yZWxzUEsBAi0AFAAGAAgAAAAhAHk89CQ2AgAAYAQAAA4AAAAAAAAA&#10;AAAAAAAALgIAAGRycy9lMm9Eb2MueG1sUEsBAi0AFAAGAAgAAAAhAOR5SP3hAAAACgEAAA8AAAAA&#10;AAAAAAAAAAAAkAQAAGRycy9kb3ducmV2LnhtbFBLBQYAAAAABAAEAPMAAACeBQAAAAA=&#10;" filled="f" stroked="f" strokeweight=".5pt">
                <v:textbox>
                  <w:txbxContent>
                    <w:p w14:paraId="5610A4F3"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P</w:t>
                      </w:r>
                    </w:p>
                  </w:txbxContent>
                </v:textbox>
              </v:shape>
            </w:pict>
          </mc:Fallback>
        </mc:AlternateContent>
      </w:r>
      <w:r w:rsidRPr="0009543A">
        <w:rPr>
          <w:noProof/>
          <w:color w:val="000000" w:themeColor="text1"/>
          <w14:ligatures w14:val="standardContextual"/>
        </w:rPr>
        <mc:AlternateContent>
          <mc:Choice Requires="wps">
            <w:drawing>
              <wp:anchor distT="0" distB="0" distL="114300" distR="114300" simplePos="0" relativeHeight="251668480" behindDoc="0" locked="0" layoutInCell="1" allowOverlap="1" wp14:anchorId="668192A7" wp14:editId="13E3FCC1">
                <wp:simplePos x="0" y="0"/>
                <wp:positionH relativeFrom="column">
                  <wp:posOffset>1567436</wp:posOffset>
                </wp:positionH>
                <wp:positionV relativeFrom="paragraph">
                  <wp:posOffset>379870</wp:posOffset>
                </wp:positionV>
                <wp:extent cx="356260" cy="653143"/>
                <wp:effectExtent l="0" t="0" r="0" b="0"/>
                <wp:wrapNone/>
                <wp:docPr id="1718791246" name="Text Box 13"/>
                <wp:cNvGraphicFramePr/>
                <a:graphic xmlns:a="http://schemas.openxmlformats.org/drawingml/2006/main">
                  <a:graphicData uri="http://schemas.microsoft.com/office/word/2010/wordprocessingShape">
                    <wps:wsp>
                      <wps:cNvSpPr txBox="1"/>
                      <wps:spPr>
                        <a:xfrm>
                          <a:off x="0" y="0"/>
                          <a:ext cx="356260" cy="653143"/>
                        </a:xfrm>
                        <a:prstGeom prst="rect">
                          <a:avLst/>
                        </a:prstGeom>
                        <a:noFill/>
                        <a:ln w="6350">
                          <a:noFill/>
                        </a:ln>
                      </wps:spPr>
                      <wps:txbx>
                        <w:txbxContent>
                          <w:p w14:paraId="5794F3D7"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8192A7" id="Text Box 13" o:spid="_x0000_s1031" type="#_x0000_t202" style="position:absolute;left:0;text-align:left;margin-left:123.4pt;margin-top:29.9pt;width:28.05pt;height:51.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GNNwIAAGEEAAAOAAAAZHJzL2Uyb0RvYy54bWysVF1v2jAUfZ+0/2D5fYTw1RYRKtaKaVLV&#10;VoKpz8ZxIFLi69mGhP36HTtAUbenaS/O9f3yvefcm9l9W1fsoKwrSWc87fU5U1pSXuptxn+sl19u&#10;OXNe6FxUpFXGj8rx+/nnT7PGTNWAdlTlyjIk0W7amIzvvDfTJHFyp2rhemSUhrEgWwuPq90muRUN&#10;stdVMuj3J0lDNjeWpHIO2sfOyOcxf1Eo6V+KwinPqoyjNh9PG89NOJP5TEy3VphdKU9liH+oohal&#10;xqOXVI/CC7a35R+p6lJaclT4nqQ6oaIopYo9oJu0/6Gb1U4YFXsBOM5cYHL/L618PrxaVubg7ia9&#10;vblLB6MJZ1rU4GqtWs++UsvSYcCpMW4K95VBgG+hR8xZ76AM7beFrcMXjTHYgfjxgnLIJqEcjieD&#10;CSwSpsl4mI5i9uQ92FjnvymqWRAybkFixFYcnpxHIXA9u4S3NC3LqopEVpo1SDoc92PAxYKISiMw&#10;tNCVGiTfbtrY+vjcxobyI7qz1M2JM3JZooYn4fyrsBgMlI1h9y84iorwFp0kznZkf/1NH/zBF6yc&#10;NRi0jLufe2EVZ9V3DSbv0tEoTGa8jMY3A1zstWVzbdH7+oEwyynWysgoBn9fncXCUv2GnViEV2ES&#10;WuLtjPuz+OC78cdOSbVYRCfMohH+Sa+MDKkDqgHhdfsmrDnR4MHfM51HUkw/sNH5dnws9p6KMlIV&#10;cO5QPcGPOY4MnnYuLMr1PXq9/xnmvwEAAP//AwBQSwMEFAAGAAgAAAAhAE+cgrzhAAAACgEAAA8A&#10;AABkcnMvZG93bnJldi54bWxMj8FOwzAMhu9IvENkJG4sJbCylabTVGlCQnDY2IWb23htRZOUJtsK&#10;T485wcmy/On39+eryfbiRGPovNNwO0tAkKu96VyjYf+2uVmACBGdwd470vBFAVbF5UWOmfFnt6XT&#10;LjaCQ1zIUEMb45BJGeqWLIaZH8jx7eBHi5HXsZFmxDOH216qJEmlxc7xhxYHKluqP3ZHq+G53Lzi&#10;tlJ28d2XTy+H9fC5f59rfX01rR9BRJriHwy/+qwOBTtV/uhMEL0GdZ+yetQwX/Jk4C5RSxAVk6l6&#10;AFnk8n+F4gcAAP//AwBQSwECLQAUAAYACAAAACEAtoM4kv4AAADhAQAAEwAAAAAAAAAAAAAAAAAA&#10;AAAAW0NvbnRlbnRfVHlwZXNdLnhtbFBLAQItABQABgAIAAAAIQA4/SH/1gAAAJQBAAALAAAAAAAA&#10;AAAAAAAAAC8BAABfcmVscy8ucmVsc1BLAQItABQABgAIAAAAIQBbk+GNNwIAAGEEAAAOAAAAAAAA&#10;AAAAAAAAAC4CAABkcnMvZTJvRG9jLnhtbFBLAQItABQABgAIAAAAIQBPnIK84QAAAAoBAAAPAAAA&#10;AAAAAAAAAAAAAJEEAABkcnMvZG93bnJldi54bWxQSwUGAAAAAAQABADzAAAAnwUAAAAA&#10;" filled="f" stroked="f" strokeweight=".5pt">
                <v:textbox>
                  <w:txbxContent>
                    <w:p w14:paraId="5794F3D7"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K</w:t>
                      </w:r>
                    </w:p>
                  </w:txbxContent>
                </v:textbox>
              </v:shape>
            </w:pict>
          </mc:Fallback>
        </mc:AlternateContent>
      </w:r>
      <w:r w:rsidRPr="0009543A">
        <w:rPr>
          <w:noProof/>
          <w:color w:val="000000" w:themeColor="text1"/>
        </w:rPr>
        <mc:AlternateContent>
          <mc:Choice Requires="wps">
            <w:drawing>
              <wp:anchor distT="0" distB="0" distL="114300" distR="114300" simplePos="0" relativeHeight="251675648" behindDoc="0" locked="0" layoutInCell="1" allowOverlap="1" wp14:anchorId="2C643F72" wp14:editId="1CE2CF42">
                <wp:simplePos x="0" y="0"/>
                <wp:positionH relativeFrom="column">
                  <wp:posOffset>3479165</wp:posOffset>
                </wp:positionH>
                <wp:positionV relativeFrom="paragraph">
                  <wp:posOffset>734003</wp:posOffset>
                </wp:positionV>
                <wp:extent cx="20990" cy="662296"/>
                <wp:effectExtent l="114300" t="0" r="93345" b="62230"/>
                <wp:wrapNone/>
                <wp:docPr id="96686672" name="Straight Arrow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90" cy="662296"/>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A49A1B" id="Straight Arrow Connector 33" o:spid="_x0000_s1026" type="#_x0000_t32" style="position:absolute;margin-left:273.95pt;margin-top:57.8pt;width:1.65pt;height:52.1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lE1dgIAAFUFAAAOAAAAZHJzL2Uyb0RvYy54bWysVF1v2yAUfZ+0/4B4T+04qeNEdaombbeH&#10;bovW7QdQDAkaBgQ0TjTtv+8CjrusL9u0B2O+zr3nHC5cXR9aifbMOqFVjccXOUZMUd0Ita3x1y/3&#10;owoj54lqiNSK1fjIHL5evn1z1ZkFK/ROy4ZZBEGUW3SmxjvvzSLLHN2xlrgLbZiCRa5tSzwM7TZr&#10;LOkgeiuzIs/LrNO2MVZT5hzM3qZFvIzxOWfUf+LcMY9kjYGbj62N7VNos+UVWWwtMTtBexrkH1i0&#10;RChIOoS6JZ6gZytehWoFtdpp7i+objPNuaAsagA14/w3NY87YljUAuY4M9jk/l9Y+nG/sUg0NZ6X&#10;ZVWWswIjRVo4qUdvidjuPLqxVndorZUCN7VFk0lUyg7+wfmgGXpJ6/f1uJrczu7L0Wo6r0bTyWoy&#10;mk+r1Wg8K6rVZXFzU95NfwR0w+gCPm2JF3t2Mh5m/kxZXwPBs1n2EgejPYFzHodTzSKv0z8yzTrj&#10;FlFwKI/YXauNDRLoQT2aB02/uQA9WwwDZ9K2A7ct4lKY9yFLAMIJokMsp+NQTsEPCpNFPp9DzVFY&#10;KcuimJc9rxAlYI11/h3TLQqdGrve8MHplIHsgXwSdAIEsFSoq/FlXuV5JOK0FM29kDIsxuvD1tIm&#10;QwilTPkUTj63H3ST5meXOaBT7AESLTuL5omQd6pB/migLrwVRG0l63FS9YYlj6Jb/ihZ4viZcSgu&#10;8CIlH5Kc80oMpILdAcZBxQDs1YX34LWgBOz3ByiLV/5vwAMiZtbKD+BWKG2Tt+fZ/eFUYTztPzmQ&#10;dAcLnnRz3NhAL4zg7kZX+3cmPA6/juOul9dw+RMAAP//AwBQSwMEFAAGAAgAAAAhAPprV6PiAAAA&#10;CwEAAA8AAABkcnMvZG93bnJldi54bWxMj8FOwzAQRO9I/IO1SNyo44gUEuJUgASXHhClrdSbG5sk&#10;JV4H223Tfj3LCY6rGb15W85G27OD8aFzKEFMEmAGa6c7bCQsP15u7oGFqFCr3qGRcDIBZtXlRakK&#10;7Y74bg6L2DCCYCiUhDbGoeA81K2xKkzcYJCyT+etinT6hmuvjgS3PU+TZMqt6pAWWjWY59bUX4u9&#10;lZC+rdfLzevprJ7mw273jcKf5yspr6/Gxwdg0Yzxrwy/+qQOFTlt3R51YL2E7PYupyoFIpsCo0aW&#10;iRTYlvAiz4FXJf//Q/UDAAD//wMAUEsBAi0AFAAGAAgAAAAhALaDOJL+AAAA4QEAABMAAAAAAAAA&#10;AAAAAAAAAAAAAFtDb250ZW50X1R5cGVzXS54bWxQSwECLQAUAAYACAAAACEAOP0h/9YAAACUAQAA&#10;CwAAAAAAAAAAAAAAAAAvAQAAX3JlbHMvLnJlbHNQSwECLQAUAAYACAAAACEAO45RNXYCAABVBQAA&#10;DgAAAAAAAAAAAAAAAAAuAgAAZHJzL2Uyb0RvYy54bWxQSwECLQAUAAYACAAAACEA+mtXo+IAAAAL&#10;AQAADwAAAAAAAAAAAAAAAADQBAAAZHJzL2Rvd25yZXYueG1sUEsFBgAAAAAEAAQA8wAAAN8FAAAA&#10;AA==&#10;" strokecolor="#365f91 [2404]" strokeweight="4pt">
                <v:stroke endarrow="block"/>
                <o:lock v:ext="edit" shapetype="f"/>
              </v:shape>
            </w:pict>
          </mc:Fallback>
        </mc:AlternateContent>
      </w:r>
      <w:r w:rsidRPr="0009543A">
        <w:rPr>
          <w:noProof/>
          <w:color w:val="000000" w:themeColor="text1"/>
        </w:rPr>
        <mc:AlternateContent>
          <mc:Choice Requires="wps">
            <w:drawing>
              <wp:anchor distT="0" distB="0" distL="114300" distR="114300" simplePos="0" relativeHeight="251671552" behindDoc="0" locked="0" layoutInCell="1" allowOverlap="1" wp14:anchorId="4435DE75" wp14:editId="61A41348">
                <wp:simplePos x="0" y="0"/>
                <wp:positionH relativeFrom="column">
                  <wp:posOffset>2083105</wp:posOffset>
                </wp:positionH>
                <wp:positionV relativeFrom="paragraph">
                  <wp:posOffset>591218</wp:posOffset>
                </wp:positionV>
                <wp:extent cx="20990" cy="662296"/>
                <wp:effectExtent l="114300" t="0" r="93345" b="62230"/>
                <wp:wrapNone/>
                <wp:docPr id="1752139650" name="Straight Arrow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90" cy="662296"/>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F29106" id="Straight Arrow Connector 33" o:spid="_x0000_s1026" type="#_x0000_t32" style="position:absolute;margin-left:164pt;margin-top:46.55pt;width:1.65pt;height:52.1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o1XdwIAAFcFAAAOAAAAZHJzL2Uyb0RvYy54bWysVMuO2yAU3VfqPyDvEztO4jwUZ5THTLuY&#10;tlHTfgCDIUHFgICJE1X9917A8TSdTVt1Yczr3HvO4cLi7lwLdKLGciXLZNDPEkQlURWXhzL5+uWh&#10;N02QdVhWWChJy+RCbXK3fPtm0eg5zdVRiYoaBEGknTe6TI7O6XmaWnKkNbZ9pamERaZMjR0MzSGt&#10;DG4gei3SPMuKtFGm0kYRai3MbuNisgzxGaPEfWLMUodEmQA3F1oT2iffpssFnh8M1kdOWhr4H1jU&#10;mEtI2oXaYofRs+GvQtWcGGUVc32i6lQxxgkNGkDNIPtNzf6INQ1awByrO5vs/wtLPp52BvEKzm4y&#10;zgfDWTEGmySu4az2zmB+ODq0MkY1aKOkBD+VQcNh0ErP7tE6rxp6Ue33zWA63E4eit56NJv2RsP1&#10;sDcbTde9wSSfrsf5alXcj354dEXJHD5lsOMnerUeZv5MW1sF3rVJ+hInQScMJz3w55oGXtd/YJo2&#10;2s6DZF8gobuRO+MlkLPc60dFvlkPvVn0A6vjtjMzNWKC6/c+iwfCGaJzKKhLV1DeDwKTeTabgZ0E&#10;Vooiz2dFy8tH8VhtrHtHVY18p0xsa3jndMyAT0A+CroCPFhI1JTJOJtmWSBileDVAxfCL4YLRDfC&#10;REMwIVS6GE481x9UFecn4wzQMXYHCZbdRHOYi3tZIXfRUBfOcCwPgrY4IVvDokfBLXcRNHL8TBmU&#10;F3gRk3dJbnlFBkLCbg9joKIDtur8i/BaUAS2+z2Uhkv/N+AOETIr6TpwzaUy0dvb7O58rTAW918d&#10;iLq9BU+quuyMp+dHcHuDq+1L45+HX8dh18t7uPwJAAD//wMAUEsDBBQABgAIAAAAIQAzCi3P4gAA&#10;AAoBAAAPAAAAZHJzL2Rvd25yZXYueG1sTI/BTsMwEETvSPyDtUjcqJMYQRviVIAElx4QpVTitk2W&#10;JCVeB9tt03495gTH1T7NvCnmo+nFnpzvLGtIJwkI4srWHTcaVm9PV1MQPiDX2FsmDUfyMC/PzwrM&#10;a3vgV9ovQyNiCPscNbQhDLmUvmrJoJ/YgTj+Pq0zGOLpGlk7PMRw08ssSW6kwY5jQ4sDPbZUfS13&#10;RkP2sl6vPp6PJ3xYDNvtN6futHjX+vJivL8DEWgMfzD86kd1KKPTxu649qLXoLJp3BI0zFQKIgJK&#10;pQrEJpKz22uQZSH/Tyh/AAAA//8DAFBLAQItABQABgAIAAAAIQC2gziS/gAAAOEBAAATAAAAAAAA&#10;AAAAAAAAAAAAAABbQ29udGVudF9UeXBlc10ueG1sUEsBAi0AFAAGAAgAAAAhADj9If/WAAAAlAEA&#10;AAsAAAAAAAAAAAAAAAAALwEAAF9yZWxzLy5yZWxzUEsBAi0AFAAGAAgAAAAhAE7ejVd3AgAAVwUA&#10;AA4AAAAAAAAAAAAAAAAALgIAAGRycy9lMm9Eb2MueG1sUEsBAi0AFAAGAAgAAAAhADMKLc/iAAAA&#10;CgEAAA8AAAAAAAAAAAAAAAAA0QQAAGRycy9kb3ducmV2LnhtbFBLBQYAAAAABAAEAPMAAADgBQAA&#10;AAA=&#10;" strokecolor="#365f91 [2404]" strokeweight="4pt">
                <v:stroke endarrow="block"/>
                <o:lock v:ext="edit" shapetype="f"/>
              </v:shape>
            </w:pict>
          </mc:Fallback>
        </mc:AlternateContent>
      </w:r>
      <w:r w:rsidRPr="0009543A">
        <w:rPr>
          <w:noProof/>
          <w:color w:val="000000" w:themeColor="text1"/>
        </w:rPr>
        <mc:AlternateContent>
          <mc:Choice Requires="wps">
            <w:drawing>
              <wp:anchor distT="0" distB="0" distL="114300" distR="114300" simplePos="0" relativeHeight="251666432" behindDoc="0" locked="0" layoutInCell="1" allowOverlap="1" wp14:anchorId="6E8496C2" wp14:editId="6F987600">
                <wp:simplePos x="0" y="0"/>
                <wp:positionH relativeFrom="column">
                  <wp:posOffset>1733270</wp:posOffset>
                </wp:positionH>
                <wp:positionV relativeFrom="paragraph">
                  <wp:posOffset>783203</wp:posOffset>
                </wp:positionV>
                <wp:extent cx="20990" cy="662296"/>
                <wp:effectExtent l="114300" t="0" r="93345" b="62230"/>
                <wp:wrapNone/>
                <wp:docPr id="153730846" name="Straight Arrow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90" cy="662296"/>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102C48" id="Straight Arrow Connector 33" o:spid="_x0000_s1026" type="#_x0000_t32" style="position:absolute;margin-left:136.5pt;margin-top:61.65pt;width:1.65pt;height:52.1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J1eAIAAFYFAAAOAAAAZHJzL2Uyb0RvYy54bWysVF1v2yAUfZ+0/4B4T+3YieNEcaokbbeH&#10;bqvW7QdQjBM0DAhonGjaf98FHHdZX7ZpD8Z8nXvPOVxYXh9bgQ7MWK5khcdXKUZMUlVzuavw1y93&#10;oxIj64isiVCSVfjELL5evX2z7PSCZWqvRM0MgiDSLjpd4b1zepEklu5ZS+yV0kzCYqNMSxwMzS6p&#10;DekgeiuSLE2LpFOm1kZRZi3M3sRFvArxm4ZR96lpLHNIVBi4udCa0D75NlktyWJniN5z2tMg/8Ci&#10;JVxC0iHUDXEEPRv+KlTLqVFWNe6KqjZRTcMpCxpAzTj9Tc3jnmgWtIA5Vg822f8Xln48PBjEazi7&#10;aT7L03JSYCRJC0f16Azhu71Da2NUh7ZKSrBTGZTnQSo7unvrvGjoRbHft+Myv5ndFaPNZF6OJvkm&#10;H80n5WY0nmXlZpqt18Xt5IdH14wu4FOGOH5gZ+dh5s+k9UXgTZslL3EwOhA46LE/1iTwOv8D06TT&#10;dhEU+/oI3a18MF4CPcpHfa/oN+uhF4t+YHXcdmxMixrB9XufxQPhCNEx1NNpqCfvB4XJLJ3Poego&#10;rBRFls2LnpeP4rHaWPeOqRb5ToVtb/jgdMxADkA+CjoDPFhI1FV4mpZpGohYJXh9x4Xwi+H+sK0w&#10;0RBCKZMuhhPP7QdVx/nZNAV0jD1AgmUX0Rzh4lbWyJ001IUznMidYD1OyN6w6FFwy50Eixw/swaq&#10;C7yIyYckl7wiAyFht4c1oGIA9ur8g/BaUAT2+z2UhTv/N+ABETIr6QZwy6Uy0dvL7O54rrAm7j87&#10;EHV7C55UfXownp4fweUNrvYPjX8dfh2HXS/P4eonAAAA//8DAFBLAwQUAAYACAAAACEAYVUpkuAA&#10;AAALAQAADwAAAGRycy9kb3ducmV2LnhtbEyPwU7DMBBE70j8g7VI3KjTRGpRiFMBElx6QJRSids2&#10;XpKUeB1it0379SwnuM1qRrNvisXoOnWgIbSeDUwnCSjiytuWawPrt6ebW1AhIlvsPJOBEwVYlJcX&#10;BebWH/mVDqtYKynhkKOBJsY+1zpUDTkME98Ti/fpB4dRzqHWdsCjlLtOp0ky0w5blg8N9vTYUPW1&#10;2jsD6ctms/54Pp3xYdnvdt88Hc7Ld2Our8b7O1CRxvgXhl98QYdSmLZ+zzaoTjrmmWyJYqRZBkoS&#10;6XwmYitCFOiy0P83lD8AAAD//wMAUEsBAi0AFAAGAAgAAAAhALaDOJL+AAAA4QEAABMAAAAAAAAA&#10;AAAAAAAAAAAAAFtDb250ZW50X1R5cGVzXS54bWxQSwECLQAUAAYACAAAACEAOP0h/9YAAACUAQAA&#10;CwAAAAAAAAAAAAAAAAAvAQAAX3JlbHMvLnJlbHNQSwECLQAUAAYACAAAACEAypmidXgCAABWBQAA&#10;DgAAAAAAAAAAAAAAAAAuAgAAZHJzL2Uyb0RvYy54bWxQSwECLQAUAAYACAAAACEAYVUpkuAAAAAL&#10;AQAADwAAAAAAAAAAAAAAAADSBAAAZHJzL2Rvd25yZXYueG1sUEsFBgAAAAAEAAQA8wAAAN8FAAAA&#10;AA==&#10;" strokecolor="#365f91 [2404]" strokeweight="4pt">
                <v:stroke endarrow="block"/>
                <o:lock v:ext="edit" shapetype="f"/>
              </v:shape>
            </w:pict>
          </mc:Fallback>
        </mc:AlternateContent>
      </w:r>
      <w:r w:rsidRPr="0009543A">
        <w:rPr>
          <w:rFonts w:ascii="Times New Roman" w:hAnsi="Times New Roman" w:cs="Times New Roman"/>
          <w:noProof/>
          <w:color w:val="000000" w:themeColor="text1"/>
          <w:sz w:val="24"/>
          <w:szCs w:val="24"/>
        </w:rPr>
        <w:drawing>
          <wp:inline distT="0" distB="0" distL="0" distR="0" wp14:anchorId="46F3E2FF" wp14:editId="15583A5D">
            <wp:extent cx="4283612" cy="2595489"/>
            <wp:effectExtent l="0" t="0" r="3175" b="0"/>
            <wp:docPr id="10716120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8686" cy="2622800"/>
                    </a:xfrm>
                    <a:prstGeom prst="rect">
                      <a:avLst/>
                    </a:prstGeom>
                    <a:noFill/>
                    <a:ln>
                      <a:noFill/>
                    </a:ln>
                  </pic:spPr>
                </pic:pic>
              </a:graphicData>
            </a:graphic>
          </wp:inline>
        </w:drawing>
      </w:r>
    </w:p>
    <w:p w14:paraId="2A93F323" w14:textId="77777777" w:rsidR="00C37BD3" w:rsidRPr="0009543A" w:rsidRDefault="00C37BD3" w:rsidP="00C37BD3">
      <w:pPr>
        <w:spacing w:after="0"/>
        <w:jc w:val="center"/>
        <w:rPr>
          <w:rFonts w:ascii="Times New Roman" w:hAnsi="Times New Roman" w:cs="Times New Roman"/>
          <w:color w:val="000000" w:themeColor="text1"/>
          <w:sz w:val="24"/>
          <w:szCs w:val="24"/>
        </w:rPr>
      </w:pPr>
    </w:p>
    <w:p w14:paraId="08E35E95" w14:textId="37CF9BF9" w:rsidR="00C37BD3" w:rsidRPr="00765DAB" w:rsidRDefault="00C37BD3" w:rsidP="00C37BD3">
      <w:pPr>
        <w:spacing w:line="240" w:lineRule="auto"/>
        <w:jc w:val="both"/>
        <w:rPr>
          <w:rFonts w:ascii="Arial" w:hAnsi="Arial" w:cs="Arial"/>
          <w:color w:val="000000" w:themeColor="text1"/>
          <w:sz w:val="20"/>
          <w:szCs w:val="20"/>
        </w:rPr>
      </w:pPr>
      <w:r w:rsidRPr="00765DAB">
        <w:rPr>
          <w:rFonts w:ascii="Arial" w:hAnsi="Arial" w:cs="Arial"/>
          <w:b/>
          <w:bCs/>
          <w:color w:val="000000" w:themeColor="text1"/>
          <w:sz w:val="20"/>
          <w:szCs w:val="20"/>
        </w:rPr>
        <w:t xml:space="preserve">Plate </w:t>
      </w:r>
      <w:r w:rsidR="00014030">
        <w:rPr>
          <w:rFonts w:ascii="Arial" w:hAnsi="Arial" w:cs="Arial"/>
          <w:b/>
          <w:bCs/>
          <w:color w:val="000000" w:themeColor="text1"/>
          <w:sz w:val="20"/>
          <w:szCs w:val="20"/>
        </w:rPr>
        <w:t>4</w:t>
      </w:r>
      <w:r w:rsidRPr="00765DAB">
        <w:rPr>
          <w:rFonts w:ascii="Arial" w:hAnsi="Arial" w:cs="Arial"/>
          <w:b/>
          <w:bCs/>
          <w:color w:val="000000" w:themeColor="text1"/>
          <w:sz w:val="20"/>
          <w:szCs w:val="20"/>
        </w:rPr>
        <w:t>:</w:t>
      </w:r>
      <w:r w:rsidRPr="00765DAB">
        <w:rPr>
          <w:rFonts w:ascii="Arial" w:hAnsi="Arial" w:cs="Arial"/>
          <w:color w:val="000000" w:themeColor="text1"/>
          <w:sz w:val="20"/>
          <w:szCs w:val="20"/>
        </w:rPr>
        <w:t xml:space="preserve"> A section of the substantia </w:t>
      </w:r>
      <w:proofErr w:type="spellStart"/>
      <w:r w:rsidRPr="00765DAB">
        <w:rPr>
          <w:rFonts w:ascii="Arial" w:hAnsi="Arial" w:cs="Arial"/>
          <w:color w:val="000000" w:themeColor="text1"/>
          <w:sz w:val="20"/>
          <w:szCs w:val="20"/>
        </w:rPr>
        <w:t>nigra</w:t>
      </w:r>
      <w:proofErr w:type="spellEnd"/>
      <w:r w:rsidRPr="00765DAB">
        <w:rPr>
          <w:rFonts w:ascii="Arial" w:hAnsi="Arial" w:cs="Arial"/>
          <w:color w:val="000000" w:themeColor="text1"/>
          <w:sz w:val="20"/>
          <w:szCs w:val="20"/>
        </w:rPr>
        <w:t xml:space="preserve"> pars compacta treated with reserpine + CBD (30 mg/kg) showing relative histoarchitectural distortion: Pyknosis (P); Karyorrhexis (K); Vacuolation (V) (H and E x400).</w:t>
      </w:r>
    </w:p>
    <w:p w14:paraId="15B03DF1" w14:textId="77777777" w:rsidR="00C37BD3" w:rsidRPr="0009543A" w:rsidRDefault="00C37BD3" w:rsidP="00C37BD3">
      <w:pPr>
        <w:spacing w:after="0"/>
        <w:jc w:val="center"/>
        <w:rPr>
          <w:color w:val="000000" w:themeColor="text1"/>
        </w:rPr>
      </w:pPr>
      <w:r w:rsidRPr="0009543A">
        <w:rPr>
          <w:noProof/>
          <w:color w:val="000000" w:themeColor="text1"/>
        </w:rPr>
        <mc:AlternateContent>
          <mc:Choice Requires="wps">
            <w:drawing>
              <wp:anchor distT="0" distB="0" distL="114300" distR="114300" simplePos="0" relativeHeight="251677696" behindDoc="0" locked="0" layoutInCell="1" allowOverlap="1" wp14:anchorId="74C3C092" wp14:editId="14BFA97D">
                <wp:simplePos x="0" y="0"/>
                <wp:positionH relativeFrom="column">
                  <wp:posOffset>1477010</wp:posOffset>
                </wp:positionH>
                <wp:positionV relativeFrom="paragraph">
                  <wp:posOffset>2044065</wp:posOffset>
                </wp:positionV>
                <wp:extent cx="20955" cy="337185"/>
                <wp:effectExtent l="114300" t="0" r="93345" b="62865"/>
                <wp:wrapNone/>
                <wp:docPr id="1902898960" name="Straight Arrow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55" cy="337185"/>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75BEDBF" id="Straight Arrow Connector 33" o:spid="_x0000_s1026" type="#_x0000_t32" style="position:absolute;margin-left:116.3pt;margin-top:160.95pt;width:1.65pt;height:26.55pt;flip:x;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KmeAIAAFcFAAAOAAAAZHJzL2Uyb0RvYy54bWysVF1v2yAUfZ+0/4B4T+3E+XCiOFWStttD&#10;t1Xr9gMohgQNAwIaJ5r233cBx13Wl23agzFf595zDheW18dGogOzTmhV4eFVjhFTVNdC7Sr89cvd&#10;oMTIeaJqIrViFT4xh69Xb98sW7NgI73XsmYWQRDlFq2p8N57s8gyR/esIe5KG6ZgkWvbEA9Du8tq&#10;S1qI3shslOfTrNW2NlZT5hzM3qRFvIrxOWfUf+LcMY9khYGbj62N7VNos9WSLHaWmL2gHQ3yDywa&#10;IhQk7UPdEE/QsxWvQjWCWu0091dUN5nmXFAWNYCaYf6bmsc9MSxqAXOc6W1y/y8s/Xh4sEjUcHbz&#10;fFTOy/kUbFKkgbN69JaI3d6jtbW6RVutFPipLSqKqJUd/b3zQTX0ktrv22FZ3MzupoPNeF4OxsWm&#10;GMzH5WYwnI3KzWS0Xk9vxz8CumZ0AZ+2xIsDO1sPM3+mrauC4Nose4mD0YHASQ/DuWaR1/kfmWat&#10;cYsoORRI7G7Vgw0S6FE9mntNv7kAvVgMA2fStiO3DeJSmPchSwDCGaJjLKhTX1DBDwqTo3w+mWBE&#10;YaUoZsNy0vEKUQLWWOffMd2g0Kmw6wzvnU4ZyAHIJ0FnQABLhdoKT/IyzyMRp6Wo74SUYTFeILaV&#10;NhlCKGXKp3Dyufmg6zQ/m+SATrF7SLTsIponQt6qGvmTgbrwVhC1k6zDSdUZljyKbvmTZInjZ8ah&#10;vMCLlLxPcskrMZAKdgcYBxU9sFMXXoTXghKw2x+gLF76vwH3iJhZK9+DG6G0Td5eZvfHc4XxtP/s&#10;QNIdLHjS9enBBnphBLc3utq9NOF5+HUcd728h6ufAAAA//8DAFBLAwQUAAYACAAAACEA8IOqAuIA&#10;AAALAQAADwAAAGRycy9kb3ducmV2LnhtbEyPTU/DMAyG70j8h8hI3FjaVBtQmk6ABJcdEGNM4uY1&#10;oe1onNJkW7dfjznBzR+PXj8u5qPrxN4OofWkIZ0kICxV3rRUa1i9PV3dgAgRyWDnyWo42gDz8vys&#10;wNz4A73a/TLWgkMo5KihibHPpQxVYx2Gie8t8e7TDw4jt0MtzYAHDnedVEkykw5b4gsN9vaxsdXX&#10;cuc0qJf1evXxfDzhw6Lfbr8pHU6Ld60vL8b7OxDRjvEPhl99VoeSnTZ+RyaIjjMyNWNUQ6bSWxBM&#10;qGzKxYYn19MEZFnI/z+UPwAAAP//AwBQSwECLQAUAAYACAAAACEAtoM4kv4AAADhAQAAEwAAAAAA&#10;AAAAAAAAAAAAAAAAW0NvbnRlbnRfVHlwZXNdLnhtbFBLAQItABQABgAIAAAAIQA4/SH/1gAAAJQB&#10;AAALAAAAAAAAAAAAAAAAAC8BAABfcmVscy8ucmVsc1BLAQItABQABgAIAAAAIQDbzaKmeAIAAFcF&#10;AAAOAAAAAAAAAAAAAAAAAC4CAABkcnMvZTJvRG9jLnhtbFBLAQItABQABgAIAAAAIQDwg6oC4gAA&#10;AAsBAAAPAAAAAAAAAAAAAAAAANIEAABkcnMvZG93bnJldi54bWxQSwUGAAAAAAQABADzAAAA4QUA&#10;AAAA&#10;" strokecolor="#365f91 [2404]" strokeweight="4pt">
                <v:stroke endarrow="block"/>
                <o:lock v:ext="edit" shapetype="f"/>
              </v:shape>
            </w:pict>
          </mc:Fallback>
        </mc:AlternateContent>
      </w:r>
      <w:r w:rsidRPr="0009543A">
        <w:rPr>
          <w:noProof/>
          <w:color w:val="000000" w:themeColor="text1"/>
          <w14:ligatures w14:val="standardContextual"/>
        </w:rPr>
        <mc:AlternateContent>
          <mc:Choice Requires="wps">
            <w:drawing>
              <wp:anchor distT="0" distB="0" distL="114300" distR="114300" simplePos="0" relativeHeight="251674624" behindDoc="0" locked="0" layoutInCell="1" allowOverlap="1" wp14:anchorId="17D5CB0C" wp14:editId="7FDB4C65">
                <wp:simplePos x="0" y="0"/>
                <wp:positionH relativeFrom="column">
                  <wp:posOffset>1306063</wp:posOffset>
                </wp:positionH>
                <wp:positionV relativeFrom="paragraph">
                  <wp:posOffset>1678948</wp:posOffset>
                </wp:positionV>
                <wp:extent cx="351806" cy="451114"/>
                <wp:effectExtent l="0" t="0" r="0" b="6350"/>
                <wp:wrapNone/>
                <wp:docPr id="1749952034" name="Text Box 19"/>
                <wp:cNvGraphicFramePr/>
                <a:graphic xmlns:a="http://schemas.openxmlformats.org/drawingml/2006/main">
                  <a:graphicData uri="http://schemas.microsoft.com/office/word/2010/wordprocessingShape">
                    <wps:wsp>
                      <wps:cNvSpPr txBox="1"/>
                      <wps:spPr>
                        <a:xfrm>
                          <a:off x="0" y="0"/>
                          <a:ext cx="351806" cy="451114"/>
                        </a:xfrm>
                        <a:prstGeom prst="rect">
                          <a:avLst/>
                        </a:prstGeom>
                        <a:noFill/>
                        <a:ln w="6350">
                          <a:noFill/>
                        </a:ln>
                      </wps:spPr>
                      <wps:txbx>
                        <w:txbxContent>
                          <w:p w14:paraId="085B58B9"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D5CB0C" id="Text Box 19" o:spid="_x0000_s1032" type="#_x0000_t202" style="position:absolute;left:0;text-align:left;margin-left:102.85pt;margin-top:132.2pt;width:27.7pt;height:3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SfsOAIAAGEEAAAOAAAAZHJzL2Uyb0RvYy54bWysVFFv2jAQfp+0/2D5fSSBQEtEqFgrpkmo&#10;rQRTn41jk0iJz7MNCfv1OzuEom5P016c8935zt/3nbN46JqanISxFaicJqOYEqE4FJU65PTHbv3l&#10;nhLrmCpYDUrk9CwsfVh+/rRodSbGUEJdCEOwiLJZq3NaOqezKLK8FA2zI9BCYVCCaZjDrTlEhWEt&#10;Vm/qaBzHs6gFU2gDXFiL3qc+SJehvpSCuxcprXCkzinezYXVhHXv12i5YNnBMF1W/HIN9g+3aFil&#10;sOm11BNzjBxN9UeppuIGLEg34tBEIGXFRcCAaJL4A5ptybQIWJAcq6802f9Xlj+fXg2pCtTuLp3P&#10;p+N4klKiWINa7UTnyFfoSDL3PLXaZpi+1XjAdejHM4PfotPD76Rp/BeBEYwj4+cry74aR+dkmtzH&#10;M0o4htJpkiSprxK9H9bGum8CGuKNnBoUMXDLThvr+tQhxfdSsK7qOghZK9LmdDaZxuHANYLFa4U9&#10;PIT+qt5y3b4L0GcDjD0UZ0RnoJ8Tq/m6wjtsmHWvzOBgICAcdveCi6wBe8HFoqQE8+tvfp+PemGU&#10;khYHLaf255EZQUn9XaGS8yRN/WSGTTq9G+PG3Eb2txF1bB4BZznBZ6V5MH2+qwdTGmje8E2sfFcM&#10;McWxd07dYD66fvzxTXGxWoUknEXN3EZtNfelPaue4V33xoy+yOBQv2cYRpJlH9Toc3s9VkcHsgpS&#10;eZ57Vi/04xwHsS9vzj+U233Iev8zLH8DAAD//wMAUEsDBBQABgAIAAAAIQC28Hev4wAAAAsBAAAP&#10;AAAAZHJzL2Rvd25yZXYueG1sTI/BTsMwDIbvSLxDZCRuLG3Xlqk0naZKExKCw8Yu3NLGaysSpzTZ&#10;Vnh6wmncbPnT7+8v17PR7IyTGywJiBcRMKTWqoE6AYf37cMKmPOSlNSWUMA3OlhXtzelLJS90A7P&#10;e9+xEEKukAJ678eCc9f2aKRb2BEp3I52MtKHdeq4muQlhBvNkyjKuZEDhQ+9HLHusf3cn4yAl3r7&#10;JndNYlY/un5+PW7Gr8NHJsT93bx5AuZx9lcY/vSDOlTBqbEnUo5pAUmUPQY0DHmaAgtEkscxsEbA&#10;cpmlwKuS/+9Q/QIAAP//AwBQSwECLQAUAAYACAAAACEAtoM4kv4AAADhAQAAEwAAAAAAAAAAAAAA&#10;AAAAAAAAW0NvbnRlbnRfVHlwZXNdLnhtbFBLAQItABQABgAIAAAAIQA4/SH/1gAAAJQBAAALAAAA&#10;AAAAAAAAAAAAAC8BAABfcmVscy8ucmVsc1BLAQItABQABgAIAAAAIQCz8SfsOAIAAGEEAAAOAAAA&#10;AAAAAAAAAAAAAC4CAABkcnMvZTJvRG9jLnhtbFBLAQItABQABgAIAAAAIQC28Hev4wAAAAsBAAAP&#10;AAAAAAAAAAAAAAAAAJIEAABkcnMvZG93bnJldi54bWxQSwUGAAAAAAQABADzAAAAogUAAAAA&#10;" filled="f" stroked="f" strokeweight=".5pt">
                <v:textbox>
                  <w:txbxContent>
                    <w:p w14:paraId="085B58B9"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V</w:t>
                      </w:r>
                    </w:p>
                  </w:txbxContent>
                </v:textbox>
              </v:shape>
            </w:pict>
          </mc:Fallback>
        </mc:AlternateContent>
      </w:r>
      <w:r w:rsidRPr="0009543A">
        <w:rPr>
          <w:noProof/>
          <w:color w:val="000000" w:themeColor="text1"/>
          <w14:ligatures w14:val="standardContextual"/>
        </w:rPr>
        <mc:AlternateContent>
          <mc:Choice Requires="wps">
            <w:drawing>
              <wp:anchor distT="0" distB="0" distL="114300" distR="114300" simplePos="0" relativeHeight="251672576" behindDoc="0" locked="0" layoutInCell="1" allowOverlap="1" wp14:anchorId="1B0EB202" wp14:editId="1DCFBF2F">
                <wp:simplePos x="0" y="0"/>
                <wp:positionH relativeFrom="column">
                  <wp:posOffset>2493010</wp:posOffset>
                </wp:positionH>
                <wp:positionV relativeFrom="paragraph">
                  <wp:posOffset>73470</wp:posOffset>
                </wp:positionV>
                <wp:extent cx="296635" cy="415175"/>
                <wp:effectExtent l="0" t="0" r="0" b="4445"/>
                <wp:wrapNone/>
                <wp:docPr id="69916943" name="Text Box 18"/>
                <wp:cNvGraphicFramePr/>
                <a:graphic xmlns:a="http://schemas.openxmlformats.org/drawingml/2006/main">
                  <a:graphicData uri="http://schemas.microsoft.com/office/word/2010/wordprocessingShape">
                    <wps:wsp>
                      <wps:cNvSpPr txBox="1"/>
                      <wps:spPr>
                        <a:xfrm>
                          <a:off x="0" y="0"/>
                          <a:ext cx="296635" cy="415175"/>
                        </a:xfrm>
                        <a:prstGeom prst="rect">
                          <a:avLst/>
                        </a:prstGeom>
                        <a:noFill/>
                        <a:ln w="6350">
                          <a:noFill/>
                        </a:ln>
                      </wps:spPr>
                      <wps:txbx>
                        <w:txbxContent>
                          <w:p w14:paraId="33676DFA"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0EB202" id="Text Box 18" o:spid="_x0000_s1033" type="#_x0000_t202" style="position:absolute;left:0;text-align:left;margin-left:196.3pt;margin-top:5.8pt;width:23.35pt;height:32.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2nNwIAAF8EAAAOAAAAZHJzL2Uyb0RvYy54bWysVE1v2zAMvQ/YfxB0Xxznq40Rp8haZBgQ&#10;tAWSoWdFlmIDlqhJSuzs14+S4zTodhp2USiSJvXeI7N4aFVNTsK6CnRO08GQEqE5FJU+5PTHbv3l&#10;nhLnmS5YDVrk9CwcfVh+/rRoTCZGUEJdCEuwiHZZY3Jaem+yJHG8FIq5ARihMSjBKubxag9JYVmD&#10;1VWdjIbDWdKALYwFLpxD71MXpMtYX0rB/YuUTnhS5xTf5uNp47kPZ7JcsOxgmSkrfnkG+4dXKFZp&#10;bHot9cQ8I0db/VFKVdyCA+kHHFQCUlZcRAyIJh1+QLMtmRERC5LjzJUm9//K8ufTqyVVkdPZfJ7O&#10;5pMxJZopVGonWk++QkvS+8BSY1yGyVuD6b5FP6rd+x06A/hWWhV+ERbBOPJ9vnIcqnF0juaz2XhK&#10;CcfQJJ2md9NQJXn/2FjnvwlQJBg5tShhZJadNs53qX1K6KVhXdV1lLHWpEEc4+kwfnCNYPFaY48A&#10;oXtqsHy7byPwux7GHoozorPQTYkzfF3hGzbM+VdmcSwQEI66f8FD1oC94GJRUoL99Td/yEe1MEpJ&#10;g2OWU/fzyKygpP6uUcd5OpmEuYyXyfRuhBd7G9nfRvRRPQJOcopLZXg0Q76ve1NaUG+4EavQFUNM&#10;c+ydU9+bj74bftwoLlarmISTaJjf6K3hoXRgNTC8a9+YNRcZPOr3DP1AsuyDGl1up8fq6EFWUarA&#10;c8fqhX6c4ij2ZePCmtzeY9b7/8LyNwAAAP//AwBQSwMEFAAGAAgAAAAhAAien9viAAAACQEAAA8A&#10;AABkcnMvZG93bnJldi54bWxMj01PwzAMhu9I/IfIk7ixdC3sozSdpkoTEoLDxi7c3CZrqzVOabKt&#10;8OsxJzhZ1vvo9eNsPdpOXMzgW0cKZtMIhKHK6ZZqBYf37f0ShA9IGjtHRsGX8bDOb28yTLW70s5c&#10;9qEWXEI+RQVNCH0qpa8aY9FPXW+Is6MbLAZeh1rqAa9cbjsZR9FcWmyJLzTYm6Ix1Wl/tgpeiu0b&#10;7srYLr+74vn1uOk/Dx+PSt1Nxs0TiGDG8AfDrz6rQ85OpTuT9qJTkKziOaMczHgy8JCsEhClgsUi&#10;Apln8v8H+Q8AAAD//wMAUEsBAi0AFAAGAAgAAAAhALaDOJL+AAAA4QEAABMAAAAAAAAAAAAAAAAA&#10;AAAAAFtDb250ZW50X1R5cGVzXS54bWxQSwECLQAUAAYACAAAACEAOP0h/9YAAACUAQAACwAAAAAA&#10;AAAAAAAAAAAvAQAAX3JlbHMvLnJlbHNQSwECLQAUAAYACAAAACEAda2NpzcCAABfBAAADgAAAAAA&#10;AAAAAAAAAAAuAgAAZHJzL2Uyb0RvYy54bWxQSwECLQAUAAYACAAAACEACJ6f2+IAAAAJAQAADwAA&#10;AAAAAAAAAAAAAACRBAAAZHJzL2Rvd25yZXYueG1sUEsFBgAAAAAEAAQA8wAAAKAFAAAAAA==&#10;" filled="f" stroked="f" strokeweight=".5pt">
                <v:textbox>
                  <w:txbxContent>
                    <w:p w14:paraId="33676DFA"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P</w:t>
                      </w:r>
                    </w:p>
                  </w:txbxContent>
                </v:textbox>
              </v:shape>
            </w:pict>
          </mc:Fallback>
        </mc:AlternateContent>
      </w:r>
      <w:r w:rsidRPr="0009543A">
        <w:rPr>
          <w:noProof/>
          <w:color w:val="000000" w:themeColor="text1"/>
        </w:rPr>
        <mc:AlternateContent>
          <mc:Choice Requires="wps">
            <w:drawing>
              <wp:anchor distT="0" distB="0" distL="114300" distR="114300" simplePos="0" relativeHeight="251676672" behindDoc="0" locked="0" layoutInCell="1" allowOverlap="1" wp14:anchorId="45E63A5A" wp14:editId="2C596517">
                <wp:simplePos x="0" y="0"/>
                <wp:positionH relativeFrom="column">
                  <wp:posOffset>2600325</wp:posOffset>
                </wp:positionH>
                <wp:positionV relativeFrom="paragraph">
                  <wp:posOffset>455105</wp:posOffset>
                </wp:positionV>
                <wp:extent cx="45085" cy="352425"/>
                <wp:effectExtent l="95250" t="0" r="88265" b="47625"/>
                <wp:wrapNone/>
                <wp:docPr id="987132681" name="Straight Arrow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085" cy="352425"/>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33C1FA" id="Straight Arrow Connector 33" o:spid="_x0000_s1026" type="#_x0000_t32" style="position:absolute;margin-left:204.75pt;margin-top:35.85pt;width:3.55pt;height:27.7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FZdgIAAFYFAAAOAAAAZHJzL2Uyb0RvYy54bWysVMtuGyEU3VfqPyD2zrz8GFseR7aTtIu0&#10;jZr2AwjD2KgMICAeW1X/vRcYT+pm01ZdDMPr3HvO4cLy+tgKdGDGciUrnF2lGDFJVc3lrsJfv9yN&#10;SoysI7ImQklW4ROz+Hr19s2y0wuWq70SNTMIgki76HSF987pRZJYumctsVdKMwmLjTItcTA0u6Q2&#10;pIPorUjyNJ0mnTK1Nooya2H2Ji7iVYjfNIy6T01jmUOiwsDNhdaE9sm3yWpJFjtD9J7Tngb5BxYt&#10;4RKSDqFuiCPo2fBXoVpOjbKqcVdUtYlqGk5Z0ABqsvQ3NY97olnQAuZYPdhk/19Y+vHwYBCvKzwv&#10;Z1mRT8sMI0laOKpHZwjf7R1aG6M6tFVSgp3KoKIIUtnR3VvnRUMviv2+zcriZnY3HW3G83I0LjbF&#10;aD4uN6NslpebSb5eT2/HPzy6ZnQBnzLE8QM7Ow8zfyatLwJv2ix5iYPRgcBBZ/5Yk8Dr/A9Mk07b&#10;RVDs6yN0t/LBeAn0KB/1vaLfrIdeLPqB1XHbsTEtagTX730WD4QjRMdQT6ehnrwfFCbHk7ScYERh&#10;pZjk43zS8/JRPFYb694x1SLfqbDtDR+cjhnIAchHQWeABwuJugpDhjQNRKwSvL7jQvjFcH/YVpho&#10;CKGUSRfDief2g6rj/GySAjrGHiDBsotojnBxK2vkThrqwhlO5E6wHidkb1j0KLjlToJFjp9ZA9UF&#10;XsTkQ5JLXpGBkLDbwxpQMQB7df5BeC0oAvv9HsrCnf8b8IAImZV0A7jlUpno7WV2dzxXWBP3nx2I&#10;ur0FT6o+PRhPz4/g8gZX+4fGvw6/jsOul+dw9RMAAP//AwBQSwMEFAAGAAgAAAAhAM21IuXiAAAA&#10;CgEAAA8AAABkcnMvZG93bnJldi54bWxMj8FOwzAQRO9I/IO1SNyok6gkEOJUgASXHipKqcRtGy9J&#10;SrwOsdum/XrMqRxX8zTztpiNphN7GlxrWUE8iUAQV1a3XCtYvb/c3IFwHlljZ5kUHMnBrLy8KDDX&#10;9sBvtF/6WoQSdjkqaLzvcyld1ZBBN7E9cci+7GDQh3OopR7wEMpNJ5MoSqXBlsNCgz09N1R9L3dG&#10;QbJYr1efr8cTPs377faH4+E0/1Dq+mp8fADhafRnGP70gzqUwWljd6yd6BRMo/vbgCrI4gxEAKZx&#10;moLYBDLJEpBlIf+/UP4CAAD//wMAUEsBAi0AFAAGAAgAAAAhALaDOJL+AAAA4QEAABMAAAAAAAAA&#10;AAAAAAAAAAAAAFtDb250ZW50X1R5cGVzXS54bWxQSwECLQAUAAYACAAAACEAOP0h/9YAAACUAQAA&#10;CwAAAAAAAAAAAAAAAAAvAQAAX3JlbHMvLnJlbHNQSwECLQAUAAYACAAAACEADwxxWXYCAABWBQAA&#10;DgAAAAAAAAAAAAAAAAAuAgAAZHJzL2Uyb0RvYy54bWxQSwECLQAUAAYACAAAACEAzbUi5eIAAAAK&#10;AQAADwAAAAAAAAAAAAAAAADQBAAAZHJzL2Rvd25yZXYueG1sUEsFBgAAAAAEAAQA8wAAAN8FAAAA&#10;AA==&#10;" strokecolor="#365f91 [2404]" strokeweight="4pt">
                <v:stroke endarrow="block"/>
                <o:lock v:ext="edit" shapetype="f"/>
              </v:shape>
            </w:pict>
          </mc:Fallback>
        </mc:AlternateContent>
      </w:r>
      <w:r w:rsidRPr="0009543A">
        <w:rPr>
          <w:noProof/>
          <w:color w:val="000000" w:themeColor="text1"/>
        </w:rPr>
        <w:drawing>
          <wp:inline distT="0" distB="0" distL="0" distR="0" wp14:anchorId="7C87E763" wp14:editId="04C4BE79">
            <wp:extent cx="4325816" cy="2482948"/>
            <wp:effectExtent l="0" t="0" r="0" b="0"/>
            <wp:docPr id="6084003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52529" cy="2498281"/>
                    </a:xfrm>
                    <a:prstGeom prst="rect">
                      <a:avLst/>
                    </a:prstGeom>
                    <a:noFill/>
                    <a:ln>
                      <a:noFill/>
                    </a:ln>
                  </pic:spPr>
                </pic:pic>
              </a:graphicData>
            </a:graphic>
          </wp:inline>
        </w:drawing>
      </w:r>
      <w:r w:rsidRPr="0009543A">
        <w:rPr>
          <w:rFonts w:ascii="Times New Roman" w:hAnsi="Times New Roman" w:cs="Times New Roman"/>
          <w:color w:val="000000" w:themeColor="text1"/>
          <w:sz w:val="24"/>
          <w:szCs w:val="24"/>
        </w:rPr>
        <w:t xml:space="preserve">   </w:t>
      </w:r>
    </w:p>
    <w:p w14:paraId="254508CA" w14:textId="77777777" w:rsidR="00C37BD3" w:rsidRPr="0009543A" w:rsidRDefault="00C37BD3" w:rsidP="00C37BD3">
      <w:pPr>
        <w:spacing w:after="0"/>
        <w:jc w:val="center"/>
        <w:rPr>
          <w:rFonts w:ascii="Times New Roman" w:hAnsi="Times New Roman" w:cs="Times New Roman"/>
          <w:color w:val="000000" w:themeColor="text1"/>
          <w:sz w:val="24"/>
          <w:szCs w:val="24"/>
        </w:rPr>
      </w:pPr>
    </w:p>
    <w:p w14:paraId="646EF6BC" w14:textId="56A3602B" w:rsidR="00C37BD3" w:rsidRPr="00765DAB" w:rsidRDefault="00C37BD3" w:rsidP="00C37BD3">
      <w:pPr>
        <w:spacing w:line="240" w:lineRule="auto"/>
        <w:jc w:val="both"/>
        <w:rPr>
          <w:rFonts w:ascii="Arial" w:hAnsi="Arial" w:cs="Arial"/>
          <w:color w:val="000000" w:themeColor="text1"/>
          <w:sz w:val="20"/>
          <w:szCs w:val="20"/>
        </w:rPr>
      </w:pPr>
      <w:r w:rsidRPr="00765DAB">
        <w:rPr>
          <w:rFonts w:ascii="Arial" w:hAnsi="Arial" w:cs="Arial"/>
          <w:b/>
          <w:bCs/>
          <w:color w:val="000000" w:themeColor="text1"/>
          <w:sz w:val="20"/>
          <w:szCs w:val="20"/>
        </w:rPr>
        <w:t xml:space="preserve">Plate </w:t>
      </w:r>
      <w:r w:rsidR="00014030">
        <w:rPr>
          <w:rFonts w:ascii="Arial" w:hAnsi="Arial" w:cs="Arial"/>
          <w:b/>
          <w:bCs/>
          <w:color w:val="000000" w:themeColor="text1"/>
          <w:sz w:val="20"/>
          <w:szCs w:val="20"/>
        </w:rPr>
        <w:t>5</w:t>
      </w:r>
      <w:r w:rsidRPr="00765DAB">
        <w:rPr>
          <w:rFonts w:ascii="Arial" w:hAnsi="Arial" w:cs="Arial"/>
          <w:b/>
          <w:bCs/>
          <w:color w:val="000000" w:themeColor="text1"/>
          <w:sz w:val="20"/>
          <w:szCs w:val="20"/>
        </w:rPr>
        <w:t>:</w:t>
      </w:r>
      <w:r w:rsidRPr="00765DAB">
        <w:rPr>
          <w:rFonts w:ascii="Arial" w:hAnsi="Arial" w:cs="Arial"/>
          <w:color w:val="000000" w:themeColor="text1"/>
          <w:sz w:val="20"/>
          <w:szCs w:val="20"/>
        </w:rPr>
        <w:t xml:space="preserve"> A section of the substantia </w:t>
      </w:r>
      <w:proofErr w:type="spellStart"/>
      <w:r w:rsidRPr="00765DAB">
        <w:rPr>
          <w:rFonts w:ascii="Arial" w:hAnsi="Arial" w:cs="Arial"/>
          <w:color w:val="000000" w:themeColor="text1"/>
          <w:sz w:val="20"/>
          <w:szCs w:val="20"/>
        </w:rPr>
        <w:t>nigra</w:t>
      </w:r>
      <w:proofErr w:type="spellEnd"/>
      <w:r w:rsidRPr="00765DAB">
        <w:rPr>
          <w:rFonts w:ascii="Arial" w:hAnsi="Arial" w:cs="Arial"/>
          <w:color w:val="000000" w:themeColor="text1"/>
          <w:sz w:val="20"/>
          <w:szCs w:val="20"/>
        </w:rPr>
        <w:t xml:space="preserve"> pars compacta treated with reserpine + CBD (60 mg/kg) showing relative histoarchitectural distortion: Pyknosis (P); Vacuolation (V) (H and E x400).</w:t>
      </w:r>
    </w:p>
    <w:p w14:paraId="0FFC83D5" w14:textId="77777777" w:rsidR="00C37BD3" w:rsidRPr="0009543A" w:rsidRDefault="00C37BD3" w:rsidP="00C37BD3">
      <w:pPr>
        <w:jc w:val="both"/>
        <w:rPr>
          <w:rFonts w:ascii="Times New Roman" w:hAnsi="Times New Roman" w:cs="Times New Roman"/>
          <w:color w:val="000000" w:themeColor="text1"/>
          <w:sz w:val="24"/>
          <w:szCs w:val="24"/>
        </w:rPr>
      </w:pPr>
    </w:p>
    <w:p w14:paraId="655A4DAE" w14:textId="77777777" w:rsidR="00C37BD3" w:rsidRPr="0009543A" w:rsidRDefault="00C37BD3" w:rsidP="00C37BD3">
      <w:pPr>
        <w:jc w:val="center"/>
        <w:rPr>
          <w:color w:val="000000" w:themeColor="text1"/>
        </w:rPr>
      </w:pPr>
      <w:r w:rsidRPr="0009543A">
        <w:rPr>
          <w:noProof/>
          <w:color w:val="000000" w:themeColor="text1"/>
          <w14:ligatures w14:val="standardContextual"/>
        </w:rPr>
        <w:lastRenderedPageBreak/>
        <mc:AlternateContent>
          <mc:Choice Requires="wps">
            <w:drawing>
              <wp:anchor distT="0" distB="0" distL="114300" distR="114300" simplePos="0" relativeHeight="251688960" behindDoc="0" locked="0" layoutInCell="1" allowOverlap="1" wp14:anchorId="0ACBE507" wp14:editId="4B1DF271">
                <wp:simplePos x="0" y="0"/>
                <wp:positionH relativeFrom="column">
                  <wp:posOffset>3493770</wp:posOffset>
                </wp:positionH>
                <wp:positionV relativeFrom="paragraph">
                  <wp:posOffset>968944</wp:posOffset>
                </wp:positionV>
                <wp:extent cx="450376" cy="559559"/>
                <wp:effectExtent l="0" t="0" r="0" b="0"/>
                <wp:wrapNone/>
                <wp:docPr id="372875281" name="Text Box 36"/>
                <wp:cNvGraphicFramePr/>
                <a:graphic xmlns:a="http://schemas.openxmlformats.org/drawingml/2006/main">
                  <a:graphicData uri="http://schemas.microsoft.com/office/word/2010/wordprocessingShape">
                    <wps:wsp>
                      <wps:cNvSpPr txBox="1"/>
                      <wps:spPr>
                        <a:xfrm>
                          <a:off x="0" y="0"/>
                          <a:ext cx="450376" cy="559559"/>
                        </a:xfrm>
                        <a:prstGeom prst="rect">
                          <a:avLst/>
                        </a:prstGeom>
                        <a:noFill/>
                        <a:ln w="6350">
                          <a:noFill/>
                        </a:ln>
                      </wps:spPr>
                      <wps:txbx>
                        <w:txbxContent>
                          <w:p w14:paraId="21F2CF36"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CBE507" id="Text Box 36" o:spid="_x0000_s1034" type="#_x0000_t202" style="position:absolute;left:0;text-align:left;margin-left:275.1pt;margin-top:76.3pt;width:35.45pt;height:44.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YCNwIAAGAEAAAOAAAAZHJzL2Uyb0RvYy54bWysVN9v2jAQfp+0/8Hy+0j4EaCIULFWTJOq&#10;thJMfTaOTSI5Ps82JOyv39khFHV7miYhc7477u77vjPL+7ZW5CSsq0DndDhIKRGaQ1HpQ05/7DZf&#10;5pQ4z3TBFGiR07Nw9H71+dOyMQsxghJUISzBItotGpPT0nuzSBLHS1EzNwAjNAYl2Jp5vNpDUljW&#10;YPVaJaM0nSYN2MJY4MI59D52QbqK9aUU3L9I6YQnKqc4m4+njec+nMlqyRYHy0xZ8csY7B+mqFml&#10;sem11CPzjBxt9UepuuIWHEg/4FAnIGXFRcSAaIbpBzTbkhkRsSA5zlxpcv+vLH8+vVpSFTkdz0bz&#10;WTaaDynRrEapdqL15Cu0ZDwNNDXGLTB7azDft+hHuXu/Q2dA30pbh2/ERTCOhJ+vJIdqHJ2TLB3P&#10;ppRwDGXZHX5CleT9x8Y6/01ATYKRU4saRmrZ6cn5LrVPCb00bCqloo5Kkyan03GWxh9cI1hcaewR&#10;IHSjBsu3+zYin/cw9lCcEZ2Fbk2c4ZsKZ3hizr8yi3uBgHDX/QseUgH2gotFSQn219/8IR/lwigl&#10;De5ZTt3PI7OCEvVdo5B3w8kkLGa8TLLZCC/2NrK/jehj/QC4yigSThfNkO9Vb0oL9Rs+iXXoiiGm&#10;OfbOqe/NB99tPz4pLtbrmISraJh/0lvDQ+nAamB4174xay4yeNTvGfqNZIsPanS5nR7rowdZRakC&#10;zx2rF/pxjaPYlycX3sntPWa9/zGsfgMAAP//AwBQSwMEFAAGAAgAAAAhAEeicLbiAAAACwEAAA8A&#10;AABkcnMvZG93bnJldi54bWxMj8FOwzAQRO9I/IO1SNyoHYuEKsSpqkgVEqKHll64bWI3iYjtELtt&#10;4Ou7nOC4mqeZt8VqtgM7myn03ilIFgKYcY3XvWsVHN43D0tgIaLTOHhnFHybAKvy9qbAXPuL25nz&#10;PraMSlzIUUEX45hzHprOWAwLPxpH2dFPFiOdU8v1hBcqtwOXQmTcYu9oocPRVJ1pPvcnq+C12mxx&#10;V0u7/Bmql7fjevw6fKRK3d/N62dg0czxD4ZffVKHkpxqf3I6sEFBmgpJKAWpzIARkckkAVYrkI/i&#10;CXhZ8P8/lFcAAAD//wMAUEsBAi0AFAAGAAgAAAAhALaDOJL+AAAA4QEAABMAAAAAAAAAAAAAAAAA&#10;AAAAAFtDb250ZW50X1R5cGVzXS54bWxQSwECLQAUAAYACAAAACEAOP0h/9YAAACUAQAACwAAAAAA&#10;AAAAAAAAAAAvAQAAX3JlbHMvLnJlbHNQSwECLQAUAAYACAAAACEABgGGAjcCAABgBAAADgAAAAAA&#10;AAAAAAAAAAAuAgAAZHJzL2Uyb0RvYy54bWxQSwECLQAUAAYACAAAACEAR6JwtuIAAAALAQAADwAA&#10;AAAAAAAAAAAAAACRBAAAZHJzL2Rvd25yZXYueG1sUEsFBgAAAAAEAAQA8wAAAKAFAAAAAA==&#10;" filled="f" stroked="f" strokeweight=".5pt">
                <v:textbox>
                  <w:txbxContent>
                    <w:p w14:paraId="21F2CF36"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V</w:t>
                      </w:r>
                    </w:p>
                  </w:txbxContent>
                </v:textbox>
              </v:shape>
            </w:pict>
          </mc:Fallback>
        </mc:AlternateContent>
      </w:r>
      <w:r w:rsidRPr="0009543A">
        <w:rPr>
          <w:noProof/>
          <w:color w:val="000000" w:themeColor="text1"/>
          <w14:ligatures w14:val="standardContextual"/>
        </w:rPr>
        <mc:AlternateContent>
          <mc:Choice Requires="wps">
            <w:drawing>
              <wp:anchor distT="0" distB="0" distL="114300" distR="114300" simplePos="0" relativeHeight="251687936" behindDoc="0" locked="0" layoutInCell="1" allowOverlap="1" wp14:anchorId="56EABC08" wp14:editId="063C56BA">
                <wp:simplePos x="0" y="0"/>
                <wp:positionH relativeFrom="column">
                  <wp:posOffset>2183462</wp:posOffset>
                </wp:positionH>
                <wp:positionV relativeFrom="paragraph">
                  <wp:posOffset>294</wp:posOffset>
                </wp:positionV>
                <wp:extent cx="340692" cy="462290"/>
                <wp:effectExtent l="0" t="0" r="0" b="0"/>
                <wp:wrapNone/>
                <wp:docPr id="93623187" name="Text Box 35"/>
                <wp:cNvGraphicFramePr/>
                <a:graphic xmlns:a="http://schemas.openxmlformats.org/drawingml/2006/main">
                  <a:graphicData uri="http://schemas.microsoft.com/office/word/2010/wordprocessingShape">
                    <wps:wsp>
                      <wps:cNvSpPr txBox="1"/>
                      <wps:spPr>
                        <a:xfrm>
                          <a:off x="0" y="0"/>
                          <a:ext cx="340692" cy="462290"/>
                        </a:xfrm>
                        <a:prstGeom prst="rect">
                          <a:avLst/>
                        </a:prstGeom>
                        <a:noFill/>
                        <a:ln w="6350">
                          <a:noFill/>
                        </a:ln>
                      </wps:spPr>
                      <wps:txbx>
                        <w:txbxContent>
                          <w:p w14:paraId="7B0417B7"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ABC08" id="Text Box 35" o:spid="_x0000_s1035" type="#_x0000_t202" style="position:absolute;left:0;text-align:left;margin-left:171.95pt;margin-top:0;width:26.85pt;height:36.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s8qOAIAAF8EAAAOAAAAZHJzL2Uyb0RvYy54bWysVE1v2zAMvQ/YfxB0X+w4H22MOEXWIsOA&#10;oC2QDD0rshQbsERNUmJnv36UnKRBt9Owi0yRFMX3HuX5Q6cachTW1aALOhyklAjNoaz1vqA/tqsv&#10;95Q4z3TJGtCioCfh6MPi86d5a3KRQQVNKSzBItrlrSlo5b3Jk8TxSijmBmCExqAEq5jHrd0npWUt&#10;VldNkqXpNGnBlsYCF86h96kP0kWsL6Xg/kVKJzxpCoq9+bjauO7CmizmLN9bZqqan9tg/9CFYrXG&#10;S6+lnphn5GDrP0qpmltwIP2Ag0pAypqLiAHRDNMPaDYVMyJiQXKcudLk/l9Z/nx8taQuCzobTbPR&#10;8P6OEs0UKrUVnSdfoSOjSWCpNS7H5I3BdN+hH9W++B06A/hOWhW+CItgHPk+XTkO1Tg6R+N0Osso&#10;4RgaT7NsFjVI3g8b6/w3AYoEo6AWJYzMsuPaeWwEUy8p4S4Nq7ppooyNJm1Bp6NJGg9cI3ii0Xgw&#10;QOhbDZbvdl0P/AJjB+UJ0Vnop8QZvqqxhzVz/pVZHAsEhKPuX3CRDeBdcLYoqcD++ps/5KNaGKWk&#10;xTErqPt5YFZQ0nzXqONsOB6HuYyb8eQuw429jexuI/qgHgEneYiPyvBohnzfXExpQb3hi1iGWzHE&#10;NMe7C+ov5qPvhx9fFBfLZUzCSTTMr/XG8FA6sBoY3nZvzJqzDB71e4bLQLL8gxp9bq/H8uBB1lGq&#10;wHPP6pl+nOKo4PnFhWdyu49Z7/+FxW8AAAD//wMAUEsDBBQABgAIAAAAIQBYE9EN4AAAAAcBAAAP&#10;AAAAZHJzL2Rvd25yZXYueG1sTI9BT4NAFITvJv6HzTPxZhdBW4osTUPSmBh7aO3F24PdApF9i+y2&#10;RX+9z5MeJzOZ+SZfTbYXZzP6zpGC+1kEwlDtdEeNgsPb5i4F4QOSxt6RUfBlPKyK66scM+0utDPn&#10;fWgEl5DPUEEbwpBJ6evWWPQzNxhi7+hGi4Hl2Eg94oXLbS/jKJpLix3xQouDKVtTf+xPVsFLudni&#10;ropt+t2Xz6/H9fB5eH9U6vZmWj+BCGYKf2H4xWd0KJipcifSXvQKkodkyVEF/IjtZLmYg6gULOIU&#10;ZJHL//zFDwAAAP//AwBQSwECLQAUAAYACAAAACEAtoM4kv4AAADhAQAAEwAAAAAAAAAAAAAAAAAA&#10;AAAAW0NvbnRlbnRfVHlwZXNdLnhtbFBLAQItABQABgAIAAAAIQA4/SH/1gAAAJQBAAALAAAAAAAA&#10;AAAAAAAAAC8BAABfcmVscy8ucmVsc1BLAQItABQABgAIAAAAIQAk7s8qOAIAAF8EAAAOAAAAAAAA&#10;AAAAAAAAAC4CAABkcnMvZTJvRG9jLnhtbFBLAQItABQABgAIAAAAIQBYE9EN4AAAAAcBAAAPAAAA&#10;AAAAAAAAAAAAAJIEAABkcnMvZG93bnJldi54bWxQSwUGAAAAAAQABADzAAAAnwUAAAAA&#10;" filled="f" stroked="f" strokeweight=".5pt">
                <v:textbox>
                  <w:txbxContent>
                    <w:p w14:paraId="7B0417B7"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D</w:t>
                      </w:r>
                    </w:p>
                  </w:txbxContent>
                </v:textbox>
              </v:shape>
            </w:pict>
          </mc:Fallback>
        </mc:AlternateContent>
      </w:r>
      <w:r w:rsidRPr="0009543A">
        <w:rPr>
          <w:noProof/>
          <w:color w:val="000000" w:themeColor="text1"/>
          <w14:ligatures w14:val="standardContextual"/>
        </w:rPr>
        <mc:AlternateContent>
          <mc:Choice Requires="wps">
            <w:drawing>
              <wp:anchor distT="0" distB="0" distL="114300" distR="114300" simplePos="0" relativeHeight="251686912" behindDoc="0" locked="0" layoutInCell="1" allowOverlap="1" wp14:anchorId="53D7CC8D" wp14:editId="18CF12CB">
                <wp:simplePos x="0" y="0"/>
                <wp:positionH relativeFrom="column">
                  <wp:posOffset>1883069</wp:posOffset>
                </wp:positionH>
                <wp:positionV relativeFrom="paragraph">
                  <wp:posOffset>1446160</wp:posOffset>
                </wp:positionV>
                <wp:extent cx="395785" cy="531751"/>
                <wp:effectExtent l="0" t="0" r="0" b="1905"/>
                <wp:wrapNone/>
                <wp:docPr id="2033363359" name="Text Box 34"/>
                <wp:cNvGraphicFramePr/>
                <a:graphic xmlns:a="http://schemas.openxmlformats.org/drawingml/2006/main">
                  <a:graphicData uri="http://schemas.microsoft.com/office/word/2010/wordprocessingShape">
                    <wps:wsp>
                      <wps:cNvSpPr txBox="1"/>
                      <wps:spPr>
                        <a:xfrm>
                          <a:off x="0" y="0"/>
                          <a:ext cx="395785" cy="531751"/>
                        </a:xfrm>
                        <a:prstGeom prst="rect">
                          <a:avLst/>
                        </a:prstGeom>
                        <a:noFill/>
                        <a:ln w="6350">
                          <a:noFill/>
                        </a:ln>
                      </wps:spPr>
                      <wps:txbx>
                        <w:txbxContent>
                          <w:p w14:paraId="670EC429"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D7CC8D" id="Text Box 34" o:spid="_x0000_s1036" type="#_x0000_t202" style="position:absolute;left:0;text-align:left;margin-left:148.25pt;margin-top:113.85pt;width:31.15pt;height:41.8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C+SOAIAAGIEAAAOAAAAZHJzL2Uyb0RvYy54bWysVEuP2jAQvlfqf7B8L0kIgQURVnRXVJXQ&#10;7kpQ7dk4DonkeFzbkNBf37HDS9ueql6c8bw8M983mT92jSRHYWwNKqfJIKZEKA5FrfY5/bFdfXmg&#10;xDqmCiZBiZyehKWPi8+f5q2eiSFUIAthCCZRdtbqnFbO6VkUWV6JhtkBaKHQWIJpmMOr2UeFYS1m&#10;b2Q0jONx1IIptAEurEXtc2+ki5C/LAV3r2VphSMyp1ibC6cJ586f0WLOZnvDdFXzcxnsH6poWK3w&#10;0WuqZ+YYOZj6j1RNzQ1YKN2AQxNBWdZchB6wmyT+0M2mYlqEXnA4Vl/HZP9fWv5yfDOkLnI6jNM0&#10;HadpNqVEsQax2orOka/QkXTk59RqO0P3jcYA16Ee8b7oLSp9+11pGv/FxgjaceKn65R9No7KdJpN&#10;HjJKOJqyNJlkIUt0C9bGum8CGuKFnBoEMcyWHdfWYSHoenHxbylY1VIGIKUibU7HaRaHgKsFI6TC&#10;QN9CX6qXXLfrQutJ4IFX7aA4YXsGeqJYzVc1FrFm1r0xg8zAjpDt7hWPUgI+BmeJkgrMr7/pvT8C&#10;hlZKWmRaTu3PAzOCEvldIZTTZDTy1AyXUTYZ4sXcW3b3FnVongDJnOBeaR5E7+/kRSwNNO+4FEv/&#10;KpqY4vh2Tt1FfHI9/3GpuFgugxOSUTO3VhvNfWo/Vj/ibffOjD7j4BDAF7hwks0+wNH79oAsDw7K&#10;OmB1m+p5/kjkAOF56fym3N+D1+3XsPgNAAD//wMAUEsDBBQABgAIAAAAIQA+b1I34gAAAAsBAAAP&#10;AAAAZHJzL2Rvd25yZXYueG1sTI/BTsMwEETvSPyDtUjcqJNA2jSNU1WRKiREDy29cHNiN4mw1yF2&#10;28DXs5zgNqN9mp0p1pM17KJH3zsUEM8iYBobp3psBRzftg8ZMB8kKmkcagFf2sO6vL0pZK7cFff6&#10;cggtoxD0uRTQhTDknPum01b6mRs00u3kRisD2bHlapRXCreGJ1E051b2SB86Oeiq083H4WwFvFTb&#10;ndzXic2+TfX8etoMn8f3VIj7u2mzAhb0FP5g+K1P1aGkTrU7o/LMCEiW85RQEsliAYyIxzSjMTWJ&#10;OH4CXhb8/4byBwAA//8DAFBLAQItABQABgAIAAAAIQC2gziS/gAAAOEBAAATAAAAAAAAAAAAAAAA&#10;AAAAAABbQ29udGVudF9UeXBlc10ueG1sUEsBAi0AFAAGAAgAAAAhADj9If/WAAAAlAEAAAsAAAAA&#10;AAAAAAAAAAAALwEAAF9yZWxzLy5yZWxzUEsBAi0AFAAGAAgAAAAhAIbkL5I4AgAAYgQAAA4AAAAA&#10;AAAAAAAAAAAALgIAAGRycy9lMm9Eb2MueG1sUEsBAi0AFAAGAAgAAAAhAD5vUjfiAAAACwEAAA8A&#10;AAAAAAAAAAAAAAAAkgQAAGRycy9kb3ducmV2LnhtbFBLBQYAAAAABAAEAPMAAAChBQAAAAA=&#10;" filled="f" stroked="f" strokeweight=".5pt">
                <v:textbox>
                  <w:txbxContent>
                    <w:p w14:paraId="670EC429"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P</w:t>
                      </w:r>
                    </w:p>
                  </w:txbxContent>
                </v:textbox>
              </v:shape>
            </w:pict>
          </mc:Fallback>
        </mc:AlternateContent>
      </w:r>
      <w:r w:rsidRPr="0009543A">
        <w:rPr>
          <w:noProof/>
          <w:color w:val="000000" w:themeColor="text1"/>
        </w:rPr>
        <mc:AlternateContent>
          <mc:Choice Requires="wps">
            <w:drawing>
              <wp:anchor distT="0" distB="0" distL="114300" distR="114300" simplePos="0" relativeHeight="251682816" behindDoc="0" locked="0" layoutInCell="1" allowOverlap="1" wp14:anchorId="5B10B9DB" wp14:editId="2BB6E4AC">
                <wp:simplePos x="0" y="0"/>
                <wp:positionH relativeFrom="column">
                  <wp:posOffset>2333482</wp:posOffset>
                </wp:positionH>
                <wp:positionV relativeFrom="paragraph">
                  <wp:posOffset>382137</wp:posOffset>
                </wp:positionV>
                <wp:extent cx="45719" cy="429251"/>
                <wp:effectExtent l="95250" t="0" r="107315" b="47625"/>
                <wp:wrapNone/>
                <wp:docPr id="145136134" name="Straight Arrow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19" cy="429251"/>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0CDF73" id="Straight Arrow Connector 33" o:spid="_x0000_s1026" type="#_x0000_t32" style="position:absolute;margin-left:183.75pt;margin-top:30.1pt;width:3.6pt;height:33.8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1WzdgIAAFYFAAAOAAAAZHJzL2Uyb0RvYy54bWysVF1v0zAUfUfiP1h+75I06aeWTmu3wcOA&#10;icEP8By7tXBsy/aaVoj/zrWdZpS9AOKhqb/Oveece+3Lq0Mr0Z5ZJ7SqcXGRY8QU1Y1Q2xp//XI3&#10;mmPkPFENkVqxGh+Zw1ert28uO7NkY73TsmEWQRDllp2p8c57s8wyR3esJe5CG6Zgk2vbEg9Tu80a&#10;SzqI3spsnOfTrNO2MVZT5hys3qRNvIrxOWfUf+LcMY9kjYGbj18bv0/hm60uyXJridkJ2tMg/8Ci&#10;JUJB0iHUDfEEPVvxKlQrqNVOc39BdZtpzgVlUQOoKfLf1DzuiGFRC5jjzGCT+39h6cf9g0WigdpV&#10;k6KcFmWFkSItlOrRWyK2O4+urdUd2milwE5tUVlGqezg750PomGUxH7fFPPyZnY3Ha2rxXxUlety&#10;tKjm61ExG8/Xk/H19fS2+hHQDaNL+GlLvNizk/Ow8mfS+iYIps2ylzgY7QkUughlzSKv039kmnXG&#10;LaPi0B9xuFEPNkigB/Vo7jX95gL0bDNMnEnHDty2iEth3ocsAQglRIfYT8ehn4IfFBaryaxYYERh&#10;pxovxpMTrxAlYI11/h3TLQqDGrve8MHplIHsgXwSdAIEsFSoq/Ekn+d5JOK0FM2dkDJsxvvDNtIm&#10;QwilTPkUTj63H3ST1meTHNAp9gCJlp1F80TIW9UgfzTQF94KoraS9TipesOSR9Etf5QscfzMOHQX&#10;eJGSD0nOeSUGUsHpAOOgYgD26sKD8FpQAvbnA5TFO/834AERM2vlB3ArlLbJ2/Ps/nCqJE/nTw4k&#10;3cGCJ90cH2ygF2ZweaOr/UMTXodf5/HUy3O4+gkAAP//AwBQSwMEFAAGAAgAAAAhADqywlziAAAA&#10;CgEAAA8AAABkcnMvZG93bnJldi54bWxMj0FPwkAQhe8m/ofNmHiTLUVbUrslaqIXDgYEEm5Dd2yL&#10;3dnaXaDw611Pepy8L+99k88G04oj9a6xrGA8ikAQl1Y3XClYfbzeTUE4j6yxtUwKzuRgVlxf5Zhp&#10;e+IFHZe+EqGEXYYKau+7TEpX1mTQjWxHHLJP2xv04ewrqXs8hXLTyjiKEmmw4bBQY0cvNZVfy4NR&#10;EL9vNqvt2/mCz/Nuv//mcX+Zr5W6vRmeHkF4GvwfDL/6QR2K4LSzB9ZOtAomSfoQUAVJFIMIwCS9&#10;T0HsAhmnU5BFLv+/UPwAAAD//wMAUEsBAi0AFAAGAAgAAAAhALaDOJL+AAAA4QEAABMAAAAAAAAA&#10;AAAAAAAAAAAAAFtDb250ZW50X1R5cGVzXS54bWxQSwECLQAUAAYACAAAACEAOP0h/9YAAACUAQAA&#10;CwAAAAAAAAAAAAAAAAAvAQAAX3JlbHMvLnJlbHNQSwECLQAUAAYACAAAACEAHdNVs3YCAABWBQAA&#10;DgAAAAAAAAAAAAAAAAAuAgAAZHJzL2Uyb0RvYy54bWxQSwECLQAUAAYACAAAACEAOrLCXOIAAAAK&#10;AQAADwAAAAAAAAAAAAAAAADQBAAAZHJzL2Rvd25yZXYueG1sUEsFBgAAAAAEAAQA8wAAAN8FAAAA&#10;AA==&#10;" strokecolor="#365f91 [2404]" strokeweight="4pt">
                <v:stroke endarrow="block"/>
                <o:lock v:ext="edit" shapetype="f"/>
              </v:shape>
            </w:pict>
          </mc:Fallback>
        </mc:AlternateContent>
      </w:r>
      <w:r w:rsidRPr="0009543A">
        <w:rPr>
          <w:noProof/>
          <w:color w:val="000000" w:themeColor="text1"/>
        </w:rPr>
        <mc:AlternateContent>
          <mc:Choice Requires="wps">
            <w:drawing>
              <wp:anchor distT="0" distB="0" distL="114300" distR="114300" simplePos="0" relativeHeight="251689984" behindDoc="0" locked="0" layoutInCell="1" allowOverlap="1" wp14:anchorId="226F535B" wp14:editId="23DD9EBB">
                <wp:simplePos x="0" y="0"/>
                <wp:positionH relativeFrom="column">
                  <wp:posOffset>3677920</wp:posOffset>
                </wp:positionH>
                <wp:positionV relativeFrom="paragraph">
                  <wp:posOffset>1364928</wp:posOffset>
                </wp:positionV>
                <wp:extent cx="20990" cy="662296"/>
                <wp:effectExtent l="114300" t="0" r="93345" b="62230"/>
                <wp:wrapNone/>
                <wp:docPr id="1952206668" name="Straight Arrow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90" cy="662296"/>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894313" id="Straight Arrow Connector 33" o:spid="_x0000_s1026" type="#_x0000_t32" style="position:absolute;margin-left:289.6pt;margin-top:107.45pt;width:1.65pt;height:52.15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Nf8dwIAAFcFAAAOAAAAZHJzL2Uyb0RvYy54bWysVMuO2jAU3VfqP1jZQ0KA8BBhxGOmXUxb&#10;VNoP8Dg2WHVsy/YQUNV/77UdMqWzaasuCH6de88599qLu3Mt0Ikay5Usk0E/SxCVRFVcHsrk65eH&#10;3jRB1mFZYaEkLZMLtcnd8u2bRaPnNFdHJSpqEASRdt7oMjk6p+dpasmR1tj2laYSNpkyNXYwNYe0&#10;MriB6LVI8ywr0kaZShtFqLWwuo2byTLEZ4wS94kxSx0SZQLcXPia8H3y33S5wPODwfrISUsD/wOL&#10;GnMJSbtQW+wwejb8VaiaE6OsYq5PVJ0qxjihQQOoGWS/qdkfsaZBC5hjdWeT/X9hycfTziBeQe1m&#10;4zzPiqKAiklcQ632zmB+ODq0MkY1aKOkBD+VQcNh0ErP7tE6rxpGUe33zWA63E4eit56NJv2RsP1&#10;sDcbTde9wSSfrsf5alXcj354dEXJHH7KYMdP9Go9rPyZtrYLvGuT9CVOgk4YKj3wdU0Dr+t/YJo2&#10;2s6DZN8gYbiRO+MlkLPc60dFvlkPvdn0E6vjsTMzNWKC6/c+iwdCDdE5NNSlayjvB4HFPJvNoOsI&#10;7BRFns+KlpeP4rHaWPeOqhr5QZnY1vDO6ZgBn4B8FHQFeLCQqCmTcTbNskDEKsGrBy6E3wwXiG6E&#10;iYZgQqh0MZx4rj+oKq5PxhmgY+wOEiy7ieYwF/eyQu6ioS+c4VgeBG1xQraGRY+CW+4iaOT4mTJo&#10;L/AiJu+S3PKKDISE0x7GQEUHbNX5F+G1oAhsz3soDZf+b8AdImRW0nXgmktlore32d352mEsnr86&#10;EHV7C55UddkZT8/P4PYGV9uXxj8Pv87DqZf3cPkTAAD//wMAUEsDBBQABgAIAAAAIQC119fa4gAA&#10;AAsBAAAPAAAAZHJzL2Rvd25yZXYueG1sTI9BT8JAEIXvJv6HzZh4k22rFajdEjXRCwciIIm3pR3b&#10;Yne27i5Q+PWOJz1O3sv3vslng+nEAZ1vLSmIRxEIpNJWLdUK1quXmwkIHzRVurOECk7oYVZcXuQ6&#10;q+yR3vCwDLVgCPlMK2hC6DMpfdmg0X5keyTOPq0zOvDpalk5fWS46WQSRffS6JZ4odE9PjdYfi33&#10;RkGy2GzWH6+ns36a97vdN8XuPH9X6vpqeHwAEXAIf2X41Wd1KNhpa/dUedEpSMfThKsMi++mILiR&#10;TpIUxFbBbcyRLHL5/4fiBwAA//8DAFBLAQItABQABgAIAAAAIQC2gziS/gAAAOEBAAATAAAAAAAA&#10;AAAAAAAAAAAAAABbQ29udGVudF9UeXBlc10ueG1sUEsBAi0AFAAGAAgAAAAhADj9If/WAAAAlAEA&#10;AAsAAAAAAAAAAAAAAAAALwEAAF9yZWxzLy5yZWxzUEsBAi0AFAAGAAgAAAAhAKTk1/x3AgAAVwUA&#10;AA4AAAAAAAAAAAAAAAAALgIAAGRycy9lMm9Eb2MueG1sUEsBAi0AFAAGAAgAAAAhALXX19riAAAA&#10;CwEAAA8AAAAAAAAAAAAAAAAA0QQAAGRycy9kb3ducmV2LnhtbFBLBQYAAAAABAAEAPMAAADgBQAA&#10;AAA=&#10;" strokecolor="#365f91 [2404]" strokeweight="4pt">
                <v:stroke endarrow="block"/>
                <o:lock v:ext="edit" shapetype="f"/>
              </v:shape>
            </w:pict>
          </mc:Fallback>
        </mc:AlternateContent>
      </w:r>
      <w:r w:rsidRPr="0009543A">
        <w:rPr>
          <w:noProof/>
          <w:color w:val="000000" w:themeColor="text1"/>
        </w:rPr>
        <mc:AlternateContent>
          <mc:Choice Requires="wps">
            <w:drawing>
              <wp:anchor distT="0" distB="0" distL="114300" distR="114300" simplePos="0" relativeHeight="251685888" behindDoc="0" locked="0" layoutInCell="1" allowOverlap="1" wp14:anchorId="081F2927" wp14:editId="2E7A8001">
                <wp:simplePos x="0" y="0"/>
                <wp:positionH relativeFrom="column">
                  <wp:posOffset>2040255</wp:posOffset>
                </wp:positionH>
                <wp:positionV relativeFrom="paragraph">
                  <wp:posOffset>1870397</wp:posOffset>
                </wp:positionV>
                <wp:extent cx="20990" cy="662296"/>
                <wp:effectExtent l="114300" t="0" r="93345" b="62230"/>
                <wp:wrapNone/>
                <wp:docPr id="1605828228" name="Straight Arrow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90" cy="662296"/>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6A7F9F" id="Straight Arrow Connector 33" o:spid="_x0000_s1026" type="#_x0000_t32" style="position:absolute;margin-left:160.65pt;margin-top:147.3pt;width:1.65pt;height:52.15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X9BeAIAAFcFAAAOAAAAZHJzL2Uyb0RvYy54bWysVF1v2jAUfZ+0/2DlnSYECCFqqAptt4du&#10;Q2P7Aa5jgzXHtmyXgKb9913bIR3ryzbtgeCvc+855177+ubYCnSgxnIl62R8lSWISqIaLnd18vXL&#10;w6hMkHVYNlgoSevkRG1ys3z75rrTFc3VXomGGgRBpK06XSd753SVppbsaYvtldJUwiZTpsUOpmaX&#10;NgZ3EL0VaZ5lRdop02ijCLUWVu/iZrIM8RmjxH1izFKHRJ0ANxe+Jnyf/DddXuNqZ7Dec9LTwP/A&#10;osVcQtIh1B12GD0b/ipUy4lRVjF3RVSbKsY4oUEDqBlnv6nZ7rGmQQuYY/Vgk/1/YcnHw8Yg3kDt&#10;imxW5mWeQ8UkbqFWW2cw3+0dujVGdWitpAQ/lUGTSdBKj+7ROq8aRlHt9/W4nNzNH4rRarooR9PJ&#10;ajJaTMvVaDzPy9Usv70t7qc/PLqhpIKfMtjxAz1bDyt/pq3vAu/aPH2Jk6ADhkqPfV3TwOv8H5im&#10;nbZVkOwbJAzXcmO8BHKUW/2oyDfroRebfmJ1PHZkpkVMcP3eZ/FAqCE6hoY6DQ3l/SCwmGeLBXQd&#10;gZ2iyPNF0fPyUTxWG+veUdUiP6gT2xs+OB0z4AOQj4LOAA8WEnV1MsvKLAtErBK8eeBC+M1wgeha&#10;mGgIJoRKF8OJ5/aDauL6fJYBOsYeIMGyi2gOc3EvG+ROGvrCGY7lTtAeJ2RvWPQouOVOgkaOnymD&#10;9gIvYvIhySWvyEBIOO1hDFQMwF6dfxFeC4rA/ryH0nDp/wY8IEJmJd0AbrlUJnp7md0dzx3G4vmz&#10;A1G3t+BJNaeN8fT8DG5vcLV/afzz8Os8nHp5D5c/AQAA//8DAFBLAwQUAAYACAAAACEAt+0F6OIA&#10;AAALAQAADwAAAGRycy9kb3ducmV2LnhtbEyPTU/DMAyG70j8h8hI3Fj6gaa1NJ0ACS47IMaYxC1r&#10;TNvROKXJtm6/ft4Jbq/lV48fF/PRdmKPg28dKYgnEQikypmWagWrj5e7GQgfNBndOUIFR/QwL6+v&#10;Cp0bd6B33C9DLRhCPtcKmhD6XEpfNWi1n7geiXffbrA68DjU0gz6wHDbySSKptLqlvhCo3t8brD6&#10;We6sguRtvV59vR5P+mnRb7e/FA+nxadStzfj4wOIgGP4K8NFn9WhZKeN25HxolOQJnHKVYZl91MQ&#10;3EiTS9hwyGYZyLKQ/38ozwAAAP//AwBQSwECLQAUAAYACAAAACEAtoM4kv4AAADhAQAAEwAAAAAA&#10;AAAAAAAAAAAAAAAAW0NvbnRlbnRfVHlwZXNdLnhtbFBLAQItABQABgAIAAAAIQA4/SH/1gAAAJQB&#10;AAALAAAAAAAAAAAAAAAAAC8BAABfcmVscy8ucmVsc1BLAQItABQABgAIAAAAIQC7EX9BeAIAAFcF&#10;AAAOAAAAAAAAAAAAAAAAAC4CAABkcnMvZTJvRG9jLnhtbFBLAQItABQABgAIAAAAIQC37QXo4gAA&#10;AAsBAAAPAAAAAAAAAAAAAAAAANIEAABkcnMvZG93bnJldi54bWxQSwUGAAAAAAQABADzAAAA4QUA&#10;AAAA&#10;" strokecolor="#365f91 [2404]" strokeweight="4pt">
                <v:stroke endarrow="block"/>
                <o:lock v:ext="edit" shapetype="f"/>
              </v:shape>
            </w:pict>
          </mc:Fallback>
        </mc:AlternateContent>
      </w:r>
      <w:r w:rsidRPr="0009543A">
        <w:rPr>
          <w:noProof/>
          <w:color w:val="000000" w:themeColor="text1"/>
        </w:rPr>
        <w:drawing>
          <wp:inline distT="0" distB="0" distL="0" distR="0" wp14:anchorId="2C8D811A" wp14:editId="75836DB0">
            <wp:extent cx="4434338" cy="3325999"/>
            <wp:effectExtent l="0" t="0" r="4445" b="8255"/>
            <wp:docPr id="53170268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8581" cy="3359184"/>
                    </a:xfrm>
                    <a:prstGeom prst="rect">
                      <a:avLst/>
                    </a:prstGeom>
                    <a:noFill/>
                    <a:ln>
                      <a:noFill/>
                    </a:ln>
                  </pic:spPr>
                </pic:pic>
              </a:graphicData>
            </a:graphic>
          </wp:inline>
        </w:drawing>
      </w:r>
    </w:p>
    <w:p w14:paraId="5462FB1B" w14:textId="0CFD1B29" w:rsidR="00C37BD3" w:rsidRPr="00765DAB" w:rsidRDefault="00C37BD3" w:rsidP="00C37BD3">
      <w:pPr>
        <w:spacing w:before="240" w:after="0" w:line="240" w:lineRule="auto"/>
        <w:jc w:val="both"/>
        <w:rPr>
          <w:rFonts w:ascii="Arial" w:hAnsi="Arial" w:cs="Arial"/>
          <w:color w:val="000000" w:themeColor="text1"/>
          <w:sz w:val="20"/>
          <w:szCs w:val="20"/>
        </w:rPr>
      </w:pPr>
      <w:r w:rsidRPr="00765DAB">
        <w:rPr>
          <w:rFonts w:ascii="Arial" w:hAnsi="Arial" w:cs="Arial"/>
          <w:b/>
          <w:bCs/>
          <w:color w:val="000000" w:themeColor="text1"/>
          <w:sz w:val="20"/>
          <w:szCs w:val="20"/>
        </w:rPr>
        <w:t xml:space="preserve">Plate </w:t>
      </w:r>
      <w:r w:rsidR="00014030">
        <w:rPr>
          <w:rFonts w:ascii="Arial" w:hAnsi="Arial" w:cs="Arial"/>
          <w:b/>
          <w:bCs/>
          <w:color w:val="000000" w:themeColor="text1"/>
          <w:sz w:val="20"/>
          <w:szCs w:val="20"/>
        </w:rPr>
        <w:t>6</w:t>
      </w:r>
      <w:r w:rsidRPr="00765DAB">
        <w:rPr>
          <w:rFonts w:ascii="Arial" w:hAnsi="Arial" w:cs="Arial"/>
          <w:b/>
          <w:bCs/>
          <w:color w:val="000000" w:themeColor="text1"/>
          <w:sz w:val="20"/>
          <w:szCs w:val="20"/>
        </w:rPr>
        <w:t>:</w:t>
      </w:r>
      <w:r w:rsidRPr="00765DAB">
        <w:rPr>
          <w:rFonts w:ascii="Arial" w:hAnsi="Arial" w:cs="Arial"/>
          <w:color w:val="000000" w:themeColor="text1"/>
          <w:sz w:val="20"/>
          <w:szCs w:val="20"/>
        </w:rPr>
        <w:t xml:space="preserve"> A section of the substantia </w:t>
      </w:r>
      <w:proofErr w:type="spellStart"/>
      <w:r w:rsidRPr="00765DAB">
        <w:rPr>
          <w:rFonts w:ascii="Arial" w:hAnsi="Arial" w:cs="Arial"/>
          <w:color w:val="000000" w:themeColor="text1"/>
          <w:sz w:val="20"/>
          <w:szCs w:val="20"/>
        </w:rPr>
        <w:t>nigra</w:t>
      </w:r>
      <w:proofErr w:type="spellEnd"/>
      <w:r w:rsidRPr="00765DAB">
        <w:rPr>
          <w:rFonts w:ascii="Arial" w:hAnsi="Arial" w:cs="Arial"/>
          <w:color w:val="000000" w:themeColor="text1"/>
          <w:sz w:val="20"/>
          <w:szCs w:val="20"/>
        </w:rPr>
        <w:t xml:space="preserve"> pars compacta treated with reserpine + THC (4 mg/kg) showing relative histoarchitectural distortion: Dopaminergic </w:t>
      </w:r>
      <w:proofErr w:type="spellStart"/>
      <w:r w:rsidRPr="00765DAB">
        <w:rPr>
          <w:rFonts w:ascii="Arial" w:hAnsi="Arial" w:cs="Arial"/>
          <w:color w:val="000000" w:themeColor="text1"/>
          <w:sz w:val="20"/>
          <w:szCs w:val="20"/>
        </w:rPr>
        <w:t>neurone</w:t>
      </w:r>
      <w:proofErr w:type="spellEnd"/>
      <w:r w:rsidRPr="00765DAB">
        <w:rPr>
          <w:rFonts w:ascii="Arial" w:hAnsi="Arial" w:cs="Arial"/>
          <w:color w:val="000000" w:themeColor="text1"/>
          <w:sz w:val="20"/>
          <w:szCs w:val="20"/>
        </w:rPr>
        <w:t xml:space="preserve"> (D); Pyknosis (P); Vacuolation (V) (H and E x400). </w:t>
      </w:r>
    </w:p>
    <w:p w14:paraId="74480E0D" w14:textId="77777777" w:rsidR="00C37BD3" w:rsidRPr="0009543A" w:rsidRDefault="00C37BD3" w:rsidP="00C37BD3">
      <w:pPr>
        <w:spacing w:before="240" w:after="0"/>
        <w:jc w:val="both"/>
        <w:rPr>
          <w:rFonts w:ascii="Times New Roman" w:hAnsi="Times New Roman" w:cs="Times New Roman"/>
          <w:color w:val="000000" w:themeColor="text1"/>
          <w:sz w:val="24"/>
          <w:szCs w:val="24"/>
        </w:rPr>
      </w:pPr>
    </w:p>
    <w:p w14:paraId="0B50015C" w14:textId="77777777" w:rsidR="00C37BD3" w:rsidRPr="0009543A" w:rsidRDefault="00C37BD3" w:rsidP="00C37BD3">
      <w:pPr>
        <w:jc w:val="center"/>
        <w:rPr>
          <w:rFonts w:ascii="Times New Roman" w:hAnsi="Times New Roman" w:cs="Times New Roman"/>
          <w:color w:val="000000" w:themeColor="text1"/>
          <w:sz w:val="24"/>
          <w:szCs w:val="24"/>
        </w:rPr>
      </w:pPr>
      <w:r w:rsidRPr="0009543A">
        <w:rPr>
          <w:noProof/>
          <w:color w:val="000000" w:themeColor="text1"/>
          <w14:ligatures w14:val="standardContextual"/>
        </w:rPr>
        <mc:AlternateContent>
          <mc:Choice Requires="wps">
            <w:drawing>
              <wp:anchor distT="0" distB="0" distL="114300" distR="114300" simplePos="0" relativeHeight="251681792" behindDoc="0" locked="0" layoutInCell="1" allowOverlap="1" wp14:anchorId="1EAD9064" wp14:editId="03891F0E">
                <wp:simplePos x="0" y="0"/>
                <wp:positionH relativeFrom="column">
                  <wp:posOffset>3260242</wp:posOffset>
                </wp:positionH>
                <wp:positionV relativeFrom="paragraph">
                  <wp:posOffset>1364890</wp:posOffset>
                </wp:positionV>
                <wp:extent cx="464317" cy="490163"/>
                <wp:effectExtent l="0" t="0" r="0" b="5715"/>
                <wp:wrapNone/>
                <wp:docPr id="373883703" name="Text Box 25"/>
                <wp:cNvGraphicFramePr/>
                <a:graphic xmlns:a="http://schemas.openxmlformats.org/drawingml/2006/main">
                  <a:graphicData uri="http://schemas.microsoft.com/office/word/2010/wordprocessingShape">
                    <wps:wsp>
                      <wps:cNvSpPr txBox="1"/>
                      <wps:spPr>
                        <a:xfrm>
                          <a:off x="0" y="0"/>
                          <a:ext cx="464317" cy="490163"/>
                        </a:xfrm>
                        <a:prstGeom prst="rect">
                          <a:avLst/>
                        </a:prstGeom>
                        <a:noFill/>
                        <a:ln w="6350">
                          <a:noFill/>
                        </a:ln>
                      </wps:spPr>
                      <wps:txbx>
                        <w:txbxContent>
                          <w:p w14:paraId="3C883C53" w14:textId="77777777" w:rsidR="00C37BD3" w:rsidRPr="0009543A" w:rsidRDefault="00C37BD3" w:rsidP="00C37BD3">
                            <w:pPr>
                              <w:rPr>
                                <w:rFonts w:ascii="Arial Black" w:hAnsi="Arial Black"/>
                                <w:color w:val="00B050"/>
                                <w:sz w:val="40"/>
                                <w:szCs w:val="40"/>
                              </w:rPr>
                            </w:pPr>
                            <w:r w:rsidRPr="0009543A">
                              <w:rPr>
                                <w:rFonts w:ascii="Arial Black" w:hAnsi="Arial Black"/>
                                <w:color w:val="00B050"/>
                                <w:sz w:val="40"/>
                                <w:szCs w:val="4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D9064" id="Text Box 25" o:spid="_x0000_s1037" type="#_x0000_t202" style="position:absolute;left:0;text-align:left;margin-left:256.7pt;margin-top:107.45pt;width:36.55pt;height:38.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JGOAIAAGEEAAAOAAAAZHJzL2Uyb0RvYy54bWysVE1v2zAMvQ/YfxB0X2zHzkeNOEXWIsOA&#10;oi2QDD0rshQbsEVNUmJnv36UnKRBt9Owi0KRNKn3HpnFfd825CiMrUEVNBnFlAjFoazVvqA/tusv&#10;c0qsY6pkDShR0JOw9H75+dOi07kYQwVNKQzBIsrmnS5o5ZzOo8jySrTMjkALhUEJpmUOr2YflYZ1&#10;WL1tonEcT6MOTKkNcGEteh+HIF2G+lIK7l6ktMKRpqD4NhdOE86dP6PlguV7w3RV8/Mz2D+8omW1&#10;wqbXUo/MMXIw9R+l2pobsCDdiEMbgZQ1FwEDokniD2g2FdMiYEFyrL7SZP9fWf58fDWkLguaztL5&#10;PJ3FKSWKtSjVVvSOfIWejCeepk7bHLM3GvNdj36U++K36PToe2la/4u4CMaR8NOVZF+NozObZmky&#10;o4RjKLuLk2nqq0TvH2tj3TcBLfFGQQ1qGKhlxyfrhtRLiu+lYF03TdCxUaQr6DSdxOGDawSLNwp7&#10;eAjDU73l+l0fkCdXHDsoTwjPwDAnVvN1jY94Yta9MoODgYhw2N0LHrIBbAZni5IKzK+/+X0+6oVR&#10;SjoctILanwdmBCXNd4VK3iVZ5iczXLLJbIwXcxvZ3UbUoX0AnOUE10rzYPp811xMaaB9w51Y+a4Y&#10;Yopj74K6i/nghvHHneJitQpJOIuauSe10dyX9rR6irf9GzP6rINDAZ/hMpIs/yDHkDsIsjo4kHXQ&#10;yhM9sHrmH+c4qH3eOb8ot/eQ9f7PsPwNAAD//wMAUEsDBBQABgAIAAAAIQDW4LjA4wAAAAsBAAAP&#10;AAAAZHJzL2Rvd25yZXYueG1sTI/BTsMwDIbvSLxD5EncWNqyTl1pOk2VJiQEh41duKWN11ZLnNJk&#10;W+HpCadxtP3p9/cX68lodsHR9ZYExPMIGFJjVU+tgMPH9jED5rwkJbUlFPCNDtbl/V0hc2WvtMPL&#10;3rcshJDLpYDO+yHn3DUdGunmdkAKt6MdjfRhHFuuRnkN4UbzJIqW3MiewodODlh12Jz2ZyPgtdq+&#10;y12dmOxHVy9vx83wdfhMhXiYTZtnYB4nf4PhTz+oQxmcansm5ZgWkMZPi4AKSOLFClgg0myZAqvD&#10;ZpXEwMuC/+9Q/gIAAP//AwBQSwECLQAUAAYACAAAACEAtoM4kv4AAADhAQAAEwAAAAAAAAAAAAAA&#10;AAAAAAAAW0NvbnRlbnRfVHlwZXNdLnhtbFBLAQItABQABgAIAAAAIQA4/SH/1gAAAJQBAAALAAAA&#10;AAAAAAAAAAAAAC8BAABfcmVscy8ucmVsc1BLAQItABQABgAIAAAAIQAXQUJGOAIAAGEEAAAOAAAA&#10;AAAAAAAAAAAAAC4CAABkcnMvZTJvRG9jLnhtbFBLAQItABQABgAIAAAAIQDW4LjA4wAAAAsBAAAP&#10;AAAAAAAAAAAAAAAAAJIEAABkcnMvZG93bnJldi54bWxQSwUGAAAAAAQABADzAAAAogUAAAAA&#10;" filled="f" stroked="f" strokeweight=".5pt">
                <v:textbox>
                  <w:txbxContent>
                    <w:p w14:paraId="3C883C53" w14:textId="77777777" w:rsidR="00C37BD3" w:rsidRPr="0009543A" w:rsidRDefault="00C37BD3" w:rsidP="00C37BD3">
                      <w:pPr>
                        <w:rPr>
                          <w:rFonts w:ascii="Arial Black" w:hAnsi="Arial Black"/>
                          <w:color w:val="00B050"/>
                          <w:sz w:val="40"/>
                          <w:szCs w:val="40"/>
                        </w:rPr>
                      </w:pPr>
                      <w:r w:rsidRPr="0009543A">
                        <w:rPr>
                          <w:rFonts w:ascii="Arial Black" w:hAnsi="Arial Black"/>
                          <w:color w:val="00B050"/>
                          <w:sz w:val="40"/>
                          <w:szCs w:val="40"/>
                        </w:rPr>
                        <w:t>D</w:t>
                      </w:r>
                    </w:p>
                  </w:txbxContent>
                </v:textbox>
              </v:shape>
            </w:pict>
          </mc:Fallback>
        </mc:AlternateContent>
      </w:r>
      <w:r w:rsidRPr="0009543A">
        <w:rPr>
          <w:noProof/>
          <w:color w:val="000000" w:themeColor="text1"/>
          <w14:ligatures w14:val="standardContextual"/>
        </w:rPr>
        <mc:AlternateContent>
          <mc:Choice Requires="wps">
            <w:drawing>
              <wp:anchor distT="0" distB="0" distL="114300" distR="114300" simplePos="0" relativeHeight="251680768" behindDoc="0" locked="0" layoutInCell="1" allowOverlap="1" wp14:anchorId="3E78FD94" wp14:editId="42A4F806">
                <wp:simplePos x="0" y="0"/>
                <wp:positionH relativeFrom="column">
                  <wp:posOffset>2825077</wp:posOffset>
                </wp:positionH>
                <wp:positionV relativeFrom="paragraph">
                  <wp:posOffset>1760486</wp:posOffset>
                </wp:positionV>
                <wp:extent cx="436520" cy="477795"/>
                <wp:effectExtent l="0" t="0" r="0" b="0"/>
                <wp:wrapNone/>
                <wp:docPr id="287002490" name="Text Box 24"/>
                <wp:cNvGraphicFramePr/>
                <a:graphic xmlns:a="http://schemas.openxmlformats.org/drawingml/2006/main">
                  <a:graphicData uri="http://schemas.microsoft.com/office/word/2010/wordprocessingShape">
                    <wps:wsp>
                      <wps:cNvSpPr txBox="1"/>
                      <wps:spPr>
                        <a:xfrm>
                          <a:off x="0" y="0"/>
                          <a:ext cx="436520" cy="477795"/>
                        </a:xfrm>
                        <a:prstGeom prst="rect">
                          <a:avLst/>
                        </a:prstGeom>
                        <a:noFill/>
                        <a:ln w="6350">
                          <a:noFill/>
                        </a:ln>
                      </wps:spPr>
                      <wps:txbx>
                        <w:txbxContent>
                          <w:p w14:paraId="517F176A"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8FD94" id="Text Box 24" o:spid="_x0000_s1038" type="#_x0000_t202" style="position:absolute;left:0;text-align:left;margin-left:222.45pt;margin-top:138.6pt;width:34.35pt;height:3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H+NwIAAGEEAAAOAAAAZHJzL2Uyb0RvYy54bWysVFFv2jAQfp+0/2D5fSSkAUpEqFgrpkmo&#10;rQRTn41jk0iJz7MNCfv1OzuEom5P017M+e7y3d33nVk8dE1NTsLYClROx6OYEqE4FJU65PTHbv3l&#10;nhLrmCpYDUrk9CwsfVh+/rRodSYSKKEuhCEIomzW6pyWzuksiiwvRcPsCLRQGJRgGubwag5RYViL&#10;6E0dJXE8jVowhTbAhbXofeqDdBnwpRTcvUhphSN1TrE3F04Tzr0/o+WCZQfDdFnxSxvsH7poWKWw&#10;6BXqiTlGjqb6A6qpuAEL0o04NBFIWXERZsBpxvGHabYl0yLMguRYfaXJ/j9Y/nx6NaQqcprcz+I4&#10;SefIkmINSrUTnSNfoSNJ6mlqtc0we6sx33XoR7kHv0Wnn76TpvG/OBfBOEKdryR7NI7O9G46STDC&#10;MZTOZrP5xKNE7x9rY903AQ3xRk4NahioZaeNdX3qkOJrKVhXdR10rBVpczq9m8Thg2sEwWuFNfwI&#10;favect2+C5OPk2GOPRRnHM9AvydW83WFTWyYda/M4GJg37js7gUPWQMWg4tFSQnm19/8Ph/1wigl&#10;LS5aTu3PIzOCkvq7QiXn4zRFWBcu6WTmuTG3kf1tRB2bR8BdHuOz0jyYPt/VgykNNG/4Jla+KoaY&#10;4lg7p24wH12//vimuFitQhLuomZuo7aae2hPq6d4170xoy86OBTwGYaVZNkHOfrcXpDV0YGsglae&#10;6J7VC/+4x0Hty5vzD+X2HrLe/xmWvwEAAP//AwBQSwMEFAAGAAgAAAAhADWN2MnkAAAACwEAAA8A&#10;AABkcnMvZG93bnJldi54bWxMj8tOwzAQRfdI/IM1SOyoUzfpI41TVZEqJEQXLd2wm8RuEhGPQ+y2&#10;ga/HrGA5ukf3nsk2o+nYVQ+utSRhOomAaaqsaqmWcHrbPS2BOY+ksLOkJXxpB5v8/i7DVNkbHfT1&#10;6GsWSsilKKHxvk85d1WjDbqJ7TWF7GwHgz6cQ83VgLdQbjouomjODbYUFhrsddHo6uN4MRJeit0e&#10;D6Uwy++ueH49b/vP03si5ePDuF0D83r0fzD86gd1yINTaS+kHOskxHG8CqgEsVgIYIFIprM5sFLC&#10;LBEx8Dzj/3/IfwAAAP//AwBQSwECLQAUAAYACAAAACEAtoM4kv4AAADhAQAAEwAAAAAAAAAAAAAA&#10;AAAAAAAAW0NvbnRlbnRfVHlwZXNdLnhtbFBLAQItABQABgAIAAAAIQA4/SH/1gAAAJQBAAALAAAA&#10;AAAAAAAAAAAAAC8BAABfcmVscy8ucmVsc1BLAQItABQABgAIAAAAIQCyJaH+NwIAAGEEAAAOAAAA&#10;AAAAAAAAAAAAAC4CAABkcnMvZTJvRG9jLnhtbFBLAQItABQABgAIAAAAIQA1jdjJ5AAAAAsBAAAP&#10;AAAAAAAAAAAAAAAAAJEEAABkcnMvZG93bnJldi54bWxQSwUGAAAAAAQABADzAAAAogUAAAAA&#10;" filled="f" stroked="f" strokeweight=".5pt">
                <v:textbox>
                  <w:txbxContent>
                    <w:p w14:paraId="517F176A"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V</w:t>
                      </w:r>
                    </w:p>
                  </w:txbxContent>
                </v:textbox>
              </v:shape>
            </w:pict>
          </mc:Fallback>
        </mc:AlternateContent>
      </w:r>
      <w:r w:rsidRPr="0009543A">
        <w:rPr>
          <w:noProof/>
          <w:color w:val="000000" w:themeColor="text1"/>
          <w14:ligatures w14:val="standardContextual"/>
        </w:rPr>
        <mc:AlternateContent>
          <mc:Choice Requires="wps">
            <w:drawing>
              <wp:anchor distT="0" distB="0" distL="114300" distR="114300" simplePos="0" relativeHeight="251678720" behindDoc="0" locked="0" layoutInCell="1" allowOverlap="1" wp14:anchorId="4DCBCF2D" wp14:editId="1ED7D8C0">
                <wp:simplePos x="0" y="0"/>
                <wp:positionH relativeFrom="column">
                  <wp:posOffset>1105222</wp:posOffset>
                </wp:positionH>
                <wp:positionV relativeFrom="paragraph">
                  <wp:posOffset>1146450</wp:posOffset>
                </wp:positionV>
                <wp:extent cx="341194" cy="586370"/>
                <wp:effectExtent l="0" t="0" r="0" b="4445"/>
                <wp:wrapNone/>
                <wp:docPr id="37025108" name="Text Box 23"/>
                <wp:cNvGraphicFramePr/>
                <a:graphic xmlns:a="http://schemas.openxmlformats.org/drawingml/2006/main">
                  <a:graphicData uri="http://schemas.microsoft.com/office/word/2010/wordprocessingShape">
                    <wps:wsp>
                      <wps:cNvSpPr txBox="1"/>
                      <wps:spPr>
                        <a:xfrm>
                          <a:off x="0" y="0"/>
                          <a:ext cx="341194" cy="586370"/>
                        </a:xfrm>
                        <a:prstGeom prst="rect">
                          <a:avLst/>
                        </a:prstGeom>
                        <a:noFill/>
                        <a:ln w="6350">
                          <a:noFill/>
                        </a:ln>
                      </wps:spPr>
                      <wps:txbx>
                        <w:txbxContent>
                          <w:p w14:paraId="13B2207E" w14:textId="77777777" w:rsidR="00C37BD3" w:rsidRPr="0009543A" w:rsidRDefault="00C37BD3" w:rsidP="00C37BD3">
                            <w:pPr>
                              <w:rPr>
                                <w:rFonts w:ascii="Arial Black" w:hAnsi="Arial Black"/>
                                <w:color w:val="00B050"/>
                                <w:sz w:val="40"/>
                                <w:szCs w:val="40"/>
                              </w:rPr>
                            </w:pPr>
                            <w:r w:rsidRPr="0009543A">
                              <w:rPr>
                                <w:rFonts w:ascii="Arial Black" w:hAnsi="Arial Black"/>
                                <w:color w:val="00B05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CBCF2D" id="Text Box 23" o:spid="_x0000_s1039" type="#_x0000_t202" style="position:absolute;left:0;text-align:left;margin-left:87.05pt;margin-top:90.25pt;width:26.85pt;height:46.1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7KFNQIAAGAEAAAOAAAAZHJzL2Uyb0RvYy54bWysVE1v2zAMvQ/YfxB0X2znq20Qp8haZBhQ&#10;tAWSoWdFlmIDkqhJSuzs14+SkzTodhp2USiSJvXeIzO/77QiB+F8A6akxSCnRBgOVWN2Jf2xWX25&#10;pcQHZiqmwIiSHoWn94vPn+atnYkh1KAq4QgWMX7W2pLWIdhZlnleC838AKwwGJTgNAt4dbuscqzF&#10;6lplwzyfZi24yjrgwnv0PvZBukj1pRQ8vEjpRSCqpPi2kE6Xzm08s8WczXaO2brhp2ewf3iFZo3B&#10;ppdSjywwsnfNH6V0wx14kGHAQWcgZcNFwoBoivwDmnXNrEhYkBxvLzT5/1eWPx9eHWmqko5u8uGk&#10;yFEvwzQqtRFdIF+hI8NRZKm1fobJa4vpoUM/qn32e3RG8J10Ov4iLIJx5Pt44ThW4+gcjYvibkwJ&#10;x9DkdopdY5Xs/WPrfPgmQJNolNShhIlZdnjyoU89p8ReBlaNUklGZUhb0ulokqcPLhEsrgz2iBD6&#10;p0YrdNsuAS8u+LZQHRGeg35MvOWrBh/xxHx4ZQ7nAhHhrIcXPKQCbAYni5Ia3K+/+WM+yoVRSlqc&#10;s5L6n3vmBCXqu0Eh74rxOA5muownN0O8uOvI9jpi9voBcJQL3CrLkxnzgzqb0oF+w5VYxq4YYoZj&#10;75KGs/kQ+unHleJiuUxJOIqWhSeztjyWjrRGijfdG3P2pENAAZ/hPJFs9kGOPrcXZLkPIJukVSS6&#10;Z/XEP45xUvu0cnFPru8p6/2PYfEbAAD//wMAUEsDBBQABgAIAAAAIQC7+IIb4AAAAAsBAAAPAAAA&#10;ZHJzL2Rvd25yZXYueG1sTI/BTsMwEETvSPyDtUjcqFOLkijEqapIFRKCQ0sv3Jx4m0TE6xC7beDr&#10;WU5wm9E+zc4U69kN4oxT6D1pWC4SEEiNtz21Gg5v27sMRIiGrBk8oYYvDLAur68Kk1t/oR2e97EV&#10;HEIhNxq6GMdcytB06ExY+BGJb0c/ORPZTq20k7lwuBukSpIH6UxP/KEzI1YdNh/7k9PwXG1fza5W&#10;LvseqqeX42b8PLyvtL69mTePICLO8Q+G3/pcHUruVPsT2SAG9un9klEWWbICwYRSKY+pWaQqA1kW&#10;8v+G8gcAAP//AwBQSwECLQAUAAYACAAAACEAtoM4kv4AAADhAQAAEwAAAAAAAAAAAAAAAAAAAAAA&#10;W0NvbnRlbnRfVHlwZXNdLnhtbFBLAQItABQABgAIAAAAIQA4/SH/1gAAAJQBAAALAAAAAAAAAAAA&#10;AAAAAC8BAABfcmVscy8ucmVsc1BLAQItABQABgAIAAAAIQAZg7KFNQIAAGAEAAAOAAAAAAAAAAAA&#10;AAAAAC4CAABkcnMvZTJvRG9jLnhtbFBLAQItABQABgAIAAAAIQC7+IIb4AAAAAsBAAAPAAAAAAAA&#10;AAAAAAAAAI8EAABkcnMvZG93bnJldi54bWxQSwUGAAAAAAQABADzAAAAnAUAAAAA&#10;" filled="f" stroked="f" strokeweight=".5pt">
                <v:textbox>
                  <w:txbxContent>
                    <w:p w14:paraId="13B2207E" w14:textId="77777777" w:rsidR="00C37BD3" w:rsidRPr="0009543A" w:rsidRDefault="00C37BD3" w:rsidP="00C37BD3">
                      <w:pPr>
                        <w:rPr>
                          <w:rFonts w:ascii="Arial Black" w:hAnsi="Arial Black"/>
                          <w:color w:val="00B050"/>
                          <w:sz w:val="40"/>
                          <w:szCs w:val="40"/>
                        </w:rPr>
                      </w:pPr>
                      <w:r w:rsidRPr="0009543A">
                        <w:rPr>
                          <w:rFonts w:ascii="Arial Black" w:hAnsi="Arial Black"/>
                          <w:color w:val="00B050"/>
                          <w:sz w:val="40"/>
                          <w:szCs w:val="40"/>
                        </w:rPr>
                        <w:t>P</w:t>
                      </w:r>
                    </w:p>
                  </w:txbxContent>
                </v:textbox>
              </v:shape>
            </w:pict>
          </mc:Fallback>
        </mc:AlternateContent>
      </w:r>
      <w:r w:rsidRPr="0009543A">
        <w:rPr>
          <w:noProof/>
          <w:color w:val="000000" w:themeColor="text1"/>
        </w:rPr>
        <mc:AlternateContent>
          <mc:Choice Requires="wps">
            <w:drawing>
              <wp:anchor distT="0" distB="0" distL="114300" distR="114300" simplePos="0" relativeHeight="251662336" behindDoc="0" locked="0" layoutInCell="1" allowOverlap="1" wp14:anchorId="59A30AB3" wp14:editId="5EDE63C5">
                <wp:simplePos x="0" y="0"/>
                <wp:positionH relativeFrom="column">
                  <wp:posOffset>3430905</wp:posOffset>
                </wp:positionH>
                <wp:positionV relativeFrom="paragraph">
                  <wp:posOffset>1761177</wp:posOffset>
                </wp:positionV>
                <wp:extent cx="20990" cy="662296"/>
                <wp:effectExtent l="114300" t="0" r="93345" b="62230"/>
                <wp:wrapNone/>
                <wp:docPr id="1535741257" name="Straight Arrow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90" cy="662296"/>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5F9C8E" id="Straight Arrow Connector 33" o:spid="_x0000_s1026" type="#_x0000_t32" style="position:absolute;margin-left:270.15pt;margin-top:138.7pt;width:1.65pt;height:52.1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6IOdwIAAFcFAAAOAAAAZHJzL2Uyb0RvYy54bWysVMtuGyEU3VfqPyD2zjz8tjKOYidpF2lr&#10;1e0HEAZsVAYQEI+tqv/eC4wndbNpqy6G4XXuPedw4frm2Eh0YNYJrSpcXOUYMUV1LdSuwl+/PAxm&#10;GDlPVE2kVqzCJ+bwzfLtm+vWLFip91rWzCIIotyiNRXee28WWebonjXEXWnDFCxybRviYWh3WW1J&#10;C9EbmZV5PslabWtjNWXOwexdWsTLGJ9zRv0nzh3zSFYYuPnY2tg+hTZbXpPFzhKzF7SjQf6BRUOE&#10;gqR9qDviCXq24lWoRlCrneb+iuom05wLyqIGUFPkv6nZ7olhUQuY40xvk/t/YenHw8YiUcPZjYfj&#10;6agox1OMFGngrLbeErHbe3RrrW7RWisFfmqLhsOolR39o/NBNfSS2u/rYja8mz5MBqvRfDYYDVfD&#10;wXw0Ww2KaTlbjcvb28n96EdA14wu4NOWeHFgZ+th5s+0dVUQXJtmL3EwOhA46SKcaxZ5nf+RadYa&#10;t4iSQ4HE7lptbJBAj2prHjX95gL0YjEMnEnbjtw2iEth3ocsAQhniI6xoE59QQU/KEyW+XwOVUdh&#10;ZTIpy/mk4xWiBKyxzr9jukGhU2HXGd47nTKQA5BPgs6AAJYKtRUe57M8j0SclqJ+EFKGxXiB2Fra&#10;ZAihlCmfwsnn5oOu0/x0nAM6xe4h0bKLaJ4Iea9q5E8G6sJbQdROsg4nVWdY8ii65U+SJY6fGYfy&#10;Ai9S8j7JJa/EQCrYHWAcVPTATl14EV4LSsBuf4CyeOn/BtwjYmatfA9uhNI2eXuZ3R/PFcbT/rMD&#10;SXew4EnXp40N9MIIbm90tXtpwvPw6zjuenkPlz8BAAD//wMAUEsDBBQABgAIAAAAIQBBa2DF4wAA&#10;AAsBAAAPAAAAZHJzL2Rvd25yZXYueG1sTI/BTsJAEEDvJv7DZky8yba0UFK7JWqiFw4GBBJuS3dt&#10;i93ZurtA4esdT3qczMubN8V8MB07aedbiwLiUQRMY2VVi7WA9cfrwwyYDxKV7CxqARftYV7e3hQy&#10;V/aMS31ahZqRBH0uBTQh9Dnnvmq0kX5ke420+7TOyECjq7ly8kxy0/FxFE25kS3ShUb2+qXR1dfq&#10;aASM37fb9e7tcpXPi/5w+MbYXRcbIe7vhqdHYEEP4Q+G33xKh5Ka9vaIyrNOwCSNEkJJlmUpMCIm&#10;aTIFtheQzOIMeFnw/z+UPwAAAP//AwBQSwECLQAUAAYACAAAACEAtoM4kv4AAADhAQAAEwAAAAAA&#10;AAAAAAAAAAAAAAAAW0NvbnRlbnRfVHlwZXNdLnhtbFBLAQItABQABgAIAAAAIQA4/SH/1gAAAJQB&#10;AAALAAAAAAAAAAAAAAAAAC8BAABfcmVscy8ucmVsc1BLAQItABQABgAIAAAAIQBFZ6IOdwIAAFcF&#10;AAAOAAAAAAAAAAAAAAAAAC4CAABkcnMvZTJvRG9jLnhtbFBLAQItABQABgAIAAAAIQBBa2DF4wAA&#10;AAsBAAAPAAAAAAAAAAAAAAAAANEEAABkcnMvZG93bnJldi54bWxQSwUGAAAAAAQABADzAAAA4QUA&#10;AAAA&#10;" strokecolor="#365f91 [2404]" strokeweight="4pt">
                <v:stroke endarrow="block"/>
                <o:lock v:ext="edit" shapetype="f"/>
              </v:shape>
            </w:pict>
          </mc:Fallback>
        </mc:AlternateContent>
      </w:r>
      <w:r w:rsidRPr="0009543A">
        <w:rPr>
          <w:noProof/>
          <w:color w:val="000000" w:themeColor="text1"/>
        </w:rPr>
        <mc:AlternateContent>
          <mc:Choice Requires="wps">
            <w:drawing>
              <wp:anchor distT="0" distB="0" distL="114300" distR="114300" simplePos="0" relativeHeight="251667456" behindDoc="0" locked="0" layoutInCell="1" allowOverlap="1" wp14:anchorId="14A6683E" wp14:editId="4EF9C6AC">
                <wp:simplePos x="0" y="0"/>
                <wp:positionH relativeFrom="column">
                  <wp:posOffset>2995248</wp:posOffset>
                </wp:positionH>
                <wp:positionV relativeFrom="paragraph">
                  <wp:posOffset>2131117</wp:posOffset>
                </wp:positionV>
                <wp:extent cx="20990" cy="662296"/>
                <wp:effectExtent l="114300" t="0" r="93345" b="62230"/>
                <wp:wrapNone/>
                <wp:docPr id="1618577893" name="Straight Arrow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90" cy="662296"/>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E11231" id="Straight Arrow Connector 33" o:spid="_x0000_s1026" type="#_x0000_t32" style="position:absolute;margin-left:235.85pt;margin-top:167.8pt;width:1.65pt;height:52.1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tTeAIAAFcFAAAOAAAAZHJzL2Uyb0RvYy54bWysVF1v2yAUfZ+0/4B4T+04ieNEdaombbeH&#10;bqvW7QdQDAkaBgQ0TjTtv+8CjrusL9u0B2O+zr3nHC5cXh1aifbMOqFVjccXOUZMUd0Ita3x1y93&#10;owoj54lqiNSK1fjIHL5avX1z2ZklK/ROy4ZZBEGUW3amxjvvzTLLHN2xlrgLbZiCRa5tSzwM7TZr&#10;LOkgeiuzIs/LrNO2MVZT5hzM3qRFvIrxOWfUf+LcMY9kjYGbj62N7VNos9UlWW4tMTtBexrkH1i0&#10;RChIOoS6IZ6gZytehWoFtdpp7i+objPNuaAsagA14/w3NY87YljUAuY4M9jk/l9Y+nH/YJFo4OzK&#10;cTWbz6vFBCNFWjirR2+J2O48urZWd2ijlQI/tUWTSdTKDv7e+aAaeknt9824mtzM78rRerqoRtPJ&#10;ejJaTKv1aDwvqvWsuL4ub6c/ArphdAmftsSLPTtZDzN/pq2vguDaPHuJg9GewEmPw7lmkdfpH5lm&#10;nXHLKDkUSOxu1IMNEuhBPZp7Tb+5AD1bDANn0rYDty3iUpj3IUsAwhmiQyyo41BQwQ8Kk0W+WEDV&#10;UVgpy6JYlD2vECVgjXX+HdMtCp0au97wwemUgeyBfBJ0AgSwVKir8Syv8jwScVqK5k5IGRbjBWIb&#10;aZMhhFKmfAonn9sPuknz81kO6BR7gETLzqJ5IuStapA/GqgLbwVRW8l6nFS9Ycmj6JY/SpY4fmYc&#10;ygu8SMmHJOe8EgOpYHeAcVAxAHt14UV4LSgB+/0ByuKl/xvwgIiZtfIDuBVK2+TteXZ/OFUYT/tP&#10;DiTdwYIn3RwfbKAXRnB7o6v9SxOeh1/HcdfLe7j6CQAA//8DAFBLAwQUAAYACAAAACEA6Rss+eQA&#10;AAALAQAADwAAAGRycy9kb3ducmV2LnhtbEyPwU7CQBCG7ya+w2ZMvMm2FKjUboma6IWDEZHE29Cu&#10;bbE7W3cXKDy940lvM5kv/3x/vhhMJw7a+daSgngUgdBU2qqlWsH67enmFoQPSBV2lrSCk/awKC4v&#10;cswqe6RXfViFWnAI+QwVNCH0mZS+bLRBP7K9Jr59Wmcw8OpqWTk8crjp5DiKZtJgS/yhwV4/Nrr8&#10;Wu2NgvHLZrP+eD6d8WHZ73bfFLvz8l2p66vh/g5E0EP4g+FXn9WhYKet3VPlRadgksYpowqSZDoD&#10;wcQknXK7LQ/JfA6yyOX/DsUPAAAA//8DAFBLAQItABQABgAIAAAAIQC2gziS/gAAAOEBAAATAAAA&#10;AAAAAAAAAAAAAAAAAABbQ29udGVudF9UeXBlc10ueG1sUEsBAi0AFAAGAAgAAAAhADj9If/WAAAA&#10;lAEAAAsAAAAAAAAAAAAAAAAALwEAAF9yZWxzLy5yZWxzUEsBAi0AFAAGAAgAAAAhAOMle1N4AgAA&#10;VwUAAA4AAAAAAAAAAAAAAAAALgIAAGRycy9lMm9Eb2MueG1sUEsBAi0AFAAGAAgAAAAhAOkbLPnk&#10;AAAACwEAAA8AAAAAAAAAAAAAAAAA0gQAAGRycy9kb3ducmV2LnhtbFBLBQYAAAAABAAEAPMAAADj&#10;BQAAAAA=&#10;" strokecolor="#365f91 [2404]" strokeweight="4pt">
                <v:stroke endarrow="block"/>
                <o:lock v:ext="edit" shapetype="f"/>
              </v:shape>
            </w:pict>
          </mc:Fallback>
        </mc:AlternateContent>
      </w:r>
      <w:r w:rsidRPr="0009543A">
        <w:rPr>
          <w:noProof/>
          <w:color w:val="000000" w:themeColor="text1"/>
        </w:rPr>
        <mc:AlternateContent>
          <mc:Choice Requires="wps">
            <w:drawing>
              <wp:anchor distT="0" distB="0" distL="114300" distR="114300" simplePos="0" relativeHeight="251659264" behindDoc="0" locked="0" layoutInCell="1" allowOverlap="1" wp14:anchorId="5F479E82" wp14:editId="5998BBE3">
                <wp:simplePos x="0" y="0"/>
                <wp:positionH relativeFrom="column">
                  <wp:posOffset>1240790</wp:posOffset>
                </wp:positionH>
                <wp:positionV relativeFrom="paragraph">
                  <wp:posOffset>1554158</wp:posOffset>
                </wp:positionV>
                <wp:extent cx="20990" cy="662296"/>
                <wp:effectExtent l="114300" t="0" r="93345" b="62230"/>
                <wp:wrapNone/>
                <wp:docPr id="1537874328" name="Straight Arrow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90" cy="662296"/>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DD85D8" id="Straight Arrow Connector 33" o:spid="_x0000_s1026" type="#_x0000_t32" style="position:absolute;margin-left:97.7pt;margin-top:122.35pt;width:1.65pt;height:52.1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KqeAIAAFcFAAAOAAAAZHJzL2Uyb0RvYy54bWysVF1v0zAUfUfiP1h575Im/UijpdPabfAw&#10;oKLwAzzHbi0c27K9phXiv3NtpxllL4B4aOqvc+855177+ubYCnSgxnIl62R8lSWISqIaLnd18vXL&#10;w6hMkHVYNlgoSevkRG1ys3z75rrTFc3VXomGGgRBpK06XSd753SVppbsaYvtldJUwiZTpsUOpmaX&#10;NgZ3EL0VaZ5ls7RTptFGEWotrN7FzWQZ4jNGifvEmKUOiToBbi58Tfg++W+6vMbVzmC956Sngf+B&#10;RYu5hKRDqDvsMHo2/FWolhOjrGLuiqg2VYxxQoMGUDPOflOz3WNNgxYwx+rBJvv/wpKPh41BvIHa&#10;TYt5OZ8UOVRM4hZqtXUG893eoVtjVIfWSkrwUxlUFEErPbpH67xqGEW139fjsribP8xGq8miHE2K&#10;VTFaTMrVaDzPy9U0v72d3U9+eHRDSQU/ZbDjB3q2Hlb+TFvfBd61efoSJ0EHDJUe+7qmgdf5PzBN&#10;O22rINk3SBiu5cZ4CeQot/pRkW/WQy82/cTqeOzITIuY4Pq9z+KBUEN0DA11GhrK+0FgMc8WC+g6&#10;AjuzWZ4vZj0vH8VjtbHuHVUt8oM6sb3hg9MxAz4A+SjoDPBgIVFXJ9OszLJAxCrBmwcuhN8MF4iu&#10;hYmGYEKodDGceG4/qCauz6cZoGPsARIsu4jmMBf3skHupKEvnOFY7gTtcUL2hkWPglvuJGjk+Jky&#10;aC/wIiYfklzyigyEhNMexkDFAOzV+RfhtaAI7M97KA2X/m/AAyJkVtIN4JZLZaK3l9nd8dxhLJ4/&#10;OxB1ewueVHPaGE/Pz+D2Blf7l8Y/D7/Ow6mX93D5EwAA//8DAFBLAwQUAAYACAAAACEAvfRtO+IA&#10;AAALAQAADwAAAGRycy9kb3ducmV2LnhtbEyPwU7DMAyG70i8Q2QkbizdKLCWphMgwWUHxBiTuGWN&#10;aTsapyTZ1u3p8U5w8y//+vy5mA22Ezv0oXWkYDxKQCBVzrRUK1i+P19NQYSoyejOESo4YIBZeX5W&#10;6Ny4Pb3hbhFrwRAKuVbQxNjnUoaqQavDyPVIvPty3urI0dfSeL1nuO3kJElupdUt8YVG9/jUYPW9&#10;2FoFk9fVavn5cjjqx3m/2fzQ2B/nH0pdXgwP9yAiDvGvDCd9VoeSndZuSyaIjnN2k3KVYWl6B+LU&#10;yKY8rBVcp1kCsizk/x/KXwAAAP//AwBQSwECLQAUAAYACAAAACEAtoM4kv4AAADhAQAAEwAAAAAA&#10;AAAAAAAAAAAAAAAAW0NvbnRlbnRfVHlwZXNdLnhtbFBLAQItABQABgAIAAAAIQA4/SH/1gAAAJQB&#10;AAALAAAAAAAAAAAAAAAAAC8BAABfcmVscy8ucmVsc1BLAQItABQABgAIAAAAIQCcsKKqeAIAAFcF&#10;AAAOAAAAAAAAAAAAAAAAAC4CAABkcnMvZTJvRG9jLnhtbFBLAQItABQABgAIAAAAIQC99G074gAA&#10;AAsBAAAPAAAAAAAAAAAAAAAAANIEAABkcnMvZG93bnJldi54bWxQSwUGAAAAAAQABADzAAAA4QUA&#10;AAAA&#10;" strokecolor="#365f91 [2404]" strokeweight="4pt">
                <v:stroke endarrow="block"/>
                <o:lock v:ext="edit" shapetype="f"/>
              </v:shape>
            </w:pict>
          </mc:Fallback>
        </mc:AlternateContent>
      </w:r>
      <w:r w:rsidRPr="0009543A">
        <w:rPr>
          <w:rFonts w:ascii="Times New Roman" w:hAnsi="Times New Roman" w:cs="Times New Roman"/>
          <w:noProof/>
          <w:color w:val="000000" w:themeColor="text1"/>
          <w:sz w:val="24"/>
          <w:szCs w:val="24"/>
        </w:rPr>
        <w:drawing>
          <wp:inline distT="0" distB="0" distL="0" distR="0" wp14:anchorId="536CEB6D" wp14:editId="4CA87453">
            <wp:extent cx="4394579" cy="3296178"/>
            <wp:effectExtent l="0" t="0" r="6350" b="0"/>
            <wp:docPr id="1187889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20403" cy="3315547"/>
                    </a:xfrm>
                    <a:prstGeom prst="rect">
                      <a:avLst/>
                    </a:prstGeom>
                    <a:noFill/>
                    <a:ln>
                      <a:noFill/>
                    </a:ln>
                  </pic:spPr>
                </pic:pic>
              </a:graphicData>
            </a:graphic>
          </wp:inline>
        </w:drawing>
      </w:r>
    </w:p>
    <w:p w14:paraId="1750EAFC" w14:textId="2FC246DB" w:rsidR="00C37BD3" w:rsidRPr="00765DAB" w:rsidRDefault="00C37BD3" w:rsidP="00C37BD3">
      <w:pPr>
        <w:spacing w:line="240" w:lineRule="auto"/>
        <w:jc w:val="both"/>
        <w:rPr>
          <w:rFonts w:ascii="Arial" w:hAnsi="Arial" w:cs="Arial"/>
          <w:color w:val="000000" w:themeColor="text1"/>
          <w:sz w:val="20"/>
          <w:szCs w:val="20"/>
        </w:rPr>
      </w:pPr>
      <w:r w:rsidRPr="00765DAB">
        <w:rPr>
          <w:rFonts w:ascii="Arial" w:hAnsi="Arial" w:cs="Arial"/>
          <w:b/>
          <w:bCs/>
          <w:color w:val="000000" w:themeColor="text1"/>
          <w:sz w:val="20"/>
          <w:szCs w:val="20"/>
        </w:rPr>
        <w:t xml:space="preserve">Plate </w:t>
      </w:r>
      <w:r w:rsidR="00014030">
        <w:rPr>
          <w:rFonts w:ascii="Arial" w:hAnsi="Arial" w:cs="Arial"/>
          <w:b/>
          <w:bCs/>
          <w:color w:val="000000" w:themeColor="text1"/>
          <w:sz w:val="20"/>
          <w:szCs w:val="20"/>
        </w:rPr>
        <w:t>7</w:t>
      </w:r>
      <w:r w:rsidRPr="00765DAB">
        <w:rPr>
          <w:rFonts w:ascii="Arial" w:hAnsi="Arial" w:cs="Arial"/>
          <w:color w:val="000000" w:themeColor="text1"/>
          <w:sz w:val="20"/>
          <w:szCs w:val="20"/>
        </w:rPr>
        <w:t xml:space="preserve">: A section of the substantia </w:t>
      </w:r>
      <w:proofErr w:type="spellStart"/>
      <w:r w:rsidRPr="00765DAB">
        <w:rPr>
          <w:rFonts w:ascii="Arial" w:hAnsi="Arial" w:cs="Arial"/>
          <w:color w:val="000000" w:themeColor="text1"/>
          <w:sz w:val="20"/>
          <w:szCs w:val="20"/>
        </w:rPr>
        <w:t>nigra</w:t>
      </w:r>
      <w:proofErr w:type="spellEnd"/>
      <w:r w:rsidRPr="00765DAB">
        <w:rPr>
          <w:rFonts w:ascii="Arial" w:hAnsi="Arial" w:cs="Arial"/>
          <w:color w:val="000000" w:themeColor="text1"/>
          <w:sz w:val="20"/>
          <w:szCs w:val="20"/>
        </w:rPr>
        <w:t xml:space="preserve"> pars compacta treated with reserpine + THC (6 mg/kg) showing relative histoarchitectural distortion: Dopaminergic </w:t>
      </w:r>
      <w:proofErr w:type="spellStart"/>
      <w:r w:rsidRPr="00765DAB">
        <w:rPr>
          <w:rFonts w:ascii="Arial" w:hAnsi="Arial" w:cs="Arial"/>
          <w:color w:val="000000" w:themeColor="text1"/>
          <w:sz w:val="20"/>
          <w:szCs w:val="20"/>
        </w:rPr>
        <w:t>neurone</w:t>
      </w:r>
      <w:proofErr w:type="spellEnd"/>
      <w:r w:rsidRPr="00765DAB">
        <w:rPr>
          <w:rFonts w:ascii="Arial" w:hAnsi="Arial" w:cs="Arial"/>
          <w:color w:val="000000" w:themeColor="text1"/>
          <w:sz w:val="20"/>
          <w:szCs w:val="20"/>
        </w:rPr>
        <w:t xml:space="preserve"> (D); Pyknosis (P); Vacuolation (V) (H and E x400).</w:t>
      </w:r>
    </w:p>
    <w:p w14:paraId="165380BE" w14:textId="77777777" w:rsidR="00C37BD3" w:rsidRPr="0009543A" w:rsidRDefault="00C37BD3" w:rsidP="00C37BD3">
      <w:pPr>
        <w:jc w:val="both"/>
        <w:rPr>
          <w:rFonts w:ascii="Times New Roman" w:hAnsi="Times New Roman" w:cs="Times New Roman"/>
          <w:color w:val="000000" w:themeColor="text1"/>
          <w:sz w:val="24"/>
          <w:szCs w:val="24"/>
        </w:rPr>
      </w:pPr>
    </w:p>
    <w:p w14:paraId="1C7EBF89" w14:textId="77777777" w:rsidR="00C37BD3" w:rsidRPr="0009543A" w:rsidRDefault="00C37BD3" w:rsidP="00C37BD3">
      <w:pPr>
        <w:jc w:val="center"/>
        <w:rPr>
          <w:rFonts w:ascii="Times New Roman" w:hAnsi="Times New Roman" w:cs="Times New Roman"/>
          <w:color w:val="000000" w:themeColor="text1"/>
          <w:sz w:val="24"/>
          <w:szCs w:val="24"/>
        </w:rPr>
      </w:pPr>
      <w:r w:rsidRPr="0009543A">
        <w:rPr>
          <w:noProof/>
          <w:color w:val="000000" w:themeColor="text1"/>
          <w14:ligatures w14:val="standardContextual"/>
        </w:rPr>
        <mc:AlternateContent>
          <mc:Choice Requires="wps">
            <w:drawing>
              <wp:anchor distT="0" distB="0" distL="114300" distR="114300" simplePos="0" relativeHeight="251684864" behindDoc="0" locked="0" layoutInCell="1" allowOverlap="1" wp14:anchorId="07989D2B" wp14:editId="04D21FA4">
                <wp:simplePos x="0" y="0"/>
                <wp:positionH relativeFrom="column">
                  <wp:posOffset>2268855</wp:posOffset>
                </wp:positionH>
                <wp:positionV relativeFrom="paragraph">
                  <wp:posOffset>1758637</wp:posOffset>
                </wp:positionV>
                <wp:extent cx="409224" cy="450186"/>
                <wp:effectExtent l="0" t="0" r="0" b="7620"/>
                <wp:wrapNone/>
                <wp:docPr id="274049080" name="Text Box 29"/>
                <wp:cNvGraphicFramePr/>
                <a:graphic xmlns:a="http://schemas.openxmlformats.org/drawingml/2006/main">
                  <a:graphicData uri="http://schemas.microsoft.com/office/word/2010/wordprocessingShape">
                    <wps:wsp>
                      <wps:cNvSpPr txBox="1"/>
                      <wps:spPr>
                        <a:xfrm>
                          <a:off x="0" y="0"/>
                          <a:ext cx="409224" cy="450186"/>
                        </a:xfrm>
                        <a:prstGeom prst="rect">
                          <a:avLst/>
                        </a:prstGeom>
                        <a:noFill/>
                        <a:ln w="6350">
                          <a:noFill/>
                        </a:ln>
                      </wps:spPr>
                      <wps:txbx>
                        <w:txbxContent>
                          <w:p w14:paraId="3395333A"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89D2B" id="Text Box 29" o:spid="_x0000_s1040" type="#_x0000_t202" style="position:absolute;left:0;text-align:left;margin-left:178.65pt;margin-top:138.5pt;width:32.2pt;height:35.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0MAOAIAAGEEAAAOAAAAZHJzL2Uyb0RvYy54bWysVE2P2jAQvVfqf7B8L/loYAERVnRXVJXQ&#10;7kqw2rNxHBIp9ri2IaG/vmOHsGjbU9WLGc9M3vjNm2Fx38mGnISxNaicJqOYEqE4FLU65PR1t/4y&#10;pcQ6pgrWgBI5PQtL75efPy1aPRcpVNAUwhAEUXbe6pxWzul5FFleCcnsCLRQGCzBSObwag5RYViL&#10;6LKJ0jieRC2YQhvgwlr0PvZBugz4ZSm4ey5LKxxpcopvc+E04dz7M1ou2PxgmK5qfnkG+4dXSFYr&#10;LHqFemSOkaOp/4CSNTdgoXQjDjKCsqy5CByQTRJ/YLOtmBaBCzbH6mub7P+D5U+nF0PqIqfpXRZn&#10;s3iKXVJMolQ70TnyDTqSznybWm3nmL3VmO869KPcg9+i07PvSiP9L/IiGEeo87XJHo2jM4tnaZpR&#10;wjGUjeNkOvEo0fvH2lj3XYAk3sipQQ1Da9lpY12fOqT4WgrWddMEHRtF2pxOvo7j8ME1guCNwhqe&#10;Qv9Ub7lu3wXmSTbw2ENxRnoG+jmxmq9rfMSGWffCDA4GMsJhd894lA1gMbhYlFRgfv3N7/NRL4xS&#10;0uKg5dT+PDIjKGl+KFRylmSZn8xwycZ3KV7MbWR/G1FH+QA4ywmulebB9PmuGczSgHzDnVj5qhhi&#10;imPtnLrBfHD9+ONOcbFahSScRc3cRm0199C+rb7Fu+6NGX3RwaGATzCMJJt/kKPP7QVZHR2UddDK&#10;N7rv6qX/OMdB7cvO+UW5vYes93+G5W8AAAD//wMAUEsDBBQABgAIAAAAIQDcM6M24wAAAAsBAAAP&#10;AAAAZHJzL2Rvd25yZXYueG1sTI/BTsMwEETvSPyDtUjcqNO0xSWNU1WRKiQEh5ZeuDmxm0S11yF2&#10;28DXs5zguJqn2Tf5enSWXcwQOo8SppMEmMHa6w4bCYf37cMSWIgKtbIejYQvE2Bd3N7kKtP+ijtz&#10;2ceGUQmGTEloY+wzzkPdGqfCxPcGKTv6walI59BwPagrlTvL0yR55E51SB9a1ZuyNfVpf3YSXsrt&#10;m9pVqVt+2/L59bjpPw8fCynv78bNClg0Y/yD4Vef1KEgp8qfUQdmJcwWYkaohFQIGkXEPJ0KYBVF&#10;c/EEvMj5/w3FDwAAAP//AwBQSwECLQAUAAYACAAAACEAtoM4kv4AAADhAQAAEwAAAAAAAAAAAAAA&#10;AAAAAAAAW0NvbnRlbnRfVHlwZXNdLnhtbFBLAQItABQABgAIAAAAIQA4/SH/1gAAAJQBAAALAAAA&#10;AAAAAAAAAAAAAC8BAABfcmVscy8ucmVsc1BLAQItABQABgAIAAAAIQBza0MAOAIAAGEEAAAOAAAA&#10;AAAAAAAAAAAAAC4CAABkcnMvZTJvRG9jLnhtbFBLAQItABQABgAIAAAAIQDcM6M24wAAAAsBAAAP&#10;AAAAAAAAAAAAAAAAAJIEAABkcnMvZG93bnJldi54bWxQSwUGAAAAAAQABADzAAAAogUAAAAA&#10;" filled="f" stroked="f" strokeweight=".5pt">
                <v:textbox>
                  <w:txbxContent>
                    <w:p w14:paraId="3395333A"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D</w:t>
                      </w:r>
                    </w:p>
                  </w:txbxContent>
                </v:textbox>
              </v:shape>
            </w:pict>
          </mc:Fallback>
        </mc:AlternateContent>
      </w:r>
      <w:r w:rsidRPr="0009543A">
        <w:rPr>
          <w:noProof/>
          <w:color w:val="000000" w:themeColor="text1"/>
          <w14:ligatures w14:val="standardContextual"/>
        </w:rPr>
        <mc:AlternateContent>
          <mc:Choice Requires="wps">
            <w:drawing>
              <wp:anchor distT="0" distB="0" distL="114300" distR="114300" simplePos="0" relativeHeight="251683840" behindDoc="0" locked="0" layoutInCell="1" allowOverlap="1" wp14:anchorId="0C147FB8" wp14:editId="09745E9C">
                <wp:simplePos x="0" y="0"/>
                <wp:positionH relativeFrom="column">
                  <wp:posOffset>2101177</wp:posOffset>
                </wp:positionH>
                <wp:positionV relativeFrom="paragraph">
                  <wp:posOffset>313633</wp:posOffset>
                </wp:positionV>
                <wp:extent cx="462564" cy="477473"/>
                <wp:effectExtent l="0" t="0" r="0" b="0"/>
                <wp:wrapNone/>
                <wp:docPr id="573303144" name="Text Box 28"/>
                <wp:cNvGraphicFramePr/>
                <a:graphic xmlns:a="http://schemas.openxmlformats.org/drawingml/2006/main">
                  <a:graphicData uri="http://schemas.microsoft.com/office/word/2010/wordprocessingShape">
                    <wps:wsp>
                      <wps:cNvSpPr txBox="1"/>
                      <wps:spPr>
                        <a:xfrm>
                          <a:off x="0" y="0"/>
                          <a:ext cx="462564" cy="477473"/>
                        </a:xfrm>
                        <a:prstGeom prst="rect">
                          <a:avLst/>
                        </a:prstGeom>
                        <a:noFill/>
                        <a:ln w="6350">
                          <a:noFill/>
                        </a:ln>
                      </wps:spPr>
                      <wps:txbx>
                        <w:txbxContent>
                          <w:p w14:paraId="7DDB0D69"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47FB8" id="Text Box 28" o:spid="_x0000_s1041" type="#_x0000_t202" style="position:absolute;left:0;text-align:left;margin-left:165.45pt;margin-top:24.7pt;width:36.4pt;height:37.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N5NwIAAGEEAAAOAAAAZHJzL2Uyb0RvYy54bWysVFFv2jAQfp+0/2D5fSRAgDYiVKwV0yTU&#10;VoKpz8axSSTH59mGhP36nR2gqNvTtBdzvrvc+fu+O+YPXaPIUVhXgy7ocJBSIjSHstb7gv7Yrr7c&#10;UeI80yVToEVBT8LRh8XnT/PW5GIEFahSWIJFtMtbU9DKe5MnieOVaJgbgBEagxJswzxe7T4pLWux&#10;eqOSUZpOkxZsaSxw4Rx6n/ogXcT6UgruX6R0whNVUHybj6eN5y6cyWLO8r1lpqr5+RnsH17RsFpj&#10;02upJ+YZOdj6j1JNzS04kH7AoUlAypqLiAHRDNMPaDYVMyJiQXKcudLk/l9Z/nx8taQuCzqZjcfp&#10;eJhllGjWoFRb0XnyFToyugs0tcblmL0xmO879KPcF79DZ0DfSduEX8RFMI6En64kh2ocndl0NJli&#10;E46hbDbLZuNQJXn/2FjnvwloSDAKalHDSC07rp3vUy8poZeGVa1U1FFp0hZ0Op6k8YNrBIsrjT0C&#10;hP6pwfLdrovIh5MLjh2UJ4RnoZ8TZ/iqxkesmfOvzOJgICIcdv+Ch1SAzeBsUVKB/fU3f8hHvTBK&#10;SYuDVlD388CsoER916jkPVIeJjNesslshBd7G9ndRvSheQSc5SGuleHRDPleXUxpoXnDnViGrhhi&#10;mmPvgvqL+ej78ced4mK5jEk4i4b5td4YHkoHWgPF2+6NWXPWwaOAz3AZSZZ/kKPP7QVZHjzIOmoV&#10;iO5ZPfOPcxzVPu9cWJTbe8x6/2dY/AYAAP//AwBQSwMEFAAGAAgAAAAhAGV9mMLiAAAACgEAAA8A&#10;AABkcnMvZG93bnJldi54bWxMj8FOwzAQRO9I/IO1SNyoTRJKG+JUVaQKCdFDSy/cnNhNIux1iN02&#10;8PUsJziu5mnmbbGanGVnM4beo4T7mQBmsPG6x1bC4W1ztwAWokKtrEcj4csEWJXXV4XKtb/gzpz3&#10;sWVUgiFXEroYh5zz0HTGqTDzg0HKjn50KtI5tlyP6kLlzvJEiDl3qkda6NRgqs40H/uTk/BSbbZq&#10;Vydu8W2r59fjevg8vD9IeXszrZ+ARTPFPxh+9UkdSnKq/Ql1YFZCmooloRKyZQaMgEykj8BqIpNs&#10;Drws+P8Xyh8AAAD//wMAUEsBAi0AFAAGAAgAAAAhALaDOJL+AAAA4QEAABMAAAAAAAAAAAAAAAAA&#10;AAAAAFtDb250ZW50X1R5cGVzXS54bWxQSwECLQAUAAYACAAAACEAOP0h/9YAAACUAQAACwAAAAAA&#10;AAAAAAAAAAAvAQAAX3JlbHMvLnJlbHNQSwECLQAUAAYACAAAACEAoysDeTcCAABhBAAADgAAAAAA&#10;AAAAAAAAAAAuAgAAZHJzL2Uyb0RvYy54bWxQSwECLQAUAAYACAAAACEAZX2YwuIAAAAKAQAADwAA&#10;AAAAAAAAAAAAAACRBAAAZHJzL2Rvd25yZXYueG1sUEsFBgAAAAAEAAQA8wAAAKAFAAAAAA==&#10;" filled="f" stroked="f" strokeweight=".5pt">
                <v:textbox>
                  <w:txbxContent>
                    <w:p w14:paraId="7DDB0D69" w14:textId="77777777" w:rsidR="00C37BD3" w:rsidRPr="0009543A" w:rsidRDefault="00C37BD3" w:rsidP="00C37BD3">
                      <w:pPr>
                        <w:rPr>
                          <w:rFonts w:ascii="Arial Black" w:hAnsi="Arial Black"/>
                          <w:b/>
                          <w:bCs/>
                          <w:color w:val="00B050"/>
                          <w:sz w:val="40"/>
                          <w:szCs w:val="40"/>
                        </w:rPr>
                      </w:pPr>
                      <w:r w:rsidRPr="0009543A">
                        <w:rPr>
                          <w:rFonts w:ascii="Arial Black" w:hAnsi="Arial Black"/>
                          <w:b/>
                          <w:bCs/>
                          <w:color w:val="00B050"/>
                          <w:sz w:val="40"/>
                          <w:szCs w:val="40"/>
                        </w:rPr>
                        <w:t>D</w:t>
                      </w:r>
                    </w:p>
                  </w:txbxContent>
                </v:textbox>
              </v:shape>
            </w:pict>
          </mc:Fallback>
        </mc:AlternateContent>
      </w:r>
      <w:r w:rsidRPr="0009543A">
        <w:rPr>
          <w:noProof/>
          <w:color w:val="000000" w:themeColor="text1"/>
        </w:rPr>
        <mc:AlternateContent>
          <mc:Choice Requires="wps">
            <w:drawing>
              <wp:anchor distT="0" distB="0" distL="114300" distR="114300" simplePos="0" relativeHeight="251673600" behindDoc="0" locked="0" layoutInCell="1" allowOverlap="1" wp14:anchorId="505E32F4" wp14:editId="48D5A1E4">
                <wp:simplePos x="0" y="0"/>
                <wp:positionH relativeFrom="column">
                  <wp:posOffset>2264410</wp:posOffset>
                </wp:positionH>
                <wp:positionV relativeFrom="paragraph">
                  <wp:posOffset>694377</wp:posOffset>
                </wp:positionV>
                <wp:extent cx="20955" cy="661670"/>
                <wp:effectExtent l="114300" t="0" r="93345" b="62230"/>
                <wp:wrapNone/>
                <wp:docPr id="804306904" name="Straight Arrow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55" cy="661670"/>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2F8CDB" id="Straight Arrow Connector 33" o:spid="_x0000_s1026" type="#_x0000_t32" style="position:absolute;margin-left:178.3pt;margin-top:54.7pt;width:1.65pt;height:52.1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OpeAIAAFYFAAAOAAAAZHJzL2Uyb0RvYy54bWysVF1v2yAUfZ+0/4B4T+18OU4Up0rSdnvo&#10;tmrdfgDFkKBhQEDjRNP++y7guMv6sk17MObr3HvO4cLy+thIdGDWCa0qPLzKMWKK6lqoXYW/frkb&#10;lBg5T1RNpFaswifm8PXq7ZtlaxZspPda1swiCKLcojUV3ntvFlnm6J41xF1pwxQscm0b4mFod1lt&#10;SQvRG5mN8rzIWm1rYzVlzsHsTVrEqxifc0b9J84d80hWGLj52NrYPoU2Wy3JYmeJ2Qva0SD/wKIh&#10;QkHSPtQN8QQ9W/EqVCOo1U5zf0V1k2nOBWVRA6gZ5r+pedwTw6IWMMeZ3ib3/8LSj4cHi0Rd4TKf&#10;jPNink8wUqSBo3r0lojd3qO1tbpFW60U2KktGo+jVHb0984H0dBLYr9vh+X4ZnZXDDaTeTmYjDfj&#10;wXxSbgbD2ajcTEfrdXE7+RHQNaML+LQlXhzY2XmY+TNpXREE02bZSxyMDgQOehiONYu8zv/INGuN&#10;W0TFoT5id6sebJBAj+rR3Gv6zQXoxWIYOJO2HbltEJfCvA9ZAhCOEB1jPZ36egp+UJgc5fPpFCMK&#10;K0UxLGax3IBXiBKwxjr/jukGhU6FXWd473TKQA5APgk6AwJYKtRWeJqXeR6JOC1FfSekDIvx/rCt&#10;tMkQQilTPoWTz80HXaf52TQHdIrdQ6JlF9E8EfJW1cifDNSFt4KonWQdTqrOsORRdMufJEscPzMO&#10;1QVepOR9kkteiYFUsDvAOKjogZ268CC8FpSA3f4AZfHO/w24R8TMWvke3AilbfL2Mrs/niuMp/1n&#10;B5LuYMGTrk8PNtALI7i80dXuoQmvw6/juOvlOVz9BAAA//8DAFBLAwQUAAYACAAAACEAeTywZeMA&#10;AAALAQAADwAAAGRycy9kb3ducmV2LnhtbEyPwU7DMBBE70j8g7VI3KiThkYkxKkACS49oJZSiZsb&#10;L0lKvA6x26b9epYTHFczevO2mI+2EwccfOtIQTyJQCBVzrRUK1i/Pd/cgfBBk9GdI1RwQg/z8vKi&#10;0LlxR1riYRVqwRDyuVbQhNDnUvqqQav9xPVInH26werA51BLM+gjw20np1GUSqtb4oVG9/jUYPW1&#10;2lsF09fNZv3xcjrrx0W/231TPJwX70pdX40P9yACjuGvDL/6rA4lO23dnowXnYJklqZc5SDKbkFw&#10;I5llGYgt4+MkBVkW8v8P5Q8AAAD//wMAUEsBAi0AFAAGAAgAAAAhALaDOJL+AAAA4QEAABMAAAAA&#10;AAAAAAAAAAAAAAAAAFtDb250ZW50X1R5cGVzXS54bWxQSwECLQAUAAYACAAAACEAOP0h/9YAAACU&#10;AQAACwAAAAAAAAAAAAAAAAAvAQAAX3JlbHMvLnJlbHNQSwECLQAUAAYACAAAACEAR67DqXgCAABW&#10;BQAADgAAAAAAAAAAAAAAAAAuAgAAZHJzL2Uyb0RvYy54bWxQSwECLQAUAAYACAAAACEAeTywZeMA&#10;AAALAQAADwAAAAAAAAAAAAAAAADSBAAAZHJzL2Rvd25yZXYueG1sUEsFBgAAAAAEAAQA8wAAAOIF&#10;AAAAAA==&#10;" strokecolor="#365f91 [2404]" strokeweight="4pt">
                <v:stroke endarrow="block"/>
                <o:lock v:ext="edit" shapetype="f"/>
              </v:shape>
            </w:pict>
          </mc:Fallback>
        </mc:AlternateContent>
      </w:r>
      <w:r w:rsidRPr="0009543A">
        <w:rPr>
          <w:noProof/>
          <w:color w:val="000000" w:themeColor="text1"/>
        </w:rPr>
        <mc:AlternateContent>
          <mc:Choice Requires="wps">
            <w:drawing>
              <wp:anchor distT="0" distB="0" distL="114300" distR="114300" simplePos="0" relativeHeight="251679744" behindDoc="0" locked="0" layoutInCell="1" allowOverlap="1" wp14:anchorId="46B08D35" wp14:editId="7E25FAE0">
                <wp:simplePos x="0" y="0"/>
                <wp:positionH relativeFrom="column">
                  <wp:posOffset>2436191</wp:posOffset>
                </wp:positionH>
                <wp:positionV relativeFrom="paragraph">
                  <wp:posOffset>2130728</wp:posOffset>
                </wp:positionV>
                <wp:extent cx="20990" cy="662296"/>
                <wp:effectExtent l="114300" t="0" r="93345" b="62230"/>
                <wp:wrapNone/>
                <wp:docPr id="57994182" name="Straight Arrow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90" cy="662296"/>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18E431" id="Straight Arrow Connector 33" o:spid="_x0000_s1026" type="#_x0000_t32" style="position:absolute;margin-left:191.85pt;margin-top:167.75pt;width:1.65pt;height:52.1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9M4dwIAAFUFAAAOAAAAZHJzL2Uyb0RvYy54bWysVF1v2yAUfZ+0/4B4T+04aWJHdaombbeH&#10;bovW7QdQDAkaBgQ0TjTtv+8CjrusL9u0B2O+zr3nHC5cXR9aifbMOqFVjccXOUZMUd0Ita3x1y/3&#10;oxIj54lqiNSK1fjIHL5evn1z1ZkFK/ROy4ZZBEGUW3SmxjvvzSLLHN2xlrgLbZiCRa5tSzwM7TZr&#10;LOkgeiuzIs9nWadtY6ymzDmYvU2LeBnjc86o/8S5Yx7JGgM3H1sb26fQZssrsthaYnaC9jTIP7Bo&#10;iVCQdAh1SzxBz1a8CtUKarXT3F9Q3Waac0FZ1ABqxvlvah53xLCoBcxxZrDJ/b+w9ON+Y5Foanw5&#10;r6rpuCwwUqSFk3r0lojtzqMba3WH1lopcFNbNJlEpezgH5wPmqGXtH5fj8vJ7fx+NlpNq3I0nawm&#10;o2parkbjeVGuLoubm9nd9EdAN4wu4NOWeLFnJ+Nh5s+U9TUQPJtnL3Ew2hM453E41SzyOv0j06wz&#10;bhEFh/KI3bXa2CCBHtSjedD0mwvQs8UwcCZtO3DbIi6FeR+yBCCcIDrEcjoO5RT8oDBZ5FUFNUdh&#10;ZTYrimrW8wpRAtZY598x3aLQqbHrDR+cThnIHsgnQSdAAEuFOji0vMzzSMRpKZp7IWVYjNeHraVN&#10;hhBKmfIpnHxuP+gmzc8vc0Cn2AMkWnYWzRMh71SD/NFAXXgriNpK1uOk6g1LHkW3/FGyxPEz41Bc&#10;4EVKPiQ555UYSAW7A4yDigHYqwvvwWtBCdjvD1AWr/zfgAdEzKyVH8CtUNomb8+z+8Opwnjaf3Ig&#10;6Q4WPOnmuLGBXhjB3Y2u9u9MeBx+HcddL6/h8icAAAD//wMAUEsDBBQABgAIAAAAIQATCjBZ4wAA&#10;AAsBAAAPAAAAZHJzL2Rvd25yZXYueG1sTI/BTsMwDIbvSLxDZCRuLN3CWClNJ0CCyw6IMSZxyxrT&#10;djROabKt29NjTnCz5U+/vz+fD64Ve+xD40nDeJSAQCq9bajSsHp7ukpBhGjImtYTajhigHlxfpab&#10;zPoDveJ+GSvBIRQyo6GOscukDGWNzoSR75D49ul7ZyKvfSVtbw4c7lo5SZIb6UxD/KE2HT7WWH4t&#10;d07D5GW9Xn08H0/mYdFtt9807k+Ld60vL4b7OxARh/gHw68+q0PBThu/IxtEq0GlasYoD2o6BcGE&#10;SmfcbqPhWt2mIItc/u9Q/AAAAP//AwBQSwECLQAUAAYACAAAACEAtoM4kv4AAADhAQAAEwAAAAAA&#10;AAAAAAAAAAAAAAAAW0NvbnRlbnRfVHlwZXNdLnhtbFBLAQItABQABgAIAAAAIQA4/SH/1gAAAJQB&#10;AAALAAAAAAAAAAAAAAAAAC8BAABfcmVscy8ucmVsc1BLAQItABQABgAIAAAAIQD1s9M4dwIAAFUF&#10;AAAOAAAAAAAAAAAAAAAAAC4CAABkcnMvZTJvRG9jLnhtbFBLAQItABQABgAIAAAAIQATCjBZ4wAA&#10;AAsBAAAPAAAAAAAAAAAAAAAAANEEAABkcnMvZG93bnJldi54bWxQSwUGAAAAAAQABADzAAAA4QUA&#10;AAAA&#10;" strokecolor="#365f91 [2404]" strokeweight="4pt">
                <v:stroke endarrow="block"/>
                <o:lock v:ext="edit" shapetype="f"/>
              </v:shape>
            </w:pict>
          </mc:Fallback>
        </mc:AlternateContent>
      </w:r>
      <w:r w:rsidRPr="0009543A">
        <w:rPr>
          <w:rFonts w:ascii="Times New Roman" w:hAnsi="Times New Roman" w:cs="Times New Roman"/>
          <w:noProof/>
          <w:color w:val="000000" w:themeColor="text1"/>
          <w:sz w:val="24"/>
          <w:szCs w:val="24"/>
        </w:rPr>
        <w:drawing>
          <wp:inline distT="0" distB="0" distL="0" distR="0" wp14:anchorId="12164E4D" wp14:editId="3577B6B1">
            <wp:extent cx="4503761" cy="3378069"/>
            <wp:effectExtent l="0" t="0" r="0" b="0"/>
            <wp:docPr id="7104988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16978" cy="3387982"/>
                    </a:xfrm>
                    <a:prstGeom prst="rect">
                      <a:avLst/>
                    </a:prstGeom>
                    <a:noFill/>
                    <a:ln>
                      <a:noFill/>
                    </a:ln>
                  </pic:spPr>
                </pic:pic>
              </a:graphicData>
            </a:graphic>
          </wp:inline>
        </w:drawing>
      </w:r>
    </w:p>
    <w:p w14:paraId="45869B53" w14:textId="65D6D78F" w:rsidR="00C37BD3" w:rsidRPr="00765DAB" w:rsidRDefault="00C37BD3" w:rsidP="00C37BD3">
      <w:pPr>
        <w:spacing w:before="240" w:line="240" w:lineRule="auto"/>
        <w:jc w:val="both"/>
        <w:rPr>
          <w:rFonts w:ascii="Arial" w:hAnsi="Arial" w:cs="Arial"/>
          <w:color w:val="000000" w:themeColor="text1"/>
          <w:sz w:val="20"/>
          <w:szCs w:val="20"/>
        </w:rPr>
      </w:pPr>
      <w:r w:rsidRPr="00765DAB">
        <w:rPr>
          <w:rFonts w:ascii="Arial" w:hAnsi="Arial" w:cs="Arial"/>
          <w:b/>
          <w:bCs/>
          <w:color w:val="000000" w:themeColor="text1"/>
          <w:sz w:val="20"/>
          <w:szCs w:val="20"/>
        </w:rPr>
        <w:t xml:space="preserve">Plate </w:t>
      </w:r>
      <w:r w:rsidR="00014030">
        <w:rPr>
          <w:rFonts w:ascii="Arial" w:hAnsi="Arial" w:cs="Arial"/>
          <w:b/>
          <w:bCs/>
          <w:color w:val="000000" w:themeColor="text1"/>
          <w:sz w:val="20"/>
          <w:szCs w:val="20"/>
        </w:rPr>
        <w:t>8</w:t>
      </w:r>
      <w:r w:rsidRPr="00765DAB">
        <w:rPr>
          <w:rFonts w:ascii="Arial" w:hAnsi="Arial" w:cs="Arial"/>
          <w:b/>
          <w:bCs/>
          <w:color w:val="000000" w:themeColor="text1"/>
          <w:sz w:val="20"/>
          <w:szCs w:val="20"/>
        </w:rPr>
        <w:t>:</w:t>
      </w:r>
      <w:r w:rsidRPr="00765DAB">
        <w:rPr>
          <w:rFonts w:ascii="Arial" w:hAnsi="Arial" w:cs="Arial"/>
          <w:color w:val="000000" w:themeColor="text1"/>
          <w:sz w:val="20"/>
          <w:szCs w:val="20"/>
        </w:rPr>
        <w:t xml:space="preserve"> A section of the substantia </w:t>
      </w:r>
      <w:proofErr w:type="spellStart"/>
      <w:r w:rsidRPr="00765DAB">
        <w:rPr>
          <w:rFonts w:ascii="Arial" w:hAnsi="Arial" w:cs="Arial"/>
          <w:color w:val="000000" w:themeColor="text1"/>
          <w:sz w:val="20"/>
          <w:szCs w:val="20"/>
        </w:rPr>
        <w:t>nigra</w:t>
      </w:r>
      <w:proofErr w:type="spellEnd"/>
      <w:r w:rsidRPr="00765DAB">
        <w:rPr>
          <w:rFonts w:ascii="Arial" w:hAnsi="Arial" w:cs="Arial"/>
          <w:color w:val="000000" w:themeColor="text1"/>
          <w:sz w:val="20"/>
          <w:szCs w:val="20"/>
        </w:rPr>
        <w:t xml:space="preserve"> pars compacta treated with reserpine + CBD (60 mg/kg) + THC (6 mg/kg) showing relatively normal histoarchitectural feature: Dopaminergic </w:t>
      </w:r>
      <w:proofErr w:type="spellStart"/>
      <w:r w:rsidRPr="00765DAB">
        <w:rPr>
          <w:rFonts w:ascii="Arial" w:hAnsi="Arial" w:cs="Arial"/>
          <w:color w:val="000000" w:themeColor="text1"/>
          <w:sz w:val="20"/>
          <w:szCs w:val="20"/>
        </w:rPr>
        <w:t>neurone</w:t>
      </w:r>
      <w:proofErr w:type="spellEnd"/>
      <w:r w:rsidRPr="00765DAB">
        <w:rPr>
          <w:rFonts w:ascii="Arial" w:hAnsi="Arial" w:cs="Arial"/>
          <w:color w:val="000000" w:themeColor="text1"/>
          <w:sz w:val="20"/>
          <w:szCs w:val="20"/>
        </w:rPr>
        <w:t xml:space="preserve"> (D), (H and E x400).</w:t>
      </w:r>
    </w:p>
    <w:p w14:paraId="1EBDE18A" w14:textId="77777777" w:rsidR="00C37BD3" w:rsidRDefault="00C37BD3" w:rsidP="00EA6F20">
      <w:pPr>
        <w:spacing w:after="100" w:afterAutospacing="1" w:line="240" w:lineRule="auto"/>
        <w:jc w:val="both"/>
        <w:rPr>
          <w:rFonts w:ascii="Arial" w:hAnsi="Arial" w:cs="Arial"/>
          <w:color w:val="000000" w:themeColor="text1"/>
          <w:sz w:val="20"/>
          <w:szCs w:val="20"/>
        </w:rPr>
      </w:pPr>
    </w:p>
    <w:p w14:paraId="3599657A" w14:textId="088D76CC" w:rsidR="00AD7A96" w:rsidRDefault="00AD7A96" w:rsidP="00AD7A96">
      <w:pPr>
        <w:spacing w:after="0" w:line="240" w:lineRule="auto"/>
        <w:rPr>
          <w:rFonts w:ascii="Arial" w:hAnsi="Arial" w:cs="Arial"/>
          <w:b/>
          <w:color w:val="000000" w:themeColor="text1"/>
        </w:rPr>
      </w:pPr>
      <w:r>
        <w:rPr>
          <w:rFonts w:ascii="Arial" w:hAnsi="Arial" w:cs="Arial"/>
          <w:b/>
          <w:color w:val="000000" w:themeColor="text1"/>
        </w:rPr>
        <w:t>3.1</w:t>
      </w:r>
      <w:r>
        <w:rPr>
          <w:rFonts w:ascii="Arial" w:hAnsi="Arial" w:cs="Arial"/>
          <w:b/>
          <w:color w:val="000000" w:themeColor="text1"/>
        </w:rPr>
        <w:tab/>
        <w:t xml:space="preserve">Effects of Cannabidiol and </w:t>
      </w:r>
      <w:r w:rsidRPr="00AD7A96">
        <w:rPr>
          <w:rFonts w:ascii="Arial" w:hAnsi="Arial" w:cs="Arial"/>
          <w:b/>
          <w:color w:val="000000" w:themeColor="text1"/>
        </w:rPr>
        <w:t xml:space="preserve">Tetrahydrocannabinol </w:t>
      </w:r>
      <w:r>
        <w:rPr>
          <w:rFonts w:ascii="Arial" w:hAnsi="Arial" w:cs="Arial"/>
          <w:b/>
          <w:color w:val="000000" w:themeColor="text1"/>
        </w:rPr>
        <w:t xml:space="preserve">on Anxiety using </w:t>
      </w:r>
      <w:r w:rsidRPr="00452361">
        <w:rPr>
          <w:rFonts w:ascii="Arial" w:hAnsi="Arial" w:cs="Arial"/>
          <w:b/>
          <w:color w:val="000000" w:themeColor="text1"/>
        </w:rPr>
        <w:t xml:space="preserve">Elevated Plus Maze </w:t>
      </w:r>
      <w:r>
        <w:rPr>
          <w:rFonts w:ascii="Arial" w:hAnsi="Arial" w:cs="Arial"/>
          <w:b/>
          <w:color w:val="000000" w:themeColor="text1"/>
        </w:rPr>
        <w:t xml:space="preserve">Test </w:t>
      </w:r>
    </w:p>
    <w:p w14:paraId="58D6C2AD" w14:textId="77777777" w:rsidR="00AD7A96" w:rsidRPr="001B6703" w:rsidRDefault="00AD7A96" w:rsidP="00AD7A96">
      <w:pPr>
        <w:spacing w:after="0" w:line="240" w:lineRule="auto"/>
        <w:rPr>
          <w:rFonts w:ascii="Arial" w:hAnsi="Arial" w:cs="Arial"/>
          <w:color w:val="000000" w:themeColor="text1"/>
        </w:rPr>
      </w:pPr>
      <w:r w:rsidRPr="001B6703">
        <w:rPr>
          <w:rFonts w:ascii="Arial" w:hAnsi="Arial" w:cs="Arial"/>
          <w:color w:val="000000" w:themeColor="text1"/>
        </w:rPr>
        <w:t xml:space="preserve">In this study, we examined the effects of cannabidiol and tetrahydrocannabinol on anxiety </w:t>
      </w:r>
      <w:r>
        <w:rPr>
          <w:rFonts w:ascii="Arial" w:hAnsi="Arial" w:cs="Arial"/>
          <w:color w:val="000000" w:themeColor="text1"/>
        </w:rPr>
        <w:t xml:space="preserve">in </w:t>
      </w:r>
      <w:r w:rsidRPr="001B6703">
        <w:rPr>
          <w:rFonts w:ascii="Arial" w:hAnsi="Arial" w:cs="Arial"/>
          <w:color w:val="000000" w:themeColor="text1"/>
        </w:rPr>
        <w:t xml:space="preserve">a reserpine-induced Parkinson’s disease model in mice. The observed increase in open arm avoidance caused by reserpine administration which is indicative of heightened anxiety, may be attributed to reserpine’s ability to deplete monoamines such as dopamine and serotonin, which are essential for regulating emotional and stress-related </w:t>
      </w:r>
      <w:proofErr w:type="spellStart"/>
      <w:r w:rsidRPr="001B6703">
        <w:rPr>
          <w:rFonts w:ascii="Arial" w:hAnsi="Arial" w:cs="Arial"/>
          <w:color w:val="000000" w:themeColor="text1"/>
        </w:rPr>
        <w:t>behaviours</w:t>
      </w:r>
      <w:proofErr w:type="spellEnd"/>
      <w:r w:rsidRPr="001B6703">
        <w:rPr>
          <w:rFonts w:ascii="Arial" w:hAnsi="Arial" w:cs="Arial"/>
          <w:color w:val="000000" w:themeColor="text1"/>
        </w:rPr>
        <w:t xml:space="preserve"> (Santos </w:t>
      </w:r>
      <w:r w:rsidRPr="001B6703">
        <w:rPr>
          <w:rFonts w:ascii="Arial" w:hAnsi="Arial" w:cs="Arial"/>
          <w:i/>
          <w:iCs/>
          <w:color w:val="000000" w:themeColor="text1"/>
        </w:rPr>
        <w:t>et al</w:t>
      </w:r>
      <w:r w:rsidRPr="001B6703">
        <w:rPr>
          <w:rFonts w:ascii="Arial" w:hAnsi="Arial" w:cs="Arial"/>
          <w:color w:val="000000" w:themeColor="text1"/>
        </w:rPr>
        <w:t xml:space="preserve">., 2013; Leal </w:t>
      </w:r>
      <w:r w:rsidRPr="001B6703">
        <w:rPr>
          <w:rFonts w:ascii="Arial" w:hAnsi="Arial" w:cs="Arial"/>
          <w:i/>
          <w:iCs/>
          <w:color w:val="000000" w:themeColor="text1"/>
        </w:rPr>
        <w:t>et al.,</w:t>
      </w:r>
      <w:r w:rsidRPr="001B6703">
        <w:rPr>
          <w:rFonts w:ascii="Arial" w:hAnsi="Arial" w:cs="Arial"/>
          <w:color w:val="000000" w:themeColor="text1"/>
        </w:rPr>
        <w:t xml:space="preserve"> 2016). Previous studies have shown that reserpine-induced monoamine depletion led to a decrease in the distance travelled in inner zone of the open field arena of open field test, indicating an anxiogenic effect (Park </w:t>
      </w:r>
      <w:r w:rsidRPr="001B6703">
        <w:rPr>
          <w:rFonts w:ascii="Arial" w:hAnsi="Arial" w:cs="Arial"/>
          <w:i/>
          <w:iCs/>
          <w:color w:val="000000" w:themeColor="text1"/>
        </w:rPr>
        <w:t>et al</w:t>
      </w:r>
      <w:r w:rsidRPr="001B6703">
        <w:rPr>
          <w:rFonts w:ascii="Arial" w:hAnsi="Arial" w:cs="Arial"/>
          <w:i/>
          <w:color w:val="000000" w:themeColor="text1"/>
        </w:rPr>
        <w:t xml:space="preserve">., </w:t>
      </w:r>
      <w:r w:rsidRPr="001B6703">
        <w:rPr>
          <w:rFonts w:ascii="Arial" w:hAnsi="Arial" w:cs="Arial"/>
          <w:color w:val="000000" w:themeColor="text1"/>
        </w:rPr>
        <w:t xml:space="preserve">2018; Leal </w:t>
      </w:r>
      <w:r w:rsidRPr="001B6703">
        <w:rPr>
          <w:rFonts w:ascii="Arial" w:hAnsi="Arial" w:cs="Arial"/>
          <w:i/>
          <w:iCs/>
          <w:color w:val="000000" w:themeColor="text1"/>
        </w:rPr>
        <w:t>et al</w:t>
      </w:r>
      <w:r w:rsidRPr="001B6703">
        <w:rPr>
          <w:rFonts w:ascii="Arial" w:hAnsi="Arial" w:cs="Arial"/>
          <w:i/>
          <w:color w:val="000000" w:themeColor="text1"/>
        </w:rPr>
        <w:t>.,</w:t>
      </w:r>
      <w:r w:rsidRPr="001B6703">
        <w:rPr>
          <w:rFonts w:ascii="Arial" w:hAnsi="Arial" w:cs="Arial"/>
          <w:color w:val="000000" w:themeColor="text1"/>
        </w:rPr>
        <w:t xml:space="preserve"> 2019). </w:t>
      </w:r>
    </w:p>
    <w:p w14:paraId="41F73A05" w14:textId="77777777" w:rsidR="00AD7A96" w:rsidRPr="001B6703" w:rsidRDefault="00AD7A96" w:rsidP="00AD7A96">
      <w:pPr>
        <w:spacing w:line="240" w:lineRule="auto"/>
        <w:jc w:val="both"/>
        <w:rPr>
          <w:rFonts w:ascii="Arial" w:hAnsi="Arial" w:cs="Arial"/>
          <w:color w:val="000000" w:themeColor="text1"/>
        </w:rPr>
      </w:pPr>
      <w:r w:rsidRPr="001B6703">
        <w:rPr>
          <w:rFonts w:ascii="Arial" w:hAnsi="Arial" w:cs="Arial"/>
          <w:color w:val="000000" w:themeColor="text1"/>
        </w:rPr>
        <w:t xml:space="preserve">Previous studies showed that CBD at different doses produced an anxiolytic effect by increasing the open arm entries in the elevated plus-maze test (Schiavon </w:t>
      </w:r>
      <w:r w:rsidRPr="001B6703">
        <w:rPr>
          <w:rFonts w:ascii="Arial" w:hAnsi="Arial" w:cs="Arial"/>
          <w:i/>
          <w:iCs/>
          <w:color w:val="000000" w:themeColor="text1"/>
        </w:rPr>
        <w:t>et al</w:t>
      </w:r>
      <w:r w:rsidRPr="001B6703">
        <w:rPr>
          <w:rFonts w:ascii="Arial" w:hAnsi="Arial" w:cs="Arial"/>
          <w:i/>
          <w:color w:val="000000" w:themeColor="text1"/>
        </w:rPr>
        <w:t>.,</w:t>
      </w:r>
      <w:r w:rsidRPr="001B6703">
        <w:rPr>
          <w:rFonts w:ascii="Arial" w:hAnsi="Arial" w:cs="Arial"/>
          <w:color w:val="000000" w:themeColor="text1"/>
        </w:rPr>
        <w:t xml:space="preserve"> 2016). Similarly, in the present study, treatment with CBD reduced the open arm avoidance index, suggesting an anxiolytic effect. CBD's anxiolytic properties have been attributed to its modulation of serotonergic (5-HT1A) receptors and inhibition of FAAH (fatty acid amide hydrolase), leading to enhanced endocannabinoid </w:t>
      </w:r>
      <w:proofErr w:type="spellStart"/>
      <w:r w:rsidRPr="001B6703">
        <w:rPr>
          <w:rFonts w:ascii="Arial" w:hAnsi="Arial" w:cs="Arial"/>
          <w:color w:val="000000" w:themeColor="text1"/>
        </w:rPr>
        <w:t>signalling</w:t>
      </w:r>
      <w:proofErr w:type="spellEnd"/>
      <w:r w:rsidRPr="001B6703">
        <w:rPr>
          <w:rFonts w:ascii="Arial" w:hAnsi="Arial" w:cs="Arial"/>
          <w:color w:val="000000" w:themeColor="text1"/>
        </w:rPr>
        <w:t xml:space="preserve"> (</w:t>
      </w:r>
      <w:proofErr w:type="spellStart"/>
      <w:r w:rsidRPr="001B6703">
        <w:rPr>
          <w:rFonts w:ascii="Arial" w:hAnsi="Arial" w:cs="Arial"/>
          <w:color w:val="000000" w:themeColor="text1"/>
        </w:rPr>
        <w:t>Bih</w:t>
      </w:r>
      <w:proofErr w:type="spellEnd"/>
      <w:r w:rsidRPr="001B6703">
        <w:rPr>
          <w:rFonts w:ascii="Arial" w:hAnsi="Arial" w:cs="Arial"/>
          <w:color w:val="000000" w:themeColor="text1"/>
        </w:rPr>
        <w:t xml:space="preserve"> </w:t>
      </w:r>
      <w:r w:rsidRPr="001B6703">
        <w:rPr>
          <w:rFonts w:ascii="Arial" w:hAnsi="Arial" w:cs="Arial"/>
          <w:i/>
          <w:iCs/>
          <w:color w:val="000000" w:themeColor="text1"/>
        </w:rPr>
        <w:t>et al</w:t>
      </w:r>
      <w:r w:rsidRPr="001B6703">
        <w:rPr>
          <w:rFonts w:ascii="Arial" w:hAnsi="Arial" w:cs="Arial"/>
          <w:color w:val="000000" w:themeColor="text1"/>
        </w:rPr>
        <w:t xml:space="preserve">., 2015; Huestis </w:t>
      </w:r>
      <w:r w:rsidRPr="001B6703">
        <w:rPr>
          <w:rFonts w:ascii="Arial" w:hAnsi="Arial" w:cs="Arial"/>
          <w:i/>
          <w:iCs/>
          <w:color w:val="000000" w:themeColor="text1"/>
        </w:rPr>
        <w:t>et al</w:t>
      </w:r>
      <w:r w:rsidRPr="001B6703">
        <w:rPr>
          <w:rFonts w:ascii="Arial" w:hAnsi="Arial" w:cs="Arial"/>
          <w:i/>
          <w:color w:val="000000" w:themeColor="text1"/>
        </w:rPr>
        <w:t>.,</w:t>
      </w:r>
      <w:r w:rsidRPr="001B6703">
        <w:rPr>
          <w:rFonts w:ascii="Arial" w:hAnsi="Arial" w:cs="Arial"/>
          <w:color w:val="000000" w:themeColor="text1"/>
        </w:rPr>
        <w:t xml:space="preserve"> 2019; </w:t>
      </w:r>
      <w:proofErr w:type="spellStart"/>
      <w:r w:rsidRPr="001B6703">
        <w:rPr>
          <w:rFonts w:ascii="Arial" w:hAnsi="Arial" w:cs="Arial"/>
          <w:color w:val="000000" w:themeColor="text1"/>
        </w:rPr>
        <w:t>Naya</w:t>
      </w:r>
      <w:proofErr w:type="spellEnd"/>
      <w:r w:rsidRPr="001B6703">
        <w:rPr>
          <w:rFonts w:ascii="Arial" w:hAnsi="Arial" w:cs="Arial"/>
          <w:color w:val="000000" w:themeColor="text1"/>
        </w:rPr>
        <w:t xml:space="preserve"> </w:t>
      </w:r>
      <w:r w:rsidRPr="001B6703">
        <w:rPr>
          <w:rFonts w:ascii="Arial" w:hAnsi="Arial" w:cs="Arial"/>
          <w:i/>
          <w:iCs/>
          <w:color w:val="000000" w:themeColor="text1"/>
        </w:rPr>
        <w:t>et al</w:t>
      </w:r>
      <w:r w:rsidRPr="001B6703">
        <w:rPr>
          <w:rFonts w:ascii="Arial" w:hAnsi="Arial" w:cs="Arial"/>
          <w:color w:val="000000" w:themeColor="text1"/>
        </w:rPr>
        <w:t xml:space="preserve">., 2023). In contrast, in a previous study conducted by </w:t>
      </w:r>
      <w:proofErr w:type="spellStart"/>
      <w:r w:rsidRPr="001B6703">
        <w:rPr>
          <w:rFonts w:ascii="Arial" w:hAnsi="Arial" w:cs="Arial"/>
          <w:color w:val="000000" w:themeColor="text1"/>
        </w:rPr>
        <w:t>Naya</w:t>
      </w:r>
      <w:proofErr w:type="spellEnd"/>
      <w:r w:rsidRPr="001B6703">
        <w:rPr>
          <w:rFonts w:ascii="Arial" w:hAnsi="Arial" w:cs="Arial"/>
          <w:color w:val="000000" w:themeColor="text1"/>
        </w:rPr>
        <w:t xml:space="preserve"> </w:t>
      </w:r>
      <w:r w:rsidRPr="001B6703">
        <w:rPr>
          <w:rFonts w:ascii="Arial" w:hAnsi="Arial" w:cs="Arial"/>
          <w:i/>
          <w:iCs/>
          <w:color w:val="000000" w:themeColor="text1"/>
        </w:rPr>
        <w:t>et al</w:t>
      </w:r>
      <w:r w:rsidRPr="001B6703">
        <w:rPr>
          <w:rFonts w:ascii="Arial" w:hAnsi="Arial" w:cs="Arial"/>
          <w:color w:val="000000" w:themeColor="text1"/>
        </w:rPr>
        <w:t xml:space="preserve">., </w:t>
      </w:r>
      <w:r>
        <w:rPr>
          <w:rFonts w:ascii="Arial" w:hAnsi="Arial" w:cs="Arial"/>
          <w:color w:val="000000" w:themeColor="text1"/>
        </w:rPr>
        <w:t>(</w:t>
      </w:r>
      <w:r w:rsidRPr="001B6703">
        <w:rPr>
          <w:rFonts w:ascii="Arial" w:hAnsi="Arial" w:cs="Arial"/>
          <w:color w:val="000000" w:themeColor="text1"/>
        </w:rPr>
        <w:t>2023), CBD exhibited a bell-shaped, dose response curve with the anxiolytic effects observed when administered with lower doses (2.5, 5.0 and 10.0 mg/kg), but not upon administration of higher dose, indicating a biphasic effect.</w:t>
      </w:r>
    </w:p>
    <w:p w14:paraId="7ED6D544" w14:textId="6AD0584F" w:rsidR="00AD7A96" w:rsidRPr="00306F12" w:rsidRDefault="00AD7A96" w:rsidP="00AD7A96">
      <w:pPr>
        <w:spacing w:line="240" w:lineRule="auto"/>
        <w:jc w:val="both"/>
        <w:rPr>
          <w:rFonts w:ascii="Arial" w:hAnsi="Arial" w:cs="Arial"/>
          <w:b/>
          <w:color w:val="000000" w:themeColor="text1"/>
        </w:rPr>
      </w:pPr>
      <w:r w:rsidRPr="00306F12">
        <w:rPr>
          <w:rFonts w:ascii="Arial" w:hAnsi="Arial" w:cs="Arial"/>
          <w:b/>
          <w:color w:val="000000" w:themeColor="text1"/>
        </w:rPr>
        <w:lastRenderedPageBreak/>
        <w:t>3.</w:t>
      </w:r>
      <w:r>
        <w:rPr>
          <w:rFonts w:ascii="Arial" w:hAnsi="Arial" w:cs="Arial"/>
          <w:b/>
          <w:color w:val="000000" w:themeColor="text1"/>
        </w:rPr>
        <w:t>2</w:t>
      </w:r>
      <w:r w:rsidRPr="00306F12">
        <w:rPr>
          <w:rFonts w:ascii="Arial" w:hAnsi="Arial" w:cs="Arial"/>
          <w:b/>
          <w:color w:val="000000" w:themeColor="text1"/>
        </w:rPr>
        <w:tab/>
      </w:r>
      <w:r w:rsidR="004E4A79">
        <w:rPr>
          <w:rFonts w:ascii="Arial" w:hAnsi="Arial" w:cs="Arial"/>
          <w:b/>
          <w:color w:val="000000" w:themeColor="text1"/>
        </w:rPr>
        <w:t xml:space="preserve">Effects of Cannabidiol and </w:t>
      </w:r>
      <w:r w:rsidR="004E4A79" w:rsidRPr="00AD7A96">
        <w:rPr>
          <w:rFonts w:ascii="Arial" w:hAnsi="Arial" w:cs="Arial"/>
          <w:b/>
          <w:color w:val="000000" w:themeColor="text1"/>
        </w:rPr>
        <w:t xml:space="preserve">Tetrahydrocannabinol </w:t>
      </w:r>
      <w:r w:rsidR="004E4A79">
        <w:rPr>
          <w:rFonts w:ascii="Arial" w:hAnsi="Arial" w:cs="Arial"/>
          <w:b/>
          <w:color w:val="000000" w:themeColor="text1"/>
        </w:rPr>
        <w:t xml:space="preserve">on Working Memory using </w:t>
      </w:r>
      <w:r>
        <w:rPr>
          <w:rFonts w:ascii="Arial" w:hAnsi="Arial" w:cs="Arial"/>
          <w:b/>
          <w:color w:val="000000" w:themeColor="text1"/>
        </w:rPr>
        <w:t>N</w:t>
      </w:r>
      <w:r w:rsidRPr="00306F12">
        <w:rPr>
          <w:rFonts w:ascii="Arial" w:hAnsi="Arial" w:cs="Arial"/>
          <w:b/>
          <w:color w:val="000000" w:themeColor="text1"/>
        </w:rPr>
        <w:t xml:space="preserve">ovel </w:t>
      </w:r>
      <w:r>
        <w:rPr>
          <w:rFonts w:ascii="Arial" w:hAnsi="Arial" w:cs="Arial"/>
          <w:b/>
          <w:color w:val="000000" w:themeColor="text1"/>
        </w:rPr>
        <w:t>O</w:t>
      </w:r>
      <w:r w:rsidRPr="00306F12">
        <w:rPr>
          <w:rFonts w:ascii="Arial" w:hAnsi="Arial" w:cs="Arial"/>
          <w:b/>
          <w:color w:val="000000" w:themeColor="text1"/>
        </w:rPr>
        <w:t xml:space="preserve">bject </w:t>
      </w:r>
      <w:r>
        <w:rPr>
          <w:rFonts w:ascii="Arial" w:hAnsi="Arial" w:cs="Arial"/>
          <w:b/>
          <w:color w:val="000000" w:themeColor="text1"/>
        </w:rPr>
        <w:t>R</w:t>
      </w:r>
      <w:r w:rsidRPr="00306F12">
        <w:rPr>
          <w:rFonts w:ascii="Arial" w:hAnsi="Arial" w:cs="Arial"/>
          <w:b/>
          <w:color w:val="000000" w:themeColor="text1"/>
        </w:rPr>
        <w:t xml:space="preserve">ecognition </w:t>
      </w:r>
      <w:r>
        <w:rPr>
          <w:rFonts w:ascii="Arial" w:hAnsi="Arial" w:cs="Arial"/>
          <w:b/>
          <w:color w:val="000000" w:themeColor="text1"/>
        </w:rPr>
        <w:t>Test</w:t>
      </w:r>
    </w:p>
    <w:p w14:paraId="12C08BB1" w14:textId="77777777" w:rsidR="00AD7A96" w:rsidRDefault="00AD7A96" w:rsidP="00AD7A96">
      <w:pPr>
        <w:spacing w:line="240" w:lineRule="auto"/>
        <w:jc w:val="both"/>
        <w:rPr>
          <w:rFonts w:ascii="Arial" w:hAnsi="Arial" w:cs="Arial"/>
          <w:color w:val="000000" w:themeColor="text1"/>
        </w:rPr>
      </w:pPr>
      <w:r w:rsidRPr="001B6703">
        <w:rPr>
          <w:rFonts w:ascii="Arial" w:hAnsi="Arial" w:cs="Arial"/>
          <w:color w:val="000000" w:themeColor="text1"/>
        </w:rPr>
        <w:t xml:space="preserve">The novel object recognition test is a commonly used </w:t>
      </w:r>
      <w:proofErr w:type="spellStart"/>
      <w:r w:rsidRPr="001B6703">
        <w:rPr>
          <w:rFonts w:ascii="Arial" w:hAnsi="Arial" w:cs="Arial"/>
          <w:color w:val="000000" w:themeColor="text1"/>
        </w:rPr>
        <w:t>behavioural</w:t>
      </w:r>
      <w:proofErr w:type="spellEnd"/>
      <w:r w:rsidRPr="001B6703">
        <w:rPr>
          <w:rFonts w:ascii="Arial" w:hAnsi="Arial" w:cs="Arial"/>
          <w:color w:val="000000" w:themeColor="text1"/>
        </w:rPr>
        <w:t xml:space="preserve"> assay for the investigation of various aspects of cognition. This test is based on the animal’s tendency to discriminate between a familiar and a novel object, where a high preference score is an indicator for adequate co</w:t>
      </w:r>
      <w:r>
        <w:rPr>
          <w:rFonts w:ascii="Arial" w:hAnsi="Arial" w:cs="Arial"/>
          <w:color w:val="000000" w:themeColor="text1"/>
        </w:rPr>
        <w:t xml:space="preserve">gnitive function (Cohen and </w:t>
      </w:r>
      <w:proofErr w:type="spellStart"/>
      <w:r>
        <w:rPr>
          <w:rFonts w:ascii="Arial" w:hAnsi="Arial" w:cs="Arial"/>
          <w:color w:val="000000" w:themeColor="text1"/>
        </w:rPr>
        <w:t>Stackman</w:t>
      </w:r>
      <w:proofErr w:type="spellEnd"/>
      <w:r>
        <w:rPr>
          <w:rFonts w:ascii="Arial" w:hAnsi="Arial" w:cs="Arial"/>
          <w:color w:val="000000" w:themeColor="text1"/>
        </w:rPr>
        <w:t>-</w:t>
      </w:r>
      <w:r w:rsidRPr="001B6703">
        <w:rPr>
          <w:rFonts w:ascii="Arial" w:hAnsi="Arial" w:cs="Arial"/>
          <w:color w:val="000000" w:themeColor="text1"/>
        </w:rPr>
        <w:t xml:space="preserve">Jr., 2015). Some brain regions involved in cognition such as the hippocampal formation and prefrontal cortex are innervated by serotonergic afferent from the raphe complex and dopaminergic afferents originating in the </w:t>
      </w:r>
      <w:proofErr w:type="spellStart"/>
      <w:r w:rsidRPr="001B6703">
        <w:rPr>
          <w:rFonts w:ascii="Arial" w:hAnsi="Arial" w:cs="Arial"/>
          <w:color w:val="000000" w:themeColor="text1"/>
        </w:rPr>
        <w:t>mesocorticol</w:t>
      </w:r>
      <w:r>
        <w:rPr>
          <w:rFonts w:ascii="Arial" w:hAnsi="Arial" w:cs="Arial"/>
          <w:color w:val="000000" w:themeColor="text1"/>
        </w:rPr>
        <w:t>imbic</w:t>
      </w:r>
      <w:proofErr w:type="spellEnd"/>
      <w:r>
        <w:rPr>
          <w:rFonts w:ascii="Arial" w:hAnsi="Arial" w:cs="Arial"/>
          <w:color w:val="000000" w:themeColor="text1"/>
        </w:rPr>
        <w:t xml:space="preserve"> pathway (González-Burgos and</w:t>
      </w:r>
      <w:r w:rsidRPr="001B6703">
        <w:rPr>
          <w:rFonts w:ascii="Arial" w:hAnsi="Arial" w:cs="Arial"/>
          <w:color w:val="000000" w:themeColor="text1"/>
        </w:rPr>
        <w:t xml:space="preserve"> Feria-Velasco, 2008). Reserpine depletes monoamines such as serotonin, dopamine and noradrenaline, which are crucial for norm</w:t>
      </w:r>
      <w:r>
        <w:rPr>
          <w:rFonts w:ascii="Arial" w:hAnsi="Arial" w:cs="Arial"/>
          <w:color w:val="000000" w:themeColor="text1"/>
        </w:rPr>
        <w:t>al cognitive functioning (</w:t>
      </w:r>
      <w:r w:rsidRPr="001B6703">
        <w:rPr>
          <w:rFonts w:ascii="Arial" w:hAnsi="Arial" w:cs="Arial"/>
          <w:color w:val="000000" w:themeColor="text1"/>
        </w:rPr>
        <w:t xml:space="preserve">Santos </w:t>
      </w:r>
      <w:r w:rsidRPr="001B6703">
        <w:rPr>
          <w:rFonts w:ascii="Arial" w:hAnsi="Arial" w:cs="Arial"/>
          <w:i/>
          <w:iCs/>
          <w:color w:val="000000" w:themeColor="text1"/>
        </w:rPr>
        <w:t>et al</w:t>
      </w:r>
      <w:r w:rsidRPr="001B6703">
        <w:rPr>
          <w:rFonts w:ascii="Arial" w:hAnsi="Arial" w:cs="Arial"/>
          <w:i/>
          <w:color w:val="000000" w:themeColor="text1"/>
        </w:rPr>
        <w:t>.,</w:t>
      </w:r>
      <w:r w:rsidRPr="001B6703">
        <w:rPr>
          <w:rFonts w:ascii="Arial" w:hAnsi="Arial" w:cs="Arial"/>
          <w:color w:val="000000" w:themeColor="text1"/>
        </w:rPr>
        <w:t xml:space="preserve"> 2013). In the present study, the decrease in the preference score observed due to reserpine administration may be related to these neurochemical changes. This finding is consistent with previous studies reporting that reserpine induces deficits in tasks requiring discrimination or recognition, due to its impact on neurotransmitter systems (Leal </w:t>
      </w:r>
      <w:r w:rsidRPr="001B6703">
        <w:rPr>
          <w:rFonts w:ascii="Arial" w:hAnsi="Arial" w:cs="Arial"/>
          <w:i/>
          <w:iCs/>
          <w:color w:val="000000" w:themeColor="text1"/>
        </w:rPr>
        <w:t>et al</w:t>
      </w:r>
      <w:r w:rsidRPr="001B6703">
        <w:rPr>
          <w:rFonts w:ascii="Arial" w:hAnsi="Arial" w:cs="Arial"/>
          <w:i/>
          <w:color w:val="000000" w:themeColor="text1"/>
        </w:rPr>
        <w:t>.,</w:t>
      </w:r>
      <w:r w:rsidRPr="001B6703">
        <w:rPr>
          <w:rFonts w:ascii="Arial" w:hAnsi="Arial" w:cs="Arial"/>
          <w:color w:val="000000" w:themeColor="text1"/>
        </w:rPr>
        <w:t xml:space="preserve"> 2019; Pereira, </w:t>
      </w:r>
      <w:r w:rsidRPr="001B6703">
        <w:rPr>
          <w:rFonts w:ascii="Arial" w:hAnsi="Arial" w:cs="Arial"/>
          <w:i/>
          <w:iCs/>
          <w:color w:val="000000" w:themeColor="text1"/>
        </w:rPr>
        <w:t>et al</w:t>
      </w:r>
      <w:r w:rsidRPr="001B6703">
        <w:rPr>
          <w:rFonts w:ascii="Arial" w:hAnsi="Arial" w:cs="Arial"/>
          <w:color w:val="000000" w:themeColor="text1"/>
        </w:rPr>
        <w:t>., 2020). In th</w:t>
      </w:r>
      <w:r>
        <w:rPr>
          <w:rFonts w:ascii="Arial" w:hAnsi="Arial" w:cs="Arial"/>
          <w:color w:val="000000" w:themeColor="text1"/>
        </w:rPr>
        <w:t>is study, a</w:t>
      </w:r>
      <w:r w:rsidRPr="001B6703">
        <w:rPr>
          <w:rFonts w:ascii="Arial" w:hAnsi="Arial" w:cs="Arial"/>
          <w:color w:val="000000" w:themeColor="text1"/>
        </w:rPr>
        <w:t xml:space="preserve">dministration of CBD, THC-rich extract and their combination improved preference score of novel object recognition test, demonstrating their potential cognitive-enhancing effects. CBD's neuroprotective and pro-cognitive properties have been attributed to its ability to modulate endocannabinoid </w:t>
      </w:r>
      <w:proofErr w:type="spellStart"/>
      <w:r w:rsidRPr="001B6703">
        <w:rPr>
          <w:rFonts w:ascii="Arial" w:hAnsi="Arial" w:cs="Arial"/>
          <w:color w:val="000000" w:themeColor="text1"/>
        </w:rPr>
        <w:t>signalling</w:t>
      </w:r>
      <w:proofErr w:type="spellEnd"/>
      <w:r w:rsidRPr="001B6703">
        <w:rPr>
          <w:rFonts w:ascii="Arial" w:hAnsi="Arial" w:cs="Arial"/>
          <w:color w:val="000000" w:themeColor="text1"/>
        </w:rPr>
        <w:t xml:space="preserve">, enhance neurogenesis, and reduce oxidative stress and neuroinflammation in brain regions like the hippocampus, which are critical </w:t>
      </w:r>
      <w:r>
        <w:rPr>
          <w:rFonts w:ascii="Arial" w:hAnsi="Arial" w:cs="Arial"/>
          <w:color w:val="000000" w:themeColor="text1"/>
        </w:rPr>
        <w:t>for memory and learning (</w:t>
      </w:r>
      <w:r w:rsidRPr="001B6703">
        <w:rPr>
          <w:rFonts w:ascii="Arial" w:hAnsi="Arial" w:cs="Arial"/>
          <w:color w:val="000000" w:themeColor="text1"/>
        </w:rPr>
        <w:t xml:space="preserve">García-Gutiérrez </w:t>
      </w:r>
      <w:r w:rsidRPr="001B6703">
        <w:rPr>
          <w:rFonts w:ascii="Arial" w:hAnsi="Arial" w:cs="Arial"/>
          <w:i/>
          <w:iCs/>
          <w:color w:val="000000" w:themeColor="text1"/>
        </w:rPr>
        <w:t>et al.,</w:t>
      </w:r>
      <w:r>
        <w:rPr>
          <w:rFonts w:ascii="Arial" w:hAnsi="Arial" w:cs="Arial"/>
          <w:color w:val="000000" w:themeColor="text1"/>
        </w:rPr>
        <w:t xml:space="preserve"> 2020). Where</w:t>
      </w:r>
      <w:r w:rsidRPr="001B6703">
        <w:rPr>
          <w:rFonts w:ascii="Arial" w:hAnsi="Arial" w:cs="Arial"/>
          <w:color w:val="000000" w:themeColor="text1"/>
        </w:rPr>
        <w:t xml:space="preserve"> the observed effect of THC could be due to its biphasic effect. At low doses, THC has the capacity to increase </w:t>
      </w:r>
      <w:proofErr w:type="spellStart"/>
      <w:r w:rsidRPr="001B6703">
        <w:rPr>
          <w:rFonts w:ascii="Arial" w:hAnsi="Arial" w:cs="Arial"/>
          <w:color w:val="000000" w:themeColor="text1"/>
        </w:rPr>
        <w:t>ACh</w:t>
      </w:r>
      <w:proofErr w:type="spellEnd"/>
      <w:r w:rsidRPr="001B6703">
        <w:rPr>
          <w:rFonts w:ascii="Arial" w:hAnsi="Arial" w:cs="Arial"/>
          <w:color w:val="000000" w:themeColor="text1"/>
        </w:rPr>
        <w:t xml:space="preserve"> levels by inhibiting </w:t>
      </w:r>
      <w:proofErr w:type="spellStart"/>
      <w:r w:rsidRPr="001B6703">
        <w:rPr>
          <w:rFonts w:ascii="Arial" w:hAnsi="Arial" w:cs="Arial"/>
          <w:color w:val="000000" w:themeColor="text1"/>
        </w:rPr>
        <w:t>AChE</w:t>
      </w:r>
      <w:proofErr w:type="spellEnd"/>
      <w:r w:rsidRPr="001B6703">
        <w:rPr>
          <w:rFonts w:ascii="Arial" w:hAnsi="Arial" w:cs="Arial"/>
          <w:color w:val="000000" w:themeColor="text1"/>
        </w:rPr>
        <w:t xml:space="preserve"> and prevent </w:t>
      </w:r>
      <w:proofErr w:type="spellStart"/>
      <w:r w:rsidRPr="001B6703">
        <w:rPr>
          <w:rFonts w:ascii="Arial" w:hAnsi="Arial" w:cs="Arial"/>
          <w:color w:val="000000" w:themeColor="text1"/>
        </w:rPr>
        <w:t>AChE</w:t>
      </w:r>
      <w:proofErr w:type="spellEnd"/>
      <w:r w:rsidRPr="001B6703">
        <w:rPr>
          <w:rFonts w:ascii="Arial" w:hAnsi="Arial" w:cs="Arial"/>
          <w:color w:val="000000" w:themeColor="text1"/>
        </w:rPr>
        <w:t>-induced Aβ aggregation, thus improving m</w:t>
      </w:r>
      <w:r>
        <w:rPr>
          <w:rFonts w:ascii="Arial" w:hAnsi="Arial" w:cs="Arial"/>
          <w:color w:val="000000" w:themeColor="text1"/>
        </w:rPr>
        <w:t>emory and cognition (Calabrese and</w:t>
      </w:r>
      <w:r w:rsidRPr="001B6703">
        <w:rPr>
          <w:rFonts w:ascii="Arial" w:hAnsi="Arial" w:cs="Arial"/>
          <w:color w:val="000000" w:themeColor="text1"/>
        </w:rPr>
        <w:t xml:space="preserve"> Rubio-Casillas, 2018). Our findings are in agreement with the study of Peres </w:t>
      </w:r>
      <w:r w:rsidRPr="001B6703">
        <w:rPr>
          <w:rFonts w:ascii="Arial" w:hAnsi="Arial" w:cs="Arial"/>
          <w:i/>
          <w:color w:val="000000" w:themeColor="text1"/>
        </w:rPr>
        <w:t>at al.</w:t>
      </w:r>
      <w:r w:rsidRPr="001B6703">
        <w:rPr>
          <w:rFonts w:ascii="Arial" w:hAnsi="Arial" w:cs="Arial"/>
          <w:color w:val="000000" w:themeColor="text1"/>
        </w:rPr>
        <w:t xml:space="preserve"> (2016) which demonstrated that CBD was able to attenuate the reserpine-induced memory deficit in rats and that of </w:t>
      </w:r>
      <w:proofErr w:type="spellStart"/>
      <w:r w:rsidRPr="001B6703">
        <w:rPr>
          <w:rFonts w:ascii="Arial" w:hAnsi="Arial" w:cs="Arial"/>
          <w:color w:val="000000" w:themeColor="text1"/>
        </w:rPr>
        <w:t>Setlow</w:t>
      </w:r>
      <w:proofErr w:type="spellEnd"/>
      <w:r w:rsidRPr="001B6703">
        <w:rPr>
          <w:rFonts w:ascii="Arial" w:hAnsi="Arial" w:cs="Arial"/>
          <w:color w:val="000000" w:themeColor="text1"/>
        </w:rPr>
        <w:t xml:space="preserve"> </w:t>
      </w:r>
      <w:r w:rsidRPr="001B6703">
        <w:rPr>
          <w:rFonts w:ascii="Arial" w:hAnsi="Arial" w:cs="Arial"/>
          <w:i/>
          <w:iCs/>
          <w:color w:val="000000" w:themeColor="text1"/>
        </w:rPr>
        <w:t>et al</w:t>
      </w:r>
      <w:r w:rsidRPr="001B6703">
        <w:rPr>
          <w:rFonts w:ascii="Arial" w:hAnsi="Arial" w:cs="Arial"/>
          <w:color w:val="000000" w:themeColor="text1"/>
        </w:rPr>
        <w:t xml:space="preserve">. (2023) and </w:t>
      </w:r>
      <w:proofErr w:type="spellStart"/>
      <w:r w:rsidRPr="001B6703">
        <w:rPr>
          <w:rFonts w:ascii="Arial" w:hAnsi="Arial" w:cs="Arial"/>
          <w:color w:val="000000" w:themeColor="text1"/>
        </w:rPr>
        <w:t>Haghparast</w:t>
      </w:r>
      <w:proofErr w:type="spellEnd"/>
      <w:r w:rsidRPr="001B6703">
        <w:rPr>
          <w:rFonts w:ascii="Arial" w:hAnsi="Arial" w:cs="Arial"/>
          <w:color w:val="000000" w:themeColor="text1"/>
        </w:rPr>
        <w:t xml:space="preserve"> </w:t>
      </w:r>
      <w:r w:rsidRPr="001B6703">
        <w:rPr>
          <w:rFonts w:ascii="Arial" w:hAnsi="Arial" w:cs="Arial"/>
          <w:i/>
          <w:iCs/>
          <w:color w:val="000000" w:themeColor="text1"/>
        </w:rPr>
        <w:t>et al</w:t>
      </w:r>
      <w:r w:rsidRPr="001B6703">
        <w:rPr>
          <w:rFonts w:ascii="Arial" w:hAnsi="Arial" w:cs="Arial"/>
          <w:i/>
          <w:color w:val="000000" w:themeColor="text1"/>
        </w:rPr>
        <w:t>.</w:t>
      </w:r>
      <w:r w:rsidRPr="001B6703">
        <w:rPr>
          <w:rFonts w:ascii="Arial" w:hAnsi="Arial" w:cs="Arial"/>
          <w:color w:val="000000" w:themeColor="text1"/>
        </w:rPr>
        <w:t xml:space="preserve"> (2023) which showed THC’s ability to enhance working memory in aged rats. Previous studies suggest that the combination of THC and CBD may offer a more effective therapeutic profile compared to the use of either cannabinoid alone (Stella, 2023).</w:t>
      </w:r>
    </w:p>
    <w:p w14:paraId="3D35E726" w14:textId="42DE2772" w:rsidR="004E4A79" w:rsidRPr="004E4A79" w:rsidRDefault="004E4A79" w:rsidP="004E4A79">
      <w:pPr>
        <w:spacing w:line="240" w:lineRule="auto"/>
        <w:jc w:val="both"/>
        <w:rPr>
          <w:rFonts w:ascii="Arial" w:hAnsi="Arial" w:cs="Arial"/>
          <w:b/>
          <w:bCs/>
          <w:color w:val="000000" w:themeColor="text1"/>
        </w:rPr>
      </w:pPr>
      <w:r w:rsidRPr="004E4A79">
        <w:rPr>
          <w:rFonts w:ascii="Arial" w:hAnsi="Arial" w:cs="Arial"/>
          <w:b/>
          <w:bCs/>
          <w:color w:val="000000" w:themeColor="text1"/>
        </w:rPr>
        <w:t xml:space="preserve">3.3 Effects of cannabidiol and tetrahydrocannabinol on brain serotonin concentration </w:t>
      </w:r>
    </w:p>
    <w:p w14:paraId="1120E261" w14:textId="6A033701" w:rsidR="00AD7A96" w:rsidRPr="004E4A79" w:rsidRDefault="004E4A79" w:rsidP="004E4A79">
      <w:pPr>
        <w:spacing w:after="100" w:afterAutospacing="1" w:line="240" w:lineRule="auto"/>
        <w:jc w:val="both"/>
        <w:rPr>
          <w:rFonts w:ascii="Arial" w:hAnsi="Arial" w:cs="Arial"/>
          <w:color w:val="000000" w:themeColor="text1"/>
        </w:rPr>
      </w:pPr>
      <w:r w:rsidRPr="004E4A79">
        <w:rPr>
          <w:rFonts w:ascii="Arial" w:hAnsi="Arial" w:cs="Arial"/>
          <w:color w:val="000000" w:themeColor="text1"/>
        </w:rPr>
        <w:t xml:space="preserve">The finding that reserpine administration reduced brain serotonin concentration aligns with the ability of reserpine to deplete serotonin and other monoamines. This result is similar to the findings of Ahmed-Farid et al. (2021) who showed that reserpine administration significantly reduced the level of serotonin and other monoamines in the brain when used as a model of PD. Administration of CBD restored serotonin levels, suggesting its potential to modulate serotonergic pathways. This aligns with findings that CBD can ameliorate anxiety-like </w:t>
      </w:r>
      <w:proofErr w:type="spellStart"/>
      <w:r w:rsidRPr="004E4A79">
        <w:rPr>
          <w:rFonts w:ascii="Arial" w:hAnsi="Arial" w:cs="Arial"/>
          <w:color w:val="000000" w:themeColor="text1"/>
        </w:rPr>
        <w:t>behaviours</w:t>
      </w:r>
      <w:proofErr w:type="spellEnd"/>
      <w:r w:rsidRPr="004E4A79">
        <w:rPr>
          <w:rFonts w:ascii="Arial" w:hAnsi="Arial" w:cs="Arial"/>
          <w:color w:val="000000" w:themeColor="text1"/>
        </w:rPr>
        <w:t xml:space="preserve"> and restore impaired serotonergic transmission (De Gregorio et al., 2019). The THC-rich extract also elevated serotonin levels, with the lower dose yielding slightly greater effects, aligning with THC’s bimodal effect. This finding is in agreement with the work of </w:t>
      </w:r>
      <w:proofErr w:type="spellStart"/>
      <w:r w:rsidRPr="004E4A79">
        <w:rPr>
          <w:rFonts w:ascii="Arial" w:hAnsi="Arial" w:cs="Arial"/>
          <w:color w:val="000000" w:themeColor="text1"/>
        </w:rPr>
        <w:t>Gobbi</w:t>
      </w:r>
      <w:proofErr w:type="spellEnd"/>
      <w:r w:rsidRPr="004E4A79">
        <w:rPr>
          <w:rFonts w:ascii="Arial" w:hAnsi="Arial" w:cs="Arial"/>
          <w:color w:val="000000" w:themeColor="text1"/>
        </w:rPr>
        <w:t xml:space="preserve"> &amp; </w:t>
      </w:r>
      <w:proofErr w:type="spellStart"/>
      <w:r w:rsidRPr="004E4A79">
        <w:rPr>
          <w:rFonts w:ascii="Arial" w:hAnsi="Arial" w:cs="Arial"/>
          <w:color w:val="000000" w:themeColor="text1"/>
        </w:rPr>
        <w:t>Debonnel</w:t>
      </w:r>
      <w:proofErr w:type="spellEnd"/>
      <w:r w:rsidRPr="004E4A79">
        <w:rPr>
          <w:rFonts w:ascii="Arial" w:hAnsi="Arial" w:cs="Arial"/>
          <w:color w:val="000000" w:themeColor="text1"/>
        </w:rPr>
        <w:t xml:space="preserve"> (2007), who demonstrated that low doses of THC increased serotonin levels, while higher doses led to a significant drop in serotonin levels. The combination of CBD and THC produced the most pronounced restoration of serotonin levels. This combination may enhance therapeutic outcomes by combining the anxiolytic properties of both compounds while mitigating potential adverse effects (Martin et al., 2021). This is consistent with the role of cannabinoids in modulating the serotonergic system, which is involved in mood regulation and depression (Jenny et al., 2010). Therefore, it appears that CBD and THC exerted their anxiolytic and antidepressant effects by increasing serotonin concentration in the brain. The presence of nonmotor features of PD has been associated with decreased serotonin concentration.</w:t>
      </w:r>
    </w:p>
    <w:p w14:paraId="4BFE7BF5" w14:textId="77777777" w:rsidR="00DF414B" w:rsidRDefault="00DF414B" w:rsidP="00EA6F20">
      <w:pPr>
        <w:spacing w:after="100" w:afterAutospacing="1" w:line="240" w:lineRule="auto"/>
        <w:jc w:val="both"/>
        <w:rPr>
          <w:rFonts w:ascii="Arial" w:hAnsi="Arial" w:cs="Arial"/>
          <w:color w:val="000000" w:themeColor="text1"/>
          <w:sz w:val="20"/>
          <w:szCs w:val="20"/>
        </w:rPr>
      </w:pPr>
    </w:p>
    <w:p w14:paraId="7CE64CBA" w14:textId="7FD3A1DF" w:rsidR="00DF414B" w:rsidRPr="00DF414B" w:rsidRDefault="0019611F" w:rsidP="0019611F">
      <w:pPr>
        <w:pStyle w:val="Heading2"/>
        <w:spacing w:line="240" w:lineRule="auto"/>
        <w:rPr>
          <w:rFonts w:ascii="Arial" w:hAnsi="Arial" w:cs="Arial"/>
          <w:b w:val="0"/>
          <w:bCs w:val="0"/>
          <w:color w:val="000000" w:themeColor="text1"/>
          <w:sz w:val="22"/>
          <w:szCs w:val="22"/>
        </w:rPr>
      </w:pPr>
      <w:r>
        <w:rPr>
          <w:rFonts w:ascii="Arial" w:hAnsi="Arial" w:cs="Arial"/>
          <w:color w:val="000000" w:themeColor="text1"/>
          <w:sz w:val="22"/>
          <w:szCs w:val="22"/>
        </w:rPr>
        <w:t>3.</w:t>
      </w:r>
      <w:r w:rsidR="004E4A79">
        <w:rPr>
          <w:rFonts w:ascii="Arial" w:hAnsi="Arial" w:cs="Arial"/>
          <w:color w:val="000000" w:themeColor="text1"/>
          <w:sz w:val="22"/>
          <w:szCs w:val="22"/>
        </w:rPr>
        <w:t>4</w:t>
      </w:r>
      <w:r>
        <w:rPr>
          <w:rFonts w:ascii="Arial" w:hAnsi="Arial" w:cs="Arial"/>
          <w:color w:val="000000" w:themeColor="text1"/>
          <w:sz w:val="22"/>
          <w:szCs w:val="22"/>
        </w:rPr>
        <w:tab/>
      </w:r>
      <w:bookmarkStart w:id="18" w:name="_Hlk224500011"/>
      <w:r w:rsidR="00DF414B" w:rsidRPr="00DF414B">
        <w:rPr>
          <w:rFonts w:ascii="Arial" w:hAnsi="Arial" w:cs="Arial"/>
          <w:color w:val="000000" w:themeColor="text1"/>
          <w:sz w:val="22"/>
          <w:szCs w:val="22"/>
        </w:rPr>
        <w:t xml:space="preserve">Effects of Cannabidiol and Tetrahydrocannabinol </w:t>
      </w:r>
      <w:bookmarkEnd w:id="18"/>
      <w:r w:rsidR="00DF414B" w:rsidRPr="00DF414B">
        <w:rPr>
          <w:rFonts w:ascii="Arial" w:hAnsi="Arial" w:cs="Arial"/>
          <w:color w:val="000000" w:themeColor="text1"/>
          <w:sz w:val="22"/>
          <w:szCs w:val="22"/>
        </w:rPr>
        <w:t xml:space="preserve">on the Histoarchitecture of the </w:t>
      </w:r>
      <w:r>
        <w:rPr>
          <w:rFonts w:ascii="Arial" w:hAnsi="Arial" w:cs="Arial"/>
          <w:color w:val="000000" w:themeColor="text1"/>
          <w:sz w:val="22"/>
          <w:szCs w:val="22"/>
        </w:rPr>
        <w:tab/>
      </w:r>
      <w:r w:rsidR="00DF414B" w:rsidRPr="00DF414B">
        <w:rPr>
          <w:rFonts w:ascii="Arial" w:hAnsi="Arial" w:cs="Arial"/>
          <w:color w:val="000000" w:themeColor="text1"/>
          <w:sz w:val="22"/>
          <w:szCs w:val="22"/>
        </w:rPr>
        <w:t xml:space="preserve">Substantia </w:t>
      </w:r>
      <w:proofErr w:type="spellStart"/>
      <w:r w:rsidR="00DF414B" w:rsidRPr="00DF414B">
        <w:rPr>
          <w:rFonts w:ascii="Arial" w:hAnsi="Arial" w:cs="Arial"/>
          <w:color w:val="000000" w:themeColor="text1"/>
          <w:sz w:val="22"/>
          <w:szCs w:val="22"/>
        </w:rPr>
        <w:t>Nigra</w:t>
      </w:r>
      <w:proofErr w:type="spellEnd"/>
      <w:r w:rsidR="00DF414B" w:rsidRPr="00DF414B">
        <w:rPr>
          <w:rFonts w:ascii="Arial" w:hAnsi="Arial" w:cs="Arial"/>
          <w:color w:val="000000" w:themeColor="text1"/>
          <w:sz w:val="22"/>
          <w:szCs w:val="22"/>
        </w:rPr>
        <w:t xml:space="preserve"> Pars Compacta of the Basal Ganglia</w:t>
      </w:r>
    </w:p>
    <w:p w14:paraId="2A1A7CE6" w14:textId="320913F9" w:rsidR="00DF414B" w:rsidRPr="00DF414B" w:rsidRDefault="00DF414B" w:rsidP="00DF414B">
      <w:pPr>
        <w:spacing w:line="240" w:lineRule="auto"/>
        <w:jc w:val="both"/>
        <w:rPr>
          <w:rFonts w:ascii="Arial" w:hAnsi="Arial" w:cs="Arial"/>
          <w:b/>
          <w:color w:val="000000" w:themeColor="text1"/>
        </w:rPr>
      </w:pPr>
      <w:r w:rsidRPr="00DF414B">
        <w:rPr>
          <w:rFonts w:ascii="Arial" w:hAnsi="Arial" w:cs="Arial"/>
          <w:color w:val="000000" w:themeColor="text1"/>
        </w:rPr>
        <w:t xml:space="preserve">Plate </w:t>
      </w:r>
      <w:r w:rsidR="00014030">
        <w:rPr>
          <w:rFonts w:ascii="Arial" w:hAnsi="Arial" w:cs="Arial"/>
          <w:color w:val="000000" w:themeColor="text1"/>
        </w:rPr>
        <w:t>2</w:t>
      </w:r>
      <w:r w:rsidRPr="00DF414B">
        <w:rPr>
          <w:rFonts w:ascii="Arial" w:hAnsi="Arial" w:cs="Arial"/>
          <w:color w:val="000000" w:themeColor="text1"/>
        </w:rPr>
        <w:t xml:space="preserve"> and </w:t>
      </w:r>
      <w:r w:rsidR="00014030">
        <w:rPr>
          <w:rFonts w:ascii="Arial" w:hAnsi="Arial" w:cs="Arial"/>
          <w:color w:val="000000" w:themeColor="text1"/>
        </w:rPr>
        <w:t>8</w:t>
      </w:r>
      <w:r w:rsidRPr="00DF414B">
        <w:rPr>
          <w:rFonts w:ascii="Arial" w:hAnsi="Arial" w:cs="Arial"/>
          <w:color w:val="000000" w:themeColor="text1"/>
        </w:rPr>
        <w:t xml:space="preserve"> showed a relatively normal histoarchitectural feature with presence of normal dopaminergic </w:t>
      </w:r>
      <w:proofErr w:type="spellStart"/>
      <w:r w:rsidRPr="00DF414B">
        <w:rPr>
          <w:rFonts w:ascii="Arial" w:hAnsi="Arial" w:cs="Arial"/>
          <w:color w:val="000000" w:themeColor="text1"/>
        </w:rPr>
        <w:t>neurones</w:t>
      </w:r>
      <w:proofErr w:type="spellEnd"/>
      <w:r w:rsidRPr="00DF414B">
        <w:rPr>
          <w:rFonts w:ascii="Arial" w:hAnsi="Arial" w:cs="Arial"/>
          <w:color w:val="000000" w:themeColor="text1"/>
        </w:rPr>
        <w:t xml:space="preserve"> (having a large nuclei and prominent nucleoli) in the substantia </w:t>
      </w:r>
      <w:proofErr w:type="spellStart"/>
      <w:r w:rsidRPr="00DF414B">
        <w:rPr>
          <w:rFonts w:ascii="Arial" w:hAnsi="Arial" w:cs="Arial"/>
          <w:color w:val="000000" w:themeColor="text1"/>
        </w:rPr>
        <w:t>nigra</w:t>
      </w:r>
      <w:proofErr w:type="spellEnd"/>
      <w:r w:rsidRPr="00DF414B">
        <w:rPr>
          <w:rFonts w:ascii="Arial" w:hAnsi="Arial" w:cs="Arial"/>
          <w:color w:val="000000" w:themeColor="text1"/>
        </w:rPr>
        <w:t xml:space="preserve"> pars compacta of the basal ganglia. However, treatment with reserpine resulted in a distorted histoarchitecture with vacuolation, pyknosis and loss of dopaminergic </w:t>
      </w:r>
      <w:proofErr w:type="spellStart"/>
      <w:r w:rsidRPr="00DF414B">
        <w:rPr>
          <w:rFonts w:ascii="Arial" w:hAnsi="Arial" w:cs="Arial"/>
          <w:color w:val="000000" w:themeColor="text1"/>
        </w:rPr>
        <w:t>neurones</w:t>
      </w:r>
      <w:proofErr w:type="spellEnd"/>
      <w:r w:rsidRPr="00DF414B">
        <w:rPr>
          <w:rFonts w:ascii="Arial" w:hAnsi="Arial" w:cs="Arial"/>
          <w:color w:val="000000" w:themeColor="text1"/>
        </w:rPr>
        <w:t xml:space="preserve"> (Plate </w:t>
      </w:r>
      <w:r w:rsidR="00014030">
        <w:rPr>
          <w:rFonts w:ascii="Arial" w:hAnsi="Arial" w:cs="Arial"/>
          <w:color w:val="000000" w:themeColor="text1"/>
        </w:rPr>
        <w:t>3</w:t>
      </w:r>
      <w:r w:rsidRPr="00DF414B">
        <w:rPr>
          <w:rFonts w:ascii="Arial" w:hAnsi="Arial" w:cs="Arial"/>
          <w:color w:val="000000" w:themeColor="text1"/>
        </w:rPr>
        <w:t xml:space="preserve">). Interestingly, treatment with CBD (30 mg/kg and 60 mg/kg) and THC (4 mg/kg and 6 mg/kg), showed moderate loss of dopaminergic </w:t>
      </w:r>
      <w:proofErr w:type="spellStart"/>
      <w:r w:rsidRPr="00DF414B">
        <w:rPr>
          <w:rFonts w:ascii="Arial" w:hAnsi="Arial" w:cs="Arial"/>
          <w:color w:val="000000" w:themeColor="text1"/>
        </w:rPr>
        <w:t>neurones</w:t>
      </w:r>
      <w:proofErr w:type="spellEnd"/>
      <w:r w:rsidRPr="00DF414B">
        <w:rPr>
          <w:rFonts w:ascii="Arial" w:hAnsi="Arial" w:cs="Arial"/>
          <w:color w:val="000000" w:themeColor="text1"/>
        </w:rPr>
        <w:t xml:space="preserve"> with decreased vacuolation and pyknosis (Plate </w:t>
      </w:r>
      <w:r w:rsidR="00014030">
        <w:rPr>
          <w:rFonts w:ascii="Arial" w:hAnsi="Arial" w:cs="Arial"/>
          <w:color w:val="000000" w:themeColor="text1"/>
        </w:rPr>
        <w:t>4</w:t>
      </w:r>
      <w:r w:rsidRPr="00DF414B">
        <w:rPr>
          <w:rFonts w:ascii="Arial" w:hAnsi="Arial" w:cs="Arial"/>
          <w:color w:val="000000" w:themeColor="text1"/>
        </w:rPr>
        <w:t xml:space="preserve">, </w:t>
      </w:r>
      <w:r w:rsidR="00014030">
        <w:rPr>
          <w:rFonts w:ascii="Arial" w:hAnsi="Arial" w:cs="Arial"/>
          <w:color w:val="000000" w:themeColor="text1"/>
        </w:rPr>
        <w:t>5</w:t>
      </w:r>
      <w:r w:rsidRPr="00DF414B">
        <w:rPr>
          <w:rFonts w:ascii="Arial" w:hAnsi="Arial" w:cs="Arial"/>
          <w:color w:val="000000" w:themeColor="text1"/>
        </w:rPr>
        <w:t xml:space="preserve">, </w:t>
      </w:r>
      <w:r w:rsidR="00014030">
        <w:rPr>
          <w:rFonts w:ascii="Arial" w:hAnsi="Arial" w:cs="Arial"/>
          <w:color w:val="000000" w:themeColor="text1"/>
        </w:rPr>
        <w:t>6</w:t>
      </w:r>
      <w:r w:rsidRPr="00DF414B">
        <w:rPr>
          <w:rFonts w:ascii="Arial" w:hAnsi="Arial" w:cs="Arial"/>
          <w:color w:val="000000" w:themeColor="text1"/>
        </w:rPr>
        <w:t xml:space="preserve">, and </w:t>
      </w:r>
      <w:r w:rsidR="00014030">
        <w:rPr>
          <w:rFonts w:ascii="Arial" w:hAnsi="Arial" w:cs="Arial"/>
          <w:color w:val="000000" w:themeColor="text1"/>
        </w:rPr>
        <w:t>7</w:t>
      </w:r>
      <w:r w:rsidRPr="00DF414B">
        <w:rPr>
          <w:rFonts w:ascii="Arial" w:hAnsi="Arial" w:cs="Arial"/>
          <w:color w:val="000000" w:themeColor="text1"/>
        </w:rPr>
        <w:t>).</w:t>
      </w:r>
    </w:p>
    <w:p w14:paraId="4E9C9096" w14:textId="316D2DDF" w:rsidR="0019611F" w:rsidRPr="001B6703" w:rsidRDefault="0019611F" w:rsidP="0019611F">
      <w:pPr>
        <w:spacing w:line="240" w:lineRule="auto"/>
        <w:jc w:val="both"/>
        <w:rPr>
          <w:rFonts w:ascii="Arial" w:hAnsi="Arial" w:cs="Arial"/>
          <w:color w:val="000000" w:themeColor="text1"/>
        </w:rPr>
      </w:pPr>
      <w:r w:rsidRPr="001B6703">
        <w:rPr>
          <w:rFonts w:ascii="Arial" w:hAnsi="Arial" w:cs="Arial"/>
          <w:color w:val="000000" w:themeColor="text1"/>
        </w:rPr>
        <w:t xml:space="preserve">In the current study, presence of intact dopaminergic </w:t>
      </w:r>
      <w:proofErr w:type="spellStart"/>
      <w:r w:rsidRPr="001B6703">
        <w:rPr>
          <w:rFonts w:ascii="Arial" w:hAnsi="Arial" w:cs="Arial"/>
          <w:color w:val="000000" w:themeColor="text1"/>
        </w:rPr>
        <w:t>neurones</w:t>
      </w:r>
      <w:proofErr w:type="spellEnd"/>
      <w:r w:rsidRPr="001B6703">
        <w:rPr>
          <w:rFonts w:ascii="Arial" w:hAnsi="Arial" w:cs="Arial"/>
          <w:color w:val="000000" w:themeColor="text1"/>
        </w:rPr>
        <w:t xml:space="preserve"> in plate </w:t>
      </w:r>
      <w:r w:rsidR="00014030">
        <w:rPr>
          <w:rFonts w:ascii="Arial" w:hAnsi="Arial" w:cs="Arial"/>
          <w:color w:val="000000" w:themeColor="text1"/>
        </w:rPr>
        <w:t>2</w:t>
      </w:r>
      <w:r w:rsidRPr="001B6703">
        <w:rPr>
          <w:rFonts w:ascii="Arial" w:hAnsi="Arial" w:cs="Arial"/>
          <w:color w:val="000000" w:themeColor="text1"/>
        </w:rPr>
        <w:t xml:space="preserve">, suggests absence of neurodegeneration, as expected in a healthy control group, which served as a baseline. Reserpine-only treated group demonstrated hallmark features of reserpine-induced neurodegeneration, including pyknosis, karyorrhexis, vacuolation and severe loss of dopaminergic </w:t>
      </w:r>
      <w:proofErr w:type="spellStart"/>
      <w:r w:rsidRPr="001B6703">
        <w:rPr>
          <w:rFonts w:ascii="Arial" w:hAnsi="Arial" w:cs="Arial"/>
          <w:color w:val="000000" w:themeColor="text1"/>
        </w:rPr>
        <w:t>neurones</w:t>
      </w:r>
      <w:proofErr w:type="spellEnd"/>
      <w:r w:rsidRPr="001B6703">
        <w:rPr>
          <w:rFonts w:ascii="Arial" w:hAnsi="Arial" w:cs="Arial"/>
          <w:color w:val="000000" w:themeColor="text1"/>
        </w:rPr>
        <w:t xml:space="preserve">, which reflect apoptosis and cellular stress in the substantia </w:t>
      </w:r>
      <w:proofErr w:type="spellStart"/>
      <w:r w:rsidRPr="001B6703">
        <w:rPr>
          <w:rFonts w:ascii="Arial" w:hAnsi="Arial" w:cs="Arial"/>
          <w:color w:val="000000" w:themeColor="text1"/>
        </w:rPr>
        <w:t>nigra</w:t>
      </w:r>
      <w:proofErr w:type="spellEnd"/>
      <w:r w:rsidRPr="001B6703">
        <w:rPr>
          <w:rFonts w:ascii="Arial" w:hAnsi="Arial" w:cs="Arial"/>
          <w:color w:val="000000" w:themeColor="text1"/>
        </w:rPr>
        <w:t xml:space="preserve"> pars compacta (Plates </w:t>
      </w:r>
      <w:r w:rsidR="00014030">
        <w:rPr>
          <w:rFonts w:ascii="Arial" w:hAnsi="Arial" w:cs="Arial"/>
          <w:color w:val="000000" w:themeColor="text1"/>
        </w:rPr>
        <w:t>3</w:t>
      </w:r>
      <w:r w:rsidRPr="001B6703">
        <w:rPr>
          <w:rFonts w:ascii="Arial" w:hAnsi="Arial" w:cs="Arial"/>
          <w:color w:val="000000" w:themeColor="text1"/>
        </w:rPr>
        <w:t xml:space="preserve">). These findings align with previous studies which demonstrated that reserpine administration resulted in dopaminergic neuronal damage and apoptosis (Li </w:t>
      </w:r>
      <w:r w:rsidRPr="001B6703">
        <w:rPr>
          <w:rFonts w:ascii="Arial" w:hAnsi="Arial" w:cs="Arial"/>
          <w:i/>
          <w:iCs/>
          <w:color w:val="000000" w:themeColor="text1"/>
        </w:rPr>
        <w:t>et al</w:t>
      </w:r>
      <w:r w:rsidRPr="001B6703">
        <w:rPr>
          <w:rFonts w:ascii="Arial" w:hAnsi="Arial" w:cs="Arial"/>
          <w:i/>
          <w:color w:val="000000" w:themeColor="text1"/>
        </w:rPr>
        <w:t xml:space="preserve">., </w:t>
      </w:r>
      <w:r w:rsidRPr="001B6703">
        <w:rPr>
          <w:rFonts w:ascii="Arial" w:hAnsi="Arial" w:cs="Arial"/>
          <w:color w:val="000000" w:themeColor="text1"/>
        </w:rPr>
        <w:t xml:space="preserve">2022). Limited neuroprotection was observed with CBD, while the lower dose showed karyorrhexis (nuclear fragmentation), suggesting ongoing and severe neuronal damage coupled with moderate loss of dopaminergic </w:t>
      </w:r>
      <w:proofErr w:type="spellStart"/>
      <w:r w:rsidRPr="001B6703">
        <w:rPr>
          <w:rFonts w:ascii="Arial" w:hAnsi="Arial" w:cs="Arial"/>
          <w:color w:val="000000" w:themeColor="text1"/>
        </w:rPr>
        <w:t>neurones</w:t>
      </w:r>
      <w:proofErr w:type="spellEnd"/>
      <w:r w:rsidRPr="001B6703">
        <w:rPr>
          <w:rFonts w:ascii="Arial" w:hAnsi="Arial" w:cs="Arial"/>
          <w:color w:val="000000" w:themeColor="text1"/>
        </w:rPr>
        <w:t xml:space="preserve"> and decrease in pyknosis and vacuolation, the higher dose offered more improvement in the histoarchitectural integrity showing more decreased pyknosis and vacuolation with presence of more dopaminergic </w:t>
      </w:r>
      <w:proofErr w:type="spellStart"/>
      <w:r w:rsidRPr="001B6703">
        <w:rPr>
          <w:rFonts w:ascii="Arial" w:hAnsi="Arial" w:cs="Arial"/>
          <w:color w:val="000000" w:themeColor="text1"/>
        </w:rPr>
        <w:t>neurones</w:t>
      </w:r>
      <w:proofErr w:type="spellEnd"/>
      <w:r w:rsidRPr="001B6703">
        <w:rPr>
          <w:rFonts w:ascii="Arial" w:hAnsi="Arial" w:cs="Arial"/>
          <w:color w:val="000000" w:themeColor="text1"/>
        </w:rPr>
        <w:t xml:space="preserve">. Similarly, in a previous study conducted by Muhammad </w:t>
      </w:r>
      <w:r w:rsidRPr="001B6703">
        <w:rPr>
          <w:rFonts w:ascii="Arial" w:hAnsi="Arial" w:cs="Arial"/>
          <w:i/>
          <w:iCs/>
          <w:color w:val="000000" w:themeColor="text1"/>
        </w:rPr>
        <w:t>et al</w:t>
      </w:r>
      <w:r w:rsidRPr="001B6703">
        <w:rPr>
          <w:rFonts w:ascii="Arial" w:hAnsi="Arial" w:cs="Arial"/>
          <w:color w:val="000000" w:themeColor="text1"/>
        </w:rPr>
        <w:t xml:space="preserve">. (2022), </w:t>
      </w:r>
      <w:r w:rsidRPr="001B6703">
        <w:rPr>
          <w:rFonts w:ascii="Arial" w:hAnsi="Arial" w:cs="Arial"/>
          <w:i/>
          <w:color w:val="000000" w:themeColor="text1"/>
        </w:rPr>
        <w:t>C. elegans</w:t>
      </w:r>
      <w:r w:rsidRPr="001B6703">
        <w:rPr>
          <w:rFonts w:ascii="Arial" w:hAnsi="Arial" w:cs="Arial"/>
          <w:color w:val="000000" w:themeColor="text1"/>
        </w:rPr>
        <w:t xml:space="preserve"> treated with CBD showed a diminished dopaminergic </w:t>
      </w:r>
      <w:proofErr w:type="spellStart"/>
      <w:r w:rsidRPr="001B6703">
        <w:rPr>
          <w:rFonts w:ascii="Arial" w:hAnsi="Arial" w:cs="Arial"/>
          <w:color w:val="000000" w:themeColor="text1"/>
        </w:rPr>
        <w:t>neurone</w:t>
      </w:r>
      <w:proofErr w:type="spellEnd"/>
      <w:r w:rsidRPr="001B6703">
        <w:rPr>
          <w:rFonts w:ascii="Arial" w:hAnsi="Arial" w:cs="Arial"/>
          <w:color w:val="000000" w:themeColor="text1"/>
        </w:rPr>
        <w:t xml:space="preserve"> degeneration induced by 6-hydroxydopamine (6-OHDA). Treatment with the THC-rich extract also resulted in the preservation of dopaminergic </w:t>
      </w:r>
      <w:proofErr w:type="spellStart"/>
      <w:r w:rsidRPr="001B6703">
        <w:rPr>
          <w:rFonts w:ascii="Arial" w:hAnsi="Arial" w:cs="Arial"/>
          <w:color w:val="000000" w:themeColor="text1"/>
        </w:rPr>
        <w:t>neurones</w:t>
      </w:r>
      <w:proofErr w:type="spellEnd"/>
      <w:r w:rsidRPr="001B6703">
        <w:rPr>
          <w:rFonts w:ascii="Arial" w:hAnsi="Arial" w:cs="Arial"/>
          <w:color w:val="000000" w:themeColor="text1"/>
        </w:rPr>
        <w:t xml:space="preserve">, demonstrating limited neuroprotection, with features such as pyknosis and vacuolation persisting. </w:t>
      </w:r>
    </w:p>
    <w:p w14:paraId="6763B603" w14:textId="77777777" w:rsidR="0019611F" w:rsidRDefault="00D811D1" w:rsidP="0019611F">
      <w:pPr>
        <w:spacing w:line="240" w:lineRule="auto"/>
        <w:rPr>
          <w:rFonts w:ascii="Arial" w:hAnsi="Arial" w:cs="Arial"/>
          <w:b/>
        </w:rPr>
      </w:pPr>
      <w:r>
        <w:rPr>
          <w:rFonts w:ascii="Arial" w:hAnsi="Arial" w:cs="Arial"/>
          <w:b/>
        </w:rPr>
        <w:t>4.0</w:t>
      </w:r>
      <w:r>
        <w:rPr>
          <w:rFonts w:ascii="Arial" w:hAnsi="Arial" w:cs="Arial"/>
          <w:b/>
        </w:rPr>
        <w:tab/>
      </w:r>
      <w:r w:rsidR="0059586A" w:rsidRPr="00D811D1">
        <w:rPr>
          <w:rFonts w:ascii="Arial" w:hAnsi="Arial" w:cs="Arial"/>
          <w:b/>
        </w:rPr>
        <w:t>Conclusion and Recommendation</w:t>
      </w:r>
    </w:p>
    <w:p w14:paraId="774A8407" w14:textId="77777777" w:rsidR="00D811D1" w:rsidRDefault="00D811D1" w:rsidP="0019611F">
      <w:pPr>
        <w:spacing w:line="240" w:lineRule="auto"/>
        <w:rPr>
          <w:rFonts w:ascii="Arial" w:hAnsi="Arial" w:cs="Arial"/>
          <w:b/>
        </w:rPr>
      </w:pPr>
      <w:r>
        <w:rPr>
          <w:rFonts w:ascii="Arial" w:hAnsi="Arial" w:cs="Arial"/>
          <w:b/>
        </w:rPr>
        <w:t>4.1</w:t>
      </w:r>
      <w:r>
        <w:rPr>
          <w:rFonts w:ascii="Arial" w:hAnsi="Arial" w:cs="Arial"/>
          <w:b/>
        </w:rPr>
        <w:tab/>
        <w:t>Conclusion</w:t>
      </w:r>
    </w:p>
    <w:p w14:paraId="00B7F2D0" w14:textId="67CB5E27" w:rsidR="00D811D1" w:rsidRPr="00270458" w:rsidRDefault="00D811D1" w:rsidP="00D811D1">
      <w:pPr>
        <w:spacing w:line="240" w:lineRule="auto"/>
        <w:jc w:val="both"/>
        <w:rPr>
          <w:rFonts w:ascii="Arial" w:hAnsi="Arial" w:cs="Arial"/>
          <w:lang w:val="en-GB"/>
        </w:rPr>
      </w:pPr>
      <w:r w:rsidRPr="003323BA">
        <w:rPr>
          <w:rFonts w:ascii="Arial" w:hAnsi="Arial" w:cs="Arial"/>
          <w:highlight w:val="yellow"/>
        </w:rPr>
        <w:t xml:space="preserve">In conclusion, </w:t>
      </w:r>
      <w:r w:rsidR="00270458" w:rsidRPr="003323BA">
        <w:rPr>
          <w:rFonts w:ascii="Arial" w:hAnsi="Arial" w:cs="Arial"/>
          <w:highlight w:val="yellow"/>
          <w:lang w:val="en-GB"/>
        </w:rPr>
        <w:t>Cannabidiol and tetrahydrocannabinol were found to modulate neurobehavioral, neurochemical, and histoarchitectural changes in reserpine-induced Parkinson’s disease in mice. These effects were reflected in the reduction of anxiety-like behaviours, improvement in cognitive performance, increased serotonin levels in the brain, and a noticeable reduction in neuronal damage. The findings suggest that both CBD and THC, whether administered individually or in combination, may play a beneficial role in alleviating the neuropsychiatric and cognitive disturbances associated with Parkinson’s disease. Importantly, the combined treatment appeared to offer enhanced effects in some parameters, pointing to possible synergistic interactions between the two compounds. This highlights their potential as complementary therapeutic agents in the management of Parkinson’s disease beyond the traditional focus on motor symptoms. However, careful consideration of dosing remains essential, as the balance between therapeutic benefit and potential adverse effects is likely to be dose-dependent.</w:t>
      </w:r>
    </w:p>
    <w:p w14:paraId="2BEAC931" w14:textId="77777777" w:rsidR="00D811D1" w:rsidRPr="00D811D1" w:rsidRDefault="00784B42" w:rsidP="00D811D1">
      <w:pPr>
        <w:spacing w:line="240" w:lineRule="auto"/>
        <w:jc w:val="both"/>
        <w:rPr>
          <w:rFonts w:ascii="Arial" w:hAnsi="Arial" w:cs="Arial"/>
          <w:b/>
          <w:color w:val="000000" w:themeColor="text1"/>
        </w:rPr>
      </w:pPr>
      <w:r>
        <w:rPr>
          <w:rFonts w:ascii="Arial" w:hAnsi="Arial" w:cs="Arial"/>
          <w:b/>
          <w:color w:val="000000" w:themeColor="text1"/>
        </w:rPr>
        <w:t>4.2</w:t>
      </w:r>
      <w:r>
        <w:rPr>
          <w:rFonts w:ascii="Arial" w:hAnsi="Arial" w:cs="Arial"/>
          <w:b/>
          <w:color w:val="000000" w:themeColor="text1"/>
        </w:rPr>
        <w:tab/>
      </w:r>
      <w:r w:rsidR="00D811D1" w:rsidRPr="00D811D1">
        <w:rPr>
          <w:rFonts w:ascii="Arial" w:hAnsi="Arial" w:cs="Arial"/>
          <w:b/>
          <w:color w:val="000000" w:themeColor="text1"/>
        </w:rPr>
        <w:t>Recommendation</w:t>
      </w:r>
    </w:p>
    <w:p w14:paraId="6935160C" w14:textId="5E2CA94C" w:rsidR="00D811D1" w:rsidRDefault="00D811D1" w:rsidP="00D811D1">
      <w:pPr>
        <w:spacing w:before="240" w:line="240" w:lineRule="auto"/>
        <w:jc w:val="both"/>
        <w:rPr>
          <w:rFonts w:ascii="Arial" w:hAnsi="Arial" w:cs="Arial"/>
          <w:color w:val="000000" w:themeColor="text1"/>
        </w:rPr>
      </w:pPr>
      <w:r w:rsidRPr="00AE08ED">
        <w:rPr>
          <w:rFonts w:ascii="Arial" w:hAnsi="Arial" w:cs="Arial"/>
          <w:color w:val="000000" w:themeColor="text1"/>
        </w:rPr>
        <w:t xml:space="preserve">Molecular studies should be conducted to ascertain changes in gene and protein expression associated with monoamine neurotransmission, oxidative stress, and neuroinflammation in </w:t>
      </w:r>
      <w:r w:rsidRPr="00AE08ED">
        <w:rPr>
          <w:rFonts w:ascii="Arial" w:hAnsi="Arial" w:cs="Arial"/>
          <w:color w:val="000000" w:themeColor="text1"/>
        </w:rPr>
        <w:lastRenderedPageBreak/>
        <w:t>Parkinson's disease and also further studies should investigate the long-term effects of chronic CBD and THC administration in managing non-motor symptoms of PD.</w:t>
      </w:r>
    </w:p>
    <w:p w14:paraId="6F793A21" w14:textId="77777777" w:rsidR="00C552A7" w:rsidRPr="00C552A7" w:rsidRDefault="00C552A7" w:rsidP="00C552A7">
      <w:pPr>
        <w:spacing w:before="240" w:line="240" w:lineRule="auto"/>
        <w:jc w:val="both"/>
        <w:rPr>
          <w:rFonts w:ascii="Arial" w:hAnsi="Arial" w:cs="Arial"/>
          <w:b/>
          <w:color w:val="000000" w:themeColor="text1"/>
        </w:rPr>
      </w:pPr>
      <w:r w:rsidRPr="00C552A7">
        <w:rPr>
          <w:rFonts w:ascii="Arial" w:hAnsi="Arial" w:cs="Arial"/>
          <w:b/>
          <w:color w:val="000000" w:themeColor="text1"/>
        </w:rPr>
        <w:t>Ethical Approval</w:t>
      </w:r>
    </w:p>
    <w:p w14:paraId="7267A8F7" w14:textId="18B7EA6B" w:rsidR="00C552A7" w:rsidRDefault="00C552A7" w:rsidP="00C552A7">
      <w:pPr>
        <w:spacing w:before="240" w:line="240" w:lineRule="auto"/>
        <w:jc w:val="both"/>
        <w:rPr>
          <w:rFonts w:ascii="Arial" w:hAnsi="Arial" w:cs="Arial"/>
          <w:color w:val="000000" w:themeColor="text1"/>
        </w:rPr>
      </w:pPr>
      <w:r w:rsidRPr="00C552A7">
        <w:rPr>
          <w:rFonts w:ascii="Arial" w:hAnsi="Arial" w:cs="Arial"/>
          <w:color w:val="000000" w:themeColor="text1"/>
        </w:rPr>
        <w:t>Animal Ethic committee approval has been collected and preserved by the author(s)</w:t>
      </w:r>
    </w:p>
    <w:p w14:paraId="76833A23" w14:textId="77777777" w:rsidR="00DA16DD" w:rsidRPr="00C552A7" w:rsidRDefault="00DA16DD" w:rsidP="00DA16DD">
      <w:pPr>
        <w:spacing w:after="0" w:line="240" w:lineRule="auto"/>
        <w:rPr>
          <w:rFonts w:ascii="Times New Roman" w:eastAsia="Calibri" w:hAnsi="Times New Roman" w:cs="Times New Roman"/>
          <w:b/>
          <w:kern w:val="2"/>
          <w:highlight w:val="yellow"/>
        </w:rPr>
      </w:pPr>
      <w:bookmarkStart w:id="19" w:name="_Hlk198031404"/>
      <w:bookmarkStart w:id="20" w:name="_Hlk219125673"/>
      <w:r w:rsidRPr="00C552A7">
        <w:rPr>
          <w:rFonts w:ascii="Times New Roman" w:eastAsia="Calibri" w:hAnsi="Times New Roman" w:cs="Times New Roman"/>
          <w:b/>
          <w:kern w:val="2"/>
          <w:highlight w:val="yellow"/>
        </w:rPr>
        <w:t>Disclaimer (Artificial intelligence)</w:t>
      </w:r>
    </w:p>
    <w:p w14:paraId="235A515E" w14:textId="77777777" w:rsidR="00DA16DD" w:rsidRPr="00320011" w:rsidRDefault="00DA16DD" w:rsidP="00DA16DD">
      <w:pPr>
        <w:spacing w:after="0" w:line="240" w:lineRule="auto"/>
        <w:rPr>
          <w:rFonts w:ascii="Times New Roman" w:eastAsia="Calibri" w:hAnsi="Times New Roman" w:cs="Times New Roman"/>
          <w:kern w:val="2"/>
          <w:highlight w:val="yellow"/>
        </w:rPr>
      </w:pPr>
    </w:p>
    <w:p w14:paraId="59178255" w14:textId="732058E5" w:rsidR="00D83C7F" w:rsidRPr="00270458" w:rsidRDefault="00DA16DD" w:rsidP="00270458">
      <w:pPr>
        <w:spacing w:after="0" w:line="240" w:lineRule="auto"/>
        <w:rPr>
          <w:rFonts w:ascii="Times New Roman" w:eastAsia="Calibri" w:hAnsi="Times New Roman" w:cs="Times New Roman"/>
          <w:kern w:val="2"/>
          <w:highlight w:val="yellow"/>
        </w:rPr>
      </w:pPr>
      <w:r w:rsidRPr="00320011">
        <w:rPr>
          <w:rFonts w:ascii="Times New Roman" w:eastAsia="Calibri" w:hAnsi="Times New Roman" w:cs="Times New Roman"/>
          <w:kern w:val="2"/>
          <w:highlight w:val="yellow"/>
        </w:rPr>
        <w:t>Author(s) hereby declare that NO generative AI technologies such as Large Language Models (</w:t>
      </w:r>
      <w:proofErr w:type="spellStart"/>
      <w:r w:rsidRPr="00320011">
        <w:rPr>
          <w:rFonts w:ascii="Times New Roman" w:eastAsia="Calibri" w:hAnsi="Times New Roman" w:cs="Times New Roman"/>
          <w:kern w:val="2"/>
          <w:highlight w:val="yellow"/>
        </w:rPr>
        <w:t>ChatGPT</w:t>
      </w:r>
      <w:proofErr w:type="spellEnd"/>
      <w:r w:rsidRPr="00320011">
        <w:rPr>
          <w:rFonts w:ascii="Times New Roman" w:eastAsia="Calibri" w:hAnsi="Times New Roman" w:cs="Times New Roman"/>
          <w:kern w:val="2"/>
          <w:highlight w:val="yellow"/>
        </w:rPr>
        <w:t xml:space="preserve">, COPILOT, etc.) and text-to-image generators have been used during the writing or editing of this manuscript. </w:t>
      </w:r>
      <w:bookmarkEnd w:id="19"/>
      <w:bookmarkEnd w:id="20"/>
    </w:p>
    <w:p w14:paraId="22593D26" w14:textId="6E28EDFE" w:rsidR="00BA18E8" w:rsidRPr="00C468D2" w:rsidRDefault="00784B42" w:rsidP="00BA18E8">
      <w:pPr>
        <w:spacing w:line="240" w:lineRule="auto"/>
        <w:jc w:val="both"/>
        <w:rPr>
          <w:rFonts w:ascii="Arial" w:hAnsi="Arial" w:cs="Arial"/>
          <w:b/>
          <w:color w:val="000000" w:themeColor="text1"/>
        </w:rPr>
      </w:pPr>
      <w:r w:rsidRPr="00784B42">
        <w:rPr>
          <w:rFonts w:ascii="Arial" w:hAnsi="Arial" w:cs="Arial"/>
          <w:b/>
          <w:color w:val="000000" w:themeColor="text1"/>
        </w:rPr>
        <w:t>References</w:t>
      </w:r>
    </w:p>
    <w:p w14:paraId="548B95C6" w14:textId="77777777" w:rsidR="00BA18E8" w:rsidRPr="00487AAB" w:rsidRDefault="00BA18E8" w:rsidP="00BA18E8">
      <w:pPr>
        <w:spacing w:line="240" w:lineRule="auto"/>
        <w:jc w:val="both"/>
        <w:rPr>
          <w:rFonts w:ascii="Arial" w:hAnsi="Arial" w:cs="Arial"/>
        </w:rPr>
      </w:pPr>
    </w:p>
    <w:p w14:paraId="09FDA4E6" w14:textId="77777777" w:rsidR="00BA18E8" w:rsidRPr="00F66EAF" w:rsidRDefault="00BA18E8" w:rsidP="00F66EAF">
      <w:pPr>
        <w:pStyle w:val="ListParagraph"/>
        <w:numPr>
          <w:ilvl w:val="0"/>
          <w:numId w:val="3"/>
        </w:numPr>
        <w:spacing w:line="240" w:lineRule="auto"/>
        <w:jc w:val="both"/>
        <w:rPr>
          <w:rFonts w:ascii="Arial" w:hAnsi="Arial" w:cs="Arial"/>
          <w:color w:val="000000" w:themeColor="text1"/>
          <w:shd w:val="clear" w:color="auto" w:fill="FFFFFF"/>
        </w:rPr>
      </w:pPr>
      <w:r w:rsidRPr="00F66EAF">
        <w:rPr>
          <w:rFonts w:ascii="Arial" w:hAnsi="Arial" w:cs="Arial"/>
          <w:color w:val="000000" w:themeColor="text1"/>
          <w:shd w:val="clear" w:color="auto" w:fill="FFFFFF"/>
        </w:rPr>
        <w:t>Abrams, D. I. (2018). The therapeutic effects of Cannabis and cannabinoids: An update from the National Academies of Sciences, Engineering and Medicine report. </w:t>
      </w:r>
      <w:r w:rsidRPr="00F66EAF">
        <w:rPr>
          <w:rFonts w:ascii="Arial" w:hAnsi="Arial" w:cs="Arial"/>
          <w:i/>
          <w:iCs/>
          <w:color w:val="000000" w:themeColor="text1"/>
          <w:shd w:val="clear" w:color="auto" w:fill="FFFFFF"/>
        </w:rPr>
        <w:t>European Journal of Internal Medicine</w:t>
      </w:r>
      <w:r w:rsidRPr="00F66EAF">
        <w:rPr>
          <w:rFonts w:ascii="Arial" w:hAnsi="Arial" w:cs="Arial"/>
          <w:color w:val="000000" w:themeColor="text1"/>
          <w:shd w:val="clear" w:color="auto" w:fill="FFFFFF"/>
        </w:rPr>
        <w:t>, </w:t>
      </w:r>
      <w:r w:rsidRPr="00F66EAF">
        <w:rPr>
          <w:rFonts w:ascii="Arial" w:hAnsi="Arial" w:cs="Arial"/>
          <w:i/>
          <w:iCs/>
          <w:color w:val="000000" w:themeColor="text1"/>
          <w:shd w:val="clear" w:color="auto" w:fill="FFFFFF"/>
        </w:rPr>
        <w:t>49</w:t>
      </w:r>
      <w:r w:rsidRPr="00F66EAF">
        <w:rPr>
          <w:rFonts w:ascii="Arial" w:hAnsi="Arial" w:cs="Arial"/>
          <w:color w:val="000000" w:themeColor="text1"/>
          <w:shd w:val="clear" w:color="auto" w:fill="FFFFFF"/>
        </w:rPr>
        <w:t>, 7-11.</w:t>
      </w:r>
    </w:p>
    <w:p w14:paraId="62ABC878" w14:textId="77777777" w:rsidR="00BA18E8" w:rsidRPr="00F66EAF" w:rsidRDefault="00BA18E8" w:rsidP="00F66EAF">
      <w:pPr>
        <w:pStyle w:val="ListParagraph"/>
        <w:numPr>
          <w:ilvl w:val="0"/>
          <w:numId w:val="3"/>
        </w:numPr>
        <w:spacing w:line="240" w:lineRule="auto"/>
        <w:jc w:val="both"/>
        <w:rPr>
          <w:rFonts w:ascii="Arial" w:hAnsi="Arial" w:cs="Arial"/>
          <w:color w:val="000000" w:themeColor="text1"/>
          <w:shd w:val="clear" w:color="auto" w:fill="FFFFFF"/>
        </w:rPr>
      </w:pPr>
      <w:proofErr w:type="spellStart"/>
      <w:r w:rsidRPr="00F66EAF">
        <w:rPr>
          <w:rFonts w:ascii="Arial" w:hAnsi="Arial" w:cs="Arial"/>
          <w:color w:val="000000" w:themeColor="text1"/>
          <w:shd w:val="clear" w:color="auto" w:fill="FFFFFF"/>
        </w:rPr>
        <w:t>Bih</w:t>
      </w:r>
      <w:proofErr w:type="spellEnd"/>
      <w:r w:rsidRPr="00F66EAF">
        <w:rPr>
          <w:rFonts w:ascii="Arial" w:hAnsi="Arial" w:cs="Arial"/>
          <w:color w:val="000000" w:themeColor="text1"/>
          <w:shd w:val="clear" w:color="auto" w:fill="FFFFFF"/>
        </w:rPr>
        <w:t xml:space="preserve">, C. I., Chen, T., Nunn, A. V., </w:t>
      </w:r>
      <w:proofErr w:type="spellStart"/>
      <w:r w:rsidRPr="00F66EAF">
        <w:rPr>
          <w:rFonts w:ascii="Arial" w:hAnsi="Arial" w:cs="Arial"/>
          <w:color w:val="000000" w:themeColor="text1"/>
          <w:shd w:val="clear" w:color="auto" w:fill="FFFFFF"/>
        </w:rPr>
        <w:t>Bazelot</w:t>
      </w:r>
      <w:proofErr w:type="spellEnd"/>
      <w:r w:rsidRPr="00F66EAF">
        <w:rPr>
          <w:rFonts w:ascii="Arial" w:hAnsi="Arial" w:cs="Arial"/>
          <w:color w:val="000000" w:themeColor="text1"/>
          <w:shd w:val="clear" w:color="auto" w:fill="FFFFFF"/>
        </w:rPr>
        <w:t xml:space="preserve">, M., Dallas, M. and Whalley, B. J. (2015). Molecular Targets of Cannabidiol in Neurological Disorders. </w:t>
      </w:r>
      <w:r w:rsidRPr="00F66EAF">
        <w:rPr>
          <w:rFonts w:ascii="Arial" w:hAnsi="Arial" w:cs="Arial"/>
          <w:i/>
          <w:color w:val="000000" w:themeColor="text1"/>
          <w:shd w:val="clear" w:color="auto" w:fill="FFFFFF"/>
        </w:rPr>
        <w:t>Neurotherapeutics</w:t>
      </w:r>
      <w:r w:rsidRPr="00F66EAF">
        <w:rPr>
          <w:rFonts w:ascii="Arial" w:hAnsi="Arial" w:cs="Arial"/>
          <w:color w:val="000000" w:themeColor="text1"/>
          <w:shd w:val="clear" w:color="auto" w:fill="FFFFFF"/>
        </w:rPr>
        <w:t>, 12, 699–730.</w:t>
      </w:r>
    </w:p>
    <w:p w14:paraId="73369748" w14:textId="77777777" w:rsidR="00BA18E8" w:rsidRPr="00F66EAF" w:rsidRDefault="00BA18E8" w:rsidP="00F66EAF">
      <w:pPr>
        <w:pStyle w:val="ListParagraph"/>
        <w:numPr>
          <w:ilvl w:val="0"/>
          <w:numId w:val="3"/>
        </w:numPr>
        <w:spacing w:line="240" w:lineRule="auto"/>
        <w:jc w:val="both"/>
        <w:rPr>
          <w:rFonts w:ascii="Arial" w:hAnsi="Arial" w:cs="Arial"/>
          <w:color w:val="000000" w:themeColor="text1"/>
        </w:rPr>
      </w:pPr>
      <w:r w:rsidRPr="00F66EAF">
        <w:rPr>
          <w:rFonts w:ascii="Arial" w:hAnsi="Arial" w:cs="Arial"/>
          <w:color w:val="000000" w:themeColor="text1"/>
        </w:rPr>
        <w:t>Calabrese, E. J., and Rubio</w:t>
      </w:r>
      <w:r w:rsidRPr="00F66EAF">
        <w:rPr>
          <w:rFonts w:ascii="Cambria Math" w:hAnsi="Cambria Math" w:cs="Cambria Math"/>
          <w:color w:val="000000" w:themeColor="text1"/>
        </w:rPr>
        <w:t>‐</w:t>
      </w:r>
      <w:r w:rsidRPr="00F66EAF">
        <w:rPr>
          <w:rFonts w:ascii="Arial" w:hAnsi="Arial" w:cs="Arial"/>
          <w:color w:val="000000" w:themeColor="text1"/>
        </w:rPr>
        <w:t xml:space="preserve">Casillas, A. (2018). Biphasic effects of THC in memory and cognition. </w:t>
      </w:r>
      <w:r w:rsidRPr="00F66EAF">
        <w:rPr>
          <w:rFonts w:ascii="Arial" w:hAnsi="Arial" w:cs="Arial"/>
          <w:i/>
          <w:iCs/>
          <w:color w:val="000000" w:themeColor="text1"/>
        </w:rPr>
        <w:t>European Journal of Clinical Investigation</w:t>
      </w:r>
      <w:r w:rsidRPr="00F66EAF">
        <w:rPr>
          <w:rFonts w:ascii="Arial" w:hAnsi="Arial" w:cs="Arial"/>
          <w:color w:val="000000" w:themeColor="text1"/>
        </w:rPr>
        <w:t xml:space="preserve">, </w:t>
      </w:r>
      <w:r w:rsidRPr="00F66EAF">
        <w:rPr>
          <w:rFonts w:ascii="Arial" w:hAnsi="Arial" w:cs="Arial"/>
          <w:i/>
          <w:iCs/>
          <w:color w:val="000000" w:themeColor="text1"/>
        </w:rPr>
        <w:t>48</w:t>
      </w:r>
      <w:r w:rsidRPr="00F66EAF">
        <w:rPr>
          <w:rFonts w:ascii="Arial" w:hAnsi="Arial" w:cs="Arial"/>
          <w:color w:val="000000" w:themeColor="text1"/>
        </w:rPr>
        <w:t>(5), 12920.</w:t>
      </w:r>
    </w:p>
    <w:p w14:paraId="10569062" w14:textId="77777777" w:rsidR="00BA18E8" w:rsidRPr="00F66EAF" w:rsidRDefault="00BA18E8" w:rsidP="00F66EAF">
      <w:pPr>
        <w:pStyle w:val="ListParagraph"/>
        <w:numPr>
          <w:ilvl w:val="0"/>
          <w:numId w:val="3"/>
        </w:numPr>
        <w:spacing w:line="240" w:lineRule="auto"/>
        <w:jc w:val="both"/>
        <w:rPr>
          <w:rFonts w:ascii="Arial" w:hAnsi="Arial" w:cs="Arial"/>
          <w:color w:val="000000" w:themeColor="text1"/>
        </w:rPr>
      </w:pPr>
      <w:r w:rsidRPr="00F66EAF">
        <w:rPr>
          <w:rFonts w:ascii="Arial" w:hAnsi="Arial" w:cs="Arial"/>
          <w:color w:val="000000" w:themeColor="text1"/>
        </w:rPr>
        <w:t xml:space="preserve">Cohen, S. J., and </w:t>
      </w:r>
      <w:proofErr w:type="spellStart"/>
      <w:r w:rsidRPr="00F66EAF">
        <w:rPr>
          <w:rFonts w:ascii="Arial" w:hAnsi="Arial" w:cs="Arial"/>
          <w:color w:val="000000" w:themeColor="text1"/>
        </w:rPr>
        <w:t>Stackman</w:t>
      </w:r>
      <w:proofErr w:type="spellEnd"/>
      <w:r w:rsidRPr="00F66EAF">
        <w:rPr>
          <w:rFonts w:ascii="Arial" w:hAnsi="Arial" w:cs="Arial"/>
          <w:color w:val="000000" w:themeColor="text1"/>
        </w:rPr>
        <w:t xml:space="preserve"> Jr., R. W. (2015). Assessing rodent hippocampal involvement in the novel object recognition task. A review. </w:t>
      </w:r>
      <w:proofErr w:type="spellStart"/>
      <w:r w:rsidRPr="00F66EAF">
        <w:rPr>
          <w:rFonts w:ascii="Arial" w:hAnsi="Arial" w:cs="Arial"/>
          <w:i/>
          <w:iCs/>
          <w:color w:val="000000" w:themeColor="text1"/>
        </w:rPr>
        <w:t>Behavioural</w:t>
      </w:r>
      <w:proofErr w:type="spellEnd"/>
      <w:r w:rsidRPr="00F66EAF">
        <w:rPr>
          <w:rFonts w:ascii="Arial" w:hAnsi="Arial" w:cs="Arial"/>
          <w:i/>
          <w:iCs/>
          <w:color w:val="000000" w:themeColor="text1"/>
        </w:rPr>
        <w:t xml:space="preserve"> Brain Research</w:t>
      </w:r>
      <w:r w:rsidRPr="00F66EAF">
        <w:rPr>
          <w:rFonts w:ascii="Arial" w:hAnsi="Arial" w:cs="Arial"/>
          <w:color w:val="000000" w:themeColor="text1"/>
        </w:rPr>
        <w:t xml:space="preserve">, </w:t>
      </w:r>
      <w:r w:rsidRPr="00F66EAF">
        <w:rPr>
          <w:rFonts w:ascii="Arial" w:hAnsi="Arial" w:cs="Arial"/>
          <w:i/>
          <w:iCs/>
          <w:color w:val="000000" w:themeColor="text1"/>
        </w:rPr>
        <w:t>285</w:t>
      </w:r>
      <w:r w:rsidRPr="00F66EAF">
        <w:rPr>
          <w:rFonts w:ascii="Arial" w:hAnsi="Arial" w:cs="Arial"/>
          <w:color w:val="000000" w:themeColor="text1"/>
        </w:rPr>
        <w:t>, 105–117.</w:t>
      </w:r>
    </w:p>
    <w:p w14:paraId="63EDB061" w14:textId="77777777" w:rsidR="00BA18E8" w:rsidRPr="00F66EAF" w:rsidRDefault="00BA18E8" w:rsidP="00F66EAF">
      <w:pPr>
        <w:pStyle w:val="ListParagraph"/>
        <w:numPr>
          <w:ilvl w:val="0"/>
          <w:numId w:val="3"/>
        </w:numPr>
        <w:spacing w:line="240" w:lineRule="auto"/>
        <w:jc w:val="both"/>
        <w:rPr>
          <w:rFonts w:ascii="Arial" w:hAnsi="Arial" w:cs="Arial"/>
          <w:color w:val="000000" w:themeColor="text1"/>
          <w:shd w:val="clear" w:color="auto" w:fill="FFFFFF"/>
        </w:rPr>
      </w:pPr>
      <w:proofErr w:type="spellStart"/>
      <w:r w:rsidRPr="00F66EAF">
        <w:rPr>
          <w:rFonts w:ascii="Arial" w:hAnsi="Arial" w:cs="Arial"/>
          <w:color w:val="000000" w:themeColor="text1"/>
          <w:shd w:val="clear" w:color="auto" w:fill="FFFFFF"/>
        </w:rPr>
        <w:t>Comi</w:t>
      </w:r>
      <w:proofErr w:type="spellEnd"/>
      <w:r w:rsidRPr="00F66EAF">
        <w:rPr>
          <w:rFonts w:ascii="Arial" w:hAnsi="Arial" w:cs="Arial"/>
          <w:color w:val="000000" w:themeColor="text1"/>
          <w:shd w:val="clear" w:color="auto" w:fill="FFFFFF"/>
        </w:rPr>
        <w:t xml:space="preserve">, C., </w:t>
      </w:r>
      <w:proofErr w:type="spellStart"/>
      <w:r w:rsidRPr="00F66EAF">
        <w:rPr>
          <w:rFonts w:ascii="Arial" w:hAnsi="Arial" w:cs="Arial"/>
          <w:color w:val="000000" w:themeColor="text1"/>
          <w:shd w:val="clear" w:color="auto" w:fill="FFFFFF"/>
        </w:rPr>
        <w:t>Magistrelli</w:t>
      </w:r>
      <w:proofErr w:type="spellEnd"/>
      <w:r w:rsidRPr="00F66EAF">
        <w:rPr>
          <w:rFonts w:ascii="Arial" w:hAnsi="Arial" w:cs="Arial"/>
          <w:color w:val="000000" w:themeColor="text1"/>
          <w:shd w:val="clear" w:color="auto" w:fill="FFFFFF"/>
        </w:rPr>
        <w:t xml:space="preserve">, L., </w:t>
      </w:r>
      <w:proofErr w:type="spellStart"/>
      <w:r w:rsidRPr="00F66EAF">
        <w:rPr>
          <w:rFonts w:ascii="Arial" w:hAnsi="Arial" w:cs="Arial"/>
          <w:color w:val="000000" w:themeColor="text1"/>
          <w:shd w:val="clear" w:color="auto" w:fill="FFFFFF"/>
        </w:rPr>
        <w:t>Oggioni</w:t>
      </w:r>
      <w:proofErr w:type="spellEnd"/>
      <w:r w:rsidRPr="00F66EAF">
        <w:rPr>
          <w:rFonts w:ascii="Arial" w:hAnsi="Arial" w:cs="Arial"/>
          <w:color w:val="000000" w:themeColor="text1"/>
          <w:shd w:val="clear" w:color="auto" w:fill="FFFFFF"/>
        </w:rPr>
        <w:t xml:space="preserve">, G. D., </w:t>
      </w:r>
      <w:proofErr w:type="spellStart"/>
      <w:r w:rsidRPr="00F66EAF">
        <w:rPr>
          <w:rFonts w:ascii="Arial" w:hAnsi="Arial" w:cs="Arial"/>
          <w:color w:val="000000" w:themeColor="text1"/>
          <w:shd w:val="clear" w:color="auto" w:fill="FFFFFF"/>
        </w:rPr>
        <w:t>Carecchio</w:t>
      </w:r>
      <w:proofErr w:type="spellEnd"/>
      <w:r w:rsidRPr="00F66EAF">
        <w:rPr>
          <w:rFonts w:ascii="Arial" w:hAnsi="Arial" w:cs="Arial"/>
          <w:color w:val="000000" w:themeColor="text1"/>
          <w:shd w:val="clear" w:color="auto" w:fill="FFFFFF"/>
        </w:rPr>
        <w:t xml:space="preserve">, M., Fleetwood, T., </w:t>
      </w:r>
      <w:proofErr w:type="spellStart"/>
      <w:r w:rsidRPr="00F66EAF">
        <w:rPr>
          <w:rFonts w:ascii="Arial" w:hAnsi="Arial" w:cs="Arial"/>
          <w:color w:val="000000" w:themeColor="text1"/>
          <w:shd w:val="clear" w:color="auto" w:fill="FFFFFF"/>
        </w:rPr>
        <w:t>Cantello</w:t>
      </w:r>
      <w:proofErr w:type="spellEnd"/>
      <w:r w:rsidRPr="00F66EAF">
        <w:rPr>
          <w:rFonts w:ascii="Arial" w:hAnsi="Arial" w:cs="Arial"/>
          <w:color w:val="000000" w:themeColor="text1"/>
          <w:shd w:val="clear" w:color="auto" w:fill="FFFFFF"/>
        </w:rPr>
        <w:t xml:space="preserve">, R., Mancini, F., Mauro, A., </w:t>
      </w:r>
      <w:proofErr w:type="spellStart"/>
      <w:r w:rsidRPr="00F66EAF">
        <w:rPr>
          <w:rFonts w:ascii="Arial" w:hAnsi="Arial" w:cs="Arial"/>
          <w:color w:val="000000" w:themeColor="text1"/>
          <w:shd w:val="clear" w:color="auto" w:fill="FFFFFF"/>
        </w:rPr>
        <w:t>Pacchetti</w:t>
      </w:r>
      <w:proofErr w:type="spellEnd"/>
      <w:r w:rsidRPr="00F66EAF">
        <w:rPr>
          <w:rFonts w:ascii="Arial" w:hAnsi="Arial" w:cs="Arial"/>
          <w:color w:val="000000" w:themeColor="text1"/>
          <w:shd w:val="clear" w:color="auto" w:fill="FFFFFF"/>
        </w:rPr>
        <w:t xml:space="preserve">, C., </w:t>
      </w:r>
      <w:proofErr w:type="spellStart"/>
      <w:r w:rsidRPr="00F66EAF">
        <w:rPr>
          <w:rFonts w:ascii="Arial" w:hAnsi="Arial" w:cs="Arial"/>
          <w:color w:val="000000" w:themeColor="text1"/>
          <w:shd w:val="clear" w:color="auto" w:fill="FFFFFF"/>
        </w:rPr>
        <w:t>Panzacchi</w:t>
      </w:r>
      <w:proofErr w:type="spellEnd"/>
      <w:r w:rsidRPr="00F66EAF">
        <w:rPr>
          <w:rFonts w:ascii="Arial" w:hAnsi="Arial" w:cs="Arial"/>
          <w:color w:val="000000" w:themeColor="text1"/>
          <w:shd w:val="clear" w:color="auto" w:fill="FFFFFF"/>
        </w:rPr>
        <w:t xml:space="preserve">, A., </w:t>
      </w:r>
      <w:proofErr w:type="spellStart"/>
      <w:r w:rsidRPr="00F66EAF">
        <w:rPr>
          <w:rFonts w:ascii="Arial" w:hAnsi="Arial" w:cs="Arial"/>
          <w:color w:val="000000" w:themeColor="text1"/>
          <w:shd w:val="clear" w:color="auto" w:fill="FFFFFF"/>
        </w:rPr>
        <w:t>Riboldazzi</w:t>
      </w:r>
      <w:proofErr w:type="spellEnd"/>
      <w:r w:rsidRPr="00F66EAF">
        <w:rPr>
          <w:rFonts w:ascii="Arial" w:hAnsi="Arial" w:cs="Arial"/>
          <w:color w:val="000000" w:themeColor="text1"/>
          <w:shd w:val="clear" w:color="auto" w:fill="FFFFFF"/>
        </w:rPr>
        <w:t xml:space="preserve">, G., </w:t>
      </w:r>
      <w:proofErr w:type="spellStart"/>
      <w:r w:rsidRPr="00F66EAF">
        <w:rPr>
          <w:rFonts w:ascii="Arial" w:hAnsi="Arial" w:cs="Arial"/>
          <w:color w:val="000000" w:themeColor="text1"/>
          <w:shd w:val="clear" w:color="auto" w:fill="FFFFFF"/>
        </w:rPr>
        <w:t>Romito</w:t>
      </w:r>
      <w:proofErr w:type="spellEnd"/>
      <w:r w:rsidRPr="00F66EAF">
        <w:rPr>
          <w:rFonts w:ascii="Arial" w:hAnsi="Arial" w:cs="Arial"/>
          <w:color w:val="000000" w:themeColor="text1"/>
          <w:shd w:val="clear" w:color="auto" w:fill="FFFFFF"/>
        </w:rPr>
        <w:t xml:space="preserve">, L. M., </w:t>
      </w:r>
      <w:proofErr w:type="spellStart"/>
      <w:r w:rsidRPr="00F66EAF">
        <w:rPr>
          <w:rFonts w:ascii="Arial" w:hAnsi="Arial" w:cs="Arial"/>
          <w:color w:val="000000" w:themeColor="text1"/>
          <w:shd w:val="clear" w:color="auto" w:fill="FFFFFF"/>
        </w:rPr>
        <w:t>Sances</w:t>
      </w:r>
      <w:proofErr w:type="spellEnd"/>
      <w:r w:rsidRPr="00F66EAF">
        <w:rPr>
          <w:rFonts w:ascii="Arial" w:hAnsi="Arial" w:cs="Arial"/>
          <w:color w:val="000000" w:themeColor="text1"/>
          <w:shd w:val="clear" w:color="auto" w:fill="FFFFFF"/>
        </w:rPr>
        <w:t xml:space="preserve">, G., </w:t>
      </w:r>
      <w:proofErr w:type="spellStart"/>
      <w:r w:rsidRPr="00F66EAF">
        <w:rPr>
          <w:rFonts w:ascii="Arial" w:hAnsi="Arial" w:cs="Arial"/>
          <w:color w:val="000000" w:themeColor="text1"/>
          <w:shd w:val="clear" w:color="auto" w:fill="FFFFFF"/>
        </w:rPr>
        <w:t>Sandrini</w:t>
      </w:r>
      <w:proofErr w:type="spellEnd"/>
      <w:r w:rsidRPr="00F66EAF">
        <w:rPr>
          <w:rFonts w:ascii="Arial" w:hAnsi="Arial" w:cs="Arial"/>
          <w:color w:val="000000" w:themeColor="text1"/>
          <w:shd w:val="clear" w:color="auto" w:fill="FFFFFF"/>
        </w:rPr>
        <w:t xml:space="preserve">, G., and </w:t>
      </w:r>
      <w:proofErr w:type="spellStart"/>
      <w:r w:rsidRPr="00F66EAF">
        <w:rPr>
          <w:rFonts w:ascii="Arial" w:hAnsi="Arial" w:cs="Arial"/>
          <w:color w:val="000000" w:themeColor="text1"/>
          <w:shd w:val="clear" w:color="auto" w:fill="FFFFFF"/>
        </w:rPr>
        <w:t>Antonini</w:t>
      </w:r>
      <w:proofErr w:type="spellEnd"/>
      <w:r w:rsidRPr="00F66EAF">
        <w:rPr>
          <w:rFonts w:ascii="Arial" w:hAnsi="Arial" w:cs="Arial"/>
          <w:color w:val="000000" w:themeColor="text1"/>
          <w:shd w:val="clear" w:color="auto" w:fill="FFFFFF"/>
        </w:rPr>
        <w:t xml:space="preserve">, A. (2014). Peripheral nervous system involvement in Parkinson's disease: Evidence and controversies. </w:t>
      </w:r>
      <w:r w:rsidRPr="00F66EAF">
        <w:rPr>
          <w:rFonts w:ascii="Arial" w:hAnsi="Arial" w:cs="Arial"/>
          <w:i/>
          <w:iCs/>
          <w:color w:val="000000" w:themeColor="text1"/>
          <w:shd w:val="clear" w:color="auto" w:fill="FFFFFF"/>
        </w:rPr>
        <w:t>Parkinsonism &amp; Related Disorders, 20</w:t>
      </w:r>
      <w:r w:rsidRPr="00F66EAF">
        <w:rPr>
          <w:rFonts w:ascii="Arial" w:hAnsi="Arial" w:cs="Arial"/>
          <w:color w:val="000000" w:themeColor="text1"/>
          <w:shd w:val="clear" w:color="auto" w:fill="FFFFFF"/>
        </w:rPr>
        <w:t>(12), 1329–1334.</w:t>
      </w:r>
    </w:p>
    <w:p w14:paraId="30945C98" w14:textId="77777777" w:rsidR="00BA18E8" w:rsidRPr="00F66EAF" w:rsidRDefault="00BA18E8" w:rsidP="00F66EAF">
      <w:pPr>
        <w:pStyle w:val="ListParagraph"/>
        <w:numPr>
          <w:ilvl w:val="0"/>
          <w:numId w:val="3"/>
        </w:numPr>
        <w:spacing w:line="240" w:lineRule="auto"/>
        <w:jc w:val="both"/>
        <w:rPr>
          <w:rFonts w:ascii="Arial" w:hAnsi="Arial" w:cs="Arial"/>
          <w:color w:val="000000" w:themeColor="text1"/>
          <w:shd w:val="clear" w:color="auto" w:fill="FFFFFF"/>
        </w:rPr>
      </w:pPr>
      <w:proofErr w:type="spellStart"/>
      <w:r w:rsidRPr="00F66EAF">
        <w:rPr>
          <w:rFonts w:ascii="Arial" w:hAnsi="Arial" w:cs="Arial"/>
          <w:color w:val="000000" w:themeColor="text1"/>
          <w:shd w:val="clear" w:color="auto" w:fill="FFFFFF"/>
        </w:rPr>
        <w:t>Corroon</w:t>
      </w:r>
      <w:proofErr w:type="spellEnd"/>
      <w:r w:rsidRPr="00F66EAF">
        <w:rPr>
          <w:rFonts w:ascii="Arial" w:hAnsi="Arial" w:cs="Arial"/>
          <w:color w:val="000000" w:themeColor="text1"/>
          <w:shd w:val="clear" w:color="auto" w:fill="FFFFFF"/>
        </w:rPr>
        <w:t>, J. and Phillips, J. A. (2018). A Cross-Sectional Study of Cannabidiol Users. </w:t>
      </w:r>
      <w:r w:rsidRPr="00F66EAF">
        <w:rPr>
          <w:rFonts w:ascii="Arial" w:hAnsi="Arial" w:cs="Arial"/>
          <w:i/>
          <w:iCs/>
          <w:color w:val="000000" w:themeColor="text1"/>
          <w:shd w:val="clear" w:color="auto" w:fill="FFFFFF"/>
        </w:rPr>
        <w:t>Cannabis and cannabinoid research</w:t>
      </w:r>
      <w:r w:rsidRPr="00F66EAF">
        <w:rPr>
          <w:rFonts w:ascii="Arial" w:hAnsi="Arial" w:cs="Arial"/>
          <w:color w:val="000000" w:themeColor="text1"/>
          <w:shd w:val="clear" w:color="auto" w:fill="FFFFFF"/>
        </w:rPr>
        <w:t>, </w:t>
      </w:r>
      <w:r w:rsidRPr="00F66EAF">
        <w:rPr>
          <w:rFonts w:ascii="Arial" w:hAnsi="Arial" w:cs="Arial"/>
          <w:i/>
          <w:iCs/>
          <w:color w:val="000000" w:themeColor="text1"/>
          <w:shd w:val="clear" w:color="auto" w:fill="FFFFFF"/>
        </w:rPr>
        <w:t>3</w:t>
      </w:r>
      <w:r w:rsidRPr="00F66EAF">
        <w:rPr>
          <w:rFonts w:ascii="Arial" w:hAnsi="Arial" w:cs="Arial"/>
          <w:color w:val="000000" w:themeColor="text1"/>
          <w:shd w:val="clear" w:color="auto" w:fill="FFFFFF"/>
        </w:rPr>
        <w:t>(1), 152-161.</w:t>
      </w:r>
    </w:p>
    <w:p w14:paraId="46B10783" w14:textId="77777777" w:rsidR="00BA18E8" w:rsidRPr="00F66EAF" w:rsidRDefault="00BA18E8" w:rsidP="00F66EAF">
      <w:pPr>
        <w:pStyle w:val="ListParagraph"/>
        <w:numPr>
          <w:ilvl w:val="0"/>
          <w:numId w:val="3"/>
        </w:numPr>
        <w:spacing w:line="240" w:lineRule="auto"/>
        <w:jc w:val="both"/>
        <w:rPr>
          <w:rFonts w:ascii="Arial" w:hAnsi="Arial" w:cs="Arial"/>
          <w:color w:val="000000" w:themeColor="text1"/>
          <w:shd w:val="clear" w:color="auto" w:fill="FFFFFF"/>
        </w:rPr>
      </w:pPr>
      <w:r w:rsidRPr="00F66EAF">
        <w:rPr>
          <w:rFonts w:ascii="Arial" w:hAnsi="Arial" w:cs="Arial"/>
          <w:color w:val="000000" w:themeColor="text1"/>
          <w:shd w:val="clear" w:color="auto" w:fill="FFFFFF"/>
        </w:rPr>
        <w:t xml:space="preserve">Fernandes, V. S., Santos, J. R., </w:t>
      </w:r>
      <w:proofErr w:type="spellStart"/>
      <w:r w:rsidRPr="00F66EAF">
        <w:rPr>
          <w:rFonts w:ascii="Arial" w:hAnsi="Arial" w:cs="Arial"/>
          <w:color w:val="000000" w:themeColor="text1"/>
          <w:shd w:val="clear" w:color="auto" w:fill="FFFFFF"/>
        </w:rPr>
        <w:t>Leão</w:t>
      </w:r>
      <w:proofErr w:type="spellEnd"/>
      <w:r w:rsidRPr="00F66EAF">
        <w:rPr>
          <w:rFonts w:ascii="Arial" w:hAnsi="Arial" w:cs="Arial"/>
          <w:color w:val="000000" w:themeColor="text1"/>
          <w:shd w:val="clear" w:color="auto" w:fill="FFFFFF"/>
        </w:rPr>
        <w:t xml:space="preserve">, A. H. F. F., Medeiros, A. M., Melo, T. G., </w:t>
      </w:r>
      <w:proofErr w:type="spellStart"/>
      <w:r w:rsidRPr="00F66EAF">
        <w:rPr>
          <w:rFonts w:ascii="Arial" w:hAnsi="Arial" w:cs="Arial"/>
          <w:color w:val="000000" w:themeColor="text1"/>
          <w:shd w:val="clear" w:color="auto" w:fill="FFFFFF"/>
        </w:rPr>
        <w:t>Izídio</w:t>
      </w:r>
      <w:proofErr w:type="spellEnd"/>
      <w:r w:rsidRPr="00F66EAF">
        <w:rPr>
          <w:rFonts w:ascii="Arial" w:hAnsi="Arial" w:cs="Arial"/>
          <w:color w:val="000000" w:themeColor="text1"/>
          <w:shd w:val="clear" w:color="auto" w:fill="FFFFFF"/>
        </w:rPr>
        <w:t xml:space="preserve">, G. S., Cabral, A., Ribeiro, R. A., </w:t>
      </w:r>
      <w:proofErr w:type="spellStart"/>
      <w:r w:rsidRPr="00F66EAF">
        <w:rPr>
          <w:rFonts w:ascii="Arial" w:hAnsi="Arial" w:cs="Arial"/>
          <w:color w:val="000000" w:themeColor="text1"/>
          <w:shd w:val="clear" w:color="auto" w:fill="FFFFFF"/>
        </w:rPr>
        <w:t>Abílio</w:t>
      </w:r>
      <w:proofErr w:type="spellEnd"/>
      <w:r w:rsidRPr="00F66EAF">
        <w:rPr>
          <w:rFonts w:ascii="Arial" w:hAnsi="Arial" w:cs="Arial"/>
          <w:color w:val="000000" w:themeColor="text1"/>
          <w:shd w:val="clear" w:color="auto" w:fill="FFFFFF"/>
        </w:rPr>
        <w:t>, V. C., Ribeiro, A. M., and Silva, R. H. (2012). Repeated treatment with a low dose of reserpine as a progressive model of Parkinson’s disease. </w:t>
      </w:r>
      <w:proofErr w:type="spellStart"/>
      <w:r w:rsidRPr="00F66EAF">
        <w:rPr>
          <w:rFonts w:ascii="Arial" w:hAnsi="Arial" w:cs="Arial"/>
          <w:i/>
          <w:iCs/>
          <w:color w:val="000000" w:themeColor="text1"/>
          <w:shd w:val="clear" w:color="auto" w:fill="FFFFFF"/>
        </w:rPr>
        <w:t>Behavioural</w:t>
      </w:r>
      <w:proofErr w:type="spellEnd"/>
      <w:r w:rsidRPr="00F66EAF">
        <w:rPr>
          <w:rFonts w:ascii="Arial" w:hAnsi="Arial" w:cs="Arial"/>
          <w:i/>
          <w:iCs/>
          <w:color w:val="000000" w:themeColor="text1"/>
          <w:shd w:val="clear" w:color="auto" w:fill="FFFFFF"/>
        </w:rPr>
        <w:t xml:space="preserve"> Brain Research</w:t>
      </w:r>
      <w:r w:rsidRPr="00F66EAF">
        <w:rPr>
          <w:rFonts w:ascii="Arial" w:hAnsi="Arial" w:cs="Arial"/>
          <w:color w:val="000000" w:themeColor="text1"/>
          <w:shd w:val="clear" w:color="auto" w:fill="FFFFFF"/>
        </w:rPr>
        <w:t>, </w:t>
      </w:r>
      <w:r w:rsidRPr="00F66EAF">
        <w:rPr>
          <w:rFonts w:ascii="Arial" w:hAnsi="Arial" w:cs="Arial"/>
          <w:i/>
          <w:iCs/>
          <w:color w:val="000000" w:themeColor="text1"/>
          <w:shd w:val="clear" w:color="auto" w:fill="FFFFFF"/>
        </w:rPr>
        <w:t>231</w:t>
      </w:r>
      <w:r w:rsidRPr="00F66EAF">
        <w:rPr>
          <w:rFonts w:ascii="Arial" w:hAnsi="Arial" w:cs="Arial"/>
          <w:color w:val="000000" w:themeColor="text1"/>
          <w:shd w:val="clear" w:color="auto" w:fill="FFFFFF"/>
        </w:rPr>
        <w:t>(1), 154–163.</w:t>
      </w:r>
    </w:p>
    <w:p w14:paraId="107A13B2" w14:textId="77777777" w:rsidR="00BA18E8" w:rsidRPr="00F66EAF" w:rsidRDefault="00BA18E8" w:rsidP="00F66EAF">
      <w:pPr>
        <w:pStyle w:val="ListParagraph"/>
        <w:numPr>
          <w:ilvl w:val="0"/>
          <w:numId w:val="3"/>
        </w:numPr>
        <w:spacing w:line="240" w:lineRule="auto"/>
        <w:jc w:val="both"/>
        <w:rPr>
          <w:rStyle w:val="element-citation"/>
          <w:rFonts w:ascii="Arial" w:hAnsi="Arial" w:cs="Arial"/>
          <w:color w:val="000000" w:themeColor="text1"/>
        </w:rPr>
      </w:pPr>
      <w:bookmarkStart w:id="21" w:name="_Hlk155610872"/>
      <w:proofErr w:type="spellStart"/>
      <w:r w:rsidRPr="00F66EAF">
        <w:rPr>
          <w:rStyle w:val="element-citation"/>
          <w:rFonts w:ascii="Arial" w:hAnsi="Arial" w:cs="Arial"/>
          <w:color w:val="000000" w:themeColor="text1"/>
        </w:rPr>
        <w:t>Fraguas</w:t>
      </w:r>
      <w:proofErr w:type="spellEnd"/>
      <w:r w:rsidRPr="00F66EAF">
        <w:rPr>
          <w:rStyle w:val="element-citation"/>
          <w:rFonts w:ascii="Arial" w:hAnsi="Arial" w:cs="Arial"/>
          <w:color w:val="000000" w:themeColor="text1"/>
        </w:rPr>
        <w:t xml:space="preserve">-Sánchez, </w:t>
      </w:r>
      <w:bookmarkEnd w:id="21"/>
      <w:r w:rsidRPr="00F66EAF">
        <w:rPr>
          <w:rStyle w:val="element-citation"/>
          <w:rFonts w:ascii="Arial" w:hAnsi="Arial" w:cs="Arial"/>
          <w:color w:val="000000" w:themeColor="text1"/>
        </w:rPr>
        <w:t xml:space="preserve">A. I. and </w:t>
      </w:r>
      <w:bookmarkStart w:id="22" w:name="_Hlk155610894"/>
      <w:r w:rsidRPr="00F66EAF">
        <w:rPr>
          <w:rStyle w:val="element-citation"/>
          <w:rFonts w:ascii="Arial" w:hAnsi="Arial" w:cs="Arial"/>
          <w:color w:val="000000" w:themeColor="text1"/>
        </w:rPr>
        <w:t xml:space="preserve">Torres-Suárez, </w:t>
      </w:r>
      <w:bookmarkEnd w:id="22"/>
      <w:r w:rsidRPr="00F66EAF">
        <w:rPr>
          <w:rStyle w:val="element-citation"/>
          <w:rFonts w:ascii="Arial" w:hAnsi="Arial" w:cs="Arial"/>
          <w:color w:val="000000" w:themeColor="text1"/>
        </w:rPr>
        <w:t xml:space="preserve">A. I. (2018). Medical use of cannabinoids. </w:t>
      </w:r>
      <w:r w:rsidRPr="00F66EAF">
        <w:rPr>
          <w:rStyle w:val="ref-journal"/>
          <w:rFonts w:ascii="Arial" w:hAnsi="Arial" w:cs="Arial"/>
          <w:i/>
          <w:iCs/>
          <w:color w:val="000000" w:themeColor="text1"/>
        </w:rPr>
        <w:t xml:space="preserve">Drugs, </w:t>
      </w:r>
      <w:r w:rsidRPr="00F66EAF">
        <w:rPr>
          <w:rStyle w:val="ref-vol"/>
          <w:rFonts w:ascii="Arial" w:hAnsi="Arial" w:cs="Arial"/>
          <w:color w:val="000000" w:themeColor="text1"/>
        </w:rPr>
        <w:t>78</w:t>
      </w:r>
      <w:r w:rsidRPr="00F66EAF">
        <w:rPr>
          <w:rStyle w:val="element-citation"/>
          <w:rFonts w:ascii="Arial" w:hAnsi="Arial" w:cs="Arial"/>
          <w:color w:val="000000" w:themeColor="text1"/>
        </w:rPr>
        <w:t>(16), 1665-1703.</w:t>
      </w:r>
    </w:p>
    <w:p w14:paraId="365244BE" w14:textId="77777777" w:rsidR="00BA18E8" w:rsidRPr="00F66EAF" w:rsidRDefault="00BA18E8" w:rsidP="00F66EAF">
      <w:pPr>
        <w:pStyle w:val="ListParagraph"/>
        <w:numPr>
          <w:ilvl w:val="0"/>
          <w:numId w:val="3"/>
        </w:numPr>
        <w:spacing w:line="240" w:lineRule="auto"/>
        <w:jc w:val="both"/>
        <w:rPr>
          <w:rFonts w:ascii="Arial" w:hAnsi="Arial" w:cs="Arial"/>
          <w:color w:val="000000" w:themeColor="text1"/>
        </w:rPr>
      </w:pPr>
      <w:proofErr w:type="spellStart"/>
      <w:r w:rsidRPr="00F66EAF">
        <w:rPr>
          <w:rFonts w:ascii="Arial" w:hAnsi="Arial" w:cs="Arial"/>
          <w:color w:val="000000" w:themeColor="text1"/>
          <w:lang w:val="es-US"/>
        </w:rPr>
        <w:t>Gonzalezburgos</w:t>
      </w:r>
      <w:proofErr w:type="spellEnd"/>
      <w:r w:rsidRPr="00F66EAF">
        <w:rPr>
          <w:rFonts w:ascii="Arial" w:hAnsi="Arial" w:cs="Arial"/>
          <w:color w:val="000000" w:themeColor="text1"/>
          <w:lang w:val="es-US"/>
        </w:rPr>
        <w:t xml:space="preserve">, I. and </w:t>
      </w:r>
      <w:proofErr w:type="spellStart"/>
      <w:r w:rsidRPr="00F66EAF">
        <w:rPr>
          <w:rFonts w:ascii="Arial" w:hAnsi="Arial" w:cs="Arial"/>
          <w:color w:val="000000" w:themeColor="text1"/>
          <w:lang w:val="es-US"/>
        </w:rPr>
        <w:t>Feriavelasco</w:t>
      </w:r>
      <w:proofErr w:type="spellEnd"/>
      <w:r w:rsidRPr="00F66EAF">
        <w:rPr>
          <w:rFonts w:ascii="Arial" w:hAnsi="Arial" w:cs="Arial"/>
          <w:color w:val="000000" w:themeColor="text1"/>
          <w:lang w:val="es-US"/>
        </w:rPr>
        <w:t xml:space="preserve">, A. (2008). </w:t>
      </w:r>
      <w:r w:rsidRPr="00F66EAF">
        <w:rPr>
          <w:rFonts w:ascii="Arial" w:hAnsi="Arial" w:cs="Arial"/>
          <w:color w:val="000000" w:themeColor="text1"/>
        </w:rPr>
        <w:t xml:space="preserve">Serotonin/dopamine interaction in memory formation. </w:t>
      </w:r>
      <w:r w:rsidRPr="00F66EAF">
        <w:rPr>
          <w:rFonts w:ascii="Arial" w:hAnsi="Arial" w:cs="Arial"/>
          <w:i/>
          <w:iCs/>
          <w:color w:val="000000" w:themeColor="text1"/>
        </w:rPr>
        <w:t>Progress in Brain Research,</w:t>
      </w:r>
      <w:r w:rsidRPr="00F66EAF">
        <w:rPr>
          <w:rFonts w:ascii="Arial" w:hAnsi="Arial" w:cs="Arial"/>
          <w:color w:val="000000" w:themeColor="text1"/>
        </w:rPr>
        <w:t xml:space="preserve"> </w:t>
      </w:r>
      <w:r w:rsidRPr="00F66EAF">
        <w:rPr>
          <w:rFonts w:ascii="Arial" w:hAnsi="Arial" w:cs="Arial"/>
          <w:i/>
          <w:iCs/>
          <w:color w:val="000000" w:themeColor="text1"/>
        </w:rPr>
        <w:t>172,</w:t>
      </w:r>
      <w:r w:rsidRPr="00F66EAF">
        <w:rPr>
          <w:rFonts w:ascii="Arial" w:hAnsi="Arial" w:cs="Arial"/>
          <w:color w:val="000000" w:themeColor="text1"/>
        </w:rPr>
        <w:t xml:space="preserve"> 603–623.</w:t>
      </w:r>
    </w:p>
    <w:p w14:paraId="0D2405E4" w14:textId="77777777" w:rsidR="00BA18E8" w:rsidRPr="00F66EAF" w:rsidRDefault="00BA18E8" w:rsidP="00F66EAF">
      <w:pPr>
        <w:pStyle w:val="ListParagraph"/>
        <w:numPr>
          <w:ilvl w:val="0"/>
          <w:numId w:val="3"/>
        </w:numPr>
        <w:spacing w:line="240" w:lineRule="auto"/>
        <w:jc w:val="both"/>
        <w:rPr>
          <w:rFonts w:ascii="Arial" w:hAnsi="Arial" w:cs="Arial"/>
          <w:color w:val="000000" w:themeColor="text1"/>
        </w:rPr>
      </w:pPr>
      <w:proofErr w:type="spellStart"/>
      <w:r w:rsidRPr="00F66EAF">
        <w:rPr>
          <w:rFonts w:ascii="Arial" w:hAnsi="Arial" w:cs="Arial"/>
          <w:color w:val="000000" w:themeColor="text1"/>
        </w:rPr>
        <w:t>Haghparast</w:t>
      </w:r>
      <w:proofErr w:type="spellEnd"/>
      <w:r w:rsidRPr="00F66EAF">
        <w:rPr>
          <w:rFonts w:ascii="Arial" w:hAnsi="Arial" w:cs="Arial"/>
          <w:color w:val="000000" w:themeColor="text1"/>
        </w:rPr>
        <w:t xml:space="preserve">, E., </w:t>
      </w:r>
      <w:proofErr w:type="spellStart"/>
      <w:r w:rsidRPr="00F66EAF">
        <w:rPr>
          <w:rFonts w:ascii="Arial" w:hAnsi="Arial" w:cs="Arial"/>
          <w:color w:val="000000" w:themeColor="text1"/>
        </w:rPr>
        <w:t>Sheibani</w:t>
      </w:r>
      <w:proofErr w:type="spellEnd"/>
      <w:r w:rsidRPr="00F66EAF">
        <w:rPr>
          <w:rFonts w:ascii="Arial" w:hAnsi="Arial" w:cs="Arial"/>
          <w:color w:val="000000" w:themeColor="text1"/>
        </w:rPr>
        <w:t xml:space="preserve">, V., </w:t>
      </w:r>
      <w:proofErr w:type="spellStart"/>
      <w:r w:rsidRPr="00F66EAF">
        <w:rPr>
          <w:rFonts w:ascii="Arial" w:hAnsi="Arial" w:cs="Arial"/>
          <w:color w:val="000000" w:themeColor="text1"/>
        </w:rPr>
        <w:t>Komeili</w:t>
      </w:r>
      <w:proofErr w:type="spellEnd"/>
      <w:r w:rsidRPr="00F66EAF">
        <w:rPr>
          <w:rFonts w:ascii="Arial" w:hAnsi="Arial" w:cs="Arial"/>
          <w:color w:val="000000" w:themeColor="text1"/>
        </w:rPr>
        <w:t xml:space="preserve">, G., </w:t>
      </w:r>
      <w:proofErr w:type="spellStart"/>
      <w:r w:rsidRPr="00F66EAF">
        <w:rPr>
          <w:rFonts w:ascii="Arial" w:hAnsi="Arial" w:cs="Arial"/>
          <w:color w:val="000000" w:themeColor="text1"/>
        </w:rPr>
        <w:t>Chahkandi</w:t>
      </w:r>
      <w:proofErr w:type="spellEnd"/>
      <w:r w:rsidRPr="00F66EAF">
        <w:rPr>
          <w:rFonts w:ascii="Arial" w:hAnsi="Arial" w:cs="Arial"/>
          <w:color w:val="000000" w:themeColor="text1"/>
        </w:rPr>
        <w:t xml:space="preserve">, M., and Rad, N. S. (2023). The effects of chronic marijuana administration on 6-ohda-induced learning &amp; memory impairment and hippocampal dopamine and cannabinoid receptors interaction in male rats. </w:t>
      </w:r>
      <w:r w:rsidRPr="00F66EAF">
        <w:rPr>
          <w:rFonts w:ascii="Arial" w:hAnsi="Arial" w:cs="Arial"/>
          <w:i/>
          <w:iCs/>
          <w:color w:val="000000" w:themeColor="text1"/>
        </w:rPr>
        <w:t>Neurochemical Research</w:t>
      </w:r>
      <w:r w:rsidRPr="00F66EAF">
        <w:rPr>
          <w:rFonts w:ascii="Arial" w:hAnsi="Arial" w:cs="Arial"/>
          <w:color w:val="000000" w:themeColor="text1"/>
        </w:rPr>
        <w:t xml:space="preserve">, </w:t>
      </w:r>
      <w:r w:rsidRPr="00F66EAF">
        <w:rPr>
          <w:rFonts w:ascii="Arial" w:hAnsi="Arial" w:cs="Arial"/>
          <w:i/>
          <w:iCs/>
          <w:color w:val="000000" w:themeColor="text1"/>
        </w:rPr>
        <w:t>48</w:t>
      </w:r>
      <w:r w:rsidRPr="00F66EAF">
        <w:rPr>
          <w:rFonts w:ascii="Arial" w:hAnsi="Arial" w:cs="Arial"/>
          <w:color w:val="000000" w:themeColor="text1"/>
        </w:rPr>
        <w:t>(7), 2220–2229.</w:t>
      </w:r>
    </w:p>
    <w:p w14:paraId="3A02BFA4" w14:textId="77777777" w:rsidR="00BA18E8" w:rsidRPr="00F66EAF" w:rsidRDefault="00BA18E8" w:rsidP="00F66EAF">
      <w:pPr>
        <w:pStyle w:val="ListParagraph"/>
        <w:numPr>
          <w:ilvl w:val="0"/>
          <w:numId w:val="3"/>
        </w:numPr>
        <w:spacing w:before="240" w:line="240" w:lineRule="auto"/>
        <w:jc w:val="both"/>
        <w:rPr>
          <w:rFonts w:ascii="Arial" w:hAnsi="Arial" w:cs="Arial"/>
          <w:color w:val="000000" w:themeColor="text1"/>
        </w:rPr>
      </w:pPr>
      <w:r w:rsidRPr="00F66EAF">
        <w:rPr>
          <w:rFonts w:ascii="Arial" w:hAnsi="Arial" w:cs="Arial"/>
          <w:color w:val="000000" w:themeColor="text1"/>
        </w:rPr>
        <w:t xml:space="preserve">Henry, J. P., </w:t>
      </w:r>
      <w:proofErr w:type="spellStart"/>
      <w:r w:rsidRPr="00F66EAF">
        <w:rPr>
          <w:rFonts w:ascii="Arial" w:hAnsi="Arial" w:cs="Arial"/>
          <w:color w:val="000000" w:themeColor="text1"/>
        </w:rPr>
        <w:t>Sagne</w:t>
      </w:r>
      <w:proofErr w:type="spellEnd"/>
      <w:r w:rsidRPr="00F66EAF">
        <w:rPr>
          <w:rFonts w:ascii="Arial" w:hAnsi="Arial" w:cs="Arial"/>
          <w:color w:val="000000" w:themeColor="text1"/>
        </w:rPr>
        <w:t xml:space="preserve">, C., </w:t>
      </w:r>
      <w:proofErr w:type="spellStart"/>
      <w:r w:rsidRPr="00F66EAF">
        <w:rPr>
          <w:rFonts w:ascii="Arial" w:hAnsi="Arial" w:cs="Arial"/>
          <w:color w:val="000000" w:themeColor="text1"/>
        </w:rPr>
        <w:t>Botton</w:t>
      </w:r>
      <w:proofErr w:type="spellEnd"/>
      <w:r w:rsidRPr="00F66EAF">
        <w:rPr>
          <w:rFonts w:ascii="Arial" w:hAnsi="Arial" w:cs="Arial"/>
          <w:color w:val="000000" w:themeColor="text1"/>
        </w:rPr>
        <w:t xml:space="preserve">, D., </w:t>
      </w:r>
      <w:proofErr w:type="spellStart"/>
      <w:r w:rsidRPr="00F66EAF">
        <w:rPr>
          <w:rFonts w:ascii="Arial" w:hAnsi="Arial" w:cs="Arial"/>
          <w:color w:val="000000" w:themeColor="text1"/>
        </w:rPr>
        <w:t>Isambert</w:t>
      </w:r>
      <w:proofErr w:type="spellEnd"/>
      <w:r w:rsidRPr="00F66EAF">
        <w:rPr>
          <w:rFonts w:ascii="Arial" w:hAnsi="Arial" w:cs="Arial"/>
          <w:color w:val="000000" w:themeColor="text1"/>
        </w:rPr>
        <w:t xml:space="preserve">, M. F., and </w:t>
      </w:r>
      <w:proofErr w:type="spellStart"/>
      <w:r w:rsidRPr="00F66EAF">
        <w:rPr>
          <w:rFonts w:ascii="Arial" w:hAnsi="Arial" w:cs="Arial"/>
          <w:color w:val="000000" w:themeColor="text1"/>
        </w:rPr>
        <w:t>Gasnier</w:t>
      </w:r>
      <w:proofErr w:type="spellEnd"/>
      <w:r w:rsidRPr="00F66EAF">
        <w:rPr>
          <w:rFonts w:ascii="Arial" w:hAnsi="Arial" w:cs="Arial"/>
          <w:color w:val="000000" w:themeColor="text1"/>
        </w:rPr>
        <w:t>, B. (1997). Molecular pharmacology of the vesicular monoamine transporter. In </w:t>
      </w:r>
      <w:r w:rsidRPr="00F66EAF">
        <w:rPr>
          <w:rFonts w:ascii="Arial" w:hAnsi="Arial" w:cs="Arial"/>
          <w:i/>
          <w:iCs/>
          <w:color w:val="000000" w:themeColor="text1"/>
        </w:rPr>
        <w:t>Advances in Pharmacology</w:t>
      </w:r>
      <w:r w:rsidRPr="00F66EAF">
        <w:rPr>
          <w:rFonts w:ascii="Arial" w:hAnsi="Arial" w:cs="Arial"/>
          <w:color w:val="000000" w:themeColor="text1"/>
        </w:rPr>
        <w:t> (Vol. 42, pp. 236-239). Academic Press.</w:t>
      </w:r>
    </w:p>
    <w:p w14:paraId="167EB8D1" w14:textId="77777777" w:rsidR="00BA18E8" w:rsidRPr="00F66EAF" w:rsidRDefault="00BA18E8" w:rsidP="00F66EAF">
      <w:pPr>
        <w:pStyle w:val="ListParagraph"/>
        <w:numPr>
          <w:ilvl w:val="0"/>
          <w:numId w:val="3"/>
        </w:numPr>
        <w:spacing w:line="240" w:lineRule="auto"/>
        <w:jc w:val="both"/>
        <w:rPr>
          <w:rFonts w:ascii="Arial" w:hAnsi="Arial" w:cs="Arial"/>
          <w:color w:val="000000" w:themeColor="text1"/>
          <w:shd w:val="clear" w:color="auto" w:fill="FFFFFF"/>
        </w:rPr>
      </w:pPr>
      <w:bookmarkStart w:id="23" w:name="_Hlk207389285"/>
      <w:r w:rsidRPr="00F66EAF">
        <w:rPr>
          <w:rFonts w:ascii="Arial" w:hAnsi="Arial" w:cs="Arial"/>
          <w:color w:val="000000" w:themeColor="text1"/>
          <w:shd w:val="clear" w:color="auto" w:fill="FFFFFF"/>
        </w:rPr>
        <w:t xml:space="preserve">Huestis, M. A., </w:t>
      </w:r>
      <w:proofErr w:type="spellStart"/>
      <w:r w:rsidRPr="00F66EAF">
        <w:rPr>
          <w:rFonts w:ascii="Arial" w:hAnsi="Arial" w:cs="Arial"/>
          <w:color w:val="000000" w:themeColor="text1"/>
          <w:shd w:val="clear" w:color="auto" w:fill="FFFFFF"/>
        </w:rPr>
        <w:t>Solimini</w:t>
      </w:r>
      <w:proofErr w:type="spellEnd"/>
      <w:r w:rsidRPr="00F66EAF">
        <w:rPr>
          <w:rFonts w:ascii="Arial" w:hAnsi="Arial" w:cs="Arial"/>
          <w:color w:val="000000" w:themeColor="text1"/>
          <w:shd w:val="clear" w:color="auto" w:fill="FFFFFF"/>
        </w:rPr>
        <w:t xml:space="preserve">, R., </w:t>
      </w:r>
      <w:proofErr w:type="spellStart"/>
      <w:r w:rsidRPr="00F66EAF">
        <w:rPr>
          <w:rFonts w:ascii="Arial" w:hAnsi="Arial" w:cs="Arial"/>
          <w:color w:val="000000" w:themeColor="text1"/>
          <w:shd w:val="clear" w:color="auto" w:fill="FFFFFF"/>
        </w:rPr>
        <w:t>Pichini</w:t>
      </w:r>
      <w:proofErr w:type="spellEnd"/>
      <w:r w:rsidRPr="00F66EAF">
        <w:rPr>
          <w:rFonts w:ascii="Arial" w:hAnsi="Arial" w:cs="Arial"/>
          <w:color w:val="000000" w:themeColor="text1"/>
          <w:shd w:val="clear" w:color="auto" w:fill="FFFFFF"/>
        </w:rPr>
        <w:t xml:space="preserve">, S., </w:t>
      </w:r>
      <w:proofErr w:type="spellStart"/>
      <w:r w:rsidRPr="00F66EAF">
        <w:rPr>
          <w:rFonts w:ascii="Arial" w:hAnsi="Arial" w:cs="Arial"/>
          <w:color w:val="000000" w:themeColor="text1"/>
          <w:shd w:val="clear" w:color="auto" w:fill="FFFFFF"/>
        </w:rPr>
        <w:t>Pacifici</w:t>
      </w:r>
      <w:proofErr w:type="spellEnd"/>
      <w:r w:rsidRPr="00F66EAF">
        <w:rPr>
          <w:rFonts w:ascii="Arial" w:hAnsi="Arial" w:cs="Arial"/>
          <w:color w:val="000000" w:themeColor="text1"/>
          <w:shd w:val="clear" w:color="auto" w:fill="FFFFFF"/>
        </w:rPr>
        <w:t xml:space="preserve">, R., </w:t>
      </w:r>
      <w:proofErr w:type="spellStart"/>
      <w:r w:rsidRPr="00F66EAF">
        <w:rPr>
          <w:rFonts w:ascii="Arial" w:hAnsi="Arial" w:cs="Arial"/>
          <w:color w:val="000000" w:themeColor="text1"/>
          <w:shd w:val="clear" w:color="auto" w:fill="FFFFFF"/>
        </w:rPr>
        <w:t>Carlier</w:t>
      </w:r>
      <w:proofErr w:type="spellEnd"/>
      <w:r w:rsidRPr="00F66EAF">
        <w:rPr>
          <w:rFonts w:ascii="Arial" w:hAnsi="Arial" w:cs="Arial"/>
          <w:color w:val="000000" w:themeColor="text1"/>
          <w:shd w:val="clear" w:color="auto" w:fill="FFFFFF"/>
        </w:rPr>
        <w:t xml:space="preserve">, J. and </w:t>
      </w:r>
      <w:proofErr w:type="spellStart"/>
      <w:r w:rsidRPr="00F66EAF">
        <w:rPr>
          <w:rFonts w:ascii="Arial" w:hAnsi="Arial" w:cs="Arial"/>
          <w:color w:val="000000" w:themeColor="text1"/>
          <w:shd w:val="clear" w:color="auto" w:fill="FFFFFF"/>
        </w:rPr>
        <w:t>Busardò</w:t>
      </w:r>
      <w:proofErr w:type="spellEnd"/>
      <w:r w:rsidRPr="00F66EAF">
        <w:rPr>
          <w:rFonts w:ascii="Arial" w:hAnsi="Arial" w:cs="Arial"/>
          <w:color w:val="000000" w:themeColor="text1"/>
          <w:shd w:val="clear" w:color="auto" w:fill="FFFFFF"/>
        </w:rPr>
        <w:t>, F. P. (2019). Cannabidiol adverse effects and toxicity. </w:t>
      </w:r>
      <w:r w:rsidRPr="00F66EAF">
        <w:rPr>
          <w:rFonts w:ascii="Arial" w:hAnsi="Arial" w:cs="Arial"/>
          <w:i/>
          <w:iCs/>
          <w:color w:val="000000" w:themeColor="text1"/>
          <w:shd w:val="clear" w:color="auto" w:fill="FFFFFF"/>
        </w:rPr>
        <w:t>Current neuropharmacology</w:t>
      </w:r>
      <w:r w:rsidRPr="00F66EAF">
        <w:rPr>
          <w:rFonts w:ascii="Arial" w:hAnsi="Arial" w:cs="Arial"/>
          <w:color w:val="000000" w:themeColor="text1"/>
          <w:shd w:val="clear" w:color="auto" w:fill="FFFFFF"/>
        </w:rPr>
        <w:t>, </w:t>
      </w:r>
      <w:r w:rsidRPr="00F66EAF">
        <w:rPr>
          <w:rFonts w:ascii="Arial" w:hAnsi="Arial" w:cs="Arial"/>
          <w:i/>
          <w:iCs/>
          <w:color w:val="000000" w:themeColor="text1"/>
          <w:shd w:val="clear" w:color="auto" w:fill="FFFFFF"/>
        </w:rPr>
        <w:t>17</w:t>
      </w:r>
      <w:r w:rsidRPr="00F66EAF">
        <w:rPr>
          <w:rFonts w:ascii="Arial" w:hAnsi="Arial" w:cs="Arial"/>
          <w:color w:val="000000" w:themeColor="text1"/>
          <w:shd w:val="clear" w:color="auto" w:fill="FFFFFF"/>
        </w:rPr>
        <w:t>(10), 974-989.</w:t>
      </w:r>
    </w:p>
    <w:bookmarkEnd w:id="23"/>
    <w:p w14:paraId="1684F349" w14:textId="77777777" w:rsidR="00BA18E8" w:rsidRPr="00F66EAF" w:rsidRDefault="00BA18E8" w:rsidP="00F66EAF">
      <w:pPr>
        <w:pStyle w:val="ListParagraph"/>
        <w:numPr>
          <w:ilvl w:val="0"/>
          <w:numId w:val="3"/>
        </w:numPr>
        <w:spacing w:line="240" w:lineRule="auto"/>
        <w:jc w:val="both"/>
        <w:rPr>
          <w:rFonts w:ascii="Arial" w:hAnsi="Arial" w:cs="Arial"/>
          <w:color w:val="000000" w:themeColor="text1"/>
          <w:shd w:val="clear" w:color="auto" w:fill="FFFFFF"/>
        </w:rPr>
      </w:pPr>
      <w:proofErr w:type="spellStart"/>
      <w:r w:rsidRPr="00F66EAF">
        <w:rPr>
          <w:rFonts w:ascii="Arial" w:hAnsi="Arial" w:cs="Arial"/>
          <w:color w:val="000000" w:themeColor="text1"/>
          <w:shd w:val="clear" w:color="auto" w:fill="FFFFFF"/>
        </w:rPr>
        <w:lastRenderedPageBreak/>
        <w:t>Kocis</w:t>
      </w:r>
      <w:proofErr w:type="spellEnd"/>
      <w:r w:rsidRPr="00F66EAF">
        <w:rPr>
          <w:rFonts w:ascii="Arial" w:hAnsi="Arial" w:cs="Arial"/>
          <w:color w:val="000000" w:themeColor="text1"/>
          <w:shd w:val="clear" w:color="auto" w:fill="FFFFFF"/>
        </w:rPr>
        <w:t xml:space="preserve">, P. T., and </w:t>
      </w:r>
      <w:proofErr w:type="spellStart"/>
      <w:r w:rsidRPr="00F66EAF">
        <w:rPr>
          <w:rFonts w:ascii="Arial" w:hAnsi="Arial" w:cs="Arial"/>
          <w:color w:val="000000" w:themeColor="text1"/>
          <w:shd w:val="clear" w:color="auto" w:fill="FFFFFF"/>
        </w:rPr>
        <w:t>Vrana</w:t>
      </w:r>
      <w:proofErr w:type="spellEnd"/>
      <w:r w:rsidRPr="00F66EAF">
        <w:rPr>
          <w:rFonts w:ascii="Arial" w:hAnsi="Arial" w:cs="Arial"/>
          <w:color w:val="000000" w:themeColor="text1"/>
          <w:shd w:val="clear" w:color="auto" w:fill="FFFFFF"/>
        </w:rPr>
        <w:t>, K. E. (2020). Delta-9-Tetrahydrocannabinol and Cannabidiol Drug-Drug Interactions. </w:t>
      </w:r>
      <w:r w:rsidRPr="00F66EAF">
        <w:rPr>
          <w:rFonts w:ascii="Arial" w:hAnsi="Arial" w:cs="Arial"/>
          <w:i/>
          <w:iCs/>
          <w:color w:val="000000" w:themeColor="text1"/>
          <w:shd w:val="clear" w:color="auto" w:fill="FFFFFF"/>
        </w:rPr>
        <w:t>Medical cannabis and cannabinoids</w:t>
      </w:r>
      <w:r w:rsidRPr="00F66EAF">
        <w:rPr>
          <w:rFonts w:ascii="Arial" w:hAnsi="Arial" w:cs="Arial"/>
          <w:color w:val="000000" w:themeColor="text1"/>
          <w:shd w:val="clear" w:color="auto" w:fill="FFFFFF"/>
        </w:rPr>
        <w:t>, </w:t>
      </w:r>
      <w:r w:rsidRPr="00F66EAF">
        <w:rPr>
          <w:rFonts w:ascii="Arial" w:hAnsi="Arial" w:cs="Arial"/>
          <w:i/>
          <w:iCs/>
          <w:color w:val="000000" w:themeColor="text1"/>
          <w:shd w:val="clear" w:color="auto" w:fill="FFFFFF"/>
        </w:rPr>
        <w:t>3</w:t>
      </w:r>
      <w:r w:rsidRPr="00F66EAF">
        <w:rPr>
          <w:rFonts w:ascii="Arial" w:hAnsi="Arial" w:cs="Arial"/>
          <w:color w:val="000000" w:themeColor="text1"/>
          <w:shd w:val="clear" w:color="auto" w:fill="FFFFFF"/>
        </w:rPr>
        <w:t>(1), 61–73.</w:t>
      </w:r>
    </w:p>
    <w:p w14:paraId="0575E455" w14:textId="77777777" w:rsidR="00BA18E8" w:rsidRPr="00F66EAF" w:rsidRDefault="00BA18E8" w:rsidP="00F66EAF">
      <w:pPr>
        <w:pStyle w:val="ListParagraph"/>
        <w:numPr>
          <w:ilvl w:val="0"/>
          <w:numId w:val="3"/>
        </w:numPr>
        <w:spacing w:line="240" w:lineRule="auto"/>
        <w:jc w:val="both"/>
        <w:rPr>
          <w:rFonts w:ascii="Arial" w:hAnsi="Arial" w:cs="Arial"/>
          <w:color w:val="000000" w:themeColor="text1"/>
        </w:rPr>
      </w:pPr>
      <w:proofErr w:type="spellStart"/>
      <w:r w:rsidRPr="00F66EAF">
        <w:rPr>
          <w:rFonts w:ascii="Arial" w:hAnsi="Arial" w:cs="Arial"/>
          <w:color w:val="000000" w:themeColor="text1"/>
        </w:rPr>
        <w:t>Komada</w:t>
      </w:r>
      <w:proofErr w:type="spellEnd"/>
      <w:r w:rsidRPr="00F66EAF">
        <w:rPr>
          <w:rFonts w:ascii="Arial" w:hAnsi="Arial" w:cs="Arial"/>
          <w:color w:val="000000" w:themeColor="text1"/>
        </w:rPr>
        <w:t xml:space="preserve">, M., Takao, K., and Miyakawa, T. (2008). Elevated plus maze for mice. </w:t>
      </w:r>
      <w:r w:rsidRPr="00F66EAF">
        <w:rPr>
          <w:rFonts w:ascii="Arial" w:hAnsi="Arial" w:cs="Arial"/>
          <w:i/>
          <w:iCs/>
          <w:color w:val="000000" w:themeColor="text1"/>
        </w:rPr>
        <w:t xml:space="preserve">Journal of </w:t>
      </w:r>
      <w:proofErr w:type="spellStart"/>
      <w:r w:rsidRPr="00F66EAF">
        <w:rPr>
          <w:rFonts w:ascii="Arial" w:hAnsi="Arial" w:cs="Arial"/>
          <w:i/>
          <w:iCs/>
          <w:color w:val="000000" w:themeColor="text1"/>
        </w:rPr>
        <w:t>Visualised</w:t>
      </w:r>
      <w:proofErr w:type="spellEnd"/>
      <w:r w:rsidRPr="00F66EAF">
        <w:rPr>
          <w:rFonts w:ascii="Arial" w:hAnsi="Arial" w:cs="Arial"/>
          <w:i/>
          <w:iCs/>
          <w:color w:val="000000" w:themeColor="text1"/>
        </w:rPr>
        <w:t xml:space="preserve"> Experiments</w:t>
      </w:r>
      <w:r w:rsidRPr="00F66EAF">
        <w:rPr>
          <w:rFonts w:ascii="Arial" w:hAnsi="Arial" w:cs="Arial"/>
          <w:color w:val="000000" w:themeColor="text1"/>
        </w:rPr>
        <w:t xml:space="preserve">, </w:t>
      </w:r>
      <w:r w:rsidRPr="00F66EAF">
        <w:rPr>
          <w:rFonts w:ascii="Arial" w:hAnsi="Arial" w:cs="Arial"/>
          <w:i/>
          <w:iCs/>
          <w:color w:val="000000" w:themeColor="text1"/>
        </w:rPr>
        <w:t>22</w:t>
      </w:r>
      <w:r w:rsidRPr="00F66EAF">
        <w:rPr>
          <w:rFonts w:ascii="Arial" w:hAnsi="Arial" w:cs="Arial"/>
          <w:color w:val="000000" w:themeColor="text1"/>
        </w:rPr>
        <w:t>, 1088.</w:t>
      </w:r>
    </w:p>
    <w:p w14:paraId="16C535D2" w14:textId="77777777" w:rsidR="00BA18E8" w:rsidRPr="00F66EAF" w:rsidRDefault="00BA18E8" w:rsidP="00F66EAF">
      <w:pPr>
        <w:pStyle w:val="ListParagraph"/>
        <w:numPr>
          <w:ilvl w:val="0"/>
          <w:numId w:val="3"/>
        </w:numPr>
        <w:spacing w:line="240" w:lineRule="auto"/>
        <w:jc w:val="both"/>
        <w:rPr>
          <w:rFonts w:ascii="Arial" w:hAnsi="Arial" w:cs="Arial"/>
          <w:color w:val="000000" w:themeColor="text1"/>
          <w:shd w:val="clear" w:color="auto" w:fill="FFFFFF"/>
        </w:rPr>
      </w:pPr>
      <w:proofErr w:type="spellStart"/>
      <w:r w:rsidRPr="00F66EAF">
        <w:rPr>
          <w:rFonts w:ascii="Arial" w:hAnsi="Arial" w:cs="Arial"/>
          <w:color w:val="000000" w:themeColor="text1"/>
          <w:shd w:val="clear" w:color="auto" w:fill="FFFFFF"/>
        </w:rPr>
        <w:t>Kouli</w:t>
      </w:r>
      <w:proofErr w:type="spellEnd"/>
      <w:r w:rsidRPr="00F66EAF">
        <w:rPr>
          <w:rFonts w:ascii="Arial" w:hAnsi="Arial" w:cs="Arial"/>
          <w:color w:val="000000" w:themeColor="text1"/>
          <w:shd w:val="clear" w:color="auto" w:fill="FFFFFF"/>
        </w:rPr>
        <w:t xml:space="preserve">, A., </w:t>
      </w:r>
      <w:proofErr w:type="spellStart"/>
      <w:r w:rsidRPr="00F66EAF">
        <w:rPr>
          <w:rFonts w:ascii="Arial" w:hAnsi="Arial" w:cs="Arial"/>
          <w:color w:val="000000" w:themeColor="text1"/>
          <w:shd w:val="clear" w:color="auto" w:fill="FFFFFF"/>
        </w:rPr>
        <w:t>Torsney</w:t>
      </w:r>
      <w:proofErr w:type="spellEnd"/>
      <w:r w:rsidRPr="00F66EAF">
        <w:rPr>
          <w:rFonts w:ascii="Arial" w:hAnsi="Arial" w:cs="Arial"/>
          <w:color w:val="000000" w:themeColor="text1"/>
          <w:shd w:val="clear" w:color="auto" w:fill="FFFFFF"/>
        </w:rPr>
        <w:t xml:space="preserve">, K. M. &amp; </w:t>
      </w:r>
      <w:proofErr w:type="spellStart"/>
      <w:r w:rsidRPr="00F66EAF">
        <w:rPr>
          <w:rFonts w:ascii="Arial" w:hAnsi="Arial" w:cs="Arial"/>
          <w:color w:val="000000" w:themeColor="text1"/>
          <w:shd w:val="clear" w:color="auto" w:fill="FFFFFF"/>
        </w:rPr>
        <w:t>Kuan</w:t>
      </w:r>
      <w:proofErr w:type="spellEnd"/>
      <w:r w:rsidRPr="00F66EAF">
        <w:rPr>
          <w:rFonts w:ascii="Arial" w:hAnsi="Arial" w:cs="Arial"/>
          <w:color w:val="000000" w:themeColor="text1"/>
          <w:shd w:val="clear" w:color="auto" w:fill="FFFFFF"/>
        </w:rPr>
        <w:t xml:space="preserve">, W. L. (2018). Parkinson’s disease, </w:t>
      </w:r>
      <w:proofErr w:type="spellStart"/>
      <w:r w:rsidRPr="00F66EAF">
        <w:rPr>
          <w:rFonts w:ascii="Arial" w:hAnsi="Arial" w:cs="Arial"/>
          <w:color w:val="000000" w:themeColor="text1"/>
          <w:shd w:val="clear" w:color="auto" w:fill="FFFFFF"/>
        </w:rPr>
        <w:t>aetiology</w:t>
      </w:r>
      <w:proofErr w:type="spellEnd"/>
      <w:r w:rsidRPr="00F66EAF">
        <w:rPr>
          <w:rFonts w:ascii="Arial" w:hAnsi="Arial" w:cs="Arial"/>
          <w:color w:val="000000" w:themeColor="text1"/>
          <w:shd w:val="clear" w:color="auto" w:fill="FFFFFF"/>
        </w:rPr>
        <w:t>, neuropathology, and pathogenesis. </w:t>
      </w:r>
      <w:r w:rsidRPr="00F66EAF">
        <w:rPr>
          <w:rFonts w:ascii="Arial" w:hAnsi="Arial" w:cs="Arial"/>
          <w:i/>
          <w:iCs/>
          <w:color w:val="000000" w:themeColor="text1"/>
          <w:shd w:val="clear" w:color="auto" w:fill="FFFFFF"/>
        </w:rPr>
        <w:t>Exon Publications</w:t>
      </w:r>
      <w:r w:rsidRPr="00F66EAF">
        <w:rPr>
          <w:rFonts w:ascii="Arial" w:hAnsi="Arial" w:cs="Arial"/>
          <w:color w:val="000000" w:themeColor="text1"/>
          <w:shd w:val="clear" w:color="auto" w:fill="FFFFFF"/>
        </w:rPr>
        <w:t>, 3-26.</w:t>
      </w:r>
    </w:p>
    <w:p w14:paraId="26AE81D2" w14:textId="77777777" w:rsidR="00BA18E8" w:rsidRPr="00F66EAF" w:rsidRDefault="00BA18E8" w:rsidP="00F66EAF">
      <w:pPr>
        <w:pStyle w:val="ListParagraph"/>
        <w:numPr>
          <w:ilvl w:val="0"/>
          <w:numId w:val="3"/>
        </w:numPr>
        <w:spacing w:line="240" w:lineRule="auto"/>
        <w:jc w:val="both"/>
        <w:rPr>
          <w:rFonts w:ascii="Arial" w:hAnsi="Arial" w:cs="Arial"/>
          <w:color w:val="000000" w:themeColor="text1"/>
          <w:shd w:val="clear" w:color="auto" w:fill="FFFFFF"/>
        </w:rPr>
      </w:pPr>
      <w:r w:rsidRPr="00F66EAF">
        <w:rPr>
          <w:rFonts w:ascii="Arial" w:hAnsi="Arial" w:cs="Arial"/>
          <w:color w:val="000000" w:themeColor="text1"/>
          <w:shd w:val="clear" w:color="auto" w:fill="FFFFFF"/>
        </w:rPr>
        <w:t>Kumar, L., Malhotra, M., Sharma, A., Singh, A. P., and Singh, A. P. (2024). A Holistic Approach to Parkinson's Disease: Integrating Advances in Pathophysiology, Diagnosis, and Therapy. </w:t>
      </w:r>
      <w:r w:rsidRPr="00F66EAF">
        <w:rPr>
          <w:rFonts w:ascii="Arial" w:hAnsi="Arial" w:cs="Arial"/>
          <w:i/>
          <w:iCs/>
          <w:color w:val="000000" w:themeColor="text1"/>
          <w:shd w:val="clear" w:color="auto" w:fill="FFFFFF"/>
        </w:rPr>
        <w:t>Journal of Drug Delivery &amp; Therapeutics</w:t>
      </w:r>
      <w:r w:rsidRPr="00F66EAF">
        <w:rPr>
          <w:rFonts w:ascii="Arial" w:hAnsi="Arial" w:cs="Arial"/>
          <w:color w:val="000000" w:themeColor="text1"/>
          <w:shd w:val="clear" w:color="auto" w:fill="FFFFFF"/>
        </w:rPr>
        <w:t>, </w:t>
      </w:r>
      <w:r w:rsidRPr="00F66EAF">
        <w:rPr>
          <w:rFonts w:ascii="Arial" w:hAnsi="Arial" w:cs="Arial"/>
          <w:i/>
          <w:iCs/>
          <w:color w:val="000000" w:themeColor="text1"/>
          <w:shd w:val="clear" w:color="auto" w:fill="FFFFFF"/>
        </w:rPr>
        <w:t>14</w:t>
      </w:r>
      <w:r w:rsidRPr="00F66EAF">
        <w:rPr>
          <w:rFonts w:ascii="Arial" w:hAnsi="Arial" w:cs="Arial"/>
          <w:color w:val="000000" w:themeColor="text1"/>
          <w:shd w:val="clear" w:color="auto" w:fill="FFFFFF"/>
        </w:rPr>
        <w:t>(5).</w:t>
      </w:r>
    </w:p>
    <w:p w14:paraId="0FB7288A" w14:textId="77777777" w:rsidR="00BA18E8" w:rsidRPr="00F66EAF" w:rsidRDefault="00BA18E8" w:rsidP="00F66EAF">
      <w:pPr>
        <w:pStyle w:val="ListParagraph"/>
        <w:numPr>
          <w:ilvl w:val="0"/>
          <w:numId w:val="3"/>
        </w:numPr>
        <w:spacing w:line="240" w:lineRule="auto"/>
        <w:jc w:val="both"/>
        <w:rPr>
          <w:rFonts w:ascii="Arial" w:hAnsi="Arial" w:cs="Arial"/>
          <w:color w:val="000000" w:themeColor="text1"/>
        </w:rPr>
      </w:pPr>
      <w:r w:rsidRPr="00F66EAF">
        <w:rPr>
          <w:rFonts w:ascii="Arial" w:hAnsi="Arial" w:cs="Arial"/>
          <w:color w:val="000000" w:themeColor="text1"/>
          <w:shd w:val="clear" w:color="auto" w:fill="FFFFFF"/>
        </w:rPr>
        <w:t xml:space="preserve">Leal, P. C., </w:t>
      </w:r>
      <w:proofErr w:type="spellStart"/>
      <w:r w:rsidRPr="00F66EAF">
        <w:rPr>
          <w:rFonts w:ascii="Arial" w:hAnsi="Arial" w:cs="Arial"/>
          <w:color w:val="000000" w:themeColor="text1"/>
          <w:shd w:val="clear" w:color="auto" w:fill="FFFFFF"/>
        </w:rPr>
        <w:t>Lins</w:t>
      </w:r>
      <w:proofErr w:type="spellEnd"/>
      <w:r w:rsidRPr="00F66EAF">
        <w:rPr>
          <w:rFonts w:ascii="Arial" w:hAnsi="Arial" w:cs="Arial"/>
          <w:color w:val="000000" w:themeColor="text1"/>
          <w:shd w:val="clear" w:color="auto" w:fill="FFFFFF"/>
        </w:rPr>
        <w:t>, L. C. R. F., De-</w:t>
      </w:r>
      <w:proofErr w:type="spellStart"/>
      <w:r w:rsidRPr="00F66EAF">
        <w:rPr>
          <w:rFonts w:ascii="Arial" w:hAnsi="Arial" w:cs="Arial"/>
          <w:color w:val="000000" w:themeColor="text1"/>
          <w:shd w:val="clear" w:color="auto" w:fill="FFFFFF"/>
        </w:rPr>
        <w:t>Gois</w:t>
      </w:r>
      <w:proofErr w:type="spellEnd"/>
      <w:r w:rsidRPr="00F66EAF">
        <w:rPr>
          <w:rFonts w:ascii="Arial" w:hAnsi="Arial" w:cs="Arial"/>
          <w:color w:val="000000" w:themeColor="text1"/>
          <w:shd w:val="clear" w:color="auto" w:fill="FFFFFF"/>
        </w:rPr>
        <w:t xml:space="preserve">, A. M., </w:t>
      </w:r>
      <w:proofErr w:type="spellStart"/>
      <w:r w:rsidRPr="00F66EAF">
        <w:rPr>
          <w:rFonts w:ascii="Arial" w:hAnsi="Arial" w:cs="Arial"/>
          <w:color w:val="000000" w:themeColor="text1"/>
          <w:shd w:val="clear" w:color="auto" w:fill="FFFFFF"/>
        </w:rPr>
        <w:t>Marchioro</w:t>
      </w:r>
      <w:proofErr w:type="spellEnd"/>
      <w:r w:rsidRPr="00F66EAF">
        <w:rPr>
          <w:rFonts w:ascii="Arial" w:hAnsi="Arial" w:cs="Arial"/>
          <w:color w:val="000000" w:themeColor="text1"/>
          <w:shd w:val="clear" w:color="auto" w:fill="FFFFFF"/>
        </w:rPr>
        <w:t xml:space="preserve">, M. and Santos, J. R. (2016). Commentary, evaluation of models of Parkinson’s disease. </w:t>
      </w:r>
      <w:r w:rsidRPr="00F66EAF">
        <w:rPr>
          <w:rStyle w:val="ref-journal"/>
          <w:rFonts w:ascii="Arial" w:hAnsi="Arial" w:cs="Arial"/>
          <w:i/>
          <w:iCs/>
          <w:color w:val="000000" w:themeColor="text1"/>
        </w:rPr>
        <w:t xml:space="preserve">Frontiers in Neuroscience, </w:t>
      </w:r>
      <w:r w:rsidRPr="00F66EAF">
        <w:rPr>
          <w:rStyle w:val="ref-vol"/>
          <w:rFonts w:ascii="Arial" w:hAnsi="Arial" w:cs="Arial"/>
          <w:color w:val="000000" w:themeColor="text1"/>
        </w:rPr>
        <w:t>10</w:t>
      </w:r>
      <w:r w:rsidRPr="00F66EAF">
        <w:rPr>
          <w:rFonts w:ascii="Arial" w:hAnsi="Arial" w:cs="Arial"/>
          <w:color w:val="000000" w:themeColor="text1"/>
        </w:rPr>
        <w:t>, 283.</w:t>
      </w:r>
    </w:p>
    <w:p w14:paraId="009AE20C" w14:textId="77777777" w:rsidR="00BA18E8" w:rsidRPr="00F66EAF" w:rsidRDefault="00BA18E8" w:rsidP="00F66EAF">
      <w:pPr>
        <w:pStyle w:val="ListParagraph"/>
        <w:numPr>
          <w:ilvl w:val="0"/>
          <w:numId w:val="3"/>
        </w:numPr>
        <w:spacing w:line="240" w:lineRule="auto"/>
        <w:jc w:val="both"/>
        <w:rPr>
          <w:rFonts w:ascii="Arial" w:hAnsi="Arial" w:cs="Arial"/>
          <w:color w:val="000000" w:themeColor="text1"/>
        </w:rPr>
      </w:pPr>
      <w:r w:rsidRPr="00F66EAF">
        <w:rPr>
          <w:rFonts w:ascii="Arial" w:hAnsi="Arial" w:cs="Arial"/>
          <w:color w:val="000000" w:themeColor="text1"/>
        </w:rPr>
        <w:t xml:space="preserve">Li, Y., Yin, Q., Wang, B., Shen, T., Luo, W., and Liu, T. (2022). Preclinical reserpine models recapitulating motor and non-motor features of Parkinson’s disease, Roles of epigenetic upregulation of alpha-synuclein and autophagy impairment. </w:t>
      </w:r>
      <w:r w:rsidRPr="00F66EAF">
        <w:rPr>
          <w:rFonts w:ascii="Arial" w:hAnsi="Arial" w:cs="Arial"/>
          <w:i/>
          <w:iCs/>
          <w:color w:val="000000" w:themeColor="text1"/>
        </w:rPr>
        <w:t>Frontiers in Pharmacology</w:t>
      </w:r>
      <w:r w:rsidRPr="00F66EAF">
        <w:rPr>
          <w:rFonts w:ascii="Arial" w:hAnsi="Arial" w:cs="Arial"/>
          <w:color w:val="000000" w:themeColor="text1"/>
        </w:rPr>
        <w:t xml:space="preserve">, </w:t>
      </w:r>
      <w:r w:rsidRPr="00F66EAF">
        <w:rPr>
          <w:rFonts w:ascii="Arial" w:hAnsi="Arial" w:cs="Arial"/>
          <w:i/>
          <w:iCs/>
          <w:color w:val="000000" w:themeColor="text1"/>
        </w:rPr>
        <w:t>13</w:t>
      </w:r>
      <w:r w:rsidRPr="00F66EAF">
        <w:rPr>
          <w:rFonts w:ascii="Arial" w:hAnsi="Arial" w:cs="Arial"/>
          <w:color w:val="000000" w:themeColor="text1"/>
        </w:rPr>
        <w:t>, 944376.</w:t>
      </w:r>
    </w:p>
    <w:p w14:paraId="50DE8468" w14:textId="77777777" w:rsidR="00BA18E8" w:rsidRPr="00F66EAF" w:rsidRDefault="00BA18E8" w:rsidP="00F66EAF">
      <w:pPr>
        <w:pStyle w:val="ListParagraph"/>
        <w:numPr>
          <w:ilvl w:val="0"/>
          <w:numId w:val="3"/>
        </w:numPr>
        <w:spacing w:line="240" w:lineRule="auto"/>
        <w:jc w:val="both"/>
        <w:rPr>
          <w:rFonts w:ascii="Arial" w:hAnsi="Arial" w:cs="Arial"/>
          <w:color w:val="000000" w:themeColor="text1"/>
          <w:lang w:val="es-US"/>
        </w:rPr>
      </w:pPr>
      <w:proofErr w:type="spellStart"/>
      <w:r w:rsidRPr="00F66EAF">
        <w:rPr>
          <w:rFonts w:ascii="Arial" w:hAnsi="Arial" w:cs="Arial"/>
          <w:color w:val="000000" w:themeColor="text1"/>
        </w:rPr>
        <w:t>Loru</w:t>
      </w:r>
      <w:proofErr w:type="spellEnd"/>
      <w:r w:rsidRPr="00F66EAF">
        <w:rPr>
          <w:rFonts w:ascii="Arial" w:hAnsi="Arial" w:cs="Arial"/>
          <w:color w:val="000000" w:themeColor="text1"/>
        </w:rPr>
        <w:t xml:space="preserve">, L., </w:t>
      </w:r>
      <w:proofErr w:type="spellStart"/>
      <w:r w:rsidRPr="00F66EAF">
        <w:rPr>
          <w:rFonts w:ascii="Arial" w:hAnsi="Arial" w:cs="Arial"/>
          <w:color w:val="000000" w:themeColor="text1"/>
        </w:rPr>
        <w:t>Sassu</w:t>
      </w:r>
      <w:proofErr w:type="spellEnd"/>
      <w:r w:rsidRPr="00F66EAF">
        <w:rPr>
          <w:rFonts w:ascii="Arial" w:hAnsi="Arial" w:cs="Arial"/>
          <w:color w:val="000000" w:themeColor="text1"/>
        </w:rPr>
        <w:t xml:space="preserve">, A., </w:t>
      </w:r>
      <w:proofErr w:type="spellStart"/>
      <w:r w:rsidRPr="00F66EAF">
        <w:rPr>
          <w:rFonts w:ascii="Arial" w:hAnsi="Arial" w:cs="Arial"/>
          <w:color w:val="000000" w:themeColor="text1"/>
        </w:rPr>
        <w:t>Fois</w:t>
      </w:r>
      <w:proofErr w:type="spellEnd"/>
      <w:r w:rsidRPr="00F66EAF">
        <w:rPr>
          <w:rFonts w:ascii="Arial" w:hAnsi="Arial" w:cs="Arial"/>
          <w:color w:val="000000" w:themeColor="text1"/>
        </w:rPr>
        <w:t>, X., and Pantaleoni, R. A. (2010). Ethyl acetate: A possible alternative for anaesthetizing insects. </w:t>
      </w:r>
      <w:proofErr w:type="spellStart"/>
      <w:r w:rsidRPr="00F66EAF">
        <w:rPr>
          <w:rFonts w:ascii="Arial" w:hAnsi="Arial" w:cs="Arial"/>
          <w:i/>
          <w:iCs/>
          <w:color w:val="000000" w:themeColor="text1"/>
          <w:lang w:val="es-US"/>
        </w:rPr>
        <w:t>Annales</w:t>
      </w:r>
      <w:proofErr w:type="spellEnd"/>
      <w:r w:rsidRPr="00F66EAF">
        <w:rPr>
          <w:rFonts w:ascii="Arial" w:hAnsi="Arial" w:cs="Arial"/>
          <w:i/>
          <w:iCs/>
          <w:color w:val="000000" w:themeColor="text1"/>
          <w:lang w:val="es-US"/>
        </w:rPr>
        <w:t xml:space="preserve"> de La Société </w:t>
      </w:r>
      <w:proofErr w:type="spellStart"/>
      <w:r w:rsidRPr="00F66EAF">
        <w:rPr>
          <w:rFonts w:ascii="Arial" w:hAnsi="Arial" w:cs="Arial"/>
          <w:i/>
          <w:iCs/>
          <w:color w:val="000000" w:themeColor="text1"/>
          <w:lang w:val="es-US"/>
        </w:rPr>
        <w:t>Entomologique</w:t>
      </w:r>
      <w:proofErr w:type="spellEnd"/>
      <w:r w:rsidRPr="00F66EAF">
        <w:rPr>
          <w:rFonts w:ascii="Arial" w:hAnsi="Arial" w:cs="Arial"/>
          <w:i/>
          <w:iCs/>
          <w:color w:val="000000" w:themeColor="text1"/>
          <w:lang w:val="es-US"/>
        </w:rPr>
        <w:t xml:space="preserve"> de France (N.S.)</w:t>
      </w:r>
      <w:r w:rsidRPr="00F66EAF">
        <w:rPr>
          <w:rFonts w:ascii="Arial" w:hAnsi="Arial" w:cs="Arial"/>
          <w:color w:val="000000" w:themeColor="text1"/>
          <w:lang w:val="es-US"/>
        </w:rPr>
        <w:t>, </w:t>
      </w:r>
      <w:r w:rsidRPr="00F66EAF">
        <w:rPr>
          <w:rFonts w:ascii="Arial" w:hAnsi="Arial" w:cs="Arial"/>
          <w:i/>
          <w:iCs/>
          <w:color w:val="000000" w:themeColor="text1"/>
          <w:lang w:val="es-US"/>
        </w:rPr>
        <w:t>46</w:t>
      </w:r>
      <w:r w:rsidRPr="00F66EAF">
        <w:rPr>
          <w:rFonts w:ascii="Arial" w:hAnsi="Arial" w:cs="Arial"/>
          <w:color w:val="000000" w:themeColor="text1"/>
          <w:lang w:val="es-US"/>
        </w:rPr>
        <w:t>(3–4), 422–424.</w:t>
      </w:r>
    </w:p>
    <w:p w14:paraId="038A5D68" w14:textId="77777777" w:rsidR="00BA18E8" w:rsidRPr="00F66EAF" w:rsidRDefault="00BA18E8" w:rsidP="00F66EAF">
      <w:pPr>
        <w:pStyle w:val="ListParagraph"/>
        <w:numPr>
          <w:ilvl w:val="0"/>
          <w:numId w:val="3"/>
        </w:numPr>
        <w:spacing w:line="240" w:lineRule="auto"/>
        <w:jc w:val="both"/>
        <w:rPr>
          <w:rFonts w:ascii="Arial" w:hAnsi="Arial" w:cs="Arial"/>
          <w:color w:val="000000" w:themeColor="text1"/>
        </w:rPr>
      </w:pPr>
      <w:r w:rsidRPr="00F66EAF">
        <w:rPr>
          <w:rFonts w:ascii="Arial" w:hAnsi="Arial" w:cs="Arial"/>
          <w:color w:val="000000" w:themeColor="text1"/>
          <w:lang w:val="es-US"/>
        </w:rPr>
        <w:t xml:space="preserve">Muhammad, F., Liu, Y., Wang, N., Zhao, L., Zhou, Y., Yang, H., and Li, H. (2022). </w:t>
      </w:r>
      <w:r w:rsidRPr="00F66EAF">
        <w:rPr>
          <w:rFonts w:ascii="Arial" w:hAnsi="Arial" w:cs="Arial"/>
          <w:color w:val="000000" w:themeColor="text1"/>
        </w:rPr>
        <w:t xml:space="preserve">Neuroprotective effects of cannabidiol on dopaminergic neurodegeneration and α-synuclein accumulation in C. elegans models of Parkinson’s disease. </w:t>
      </w:r>
      <w:proofErr w:type="spellStart"/>
      <w:r w:rsidRPr="00F66EAF">
        <w:rPr>
          <w:rFonts w:ascii="Arial" w:hAnsi="Arial" w:cs="Arial"/>
          <w:i/>
          <w:iCs/>
          <w:color w:val="000000" w:themeColor="text1"/>
        </w:rPr>
        <w:t>NeuroToxicology</w:t>
      </w:r>
      <w:proofErr w:type="spellEnd"/>
      <w:r w:rsidRPr="00F66EAF">
        <w:rPr>
          <w:rFonts w:ascii="Arial" w:hAnsi="Arial" w:cs="Arial"/>
          <w:color w:val="000000" w:themeColor="text1"/>
        </w:rPr>
        <w:t xml:space="preserve">, </w:t>
      </w:r>
      <w:r w:rsidRPr="00F66EAF">
        <w:rPr>
          <w:rFonts w:ascii="Arial" w:hAnsi="Arial" w:cs="Arial"/>
          <w:i/>
          <w:iCs/>
          <w:color w:val="000000" w:themeColor="text1"/>
        </w:rPr>
        <w:t>93</w:t>
      </w:r>
      <w:r w:rsidRPr="00F66EAF">
        <w:rPr>
          <w:rFonts w:ascii="Arial" w:hAnsi="Arial" w:cs="Arial"/>
          <w:color w:val="000000" w:themeColor="text1"/>
        </w:rPr>
        <w:t>, 128–139.</w:t>
      </w:r>
    </w:p>
    <w:p w14:paraId="6E2E12A1" w14:textId="77777777" w:rsidR="00BA18E8" w:rsidRPr="00F66EAF" w:rsidRDefault="00BA18E8" w:rsidP="00F66EAF">
      <w:pPr>
        <w:pStyle w:val="ListParagraph"/>
        <w:numPr>
          <w:ilvl w:val="0"/>
          <w:numId w:val="3"/>
        </w:numPr>
        <w:spacing w:line="240" w:lineRule="auto"/>
        <w:jc w:val="both"/>
        <w:rPr>
          <w:rFonts w:ascii="Arial" w:hAnsi="Arial" w:cs="Arial"/>
          <w:color w:val="000000" w:themeColor="text1"/>
          <w:shd w:val="clear" w:color="auto" w:fill="FFFFFF"/>
        </w:rPr>
      </w:pPr>
      <w:proofErr w:type="spellStart"/>
      <w:r w:rsidRPr="00F66EAF">
        <w:rPr>
          <w:rFonts w:ascii="Arial" w:hAnsi="Arial" w:cs="Arial"/>
          <w:color w:val="000000" w:themeColor="text1"/>
          <w:shd w:val="clear" w:color="auto" w:fill="FFFFFF"/>
        </w:rPr>
        <w:t>Naya</w:t>
      </w:r>
      <w:proofErr w:type="spellEnd"/>
      <w:r w:rsidRPr="00F66EAF">
        <w:rPr>
          <w:rFonts w:ascii="Arial" w:hAnsi="Arial" w:cs="Arial"/>
          <w:color w:val="000000" w:themeColor="text1"/>
          <w:shd w:val="clear" w:color="auto" w:fill="FFFFFF"/>
        </w:rPr>
        <w:t xml:space="preserve">, N., Kelly, J., </w:t>
      </w:r>
      <w:proofErr w:type="spellStart"/>
      <w:r w:rsidRPr="00F66EAF">
        <w:rPr>
          <w:rFonts w:ascii="Arial" w:hAnsi="Arial" w:cs="Arial"/>
          <w:color w:val="000000" w:themeColor="text1"/>
          <w:shd w:val="clear" w:color="auto" w:fill="FFFFFF"/>
        </w:rPr>
        <w:t>Corna</w:t>
      </w:r>
      <w:proofErr w:type="spellEnd"/>
      <w:r w:rsidRPr="00F66EAF">
        <w:rPr>
          <w:rFonts w:ascii="Arial" w:hAnsi="Arial" w:cs="Arial"/>
          <w:color w:val="000000" w:themeColor="text1"/>
          <w:shd w:val="clear" w:color="auto" w:fill="FFFFFF"/>
        </w:rPr>
        <w:t xml:space="preserve">, G., </w:t>
      </w:r>
      <w:proofErr w:type="spellStart"/>
      <w:r w:rsidRPr="00F66EAF">
        <w:rPr>
          <w:rFonts w:ascii="Arial" w:hAnsi="Arial" w:cs="Arial"/>
          <w:color w:val="000000" w:themeColor="text1"/>
          <w:shd w:val="clear" w:color="auto" w:fill="FFFFFF"/>
        </w:rPr>
        <w:t>Golino</w:t>
      </w:r>
      <w:proofErr w:type="spellEnd"/>
      <w:r w:rsidRPr="00F66EAF">
        <w:rPr>
          <w:rFonts w:ascii="Arial" w:hAnsi="Arial" w:cs="Arial"/>
          <w:color w:val="000000" w:themeColor="text1"/>
          <w:shd w:val="clear" w:color="auto" w:fill="FFFFFF"/>
        </w:rPr>
        <w:t xml:space="preserve">, M., Abbate, A., and </w:t>
      </w:r>
      <w:proofErr w:type="spellStart"/>
      <w:r w:rsidRPr="00F66EAF">
        <w:rPr>
          <w:rFonts w:ascii="Arial" w:hAnsi="Arial" w:cs="Arial"/>
          <w:color w:val="000000" w:themeColor="text1"/>
          <w:shd w:val="clear" w:color="auto" w:fill="FFFFFF"/>
        </w:rPr>
        <w:t>Toldo</w:t>
      </w:r>
      <w:proofErr w:type="spellEnd"/>
      <w:r w:rsidRPr="00F66EAF">
        <w:rPr>
          <w:rFonts w:ascii="Arial" w:hAnsi="Arial" w:cs="Arial"/>
          <w:color w:val="000000" w:themeColor="text1"/>
          <w:shd w:val="clear" w:color="auto" w:fill="FFFFFF"/>
        </w:rPr>
        <w:t>, S. (2023). Molecular and Cellular Mechanisms of Action of Cannabidiol. </w:t>
      </w:r>
      <w:r w:rsidRPr="00F66EAF">
        <w:rPr>
          <w:rFonts w:ascii="Arial" w:hAnsi="Arial" w:cs="Arial"/>
          <w:i/>
          <w:iCs/>
          <w:color w:val="000000" w:themeColor="text1"/>
          <w:shd w:val="clear" w:color="auto" w:fill="FFFFFF"/>
        </w:rPr>
        <w:t>Molecules (Basel, Switzerland)</w:t>
      </w:r>
      <w:r w:rsidRPr="00F66EAF">
        <w:rPr>
          <w:rFonts w:ascii="Arial" w:hAnsi="Arial" w:cs="Arial"/>
          <w:color w:val="000000" w:themeColor="text1"/>
          <w:shd w:val="clear" w:color="auto" w:fill="FFFFFF"/>
        </w:rPr>
        <w:t>, </w:t>
      </w:r>
      <w:r w:rsidRPr="00F66EAF">
        <w:rPr>
          <w:rFonts w:ascii="Arial" w:hAnsi="Arial" w:cs="Arial"/>
          <w:i/>
          <w:iCs/>
          <w:color w:val="000000" w:themeColor="text1"/>
          <w:shd w:val="clear" w:color="auto" w:fill="FFFFFF"/>
        </w:rPr>
        <w:t>28</w:t>
      </w:r>
      <w:r w:rsidRPr="00F66EAF">
        <w:rPr>
          <w:rFonts w:ascii="Arial" w:hAnsi="Arial" w:cs="Arial"/>
          <w:color w:val="000000" w:themeColor="text1"/>
          <w:shd w:val="clear" w:color="auto" w:fill="FFFFFF"/>
        </w:rPr>
        <w:t>(16), 5980.</w:t>
      </w:r>
    </w:p>
    <w:p w14:paraId="788D9F00" w14:textId="77777777" w:rsidR="00BA18E8" w:rsidRPr="00F66EAF" w:rsidRDefault="00BA18E8" w:rsidP="00F66EAF">
      <w:pPr>
        <w:pStyle w:val="ListParagraph"/>
        <w:numPr>
          <w:ilvl w:val="0"/>
          <w:numId w:val="3"/>
        </w:numPr>
        <w:spacing w:line="240" w:lineRule="auto"/>
        <w:jc w:val="both"/>
        <w:rPr>
          <w:rFonts w:ascii="Arial" w:hAnsi="Arial" w:cs="Arial"/>
          <w:color w:val="000000" w:themeColor="text1"/>
          <w:shd w:val="clear" w:color="auto" w:fill="FFFFFF"/>
        </w:rPr>
      </w:pPr>
      <w:r w:rsidRPr="00F66EAF">
        <w:rPr>
          <w:rFonts w:ascii="Arial" w:hAnsi="Arial" w:cs="Arial"/>
          <w:color w:val="000000" w:themeColor="text1"/>
        </w:rPr>
        <w:t xml:space="preserve">Park, B.-K., Kim, Y. R., Kim, Y. H., Yang, C., </w:t>
      </w:r>
      <w:proofErr w:type="spellStart"/>
      <w:r w:rsidRPr="00F66EAF">
        <w:rPr>
          <w:rFonts w:ascii="Arial" w:hAnsi="Arial" w:cs="Arial"/>
          <w:color w:val="000000" w:themeColor="text1"/>
        </w:rPr>
        <w:t>Seo</w:t>
      </w:r>
      <w:proofErr w:type="spellEnd"/>
      <w:r w:rsidRPr="00F66EAF">
        <w:rPr>
          <w:rFonts w:ascii="Arial" w:hAnsi="Arial" w:cs="Arial"/>
          <w:color w:val="000000" w:themeColor="text1"/>
        </w:rPr>
        <w:t xml:space="preserve">, C.-S., Jung, I. C., Jang, I.-S., Kim, S.-H., and Lee, M. Y. (2018). Antidepressant-like effects of </w:t>
      </w:r>
      <w:proofErr w:type="spellStart"/>
      <w:r w:rsidRPr="00F66EAF">
        <w:rPr>
          <w:rFonts w:ascii="Arial" w:hAnsi="Arial" w:cs="Arial"/>
          <w:i/>
          <w:iCs/>
          <w:color w:val="000000" w:themeColor="text1"/>
        </w:rPr>
        <w:t>gyejibokryeong-hwan</w:t>
      </w:r>
      <w:proofErr w:type="spellEnd"/>
      <w:r w:rsidRPr="00F66EAF">
        <w:rPr>
          <w:rFonts w:ascii="Arial" w:hAnsi="Arial" w:cs="Arial"/>
          <w:color w:val="000000" w:themeColor="text1"/>
        </w:rPr>
        <w:t xml:space="preserve"> in a mouse model of reserpine-induced depression. </w:t>
      </w:r>
      <w:r w:rsidRPr="00F66EAF">
        <w:rPr>
          <w:rFonts w:ascii="Arial" w:hAnsi="Arial" w:cs="Arial"/>
          <w:i/>
          <w:iCs/>
          <w:color w:val="000000" w:themeColor="text1"/>
        </w:rPr>
        <w:t>BioMed Research International</w:t>
      </w:r>
      <w:r w:rsidRPr="00F66EAF">
        <w:rPr>
          <w:rFonts w:ascii="Arial" w:hAnsi="Arial" w:cs="Arial"/>
          <w:color w:val="000000" w:themeColor="text1"/>
        </w:rPr>
        <w:t xml:space="preserve">, </w:t>
      </w:r>
      <w:r w:rsidRPr="00F66EAF">
        <w:rPr>
          <w:rFonts w:ascii="Arial" w:hAnsi="Arial" w:cs="Arial"/>
          <w:i/>
          <w:iCs/>
          <w:color w:val="000000" w:themeColor="text1"/>
        </w:rPr>
        <w:t>2018</w:t>
      </w:r>
      <w:r w:rsidRPr="00F66EAF">
        <w:rPr>
          <w:rFonts w:ascii="Arial" w:hAnsi="Arial" w:cs="Arial"/>
          <w:color w:val="000000" w:themeColor="text1"/>
        </w:rPr>
        <w:t>, 1–12.</w:t>
      </w:r>
    </w:p>
    <w:p w14:paraId="6C19AE38" w14:textId="77777777" w:rsidR="00BA18E8" w:rsidRPr="00F66EAF" w:rsidRDefault="00BA18E8" w:rsidP="00F66EAF">
      <w:pPr>
        <w:pStyle w:val="ListParagraph"/>
        <w:numPr>
          <w:ilvl w:val="0"/>
          <w:numId w:val="3"/>
        </w:numPr>
        <w:spacing w:line="240" w:lineRule="auto"/>
        <w:jc w:val="both"/>
        <w:rPr>
          <w:rFonts w:ascii="Arial" w:hAnsi="Arial" w:cs="Arial"/>
          <w:color w:val="000000" w:themeColor="text1"/>
          <w:shd w:val="clear" w:color="auto" w:fill="FFFFFF"/>
          <w:lang w:val="es-US"/>
        </w:rPr>
      </w:pPr>
      <w:r w:rsidRPr="00F66EAF">
        <w:rPr>
          <w:rFonts w:ascii="Arial" w:hAnsi="Arial" w:cs="Arial"/>
          <w:color w:val="000000" w:themeColor="text1"/>
          <w:shd w:val="clear" w:color="auto" w:fill="FFFFFF"/>
        </w:rPr>
        <w:t xml:space="preserve">Pereira, A. G., </w:t>
      </w:r>
      <w:proofErr w:type="spellStart"/>
      <w:r w:rsidRPr="00F66EAF">
        <w:rPr>
          <w:rFonts w:ascii="Arial" w:hAnsi="Arial" w:cs="Arial"/>
          <w:color w:val="000000" w:themeColor="text1"/>
          <w:shd w:val="clear" w:color="auto" w:fill="FFFFFF"/>
        </w:rPr>
        <w:t>Poli</w:t>
      </w:r>
      <w:proofErr w:type="spellEnd"/>
      <w:r w:rsidRPr="00F66EAF">
        <w:rPr>
          <w:rFonts w:ascii="Arial" w:hAnsi="Arial" w:cs="Arial"/>
          <w:color w:val="000000" w:themeColor="text1"/>
          <w:shd w:val="clear" w:color="auto" w:fill="FFFFFF"/>
        </w:rPr>
        <w:t xml:space="preserve">, A., Matheus, F. C., da Silva, L. D. B., </w:t>
      </w:r>
      <w:proofErr w:type="spellStart"/>
      <w:r w:rsidRPr="00F66EAF">
        <w:rPr>
          <w:rFonts w:ascii="Arial" w:hAnsi="Arial" w:cs="Arial"/>
          <w:color w:val="000000" w:themeColor="text1"/>
          <w:shd w:val="clear" w:color="auto" w:fill="FFFFFF"/>
        </w:rPr>
        <w:t>Fadanni</w:t>
      </w:r>
      <w:proofErr w:type="spellEnd"/>
      <w:r w:rsidRPr="00F66EAF">
        <w:rPr>
          <w:rFonts w:ascii="Arial" w:hAnsi="Arial" w:cs="Arial"/>
          <w:color w:val="000000" w:themeColor="text1"/>
          <w:shd w:val="clear" w:color="auto" w:fill="FFFFFF"/>
        </w:rPr>
        <w:t xml:space="preserve">, G. P., </w:t>
      </w:r>
      <w:proofErr w:type="spellStart"/>
      <w:r w:rsidRPr="00F66EAF">
        <w:rPr>
          <w:rFonts w:ascii="Arial" w:hAnsi="Arial" w:cs="Arial"/>
          <w:color w:val="000000" w:themeColor="text1"/>
          <w:shd w:val="clear" w:color="auto" w:fill="FFFFFF"/>
        </w:rPr>
        <w:t>Izídio</w:t>
      </w:r>
      <w:proofErr w:type="spellEnd"/>
      <w:r w:rsidRPr="00F66EAF">
        <w:rPr>
          <w:rFonts w:ascii="Arial" w:hAnsi="Arial" w:cs="Arial"/>
          <w:color w:val="000000" w:themeColor="text1"/>
          <w:shd w:val="clear" w:color="auto" w:fill="FFFFFF"/>
        </w:rPr>
        <w:t xml:space="preserve">, G. S., </w:t>
      </w:r>
      <w:proofErr w:type="spellStart"/>
      <w:r w:rsidRPr="00F66EAF">
        <w:rPr>
          <w:rFonts w:ascii="Arial" w:hAnsi="Arial" w:cs="Arial"/>
          <w:color w:val="000000" w:themeColor="text1"/>
          <w:shd w:val="clear" w:color="auto" w:fill="FFFFFF"/>
        </w:rPr>
        <w:t>Latini</w:t>
      </w:r>
      <w:proofErr w:type="spellEnd"/>
      <w:r w:rsidRPr="00F66EAF">
        <w:rPr>
          <w:rFonts w:ascii="Arial" w:hAnsi="Arial" w:cs="Arial"/>
          <w:color w:val="000000" w:themeColor="text1"/>
          <w:shd w:val="clear" w:color="auto" w:fill="FFFFFF"/>
        </w:rPr>
        <w:t xml:space="preserve">, A., and Prediger, R. D. (2020). Temporal development of neurochemical and cognitive impairments following reserpine administration in rats. </w:t>
      </w:r>
      <w:proofErr w:type="spellStart"/>
      <w:r w:rsidRPr="00F66EAF">
        <w:rPr>
          <w:rFonts w:ascii="Arial" w:hAnsi="Arial" w:cs="Arial"/>
          <w:i/>
          <w:iCs/>
          <w:color w:val="000000" w:themeColor="text1"/>
          <w:shd w:val="clear" w:color="auto" w:fill="FFFFFF"/>
          <w:lang w:val="es-US"/>
        </w:rPr>
        <w:t>Behavioural</w:t>
      </w:r>
      <w:proofErr w:type="spellEnd"/>
      <w:r w:rsidRPr="00F66EAF">
        <w:rPr>
          <w:rFonts w:ascii="Arial" w:hAnsi="Arial" w:cs="Arial"/>
          <w:i/>
          <w:iCs/>
          <w:color w:val="000000" w:themeColor="text1"/>
          <w:shd w:val="clear" w:color="auto" w:fill="FFFFFF"/>
          <w:lang w:val="es-US"/>
        </w:rPr>
        <w:t xml:space="preserve"> </w:t>
      </w:r>
      <w:proofErr w:type="spellStart"/>
      <w:r w:rsidRPr="00F66EAF">
        <w:rPr>
          <w:rFonts w:ascii="Arial" w:hAnsi="Arial" w:cs="Arial"/>
          <w:i/>
          <w:iCs/>
          <w:color w:val="000000" w:themeColor="text1"/>
          <w:shd w:val="clear" w:color="auto" w:fill="FFFFFF"/>
          <w:lang w:val="es-US"/>
        </w:rPr>
        <w:t>Brain</w:t>
      </w:r>
      <w:proofErr w:type="spellEnd"/>
      <w:r w:rsidRPr="00F66EAF">
        <w:rPr>
          <w:rFonts w:ascii="Arial" w:hAnsi="Arial" w:cs="Arial"/>
          <w:i/>
          <w:iCs/>
          <w:color w:val="000000" w:themeColor="text1"/>
          <w:shd w:val="clear" w:color="auto" w:fill="FFFFFF"/>
          <w:lang w:val="es-US"/>
        </w:rPr>
        <w:t xml:space="preserve"> </w:t>
      </w:r>
      <w:proofErr w:type="spellStart"/>
      <w:r w:rsidRPr="00F66EAF">
        <w:rPr>
          <w:rFonts w:ascii="Arial" w:hAnsi="Arial" w:cs="Arial"/>
          <w:i/>
          <w:iCs/>
          <w:color w:val="000000" w:themeColor="text1"/>
          <w:shd w:val="clear" w:color="auto" w:fill="FFFFFF"/>
          <w:lang w:val="es-US"/>
        </w:rPr>
        <w:t>Research</w:t>
      </w:r>
      <w:proofErr w:type="spellEnd"/>
      <w:r w:rsidRPr="00F66EAF">
        <w:rPr>
          <w:rFonts w:ascii="Arial" w:hAnsi="Arial" w:cs="Arial"/>
          <w:i/>
          <w:iCs/>
          <w:color w:val="000000" w:themeColor="text1"/>
          <w:shd w:val="clear" w:color="auto" w:fill="FFFFFF"/>
          <w:lang w:val="es-US"/>
        </w:rPr>
        <w:t>, 383</w:t>
      </w:r>
      <w:r w:rsidRPr="00F66EAF">
        <w:rPr>
          <w:rFonts w:ascii="Arial" w:hAnsi="Arial" w:cs="Arial"/>
          <w:color w:val="000000" w:themeColor="text1"/>
          <w:shd w:val="clear" w:color="auto" w:fill="FFFFFF"/>
          <w:lang w:val="es-US"/>
        </w:rPr>
        <w:t>, 112517</w:t>
      </w:r>
    </w:p>
    <w:p w14:paraId="303D97DA" w14:textId="77777777" w:rsidR="00BA18E8" w:rsidRPr="00F66EAF" w:rsidRDefault="00BA18E8" w:rsidP="00F66EAF">
      <w:pPr>
        <w:pStyle w:val="ListParagraph"/>
        <w:numPr>
          <w:ilvl w:val="0"/>
          <w:numId w:val="3"/>
        </w:numPr>
        <w:spacing w:line="240" w:lineRule="auto"/>
        <w:jc w:val="both"/>
        <w:rPr>
          <w:rFonts w:ascii="Arial" w:hAnsi="Arial" w:cs="Arial"/>
          <w:color w:val="000000" w:themeColor="text1"/>
          <w:shd w:val="clear" w:color="auto" w:fill="FFFFFF"/>
        </w:rPr>
      </w:pPr>
      <w:proofErr w:type="spellStart"/>
      <w:r w:rsidRPr="00F66EAF">
        <w:rPr>
          <w:rFonts w:ascii="Arial" w:hAnsi="Arial" w:cs="Arial"/>
          <w:color w:val="000000" w:themeColor="text1"/>
          <w:shd w:val="clear" w:color="auto" w:fill="FFFFFF"/>
          <w:lang w:val="es-US"/>
        </w:rPr>
        <w:t>Peres</w:t>
      </w:r>
      <w:proofErr w:type="spellEnd"/>
      <w:r w:rsidRPr="00F66EAF">
        <w:rPr>
          <w:rFonts w:ascii="Arial" w:hAnsi="Arial" w:cs="Arial"/>
          <w:color w:val="000000" w:themeColor="text1"/>
          <w:shd w:val="clear" w:color="auto" w:fill="FFFFFF"/>
          <w:lang w:val="es-US"/>
        </w:rPr>
        <w:t xml:space="preserve">, F. F., Levin, R., </w:t>
      </w:r>
      <w:proofErr w:type="spellStart"/>
      <w:r w:rsidRPr="00F66EAF">
        <w:rPr>
          <w:rFonts w:ascii="Arial" w:hAnsi="Arial" w:cs="Arial"/>
          <w:color w:val="000000" w:themeColor="text1"/>
          <w:shd w:val="clear" w:color="auto" w:fill="FFFFFF"/>
          <w:lang w:val="es-US"/>
        </w:rPr>
        <w:t>Suiama</w:t>
      </w:r>
      <w:proofErr w:type="spellEnd"/>
      <w:r w:rsidRPr="00F66EAF">
        <w:rPr>
          <w:rFonts w:ascii="Arial" w:hAnsi="Arial" w:cs="Arial"/>
          <w:color w:val="000000" w:themeColor="text1"/>
          <w:shd w:val="clear" w:color="auto" w:fill="FFFFFF"/>
          <w:lang w:val="es-US"/>
        </w:rPr>
        <w:t xml:space="preserve">, M. A., Diana, M. C., </w:t>
      </w:r>
      <w:proofErr w:type="spellStart"/>
      <w:r w:rsidRPr="00F66EAF">
        <w:rPr>
          <w:rFonts w:ascii="Arial" w:hAnsi="Arial" w:cs="Arial"/>
          <w:color w:val="000000" w:themeColor="text1"/>
          <w:shd w:val="clear" w:color="auto" w:fill="FFFFFF"/>
          <w:lang w:val="es-US"/>
        </w:rPr>
        <w:t>Gouvêa</w:t>
      </w:r>
      <w:proofErr w:type="spellEnd"/>
      <w:r w:rsidRPr="00F66EAF">
        <w:rPr>
          <w:rFonts w:ascii="Arial" w:hAnsi="Arial" w:cs="Arial"/>
          <w:color w:val="000000" w:themeColor="text1"/>
          <w:shd w:val="clear" w:color="auto" w:fill="FFFFFF"/>
          <w:lang w:val="es-US"/>
        </w:rPr>
        <w:t xml:space="preserve">, D. A., Almeida, V., Santos, C. M., </w:t>
      </w:r>
      <w:proofErr w:type="spellStart"/>
      <w:r w:rsidRPr="00F66EAF">
        <w:rPr>
          <w:rFonts w:ascii="Arial" w:hAnsi="Arial" w:cs="Arial"/>
          <w:color w:val="000000" w:themeColor="text1"/>
          <w:shd w:val="clear" w:color="auto" w:fill="FFFFFF"/>
          <w:lang w:val="es-US"/>
        </w:rPr>
        <w:t>Lungato</w:t>
      </w:r>
      <w:proofErr w:type="spellEnd"/>
      <w:r w:rsidRPr="00F66EAF">
        <w:rPr>
          <w:rFonts w:ascii="Arial" w:hAnsi="Arial" w:cs="Arial"/>
          <w:color w:val="000000" w:themeColor="text1"/>
          <w:shd w:val="clear" w:color="auto" w:fill="FFFFFF"/>
          <w:lang w:val="es-US"/>
        </w:rPr>
        <w:t xml:space="preserve">, L., </w:t>
      </w:r>
      <w:proofErr w:type="spellStart"/>
      <w:r w:rsidRPr="00F66EAF">
        <w:rPr>
          <w:rFonts w:ascii="Arial" w:hAnsi="Arial" w:cs="Arial"/>
          <w:color w:val="000000" w:themeColor="text1"/>
          <w:shd w:val="clear" w:color="auto" w:fill="FFFFFF"/>
          <w:lang w:val="es-US"/>
        </w:rPr>
        <w:t>Zuardi</w:t>
      </w:r>
      <w:proofErr w:type="spellEnd"/>
      <w:r w:rsidRPr="00F66EAF">
        <w:rPr>
          <w:rFonts w:ascii="Arial" w:hAnsi="Arial" w:cs="Arial"/>
          <w:color w:val="000000" w:themeColor="text1"/>
          <w:shd w:val="clear" w:color="auto" w:fill="FFFFFF"/>
          <w:lang w:val="es-US"/>
        </w:rPr>
        <w:t xml:space="preserve">, A. W., </w:t>
      </w:r>
      <w:proofErr w:type="spellStart"/>
      <w:r w:rsidRPr="00F66EAF">
        <w:rPr>
          <w:rFonts w:ascii="Arial" w:hAnsi="Arial" w:cs="Arial"/>
          <w:color w:val="000000" w:themeColor="text1"/>
          <w:shd w:val="clear" w:color="auto" w:fill="FFFFFF"/>
          <w:lang w:val="es-US"/>
        </w:rPr>
        <w:t>Hallak</w:t>
      </w:r>
      <w:proofErr w:type="spellEnd"/>
      <w:r w:rsidRPr="00F66EAF">
        <w:rPr>
          <w:rFonts w:ascii="Arial" w:hAnsi="Arial" w:cs="Arial"/>
          <w:color w:val="000000" w:themeColor="text1"/>
          <w:shd w:val="clear" w:color="auto" w:fill="FFFFFF"/>
          <w:lang w:val="es-US"/>
        </w:rPr>
        <w:t xml:space="preserve">, J. E. C., </w:t>
      </w:r>
      <w:proofErr w:type="spellStart"/>
      <w:r w:rsidRPr="00F66EAF">
        <w:rPr>
          <w:rFonts w:ascii="Arial" w:hAnsi="Arial" w:cs="Arial"/>
          <w:color w:val="000000" w:themeColor="text1"/>
          <w:shd w:val="clear" w:color="auto" w:fill="FFFFFF"/>
          <w:lang w:val="es-US"/>
        </w:rPr>
        <w:t>Crippa</w:t>
      </w:r>
      <w:proofErr w:type="spellEnd"/>
      <w:r w:rsidRPr="00F66EAF">
        <w:rPr>
          <w:rFonts w:ascii="Arial" w:hAnsi="Arial" w:cs="Arial"/>
          <w:color w:val="000000" w:themeColor="text1"/>
          <w:shd w:val="clear" w:color="auto" w:fill="FFFFFF"/>
          <w:lang w:val="es-US"/>
        </w:rPr>
        <w:t xml:space="preserve">, J. A., </w:t>
      </w:r>
      <w:proofErr w:type="spellStart"/>
      <w:r w:rsidRPr="00F66EAF">
        <w:rPr>
          <w:rFonts w:ascii="Arial" w:hAnsi="Arial" w:cs="Arial"/>
          <w:color w:val="000000" w:themeColor="text1"/>
          <w:shd w:val="clear" w:color="auto" w:fill="FFFFFF"/>
          <w:lang w:val="es-US"/>
        </w:rPr>
        <w:t>D’Almeida</w:t>
      </w:r>
      <w:proofErr w:type="spellEnd"/>
      <w:r w:rsidRPr="00F66EAF">
        <w:rPr>
          <w:rFonts w:ascii="Arial" w:hAnsi="Arial" w:cs="Arial"/>
          <w:color w:val="000000" w:themeColor="text1"/>
          <w:shd w:val="clear" w:color="auto" w:fill="FFFFFF"/>
          <w:lang w:val="es-US"/>
        </w:rPr>
        <w:t xml:space="preserve">, V., Silva, R. H., &amp; </w:t>
      </w:r>
      <w:proofErr w:type="spellStart"/>
      <w:r w:rsidRPr="00F66EAF">
        <w:rPr>
          <w:rFonts w:ascii="Arial" w:hAnsi="Arial" w:cs="Arial"/>
          <w:color w:val="000000" w:themeColor="text1"/>
          <w:shd w:val="clear" w:color="auto" w:fill="FFFFFF"/>
          <w:lang w:val="es-US"/>
        </w:rPr>
        <w:t>Abílio</w:t>
      </w:r>
      <w:proofErr w:type="spellEnd"/>
      <w:r w:rsidRPr="00F66EAF">
        <w:rPr>
          <w:rFonts w:ascii="Arial" w:hAnsi="Arial" w:cs="Arial"/>
          <w:color w:val="000000" w:themeColor="text1"/>
          <w:shd w:val="clear" w:color="auto" w:fill="FFFFFF"/>
          <w:lang w:val="es-US"/>
        </w:rPr>
        <w:t xml:space="preserve">, V. C. (2016). </w:t>
      </w:r>
      <w:r w:rsidRPr="00F66EAF">
        <w:rPr>
          <w:rFonts w:ascii="Arial" w:hAnsi="Arial" w:cs="Arial"/>
          <w:color w:val="000000" w:themeColor="text1"/>
          <w:shd w:val="clear" w:color="auto" w:fill="FFFFFF"/>
        </w:rPr>
        <w:t xml:space="preserve">Cannabidiol prevents motor and cognitive impairments induced by reserpine in rats. </w:t>
      </w:r>
      <w:r w:rsidRPr="00F66EAF">
        <w:rPr>
          <w:rFonts w:ascii="Arial" w:hAnsi="Arial" w:cs="Arial"/>
          <w:i/>
          <w:iCs/>
          <w:color w:val="000000" w:themeColor="text1"/>
          <w:shd w:val="clear" w:color="auto" w:fill="FFFFFF"/>
        </w:rPr>
        <w:t>Frontiers in Pharmacology, 7</w:t>
      </w:r>
      <w:r w:rsidRPr="00F66EAF">
        <w:rPr>
          <w:rFonts w:ascii="Arial" w:hAnsi="Arial" w:cs="Arial"/>
          <w:color w:val="000000" w:themeColor="text1"/>
          <w:shd w:val="clear" w:color="auto" w:fill="FFFFFF"/>
        </w:rPr>
        <w:t>, 343.</w:t>
      </w:r>
    </w:p>
    <w:p w14:paraId="45F74343" w14:textId="77777777" w:rsidR="00BA18E8" w:rsidRPr="00F66EAF" w:rsidRDefault="00BA18E8" w:rsidP="00F66EAF">
      <w:pPr>
        <w:pStyle w:val="ListParagraph"/>
        <w:numPr>
          <w:ilvl w:val="0"/>
          <w:numId w:val="3"/>
        </w:numPr>
        <w:spacing w:line="240" w:lineRule="auto"/>
        <w:jc w:val="both"/>
        <w:rPr>
          <w:rFonts w:ascii="Arial" w:hAnsi="Arial" w:cs="Arial"/>
          <w:color w:val="000000" w:themeColor="text1"/>
          <w:shd w:val="clear" w:color="auto" w:fill="FFFFFF"/>
        </w:rPr>
      </w:pPr>
      <w:r w:rsidRPr="00F66EAF">
        <w:rPr>
          <w:rFonts w:ascii="Arial" w:hAnsi="Arial" w:cs="Arial"/>
          <w:color w:val="000000" w:themeColor="text1"/>
          <w:shd w:val="clear" w:color="auto" w:fill="FFFFFF"/>
        </w:rPr>
        <w:t xml:space="preserve">Phillips, R. N., Turk, R. F. and Forney, R. B. (1971). Acute toxicity of Δ9-tetrahydrocannabinol in rats and mice. </w:t>
      </w:r>
      <w:r w:rsidRPr="00F66EAF">
        <w:rPr>
          <w:rFonts w:ascii="Arial" w:hAnsi="Arial" w:cs="Arial"/>
          <w:i/>
          <w:iCs/>
          <w:color w:val="000000" w:themeColor="text1"/>
          <w:shd w:val="clear" w:color="auto" w:fill="FFFFFF"/>
        </w:rPr>
        <w:t>Proceedings of the Society for Experimental Biology and Medicine,</w:t>
      </w:r>
      <w:r w:rsidRPr="00F66EAF">
        <w:rPr>
          <w:rFonts w:ascii="Arial" w:hAnsi="Arial" w:cs="Arial"/>
          <w:color w:val="000000" w:themeColor="text1"/>
          <w:shd w:val="clear" w:color="auto" w:fill="FFFFFF"/>
        </w:rPr>
        <w:t xml:space="preserve"> 136(1), 260-263.</w:t>
      </w:r>
    </w:p>
    <w:p w14:paraId="39DC3C9A" w14:textId="77777777" w:rsidR="00BA18E8" w:rsidRPr="00F66EAF" w:rsidRDefault="00BA18E8" w:rsidP="00F66EAF">
      <w:pPr>
        <w:pStyle w:val="ListParagraph"/>
        <w:numPr>
          <w:ilvl w:val="0"/>
          <w:numId w:val="3"/>
        </w:numPr>
        <w:spacing w:line="240" w:lineRule="auto"/>
        <w:jc w:val="both"/>
        <w:rPr>
          <w:rFonts w:ascii="Arial" w:hAnsi="Arial" w:cs="Arial"/>
          <w:color w:val="000000" w:themeColor="text1"/>
        </w:rPr>
      </w:pPr>
      <w:bookmarkStart w:id="24" w:name="_Hlk207388566"/>
      <w:r w:rsidRPr="00F66EAF">
        <w:rPr>
          <w:rFonts w:ascii="Arial" w:hAnsi="Arial" w:cs="Arial"/>
          <w:color w:val="000000" w:themeColor="text1"/>
          <w:shd w:val="clear" w:color="auto" w:fill="FFFFFF"/>
        </w:rPr>
        <w:t xml:space="preserve">Santos, J. R., Cunha, J. A. S., </w:t>
      </w:r>
      <w:proofErr w:type="spellStart"/>
      <w:r w:rsidRPr="00F66EAF">
        <w:rPr>
          <w:rFonts w:ascii="Arial" w:hAnsi="Arial" w:cs="Arial"/>
          <w:color w:val="000000" w:themeColor="text1"/>
          <w:shd w:val="clear" w:color="auto" w:fill="FFFFFF"/>
        </w:rPr>
        <w:t>Dierschnabel</w:t>
      </w:r>
      <w:proofErr w:type="spellEnd"/>
      <w:r w:rsidRPr="00F66EAF">
        <w:rPr>
          <w:rFonts w:ascii="Arial" w:hAnsi="Arial" w:cs="Arial"/>
          <w:color w:val="000000" w:themeColor="text1"/>
          <w:shd w:val="clear" w:color="auto" w:fill="FFFFFF"/>
        </w:rPr>
        <w:t xml:space="preserve">. A. L., </w:t>
      </w:r>
      <w:proofErr w:type="spellStart"/>
      <w:r w:rsidRPr="00F66EAF">
        <w:rPr>
          <w:rFonts w:ascii="Arial" w:hAnsi="Arial" w:cs="Arial"/>
          <w:color w:val="000000" w:themeColor="text1"/>
          <w:shd w:val="clear" w:color="auto" w:fill="FFFFFF"/>
        </w:rPr>
        <w:t>Campêlo</w:t>
      </w:r>
      <w:proofErr w:type="spellEnd"/>
      <w:r w:rsidRPr="00F66EAF">
        <w:rPr>
          <w:rFonts w:ascii="Arial" w:hAnsi="Arial" w:cs="Arial"/>
          <w:color w:val="000000" w:themeColor="text1"/>
          <w:shd w:val="clear" w:color="auto" w:fill="FFFFFF"/>
        </w:rPr>
        <w:t xml:space="preserve">, C. L. C., </w:t>
      </w:r>
      <w:proofErr w:type="spellStart"/>
      <w:r w:rsidRPr="00F66EAF">
        <w:rPr>
          <w:rFonts w:ascii="Arial" w:hAnsi="Arial" w:cs="Arial"/>
          <w:color w:val="000000" w:themeColor="text1"/>
          <w:shd w:val="clear" w:color="auto" w:fill="FFFFFF"/>
        </w:rPr>
        <w:t>Leão</w:t>
      </w:r>
      <w:proofErr w:type="spellEnd"/>
      <w:r w:rsidRPr="00F66EAF">
        <w:rPr>
          <w:rFonts w:ascii="Arial" w:hAnsi="Arial" w:cs="Arial"/>
          <w:color w:val="000000" w:themeColor="text1"/>
          <w:shd w:val="clear" w:color="auto" w:fill="FFFFFF"/>
        </w:rPr>
        <w:t xml:space="preserve">, H. F. F. and Silva, A. F. (2013). Cognitive, motor and tyrosine hydroxylase temporal impairment in a model of parkinsonism induced by reserpine. </w:t>
      </w:r>
      <w:proofErr w:type="spellStart"/>
      <w:r w:rsidRPr="00F66EAF">
        <w:rPr>
          <w:rStyle w:val="ref-journal"/>
          <w:rFonts w:ascii="Arial" w:hAnsi="Arial" w:cs="Arial"/>
          <w:i/>
          <w:iCs/>
          <w:color w:val="000000" w:themeColor="text1"/>
        </w:rPr>
        <w:t>Behavioural</w:t>
      </w:r>
      <w:proofErr w:type="spellEnd"/>
      <w:r w:rsidRPr="00F66EAF">
        <w:rPr>
          <w:rStyle w:val="ref-journal"/>
          <w:rFonts w:ascii="Arial" w:hAnsi="Arial" w:cs="Arial"/>
          <w:i/>
          <w:iCs/>
          <w:color w:val="000000" w:themeColor="text1"/>
        </w:rPr>
        <w:t xml:space="preserve"> Brain Research, </w:t>
      </w:r>
      <w:r w:rsidRPr="00F66EAF">
        <w:rPr>
          <w:rStyle w:val="ref-vol"/>
          <w:rFonts w:ascii="Arial" w:hAnsi="Arial" w:cs="Arial"/>
          <w:color w:val="000000" w:themeColor="text1"/>
        </w:rPr>
        <w:t>253</w:t>
      </w:r>
      <w:r w:rsidRPr="00F66EAF">
        <w:rPr>
          <w:rFonts w:ascii="Arial" w:hAnsi="Arial" w:cs="Arial"/>
          <w:color w:val="000000" w:themeColor="text1"/>
        </w:rPr>
        <w:t>, 68–77.</w:t>
      </w:r>
    </w:p>
    <w:bookmarkEnd w:id="24"/>
    <w:p w14:paraId="510DC2ED" w14:textId="77777777" w:rsidR="00BA18E8" w:rsidRPr="00F66EAF" w:rsidRDefault="00BA18E8" w:rsidP="00F66EAF">
      <w:pPr>
        <w:pStyle w:val="ListParagraph"/>
        <w:numPr>
          <w:ilvl w:val="0"/>
          <w:numId w:val="3"/>
        </w:numPr>
        <w:spacing w:before="240" w:line="240" w:lineRule="auto"/>
        <w:jc w:val="both"/>
        <w:rPr>
          <w:rFonts w:ascii="Arial" w:hAnsi="Arial" w:cs="Arial"/>
          <w:color w:val="000000" w:themeColor="text1"/>
        </w:rPr>
      </w:pPr>
      <w:r w:rsidRPr="00F66EAF">
        <w:rPr>
          <w:rFonts w:ascii="Arial" w:hAnsi="Arial" w:cs="Arial"/>
          <w:color w:val="000000" w:themeColor="text1"/>
        </w:rPr>
        <w:t xml:space="preserve">Schiavon, A. P., </w:t>
      </w:r>
      <w:proofErr w:type="spellStart"/>
      <w:r w:rsidRPr="00F66EAF">
        <w:rPr>
          <w:rFonts w:ascii="Arial" w:hAnsi="Arial" w:cs="Arial"/>
          <w:color w:val="000000" w:themeColor="text1"/>
        </w:rPr>
        <w:t>Bonato</w:t>
      </w:r>
      <w:proofErr w:type="spellEnd"/>
      <w:r w:rsidRPr="00F66EAF">
        <w:rPr>
          <w:rFonts w:ascii="Arial" w:hAnsi="Arial" w:cs="Arial"/>
          <w:color w:val="000000" w:themeColor="text1"/>
        </w:rPr>
        <w:t xml:space="preserve">, J. M., Milani, H., </w:t>
      </w:r>
      <w:proofErr w:type="spellStart"/>
      <w:r w:rsidRPr="00F66EAF">
        <w:rPr>
          <w:rFonts w:ascii="Arial" w:hAnsi="Arial" w:cs="Arial"/>
          <w:color w:val="000000" w:themeColor="text1"/>
        </w:rPr>
        <w:t>Guimarães</w:t>
      </w:r>
      <w:proofErr w:type="spellEnd"/>
      <w:r w:rsidRPr="00F66EAF">
        <w:rPr>
          <w:rFonts w:ascii="Arial" w:hAnsi="Arial" w:cs="Arial"/>
          <w:color w:val="000000" w:themeColor="text1"/>
        </w:rPr>
        <w:t xml:space="preserve">, F. S., and de Oliveira, R. M. W. (2016). Influence of single and repeated cannabidiol administration on emotional </w:t>
      </w:r>
      <w:proofErr w:type="spellStart"/>
      <w:r w:rsidRPr="00F66EAF">
        <w:rPr>
          <w:rFonts w:ascii="Arial" w:hAnsi="Arial" w:cs="Arial"/>
          <w:color w:val="000000" w:themeColor="text1"/>
        </w:rPr>
        <w:t>behaviour</w:t>
      </w:r>
      <w:proofErr w:type="spellEnd"/>
      <w:r w:rsidRPr="00F66EAF">
        <w:rPr>
          <w:rFonts w:ascii="Arial" w:hAnsi="Arial" w:cs="Arial"/>
          <w:color w:val="000000" w:themeColor="text1"/>
        </w:rPr>
        <w:t xml:space="preserve"> and markers of cell proliferation and neurogenesis in non-stressed mice. </w:t>
      </w:r>
      <w:r w:rsidRPr="00F66EAF">
        <w:rPr>
          <w:rFonts w:ascii="Arial" w:hAnsi="Arial" w:cs="Arial"/>
          <w:i/>
          <w:iCs/>
          <w:color w:val="000000" w:themeColor="text1"/>
        </w:rPr>
        <w:t>Progress in Neuro-Psychopharmacology and Biological Psychiatry</w:t>
      </w:r>
      <w:r w:rsidRPr="00F66EAF">
        <w:rPr>
          <w:rFonts w:ascii="Arial" w:hAnsi="Arial" w:cs="Arial"/>
          <w:color w:val="000000" w:themeColor="text1"/>
        </w:rPr>
        <w:t>, </w:t>
      </w:r>
      <w:r w:rsidRPr="00F66EAF">
        <w:rPr>
          <w:rFonts w:ascii="Arial" w:hAnsi="Arial" w:cs="Arial"/>
          <w:i/>
          <w:iCs/>
          <w:color w:val="000000" w:themeColor="text1"/>
        </w:rPr>
        <w:t>64</w:t>
      </w:r>
      <w:r w:rsidRPr="00F66EAF">
        <w:rPr>
          <w:rFonts w:ascii="Arial" w:hAnsi="Arial" w:cs="Arial"/>
          <w:color w:val="000000" w:themeColor="text1"/>
        </w:rPr>
        <w:t>, 27-34.</w:t>
      </w:r>
    </w:p>
    <w:p w14:paraId="17FBD5EB" w14:textId="77777777" w:rsidR="00BA18E8" w:rsidRPr="00F66EAF" w:rsidRDefault="00BA18E8" w:rsidP="00F66EAF">
      <w:pPr>
        <w:pStyle w:val="ListParagraph"/>
        <w:numPr>
          <w:ilvl w:val="0"/>
          <w:numId w:val="3"/>
        </w:numPr>
        <w:spacing w:line="240" w:lineRule="auto"/>
        <w:jc w:val="both"/>
        <w:rPr>
          <w:rFonts w:ascii="Arial" w:hAnsi="Arial" w:cs="Arial"/>
          <w:color w:val="000000" w:themeColor="text1"/>
        </w:rPr>
      </w:pPr>
      <w:proofErr w:type="spellStart"/>
      <w:r w:rsidRPr="00F66EAF">
        <w:rPr>
          <w:rFonts w:ascii="Arial" w:hAnsi="Arial" w:cs="Arial"/>
          <w:color w:val="000000" w:themeColor="text1"/>
        </w:rPr>
        <w:t>Schrag</w:t>
      </w:r>
      <w:proofErr w:type="spellEnd"/>
      <w:r w:rsidRPr="00F66EAF">
        <w:rPr>
          <w:rFonts w:ascii="Arial" w:hAnsi="Arial" w:cs="Arial"/>
          <w:color w:val="000000" w:themeColor="text1"/>
        </w:rPr>
        <w:t xml:space="preserve">, A., Horsfall, L., Walters, K., Noyce, A. and Petersen, I. (2015). </w:t>
      </w:r>
      <w:proofErr w:type="spellStart"/>
      <w:r w:rsidRPr="00F66EAF">
        <w:rPr>
          <w:rFonts w:ascii="Arial" w:hAnsi="Arial" w:cs="Arial"/>
          <w:color w:val="000000" w:themeColor="text1"/>
        </w:rPr>
        <w:t>Prediagnostic</w:t>
      </w:r>
      <w:proofErr w:type="spellEnd"/>
      <w:r w:rsidRPr="00F66EAF">
        <w:rPr>
          <w:rFonts w:ascii="Arial" w:hAnsi="Arial" w:cs="Arial"/>
          <w:color w:val="000000" w:themeColor="text1"/>
        </w:rPr>
        <w:t xml:space="preserve"> presentations of Parkinson’s disease in primary care, A case-control study. </w:t>
      </w:r>
      <w:r w:rsidRPr="00F66EAF">
        <w:rPr>
          <w:rFonts w:ascii="Arial" w:hAnsi="Arial" w:cs="Arial"/>
          <w:i/>
          <w:color w:val="000000" w:themeColor="text1"/>
        </w:rPr>
        <w:t>The</w:t>
      </w:r>
      <w:r w:rsidRPr="00F66EAF">
        <w:rPr>
          <w:rFonts w:ascii="Arial" w:hAnsi="Arial" w:cs="Arial"/>
          <w:color w:val="000000" w:themeColor="text1"/>
        </w:rPr>
        <w:t xml:space="preserve"> </w:t>
      </w:r>
      <w:r w:rsidRPr="00F66EAF">
        <w:rPr>
          <w:rFonts w:ascii="Arial" w:hAnsi="Arial" w:cs="Arial"/>
          <w:i/>
          <w:color w:val="000000" w:themeColor="text1"/>
        </w:rPr>
        <w:t>Lancet Neurology</w:t>
      </w:r>
      <w:r w:rsidRPr="00F66EAF">
        <w:rPr>
          <w:rFonts w:ascii="Arial" w:hAnsi="Arial" w:cs="Arial"/>
          <w:color w:val="000000" w:themeColor="text1"/>
        </w:rPr>
        <w:t>, 14(1), 57–64.</w:t>
      </w:r>
    </w:p>
    <w:p w14:paraId="334A475A" w14:textId="77777777" w:rsidR="00BA18E8" w:rsidRPr="00F66EAF" w:rsidRDefault="00BA18E8" w:rsidP="00F66EAF">
      <w:pPr>
        <w:pStyle w:val="ListParagraph"/>
        <w:numPr>
          <w:ilvl w:val="0"/>
          <w:numId w:val="3"/>
        </w:numPr>
        <w:spacing w:line="240" w:lineRule="auto"/>
        <w:jc w:val="both"/>
        <w:rPr>
          <w:rFonts w:ascii="Arial" w:hAnsi="Arial" w:cs="Arial"/>
          <w:color w:val="000000" w:themeColor="text1"/>
        </w:rPr>
      </w:pPr>
      <w:proofErr w:type="spellStart"/>
      <w:r w:rsidRPr="00F66EAF">
        <w:rPr>
          <w:rFonts w:ascii="Arial" w:hAnsi="Arial" w:cs="Arial"/>
          <w:color w:val="000000" w:themeColor="text1"/>
        </w:rPr>
        <w:lastRenderedPageBreak/>
        <w:t>Setlow</w:t>
      </w:r>
      <w:proofErr w:type="spellEnd"/>
      <w:r w:rsidRPr="00F66EAF">
        <w:rPr>
          <w:rFonts w:ascii="Arial" w:hAnsi="Arial" w:cs="Arial"/>
          <w:color w:val="000000" w:themeColor="text1"/>
        </w:rPr>
        <w:t xml:space="preserve">, B., </w:t>
      </w:r>
      <w:proofErr w:type="spellStart"/>
      <w:r w:rsidRPr="00F66EAF">
        <w:rPr>
          <w:rFonts w:ascii="Arial" w:hAnsi="Arial" w:cs="Arial"/>
          <w:color w:val="000000" w:themeColor="text1"/>
        </w:rPr>
        <w:t>Zequeira</w:t>
      </w:r>
      <w:proofErr w:type="spellEnd"/>
      <w:r w:rsidRPr="00F66EAF">
        <w:rPr>
          <w:rFonts w:ascii="Arial" w:hAnsi="Arial" w:cs="Arial"/>
          <w:color w:val="000000" w:themeColor="text1"/>
        </w:rPr>
        <w:t xml:space="preserve">, S., </w:t>
      </w:r>
      <w:proofErr w:type="spellStart"/>
      <w:r w:rsidRPr="00F66EAF">
        <w:rPr>
          <w:rFonts w:ascii="Arial" w:hAnsi="Arial" w:cs="Arial"/>
          <w:color w:val="000000" w:themeColor="text1"/>
        </w:rPr>
        <w:t>Gazarov</w:t>
      </w:r>
      <w:proofErr w:type="spellEnd"/>
      <w:r w:rsidRPr="00F66EAF">
        <w:rPr>
          <w:rFonts w:ascii="Arial" w:hAnsi="Arial" w:cs="Arial"/>
          <w:color w:val="000000" w:themeColor="text1"/>
        </w:rPr>
        <w:t xml:space="preserve">, E., and </w:t>
      </w:r>
      <w:proofErr w:type="spellStart"/>
      <w:r w:rsidRPr="00F66EAF">
        <w:rPr>
          <w:rFonts w:ascii="Arial" w:hAnsi="Arial" w:cs="Arial"/>
          <w:color w:val="000000" w:themeColor="text1"/>
        </w:rPr>
        <w:t>Bizon</w:t>
      </w:r>
      <w:proofErr w:type="spellEnd"/>
      <w:r w:rsidRPr="00F66EAF">
        <w:rPr>
          <w:rFonts w:ascii="Arial" w:hAnsi="Arial" w:cs="Arial"/>
          <w:color w:val="000000" w:themeColor="text1"/>
        </w:rPr>
        <w:t xml:space="preserve">, J. (2023). Effects of acute and chronic cannabis/cannabinoids on cognitive function across the lifespan. </w:t>
      </w:r>
      <w:r w:rsidRPr="00F66EAF">
        <w:rPr>
          <w:rFonts w:ascii="Arial" w:hAnsi="Arial" w:cs="Arial"/>
          <w:i/>
          <w:iCs/>
          <w:color w:val="000000" w:themeColor="text1"/>
        </w:rPr>
        <w:t>Innovation in Aging</w:t>
      </w:r>
      <w:r w:rsidRPr="00F66EAF">
        <w:rPr>
          <w:rFonts w:ascii="Arial" w:hAnsi="Arial" w:cs="Arial"/>
          <w:color w:val="000000" w:themeColor="text1"/>
        </w:rPr>
        <w:t xml:space="preserve">, </w:t>
      </w:r>
      <w:r w:rsidRPr="00F66EAF">
        <w:rPr>
          <w:rFonts w:ascii="Arial" w:hAnsi="Arial" w:cs="Arial"/>
          <w:i/>
          <w:iCs/>
          <w:color w:val="000000" w:themeColor="text1"/>
        </w:rPr>
        <w:t>7</w:t>
      </w:r>
      <w:r w:rsidRPr="00F66EAF">
        <w:rPr>
          <w:rFonts w:ascii="Arial" w:hAnsi="Arial" w:cs="Arial"/>
          <w:color w:val="000000" w:themeColor="text1"/>
        </w:rPr>
        <w:t>(Supplement_1), 11–11.</w:t>
      </w:r>
    </w:p>
    <w:p w14:paraId="43A01D43" w14:textId="77777777" w:rsidR="00BA18E8" w:rsidRPr="00F66EAF" w:rsidRDefault="00BA18E8" w:rsidP="00F66EAF">
      <w:pPr>
        <w:pStyle w:val="ListParagraph"/>
        <w:numPr>
          <w:ilvl w:val="0"/>
          <w:numId w:val="3"/>
        </w:numPr>
        <w:spacing w:line="240" w:lineRule="auto"/>
        <w:jc w:val="both"/>
        <w:rPr>
          <w:rFonts w:ascii="Arial" w:hAnsi="Arial" w:cs="Arial"/>
          <w:color w:val="000000" w:themeColor="text1"/>
          <w:shd w:val="clear" w:color="auto" w:fill="FFFFFF"/>
        </w:rPr>
      </w:pPr>
      <w:r w:rsidRPr="00F66EAF">
        <w:rPr>
          <w:rFonts w:ascii="Arial" w:hAnsi="Arial" w:cs="Arial"/>
          <w:color w:val="000000" w:themeColor="text1"/>
          <w:shd w:val="clear" w:color="auto" w:fill="FFFFFF"/>
        </w:rPr>
        <w:t xml:space="preserve">Stella, N. (2023). THC and CBD, Similarities and differences between siblings. </w:t>
      </w:r>
      <w:r w:rsidRPr="00F66EAF">
        <w:rPr>
          <w:rFonts w:ascii="Arial" w:hAnsi="Arial" w:cs="Arial"/>
          <w:i/>
          <w:color w:val="000000" w:themeColor="text1"/>
          <w:shd w:val="clear" w:color="auto" w:fill="FFFFFF"/>
        </w:rPr>
        <w:t>Neuron</w:t>
      </w:r>
      <w:r w:rsidRPr="00F66EAF">
        <w:rPr>
          <w:rFonts w:ascii="Arial" w:hAnsi="Arial" w:cs="Arial"/>
          <w:color w:val="000000" w:themeColor="text1"/>
          <w:shd w:val="clear" w:color="auto" w:fill="FFFFFF"/>
        </w:rPr>
        <w:t>, 111(3), 302-327.</w:t>
      </w:r>
    </w:p>
    <w:p w14:paraId="708F7DCF" w14:textId="77777777" w:rsidR="00BA18E8" w:rsidRPr="00F66EAF" w:rsidRDefault="00BA18E8" w:rsidP="00F66EAF">
      <w:pPr>
        <w:pStyle w:val="ListParagraph"/>
        <w:numPr>
          <w:ilvl w:val="0"/>
          <w:numId w:val="3"/>
        </w:numPr>
        <w:spacing w:line="240" w:lineRule="auto"/>
        <w:jc w:val="both"/>
        <w:rPr>
          <w:rFonts w:ascii="Arial" w:hAnsi="Arial" w:cs="Arial"/>
          <w:color w:val="000000" w:themeColor="text1"/>
        </w:rPr>
      </w:pPr>
      <w:proofErr w:type="spellStart"/>
      <w:r w:rsidRPr="00F66EAF">
        <w:rPr>
          <w:rFonts w:ascii="Arial" w:hAnsi="Arial" w:cs="Arial"/>
          <w:color w:val="000000" w:themeColor="text1"/>
        </w:rPr>
        <w:t>Telega</w:t>
      </w:r>
      <w:proofErr w:type="spellEnd"/>
      <w:r w:rsidRPr="00F66EAF">
        <w:rPr>
          <w:rFonts w:ascii="Arial" w:hAnsi="Arial" w:cs="Arial"/>
          <w:color w:val="000000" w:themeColor="text1"/>
        </w:rPr>
        <w:t xml:space="preserve">, M. L., </w:t>
      </w:r>
      <w:proofErr w:type="spellStart"/>
      <w:r w:rsidRPr="00F66EAF">
        <w:rPr>
          <w:rFonts w:ascii="Arial" w:hAnsi="Arial" w:cs="Arial"/>
          <w:color w:val="000000" w:themeColor="text1"/>
        </w:rPr>
        <w:t>Berti</w:t>
      </w:r>
      <w:proofErr w:type="spellEnd"/>
      <w:r w:rsidRPr="00F66EAF">
        <w:rPr>
          <w:rFonts w:ascii="Arial" w:hAnsi="Arial" w:cs="Arial"/>
          <w:color w:val="000000" w:themeColor="text1"/>
        </w:rPr>
        <w:t xml:space="preserve">, R., </w:t>
      </w:r>
      <w:proofErr w:type="spellStart"/>
      <w:r w:rsidRPr="00F66EAF">
        <w:rPr>
          <w:rFonts w:ascii="Arial" w:hAnsi="Arial" w:cs="Arial"/>
          <w:color w:val="000000" w:themeColor="text1"/>
        </w:rPr>
        <w:t>Blazhenets</w:t>
      </w:r>
      <w:proofErr w:type="spellEnd"/>
      <w:r w:rsidRPr="00F66EAF">
        <w:rPr>
          <w:rFonts w:ascii="Arial" w:hAnsi="Arial" w:cs="Arial"/>
          <w:color w:val="000000" w:themeColor="text1"/>
        </w:rPr>
        <w:t xml:space="preserve">, G., </w:t>
      </w:r>
      <w:proofErr w:type="spellStart"/>
      <w:r w:rsidRPr="00F66EAF">
        <w:rPr>
          <w:rFonts w:ascii="Arial" w:hAnsi="Arial" w:cs="Arial"/>
          <w:color w:val="000000" w:themeColor="text1"/>
        </w:rPr>
        <w:t>Domogalla</w:t>
      </w:r>
      <w:proofErr w:type="spellEnd"/>
      <w:r w:rsidRPr="00F66EAF">
        <w:rPr>
          <w:rFonts w:ascii="Arial" w:hAnsi="Arial" w:cs="Arial"/>
          <w:color w:val="000000" w:themeColor="text1"/>
        </w:rPr>
        <w:t xml:space="preserve">, L.-C., </w:t>
      </w:r>
      <w:proofErr w:type="spellStart"/>
      <w:r w:rsidRPr="00F66EAF">
        <w:rPr>
          <w:rFonts w:ascii="Arial" w:hAnsi="Arial" w:cs="Arial"/>
          <w:color w:val="000000" w:themeColor="text1"/>
        </w:rPr>
        <w:t>Steinacker</w:t>
      </w:r>
      <w:proofErr w:type="spellEnd"/>
      <w:r w:rsidRPr="00F66EAF">
        <w:rPr>
          <w:rFonts w:ascii="Arial" w:hAnsi="Arial" w:cs="Arial"/>
          <w:color w:val="000000" w:themeColor="text1"/>
        </w:rPr>
        <w:t xml:space="preserve">, N., </w:t>
      </w:r>
      <w:proofErr w:type="spellStart"/>
      <w:r w:rsidRPr="00F66EAF">
        <w:rPr>
          <w:rFonts w:ascii="Arial" w:hAnsi="Arial" w:cs="Arial"/>
          <w:color w:val="000000" w:themeColor="text1"/>
        </w:rPr>
        <w:t>Omrane</w:t>
      </w:r>
      <w:proofErr w:type="spellEnd"/>
      <w:r w:rsidRPr="00F66EAF">
        <w:rPr>
          <w:rFonts w:ascii="Arial" w:hAnsi="Arial" w:cs="Arial"/>
          <w:color w:val="000000" w:themeColor="text1"/>
        </w:rPr>
        <w:t xml:space="preserve">, M. A., Meyer, P. T., </w:t>
      </w:r>
      <w:proofErr w:type="spellStart"/>
      <w:r w:rsidRPr="00F66EAF">
        <w:rPr>
          <w:rFonts w:ascii="Arial" w:hAnsi="Arial" w:cs="Arial"/>
          <w:color w:val="000000" w:themeColor="text1"/>
        </w:rPr>
        <w:t>Coenen</w:t>
      </w:r>
      <w:proofErr w:type="spellEnd"/>
      <w:r w:rsidRPr="00F66EAF">
        <w:rPr>
          <w:rFonts w:ascii="Arial" w:hAnsi="Arial" w:cs="Arial"/>
          <w:color w:val="000000" w:themeColor="text1"/>
        </w:rPr>
        <w:t xml:space="preserve">, V. A., Eder, A.-C., and </w:t>
      </w:r>
      <w:proofErr w:type="spellStart"/>
      <w:r w:rsidRPr="00F66EAF">
        <w:rPr>
          <w:rFonts w:ascii="Arial" w:hAnsi="Arial" w:cs="Arial"/>
          <w:color w:val="000000" w:themeColor="text1"/>
        </w:rPr>
        <w:t>Döbrössy</w:t>
      </w:r>
      <w:proofErr w:type="spellEnd"/>
      <w:r w:rsidRPr="00F66EAF">
        <w:rPr>
          <w:rFonts w:ascii="Arial" w:hAnsi="Arial" w:cs="Arial"/>
          <w:color w:val="000000" w:themeColor="text1"/>
        </w:rPr>
        <w:t xml:space="preserve">, M. D. (2024). Reserpine-induced rat model for depression, </w:t>
      </w:r>
      <w:proofErr w:type="spellStart"/>
      <w:r w:rsidRPr="00F66EAF">
        <w:rPr>
          <w:rFonts w:ascii="Arial" w:hAnsi="Arial" w:cs="Arial"/>
          <w:color w:val="000000" w:themeColor="text1"/>
        </w:rPr>
        <w:t>Behavioural</w:t>
      </w:r>
      <w:proofErr w:type="spellEnd"/>
      <w:r w:rsidRPr="00F66EAF">
        <w:rPr>
          <w:rFonts w:ascii="Arial" w:hAnsi="Arial" w:cs="Arial"/>
          <w:color w:val="000000" w:themeColor="text1"/>
        </w:rPr>
        <w:t xml:space="preserve">, physiological and PET-based dopamine receptor availability validation. </w:t>
      </w:r>
      <w:r w:rsidRPr="00F66EAF">
        <w:rPr>
          <w:rFonts w:ascii="Arial" w:hAnsi="Arial" w:cs="Arial"/>
          <w:i/>
          <w:iCs/>
          <w:color w:val="000000" w:themeColor="text1"/>
        </w:rPr>
        <w:t>Progress in Neuro-Psychopharmacology and Biological Psychiatry</w:t>
      </w:r>
      <w:r w:rsidRPr="00F66EAF">
        <w:rPr>
          <w:rFonts w:ascii="Arial" w:hAnsi="Arial" w:cs="Arial"/>
          <w:color w:val="000000" w:themeColor="text1"/>
        </w:rPr>
        <w:t xml:space="preserve">, </w:t>
      </w:r>
      <w:r w:rsidRPr="00F66EAF">
        <w:rPr>
          <w:rFonts w:ascii="Arial" w:hAnsi="Arial" w:cs="Arial"/>
          <w:i/>
          <w:iCs/>
          <w:color w:val="000000" w:themeColor="text1"/>
        </w:rPr>
        <w:t>133</w:t>
      </w:r>
      <w:r w:rsidRPr="00F66EAF">
        <w:rPr>
          <w:rFonts w:ascii="Arial" w:hAnsi="Arial" w:cs="Arial"/>
          <w:color w:val="000000" w:themeColor="text1"/>
        </w:rPr>
        <w:t>, 111013.</w:t>
      </w:r>
    </w:p>
    <w:p w14:paraId="4BDA72AC" w14:textId="77777777" w:rsidR="00784B42" w:rsidRPr="00AE08ED" w:rsidRDefault="00784B42" w:rsidP="00D811D1">
      <w:pPr>
        <w:spacing w:line="240" w:lineRule="auto"/>
        <w:jc w:val="both"/>
        <w:rPr>
          <w:rFonts w:ascii="Arial" w:hAnsi="Arial" w:cs="Arial"/>
          <w:color w:val="000000" w:themeColor="text1"/>
        </w:rPr>
      </w:pPr>
    </w:p>
    <w:p w14:paraId="166E0FB9" w14:textId="77777777" w:rsidR="0019611F" w:rsidRDefault="0019611F" w:rsidP="00EA6F20">
      <w:pPr>
        <w:spacing w:after="100" w:afterAutospacing="1" w:line="240" w:lineRule="auto"/>
        <w:jc w:val="both"/>
        <w:rPr>
          <w:rFonts w:ascii="Arial" w:hAnsi="Arial" w:cs="Arial"/>
          <w:color w:val="000000" w:themeColor="text1"/>
          <w:sz w:val="20"/>
          <w:szCs w:val="20"/>
        </w:rPr>
      </w:pPr>
    </w:p>
    <w:p w14:paraId="175DDA84" w14:textId="77777777" w:rsidR="00DF414B" w:rsidRDefault="00DF414B" w:rsidP="00EA6F20">
      <w:pPr>
        <w:spacing w:after="100" w:afterAutospacing="1" w:line="240" w:lineRule="auto"/>
        <w:jc w:val="both"/>
        <w:rPr>
          <w:rFonts w:ascii="Arial" w:hAnsi="Arial" w:cs="Arial"/>
          <w:color w:val="000000" w:themeColor="text1"/>
          <w:sz w:val="20"/>
          <w:szCs w:val="20"/>
        </w:rPr>
      </w:pPr>
    </w:p>
    <w:p w14:paraId="0694B72C" w14:textId="77777777" w:rsidR="00DF414B" w:rsidRDefault="00DF414B" w:rsidP="00EA6F20">
      <w:pPr>
        <w:spacing w:after="100" w:afterAutospacing="1" w:line="240" w:lineRule="auto"/>
        <w:jc w:val="both"/>
        <w:rPr>
          <w:rFonts w:ascii="Arial" w:hAnsi="Arial" w:cs="Arial"/>
          <w:color w:val="000000" w:themeColor="text1"/>
          <w:sz w:val="20"/>
          <w:szCs w:val="20"/>
        </w:rPr>
      </w:pPr>
    </w:p>
    <w:p w14:paraId="1243D5D3" w14:textId="77777777" w:rsidR="00DF414B" w:rsidRPr="00EA6F20" w:rsidRDefault="00DF414B" w:rsidP="00EA6F20">
      <w:pPr>
        <w:spacing w:after="100" w:afterAutospacing="1" w:line="240" w:lineRule="auto"/>
        <w:jc w:val="both"/>
        <w:rPr>
          <w:rFonts w:ascii="Arial" w:hAnsi="Arial" w:cs="Arial"/>
          <w:color w:val="000000" w:themeColor="text1"/>
          <w:sz w:val="20"/>
          <w:szCs w:val="20"/>
        </w:rPr>
      </w:pPr>
    </w:p>
    <w:p w14:paraId="4F6EB407" w14:textId="77777777" w:rsidR="00EA6F20" w:rsidRPr="00EA6F20" w:rsidRDefault="00EA6F20" w:rsidP="00EA6F20">
      <w:pPr>
        <w:spacing w:before="240" w:after="100" w:afterAutospacing="1" w:line="240" w:lineRule="auto"/>
        <w:jc w:val="both"/>
        <w:rPr>
          <w:rFonts w:ascii="Arial" w:hAnsi="Arial" w:cs="Arial"/>
          <w:color w:val="000000" w:themeColor="text1"/>
          <w:sz w:val="20"/>
          <w:szCs w:val="20"/>
        </w:rPr>
      </w:pPr>
    </w:p>
    <w:p w14:paraId="64FD491B" w14:textId="77777777" w:rsidR="00EA6F20" w:rsidRPr="00EA6F20" w:rsidRDefault="00EA6F20" w:rsidP="00EA6F20">
      <w:pPr>
        <w:jc w:val="both"/>
        <w:rPr>
          <w:rFonts w:ascii="Arial" w:hAnsi="Arial" w:cs="Arial"/>
          <w:color w:val="000000" w:themeColor="text1"/>
          <w:sz w:val="20"/>
          <w:szCs w:val="20"/>
        </w:rPr>
      </w:pPr>
    </w:p>
    <w:p w14:paraId="63EA8578" w14:textId="77777777" w:rsidR="005A500C" w:rsidRDefault="005A500C" w:rsidP="005A500C">
      <w:pPr>
        <w:spacing w:after="0" w:line="240" w:lineRule="auto"/>
        <w:jc w:val="both"/>
        <w:rPr>
          <w:rFonts w:ascii="Arial" w:hAnsi="Arial" w:cs="Arial"/>
        </w:rPr>
      </w:pPr>
    </w:p>
    <w:p w14:paraId="370F45AE" w14:textId="77777777" w:rsidR="005A500C" w:rsidRDefault="005A500C" w:rsidP="0081312C">
      <w:pPr>
        <w:spacing w:after="0" w:line="240" w:lineRule="auto"/>
        <w:jc w:val="center"/>
        <w:rPr>
          <w:rFonts w:ascii="Arial" w:hAnsi="Arial" w:cs="Arial"/>
        </w:rPr>
      </w:pPr>
    </w:p>
    <w:p w14:paraId="5FF0EC11" w14:textId="77777777" w:rsidR="003C43BE" w:rsidRPr="003C43BE" w:rsidRDefault="003C43BE" w:rsidP="003C43BE">
      <w:pPr>
        <w:jc w:val="center"/>
        <w:rPr>
          <w:rFonts w:ascii="Arial" w:hAnsi="Arial" w:cs="Arial"/>
          <w:b/>
          <w:sz w:val="24"/>
          <w:szCs w:val="24"/>
        </w:rPr>
      </w:pPr>
    </w:p>
    <w:sectPr w:rsidR="003C43BE" w:rsidRPr="003C43BE">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811FB8" w14:textId="77777777" w:rsidR="00063894" w:rsidRDefault="00063894" w:rsidP="000E4B12">
      <w:pPr>
        <w:spacing w:after="0" w:line="240" w:lineRule="auto"/>
      </w:pPr>
      <w:r>
        <w:separator/>
      </w:r>
    </w:p>
  </w:endnote>
  <w:endnote w:type="continuationSeparator" w:id="0">
    <w:p w14:paraId="38B2DA50" w14:textId="77777777" w:rsidR="00063894" w:rsidRDefault="00063894" w:rsidP="000E4B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8C63F" w14:textId="77777777" w:rsidR="000E4B12" w:rsidRDefault="000E4B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7662787"/>
      <w:docPartObj>
        <w:docPartGallery w:val="Page Numbers (Bottom of Page)"/>
        <w:docPartUnique/>
      </w:docPartObj>
    </w:sdtPr>
    <w:sdtEndPr>
      <w:rPr>
        <w:color w:val="808080" w:themeColor="background1" w:themeShade="80"/>
        <w:spacing w:val="60"/>
      </w:rPr>
    </w:sdtEndPr>
    <w:sdtContent>
      <w:p w14:paraId="61BBED4E" w14:textId="77777777" w:rsidR="000E4B12" w:rsidRDefault="000E4B1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C43D90" w:rsidRPr="00C43D90">
          <w:rPr>
            <w:b/>
            <w:bCs/>
            <w:noProof/>
          </w:rPr>
          <w:t>1</w:t>
        </w:r>
        <w:r>
          <w:rPr>
            <w:b/>
            <w:bCs/>
            <w:noProof/>
          </w:rPr>
          <w:fldChar w:fldCharType="end"/>
        </w:r>
        <w:r>
          <w:rPr>
            <w:b/>
            <w:bCs/>
          </w:rPr>
          <w:t xml:space="preserve"> | </w:t>
        </w:r>
        <w:r>
          <w:rPr>
            <w:color w:val="808080" w:themeColor="background1" w:themeShade="80"/>
            <w:spacing w:val="60"/>
          </w:rPr>
          <w:t>Page</w:t>
        </w:r>
      </w:p>
    </w:sdtContent>
  </w:sdt>
  <w:p w14:paraId="018BC14D" w14:textId="77777777" w:rsidR="000E4B12" w:rsidRDefault="000E4B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5A010" w14:textId="77777777" w:rsidR="000E4B12" w:rsidRDefault="000E4B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E7E41E" w14:textId="77777777" w:rsidR="00063894" w:rsidRDefault="00063894" w:rsidP="000E4B12">
      <w:pPr>
        <w:spacing w:after="0" w:line="240" w:lineRule="auto"/>
      </w:pPr>
      <w:r>
        <w:separator/>
      </w:r>
    </w:p>
  </w:footnote>
  <w:footnote w:type="continuationSeparator" w:id="0">
    <w:p w14:paraId="0144B9CC" w14:textId="77777777" w:rsidR="00063894" w:rsidRDefault="00063894" w:rsidP="000E4B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D46E3" w14:textId="78119928" w:rsidR="000E4B12" w:rsidRDefault="00063894">
    <w:pPr>
      <w:pStyle w:val="Header"/>
    </w:pPr>
    <w:r>
      <w:rPr>
        <w:noProof/>
      </w:rPr>
      <w:pict w14:anchorId="672B02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2206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EB441" w14:textId="0A2477D3" w:rsidR="000E4B12" w:rsidRDefault="00063894">
    <w:pPr>
      <w:pStyle w:val="Header"/>
    </w:pPr>
    <w:r>
      <w:rPr>
        <w:noProof/>
      </w:rPr>
      <w:pict w14:anchorId="6DF5CF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2206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52C40" w14:textId="29341A68" w:rsidR="000E4B12" w:rsidRDefault="00063894">
    <w:pPr>
      <w:pStyle w:val="Header"/>
    </w:pPr>
    <w:r>
      <w:rPr>
        <w:noProof/>
      </w:rPr>
      <w:pict w14:anchorId="3D9571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2206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A09F7"/>
    <w:multiLevelType w:val="multilevel"/>
    <w:tmpl w:val="0C964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333008"/>
    <w:multiLevelType w:val="multilevel"/>
    <w:tmpl w:val="9E0A5AF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7C9C3D8A"/>
    <w:multiLevelType w:val="hybridMultilevel"/>
    <w:tmpl w:val="2C7633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0NrWwNDA1tDA2sDRU0lEKTi0uzszPAykwrAUABuDZfywAAAA="/>
  </w:docVars>
  <w:rsids>
    <w:rsidRoot w:val="003C43BE"/>
    <w:rsid w:val="00013389"/>
    <w:rsid w:val="00014030"/>
    <w:rsid w:val="00063894"/>
    <w:rsid w:val="00080694"/>
    <w:rsid w:val="00085D12"/>
    <w:rsid w:val="000E4B12"/>
    <w:rsid w:val="000F2C36"/>
    <w:rsid w:val="00113930"/>
    <w:rsid w:val="0013064F"/>
    <w:rsid w:val="001311BC"/>
    <w:rsid w:val="0019611F"/>
    <w:rsid w:val="001C297F"/>
    <w:rsid w:val="0023717D"/>
    <w:rsid w:val="00270458"/>
    <w:rsid w:val="002833FC"/>
    <w:rsid w:val="00284805"/>
    <w:rsid w:val="002B7A8F"/>
    <w:rsid w:val="00301B52"/>
    <w:rsid w:val="00306F12"/>
    <w:rsid w:val="0032315B"/>
    <w:rsid w:val="003323BA"/>
    <w:rsid w:val="003C43BE"/>
    <w:rsid w:val="003F5235"/>
    <w:rsid w:val="0043520D"/>
    <w:rsid w:val="00452361"/>
    <w:rsid w:val="00454927"/>
    <w:rsid w:val="004639F6"/>
    <w:rsid w:val="004E4A79"/>
    <w:rsid w:val="0059586A"/>
    <w:rsid w:val="005A500C"/>
    <w:rsid w:val="005D6DB9"/>
    <w:rsid w:val="005E071B"/>
    <w:rsid w:val="00636730"/>
    <w:rsid w:val="006766C6"/>
    <w:rsid w:val="007369EB"/>
    <w:rsid w:val="00746899"/>
    <w:rsid w:val="00746D48"/>
    <w:rsid w:val="00765DAB"/>
    <w:rsid w:val="00784AA6"/>
    <w:rsid w:val="00784B42"/>
    <w:rsid w:val="00797305"/>
    <w:rsid w:val="0081312C"/>
    <w:rsid w:val="008C2321"/>
    <w:rsid w:val="008E2F1E"/>
    <w:rsid w:val="00913A3A"/>
    <w:rsid w:val="00960E28"/>
    <w:rsid w:val="00A6322C"/>
    <w:rsid w:val="00AB06B2"/>
    <w:rsid w:val="00AD7A96"/>
    <w:rsid w:val="00B0601C"/>
    <w:rsid w:val="00B27117"/>
    <w:rsid w:val="00BA18E8"/>
    <w:rsid w:val="00BB7600"/>
    <w:rsid w:val="00BD55D3"/>
    <w:rsid w:val="00C05548"/>
    <w:rsid w:val="00C37BD3"/>
    <w:rsid w:val="00C43D90"/>
    <w:rsid w:val="00C468D2"/>
    <w:rsid w:val="00C552A7"/>
    <w:rsid w:val="00CE1FF3"/>
    <w:rsid w:val="00D811D1"/>
    <w:rsid w:val="00D83C7F"/>
    <w:rsid w:val="00D96F0B"/>
    <w:rsid w:val="00DA16DD"/>
    <w:rsid w:val="00DD300E"/>
    <w:rsid w:val="00DF414B"/>
    <w:rsid w:val="00EA6F20"/>
    <w:rsid w:val="00ED4CF4"/>
    <w:rsid w:val="00EF62B5"/>
    <w:rsid w:val="00F05CE4"/>
    <w:rsid w:val="00F4640D"/>
    <w:rsid w:val="00F473EA"/>
    <w:rsid w:val="00F66EAF"/>
    <w:rsid w:val="00FE4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E1AE92"/>
  <w15:docId w15:val="{D93247C1-6165-40B8-9FDF-EFEB43C93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3930"/>
  </w:style>
  <w:style w:type="paragraph" w:styleId="Heading2">
    <w:name w:val="heading 2"/>
    <w:basedOn w:val="Normal"/>
    <w:next w:val="Normal"/>
    <w:link w:val="Heading2Char"/>
    <w:uiPriority w:val="9"/>
    <w:semiHidden/>
    <w:unhideWhenUsed/>
    <w:qFormat/>
    <w:rsid w:val="005A500C"/>
    <w:pPr>
      <w:keepNext/>
      <w:keepLines/>
      <w:spacing w:before="200" w:after="0" w:line="259" w:lineRule="auto"/>
      <w:outlineLvl w:val="1"/>
    </w:pPr>
    <w:rPr>
      <w:rFonts w:asciiTheme="majorHAnsi" w:eastAsiaTheme="majorEastAsia" w:hAnsiTheme="majorHAnsi" w:cstheme="majorBidi"/>
      <w:b/>
      <w:bCs/>
      <w:color w:val="4F81BD" w:themeColor="accent1"/>
      <w:sz w:val="26"/>
      <w:szCs w:val="26"/>
      <w:lang w:val="en-GB"/>
    </w:rPr>
  </w:style>
  <w:style w:type="paragraph" w:styleId="Heading3">
    <w:name w:val="heading 3"/>
    <w:basedOn w:val="Normal"/>
    <w:next w:val="Normal"/>
    <w:link w:val="Heading3Char"/>
    <w:uiPriority w:val="9"/>
    <w:unhideWhenUsed/>
    <w:qFormat/>
    <w:rsid w:val="005A500C"/>
    <w:pPr>
      <w:keepNext/>
      <w:keepLines/>
      <w:spacing w:before="160" w:after="80" w:line="259" w:lineRule="auto"/>
      <w:outlineLvl w:val="2"/>
    </w:pPr>
    <w:rPr>
      <w:rFonts w:eastAsiaTheme="majorEastAsia" w:cstheme="majorBidi"/>
      <w:color w:val="365F91" w:themeColor="accent1" w:themeShade="BF"/>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5A500C"/>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5A500C"/>
    <w:rPr>
      <w:rFonts w:eastAsiaTheme="majorEastAsia" w:cstheme="majorBidi"/>
      <w:color w:val="365F91" w:themeColor="accent1" w:themeShade="BF"/>
      <w:sz w:val="28"/>
      <w:szCs w:val="28"/>
      <w:lang w:val="en-GB"/>
    </w:rPr>
  </w:style>
  <w:style w:type="paragraph" w:styleId="BalloonText">
    <w:name w:val="Balloon Text"/>
    <w:basedOn w:val="Normal"/>
    <w:link w:val="BalloonTextChar"/>
    <w:uiPriority w:val="99"/>
    <w:semiHidden/>
    <w:unhideWhenUsed/>
    <w:rsid w:val="005A50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00C"/>
    <w:rPr>
      <w:rFonts w:ascii="Tahoma" w:hAnsi="Tahoma" w:cs="Tahoma"/>
      <w:sz w:val="16"/>
      <w:szCs w:val="16"/>
    </w:rPr>
  </w:style>
  <w:style w:type="paragraph" w:styleId="ListParagraph">
    <w:name w:val="List Paragraph"/>
    <w:basedOn w:val="Normal"/>
    <w:uiPriority w:val="34"/>
    <w:qFormat/>
    <w:rsid w:val="005A500C"/>
    <w:pPr>
      <w:ind w:left="720"/>
      <w:contextualSpacing/>
    </w:pPr>
  </w:style>
  <w:style w:type="table" w:styleId="TableGrid">
    <w:name w:val="Table Grid"/>
    <w:basedOn w:val="TableNormal"/>
    <w:uiPriority w:val="39"/>
    <w:rsid w:val="008E2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journal">
    <w:name w:val="ref-journal"/>
    <w:basedOn w:val="DefaultParagraphFont"/>
    <w:rsid w:val="00BA18E8"/>
  </w:style>
  <w:style w:type="character" w:customStyle="1" w:styleId="ref-vol">
    <w:name w:val="ref-vol"/>
    <w:basedOn w:val="DefaultParagraphFont"/>
    <w:rsid w:val="00BA18E8"/>
  </w:style>
  <w:style w:type="character" w:customStyle="1" w:styleId="element-citation">
    <w:name w:val="element-citation"/>
    <w:basedOn w:val="DefaultParagraphFont"/>
    <w:rsid w:val="00BA18E8"/>
  </w:style>
  <w:style w:type="paragraph" w:styleId="Header">
    <w:name w:val="header"/>
    <w:basedOn w:val="Normal"/>
    <w:link w:val="HeaderChar"/>
    <w:uiPriority w:val="99"/>
    <w:unhideWhenUsed/>
    <w:rsid w:val="000E4B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B12"/>
  </w:style>
  <w:style w:type="paragraph" w:styleId="Footer">
    <w:name w:val="footer"/>
    <w:basedOn w:val="Normal"/>
    <w:link w:val="FooterChar"/>
    <w:uiPriority w:val="99"/>
    <w:unhideWhenUsed/>
    <w:rsid w:val="000E4B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B12"/>
  </w:style>
  <w:style w:type="character" w:styleId="Hyperlink">
    <w:name w:val="Hyperlink"/>
    <w:basedOn w:val="DefaultParagraphFont"/>
    <w:uiPriority w:val="99"/>
    <w:unhideWhenUsed/>
    <w:rsid w:val="00113930"/>
    <w:rPr>
      <w:color w:val="0000FF" w:themeColor="hyperlink"/>
      <w:u w:val="single"/>
    </w:rPr>
  </w:style>
  <w:style w:type="character" w:customStyle="1" w:styleId="UnresolvedMention1">
    <w:name w:val="Unresolved Mention1"/>
    <w:basedOn w:val="DefaultParagraphFont"/>
    <w:uiPriority w:val="99"/>
    <w:semiHidden/>
    <w:unhideWhenUsed/>
    <w:rsid w:val="00113930"/>
    <w:rPr>
      <w:color w:val="605E5C"/>
      <w:shd w:val="clear" w:color="auto" w:fill="E1DFDD"/>
    </w:rPr>
  </w:style>
  <w:style w:type="paragraph" w:styleId="NormalWeb">
    <w:name w:val="Normal (Web)"/>
    <w:basedOn w:val="Normal"/>
    <w:uiPriority w:val="99"/>
    <w:semiHidden/>
    <w:unhideWhenUsed/>
    <w:rsid w:val="0027045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230988">
      <w:bodyDiv w:val="1"/>
      <w:marLeft w:val="0"/>
      <w:marRight w:val="0"/>
      <w:marTop w:val="0"/>
      <w:marBottom w:val="0"/>
      <w:divBdr>
        <w:top w:val="none" w:sz="0" w:space="0" w:color="auto"/>
        <w:left w:val="none" w:sz="0" w:space="0" w:color="auto"/>
        <w:bottom w:val="none" w:sz="0" w:space="0" w:color="auto"/>
        <w:right w:val="none" w:sz="0" w:space="0" w:color="auto"/>
      </w:divBdr>
    </w:div>
    <w:div w:id="524288341">
      <w:bodyDiv w:val="1"/>
      <w:marLeft w:val="0"/>
      <w:marRight w:val="0"/>
      <w:marTop w:val="0"/>
      <w:marBottom w:val="0"/>
      <w:divBdr>
        <w:top w:val="none" w:sz="0" w:space="0" w:color="auto"/>
        <w:left w:val="none" w:sz="0" w:space="0" w:color="auto"/>
        <w:bottom w:val="none" w:sz="0" w:space="0" w:color="auto"/>
        <w:right w:val="none" w:sz="0" w:space="0" w:color="auto"/>
      </w:divBdr>
    </w:div>
    <w:div w:id="1128205408">
      <w:bodyDiv w:val="1"/>
      <w:marLeft w:val="0"/>
      <w:marRight w:val="0"/>
      <w:marTop w:val="0"/>
      <w:marBottom w:val="0"/>
      <w:divBdr>
        <w:top w:val="none" w:sz="0" w:space="0" w:color="auto"/>
        <w:left w:val="none" w:sz="0" w:space="0" w:color="auto"/>
        <w:bottom w:val="none" w:sz="0" w:space="0" w:color="auto"/>
        <w:right w:val="none" w:sz="0" w:space="0" w:color="auto"/>
      </w:divBdr>
    </w:div>
    <w:div w:id="1813474232">
      <w:bodyDiv w:val="1"/>
      <w:marLeft w:val="0"/>
      <w:marRight w:val="0"/>
      <w:marTop w:val="0"/>
      <w:marBottom w:val="0"/>
      <w:divBdr>
        <w:top w:val="none" w:sz="0" w:space="0" w:color="auto"/>
        <w:left w:val="none" w:sz="0" w:space="0" w:color="auto"/>
        <w:bottom w:val="none" w:sz="0" w:space="0" w:color="auto"/>
        <w:right w:val="none" w:sz="0" w:space="0" w:color="auto"/>
      </w:divBdr>
    </w:div>
    <w:div w:id="1907185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image" Target="media/image9.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246</TotalTime>
  <Pages>18</Pages>
  <Words>5582</Words>
  <Characters>31819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Editor-1183</cp:lastModifiedBy>
  <cp:revision>43</cp:revision>
  <dcterms:created xsi:type="dcterms:W3CDTF">2026-03-15T09:57:00Z</dcterms:created>
  <dcterms:modified xsi:type="dcterms:W3CDTF">2026-03-25T12:44:00Z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24ddeb4f-d627-49cb-8c5c-9f431dae7ba4</vt:lpwstr>
  </property>
</Properties>
</file>