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4FC3E" w14:textId="0B24D481" w:rsidR="008A3E73" w:rsidRPr="008A3E73" w:rsidRDefault="008A3E73" w:rsidP="00441B6F">
      <w:pPr>
        <w:pStyle w:val="Author"/>
        <w:spacing w:line="240" w:lineRule="auto"/>
        <w:rPr>
          <w:rFonts w:ascii="Arial" w:hAnsi="Arial" w:cs="Arial"/>
          <w:bCs/>
          <w:iCs/>
          <w:kern w:val="28"/>
          <w:sz w:val="20"/>
        </w:rPr>
      </w:pPr>
      <w:r w:rsidRPr="008A3E73">
        <w:rPr>
          <w:rFonts w:ascii="Arial" w:hAnsi="Arial" w:cs="Arial"/>
          <w:bCs/>
          <w:iCs/>
          <w:kern w:val="28"/>
          <w:sz w:val="20"/>
        </w:rPr>
        <w:t>Original Research Article</w:t>
      </w:r>
    </w:p>
    <w:p w14:paraId="7AADEE7C" w14:textId="70E931B6" w:rsidR="00163BC4" w:rsidRPr="00163BC4" w:rsidRDefault="005B596C" w:rsidP="00441B6F">
      <w:pPr>
        <w:pStyle w:val="Author"/>
        <w:spacing w:line="240" w:lineRule="auto"/>
        <w:rPr>
          <w:rFonts w:ascii="Arial" w:hAnsi="Arial" w:cs="Arial"/>
          <w:bCs/>
          <w:iCs/>
          <w:kern w:val="28"/>
          <w:sz w:val="36"/>
        </w:rPr>
      </w:pPr>
      <w:r>
        <w:rPr>
          <w:rFonts w:ascii="Arial" w:hAnsi="Arial" w:cs="Arial"/>
          <w:bCs/>
          <w:iCs/>
          <w:kern w:val="28"/>
          <w:sz w:val="36"/>
        </w:rPr>
        <w:t>Physiological Responses to KN95 Masks</w:t>
      </w:r>
      <w:r w:rsidR="00A419F8">
        <w:rPr>
          <w:rFonts w:ascii="Arial" w:hAnsi="Arial" w:cs="Arial"/>
          <w:bCs/>
          <w:iCs/>
          <w:kern w:val="28"/>
          <w:sz w:val="36"/>
        </w:rPr>
        <w:t xml:space="preserve"> </w:t>
      </w:r>
      <w:r w:rsidR="00A419F8" w:rsidRPr="00A419F8">
        <w:rPr>
          <w:rFonts w:ascii="Arial" w:hAnsi="Arial" w:cs="Arial"/>
          <w:bCs/>
          <w:iCs/>
          <w:kern w:val="28"/>
          <w:sz w:val="36"/>
          <w:highlight w:val="yellow"/>
        </w:rPr>
        <w:t>Use</w:t>
      </w:r>
      <w:r>
        <w:rPr>
          <w:rFonts w:ascii="Arial" w:hAnsi="Arial" w:cs="Arial"/>
          <w:bCs/>
          <w:iCs/>
          <w:kern w:val="28"/>
          <w:sz w:val="36"/>
        </w:rPr>
        <w:t xml:space="preserve"> </w:t>
      </w:r>
      <w:r w:rsidR="00692179" w:rsidRPr="00692179">
        <w:rPr>
          <w:rFonts w:ascii="Arial" w:hAnsi="Arial" w:cs="Arial"/>
          <w:bCs/>
          <w:iCs/>
          <w:kern w:val="28"/>
          <w:sz w:val="36"/>
          <w:highlight w:val="cyan"/>
        </w:rPr>
        <w:t>After Moderate-Intensity Activity (5-Minute Recovery): A Randomized Controlled Trial</w:t>
      </w:r>
      <w:r w:rsidR="00231920">
        <w:rPr>
          <w:rFonts w:ascii="Arial" w:hAnsi="Arial" w:cs="Arial"/>
          <w:bCs/>
          <w:iCs/>
          <w:kern w:val="28"/>
          <w:sz w:val="36"/>
        </w:rPr>
        <w:t xml:space="preserve"> </w:t>
      </w:r>
    </w:p>
    <w:p w14:paraId="7DA2FC1C" w14:textId="77777777" w:rsidR="00A258C3" w:rsidRDefault="00A258C3" w:rsidP="00441B6F">
      <w:pPr>
        <w:pStyle w:val="Author"/>
        <w:spacing w:line="240" w:lineRule="auto"/>
        <w:jc w:val="both"/>
        <w:rPr>
          <w:rFonts w:ascii="Arial" w:hAnsi="Arial" w:cs="Arial"/>
          <w:sz w:val="36"/>
        </w:rPr>
      </w:pPr>
    </w:p>
    <w:p w14:paraId="7A3D8B84" w14:textId="77777777" w:rsidR="00B6415A" w:rsidRPr="00B6415A" w:rsidRDefault="00B6415A" w:rsidP="00441B6F">
      <w:pPr>
        <w:pStyle w:val="Author"/>
        <w:spacing w:line="240" w:lineRule="auto"/>
        <w:jc w:val="both"/>
        <w:rPr>
          <w:rFonts w:ascii="Arial" w:hAnsi="Arial" w:cs="Arial"/>
          <w:sz w:val="20"/>
        </w:rPr>
      </w:pPr>
    </w:p>
    <w:p w14:paraId="6BD291D2" w14:textId="77777777" w:rsidR="002C57D2" w:rsidRPr="00FB3A86" w:rsidRDefault="002C57D2" w:rsidP="00441B6F">
      <w:pPr>
        <w:pStyle w:val="Affiliation"/>
        <w:spacing w:after="0" w:line="240" w:lineRule="auto"/>
        <w:jc w:val="both"/>
        <w:rPr>
          <w:rFonts w:ascii="Arial" w:hAnsi="Arial" w:cs="Arial"/>
        </w:rPr>
      </w:pPr>
    </w:p>
    <w:p w14:paraId="08310BDF" w14:textId="77777777" w:rsidR="00B01FCD" w:rsidRPr="00FB3A86" w:rsidRDefault="00924EDC" w:rsidP="00441B6F">
      <w:pPr>
        <w:pStyle w:val="Copyright"/>
        <w:spacing w:after="0" w:line="240" w:lineRule="auto"/>
        <w:jc w:val="both"/>
        <w:rPr>
          <w:rFonts w:ascii="Arial" w:hAnsi="Arial" w:cs="Arial"/>
        </w:rPr>
        <w:sectPr w:rsidR="00B01FCD" w:rsidRPr="00FB3A86" w:rsidSect="004971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149B1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CA110C0" w14:textId="49C21F9E" w:rsidR="00B01FCD" w:rsidRDefault="00B01FCD" w:rsidP="00441B6F">
      <w:pPr>
        <w:pStyle w:val="AbstHead"/>
        <w:spacing w:after="0"/>
        <w:jc w:val="both"/>
        <w:rPr>
          <w:rFonts w:ascii="Arial" w:hAnsi="Arial" w:cs="Arial"/>
        </w:rPr>
      </w:pPr>
      <w:r w:rsidRPr="00FB3A86">
        <w:rPr>
          <w:rFonts w:ascii="Arial" w:hAnsi="Arial" w:cs="Arial"/>
        </w:rPr>
        <w:t>ABSTRACT</w:t>
      </w:r>
    </w:p>
    <w:p w14:paraId="2A0C6C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328772" w14:textId="77777777" w:rsidTr="001E44FE">
        <w:tc>
          <w:tcPr>
            <w:tcW w:w="9576" w:type="dxa"/>
            <w:shd w:val="clear" w:color="auto" w:fill="F2F2F2"/>
          </w:tcPr>
          <w:p w14:paraId="049EC0A0" w14:textId="262709C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F1B18" w:rsidRPr="00BF1B18">
              <w:rPr>
                <w:rFonts w:ascii="Arial" w:eastAsia="Calibri" w:hAnsi="Arial" w:cs="Arial"/>
                <w:szCs w:val="22"/>
              </w:rPr>
              <w:t xml:space="preserve">To evaluate the cardiopulmonary effects of wearing KN95 respirators compared with </w:t>
            </w:r>
            <w:r w:rsidR="00CC2EDB">
              <w:rPr>
                <w:rFonts w:ascii="Arial" w:eastAsia="Calibri" w:hAnsi="Arial" w:cs="Arial"/>
                <w:szCs w:val="22"/>
              </w:rPr>
              <w:t xml:space="preserve">a </w:t>
            </w:r>
            <w:r w:rsidR="008F0585" w:rsidRPr="00CC2EDB">
              <w:rPr>
                <w:rFonts w:ascii="Arial" w:eastAsia="Calibri" w:hAnsi="Arial" w:cs="Arial"/>
                <w:szCs w:val="22"/>
                <w:highlight w:val="cyan"/>
              </w:rPr>
              <w:t xml:space="preserve">standard surgical </w:t>
            </w:r>
            <w:r w:rsidR="008F0585" w:rsidRPr="008F0585">
              <w:rPr>
                <w:rFonts w:ascii="Arial" w:eastAsia="Calibri" w:hAnsi="Arial" w:cs="Arial"/>
                <w:szCs w:val="22"/>
                <w:highlight w:val="cyan"/>
              </w:rPr>
              <w:t>mask</w:t>
            </w:r>
            <w:r w:rsidR="00BF1B18" w:rsidRPr="00BF1B18">
              <w:rPr>
                <w:rFonts w:ascii="Arial" w:eastAsia="Calibri" w:hAnsi="Arial" w:cs="Arial"/>
                <w:szCs w:val="22"/>
              </w:rPr>
              <w:t xml:space="preserve"> during moderate-intensity outdoor cycling, and to explore potential sex-based differences in physiological responses</w:t>
            </w:r>
            <w:r w:rsidRPr="00BA1B01">
              <w:rPr>
                <w:rFonts w:ascii="Arial" w:eastAsia="Calibri" w:hAnsi="Arial" w:cs="Arial"/>
                <w:szCs w:val="22"/>
              </w:rPr>
              <w:t>.</w:t>
            </w:r>
          </w:p>
          <w:p w14:paraId="00160144" w14:textId="5D82DFF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BF1B18" w:rsidRPr="00BA1B01">
              <w:rPr>
                <w:rFonts w:ascii="Arial" w:eastAsia="Calibri" w:hAnsi="Arial" w:cs="Arial"/>
                <w:b/>
                <w:szCs w:val="22"/>
              </w:rPr>
              <w:t>:</w:t>
            </w:r>
            <w:r w:rsidR="00BF1B18" w:rsidRPr="00BA1B01">
              <w:rPr>
                <w:rFonts w:ascii="Arial" w:eastAsia="Calibri" w:hAnsi="Arial" w:cs="Arial"/>
                <w:szCs w:val="22"/>
              </w:rPr>
              <w:t xml:space="preserve"> </w:t>
            </w:r>
            <w:r w:rsidR="00B07F9B" w:rsidRPr="00B07F9B">
              <w:rPr>
                <w:rFonts w:ascii="Arial" w:eastAsia="Calibri" w:hAnsi="Arial" w:cs="Arial"/>
                <w:szCs w:val="22"/>
              </w:rPr>
              <w:t>This was a randomized parallel-group controlled trial conducted in an outdoor field environment at the Sudirman Central Business District (SCBD), Jakarta, Indonesia, from October to November 2022</w:t>
            </w:r>
            <w:r w:rsidRPr="00BA1B01">
              <w:rPr>
                <w:rFonts w:ascii="Arial" w:eastAsia="Calibri" w:hAnsi="Arial" w:cs="Arial"/>
                <w:szCs w:val="22"/>
              </w:rPr>
              <w:t>.</w:t>
            </w:r>
          </w:p>
          <w:p w14:paraId="673B31F7" w14:textId="30D4D0E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1B18" w:rsidRPr="00BF1B18">
              <w:rPr>
                <w:rFonts w:ascii="Arial" w:eastAsia="Calibri" w:hAnsi="Arial" w:cs="Arial"/>
                <w:szCs w:val="22"/>
              </w:rPr>
              <w:t xml:space="preserve">Thirty-two healthy, physically active adults were randomly assigned (1:1) to wear either a KN95 mask (n = 16) or a </w:t>
            </w:r>
            <w:r w:rsidR="008F0585" w:rsidRPr="00CC2EDB">
              <w:rPr>
                <w:rFonts w:ascii="Arial" w:eastAsia="Calibri" w:hAnsi="Arial" w:cs="Arial"/>
                <w:szCs w:val="22"/>
                <w:highlight w:val="cyan"/>
              </w:rPr>
              <w:t xml:space="preserve">standard surgical </w:t>
            </w:r>
            <w:r w:rsidR="008F0585" w:rsidRPr="008F0585">
              <w:rPr>
                <w:rFonts w:ascii="Arial" w:eastAsia="Calibri" w:hAnsi="Arial" w:cs="Arial"/>
                <w:szCs w:val="22"/>
                <w:highlight w:val="cyan"/>
              </w:rPr>
              <w:t>mask (n = 16)</w:t>
            </w:r>
            <w:r w:rsidR="00BF1B18" w:rsidRPr="00BF1B18">
              <w:rPr>
                <w:rFonts w:ascii="Arial" w:eastAsia="Calibri" w:hAnsi="Arial" w:cs="Arial"/>
                <w:szCs w:val="22"/>
              </w:rPr>
              <w:t xml:space="preserve"> while cycling 8 km at a constant speed of 15 km/h (~30 minutes). Heart rate (HR), respiratory rate (RR), and oxygen saturation (</w:t>
            </w:r>
            <w:proofErr w:type="spellStart"/>
            <w:r w:rsidR="00BF1B18" w:rsidRPr="00BF1B18">
              <w:rPr>
                <w:rFonts w:ascii="Arial" w:eastAsia="Calibri" w:hAnsi="Arial" w:cs="Arial"/>
                <w:szCs w:val="22"/>
              </w:rPr>
              <w:t>SpO</w:t>
            </w:r>
            <w:proofErr w:type="spellEnd"/>
            <w:r w:rsidR="00BF1B18" w:rsidRPr="00BF1B18">
              <w:rPr>
                <w:rFonts w:ascii="Cambria Math" w:eastAsia="Calibri" w:hAnsi="Cambria Math" w:cs="Cambria Math"/>
                <w:szCs w:val="22"/>
              </w:rPr>
              <w:t>₂</w:t>
            </w:r>
            <w:r w:rsidR="00BF1B18" w:rsidRPr="00BF1B18">
              <w:rPr>
                <w:rFonts w:ascii="Arial" w:eastAsia="Calibri" w:hAnsi="Arial" w:cs="Arial"/>
                <w:szCs w:val="22"/>
              </w:rPr>
              <w:t>) were measured five minutes post-exercise. Independent t-tests compared groups, and ANCOVA adjusted for age, sex, and body mass index (BMI). Effect sizes were calculated using Cohen’s d and partial η². Gender-stratified analyses were conducted exploratorily</w:t>
            </w:r>
            <w:r w:rsidRPr="00BA1B01">
              <w:rPr>
                <w:rFonts w:ascii="Arial" w:eastAsia="Calibri" w:hAnsi="Arial" w:cs="Arial"/>
                <w:szCs w:val="22"/>
              </w:rPr>
              <w:t>.</w:t>
            </w:r>
          </w:p>
          <w:p w14:paraId="64F8CDA3" w14:textId="6077196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F1B18" w:rsidRPr="00BF1B18">
              <w:rPr>
                <w:rFonts w:ascii="Arial" w:eastAsia="Calibri" w:hAnsi="Arial" w:cs="Arial"/>
                <w:szCs w:val="22"/>
              </w:rPr>
              <w:t xml:space="preserve">Compared with </w:t>
            </w:r>
            <w:r w:rsidR="00CC2EDB">
              <w:rPr>
                <w:rFonts w:ascii="Arial" w:eastAsia="Calibri" w:hAnsi="Arial" w:cs="Arial"/>
                <w:szCs w:val="22"/>
              </w:rPr>
              <w:t xml:space="preserve">a </w:t>
            </w:r>
            <w:r w:rsidR="00CC2EDB" w:rsidRPr="00CC2EDB">
              <w:rPr>
                <w:rFonts w:ascii="Arial" w:eastAsia="Calibri" w:hAnsi="Arial" w:cs="Arial"/>
                <w:szCs w:val="22"/>
                <w:highlight w:val="cyan"/>
              </w:rPr>
              <w:t>standard surgical mask</w:t>
            </w:r>
            <w:r w:rsidR="00BF1B18" w:rsidRPr="00BF1B18">
              <w:rPr>
                <w:rFonts w:ascii="Arial" w:eastAsia="Calibri" w:hAnsi="Arial" w:cs="Arial"/>
                <w:szCs w:val="22"/>
              </w:rPr>
              <w:t xml:space="preserve">, KN95 use significantly increased HR (+14.4 bpm; p = 0.003; d = 1.15) and RR (+5.1 breaths/min; p = 0.013; d = 0.94), and reduced </w:t>
            </w:r>
            <w:proofErr w:type="spellStart"/>
            <w:r w:rsidR="00BF1B18" w:rsidRPr="00BF1B18">
              <w:rPr>
                <w:rFonts w:ascii="Arial" w:eastAsia="Calibri" w:hAnsi="Arial" w:cs="Arial"/>
                <w:szCs w:val="22"/>
              </w:rPr>
              <w:t>SpO</w:t>
            </w:r>
            <w:proofErr w:type="spellEnd"/>
            <w:r w:rsidR="00BF1B18" w:rsidRPr="00BF1B18">
              <w:rPr>
                <w:rFonts w:ascii="Cambria Math" w:eastAsia="Calibri" w:hAnsi="Cambria Math" w:cs="Cambria Math"/>
                <w:szCs w:val="22"/>
              </w:rPr>
              <w:t>₂</w:t>
            </w:r>
            <w:r w:rsidR="00BF1B18" w:rsidRPr="00BF1B18">
              <w:rPr>
                <w:rFonts w:ascii="Arial" w:eastAsia="Calibri" w:hAnsi="Arial" w:cs="Arial"/>
                <w:szCs w:val="22"/>
              </w:rPr>
              <w:t xml:space="preserve"> (–0.8%; p = 0.019; d = 0.88). Adjusted analyses confirmed these associations (partial η² range: 0.189–0.295). All effect sizes were large. Oxygen saturation remained within clinically acceptable ranges in both groups. </w:t>
            </w:r>
            <w:r w:rsidR="00CC2EDB" w:rsidRPr="00210966">
              <w:rPr>
                <w:rFonts w:ascii="Arial" w:eastAsia="Calibri" w:hAnsi="Arial" w:cs="Arial"/>
                <w:szCs w:val="22"/>
                <w:highlight w:val="cyan"/>
              </w:rPr>
              <w:t>Exploratory subgroup analyses suggested sex-related trends in physiological responses; however, no statistically significant interaction effects were observed, and these findings should be interpreted cautiously given the limited sample size</w:t>
            </w:r>
            <w:r w:rsidRPr="00BA1B01">
              <w:rPr>
                <w:rFonts w:ascii="Arial" w:eastAsia="Calibri" w:hAnsi="Arial" w:cs="Arial"/>
                <w:szCs w:val="22"/>
              </w:rPr>
              <w:t>.</w:t>
            </w:r>
          </w:p>
          <w:p w14:paraId="6AB300CC" w14:textId="4D0BA1A8"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C2EDB" w:rsidRPr="00CC2EDB">
              <w:rPr>
                <w:rFonts w:ascii="Arial" w:eastAsia="Calibri" w:hAnsi="Arial" w:cs="Arial"/>
                <w:szCs w:val="22"/>
              </w:rPr>
              <w:t xml:space="preserve">KN95 respirators impose measurable cardiopulmonary strain during moderate-intensity cycling compared with standard surgical masks. </w:t>
            </w:r>
            <w:r w:rsidR="00CC2EDB" w:rsidRPr="00210966">
              <w:rPr>
                <w:rFonts w:ascii="Arial" w:eastAsia="Calibri" w:hAnsi="Arial" w:cs="Arial"/>
                <w:szCs w:val="22"/>
                <w:highlight w:val="cyan"/>
              </w:rPr>
              <w:t>While these effects were physiologically tolerable for healthy adults during short-duration activity, the findings have implications for individuals with limited cardiopulmonary reserves and for public health guidance in contexts requiring both infection control and physical activity promotion</w:t>
            </w:r>
            <w:r w:rsidRPr="00BA1B01">
              <w:rPr>
                <w:rFonts w:ascii="Arial" w:eastAsia="Calibri" w:hAnsi="Arial" w:cs="Arial"/>
                <w:szCs w:val="22"/>
              </w:rPr>
              <w:t>.</w:t>
            </w:r>
          </w:p>
        </w:tc>
      </w:tr>
    </w:tbl>
    <w:p w14:paraId="5D830B7C" w14:textId="77777777" w:rsidR="00636EB2" w:rsidRDefault="00636EB2" w:rsidP="00441B6F">
      <w:pPr>
        <w:pStyle w:val="Body"/>
        <w:spacing w:after="0"/>
        <w:rPr>
          <w:rFonts w:ascii="Arial" w:hAnsi="Arial" w:cs="Arial"/>
          <w:i/>
        </w:rPr>
      </w:pPr>
    </w:p>
    <w:p w14:paraId="075C839E" w14:textId="2FCB2377" w:rsidR="00A24E7E" w:rsidRDefault="00A24E7E" w:rsidP="00441B6F">
      <w:pPr>
        <w:pStyle w:val="Body"/>
        <w:spacing w:after="0"/>
        <w:rPr>
          <w:rFonts w:ascii="Arial" w:hAnsi="Arial" w:cs="Arial"/>
          <w:i/>
        </w:rPr>
      </w:pPr>
      <w:r>
        <w:rPr>
          <w:rFonts w:ascii="Arial" w:hAnsi="Arial" w:cs="Arial"/>
          <w:i/>
        </w:rPr>
        <w:t xml:space="preserve">Keywords: </w:t>
      </w:r>
      <w:r w:rsidR="00181EF0" w:rsidRPr="00181EF0">
        <w:rPr>
          <w:rFonts w:ascii="Arial" w:hAnsi="Arial" w:cs="Arial"/>
          <w:i/>
          <w:iCs/>
        </w:rPr>
        <w:t>KN95 mask; physical activity physiology; cardiopulmonary response; cycling; oxygen saturation; public health</w:t>
      </w:r>
    </w:p>
    <w:p w14:paraId="033209A3" w14:textId="77777777" w:rsidR="00790ADA" w:rsidRDefault="00790ADA" w:rsidP="00441B6F">
      <w:pPr>
        <w:pStyle w:val="Body"/>
        <w:spacing w:after="0"/>
        <w:rPr>
          <w:rFonts w:ascii="Arial" w:hAnsi="Arial" w:cs="Arial"/>
          <w:i/>
        </w:rPr>
      </w:pPr>
    </w:p>
    <w:p w14:paraId="76011B39" w14:textId="77777777" w:rsidR="005F0756" w:rsidRDefault="005F0756" w:rsidP="00441B6F">
      <w:pPr>
        <w:pStyle w:val="AbstHead"/>
        <w:spacing w:after="0"/>
        <w:jc w:val="both"/>
        <w:rPr>
          <w:rFonts w:ascii="Arial" w:hAnsi="Arial" w:cs="Arial"/>
        </w:rPr>
      </w:pPr>
    </w:p>
    <w:p w14:paraId="2342AEAD" w14:textId="77777777" w:rsidR="005F0756" w:rsidRDefault="005F0756" w:rsidP="00441B6F">
      <w:pPr>
        <w:pStyle w:val="AbstHead"/>
        <w:spacing w:after="0"/>
        <w:jc w:val="both"/>
        <w:rPr>
          <w:rFonts w:ascii="Arial" w:hAnsi="Arial" w:cs="Arial"/>
        </w:rPr>
      </w:pPr>
    </w:p>
    <w:p w14:paraId="43344FFA" w14:textId="58DB741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ECFFD6" w14:textId="77777777" w:rsidR="00790ADA" w:rsidRPr="00FB3A86" w:rsidRDefault="00790ADA" w:rsidP="00441B6F">
      <w:pPr>
        <w:pStyle w:val="AbstHead"/>
        <w:spacing w:after="0"/>
        <w:jc w:val="both"/>
        <w:rPr>
          <w:rFonts w:ascii="Arial" w:hAnsi="Arial" w:cs="Arial"/>
        </w:rPr>
      </w:pPr>
    </w:p>
    <w:p w14:paraId="47E77E84" w14:textId="77777777" w:rsidR="009B056F" w:rsidRDefault="009B056F" w:rsidP="009B056F">
      <w:pPr>
        <w:jc w:val="both"/>
        <w:rPr>
          <w:rFonts w:ascii="Arial" w:hAnsi="Arial" w:cs="Arial"/>
        </w:rPr>
      </w:pPr>
      <w:r w:rsidRPr="009B056F">
        <w:rPr>
          <w:rFonts w:ascii="Arial" w:hAnsi="Arial" w:cs="Arial"/>
        </w:rPr>
        <w:t>Global public health policies were reshaped by the COVID-19 pandemic, including widespread recommendations for mask usage in both community and physical activity settings (Vito et al., 2022). Despite their effectiveness in preventing the spread of viruses, face masks have aroused controversy when worn during physical activity due to possible effects on breathing, oxygen exchange, and performance during physical activity (</w:t>
      </w:r>
      <w:bookmarkStart w:id="0" w:name="_Hlk207381485"/>
      <w:r w:rsidRPr="009B056F">
        <w:rPr>
          <w:rFonts w:ascii="Arial" w:hAnsi="Arial" w:cs="Arial"/>
        </w:rPr>
        <w:t xml:space="preserve">Boulos et </w:t>
      </w:r>
      <w:r w:rsidRPr="009B056F">
        <w:rPr>
          <w:rFonts w:ascii="Arial" w:hAnsi="Arial" w:cs="Arial"/>
        </w:rPr>
        <w:lastRenderedPageBreak/>
        <w:t>al., 2023; Howard et al., 2021</w:t>
      </w:r>
      <w:bookmarkEnd w:id="0"/>
      <w:r w:rsidRPr="009B056F">
        <w:rPr>
          <w:rFonts w:ascii="Arial" w:hAnsi="Arial" w:cs="Arial"/>
        </w:rPr>
        <w:t>). Cycling and other aerobic physical activities require a high ventilatory capacity, raising concern about the possibility that airflow resistance from masks may change cardiopulmonary physiological responses (</w:t>
      </w:r>
      <w:bookmarkStart w:id="1" w:name="_Hlk207381500"/>
      <w:r w:rsidRPr="009B056F">
        <w:rPr>
          <w:rFonts w:ascii="Arial" w:hAnsi="Arial" w:cs="Arial"/>
        </w:rPr>
        <w:t>Han et al., 2023</w:t>
      </w:r>
      <w:bookmarkEnd w:id="1"/>
      <w:r w:rsidRPr="009B056F">
        <w:rPr>
          <w:rFonts w:ascii="Arial" w:hAnsi="Arial" w:cs="Arial"/>
        </w:rPr>
        <w:t>).</w:t>
      </w:r>
    </w:p>
    <w:p w14:paraId="7E42C683" w14:textId="77777777" w:rsidR="0093476E" w:rsidRDefault="0093476E" w:rsidP="009B056F">
      <w:pPr>
        <w:jc w:val="both"/>
        <w:rPr>
          <w:rFonts w:ascii="Arial" w:hAnsi="Arial" w:cs="Arial"/>
        </w:rPr>
      </w:pPr>
    </w:p>
    <w:p w14:paraId="2A01C083" w14:textId="22360481" w:rsidR="0093476E" w:rsidRDefault="0093476E" w:rsidP="009B056F">
      <w:pPr>
        <w:jc w:val="both"/>
        <w:rPr>
          <w:rFonts w:ascii="Arial" w:hAnsi="Arial" w:cs="Arial"/>
        </w:rPr>
      </w:pPr>
      <w:r w:rsidRPr="00A621CE">
        <w:rPr>
          <w:rFonts w:ascii="Arial" w:hAnsi="Arial" w:cs="Arial"/>
          <w:highlight w:val="yellow"/>
        </w:rPr>
        <w:t xml:space="preserve">Several studies have examined the impact of face mask use on cardiopulmonary responses during exercise. </w:t>
      </w:r>
      <w:proofErr w:type="spellStart"/>
      <w:r w:rsidRPr="00A621CE">
        <w:rPr>
          <w:rFonts w:ascii="Arial" w:hAnsi="Arial" w:cs="Arial"/>
          <w:highlight w:val="yellow"/>
        </w:rPr>
        <w:t>Fikenzer</w:t>
      </w:r>
      <w:proofErr w:type="spellEnd"/>
      <w:r w:rsidRPr="00A621CE">
        <w:rPr>
          <w:rFonts w:ascii="Arial" w:hAnsi="Arial" w:cs="Arial"/>
          <w:highlight w:val="yellow"/>
        </w:rPr>
        <w:t xml:space="preserve"> et al. (2020) demonstrated that surgical and FFP2/N95 masks were associated with reduced cardiopulmonary exercise capacity during graded exercise testing, while do Prado et al. (2022) reported alterations in cardiorespiratory parameters during aerobic exercise with protective mask use. Nevertheless, existing studies largely focus on laboratory-based exercise protocols or peak performance outcomes, leaving limited evidence on physiological responses during moderate-intensity activity conducted under applied, real-world conditions relevant to public health and occupational safety.</w:t>
      </w:r>
    </w:p>
    <w:p w14:paraId="2AB607EF" w14:textId="77777777" w:rsidR="009B056F" w:rsidRPr="009B056F" w:rsidRDefault="009B056F" w:rsidP="009B056F">
      <w:pPr>
        <w:jc w:val="both"/>
        <w:rPr>
          <w:rFonts w:ascii="Arial" w:hAnsi="Arial" w:cs="Arial"/>
        </w:rPr>
      </w:pPr>
    </w:p>
    <w:p w14:paraId="16ED7296" w14:textId="2981E1F2" w:rsidR="009B056F" w:rsidRDefault="009B056F" w:rsidP="009B056F">
      <w:pPr>
        <w:jc w:val="both"/>
        <w:rPr>
          <w:rFonts w:ascii="Arial" w:hAnsi="Arial" w:cs="Arial"/>
        </w:rPr>
      </w:pPr>
      <w:r w:rsidRPr="009B056F">
        <w:rPr>
          <w:rFonts w:ascii="Arial" w:hAnsi="Arial" w:cs="Arial"/>
        </w:rPr>
        <w:t>Previous research on mask us</w:t>
      </w:r>
      <w:r w:rsidR="0093476E">
        <w:rPr>
          <w:rFonts w:ascii="Arial" w:hAnsi="Arial" w:cs="Arial"/>
        </w:rPr>
        <w:t>e</w:t>
      </w:r>
      <w:r w:rsidRPr="009B056F">
        <w:rPr>
          <w:rFonts w:ascii="Arial" w:hAnsi="Arial" w:cs="Arial"/>
        </w:rPr>
        <w:t xml:space="preserve"> during physical activity has yielded </w:t>
      </w:r>
      <w:r w:rsidR="00A621CE" w:rsidRPr="00A621CE">
        <w:rPr>
          <w:rFonts w:ascii="Arial" w:hAnsi="Arial" w:cs="Arial"/>
        </w:rPr>
        <w:t>inconsistent findings</w:t>
      </w:r>
      <w:r w:rsidRPr="009B056F">
        <w:rPr>
          <w:rFonts w:ascii="Arial" w:hAnsi="Arial" w:cs="Arial"/>
        </w:rPr>
        <w:t xml:space="preserve">. Some </w:t>
      </w:r>
      <w:r w:rsidR="00A621CE" w:rsidRPr="00A621CE">
        <w:rPr>
          <w:rFonts w:ascii="Arial" w:hAnsi="Arial" w:cs="Arial"/>
        </w:rPr>
        <w:t xml:space="preserve">studies </w:t>
      </w:r>
      <w:r w:rsidRPr="009B056F">
        <w:rPr>
          <w:rFonts w:ascii="Arial" w:hAnsi="Arial" w:cs="Arial"/>
        </w:rPr>
        <w:t xml:space="preserve">report increased dyspnea, elevated heart rate, and </w:t>
      </w:r>
      <w:r w:rsidR="00A621CE" w:rsidRPr="00A621CE">
        <w:rPr>
          <w:rFonts w:ascii="Arial" w:hAnsi="Arial" w:cs="Arial"/>
        </w:rPr>
        <w:t xml:space="preserve">reduced </w:t>
      </w:r>
      <w:r w:rsidRPr="009B056F">
        <w:rPr>
          <w:rFonts w:ascii="Arial" w:hAnsi="Arial" w:cs="Arial"/>
        </w:rPr>
        <w:t xml:space="preserve">oxygen saturation </w:t>
      </w:r>
      <w:r w:rsidR="00A621CE" w:rsidRPr="00A621CE">
        <w:rPr>
          <w:rFonts w:ascii="Arial" w:hAnsi="Arial" w:cs="Arial"/>
        </w:rPr>
        <w:t xml:space="preserve">during </w:t>
      </w:r>
      <w:r w:rsidRPr="009B056F">
        <w:rPr>
          <w:rFonts w:ascii="Arial" w:hAnsi="Arial" w:cs="Arial"/>
        </w:rPr>
        <w:t xml:space="preserve">moderate-intensity </w:t>
      </w:r>
      <w:r w:rsidR="00A621CE" w:rsidRPr="00A621CE">
        <w:rPr>
          <w:rFonts w:ascii="Arial" w:hAnsi="Arial" w:cs="Arial"/>
        </w:rPr>
        <w:t>exercise</w:t>
      </w:r>
      <w:r w:rsidRPr="009B056F">
        <w:rPr>
          <w:rFonts w:ascii="Arial" w:hAnsi="Arial" w:cs="Arial"/>
        </w:rPr>
        <w:t xml:space="preserve">, whereas others </w:t>
      </w:r>
      <w:r w:rsidR="00A621CE" w:rsidRPr="00A621CE">
        <w:rPr>
          <w:rFonts w:ascii="Arial" w:hAnsi="Arial" w:cs="Arial"/>
        </w:rPr>
        <w:t>suggest minimal</w:t>
      </w:r>
      <w:r w:rsidR="00A621CE">
        <w:rPr>
          <w:rFonts w:ascii="Arial" w:hAnsi="Arial" w:cs="Arial"/>
        </w:rPr>
        <w:t xml:space="preserve"> </w:t>
      </w:r>
      <w:r w:rsidRPr="009B056F">
        <w:rPr>
          <w:rFonts w:ascii="Arial" w:hAnsi="Arial" w:cs="Arial"/>
        </w:rPr>
        <w:t xml:space="preserve">physiological effects (Lott et al., 2022; Zheng et al., 2023; </w:t>
      </w:r>
      <w:bookmarkStart w:id="2" w:name="_Hlk207381704"/>
      <w:proofErr w:type="spellStart"/>
      <w:r w:rsidRPr="009B056F">
        <w:rPr>
          <w:rFonts w:ascii="Arial" w:hAnsi="Arial" w:cs="Arial"/>
        </w:rPr>
        <w:t>Asín-Izquierdo</w:t>
      </w:r>
      <w:proofErr w:type="spellEnd"/>
      <w:r w:rsidRPr="009B056F">
        <w:rPr>
          <w:rFonts w:ascii="Arial" w:hAnsi="Arial" w:cs="Arial"/>
        </w:rPr>
        <w:t xml:space="preserve"> et al., 2022</w:t>
      </w:r>
      <w:bookmarkEnd w:id="2"/>
      <w:r w:rsidRPr="009B056F">
        <w:rPr>
          <w:rFonts w:ascii="Arial" w:hAnsi="Arial" w:cs="Arial"/>
        </w:rPr>
        <w:t xml:space="preserve">). </w:t>
      </w:r>
      <w:r w:rsidR="00A621CE" w:rsidRPr="00A621CE">
        <w:rPr>
          <w:rFonts w:ascii="Arial" w:hAnsi="Arial" w:cs="Arial"/>
        </w:rPr>
        <w:t>Moreover</w:t>
      </w:r>
      <w:r w:rsidRPr="009B056F">
        <w:rPr>
          <w:rFonts w:ascii="Arial" w:hAnsi="Arial" w:cs="Arial"/>
        </w:rPr>
        <w:t xml:space="preserve">, most investigations have focused on surgical or cloth masks. Evidence regarding respirator-type masks, particularly KN95 masks with higher filtration efficiency and tighter fit, remains </w:t>
      </w:r>
      <w:r w:rsidR="00A621CE" w:rsidRPr="00A621CE">
        <w:rPr>
          <w:rFonts w:ascii="Arial" w:hAnsi="Arial" w:cs="Arial"/>
        </w:rPr>
        <w:t>limited</w:t>
      </w:r>
      <w:r w:rsidRPr="009B056F">
        <w:rPr>
          <w:rFonts w:ascii="Arial" w:hAnsi="Arial" w:cs="Arial"/>
        </w:rPr>
        <w:t xml:space="preserve">. This </w:t>
      </w:r>
      <w:r w:rsidR="00A621CE" w:rsidRPr="00A621CE">
        <w:rPr>
          <w:rFonts w:ascii="Arial" w:hAnsi="Arial" w:cs="Arial"/>
        </w:rPr>
        <w:t>gap is critical</w:t>
      </w:r>
      <w:r w:rsidRPr="009B056F">
        <w:rPr>
          <w:rFonts w:ascii="Arial" w:hAnsi="Arial" w:cs="Arial"/>
        </w:rPr>
        <w:t>, as KN95 masks may impose greater breathing resistance compared to non-KN95 masks, potentially influencing physical activity tolerance in active individuals. Understanding these effects is essential not only for infection prevention during pandemics, but also for broader contexts such as air pollution exposure and protection of vulnerable populations (Lai et al., 2024; Duncan et al., 2021). Public health recommendations must balance protective efficacy with physiological safety and user comfort, particularly in active adults who may regularly engage in physical activity while wearing masks.</w:t>
      </w:r>
    </w:p>
    <w:p w14:paraId="52DDA0B0" w14:textId="77777777" w:rsidR="009B056F" w:rsidRPr="009B056F" w:rsidRDefault="009B056F" w:rsidP="009B056F">
      <w:pPr>
        <w:jc w:val="both"/>
        <w:rPr>
          <w:rFonts w:ascii="Arial" w:hAnsi="Arial" w:cs="Arial"/>
        </w:rPr>
      </w:pPr>
    </w:p>
    <w:p w14:paraId="555A1670" w14:textId="3EA5BE01" w:rsidR="009B056F" w:rsidRPr="009B056F" w:rsidRDefault="00692179" w:rsidP="009B056F">
      <w:pPr>
        <w:jc w:val="both"/>
        <w:rPr>
          <w:rFonts w:ascii="Arial" w:hAnsi="Arial" w:cs="Arial"/>
        </w:rPr>
      </w:pPr>
      <w:r w:rsidRPr="00692179">
        <w:rPr>
          <w:rFonts w:ascii="Arial" w:hAnsi="Arial" w:cs="Arial"/>
        </w:rPr>
        <w:t>To our knowledge, few studies have directly compared the physiological impact of KN95 versus non-KN95 masks during controlled physical activity (</w:t>
      </w:r>
      <w:proofErr w:type="spellStart"/>
      <w:r w:rsidRPr="00692179">
        <w:rPr>
          <w:rFonts w:ascii="Arial" w:hAnsi="Arial" w:cs="Arial"/>
        </w:rPr>
        <w:t>Mezghani</w:t>
      </w:r>
      <w:proofErr w:type="spellEnd"/>
      <w:r w:rsidRPr="00692179">
        <w:rPr>
          <w:rFonts w:ascii="Arial" w:hAnsi="Arial" w:cs="Arial"/>
        </w:rPr>
        <w:t xml:space="preserve"> et al., 2023; Keely et al., 2021). This study addresses this evidence gap by evaluating cardiopulmonary responses</w:t>
      </w:r>
      <w:r>
        <w:rPr>
          <w:rFonts w:ascii="Arial" w:hAnsi="Arial" w:cs="Arial"/>
        </w:rPr>
        <w:t xml:space="preserve">, </w:t>
      </w:r>
      <w:r w:rsidRPr="00692179">
        <w:rPr>
          <w:rFonts w:ascii="Arial" w:hAnsi="Arial" w:cs="Arial"/>
        </w:rPr>
        <w:t>including oxygen saturation, heart rate, respiratory rate, and perceived exertion</w:t>
      </w:r>
      <w:r>
        <w:rPr>
          <w:rFonts w:ascii="Arial" w:hAnsi="Arial" w:cs="Arial"/>
        </w:rPr>
        <w:t xml:space="preserve">, </w:t>
      </w:r>
      <w:r w:rsidRPr="00692179">
        <w:rPr>
          <w:rFonts w:ascii="Arial" w:hAnsi="Arial" w:cs="Arial"/>
        </w:rPr>
        <w:t xml:space="preserve">during moderate-intensity cycling in active adults. </w:t>
      </w:r>
      <w:r w:rsidRPr="00692179">
        <w:rPr>
          <w:rFonts w:ascii="Arial" w:hAnsi="Arial" w:cs="Arial"/>
          <w:highlight w:val="cyan"/>
        </w:rPr>
        <w:t>By adopting a field-based, outdoor approach, this study seeks to enhance ecological validity and provide evidence relevant to routine scenarios such as occupational tasks, active commuting, and recreational exercise, while also informing the design of future, more controlled trials assessing the tolerability and safety of high-filtration mask use</w:t>
      </w:r>
      <w:r w:rsidR="009B056F" w:rsidRPr="00692179">
        <w:rPr>
          <w:rFonts w:ascii="Arial" w:hAnsi="Arial" w:cs="Arial"/>
          <w:highlight w:val="cyan"/>
        </w:rPr>
        <w:t>.</w:t>
      </w:r>
    </w:p>
    <w:p w14:paraId="55E262DA" w14:textId="77777777" w:rsidR="00790ADA" w:rsidRPr="00FB3A86" w:rsidRDefault="00790ADA" w:rsidP="00441B6F">
      <w:pPr>
        <w:pStyle w:val="Body"/>
        <w:spacing w:after="0"/>
        <w:rPr>
          <w:rFonts w:ascii="Arial" w:hAnsi="Arial" w:cs="Arial"/>
        </w:rPr>
      </w:pPr>
    </w:p>
    <w:p w14:paraId="68F7203B" w14:textId="65FA013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B9C6BDF" w14:textId="77777777" w:rsidR="00790ADA" w:rsidRPr="00FB3A86" w:rsidRDefault="00790ADA" w:rsidP="00441B6F">
      <w:pPr>
        <w:pStyle w:val="AbstHead"/>
        <w:spacing w:after="0"/>
        <w:jc w:val="both"/>
        <w:rPr>
          <w:rFonts w:ascii="Arial" w:hAnsi="Arial" w:cs="Arial"/>
        </w:rPr>
      </w:pPr>
    </w:p>
    <w:p w14:paraId="38DCC395"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2.1. Study Design and Participants</w:t>
      </w:r>
    </w:p>
    <w:p w14:paraId="084802B9" w14:textId="498717E0" w:rsidR="009B056F" w:rsidRDefault="009B056F" w:rsidP="009B056F">
      <w:pPr>
        <w:jc w:val="both"/>
        <w:rPr>
          <w:rFonts w:ascii="Arial" w:hAnsi="Arial" w:cs="Arial"/>
        </w:rPr>
      </w:pPr>
      <w:r w:rsidRPr="009B056F">
        <w:rPr>
          <w:rFonts w:ascii="Arial" w:hAnsi="Arial" w:cs="Arial"/>
        </w:rPr>
        <w:t xml:space="preserve">The physiological effects of wearing KN95 versus </w:t>
      </w:r>
      <w:r w:rsidR="00B879F4" w:rsidRPr="00B879F4">
        <w:rPr>
          <w:rFonts w:ascii="Arial" w:hAnsi="Arial" w:cs="Arial"/>
        </w:rPr>
        <w:t>a standard surgical (non-KN95) mask</w:t>
      </w:r>
      <w:r w:rsidR="00B879F4">
        <w:rPr>
          <w:rFonts w:ascii="Arial" w:hAnsi="Arial" w:cs="Arial"/>
        </w:rPr>
        <w:t xml:space="preserve"> </w:t>
      </w:r>
      <w:r w:rsidRPr="009B056F">
        <w:rPr>
          <w:rFonts w:ascii="Arial" w:hAnsi="Arial" w:cs="Arial"/>
        </w:rPr>
        <w:t xml:space="preserve">during moderate-intensity cycling were compared in this study using a randomized parallel group-controlled trial. </w:t>
      </w:r>
      <w:r w:rsidR="00B879F4" w:rsidRPr="00B879F4">
        <w:rPr>
          <w:rFonts w:ascii="Arial" w:hAnsi="Arial" w:cs="Arial"/>
          <w:highlight w:val="yellow"/>
        </w:rPr>
        <w:t>Participants were recruited using non-probability convenience sampling from community cycling groups in Jakarta</w:t>
      </w:r>
      <w:r w:rsidRPr="009B056F">
        <w:rPr>
          <w:rFonts w:ascii="Arial" w:hAnsi="Arial" w:cs="Arial"/>
        </w:rPr>
        <w:t xml:space="preserve">. The study was conducted at Lot 8 Sudirman Central Business District (SCBD), Jakarta, </w:t>
      </w:r>
      <w:r w:rsidR="00B879F4">
        <w:rPr>
          <w:rFonts w:ascii="Arial" w:hAnsi="Arial" w:cs="Arial"/>
        </w:rPr>
        <w:t>between</w:t>
      </w:r>
      <w:r w:rsidRPr="009B056F">
        <w:rPr>
          <w:rFonts w:ascii="Arial" w:hAnsi="Arial" w:cs="Arial"/>
        </w:rPr>
        <w:t xml:space="preserve"> October </w:t>
      </w:r>
      <w:r w:rsidR="00B879F4">
        <w:rPr>
          <w:rFonts w:ascii="Arial" w:hAnsi="Arial" w:cs="Arial"/>
        </w:rPr>
        <w:t>and</w:t>
      </w:r>
      <w:r w:rsidRPr="009B056F">
        <w:rPr>
          <w:rFonts w:ascii="Arial" w:hAnsi="Arial" w:cs="Arial"/>
        </w:rPr>
        <w:t xml:space="preserve"> November 2022, under </w:t>
      </w:r>
      <w:r w:rsidR="00B879F4" w:rsidRPr="00B879F4">
        <w:rPr>
          <w:rFonts w:ascii="Arial" w:hAnsi="Arial" w:cs="Arial"/>
        </w:rPr>
        <w:t xml:space="preserve">standardized </w:t>
      </w:r>
      <w:r w:rsidRPr="009B056F">
        <w:rPr>
          <w:rFonts w:ascii="Arial" w:hAnsi="Arial" w:cs="Arial"/>
        </w:rPr>
        <w:t>supervision by the research team.</w:t>
      </w:r>
    </w:p>
    <w:p w14:paraId="117119E5" w14:textId="77777777" w:rsidR="009B056F" w:rsidRPr="009B056F" w:rsidRDefault="009B056F" w:rsidP="009B056F">
      <w:pPr>
        <w:jc w:val="both"/>
        <w:rPr>
          <w:rFonts w:ascii="Arial" w:hAnsi="Arial" w:cs="Arial"/>
        </w:rPr>
      </w:pPr>
    </w:p>
    <w:p w14:paraId="4D9D33A5" w14:textId="2C06078E" w:rsidR="009B056F" w:rsidRDefault="009B056F" w:rsidP="009B056F">
      <w:pPr>
        <w:jc w:val="both"/>
        <w:rPr>
          <w:rFonts w:ascii="Arial" w:hAnsi="Arial" w:cs="Arial"/>
        </w:rPr>
      </w:pPr>
      <w:r w:rsidRPr="009B056F">
        <w:rPr>
          <w:rFonts w:ascii="Arial" w:hAnsi="Arial" w:cs="Arial"/>
        </w:rPr>
        <w:t>A total of 32 healthy adult</w:t>
      </w:r>
      <w:r w:rsidR="00C56A86">
        <w:rPr>
          <w:rFonts w:ascii="Arial" w:hAnsi="Arial" w:cs="Arial"/>
        </w:rPr>
        <w:t>s</w:t>
      </w:r>
      <w:r w:rsidRPr="009B056F">
        <w:rPr>
          <w:rFonts w:ascii="Arial" w:hAnsi="Arial" w:cs="Arial"/>
        </w:rPr>
        <w:t xml:space="preserve"> (20 men and 12 women) were </w:t>
      </w:r>
      <w:r w:rsidR="00B879F4" w:rsidRPr="00B879F4">
        <w:rPr>
          <w:rFonts w:ascii="Arial" w:hAnsi="Arial" w:cs="Arial"/>
        </w:rPr>
        <w:t>enrolled</w:t>
      </w:r>
      <w:r w:rsidRPr="009B056F">
        <w:rPr>
          <w:rFonts w:ascii="Arial" w:hAnsi="Arial" w:cs="Arial"/>
        </w:rPr>
        <w:t xml:space="preserve">. </w:t>
      </w:r>
      <w:r w:rsidRPr="00B879F4">
        <w:rPr>
          <w:rFonts w:ascii="Arial" w:hAnsi="Arial" w:cs="Arial"/>
          <w:highlight w:val="yellow"/>
        </w:rPr>
        <w:t xml:space="preserve">Eligible participants were aged 15–64 years, physically active (cycling at least three times per week for ≥30 minutes per session), and </w:t>
      </w:r>
      <w:r w:rsidR="00B879F4" w:rsidRPr="00B879F4">
        <w:rPr>
          <w:rFonts w:ascii="Arial" w:hAnsi="Arial" w:cs="Arial"/>
          <w:highlight w:val="yellow"/>
        </w:rPr>
        <w:t xml:space="preserve">reported no </w:t>
      </w:r>
      <w:r w:rsidRPr="00B879F4">
        <w:rPr>
          <w:rFonts w:ascii="Arial" w:hAnsi="Arial" w:cs="Arial"/>
          <w:highlight w:val="yellow"/>
        </w:rPr>
        <w:t xml:space="preserve">history of chronic cardiopulmonary disease. Exclusion criteria included current smoking, acute respiratory illness within the </w:t>
      </w:r>
      <w:r w:rsidR="00B879F4" w:rsidRPr="00B879F4">
        <w:rPr>
          <w:rFonts w:ascii="Arial" w:hAnsi="Arial" w:cs="Arial"/>
          <w:highlight w:val="yellow"/>
        </w:rPr>
        <w:t xml:space="preserve">previous </w:t>
      </w:r>
      <w:r w:rsidRPr="00B879F4">
        <w:rPr>
          <w:rFonts w:ascii="Arial" w:hAnsi="Arial" w:cs="Arial"/>
          <w:highlight w:val="yellow"/>
        </w:rPr>
        <w:t>two weeks, alcohol or recreational drug</w:t>
      </w:r>
      <w:r w:rsidR="00B879F4" w:rsidRPr="00B879F4">
        <w:rPr>
          <w:rFonts w:ascii="Arial" w:hAnsi="Arial" w:cs="Arial"/>
          <w:highlight w:val="yellow"/>
        </w:rPr>
        <w:t xml:space="preserve"> use</w:t>
      </w:r>
      <w:r w:rsidRPr="00B879F4">
        <w:rPr>
          <w:rFonts w:ascii="Arial" w:hAnsi="Arial" w:cs="Arial"/>
          <w:highlight w:val="yellow"/>
        </w:rPr>
        <w:t xml:space="preserve">, and any </w:t>
      </w:r>
      <w:r w:rsidR="00B879F4" w:rsidRPr="00B879F4">
        <w:rPr>
          <w:rFonts w:ascii="Arial" w:hAnsi="Arial" w:cs="Arial"/>
          <w:highlight w:val="yellow"/>
        </w:rPr>
        <w:t xml:space="preserve">medical contraindication to moderate-intensity physical </w:t>
      </w:r>
      <w:r w:rsidR="00B879F4" w:rsidRPr="00B879F4">
        <w:rPr>
          <w:rFonts w:ascii="Arial" w:hAnsi="Arial" w:cs="Arial"/>
          <w:highlight w:val="yellow"/>
        </w:rPr>
        <w:lastRenderedPageBreak/>
        <w:t>activity</w:t>
      </w:r>
      <w:r w:rsidRPr="00B879F4">
        <w:rPr>
          <w:rFonts w:ascii="Arial" w:hAnsi="Arial" w:cs="Arial"/>
          <w:highlight w:val="yellow"/>
        </w:rPr>
        <w:t xml:space="preserve">. Baseline characteristics, including age, sex, </w:t>
      </w:r>
      <w:r w:rsidR="00B879F4" w:rsidRPr="00B879F4">
        <w:rPr>
          <w:rFonts w:ascii="Arial" w:hAnsi="Arial" w:cs="Arial"/>
          <w:highlight w:val="yellow"/>
        </w:rPr>
        <w:t xml:space="preserve">body </w:t>
      </w:r>
      <w:r w:rsidRPr="00B879F4">
        <w:rPr>
          <w:rFonts w:ascii="Arial" w:hAnsi="Arial" w:cs="Arial"/>
          <w:highlight w:val="yellow"/>
        </w:rPr>
        <w:t xml:space="preserve">weight, height, and body mass index (BMI), were recorded </w:t>
      </w:r>
      <w:r w:rsidR="00B879F4" w:rsidRPr="00B879F4">
        <w:rPr>
          <w:rFonts w:ascii="Arial" w:hAnsi="Arial" w:cs="Arial"/>
          <w:highlight w:val="yellow"/>
        </w:rPr>
        <w:t>prior to</w:t>
      </w:r>
      <w:r w:rsidRPr="00B879F4">
        <w:rPr>
          <w:rFonts w:ascii="Arial" w:hAnsi="Arial" w:cs="Arial"/>
          <w:highlight w:val="yellow"/>
        </w:rPr>
        <w:t xml:space="preserve"> randomization. </w:t>
      </w:r>
      <w:r w:rsidR="00B879F4" w:rsidRPr="00B879F4">
        <w:rPr>
          <w:rFonts w:ascii="Arial" w:hAnsi="Arial" w:cs="Arial"/>
          <w:highlight w:val="yellow"/>
        </w:rPr>
        <w:t xml:space="preserve">Participants were then </w:t>
      </w:r>
      <w:r w:rsidR="00B879F4" w:rsidRPr="00C56A86">
        <w:rPr>
          <w:rFonts w:ascii="Arial" w:hAnsi="Arial" w:cs="Arial"/>
          <w:highlight w:val="yellow"/>
        </w:rPr>
        <w:t>randomly allocated in a 1:1 ratio</w:t>
      </w:r>
      <w:r w:rsidR="00B879F4" w:rsidRPr="00B879F4">
        <w:rPr>
          <w:rFonts w:ascii="Arial" w:hAnsi="Arial" w:cs="Arial"/>
          <w:highlight w:val="yellow"/>
        </w:rPr>
        <w:t xml:space="preserve"> to either the KN95 mask group (n = 16) or the </w:t>
      </w:r>
      <w:r w:rsidR="00C56A86" w:rsidRPr="00C56A86">
        <w:rPr>
          <w:rFonts w:ascii="Arial" w:hAnsi="Arial" w:cs="Arial"/>
          <w:highlight w:val="yellow"/>
        </w:rPr>
        <w:t xml:space="preserve">standard </w:t>
      </w:r>
      <w:r w:rsidR="00B879F4" w:rsidRPr="00B879F4">
        <w:rPr>
          <w:rFonts w:ascii="Arial" w:hAnsi="Arial" w:cs="Arial"/>
          <w:highlight w:val="yellow"/>
        </w:rPr>
        <w:t>surgical mask group (n = 16) using a computer-generated randomization sequence</w:t>
      </w:r>
      <w:r w:rsidRPr="00B879F4">
        <w:rPr>
          <w:rFonts w:ascii="Arial" w:hAnsi="Arial" w:cs="Arial"/>
          <w:highlight w:val="yellow"/>
        </w:rPr>
        <w:t>.</w:t>
      </w:r>
      <w:r w:rsidRPr="009B056F">
        <w:rPr>
          <w:rFonts w:ascii="Arial" w:hAnsi="Arial" w:cs="Arial"/>
        </w:rPr>
        <w:t xml:space="preserve"> </w:t>
      </w:r>
      <w:r w:rsidR="00B879F4">
        <w:rPr>
          <w:rFonts w:ascii="Arial" w:hAnsi="Arial" w:cs="Arial"/>
        </w:rPr>
        <w:t xml:space="preserve"> </w:t>
      </w:r>
      <w:r w:rsidR="00C56A86" w:rsidRPr="00C56A86">
        <w:rPr>
          <w:rFonts w:ascii="Arial" w:hAnsi="Arial" w:cs="Arial"/>
          <w:highlight w:val="cyan"/>
        </w:rPr>
        <w:t>Due to the nature of the intervention, blinding of participants and investigators was not feasible.</w:t>
      </w:r>
      <w:r w:rsidR="00C56A86">
        <w:rPr>
          <w:rFonts w:ascii="Arial" w:hAnsi="Arial" w:cs="Arial"/>
        </w:rPr>
        <w:t xml:space="preserve"> </w:t>
      </w:r>
    </w:p>
    <w:p w14:paraId="3B6913B2" w14:textId="77777777" w:rsidR="009B056F" w:rsidRPr="009B056F" w:rsidRDefault="009B056F" w:rsidP="009B056F">
      <w:pPr>
        <w:jc w:val="both"/>
        <w:rPr>
          <w:rFonts w:ascii="Arial" w:hAnsi="Arial" w:cs="Arial"/>
        </w:rPr>
      </w:pPr>
    </w:p>
    <w:p w14:paraId="22D322E0"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2.2. Physical Activity Protocol</w:t>
      </w:r>
    </w:p>
    <w:p w14:paraId="7D2340EA" w14:textId="6506261F" w:rsidR="00B00322" w:rsidRDefault="009B056F" w:rsidP="009B056F">
      <w:pPr>
        <w:jc w:val="both"/>
        <w:rPr>
          <w:rFonts w:ascii="Arial" w:hAnsi="Arial" w:cs="Arial"/>
        </w:rPr>
      </w:pPr>
      <w:r w:rsidRPr="009B056F">
        <w:rPr>
          <w:rFonts w:ascii="Arial" w:hAnsi="Arial" w:cs="Arial"/>
        </w:rPr>
        <w:t xml:space="preserve">All participants </w:t>
      </w:r>
      <w:r w:rsidR="00B00322" w:rsidRPr="00B00322">
        <w:rPr>
          <w:rFonts w:ascii="Arial" w:hAnsi="Arial" w:cs="Arial"/>
        </w:rPr>
        <w:t xml:space="preserve">completed </w:t>
      </w:r>
      <w:r w:rsidRPr="009B056F">
        <w:rPr>
          <w:rFonts w:ascii="Arial" w:hAnsi="Arial" w:cs="Arial"/>
        </w:rPr>
        <w:t xml:space="preserve">a standardized outdoor cycling </w:t>
      </w:r>
      <w:r w:rsidR="00B00322" w:rsidRPr="00B00322">
        <w:rPr>
          <w:rFonts w:ascii="Arial" w:hAnsi="Arial" w:cs="Arial"/>
        </w:rPr>
        <w:t>protocol</w:t>
      </w:r>
      <w:r w:rsidR="00B00322">
        <w:rPr>
          <w:rFonts w:ascii="Arial" w:hAnsi="Arial" w:cs="Arial"/>
        </w:rPr>
        <w:t xml:space="preserve"> </w:t>
      </w:r>
      <w:r w:rsidRPr="009B056F">
        <w:rPr>
          <w:rFonts w:ascii="Arial" w:hAnsi="Arial" w:cs="Arial"/>
        </w:rPr>
        <w:t xml:space="preserve">using their </w:t>
      </w:r>
      <w:r w:rsidR="00B00322">
        <w:rPr>
          <w:rFonts w:ascii="Arial" w:hAnsi="Arial" w:cs="Arial"/>
        </w:rPr>
        <w:t xml:space="preserve">own </w:t>
      </w:r>
      <w:r w:rsidRPr="009B056F">
        <w:rPr>
          <w:rFonts w:ascii="Arial" w:hAnsi="Arial" w:cs="Arial"/>
        </w:rPr>
        <w:t xml:space="preserve">bicycles. </w:t>
      </w:r>
      <w:r w:rsidRPr="00B00322">
        <w:rPr>
          <w:rFonts w:ascii="Arial" w:hAnsi="Arial" w:cs="Arial"/>
          <w:highlight w:val="yellow"/>
        </w:rPr>
        <w:t xml:space="preserve">Each participant was instructed to cycle continuously at a constant speed of 15 km/h </w:t>
      </w:r>
      <w:r w:rsidR="00B00322" w:rsidRPr="00B00322">
        <w:rPr>
          <w:rFonts w:ascii="Arial" w:hAnsi="Arial" w:cs="Arial"/>
          <w:highlight w:val="yellow"/>
        </w:rPr>
        <w:t xml:space="preserve">over a distance of </w:t>
      </w:r>
      <w:r w:rsidRPr="00B00322">
        <w:rPr>
          <w:rFonts w:ascii="Arial" w:hAnsi="Arial" w:cs="Arial"/>
          <w:highlight w:val="yellow"/>
        </w:rPr>
        <w:t>8 km</w:t>
      </w:r>
      <w:r w:rsidRPr="009B056F">
        <w:rPr>
          <w:rFonts w:ascii="Arial" w:hAnsi="Arial" w:cs="Arial"/>
        </w:rPr>
        <w:t xml:space="preserve">, </w:t>
      </w:r>
      <w:r w:rsidRPr="00B00322">
        <w:rPr>
          <w:rFonts w:ascii="Arial" w:hAnsi="Arial" w:cs="Arial"/>
          <w:highlight w:val="yellow"/>
        </w:rPr>
        <w:t>corresponding to approximately 30 minutes</w:t>
      </w:r>
      <w:r w:rsidRPr="009B056F">
        <w:rPr>
          <w:rFonts w:ascii="Arial" w:hAnsi="Arial" w:cs="Arial"/>
        </w:rPr>
        <w:t xml:space="preserve"> </w:t>
      </w:r>
      <w:r w:rsidRPr="00B00322">
        <w:rPr>
          <w:rFonts w:ascii="Arial" w:hAnsi="Arial" w:cs="Arial"/>
          <w:highlight w:val="yellow"/>
        </w:rPr>
        <w:t>of moderate-intensity physical activity.</w:t>
      </w:r>
      <w:r w:rsidRPr="009B056F">
        <w:rPr>
          <w:rFonts w:ascii="Arial" w:hAnsi="Arial" w:cs="Arial"/>
        </w:rPr>
        <w:t xml:space="preserve"> </w:t>
      </w:r>
      <w:r w:rsidRPr="00B00322">
        <w:rPr>
          <w:rFonts w:ascii="Arial" w:hAnsi="Arial" w:cs="Arial"/>
          <w:highlight w:val="yellow"/>
        </w:rPr>
        <w:t xml:space="preserve">The </w:t>
      </w:r>
      <w:r w:rsidR="00B00322" w:rsidRPr="00B00322">
        <w:rPr>
          <w:rFonts w:ascii="Arial" w:hAnsi="Arial" w:cs="Arial"/>
          <w:highlight w:val="yellow"/>
        </w:rPr>
        <w:t xml:space="preserve">cycling </w:t>
      </w:r>
      <w:r w:rsidRPr="00B00322">
        <w:rPr>
          <w:rFonts w:ascii="Arial" w:hAnsi="Arial" w:cs="Arial"/>
          <w:highlight w:val="yellow"/>
        </w:rPr>
        <w:t xml:space="preserve">route was selected to minimize traffic interruptions while </w:t>
      </w:r>
      <w:r w:rsidR="00B00322" w:rsidRPr="00B00322">
        <w:rPr>
          <w:rFonts w:ascii="Arial" w:hAnsi="Arial" w:cs="Arial"/>
          <w:highlight w:val="yellow"/>
        </w:rPr>
        <w:t>maintaining ecological validity representative of urban commuting conditions</w:t>
      </w:r>
      <w:r w:rsidRPr="009B056F">
        <w:rPr>
          <w:rFonts w:ascii="Arial" w:hAnsi="Arial" w:cs="Arial"/>
        </w:rPr>
        <w:t>.</w:t>
      </w:r>
      <w:r w:rsidR="00B00322">
        <w:rPr>
          <w:rFonts w:ascii="Arial" w:hAnsi="Arial" w:cs="Arial"/>
        </w:rPr>
        <w:t xml:space="preserve"> </w:t>
      </w:r>
      <w:r w:rsidRPr="00B00322">
        <w:rPr>
          <w:rFonts w:ascii="Arial" w:hAnsi="Arial" w:cs="Arial"/>
          <w:highlight w:val="yellow"/>
        </w:rPr>
        <w:t xml:space="preserve">Participants were instructed to maintain a steady pace throughout the session while wearing either a KN95 or </w:t>
      </w:r>
      <w:r w:rsidR="00B00322" w:rsidRPr="00B00322">
        <w:rPr>
          <w:rFonts w:ascii="Arial" w:hAnsi="Arial" w:cs="Arial"/>
          <w:highlight w:val="yellow"/>
        </w:rPr>
        <w:t>a standard surgical (non-KN95) mask,</w:t>
      </w:r>
      <w:r w:rsidRPr="00B00322">
        <w:rPr>
          <w:rFonts w:ascii="Arial" w:hAnsi="Arial" w:cs="Arial"/>
          <w:highlight w:val="yellow"/>
        </w:rPr>
        <w:t xml:space="preserve"> according to their randomized </w:t>
      </w:r>
      <w:r w:rsidR="00B00322" w:rsidRPr="00B00322">
        <w:rPr>
          <w:rFonts w:ascii="Arial" w:hAnsi="Arial" w:cs="Arial"/>
          <w:highlight w:val="yellow"/>
        </w:rPr>
        <w:t xml:space="preserve">group </w:t>
      </w:r>
      <w:r w:rsidRPr="00B00322">
        <w:rPr>
          <w:rFonts w:ascii="Arial" w:hAnsi="Arial" w:cs="Arial"/>
          <w:highlight w:val="yellow"/>
        </w:rPr>
        <w:t xml:space="preserve">allocation. </w:t>
      </w:r>
      <w:r w:rsidR="00B00322" w:rsidRPr="00B00322">
        <w:rPr>
          <w:rFonts w:ascii="Arial" w:hAnsi="Arial" w:cs="Arial"/>
          <w:highlight w:val="yellow"/>
        </w:rPr>
        <w:t>All masks were new, unused, and worn in accordance with manufacturer instructions to ensure consistency in fit and usage.</w:t>
      </w:r>
      <w:r w:rsidR="00B00322">
        <w:rPr>
          <w:rFonts w:ascii="Arial" w:hAnsi="Arial" w:cs="Arial"/>
        </w:rPr>
        <w:t xml:space="preserve">  </w:t>
      </w:r>
    </w:p>
    <w:p w14:paraId="18EDAE5D" w14:textId="4A8960A8" w:rsidR="009B056F" w:rsidRPr="008B2980" w:rsidRDefault="009B056F" w:rsidP="009B056F">
      <w:pPr>
        <w:jc w:val="both"/>
        <w:rPr>
          <w:rFonts w:ascii="Arial" w:hAnsi="Arial" w:cs="Arial"/>
        </w:rPr>
      </w:pPr>
      <w:r w:rsidRPr="009B056F">
        <w:rPr>
          <w:rFonts w:ascii="Arial" w:hAnsi="Arial" w:cs="Arial"/>
        </w:rPr>
        <w:t xml:space="preserve">Physiological </w:t>
      </w:r>
      <w:r w:rsidR="00B00322" w:rsidRPr="00B00322">
        <w:rPr>
          <w:rFonts w:ascii="Arial" w:hAnsi="Arial" w:cs="Arial"/>
        </w:rPr>
        <w:t>parameters</w:t>
      </w:r>
      <w:r w:rsidRPr="009B056F">
        <w:rPr>
          <w:rFonts w:ascii="Arial" w:hAnsi="Arial" w:cs="Arial"/>
        </w:rPr>
        <w:t>—including heart rate (HR), respiratory rate (RR), and oxygen saturation (</w:t>
      </w:r>
      <w:proofErr w:type="spellStart"/>
      <w:r w:rsidRPr="009B056F">
        <w:rPr>
          <w:rFonts w:ascii="Arial" w:hAnsi="Arial" w:cs="Arial"/>
        </w:rPr>
        <w:t>SpO</w:t>
      </w:r>
      <w:proofErr w:type="spellEnd"/>
      <w:r w:rsidRPr="009B056F">
        <w:rPr>
          <w:rFonts w:ascii="Cambria Math" w:hAnsi="Cambria Math" w:cs="Cambria Math"/>
        </w:rPr>
        <w:t>₂</w:t>
      </w:r>
      <w:r w:rsidRPr="009B056F">
        <w:rPr>
          <w:rFonts w:ascii="Arial" w:hAnsi="Arial" w:cs="Arial"/>
        </w:rPr>
        <w:t xml:space="preserve">)—were </w:t>
      </w:r>
      <w:r w:rsidR="00B00322" w:rsidRPr="00B00322">
        <w:rPr>
          <w:rFonts w:ascii="Arial" w:hAnsi="Arial" w:cs="Arial"/>
        </w:rPr>
        <w:t xml:space="preserve">assessed </w:t>
      </w:r>
      <w:r w:rsidRPr="009B056F">
        <w:rPr>
          <w:rFonts w:ascii="Arial" w:hAnsi="Arial" w:cs="Arial"/>
        </w:rPr>
        <w:t xml:space="preserve">once, </w:t>
      </w:r>
      <w:r w:rsidR="00B00322" w:rsidRPr="00B00322">
        <w:rPr>
          <w:rFonts w:ascii="Arial" w:hAnsi="Arial" w:cs="Arial"/>
          <w:highlight w:val="yellow"/>
        </w:rPr>
        <w:t>at 5 minutes following completion of the cycling activity, to evaluate early recovery responses</w:t>
      </w:r>
      <w:r w:rsidRPr="009B056F">
        <w:rPr>
          <w:rFonts w:ascii="Arial" w:hAnsi="Arial" w:cs="Arial"/>
        </w:rPr>
        <w:t xml:space="preserve">. </w:t>
      </w:r>
      <w:r w:rsidR="008B2980" w:rsidRPr="008B2980">
        <w:rPr>
          <w:rFonts w:ascii="Arial" w:hAnsi="Arial" w:cs="Arial"/>
          <w:highlight w:val="yellow"/>
        </w:rPr>
        <w:t>Measurements during active exercise were not conducted due to logistical and safety considerations in the outdoor setting. We acknowledge that physiological measurements obtained during early recovery may not fully capture the peak cardiopulmonary strain experienced during exercise, which is a limitation of this study</w:t>
      </w:r>
      <w:r w:rsidRPr="008B2980">
        <w:rPr>
          <w:rFonts w:ascii="Arial" w:hAnsi="Arial" w:cs="Arial"/>
          <w:highlight w:val="yellow"/>
        </w:rPr>
        <w:t>.</w:t>
      </w:r>
      <w:r w:rsidR="008B2980">
        <w:rPr>
          <w:rFonts w:ascii="Arial" w:hAnsi="Arial" w:cs="Arial"/>
        </w:rPr>
        <w:t xml:space="preserve"> </w:t>
      </w:r>
      <w:r w:rsidR="008B2980" w:rsidRPr="008B2980">
        <w:rPr>
          <w:rFonts w:ascii="Arial" w:hAnsi="Arial" w:cs="Arial"/>
          <w:highlight w:val="yellow"/>
        </w:rPr>
        <w:t>The cycling sessions were conducted in an outdoor urban environment under relatively stable conditions; however, ambient environmental variables, including temperature, relative humidity, and particulate matter (PM2.5), were not objectively monitored during testing. These factors may have influenced physiological responses and are therefore recognized as potential confounders.</w:t>
      </w:r>
    </w:p>
    <w:p w14:paraId="02CEB32A" w14:textId="77777777" w:rsidR="009B056F" w:rsidRPr="009B056F" w:rsidRDefault="009B056F" w:rsidP="009B056F">
      <w:pPr>
        <w:jc w:val="both"/>
        <w:rPr>
          <w:rFonts w:ascii="Arial" w:hAnsi="Arial" w:cs="Arial"/>
        </w:rPr>
      </w:pPr>
    </w:p>
    <w:p w14:paraId="7146E818"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2.3. Outcome Measurements</w:t>
      </w:r>
    </w:p>
    <w:p w14:paraId="4842D768" w14:textId="7E8642F0" w:rsidR="009B056F" w:rsidRDefault="008B2980" w:rsidP="009B056F">
      <w:pPr>
        <w:jc w:val="both"/>
        <w:rPr>
          <w:rFonts w:ascii="Arial" w:hAnsi="Arial" w:cs="Arial"/>
        </w:rPr>
      </w:pPr>
      <w:r w:rsidRPr="008B2980">
        <w:rPr>
          <w:rFonts w:ascii="Arial" w:hAnsi="Arial" w:cs="Arial"/>
        </w:rPr>
        <w:t xml:space="preserve">Physiological outcomes were evaluated as </w:t>
      </w:r>
      <w:r w:rsidRPr="008B2980">
        <w:rPr>
          <w:rFonts w:ascii="Arial" w:hAnsi="Arial" w:cs="Arial"/>
          <w:highlight w:val="yellow"/>
        </w:rPr>
        <w:t>early recovery responses, assessed at a single time point, five minutes after completion of the cycling protocol.</w:t>
      </w:r>
      <w:r w:rsidRPr="008B2980">
        <w:rPr>
          <w:rFonts w:ascii="Arial" w:hAnsi="Arial" w:cs="Arial"/>
        </w:rPr>
        <w:t xml:space="preserve"> This time point was selected to ensure participant safety and measurement consistency in an outdoor exercise setting</w:t>
      </w:r>
      <w:r w:rsidR="009B056F" w:rsidRPr="009B056F">
        <w:rPr>
          <w:rFonts w:ascii="Arial" w:hAnsi="Arial" w:cs="Arial"/>
        </w:rPr>
        <w:t>. Heart rate (HR) was measured using a chest strap heart rate monitor</w:t>
      </w:r>
      <w:r>
        <w:rPr>
          <w:rFonts w:ascii="Arial" w:hAnsi="Arial" w:cs="Arial"/>
        </w:rPr>
        <w:t xml:space="preserve"> </w:t>
      </w:r>
      <w:r w:rsidRPr="008B2980">
        <w:rPr>
          <w:rFonts w:ascii="Arial" w:hAnsi="Arial" w:cs="Arial"/>
        </w:rPr>
        <w:t>and recorded</w:t>
      </w:r>
      <w:r w:rsidR="009B056F" w:rsidRPr="009B056F">
        <w:rPr>
          <w:rFonts w:ascii="Arial" w:hAnsi="Arial" w:cs="Arial"/>
        </w:rPr>
        <w:t xml:space="preserve"> in beats per minute (bpm). Respiratory rate (RR) was </w:t>
      </w:r>
      <w:r w:rsidRPr="008B2980">
        <w:rPr>
          <w:rFonts w:ascii="Arial" w:hAnsi="Arial" w:cs="Arial"/>
        </w:rPr>
        <w:t xml:space="preserve">assessed through </w:t>
      </w:r>
      <w:r w:rsidR="009B056F" w:rsidRPr="009B056F">
        <w:rPr>
          <w:rFonts w:ascii="Arial" w:hAnsi="Arial" w:cs="Arial"/>
        </w:rPr>
        <w:t xml:space="preserve">manual </w:t>
      </w:r>
      <w:r w:rsidRPr="008B2980">
        <w:rPr>
          <w:rFonts w:ascii="Arial" w:hAnsi="Arial" w:cs="Arial"/>
        </w:rPr>
        <w:t xml:space="preserve">counting </w:t>
      </w:r>
      <w:r w:rsidR="009B056F" w:rsidRPr="009B056F">
        <w:rPr>
          <w:rFonts w:ascii="Arial" w:hAnsi="Arial" w:cs="Arial"/>
        </w:rPr>
        <w:t xml:space="preserve">of thoracic movements </w:t>
      </w:r>
      <w:r>
        <w:rPr>
          <w:rFonts w:ascii="Arial" w:hAnsi="Arial" w:cs="Arial"/>
        </w:rPr>
        <w:t>over</w:t>
      </w:r>
      <w:r w:rsidR="009B056F" w:rsidRPr="009B056F">
        <w:rPr>
          <w:rFonts w:ascii="Arial" w:hAnsi="Arial" w:cs="Arial"/>
        </w:rPr>
        <w:t xml:space="preserve"> one full minute</w:t>
      </w:r>
      <w:r>
        <w:rPr>
          <w:rFonts w:ascii="Arial" w:hAnsi="Arial" w:cs="Arial"/>
        </w:rPr>
        <w:t xml:space="preserve"> and</w:t>
      </w:r>
      <w:r w:rsidR="009B056F" w:rsidRPr="009B056F">
        <w:rPr>
          <w:rFonts w:ascii="Arial" w:hAnsi="Arial" w:cs="Arial"/>
        </w:rPr>
        <w:t xml:space="preserve"> verified </w:t>
      </w:r>
      <w:r>
        <w:rPr>
          <w:rFonts w:ascii="Arial" w:hAnsi="Arial" w:cs="Arial"/>
        </w:rPr>
        <w:t>using</w:t>
      </w:r>
      <w:r w:rsidR="009B056F" w:rsidRPr="009B056F">
        <w:rPr>
          <w:rFonts w:ascii="Arial" w:hAnsi="Arial" w:cs="Arial"/>
        </w:rPr>
        <w:t xml:space="preserve"> a portable respiratory sensor, expressed </w:t>
      </w:r>
      <w:r>
        <w:rPr>
          <w:rFonts w:ascii="Arial" w:hAnsi="Arial" w:cs="Arial"/>
        </w:rPr>
        <w:t>as</w:t>
      </w:r>
      <w:r w:rsidR="009B056F" w:rsidRPr="009B056F">
        <w:rPr>
          <w:rFonts w:ascii="Arial" w:hAnsi="Arial" w:cs="Arial"/>
        </w:rPr>
        <w:t xml:space="preserve"> breaths per minute. Oxygen saturation (</w:t>
      </w:r>
      <w:proofErr w:type="spellStart"/>
      <w:r w:rsidR="009B056F" w:rsidRPr="009B056F">
        <w:rPr>
          <w:rFonts w:ascii="Arial" w:hAnsi="Arial" w:cs="Arial"/>
        </w:rPr>
        <w:t>SpO</w:t>
      </w:r>
      <w:proofErr w:type="spellEnd"/>
      <w:r w:rsidR="009B056F" w:rsidRPr="009B056F">
        <w:rPr>
          <w:rFonts w:ascii="Cambria Math" w:hAnsi="Cambria Math" w:cs="Cambria Math"/>
        </w:rPr>
        <w:t>₂</w:t>
      </w:r>
      <w:r w:rsidR="009B056F" w:rsidRPr="009B056F">
        <w:rPr>
          <w:rFonts w:ascii="Arial" w:hAnsi="Arial" w:cs="Arial"/>
        </w:rPr>
        <w:t xml:space="preserve">) was measured using a validated fingertip pulse oximeter (Masimo </w:t>
      </w:r>
      <w:r w:rsidRPr="009B056F">
        <w:rPr>
          <w:rFonts w:ascii="Arial" w:hAnsi="Arial" w:cs="Arial"/>
        </w:rPr>
        <w:t>Mighty Sat</w:t>
      </w:r>
      <w:r w:rsidR="009B056F" w:rsidRPr="009B056F">
        <w:rPr>
          <w:rFonts w:ascii="Arial" w:hAnsi="Arial" w:cs="Arial"/>
        </w:rPr>
        <w:t xml:space="preserve"> Rx) and </w:t>
      </w:r>
      <w:r w:rsidRPr="008B2980">
        <w:rPr>
          <w:rFonts w:ascii="Arial" w:hAnsi="Arial" w:cs="Arial"/>
        </w:rPr>
        <w:t xml:space="preserve">recorded </w:t>
      </w:r>
      <w:r w:rsidR="009B056F" w:rsidRPr="009B056F">
        <w:rPr>
          <w:rFonts w:ascii="Arial" w:hAnsi="Arial" w:cs="Arial"/>
        </w:rPr>
        <w:t xml:space="preserve">as a percentage. All </w:t>
      </w:r>
      <w:r w:rsidRPr="008B2980">
        <w:rPr>
          <w:rFonts w:ascii="Arial" w:hAnsi="Arial" w:cs="Arial"/>
        </w:rPr>
        <w:t xml:space="preserve">physiological </w:t>
      </w:r>
      <w:r w:rsidR="009B056F" w:rsidRPr="009B056F">
        <w:rPr>
          <w:rFonts w:ascii="Arial" w:hAnsi="Arial" w:cs="Arial"/>
        </w:rPr>
        <w:t xml:space="preserve">measurements were </w:t>
      </w:r>
      <w:r w:rsidRPr="008B2980">
        <w:rPr>
          <w:rFonts w:ascii="Arial" w:hAnsi="Arial" w:cs="Arial"/>
        </w:rPr>
        <w:t xml:space="preserve">conducted </w:t>
      </w:r>
      <w:r w:rsidR="009B056F" w:rsidRPr="009B056F">
        <w:rPr>
          <w:rFonts w:ascii="Arial" w:hAnsi="Arial" w:cs="Arial"/>
        </w:rPr>
        <w:t xml:space="preserve">by trained research </w:t>
      </w:r>
      <w:r w:rsidRPr="008B2980">
        <w:rPr>
          <w:rFonts w:ascii="Arial" w:hAnsi="Arial" w:cs="Arial"/>
        </w:rPr>
        <w:t xml:space="preserve">personnel </w:t>
      </w:r>
      <w:r w:rsidR="009B056F" w:rsidRPr="009B056F">
        <w:rPr>
          <w:rFonts w:ascii="Arial" w:hAnsi="Arial" w:cs="Arial"/>
        </w:rPr>
        <w:t xml:space="preserve">under standardized </w:t>
      </w:r>
      <w:r w:rsidRPr="008B2980">
        <w:rPr>
          <w:rFonts w:ascii="Arial" w:hAnsi="Arial" w:cs="Arial"/>
        </w:rPr>
        <w:t xml:space="preserve">procedures </w:t>
      </w:r>
      <w:r w:rsidR="009B056F" w:rsidRPr="009B056F">
        <w:rPr>
          <w:rFonts w:ascii="Arial" w:hAnsi="Arial" w:cs="Arial"/>
        </w:rPr>
        <w:t>to minimize inter-observer variability.</w:t>
      </w:r>
      <w:r>
        <w:rPr>
          <w:rFonts w:ascii="Arial" w:hAnsi="Arial" w:cs="Arial"/>
        </w:rPr>
        <w:t xml:space="preserve">   </w:t>
      </w:r>
    </w:p>
    <w:p w14:paraId="6694DBE3" w14:textId="77777777" w:rsidR="009B056F" w:rsidRPr="009B056F" w:rsidRDefault="009B056F" w:rsidP="009B056F">
      <w:pPr>
        <w:jc w:val="both"/>
        <w:rPr>
          <w:rFonts w:ascii="Arial" w:hAnsi="Arial" w:cs="Arial"/>
        </w:rPr>
      </w:pPr>
    </w:p>
    <w:p w14:paraId="474E7FD5"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2.4. Statistical Analysis</w:t>
      </w:r>
    </w:p>
    <w:p w14:paraId="6C25BF3B" w14:textId="4684C67A" w:rsidR="009B056F" w:rsidRDefault="009B056F" w:rsidP="009B056F">
      <w:pPr>
        <w:jc w:val="both"/>
        <w:rPr>
          <w:rFonts w:ascii="Arial" w:hAnsi="Arial" w:cs="Arial"/>
        </w:rPr>
      </w:pPr>
      <w:r w:rsidRPr="009B056F">
        <w:rPr>
          <w:rFonts w:ascii="Arial" w:hAnsi="Arial" w:cs="Arial"/>
        </w:rPr>
        <w:t xml:space="preserve">Data were analyzed using SPSS version 25 (IBM Corp., Armonk, NY, USA). Descriptive statistics were </w:t>
      </w:r>
      <w:r w:rsidR="00B20220" w:rsidRPr="00B20220">
        <w:rPr>
          <w:rFonts w:ascii="Arial" w:hAnsi="Arial" w:cs="Arial"/>
        </w:rPr>
        <w:t xml:space="preserve">summarized </w:t>
      </w:r>
      <w:r w:rsidR="00B20220">
        <w:rPr>
          <w:rFonts w:ascii="Arial" w:hAnsi="Arial" w:cs="Arial"/>
        </w:rPr>
        <w:t>as</w:t>
      </w:r>
      <w:r w:rsidRPr="009B056F">
        <w:rPr>
          <w:rFonts w:ascii="Arial" w:hAnsi="Arial" w:cs="Arial"/>
        </w:rPr>
        <w:t xml:space="preserve"> mean ± standard deviation for continuous variables and frequencies (%) for categorical variables. Independent samples t-tests were used to compare physiological parameters (HR, RR, and </w:t>
      </w:r>
      <w:proofErr w:type="spellStart"/>
      <w:r w:rsidRPr="009B056F">
        <w:rPr>
          <w:rFonts w:ascii="Arial" w:hAnsi="Arial" w:cs="Arial"/>
        </w:rPr>
        <w:t>SpO</w:t>
      </w:r>
      <w:proofErr w:type="spellEnd"/>
      <w:r w:rsidRPr="009B056F">
        <w:rPr>
          <w:rFonts w:ascii="Cambria Math" w:hAnsi="Cambria Math" w:cs="Cambria Math"/>
        </w:rPr>
        <w:t>₂</w:t>
      </w:r>
      <w:r w:rsidRPr="009B056F">
        <w:rPr>
          <w:rFonts w:ascii="Arial" w:hAnsi="Arial" w:cs="Arial"/>
        </w:rPr>
        <w:t>) between mask conditions</w:t>
      </w:r>
      <w:r w:rsidR="00B20220">
        <w:rPr>
          <w:rFonts w:ascii="Arial" w:hAnsi="Arial" w:cs="Arial"/>
        </w:rPr>
        <w:t>, with</w:t>
      </w:r>
      <w:r w:rsidRPr="009B056F">
        <w:rPr>
          <w:rFonts w:ascii="Arial" w:hAnsi="Arial" w:cs="Arial"/>
        </w:rPr>
        <w:t xml:space="preserve"> </w:t>
      </w:r>
      <w:r w:rsidR="00B20220">
        <w:rPr>
          <w:rFonts w:ascii="Arial" w:hAnsi="Arial" w:cs="Arial"/>
        </w:rPr>
        <w:t>h</w:t>
      </w:r>
      <w:r w:rsidRPr="009B056F">
        <w:rPr>
          <w:rFonts w:ascii="Arial" w:hAnsi="Arial" w:cs="Arial"/>
        </w:rPr>
        <w:t xml:space="preserve">omogeneity of variances </w:t>
      </w:r>
      <w:r w:rsidR="00B20220" w:rsidRPr="00B20220">
        <w:rPr>
          <w:rFonts w:ascii="Arial" w:hAnsi="Arial" w:cs="Arial"/>
        </w:rPr>
        <w:t xml:space="preserve">assessed </w:t>
      </w:r>
      <w:r w:rsidRPr="009B056F">
        <w:rPr>
          <w:rFonts w:ascii="Arial" w:hAnsi="Arial" w:cs="Arial"/>
        </w:rPr>
        <w:t xml:space="preserve">using </w:t>
      </w:r>
      <w:proofErr w:type="spellStart"/>
      <w:r w:rsidRPr="009B056F">
        <w:rPr>
          <w:rFonts w:ascii="Arial" w:hAnsi="Arial" w:cs="Arial"/>
        </w:rPr>
        <w:t>Levene’s</w:t>
      </w:r>
      <w:proofErr w:type="spellEnd"/>
      <w:r w:rsidRPr="009B056F">
        <w:rPr>
          <w:rFonts w:ascii="Arial" w:hAnsi="Arial" w:cs="Arial"/>
        </w:rPr>
        <w:t xml:space="preserve"> test. Analysis of covariance (ANCOVA) was </w:t>
      </w:r>
      <w:r w:rsidR="00B20220" w:rsidRPr="00B20220">
        <w:rPr>
          <w:rFonts w:ascii="Arial" w:hAnsi="Arial" w:cs="Arial"/>
        </w:rPr>
        <w:t xml:space="preserve">conducted </w:t>
      </w:r>
      <w:r w:rsidRPr="009B056F">
        <w:rPr>
          <w:rFonts w:ascii="Arial" w:hAnsi="Arial" w:cs="Arial"/>
        </w:rPr>
        <w:t>to adjust for potential confounders</w:t>
      </w:r>
      <w:r w:rsidR="00B20220">
        <w:rPr>
          <w:rFonts w:ascii="Arial" w:hAnsi="Arial" w:cs="Arial"/>
        </w:rPr>
        <w:t>,</w:t>
      </w:r>
      <w:r w:rsidRPr="009B056F">
        <w:rPr>
          <w:rFonts w:ascii="Arial" w:hAnsi="Arial" w:cs="Arial"/>
        </w:rPr>
        <w:t xml:space="preserve"> including age, sex, and body mass index (BMI). Effect sizes were calculated using Cohen’s d for t-tests and partial η² for ANCOVA</w:t>
      </w:r>
      <w:r w:rsidR="00B20220">
        <w:rPr>
          <w:rFonts w:ascii="Arial" w:hAnsi="Arial" w:cs="Arial"/>
        </w:rPr>
        <w:t xml:space="preserve"> and</w:t>
      </w:r>
      <w:r w:rsidRPr="009B056F">
        <w:rPr>
          <w:rFonts w:ascii="Arial" w:hAnsi="Arial" w:cs="Arial"/>
        </w:rPr>
        <w:t xml:space="preserve"> interpreted according to conventional thresholds (small = 0.01, moderate = 0.06, large = 0.14). </w:t>
      </w:r>
      <w:r w:rsidR="00B20220" w:rsidRPr="00B20220">
        <w:rPr>
          <w:rFonts w:ascii="Arial" w:hAnsi="Arial" w:cs="Arial"/>
        </w:rPr>
        <w:t xml:space="preserve">Exploratory </w:t>
      </w:r>
      <w:r w:rsidR="00B20220">
        <w:rPr>
          <w:rFonts w:ascii="Arial" w:hAnsi="Arial" w:cs="Arial"/>
        </w:rPr>
        <w:t>sex</w:t>
      </w:r>
      <w:r w:rsidRPr="009B056F">
        <w:rPr>
          <w:rFonts w:ascii="Arial" w:hAnsi="Arial" w:cs="Arial"/>
        </w:rPr>
        <w:t xml:space="preserve">-stratified analyses were performed to </w:t>
      </w:r>
      <w:r w:rsidR="00B20220" w:rsidRPr="00B20220">
        <w:rPr>
          <w:rFonts w:ascii="Arial" w:hAnsi="Arial" w:cs="Arial"/>
        </w:rPr>
        <w:t xml:space="preserve">examine </w:t>
      </w:r>
      <w:r w:rsidRPr="009B056F">
        <w:rPr>
          <w:rFonts w:ascii="Arial" w:hAnsi="Arial" w:cs="Arial"/>
        </w:rPr>
        <w:t>potential sex-based differences</w:t>
      </w:r>
      <w:r w:rsidR="00B20220">
        <w:rPr>
          <w:rFonts w:ascii="Arial" w:hAnsi="Arial" w:cs="Arial"/>
        </w:rPr>
        <w:t xml:space="preserve"> </w:t>
      </w:r>
      <w:r w:rsidR="00B20220" w:rsidRPr="00B20220">
        <w:rPr>
          <w:rFonts w:ascii="Arial" w:hAnsi="Arial" w:cs="Arial"/>
        </w:rPr>
        <w:t>in physiological responses. A two-tailed p-value &lt; 0.05 was considered statistically significant</w:t>
      </w:r>
      <w:r w:rsidRPr="009B056F">
        <w:rPr>
          <w:rFonts w:ascii="Arial" w:hAnsi="Arial" w:cs="Arial"/>
        </w:rPr>
        <w:t xml:space="preserve">.  </w:t>
      </w:r>
    </w:p>
    <w:p w14:paraId="298ADA0F" w14:textId="5A117E43" w:rsidR="009B056F" w:rsidRPr="009B056F" w:rsidRDefault="009B056F" w:rsidP="009B056F">
      <w:pPr>
        <w:jc w:val="both"/>
        <w:rPr>
          <w:rFonts w:ascii="Arial" w:hAnsi="Arial" w:cs="Arial"/>
        </w:rPr>
      </w:pPr>
      <w:r w:rsidRPr="009B056F">
        <w:rPr>
          <w:rFonts w:ascii="Arial" w:hAnsi="Arial" w:cs="Arial"/>
        </w:rPr>
        <w:t xml:space="preserve"> </w:t>
      </w:r>
    </w:p>
    <w:p w14:paraId="4EDC3675"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lastRenderedPageBreak/>
        <w:t>2.5. Ethical consideration</w:t>
      </w:r>
    </w:p>
    <w:p w14:paraId="2A3798D0" w14:textId="128BE199" w:rsidR="001463DC" w:rsidRPr="001463DC" w:rsidRDefault="009B056F" w:rsidP="00441B6F">
      <w:pPr>
        <w:pStyle w:val="Body"/>
        <w:spacing w:after="0"/>
        <w:rPr>
          <w:rFonts w:ascii="Arial" w:hAnsi="Arial" w:cs="Arial"/>
        </w:rPr>
      </w:pPr>
      <w:r w:rsidRPr="0093476E">
        <w:rPr>
          <w:rFonts w:ascii="Arial" w:hAnsi="Arial" w:cs="Arial"/>
          <w:highlight w:val="yellow"/>
        </w:rPr>
        <w:t xml:space="preserve">The study protocol was reviewed and approved by the Research Ethics Committee of the Faculty of Medicine, </w:t>
      </w:r>
      <w:proofErr w:type="spellStart"/>
      <w:r w:rsidRPr="0093476E">
        <w:rPr>
          <w:rFonts w:ascii="Arial" w:hAnsi="Arial" w:cs="Arial"/>
          <w:highlight w:val="yellow"/>
        </w:rPr>
        <w:t>Universitas</w:t>
      </w:r>
      <w:proofErr w:type="spellEnd"/>
      <w:r w:rsidRPr="0093476E">
        <w:rPr>
          <w:rFonts w:ascii="Arial" w:hAnsi="Arial" w:cs="Arial"/>
          <w:highlight w:val="yellow"/>
        </w:rPr>
        <w:t xml:space="preserve"> </w:t>
      </w:r>
      <w:proofErr w:type="spellStart"/>
      <w:r w:rsidRPr="0093476E">
        <w:rPr>
          <w:rFonts w:ascii="Arial" w:hAnsi="Arial" w:cs="Arial"/>
          <w:highlight w:val="yellow"/>
        </w:rPr>
        <w:t>Trisakti</w:t>
      </w:r>
      <w:proofErr w:type="spellEnd"/>
      <w:r w:rsidRPr="0093476E">
        <w:rPr>
          <w:rFonts w:ascii="Arial" w:hAnsi="Arial" w:cs="Arial"/>
          <w:highlight w:val="yellow"/>
        </w:rPr>
        <w:t xml:space="preserve">, </w:t>
      </w:r>
      <w:r w:rsidR="00B20220" w:rsidRPr="0093476E">
        <w:rPr>
          <w:rFonts w:ascii="Arial" w:hAnsi="Arial" w:cs="Arial"/>
          <w:highlight w:val="yellow"/>
        </w:rPr>
        <w:t>(A</w:t>
      </w:r>
      <w:r w:rsidRPr="0093476E">
        <w:rPr>
          <w:rFonts w:ascii="Arial" w:hAnsi="Arial" w:cs="Arial"/>
          <w:highlight w:val="yellow"/>
        </w:rPr>
        <w:t>pproval No. 139/KER-FK/VII/2022</w:t>
      </w:r>
      <w:r w:rsidR="00B20220" w:rsidRPr="0093476E">
        <w:rPr>
          <w:rFonts w:ascii="Arial" w:hAnsi="Arial" w:cs="Arial"/>
          <w:highlight w:val="yellow"/>
        </w:rPr>
        <w:t>)</w:t>
      </w:r>
      <w:r w:rsidRPr="0093476E">
        <w:rPr>
          <w:rFonts w:ascii="Arial" w:hAnsi="Arial" w:cs="Arial"/>
          <w:highlight w:val="yellow"/>
        </w:rPr>
        <w:t xml:space="preserve">. All </w:t>
      </w:r>
      <w:r w:rsidR="00B20220" w:rsidRPr="0093476E">
        <w:rPr>
          <w:rFonts w:ascii="Arial" w:hAnsi="Arial" w:cs="Arial"/>
          <w:highlight w:val="yellow"/>
        </w:rPr>
        <w:t xml:space="preserve">study </w:t>
      </w:r>
      <w:r w:rsidRPr="0093476E">
        <w:rPr>
          <w:rFonts w:ascii="Arial" w:hAnsi="Arial" w:cs="Arial"/>
          <w:highlight w:val="yellow"/>
        </w:rPr>
        <w:t xml:space="preserve">procedures were conducted in accordance with </w:t>
      </w:r>
      <w:r w:rsidR="00B20220" w:rsidRPr="0093476E">
        <w:rPr>
          <w:rFonts w:ascii="Arial" w:hAnsi="Arial" w:cs="Arial"/>
          <w:highlight w:val="yellow"/>
        </w:rPr>
        <w:t xml:space="preserve">the principles of </w:t>
      </w:r>
      <w:r w:rsidRPr="0093476E">
        <w:rPr>
          <w:rFonts w:ascii="Arial" w:hAnsi="Arial" w:cs="Arial"/>
          <w:highlight w:val="yellow"/>
        </w:rPr>
        <w:t xml:space="preserve">the Declaration of Helsinki. </w:t>
      </w:r>
      <w:r w:rsidR="00B20220" w:rsidRPr="0093476E">
        <w:rPr>
          <w:rFonts w:ascii="Arial" w:hAnsi="Arial" w:cs="Arial"/>
          <w:highlight w:val="yellow"/>
        </w:rPr>
        <w:t>W</w:t>
      </w:r>
      <w:r w:rsidRPr="0093476E">
        <w:rPr>
          <w:rFonts w:ascii="Arial" w:hAnsi="Arial" w:cs="Arial"/>
          <w:highlight w:val="yellow"/>
        </w:rPr>
        <w:t xml:space="preserve">ritten informed consent </w:t>
      </w:r>
      <w:r w:rsidR="00B20220" w:rsidRPr="0093476E">
        <w:rPr>
          <w:rFonts w:ascii="Arial" w:hAnsi="Arial" w:cs="Arial"/>
          <w:highlight w:val="yellow"/>
        </w:rPr>
        <w:t xml:space="preserve">was obtained from all </w:t>
      </w:r>
      <w:r w:rsidRPr="0093476E">
        <w:rPr>
          <w:rFonts w:ascii="Arial" w:hAnsi="Arial" w:cs="Arial"/>
          <w:highlight w:val="yellow"/>
        </w:rPr>
        <w:t>participa</w:t>
      </w:r>
      <w:r w:rsidR="00B20220" w:rsidRPr="0093476E">
        <w:rPr>
          <w:rFonts w:ascii="Arial" w:hAnsi="Arial" w:cs="Arial"/>
          <w:highlight w:val="yellow"/>
        </w:rPr>
        <w:t>nts prior to enrollment,</w:t>
      </w:r>
      <w:r w:rsidRPr="0093476E">
        <w:rPr>
          <w:rFonts w:ascii="Arial" w:hAnsi="Arial" w:cs="Arial"/>
          <w:highlight w:val="yellow"/>
        </w:rPr>
        <w:t xml:space="preserve"> and </w:t>
      </w:r>
      <w:r w:rsidR="00B20220" w:rsidRPr="0093476E">
        <w:rPr>
          <w:rFonts w:ascii="Arial" w:hAnsi="Arial" w:cs="Arial"/>
          <w:highlight w:val="yellow"/>
        </w:rPr>
        <w:t>participants were</w:t>
      </w:r>
      <w:r w:rsidRPr="0093476E">
        <w:rPr>
          <w:rFonts w:ascii="Arial" w:hAnsi="Arial" w:cs="Arial"/>
          <w:highlight w:val="yellow"/>
        </w:rPr>
        <w:t xml:space="preserve"> </w:t>
      </w:r>
      <w:r w:rsidR="00B20220" w:rsidRPr="0093476E">
        <w:rPr>
          <w:rFonts w:ascii="Arial" w:hAnsi="Arial" w:cs="Arial"/>
          <w:highlight w:val="yellow"/>
        </w:rPr>
        <w:t>entirely voluntary, with the right to withdraw at any time without consequence</w:t>
      </w:r>
      <w:r w:rsidRPr="0093476E">
        <w:rPr>
          <w:rFonts w:ascii="Arial" w:hAnsi="Arial" w:cs="Arial"/>
          <w:highlight w:val="yellow"/>
        </w:rPr>
        <w:t xml:space="preserve">. </w:t>
      </w:r>
      <w:r w:rsidR="001463DC" w:rsidRPr="0093476E">
        <w:rPr>
          <w:rFonts w:ascii="Arial" w:hAnsi="Arial" w:cs="Arial"/>
          <w:highlight w:val="yellow"/>
        </w:rPr>
        <w:t>For participants aged under 18 years, written informed consent was obtained from parents or legal guardians, and written assent was obtained from the participants themselves prior to enrollment.</w:t>
      </w:r>
      <w:r w:rsidR="00B20220" w:rsidRPr="0093476E">
        <w:rPr>
          <w:rFonts w:ascii="Arial" w:hAnsi="Arial" w:cs="Arial"/>
          <w:highlight w:val="yellow"/>
        </w:rPr>
        <w:t xml:space="preserve"> Participant safety was ensured throughout the study through appropriate medical supervision and the availability of first-aid support during all study procedures.</w:t>
      </w:r>
    </w:p>
    <w:p w14:paraId="37215BFC" w14:textId="77777777" w:rsidR="00790ADA" w:rsidRPr="00FB3A86" w:rsidRDefault="00790ADA" w:rsidP="00441B6F">
      <w:pPr>
        <w:pStyle w:val="Body"/>
        <w:spacing w:after="0"/>
        <w:rPr>
          <w:rFonts w:ascii="Arial" w:hAnsi="Arial" w:cs="Arial"/>
        </w:rPr>
      </w:pPr>
    </w:p>
    <w:p w14:paraId="15D2A8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93CA7E" w14:textId="77777777" w:rsidR="00790ADA" w:rsidRPr="00FB3A86" w:rsidRDefault="00790ADA" w:rsidP="00441B6F">
      <w:pPr>
        <w:pStyle w:val="Head1"/>
        <w:spacing w:after="0"/>
        <w:jc w:val="both"/>
        <w:rPr>
          <w:rFonts w:ascii="Arial" w:hAnsi="Arial" w:cs="Arial"/>
        </w:rPr>
      </w:pPr>
    </w:p>
    <w:p w14:paraId="0E5E9946" w14:textId="14E46DA3" w:rsidR="00A761FC" w:rsidRPr="00A761FC" w:rsidRDefault="00A761FC" w:rsidP="00A761FC">
      <w:pPr>
        <w:jc w:val="both"/>
        <w:rPr>
          <w:rFonts w:ascii="Arial" w:hAnsi="Arial" w:cs="Arial"/>
        </w:rPr>
      </w:pPr>
      <w:r w:rsidRPr="00A761FC">
        <w:rPr>
          <w:rFonts w:ascii="Arial" w:hAnsi="Arial" w:cs="Arial"/>
        </w:rPr>
        <w:t xml:space="preserve">A total of 32 participants (20 men, 12 women) were included in the analysis, with 16 assigned to the KN95 group and 16 to </w:t>
      </w:r>
      <w:r w:rsidR="00C22C45" w:rsidRPr="00C22C45">
        <w:rPr>
          <w:rFonts w:ascii="Arial" w:hAnsi="Arial" w:cs="Arial"/>
        </w:rPr>
        <w:t xml:space="preserve">the </w:t>
      </w:r>
      <w:r w:rsidR="00C22C45" w:rsidRPr="00C22C45">
        <w:rPr>
          <w:rFonts w:ascii="Arial" w:hAnsi="Arial" w:cs="Arial"/>
          <w:highlight w:val="cyan"/>
        </w:rPr>
        <w:t>standard surgical mask</w:t>
      </w:r>
      <w:r w:rsidR="00C22C45" w:rsidRPr="00C22C45">
        <w:rPr>
          <w:rFonts w:ascii="Arial" w:hAnsi="Arial" w:cs="Arial"/>
        </w:rPr>
        <w:t xml:space="preserve"> group</w:t>
      </w:r>
      <w:r w:rsidRPr="00A761FC">
        <w:rPr>
          <w:rFonts w:ascii="Arial" w:hAnsi="Arial" w:cs="Arial"/>
        </w:rPr>
        <w:t>. The mean age was 34.1 ± 1.6 years, and the mean BMI was 22.9 ± 0.1 kg/m². Baseline characteristics (age, sex, and BMI) were comparable between groups, with no significant differences observed (Table 1).</w:t>
      </w:r>
    </w:p>
    <w:p w14:paraId="3736210C" w14:textId="77777777" w:rsidR="00E053D0" w:rsidRDefault="00E053D0" w:rsidP="00441B6F">
      <w:pPr>
        <w:pStyle w:val="Body"/>
        <w:spacing w:after="0"/>
        <w:rPr>
          <w:rFonts w:ascii="Arial" w:hAnsi="Arial" w:cs="Arial"/>
        </w:rPr>
      </w:pPr>
    </w:p>
    <w:p w14:paraId="34EEF9E7" w14:textId="5C75C4DD" w:rsidR="00A761FC" w:rsidRPr="005F0756" w:rsidRDefault="00A761FC" w:rsidP="00441B6F">
      <w:pPr>
        <w:pStyle w:val="Body"/>
        <w:spacing w:after="0"/>
        <w:rPr>
          <w:rFonts w:ascii="Arial" w:hAnsi="Arial" w:cs="Arial"/>
          <w:b/>
          <w:bCs/>
        </w:rPr>
      </w:pPr>
      <w:r w:rsidRPr="005F0756">
        <w:rPr>
          <w:rFonts w:ascii="Arial" w:hAnsi="Arial" w:cs="Arial"/>
          <w:b/>
          <w:bCs/>
        </w:rPr>
        <w:t>Table 1. Baseline demographic and physiological characteristics of study participants (n = 32).</w:t>
      </w:r>
    </w:p>
    <w:p w14:paraId="2803E650" w14:textId="77777777" w:rsidR="005F0756" w:rsidRDefault="005F0756"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5"/>
        <w:gridCol w:w="2751"/>
        <w:gridCol w:w="2522"/>
      </w:tblGrid>
      <w:tr w:rsidR="00A761FC" w:rsidRPr="00A761FC" w14:paraId="49E4DEDA" w14:textId="77777777" w:rsidTr="00EA0B6C">
        <w:trPr>
          <w:tblHeader/>
          <w:tblCellSpacing w:w="15" w:type="dxa"/>
        </w:trPr>
        <w:tc>
          <w:tcPr>
            <w:tcW w:w="3105" w:type="dxa"/>
            <w:tcBorders>
              <w:top w:val="single" w:sz="4" w:space="0" w:color="auto"/>
              <w:bottom w:val="single" w:sz="4" w:space="0" w:color="auto"/>
            </w:tcBorders>
            <w:vAlign w:val="center"/>
            <w:hideMark/>
          </w:tcPr>
          <w:p w14:paraId="79132DFA" w14:textId="77777777" w:rsidR="00A761FC" w:rsidRPr="00A761FC" w:rsidRDefault="00A761FC" w:rsidP="00A761FC">
            <w:pPr>
              <w:jc w:val="both"/>
              <w:rPr>
                <w:rFonts w:ascii="Arial" w:hAnsi="Arial" w:cs="Arial"/>
                <w:b/>
                <w:bCs/>
              </w:rPr>
            </w:pPr>
            <w:r w:rsidRPr="00A761FC">
              <w:rPr>
                <w:rFonts w:ascii="Arial" w:hAnsi="Arial" w:cs="Arial"/>
                <w:b/>
                <w:bCs/>
              </w:rPr>
              <w:t>Variable</w:t>
            </w:r>
          </w:p>
        </w:tc>
        <w:tc>
          <w:tcPr>
            <w:tcW w:w="2850" w:type="dxa"/>
            <w:tcBorders>
              <w:top w:val="single" w:sz="4" w:space="0" w:color="auto"/>
              <w:bottom w:val="single" w:sz="4" w:space="0" w:color="auto"/>
            </w:tcBorders>
            <w:vAlign w:val="center"/>
            <w:hideMark/>
          </w:tcPr>
          <w:p w14:paraId="6FD7BC04" w14:textId="77777777" w:rsidR="00A761FC" w:rsidRPr="00A761FC" w:rsidRDefault="00A761FC" w:rsidP="00A761FC">
            <w:pPr>
              <w:jc w:val="center"/>
              <w:rPr>
                <w:rFonts w:ascii="Arial" w:hAnsi="Arial" w:cs="Arial"/>
                <w:b/>
                <w:bCs/>
              </w:rPr>
            </w:pPr>
            <w:r w:rsidRPr="00A761FC">
              <w:rPr>
                <w:rFonts w:ascii="Arial" w:hAnsi="Arial" w:cs="Arial"/>
                <w:b/>
                <w:bCs/>
              </w:rPr>
              <w:t>Mean ± SD or n (%)</w:t>
            </w:r>
          </w:p>
        </w:tc>
        <w:tc>
          <w:tcPr>
            <w:tcW w:w="2565" w:type="dxa"/>
            <w:tcBorders>
              <w:top w:val="single" w:sz="4" w:space="0" w:color="auto"/>
              <w:bottom w:val="single" w:sz="4" w:space="0" w:color="auto"/>
            </w:tcBorders>
          </w:tcPr>
          <w:p w14:paraId="4254CA62" w14:textId="77777777" w:rsidR="00A761FC" w:rsidRPr="00A761FC" w:rsidRDefault="00A761FC" w:rsidP="00A761FC">
            <w:pPr>
              <w:jc w:val="center"/>
              <w:rPr>
                <w:rFonts w:ascii="Arial" w:hAnsi="Arial" w:cs="Arial"/>
                <w:b/>
                <w:bCs/>
              </w:rPr>
            </w:pPr>
            <w:r w:rsidRPr="00A761FC">
              <w:rPr>
                <w:rFonts w:ascii="Arial" w:hAnsi="Arial" w:cs="Arial"/>
                <w:b/>
                <w:bCs/>
              </w:rPr>
              <w:t>95% Confidence Interval for Mean</w:t>
            </w:r>
          </w:p>
        </w:tc>
      </w:tr>
      <w:tr w:rsidR="00A761FC" w:rsidRPr="00A761FC" w14:paraId="50A90D67" w14:textId="77777777" w:rsidTr="00EA0B6C">
        <w:trPr>
          <w:tblCellSpacing w:w="15" w:type="dxa"/>
        </w:trPr>
        <w:tc>
          <w:tcPr>
            <w:tcW w:w="3105" w:type="dxa"/>
            <w:vAlign w:val="center"/>
            <w:hideMark/>
          </w:tcPr>
          <w:p w14:paraId="6C463572" w14:textId="77777777" w:rsidR="00A761FC" w:rsidRPr="00A761FC" w:rsidRDefault="00A761FC" w:rsidP="00A761FC">
            <w:pPr>
              <w:rPr>
                <w:rFonts w:ascii="Arial" w:hAnsi="Arial" w:cs="Arial"/>
              </w:rPr>
            </w:pPr>
            <w:r w:rsidRPr="00A761FC">
              <w:rPr>
                <w:rFonts w:ascii="Arial" w:hAnsi="Arial" w:cs="Arial"/>
              </w:rPr>
              <w:t>Sex</w:t>
            </w:r>
          </w:p>
          <w:p w14:paraId="5C7D57F7" w14:textId="77777777" w:rsidR="00A761FC" w:rsidRPr="00A761FC" w:rsidRDefault="00A761FC" w:rsidP="00A761FC">
            <w:pPr>
              <w:rPr>
                <w:rFonts w:ascii="Arial" w:hAnsi="Arial" w:cs="Arial"/>
                <w:i/>
                <w:iCs/>
              </w:rPr>
            </w:pPr>
            <w:r w:rsidRPr="00A761FC">
              <w:rPr>
                <w:rFonts w:ascii="Arial" w:hAnsi="Arial" w:cs="Arial"/>
              </w:rPr>
              <w:t xml:space="preserve">     </w:t>
            </w:r>
            <w:r w:rsidRPr="00A761FC">
              <w:rPr>
                <w:rFonts w:ascii="Arial" w:hAnsi="Arial" w:cs="Arial"/>
                <w:i/>
                <w:iCs/>
              </w:rPr>
              <w:t>Male</w:t>
            </w:r>
          </w:p>
          <w:p w14:paraId="4FA47AD1" w14:textId="77777777" w:rsidR="00A761FC" w:rsidRPr="00A761FC" w:rsidRDefault="00A761FC" w:rsidP="00A761FC">
            <w:pPr>
              <w:rPr>
                <w:rFonts w:ascii="Arial" w:hAnsi="Arial" w:cs="Arial"/>
              </w:rPr>
            </w:pPr>
            <w:r w:rsidRPr="00A761FC">
              <w:rPr>
                <w:rFonts w:ascii="Arial" w:hAnsi="Arial" w:cs="Arial"/>
                <w:i/>
                <w:iCs/>
              </w:rPr>
              <w:t xml:space="preserve">     Female</w:t>
            </w:r>
          </w:p>
        </w:tc>
        <w:tc>
          <w:tcPr>
            <w:tcW w:w="2850" w:type="dxa"/>
            <w:vAlign w:val="center"/>
          </w:tcPr>
          <w:p w14:paraId="740886D4" w14:textId="77777777" w:rsidR="00A761FC" w:rsidRPr="00A761FC" w:rsidRDefault="00A761FC" w:rsidP="00A761FC">
            <w:pPr>
              <w:jc w:val="center"/>
              <w:rPr>
                <w:rFonts w:ascii="Arial" w:hAnsi="Arial" w:cs="Arial"/>
              </w:rPr>
            </w:pPr>
          </w:p>
          <w:p w14:paraId="06296A3B" w14:textId="77777777" w:rsidR="00A761FC" w:rsidRPr="00A761FC" w:rsidRDefault="00A761FC" w:rsidP="00A761FC">
            <w:pPr>
              <w:jc w:val="center"/>
              <w:rPr>
                <w:rFonts w:ascii="Arial" w:hAnsi="Arial" w:cs="Arial"/>
              </w:rPr>
            </w:pPr>
            <w:r w:rsidRPr="00A761FC">
              <w:rPr>
                <w:rFonts w:ascii="Arial" w:hAnsi="Arial" w:cs="Arial"/>
              </w:rPr>
              <w:t>20 (58.8%)</w:t>
            </w:r>
          </w:p>
          <w:p w14:paraId="7DDD0C9B" w14:textId="77777777" w:rsidR="00A761FC" w:rsidRPr="00A761FC" w:rsidRDefault="00A761FC" w:rsidP="00A761FC">
            <w:pPr>
              <w:jc w:val="center"/>
              <w:rPr>
                <w:rFonts w:ascii="Arial" w:hAnsi="Arial" w:cs="Arial"/>
              </w:rPr>
            </w:pPr>
            <w:r w:rsidRPr="00A761FC">
              <w:rPr>
                <w:rFonts w:ascii="Arial" w:hAnsi="Arial" w:cs="Arial"/>
              </w:rPr>
              <w:t>12 (35.3%)</w:t>
            </w:r>
          </w:p>
        </w:tc>
        <w:tc>
          <w:tcPr>
            <w:tcW w:w="2565" w:type="dxa"/>
            <w:vAlign w:val="center"/>
          </w:tcPr>
          <w:p w14:paraId="243998D6" w14:textId="77777777" w:rsidR="00A761FC" w:rsidRPr="00A761FC" w:rsidRDefault="00A761FC" w:rsidP="00A761FC">
            <w:pPr>
              <w:jc w:val="center"/>
              <w:rPr>
                <w:rFonts w:ascii="Arial" w:hAnsi="Arial" w:cs="Arial"/>
              </w:rPr>
            </w:pPr>
            <w:r w:rsidRPr="00A761FC">
              <w:rPr>
                <w:rFonts w:ascii="Arial" w:hAnsi="Arial" w:cs="Arial"/>
              </w:rPr>
              <w:t>–</w:t>
            </w:r>
          </w:p>
        </w:tc>
      </w:tr>
      <w:tr w:rsidR="00A761FC" w:rsidRPr="00A761FC" w14:paraId="12E254A9" w14:textId="77777777" w:rsidTr="00EA0B6C">
        <w:trPr>
          <w:tblCellSpacing w:w="15" w:type="dxa"/>
        </w:trPr>
        <w:tc>
          <w:tcPr>
            <w:tcW w:w="3105" w:type="dxa"/>
            <w:vAlign w:val="center"/>
            <w:hideMark/>
          </w:tcPr>
          <w:p w14:paraId="00740316" w14:textId="77777777" w:rsidR="00A761FC" w:rsidRPr="00A761FC" w:rsidRDefault="00A761FC" w:rsidP="00A761FC">
            <w:pPr>
              <w:jc w:val="both"/>
              <w:rPr>
                <w:rFonts w:ascii="Arial" w:hAnsi="Arial" w:cs="Arial"/>
              </w:rPr>
            </w:pPr>
            <w:r w:rsidRPr="00A761FC">
              <w:rPr>
                <w:rFonts w:ascii="Arial" w:hAnsi="Arial" w:cs="Arial"/>
              </w:rPr>
              <w:t>Age (years)</w:t>
            </w:r>
          </w:p>
        </w:tc>
        <w:tc>
          <w:tcPr>
            <w:tcW w:w="2850" w:type="dxa"/>
            <w:vAlign w:val="center"/>
            <w:hideMark/>
          </w:tcPr>
          <w:p w14:paraId="7DA70E39" w14:textId="77777777" w:rsidR="00A761FC" w:rsidRPr="00A761FC" w:rsidRDefault="00A761FC" w:rsidP="00A761FC">
            <w:pPr>
              <w:jc w:val="center"/>
              <w:rPr>
                <w:rFonts w:ascii="Arial" w:hAnsi="Arial" w:cs="Arial"/>
              </w:rPr>
            </w:pPr>
            <w:r w:rsidRPr="00A761FC">
              <w:rPr>
                <w:rFonts w:ascii="Arial" w:hAnsi="Arial" w:cs="Arial"/>
              </w:rPr>
              <w:t>34.09 ± 1.556</w:t>
            </w:r>
          </w:p>
        </w:tc>
        <w:tc>
          <w:tcPr>
            <w:tcW w:w="2565" w:type="dxa"/>
          </w:tcPr>
          <w:p w14:paraId="0CD9997F" w14:textId="77777777" w:rsidR="00A761FC" w:rsidRPr="00A761FC" w:rsidRDefault="00A761FC" w:rsidP="00A761FC">
            <w:pPr>
              <w:jc w:val="center"/>
              <w:rPr>
                <w:rFonts w:ascii="Arial" w:hAnsi="Arial" w:cs="Arial"/>
              </w:rPr>
            </w:pPr>
            <w:r w:rsidRPr="00A761FC">
              <w:rPr>
                <w:rFonts w:ascii="Arial" w:hAnsi="Arial" w:cs="Arial"/>
              </w:rPr>
              <w:t>30.92 – 37.27</w:t>
            </w:r>
          </w:p>
        </w:tc>
      </w:tr>
      <w:tr w:rsidR="00A761FC" w:rsidRPr="00A761FC" w14:paraId="1994B7CD" w14:textId="77777777" w:rsidTr="00EA0B6C">
        <w:trPr>
          <w:tblCellSpacing w:w="15" w:type="dxa"/>
        </w:trPr>
        <w:tc>
          <w:tcPr>
            <w:tcW w:w="3105" w:type="dxa"/>
            <w:vAlign w:val="center"/>
          </w:tcPr>
          <w:p w14:paraId="0FD6A1BA" w14:textId="77777777" w:rsidR="00A761FC" w:rsidRPr="00A761FC" w:rsidRDefault="00A761FC" w:rsidP="00A761FC">
            <w:pPr>
              <w:jc w:val="both"/>
              <w:rPr>
                <w:rFonts w:ascii="Arial" w:hAnsi="Arial" w:cs="Arial"/>
              </w:rPr>
            </w:pPr>
            <w:r w:rsidRPr="00A761FC">
              <w:rPr>
                <w:rFonts w:ascii="Arial" w:hAnsi="Arial" w:cs="Arial"/>
              </w:rPr>
              <w:t>Weight (kg)</w:t>
            </w:r>
            <w:r w:rsidRPr="00A761FC">
              <w:rPr>
                <w:rFonts w:ascii="Arial" w:hAnsi="Arial" w:cs="Arial"/>
                <w:vertAlign w:val="superscript"/>
              </w:rPr>
              <w:t xml:space="preserve"> </w:t>
            </w:r>
          </w:p>
        </w:tc>
        <w:tc>
          <w:tcPr>
            <w:tcW w:w="2850" w:type="dxa"/>
            <w:vAlign w:val="center"/>
          </w:tcPr>
          <w:p w14:paraId="3807173D" w14:textId="77777777" w:rsidR="00A761FC" w:rsidRPr="00A761FC" w:rsidRDefault="00A761FC" w:rsidP="00A761FC">
            <w:pPr>
              <w:jc w:val="center"/>
              <w:rPr>
                <w:rFonts w:ascii="Arial" w:hAnsi="Arial" w:cs="Arial"/>
              </w:rPr>
            </w:pPr>
            <w:r w:rsidRPr="00A761FC">
              <w:rPr>
                <w:rFonts w:ascii="Arial" w:hAnsi="Arial" w:cs="Arial"/>
              </w:rPr>
              <w:t>80.55 ± 17.536</w:t>
            </w:r>
          </w:p>
        </w:tc>
        <w:tc>
          <w:tcPr>
            <w:tcW w:w="2565" w:type="dxa"/>
          </w:tcPr>
          <w:p w14:paraId="0313619F" w14:textId="77777777" w:rsidR="00A761FC" w:rsidRPr="00A761FC" w:rsidRDefault="00A761FC" w:rsidP="00A761FC">
            <w:pPr>
              <w:jc w:val="center"/>
              <w:rPr>
                <w:rFonts w:ascii="Arial" w:hAnsi="Arial" w:cs="Arial"/>
              </w:rPr>
            </w:pPr>
            <w:r w:rsidRPr="00A761FC">
              <w:rPr>
                <w:rFonts w:ascii="Arial" w:hAnsi="Arial" w:cs="Arial"/>
              </w:rPr>
              <w:t>44.79 – 116.32</w:t>
            </w:r>
          </w:p>
        </w:tc>
      </w:tr>
      <w:tr w:rsidR="00A761FC" w:rsidRPr="00A761FC" w14:paraId="2E08246C" w14:textId="77777777" w:rsidTr="00EA0B6C">
        <w:trPr>
          <w:tblCellSpacing w:w="15" w:type="dxa"/>
        </w:trPr>
        <w:tc>
          <w:tcPr>
            <w:tcW w:w="3105" w:type="dxa"/>
            <w:vAlign w:val="center"/>
          </w:tcPr>
          <w:p w14:paraId="795BFF4D" w14:textId="77777777" w:rsidR="00A761FC" w:rsidRPr="00A761FC" w:rsidRDefault="00A761FC" w:rsidP="00A761FC">
            <w:pPr>
              <w:jc w:val="both"/>
              <w:rPr>
                <w:rFonts w:ascii="Arial" w:hAnsi="Arial" w:cs="Arial"/>
              </w:rPr>
            </w:pPr>
            <w:r w:rsidRPr="00A761FC">
              <w:rPr>
                <w:rFonts w:ascii="Arial" w:hAnsi="Arial" w:cs="Arial"/>
              </w:rPr>
              <w:t>Height (cm)</w:t>
            </w:r>
            <w:r w:rsidRPr="00A761FC">
              <w:rPr>
                <w:rFonts w:ascii="Arial" w:hAnsi="Arial" w:cs="Arial"/>
                <w:vertAlign w:val="superscript"/>
              </w:rPr>
              <w:t xml:space="preserve"> </w:t>
            </w:r>
          </w:p>
        </w:tc>
        <w:tc>
          <w:tcPr>
            <w:tcW w:w="2850" w:type="dxa"/>
            <w:vAlign w:val="center"/>
          </w:tcPr>
          <w:p w14:paraId="595E16EC" w14:textId="77777777" w:rsidR="00A761FC" w:rsidRPr="00A761FC" w:rsidRDefault="00A761FC" w:rsidP="00A761FC">
            <w:pPr>
              <w:jc w:val="center"/>
              <w:rPr>
                <w:rFonts w:ascii="Arial" w:hAnsi="Arial" w:cs="Arial"/>
              </w:rPr>
            </w:pPr>
            <w:r w:rsidRPr="00A761FC">
              <w:rPr>
                <w:rFonts w:ascii="Arial" w:hAnsi="Arial" w:cs="Arial"/>
              </w:rPr>
              <w:t>165.88 ± 1.413</w:t>
            </w:r>
          </w:p>
        </w:tc>
        <w:tc>
          <w:tcPr>
            <w:tcW w:w="2565" w:type="dxa"/>
          </w:tcPr>
          <w:p w14:paraId="09A22F95" w14:textId="77777777" w:rsidR="00A761FC" w:rsidRPr="00A761FC" w:rsidRDefault="00A761FC" w:rsidP="00A761FC">
            <w:pPr>
              <w:jc w:val="center"/>
              <w:rPr>
                <w:rFonts w:ascii="Arial" w:hAnsi="Arial" w:cs="Arial"/>
              </w:rPr>
            </w:pPr>
            <w:r w:rsidRPr="00A761FC">
              <w:rPr>
                <w:rFonts w:ascii="Arial" w:hAnsi="Arial" w:cs="Arial"/>
              </w:rPr>
              <w:t>162.99 – 168.76</w:t>
            </w:r>
          </w:p>
        </w:tc>
      </w:tr>
      <w:tr w:rsidR="00A761FC" w:rsidRPr="00A761FC" w14:paraId="04D49995" w14:textId="77777777" w:rsidTr="00EA0B6C">
        <w:trPr>
          <w:tblCellSpacing w:w="15" w:type="dxa"/>
        </w:trPr>
        <w:tc>
          <w:tcPr>
            <w:tcW w:w="3105" w:type="dxa"/>
            <w:vAlign w:val="center"/>
            <w:hideMark/>
          </w:tcPr>
          <w:p w14:paraId="096A0D0B" w14:textId="77777777" w:rsidR="00A761FC" w:rsidRPr="00A761FC" w:rsidRDefault="00A761FC" w:rsidP="00A761FC">
            <w:pPr>
              <w:jc w:val="both"/>
              <w:rPr>
                <w:rFonts w:ascii="Arial" w:hAnsi="Arial" w:cs="Arial"/>
              </w:rPr>
            </w:pPr>
            <w:r w:rsidRPr="00A761FC">
              <w:rPr>
                <w:rFonts w:ascii="Arial" w:hAnsi="Arial" w:cs="Arial"/>
              </w:rPr>
              <w:t>BMI (kg/m²)</w:t>
            </w:r>
          </w:p>
        </w:tc>
        <w:tc>
          <w:tcPr>
            <w:tcW w:w="2850" w:type="dxa"/>
            <w:vAlign w:val="center"/>
            <w:hideMark/>
          </w:tcPr>
          <w:p w14:paraId="44830F40" w14:textId="77777777" w:rsidR="00A761FC" w:rsidRPr="00A761FC" w:rsidRDefault="00A761FC" w:rsidP="00A761FC">
            <w:pPr>
              <w:jc w:val="center"/>
              <w:rPr>
                <w:rFonts w:ascii="Arial" w:hAnsi="Arial" w:cs="Arial"/>
              </w:rPr>
            </w:pPr>
            <w:r w:rsidRPr="00A761FC">
              <w:rPr>
                <w:rFonts w:ascii="Arial" w:hAnsi="Arial" w:cs="Arial"/>
              </w:rPr>
              <w:t>22.85 ± 0.129</w:t>
            </w:r>
          </w:p>
        </w:tc>
        <w:tc>
          <w:tcPr>
            <w:tcW w:w="2565" w:type="dxa"/>
          </w:tcPr>
          <w:p w14:paraId="72ECE330" w14:textId="77777777" w:rsidR="00A761FC" w:rsidRPr="00A761FC" w:rsidRDefault="00A761FC" w:rsidP="00A761FC">
            <w:pPr>
              <w:jc w:val="center"/>
              <w:rPr>
                <w:rFonts w:ascii="Arial" w:hAnsi="Arial" w:cs="Arial"/>
              </w:rPr>
            </w:pPr>
            <w:r w:rsidRPr="00A761FC">
              <w:rPr>
                <w:rFonts w:ascii="Arial" w:hAnsi="Arial" w:cs="Arial"/>
              </w:rPr>
              <w:t>22.59 – 23.11</w:t>
            </w:r>
          </w:p>
        </w:tc>
      </w:tr>
      <w:tr w:rsidR="00A761FC" w:rsidRPr="00A761FC" w14:paraId="3AA13F91" w14:textId="77777777" w:rsidTr="00EA0B6C">
        <w:trPr>
          <w:tblCellSpacing w:w="15" w:type="dxa"/>
        </w:trPr>
        <w:tc>
          <w:tcPr>
            <w:tcW w:w="3105" w:type="dxa"/>
            <w:vAlign w:val="center"/>
            <w:hideMark/>
          </w:tcPr>
          <w:p w14:paraId="6B14A764" w14:textId="77777777" w:rsidR="00A761FC" w:rsidRPr="00A761FC" w:rsidRDefault="00A761FC" w:rsidP="00A761FC">
            <w:pPr>
              <w:jc w:val="both"/>
              <w:rPr>
                <w:rFonts w:ascii="Arial" w:hAnsi="Arial" w:cs="Arial"/>
              </w:rPr>
            </w:pPr>
            <w:r w:rsidRPr="00A761FC">
              <w:rPr>
                <w:rFonts w:ascii="Arial" w:hAnsi="Arial" w:cs="Arial"/>
              </w:rPr>
              <w:t xml:space="preserve">Heart Rate (bpm) </w:t>
            </w:r>
          </w:p>
        </w:tc>
        <w:tc>
          <w:tcPr>
            <w:tcW w:w="2850" w:type="dxa"/>
            <w:vAlign w:val="center"/>
            <w:hideMark/>
          </w:tcPr>
          <w:p w14:paraId="1266A55C" w14:textId="77777777" w:rsidR="00A761FC" w:rsidRPr="00A761FC" w:rsidRDefault="00A761FC" w:rsidP="00A761FC">
            <w:pPr>
              <w:jc w:val="center"/>
              <w:rPr>
                <w:rFonts w:ascii="Arial" w:hAnsi="Arial" w:cs="Arial"/>
              </w:rPr>
            </w:pPr>
            <w:r w:rsidRPr="00A761FC">
              <w:rPr>
                <w:rFonts w:ascii="Arial" w:hAnsi="Arial" w:cs="Arial"/>
              </w:rPr>
              <w:t>128.53 ± 2.534</w:t>
            </w:r>
          </w:p>
        </w:tc>
        <w:tc>
          <w:tcPr>
            <w:tcW w:w="2565" w:type="dxa"/>
          </w:tcPr>
          <w:p w14:paraId="06E281FB" w14:textId="77777777" w:rsidR="00A761FC" w:rsidRPr="00A761FC" w:rsidRDefault="00A761FC" w:rsidP="00A761FC">
            <w:pPr>
              <w:jc w:val="center"/>
              <w:rPr>
                <w:rFonts w:ascii="Arial" w:hAnsi="Arial" w:cs="Arial"/>
              </w:rPr>
            </w:pPr>
            <w:r w:rsidRPr="00A761FC">
              <w:rPr>
                <w:rFonts w:ascii="Arial" w:hAnsi="Arial" w:cs="Arial"/>
              </w:rPr>
              <w:t>123.36 – 133.70</w:t>
            </w:r>
          </w:p>
        </w:tc>
      </w:tr>
      <w:tr w:rsidR="00A761FC" w:rsidRPr="00A761FC" w14:paraId="6912A5DC" w14:textId="77777777" w:rsidTr="00EA0B6C">
        <w:trPr>
          <w:tblCellSpacing w:w="15" w:type="dxa"/>
        </w:trPr>
        <w:tc>
          <w:tcPr>
            <w:tcW w:w="3105" w:type="dxa"/>
            <w:vAlign w:val="center"/>
          </w:tcPr>
          <w:p w14:paraId="57107F28" w14:textId="77777777" w:rsidR="00A761FC" w:rsidRPr="00A761FC" w:rsidRDefault="00A761FC" w:rsidP="00A761FC">
            <w:pPr>
              <w:jc w:val="both"/>
              <w:rPr>
                <w:rFonts w:ascii="Arial" w:hAnsi="Arial" w:cs="Arial"/>
              </w:rPr>
            </w:pPr>
            <w:r w:rsidRPr="00A761FC">
              <w:rPr>
                <w:rFonts w:ascii="Arial" w:hAnsi="Arial" w:cs="Arial"/>
              </w:rPr>
              <w:t xml:space="preserve">Respiratory Rate (x/min) </w:t>
            </w:r>
          </w:p>
        </w:tc>
        <w:tc>
          <w:tcPr>
            <w:tcW w:w="2850" w:type="dxa"/>
            <w:vAlign w:val="center"/>
          </w:tcPr>
          <w:p w14:paraId="2EEB076F" w14:textId="77777777" w:rsidR="00A761FC" w:rsidRPr="00A761FC" w:rsidRDefault="00A761FC" w:rsidP="00A761FC">
            <w:pPr>
              <w:jc w:val="center"/>
              <w:rPr>
                <w:rFonts w:ascii="Arial" w:hAnsi="Arial" w:cs="Arial"/>
              </w:rPr>
            </w:pPr>
            <w:r w:rsidRPr="00A761FC">
              <w:rPr>
                <w:rFonts w:ascii="Arial" w:hAnsi="Arial" w:cs="Arial"/>
              </w:rPr>
              <w:t>30.94 ± 1.056</w:t>
            </w:r>
          </w:p>
        </w:tc>
        <w:tc>
          <w:tcPr>
            <w:tcW w:w="2565" w:type="dxa"/>
          </w:tcPr>
          <w:p w14:paraId="0989085E" w14:textId="77777777" w:rsidR="00A761FC" w:rsidRPr="00A761FC" w:rsidRDefault="00A761FC" w:rsidP="00A761FC">
            <w:pPr>
              <w:jc w:val="center"/>
              <w:rPr>
                <w:rFonts w:ascii="Arial" w:hAnsi="Arial" w:cs="Arial"/>
              </w:rPr>
            </w:pPr>
            <w:r w:rsidRPr="00A761FC">
              <w:rPr>
                <w:rFonts w:ascii="Arial" w:hAnsi="Arial" w:cs="Arial"/>
              </w:rPr>
              <w:t>28.78 – 33.09</w:t>
            </w:r>
          </w:p>
        </w:tc>
      </w:tr>
      <w:tr w:rsidR="00A761FC" w:rsidRPr="00A761FC" w14:paraId="616A9D64" w14:textId="77777777" w:rsidTr="00EA0B6C">
        <w:trPr>
          <w:tblCellSpacing w:w="15" w:type="dxa"/>
        </w:trPr>
        <w:tc>
          <w:tcPr>
            <w:tcW w:w="3105" w:type="dxa"/>
            <w:tcBorders>
              <w:bottom w:val="single" w:sz="4" w:space="0" w:color="auto"/>
            </w:tcBorders>
            <w:vAlign w:val="center"/>
            <w:hideMark/>
          </w:tcPr>
          <w:p w14:paraId="0B71CD1B" w14:textId="77777777" w:rsidR="00A761FC" w:rsidRPr="00A761FC" w:rsidRDefault="00A761FC" w:rsidP="00A761FC">
            <w:pPr>
              <w:jc w:val="both"/>
              <w:rPr>
                <w:rFonts w:ascii="Arial" w:hAnsi="Arial" w:cs="Arial"/>
              </w:rPr>
            </w:pPr>
            <w:r w:rsidRPr="00A761FC">
              <w:rPr>
                <w:rFonts w:ascii="Arial" w:hAnsi="Arial" w:cs="Arial"/>
              </w:rPr>
              <w:t>Oxygen saturation (</w:t>
            </w:r>
            <w:proofErr w:type="spellStart"/>
            <w:r w:rsidRPr="00A761FC">
              <w:rPr>
                <w:rFonts w:ascii="Arial" w:hAnsi="Arial" w:cs="Arial"/>
              </w:rPr>
              <w:t>SpO</w:t>
            </w:r>
            <w:proofErr w:type="spellEnd"/>
            <w:r w:rsidRPr="00A761FC">
              <w:rPr>
                <w:rFonts w:ascii="Cambria Math" w:hAnsi="Cambria Math" w:cs="Cambria Math"/>
              </w:rPr>
              <w:t>₂</w:t>
            </w:r>
            <w:r w:rsidRPr="00A761FC">
              <w:rPr>
                <w:rFonts w:ascii="Arial" w:hAnsi="Arial" w:cs="Arial"/>
              </w:rPr>
              <w:t xml:space="preserve">, %) </w:t>
            </w:r>
          </w:p>
        </w:tc>
        <w:tc>
          <w:tcPr>
            <w:tcW w:w="2850" w:type="dxa"/>
            <w:tcBorders>
              <w:bottom w:val="single" w:sz="4" w:space="0" w:color="auto"/>
            </w:tcBorders>
            <w:vAlign w:val="center"/>
            <w:hideMark/>
          </w:tcPr>
          <w:p w14:paraId="27D632AB" w14:textId="77777777" w:rsidR="00A761FC" w:rsidRPr="00A761FC" w:rsidRDefault="00A761FC" w:rsidP="00A761FC">
            <w:pPr>
              <w:jc w:val="center"/>
              <w:rPr>
                <w:rFonts w:ascii="Arial" w:hAnsi="Arial" w:cs="Arial"/>
              </w:rPr>
            </w:pPr>
            <w:r w:rsidRPr="00A761FC">
              <w:rPr>
                <w:rFonts w:ascii="Arial" w:hAnsi="Arial" w:cs="Arial"/>
              </w:rPr>
              <w:t>96.97 ± 0.177</w:t>
            </w:r>
          </w:p>
        </w:tc>
        <w:tc>
          <w:tcPr>
            <w:tcW w:w="2565" w:type="dxa"/>
            <w:tcBorders>
              <w:bottom w:val="single" w:sz="4" w:space="0" w:color="auto"/>
            </w:tcBorders>
          </w:tcPr>
          <w:p w14:paraId="5F6283E4" w14:textId="77777777" w:rsidR="00A761FC" w:rsidRPr="00A761FC" w:rsidRDefault="00A761FC" w:rsidP="00A761FC">
            <w:pPr>
              <w:jc w:val="center"/>
              <w:rPr>
                <w:rFonts w:ascii="Arial" w:hAnsi="Arial" w:cs="Arial"/>
              </w:rPr>
            </w:pPr>
            <w:r w:rsidRPr="00A761FC">
              <w:rPr>
                <w:rFonts w:ascii="Arial" w:hAnsi="Arial" w:cs="Arial"/>
              </w:rPr>
              <w:t>96.61 – 97.33</w:t>
            </w:r>
          </w:p>
        </w:tc>
      </w:tr>
    </w:tbl>
    <w:p w14:paraId="7395B40E" w14:textId="77777777" w:rsidR="00A761FC" w:rsidRDefault="00A761FC" w:rsidP="00441B6F">
      <w:pPr>
        <w:pStyle w:val="Body"/>
        <w:spacing w:after="0"/>
        <w:rPr>
          <w:rFonts w:ascii="Arial" w:hAnsi="Arial" w:cs="Arial"/>
        </w:rPr>
      </w:pPr>
    </w:p>
    <w:p w14:paraId="2E583807" w14:textId="77777777" w:rsidR="00A761FC" w:rsidRPr="005F0756" w:rsidRDefault="00A761FC" w:rsidP="00A761FC">
      <w:pPr>
        <w:jc w:val="both"/>
        <w:rPr>
          <w:rFonts w:ascii="Arial" w:hAnsi="Arial" w:cs="Arial"/>
          <w:b/>
          <w:bCs/>
          <w:sz w:val="22"/>
          <w:szCs w:val="22"/>
        </w:rPr>
      </w:pPr>
      <w:r w:rsidRPr="005F0756">
        <w:rPr>
          <w:rFonts w:ascii="Arial" w:hAnsi="Arial" w:cs="Arial"/>
          <w:b/>
          <w:bCs/>
          <w:sz w:val="22"/>
          <w:szCs w:val="22"/>
        </w:rPr>
        <w:t xml:space="preserve">3.1. Cardiopulmonary Responses </w:t>
      </w:r>
    </w:p>
    <w:p w14:paraId="096A39E4" w14:textId="5888F266" w:rsidR="00A761FC" w:rsidRDefault="00A761FC" w:rsidP="00A761FC">
      <w:pPr>
        <w:jc w:val="both"/>
        <w:rPr>
          <w:rFonts w:ascii="Arial" w:hAnsi="Arial" w:cs="Arial"/>
        </w:rPr>
      </w:pPr>
      <w:r w:rsidRPr="00A761FC">
        <w:rPr>
          <w:rFonts w:ascii="Arial" w:hAnsi="Arial" w:cs="Arial"/>
        </w:rPr>
        <w:t xml:space="preserve">Independent samples t-tests showed significant differences across all three physiological parameters (Table 2). Compared with </w:t>
      </w:r>
      <w:r w:rsidR="008C6478" w:rsidRPr="008C6478">
        <w:rPr>
          <w:rFonts w:ascii="Arial" w:hAnsi="Arial" w:cs="Arial"/>
        </w:rPr>
        <w:t>standard surgical masks</w:t>
      </w:r>
      <w:r w:rsidRPr="00A761FC">
        <w:rPr>
          <w:rFonts w:ascii="Arial" w:hAnsi="Arial" w:cs="Arial"/>
        </w:rPr>
        <w:t>, KN95 masks were associated with higher heart rate (HR) and respiratory rate (RR) and lower oxygen saturation (</w:t>
      </w:r>
      <w:proofErr w:type="spellStart"/>
      <w:r w:rsidRPr="00A761FC">
        <w:rPr>
          <w:rFonts w:ascii="Arial" w:hAnsi="Arial" w:cs="Arial"/>
        </w:rPr>
        <w:t>SpO</w:t>
      </w:r>
      <w:proofErr w:type="spellEnd"/>
      <w:r w:rsidRPr="00A761FC">
        <w:rPr>
          <w:rFonts w:ascii="Cambria Math" w:hAnsi="Cambria Math" w:cs="Cambria Math"/>
        </w:rPr>
        <w:t>₂</w:t>
      </w:r>
      <w:r w:rsidRPr="00A761FC">
        <w:rPr>
          <w:rFonts w:ascii="Arial" w:hAnsi="Arial" w:cs="Arial"/>
        </w:rPr>
        <w:t xml:space="preserve">). Post-physical activity HR was significantly higher in the KN95 group compared to </w:t>
      </w:r>
      <w:r w:rsidR="0008733D" w:rsidRPr="008F0585">
        <w:rPr>
          <w:rFonts w:ascii="Arial" w:hAnsi="Arial" w:cs="Arial"/>
          <w:highlight w:val="cyan"/>
        </w:rPr>
        <w:t>standard surgical mask</w:t>
      </w:r>
      <w:r w:rsidRPr="00A761FC">
        <w:rPr>
          <w:rFonts w:ascii="Arial" w:hAnsi="Arial" w:cs="Arial"/>
        </w:rPr>
        <w:t xml:space="preserve"> (+14.4 bpm; p = 0.003), with a large effect size (Cohen’s d = 1.15). Respiratory rate was also elevated (+5.1 breaths/min; p = 0.013; d = 0.94), while </w:t>
      </w:r>
      <w:proofErr w:type="spellStart"/>
      <w:r w:rsidRPr="00A761FC">
        <w:rPr>
          <w:rFonts w:ascii="Arial" w:hAnsi="Arial" w:cs="Arial"/>
        </w:rPr>
        <w:t>SpO</w:t>
      </w:r>
      <w:proofErr w:type="spellEnd"/>
      <w:r w:rsidRPr="00A761FC">
        <w:rPr>
          <w:rFonts w:ascii="Cambria Math" w:hAnsi="Cambria Math" w:cs="Cambria Math"/>
        </w:rPr>
        <w:t>₂</w:t>
      </w:r>
      <w:r w:rsidRPr="00A761FC">
        <w:rPr>
          <w:rFonts w:ascii="Arial" w:hAnsi="Arial" w:cs="Arial"/>
        </w:rPr>
        <w:t xml:space="preserve"> was significantly reduced (–0.8%; p = 0.019; d = –0.88). </w:t>
      </w:r>
      <w:proofErr w:type="spellStart"/>
      <w:r w:rsidRPr="00A761FC">
        <w:rPr>
          <w:rFonts w:ascii="Arial" w:hAnsi="Arial" w:cs="Arial"/>
        </w:rPr>
        <w:t>Levene’s</w:t>
      </w:r>
      <w:proofErr w:type="spellEnd"/>
      <w:r w:rsidRPr="00A761FC">
        <w:rPr>
          <w:rFonts w:ascii="Arial" w:hAnsi="Arial" w:cs="Arial"/>
        </w:rPr>
        <w:t xml:space="preserve"> test confirmed homogeneity of variance across analyses. ANCOVA adjusted for age, sex, and BMI confirmed these associations, with moderate-to-large partial η² values across outcomes (Table 3). Effect size analysis indicated large effects for all parameters (Cohen’s d &gt; 0.8), underscoring the clinical relevance of these findings. </w:t>
      </w:r>
      <w:r w:rsidR="000B5C34" w:rsidRPr="000B5C34">
        <w:rPr>
          <w:rFonts w:ascii="Arial" w:hAnsi="Arial" w:cs="Arial"/>
        </w:rPr>
        <w:t>These findings demonstrate measurable differences in cardiopulmonary parameters between KN95 and standard surgical mask conditions following moderate-intensity cycling</w:t>
      </w:r>
      <w:r w:rsidRPr="00A761FC">
        <w:rPr>
          <w:rFonts w:ascii="Arial" w:hAnsi="Arial" w:cs="Arial"/>
        </w:rPr>
        <w:t>.</w:t>
      </w:r>
    </w:p>
    <w:p w14:paraId="565D6C30" w14:textId="77777777" w:rsidR="00A761FC" w:rsidRPr="00A761FC" w:rsidRDefault="00A761FC" w:rsidP="00A761FC">
      <w:pPr>
        <w:jc w:val="both"/>
        <w:rPr>
          <w:rFonts w:ascii="Arial" w:hAnsi="Arial" w:cs="Arial"/>
        </w:rPr>
      </w:pPr>
    </w:p>
    <w:p w14:paraId="3788B5B3" w14:textId="5720EEC6" w:rsidR="00730612" w:rsidRDefault="00A761FC" w:rsidP="00A761FC">
      <w:pPr>
        <w:jc w:val="both"/>
        <w:rPr>
          <w:rFonts w:ascii="Arial" w:hAnsi="Arial" w:cs="Arial"/>
        </w:rPr>
      </w:pPr>
      <w:r w:rsidRPr="00A761FC">
        <w:rPr>
          <w:rFonts w:ascii="Arial" w:hAnsi="Arial" w:cs="Arial"/>
        </w:rPr>
        <w:t xml:space="preserve">Similar effects have been observed in studies of N95 or </w:t>
      </w:r>
      <w:r w:rsidR="00730612" w:rsidRPr="00730612">
        <w:rPr>
          <w:rFonts w:ascii="Arial" w:hAnsi="Arial" w:cs="Arial"/>
        </w:rPr>
        <w:t xml:space="preserve">other </w:t>
      </w:r>
      <w:r w:rsidRPr="00A761FC">
        <w:rPr>
          <w:rFonts w:ascii="Arial" w:hAnsi="Arial" w:cs="Arial"/>
        </w:rPr>
        <w:t>high-filtration respirators, which increase breathing resistance and elevate HR and RR compared with surgical masks (Singla et al., 2022; Shui et al., 2022). In contrast, studies focusing on surgical or cloth masks have reported smaller or negligible effects (Shaw et al., 2021; Zheng et al., 2023)</w:t>
      </w:r>
      <w:r w:rsidR="00730612">
        <w:rPr>
          <w:rFonts w:ascii="Arial" w:hAnsi="Arial" w:cs="Arial"/>
        </w:rPr>
        <w:t>,</w:t>
      </w:r>
      <w:r w:rsidRPr="00A761FC">
        <w:rPr>
          <w:rFonts w:ascii="Arial" w:hAnsi="Arial" w:cs="Arial"/>
        </w:rPr>
        <w:t xml:space="preserve"> </w:t>
      </w:r>
      <w:r w:rsidR="00730612" w:rsidRPr="00730612">
        <w:rPr>
          <w:rFonts w:ascii="Arial" w:hAnsi="Arial" w:cs="Arial"/>
        </w:rPr>
        <w:t xml:space="preserve">likely reflecting lower filtration efficiency and looser mask seals </w:t>
      </w:r>
      <w:r w:rsidRPr="00A761FC">
        <w:rPr>
          <w:rFonts w:ascii="Arial" w:hAnsi="Arial" w:cs="Arial"/>
        </w:rPr>
        <w:t xml:space="preserve">(Lott et al., 2022). A systematic review and meta-analysis by </w:t>
      </w:r>
      <w:proofErr w:type="spellStart"/>
      <w:r w:rsidRPr="00A761FC">
        <w:rPr>
          <w:rFonts w:ascii="Arial" w:hAnsi="Arial" w:cs="Arial"/>
        </w:rPr>
        <w:t>Engeroff</w:t>
      </w:r>
      <w:proofErr w:type="spellEnd"/>
      <w:r w:rsidRPr="00A761FC">
        <w:rPr>
          <w:rFonts w:ascii="Arial" w:hAnsi="Arial" w:cs="Arial"/>
        </w:rPr>
        <w:t xml:space="preserve"> et al. (2021) similarly demonstrated that high-filtration masks impair gas exchange and aerobic performance</w:t>
      </w:r>
      <w:r w:rsidR="00730612">
        <w:rPr>
          <w:rFonts w:ascii="Arial" w:hAnsi="Arial" w:cs="Arial"/>
        </w:rPr>
        <w:t xml:space="preserve">. </w:t>
      </w:r>
      <w:r w:rsidR="00730612" w:rsidRPr="00730612">
        <w:rPr>
          <w:rFonts w:ascii="Arial" w:hAnsi="Arial" w:cs="Arial"/>
        </w:rPr>
        <w:t>Consistent with</w:t>
      </w:r>
      <w:r w:rsidRPr="00A761FC">
        <w:rPr>
          <w:rFonts w:ascii="Arial" w:hAnsi="Arial" w:cs="Arial"/>
        </w:rPr>
        <w:t xml:space="preserve"> </w:t>
      </w:r>
      <w:r w:rsidR="00730612">
        <w:rPr>
          <w:rFonts w:ascii="Arial" w:hAnsi="Arial" w:cs="Arial"/>
        </w:rPr>
        <w:t>t</w:t>
      </w:r>
      <w:r w:rsidR="004B0824" w:rsidRPr="006B6BDC">
        <w:rPr>
          <w:rFonts w:ascii="Arial" w:hAnsi="Arial" w:cs="Arial"/>
          <w:highlight w:val="yellow"/>
        </w:rPr>
        <w:t>hese findings</w:t>
      </w:r>
      <w:r w:rsidR="00730612">
        <w:rPr>
          <w:rFonts w:ascii="Arial" w:hAnsi="Arial" w:cs="Arial"/>
          <w:highlight w:val="yellow"/>
        </w:rPr>
        <w:t>,</w:t>
      </w:r>
      <w:r w:rsidR="004B0824" w:rsidRPr="006B6BDC">
        <w:rPr>
          <w:rFonts w:ascii="Arial" w:hAnsi="Arial" w:cs="Arial"/>
          <w:highlight w:val="yellow"/>
        </w:rPr>
        <w:t xml:space="preserve"> controlled exercise studies </w:t>
      </w:r>
      <w:r w:rsidR="00730612">
        <w:rPr>
          <w:rFonts w:ascii="Arial" w:hAnsi="Arial" w:cs="Arial"/>
          <w:highlight w:val="yellow"/>
        </w:rPr>
        <w:t xml:space="preserve">have </w:t>
      </w:r>
      <w:r w:rsidR="006B6BDC">
        <w:rPr>
          <w:rFonts w:ascii="Arial" w:hAnsi="Arial" w:cs="Arial"/>
          <w:highlight w:val="yellow"/>
        </w:rPr>
        <w:t>shown</w:t>
      </w:r>
      <w:r w:rsidR="004B0824" w:rsidRPr="006B6BDC">
        <w:rPr>
          <w:rFonts w:ascii="Arial" w:hAnsi="Arial" w:cs="Arial"/>
          <w:highlight w:val="yellow"/>
        </w:rPr>
        <w:t xml:space="preserve"> that surgical and FFP2/N95 respirators reduce cardiopulmonary exercise capacity and alter cardiorespiratory responses compared with lower-resistance masks (</w:t>
      </w:r>
      <w:proofErr w:type="spellStart"/>
      <w:r w:rsidR="004B0824" w:rsidRPr="006B6BDC">
        <w:rPr>
          <w:rFonts w:ascii="Arial" w:hAnsi="Arial" w:cs="Arial"/>
          <w:highlight w:val="yellow"/>
        </w:rPr>
        <w:t>Fikenzer</w:t>
      </w:r>
      <w:proofErr w:type="spellEnd"/>
      <w:r w:rsidR="004B0824" w:rsidRPr="006B6BDC">
        <w:rPr>
          <w:rFonts w:ascii="Arial" w:hAnsi="Arial" w:cs="Arial"/>
          <w:highlight w:val="yellow"/>
        </w:rPr>
        <w:t xml:space="preserve"> et al., 2020; do Prado et al., 2022).</w:t>
      </w:r>
      <w:r w:rsidR="004B0824">
        <w:rPr>
          <w:rFonts w:ascii="Arial" w:hAnsi="Arial" w:cs="Arial"/>
        </w:rPr>
        <w:t xml:space="preserve"> </w:t>
      </w:r>
    </w:p>
    <w:p w14:paraId="4B3B8F08" w14:textId="65D120C4" w:rsidR="00A761FC" w:rsidRDefault="00730612" w:rsidP="00A761FC">
      <w:pPr>
        <w:jc w:val="both"/>
        <w:rPr>
          <w:rFonts w:ascii="Arial" w:hAnsi="Arial" w:cs="Arial"/>
        </w:rPr>
      </w:pPr>
      <w:r w:rsidRPr="00730612">
        <w:rPr>
          <w:rFonts w:ascii="Arial" w:hAnsi="Arial" w:cs="Arial"/>
          <w:highlight w:val="cyan"/>
        </w:rPr>
        <w:t xml:space="preserve">Field-based evidence from clinical work environments further supports this interpretation. In a prospective cohort study conducted among healthy healthcare workers in an emergency department, </w:t>
      </w:r>
      <w:proofErr w:type="spellStart"/>
      <w:r w:rsidRPr="00730612">
        <w:rPr>
          <w:rFonts w:ascii="Arial" w:hAnsi="Arial" w:cs="Arial"/>
          <w:highlight w:val="cyan"/>
        </w:rPr>
        <w:t>Sanri</w:t>
      </w:r>
      <w:proofErr w:type="spellEnd"/>
      <w:r w:rsidRPr="00730612">
        <w:rPr>
          <w:rFonts w:ascii="Arial" w:hAnsi="Arial" w:cs="Arial"/>
          <w:highlight w:val="cyan"/>
        </w:rPr>
        <w:t xml:space="preserve"> et al. (2022) reported statistically significant changes in cardiopulmonary parameters associated with medical masks and filtering facepiece respirators, while values largely remained within clinically acceptable ranges during routine duties. </w:t>
      </w:r>
      <w:r w:rsidRPr="00730612">
        <w:rPr>
          <w:rFonts w:ascii="Arial" w:hAnsi="Arial" w:cs="Arial"/>
        </w:rPr>
        <w:t>Together with our findings, this highlights the importance of distinguishing statistical significance from clinical relevance when interpreting physiological responses to respirator use in real-world settings, where environmental exposure and task demands may amplify short-term cardiopulmonary strain.</w:t>
      </w:r>
      <w:r w:rsidR="0094630E">
        <w:rPr>
          <w:rFonts w:ascii="Arial" w:hAnsi="Arial" w:cs="Arial"/>
        </w:rPr>
        <w:t xml:space="preserve"> </w:t>
      </w:r>
      <w:r w:rsidR="0094630E" w:rsidRPr="0094630E">
        <w:rPr>
          <w:rFonts w:ascii="Arial" w:hAnsi="Arial" w:cs="Arial"/>
          <w:highlight w:val="yellow"/>
        </w:rPr>
        <w:t>Although KN95 and N95 respirators are regulated under different standards, both achieve ≥95% filtration efficiency and exhibit broadly comparable airflow resistance, supporting the physiological relevance of comparisons with N95-based exercise studies.</w:t>
      </w:r>
    </w:p>
    <w:p w14:paraId="75AB5B6B" w14:textId="77777777" w:rsidR="00A761FC" w:rsidRPr="00A761FC" w:rsidRDefault="00A761FC" w:rsidP="00A761FC">
      <w:pPr>
        <w:jc w:val="both"/>
        <w:rPr>
          <w:rFonts w:ascii="Arial" w:hAnsi="Arial" w:cs="Arial"/>
        </w:rPr>
      </w:pPr>
    </w:p>
    <w:p w14:paraId="46EB1061" w14:textId="246589A5" w:rsidR="00A761FC" w:rsidRPr="005F0756" w:rsidRDefault="00A761FC" w:rsidP="00A761FC">
      <w:pPr>
        <w:jc w:val="both"/>
        <w:rPr>
          <w:rFonts w:ascii="Arial" w:hAnsi="Arial" w:cs="Arial"/>
          <w:b/>
          <w:bCs/>
        </w:rPr>
      </w:pPr>
      <w:r w:rsidRPr="00A761FC">
        <w:rPr>
          <w:rFonts w:ascii="Arial" w:hAnsi="Arial" w:cs="Arial"/>
          <w:b/>
          <w:bCs/>
        </w:rPr>
        <w:t>Table 2.</w:t>
      </w:r>
      <w:r w:rsidRPr="00A761FC">
        <w:rPr>
          <w:rFonts w:ascii="Arial" w:hAnsi="Arial" w:cs="Arial"/>
        </w:rPr>
        <w:t xml:space="preserve"> </w:t>
      </w:r>
      <w:r w:rsidRPr="005F0756">
        <w:rPr>
          <w:rFonts w:ascii="Arial" w:hAnsi="Arial" w:cs="Arial"/>
          <w:b/>
          <w:bCs/>
        </w:rPr>
        <w:t xml:space="preserve">Unadjusted comparison of physiological parameters between KN95 and </w:t>
      </w:r>
      <w:r w:rsidR="0008733D" w:rsidRPr="008F0585">
        <w:rPr>
          <w:rFonts w:ascii="Arial" w:hAnsi="Arial" w:cs="Arial"/>
          <w:b/>
          <w:bCs/>
          <w:highlight w:val="cyan"/>
        </w:rPr>
        <w:t>standard surgical mask</w:t>
      </w:r>
      <w:r w:rsidRPr="005F0756">
        <w:rPr>
          <w:rFonts w:ascii="Arial" w:hAnsi="Arial" w:cs="Arial"/>
          <w:b/>
          <w:bCs/>
        </w:rPr>
        <w:t xml:space="preserve"> groups after cycling (independent samples t-test with Cohen’s d).</w:t>
      </w:r>
    </w:p>
    <w:p w14:paraId="4A1AEE88" w14:textId="77777777" w:rsidR="005F0756" w:rsidRDefault="005F0756" w:rsidP="00A761FC">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966"/>
        <w:gridCol w:w="1201"/>
        <w:gridCol w:w="1039"/>
        <w:gridCol w:w="794"/>
        <w:gridCol w:w="730"/>
        <w:gridCol w:w="1196"/>
        <w:gridCol w:w="1118"/>
      </w:tblGrid>
      <w:tr w:rsidR="005F0756" w:rsidRPr="005F0756" w14:paraId="267EACA3" w14:textId="77777777" w:rsidTr="0008733D">
        <w:trPr>
          <w:tblHeader/>
          <w:tblCellSpacing w:w="15" w:type="dxa"/>
        </w:trPr>
        <w:tc>
          <w:tcPr>
            <w:tcW w:w="1209" w:type="dxa"/>
            <w:tcBorders>
              <w:top w:val="single" w:sz="4" w:space="0" w:color="auto"/>
              <w:bottom w:val="single" w:sz="4" w:space="0" w:color="auto"/>
            </w:tcBorders>
            <w:vAlign w:val="center"/>
            <w:hideMark/>
          </w:tcPr>
          <w:p w14:paraId="1FEABC1E" w14:textId="77777777" w:rsidR="005F0756" w:rsidRPr="005F0756" w:rsidRDefault="005F0756" w:rsidP="005F0756">
            <w:pPr>
              <w:jc w:val="center"/>
              <w:rPr>
                <w:rFonts w:ascii="Arial" w:hAnsi="Arial" w:cs="Arial"/>
                <w:b/>
                <w:bCs/>
              </w:rPr>
            </w:pPr>
            <w:r w:rsidRPr="005F0756">
              <w:rPr>
                <w:rFonts w:ascii="Arial" w:hAnsi="Arial" w:cs="Arial"/>
                <w:b/>
                <w:bCs/>
              </w:rPr>
              <w:t>Variable</w:t>
            </w:r>
          </w:p>
        </w:tc>
        <w:tc>
          <w:tcPr>
            <w:tcW w:w="958" w:type="dxa"/>
            <w:tcBorders>
              <w:top w:val="single" w:sz="4" w:space="0" w:color="auto"/>
              <w:bottom w:val="single" w:sz="4" w:space="0" w:color="auto"/>
            </w:tcBorders>
            <w:vAlign w:val="center"/>
            <w:hideMark/>
          </w:tcPr>
          <w:p w14:paraId="0B3F9FA5" w14:textId="77777777" w:rsidR="005F0756" w:rsidRPr="005F0756" w:rsidRDefault="005F0756" w:rsidP="005F0756">
            <w:pPr>
              <w:jc w:val="center"/>
              <w:rPr>
                <w:rFonts w:ascii="Arial" w:hAnsi="Arial" w:cs="Arial"/>
                <w:b/>
                <w:bCs/>
              </w:rPr>
            </w:pPr>
            <w:r w:rsidRPr="005F0756">
              <w:rPr>
                <w:rFonts w:ascii="Arial" w:hAnsi="Arial" w:cs="Arial"/>
                <w:b/>
                <w:bCs/>
              </w:rPr>
              <w:t>KN95</w:t>
            </w:r>
          </w:p>
          <w:p w14:paraId="22DC4121" w14:textId="77777777" w:rsidR="005F0756" w:rsidRPr="005F0756" w:rsidRDefault="005F0756" w:rsidP="005F0756">
            <w:pPr>
              <w:jc w:val="center"/>
              <w:rPr>
                <w:rFonts w:ascii="Arial" w:hAnsi="Arial" w:cs="Arial"/>
                <w:b/>
                <w:bCs/>
              </w:rPr>
            </w:pPr>
            <w:r w:rsidRPr="005F0756">
              <w:rPr>
                <w:rFonts w:ascii="Arial" w:hAnsi="Arial" w:cs="Arial"/>
                <w:b/>
                <w:bCs/>
              </w:rPr>
              <w:t>(n = 16)</w:t>
            </w:r>
          </w:p>
        </w:tc>
        <w:tc>
          <w:tcPr>
            <w:tcW w:w="1193" w:type="dxa"/>
            <w:tcBorders>
              <w:top w:val="single" w:sz="4" w:space="0" w:color="auto"/>
              <w:bottom w:val="single" w:sz="4" w:space="0" w:color="auto"/>
            </w:tcBorders>
            <w:vAlign w:val="center"/>
            <w:hideMark/>
          </w:tcPr>
          <w:p w14:paraId="76BB4DB3" w14:textId="3D5C95C0" w:rsidR="005F0756" w:rsidRPr="005F0756" w:rsidRDefault="0008733D" w:rsidP="005F0756">
            <w:pPr>
              <w:jc w:val="center"/>
              <w:rPr>
                <w:rFonts w:ascii="Arial" w:hAnsi="Arial" w:cs="Arial"/>
                <w:b/>
                <w:bCs/>
              </w:rPr>
            </w:pPr>
            <w:r w:rsidRPr="008F0585">
              <w:rPr>
                <w:rFonts w:ascii="Arial" w:hAnsi="Arial" w:cs="Arial"/>
                <w:b/>
                <w:bCs/>
                <w:highlight w:val="cyan"/>
              </w:rPr>
              <w:t>standard surgical mask</w:t>
            </w:r>
          </w:p>
          <w:p w14:paraId="0AA0CD82" w14:textId="77777777" w:rsidR="005F0756" w:rsidRPr="005F0756" w:rsidRDefault="005F0756" w:rsidP="005F0756">
            <w:pPr>
              <w:jc w:val="center"/>
              <w:rPr>
                <w:rFonts w:ascii="Arial" w:hAnsi="Arial" w:cs="Arial"/>
                <w:b/>
                <w:bCs/>
              </w:rPr>
            </w:pPr>
            <w:r w:rsidRPr="005F0756">
              <w:rPr>
                <w:rFonts w:ascii="Arial" w:hAnsi="Arial" w:cs="Arial"/>
                <w:b/>
                <w:bCs/>
              </w:rPr>
              <w:t>(n = 16)</w:t>
            </w:r>
          </w:p>
        </w:tc>
        <w:tc>
          <w:tcPr>
            <w:tcW w:w="905" w:type="dxa"/>
            <w:tcBorders>
              <w:top w:val="single" w:sz="4" w:space="0" w:color="auto"/>
              <w:bottom w:val="single" w:sz="4" w:space="0" w:color="auto"/>
            </w:tcBorders>
            <w:vAlign w:val="center"/>
            <w:hideMark/>
          </w:tcPr>
          <w:p w14:paraId="55F8A2E8" w14:textId="77777777" w:rsidR="005F0756" w:rsidRPr="005F0756" w:rsidRDefault="005F0756" w:rsidP="005F0756">
            <w:pPr>
              <w:jc w:val="center"/>
              <w:rPr>
                <w:rFonts w:ascii="Arial" w:hAnsi="Arial" w:cs="Arial"/>
                <w:b/>
                <w:bCs/>
              </w:rPr>
            </w:pPr>
            <w:r w:rsidRPr="005F0756">
              <w:rPr>
                <w:rFonts w:ascii="Arial" w:hAnsi="Arial" w:cs="Arial"/>
                <w:b/>
                <w:bCs/>
              </w:rPr>
              <w:t>Mean Difference</w:t>
            </w:r>
          </w:p>
        </w:tc>
        <w:tc>
          <w:tcPr>
            <w:tcW w:w="781" w:type="dxa"/>
            <w:tcBorders>
              <w:top w:val="single" w:sz="4" w:space="0" w:color="auto"/>
              <w:bottom w:val="single" w:sz="4" w:space="0" w:color="auto"/>
            </w:tcBorders>
            <w:vAlign w:val="center"/>
            <w:hideMark/>
          </w:tcPr>
          <w:p w14:paraId="3E8E7E57" w14:textId="77777777" w:rsidR="005F0756" w:rsidRPr="005F0756" w:rsidRDefault="005F0756" w:rsidP="005F0756">
            <w:pPr>
              <w:jc w:val="center"/>
              <w:rPr>
                <w:rFonts w:ascii="Arial" w:hAnsi="Arial" w:cs="Arial"/>
                <w:b/>
                <w:bCs/>
              </w:rPr>
            </w:pPr>
            <w:r w:rsidRPr="005F0756">
              <w:rPr>
                <w:rFonts w:ascii="Arial" w:hAnsi="Arial" w:cs="Arial"/>
                <w:b/>
                <w:bCs/>
              </w:rPr>
              <w:t>t (df)</w:t>
            </w:r>
          </w:p>
        </w:tc>
        <w:tc>
          <w:tcPr>
            <w:tcW w:w="712" w:type="dxa"/>
            <w:tcBorders>
              <w:top w:val="single" w:sz="4" w:space="0" w:color="auto"/>
              <w:bottom w:val="single" w:sz="4" w:space="0" w:color="auto"/>
            </w:tcBorders>
            <w:vAlign w:val="center"/>
            <w:hideMark/>
          </w:tcPr>
          <w:p w14:paraId="7B91A432" w14:textId="77777777" w:rsidR="005F0756" w:rsidRPr="005F0756" w:rsidRDefault="005F0756" w:rsidP="005F0756">
            <w:pPr>
              <w:jc w:val="center"/>
              <w:rPr>
                <w:rFonts w:ascii="Arial" w:hAnsi="Arial" w:cs="Arial"/>
                <w:b/>
                <w:bCs/>
              </w:rPr>
            </w:pPr>
            <w:r w:rsidRPr="005F0756">
              <w:rPr>
                <w:rFonts w:ascii="Arial" w:hAnsi="Arial" w:cs="Arial"/>
                <w:b/>
                <w:bCs/>
              </w:rPr>
              <w:t>p-value</w:t>
            </w:r>
          </w:p>
        </w:tc>
        <w:tc>
          <w:tcPr>
            <w:tcW w:w="1178" w:type="dxa"/>
            <w:tcBorders>
              <w:top w:val="single" w:sz="4" w:space="0" w:color="auto"/>
              <w:bottom w:val="single" w:sz="4" w:space="0" w:color="auto"/>
            </w:tcBorders>
            <w:vAlign w:val="center"/>
            <w:hideMark/>
          </w:tcPr>
          <w:p w14:paraId="1D551524" w14:textId="77777777" w:rsidR="005F0756" w:rsidRPr="005F0756" w:rsidRDefault="005F0756" w:rsidP="005F0756">
            <w:pPr>
              <w:jc w:val="center"/>
              <w:rPr>
                <w:rFonts w:ascii="Arial" w:hAnsi="Arial" w:cs="Arial"/>
                <w:b/>
                <w:bCs/>
              </w:rPr>
            </w:pPr>
            <w:r w:rsidRPr="005F0756">
              <w:rPr>
                <w:rFonts w:ascii="Arial" w:hAnsi="Arial" w:cs="Arial"/>
                <w:b/>
                <w:bCs/>
              </w:rPr>
              <w:t>95% CI for Difference</w:t>
            </w:r>
          </w:p>
        </w:tc>
        <w:tc>
          <w:tcPr>
            <w:tcW w:w="1092" w:type="dxa"/>
            <w:tcBorders>
              <w:top w:val="single" w:sz="4" w:space="0" w:color="auto"/>
              <w:bottom w:val="single" w:sz="4" w:space="0" w:color="auto"/>
            </w:tcBorders>
          </w:tcPr>
          <w:p w14:paraId="6418CD09" w14:textId="77777777" w:rsidR="005F0756" w:rsidRPr="005F0756" w:rsidRDefault="005F0756" w:rsidP="005F0756">
            <w:pPr>
              <w:jc w:val="center"/>
              <w:rPr>
                <w:rFonts w:ascii="Arial" w:hAnsi="Arial" w:cs="Arial"/>
                <w:b/>
                <w:bCs/>
              </w:rPr>
            </w:pPr>
            <w:r w:rsidRPr="005F0756">
              <w:rPr>
                <w:rFonts w:ascii="Arial" w:hAnsi="Arial" w:cs="Arial"/>
                <w:b/>
                <w:bCs/>
              </w:rPr>
              <w:t>Cohen’s d</w:t>
            </w:r>
          </w:p>
        </w:tc>
      </w:tr>
      <w:tr w:rsidR="005F0756" w:rsidRPr="005F0756" w14:paraId="6162758B" w14:textId="77777777" w:rsidTr="0008733D">
        <w:trPr>
          <w:tblCellSpacing w:w="15" w:type="dxa"/>
        </w:trPr>
        <w:tc>
          <w:tcPr>
            <w:tcW w:w="1209" w:type="dxa"/>
            <w:vAlign w:val="center"/>
            <w:hideMark/>
          </w:tcPr>
          <w:p w14:paraId="64B19EF0" w14:textId="77777777" w:rsidR="005F0756" w:rsidRPr="005F0756" w:rsidRDefault="005F0756" w:rsidP="005F0756">
            <w:pPr>
              <w:rPr>
                <w:rFonts w:ascii="Arial" w:hAnsi="Arial" w:cs="Arial"/>
              </w:rPr>
            </w:pPr>
            <w:r w:rsidRPr="005F0756">
              <w:rPr>
                <w:rFonts w:ascii="Arial" w:hAnsi="Arial" w:cs="Arial"/>
              </w:rPr>
              <w:t>HR (bpm)</w:t>
            </w:r>
          </w:p>
        </w:tc>
        <w:tc>
          <w:tcPr>
            <w:tcW w:w="958" w:type="dxa"/>
            <w:vAlign w:val="center"/>
            <w:hideMark/>
          </w:tcPr>
          <w:p w14:paraId="0D2B4019" w14:textId="77777777" w:rsidR="005F0756" w:rsidRPr="005F0756" w:rsidRDefault="005F0756" w:rsidP="005F0756">
            <w:pPr>
              <w:jc w:val="center"/>
              <w:rPr>
                <w:rFonts w:ascii="Arial" w:hAnsi="Arial" w:cs="Arial"/>
              </w:rPr>
            </w:pPr>
            <w:r w:rsidRPr="005F0756">
              <w:rPr>
                <w:rFonts w:ascii="Arial" w:hAnsi="Arial" w:cs="Arial"/>
              </w:rPr>
              <w:t>135.75 ± 11.63</w:t>
            </w:r>
          </w:p>
        </w:tc>
        <w:tc>
          <w:tcPr>
            <w:tcW w:w="1193" w:type="dxa"/>
            <w:vAlign w:val="center"/>
            <w:hideMark/>
          </w:tcPr>
          <w:p w14:paraId="4F46A991" w14:textId="77777777" w:rsidR="005F0756" w:rsidRPr="005F0756" w:rsidRDefault="005F0756" w:rsidP="005F0756">
            <w:pPr>
              <w:jc w:val="center"/>
              <w:rPr>
                <w:rFonts w:ascii="Arial" w:hAnsi="Arial" w:cs="Arial"/>
              </w:rPr>
            </w:pPr>
            <w:r w:rsidRPr="005F0756">
              <w:rPr>
                <w:rFonts w:ascii="Arial" w:hAnsi="Arial" w:cs="Arial"/>
              </w:rPr>
              <w:t>121.31 ± 13.35</w:t>
            </w:r>
          </w:p>
        </w:tc>
        <w:tc>
          <w:tcPr>
            <w:tcW w:w="905" w:type="dxa"/>
            <w:vAlign w:val="center"/>
            <w:hideMark/>
          </w:tcPr>
          <w:p w14:paraId="64E3F923" w14:textId="77777777" w:rsidR="005F0756" w:rsidRPr="005F0756" w:rsidRDefault="005F0756" w:rsidP="005F0756">
            <w:pPr>
              <w:jc w:val="center"/>
              <w:rPr>
                <w:rFonts w:ascii="Arial" w:hAnsi="Arial" w:cs="Arial"/>
              </w:rPr>
            </w:pPr>
            <w:r w:rsidRPr="005F0756">
              <w:rPr>
                <w:rFonts w:ascii="Arial" w:hAnsi="Arial" w:cs="Arial"/>
              </w:rPr>
              <w:t>+14.44</w:t>
            </w:r>
          </w:p>
        </w:tc>
        <w:tc>
          <w:tcPr>
            <w:tcW w:w="781" w:type="dxa"/>
            <w:vAlign w:val="center"/>
            <w:hideMark/>
          </w:tcPr>
          <w:p w14:paraId="18D9AF46" w14:textId="77777777" w:rsidR="005F0756" w:rsidRPr="005F0756" w:rsidRDefault="005F0756" w:rsidP="005F0756">
            <w:pPr>
              <w:jc w:val="center"/>
              <w:rPr>
                <w:rFonts w:ascii="Arial" w:hAnsi="Arial" w:cs="Arial"/>
              </w:rPr>
            </w:pPr>
            <w:r w:rsidRPr="005F0756">
              <w:rPr>
                <w:rFonts w:ascii="Arial" w:hAnsi="Arial" w:cs="Arial"/>
              </w:rPr>
              <w:t>3.262 (30)</w:t>
            </w:r>
          </w:p>
        </w:tc>
        <w:tc>
          <w:tcPr>
            <w:tcW w:w="712" w:type="dxa"/>
            <w:vAlign w:val="center"/>
            <w:hideMark/>
          </w:tcPr>
          <w:p w14:paraId="7225D80F" w14:textId="77777777" w:rsidR="005F0756" w:rsidRPr="005F0756" w:rsidRDefault="005F0756" w:rsidP="005F0756">
            <w:pPr>
              <w:jc w:val="center"/>
              <w:rPr>
                <w:rFonts w:ascii="Arial" w:hAnsi="Arial" w:cs="Arial"/>
              </w:rPr>
            </w:pPr>
            <w:r w:rsidRPr="005F0756">
              <w:rPr>
                <w:rFonts w:ascii="Arial" w:hAnsi="Arial" w:cs="Arial"/>
              </w:rPr>
              <w:t>0.003</w:t>
            </w:r>
          </w:p>
        </w:tc>
        <w:tc>
          <w:tcPr>
            <w:tcW w:w="1178" w:type="dxa"/>
            <w:vAlign w:val="center"/>
            <w:hideMark/>
          </w:tcPr>
          <w:p w14:paraId="30DEAA2A" w14:textId="77777777" w:rsidR="005F0756" w:rsidRPr="005F0756" w:rsidRDefault="005F0756" w:rsidP="005F0756">
            <w:pPr>
              <w:jc w:val="center"/>
              <w:rPr>
                <w:rFonts w:ascii="Arial" w:hAnsi="Arial" w:cs="Arial"/>
              </w:rPr>
            </w:pPr>
            <w:r w:rsidRPr="005F0756">
              <w:rPr>
                <w:rFonts w:ascii="Arial" w:hAnsi="Arial" w:cs="Arial"/>
              </w:rPr>
              <w:t>5.40 – 23.50</w:t>
            </w:r>
          </w:p>
        </w:tc>
        <w:tc>
          <w:tcPr>
            <w:tcW w:w="1092" w:type="dxa"/>
            <w:vAlign w:val="center"/>
          </w:tcPr>
          <w:p w14:paraId="6932EAB1" w14:textId="77777777" w:rsidR="005F0756" w:rsidRPr="005F0756" w:rsidRDefault="005F0756" w:rsidP="005F0756">
            <w:pPr>
              <w:jc w:val="center"/>
              <w:rPr>
                <w:rFonts w:ascii="Arial" w:hAnsi="Arial" w:cs="Arial"/>
              </w:rPr>
            </w:pPr>
            <w:r w:rsidRPr="005F0756">
              <w:rPr>
                <w:rFonts w:ascii="Arial" w:hAnsi="Arial" w:cs="Arial"/>
              </w:rPr>
              <w:t>1.15</w:t>
            </w:r>
          </w:p>
        </w:tc>
      </w:tr>
      <w:tr w:rsidR="005F0756" w:rsidRPr="005F0756" w14:paraId="0BBFC25F" w14:textId="77777777" w:rsidTr="0008733D">
        <w:trPr>
          <w:tblCellSpacing w:w="15" w:type="dxa"/>
        </w:trPr>
        <w:tc>
          <w:tcPr>
            <w:tcW w:w="1209" w:type="dxa"/>
            <w:vAlign w:val="center"/>
            <w:hideMark/>
          </w:tcPr>
          <w:p w14:paraId="19444F42" w14:textId="77777777" w:rsidR="005F0756" w:rsidRPr="005F0756" w:rsidRDefault="005F0756" w:rsidP="005F0756">
            <w:pPr>
              <w:rPr>
                <w:rFonts w:ascii="Arial" w:hAnsi="Arial" w:cs="Arial"/>
              </w:rPr>
            </w:pPr>
            <w:r w:rsidRPr="005F0756">
              <w:rPr>
                <w:rFonts w:ascii="Arial" w:hAnsi="Arial" w:cs="Arial"/>
              </w:rPr>
              <w:t>RR (breaths/min)</w:t>
            </w:r>
          </w:p>
        </w:tc>
        <w:tc>
          <w:tcPr>
            <w:tcW w:w="958" w:type="dxa"/>
            <w:vAlign w:val="center"/>
            <w:hideMark/>
          </w:tcPr>
          <w:p w14:paraId="6CA150D2" w14:textId="77777777" w:rsidR="005F0756" w:rsidRPr="005F0756" w:rsidRDefault="005F0756" w:rsidP="005F0756">
            <w:pPr>
              <w:jc w:val="center"/>
              <w:rPr>
                <w:rFonts w:ascii="Arial" w:hAnsi="Arial" w:cs="Arial"/>
              </w:rPr>
            </w:pPr>
            <w:r w:rsidRPr="005F0756">
              <w:rPr>
                <w:rFonts w:ascii="Arial" w:hAnsi="Arial" w:cs="Arial"/>
              </w:rPr>
              <w:t>33.50 ± 5.60</w:t>
            </w:r>
          </w:p>
        </w:tc>
        <w:tc>
          <w:tcPr>
            <w:tcW w:w="1193" w:type="dxa"/>
            <w:vAlign w:val="center"/>
            <w:hideMark/>
          </w:tcPr>
          <w:p w14:paraId="03A66AD3" w14:textId="77777777" w:rsidR="005F0756" w:rsidRPr="005F0756" w:rsidRDefault="005F0756" w:rsidP="005F0756">
            <w:pPr>
              <w:jc w:val="center"/>
              <w:rPr>
                <w:rFonts w:ascii="Arial" w:hAnsi="Arial" w:cs="Arial"/>
              </w:rPr>
            </w:pPr>
            <w:r w:rsidRPr="005F0756">
              <w:rPr>
                <w:rFonts w:ascii="Arial" w:hAnsi="Arial" w:cs="Arial"/>
              </w:rPr>
              <w:t>28.38 ± 5.33</w:t>
            </w:r>
          </w:p>
        </w:tc>
        <w:tc>
          <w:tcPr>
            <w:tcW w:w="905" w:type="dxa"/>
            <w:vAlign w:val="center"/>
            <w:hideMark/>
          </w:tcPr>
          <w:p w14:paraId="225CCEBC" w14:textId="77777777" w:rsidR="005F0756" w:rsidRPr="005F0756" w:rsidRDefault="005F0756" w:rsidP="005F0756">
            <w:pPr>
              <w:jc w:val="center"/>
              <w:rPr>
                <w:rFonts w:ascii="Arial" w:hAnsi="Arial" w:cs="Arial"/>
              </w:rPr>
            </w:pPr>
            <w:r w:rsidRPr="005F0756">
              <w:rPr>
                <w:rFonts w:ascii="Arial" w:hAnsi="Arial" w:cs="Arial"/>
              </w:rPr>
              <w:t>+5.13</w:t>
            </w:r>
          </w:p>
        </w:tc>
        <w:tc>
          <w:tcPr>
            <w:tcW w:w="781" w:type="dxa"/>
            <w:vAlign w:val="center"/>
            <w:hideMark/>
          </w:tcPr>
          <w:p w14:paraId="5D73D0F8" w14:textId="77777777" w:rsidR="005F0756" w:rsidRPr="005F0756" w:rsidRDefault="005F0756" w:rsidP="005F0756">
            <w:pPr>
              <w:jc w:val="center"/>
              <w:rPr>
                <w:rFonts w:ascii="Arial" w:hAnsi="Arial" w:cs="Arial"/>
              </w:rPr>
            </w:pPr>
            <w:r w:rsidRPr="005F0756">
              <w:rPr>
                <w:rFonts w:ascii="Arial" w:hAnsi="Arial" w:cs="Arial"/>
              </w:rPr>
              <w:t>2.653 (30)</w:t>
            </w:r>
          </w:p>
        </w:tc>
        <w:tc>
          <w:tcPr>
            <w:tcW w:w="712" w:type="dxa"/>
            <w:vAlign w:val="center"/>
            <w:hideMark/>
          </w:tcPr>
          <w:p w14:paraId="3F24AFA8" w14:textId="77777777" w:rsidR="005F0756" w:rsidRPr="005F0756" w:rsidRDefault="005F0756" w:rsidP="005F0756">
            <w:pPr>
              <w:jc w:val="center"/>
              <w:rPr>
                <w:rFonts w:ascii="Arial" w:hAnsi="Arial" w:cs="Arial"/>
              </w:rPr>
            </w:pPr>
            <w:r w:rsidRPr="005F0756">
              <w:rPr>
                <w:rFonts w:ascii="Arial" w:hAnsi="Arial" w:cs="Arial"/>
              </w:rPr>
              <w:t>0.013</w:t>
            </w:r>
          </w:p>
        </w:tc>
        <w:tc>
          <w:tcPr>
            <w:tcW w:w="1178" w:type="dxa"/>
            <w:vAlign w:val="center"/>
            <w:hideMark/>
          </w:tcPr>
          <w:p w14:paraId="7D7399A4" w14:textId="77777777" w:rsidR="005F0756" w:rsidRPr="005F0756" w:rsidRDefault="005F0756" w:rsidP="005F0756">
            <w:pPr>
              <w:jc w:val="center"/>
              <w:rPr>
                <w:rFonts w:ascii="Arial" w:hAnsi="Arial" w:cs="Arial"/>
              </w:rPr>
            </w:pPr>
            <w:r w:rsidRPr="005F0756">
              <w:rPr>
                <w:rFonts w:ascii="Arial" w:hAnsi="Arial" w:cs="Arial"/>
              </w:rPr>
              <w:t>1.18 – 9.07</w:t>
            </w:r>
          </w:p>
        </w:tc>
        <w:tc>
          <w:tcPr>
            <w:tcW w:w="1092" w:type="dxa"/>
            <w:vAlign w:val="center"/>
          </w:tcPr>
          <w:p w14:paraId="56DA3212" w14:textId="77777777" w:rsidR="005F0756" w:rsidRPr="005F0756" w:rsidRDefault="005F0756" w:rsidP="005F0756">
            <w:pPr>
              <w:jc w:val="center"/>
              <w:rPr>
                <w:rFonts w:ascii="Arial" w:hAnsi="Arial" w:cs="Arial"/>
              </w:rPr>
            </w:pPr>
            <w:r w:rsidRPr="005F0756">
              <w:rPr>
                <w:rFonts w:ascii="Arial" w:hAnsi="Arial" w:cs="Arial"/>
              </w:rPr>
              <w:t>0.94</w:t>
            </w:r>
          </w:p>
        </w:tc>
      </w:tr>
      <w:tr w:rsidR="005F0756" w:rsidRPr="005F0756" w14:paraId="604EC61A" w14:textId="77777777" w:rsidTr="0008733D">
        <w:trPr>
          <w:tblCellSpacing w:w="15" w:type="dxa"/>
        </w:trPr>
        <w:tc>
          <w:tcPr>
            <w:tcW w:w="1209" w:type="dxa"/>
            <w:tcBorders>
              <w:bottom w:val="single" w:sz="4" w:space="0" w:color="auto"/>
            </w:tcBorders>
            <w:vAlign w:val="center"/>
            <w:hideMark/>
          </w:tcPr>
          <w:p w14:paraId="56906438" w14:textId="77777777" w:rsidR="005F0756" w:rsidRPr="005F0756" w:rsidRDefault="005F0756" w:rsidP="005F0756">
            <w:pPr>
              <w:rPr>
                <w:rFonts w:ascii="Arial" w:hAnsi="Arial" w:cs="Arial"/>
              </w:rPr>
            </w:pP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rPr>
              <w:t xml:space="preserve"> (%)</w:t>
            </w:r>
          </w:p>
        </w:tc>
        <w:tc>
          <w:tcPr>
            <w:tcW w:w="958" w:type="dxa"/>
            <w:tcBorders>
              <w:bottom w:val="single" w:sz="4" w:space="0" w:color="auto"/>
            </w:tcBorders>
            <w:vAlign w:val="center"/>
            <w:hideMark/>
          </w:tcPr>
          <w:p w14:paraId="7C618A89" w14:textId="77777777" w:rsidR="005F0756" w:rsidRPr="005F0756" w:rsidRDefault="005F0756" w:rsidP="005F0756">
            <w:pPr>
              <w:jc w:val="center"/>
              <w:rPr>
                <w:rFonts w:ascii="Arial" w:hAnsi="Arial" w:cs="Arial"/>
              </w:rPr>
            </w:pPr>
            <w:r w:rsidRPr="005F0756">
              <w:rPr>
                <w:rFonts w:ascii="Arial" w:hAnsi="Arial" w:cs="Arial"/>
              </w:rPr>
              <w:t>96.56 ± 1.03</w:t>
            </w:r>
          </w:p>
        </w:tc>
        <w:tc>
          <w:tcPr>
            <w:tcW w:w="1193" w:type="dxa"/>
            <w:tcBorders>
              <w:bottom w:val="single" w:sz="4" w:space="0" w:color="auto"/>
            </w:tcBorders>
            <w:vAlign w:val="center"/>
            <w:hideMark/>
          </w:tcPr>
          <w:p w14:paraId="450CB3F0" w14:textId="77777777" w:rsidR="005F0756" w:rsidRPr="005F0756" w:rsidRDefault="005F0756" w:rsidP="005F0756">
            <w:pPr>
              <w:jc w:val="center"/>
              <w:rPr>
                <w:rFonts w:ascii="Arial" w:hAnsi="Arial" w:cs="Arial"/>
              </w:rPr>
            </w:pPr>
            <w:r w:rsidRPr="005F0756">
              <w:rPr>
                <w:rFonts w:ascii="Arial" w:hAnsi="Arial" w:cs="Arial"/>
              </w:rPr>
              <w:t>97.38 ± 0.81</w:t>
            </w:r>
          </w:p>
        </w:tc>
        <w:tc>
          <w:tcPr>
            <w:tcW w:w="905" w:type="dxa"/>
            <w:tcBorders>
              <w:bottom w:val="single" w:sz="4" w:space="0" w:color="auto"/>
            </w:tcBorders>
            <w:vAlign w:val="center"/>
            <w:hideMark/>
          </w:tcPr>
          <w:p w14:paraId="135FD5EE" w14:textId="77777777" w:rsidR="005F0756" w:rsidRPr="005F0756" w:rsidRDefault="005F0756" w:rsidP="005F0756">
            <w:pPr>
              <w:jc w:val="center"/>
              <w:rPr>
                <w:rFonts w:ascii="Arial" w:hAnsi="Arial" w:cs="Arial"/>
              </w:rPr>
            </w:pPr>
            <w:r w:rsidRPr="005F0756">
              <w:rPr>
                <w:rFonts w:ascii="Arial" w:hAnsi="Arial" w:cs="Arial"/>
              </w:rPr>
              <w:t>-0.81</w:t>
            </w:r>
          </w:p>
        </w:tc>
        <w:tc>
          <w:tcPr>
            <w:tcW w:w="781" w:type="dxa"/>
            <w:tcBorders>
              <w:bottom w:val="single" w:sz="4" w:space="0" w:color="auto"/>
            </w:tcBorders>
            <w:vAlign w:val="center"/>
            <w:hideMark/>
          </w:tcPr>
          <w:p w14:paraId="5E9ED9D6" w14:textId="77777777" w:rsidR="005F0756" w:rsidRPr="005F0756" w:rsidRDefault="005F0756" w:rsidP="005F0756">
            <w:pPr>
              <w:jc w:val="center"/>
              <w:rPr>
                <w:rFonts w:ascii="Arial" w:hAnsi="Arial" w:cs="Arial"/>
              </w:rPr>
            </w:pPr>
            <w:r w:rsidRPr="005F0756">
              <w:rPr>
                <w:rFonts w:ascii="Arial" w:hAnsi="Arial" w:cs="Arial"/>
              </w:rPr>
              <w:t>-2.484 (30)</w:t>
            </w:r>
          </w:p>
        </w:tc>
        <w:tc>
          <w:tcPr>
            <w:tcW w:w="712" w:type="dxa"/>
            <w:tcBorders>
              <w:bottom w:val="single" w:sz="4" w:space="0" w:color="auto"/>
            </w:tcBorders>
            <w:vAlign w:val="center"/>
            <w:hideMark/>
          </w:tcPr>
          <w:p w14:paraId="0F17C06F" w14:textId="77777777" w:rsidR="005F0756" w:rsidRPr="005F0756" w:rsidRDefault="005F0756" w:rsidP="005F0756">
            <w:pPr>
              <w:jc w:val="center"/>
              <w:rPr>
                <w:rFonts w:ascii="Arial" w:hAnsi="Arial" w:cs="Arial"/>
              </w:rPr>
            </w:pPr>
            <w:r w:rsidRPr="005F0756">
              <w:rPr>
                <w:rFonts w:ascii="Arial" w:hAnsi="Arial" w:cs="Arial"/>
              </w:rPr>
              <w:t>0.019</w:t>
            </w:r>
          </w:p>
        </w:tc>
        <w:tc>
          <w:tcPr>
            <w:tcW w:w="1178" w:type="dxa"/>
            <w:tcBorders>
              <w:bottom w:val="single" w:sz="4" w:space="0" w:color="auto"/>
            </w:tcBorders>
            <w:vAlign w:val="center"/>
            <w:hideMark/>
          </w:tcPr>
          <w:p w14:paraId="1D3E2610" w14:textId="77777777" w:rsidR="005F0756" w:rsidRPr="005F0756" w:rsidRDefault="005F0756" w:rsidP="005F0756">
            <w:pPr>
              <w:jc w:val="center"/>
              <w:rPr>
                <w:rFonts w:ascii="Arial" w:hAnsi="Arial" w:cs="Arial"/>
              </w:rPr>
            </w:pPr>
            <w:r w:rsidRPr="005F0756">
              <w:rPr>
                <w:rFonts w:ascii="Arial" w:hAnsi="Arial" w:cs="Arial"/>
              </w:rPr>
              <w:t>-1.48 – -0.14</w:t>
            </w:r>
          </w:p>
        </w:tc>
        <w:tc>
          <w:tcPr>
            <w:tcW w:w="1092" w:type="dxa"/>
            <w:tcBorders>
              <w:bottom w:val="single" w:sz="4" w:space="0" w:color="auto"/>
            </w:tcBorders>
            <w:vAlign w:val="center"/>
          </w:tcPr>
          <w:p w14:paraId="7446EF14" w14:textId="77777777" w:rsidR="005F0756" w:rsidRPr="005F0756" w:rsidRDefault="005F0756" w:rsidP="005F0756">
            <w:pPr>
              <w:jc w:val="center"/>
              <w:rPr>
                <w:rFonts w:ascii="Arial" w:hAnsi="Arial" w:cs="Arial"/>
              </w:rPr>
            </w:pPr>
            <w:r w:rsidRPr="005F0756">
              <w:rPr>
                <w:rFonts w:ascii="Arial" w:hAnsi="Arial" w:cs="Arial"/>
              </w:rPr>
              <w:t>-0.88</w:t>
            </w:r>
          </w:p>
        </w:tc>
      </w:tr>
    </w:tbl>
    <w:p w14:paraId="16C2BE53" w14:textId="77777777" w:rsidR="005F0756" w:rsidRPr="005F0756" w:rsidRDefault="005F0756" w:rsidP="005F0756">
      <w:pPr>
        <w:jc w:val="both"/>
        <w:rPr>
          <w:rFonts w:ascii="Arial" w:hAnsi="Arial" w:cs="Arial"/>
          <w:i/>
          <w:iCs/>
          <w:sz w:val="18"/>
          <w:szCs w:val="18"/>
        </w:rPr>
      </w:pPr>
      <w:r w:rsidRPr="005F0756">
        <w:rPr>
          <w:rFonts w:ascii="Arial" w:hAnsi="Arial" w:cs="Arial"/>
          <w:i/>
          <w:iCs/>
          <w:sz w:val="18"/>
          <w:szCs w:val="18"/>
        </w:rPr>
        <w:t xml:space="preserve">Notes: </w:t>
      </w:r>
    </w:p>
    <w:p w14:paraId="480C36F7" w14:textId="77777777" w:rsidR="005F0756" w:rsidRPr="005F0756" w:rsidRDefault="005F0756" w:rsidP="005F0756">
      <w:pPr>
        <w:jc w:val="both"/>
        <w:rPr>
          <w:rFonts w:ascii="Arial" w:hAnsi="Arial" w:cs="Arial"/>
          <w:i/>
          <w:iCs/>
          <w:sz w:val="18"/>
          <w:szCs w:val="18"/>
        </w:rPr>
      </w:pPr>
      <w:r w:rsidRPr="005F0756">
        <w:rPr>
          <w:rFonts w:ascii="Arial" w:hAnsi="Arial" w:cs="Arial"/>
          <w:i/>
          <w:iCs/>
          <w:sz w:val="18"/>
          <w:szCs w:val="18"/>
        </w:rPr>
        <w:t>Independent samples T-test with Cohen's d, p &lt; 0.05</w:t>
      </w:r>
    </w:p>
    <w:p w14:paraId="17A58025" w14:textId="77777777" w:rsidR="005F0756" w:rsidRPr="005F0756" w:rsidRDefault="005F0756" w:rsidP="005F0756">
      <w:pPr>
        <w:jc w:val="both"/>
        <w:rPr>
          <w:rFonts w:ascii="Arial" w:hAnsi="Arial" w:cs="Arial"/>
          <w:sz w:val="18"/>
          <w:szCs w:val="18"/>
        </w:rPr>
      </w:pPr>
      <w:r w:rsidRPr="005F0756">
        <w:rPr>
          <w:rFonts w:ascii="Arial" w:hAnsi="Arial" w:cs="Arial"/>
          <w:i/>
          <w:iCs/>
          <w:sz w:val="18"/>
          <w:szCs w:val="18"/>
        </w:rPr>
        <w:t>Values are expressed as mean ± standard deviation (SD). Cohen’s d is interpreted as 0.2 = small, 0.5 = medium, and 0.8 = large effect size.</w:t>
      </w:r>
    </w:p>
    <w:p w14:paraId="4F52A47D" w14:textId="77777777" w:rsidR="005F0756" w:rsidRPr="00A761FC" w:rsidRDefault="005F0756" w:rsidP="00A761FC">
      <w:pPr>
        <w:jc w:val="both"/>
        <w:rPr>
          <w:rFonts w:ascii="Arial" w:hAnsi="Arial" w:cs="Arial"/>
        </w:rPr>
      </w:pPr>
    </w:p>
    <w:p w14:paraId="4CBCD311" w14:textId="2D71E9EB" w:rsidR="005F0756" w:rsidRDefault="005F0756" w:rsidP="005F0756">
      <w:pPr>
        <w:jc w:val="both"/>
        <w:rPr>
          <w:rFonts w:ascii="Arial" w:hAnsi="Arial" w:cs="Arial"/>
        </w:rPr>
      </w:pPr>
      <w:r w:rsidRPr="005F0756">
        <w:rPr>
          <w:rFonts w:ascii="Arial" w:hAnsi="Arial" w:cs="Arial"/>
        </w:rPr>
        <w:t xml:space="preserve">From a physiological standpoint, the elevated HR </w:t>
      </w:r>
      <w:r w:rsidR="008C6478">
        <w:rPr>
          <w:rFonts w:ascii="Arial" w:hAnsi="Arial" w:cs="Arial"/>
        </w:rPr>
        <w:t xml:space="preserve">may </w:t>
      </w:r>
      <w:proofErr w:type="gramStart"/>
      <w:r w:rsidRPr="005F0756">
        <w:rPr>
          <w:rFonts w:ascii="Arial" w:hAnsi="Arial" w:cs="Arial"/>
        </w:rPr>
        <w:t>reflects</w:t>
      </w:r>
      <w:proofErr w:type="gramEnd"/>
      <w:r w:rsidRPr="005F0756">
        <w:rPr>
          <w:rFonts w:ascii="Arial" w:hAnsi="Arial" w:cs="Arial"/>
        </w:rPr>
        <w:t xml:space="preserve"> the increased cardiovascular workload mediated by sympathetic activation secondary to enhanced respiratory effort (Grassi &amp; Drager, 2024). The higher RR represents compensatory hyperventilation to maintain alveolar ventilation against greater inspiratory resistance (Braga et al., 2023). The modest but significant decline in </w:t>
      </w: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rPr>
        <w:t xml:space="preserve"> suggests impaired oxygen diffusion or delivery, possibly exacerbated by partial CO</w:t>
      </w:r>
      <w:r w:rsidRPr="005F0756">
        <w:rPr>
          <w:rFonts w:ascii="Cambria Math" w:hAnsi="Cambria Math" w:cs="Cambria Math"/>
        </w:rPr>
        <w:t>₂</w:t>
      </w:r>
      <w:r w:rsidRPr="005F0756">
        <w:rPr>
          <w:rFonts w:ascii="Arial" w:hAnsi="Arial" w:cs="Arial"/>
        </w:rPr>
        <w:t xml:space="preserve"> rebreathing within the mask dead space. These mechanisms are consistent with prior reports that respirators may shift the ventilatory threshold, making the balance between oxygen supply and demand more fragile during physical activity (Han et al., 2023; </w:t>
      </w:r>
      <w:proofErr w:type="spellStart"/>
      <w:r w:rsidRPr="005F0756">
        <w:rPr>
          <w:rFonts w:ascii="Arial" w:hAnsi="Arial" w:cs="Arial"/>
        </w:rPr>
        <w:t>Sukul</w:t>
      </w:r>
      <w:proofErr w:type="spellEnd"/>
      <w:r w:rsidRPr="005F0756">
        <w:rPr>
          <w:rFonts w:ascii="Arial" w:hAnsi="Arial" w:cs="Arial"/>
        </w:rPr>
        <w:t xml:space="preserve"> et al., 2022). Although oxygenation remained within clinically acceptable ranges, the findings underscore that even moderate activity can elicit </w:t>
      </w:r>
      <w:r w:rsidRPr="005F0756">
        <w:rPr>
          <w:rFonts w:ascii="Arial" w:hAnsi="Arial" w:cs="Arial"/>
        </w:rPr>
        <w:lastRenderedPageBreak/>
        <w:t>detectable strain when performed with KN95 masks (O'Driscoll Bret al., 2024; Han et al., 2023).</w:t>
      </w:r>
    </w:p>
    <w:p w14:paraId="38B7B804" w14:textId="77777777" w:rsidR="005F0756" w:rsidRPr="005F0756" w:rsidRDefault="005F0756" w:rsidP="005F0756">
      <w:pPr>
        <w:jc w:val="both"/>
        <w:rPr>
          <w:rFonts w:ascii="Arial" w:hAnsi="Arial" w:cs="Arial"/>
        </w:rPr>
      </w:pPr>
    </w:p>
    <w:p w14:paraId="02F9FEEF" w14:textId="315D3254" w:rsidR="005F0756" w:rsidRPr="005F0756" w:rsidRDefault="005F0756" w:rsidP="005F0756">
      <w:pPr>
        <w:jc w:val="both"/>
        <w:rPr>
          <w:rFonts w:ascii="Arial" w:hAnsi="Arial" w:cs="Arial"/>
          <w:b/>
          <w:bCs/>
        </w:rPr>
      </w:pPr>
      <w:r w:rsidRPr="005F0756">
        <w:rPr>
          <w:rFonts w:ascii="Arial" w:hAnsi="Arial" w:cs="Arial"/>
          <w:b/>
          <w:bCs/>
        </w:rPr>
        <w:t xml:space="preserve">Table 3. Adjusted comparison of physiological parameters between KN95 and </w:t>
      </w:r>
      <w:r w:rsidR="0008733D" w:rsidRPr="008F0585">
        <w:rPr>
          <w:rFonts w:ascii="Arial" w:hAnsi="Arial" w:cs="Arial"/>
          <w:b/>
          <w:bCs/>
          <w:highlight w:val="cyan"/>
        </w:rPr>
        <w:t>standard surgical mask</w:t>
      </w:r>
      <w:r w:rsidRPr="005F0756">
        <w:rPr>
          <w:rFonts w:ascii="Arial" w:hAnsi="Arial" w:cs="Arial"/>
          <w:b/>
          <w:bCs/>
        </w:rPr>
        <w:t xml:space="preserve"> groups after cycling (ANCOVA adjusted for age, sex, and BMI).</w:t>
      </w:r>
    </w:p>
    <w:p w14:paraId="63938487" w14:textId="77777777" w:rsidR="005F0756" w:rsidRPr="005F0756" w:rsidRDefault="005F0756" w:rsidP="005F0756">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1701"/>
        <w:gridCol w:w="2001"/>
        <w:gridCol w:w="1610"/>
        <w:gridCol w:w="885"/>
        <w:gridCol w:w="847"/>
      </w:tblGrid>
      <w:tr w:rsidR="005F0756" w:rsidRPr="005F0756" w14:paraId="3BD6C379" w14:textId="77777777" w:rsidTr="00EA0B6C">
        <w:trPr>
          <w:tblHeader/>
          <w:tblCellSpacing w:w="15" w:type="dxa"/>
        </w:trPr>
        <w:tc>
          <w:tcPr>
            <w:tcW w:w="0" w:type="auto"/>
            <w:tcBorders>
              <w:top w:val="single" w:sz="4" w:space="0" w:color="auto"/>
              <w:bottom w:val="single" w:sz="4" w:space="0" w:color="auto"/>
            </w:tcBorders>
            <w:vAlign w:val="center"/>
            <w:hideMark/>
          </w:tcPr>
          <w:p w14:paraId="4BB5BC70" w14:textId="77777777" w:rsidR="005F0756" w:rsidRPr="005F0756" w:rsidRDefault="005F0756" w:rsidP="005F0756">
            <w:pPr>
              <w:jc w:val="both"/>
              <w:rPr>
                <w:rFonts w:ascii="Arial" w:hAnsi="Arial" w:cs="Arial"/>
                <w:b/>
                <w:bCs/>
              </w:rPr>
            </w:pPr>
            <w:r w:rsidRPr="005F0756">
              <w:rPr>
                <w:rFonts w:ascii="Arial" w:hAnsi="Arial" w:cs="Arial"/>
                <w:b/>
                <w:bCs/>
              </w:rPr>
              <w:t>Variable</w:t>
            </w:r>
          </w:p>
        </w:tc>
        <w:tc>
          <w:tcPr>
            <w:tcW w:w="1911" w:type="dxa"/>
            <w:tcBorders>
              <w:top w:val="single" w:sz="4" w:space="0" w:color="auto"/>
              <w:bottom w:val="single" w:sz="4" w:space="0" w:color="auto"/>
            </w:tcBorders>
            <w:vAlign w:val="center"/>
            <w:hideMark/>
          </w:tcPr>
          <w:p w14:paraId="160AF593" w14:textId="77777777" w:rsidR="005F0756" w:rsidRPr="005F0756" w:rsidRDefault="005F0756" w:rsidP="005F0756">
            <w:pPr>
              <w:jc w:val="center"/>
              <w:rPr>
                <w:rFonts w:ascii="Arial" w:hAnsi="Arial" w:cs="Arial"/>
                <w:b/>
                <w:bCs/>
              </w:rPr>
            </w:pPr>
            <w:r w:rsidRPr="005F0756">
              <w:rPr>
                <w:rFonts w:ascii="Arial" w:hAnsi="Arial" w:cs="Arial"/>
                <w:b/>
                <w:bCs/>
              </w:rPr>
              <w:t>KN95 (Adjusted Mean ± SE)</w:t>
            </w:r>
          </w:p>
        </w:tc>
        <w:tc>
          <w:tcPr>
            <w:tcW w:w="2310" w:type="dxa"/>
            <w:tcBorders>
              <w:top w:val="single" w:sz="4" w:space="0" w:color="auto"/>
              <w:bottom w:val="single" w:sz="4" w:space="0" w:color="auto"/>
            </w:tcBorders>
            <w:vAlign w:val="center"/>
            <w:hideMark/>
          </w:tcPr>
          <w:p w14:paraId="3D7BCD90" w14:textId="627E5723" w:rsidR="005F0756" w:rsidRPr="005F0756" w:rsidRDefault="0008733D" w:rsidP="005F0756">
            <w:pPr>
              <w:jc w:val="center"/>
              <w:rPr>
                <w:rFonts w:ascii="Arial" w:hAnsi="Arial" w:cs="Arial"/>
                <w:b/>
                <w:bCs/>
              </w:rPr>
            </w:pPr>
            <w:r w:rsidRPr="008F0585">
              <w:rPr>
                <w:rFonts w:ascii="Arial" w:hAnsi="Arial" w:cs="Arial"/>
                <w:b/>
                <w:bCs/>
                <w:highlight w:val="cyan"/>
              </w:rPr>
              <w:t>standard surgical mask</w:t>
            </w:r>
            <w:r w:rsidR="005F0756" w:rsidRPr="005F0756">
              <w:rPr>
                <w:rFonts w:ascii="Arial" w:hAnsi="Arial" w:cs="Arial"/>
                <w:b/>
                <w:bCs/>
              </w:rPr>
              <w:t xml:space="preserve"> (Adjusted Mean ± SE)</w:t>
            </w:r>
          </w:p>
        </w:tc>
        <w:tc>
          <w:tcPr>
            <w:tcW w:w="1770" w:type="dxa"/>
            <w:tcBorders>
              <w:top w:val="single" w:sz="4" w:space="0" w:color="auto"/>
              <w:bottom w:val="single" w:sz="4" w:space="0" w:color="auto"/>
            </w:tcBorders>
            <w:vAlign w:val="center"/>
            <w:hideMark/>
          </w:tcPr>
          <w:p w14:paraId="5189D9E3" w14:textId="77777777" w:rsidR="005F0756" w:rsidRPr="005F0756" w:rsidRDefault="005F0756" w:rsidP="005F0756">
            <w:pPr>
              <w:jc w:val="center"/>
              <w:rPr>
                <w:rFonts w:ascii="Arial" w:hAnsi="Arial" w:cs="Arial"/>
                <w:b/>
                <w:bCs/>
              </w:rPr>
            </w:pPr>
            <w:r w:rsidRPr="005F0756">
              <w:rPr>
                <w:rFonts w:ascii="Arial" w:hAnsi="Arial" w:cs="Arial"/>
                <w:b/>
                <w:bCs/>
              </w:rPr>
              <w:t>Mean Difference (95% CI)</w:t>
            </w:r>
          </w:p>
        </w:tc>
        <w:tc>
          <w:tcPr>
            <w:tcW w:w="960" w:type="dxa"/>
            <w:tcBorders>
              <w:top w:val="single" w:sz="4" w:space="0" w:color="auto"/>
              <w:bottom w:val="single" w:sz="4" w:space="0" w:color="auto"/>
            </w:tcBorders>
            <w:vAlign w:val="center"/>
            <w:hideMark/>
          </w:tcPr>
          <w:p w14:paraId="3078CBBB" w14:textId="77777777" w:rsidR="005F0756" w:rsidRPr="005F0756" w:rsidRDefault="005F0756" w:rsidP="005F0756">
            <w:pPr>
              <w:jc w:val="center"/>
              <w:rPr>
                <w:rFonts w:ascii="Arial" w:hAnsi="Arial" w:cs="Arial"/>
                <w:b/>
                <w:bCs/>
              </w:rPr>
            </w:pPr>
            <w:r w:rsidRPr="005F0756">
              <w:rPr>
                <w:rFonts w:ascii="Arial" w:hAnsi="Arial" w:cs="Arial"/>
                <w:b/>
                <w:bCs/>
              </w:rPr>
              <w:t>p-value</w:t>
            </w:r>
          </w:p>
        </w:tc>
        <w:tc>
          <w:tcPr>
            <w:tcW w:w="855" w:type="dxa"/>
            <w:tcBorders>
              <w:top w:val="single" w:sz="4" w:space="0" w:color="auto"/>
              <w:bottom w:val="single" w:sz="4" w:space="0" w:color="auto"/>
            </w:tcBorders>
            <w:vAlign w:val="center"/>
            <w:hideMark/>
          </w:tcPr>
          <w:p w14:paraId="252C9ED9" w14:textId="77777777" w:rsidR="005F0756" w:rsidRPr="005F0756" w:rsidRDefault="005F0756" w:rsidP="005F0756">
            <w:pPr>
              <w:jc w:val="center"/>
              <w:rPr>
                <w:rFonts w:ascii="Arial" w:hAnsi="Arial" w:cs="Arial"/>
                <w:b/>
                <w:bCs/>
              </w:rPr>
            </w:pPr>
            <w:r w:rsidRPr="005F0756">
              <w:rPr>
                <w:rFonts w:ascii="Arial" w:hAnsi="Arial" w:cs="Arial"/>
                <w:b/>
                <w:bCs/>
              </w:rPr>
              <w:t>Partial η²</w:t>
            </w:r>
          </w:p>
        </w:tc>
      </w:tr>
      <w:tr w:rsidR="005F0756" w:rsidRPr="005F0756" w14:paraId="3A4494BF" w14:textId="77777777" w:rsidTr="00EA0B6C">
        <w:trPr>
          <w:tblCellSpacing w:w="15" w:type="dxa"/>
        </w:trPr>
        <w:tc>
          <w:tcPr>
            <w:tcW w:w="0" w:type="auto"/>
            <w:vAlign w:val="center"/>
            <w:hideMark/>
          </w:tcPr>
          <w:p w14:paraId="3915CE3A" w14:textId="77777777" w:rsidR="005F0756" w:rsidRPr="005F0756" w:rsidRDefault="005F0756" w:rsidP="005F0756">
            <w:pPr>
              <w:jc w:val="both"/>
              <w:rPr>
                <w:rFonts w:ascii="Arial" w:hAnsi="Arial" w:cs="Arial"/>
              </w:rPr>
            </w:pPr>
            <w:r w:rsidRPr="005F0756">
              <w:rPr>
                <w:rFonts w:ascii="Arial" w:hAnsi="Arial" w:cs="Arial"/>
              </w:rPr>
              <w:t>HR (bpm)</w:t>
            </w:r>
          </w:p>
        </w:tc>
        <w:tc>
          <w:tcPr>
            <w:tcW w:w="1911" w:type="dxa"/>
            <w:vAlign w:val="center"/>
            <w:hideMark/>
          </w:tcPr>
          <w:p w14:paraId="149555AC" w14:textId="77777777" w:rsidR="005F0756" w:rsidRPr="005F0756" w:rsidRDefault="005F0756" w:rsidP="005F0756">
            <w:pPr>
              <w:jc w:val="center"/>
              <w:rPr>
                <w:rFonts w:ascii="Arial" w:hAnsi="Arial" w:cs="Arial"/>
              </w:rPr>
            </w:pPr>
            <w:r w:rsidRPr="005F0756">
              <w:rPr>
                <w:rFonts w:ascii="Arial" w:hAnsi="Arial" w:cs="Arial"/>
              </w:rPr>
              <w:t>136.0 ± 3.15</w:t>
            </w:r>
          </w:p>
        </w:tc>
        <w:tc>
          <w:tcPr>
            <w:tcW w:w="2310" w:type="dxa"/>
            <w:vAlign w:val="center"/>
            <w:hideMark/>
          </w:tcPr>
          <w:p w14:paraId="40046FB7" w14:textId="77777777" w:rsidR="005F0756" w:rsidRPr="005F0756" w:rsidRDefault="005F0756" w:rsidP="005F0756">
            <w:pPr>
              <w:jc w:val="center"/>
              <w:rPr>
                <w:rFonts w:ascii="Arial" w:hAnsi="Arial" w:cs="Arial"/>
              </w:rPr>
            </w:pPr>
            <w:r w:rsidRPr="005F0756">
              <w:rPr>
                <w:rFonts w:ascii="Arial" w:hAnsi="Arial" w:cs="Arial"/>
              </w:rPr>
              <w:t>121.0 ± 3.15</w:t>
            </w:r>
          </w:p>
        </w:tc>
        <w:tc>
          <w:tcPr>
            <w:tcW w:w="1770" w:type="dxa"/>
            <w:vAlign w:val="center"/>
            <w:hideMark/>
          </w:tcPr>
          <w:p w14:paraId="053E9D38" w14:textId="77777777" w:rsidR="005F0756" w:rsidRPr="005F0756" w:rsidRDefault="005F0756" w:rsidP="005F0756">
            <w:pPr>
              <w:jc w:val="center"/>
              <w:rPr>
                <w:rFonts w:ascii="Arial" w:hAnsi="Arial" w:cs="Arial"/>
              </w:rPr>
            </w:pPr>
            <w:r w:rsidRPr="005F0756">
              <w:rPr>
                <w:rFonts w:ascii="Arial" w:hAnsi="Arial" w:cs="Arial"/>
              </w:rPr>
              <w:t>+15.0 (5.83 – 24.13)</w:t>
            </w:r>
          </w:p>
        </w:tc>
        <w:tc>
          <w:tcPr>
            <w:tcW w:w="960" w:type="dxa"/>
            <w:vAlign w:val="center"/>
            <w:hideMark/>
          </w:tcPr>
          <w:p w14:paraId="4E2229BC" w14:textId="77777777" w:rsidR="005F0756" w:rsidRPr="005F0756" w:rsidRDefault="005F0756" w:rsidP="005F0756">
            <w:pPr>
              <w:jc w:val="center"/>
              <w:rPr>
                <w:rFonts w:ascii="Arial" w:hAnsi="Arial" w:cs="Arial"/>
              </w:rPr>
            </w:pPr>
            <w:r w:rsidRPr="005F0756">
              <w:rPr>
                <w:rFonts w:ascii="Arial" w:hAnsi="Arial" w:cs="Arial"/>
              </w:rPr>
              <w:t>0.002</w:t>
            </w:r>
          </w:p>
        </w:tc>
        <w:tc>
          <w:tcPr>
            <w:tcW w:w="855" w:type="dxa"/>
            <w:vAlign w:val="center"/>
            <w:hideMark/>
          </w:tcPr>
          <w:p w14:paraId="0FA7FA93" w14:textId="77777777" w:rsidR="005F0756" w:rsidRPr="005F0756" w:rsidRDefault="005F0756" w:rsidP="005F0756">
            <w:pPr>
              <w:jc w:val="center"/>
              <w:rPr>
                <w:rFonts w:ascii="Arial" w:hAnsi="Arial" w:cs="Arial"/>
              </w:rPr>
            </w:pPr>
            <w:r w:rsidRPr="005F0756">
              <w:rPr>
                <w:rFonts w:ascii="Arial" w:hAnsi="Arial" w:cs="Arial"/>
              </w:rPr>
              <w:t>0.295</w:t>
            </w:r>
          </w:p>
        </w:tc>
      </w:tr>
      <w:tr w:rsidR="005F0756" w:rsidRPr="005F0756" w14:paraId="1C8516BB" w14:textId="77777777" w:rsidTr="00EA0B6C">
        <w:trPr>
          <w:tblCellSpacing w:w="15" w:type="dxa"/>
        </w:trPr>
        <w:tc>
          <w:tcPr>
            <w:tcW w:w="0" w:type="auto"/>
            <w:vAlign w:val="center"/>
            <w:hideMark/>
          </w:tcPr>
          <w:p w14:paraId="740B37D4" w14:textId="77777777" w:rsidR="005F0756" w:rsidRPr="005F0756" w:rsidRDefault="005F0756" w:rsidP="005F0756">
            <w:pPr>
              <w:jc w:val="both"/>
              <w:rPr>
                <w:rFonts w:ascii="Arial" w:hAnsi="Arial" w:cs="Arial"/>
              </w:rPr>
            </w:pPr>
            <w:r w:rsidRPr="005F0756">
              <w:rPr>
                <w:rFonts w:ascii="Arial" w:hAnsi="Arial" w:cs="Arial"/>
              </w:rPr>
              <w:t>RR (breaths/min)</w:t>
            </w:r>
          </w:p>
        </w:tc>
        <w:tc>
          <w:tcPr>
            <w:tcW w:w="1911" w:type="dxa"/>
            <w:vAlign w:val="center"/>
            <w:hideMark/>
          </w:tcPr>
          <w:p w14:paraId="6D69B50D" w14:textId="77777777" w:rsidR="005F0756" w:rsidRPr="005F0756" w:rsidRDefault="005F0756" w:rsidP="005F0756">
            <w:pPr>
              <w:jc w:val="center"/>
              <w:rPr>
                <w:rFonts w:ascii="Arial" w:hAnsi="Arial" w:cs="Arial"/>
              </w:rPr>
            </w:pPr>
            <w:r w:rsidRPr="005F0756">
              <w:rPr>
                <w:rFonts w:ascii="Arial" w:hAnsi="Arial" w:cs="Arial"/>
              </w:rPr>
              <w:t>33.49 ± 1.44</w:t>
            </w:r>
          </w:p>
        </w:tc>
        <w:tc>
          <w:tcPr>
            <w:tcW w:w="2310" w:type="dxa"/>
            <w:vAlign w:val="center"/>
            <w:hideMark/>
          </w:tcPr>
          <w:p w14:paraId="0B53A970" w14:textId="77777777" w:rsidR="005F0756" w:rsidRPr="005F0756" w:rsidRDefault="005F0756" w:rsidP="005F0756">
            <w:pPr>
              <w:jc w:val="center"/>
              <w:rPr>
                <w:rFonts w:ascii="Arial" w:hAnsi="Arial" w:cs="Arial"/>
              </w:rPr>
            </w:pPr>
            <w:r w:rsidRPr="005F0756">
              <w:rPr>
                <w:rFonts w:ascii="Arial" w:hAnsi="Arial" w:cs="Arial"/>
              </w:rPr>
              <w:t>28.39 ± 1.44</w:t>
            </w:r>
          </w:p>
        </w:tc>
        <w:tc>
          <w:tcPr>
            <w:tcW w:w="1770" w:type="dxa"/>
            <w:vAlign w:val="center"/>
            <w:hideMark/>
          </w:tcPr>
          <w:p w14:paraId="2397EEF4" w14:textId="77777777" w:rsidR="005F0756" w:rsidRPr="005F0756" w:rsidRDefault="005F0756" w:rsidP="005F0756">
            <w:pPr>
              <w:jc w:val="center"/>
              <w:rPr>
                <w:rFonts w:ascii="Arial" w:hAnsi="Arial" w:cs="Arial"/>
              </w:rPr>
            </w:pPr>
            <w:r w:rsidRPr="005F0756">
              <w:rPr>
                <w:rFonts w:ascii="Arial" w:hAnsi="Arial" w:cs="Arial"/>
              </w:rPr>
              <w:t>+5.1 (0.93 – 9.27)</w:t>
            </w:r>
          </w:p>
        </w:tc>
        <w:tc>
          <w:tcPr>
            <w:tcW w:w="960" w:type="dxa"/>
            <w:vAlign w:val="center"/>
            <w:hideMark/>
          </w:tcPr>
          <w:p w14:paraId="16B6C223" w14:textId="77777777" w:rsidR="005F0756" w:rsidRPr="005F0756" w:rsidRDefault="005F0756" w:rsidP="005F0756">
            <w:pPr>
              <w:jc w:val="center"/>
              <w:rPr>
                <w:rFonts w:ascii="Arial" w:hAnsi="Arial" w:cs="Arial"/>
              </w:rPr>
            </w:pPr>
            <w:r w:rsidRPr="005F0756">
              <w:rPr>
                <w:rFonts w:ascii="Arial" w:hAnsi="Arial" w:cs="Arial"/>
              </w:rPr>
              <w:t>0.018</w:t>
            </w:r>
          </w:p>
        </w:tc>
        <w:tc>
          <w:tcPr>
            <w:tcW w:w="855" w:type="dxa"/>
            <w:vAlign w:val="center"/>
            <w:hideMark/>
          </w:tcPr>
          <w:p w14:paraId="7C4274BB" w14:textId="77777777" w:rsidR="005F0756" w:rsidRPr="005F0756" w:rsidRDefault="005F0756" w:rsidP="005F0756">
            <w:pPr>
              <w:jc w:val="center"/>
              <w:rPr>
                <w:rFonts w:ascii="Arial" w:hAnsi="Arial" w:cs="Arial"/>
              </w:rPr>
            </w:pPr>
            <w:r w:rsidRPr="005F0756">
              <w:rPr>
                <w:rFonts w:ascii="Arial" w:hAnsi="Arial" w:cs="Arial"/>
              </w:rPr>
              <w:t>0.189</w:t>
            </w:r>
          </w:p>
        </w:tc>
      </w:tr>
      <w:tr w:rsidR="005F0756" w:rsidRPr="005F0756" w14:paraId="04817C32" w14:textId="77777777" w:rsidTr="00EA0B6C">
        <w:trPr>
          <w:tblCellSpacing w:w="15" w:type="dxa"/>
        </w:trPr>
        <w:tc>
          <w:tcPr>
            <w:tcW w:w="0" w:type="auto"/>
            <w:tcBorders>
              <w:bottom w:val="single" w:sz="4" w:space="0" w:color="auto"/>
            </w:tcBorders>
            <w:vAlign w:val="center"/>
            <w:hideMark/>
          </w:tcPr>
          <w:p w14:paraId="38C5D3E2" w14:textId="77777777" w:rsidR="005F0756" w:rsidRPr="005F0756" w:rsidRDefault="005F0756" w:rsidP="005F0756">
            <w:pPr>
              <w:jc w:val="both"/>
              <w:rPr>
                <w:rFonts w:ascii="Arial" w:hAnsi="Arial" w:cs="Arial"/>
              </w:rPr>
            </w:pP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rPr>
              <w:t xml:space="preserve"> (%)</w:t>
            </w:r>
          </w:p>
        </w:tc>
        <w:tc>
          <w:tcPr>
            <w:tcW w:w="1911" w:type="dxa"/>
            <w:tcBorders>
              <w:bottom w:val="single" w:sz="4" w:space="0" w:color="auto"/>
            </w:tcBorders>
            <w:vAlign w:val="center"/>
            <w:hideMark/>
          </w:tcPr>
          <w:p w14:paraId="185E57AD" w14:textId="77777777" w:rsidR="005F0756" w:rsidRPr="005F0756" w:rsidRDefault="005F0756" w:rsidP="005F0756">
            <w:pPr>
              <w:jc w:val="center"/>
              <w:rPr>
                <w:rFonts w:ascii="Arial" w:hAnsi="Arial" w:cs="Arial"/>
              </w:rPr>
            </w:pPr>
            <w:r w:rsidRPr="005F0756">
              <w:rPr>
                <w:rFonts w:ascii="Arial" w:hAnsi="Arial" w:cs="Arial"/>
              </w:rPr>
              <w:t>96.56 ± 0.21</w:t>
            </w:r>
          </w:p>
        </w:tc>
        <w:tc>
          <w:tcPr>
            <w:tcW w:w="2310" w:type="dxa"/>
            <w:tcBorders>
              <w:bottom w:val="single" w:sz="4" w:space="0" w:color="auto"/>
            </w:tcBorders>
            <w:vAlign w:val="center"/>
            <w:hideMark/>
          </w:tcPr>
          <w:p w14:paraId="765641C4" w14:textId="77777777" w:rsidR="005F0756" w:rsidRPr="005F0756" w:rsidRDefault="005F0756" w:rsidP="005F0756">
            <w:pPr>
              <w:jc w:val="center"/>
              <w:rPr>
                <w:rFonts w:ascii="Arial" w:hAnsi="Arial" w:cs="Arial"/>
              </w:rPr>
            </w:pPr>
            <w:r w:rsidRPr="005F0756">
              <w:rPr>
                <w:rFonts w:ascii="Arial" w:hAnsi="Arial" w:cs="Arial"/>
              </w:rPr>
              <w:t>97.38 ± 0.21</w:t>
            </w:r>
          </w:p>
        </w:tc>
        <w:tc>
          <w:tcPr>
            <w:tcW w:w="1770" w:type="dxa"/>
            <w:tcBorders>
              <w:bottom w:val="single" w:sz="4" w:space="0" w:color="auto"/>
            </w:tcBorders>
            <w:vAlign w:val="center"/>
            <w:hideMark/>
          </w:tcPr>
          <w:p w14:paraId="6625E5B3" w14:textId="77777777" w:rsidR="005F0756" w:rsidRPr="005F0756" w:rsidRDefault="005F0756" w:rsidP="005F0756">
            <w:pPr>
              <w:jc w:val="center"/>
              <w:rPr>
                <w:rFonts w:ascii="Arial" w:hAnsi="Arial" w:cs="Arial"/>
              </w:rPr>
            </w:pPr>
            <w:r w:rsidRPr="005F0756">
              <w:rPr>
                <w:rFonts w:ascii="Arial" w:hAnsi="Arial" w:cs="Arial"/>
              </w:rPr>
              <w:t>–0.82 (–1.44 – –0.21)</w:t>
            </w:r>
          </w:p>
        </w:tc>
        <w:tc>
          <w:tcPr>
            <w:tcW w:w="960" w:type="dxa"/>
            <w:tcBorders>
              <w:bottom w:val="single" w:sz="4" w:space="0" w:color="auto"/>
            </w:tcBorders>
            <w:vAlign w:val="center"/>
            <w:hideMark/>
          </w:tcPr>
          <w:p w14:paraId="56E9FAA3" w14:textId="77777777" w:rsidR="005F0756" w:rsidRPr="005F0756" w:rsidRDefault="005F0756" w:rsidP="005F0756">
            <w:pPr>
              <w:jc w:val="center"/>
              <w:rPr>
                <w:rFonts w:ascii="Arial" w:hAnsi="Arial" w:cs="Arial"/>
              </w:rPr>
            </w:pPr>
            <w:r w:rsidRPr="005F0756">
              <w:rPr>
                <w:rFonts w:ascii="Arial" w:hAnsi="Arial" w:cs="Arial"/>
              </w:rPr>
              <w:t>0.011</w:t>
            </w:r>
          </w:p>
        </w:tc>
        <w:tc>
          <w:tcPr>
            <w:tcW w:w="855" w:type="dxa"/>
            <w:tcBorders>
              <w:bottom w:val="single" w:sz="4" w:space="0" w:color="auto"/>
            </w:tcBorders>
            <w:vAlign w:val="center"/>
            <w:hideMark/>
          </w:tcPr>
          <w:p w14:paraId="69412DA8" w14:textId="77777777" w:rsidR="005F0756" w:rsidRPr="005F0756" w:rsidRDefault="005F0756" w:rsidP="005F0756">
            <w:pPr>
              <w:jc w:val="center"/>
              <w:rPr>
                <w:rFonts w:ascii="Arial" w:hAnsi="Arial" w:cs="Arial"/>
              </w:rPr>
            </w:pPr>
            <w:r w:rsidRPr="005F0756">
              <w:rPr>
                <w:rFonts w:ascii="Arial" w:hAnsi="Arial" w:cs="Arial"/>
              </w:rPr>
              <w:t>0.218</w:t>
            </w:r>
          </w:p>
        </w:tc>
      </w:tr>
    </w:tbl>
    <w:p w14:paraId="76864ECC" w14:textId="77777777" w:rsidR="005F0756" w:rsidRPr="005F0756" w:rsidRDefault="005F0756" w:rsidP="005F0756">
      <w:pPr>
        <w:jc w:val="both"/>
        <w:rPr>
          <w:rFonts w:ascii="Arial" w:hAnsi="Arial" w:cs="Arial"/>
          <w:i/>
          <w:iCs/>
          <w:sz w:val="18"/>
          <w:szCs w:val="18"/>
        </w:rPr>
      </w:pPr>
      <w:r w:rsidRPr="005F0756">
        <w:rPr>
          <w:rFonts w:ascii="Arial" w:hAnsi="Arial" w:cs="Arial"/>
          <w:i/>
          <w:iCs/>
          <w:sz w:val="18"/>
          <w:szCs w:val="18"/>
        </w:rPr>
        <w:t xml:space="preserve">Notes: </w:t>
      </w:r>
    </w:p>
    <w:p w14:paraId="1989D0A3" w14:textId="77777777" w:rsidR="005F0756" w:rsidRPr="005F0756" w:rsidRDefault="005F0756" w:rsidP="005F0756">
      <w:pPr>
        <w:rPr>
          <w:rFonts w:ascii="Arial" w:hAnsi="Arial" w:cs="Arial"/>
          <w:i/>
          <w:iCs/>
        </w:rPr>
      </w:pPr>
      <w:r w:rsidRPr="005F0756">
        <w:rPr>
          <w:rFonts w:ascii="Arial" w:hAnsi="Arial" w:cs="Arial"/>
          <w:i/>
          <w:iCs/>
          <w:sz w:val="18"/>
          <w:szCs w:val="18"/>
        </w:rPr>
        <w:t>Adjusted means were estimated using ANCOVA. The acronym SE stands for standard errors. Partial η² is interpreted as 0.01 = small, 0.06 = medium, and 0.14 = large effect size.</w:t>
      </w:r>
    </w:p>
    <w:p w14:paraId="36646100" w14:textId="77777777" w:rsidR="005F0756" w:rsidRDefault="005F0756" w:rsidP="005F0756">
      <w:pPr>
        <w:jc w:val="both"/>
        <w:rPr>
          <w:rFonts w:ascii="Arial" w:hAnsi="Arial" w:cs="Arial"/>
        </w:rPr>
      </w:pPr>
    </w:p>
    <w:p w14:paraId="5715BFAD" w14:textId="2C38197B" w:rsidR="005F0756" w:rsidRPr="005F0756" w:rsidRDefault="005F0756" w:rsidP="005F0756">
      <w:pPr>
        <w:jc w:val="both"/>
        <w:rPr>
          <w:rFonts w:ascii="Arial" w:hAnsi="Arial" w:cs="Arial"/>
        </w:rPr>
      </w:pPr>
      <w:r w:rsidRPr="005F0756">
        <w:rPr>
          <w:rFonts w:ascii="Arial" w:hAnsi="Arial" w:cs="Arial"/>
        </w:rPr>
        <w:t xml:space="preserve">Clinically, these findings are particularly relevant for individuals with a reduced cardiopulmonary reserve. Patients with chronic respiratory diseases (e.g., asthma, COPD) or cardiovascular conditions may be less able to compensate for the additional ventilatory resistance imposed by KN95 masks, </w:t>
      </w:r>
      <w:r w:rsidR="008C6478" w:rsidRPr="008C6478">
        <w:rPr>
          <w:rFonts w:ascii="Arial" w:hAnsi="Arial" w:cs="Arial"/>
        </w:rPr>
        <w:t>which may contribute to</w:t>
      </w:r>
      <w:r w:rsidR="008C6478">
        <w:rPr>
          <w:rFonts w:ascii="Arial" w:hAnsi="Arial" w:cs="Arial"/>
        </w:rPr>
        <w:t xml:space="preserve"> </w:t>
      </w:r>
      <w:r w:rsidRPr="005F0756">
        <w:rPr>
          <w:rFonts w:ascii="Arial" w:hAnsi="Arial" w:cs="Arial"/>
        </w:rPr>
        <w:t>physical activity intolerance, dyspnea, or oxygen desaturation during physical activity (</w:t>
      </w:r>
      <w:proofErr w:type="spellStart"/>
      <w:r w:rsidRPr="005F0756">
        <w:rPr>
          <w:rFonts w:ascii="Arial" w:hAnsi="Arial" w:cs="Arial"/>
        </w:rPr>
        <w:t>Rogliani</w:t>
      </w:r>
      <w:proofErr w:type="spellEnd"/>
      <w:r w:rsidRPr="005F0756">
        <w:rPr>
          <w:rFonts w:ascii="Arial" w:hAnsi="Arial" w:cs="Arial"/>
        </w:rPr>
        <w:t xml:space="preserve"> et al., 2019; Jiang et al., 2025). Athletes and highly active individuals may also experience premature fatigue or performance impairment when training with high-filtration masks, especially at higher intensities where oxygen demand is greater (</w:t>
      </w:r>
      <w:proofErr w:type="spellStart"/>
      <w:r w:rsidRPr="005F0756">
        <w:rPr>
          <w:rFonts w:ascii="Arial" w:hAnsi="Arial" w:cs="Arial"/>
        </w:rPr>
        <w:t>Hostrup</w:t>
      </w:r>
      <w:proofErr w:type="spellEnd"/>
      <w:r w:rsidRPr="005F0756">
        <w:rPr>
          <w:rFonts w:ascii="Arial" w:hAnsi="Arial" w:cs="Arial"/>
        </w:rPr>
        <w:t xml:space="preserve"> &amp; </w:t>
      </w:r>
      <w:proofErr w:type="spellStart"/>
      <w:r w:rsidRPr="005F0756">
        <w:rPr>
          <w:rFonts w:ascii="Arial" w:hAnsi="Arial" w:cs="Arial"/>
        </w:rPr>
        <w:t>Bangsbo</w:t>
      </w:r>
      <w:proofErr w:type="spellEnd"/>
      <w:r w:rsidRPr="005F0756">
        <w:rPr>
          <w:rFonts w:ascii="Arial" w:hAnsi="Arial" w:cs="Arial"/>
        </w:rPr>
        <w:t>, 2017; Behrens et al., 2022). Beyond infection control, respirator-type masks are also advocated in polluted environments, where the trade-off between protection and physical activity capacity becomes important (Xu et al., 2020). Tailored recommendations—such as limiting strenuous outdoor physical activity with KN95 masks, promoting mask-free activity in low-risk or well-ventilated environments, or using alternative protective strategies—may help balance safety with physiological well-being across different populations (Greenhalgh et al., 2024).</w:t>
      </w:r>
    </w:p>
    <w:p w14:paraId="5E5BD0F6" w14:textId="77777777" w:rsidR="00A761FC" w:rsidRDefault="00A761FC" w:rsidP="00441B6F">
      <w:pPr>
        <w:pStyle w:val="Body"/>
        <w:spacing w:after="0"/>
        <w:rPr>
          <w:rFonts w:ascii="Arial" w:hAnsi="Arial" w:cs="Arial"/>
        </w:rPr>
      </w:pPr>
    </w:p>
    <w:p w14:paraId="05961E0E" w14:textId="3CE97610" w:rsidR="005F0756" w:rsidRDefault="005F0756" w:rsidP="00441B6F">
      <w:pPr>
        <w:pStyle w:val="Body"/>
        <w:spacing w:after="0"/>
        <w:rPr>
          <w:rFonts w:ascii="Arial" w:hAnsi="Arial" w:cs="Arial"/>
        </w:rPr>
      </w:pPr>
      <w:r w:rsidRPr="00AB6070">
        <w:rPr>
          <w:rFonts w:ascii="Times New Roman" w:hAnsi="Times New Roman"/>
          <w:noProof/>
        </w:rPr>
        <w:lastRenderedPageBreak/>
        <w:drawing>
          <wp:inline distT="0" distB="0" distL="0" distR="0" wp14:anchorId="63630659" wp14:editId="4566BF15">
            <wp:extent cx="5212080" cy="3148683"/>
            <wp:effectExtent l="0" t="0" r="0" b="0"/>
            <wp:docPr id="36434807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48071" name="Picture 4" descr="A screenshot of a graph&#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4592" r="2296"/>
                    <a:stretch>
                      <a:fillRect/>
                    </a:stretch>
                  </pic:blipFill>
                  <pic:spPr bwMode="auto">
                    <a:xfrm>
                      <a:off x="0" y="0"/>
                      <a:ext cx="5212080" cy="3148683"/>
                    </a:xfrm>
                    <a:prstGeom prst="rect">
                      <a:avLst/>
                    </a:prstGeom>
                    <a:noFill/>
                    <a:ln>
                      <a:noFill/>
                    </a:ln>
                    <a:extLst>
                      <a:ext uri="{53640926-AAD7-44D8-BBD7-CCE9431645EC}">
                        <a14:shadowObscured xmlns:a14="http://schemas.microsoft.com/office/drawing/2010/main"/>
                      </a:ext>
                    </a:extLst>
                  </pic:spPr>
                </pic:pic>
              </a:graphicData>
            </a:graphic>
          </wp:inline>
        </w:drawing>
      </w:r>
    </w:p>
    <w:p w14:paraId="31325B05" w14:textId="03DE2112" w:rsidR="005F0756" w:rsidRPr="005F0756" w:rsidRDefault="005F0756" w:rsidP="005F0756">
      <w:pPr>
        <w:jc w:val="both"/>
        <w:rPr>
          <w:rFonts w:ascii="Arial" w:hAnsi="Arial" w:cs="Arial"/>
          <w:b/>
          <w:bCs/>
        </w:rPr>
      </w:pPr>
      <w:r w:rsidRPr="005F0756">
        <w:rPr>
          <w:rFonts w:ascii="Arial" w:hAnsi="Arial" w:cs="Arial"/>
          <w:b/>
          <w:bCs/>
        </w:rPr>
        <w:t>Fig. 1.</w:t>
      </w:r>
      <w:r w:rsidRPr="005F0756">
        <w:rPr>
          <w:rFonts w:ascii="Arial" w:hAnsi="Arial" w:cs="Arial"/>
        </w:rPr>
        <w:t xml:space="preserve"> </w:t>
      </w:r>
      <w:r w:rsidRPr="005F0756">
        <w:rPr>
          <w:rFonts w:ascii="Arial" w:hAnsi="Arial" w:cs="Arial"/>
          <w:b/>
          <w:bCs/>
        </w:rPr>
        <w:t>Estimated marginal means (± SE) of heart rate (HR), respiratory rate (RR), and oxygen saturation (</w:t>
      </w:r>
      <w:proofErr w:type="spellStart"/>
      <w:r w:rsidRPr="005F0756">
        <w:rPr>
          <w:rFonts w:ascii="Arial" w:hAnsi="Arial" w:cs="Arial"/>
          <w:b/>
          <w:bCs/>
        </w:rPr>
        <w:t>SpO</w:t>
      </w:r>
      <w:proofErr w:type="spellEnd"/>
      <w:r w:rsidRPr="005F0756">
        <w:rPr>
          <w:rFonts w:ascii="Cambria Math" w:hAnsi="Cambria Math" w:cs="Cambria Math"/>
          <w:b/>
          <w:bCs/>
        </w:rPr>
        <w:t>₂</w:t>
      </w:r>
      <w:r w:rsidRPr="005F0756">
        <w:rPr>
          <w:rFonts w:ascii="Arial" w:hAnsi="Arial" w:cs="Arial"/>
          <w:b/>
          <w:bCs/>
        </w:rPr>
        <w:t xml:space="preserve">) in the KN95 and </w:t>
      </w:r>
      <w:r w:rsidR="0008733D" w:rsidRPr="008F0585">
        <w:rPr>
          <w:rFonts w:ascii="Arial" w:hAnsi="Arial" w:cs="Arial"/>
          <w:b/>
          <w:bCs/>
          <w:highlight w:val="cyan"/>
        </w:rPr>
        <w:t>standard surgical mask</w:t>
      </w:r>
      <w:r w:rsidR="0008733D" w:rsidRPr="0008733D">
        <w:rPr>
          <w:rFonts w:ascii="Arial" w:hAnsi="Arial" w:cs="Arial"/>
          <w:b/>
          <w:bCs/>
        </w:rPr>
        <w:t xml:space="preserve"> </w:t>
      </w:r>
      <w:r w:rsidR="0008733D">
        <w:rPr>
          <w:rFonts w:ascii="Arial" w:hAnsi="Arial" w:cs="Arial"/>
          <w:b/>
          <w:bCs/>
        </w:rPr>
        <w:t>(</w:t>
      </w:r>
      <w:r w:rsidR="004D4EB5" w:rsidRPr="004D4EB5">
        <w:rPr>
          <w:rFonts w:ascii="Arial" w:hAnsi="Arial" w:cs="Arial"/>
          <w:b/>
          <w:bCs/>
        </w:rPr>
        <w:t>referred to as “non-KN95” in the figure labels</w:t>
      </w:r>
      <w:r w:rsidR="0008733D">
        <w:rPr>
          <w:rFonts w:ascii="Arial" w:hAnsi="Arial" w:cs="Arial"/>
          <w:b/>
          <w:bCs/>
        </w:rPr>
        <w:t>)</w:t>
      </w:r>
      <w:r w:rsidRPr="005F0756">
        <w:rPr>
          <w:rFonts w:ascii="Arial" w:hAnsi="Arial" w:cs="Arial"/>
          <w:b/>
          <w:bCs/>
        </w:rPr>
        <w:t xml:space="preserve"> groups after cycling. Error bars represent standard errors. </w:t>
      </w:r>
    </w:p>
    <w:p w14:paraId="27CDE69D" w14:textId="77777777" w:rsidR="005F0756" w:rsidRDefault="005F0756" w:rsidP="00441B6F">
      <w:pPr>
        <w:pStyle w:val="Body"/>
        <w:spacing w:after="0"/>
        <w:rPr>
          <w:rFonts w:ascii="Arial" w:hAnsi="Arial" w:cs="Arial"/>
        </w:rPr>
      </w:pPr>
    </w:p>
    <w:p w14:paraId="4A0DB400" w14:textId="77777777" w:rsidR="005F0756" w:rsidRPr="005F0756" w:rsidRDefault="005F0756" w:rsidP="005F0756">
      <w:pPr>
        <w:jc w:val="both"/>
        <w:rPr>
          <w:rFonts w:ascii="Arial" w:hAnsi="Arial" w:cs="Arial"/>
          <w:b/>
          <w:bCs/>
          <w:sz w:val="22"/>
          <w:szCs w:val="22"/>
        </w:rPr>
      </w:pPr>
      <w:r w:rsidRPr="005F0756">
        <w:rPr>
          <w:rFonts w:ascii="Arial" w:hAnsi="Arial" w:cs="Arial"/>
          <w:b/>
          <w:bCs/>
          <w:sz w:val="22"/>
          <w:szCs w:val="22"/>
        </w:rPr>
        <w:t>3.2. Subgroup Analysis by Gender</w:t>
      </w:r>
    </w:p>
    <w:p w14:paraId="0ABF30BB" w14:textId="1736A840" w:rsidR="005F0756" w:rsidRDefault="005F0756" w:rsidP="005F0756">
      <w:pPr>
        <w:jc w:val="both"/>
        <w:rPr>
          <w:rFonts w:ascii="Arial" w:hAnsi="Arial" w:cs="Arial"/>
        </w:rPr>
      </w:pPr>
      <w:r w:rsidRPr="005F0756">
        <w:rPr>
          <w:rFonts w:ascii="Arial" w:hAnsi="Arial" w:cs="Arial"/>
        </w:rPr>
        <w:t xml:space="preserve">Gender-stratified analyses reveal consistent patterns across groups (Table 4, Figure 2). Both men and women exhibited higher HR and RR with KN95 use compared with </w:t>
      </w:r>
      <w:r w:rsidR="0008733D" w:rsidRPr="008F0585">
        <w:rPr>
          <w:rFonts w:ascii="Arial" w:hAnsi="Arial" w:cs="Arial"/>
          <w:highlight w:val="cyan"/>
        </w:rPr>
        <w:t>standard surgical mask</w:t>
      </w:r>
      <w:r w:rsidRPr="005F0756">
        <w:rPr>
          <w:rFonts w:ascii="Arial" w:hAnsi="Arial" w:cs="Arial"/>
        </w:rPr>
        <w:t xml:space="preserve">, along with reduced </w:t>
      </w: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rPr>
        <w:t xml:space="preserve">. The magnitude of change was more pronounced in women: HR increased by +18.5 bpm (p = 0.042, η² = 0.353, large effect) compared with +12.0 bpm in men (p = 0.043, η² = 0.209, moderate effect). Similarly, reductions in </w:t>
      </w: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rPr>
        <w:t xml:space="preserve"> were also slightly greater in women (–1.0%; p = 0.004) than in men (–0.6%; p = 0.031). RR differences were similar across sexes (approximately +5 breaths/min).</w:t>
      </w:r>
    </w:p>
    <w:p w14:paraId="324B4577" w14:textId="77777777" w:rsidR="005F0756" w:rsidRPr="005F0756" w:rsidRDefault="005F0756" w:rsidP="005F0756">
      <w:pPr>
        <w:jc w:val="both"/>
        <w:rPr>
          <w:rFonts w:ascii="Arial" w:hAnsi="Arial" w:cs="Arial"/>
        </w:rPr>
      </w:pPr>
    </w:p>
    <w:p w14:paraId="63BD2968" w14:textId="7F363E59" w:rsidR="005F0756" w:rsidRDefault="005F0756" w:rsidP="005F0756">
      <w:pPr>
        <w:jc w:val="both"/>
        <w:rPr>
          <w:rFonts w:ascii="Arial" w:hAnsi="Arial" w:cs="Arial"/>
        </w:rPr>
      </w:pPr>
      <w:r w:rsidRPr="005F0756">
        <w:rPr>
          <w:rFonts w:ascii="Arial" w:hAnsi="Arial" w:cs="Arial"/>
        </w:rPr>
        <w:t>Our gender-stratified analysis, although exploratory given the modest sample size, suggest</w:t>
      </w:r>
      <w:r w:rsidR="008C6478">
        <w:rPr>
          <w:rFonts w:ascii="Arial" w:hAnsi="Arial" w:cs="Arial"/>
        </w:rPr>
        <w:t>s</w:t>
      </w:r>
      <w:r w:rsidRPr="005F0756">
        <w:rPr>
          <w:rFonts w:ascii="Arial" w:hAnsi="Arial" w:cs="Arial"/>
        </w:rPr>
        <w:t xml:space="preserve"> that women may experience more pronounced physiological strain when exercising with KN95 masks, particularly in HR and </w:t>
      </w: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rPr>
        <w:t xml:space="preserve"> responses. These trends may reflect underlying physiological differences. Women generally have smaller lung volumes, lower hemoglobin concentrations, and reduced cardiopulmonary reserve compared with men, which could amplify the impact of increased respiratory resistance imposed by KN95 masks and disproportionately challenge women’s ventilatory and oxygen transport capacity (</w:t>
      </w:r>
      <w:proofErr w:type="spellStart"/>
      <w:r w:rsidRPr="005F0756">
        <w:rPr>
          <w:rFonts w:ascii="Arial" w:hAnsi="Arial" w:cs="Arial"/>
        </w:rPr>
        <w:t>Molgat-Seon</w:t>
      </w:r>
      <w:proofErr w:type="spellEnd"/>
      <w:r w:rsidRPr="005F0756">
        <w:rPr>
          <w:rFonts w:ascii="Arial" w:hAnsi="Arial" w:cs="Arial"/>
        </w:rPr>
        <w:t xml:space="preserve"> et al., 2018; Santisteban et al., 2022; Harms et al., 2008). Such physiological differences may amplify the impact of increased inspiratory resistance, disproportionately challenging ventilatory efficiency and oxygen transport in women. </w:t>
      </w:r>
      <w:r w:rsidRPr="00C33DD6">
        <w:rPr>
          <w:rFonts w:ascii="Arial" w:hAnsi="Arial" w:cs="Arial"/>
          <w:highlight w:val="yellow"/>
        </w:rPr>
        <w:t xml:space="preserve">While we did not detect a statistically significant mask × gender interaction, the consistent patterns observed warrant attention, as they imply that </w:t>
      </w:r>
      <w:r w:rsidR="00C33DD6" w:rsidRPr="00C33DD6">
        <w:rPr>
          <w:rFonts w:ascii="Arial" w:hAnsi="Arial" w:cs="Arial"/>
          <w:highlight w:val="yellow"/>
        </w:rPr>
        <w:t>women may experience relatively greater physiological burden</w:t>
      </w:r>
      <w:r w:rsidR="00C22C45">
        <w:rPr>
          <w:rFonts w:ascii="Arial" w:hAnsi="Arial" w:cs="Arial"/>
          <w:highlight w:val="yellow"/>
        </w:rPr>
        <w:t xml:space="preserve"> under</w:t>
      </w:r>
      <w:r w:rsidR="000B5C34">
        <w:rPr>
          <w:rFonts w:ascii="Arial" w:hAnsi="Arial" w:cs="Arial"/>
          <w:highlight w:val="yellow"/>
        </w:rPr>
        <w:t xml:space="preserve"> </w:t>
      </w:r>
      <w:r w:rsidR="000B5C34" w:rsidRPr="000B5C34">
        <w:rPr>
          <w:rFonts w:ascii="Arial" w:hAnsi="Arial" w:cs="Arial"/>
          <w:highlight w:val="yellow"/>
        </w:rPr>
        <w:t>the tested conditions</w:t>
      </w:r>
      <w:r w:rsidR="000B5C34">
        <w:rPr>
          <w:rFonts w:ascii="Arial" w:hAnsi="Arial" w:cs="Arial"/>
          <w:highlight w:val="yellow"/>
        </w:rPr>
        <w:t>,</w:t>
      </w:r>
      <w:r w:rsidR="00C33DD6" w:rsidRPr="00C33DD6">
        <w:rPr>
          <w:rFonts w:ascii="Arial" w:hAnsi="Arial" w:cs="Arial"/>
          <w:highlight w:val="yellow"/>
        </w:rPr>
        <w:t xml:space="preserve"> </w:t>
      </w:r>
      <w:r w:rsidR="000B5C34" w:rsidRPr="000B5C34">
        <w:rPr>
          <w:rFonts w:ascii="Arial" w:hAnsi="Arial" w:cs="Arial"/>
          <w:highlight w:val="yellow"/>
        </w:rPr>
        <w:t>although these observations should be interpreted cautiously given the exploratory nature of the analysis</w:t>
      </w:r>
      <w:r w:rsidRPr="00C33DD6">
        <w:rPr>
          <w:rFonts w:ascii="Arial" w:hAnsi="Arial" w:cs="Arial"/>
          <w:highlight w:val="yellow"/>
        </w:rPr>
        <w:t>.</w:t>
      </w:r>
      <w:r w:rsidRPr="005F0756">
        <w:rPr>
          <w:rFonts w:ascii="Arial" w:hAnsi="Arial" w:cs="Arial"/>
        </w:rPr>
        <w:t xml:space="preserve">  </w:t>
      </w:r>
    </w:p>
    <w:p w14:paraId="738FEC72" w14:textId="77777777" w:rsidR="005F0756" w:rsidRPr="005F0756" w:rsidRDefault="005F0756" w:rsidP="005F0756">
      <w:pPr>
        <w:jc w:val="both"/>
        <w:rPr>
          <w:rFonts w:ascii="Arial" w:hAnsi="Arial" w:cs="Arial"/>
        </w:rPr>
      </w:pPr>
    </w:p>
    <w:p w14:paraId="6AEA72D0" w14:textId="77777777" w:rsidR="005F0756" w:rsidRPr="005F0756" w:rsidRDefault="005F0756" w:rsidP="005F0756">
      <w:pPr>
        <w:jc w:val="both"/>
        <w:rPr>
          <w:rFonts w:ascii="Arial" w:hAnsi="Arial" w:cs="Arial"/>
        </w:rPr>
      </w:pPr>
      <w:r w:rsidRPr="005F0756">
        <w:rPr>
          <w:rFonts w:ascii="Arial" w:hAnsi="Arial" w:cs="Arial"/>
        </w:rPr>
        <w:t>These findings add to the limited literature exploring sex-specific responses to mask use during physical activity. Most previous studies have not stratified by gender, focusing instead on overall averages (</w:t>
      </w:r>
      <w:proofErr w:type="spellStart"/>
      <w:r w:rsidRPr="005F0756">
        <w:rPr>
          <w:rFonts w:ascii="Arial" w:hAnsi="Arial" w:cs="Arial"/>
        </w:rPr>
        <w:t>Engeroff</w:t>
      </w:r>
      <w:proofErr w:type="spellEnd"/>
      <w:r w:rsidRPr="005F0756">
        <w:rPr>
          <w:rFonts w:ascii="Arial" w:hAnsi="Arial" w:cs="Arial"/>
        </w:rPr>
        <w:t xml:space="preserve"> et al., 2021; </w:t>
      </w:r>
      <w:proofErr w:type="spellStart"/>
      <w:r w:rsidRPr="005F0756">
        <w:rPr>
          <w:rFonts w:ascii="Arial" w:hAnsi="Arial" w:cs="Arial"/>
        </w:rPr>
        <w:t>Mezghani</w:t>
      </w:r>
      <w:proofErr w:type="spellEnd"/>
      <w:r w:rsidRPr="005F0756">
        <w:rPr>
          <w:rFonts w:ascii="Arial" w:hAnsi="Arial" w:cs="Arial"/>
        </w:rPr>
        <w:t xml:space="preserve"> et al., 2023). A recent systematic </w:t>
      </w:r>
      <w:r w:rsidRPr="005F0756">
        <w:rPr>
          <w:rFonts w:ascii="Arial" w:hAnsi="Arial" w:cs="Arial"/>
        </w:rPr>
        <w:lastRenderedPageBreak/>
        <w:t xml:space="preserve">review by </w:t>
      </w:r>
      <w:proofErr w:type="spellStart"/>
      <w:r w:rsidRPr="005F0756">
        <w:rPr>
          <w:rFonts w:ascii="Arial" w:hAnsi="Arial" w:cs="Arial"/>
        </w:rPr>
        <w:t>Asín-Izquierdo</w:t>
      </w:r>
      <w:proofErr w:type="spellEnd"/>
      <w:r w:rsidRPr="005F0756">
        <w:rPr>
          <w:rFonts w:ascii="Arial" w:hAnsi="Arial" w:cs="Arial"/>
        </w:rPr>
        <w:t xml:space="preserve"> et al. (2022) emphasized that sex-based differences in ventilatory physiology may alter tolerance to mask use during exercise, but empirical field data remain limited. By demonstrating differential trends, our inquiry emphasizes the value of considering sex differences in both research and guideline development. In practical terms, women engaging in regular physical activity with KN95 masks—particularly in urban areas with high air pollution or during pandemics—may face relatively higher risks of discomfort or physiological burden (Zheng et al., 2023; Das et al., 2023). This has implications not only for athletic performance but also for occupational and community settings where women may engage in prolonged activity while masked. Tailoring mask recommendations to account for biological differences may therefore enhance both safety and adherence.</w:t>
      </w:r>
    </w:p>
    <w:p w14:paraId="4B65F35D" w14:textId="77777777" w:rsidR="005F0756" w:rsidRDefault="005F0756" w:rsidP="00441B6F">
      <w:pPr>
        <w:pStyle w:val="Body"/>
        <w:spacing w:after="0"/>
        <w:rPr>
          <w:rFonts w:ascii="Arial" w:hAnsi="Arial" w:cs="Arial"/>
        </w:rPr>
      </w:pPr>
    </w:p>
    <w:p w14:paraId="58C32927" w14:textId="77777777" w:rsidR="005F0756" w:rsidRPr="005F0756" w:rsidRDefault="005F0756" w:rsidP="005F0756">
      <w:pPr>
        <w:jc w:val="both"/>
        <w:rPr>
          <w:rFonts w:ascii="Arial" w:hAnsi="Arial" w:cs="Arial"/>
          <w:b/>
          <w:bCs/>
        </w:rPr>
      </w:pPr>
      <w:r w:rsidRPr="005F0756">
        <w:rPr>
          <w:rFonts w:ascii="Arial" w:hAnsi="Arial" w:cs="Arial"/>
          <w:b/>
          <w:bCs/>
        </w:rPr>
        <w:t>Table 4. Subgroup analysis of physiological parameters by gender (estimated marginal means ± SE from ANCOVA).</w:t>
      </w:r>
    </w:p>
    <w:p w14:paraId="0990D09F" w14:textId="77777777" w:rsidR="005F0756" w:rsidRPr="005F0756" w:rsidRDefault="005F0756" w:rsidP="005F0756">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
        <w:gridCol w:w="959"/>
        <w:gridCol w:w="839"/>
        <w:gridCol w:w="1093"/>
        <w:gridCol w:w="1790"/>
        <w:gridCol w:w="876"/>
        <w:gridCol w:w="1349"/>
      </w:tblGrid>
      <w:tr w:rsidR="005F0756" w:rsidRPr="005F0756" w14:paraId="218D7380" w14:textId="77777777" w:rsidTr="00EA0B6C">
        <w:trPr>
          <w:tblHeader/>
          <w:tblCellSpacing w:w="15" w:type="dxa"/>
        </w:trPr>
        <w:tc>
          <w:tcPr>
            <w:tcW w:w="1399" w:type="dxa"/>
            <w:tcBorders>
              <w:top w:val="single" w:sz="4" w:space="0" w:color="auto"/>
              <w:bottom w:val="single" w:sz="4" w:space="0" w:color="auto"/>
            </w:tcBorders>
            <w:vAlign w:val="center"/>
            <w:hideMark/>
          </w:tcPr>
          <w:p w14:paraId="520EA1CC" w14:textId="77777777" w:rsidR="005F0756" w:rsidRPr="005F0756" w:rsidRDefault="005F0756" w:rsidP="005F0756">
            <w:pPr>
              <w:rPr>
                <w:rFonts w:ascii="Arial" w:hAnsi="Arial" w:cs="Arial"/>
                <w:b/>
                <w:bCs/>
              </w:rPr>
            </w:pPr>
            <w:r w:rsidRPr="005F0756">
              <w:rPr>
                <w:rFonts w:ascii="Arial" w:hAnsi="Arial" w:cs="Arial"/>
                <w:b/>
                <w:bCs/>
              </w:rPr>
              <w:t>Outcome</w:t>
            </w:r>
          </w:p>
        </w:tc>
        <w:tc>
          <w:tcPr>
            <w:tcW w:w="1027" w:type="dxa"/>
            <w:tcBorders>
              <w:top w:val="single" w:sz="4" w:space="0" w:color="auto"/>
              <w:bottom w:val="single" w:sz="4" w:space="0" w:color="auto"/>
            </w:tcBorders>
            <w:vAlign w:val="center"/>
            <w:hideMark/>
          </w:tcPr>
          <w:p w14:paraId="1661E6C7" w14:textId="77777777" w:rsidR="005F0756" w:rsidRPr="005F0756" w:rsidRDefault="005F0756" w:rsidP="005F0756">
            <w:pPr>
              <w:rPr>
                <w:rFonts w:ascii="Arial" w:hAnsi="Arial" w:cs="Arial"/>
                <w:b/>
                <w:bCs/>
              </w:rPr>
            </w:pPr>
            <w:r w:rsidRPr="005F0756">
              <w:rPr>
                <w:rFonts w:ascii="Arial" w:hAnsi="Arial" w:cs="Arial"/>
                <w:b/>
                <w:bCs/>
              </w:rPr>
              <w:t>Gender</w:t>
            </w:r>
          </w:p>
        </w:tc>
        <w:tc>
          <w:tcPr>
            <w:tcW w:w="799" w:type="dxa"/>
            <w:tcBorders>
              <w:top w:val="single" w:sz="4" w:space="0" w:color="auto"/>
              <w:bottom w:val="single" w:sz="4" w:space="0" w:color="auto"/>
            </w:tcBorders>
            <w:vAlign w:val="center"/>
            <w:hideMark/>
          </w:tcPr>
          <w:p w14:paraId="44DF27B3" w14:textId="77777777" w:rsidR="005F0756" w:rsidRPr="005F0756" w:rsidRDefault="005F0756" w:rsidP="005F0756">
            <w:pPr>
              <w:rPr>
                <w:rFonts w:ascii="Arial" w:hAnsi="Arial" w:cs="Arial"/>
                <w:b/>
                <w:bCs/>
              </w:rPr>
            </w:pPr>
            <w:r w:rsidRPr="005F0756">
              <w:rPr>
                <w:rFonts w:ascii="Arial" w:hAnsi="Arial" w:cs="Arial"/>
                <w:b/>
                <w:bCs/>
              </w:rPr>
              <w:t>Mask</w:t>
            </w:r>
          </w:p>
        </w:tc>
        <w:tc>
          <w:tcPr>
            <w:tcW w:w="1320" w:type="dxa"/>
            <w:tcBorders>
              <w:top w:val="single" w:sz="4" w:space="0" w:color="auto"/>
              <w:bottom w:val="single" w:sz="4" w:space="0" w:color="auto"/>
            </w:tcBorders>
            <w:vAlign w:val="center"/>
            <w:hideMark/>
          </w:tcPr>
          <w:p w14:paraId="4002DBD6" w14:textId="77777777" w:rsidR="005F0756" w:rsidRPr="005F0756" w:rsidRDefault="005F0756" w:rsidP="005F0756">
            <w:pPr>
              <w:rPr>
                <w:rFonts w:ascii="Arial" w:hAnsi="Arial" w:cs="Arial"/>
                <w:b/>
                <w:bCs/>
              </w:rPr>
            </w:pPr>
            <w:r w:rsidRPr="005F0756">
              <w:rPr>
                <w:rFonts w:ascii="Arial" w:hAnsi="Arial" w:cs="Arial"/>
                <w:b/>
                <w:bCs/>
              </w:rPr>
              <w:t>Mean ± SD</w:t>
            </w:r>
          </w:p>
        </w:tc>
        <w:tc>
          <w:tcPr>
            <w:tcW w:w="2130" w:type="dxa"/>
            <w:tcBorders>
              <w:top w:val="single" w:sz="4" w:space="0" w:color="auto"/>
              <w:bottom w:val="single" w:sz="4" w:space="0" w:color="auto"/>
            </w:tcBorders>
            <w:vAlign w:val="center"/>
            <w:hideMark/>
          </w:tcPr>
          <w:p w14:paraId="48B88A77" w14:textId="77777777" w:rsidR="005F0756" w:rsidRPr="005F0756" w:rsidRDefault="005F0756" w:rsidP="005F0756">
            <w:pPr>
              <w:jc w:val="center"/>
              <w:rPr>
                <w:rFonts w:ascii="Arial" w:hAnsi="Arial" w:cs="Arial"/>
                <w:b/>
                <w:bCs/>
              </w:rPr>
            </w:pPr>
            <w:r w:rsidRPr="005F0756">
              <w:rPr>
                <w:rFonts w:ascii="Arial" w:hAnsi="Arial" w:cs="Arial"/>
                <w:b/>
                <w:bCs/>
              </w:rPr>
              <w:t>Mean Difference (95% CI)</w:t>
            </w:r>
          </w:p>
        </w:tc>
        <w:tc>
          <w:tcPr>
            <w:tcW w:w="996" w:type="dxa"/>
            <w:tcBorders>
              <w:top w:val="single" w:sz="4" w:space="0" w:color="auto"/>
              <w:bottom w:val="single" w:sz="4" w:space="0" w:color="auto"/>
            </w:tcBorders>
            <w:vAlign w:val="center"/>
            <w:hideMark/>
          </w:tcPr>
          <w:p w14:paraId="6AA4DC62" w14:textId="77777777" w:rsidR="005F0756" w:rsidRPr="005F0756" w:rsidRDefault="005F0756" w:rsidP="005F0756">
            <w:pPr>
              <w:jc w:val="center"/>
              <w:rPr>
                <w:rFonts w:ascii="Arial" w:hAnsi="Arial" w:cs="Arial"/>
                <w:b/>
                <w:bCs/>
              </w:rPr>
            </w:pPr>
            <w:r w:rsidRPr="005F0756">
              <w:rPr>
                <w:rFonts w:ascii="Arial" w:hAnsi="Arial" w:cs="Arial"/>
                <w:b/>
                <w:bCs/>
              </w:rPr>
              <w:t>p-value</w:t>
            </w:r>
          </w:p>
        </w:tc>
        <w:tc>
          <w:tcPr>
            <w:tcW w:w="1449" w:type="dxa"/>
            <w:tcBorders>
              <w:top w:val="single" w:sz="4" w:space="0" w:color="auto"/>
              <w:bottom w:val="single" w:sz="4" w:space="0" w:color="auto"/>
            </w:tcBorders>
            <w:vAlign w:val="center"/>
            <w:hideMark/>
          </w:tcPr>
          <w:p w14:paraId="51A77DAF" w14:textId="77777777" w:rsidR="005F0756" w:rsidRPr="005F0756" w:rsidRDefault="005F0756" w:rsidP="005F0756">
            <w:pPr>
              <w:jc w:val="center"/>
              <w:rPr>
                <w:rFonts w:ascii="Arial" w:hAnsi="Arial" w:cs="Arial"/>
                <w:b/>
                <w:bCs/>
              </w:rPr>
            </w:pPr>
            <w:r w:rsidRPr="005F0756">
              <w:rPr>
                <w:rFonts w:ascii="Arial" w:hAnsi="Arial" w:cs="Arial"/>
                <w:b/>
                <w:bCs/>
              </w:rPr>
              <w:t>Partial Eta Squared</w:t>
            </w:r>
          </w:p>
        </w:tc>
      </w:tr>
      <w:tr w:rsidR="005F0756" w:rsidRPr="005F0756" w14:paraId="6B1B9D94" w14:textId="77777777" w:rsidTr="00EA0B6C">
        <w:trPr>
          <w:tblCellSpacing w:w="15" w:type="dxa"/>
        </w:trPr>
        <w:tc>
          <w:tcPr>
            <w:tcW w:w="1399" w:type="dxa"/>
            <w:vAlign w:val="center"/>
            <w:hideMark/>
          </w:tcPr>
          <w:p w14:paraId="4A94AF92" w14:textId="77777777" w:rsidR="005F0756" w:rsidRPr="005F0756" w:rsidRDefault="005F0756" w:rsidP="005F0756">
            <w:pPr>
              <w:jc w:val="both"/>
              <w:rPr>
                <w:rFonts w:ascii="Arial" w:hAnsi="Arial" w:cs="Arial"/>
              </w:rPr>
            </w:pPr>
            <w:r w:rsidRPr="005F0756">
              <w:rPr>
                <w:rFonts w:ascii="Arial" w:hAnsi="Arial" w:cs="Arial"/>
                <w:b/>
                <w:bCs/>
              </w:rPr>
              <w:t>HR (bpm)</w:t>
            </w:r>
          </w:p>
        </w:tc>
        <w:tc>
          <w:tcPr>
            <w:tcW w:w="1027" w:type="dxa"/>
            <w:vAlign w:val="center"/>
            <w:hideMark/>
          </w:tcPr>
          <w:p w14:paraId="4520451D" w14:textId="77777777" w:rsidR="005F0756" w:rsidRPr="005F0756" w:rsidRDefault="005F0756" w:rsidP="005F0756">
            <w:pPr>
              <w:jc w:val="both"/>
              <w:rPr>
                <w:rFonts w:ascii="Arial" w:hAnsi="Arial" w:cs="Arial"/>
              </w:rPr>
            </w:pPr>
            <w:r w:rsidRPr="005F0756">
              <w:rPr>
                <w:rFonts w:ascii="Arial" w:hAnsi="Arial" w:cs="Arial"/>
              </w:rPr>
              <w:t>Male</w:t>
            </w:r>
          </w:p>
        </w:tc>
        <w:tc>
          <w:tcPr>
            <w:tcW w:w="799" w:type="dxa"/>
            <w:vAlign w:val="center"/>
            <w:hideMark/>
          </w:tcPr>
          <w:p w14:paraId="0208318C"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0F616A54" w14:textId="77777777" w:rsidR="005F0756" w:rsidRPr="005F0756" w:rsidRDefault="005F0756" w:rsidP="00441D81">
            <w:pPr>
              <w:rPr>
                <w:rFonts w:ascii="Arial" w:hAnsi="Arial" w:cs="Arial"/>
              </w:rPr>
            </w:pPr>
            <w:r w:rsidRPr="005F0756">
              <w:rPr>
                <w:rFonts w:ascii="Arial" w:hAnsi="Arial" w:cs="Arial"/>
              </w:rPr>
              <w:t>135.1 ± 11.2</w:t>
            </w:r>
          </w:p>
        </w:tc>
        <w:tc>
          <w:tcPr>
            <w:tcW w:w="2130" w:type="dxa"/>
            <w:vAlign w:val="center"/>
            <w:hideMark/>
          </w:tcPr>
          <w:p w14:paraId="2738E146" w14:textId="77777777" w:rsidR="005F0756" w:rsidRPr="005F0756" w:rsidRDefault="005F0756" w:rsidP="00441D81">
            <w:pPr>
              <w:jc w:val="center"/>
              <w:rPr>
                <w:rFonts w:ascii="Arial" w:hAnsi="Arial" w:cs="Arial"/>
              </w:rPr>
            </w:pPr>
            <w:r w:rsidRPr="005F0756">
              <w:rPr>
                <w:rFonts w:ascii="Arial" w:hAnsi="Arial" w:cs="Arial"/>
              </w:rPr>
              <w:t>+12.0 (0.45–23.55)</w:t>
            </w:r>
          </w:p>
        </w:tc>
        <w:tc>
          <w:tcPr>
            <w:tcW w:w="996" w:type="dxa"/>
            <w:vAlign w:val="center"/>
            <w:hideMark/>
          </w:tcPr>
          <w:p w14:paraId="4C271338" w14:textId="77777777" w:rsidR="005F0756" w:rsidRPr="005F0756" w:rsidRDefault="005F0756" w:rsidP="005F0756">
            <w:pPr>
              <w:jc w:val="center"/>
              <w:rPr>
                <w:rFonts w:ascii="Arial" w:hAnsi="Arial" w:cs="Arial"/>
              </w:rPr>
            </w:pPr>
            <w:r w:rsidRPr="005F0756">
              <w:rPr>
                <w:rFonts w:ascii="Arial" w:hAnsi="Arial" w:cs="Arial"/>
              </w:rPr>
              <w:t>0.043</w:t>
            </w:r>
          </w:p>
        </w:tc>
        <w:tc>
          <w:tcPr>
            <w:tcW w:w="1449" w:type="dxa"/>
            <w:vAlign w:val="center"/>
            <w:hideMark/>
          </w:tcPr>
          <w:p w14:paraId="12192E8D" w14:textId="77777777" w:rsidR="005F0756" w:rsidRPr="005F0756" w:rsidRDefault="005F0756" w:rsidP="005F0756">
            <w:pPr>
              <w:jc w:val="center"/>
              <w:rPr>
                <w:rFonts w:ascii="Arial" w:hAnsi="Arial" w:cs="Arial"/>
              </w:rPr>
            </w:pPr>
            <w:r w:rsidRPr="005F0756">
              <w:rPr>
                <w:rFonts w:ascii="Arial" w:hAnsi="Arial" w:cs="Arial"/>
              </w:rPr>
              <w:t>0.209 (moderate)</w:t>
            </w:r>
          </w:p>
        </w:tc>
      </w:tr>
      <w:tr w:rsidR="005F0756" w:rsidRPr="005F0756" w14:paraId="5FF288A6" w14:textId="77777777" w:rsidTr="00EA0B6C">
        <w:trPr>
          <w:tblCellSpacing w:w="15" w:type="dxa"/>
        </w:trPr>
        <w:tc>
          <w:tcPr>
            <w:tcW w:w="1399" w:type="dxa"/>
            <w:vAlign w:val="center"/>
            <w:hideMark/>
          </w:tcPr>
          <w:p w14:paraId="1D79261D" w14:textId="77777777" w:rsidR="005F0756" w:rsidRPr="005F0756" w:rsidRDefault="005F0756" w:rsidP="005F0756">
            <w:pPr>
              <w:jc w:val="both"/>
              <w:rPr>
                <w:rFonts w:ascii="Arial" w:hAnsi="Arial" w:cs="Arial"/>
              </w:rPr>
            </w:pPr>
          </w:p>
        </w:tc>
        <w:tc>
          <w:tcPr>
            <w:tcW w:w="1027" w:type="dxa"/>
            <w:vAlign w:val="center"/>
            <w:hideMark/>
          </w:tcPr>
          <w:p w14:paraId="4BB7D703" w14:textId="77777777" w:rsidR="005F0756" w:rsidRPr="005F0756" w:rsidRDefault="005F0756" w:rsidP="005F0756">
            <w:pPr>
              <w:jc w:val="both"/>
              <w:rPr>
                <w:rFonts w:ascii="Arial" w:hAnsi="Arial" w:cs="Arial"/>
              </w:rPr>
            </w:pPr>
          </w:p>
        </w:tc>
        <w:tc>
          <w:tcPr>
            <w:tcW w:w="799" w:type="dxa"/>
            <w:vAlign w:val="center"/>
            <w:hideMark/>
          </w:tcPr>
          <w:p w14:paraId="66C07BEF" w14:textId="09E68DE9" w:rsidR="005F0756" w:rsidRPr="005F0756" w:rsidRDefault="0008733D" w:rsidP="005F0756">
            <w:pPr>
              <w:jc w:val="both"/>
              <w:rPr>
                <w:rFonts w:ascii="Arial" w:hAnsi="Arial" w:cs="Arial"/>
              </w:rPr>
            </w:pPr>
            <w:r w:rsidRPr="008F0585">
              <w:rPr>
                <w:rFonts w:ascii="Arial" w:hAnsi="Arial" w:cs="Arial"/>
                <w:highlight w:val="cyan"/>
              </w:rPr>
              <w:t>standard surgical mask</w:t>
            </w:r>
          </w:p>
        </w:tc>
        <w:tc>
          <w:tcPr>
            <w:tcW w:w="1320" w:type="dxa"/>
            <w:vAlign w:val="center"/>
            <w:hideMark/>
          </w:tcPr>
          <w:p w14:paraId="015F649B" w14:textId="77777777" w:rsidR="005F0756" w:rsidRPr="005F0756" w:rsidRDefault="005F0756" w:rsidP="00441D81">
            <w:pPr>
              <w:rPr>
                <w:rFonts w:ascii="Arial" w:hAnsi="Arial" w:cs="Arial"/>
              </w:rPr>
            </w:pPr>
            <w:r w:rsidRPr="005F0756">
              <w:rPr>
                <w:rFonts w:ascii="Arial" w:hAnsi="Arial" w:cs="Arial"/>
              </w:rPr>
              <w:t>123.1 ± 13.3</w:t>
            </w:r>
          </w:p>
        </w:tc>
        <w:tc>
          <w:tcPr>
            <w:tcW w:w="2130" w:type="dxa"/>
            <w:vAlign w:val="center"/>
            <w:hideMark/>
          </w:tcPr>
          <w:p w14:paraId="43A34D8C" w14:textId="77777777" w:rsidR="005F0756" w:rsidRPr="005F0756" w:rsidRDefault="005F0756" w:rsidP="00441D81">
            <w:pPr>
              <w:jc w:val="center"/>
              <w:rPr>
                <w:rFonts w:ascii="Arial" w:hAnsi="Arial" w:cs="Arial"/>
              </w:rPr>
            </w:pPr>
          </w:p>
        </w:tc>
        <w:tc>
          <w:tcPr>
            <w:tcW w:w="996" w:type="dxa"/>
            <w:vAlign w:val="center"/>
            <w:hideMark/>
          </w:tcPr>
          <w:p w14:paraId="6AE2D963" w14:textId="77777777" w:rsidR="005F0756" w:rsidRPr="005F0756" w:rsidRDefault="005F0756" w:rsidP="005F0756">
            <w:pPr>
              <w:jc w:val="center"/>
              <w:rPr>
                <w:rFonts w:ascii="Arial" w:hAnsi="Arial" w:cs="Arial"/>
              </w:rPr>
            </w:pPr>
          </w:p>
        </w:tc>
        <w:tc>
          <w:tcPr>
            <w:tcW w:w="1449" w:type="dxa"/>
            <w:vAlign w:val="center"/>
            <w:hideMark/>
          </w:tcPr>
          <w:p w14:paraId="1BBA94FE" w14:textId="77777777" w:rsidR="005F0756" w:rsidRPr="005F0756" w:rsidRDefault="005F0756" w:rsidP="005F0756">
            <w:pPr>
              <w:jc w:val="center"/>
              <w:rPr>
                <w:rFonts w:ascii="Arial" w:hAnsi="Arial" w:cs="Arial"/>
              </w:rPr>
            </w:pPr>
          </w:p>
        </w:tc>
      </w:tr>
      <w:tr w:rsidR="005F0756" w:rsidRPr="005F0756" w14:paraId="4D3E0406" w14:textId="77777777" w:rsidTr="00EA0B6C">
        <w:trPr>
          <w:tblCellSpacing w:w="15" w:type="dxa"/>
        </w:trPr>
        <w:tc>
          <w:tcPr>
            <w:tcW w:w="1399" w:type="dxa"/>
            <w:vAlign w:val="center"/>
            <w:hideMark/>
          </w:tcPr>
          <w:p w14:paraId="767120DE" w14:textId="77777777" w:rsidR="005F0756" w:rsidRPr="005F0756" w:rsidRDefault="005F0756" w:rsidP="005F0756">
            <w:pPr>
              <w:jc w:val="both"/>
              <w:rPr>
                <w:rFonts w:ascii="Arial" w:hAnsi="Arial" w:cs="Arial"/>
              </w:rPr>
            </w:pPr>
          </w:p>
        </w:tc>
        <w:tc>
          <w:tcPr>
            <w:tcW w:w="1027" w:type="dxa"/>
            <w:vAlign w:val="center"/>
            <w:hideMark/>
          </w:tcPr>
          <w:p w14:paraId="6D06D94F" w14:textId="77777777" w:rsidR="005F0756" w:rsidRPr="005F0756" w:rsidRDefault="005F0756" w:rsidP="005F0756">
            <w:pPr>
              <w:jc w:val="both"/>
              <w:rPr>
                <w:rFonts w:ascii="Arial" w:hAnsi="Arial" w:cs="Arial"/>
              </w:rPr>
            </w:pPr>
            <w:r w:rsidRPr="005F0756">
              <w:rPr>
                <w:rFonts w:ascii="Arial" w:hAnsi="Arial" w:cs="Arial"/>
              </w:rPr>
              <w:t>Female</w:t>
            </w:r>
          </w:p>
        </w:tc>
        <w:tc>
          <w:tcPr>
            <w:tcW w:w="799" w:type="dxa"/>
            <w:vAlign w:val="center"/>
            <w:hideMark/>
          </w:tcPr>
          <w:p w14:paraId="3ACBA4DC"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31805AD3" w14:textId="77777777" w:rsidR="005F0756" w:rsidRPr="005F0756" w:rsidRDefault="005F0756" w:rsidP="00441D81">
            <w:pPr>
              <w:rPr>
                <w:rFonts w:ascii="Arial" w:hAnsi="Arial" w:cs="Arial"/>
              </w:rPr>
            </w:pPr>
            <w:r w:rsidRPr="005F0756">
              <w:rPr>
                <w:rFonts w:ascii="Arial" w:hAnsi="Arial" w:cs="Arial"/>
              </w:rPr>
              <w:t>136.8 ± 13.3</w:t>
            </w:r>
          </w:p>
        </w:tc>
        <w:tc>
          <w:tcPr>
            <w:tcW w:w="2130" w:type="dxa"/>
            <w:vAlign w:val="center"/>
            <w:hideMark/>
          </w:tcPr>
          <w:p w14:paraId="24290E65" w14:textId="77777777" w:rsidR="005F0756" w:rsidRPr="005F0756" w:rsidRDefault="005F0756" w:rsidP="00441D81">
            <w:pPr>
              <w:jc w:val="center"/>
              <w:rPr>
                <w:rFonts w:ascii="Arial" w:hAnsi="Arial" w:cs="Arial"/>
              </w:rPr>
            </w:pPr>
            <w:r w:rsidRPr="005F0756">
              <w:rPr>
                <w:rFonts w:ascii="Arial" w:hAnsi="Arial" w:cs="Arial"/>
              </w:rPr>
              <w:t>+18.5 (0.84 – 36.16)</w:t>
            </w:r>
          </w:p>
        </w:tc>
        <w:tc>
          <w:tcPr>
            <w:tcW w:w="996" w:type="dxa"/>
            <w:vAlign w:val="center"/>
            <w:hideMark/>
          </w:tcPr>
          <w:p w14:paraId="561A05F1" w14:textId="77777777" w:rsidR="005F0756" w:rsidRPr="005F0756" w:rsidRDefault="005F0756" w:rsidP="005F0756">
            <w:pPr>
              <w:jc w:val="center"/>
              <w:rPr>
                <w:rFonts w:ascii="Arial" w:hAnsi="Arial" w:cs="Arial"/>
              </w:rPr>
            </w:pPr>
            <w:r w:rsidRPr="005F0756">
              <w:rPr>
                <w:rFonts w:ascii="Arial" w:hAnsi="Arial" w:cs="Arial"/>
              </w:rPr>
              <w:t>0.042</w:t>
            </w:r>
          </w:p>
        </w:tc>
        <w:tc>
          <w:tcPr>
            <w:tcW w:w="1449" w:type="dxa"/>
            <w:vAlign w:val="center"/>
            <w:hideMark/>
          </w:tcPr>
          <w:p w14:paraId="3F62D2CE" w14:textId="77777777" w:rsidR="005F0756" w:rsidRPr="005F0756" w:rsidRDefault="005F0756" w:rsidP="005F0756">
            <w:pPr>
              <w:jc w:val="center"/>
              <w:rPr>
                <w:rFonts w:ascii="Arial" w:hAnsi="Arial" w:cs="Arial"/>
              </w:rPr>
            </w:pPr>
            <w:r w:rsidRPr="005F0756">
              <w:rPr>
                <w:rFonts w:ascii="Arial" w:hAnsi="Arial" w:cs="Arial"/>
              </w:rPr>
              <w:t>0.353 (large)</w:t>
            </w:r>
          </w:p>
        </w:tc>
      </w:tr>
      <w:tr w:rsidR="005F0756" w:rsidRPr="005F0756" w14:paraId="6BF99396" w14:textId="77777777" w:rsidTr="00EA0B6C">
        <w:trPr>
          <w:tblCellSpacing w:w="15" w:type="dxa"/>
        </w:trPr>
        <w:tc>
          <w:tcPr>
            <w:tcW w:w="1399" w:type="dxa"/>
            <w:tcBorders>
              <w:bottom w:val="single" w:sz="4" w:space="0" w:color="auto"/>
            </w:tcBorders>
            <w:vAlign w:val="center"/>
            <w:hideMark/>
          </w:tcPr>
          <w:p w14:paraId="5F2D3631" w14:textId="77777777" w:rsidR="005F0756" w:rsidRPr="005F0756" w:rsidRDefault="005F0756" w:rsidP="005F0756">
            <w:pPr>
              <w:jc w:val="both"/>
              <w:rPr>
                <w:rFonts w:ascii="Arial" w:hAnsi="Arial" w:cs="Arial"/>
              </w:rPr>
            </w:pPr>
          </w:p>
        </w:tc>
        <w:tc>
          <w:tcPr>
            <w:tcW w:w="1027" w:type="dxa"/>
            <w:tcBorders>
              <w:bottom w:val="single" w:sz="4" w:space="0" w:color="auto"/>
            </w:tcBorders>
            <w:vAlign w:val="center"/>
            <w:hideMark/>
          </w:tcPr>
          <w:p w14:paraId="6484D1BC" w14:textId="77777777" w:rsidR="005F0756" w:rsidRPr="005F0756" w:rsidRDefault="005F0756" w:rsidP="005F0756">
            <w:pPr>
              <w:jc w:val="both"/>
              <w:rPr>
                <w:rFonts w:ascii="Arial" w:hAnsi="Arial" w:cs="Arial"/>
              </w:rPr>
            </w:pPr>
          </w:p>
        </w:tc>
        <w:tc>
          <w:tcPr>
            <w:tcW w:w="799" w:type="dxa"/>
            <w:tcBorders>
              <w:bottom w:val="single" w:sz="4" w:space="0" w:color="auto"/>
            </w:tcBorders>
            <w:vAlign w:val="center"/>
            <w:hideMark/>
          </w:tcPr>
          <w:p w14:paraId="566F14A1" w14:textId="114F6816" w:rsidR="005F0756" w:rsidRPr="005F0756" w:rsidRDefault="0008733D" w:rsidP="005F0756">
            <w:pPr>
              <w:jc w:val="both"/>
              <w:rPr>
                <w:rFonts w:ascii="Arial" w:hAnsi="Arial" w:cs="Arial"/>
              </w:rPr>
            </w:pPr>
            <w:r w:rsidRPr="008F0585">
              <w:rPr>
                <w:rFonts w:ascii="Arial" w:hAnsi="Arial" w:cs="Arial"/>
                <w:highlight w:val="cyan"/>
              </w:rPr>
              <w:t>standard surgical mask</w:t>
            </w:r>
          </w:p>
        </w:tc>
        <w:tc>
          <w:tcPr>
            <w:tcW w:w="1320" w:type="dxa"/>
            <w:tcBorders>
              <w:bottom w:val="single" w:sz="4" w:space="0" w:color="auto"/>
            </w:tcBorders>
            <w:vAlign w:val="center"/>
            <w:hideMark/>
          </w:tcPr>
          <w:p w14:paraId="7E773D93" w14:textId="77777777" w:rsidR="005F0756" w:rsidRPr="005F0756" w:rsidRDefault="005F0756" w:rsidP="00441D81">
            <w:pPr>
              <w:rPr>
                <w:rFonts w:ascii="Arial" w:hAnsi="Arial" w:cs="Arial"/>
              </w:rPr>
            </w:pPr>
            <w:r w:rsidRPr="005F0756">
              <w:rPr>
                <w:rFonts w:ascii="Arial" w:hAnsi="Arial" w:cs="Arial"/>
              </w:rPr>
              <w:t>118.3 ± 14.2</w:t>
            </w:r>
          </w:p>
        </w:tc>
        <w:tc>
          <w:tcPr>
            <w:tcW w:w="2130" w:type="dxa"/>
            <w:tcBorders>
              <w:bottom w:val="single" w:sz="4" w:space="0" w:color="auto"/>
            </w:tcBorders>
            <w:vAlign w:val="center"/>
            <w:hideMark/>
          </w:tcPr>
          <w:p w14:paraId="3F822F7B" w14:textId="77777777" w:rsidR="005F0756" w:rsidRPr="005F0756" w:rsidRDefault="005F0756" w:rsidP="00441D81">
            <w:pPr>
              <w:jc w:val="center"/>
              <w:rPr>
                <w:rFonts w:ascii="Arial" w:hAnsi="Arial" w:cs="Arial"/>
              </w:rPr>
            </w:pPr>
          </w:p>
        </w:tc>
        <w:tc>
          <w:tcPr>
            <w:tcW w:w="996" w:type="dxa"/>
            <w:tcBorders>
              <w:bottom w:val="single" w:sz="4" w:space="0" w:color="auto"/>
            </w:tcBorders>
            <w:vAlign w:val="center"/>
            <w:hideMark/>
          </w:tcPr>
          <w:p w14:paraId="00645DED" w14:textId="77777777" w:rsidR="005F0756" w:rsidRPr="005F0756" w:rsidRDefault="005F0756" w:rsidP="005F0756">
            <w:pPr>
              <w:jc w:val="center"/>
              <w:rPr>
                <w:rFonts w:ascii="Arial" w:hAnsi="Arial" w:cs="Arial"/>
              </w:rPr>
            </w:pPr>
          </w:p>
        </w:tc>
        <w:tc>
          <w:tcPr>
            <w:tcW w:w="1449" w:type="dxa"/>
            <w:tcBorders>
              <w:bottom w:val="single" w:sz="4" w:space="0" w:color="auto"/>
            </w:tcBorders>
            <w:vAlign w:val="center"/>
            <w:hideMark/>
          </w:tcPr>
          <w:p w14:paraId="2573F137" w14:textId="77777777" w:rsidR="005F0756" w:rsidRPr="005F0756" w:rsidRDefault="005F0756" w:rsidP="005F0756">
            <w:pPr>
              <w:jc w:val="center"/>
              <w:rPr>
                <w:rFonts w:ascii="Arial" w:hAnsi="Arial" w:cs="Arial"/>
              </w:rPr>
            </w:pPr>
          </w:p>
        </w:tc>
      </w:tr>
      <w:tr w:rsidR="005F0756" w:rsidRPr="005F0756" w14:paraId="063B3AA0" w14:textId="77777777" w:rsidTr="00EA0B6C">
        <w:trPr>
          <w:tblCellSpacing w:w="15" w:type="dxa"/>
        </w:trPr>
        <w:tc>
          <w:tcPr>
            <w:tcW w:w="1399" w:type="dxa"/>
            <w:vAlign w:val="center"/>
            <w:hideMark/>
          </w:tcPr>
          <w:p w14:paraId="609FCA17" w14:textId="77777777" w:rsidR="005F0756" w:rsidRPr="005F0756" w:rsidRDefault="005F0756" w:rsidP="005F0756">
            <w:pPr>
              <w:jc w:val="both"/>
              <w:rPr>
                <w:rFonts w:ascii="Arial" w:hAnsi="Arial" w:cs="Arial"/>
              </w:rPr>
            </w:pPr>
            <w:r w:rsidRPr="005F0756">
              <w:rPr>
                <w:rFonts w:ascii="Arial" w:hAnsi="Arial" w:cs="Arial"/>
                <w:b/>
                <w:bCs/>
              </w:rPr>
              <w:t>RR (breath/</w:t>
            </w:r>
            <w:proofErr w:type="spellStart"/>
            <w:r w:rsidRPr="005F0756">
              <w:rPr>
                <w:rFonts w:ascii="Arial" w:hAnsi="Arial" w:cs="Arial"/>
                <w:b/>
                <w:bCs/>
              </w:rPr>
              <w:t>mim</w:t>
            </w:r>
            <w:proofErr w:type="spellEnd"/>
            <w:r w:rsidRPr="005F0756">
              <w:rPr>
                <w:rFonts w:ascii="Arial" w:hAnsi="Arial" w:cs="Arial"/>
                <w:b/>
                <w:bCs/>
              </w:rPr>
              <w:t>)</w:t>
            </w:r>
          </w:p>
        </w:tc>
        <w:tc>
          <w:tcPr>
            <w:tcW w:w="1027" w:type="dxa"/>
            <w:vAlign w:val="center"/>
            <w:hideMark/>
          </w:tcPr>
          <w:p w14:paraId="6D18C412" w14:textId="77777777" w:rsidR="005F0756" w:rsidRPr="005F0756" w:rsidRDefault="005F0756" w:rsidP="005F0756">
            <w:pPr>
              <w:jc w:val="both"/>
              <w:rPr>
                <w:rFonts w:ascii="Arial" w:hAnsi="Arial" w:cs="Arial"/>
              </w:rPr>
            </w:pPr>
            <w:r w:rsidRPr="005F0756">
              <w:rPr>
                <w:rFonts w:ascii="Arial" w:hAnsi="Arial" w:cs="Arial"/>
              </w:rPr>
              <w:t>Male</w:t>
            </w:r>
          </w:p>
        </w:tc>
        <w:tc>
          <w:tcPr>
            <w:tcW w:w="799" w:type="dxa"/>
            <w:vAlign w:val="center"/>
            <w:hideMark/>
          </w:tcPr>
          <w:p w14:paraId="6A26E012"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706F045A" w14:textId="77777777" w:rsidR="005F0756" w:rsidRPr="005F0756" w:rsidRDefault="005F0756" w:rsidP="005F0756">
            <w:pPr>
              <w:jc w:val="both"/>
              <w:rPr>
                <w:rFonts w:ascii="Arial" w:hAnsi="Arial" w:cs="Arial"/>
              </w:rPr>
            </w:pPr>
            <w:r w:rsidRPr="005F0756">
              <w:rPr>
                <w:rFonts w:ascii="Arial" w:hAnsi="Arial" w:cs="Arial"/>
              </w:rPr>
              <w:t>33.4 ± 5.6</w:t>
            </w:r>
          </w:p>
        </w:tc>
        <w:tc>
          <w:tcPr>
            <w:tcW w:w="2130" w:type="dxa"/>
            <w:vAlign w:val="center"/>
            <w:hideMark/>
          </w:tcPr>
          <w:p w14:paraId="6E06ED86" w14:textId="77777777" w:rsidR="005F0756" w:rsidRPr="005F0756" w:rsidRDefault="005F0756" w:rsidP="00441D81">
            <w:pPr>
              <w:jc w:val="center"/>
              <w:rPr>
                <w:rFonts w:ascii="Arial" w:hAnsi="Arial" w:cs="Arial"/>
              </w:rPr>
            </w:pPr>
            <w:r w:rsidRPr="005F0756">
              <w:rPr>
                <w:rFonts w:ascii="Arial" w:hAnsi="Arial" w:cs="Arial"/>
              </w:rPr>
              <w:t>+5.1 (1.12 – 9.13) *</w:t>
            </w:r>
          </w:p>
        </w:tc>
        <w:tc>
          <w:tcPr>
            <w:tcW w:w="996" w:type="dxa"/>
            <w:vAlign w:val="center"/>
            <w:hideMark/>
          </w:tcPr>
          <w:p w14:paraId="1AD31F33" w14:textId="77777777" w:rsidR="005F0756" w:rsidRPr="005F0756" w:rsidRDefault="005F0756" w:rsidP="005F0756">
            <w:pPr>
              <w:jc w:val="center"/>
              <w:rPr>
                <w:rFonts w:ascii="Arial" w:hAnsi="Arial" w:cs="Arial"/>
              </w:rPr>
            </w:pPr>
            <w:r w:rsidRPr="005F0756">
              <w:rPr>
                <w:rFonts w:ascii="Arial" w:hAnsi="Arial" w:cs="Arial"/>
              </w:rPr>
              <w:t>0.014</w:t>
            </w:r>
          </w:p>
        </w:tc>
        <w:tc>
          <w:tcPr>
            <w:tcW w:w="1449" w:type="dxa"/>
            <w:vAlign w:val="center"/>
            <w:hideMark/>
          </w:tcPr>
          <w:p w14:paraId="3060A233" w14:textId="77777777" w:rsidR="005F0756" w:rsidRPr="005F0756" w:rsidRDefault="005F0756" w:rsidP="005F0756">
            <w:pPr>
              <w:jc w:val="center"/>
              <w:rPr>
                <w:rFonts w:ascii="Arial" w:hAnsi="Arial" w:cs="Arial"/>
              </w:rPr>
            </w:pPr>
            <w:r w:rsidRPr="005F0756">
              <w:rPr>
                <w:rFonts w:ascii="Arial" w:hAnsi="Arial" w:cs="Arial"/>
              </w:rPr>
              <w:t>0.203 (moderate)</w:t>
            </w:r>
          </w:p>
        </w:tc>
      </w:tr>
      <w:tr w:rsidR="005F0756" w:rsidRPr="005F0756" w14:paraId="4522EA49" w14:textId="77777777" w:rsidTr="00EA0B6C">
        <w:trPr>
          <w:tblCellSpacing w:w="15" w:type="dxa"/>
        </w:trPr>
        <w:tc>
          <w:tcPr>
            <w:tcW w:w="1399" w:type="dxa"/>
            <w:vAlign w:val="center"/>
            <w:hideMark/>
          </w:tcPr>
          <w:p w14:paraId="2944B32A" w14:textId="77777777" w:rsidR="005F0756" w:rsidRPr="005F0756" w:rsidRDefault="005F0756" w:rsidP="005F0756">
            <w:pPr>
              <w:jc w:val="both"/>
              <w:rPr>
                <w:rFonts w:ascii="Arial" w:hAnsi="Arial" w:cs="Arial"/>
              </w:rPr>
            </w:pPr>
          </w:p>
        </w:tc>
        <w:tc>
          <w:tcPr>
            <w:tcW w:w="1027" w:type="dxa"/>
            <w:vAlign w:val="center"/>
            <w:hideMark/>
          </w:tcPr>
          <w:p w14:paraId="4B9A1E16" w14:textId="77777777" w:rsidR="005F0756" w:rsidRPr="005F0756" w:rsidRDefault="005F0756" w:rsidP="005F0756">
            <w:pPr>
              <w:jc w:val="both"/>
              <w:rPr>
                <w:rFonts w:ascii="Arial" w:hAnsi="Arial" w:cs="Arial"/>
              </w:rPr>
            </w:pPr>
          </w:p>
        </w:tc>
        <w:tc>
          <w:tcPr>
            <w:tcW w:w="799" w:type="dxa"/>
            <w:vAlign w:val="center"/>
            <w:hideMark/>
          </w:tcPr>
          <w:p w14:paraId="728104EF" w14:textId="5AE55B2E" w:rsidR="005F0756" w:rsidRPr="005F0756" w:rsidRDefault="0008733D" w:rsidP="005F0756">
            <w:pPr>
              <w:jc w:val="both"/>
              <w:rPr>
                <w:rFonts w:ascii="Arial" w:hAnsi="Arial" w:cs="Arial"/>
              </w:rPr>
            </w:pPr>
            <w:r w:rsidRPr="008F0585">
              <w:rPr>
                <w:rFonts w:ascii="Arial" w:hAnsi="Arial" w:cs="Arial"/>
                <w:highlight w:val="cyan"/>
              </w:rPr>
              <w:t>standard surgical mask</w:t>
            </w:r>
          </w:p>
        </w:tc>
        <w:tc>
          <w:tcPr>
            <w:tcW w:w="1320" w:type="dxa"/>
            <w:vAlign w:val="center"/>
            <w:hideMark/>
          </w:tcPr>
          <w:p w14:paraId="5AA747F3" w14:textId="77777777" w:rsidR="005F0756" w:rsidRPr="005F0756" w:rsidRDefault="005F0756" w:rsidP="005F0756">
            <w:pPr>
              <w:jc w:val="both"/>
              <w:rPr>
                <w:rFonts w:ascii="Arial" w:hAnsi="Arial" w:cs="Arial"/>
              </w:rPr>
            </w:pPr>
            <w:r w:rsidRPr="005F0756">
              <w:rPr>
                <w:rFonts w:ascii="Arial" w:hAnsi="Arial" w:cs="Arial"/>
              </w:rPr>
              <w:t>28.3 ± 5.3</w:t>
            </w:r>
          </w:p>
        </w:tc>
        <w:tc>
          <w:tcPr>
            <w:tcW w:w="2130" w:type="dxa"/>
            <w:vAlign w:val="center"/>
            <w:hideMark/>
          </w:tcPr>
          <w:p w14:paraId="5E800A52" w14:textId="77777777" w:rsidR="005F0756" w:rsidRPr="005F0756" w:rsidRDefault="005F0756" w:rsidP="00441D81">
            <w:pPr>
              <w:jc w:val="center"/>
              <w:rPr>
                <w:rFonts w:ascii="Arial" w:hAnsi="Arial" w:cs="Arial"/>
              </w:rPr>
            </w:pPr>
          </w:p>
        </w:tc>
        <w:tc>
          <w:tcPr>
            <w:tcW w:w="996" w:type="dxa"/>
            <w:vAlign w:val="center"/>
            <w:hideMark/>
          </w:tcPr>
          <w:p w14:paraId="7118CBD8" w14:textId="77777777" w:rsidR="005F0756" w:rsidRPr="005F0756" w:rsidRDefault="005F0756" w:rsidP="005F0756">
            <w:pPr>
              <w:jc w:val="center"/>
              <w:rPr>
                <w:rFonts w:ascii="Arial" w:hAnsi="Arial" w:cs="Arial"/>
              </w:rPr>
            </w:pPr>
          </w:p>
        </w:tc>
        <w:tc>
          <w:tcPr>
            <w:tcW w:w="1449" w:type="dxa"/>
            <w:vAlign w:val="center"/>
            <w:hideMark/>
          </w:tcPr>
          <w:p w14:paraId="5F51186D" w14:textId="77777777" w:rsidR="005F0756" w:rsidRPr="005F0756" w:rsidRDefault="005F0756" w:rsidP="005F0756">
            <w:pPr>
              <w:jc w:val="center"/>
              <w:rPr>
                <w:rFonts w:ascii="Arial" w:hAnsi="Arial" w:cs="Arial"/>
              </w:rPr>
            </w:pPr>
          </w:p>
        </w:tc>
      </w:tr>
      <w:tr w:rsidR="005F0756" w:rsidRPr="005F0756" w14:paraId="034B3E63" w14:textId="77777777" w:rsidTr="00EA0B6C">
        <w:trPr>
          <w:tblCellSpacing w:w="15" w:type="dxa"/>
        </w:trPr>
        <w:tc>
          <w:tcPr>
            <w:tcW w:w="1399" w:type="dxa"/>
            <w:vAlign w:val="center"/>
            <w:hideMark/>
          </w:tcPr>
          <w:p w14:paraId="6782C071" w14:textId="77777777" w:rsidR="005F0756" w:rsidRPr="005F0756" w:rsidRDefault="005F0756" w:rsidP="005F0756">
            <w:pPr>
              <w:jc w:val="both"/>
              <w:rPr>
                <w:rFonts w:ascii="Arial" w:hAnsi="Arial" w:cs="Arial"/>
              </w:rPr>
            </w:pPr>
          </w:p>
        </w:tc>
        <w:tc>
          <w:tcPr>
            <w:tcW w:w="1027" w:type="dxa"/>
            <w:vAlign w:val="center"/>
            <w:hideMark/>
          </w:tcPr>
          <w:p w14:paraId="1E1DABA9" w14:textId="77777777" w:rsidR="005F0756" w:rsidRPr="005F0756" w:rsidRDefault="005F0756" w:rsidP="005F0756">
            <w:pPr>
              <w:jc w:val="both"/>
              <w:rPr>
                <w:rFonts w:ascii="Arial" w:hAnsi="Arial" w:cs="Arial"/>
              </w:rPr>
            </w:pPr>
            <w:r w:rsidRPr="005F0756">
              <w:rPr>
                <w:rFonts w:ascii="Arial" w:hAnsi="Arial" w:cs="Arial"/>
              </w:rPr>
              <w:t>Female</w:t>
            </w:r>
          </w:p>
        </w:tc>
        <w:tc>
          <w:tcPr>
            <w:tcW w:w="799" w:type="dxa"/>
            <w:vAlign w:val="center"/>
            <w:hideMark/>
          </w:tcPr>
          <w:p w14:paraId="734F287D"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3ED14928" w14:textId="77777777" w:rsidR="005F0756" w:rsidRPr="005F0756" w:rsidRDefault="005F0756" w:rsidP="005F0756">
            <w:pPr>
              <w:jc w:val="both"/>
              <w:rPr>
                <w:rFonts w:ascii="Arial" w:hAnsi="Arial" w:cs="Arial"/>
              </w:rPr>
            </w:pPr>
            <w:r w:rsidRPr="005F0756">
              <w:rPr>
                <w:rFonts w:ascii="Arial" w:hAnsi="Arial" w:cs="Arial"/>
              </w:rPr>
              <w:t>33.6 ± 5.7</w:t>
            </w:r>
          </w:p>
        </w:tc>
        <w:tc>
          <w:tcPr>
            <w:tcW w:w="2130" w:type="dxa"/>
            <w:vAlign w:val="center"/>
            <w:hideMark/>
          </w:tcPr>
          <w:p w14:paraId="7DF06635" w14:textId="77777777" w:rsidR="005F0756" w:rsidRPr="005F0756" w:rsidRDefault="005F0756" w:rsidP="00441D81">
            <w:pPr>
              <w:jc w:val="center"/>
              <w:rPr>
                <w:rFonts w:ascii="Arial" w:hAnsi="Arial" w:cs="Arial"/>
              </w:rPr>
            </w:pPr>
            <w:r w:rsidRPr="005F0756">
              <w:rPr>
                <w:rFonts w:ascii="Arial" w:hAnsi="Arial" w:cs="Arial"/>
              </w:rPr>
              <w:t>+5.2 (1.20 – 9.25) *</w:t>
            </w:r>
          </w:p>
        </w:tc>
        <w:tc>
          <w:tcPr>
            <w:tcW w:w="996" w:type="dxa"/>
            <w:vAlign w:val="center"/>
            <w:hideMark/>
          </w:tcPr>
          <w:p w14:paraId="0A8E07ED" w14:textId="77777777" w:rsidR="005F0756" w:rsidRPr="005F0756" w:rsidRDefault="005F0756" w:rsidP="005F0756">
            <w:pPr>
              <w:jc w:val="center"/>
              <w:rPr>
                <w:rFonts w:ascii="Arial" w:hAnsi="Arial" w:cs="Arial"/>
              </w:rPr>
            </w:pPr>
            <w:r w:rsidRPr="005F0756">
              <w:rPr>
                <w:rFonts w:ascii="Arial" w:hAnsi="Arial" w:cs="Arial"/>
              </w:rPr>
              <w:t>0.015</w:t>
            </w:r>
          </w:p>
        </w:tc>
        <w:tc>
          <w:tcPr>
            <w:tcW w:w="1449" w:type="dxa"/>
            <w:vAlign w:val="center"/>
            <w:hideMark/>
          </w:tcPr>
          <w:p w14:paraId="05D2CE91" w14:textId="77777777" w:rsidR="005F0756" w:rsidRPr="005F0756" w:rsidRDefault="005F0756" w:rsidP="005F0756">
            <w:pPr>
              <w:jc w:val="center"/>
              <w:rPr>
                <w:rFonts w:ascii="Arial" w:hAnsi="Arial" w:cs="Arial"/>
              </w:rPr>
            </w:pPr>
            <w:r w:rsidRPr="005F0756">
              <w:rPr>
                <w:rFonts w:ascii="Arial" w:hAnsi="Arial" w:cs="Arial"/>
              </w:rPr>
              <w:t>0.196 (moderate)</w:t>
            </w:r>
          </w:p>
        </w:tc>
      </w:tr>
      <w:tr w:rsidR="005F0756" w:rsidRPr="005F0756" w14:paraId="3A28C113" w14:textId="77777777" w:rsidTr="00EA0B6C">
        <w:trPr>
          <w:tblCellSpacing w:w="15" w:type="dxa"/>
        </w:trPr>
        <w:tc>
          <w:tcPr>
            <w:tcW w:w="1399" w:type="dxa"/>
            <w:tcBorders>
              <w:bottom w:val="single" w:sz="4" w:space="0" w:color="auto"/>
            </w:tcBorders>
            <w:vAlign w:val="center"/>
            <w:hideMark/>
          </w:tcPr>
          <w:p w14:paraId="78A507CB" w14:textId="77777777" w:rsidR="005F0756" w:rsidRPr="005F0756" w:rsidRDefault="005F0756" w:rsidP="005F0756">
            <w:pPr>
              <w:jc w:val="both"/>
              <w:rPr>
                <w:rFonts w:ascii="Arial" w:hAnsi="Arial" w:cs="Arial"/>
              </w:rPr>
            </w:pPr>
          </w:p>
        </w:tc>
        <w:tc>
          <w:tcPr>
            <w:tcW w:w="1027" w:type="dxa"/>
            <w:tcBorders>
              <w:bottom w:val="single" w:sz="4" w:space="0" w:color="auto"/>
            </w:tcBorders>
            <w:vAlign w:val="center"/>
            <w:hideMark/>
          </w:tcPr>
          <w:p w14:paraId="6E2900EA" w14:textId="77777777" w:rsidR="005F0756" w:rsidRPr="005F0756" w:rsidRDefault="005F0756" w:rsidP="005F0756">
            <w:pPr>
              <w:jc w:val="both"/>
              <w:rPr>
                <w:rFonts w:ascii="Arial" w:hAnsi="Arial" w:cs="Arial"/>
              </w:rPr>
            </w:pPr>
          </w:p>
        </w:tc>
        <w:tc>
          <w:tcPr>
            <w:tcW w:w="799" w:type="dxa"/>
            <w:tcBorders>
              <w:bottom w:val="single" w:sz="4" w:space="0" w:color="auto"/>
            </w:tcBorders>
            <w:vAlign w:val="center"/>
            <w:hideMark/>
          </w:tcPr>
          <w:p w14:paraId="3614FFD4" w14:textId="7EC61970" w:rsidR="005F0756" w:rsidRPr="005F0756" w:rsidRDefault="0008733D" w:rsidP="005F0756">
            <w:pPr>
              <w:jc w:val="both"/>
              <w:rPr>
                <w:rFonts w:ascii="Arial" w:hAnsi="Arial" w:cs="Arial"/>
              </w:rPr>
            </w:pPr>
            <w:r w:rsidRPr="008F0585">
              <w:rPr>
                <w:rFonts w:ascii="Arial" w:hAnsi="Arial" w:cs="Arial"/>
                <w:highlight w:val="cyan"/>
              </w:rPr>
              <w:t>standard surgical mask</w:t>
            </w:r>
          </w:p>
        </w:tc>
        <w:tc>
          <w:tcPr>
            <w:tcW w:w="1320" w:type="dxa"/>
            <w:tcBorders>
              <w:bottom w:val="single" w:sz="4" w:space="0" w:color="auto"/>
            </w:tcBorders>
            <w:vAlign w:val="center"/>
            <w:hideMark/>
          </w:tcPr>
          <w:p w14:paraId="5EA7345E" w14:textId="77777777" w:rsidR="005F0756" w:rsidRPr="005F0756" w:rsidRDefault="005F0756" w:rsidP="005F0756">
            <w:pPr>
              <w:jc w:val="both"/>
              <w:rPr>
                <w:rFonts w:ascii="Arial" w:hAnsi="Arial" w:cs="Arial"/>
              </w:rPr>
            </w:pPr>
            <w:r w:rsidRPr="005F0756">
              <w:rPr>
                <w:rFonts w:ascii="Arial" w:hAnsi="Arial" w:cs="Arial"/>
              </w:rPr>
              <w:t>28.4 ± 5.4</w:t>
            </w:r>
          </w:p>
        </w:tc>
        <w:tc>
          <w:tcPr>
            <w:tcW w:w="2130" w:type="dxa"/>
            <w:tcBorders>
              <w:bottom w:val="single" w:sz="4" w:space="0" w:color="auto"/>
            </w:tcBorders>
            <w:vAlign w:val="center"/>
            <w:hideMark/>
          </w:tcPr>
          <w:p w14:paraId="4F90D782" w14:textId="77777777" w:rsidR="005F0756" w:rsidRPr="005F0756" w:rsidRDefault="005F0756" w:rsidP="00441D81">
            <w:pPr>
              <w:jc w:val="center"/>
              <w:rPr>
                <w:rFonts w:ascii="Arial" w:hAnsi="Arial" w:cs="Arial"/>
              </w:rPr>
            </w:pPr>
          </w:p>
        </w:tc>
        <w:tc>
          <w:tcPr>
            <w:tcW w:w="996" w:type="dxa"/>
            <w:tcBorders>
              <w:bottom w:val="single" w:sz="4" w:space="0" w:color="auto"/>
            </w:tcBorders>
            <w:vAlign w:val="center"/>
            <w:hideMark/>
          </w:tcPr>
          <w:p w14:paraId="02A87C82" w14:textId="77777777" w:rsidR="005F0756" w:rsidRPr="005F0756" w:rsidRDefault="005F0756" w:rsidP="005F0756">
            <w:pPr>
              <w:jc w:val="center"/>
              <w:rPr>
                <w:rFonts w:ascii="Arial" w:hAnsi="Arial" w:cs="Arial"/>
              </w:rPr>
            </w:pPr>
          </w:p>
        </w:tc>
        <w:tc>
          <w:tcPr>
            <w:tcW w:w="1449" w:type="dxa"/>
            <w:tcBorders>
              <w:bottom w:val="single" w:sz="4" w:space="0" w:color="auto"/>
            </w:tcBorders>
            <w:vAlign w:val="center"/>
            <w:hideMark/>
          </w:tcPr>
          <w:p w14:paraId="14BD3862" w14:textId="77777777" w:rsidR="005F0756" w:rsidRPr="005F0756" w:rsidRDefault="005F0756" w:rsidP="005F0756">
            <w:pPr>
              <w:jc w:val="center"/>
              <w:rPr>
                <w:rFonts w:ascii="Arial" w:hAnsi="Arial" w:cs="Arial"/>
              </w:rPr>
            </w:pPr>
          </w:p>
        </w:tc>
      </w:tr>
      <w:tr w:rsidR="005F0756" w:rsidRPr="005F0756" w14:paraId="6AD08957" w14:textId="77777777" w:rsidTr="00EA0B6C">
        <w:trPr>
          <w:tblCellSpacing w:w="15" w:type="dxa"/>
        </w:trPr>
        <w:tc>
          <w:tcPr>
            <w:tcW w:w="1399" w:type="dxa"/>
            <w:vAlign w:val="center"/>
            <w:hideMark/>
          </w:tcPr>
          <w:p w14:paraId="4883CC98" w14:textId="77777777" w:rsidR="005F0756" w:rsidRPr="005F0756" w:rsidRDefault="005F0756" w:rsidP="005F0756">
            <w:pPr>
              <w:jc w:val="both"/>
              <w:rPr>
                <w:rFonts w:ascii="Arial" w:hAnsi="Arial" w:cs="Arial"/>
              </w:rPr>
            </w:pPr>
            <w:proofErr w:type="spellStart"/>
            <w:r w:rsidRPr="005F0756">
              <w:rPr>
                <w:rFonts w:ascii="Arial" w:hAnsi="Arial" w:cs="Arial"/>
              </w:rPr>
              <w:t>SpO</w:t>
            </w:r>
            <w:proofErr w:type="spellEnd"/>
            <w:r w:rsidRPr="005F0756">
              <w:rPr>
                <w:rFonts w:ascii="Cambria Math" w:hAnsi="Cambria Math" w:cs="Cambria Math"/>
              </w:rPr>
              <w:t>₂</w:t>
            </w:r>
            <w:r w:rsidRPr="005F0756">
              <w:rPr>
                <w:rFonts w:ascii="Arial" w:hAnsi="Arial" w:cs="Arial"/>
                <w:b/>
                <w:bCs/>
              </w:rPr>
              <w:t xml:space="preserve"> (%)</w:t>
            </w:r>
          </w:p>
        </w:tc>
        <w:tc>
          <w:tcPr>
            <w:tcW w:w="1027" w:type="dxa"/>
            <w:vAlign w:val="center"/>
            <w:hideMark/>
          </w:tcPr>
          <w:p w14:paraId="034CC322" w14:textId="77777777" w:rsidR="005F0756" w:rsidRPr="005F0756" w:rsidRDefault="005F0756" w:rsidP="005F0756">
            <w:pPr>
              <w:jc w:val="both"/>
              <w:rPr>
                <w:rFonts w:ascii="Arial" w:hAnsi="Arial" w:cs="Arial"/>
              </w:rPr>
            </w:pPr>
            <w:r w:rsidRPr="005F0756">
              <w:rPr>
                <w:rFonts w:ascii="Arial" w:hAnsi="Arial" w:cs="Arial"/>
              </w:rPr>
              <w:t>Male</w:t>
            </w:r>
          </w:p>
        </w:tc>
        <w:tc>
          <w:tcPr>
            <w:tcW w:w="799" w:type="dxa"/>
            <w:vAlign w:val="center"/>
            <w:hideMark/>
          </w:tcPr>
          <w:p w14:paraId="32E68FA6"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522191CC" w14:textId="77777777" w:rsidR="005F0756" w:rsidRPr="005F0756" w:rsidRDefault="005F0756" w:rsidP="005F0756">
            <w:pPr>
              <w:jc w:val="both"/>
              <w:rPr>
                <w:rFonts w:ascii="Arial" w:hAnsi="Arial" w:cs="Arial"/>
              </w:rPr>
            </w:pPr>
            <w:r w:rsidRPr="005F0756">
              <w:rPr>
                <w:rFonts w:ascii="Arial" w:hAnsi="Arial" w:cs="Arial"/>
              </w:rPr>
              <w:t>96.8 ± 0.9</w:t>
            </w:r>
          </w:p>
        </w:tc>
        <w:tc>
          <w:tcPr>
            <w:tcW w:w="2130" w:type="dxa"/>
            <w:vAlign w:val="center"/>
            <w:hideMark/>
          </w:tcPr>
          <w:p w14:paraId="6CE31C51" w14:textId="77777777" w:rsidR="005F0756" w:rsidRPr="005F0756" w:rsidRDefault="005F0756" w:rsidP="00441D81">
            <w:pPr>
              <w:jc w:val="center"/>
              <w:rPr>
                <w:rFonts w:ascii="Arial" w:hAnsi="Arial" w:cs="Arial"/>
              </w:rPr>
            </w:pPr>
            <w:r w:rsidRPr="005F0756">
              <w:rPr>
                <w:rFonts w:ascii="Arial" w:hAnsi="Arial" w:cs="Arial"/>
              </w:rPr>
              <w:t>-0.6 (-1.2 – -0.1) *</w:t>
            </w:r>
          </w:p>
        </w:tc>
        <w:tc>
          <w:tcPr>
            <w:tcW w:w="996" w:type="dxa"/>
            <w:vAlign w:val="center"/>
            <w:hideMark/>
          </w:tcPr>
          <w:p w14:paraId="5FC24E21" w14:textId="77777777" w:rsidR="005F0756" w:rsidRPr="005F0756" w:rsidRDefault="005F0756" w:rsidP="005F0756">
            <w:pPr>
              <w:jc w:val="center"/>
              <w:rPr>
                <w:rFonts w:ascii="Arial" w:hAnsi="Arial" w:cs="Arial"/>
              </w:rPr>
            </w:pPr>
            <w:r w:rsidRPr="005F0756">
              <w:rPr>
                <w:rFonts w:ascii="Arial" w:hAnsi="Arial" w:cs="Arial"/>
              </w:rPr>
              <w:t>0.031</w:t>
            </w:r>
          </w:p>
        </w:tc>
        <w:tc>
          <w:tcPr>
            <w:tcW w:w="1449" w:type="dxa"/>
            <w:vAlign w:val="center"/>
            <w:hideMark/>
          </w:tcPr>
          <w:p w14:paraId="3C3C27D2" w14:textId="77777777" w:rsidR="005F0756" w:rsidRPr="005F0756" w:rsidRDefault="005F0756" w:rsidP="005F0756">
            <w:pPr>
              <w:jc w:val="center"/>
              <w:rPr>
                <w:rFonts w:ascii="Arial" w:hAnsi="Arial" w:cs="Arial"/>
              </w:rPr>
            </w:pPr>
            <w:r w:rsidRPr="005F0756">
              <w:rPr>
                <w:rFonts w:ascii="Arial" w:hAnsi="Arial" w:cs="Arial"/>
              </w:rPr>
              <w:t>0.142 (moderate)</w:t>
            </w:r>
          </w:p>
        </w:tc>
      </w:tr>
      <w:tr w:rsidR="005F0756" w:rsidRPr="005F0756" w14:paraId="02715F62" w14:textId="77777777" w:rsidTr="00EA0B6C">
        <w:trPr>
          <w:tblCellSpacing w:w="15" w:type="dxa"/>
        </w:trPr>
        <w:tc>
          <w:tcPr>
            <w:tcW w:w="1399" w:type="dxa"/>
            <w:vAlign w:val="center"/>
            <w:hideMark/>
          </w:tcPr>
          <w:p w14:paraId="5D31B794" w14:textId="77777777" w:rsidR="005F0756" w:rsidRPr="005F0756" w:rsidRDefault="005F0756" w:rsidP="005F0756">
            <w:pPr>
              <w:jc w:val="both"/>
              <w:rPr>
                <w:rFonts w:ascii="Arial" w:hAnsi="Arial" w:cs="Arial"/>
              </w:rPr>
            </w:pPr>
          </w:p>
        </w:tc>
        <w:tc>
          <w:tcPr>
            <w:tcW w:w="1027" w:type="dxa"/>
            <w:vAlign w:val="center"/>
            <w:hideMark/>
          </w:tcPr>
          <w:p w14:paraId="575C9509" w14:textId="77777777" w:rsidR="005F0756" w:rsidRPr="005F0756" w:rsidRDefault="005F0756" w:rsidP="005F0756">
            <w:pPr>
              <w:jc w:val="both"/>
              <w:rPr>
                <w:rFonts w:ascii="Arial" w:hAnsi="Arial" w:cs="Arial"/>
              </w:rPr>
            </w:pPr>
          </w:p>
        </w:tc>
        <w:tc>
          <w:tcPr>
            <w:tcW w:w="799" w:type="dxa"/>
            <w:vAlign w:val="center"/>
            <w:hideMark/>
          </w:tcPr>
          <w:p w14:paraId="15CE662B" w14:textId="54E7FE66" w:rsidR="005F0756" w:rsidRPr="005F0756" w:rsidRDefault="0008733D" w:rsidP="005F0756">
            <w:pPr>
              <w:jc w:val="both"/>
              <w:rPr>
                <w:rFonts w:ascii="Arial" w:hAnsi="Arial" w:cs="Arial"/>
              </w:rPr>
            </w:pPr>
            <w:r w:rsidRPr="008F0585">
              <w:rPr>
                <w:rFonts w:ascii="Arial" w:hAnsi="Arial" w:cs="Arial"/>
                <w:highlight w:val="cyan"/>
              </w:rPr>
              <w:t>standard surgical mask</w:t>
            </w:r>
          </w:p>
        </w:tc>
        <w:tc>
          <w:tcPr>
            <w:tcW w:w="1320" w:type="dxa"/>
            <w:vAlign w:val="center"/>
            <w:hideMark/>
          </w:tcPr>
          <w:p w14:paraId="2A3248AE" w14:textId="77777777" w:rsidR="005F0756" w:rsidRPr="005F0756" w:rsidRDefault="005F0756" w:rsidP="005F0756">
            <w:pPr>
              <w:jc w:val="both"/>
              <w:rPr>
                <w:rFonts w:ascii="Arial" w:hAnsi="Arial" w:cs="Arial"/>
              </w:rPr>
            </w:pPr>
            <w:r w:rsidRPr="005F0756">
              <w:rPr>
                <w:rFonts w:ascii="Arial" w:hAnsi="Arial" w:cs="Arial"/>
              </w:rPr>
              <w:t>97.4 ± 0.8</w:t>
            </w:r>
          </w:p>
        </w:tc>
        <w:tc>
          <w:tcPr>
            <w:tcW w:w="2130" w:type="dxa"/>
            <w:vAlign w:val="center"/>
            <w:hideMark/>
          </w:tcPr>
          <w:p w14:paraId="661AF282" w14:textId="77777777" w:rsidR="005F0756" w:rsidRPr="005F0756" w:rsidRDefault="005F0756" w:rsidP="00441D81">
            <w:pPr>
              <w:jc w:val="center"/>
              <w:rPr>
                <w:rFonts w:ascii="Arial" w:hAnsi="Arial" w:cs="Arial"/>
              </w:rPr>
            </w:pPr>
          </w:p>
        </w:tc>
        <w:tc>
          <w:tcPr>
            <w:tcW w:w="996" w:type="dxa"/>
            <w:vAlign w:val="center"/>
            <w:hideMark/>
          </w:tcPr>
          <w:p w14:paraId="32D64104" w14:textId="77777777" w:rsidR="005F0756" w:rsidRPr="005F0756" w:rsidRDefault="005F0756" w:rsidP="005F0756">
            <w:pPr>
              <w:jc w:val="center"/>
              <w:rPr>
                <w:rFonts w:ascii="Arial" w:hAnsi="Arial" w:cs="Arial"/>
              </w:rPr>
            </w:pPr>
          </w:p>
        </w:tc>
        <w:tc>
          <w:tcPr>
            <w:tcW w:w="1449" w:type="dxa"/>
            <w:vAlign w:val="center"/>
            <w:hideMark/>
          </w:tcPr>
          <w:p w14:paraId="6088FD7C" w14:textId="77777777" w:rsidR="005F0756" w:rsidRPr="005F0756" w:rsidRDefault="005F0756" w:rsidP="005F0756">
            <w:pPr>
              <w:jc w:val="center"/>
              <w:rPr>
                <w:rFonts w:ascii="Arial" w:hAnsi="Arial" w:cs="Arial"/>
              </w:rPr>
            </w:pPr>
          </w:p>
        </w:tc>
      </w:tr>
      <w:tr w:rsidR="005F0756" w:rsidRPr="005F0756" w14:paraId="7B51923E" w14:textId="77777777" w:rsidTr="00EA0B6C">
        <w:trPr>
          <w:tblCellSpacing w:w="15" w:type="dxa"/>
        </w:trPr>
        <w:tc>
          <w:tcPr>
            <w:tcW w:w="1399" w:type="dxa"/>
            <w:vAlign w:val="center"/>
            <w:hideMark/>
          </w:tcPr>
          <w:p w14:paraId="5264E434" w14:textId="77777777" w:rsidR="005F0756" w:rsidRPr="005F0756" w:rsidRDefault="005F0756" w:rsidP="005F0756">
            <w:pPr>
              <w:jc w:val="both"/>
              <w:rPr>
                <w:rFonts w:ascii="Arial" w:hAnsi="Arial" w:cs="Arial"/>
              </w:rPr>
            </w:pPr>
          </w:p>
        </w:tc>
        <w:tc>
          <w:tcPr>
            <w:tcW w:w="1027" w:type="dxa"/>
            <w:vAlign w:val="center"/>
            <w:hideMark/>
          </w:tcPr>
          <w:p w14:paraId="0393822D" w14:textId="77777777" w:rsidR="005F0756" w:rsidRPr="005F0756" w:rsidRDefault="005F0756" w:rsidP="005F0756">
            <w:pPr>
              <w:jc w:val="both"/>
              <w:rPr>
                <w:rFonts w:ascii="Arial" w:hAnsi="Arial" w:cs="Arial"/>
              </w:rPr>
            </w:pPr>
            <w:r w:rsidRPr="005F0756">
              <w:rPr>
                <w:rFonts w:ascii="Arial" w:hAnsi="Arial" w:cs="Arial"/>
              </w:rPr>
              <w:t>Female</w:t>
            </w:r>
          </w:p>
        </w:tc>
        <w:tc>
          <w:tcPr>
            <w:tcW w:w="799" w:type="dxa"/>
            <w:vAlign w:val="center"/>
            <w:hideMark/>
          </w:tcPr>
          <w:p w14:paraId="4CF5B650"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095FFD39" w14:textId="77777777" w:rsidR="005F0756" w:rsidRPr="005F0756" w:rsidRDefault="005F0756" w:rsidP="005F0756">
            <w:pPr>
              <w:jc w:val="both"/>
              <w:rPr>
                <w:rFonts w:ascii="Arial" w:hAnsi="Arial" w:cs="Arial"/>
              </w:rPr>
            </w:pPr>
            <w:r w:rsidRPr="005F0756">
              <w:rPr>
                <w:rFonts w:ascii="Arial" w:hAnsi="Arial" w:cs="Arial"/>
              </w:rPr>
              <w:t>96.3 ± 1.0</w:t>
            </w:r>
          </w:p>
        </w:tc>
        <w:tc>
          <w:tcPr>
            <w:tcW w:w="2130" w:type="dxa"/>
            <w:vAlign w:val="center"/>
            <w:hideMark/>
          </w:tcPr>
          <w:p w14:paraId="4282253C" w14:textId="77777777" w:rsidR="005F0756" w:rsidRPr="005F0756" w:rsidRDefault="005F0756" w:rsidP="00441D81">
            <w:pPr>
              <w:jc w:val="center"/>
              <w:rPr>
                <w:rFonts w:ascii="Arial" w:hAnsi="Arial" w:cs="Arial"/>
              </w:rPr>
            </w:pPr>
            <w:r w:rsidRPr="005F0756">
              <w:rPr>
                <w:rFonts w:ascii="Arial" w:hAnsi="Arial" w:cs="Arial"/>
              </w:rPr>
              <w:t>-1.0 (-1.6 – -0.4) *</w:t>
            </w:r>
          </w:p>
        </w:tc>
        <w:tc>
          <w:tcPr>
            <w:tcW w:w="996" w:type="dxa"/>
            <w:vAlign w:val="center"/>
            <w:hideMark/>
          </w:tcPr>
          <w:p w14:paraId="15DB4B1D" w14:textId="77777777" w:rsidR="005F0756" w:rsidRPr="005F0756" w:rsidRDefault="005F0756" w:rsidP="005F0756">
            <w:pPr>
              <w:jc w:val="center"/>
              <w:rPr>
                <w:rFonts w:ascii="Arial" w:hAnsi="Arial" w:cs="Arial"/>
              </w:rPr>
            </w:pPr>
            <w:r w:rsidRPr="005F0756">
              <w:rPr>
                <w:rFonts w:ascii="Arial" w:hAnsi="Arial" w:cs="Arial"/>
              </w:rPr>
              <w:t>0.004</w:t>
            </w:r>
          </w:p>
        </w:tc>
        <w:tc>
          <w:tcPr>
            <w:tcW w:w="1449" w:type="dxa"/>
            <w:vAlign w:val="center"/>
            <w:hideMark/>
          </w:tcPr>
          <w:p w14:paraId="18DD429F" w14:textId="77777777" w:rsidR="005F0756" w:rsidRPr="005F0756" w:rsidRDefault="005F0756" w:rsidP="005F0756">
            <w:pPr>
              <w:jc w:val="center"/>
              <w:rPr>
                <w:rFonts w:ascii="Arial" w:hAnsi="Arial" w:cs="Arial"/>
              </w:rPr>
            </w:pPr>
            <w:r w:rsidRPr="005F0756">
              <w:rPr>
                <w:rFonts w:ascii="Arial" w:hAnsi="Arial" w:cs="Arial"/>
              </w:rPr>
              <w:t>0.278 (large)</w:t>
            </w:r>
          </w:p>
        </w:tc>
      </w:tr>
      <w:tr w:rsidR="005F0756" w:rsidRPr="005F0756" w14:paraId="2804E7EC" w14:textId="77777777" w:rsidTr="00EA0B6C">
        <w:trPr>
          <w:tblCellSpacing w:w="15" w:type="dxa"/>
        </w:trPr>
        <w:tc>
          <w:tcPr>
            <w:tcW w:w="1399" w:type="dxa"/>
            <w:tcBorders>
              <w:bottom w:val="single" w:sz="4" w:space="0" w:color="auto"/>
            </w:tcBorders>
            <w:vAlign w:val="center"/>
            <w:hideMark/>
          </w:tcPr>
          <w:p w14:paraId="0364557B" w14:textId="77777777" w:rsidR="005F0756" w:rsidRPr="005F0756" w:rsidRDefault="005F0756" w:rsidP="005F0756">
            <w:pPr>
              <w:jc w:val="both"/>
              <w:rPr>
                <w:rFonts w:ascii="Arial" w:hAnsi="Arial" w:cs="Arial"/>
              </w:rPr>
            </w:pPr>
          </w:p>
        </w:tc>
        <w:tc>
          <w:tcPr>
            <w:tcW w:w="1027" w:type="dxa"/>
            <w:tcBorders>
              <w:bottom w:val="single" w:sz="4" w:space="0" w:color="auto"/>
            </w:tcBorders>
            <w:vAlign w:val="center"/>
            <w:hideMark/>
          </w:tcPr>
          <w:p w14:paraId="3B2FF406" w14:textId="77777777" w:rsidR="005F0756" w:rsidRPr="005F0756" w:rsidRDefault="005F0756" w:rsidP="005F0756">
            <w:pPr>
              <w:jc w:val="both"/>
              <w:rPr>
                <w:rFonts w:ascii="Arial" w:hAnsi="Arial" w:cs="Arial"/>
              </w:rPr>
            </w:pPr>
          </w:p>
        </w:tc>
        <w:tc>
          <w:tcPr>
            <w:tcW w:w="799" w:type="dxa"/>
            <w:tcBorders>
              <w:bottom w:val="single" w:sz="4" w:space="0" w:color="auto"/>
            </w:tcBorders>
            <w:vAlign w:val="center"/>
            <w:hideMark/>
          </w:tcPr>
          <w:p w14:paraId="39B167B1" w14:textId="134F27A5" w:rsidR="005F0756" w:rsidRPr="005F0756" w:rsidRDefault="0008733D" w:rsidP="005F0756">
            <w:pPr>
              <w:jc w:val="both"/>
              <w:rPr>
                <w:rFonts w:ascii="Arial" w:hAnsi="Arial" w:cs="Arial"/>
              </w:rPr>
            </w:pPr>
            <w:r w:rsidRPr="008F0585">
              <w:rPr>
                <w:rFonts w:ascii="Arial" w:hAnsi="Arial" w:cs="Arial"/>
                <w:highlight w:val="cyan"/>
              </w:rPr>
              <w:t>standard surgical mask</w:t>
            </w:r>
          </w:p>
        </w:tc>
        <w:tc>
          <w:tcPr>
            <w:tcW w:w="1320" w:type="dxa"/>
            <w:tcBorders>
              <w:bottom w:val="single" w:sz="4" w:space="0" w:color="auto"/>
            </w:tcBorders>
            <w:vAlign w:val="center"/>
            <w:hideMark/>
          </w:tcPr>
          <w:p w14:paraId="65E3BF26" w14:textId="77777777" w:rsidR="005F0756" w:rsidRPr="005F0756" w:rsidRDefault="005F0756" w:rsidP="005F0756">
            <w:pPr>
              <w:jc w:val="both"/>
              <w:rPr>
                <w:rFonts w:ascii="Arial" w:hAnsi="Arial" w:cs="Arial"/>
              </w:rPr>
            </w:pPr>
            <w:r w:rsidRPr="005F0756">
              <w:rPr>
                <w:rFonts w:ascii="Arial" w:hAnsi="Arial" w:cs="Arial"/>
              </w:rPr>
              <w:t>97.3 ± 0.8</w:t>
            </w:r>
          </w:p>
        </w:tc>
        <w:tc>
          <w:tcPr>
            <w:tcW w:w="2130" w:type="dxa"/>
            <w:tcBorders>
              <w:bottom w:val="single" w:sz="4" w:space="0" w:color="auto"/>
            </w:tcBorders>
            <w:vAlign w:val="center"/>
            <w:hideMark/>
          </w:tcPr>
          <w:p w14:paraId="6D290A71" w14:textId="77777777" w:rsidR="005F0756" w:rsidRPr="005F0756" w:rsidRDefault="005F0756" w:rsidP="00441D81">
            <w:pPr>
              <w:jc w:val="center"/>
              <w:rPr>
                <w:rFonts w:ascii="Arial" w:hAnsi="Arial" w:cs="Arial"/>
              </w:rPr>
            </w:pPr>
          </w:p>
        </w:tc>
        <w:tc>
          <w:tcPr>
            <w:tcW w:w="996" w:type="dxa"/>
            <w:tcBorders>
              <w:bottom w:val="single" w:sz="4" w:space="0" w:color="auto"/>
            </w:tcBorders>
            <w:vAlign w:val="center"/>
            <w:hideMark/>
          </w:tcPr>
          <w:p w14:paraId="5A8271A2" w14:textId="77777777" w:rsidR="005F0756" w:rsidRPr="005F0756" w:rsidRDefault="005F0756" w:rsidP="005F0756">
            <w:pPr>
              <w:jc w:val="center"/>
              <w:rPr>
                <w:rFonts w:ascii="Arial" w:hAnsi="Arial" w:cs="Arial"/>
              </w:rPr>
            </w:pPr>
          </w:p>
        </w:tc>
        <w:tc>
          <w:tcPr>
            <w:tcW w:w="1449" w:type="dxa"/>
            <w:tcBorders>
              <w:bottom w:val="single" w:sz="4" w:space="0" w:color="auto"/>
            </w:tcBorders>
            <w:vAlign w:val="center"/>
            <w:hideMark/>
          </w:tcPr>
          <w:p w14:paraId="594E32EF" w14:textId="77777777" w:rsidR="005F0756" w:rsidRPr="005F0756" w:rsidRDefault="005F0756" w:rsidP="005F0756">
            <w:pPr>
              <w:jc w:val="center"/>
              <w:rPr>
                <w:rFonts w:ascii="Arial" w:hAnsi="Arial" w:cs="Arial"/>
              </w:rPr>
            </w:pPr>
          </w:p>
        </w:tc>
      </w:tr>
    </w:tbl>
    <w:p w14:paraId="04275641" w14:textId="63173FE4" w:rsidR="005F0756" w:rsidRPr="005F0756" w:rsidRDefault="005F0756" w:rsidP="005F0756">
      <w:pPr>
        <w:jc w:val="both"/>
        <w:rPr>
          <w:rFonts w:ascii="Arial" w:hAnsi="Arial" w:cs="Arial"/>
          <w:sz w:val="18"/>
          <w:szCs w:val="18"/>
        </w:rPr>
      </w:pPr>
      <w:r>
        <w:rPr>
          <w:rFonts w:ascii="Arial" w:hAnsi="Arial" w:cs="Arial"/>
          <w:i/>
          <w:iCs/>
          <w:sz w:val="18"/>
          <w:szCs w:val="18"/>
        </w:rPr>
        <w:t>*</w:t>
      </w:r>
      <w:r w:rsidRPr="005F0756">
        <w:rPr>
          <w:rFonts w:ascii="Arial" w:hAnsi="Arial" w:cs="Arial"/>
          <w:i/>
          <w:iCs/>
          <w:sz w:val="18"/>
          <w:szCs w:val="18"/>
        </w:rPr>
        <w:t>Values expressed as mean ± standard deviation (SD). Between-group differences were tested using ANCOVA adjusted for covariates. *p &lt; 0.05. Partial η² interpretation: 0.01 = small, 0.06 = moderate, 0.14 = large.</w:t>
      </w:r>
    </w:p>
    <w:p w14:paraId="7FFDCCC1" w14:textId="77777777" w:rsidR="005F0756" w:rsidRDefault="005F0756" w:rsidP="00441B6F">
      <w:pPr>
        <w:pStyle w:val="Body"/>
        <w:spacing w:after="0"/>
        <w:rPr>
          <w:rFonts w:ascii="Arial" w:hAnsi="Arial" w:cs="Arial"/>
        </w:rPr>
      </w:pPr>
    </w:p>
    <w:p w14:paraId="1A1A4706" w14:textId="787CBE0E" w:rsidR="005F0756" w:rsidRDefault="00441D81" w:rsidP="00441B6F">
      <w:pPr>
        <w:pStyle w:val="Body"/>
        <w:spacing w:after="0"/>
        <w:rPr>
          <w:rFonts w:ascii="Arial" w:hAnsi="Arial" w:cs="Arial"/>
        </w:rPr>
      </w:pPr>
      <w:r w:rsidRPr="00AB6070">
        <w:rPr>
          <w:rFonts w:ascii="Times New Roman" w:hAnsi="Times New Roman"/>
          <w:noProof/>
        </w:rPr>
        <w:lastRenderedPageBreak/>
        <w:drawing>
          <wp:inline distT="0" distB="0" distL="0" distR="0" wp14:anchorId="6494164C" wp14:editId="6197F5AF">
            <wp:extent cx="5212080" cy="3560087"/>
            <wp:effectExtent l="0" t="0" r="0" b="0"/>
            <wp:docPr id="1809394866" name="Picture 6" descr="A group of graphs showing different types of female and m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94866" name="Picture 6" descr="A group of graphs showing different types of female and male&#10;&#10;AI-generated content may be incorrect."/>
                    <pic:cNvPicPr>
                      <a:picLocks noChangeAspect="1" noChangeArrowheads="1"/>
                    </pic:cNvPicPr>
                  </pic:nvPicPr>
                  <pic:blipFill rotWithShape="1">
                    <a:blip r:embed="rId15">
                      <a:extLst>
                        <a:ext uri="{28A0092B-C50C-407E-A947-70E740481C1C}">
                          <a14:useLocalDpi xmlns:a14="http://schemas.microsoft.com/office/drawing/2010/main" val="0"/>
                        </a:ext>
                      </a:extLst>
                    </a:blip>
                    <a:srcRect l="1507" r="1232" b="2244"/>
                    <a:stretch>
                      <a:fillRect/>
                    </a:stretch>
                  </pic:blipFill>
                  <pic:spPr bwMode="auto">
                    <a:xfrm>
                      <a:off x="0" y="0"/>
                      <a:ext cx="5212080" cy="3560087"/>
                    </a:xfrm>
                    <a:prstGeom prst="rect">
                      <a:avLst/>
                    </a:prstGeom>
                    <a:noFill/>
                    <a:ln>
                      <a:noFill/>
                    </a:ln>
                    <a:extLst>
                      <a:ext uri="{53640926-AAD7-44D8-BBD7-CCE9431645EC}">
                        <a14:shadowObscured xmlns:a14="http://schemas.microsoft.com/office/drawing/2010/main"/>
                      </a:ext>
                    </a:extLst>
                  </pic:spPr>
                </pic:pic>
              </a:graphicData>
            </a:graphic>
          </wp:inline>
        </w:drawing>
      </w:r>
    </w:p>
    <w:p w14:paraId="4AE95192" w14:textId="1DDEB54E" w:rsidR="00441D81" w:rsidRPr="004D4EB5" w:rsidRDefault="00441D81" w:rsidP="00441B6F">
      <w:pPr>
        <w:pStyle w:val="Body"/>
        <w:spacing w:after="0"/>
        <w:rPr>
          <w:rFonts w:ascii="Arial" w:hAnsi="Arial" w:cs="Arial"/>
          <w:b/>
          <w:bCs/>
        </w:rPr>
      </w:pPr>
      <w:r w:rsidRPr="004D4EB5">
        <w:rPr>
          <w:rFonts w:ascii="Arial" w:hAnsi="Arial" w:cs="Arial"/>
          <w:b/>
          <w:bCs/>
        </w:rPr>
        <w:t>Fig. 2.</w:t>
      </w:r>
      <w:r w:rsidRPr="004D4EB5">
        <w:rPr>
          <w:rFonts w:ascii="Arial" w:hAnsi="Arial" w:cs="Arial"/>
        </w:rPr>
        <w:t xml:space="preserve"> </w:t>
      </w:r>
      <w:r w:rsidRPr="004D4EB5">
        <w:rPr>
          <w:rFonts w:ascii="Arial" w:hAnsi="Arial" w:cs="Arial"/>
          <w:b/>
          <w:bCs/>
        </w:rPr>
        <w:t>Gender-stratified estimated marginal means (± SE) of heart rate (HR), respiratory rate (RR), and oxygen saturation (</w:t>
      </w:r>
      <w:proofErr w:type="spellStart"/>
      <w:r w:rsidRPr="004D4EB5">
        <w:rPr>
          <w:rFonts w:ascii="Arial" w:hAnsi="Arial" w:cs="Arial"/>
          <w:b/>
          <w:bCs/>
        </w:rPr>
        <w:t>SpO</w:t>
      </w:r>
      <w:proofErr w:type="spellEnd"/>
      <w:r w:rsidRPr="004D4EB5">
        <w:rPr>
          <w:rFonts w:ascii="Cambria Math" w:hAnsi="Cambria Math" w:cs="Cambria Math"/>
          <w:b/>
          <w:bCs/>
        </w:rPr>
        <w:t>₂</w:t>
      </w:r>
      <w:r w:rsidRPr="004D4EB5">
        <w:rPr>
          <w:rFonts w:ascii="Arial" w:hAnsi="Arial" w:cs="Arial"/>
          <w:b/>
          <w:bCs/>
        </w:rPr>
        <w:t xml:space="preserve">) in KN95 and </w:t>
      </w:r>
      <w:r w:rsidR="008F0585" w:rsidRPr="004D4EB5">
        <w:rPr>
          <w:rFonts w:ascii="Arial" w:hAnsi="Arial" w:cs="Arial"/>
          <w:b/>
          <w:bCs/>
          <w:highlight w:val="cyan"/>
        </w:rPr>
        <w:t>standard surgical mask</w:t>
      </w:r>
      <w:r w:rsidR="008F0585" w:rsidRPr="004D4EB5">
        <w:rPr>
          <w:rFonts w:ascii="Arial" w:hAnsi="Arial" w:cs="Arial"/>
          <w:b/>
          <w:bCs/>
        </w:rPr>
        <w:t xml:space="preserve"> (</w:t>
      </w:r>
      <w:r w:rsidR="004D4EB5" w:rsidRPr="004D4EB5">
        <w:rPr>
          <w:rFonts w:ascii="Arial" w:hAnsi="Arial" w:cs="Arial"/>
          <w:b/>
          <w:bCs/>
        </w:rPr>
        <w:t>referred to as “non-KN95” in the figure labels</w:t>
      </w:r>
      <w:r w:rsidR="008F0585" w:rsidRPr="004D4EB5">
        <w:rPr>
          <w:rFonts w:ascii="Arial" w:hAnsi="Arial" w:cs="Arial"/>
          <w:b/>
          <w:bCs/>
        </w:rPr>
        <w:t>)</w:t>
      </w:r>
      <w:r w:rsidRPr="004D4EB5">
        <w:rPr>
          <w:rFonts w:ascii="Arial" w:hAnsi="Arial" w:cs="Arial"/>
          <w:b/>
          <w:bCs/>
        </w:rPr>
        <w:t xml:space="preserve"> groups.</w:t>
      </w:r>
    </w:p>
    <w:p w14:paraId="04026076" w14:textId="77777777" w:rsidR="005F0756" w:rsidRPr="00441D81" w:rsidRDefault="005F0756" w:rsidP="00441B6F">
      <w:pPr>
        <w:pStyle w:val="Body"/>
        <w:spacing w:after="0"/>
        <w:rPr>
          <w:rFonts w:ascii="Arial" w:hAnsi="Arial" w:cs="Arial"/>
          <w:b/>
          <w:bCs/>
        </w:rPr>
      </w:pPr>
    </w:p>
    <w:p w14:paraId="7213A7EA" w14:textId="77777777" w:rsidR="00441D81" w:rsidRPr="00441D81" w:rsidRDefault="00441D81" w:rsidP="00441D81">
      <w:pPr>
        <w:jc w:val="both"/>
        <w:rPr>
          <w:rFonts w:ascii="Arial" w:hAnsi="Arial" w:cs="Arial"/>
          <w:b/>
          <w:bCs/>
          <w:i/>
          <w:iCs/>
          <w:sz w:val="22"/>
          <w:szCs w:val="22"/>
        </w:rPr>
      </w:pPr>
      <w:r w:rsidRPr="00441D81">
        <w:rPr>
          <w:rFonts w:ascii="Arial" w:hAnsi="Arial" w:cs="Arial"/>
          <w:b/>
          <w:bCs/>
          <w:sz w:val="22"/>
          <w:szCs w:val="22"/>
        </w:rPr>
        <w:t>3.3. Public Health Implications</w:t>
      </w:r>
    </w:p>
    <w:p w14:paraId="771DA26F" w14:textId="77777777" w:rsidR="00441D81" w:rsidRDefault="00441D81" w:rsidP="00441D81">
      <w:pPr>
        <w:jc w:val="both"/>
        <w:rPr>
          <w:rFonts w:ascii="Arial" w:hAnsi="Arial" w:cs="Arial"/>
        </w:rPr>
      </w:pPr>
      <w:r w:rsidRPr="00441D81">
        <w:rPr>
          <w:rFonts w:ascii="Arial" w:hAnsi="Arial" w:cs="Arial"/>
        </w:rPr>
        <w:t>These findings carry practical implications for public health guidelines. KN95 masks provide superior protection against airborne pathogens and environmental pollutants, but their use during physical activity imposes measurable cardiopulmonary strain (O'Kelly et al., 2021). For healthy and active adults, this additional load is modest and unlikely to pose adverse outcomes during short-duration physical activity. However, for individuals with limited cardiopulmonary reserves, such as older adults, patients with chronic respiratory or cardiovascular disease, or those engaging in prolonged or high-intensity activity, the burden may become clinically relevant (</w:t>
      </w:r>
      <w:proofErr w:type="spellStart"/>
      <w:r w:rsidRPr="00441D81">
        <w:rPr>
          <w:rFonts w:ascii="Arial" w:hAnsi="Arial" w:cs="Arial"/>
        </w:rPr>
        <w:t>Tesfaldet</w:t>
      </w:r>
      <w:proofErr w:type="spellEnd"/>
      <w:r w:rsidRPr="00441D81">
        <w:rPr>
          <w:rFonts w:ascii="Arial" w:hAnsi="Arial" w:cs="Arial"/>
        </w:rPr>
        <w:t xml:space="preserve"> &amp; </w:t>
      </w:r>
      <w:proofErr w:type="spellStart"/>
      <w:r w:rsidRPr="00441D81">
        <w:rPr>
          <w:rFonts w:ascii="Arial" w:hAnsi="Arial" w:cs="Arial"/>
        </w:rPr>
        <w:t>Ndeh</w:t>
      </w:r>
      <w:proofErr w:type="spellEnd"/>
      <w:r w:rsidRPr="00441D81">
        <w:rPr>
          <w:rFonts w:ascii="Arial" w:hAnsi="Arial" w:cs="Arial"/>
        </w:rPr>
        <w:t xml:space="preserve">, 2022; </w:t>
      </w:r>
      <w:proofErr w:type="spellStart"/>
      <w:r w:rsidRPr="00441D81">
        <w:rPr>
          <w:rFonts w:ascii="Arial" w:hAnsi="Arial" w:cs="Arial"/>
        </w:rPr>
        <w:t>MacIntyre</w:t>
      </w:r>
      <w:proofErr w:type="spellEnd"/>
      <w:r w:rsidRPr="00441D81">
        <w:rPr>
          <w:rFonts w:ascii="Arial" w:hAnsi="Arial" w:cs="Arial"/>
        </w:rPr>
        <w:t xml:space="preserve"> et al., 2025). </w:t>
      </w:r>
    </w:p>
    <w:p w14:paraId="19C38A38" w14:textId="77777777" w:rsidR="00441D81" w:rsidRPr="00441D81" w:rsidRDefault="00441D81" w:rsidP="00441D81">
      <w:pPr>
        <w:jc w:val="both"/>
        <w:rPr>
          <w:rFonts w:ascii="Arial" w:hAnsi="Arial" w:cs="Arial"/>
        </w:rPr>
      </w:pPr>
    </w:p>
    <w:p w14:paraId="46ED61DA" w14:textId="1B93C42B" w:rsidR="00441D81" w:rsidRDefault="00441D81" w:rsidP="00441D81">
      <w:pPr>
        <w:jc w:val="both"/>
        <w:rPr>
          <w:rFonts w:ascii="Arial" w:hAnsi="Arial" w:cs="Arial"/>
        </w:rPr>
      </w:pPr>
      <w:r w:rsidRPr="00441D81">
        <w:rPr>
          <w:rFonts w:ascii="Arial" w:hAnsi="Arial" w:cs="Arial"/>
        </w:rPr>
        <w:t xml:space="preserve">Public health recommendations </w:t>
      </w:r>
      <w:r w:rsidR="008C6478" w:rsidRPr="008C6478">
        <w:rPr>
          <w:rFonts w:ascii="Arial" w:hAnsi="Arial" w:cs="Arial"/>
        </w:rPr>
        <w:t>may need to</w:t>
      </w:r>
      <w:r w:rsidR="008C6478">
        <w:rPr>
          <w:rFonts w:ascii="Arial" w:hAnsi="Arial" w:cs="Arial"/>
        </w:rPr>
        <w:t xml:space="preserve"> </w:t>
      </w:r>
      <w:r w:rsidRPr="00441D81">
        <w:rPr>
          <w:rFonts w:ascii="Arial" w:hAnsi="Arial" w:cs="Arial"/>
        </w:rPr>
        <w:t xml:space="preserve">balance infection control benefits with potential physiological burdens, particularly in contexts where physical activity is encouraged for health promotion. From an </w:t>
      </w:r>
      <w:r w:rsidRPr="00441D81">
        <w:rPr>
          <w:rFonts w:ascii="Arial" w:hAnsi="Arial" w:cs="Arial"/>
          <w:i/>
          <w:iCs/>
        </w:rPr>
        <w:t>urban health</w:t>
      </w:r>
      <w:r w:rsidRPr="00441D81">
        <w:rPr>
          <w:rFonts w:ascii="Arial" w:hAnsi="Arial" w:cs="Arial"/>
        </w:rPr>
        <w:t xml:space="preserve"> perspective, this is especially relevant in Jakarta, where levels of fine particulate matter (PM2.5) often exceed WHO thresholds, making high-filtration masks advisable for protection against air pollution. Yet, the same masks may reduce exercise capacity and adherence to active commuting practices, such as cycling (Liu et al., 2020). </w:t>
      </w:r>
      <w:r w:rsidR="00C22C45" w:rsidRPr="00C22C45">
        <w:rPr>
          <w:rFonts w:ascii="Arial" w:hAnsi="Arial" w:cs="Arial"/>
        </w:rPr>
        <w:t>These findings may inform discussions around</w:t>
      </w:r>
      <w:r w:rsidR="00C22C45">
        <w:rPr>
          <w:rFonts w:ascii="Arial" w:hAnsi="Arial" w:cs="Arial"/>
        </w:rPr>
        <w:t xml:space="preserve"> </w:t>
      </w:r>
      <w:r w:rsidRPr="00441D81">
        <w:rPr>
          <w:rFonts w:ascii="Arial" w:hAnsi="Arial" w:cs="Arial"/>
        </w:rPr>
        <w:t>adaptive recommendations—for example, encouraging lighter masks or mask-free exercise in low-risk, well-ventilated outdoor environments, while reserving KN95 use for periods of extreme pollution or elevated infection risk (</w:t>
      </w:r>
      <w:proofErr w:type="spellStart"/>
      <w:r w:rsidRPr="00441D81">
        <w:rPr>
          <w:rFonts w:ascii="Arial" w:hAnsi="Arial" w:cs="Arial"/>
        </w:rPr>
        <w:t>Engeroff</w:t>
      </w:r>
      <w:proofErr w:type="spellEnd"/>
      <w:r w:rsidRPr="00441D81">
        <w:rPr>
          <w:rFonts w:ascii="Arial" w:hAnsi="Arial" w:cs="Arial"/>
        </w:rPr>
        <w:t xml:space="preserve"> et al., 2021; Zheng et al., 2023).</w:t>
      </w:r>
    </w:p>
    <w:p w14:paraId="16CB13A9" w14:textId="77777777" w:rsidR="00441D81" w:rsidRPr="00441D81" w:rsidRDefault="00441D81" w:rsidP="00441D81">
      <w:pPr>
        <w:jc w:val="both"/>
        <w:rPr>
          <w:rFonts w:ascii="Arial" w:hAnsi="Arial" w:cs="Arial"/>
        </w:rPr>
      </w:pPr>
    </w:p>
    <w:p w14:paraId="1BCFC6D5" w14:textId="77777777" w:rsidR="00441D81" w:rsidRDefault="00441D81" w:rsidP="00441D81">
      <w:pPr>
        <w:jc w:val="both"/>
        <w:rPr>
          <w:rFonts w:ascii="Arial" w:hAnsi="Arial" w:cs="Arial"/>
        </w:rPr>
      </w:pPr>
      <w:r w:rsidRPr="00441D81">
        <w:rPr>
          <w:rFonts w:ascii="Arial" w:hAnsi="Arial" w:cs="Arial"/>
        </w:rPr>
        <w:t xml:space="preserve">Furthermore, gender-specific trends observed in this study suggest that women may experience greater physiological strain, underscoring the potential for tailored advice in occupational or community physical activity programs. Ultimately, incorporating physiological evidence into mask-related public health guidance will help optimize both safety and </w:t>
      </w:r>
      <w:r w:rsidRPr="00441D81">
        <w:rPr>
          <w:rFonts w:ascii="Arial" w:hAnsi="Arial" w:cs="Arial"/>
        </w:rPr>
        <w:lastRenderedPageBreak/>
        <w:t xml:space="preserve">adherence. Clear communication of risks and benefits will empower individuals to make informed decisions about mask use during exercise, thereby supporting broader health promotion goals without compromising cardiopulmonary well-being (Farah et al., 2025; </w:t>
      </w:r>
      <w:proofErr w:type="spellStart"/>
      <w:r w:rsidRPr="00441D81">
        <w:rPr>
          <w:rFonts w:ascii="Arial" w:hAnsi="Arial" w:cs="Arial"/>
        </w:rPr>
        <w:t>Wismans</w:t>
      </w:r>
      <w:proofErr w:type="spellEnd"/>
      <w:r w:rsidRPr="00441D81">
        <w:rPr>
          <w:rFonts w:ascii="Arial" w:hAnsi="Arial" w:cs="Arial"/>
        </w:rPr>
        <w:t xml:space="preserve"> et al., 2022; Howard et al., 2021).</w:t>
      </w:r>
    </w:p>
    <w:p w14:paraId="6B3A1210" w14:textId="77777777" w:rsidR="00441D81" w:rsidRPr="00441D81" w:rsidRDefault="00441D81" w:rsidP="00441D81">
      <w:pPr>
        <w:jc w:val="both"/>
        <w:rPr>
          <w:rFonts w:ascii="Arial" w:hAnsi="Arial" w:cs="Arial"/>
        </w:rPr>
      </w:pPr>
    </w:p>
    <w:p w14:paraId="0D0B9CAB" w14:textId="382FB85E" w:rsidR="00441D81" w:rsidRDefault="00441D81" w:rsidP="00441D81">
      <w:pPr>
        <w:jc w:val="both"/>
        <w:rPr>
          <w:rFonts w:ascii="Arial" w:hAnsi="Arial" w:cs="Arial"/>
        </w:rPr>
      </w:pPr>
      <w:r w:rsidRPr="00441D81">
        <w:rPr>
          <w:rFonts w:ascii="Arial" w:hAnsi="Arial" w:cs="Arial"/>
        </w:rPr>
        <w:t xml:space="preserve">These implications should be interpreted considering the study’s strengths and limitations. Strengths include randomized allocation, controlled physical activity intensity, and comprehensive adjustment for </w:t>
      </w:r>
      <w:r w:rsidR="000728CE" w:rsidRPr="000728CE">
        <w:rPr>
          <w:rFonts w:ascii="Arial" w:hAnsi="Arial" w:cs="Arial"/>
        </w:rPr>
        <w:t xml:space="preserve">potential </w:t>
      </w:r>
      <w:r w:rsidRPr="00441D81">
        <w:rPr>
          <w:rFonts w:ascii="Arial" w:hAnsi="Arial" w:cs="Arial"/>
        </w:rPr>
        <w:t>confounders, supported by both unadjusted and adjusted analyses</w:t>
      </w:r>
      <w:r w:rsidR="000728CE">
        <w:rPr>
          <w:rFonts w:ascii="Arial" w:hAnsi="Arial" w:cs="Arial"/>
        </w:rPr>
        <w:t xml:space="preserve">. </w:t>
      </w:r>
      <w:r w:rsidRPr="000728CE">
        <w:rPr>
          <w:rFonts w:ascii="Arial" w:hAnsi="Arial" w:cs="Arial"/>
          <w:highlight w:val="yellow"/>
        </w:rPr>
        <w:t xml:space="preserve">However, </w:t>
      </w:r>
      <w:r w:rsidR="000728CE" w:rsidRPr="000728CE">
        <w:rPr>
          <w:rFonts w:ascii="Arial" w:hAnsi="Arial" w:cs="Arial"/>
          <w:highlight w:val="yellow"/>
        </w:rPr>
        <w:t xml:space="preserve">the </w:t>
      </w:r>
      <w:r w:rsidRPr="000728CE">
        <w:rPr>
          <w:rFonts w:ascii="Arial" w:hAnsi="Arial" w:cs="Arial"/>
          <w:highlight w:val="yellow"/>
        </w:rPr>
        <w:t>modest sample size</w:t>
      </w:r>
      <w:r w:rsidR="000728CE" w:rsidRPr="000728CE">
        <w:rPr>
          <w:rFonts w:ascii="Arial" w:hAnsi="Arial" w:cs="Arial"/>
          <w:highlight w:val="yellow"/>
        </w:rPr>
        <w:t>,</w:t>
      </w:r>
      <w:r w:rsidRPr="000728CE">
        <w:rPr>
          <w:rFonts w:ascii="Arial" w:hAnsi="Arial" w:cs="Arial"/>
          <w:highlight w:val="yellow"/>
        </w:rPr>
        <w:t xml:space="preserve"> </w:t>
      </w:r>
      <w:r w:rsidR="000728CE" w:rsidRPr="000728CE">
        <w:rPr>
          <w:rFonts w:ascii="Arial" w:hAnsi="Arial" w:cs="Arial"/>
          <w:highlight w:val="yellow"/>
        </w:rPr>
        <w:t>which was determined based on feasibility and participant availability rather than an a priori power calculation, limits the statistical power to detect interaction effects, particularly in subgroup analyses such as sex-specific comparisons</w:t>
      </w:r>
      <w:r w:rsidRPr="000728CE">
        <w:rPr>
          <w:rFonts w:ascii="Arial" w:hAnsi="Arial" w:cs="Arial"/>
          <w:highlight w:val="yellow"/>
        </w:rPr>
        <w:t xml:space="preserve">. </w:t>
      </w:r>
      <w:r w:rsidR="000728CE" w:rsidRPr="000728CE">
        <w:rPr>
          <w:rFonts w:ascii="Arial" w:hAnsi="Arial" w:cs="Arial"/>
          <w:highlight w:val="yellow"/>
        </w:rPr>
        <w:t>Furthermore, the</w:t>
      </w:r>
      <w:r w:rsidRPr="000728CE">
        <w:rPr>
          <w:rFonts w:ascii="Arial" w:hAnsi="Arial" w:cs="Arial"/>
          <w:highlight w:val="yellow"/>
        </w:rPr>
        <w:t xml:space="preserve"> inclusion of only healthy adults restricts the generalizability of </w:t>
      </w:r>
      <w:r w:rsidR="000728CE" w:rsidRPr="000728CE">
        <w:rPr>
          <w:rFonts w:ascii="Arial" w:hAnsi="Arial" w:cs="Arial"/>
          <w:highlight w:val="yellow"/>
        </w:rPr>
        <w:t>the</w:t>
      </w:r>
      <w:r w:rsidRPr="000728CE">
        <w:rPr>
          <w:rFonts w:ascii="Arial" w:hAnsi="Arial" w:cs="Arial"/>
          <w:highlight w:val="yellow"/>
        </w:rPr>
        <w:t xml:space="preserve"> findings to older </w:t>
      </w:r>
      <w:r w:rsidR="000728CE" w:rsidRPr="000728CE">
        <w:rPr>
          <w:rFonts w:ascii="Arial" w:hAnsi="Arial" w:cs="Arial"/>
          <w:highlight w:val="yellow"/>
        </w:rPr>
        <w:t xml:space="preserve">populations </w:t>
      </w:r>
      <w:r w:rsidRPr="000728CE">
        <w:rPr>
          <w:rFonts w:ascii="Arial" w:hAnsi="Arial" w:cs="Arial"/>
          <w:highlight w:val="yellow"/>
        </w:rPr>
        <w:t xml:space="preserve">or individuals with cardiopulmonary comorbidities. </w:t>
      </w:r>
      <w:r w:rsidR="000728CE" w:rsidRPr="000728CE">
        <w:rPr>
          <w:rFonts w:ascii="Arial" w:hAnsi="Arial" w:cs="Arial"/>
          <w:highlight w:val="yellow"/>
        </w:rPr>
        <w:t>Physiological parameters were assessed only once during the early recovery phase, at five minutes of post-physical activity, which may have underestimated transient or peak cardiopulmonary strain experienced during exercise. Continuous physiological monitoring during activity would provide more precise estimates of physiological burden and should be considered in future studies. Finally, the study was limited to moderate-intensity cycling with a fixed duration, which may not reflect physiological responses during higher-intensity exercise, longer durations, or alternative physical activity modalities</w:t>
      </w:r>
      <w:r w:rsidRPr="000728CE">
        <w:rPr>
          <w:rFonts w:ascii="Arial" w:hAnsi="Arial" w:cs="Arial"/>
          <w:highlight w:val="yellow"/>
        </w:rPr>
        <w:t>.</w:t>
      </w:r>
      <w:r w:rsidRPr="00441D81">
        <w:rPr>
          <w:rFonts w:ascii="Arial" w:hAnsi="Arial" w:cs="Arial"/>
        </w:rPr>
        <w:t xml:space="preserve"> </w:t>
      </w:r>
    </w:p>
    <w:p w14:paraId="6A5322ED" w14:textId="77777777" w:rsidR="00441D81" w:rsidRPr="00441D81" w:rsidRDefault="00441D81" w:rsidP="00441D81">
      <w:pPr>
        <w:jc w:val="both"/>
        <w:rPr>
          <w:rFonts w:ascii="Arial" w:hAnsi="Arial" w:cs="Arial"/>
        </w:rPr>
      </w:pPr>
    </w:p>
    <w:p w14:paraId="118603F2" w14:textId="77777777" w:rsidR="00441D81" w:rsidRPr="00441D81" w:rsidRDefault="00441D81" w:rsidP="00441D81">
      <w:pPr>
        <w:jc w:val="both"/>
        <w:rPr>
          <w:rFonts w:ascii="Arial" w:hAnsi="Arial" w:cs="Arial"/>
        </w:rPr>
      </w:pPr>
      <w:r w:rsidRPr="00441D81">
        <w:rPr>
          <w:rFonts w:ascii="Arial" w:hAnsi="Arial" w:cs="Arial"/>
        </w:rPr>
        <w:t xml:space="preserve">Further studies should explore long-term effects of mask use during physical activity, include more diverse populations such as older adults and individuals with chronic cardiopulmonary conditions, and assess subjective outcomes such as perceived exertion, comfort, and adherence. Additionally, </w:t>
      </w:r>
      <w:r w:rsidRPr="00C33DD6">
        <w:rPr>
          <w:rFonts w:ascii="Arial" w:hAnsi="Arial" w:cs="Arial"/>
          <w:highlight w:val="yellow"/>
        </w:rPr>
        <w:t>continuous monitoring of cardiopulmonary parameters could clarify the temporal dynamics of cardiopulmonary adaptation to mask use</w:t>
      </w:r>
      <w:r w:rsidRPr="00441D81">
        <w:rPr>
          <w:rFonts w:ascii="Arial" w:hAnsi="Arial" w:cs="Arial"/>
        </w:rPr>
        <w:t>.</w:t>
      </w:r>
    </w:p>
    <w:p w14:paraId="418FD3D1" w14:textId="77777777" w:rsidR="005F0756" w:rsidRDefault="005F0756" w:rsidP="00441B6F">
      <w:pPr>
        <w:pStyle w:val="Body"/>
        <w:spacing w:after="0"/>
        <w:rPr>
          <w:rFonts w:ascii="Arial" w:hAnsi="Arial" w:cs="Arial"/>
        </w:rPr>
      </w:pPr>
    </w:p>
    <w:p w14:paraId="087828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AA06A4" w14:textId="77777777" w:rsidR="00790ADA" w:rsidRPr="00FB3A86" w:rsidRDefault="00790ADA" w:rsidP="00441B6F">
      <w:pPr>
        <w:pStyle w:val="ConcHead"/>
        <w:spacing w:after="0"/>
        <w:jc w:val="both"/>
        <w:rPr>
          <w:rFonts w:ascii="Arial" w:hAnsi="Arial" w:cs="Arial"/>
        </w:rPr>
      </w:pPr>
    </w:p>
    <w:p w14:paraId="09CD6F37" w14:textId="59DA9544" w:rsidR="00B01FCD" w:rsidRDefault="00441D81" w:rsidP="00441B6F">
      <w:pPr>
        <w:pStyle w:val="Body"/>
        <w:spacing w:after="0"/>
        <w:rPr>
          <w:rFonts w:ascii="Arial" w:hAnsi="Arial" w:cs="Arial"/>
        </w:rPr>
      </w:pPr>
      <w:r w:rsidRPr="00441D81">
        <w:rPr>
          <w:rFonts w:ascii="Arial" w:hAnsi="Arial" w:cs="Arial"/>
        </w:rPr>
        <w:t xml:space="preserve">KN95 mask </w:t>
      </w:r>
      <w:r w:rsidR="00526516">
        <w:rPr>
          <w:rFonts w:ascii="Arial" w:hAnsi="Arial" w:cs="Arial"/>
        </w:rPr>
        <w:t xml:space="preserve">use </w:t>
      </w:r>
      <w:r w:rsidRPr="00441D81">
        <w:rPr>
          <w:rFonts w:ascii="Arial" w:hAnsi="Arial" w:cs="Arial"/>
        </w:rPr>
        <w:t xml:space="preserve">during moderate-intensity outdoor cycling </w:t>
      </w:r>
      <w:r w:rsidR="00526516" w:rsidRPr="00526516">
        <w:rPr>
          <w:rFonts w:ascii="Arial" w:hAnsi="Arial" w:cs="Arial"/>
        </w:rPr>
        <w:t>was associated with</w:t>
      </w:r>
      <w:r w:rsidR="00526516">
        <w:rPr>
          <w:rFonts w:ascii="Arial" w:hAnsi="Arial" w:cs="Arial"/>
        </w:rPr>
        <w:t xml:space="preserve"> </w:t>
      </w:r>
      <w:r w:rsidR="00526516" w:rsidRPr="00526516">
        <w:rPr>
          <w:rFonts w:ascii="Arial" w:hAnsi="Arial" w:cs="Arial"/>
        </w:rPr>
        <w:t xml:space="preserve">higher </w:t>
      </w:r>
      <w:r w:rsidRPr="00441D81">
        <w:rPr>
          <w:rFonts w:ascii="Arial" w:hAnsi="Arial" w:cs="Arial"/>
        </w:rPr>
        <w:t xml:space="preserve">heart rate and respiratory rate and modestly reduces oxygen saturation compared with </w:t>
      </w:r>
      <w:r w:rsidR="00526516" w:rsidRPr="00526516">
        <w:rPr>
          <w:rFonts w:ascii="Arial" w:hAnsi="Arial" w:cs="Arial"/>
        </w:rPr>
        <w:t xml:space="preserve">standard </w:t>
      </w:r>
      <w:r w:rsidRPr="00441D81">
        <w:rPr>
          <w:rFonts w:ascii="Arial" w:hAnsi="Arial" w:cs="Arial"/>
        </w:rPr>
        <w:t>surgical masks, with trends toward greater physiological impact in women. Although changes remained within clinically acceptable limits for healthy adults, they may be more relevant for individuals with limited cardiopulmonary reserve or during prolonged or higher-intensity activity. These findings highlight the need for public health recommendations that balance infection-control benefits with physiological safety, particularly in settings requiring both respiratory protection and physical activity.</w:t>
      </w:r>
      <w:r w:rsidR="00526516">
        <w:rPr>
          <w:rFonts w:ascii="Arial" w:hAnsi="Arial" w:cs="Arial"/>
        </w:rPr>
        <w:t xml:space="preserve">  </w:t>
      </w:r>
    </w:p>
    <w:p w14:paraId="293035D9" w14:textId="77777777" w:rsidR="00790ADA" w:rsidRPr="00FB3A86" w:rsidRDefault="00790ADA" w:rsidP="00441B6F">
      <w:pPr>
        <w:pStyle w:val="Body"/>
        <w:spacing w:after="0"/>
        <w:rPr>
          <w:rFonts w:ascii="Arial" w:hAnsi="Arial" w:cs="Arial"/>
        </w:rPr>
      </w:pPr>
    </w:p>
    <w:p w14:paraId="6A952DFF" w14:textId="77777777" w:rsidR="00315186" w:rsidRPr="00315186" w:rsidRDefault="00315186" w:rsidP="00441B6F"/>
    <w:p w14:paraId="311C003F" w14:textId="77777777" w:rsidR="00FD65EA" w:rsidRPr="00FD65EA" w:rsidRDefault="00FD65EA" w:rsidP="00FD65EA">
      <w:pPr>
        <w:pStyle w:val="ReferHead"/>
        <w:jc w:val="both"/>
        <w:rPr>
          <w:rFonts w:ascii="Arial" w:hAnsi="Arial" w:cs="Arial"/>
          <w:b w:val="0"/>
          <w:caps w:val="0"/>
          <w:sz w:val="20"/>
        </w:rPr>
      </w:pPr>
      <w:r w:rsidRPr="00FD65EA">
        <w:rPr>
          <w:rFonts w:ascii="Arial" w:hAnsi="Arial" w:cs="Arial"/>
          <w:b w:val="0"/>
          <w:caps w:val="0"/>
          <w:sz w:val="20"/>
        </w:rPr>
        <w:lastRenderedPageBreak/>
        <w:t xml:space="preserve">Consent </w:t>
      </w:r>
    </w:p>
    <w:p w14:paraId="363BBA94" w14:textId="1A423693" w:rsidR="001A29D8" w:rsidRDefault="00FD65EA" w:rsidP="00FD65EA">
      <w:pPr>
        <w:pStyle w:val="ReferHead"/>
        <w:spacing w:after="0"/>
        <w:jc w:val="both"/>
        <w:rPr>
          <w:rFonts w:ascii="Arial" w:hAnsi="Arial" w:cs="Arial"/>
          <w:b w:val="0"/>
          <w:caps w:val="0"/>
          <w:sz w:val="20"/>
        </w:rPr>
      </w:pPr>
      <w:r w:rsidRPr="00FD65EA">
        <w:rPr>
          <w:rFonts w:ascii="Arial" w:hAnsi="Arial" w:cs="Arial"/>
          <w:b w:val="0"/>
          <w:caps w:val="0"/>
          <w:sz w:val="20"/>
        </w:rPr>
        <w:t>As per international standards or university standards, Participants’ written consent has been collected and preserved by the author(s).</w:t>
      </w:r>
      <w:bookmarkStart w:id="3" w:name="_GoBack"/>
      <w:bookmarkEnd w:id="3"/>
    </w:p>
    <w:p w14:paraId="2C718F1E" w14:textId="77777777" w:rsidR="005C784C" w:rsidRDefault="005C784C" w:rsidP="00441B6F">
      <w:pPr>
        <w:pStyle w:val="ReferHead"/>
        <w:spacing w:after="0"/>
        <w:jc w:val="both"/>
        <w:rPr>
          <w:rFonts w:ascii="Arial" w:hAnsi="Arial" w:cs="Arial"/>
          <w:b w:val="0"/>
          <w:caps w:val="0"/>
          <w:sz w:val="20"/>
        </w:rPr>
      </w:pPr>
    </w:p>
    <w:p w14:paraId="1B8C3317" w14:textId="39E5660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C90ADE1" w14:textId="77777777" w:rsidR="005C784C" w:rsidRPr="002B685A" w:rsidRDefault="005C784C" w:rsidP="00441B6F">
      <w:pPr>
        <w:pStyle w:val="ReferHead"/>
        <w:spacing w:after="0"/>
        <w:jc w:val="both"/>
        <w:rPr>
          <w:rFonts w:ascii="Arial" w:hAnsi="Arial" w:cs="Arial"/>
          <w:bCs/>
        </w:rPr>
      </w:pPr>
    </w:p>
    <w:p w14:paraId="074D5F57" w14:textId="4B07A876" w:rsidR="0041027F" w:rsidRDefault="001A29D8" w:rsidP="00441B6F">
      <w:pPr>
        <w:pStyle w:val="ReferHead"/>
        <w:spacing w:after="0"/>
        <w:jc w:val="both"/>
        <w:rPr>
          <w:rFonts w:ascii="Arial" w:hAnsi="Arial" w:cs="Arial"/>
          <w:b w:val="0"/>
          <w:caps w:val="0"/>
          <w:sz w:val="20"/>
        </w:rPr>
      </w:pPr>
      <w:r w:rsidRPr="002417AE">
        <w:rPr>
          <w:rFonts w:ascii="Arial" w:hAnsi="Arial" w:cs="Arial"/>
          <w:b w:val="0"/>
          <w:caps w:val="0"/>
          <w:sz w:val="20"/>
        </w:rPr>
        <w:t>All authors hereby declare that a</w:t>
      </w:r>
      <w:r w:rsidR="0041027F" w:rsidRPr="002417AE">
        <w:rPr>
          <w:rFonts w:ascii="Arial" w:hAnsi="Arial" w:cs="Arial"/>
          <w:b w:val="0"/>
          <w:caps w:val="0"/>
          <w:sz w:val="20"/>
        </w:rPr>
        <w:t xml:space="preserve">ll </w:t>
      </w:r>
      <w:r w:rsidR="00F469F0" w:rsidRPr="002417AE">
        <w:rPr>
          <w:rFonts w:ascii="Arial" w:hAnsi="Arial" w:cs="Arial"/>
          <w:b w:val="0"/>
          <w:caps w:val="0"/>
          <w:sz w:val="20"/>
        </w:rPr>
        <w:t>experiments</w:t>
      </w:r>
      <w:r w:rsidR="0041027F" w:rsidRPr="002417AE">
        <w:rPr>
          <w:rFonts w:ascii="Arial" w:hAnsi="Arial" w:cs="Arial"/>
          <w:b w:val="0"/>
          <w:caps w:val="0"/>
          <w:sz w:val="20"/>
        </w:rPr>
        <w:t xml:space="preserve"> have been examined</w:t>
      </w:r>
      <w:r w:rsidRPr="002417AE">
        <w:rPr>
          <w:rFonts w:ascii="Arial" w:hAnsi="Arial" w:cs="Arial"/>
          <w:b w:val="0"/>
          <w:caps w:val="0"/>
          <w:sz w:val="20"/>
        </w:rPr>
        <w:t xml:space="preserve"> and approved</w:t>
      </w:r>
      <w:r w:rsidR="0041027F" w:rsidRPr="002417AE">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42504CA1" w14:textId="77777777" w:rsidR="002F1741" w:rsidRDefault="002F1741" w:rsidP="00441B6F">
      <w:pPr>
        <w:pStyle w:val="ReferHead"/>
        <w:spacing w:after="0"/>
        <w:jc w:val="both"/>
        <w:rPr>
          <w:rFonts w:ascii="Arial" w:hAnsi="Arial" w:cs="Arial"/>
          <w:b w:val="0"/>
          <w:caps w:val="0"/>
          <w:sz w:val="20"/>
        </w:rPr>
      </w:pPr>
    </w:p>
    <w:p w14:paraId="5531AE90" w14:textId="77777777" w:rsidR="002F1741" w:rsidRDefault="002F1741" w:rsidP="00441B6F">
      <w:pPr>
        <w:pStyle w:val="ReferHead"/>
        <w:spacing w:after="0"/>
        <w:jc w:val="both"/>
        <w:rPr>
          <w:rFonts w:ascii="Arial" w:hAnsi="Arial" w:cs="Arial"/>
          <w:b w:val="0"/>
          <w:caps w:val="0"/>
          <w:sz w:val="20"/>
        </w:rPr>
      </w:pPr>
    </w:p>
    <w:p w14:paraId="362BDF52" w14:textId="77777777" w:rsidR="002F1741" w:rsidRDefault="002F1741" w:rsidP="00441B6F">
      <w:pPr>
        <w:pStyle w:val="ReferHead"/>
        <w:spacing w:after="0"/>
        <w:jc w:val="both"/>
        <w:rPr>
          <w:rFonts w:ascii="Arial" w:hAnsi="Arial" w:cs="Arial"/>
          <w:b w:val="0"/>
          <w:caps w:val="0"/>
          <w:sz w:val="20"/>
        </w:rPr>
      </w:pPr>
    </w:p>
    <w:p w14:paraId="4C5D66E8" w14:textId="77777777" w:rsidR="002F1741" w:rsidRPr="002F1741" w:rsidRDefault="002F1741" w:rsidP="002F1741">
      <w:pPr>
        <w:pStyle w:val="ReferHead"/>
        <w:jc w:val="both"/>
        <w:rPr>
          <w:rFonts w:ascii="Arial" w:hAnsi="Arial" w:cs="Arial"/>
          <w:b w:val="0"/>
          <w:caps w:val="0"/>
          <w:sz w:val="20"/>
        </w:rPr>
      </w:pPr>
      <w:r w:rsidRPr="002F1741">
        <w:rPr>
          <w:rFonts w:ascii="Arial" w:hAnsi="Arial" w:cs="Arial"/>
          <w:b w:val="0"/>
          <w:caps w:val="0"/>
          <w:sz w:val="20"/>
        </w:rPr>
        <w:t>COMPETING INTERESTS DISCLAIMER:</w:t>
      </w:r>
    </w:p>
    <w:p w14:paraId="7BB63BCA" w14:textId="3641A6F3" w:rsidR="002F1741" w:rsidRPr="002417AE" w:rsidRDefault="002F1741" w:rsidP="002F1741">
      <w:pPr>
        <w:pStyle w:val="ReferHead"/>
        <w:spacing w:after="0"/>
        <w:jc w:val="both"/>
        <w:rPr>
          <w:rFonts w:ascii="Arial" w:hAnsi="Arial" w:cs="Arial"/>
          <w:b w:val="0"/>
          <w:caps w:val="0"/>
          <w:sz w:val="20"/>
        </w:rPr>
      </w:pPr>
      <w:r w:rsidRPr="002F174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E4F3B49" w14:textId="0A56306E" w:rsidR="00860000" w:rsidRDefault="00860000" w:rsidP="00441B6F">
      <w:pPr>
        <w:pStyle w:val="ReferHead"/>
        <w:spacing w:after="0"/>
        <w:jc w:val="both"/>
        <w:rPr>
          <w:rFonts w:ascii="Arial" w:hAnsi="Arial" w:cs="Arial"/>
        </w:rPr>
      </w:pPr>
    </w:p>
    <w:p w14:paraId="278C8FA1" w14:textId="566ED8A5" w:rsidR="00E84D6B" w:rsidRDefault="00E84D6B" w:rsidP="00441B6F">
      <w:pPr>
        <w:pStyle w:val="ReferHead"/>
        <w:spacing w:after="0"/>
        <w:jc w:val="both"/>
        <w:rPr>
          <w:rFonts w:ascii="Arial" w:hAnsi="Arial" w:cs="Arial"/>
        </w:rPr>
      </w:pPr>
    </w:p>
    <w:p w14:paraId="69E5BE00" w14:textId="77777777" w:rsidR="00E84D6B" w:rsidRDefault="00E84D6B" w:rsidP="00E84D6B">
      <w:pPr>
        <w:rPr>
          <w:rFonts w:ascii="Calibri" w:eastAsia="Calibri" w:hAnsi="Calibri"/>
          <w:kern w:val="2"/>
          <w:highlight w:val="yellow"/>
        </w:rPr>
      </w:pPr>
      <w:bookmarkStart w:id="4" w:name="_Hlk221270586"/>
    </w:p>
    <w:p w14:paraId="2DB7065B" w14:textId="77777777" w:rsidR="00E84D6B" w:rsidRPr="00005ED1" w:rsidRDefault="00E84D6B" w:rsidP="00E84D6B">
      <w:pPr>
        <w:pStyle w:val="NoSpacing"/>
        <w:rPr>
          <w:rFonts w:ascii="Arial" w:hAnsi="Arial" w:cs="Arial"/>
          <w:highlight w:val="yellow"/>
        </w:rPr>
      </w:pPr>
      <w:bookmarkStart w:id="5" w:name="_Hlk219284361"/>
      <w:bookmarkStart w:id="6" w:name="_Hlk198031404"/>
      <w:r w:rsidRPr="00005ED1">
        <w:rPr>
          <w:rFonts w:ascii="Arial" w:hAnsi="Arial" w:cs="Arial"/>
          <w:highlight w:val="yellow"/>
        </w:rPr>
        <w:t>Disclaimer (Artificial intelligence)</w:t>
      </w:r>
    </w:p>
    <w:p w14:paraId="617B8A4D" w14:textId="77777777" w:rsidR="00E84D6B" w:rsidRPr="00005ED1" w:rsidRDefault="00E84D6B" w:rsidP="00E84D6B">
      <w:pPr>
        <w:pStyle w:val="NoSpacing"/>
        <w:rPr>
          <w:rFonts w:ascii="Arial" w:hAnsi="Arial" w:cs="Arial"/>
          <w:highlight w:val="yellow"/>
        </w:rPr>
      </w:pPr>
    </w:p>
    <w:p w14:paraId="5B75A37B" w14:textId="77777777" w:rsidR="00E84D6B" w:rsidRPr="00005ED1" w:rsidRDefault="00E84D6B" w:rsidP="00801394">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5"/>
      <w:r w:rsidRPr="00005ED1">
        <w:rPr>
          <w:rFonts w:ascii="Arial" w:hAnsi="Arial" w:cs="Arial"/>
          <w:highlight w:val="yellow"/>
        </w:rPr>
        <w:t xml:space="preserve">. </w:t>
      </w:r>
    </w:p>
    <w:bookmarkEnd w:id="4"/>
    <w:bookmarkEnd w:id="6"/>
    <w:p w14:paraId="757A24E1" w14:textId="77777777" w:rsidR="00E84D6B" w:rsidRDefault="00E84D6B" w:rsidP="00441B6F">
      <w:pPr>
        <w:pStyle w:val="ReferHead"/>
        <w:spacing w:after="0"/>
        <w:jc w:val="both"/>
        <w:rPr>
          <w:rFonts w:ascii="Arial" w:hAnsi="Arial" w:cs="Arial"/>
        </w:rPr>
      </w:pPr>
    </w:p>
    <w:p w14:paraId="00A23F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6DE55B" w14:textId="77777777" w:rsidR="00790ADA" w:rsidRPr="00FB3A86" w:rsidRDefault="00790ADA" w:rsidP="00441B6F">
      <w:pPr>
        <w:pStyle w:val="ReferHead"/>
        <w:spacing w:after="0"/>
        <w:jc w:val="both"/>
        <w:rPr>
          <w:rFonts w:ascii="Arial" w:hAnsi="Arial" w:cs="Arial"/>
        </w:rPr>
      </w:pPr>
    </w:p>
    <w:p w14:paraId="26B76BA3" w14:textId="0F3E3D7F" w:rsidR="00C538D0" w:rsidRDefault="00C538D0" w:rsidP="00C538D0">
      <w:pPr>
        <w:pStyle w:val="Body"/>
        <w:spacing w:after="0"/>
        <w:ind w:left="432" w:hanging="432"/>
        <w:rPr>
          <w:rFonts w:ascii="Arial" w:hAnsi="Arial" w:cs="Arial"/>
        </w:rPr>
      </w:pPr>
      <w:proofErr w:type="spellStart"/>
      <w:r w:rsidRPr="00C538D0">
        <w:rPr>
          <w:rFonts w:ascii="Arial" w:hAnsi="Arial" w:cs="Arial"/>
        </w:rPr>
        <w:t>Asín-Izquierdo</w:t>
      </w:r>
      <w:proofErr w:type="spellEnd"/>
      <w:r w:rsidRPr="00C538D0">
        <w:rPr>
          <w:rFonts w:ascii="Arial" w:hAnsi="Arial" w:cs="Arial"/>
        </w:rPr>
        <w:t>, I., Ruiz-</w:t>
      </w:r>
      <w:proofErr w:type="spellStart"/>
      <w:r w:rsidRPr="00C538D0">
        <w:rPr>
          <w:rFonts w:ascii="Arial" w:hAnsi="Arial" w:cs="Arial"/>
        </w:rPr>
        <w:t>Ranz</w:t>
      </w:r>
      <w:proofErr w:type="spellEnd"/>
      <w:r w:rsidRPr="00C538D0">
        <w:rPr>
          <w:rFonts w:ascii="Arial" w:hAnsi="Arial" w:cs="Arial"/>
        </w:rPr>
        <w:t xml:space="preserve">, E., &amp; </w:t>
      </w:r>
      <w:proofErr w:type="spellStart"/>
      <w:r w:rsidRPr="00C538D0">
        <w:rPr>
          <w:rFonts w:ascii="Arial" w:hAnsi="Arial" w:cs="Arial"/>
        </w:rPr>
        <w:t>Arévalo-Baeza</w:t>
      </w:r>
      <w:proofErr w:type="spellEnd"/>
      <w:r w:rsidRPr="00C538D0">
        <w:rPr>
          <w:rFonts w:ascii="Arial" w:hAnsi="Arial" w:cs="Arial"/>
        </w:rPr>
        <w:t xml:space="preserve">, M. (2022). The physiological effects of face masks during physical activity worn due to COVID–19: A systematic review. </w:t>
      </w:r>
      <w:r w:rsidRPr="00C538D0">
        <w:rPr>
          <w:rFonts w:ascii="Arial" w:hAnsi="Arial" w:cs="Arial"/>
          <w:i/>
          <w:iCs/>
        </w:rPr>
        <w:t>Sports Health</w:t>
      </w:r>
      <w:r w:rsidRPr="00C538D0">
        <w:rPr>
          <w:rFonts w:ascii="Arial" w:hAnsi="Arial" w:cs="Arial"/>
        </w:rPr>
        <w:t xml:space="preserve">, 14(5), 648–655. </w:t>
      </w:r>
      <w:hyperlink r:id="rId16" w:tgtFrame="_blank" w:history="1">
        <w:r w:rsidRPr="00C538D0">
          <w:rPr>
            <w:rStyle w:val="Hyperlink"/>
            <w:rFonts w:ascii="Arial" w:hAnsi="Arial" w:cs="Arial"/>
          </w:rPr>
          <w:t>https://doi.org/10.1177/19417381221084661</w:t>
        </w:r>
      </w:hyperlink>
    </w:p>
    <w:p w14:paraId="2F9F4C2F" w14:textId="77777777" w:rsidR="00C538D0" w:rsidRPr="00C538D0" w:rsidRDefault="00C538D0" w:rsidP="00C538D0">
      <w:pPr>
        <w:ind w:left="432" w:hanging="432"/>
        <w:jc w:val="both"/>
        <w:rPr>
          <w:rFonts w:ascii="Arial" w:hAnsi="Arial" w:cs="Arial"/>
        </w:rPr>
      </w:pPr>
      <w:r w:rsidRPr="00C538D0">
        <w:rPr>
          <w:rFonts w:ascii="Arial" w:hAnsi="Arial" w:cs="Arial"/>
        </w:rPr>
        <w:t xml:space="preserve">Behrens, M., </w:t>
      </w:r>
      <w:proofErr w:type="spellStart"/>
      <w:r w:rsidRPr="00C538D0">
        <w:rPr>
          <w:rFonts w:ascii="Arial" w:hAnsi="Arial" w:cs="Arial"/>
        </w:rPr>
        <w:t>Gube</w:t>
      </w:r>
      <w:proofErr w:type="spellEnd"/>
      <w:r w:rsidRPr="00C538D0">
        <w:rPr>
          <w:rFonts w:ascii="Arial" w:hAnsi="Arial" w:cs="Arial"/>
        </w:rPr>
        <w:t xml:space="preserve">, M., </w:t>
      </w:r>
      <w:proofErr w:type="spellStart"/>
      <w:r w:rsidRPr="00C538D0">
        <w:rPr>
          <w:rFonts w:ascii="Arial" w:hAnsi="Arial" w:cs="Arial"/>
        </w:rPr>
        <w:t>Chaabene</w:t>
      </w:r>
      <w:proofErr w:type="spellEnd"/>
      <w:r w:rsidRPr="00C538D0">
        <w:rPr>
          <w:rFonts w:ascii="Arial" w:hAnsi="Arial" w:cs="Arial"/>
        </w:rPr>
        <w:t xml:space="preserve">, H., </w:t>
      </w:r>
      <w:proofErr w:type="spellStart"/>
      <w:r w:rsidRPr="00C538D0">
        <w:rPr>
          <w:rFonts w:ascii="Arial" w:hAnsi="Arial" w:cs="Arial"/>
        </w:rPr>
        <w:t>Prieske</w:t>
      </w:r>
      <w:proofErr w:type="spellEnd"/>
      <w:r w:rsidRPr="00C538D0">
        <w:rPr>
          <w:rFonts w:ascii="Arial" w:hAnsi="Arial" w:cs="Arial"/>
        </w:rPr>
        <w:t xml:space="preserve">, O., Zenon, A., </w:t>
      </w:r>
      <w:proofErr w:type="spellStart"/>
      <w:r w:rsidRPr="00C538D0">
        <w:rPr>
          <w:rFonts w:ascii="Arial" w:hAnsi="Arial" w:cs="Arial"/>
        </w:rPr>
        <w:t>Broscheid</w:t>
      </w:r>
      <w:proofErr w:type="spellEnd"/>
      <w:r w:rsidRPr="00C538D0">
        <w:rPr>
          <w:rFonts w:ascii="Arial" w:hAnsi="Arial" w:cs="Arial"/>
        </w:rPr>
        <w:t xml:space="preserve">, K.C., </w:t>
      </w:r>
      <w:proofErr w:type="spellStart"/>
      <w:r w:rsidRPr="00C538D0">
        <w:rPr>
          <w:rFonts w:ascii="Arial" w:hAnsi="Arial" w:cs="Arial"/>
        </w:rPr>
        <w:t>Schega</w:t>
      </w:r>
      <w:proofErr w:type="spellEnd"/>
      <w:r w:rsidRPr="00C538D0">
        <w:rPr>
          <w:rFonts w:ascii="Arial" w:hAnsi="Arial" w:cs="Arial"/>
        </w:rPr>
        <w:t xml:space="preserve">, L., </w:t>
      </w:r>
      <w:proofErr w:type="spellStart"/>
      <w:r w:rsidRPr="00C538D0">
        <w:rPr>
          <w:rFonts w:ascii="Arial" w:hAnsi="Arial" w:cs="Arial"/>
        </w:rPr>
        <w:t>Husmann</w:t>
      </w:r>
      <w:proofErr w:type="spellEnd"/>
      <w:r w:rsidRPr="00C538D0">
        <w:rPr>
          <w:rFonts w:ascii="Arial" w:hAnsi="Arial" w:cs="Arial"/>
        </w:rPr>
        <w:t xml:space="preserve">, F., &amp; </w:t>
      </w:r>
      <w:proofErr w:type="spellStart"/>
      <w:r w:rsidRPr="00C538D0">
        <w:rPr>
          <w:rFonts w:ascii="Arial" w:hAnsi="Arial" w:cs="Arial"/>
        </w:rPr>
        <w:t>Weippert</w:t>
      </w:r>
      <w:proofErr w:type="spellEnd"/>
      <w:r w:rsidRPr="00C538D0">
        <w:rPr>
          <w:rFonts w:ascii="Arial" w:hAnsi="Arial" w:cs="Arial"/>
        </w:rPr>
        <w:t xml:space="preserve">, M. (2023). Fatigue and Human Performance: An Updated Framework. </w:t>
      </w:r>
      <w:r w:rsidRPr="00C538D0">
        <w:rPr>
          <w:rFonts w:ascii="Arial" w:hAnsi="Arial" w:cs="Arial"/>
          <w:i/>
          <w:iCs/>
        </w:rPr>
        <w:t>Sports Med,</w:t>
      </w:r>
      <w:r w:rsidRPr="00C538D0">
        <w:rPr>
          <w:rFonts w:ascii="Arial" w:hAnsi="Arial" w:cs="Arial"/>
        </w:rPr>
        <w:t xml:space="preserve"> 53(1), 7–31. </w:t>
      </w:r>
      <w:hyperlink r:id="rId17" w:history="1">
        <w:r w:rsidRPr="00C538D0">
          <w:rPr>
            <w:rStyle w:val="Hyperlink"/>
            <w:rFonts w:ascii="Arial" w:hAnsi="Arial" w:cs="Arial"/>
          </w:rPr>
          <w:t>https://doi.org/10.1007/s40279-022-01748-2</w:t>
        </w:r>
      </w:hyperlink>
      <w:r w:rsidRPr="00C538D0">
        <w:rPr>
          <w:rFonts w:ascii="Arial" w:hAnsi="Arial" w:cs="Arial"/>
        </w:rPr>
        <w:t xml:space="preserve"> </w:t>
      </w:r>
    </w:p>
    <w:p w14:paraId="0D3A75FA" w14:textId="77777777" w:rsidR="00C538D0" w:rsidRPr="00C538D0" w:rsidRDefault="00C538D0" w:rsidP="00C538D0">
      <w:pPr>
        <w:ind w:left="432" w:hanging="432"/>
        <w:jc w:val="both"/>
        <w:rPr>
          <w:rFonts w:ascii="Arial" w:hAnsi="Arial" w:cs="Arial"/>
        </w:rPr>
      </w:pPr>
      <w:r w:rsidRPr="00C538D0">
        <w:rPr>
          <w:rFonts w:ascii="Arial" w:hAnsi="Arial" w:cs="Arial"/>
        </w:rPr>
        <w:t xml:space="preserve">Boulos, L., Curran, J.A., Gallant, A., Wong, H., Johnson, C., </w:t>
      </w:r>
      <w:proofErr w:type="spellStart"/>
      <w:r w:rsidRPr="00C538D0">
        <w:rPr>
          <w:rFonts w:ascii="Arial" w:hAnsi="Arial" w:cs="Arial"/>
        </w:rPr>
        <w:t>Delahunty</w:t>
      </w:r>
      <w:proofErr w:type="spellEnd"/>
      <w:r w:rsidRPr="00C538D0">
        <w:rPr>
          <w:rFonts w:ascii="Arial" w:hAnsi="Arial" w:cs="Arial"/>
        </w:rPr>
        <w:t xml:space="preserve">-Pike, A., </w:t>
      </w:r>
      <w:proofErr w:type="spellStart"/>
      <w:r w:rsidRPr="00C538D0">
        <w:rPr>
          <w:rFonts w:ascii="Arial" w:hAnsi="Arial" w:cs="Arial"/>
        </w:rPr>
        <w:t>Saxinger</w:t>
      </w:r>
      <w:proofErr w:type="spellEnd"/>
      <w:r w:rsidRPr="00C538D0">
        <w:rPr>
          <w:rFonts w:ascii="Arial" w:hAnsi="Arial" w:cs="Arial"/>
        </w:rPr>
        <w:t>, L., Chu, D., Comeau, J., Flynn, T., Clegg, J., &amp; Dye, C. (2023). Effectiveness of face masks for reducing transmission of SARS–</w:t>
      </w:r>
      <w:proofErr w:type="spellStart"/>
      <w:r w:rsidRPr="00C538D0">
        <w:rPr>
          <w:rFonts w:ascii="Arial" w:hAnsi="Arial" w:cs="Arial"/>
        </w:rPr>
        <w:t>CoV</w:t>
      </w:r>
      <w:proofErr w:type="spellEnd"/>
      <w:r w:rsidRPr="00C538D0">
        <w:rPr>
          <w:rFonts w:ascii="Arial" w:hAnsi="Arial" w:cs="Arial"/>
        </w:rPr>
        <w:t xml:space="preserve">–2: A rapid systematic review. </w:t>
      </w:r>
      <w:proofErr w:type="spellStart"/>
      <w:r w:rsidRPr="00C538D0">
        <w:rPr>
          <w:rFonts w:ascii="Arial" w:hAnsi="Arial" w:cs="Arial"/>
          <w:i/>
          <w:iCs/>
        </w:rPr>
        <w:t>Philos</w:t>
      </w:r>
      <w:proofErr w:type="spellEnd"/>
      <w:r w:rsidRPr="00C538D0">
        <w:rPr>
          <w:rFonts w:ascii="Arial" w:hAnsi="Arial" w:cs="Arial"/>
          <w:i/>
          <w:iCs/>
        </w:rPr>
        <w:t xml:space="preserve"> Trans A Math Phys </w:t>
      </w:r>
      <w:proofErr w:type="spellStart"/>
      <w:r w:rsidRPr="00C538D0">
        <w:rPr>
          <w:rFonts w:ascii="Arial" w:hAnsi="Arial" w:cs="Arial"/>
          <w:i/>
          <w:iCs/>
        </w:rPr>
        <w:t>Eng</w:t>
      </w:r>
      <w:proofErr w:type="spellEnd"/>
      <w:r w:rsidRPr="00C538D0">
        <w:rPr>
          <w:rFonts w:ascii="Arial" w:hAnsi="Arial" w:cs="Arial"/>
          <w:i/>
          <w:iCs/>
        </w:rPr>
        <w:t xml:space="preserve"> Sci</w:t>
      </w:r>
      <w:r w:rsidRPr="00C538D0">
        <w:rPr>
          <w:rFonts w:ascii="Arial" w:hAnsi="Arial" w:cs="Arial"/>
        </w:rPr>
        <w:t xml:space="preserve">, 381(2257), 20230133. </w:t>
      </w:r>
      <w:hyperlink r:id="rId18" w:tgtFrame="_blank" w:history="1">
        <w:r w:rsidRPr="00C538D0">
          <w:rPr>
            <w:rStyle w:val="Hyperlink"/>
            <w:rFonts w:ascii="Arial" w:hAnsi="Arial" w:cs="Arial"/>
          </w:rPr>
          <w:t>https://doi.org/10.1098/rsta.2023.0133</w:t>
        </w:r>
      </w:hyperlink>
      <w:r w:rsidRPr="00C538D0">
        <w:rPr>
          <w:rFonts w:ascii="Arial" w:hAnsi="Arial" w:cs="Arial"/>
        </w:rPr>
        <w:t xml:space="preserve">  </w:t>
      </w:r>
    </w:p>
    <w:p w14:paraId="16CCB590" w14:textId="77777777" w:rsidR="00C538D0" w:rsidRPr="00C538D0" w:rsidRDefault="00C538D0" w:rsidP="00C538D0">
      <w:pPr>
        <w:ind w:left="432" w:hanging="432"/>
        <w:jc w:val="both"/>
        <w:rPr>
          <w:rFonts w:ascii="Arial" w:hAnsi="Arial" w:cs="Arial"/>
          <w:lang w:val="sv-SE"/>
        </w:rPr>
      </w:pPr>
      <w:r w:rsidRPr="00C538D0">
        <w:rPr>
          <w:rFonts w:ascii="Arial" w:hAnsi="Arial" w:cs="Arial"/>
        </w:rPr>
        <w:t xml:space="preserve">Braga F, Espinosa G, Monteiro A, </w:t>
      </w:r>
      <w:proofErr w:type="spellStart"/>
      <w:r w:rsidRPr="00C538D0">
        <w:rPr>
          <w:rFonts w:ascii="Arial" w:hAnsi="Arial" w:cs="Arial"/>
        </w:rPr>
        <w:t>Marinho</w:t>
      </w:r>
      <w:proofErr w:type="spellEnd"/>
      <w:r w:rsidRPr="00C538D0">
        <w:rPr>
          <w:rFonts w:ascii="Arial" w:hAnsi="Arial" w:cs="Arial"/>
        </w:rPr>
        <w:t xml:space="preserve"> B, &amp; Drummond E. (2023). Physiological effects of exercising at different intensities wearing surgical or double–layer cotton facemasks compared to not wearing a mask. </w:t>
      </w:r>
      <w:r w:rsidRPr="00C538D0">
        <w:rPr>
          <w:rFonts w:ascii="Arial" w:hAnsi="Arial" w:cs="Arial"/>
          <w:i/>
          <w:iCs/>
          <w:lang w:val="sv-SE"/>
        </w:rPr>
        <w:t>Eur J Sport Sci</w:t>
      </w:r>
      <w:r w:rsidRPr="00C538D0">
        <w:rPr>
          <w:rFonts w:ascii="Arial" w:hAnsi="Arial" w:cs="Arial"/>
          <w:lang w:val="sv-SE"/>
        </w:rPr>
        <w:t xml:space="preserve">, 23(6), 925–935. </w:t>
      </w:r>
      <w:hyperlink r:id="rId19" w:history="1">
        <w:r w:rsidRPr="00C538D0">
          <w:rPr>
            <w:rStyle w:val="Hyperlink"/>
            <w:rFonts w:ascii="Arial" w:hAnsi="Arial" w:cs="Arial"/>
            <w:lang w:val="sv-SE"/>
          </w:rPr>
          <w:t>https://doi.org/10.1080/17461391.2022.2065928</w:t>
        </w:r>
      </w:hyperlink>
      <w:r w:rsidRPr="00C538D0">
        <w:rPr>
          <w:rFonts w:ascii="Arial" w:hAnsi="Arial" w:cs="Arial"/>
          <w:lang w:val="sv-SE"/>
        </w:rPr>
        <w:t xml:space="preserve">  </w:t>
      </w:r>
    </w:p>
    <w:p w14:paraId="465E2290"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Das, A., Azarudheen, S., Chandrasekaran, B., Fernandes, S., &amp; Davis, F. (2023). </w:t>
      </w:r>
      <w:r w:rsidRPr="00C538D0">
        <w:rPr>
          <w:rFonts w:ascii="Arial" w:hAnsi="Arial" w:cs="Arial"/>
        </w:rPr>
        <w:t xml:space="preserve">The plausible effects of wearing face masks on sports performance - A scoping review. </w:t>
      </w:r>
      <w:r w:rsidRPr="00C538D0">
        <w:rPr>
          <w:rFonts w:ascii="Arial" w:hAnsi="Arial" w:cs="Arial"/>
          <w:i/>
          <w:iCs/>
        </w:rPr>
        <w:t>Sci Sports</w:t>
      </w:r>
      <w:r w:rsidRPr="00C538D0">
        <w:rPr>
          <w:rFonts w:ascii="Arial" w:hAnsi="Arial" w:cs="Arial"/>
        </w:rPr>
        <w:t xml:space="preserve">. [Online ahead of print]. </w:t>
      </w:r>
      <w:hyperlink r:id="rId20" w:history="1">
        <w:r w:rsidRPr="00C538D0">
          <w:rPr>
            <w:rStyle w:val="Hyperlink"/>
            <w:rFonts w:ascii="Arial" w:hAnsi="Arial" w:cs="Arial"/>
          </w:rPr>
          <w:t>https://doi.org/10.1016/j.scispo.2022.12.006</w:t>
        </w:r>
      </w:hyperlink>
      <w:r w:rsidRPr="00C538D0">
        <w:rPr>
          <w:rFonts w:ascii="Arial" w:hAnsi="Arial" w:cs="Arial"/>
        </w:rPr>
        <w:t xml:space="preserve"> </w:t>
      </w:r>
    </w:p>
    <w:p w14:paraId="2460D292" w14:textId="77777777" w:rsidR="00C538D0" w:rsidRPr="00C538D0" w:rsidRDefault="00C538D0" w:rsidP="00C538D0">
      <w:pPr>
        <w:ind w:left="432" w:hanging="432"/>
        <w:jc w:val="both"/>
        <w:rPr>
          <w:rFonts w:ascii="Arial" w:hAnsi="Arial" w:cs="Arial"/>
        </w:rPr>
      </w:pPr>
      <w:r w:rsidRPr="00C538D0">
        <w:rPr>
          <w:rFonts w:ascii="Arial" w:hAnsi="Arial" w:cs="Arial"/>
        </w:rPr>
        <w:t xml:space="preserve">Duncan, S., </w:t>
      </w:r>
      <w:proofErr w:type="spellStart"/>
      <w:r w:rsidRPr="00C538D0">
        <w:rPr>
          <w:rFonts w:ascii="Arial" w:hAnsi="Arial" w:cs="Arial"/>
        </w:rPr>
        <w:t>Bodurtha</w:t>
      </w:r>
      <w:proofErr w:type="spellEnd"/>
      <w:r w:rsidRPr="00C538D0">
        <w:rPr>
          <w:rFonts w:ascii="Arial" w:hAnsi="Arial" w:cs="Arial"/>
        </w:rPr>
        <w:t xml:space="preserve">, P., &amp; Naqvi, S. (2021). The protective performance of reusable cloth face masks, disposable procedure masks, KN95 masks and N95 respirators: Filtration and total inward leakage. </w:t>
      </w:r>
      <w:proofErr w:type="spellStart"/>
      <w:r w:rsidRPr="00C538D0">
        <w:rPr>
          <w:rFonts w:ascii="Arial" w:hAnsi="Arial" w:cs="Arial"/>
          <w:i/>
          <w:iCs/>
        </w:rPr>
        <w:t>PLoS</w:t>
      </w:r>
      <w:proofErr w:type="spellEnd"/>
      <w:r w:rsidRPr="00C538D0">
        <w:rPr>
          <w:rFonts w:ascii="Arial" w:hAnsi="Arial" w:cs="Arial"/>
          <w:i/>
          <w:iCs/>
        </w:rPr>
        <w:t xml:space="preserve"> One</w:t>
      </w:r>
      <w:r w:rsidRPr="00C538D0">
        <w:rPr>
          <w:rFonts w:ascii="Arial" w:hAnsi="Arial" w:cs="Arial"/>
        </w:rPr>
        <w:t xml:space="preserve">, 16(10), e0258191. </w:t>
      </w:r>
      <w:hyperlink r:id="rId21" w:history="1">
        <w:r w:rsidRPr="00C538D0">
          <w:rPr>
            <w:rStyle w:val="Hyperlink"/>
            <w:rFonts w:ascii="Arial" w:hAnsi="Arial" w:cs="Arial"/>
          </w:rPr>
          <w:t>https://doi.org/10.1371/journal.pone.0258191</w:t>
        </w:r>
      </w:hyperlink>
      <w:r w:rsidRPr="00C538D0">
        <w:rPr>
          <w:rFonts w:ascii="Arial" w:hAnsi="Arial" w:cs="Arial"/>
        </w:rPr>
        <w:t xml:space="preserve">  </w:t>
      </w:r>
    </w:p>
    <w:p w14:paraId="0A049597" w14:textId="3CFEB583" w:rsidR="007376FF" w:rsidRDefault="007376FF" w:rsidP="00C538D0">
      <w:pPr>
        <w:ind w:left="432" w:hanging="432"/>
        <w:jc w:val="both"/>
        <w:rPr>
          <w:rFonts w:ascii="Arial" w:hAnsi="Arial" w:cs="Arial"/>
        </w:rPr>
      </w:pPr>
      <w:r w:rsidRPr="00AC5347">
        <w:rPr>
          <w:lang w:val="en-GB"/>
        </w:rPr>
        <w:lastRenderedPageBreak/>
        <w:t xml:space="preserve">do Prado, D. M. L., </w:t>
      </w:r>
      <w:proofErr w:type="spellStart"/>
      <w:r w:rsidRPr="00AC5347">
        <w:rPr>
          <w:lang w:val="en-GB"/>
        </w:rPr>
        <w:t>Silvino</w:t>
      </w:r>
      <w:proofErr w:type="spellEnd"/>
      <w:r w:rsidRPr="00AC5347">
        <w:rPr>
          <w:lang w:val="en-GB"/>
        </w:rPr>
        <w:t>, V. O., Motta‐Santos, D., &amp; Dos Santos, M. A. P. (2022). The effect of the protective face mask on cardiorespiratory response during aerobic exercise. Clinical and Experimental Pharmacology and Physiology, 49(4), 453-461.</w:t>
      </w:r>
      <w:r>
        <w:rPr>
          <w:lang w:val="en-GB"/>
        </w:rPr>
        <w:t xml:space="preserve"> </w:t>
      </w:r>
      <w:hyperlink r:id="rId22" w:history="1">
        <w:r w:rsidRPr="009B1007">
          <w:rPr>
            <w:rStyle w:val="Hyperlink"/>
            <w:lang w:val="en-GB"/>
          </w:rPr>
          <w:t>https://doi.org/10.1111/1440-1681.13624</w:t>
        </w:r>
      </w:hyperlink>
      <w:r>
        <w:rPr>
          <w:lang w:val="en-GB"/>
        </w:rPr>
        <w:t xml:space="preserve"> </w:t>
      </w:r>
    </w:p>
    <w:p w14:paraId="317ADFDD" w14:textId="3DDE08CE" w:rsidR="00C538D0" w:rsidRPr="00C538D0" w:rsidRDefault="00C538D0" w:rsidP="00C538D0">
      <w:pPr>
        <w:ind w:left="432" w:hanging="432"/>
        <w:jc w:val="both"/>
        <w:rPr>
          <w:rFonts w:ascii="Arial" w:hAnsi="Arial" w:cs="Arial"/>
        </w:rPr>
      </w:pPr>
      <w:proofErr w:type="spellStart"/>
      <w:r w:rsidRPr="00C538D0">
        <w:rPr>
          <w:rFonts w:ascii="Arial" w:hAnsi="Arial" w:cs="Arial"/>
        </w:rPr>
        <w:t>Engeroff</w:t>
      </w:r>
      <w:proofErr w:type="spellEnd"/>
      <w:r w:rsidRPr="00C538D0">
        <w:rPr>
          <w:rFonts w:ascii="Arial" w:hAnsi="Arial" w:cs="Arial"/>
        </w:rPr>
        <w:t xml:space="preserve">, T., </w:t>
      </w:r>
      <w:proofErr w:type="spellStart"/>
      <w:r w:rsidRPr="00C538D0">
        <w:rPr>
          <w:rFonts w:ascii="Arial" w:hAnsi="Arial" w:cs="Arial"/>
        </w:rPr>
        <w:t>Groneberg</w:t>
      </w:r>
      <w:proofErr w:type="spellEnd"/>
      <w:r w:rsidRPr="00C538D0">
        <w:rPr>
          <w:rFonts w:ascii="Arial" w:hAnsi="Arial" w:cs="Arial"/>
        </w:rPr>
        <w:t xml:space="preserve">, D.A. &amp; </w:t>
      </w:r>
      <w:proofErr w:type="spellStart"/>
      <w:r w:rsidRPr="00C538D0">
        <w:rPr>
          <w:rFonts w:ascii="Arial" w:hAnsi="Arial" w:cs="Arial"/>
        </w:rPr>
        <w:t>Niederer</w:t>
      </w:r>
      <w:proofErr w:type="spellEnd"/>
      <w:r w:rsidRPr="00C538D0">
        <w:rPr>
          <w:rFonts w:ascii="Arial" w:hAnsi="Arial" w:cs="Arial"/>
        </w:rPr>
        <w:t>, D. (2021). The impact of ubiquitous face masks and filtering face piece application during rest, work and physical activity on gas exchange, pulmonary function and physical performance: A systematic review with meta-analysis. </w:t>
      </w:r>
      <w:r w:rsidRPr="00C538D0">
        <w:rPr>
          <w:rFonts w:ascii="Arial" w:hAnsi="Arial" w:cs="Arial"/>
          <w:i/>
          <w:iCs/>
        </w:rPr>
        <w:t>Sports Med – Open</w:t>
      </w:r>
      <w:r w:rsidRPr="00C538D0">
        <w:rPr>
          <w:rFonts w:ascii="Arial" w:hAnsi="Arial" w:cs="Arial"/>
        </w:rPr>
        <w:t>, </w:t>
      </w:r>
      <w:r w:rsidRPr="00C538D0">
        <w:rPr>
          <w:rFonts w:ascii="Arial" w:hAnsi="Arial" w:cs="Arial"/>
          <w:b/>
          <w:bCs/>
        </w:rPr>
        <w:t>7</w:t>
      </w:r>
      <w:r w:rsidRPr="00C538D0">
        <w:rPr>
          <w:rFonts w:ascii="Arial" w:hAnsi="Arial" w:cs="Arial"/>
        </w:rPr>
        <w:t xml:space="preserve">, 92. </w:t>
      </w:r>
      <w:hyperlink r:id="rId23" w:history="1">
        <w:r w:rsidRPr="00C538D0">
          <w:rPr>
            <w:rStyle w:val="Hyperlink"/>
            <w:rFonts w:ascii="Arial" w:hAnsi="Arial" w:cs="Arial"/>
          </w:rPr>
          <w:t>https://doi.org/10.1186/s40798-021-00388-6</w:t>
        </w:r>
      </w:hyperlink>
      <w:r w:rsidRPr="00C538D0">
        <w:rPr>
          <w:rFonts w:ascii="Arial" w:hAnsi="Arial" w:cs="Arial"/>
        </w:rPr>
        <w:t xml:space="preserve">  </w:t>
      </w:r>
    </w:p>
    <w:p w14:paraId="6CAE53B8" w14:textId="51EAFD4C" w:rsidR="00C538D0" w:rsidRPr="008A3E73" w:rsidRDefault="00C538D0" w:rsidP="00C538D0">
      <w:pPr>
        <w:pStyle w:val="Body"/>
        <w:spacing w:after="0"/>
        <w:ind w:left="432" w:hanging="432"/>
        <w:rPr>
          <w:rFonts w:ascii="Arial" w:hAnsi="Arial" w:cs="Arial"/>
        </w:rPr>
      </w:pPr>
      <w:r w:rsidRPr="00C538D0">
        <w:rPr>
          <w:rFonts w:ascii="Arial" w:hAnsi="Arial" w:cs="Arial"/>
        </w:rPr>
        <w:t xml:space="preserve">Farah, W., </w:t>
      </w:r>
      <w:proofErr w:type="spellStart"/>
      <w:r w:rsidRPr="00C538D0">
        <w:rPr>
          <w:rFonts w:ascii="Arial" w:hAnsi="Arial" w:cs="Arial"/>
        </w:rPr>
        <w:t>Abusalih</w:t>
      </w:r>
      <w:proofErr w:type="spellEnd"/>
      <w:r w:rsidRPr="00C538D0">
        <w:rPr>
          <w:rFonts w:ascii="Arial" w:hAnsi="Arial" w:cs="Arial"/>
        </w:rPr>
        <w:t xml:space="preserve">, M.F., Hasan, B., Lees, E.H., </w:t>
      </w:r>
      <w:proofErr w:type="spellStart"/>
      <w:r w:rsidRPr="00C538D0">
        <w:rPr>
          <w:rFonts w:ascii="Arial" w:hAnsi="Arial" w:cs="Arial"/>
        </w:rPr>
        <w:t>Fleti</w:t>
      </w:r>
      <w:proofErr w:type="spellEnd"/>
      <w:r w:rsidRPr="00C538D0">
        <w:rPr>
          <w:rFonts w:ascii="Arial" w:hAnsi="Arial" w:cs="Arial"/>
        </w:rPr>
        <w:t xml:space="preserve">, F., </w:t>
      </w:r>
      <w:proofErr w:type="spellStart"/>
      <w:r w:rsidRPr="00C538D0">
        <w:rPr>
          <w:rFonts w:ascii="Arial" w:hAnsi="Arial" w:cs="Arial"/>
        </w:rPr>
        <w:t>Elkhatib</w:t>
      </w:r>
      <w:proofErr w:type="spellEnd"/>
      <w:r w:rsidRPr="00C538D0">
        <w:rPr>
          <w:rFonts w:ascii="Arial" w:hAnsi="Arial" w:cs="Arial"/>
        </w:rPr>
        <w:t xml:space="preserve">, W.Y., Johnson, B.D., Toups, G., Wolf, M., &amp; Murad, M.H. (2025). Safety implications of mask use: a systematic review and evidence map. </w:t>
      </w:r>
      <w:r w:rsidRPr="008A3E73">
        <w:rPr>
          <w:rFonts w:ascii="Arial" w:hAnsi="Arial" w:cs="Arial"/>
          <w:i/>
          <w:iCs/>
        </w:rPr>
        <w:t xml:space="preserve">BMJ </w:t>
      </w:r>
      <w:proofErr w:type="spellStart"/>
      <w:r w:rsidRPr="008A3E73">
        <w:rPr>
          <w:rFonts w:ascii="Arial" w:hAnsi="Arial" w:cs="Arial"/>
          <w:i/>
          <w:iCs/>
        </w:rPr>
        <w:t>Evid</w:t>
      </w:r>
      <w:proofErr w:type="spellEnd"/>
      <w:r w:rsidRPr="008A3E73">
        <w:rPr>
          <w:rFonts w:ascii="Arial" w:hAnsi="Arial" w:cs="Arial"/>
          <w:i/>
          <w:iCs/>
        </w:rPr>
        <w:t xml:space="preserve"> Based Med</w:t>
      </w:r>
      <w:r w:rsidRPr="008A3E73">
        <w:rPr>
          <w:rFonts w:ascii="Arial" w:hAnsi="Arial" w:cs="Arial"/>
        </w:rPr>
        <w:t xml:space="preserve">, 30(2), 91–103. </w:t>
      </w:r>
      <w:hyperlink r:id="rId24" w:history="1">
        <w:r w:rsidRPr="008A3E73">
          <w:rPr>
            <w:rStyle w:val="Hyperlink"/>
            <w:rFonts w:ascii="Arial" w:hAnsi="Arial" w:cs="Arial"/>
          </w:rPr>
          <w:t>https://doi.org/10.1136/bmjebm-2024-113028</w:t>
        </w:r>
      </w:hyperlink>
    </w:p>
    <w:p w14:paraId="129D2BF4" w14:textId="04E67EFD" w:rsidR="007376FF" w:rsidRPr="008A3E73" w:rsidRDefault="007376FF" w:rsidP="00C538D0">
      <w:pPr>
        <w:ind w:left="432" w:hanging="432"/>
        <w:jc w:val="both"/>
        <w:rPr>
          <w:rFonts w:ascii="Arial" w:hAnsi="Arial" w:cs="Arial"/>
        </w:rPr>
      </w:pPr>
      <w:proofErr w:type="spellStart"/>
      <w:r w:rsidRPr="00AC5347">
        <w:rPr>
          <w:lang w:val="en-GB"/>
        </w:rPr>
        <w:t>Fikenzer</w:t>
      </w:r>
      <w:proofErr w:type="spellEnd"/>
      <w:r w:rsidRPr="00AC5347">
        <w:rPr>
          <w:lang w:val="en-GB"/>
        </w:rPr>
        <w:t xml:space="preserve">, S., </w:t>
      </w:r>
      <w:proofErr w:type="spellStart"/>
      <w:r w:rsidRPr="00AC5347">
        <w:rPr>
          <w:lang w:val="en-GB"/>
        </w:rPr>
        <w:t>Uhe</w:t>
      </w:r>
      <w:proofErr w:type="spellEnd"/>
      <w:r w:rsidRPr="00AC5347">
        <w:rPr>
          <w:lang w:val="en-GB"/>
        </w:rPr>
        <w:t xml:space="preserve">, T., </w:t>
      </w:r>
      <w:proofErr w:type="spellStart"/>
      <w:r w:rsidRPr="00AC5347">
        <w:rPr>
          <w:lang w:val="en-GB"/>
        </w:rPr>
        <w:t>Lavall</w:t>
      </w:r>
      <w:proofErr w:type="spellEnd"/>
      <w:r w:rsidRPr="00AC5347">
        <w:rPr>
          <w:lang w:val="en-GB"/>
        </w:rPr>
        <w:t xml:space="preserve">, D., Rudolph, U., </w:t>
      </w:r>
      <w:proofErr w:type="spellStart"/>
      <w:r w:rsidRPr="00AC5347">
        <w:rPr>
          <w:lang w:val="en-GB"/>
        </w:rPr>
        <w:t>Falz</w:t>
      </w:r>
      <w:proofErr w:type="spellEnd"/>
      <w:r w:rsidRPr="00AC5347">
        <w:rPr>
          <w:lang w:val="en-GB"/>
        </w:rPr>
        <w:t xml:space="preserve">, R., </w:t>
      </w:r>
      <w:proofErr w:type="spellStart"/>
      <w:r w:rsidRPr="00AC5347">
        <w:rPr>
          <w:lang w:val="en-GB"/>
        </w:rPr>
        <w:t>Busse</w:t>
      </w:r>
      <w:proofErr w:type="spellEnd"/>
      <w:r w:rsidRPr="00AC5347">
        <w:rPr>
          <w:lang w:val="en-GB"/>
        </w:rPr>
        <w:t xml:space="preserve">, M., ... &amp; </w:t>
      </w:r>
      <w:proofErr w:type="spellStart"/>
      <w:r w:rsidRPr="00AC5347">
        <w:rPr>
          <w:lang w:val="en-GB"/>
        </w:rPr>
        <w:t>Laufs</w:t>
      </w:r>
      <w:proofErr w:type="spellEnd"/>
      <w:r w:rsidRPr="00AC5347">
        <w:rPr>
          <w:lang w:val="en-GB"/>
        </w:rPr>
        <w:t>, U. (2020). Effects of surgical and FFP2/N95 face masks on cardiopulmonary exercise capacity. Clinical research in cardiology, 109(12), 1522-1530.</w:t>
      </w:r>
      <w:r>
        <w:rPr>
          <w:lang w:val="en-GB"/>
        </w:rPr>
        <w:t xml:space="preserve"> </w:t>
      </w:r>
      <w:hyperlink r:id="rId25" w:history="1">
        <w:r w:rsidRPr="009B1007">
          <w:rPr>
            <w:rStyle w:val="Hyperlink"/>
            <w:lang w:val="en-GB"/>
          </w:rPr>
          <w:t>https://doi.org/10.1007/s00392-020-01704-y</w:t>
        </w:r>
      </w:hyperlink>
      <w:r>
        <w:rPr>
          <w:lang w:val="en-GB"/>
        </w:rPr>
        <w:t xml:space="preserve"> </w:t>
      </w:r>
    </w:p>
    <w:p w14:paraId="6F4E92DC" w14:textId="20E52A86" w:rsidR="00C538D0" w:rsidRPr="00C538D0" w:rsidRDefault="00C538D0" w:rsidP="00C538D0">
      <w:pPr>
        <w:ind w:left="432" w:hanging="432"/>
        <w:jc w:val="both"/>
        <w:rPr>
          <w:rFonts w:ascii="Arial" w:hAnsi="Arial" w:cs="Arial"/>
        </w:rPr>
      </w:pPr>
      <w:r w:rsidRPr="008A3E73">
        <w:rPr>
          <w:rFonts w:ascii="Arial" w:hAnsi="Arial" w:cs="Arial"/>
        </w:rPr>
        <w:t xml:space="preserve">Grassi, G., &amp; Drager, L.F. (2024). </w:t>
      </w:r>
      <w:r w:rsidRPr="00C538D0">
        <w:rPr>
          <w:rFonts w:ascii="Arial" w:hAnsi="Arial" w:cs="Arial"/>
        </w:rPr>
        <w:t>Sympathetic overactivity, hypertension and cardiovascular disease: state of the art.</w:t>
      </w:r>
      <w:r w:rsidRPr="00C538D0">
        <w:rPr>
          <w:rFonts w:ascii="Arial" w:hAnsi="Arial" w:cs="Arial"/>
          <w:i/>
          <w:iCs/>
        </w:rPr>
        <w:t xml:space="preserve"> </w:t>
      </w:r>
      <w:proofErr w:type="spellStart"/>
      <w:r w:rsidRPr="00C538D0">
        <w:rPr>
          <w:rFonts w:ascii="Arial" w:hAnsi="Arial" w:cs="Arial"/>
          <w:i/>
          <w:iCs/>
        </w:rPr>
        <w:t>Curr</w:t>
      </w:r>
      <w:proofErr w:type="spellEnd"/>
      <w:r w:rsidRPr="00C538D0">
        <w:rPr>
          <w:rFonts w:ascii="Arial" w:hAnsi="Arial" w:cs="Arial"/>
          <w:i/>
          <w:iCs/>
        </w:rPr>
        <w:t xml:space="preserve"> Med Res </w:t>
      </w:r>
      <w:proofErr w:type="spellStart"/>
      <w:r w:rsidRPr="00C538D0">
        <w:rPr>
          <w:rFonts w:ascii="Arial" w:hAnsi="Arial" w:cs="Arial"/>
          <w:i/>
          <w:iCs/>
        </w:rPr>
        <w:t>Opin</w:t>
      </w:r>
      <w:proofErr w:type="spellEnd"/>
      <w:r w:rsidRPr="00C538D0">
        <w:rPr>
          <w:rFonts w:ascii="Arial" w:hAnsi="Arial" w:cs="Arial"/>
        </w:rPr>
        <w:t xml:space="preserve">, 40(sup1), 5–13. </w:t>
      </w:r>
      <w:hyperlink r:id="rId26" w:history="1">
        <w:r w:rsidRPr="00C538D0">
          <w:rPr>
            <w:rStyle w:val="Hyperlink"/>
            <w:rFonts w:ascii="Arial" w:hAnsi="Arial" w:cs="Arial"/>
          </w:rPr>
          <w:t>https://doi.org/10.1080/03007995.2024.2305248</w:t>
        </w:r>
      </w:hyperlink>
      <w:r w:rsidRPr="00C538D0">
        <w:rPr>
          <w:rFonts w:ascii="Arial" w:hAnsi="Arial" w:cs="Arial"/>
        </w:rPr>
        <w:t xml:space="preserve"> </w:t>
      </w:r>
    </w:p>
    <w:p w14:paraId="3464E2A8" w14:textId="77777777" w:rsidR="00C538D0" w:rsidRPr="00C538D0" w:rsidRDefault="00C538D0" w:rsidP="00C538D0">
      <w:pPr>
        <w:ind w:left="432" w:hanging="432"/>
        <w:jc w:val="both"/>
        <w:rPr>
          <w:rFonts w:ascii="Arial" w:hAnsi="Arial" w:cs="Arial"/>
        </w:rPr>
      </w:pPr>
      <w:r w:rsidRPr="00C538D0">
        <w:rPr>
          <w:rFonts w:ascii="Arial" w:hAnsi="Arial" w:cs="Arial"/>
        </w:rPr>
        <w:t xml:space="preserve">Greenhalgh, T., </w:t>
      </w:r>
      <w:proofErr w:type="spellStart"/>
      <w:r w:rsidRPr="00C538D0">
        <w:rPr>
          <w:rFonts w:ascii="Arial" w:hAnsi="Arial" w:cs="Arial"/>
        </w:rPr>
        <w:t>MacIntyre</w:t>
      </w:r>
      <w:proofErr w:type="spellEnd"/>
      <w:r w:rsidRPr="00C538D0">
        <w:rPr>
          <w:rFonts w:ascii="Arial" w:hAnsi="Arial" w:cs="Arial"/>
        </w:rPr>
        <w:t xml:space="preserve">, C.R., Baker, M.G., Bhattacharjee, S., </w:t>
      </w:r>
      <w:proofErr w:type="spellStart"/>
      <w:r w:rsidRPr="00C538D0">
        <w:rPr>
          <w:rFonts w:ascii="Arial" w:hAnsi="Arial" w:cs="Arial"/>
        </w:rPr>
        <w:t>Chughtai</w:t>
      </w:r>
      <w:proofErr w:type="spellEnd"/>
      <w:r w:rsidRPr="00C538D0">
        <w:rPr>
          <w:rFonts w:ascii="Arial" w:hAnsi="Arial" w:cs="Arial"/>
        </w:rPr>
        <w:t xml:space="preserve">, A.A., </w:t>
      </w:r>
      <w:proofErr w:type="spellStart"/>
      <w:r w:rsidRPr="00C538D0">
        <w:rPr>
          <w:rFonts w:ascii="Arial" w:hAnsi="Arial" w:cs="Arial"/>
        </w:rPr>
        <w:t>Fisman</w:t>
      </w:r>
      <w:proofErr w:type="spellEnd"/>
      <w:r w:rsidRPr="00C538D0">
        <w:rPr>
          <w:rFonts w:ascii="Arial" w:hAnsi="Arial" w:cs="Arial"/>
        </w:rPr>
        <w:t xml:space="preserve">, D., </w:t>
      </w:r>
      <w:proofErr w:type="spellStart"/>
      <w:r w:rsidRPr="00C538D0">
        <w:rPr>
          <w:rFonts w:ascii="Arial" w:hAnsi="Arial" w:cs="Arial"/>
        </w:rPr>
        <w:t>Kunasekaran</w:t>
      </w:r>
      <w:proofErr w:type="spellEnd"/>
      <w:r w:rsidRPr="00C538D0">
        <w:rPr>
          <w:rFonts w:ascii="Arial" w:hAnsi="Arial" w:cs="Arial"/>
        </w:rPr>
        <w:t xml:space="preserve">, M., </w:t>
      </w:r>
      <w:proofErr w:type="spellStart"/>
      <w:r w:rsidRPr="00C538D0">
        <w:rPr>
          <w:rFonts w:ascii="Arial" w:hAnsi="Arial" w:cs="Arial"/>
        </w:rPr>
        <w:t>Kvalsvig</w:t>
      </w:r>
      <w:proofErr w:type="spellEnd"/>
      <w:r w:rsidRPr="00C538D0">
        <w:rPr>
          <w:rFonts w:ascii="Arial" w:hAnsi="Arial" w:cs="Arial"/>
        </w:rPr>
        <w:t xml:space="preserve">, A., Lupton, D., Oliver, M., </w:t>
      </w:r>
      <w:proofErr w:type="spellStart"/>
      <w:r w:rsidRPr="00C538D0">
        <w:rPr>
          <w:rFonts w:ascii="Arial" w:hAnsi="Arial" w:cs="Arial"/>
        </w:rPr>
        <w:t>Tawfiq</w:t>
      </w:r>
      <w:proofErr w:type="spellEnd"/>
      <w:r w:rsidRPr="00C538D0">
        <w:rPr>
          <w:rFonts w:ascii="Arial" w:hAnsi="Arial" w:cs="Arial"/>
        </w:rPr>
        <w:t xml:space="preserve">, E., </w:t>
      </w:r>
      <w:proofErr w:type="spellStart"/>
      <w:r w:rsidRPr="00C538D0">
        <w:rPr>
          <w:rFonts w:ascii="Arial" w:hAnsi="Arial" w:cs="Arial"/>
        </w:rPr>
        <w:t>Ungrin</w:t>
      </w:r>
      <w:proofErr w:type="spellEnd"/>
      <w:r w:rsidRPr="00C538D0">
        <w:rPr>
          <w:rFonts w:ascii="Arial" w:hAnsi="Arial" w:cs="Arial"/>
        </w:rPr>
        <w:t xml:space="preserve">, M., &amp; Vipond, J. (2024). Masks and respirators for prevention of respiratory infections: a state of the science review. </w:t>
      </w:r>
      <w:r w:rsidRPr="00C538D0">
        <w:rPr>
          <w:rFonts w:ascii="Arial" w:hAnsi="Arial" w:cs="Arial"/>
          <w:i/>
          <w:iCs/>
        </w:rPr>
        <w:t>Clin Microbiol Rev</w:t>
      </w:r>
      <w:r w:rsidRPr="00C538D0">
        <w:rPr>
          <w:rFonts w:ascii="Arial" w:hAnsi="Arial" w:cs="Arial"/>
        </w:rPr>
        <w:t xml:space="preserve">, 37, e00124–23. </w:t>
      </w:r>
      <w:hyperlink r:id="rId27" w:history="1">
        <w:r w:rsidRPr="00C538D0">
          <w:rPr>
            <w:rStyle w:val="Hyperlink"/>
            <w:rFonts w:ascii="Arial" w:hAnsi="Arial" w:cs="Arial"/>
          </w:rPr>
          <w:t>https://doi.org/10.1128/cmr.00124-23</w:t>
        </w:r>
      </w:hyperlink>
      <w:r w:rsidRPr="00C538D0">
        <w:rPr>
          <w:rFonts w:ascii="Arial" w:hAnsi="Arial" w:cs="Arial"/>
        </w:rPr>
        <w:t xml:space="preserve">  </w:t>
      </w:r>
    </w:p>
    <w:p w14:paraId="1D580DB1" w14:textId="77777777" w:rsidR="00C538D0" w:rsidRPr="00C538D0" w:rsidRDefault="00C538D0" w:rsidP="00C538D0">
      <w:pPr>
        <w:ind w:left="432" w:hanging="432"/>
        <w:jc w:val="both"/>
        <w:rPr>
          <w:rFonts w:ascii="Arial" w:hAnsi="Arial" w:cs="Arial"/>
          <w:lang w:val="sv-SE"/>
        </w:rPr>
      </w:pPr>
      <w:r w:rsidRPr="00B6415A">
        <w:rPr>
          <w:rFonts w:ascii="Arial" w:hAnsi="Arial" w:cs="Arial"/>
          <w:lang w:val="sv-SE"/>
        </w:rPr>
        <w:t xml:space="preserve">Guan, X., Lin, J., Han, J., Gao, X., Zhang, Y., Hu, B., Guidoin, R., &amp; Wang, L. (2022). </w:t>
      </w:r>
      <w:r w:rsidRPr="00C538D0">
        <w:rPr>
          <w:rFonts w:ascii="Arial" w:hAnsi="Arial" w:cs="Arial"/>
        </w:rPr>
        <w:t xml:space="preserve">Prolonged use of surgical masks and respirators affects the protection and comfort for healthcare workers. </w:t>
      </w:r>
      <w:r w:rsidRPr="00C538D0">
        <w:rPr>
          <w:rFonts w:ascii="Arial" w:hAnsi="Arial" w:cs="Arial"/>
          <w:i/>
          <w:iCs/>
          <w:lang w:val="sv-SE"/>
        </w:rPr>
        <w:t>Materials (Basel)</w:t>
      </w:r>
      <w:r w:rsidRPr="00C538D0">
        <w:rPr>
          <w:rFonts w:ascii="Arial" w:hAnsi="Arial" w:cs="Arial"/>
          <w:lang w:val="sv-SE"/>
        </w:rPr>
        <w:t xml:space="preserve">, 15(22), 7918. </w:t>
      </w:r>
      <w:hyperlink r:id="rId28" w:history="1">
        <w:r w:rsidRPr="00C538D0">
          <w:rPr>
            <w:rStyle w:val="Hyperlink"/>
            <w:rFonts w:ascii="Arial" w:hAnsi="Arial" w:cs="Arial"/>
            <w:lang w:val="sv-SE"/>
          </w:rPr>
          <w:t>https://doi.org/10.3390/ma15227918</w:t>
        </w:r>
      </w:hyperlink>
      <w:r w:rsidRPr="00C538D0">
        <w:rPr>
          <w:rFonts w:ascii="Arial" w:hAnsi="Arial" w:cs="Arial"/>
          <w:lang w:val="sv-SE"/>
        </w:rPr>
        <w:t xml:space="preserve"> </w:t>
      </w:r>
    </w:p>
    <w:p w14:paraId="5611FDCA"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Han, J.H., Jang, M.H., Kim, D.H., &amp; Kim, J.H. (2023). </w:t>
      </w:r>
      <w:r w:rsidRPr="00C538D0">
        <w:rPr>
          <w:rFonts w:ascii="Arial" w:hAnsi="Arial" w:cs="Arial"/>
        </w:rPr>
        <w:t xml:space="preserve">Added breathing resistance during physical activity impairs pulmonary ventilation and exaggerates physical activity–induced hypoxemia leading to impaired aerobic physical activity performance. </w:t>
      </w:r>
      <w:r w:rsidRPr="00C538D0">
        <w:rPr>
          <w:rFonts w:ascii="Arial" w:hAnsi="Arial" w:cs="Arial"/>
          <w:i/>
          <w:iCs/>
        </w:rPr>
        <w:t>Int J Environ Res Public Health</w:t>
      </w:r>
      <w:r w:rsidRPr="00C538D0">
        <w:rPr>
          <w:rFonts w:ascii="Arial" w:hAnsi="Arial" w:cs="Arial"/>
        </w:rPr>
        <w:t xml:space="preserve">, 20(10), 5757. </w:t>
      </w:r>
      <w:hyperlink r:id="rId29" w:history="1">
        <w:r w:rsidRPr="00C538D0">
          <w:rPr>
            <w:rStyle w:val="Hyperlink"/>
            <w:rFonts w:ascii="Arial" w:hAnsi="Arial" w:cs="Arial"/>
          </w:rPr>
          <w:t>https://doi.org/10.3390/ijerph20105757</w:t>
        </w:r>
      </w:hyperlink>
      <w:r w:rsidRPr="00C538D0">
        <w:rPr>
          <w:rFonts w:ascii="Arial" w:hAnsi="Arial" w:cs="Arial"/>
        </w:rPr>
        <w:t xml:space="preserve"> </w:t>
      </w:r>
    </w:p>
    <w:p w14:paraId="0B421AF5" w14:textId="77777777" w:rsidR="00C538D0" w:rsidRPr="00C538D0" w:rsidRDefault="00C538D0" w:rsidP="00C538D0">
      <w:pPr>
        <w:ind w:left="432" w:hanging="432"/>
        <w:jc w:val="both"/>
        <w:rPr>
          <w:rFonts w:ascii="Arial" w:hAnsi="Arial" w:cs="Arial"/>
          <w:lang w:val="sv-SE"/>
        </w:rPr>
      </w:pPr>
      <w:r w:rsidRPr="00C538D0">
        <w:rPr>
          <w:rFonts w:ascii="Arial" w:hAnsi="Arial" w:cs="Arial"/>
        </w:rPr>
        <w:t xml:space="preserve">Harms, C.A.  &amp; Rosenkranz, S. (2008). Sex Differences in Pulmonary Function during Physical activity. </w:t>
      </w:r>
      <w:r w:rsidRPr="00C538D0">
        <w:rPr>
          <w:rFonts w:ascii="Arial" w:hAnsi="Arial" w:cs="Arial"/>
          <w:i/>
          <w:iCs/>
          <w:lang w:val="sv-SE"/>
        </w:rPr>
        <w:t>Med Sci Sports Exerc</w:t>
      </w:r>
      <w:r w:rsidRPr="00C538D0">
        <w:rPr>
          <w:rFonts w:ascii="Arial" w:hAnsi="Arial" w:cs="Arial"/>
          <w:lang w:val="sv-SE"/>
        </w:rPr>
        <w:t xml:space="preserve">, 40(4), 664–668. </w:t>
      </w:r>
      <w:hyperlink r:id="rId30" w:history="1">
        <w:r w:rsidRPr="00C538D0">
          <w:rPr>
            <w:rStyle w:val="Hyperlink"/>
            <w:rFonts w:ascii="Arial" w:hAnsi="Arial" w:cs="Arial"/>
            <w:lang w:val="sv-SE"/>
          </w:rPr>
          <w:t>https://doi.org/10.1249/MSS.0b013e3181621325</w:t>
        </w:r>
      </w:hyperlink>
      <w:r w:rsidRPr="00C538D0">
        <w:rPr>
          <w:rFonts w:ascii="Arial" w:hAnsi="Arial" w:cs="Arial"/>
          <w:lang w:val="sv-SE"/>
        </w:rPr>
        <w:t xml:space="preserve"> </w:t>
      </w:r>
    </w:p>
    <w:p w14:paraId="0210E40D"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Hostrup, M., &amp; Bangsbo, J. (2017). </w:t>
      </w:r>
      <w:r w:rsidRPr="00C538D0">
        <w:rPr>
          <w:rFonts w:ascii="Arial" w:hAnsi="Arial" w:cs="Arial"/>
        </w:rPr>
        <w:t xml:space="preserve">Limitations in intense physical activity performance of athletes - effect of speed endurance training on ion handling and fatigue development. </w:t>
      </w:r>
      <w:r w:rsidRPr="00C538D0">
        <w:rPr>
          <w:rFonts w:ascii="Arial" w:hAnsi="Arial" w:cs="Arial"/>
          <w:i/>
          <w:iCs/>
        </w:rPr>
        <w:t xml:space="preserve">J </w:t>
      </w:r>
      <w:proofErr w:type="spellStart"/>
      <w:r w:rsidRPr="00C538D0">
        <w:rPr>
          <w:rFonts w:ascii="Arial" w:hAnsi="Arial" w:cs="Arial"/>
          <w:i/>
          <w:iCs/>
        </w:rPr>
        <w:t>Physiol</w:t>
      </w:r>
      <w:proofErr w:type="spellEnd"/>
      <w:r w:rsidRPr="00C538D0">
        <w:rPr>
          <w:rFonts w:ascii="Arial" w:hAnsi="Arial" w:cs="Arial"/>
        </w:rPr>
        <w:t xml:space="preserve">, 595(9), 2897–2913. </w:t>
      </w:r>
      <w:hyperlink r:id="rId31" w:history="1">
        <w:r w:rsidRPr="00C538D0">
          <w:rPr>
            <w:rStyle w:val="Hyperlink"/>
            <w:rFonts w:ascii="Arial" w:hAnsi="Arial" w:cs="Arial"/>
          </w:rPr>
          <w:t>https://doi.org/10.1113/JP273218</w:t>
        </w:r>
      </w:hyperlink>
      <w:r w:rsidRPr="00C538D0">
        <w:rPr>
          <w:rFonts w:ascii="Arial" w:hAnsi="Arial" w:cs="Arial"/>
        </w:rPr>
        <w:t xml:space="preserve"> </w:t>
      </w:r>
    </w:p>
    <w:p w14:paraId="5D097F4B" w14:textId="77777777" w:rsidR="00C538D0" w:rsidRPr="00C538D0" w:rsidRDefault="00C538D0" w:rsidP="00C538D0">
      <w:pPr>
        <w:ind w:left="432" w:hanging="432"/>
        <w:jc w:val="both"/>
        <w:rPr>
          <w:rFonts w:ascii="Arial" w:hAnsi="Arial" w:cs="Arial"/>
        </w:rPr>
      </w:pPr>
      <w:r w:rsidRPr="00C538D0">
        <w:rPr>
          <w:rFonts w:ascii="Arial" w:hAnsi="Arial" w:cs="Arial"/>
        </w:rPr>
        <w:t xml:space="preserve">Howard, J., Huang, A., Li, Z., </w:t>
      </w:r>
      <w:proofErr w:type="spellStart"/>
      <w:r w:rsidRPr="00C538D0">
        <w:rPr>
          <w:rFonts w:ascii="Arial" w:hAnsi="Arial" w:cs="Arial"/>
        </w:rPr>
        <w:t>Tufekci</w:t>
      </w:r>
      <w:proofErr w:type="spellEnd"/>
      <w:r w:rsidRPr="00C538D0">
        <w:rPr>
          <w:rFonts w:ascii="Arial" w:hAnsi="Arial" w:cs="Arial"/>
        </w:rPr>
        <w:t xml:space="preserve">, Z., </w:t>
      </w:r>
      <w:proofErr w:type="spellStart"/>
      <w:r w:rsidRPr="00C538D0">
        <w:rPr>
          <w:rFonts w:ascii="Arial" w:hAnsi="Arial" w:cs="Arial"/>
        </w:rPr>
        <w:t>Zdimal</w:t>
      </w:r>
      <w:proofErr w:type="spellEnd"/>
      <w:r w:rsidRPr="00C538D0">
        <w:rPr>
          <w:rFonts w:ascii="Arial" w:hAnsi="Arial" w:cs="Arial"/>
        </w:rPr>
        <w:t xml:space="preserve">, V., van der Westhuizen, H., von Delft, A., Price, A., </w:t>
      </w:r>
      <w:proofErr w:type="spellStart"/>
      <w:r w:rsidRPr="00C538D0">
        <w:rPr>
          <w:rFonts w:ascii="Arial" w:hAnsi="Arial" w:cs="Arial"/>
        </w:rPr>
        <w:t>Fridman</w:t>
      </w:r>
      <w:proofErr w:type="spellEnd"/>
      <w:r w:rsidRPr="00C538D0">
        <w:rPr>
          <w:rFonts w:ascii="Arial" w:hAnsi="Arial" w:cs="Arial"/>
        </w:rPr>
        <w:t xml:space="preserve">, L., Tang, L., Tang, V., Watson, G.L., </w:t>
      </w:r>
      <w:proofErr w:type="spellStart"/>
      <w:r w:rsidRPr="00C538D0">
        <w:rPr>
          <w:rFonts w:ascii="Arial" w:hAnsi="Arial" w:cs="Arial"/>
        </w:rPr>
        <w:t>Bax</w:t>
      </w:r>
      <w:proofErr w:type="spellEnd"/>
      <w:r w:rsidRPr="00C538D0">
        <w:rPr>
          <w:rFonts w:ascii="Arial" w:hAnsi="Arial" w:cs="Arial"/>
        </w:rPr>
        <w:t xml:space="preserve">, C.E., Shaikh, R., </w:t>
      </w:r>
      <w:proofErr w:type="spellStart"/>
      <w:r w:rsidRPr="00C538D0">
        <w:rPr>
          <w:rFonts w:ascii="Arial" w:hAnsi="Arial" w:cs="Arial"/>
        </w:rPr>
        <w:t>Questier</w:t>
      </w:r>
      <w:proofErr w:type="spellEnd"/>
      <w:r w:rsidRPr="00C538D0">
        <w:rPr>
          <w:rFonts w:ascii="Arial" w:hAnsi="Arial" w:cs="Arial"/>
        </w:rPr>
        <w:t xml:space="preserve">, F., Hernandez, D., Chu, L.F., Ramirez, C.M., &amp; </w:t>
      </w:r>
      <w:proofErr w:type="spellStart"/>
      <w:r w:rsidRPr="00C538D0">
        <w:rPr>
          <w:rFonts w:ascii="Arial" w:hAnsi="Arial" w:cs="Arial"/>
        </w:rPr>
        <w:t>Rimoin</w:t>
      </w:r>
      <w:proofErr w:type="spellEnd"/>
      <w:r w:rsidRPr="00C538D0">
        <w:rPr>
          <w:rFonts w:ascii="Arial" w:hAnsi="Arial" w:cs="Arial"/>
        </w:rPr>
        <w:t xml:space="preserve">, A.W. (2021). An evidence </w:t>
      </w:r>
      <w:proofErr w:type="gramStart"/>
      <w:r w:rsidRPr="00C538D0">
        <w:rPr>
          <w:rFonts w:ascii="Arial" w:hAnsi="Arial" w:cs="Arial"/>
        </w:rPr>
        <w:t>review</w:t>
      </w:r>
      <w:proofErr w:type="gramEnd"/>
      <w:r w:rsidRPr="00C538D0">
        <w:rPr>
          <w:rFonts w:ascii="Arial" w:hAnsi="Arial" w:cs="Arial"/>
        </w:rPr>
        <w:t xml:space="preserve"> of face masks against COVID-19. </w:t>
      </w:r>
      <w:r w:rsidRPr="00C538D0">
        <w:rPr>
          <w:rFonts w:ascii="Arial" w:hAnsi="Arial" w:cs="Arial"/>
          <w:i/>
          <w:iCs/>
        </w:rPr>
        <w:t>Proc. Natl. Acad. Sci. U.S.A</w:t>
      </w:r>
      <w:r w:rsidRPr="00C538D0">
        <w:rPr>
          <w:rFonts w:ascii="Arial" w:hAnsi="Arial" w:cs="Arial"/>
        </w:rPr>
        <w:t xml:space="preserve">, 118(4), e2014564118. </w:t>
      </w:r>
      <w:hyperlink r:id="rId32" w:history="1">
        <w:r w:rsidRPr="00C538D0">
          <w:rPr>
            <w:rStyle w:val="Hyperlink"/>
            <w:rFonts w:ascii="Arial" w:hAnsi="Arial" w:cs="Arial"/>
          </w:rPr>
          <w:t>https://doi.org/10.1073/pnas.2014564118</w:t>
        </w:r>
      </w:hyperlink>
      <w:r w:rsidRPr="00C538D0">
        <w:rPr>
          <w:rFonts w:ascii="Arial" w:hAnsi="Arial" w:cs="Arial"/>
        </w:rPr>
        <w:t xml:space="preserve">  </w:t>
      </w:r>
    </w:p>
    <w:p w14:paraId="50653F68" w14:textId="77777777" w:rsidR="00C538D0" w:rsidRPr="00C538D0" w:rsidRDefault="00C538D0" w:rsidP="00C538D0">
      <w:pPr>
        <w:ind w:left="432" w:hanging="432"/>
        <w:jc w:val="both"/>
        <w:rPr>
          <w:rFonts w:ascii="Arial" w:hAnsi="Arial" w:cs="Arial"/>
        </w:rPr>
      </w:pPr>
      <w:r w:rsidRPr="00C538D0">
        <w:rPr>
          <w:rFonts w:ascii="Arial" w:hAnsi="Arial" w:cs="Arial"/>
        </w:rPr>
        <w:t xml:space="preserve">Jiang, Y., Huang, X., Yu, D., Xu, C., Wang, Y., Wang, X., &amp; Shen, Y. (2025).  Asthma and the risk of cardiovascular diseases and mortality: a meta-analysis of cohort studies. </w:t>
      </w:r>
      <w:proofErr w:type="spellStart"/>
      <w:r w:rsidRPr="00C538D0">
        <w:rPr>
          <w:rFonts w:ascii="Arial" w:hAnsi="Arial" w:cs="Arial"/>
          <w:i/>
          <w:iCs/>
        </w:rPr>
        <w:t>Ther</w:t>
      </w:r>
      <w:proofErr w:type="spellEnd"/>
      <w:r w:rsidRPr="00C538D0">
        <w:rPr>
          <w:rFonts w:ascii="Arial" w:hAnsi="Arial" w:cs="Arial"/>
          <w:i/>
          <w:iCs/>
        </w:rPr>
        <w:t xml:space="preserve"> Adv Respir Dis</w:t>
      </w:r>
      <w:r w:rsidRPr="00C538D0">
        <w:rPr>
          <w:rFonts w:ascii="Arial" w:hAnsi="Arial" w:cs="Arial"/>
        </w:rPr>
        <w:t xml:space="preserve">, 19, 17534666251333965. </w:t>
      </w:r>
      <w:hyperlink r:id="rId33" w:history="1">
        <w:r w:rsidRPr="00C538D0">
          <w:rPr>
            <w:rStyle w:val="Hyperlink"/>
            <w:rFonts w:ascii="Arial" w:hAnsi="Arial" w:cs="Arial"/>
          </w:rPr>
          <w:t>https://doi.org/10.1177/17534666251333965</w:t>
        </w:r>
      </w:hyperlink>
      <w:r w:rsidRPr="00C538D0">
        <w:rPr>
          <w:rFonts w:ascii="Arial" w:hAnsi="Arial" w:cs="Arial"/>
        </w:rPr>
        <w:t xml:space="preserve">  </w:t>
      </w:r>
    </w:p>
    <w:p w14:paraId="573E5D7C" w14:textId="77777777" w:rsidR="00C538D0" w:rsidRPr="00C538D0" w:rsidRDefault="00C538D0" w:rsidP="00C538D0">
      <w:pPr>
        <w:ind w:left="432" w:hanging="432"/>
        <w:jc w:val="both"/>
        <w:rPr>
          <w:rFonts w:ascii="Arial" w:hAnsi="Arial" w:cs="Arial"/>
          <w:b/>
          <w:bCs/>
        </w:rPr>
      </w:pPr>
      <w:r w:rsidRPr="00C538D0">
        <w:rPr>
          <w:rFonts w:ascii="Arial" w:hAnsi="Arial" w:cs="Arial"/>
        </w:rPr>
        <w:t xml:space="preserve">Lai, J., Coleman, K.K., Tai, S.H.S., German, J., Hong, F., Albert, B., Esparza, Y., Rastogi, D., </w:t>
      </w:r>
      <w:proofErr w:type="spellStart"/>
      <w:r w:rsidRPr="00C538D0">
        <w:rPr>
          <w:rFonts w:ascii="Arial" w:hAnsi="Arial" w:cs="Arial"/>
        </w:rPr>
        <w:t>Srikakulapu</w:t>
      </w:r>
      <w:proofErr w:type="spellEnd"/>
      <w:r w:rsidRPr="00C538D0">
        <w:rPr>
          <w:rFonts w:ascii="Arial" w:hAnsi="Arial" w:cs="Arial"/>
        </w:rPr>
        <w:t xml:space="preserve">, A., </w:t>
      </w:r>
      <w:proofErr w:type="spellStart"/>
      <w:r w:rsidRPr="00C538D0">
        <w:rPr>
          <w:rFonts w:ascii="Arial" w:hAnsi="Arial" w:cs="Arial"/>
        </w:rPr>
        <w:t>Kalliomäki</w:t>
      </w:r>
      <w:proofErr w:type="spellEnd"/>
      <w:r w:rsidRPr="00C538D0">
        <w:rPr>
          <w:rFonts w:ascii="Arial" w:hAnsi="Arial" w:cs="Arial"/>
        </w:rPr>
        <w:t xml:space="preserve">, P., </w:t>
      </w:r>
      <w:proofErr w:type="spellStart"/>
      <w:r w:rsidRPr="00C538D0">
        <w:rPr>
          <w:rFonts w:ascii="Arial" w:hAnsi="Arial" w:cs="Arial"/>
        </w:rPr>
        <w:t>Schanz</w:t>
      </w:r>
      <w:proofErr w:type="spellEnd"/>
      <w:r w:rsidRPr="00C538D0">
        <w:rPr>
          <w:rFonts w:ascii="Arial" w:hAnsi="Arial" w:cs="Arial"/>
        </w:rPr>
        <w:t xml:space="preserve">, M., Smith, A.A., Maldonado, I.S., </w:t>
      </w:r>
      <w:proofErr w:type="spellStart"/>
      <w:r w:rsidRPr="00C538D0">
        <w:rPr>
          <w:rFonts w:ascii="Arial" w:hAnsi="Arial" w:cs="Arial"/>
        </w:rPr>
        <w:t>Oertel</w:t>
      </w:r>
      <w:proofErr w:type="spellEnd"/>
      <w:r w:rsidRPr="00C538D0">
        <w:rPr>
          <w:rFonts w:ascii="Arial" w:hAnsi="Arial" w:cs="Arial"/>
        </w:rPr>
        <w:t xml:space="preserve">, M., </w:t>
      </w:r>
      <w:proofErr w:type="spellStart"/>
      <w:r w:rsidRPr="00C538D0">
        <w:rPr>
          <w:rFonts w:ascii="Arial" w:hAnsi="Arial" w:cs="Arial"/>
        </w:rPr>
        <w:t>Fadul</w:t>
      </w:r>
      <w:proofErr w:type="spellEnd"/>
      <w:r w:rsidRPr="00C538D0">
        <w:rPr>
          <w:rFonts w:ascii="Arial" w:hAnsi="Arial" w:cs="Arial"/>
        </w:rPr>
        <w:t xml:space="preserve">, N., Gold, T.L., </w:t>
      </w:r>
      <w:proofErr w:type="spellStart"/>
      <w:r w:rsidRPr="00C538D0">
        <w:rPr>
          <w:rFonts w:ascii="Arial" w:hAnsi="Arial" w:cs="Arial"/>
        </w:rPr>
        <w:t>McPhaul</w:t>
      </w:r>
      <w:proofErr w:type="spellEnd"/>
      <w:r w:rsidRPr="00C538D0">
        <w:rPr>
          <w:rFonts w:ascii="Arial" w:hAnsi="Arial" w:cs="Arial"/>
        </w:rPr>
        <w:t xml:space="preserve">, K., Ma, T., Cowling, B.J., &amp; Milton, D.K. (2024). Relative efficacy of masks and respirators as source control for viral aerosol shedding from people infected with SARS-CoV-2: A controlled human exhaled breath aerosol </w:t>
      </w:r>
      <w:r w:rsidRPr="00C538D0">
        <w:rPr>
          <w:rFonts w:ascii="Arial" w:hAnsi="Arial" w:cs="Arial"/>
        </w:rPr>
        <w:lastRenderedPageBreak/>
        <w:t xml:space="preserve">experimental study. </w:t>
      </w:r>
      <w:proofErr w:type="spellStart"/>
      <w:r w:rsidRPr="00C538D0">
        <w:rPr>
          <w:rFonts w:ascii="Arial" w:hAnsi="Arial" w:cs="Arial"/>
          <w:i/>
          <w:iCs/>
        </w:rPr>
        <w:t>eBioMedicine</w:t>
      </w:r>
      <w:proofErr w:type="spellEnd"/>
      <w:r w:rsidRPr="00C538D0">
        <w:rPr>
          <w:rFonts w:ascii="Arial" w:hAnsi="Arial" w:cs="Arial"/>
        </w:rPr>
        <w:t xml:space="preserve">, 104, 105157. </w:t>
      </w:r>
      <w:hyperlink r:id="rId34" w:history="1">
        <w:r w:rsidRPr="00C538D0">
          <w:rPr>
            <w:rStyle w:val="Hyperlink"/>
            <w:rFonts w:ascii="Arial" w:hAnsi="Arial" w:cs="Arial"/>
          </w:rPr>
          <w:t>https://doi.org/10.1016/j.ebiom.2024.105157</w:t>
        </w:r>
      </w:hyperlink>
      <w:r w:rsidRPr="00C538D0">
        <w:rPr>
          <w:rFonts w:ascii="Arial" w:hAnsi="Arial" w:cs="Arial"/>
        </w:rPr>
        <w:t xml:space="preserve"> </w:t>
      </w:r>
    </w:p>
    <w:p w14:paraId="0E953CAF" w14:textId="77777777" w:rsidR="00C538D0" w:rsidRPr="00C538D0" w:rsidRDefault="00C538D0" w:rsidP="00C538D0">
      <w:pPr>
        <w:ind w:left="432" w:hanging="432"/>
        <w:jc w:val="both"/>
        <w:rPr>
          <w:rFonts w:ascii="Arial" w:hAnsi="Arial" w:cs="Arial"/>
        </w:rPr>
      </w:pPr>
      <w:r w:rsidRPr="00C538D0">
        <w:rPr>
          <w:rFonts w:ascii="Arial" w:hAnsi="Arial" w:cs="Arial"/>
        </w:rPr>
        <w:t xml:space="preserve">Liu, C., Diab, R., Naveed, H., &amp; Leung, V. (2020). Universal public mask wear during COVID-19 pandemic: Rationale, design and acceptability. </w:t>
      </w:r>
      <w:proofErr w:type="spellStart"/>
      <w:r w:rsidRPr="00C538D0">
        <w:rPr>
          <w:rFonts w:ascii="Arial" w:hAnsi="Arial" w:cs="Arial"/>
          <w:i/>
          <w:iCs/>
        </w:rPr>
        <w:t>Respirology</w:t>
      </w:r>
      <w:proofErr w:type="spellEnd"/>
      <w:r w:rsidRPr="00C538D0">
        <w:rPr>
          <w:rFonts w:ascii="Arial" w:hAnsi="Arial" w:cs="Arial"/>
        </w:rPr>
        <w:t xml:space="preserve">, 25(8), 895–897. </w:t>
      </w:r>
      <w:hyperlink r:id="rId35" w:history="1">
        <w:r w:rsidRPr="00C538D0">
          <w:rPr>
            <w:rStyle w:val="Hyperlink"/>
            <w:rFonts w:ascii="Arial" w:hAnsi="Arial" w:cs="Arial"/>
          </w:rPr>
          <w:t>https://doi.org/10.1111/resp.13892</w:t>
        </w:r>
      </w:hyperlink>
      <w:r w:rsidRPr="00C538D0">
        <w:rPr>
          <w:rFonts w:ascii="Arial" w:hAnsi="Arial" w:cs="Arial"/>
        </w:rPr>
        <w:t xml:space="preserve"> </w:t>
      </w:r>
    </w:p>
    <w:p w14:paraId="0E45C8DD" w14:textId="77777777" w:rsidR="00C538D0" w:rsidRPr="00C538D0" w:rsidRDefault="00C538D0" w:rsidP="00C538D0">
      <w:pPr>
        <w:ind w:left="432" w:hanging="432"/>
        <w:jc w:val="both"/>
        <w:rPr>
          <w:rFonts w:ascii="Arial" w:hAnsi="Arial" w:cs="Arial"/>
        </w:rPr>
      </w:pPr>
      <w:r w:rsidRPr="00C538D0">
        <w:rPr>
          <w:rFonts w:ascii="Arial" w:hAnsi="Arial" w:cs="Arial"/>
        </w:rPr>
        <w:t xml:space="preserve">Lott, A., Roberts, T., &amp; Carter, C.W. (2022). Mask use for athletes: A systematic review of safety and performance outcomes. </w:t>
      </w:r>
      <w:r w:rsidRPr="00C538D0">
        <w:rPr>
          <w:rFonts w:ascii="Arial" w:hAnsi="Arial" w:cs="Arial"/>
          <w:i/>
          <w:iCs/>
        </w:rPr>
        <w:t>Sports Health</w:t>
      </w:r>
      <w:r w:rsidRPr="00C538D0">
        <w:rPr>
          <w:rFonts w:ascii="Arial" w:hAnsi="Arial" w:cs="Arial"/>
        </w:rPr>
        <w:t xml:space="preserve">, 14(5), 632–647. </w:t>
      </w:r>
      <w:hyperlink r:id="rId36" w:history="1">
        <w:r w:rsidRPr="00C538D0">
          <w:rPr>
            <w:rStyle w:val="Hyperlink"/>
            <w:rFonts w:ascii="Arial" w:hAnsi="Arial" w:cs="Arial"/>
          </w:rPr>
          <w:t>https://doi.org/10.1177/19417381221111395</w:t>
        </w:r>
      </w:hyperlink>
      <w:r w:rsidRPr="00C538D0">
        <w:rPr>
          <w:rFonts w:ascii="Arial" w:hAnsi="Arial" w:cs="Arial"/>
        </w:rPr>
        <w:t xml:space="preserve">  </w:t>
      </w:r>
    </w:p>
    <w:p w14:paraId="26377E1C"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MacIntyre</w:t>
      </w:r>
      <w:proofErr w:type="spellEnd"/>
      <w:r w:rsidRPr="00C538D0">
        <w:rPr>
          <w:rFonts w:ascii="Arial" w:hAnsi="Arial" w:cs="Arial"/>
        </w:rPr>
        <w:t>, C.R., </w:t>
      </w:r>
      <w:proofErr w:type="spellStart"/>
      <w:r w:rsidRPr="00C538D0">
        <w:rPr>
          <w:rFonts w:ascii="Arial" w:hAnsi="Arial" w:cs="Arial"/>
        </w:rPr>
        <w:t>Chughtai</w:t>
      </w:r>
      <w:proofErr w:type="spellEnd"/>
      <w:r w:rsidRPr="00C538D0">
        <w:rPr>
          <w:rFonts w:ascii="Arial" w:hAnsi="Arial" w:cs="Arial"/>
        </w:rPr>
        <w:t>, A.A., </w:t>
      </w:r>
      <w:proofErr w:type="spellStart"/>
      <w:r w:rsidRPr="00C538D0">
        <w:rPr>
          <w:rFonts w:ascii="Arial" w:hAnsi="Arial" w:cs="Arial"/>
        </w:rPr>
        <w:t>Kunasekaran</w:t>
      </w:r>
      <w:proofErr w:type="spellEnd"/>
      <w:r w:rsidRPr="00C538D0">
        <w:rPr>
          <w:rFonts w:ascii="Arial" w:hAnsi="Arial" w:cs="Arial"/>
        </w:rPr>
        <w:t>, M., </w:t>
      </w:r>
      <w:proofErr w:type="spellStart"/>
      <w:r w:rsidRPr="00C538D0">
        <w:rPr>
          <w:rFonts w:ascii="Arial" w:hAnsi="Arial" w:cs="Arial"/>
        </w:rPr>
        <w:t>Tawfiq</w:t>
      </w:r>
      <w:proofErr w:type="spellEnd"/>
      <w:r w:rsidRPr="00C538D0">
        <w:rPr>
          <w:rFonts w:ascii="Arial" w:hAnsi="Arial" w:cs="Arial"/>
        </w:rPr>
        <w:t>, E., &amp; Greenhalgh, T. (2025). The role of masks and respirators in preventing respiratory infections in healthcare and community settings. </w:t>
      </w:r>
      <w:r w:rsidRPr="00C538D0">
        <w:rPr>
          <w:rFonts w:ascii="Arial" w:hAnsi="Arial" w:cs="Arial"/>
          <w:i/>
          <w:iCs/>
        </w:rPr>
        <w:t>BMJ</w:t>
      </w:r>
      <w:r w:rsidRPr="00C538D0">
        <w:rPr>
          <w:rFonts w:ascii="Arial" w:hAnsi="Arial" w:cs="Arial"/>
        </w:rPr>
        <w:t>, 388, e078573. </w:t>
      </w:r>
      <w:hyperlink r:id="rId37" w:history="1">
        <w:r w:rsidRPr="00C538D0">
          <w:rPr>
            <w:rStyle w:val="Hyperlink"/>
            <w:rFonts w:ascii="Arial" w:hAnsi="Arial" w:cs="Arial"/>
          </w:rPr>
          <w:t>https://doi.org/10.1136/bmj-2023-078573</w:t>
        </w:r>
      </w:hyperlink>
      <w:r w:rsidRPr="00C538D0">
        <w:rPr>
          <w:rFonts w:ascii="Arial" w:hAnsi="Arial" w:cs="Arial"/>
        </w:rPr>
        <w:t xml:space="preserve"> </w:t>
      </w:r>
    </w:p>
    <w:p w14:paraId="39EDB803"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Mezghani</w:t>
      </w:r>
      <w:proofErr w:type="spellEnd"/>
      <w:r w:rsidRPr="00C538D0">
        <w:rPr>
          <w:rFonts w:ascii="Arial" w:hAnsi="Arial" w:cs="Arial"/>
        </w:rPr>
        <w:t xml:space="preserve">, N., Ammar, A., </w:t>
      </w:r>
      <w:proofErr w:type="spellStart"/>
      <w:r w:rsidRPr="00C538D0">
        <w:rPr>
          <w:rFonts w:ascii="Arial" w:hAnsi="Arial" w:cs="Arial"/>
        </w:rPr>
        <w:t>Boukhris</w:t>
      </w:r>
      <w:proofErr w:type="spellEnd"/>
      <w:r w:rsidRPr="00C538D0">
        <w:rPr>
          <w:rFonts w:ascii="Arial" w:hAnsi="Arial" w:cs="Arial"/>
        </w:rPr>
        <w:t xml:space="preserve">, O., </w:t>
      </w:r>
      <w:proofErr w:type="spellStart"/>
      <w:r w:rsidRPr="00C538D0">
        <w:rPr>
          <w:rFonts w:ascii="Arial" w:hAnsi="Arial" w:cs="Arial"/>
        </w:rPr>
        <w:t>Masmoudi</w:t>
      </w:r>
      <w:proofErr w:type="spellEnd"/>
      <w:r w:rsidRPr="00C538D0">
        <w:rPr>
          <w:rFonts w:ascii="Arial" w:hAnsi="Arial" w:cs="Arial"/>
        </w:rPr>
        <w:t xml:space="preserve">, L., </w:t>
      </w:r>
      <w:proofErr w:type="spellStart"/>
      <w:r w:rsidRPr="00C538D0">
        <w:rPr>
          <w:rFonts w:ascii="Arial" w:hAnsi="Arial" w:cs="Arial"/>
        </w:rPr>
        <w:t>Boujelbane</w:t>
      </w:r>
      <w:proofErr w:type="spellEnd"/>
      <w:r w:rsidRPr="00C538D0">
        <w:rPr>
          <w:rFonts w:ascii="Arial" w:hAnsi="Arial" w:cs="Arial"/>
        </w:rPr>
        <w:t xml:space="preserve">, M. A., Ben </w:t>
      </w:r>
      <w:proofErr w:type="spellStart"/>
      <w:r w:rsidRPr="00C538D0">
        <w:rPr>
          <w:rFonts w:ascii="Arial" w:hAnsi="Arial" w:cs="Arial"/>
        </w:rPr>
        <w:t>Ayed</w:t>
      </w:r>
      <w:proofErr w:type="spellEnd"/>
      <w:r w:rsidRPr="00C538D0">
        <w:rPr>
          <w:rFonts w:ascii="Arial" w:hAnsi="Arial" w:cs="Arial"/>
        </w:rPr>
        <w:t xml:space="preserve">, R., </w:t>
      </w:r>
      <w:proofErr w:type="spellStart"/>
      <w:r w:rsidRPr="00C538D0">
        <w:rPr>
          <w:rFonts w:ascii="Arial" w:hAnsi="Arial" w:cs="Arial"/>
        </w:rPr>
        <w:t>Alzahrani</w:t>
      </w:r>
      <w:proofErr w:type="spellEnd"/>
      <w:r w:rsidRPr="00C538D0">
        <w:rPr>
          <w:rFonts w:ascii="Arial" w:hAnsi="Arial" w:cs="Arial"/>
        </w:rPr>
        <w:t xml:space="preserve">, T. M., </w:t>
      </w:r>
      <w:proofErr w:type="spellStart"/>
      <w:r w:rsidRPr="00C538D0">
        <w:rPr>
          <w:rFonts w:ascii="Arial" w:hAnsi="Arial" w:cs="Arial"/>
        </w:rPr>
        <w:t>Hadadi</w:t>
      </w:r>
      <w:proofErr w:type="spellEnd"/>
      <w:r w:rsidRPr="00C538D0">
        <w:rPr>
          <w:rFonts w:ascii="Arial" w:hAnsi="Arial" w:cs="Arial"/>
        </w:rPr>
        <w:t xml:space="preserve">, A., Abid, R., </w:t>
      </w:r>
      <w:proofErr w:type="spellStart"/>
      <w:r w:rsidRPr="00C538D0">
        <w:rPr>
          <w:rFonts w:ascii="Arial" w:hAnsi="Arial" w:cs="Arial"/>
        </w:rPr>
        <w:t>Ouergui</w:t>
      </w:r>
      <w:proofErr w:type="spellEnd"/>
      <w:r w:rsidRPr="00C538D0">
        <w:rPr>
          <w:rFonts w:ascii="Arial" w:hAnsi="Arial" w:cs="Arial"/>
        </w:rPr>
        <w:t xml:space="preserve">, I., Glenn, J. M., </w:t>
      </w:r>
      <w:proofErr w:type="spellStart"/>
      <w:r w:rsidRPr="00C538D0">
        <w:rPr>
          <w:rFonts w:ascii="Arial" w:hAnsi="Arial" w:cs="Arial"/>
        </w:rPr>
        <w:t>Trabelsi</w:t>
      </w:r>
      <w:proofErr w:type="spellEnd"/>
      <w:r w:rsidRPr="00C538D0">
        <w:rPr>
          <w:rFonts w:ascii="Arial" w:hAnsi="Arial" w:cs="Arial"/>
        </w:rPr>
        <w:t xml:space="preserve">, K., &amp; </w:t>
      </w:r>
      <w:proofErr w:type="spellStart"/>
      <w:r w:rsidRPr="00C538D0">
        <w:rPr>
          <w:rFonts w:ascii="Arial" w:hAnsi="Arial" w:cs="Arial"/>
        </w:rPr>
        <w:t>Chtourou</w:t>
      </w:r>
      <w:proofErr w:type="spellEnd"/>
      <w:r w:rsidRPr="00C538D0">
        <w:rPr>
          <w:rFonts w:ascii="Arial" w:hAnsi="Arial" w:cs="Arial"/>
        </w:rPr>
        <w:t xml:space="preserve">, H. (2023). The impact of wearing different face masks on vigorous physical </w:t>
      </w:r>
      <w:proofErr w:type="spellStart"/>
      <w:r w:rsidRPr="00C538D0">
        <w:rPr>
          <w:rFonts w:ascii="Arial" w:hAnsi="Arial" w:cs="Arial"/>
        </w:rPr>
        <w:t>physical</w:t>
      </w:r>
      <w:proofErr w:type="spellEnd"/>
      <w:r w:rsidRPr="00C538D0">
        <w:rPr>
          <w:rFonts w:ascii="Arial" w:hAnsi="Arial" w:cs="Arial"/>
        </w:rPr>
        <w:t xml:space="preserve"> activity performance and perceived exertion among COVID-19 infected vs. uninfected female students. </w:t>
      </w:r>
      <w:r w:rsidRPr="00C538D0">
        <w:rPr>
          <w:rFonts w:ascii="Arial" w:hAnsi="Arial" w:cs="Arial"/>
          <w:i/>
          <w:iCs/>
        </w:rPr>
        <w:t xml:space="preserve">Eur J </w:t>
      </w:r>
      <w:proofErr w:type="spellStart"/>
      <w:r w:rsidRPr="00C538D0">
        <w:rPr>
          <w:rFonts w:ascii="Arial" w:hAnsi="Arial" w:cs="Arial"/>
          <w:i/>
          <w:iCs/>
        </w:rPr>
        <w:t>Investig</w:t>
      </w:r>
      <w:proofErr w:type="spellEnd"/>
      <w:r w:rsidRPr="00C538D0">
        <w:rPr>
          <w:rFonts w:ascii="Arial" w:hAnsi="Arial" w:cs="Arial"/>
          <w:i/>
          <w:iCs/>
        </w:rPr>
        <w:t xml:space="preserve"> Health Psychol Educ</w:t>
      </w:r>
      <w:r w:rsidRPr="00C538D0">
        <w:rPr>
          <w:rFonts w:ascii="Arial" w:hAnsi="Arial" w:cs="Arial"/>
        </w:rPr>
        <w:t xml:space="preserve">, 13(11), 2709–2723. </w:t>
      </w:r>
      <w:hyperlink r:id="rId38" w:history="1">
        <w:r w:rsidRPr="00C538D0">
          <w:rPr>
            <w:rStyle w:val="Hyperlink"/>
            <w:rFonts w:ascii="Arial" w:hAnsi="Arial" w:cs="Arial"/>
          </w:rPr>
          <w:t>https://doi.org/10.3390/ejihpe13110187</w:t>
        </w:r>
      </w:hyperlink>
      <w:r w:rsidRPr="00C538D0">
        <w:rPr>
          <w:rFonts w:ascii="Arial" w:hAnsi="Arial" w:cs="Arial"/>
        </w:rPr>
        <w:t xml:space="preserve">  </w:t>
      </w:r>
    </w:p>
    <w:p w14:paraId="6FB91BA3" w14:textId="77777777" w:rsidR="00C538D0" w:rsidRPr="00C538D0" w:rsidRDefault="00C538D0" w:rsidP="00C538D0">
      <w:pPr>
        <w:ind w:left="432" w:hanging="432"/>
        <w:jc w:val="both"/>
        <w:rPr>
          <w:rFonts w:ascii="Arial" w:hAnsi="Arial" w:cs="Arial"/>
        </w:rPr>
      </w:pPr>
      <w:r w:rsidRPr="00C538D0">
        <w:rPr>
          <w:rFonts w:ascii="Arial" w:hAnsi="Arial" w:cs="Arial"/>
        </w:rPr>
        <w:t xml:space="preserve">O'Driscoll, B.R., Kirton, L., Weatherall, M., </w:t>
      </w:r>
      <w:proofErr w:type="spellStart"/>
      <w:r w:rsidRPr="00C538D0">
        <w:rPr>
          <w:rFonts w:ascii="Arial" w:hAnsi="Arial" w:cs="Arial"/>
        </w:rPr>
        <w:t>Bakerly</w:t>
      </w:r>
      <w:proofErr w:type="spellEnd"/>
      <w:r w:rsidRPr="00C538D0">
        <w:rPr>
          <w:rFonts w:ascii="Arial" w:hAnsi="Arial" w:cs="Arial"/>
        </w:rPr>
        <w:t xml:space="preserve">, N.D., Turkington, P., Cook, J., &amp; Beasley, R. (2024). Effect of a lower target oxygen saturation range on the risk of </w:t>
      </w:r>
      <w:proofErr w:type="spellStart"/>
      <w:r w:rsidRPr="00C538D0">
        <w:rPr>
          <w:rFonts w:ascii="Arial" w:hAnsi="Arial" w:cs="Arial"/>
        </w:rPr>
        <w:t>hypoxaemia</w:t>
      </w:r>
      <w:proofErr w:type="spellEnd"/>
      <w:r w:rsidRPr="00C538D0">
        <w:rPr>
          <w:rFonts w:ascii="Arial" w:hAnsi="Arial" w:cs="Arial"/>
        </w:rPr>
        <w:t xml:space="preserve"> and elevated NEWS2 scores at a university hospital: a retrospective study. </w:t>
      </w:r>
      <w:r w:rsidRPr="00C538D0">
        <w:rPr>
          <w:rFonts w:ascii="Arial" w:hAnsi="Arial" w:cs="Arial"/>
          <w:i/>
          <w:iCs/>
        </w:rPr>
        <w:t>BMJ Open Respir</w:t>
      </w:r>
      <w:r w:rsidRPr="00C538D0">
        <w:rPr>
          <w:rFonts w:ascii="Arial" w:hAnsi="Arial" w:cs="Arial"/>
        </w:rPr>
        <w:t xml:space="preserve"> </w:t>
      </w:r>
      <w:r w:rsidRPr="00C538D0">
        <w:rPr>
          <w:rFonts w:ascii="Arial" w:hAnsi="Arial" w:cs="Arial"/>
          <w:i/>
          <w:iCs/>
        </w:rPr>
        <w:t>Res</w:t>
      </w:r>
      <w:r w:rsidRPr="00C538D0">
        <w:rPr>
          <w:rFonts w:ascii="Arial" w:hAnsi="Arial" w:cs="Arial"/>
        </w:rPr>
        <w:t xml:space="preserve">, 11, e002019. </w:t>
      </w:r>
      <w:hyperlink r:id="rId39" w:history="1">
        <w:r w:rsidRPr="00C538D0">
          <w:rPr>
            <w:rStyle w:val="Hyperlink"/>
            <w:rFonts w:ascii="Arial" w:hAnsi="Arial" w:cs="Arial"/>
          </w:rPr>
          <w:t>https://doi.org/10.1136/bmjresp-2023-002019</w:t>
        </w:r>
      </w:hyperlink>
    </w:p>
    <w:p w14:paraId="35EBA2C8" w14:textId="2B66202C" w:rsidR="00C538D0" w:rsidRDefault="00C538D0" w:rsidP="00C538D0">
      <w:pPr>
        <w:pStyle w:val="Body"/>
        <w:spacing w:after="0"/>
        <w:ind w:left="432" w:hanging="432"/>
        <w:rPr>
          <w:rFonts w:ascii="Arial" w:hAnsi="Arial" w:cs="Arial"/>
        </w:rPr>
      </w:pPr>
      <w:r w:rsidRPr="00C538D0">
        <w:rPr>
          <w:rFonts w:ascii="Arial" w:hAnsi="Arial" w:cs="Arial"/>
        </w:rPr>
        <w:t>O'Kelly</w:t>
      </w:r>
      <w:r w:rsidRPr="00C538D0">
        <w:rPr>
          <w:rFonts w:ascii="Arial" w:hAnsi="Arial" w:cs="Arial"/>
          <w:b/>
          <w:bCs/>
        </w:rPr>
        <w:t xml:space="preserve">, </w:t>
      </w:r>
      <w:r w:rsidRPr="00C538D0">
        <w:rPr>
          <w:rFonts w:ascii="Arial" w:hAnsi="Arial" w:cs="Arial"/>
        </w:rPr>
        <w:t xml:space="preserve">E., Arora, A., </w:t>
      </w:r>
      <w:proofErr w:type="spellStart"/>
      <w:r w:rsidRPr="00C538D0">
        <w:rPr>
          <w:rFonts w:ascii="Arial" w:hAnsi="Arial" w:cs="Arial"/>
        </w:rPr>
        <w:t>Pirog</w:t>
      </w:r>
      <w:proofErr w:type="spellEnd"/>
      <w:r w:rsidRPr="00C538D0">
        <w:rPr>
          <w:rFonts w:ascii="Arial" w:hAnsi="Arial" w:cs="Arial"/>
        </w:rPr>
        <w:t xml:space="preserve">, S., Ward, J., &amp; Clarkson, P.J. (2021). Comparing the fit of N95, KN95, surgical, and cloth face masks and assessing the accuracy of fit checking. </w:t>
      </w:r>
      <w:proofErr w:type="spellStart"/>
      <w:r w:rsidRPr="00C538D0">
        <w:rPr>
          <w:rFonts w:ascii="Arial" w:hAnsi="Arial" w:cs="Arial"/>
          <w:i/>
          <w:iCs/>
        </w:rPr>
        <w:t>PLoS</w:t>
      </w:r>
      <w:proofErr w:type="spellEnd"/>
      <w:r w:rsidRPr="00C538D0">
        <w:rPr>
          <w:rFonts w:ascii="Arial" w:hAnsi="Arial" w:cs="Arial"/>
          <w:i/>
          <w:iCs/>
        </w:rPr>
        <w:t xml:space="preserve"> One</w:t>
      </w:r>
      <w:r w:rsidRPr="00C538D0">
        <w:rPr>
          <w:rFonts w:ascii="Arial" w:hAnsi="Arial" w:cs="Arial"/>
        </w:rPr>
        <w:t xml:space="preserve">, 16(1), e0245688. </w:t>
      </w:r>
      <w:hyperlink r:id="rId40" w:history="1">
        <w:r w:rsidRPr="00C538D0">
          <w:rPr>
            <w:rStyle w:val="Hyperlink"/>
            <w:rFonts w:ascii="Arial" w:hAnsi="Arial" w:cs="Arial"/>
          </w:rPr>
          <w:t>https://doi.org/10.1371/journal.pone.0245688</w:t>
        </w:r>
      </w:hyperlink>
    </w:p>
    <w:p w14:paraId="38CC3393"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Rogliani</w:t>
      </w:r>
      <w:proofErr w:type="spellEnd"/>
      <w:r w:rsidRPr="00C538D0">
        <w:rPr>
          <w:rFonts w:ascii="Arial" w:hAnsi="Arial" w:cs="Arial"/>
        </w:rPr>
        <w:t xml:space="preserve">, P., </w:t>
      </w:r>
      <w:proofErr w:type="spellStart"/>
      <w:r w:rsidRPr="00C538D0">
        <w:rPr>
          <w:rFonts w:ascii="Arial" w:hAnsi="Arial" w:cs="Arial"/>
        </w:rPr>
        <w:t>Cazzola</w:t>
      </w:r>
      <w:proofErr w:type="spellEnd"/>
      <w:r w:rsidRPr="00C538D0">
        <w:rPr>
          <w:rFonts w:ascii="Arial" w:hAnsi="Arial" w:cs="Arial"/>
        </w:rPr>
        <w:t xml:space="preserve">, M., &amp; </w:t>
      </w:r>
      <w:proofErr w:type="spellStart"/>
      <w:r w:rsidRPr="00C538D0">
        <w:rPr>
          <w:rFonts w:ascii="Arial" w:hAnsi="Arial" w:cs="Arial"/>
        </w:rPr>
        <w:t>Calzetta</w:t>
      </w:r>
      <w:proofErr w:type="spellEnd"/>
      <w:r w:rsidRPr="00C538D0">
        <w:rPr>
          <w:rFonts w:ascii="Arial" w:hAnsi="Arial" w:cs="Arial"/>
        </w:rPr>
        <w:t>, L. (2019). Cardiovascular Disease in Chronic Respiratory Disorders and Beyond</w:t>
      </w:r>
      <w:r w:rsidRPr="00C538D0">
        <w:rPr>
          <w:rFonts w:ascii="Cambria Math" w:hAnsi="Cambria Math" w:cs="Cambria Math"/>
        </w:rPr>
        <w:t>∗</w:t>
      </w:r>
      <w:r w:rsidRPr="00C538D0">
        <w:rPr>
          <w:rFonts w:ascii="Arial" w:hAnsi="Arial" w:cs="Arial"/>
        </w:rPr>
        <w:t xml:space="preserve">. </w:t>
      </w:r>
      <w:r w:rsidRPr="00C538D0">
        <w:rPr>
          <w:rFonts w:ascii="Arial" w:hAnsi="Arial" w:cs="Arial"/>
          <w:i/>
          <w:iCs/>
        </w:rPr>
        <w:t>JACC</w:t>
      </w:r>
      <w:r w:rsidRPr="00C538D0">
        <w:rPr>
          <w:rFonts w:ascii="Arial" w:hAnsi="Arial" w:cs="Arial"/>
        </w:rPr>
        <w:t xml:space="preserve">, 73 (17), 2178–2180. </w:t>
      </w:r>
      <w:hyperlink r:id="rId41" w:history="1">
        <w:r w:rsidRPr="00C538D0">
          <w:rPr>
            <w:rStyle w:val="Hyperlink"/>
            <w:rFonts w:ascii="Arial" w:hAnsi="Arial" w:cs="Arial"/>
          </w:rPr>
          <w:t>https://doi.org/10.1016/j.jacc.2018.11.068</w:t>
        </w:r>
      </w:hyperlink>
      <w:r w:rsidRPr="00C538D0">
        <w:rPr>
          <w:rFonts w:ascii="Arial" w:hAnsi="Arial" w:cs="Arial"/>
        </w:rPr>
        <w:t xml:space="preserve"> </w:t>
      </w:r>
    </w:p>
    <w:p w14:paraId="29A0AB64" w14:textId="3322E789" w:rsidR="007376FF" w:rsidRPr="008A3E73" w:rsidRDefault="007376FF" w:rsidP="00C538D0">
      <w:pPr>
        <w:ind w:left="432" w:hanging="432"/>
        <w:jc w:val="both"/>
        <w:rPr>
          <w:rFonts w:ascii="Arial" w:hAnsi="Arial" w:cs="Arial"/>
          <w:lang w:val="sv-SE"/>
        </w:rPr>
      </w:pPr>
      <w:proofErr w:type="spellStart"/>
      <w:r>
        <w:rPr>
          <w:bCs/>
          <w:lang w:val="en-GB"/>
        </w:rPr>
        <w:t>Sanri</w:t>
      </w:r>
      <w:proofErr w:type="spellEnd"/>
      <w:r>
        <w:rPr>
          <w:bCs/>
          <w:lang w:val="en-GB"/>
        </w:rPr>
        <w:t xml:space="preserve">, E., </w:t>
      </w:r>
      <w:proofErr w:type="spellStart"/>
      <w:r>
        <w:rPr>
          <w:bCs/>
          <w:lang w:val="en-GB"/>
        </w:rPr>
        <w:t>Karacabey</w:t>
      </w:r>
      <w:proofErr w:type="spellEnd"/>
      <w:r>
        <w:rPr>
          <w:bCs/>
          <w:lang w:val="en-GB"/>
        </w:rPr>
        <w:t xml:space="preserve">, S., </w:t>
      </w:r>
      <w:proofErr w:type="spellStart"/>
      <w:r>
        <w:rPr>
          <w:bCs/>
          <w:lang w:val="en-GB"/>
        </w:rPr>
        <w:t>Unal</w:t>
      </w:r>
      <w:proofErr w:type="spellEnd"/>
      <w:r>
        <w:rPr>
          <w:bCs/>
          <w:lang w:val="en-GB"/>
        </w:rPr>
        <w:t xml:space="preserve">, E., Kudu, E., Cetin, M., </w:t>
      </w:r>
      <w:proofErr w:type="spellStart"/>
      <w:r>
        <w:rPr>
          <w:bCs/>
          <w:lang w:val="en-GB"/>
        </w:rPr>
        <w:t>Ozpolat</w:t>
      </w:r>
      <w:proofErr w:type="spellEnd"/>
      <w:r>
        <w:rPr>
          <w:bCs/>
          <w:lang w:val="en-GB"/>
        </w:rPr>
        <w:t xml:space="preserve">, C., </w:t>
      </w:r>
      <w:proofErr w:type="spellStart"/>
      <w:r>
        <w:rPr>
          <w:bCs/>
          <w:lang w:val="en-GB"/>
        </w:rPr>
        <w:t>Denizbasi</w:t>
      </w:r>
      <w:proofErr w:type="spellEnd"/>
      <w:r>
        <w:rPr>
          <w:bCs/>
          <w:lang w:val="en-GB"/>
        </w:rPr>
        <w:t xml:space="preserve">, A. (2022). The Cardiopulmonary Effects of Medical Masks and Filtering Facepiece Respirators on Healthy Health Care Workers in the Emergency Department: A Prospective Cohort Study. </w:t>
      </w:r>
      <w:r w:rsidRPr="008A3E73">
        <w:rPr>
          <w:bCs/>
          <w:i/>
          <w:iCs/>
          <w:lang w:val="sv-SE"/>
        </w:rPr>
        <w:t>J Emerg Med</w:t>
      </w:r>
      <w:r w:rsidRPr="008A3E73">
        <w:rPr>
          <w:bCs/>
          <w:lang w:val="sv-SE"/>
        </w:rPr>
        <w:t xml:space="preserve">, 62(5), 600-606. </w:t>
      </w:r>
      <w:hyperlink r:id="rId42" w:history="1">
        <w:r w:rsidRPr="008A3E73">
          <w:rPr>
            <w:rStyle w:val="Hyperlink"/>
            <w:bCs/>
            <w:lang w:val="sv-SE"/>
          </w:rPr>
          <w:t>doi: 10.1016/j.jemermed.2021.11.021.</w:t>
        </w:r>
      </w:hyperlink>
      <w:r w:rsidRPr="008A3E73">
        <w:rPr>
          <w:bCs/>
          <w:lang w:val="sv-SE"/>
        </w:rPr>
        <w:t xml:space="preserve"> </w:t>
      </w:r>
    </w:p>
    <w:p w14:paraId="0CE36F96" w14:textId="0576622A" w:rsidR="00C538D0" w:rsidRPr="00C538D0" w:rsidRDefault="00C538D0" w:rsidP="00C538D0">
      <w:pPr>
        <w:ind w:left="432" w:hanging="432"/>
        <w:jc w:val="both"/>
        <w:rPr>
          <w:rFonts w:ascii="Arial" w:hAnsi="Arial" w:cs="Arial"/>
        </w:rPr>
      </w:pPr>
      <w:r w:rsidRPr="008A3E73">
        <w:rPr>
          <w:rFonts w:ascii="Arial" w:hAnsi="Arial" w:cs="Arial"/>
          <w:lang w:val="sv-SE"/>
        </w:rPr>
        <w:t xml:space="preserve">Santisteban, K.J., Lovering, A.T., Halliwill, J.R., &amp; Minson, C.T. (2022). </w:t>
      </w:r>
      <w:r w:rsidRPr="00C538D0">
        <w:rPr>
          <w:rFonts w:ascii="Arial" w:hAnsi="Arial" w:cs="Arial"/>
        </w:rPr>
        <w:t>Sex differences in VO</w:t>
      </w:r>
      <w:r w:rsidRPr="00C538D0">
        <w:rPr>
          <w:rFonts w:ascii="Arial" w:hAnsi="Arial" w:cs="Arial"/>
          <w:vertAlign w:val="subscript"/>
        </w:rPr>
        <w:t>2max</w:t>
      </w:r>
      <w:r w:rsidRPr="00C538D0">
        <w:rPr>
          <w:rFonts w:ascii="Arial" w:hAnsi="Arial" w:cs="Arial"/>
        </w:rPr>
        <w:t xml:space="preserve"> and the impact on endurance-physical activity performance. </w:t>
      </w:r>
      <w:r w:rsidRPr="00C538D0">
        <w:rPr>
          <w:rFonts w:ascii="Arial" w:hAnsi="Arial" w:cs="Arial"/>
          <w:i/>
          <w:iCs/>
        </w:rPr>
        <w:t>Int J Environ Res Public Health</w:t>
      </w:r>
      <w:r w:rsidRPr="00C538D0">
        <w:rPr>
          <w:rFonts w:ascii="Arial" w:hAnsi="Arial" w:cs="Arial"/>
        </w:rPr>
        <w:t xml:space="preserve">, 19(9), 4946. </w:t>
      </w:r>
      <w:hyperlink r:id="rId43" w:history="1">
        <w:r w:rsidRPr="00C538D0">
          <w:rPr>
            <w:rStyle w:val="Hyperlink"/>
            <w:rFonts w:ascii="Arial" w:hAnsi="Arial" w:cs="Arial"/>
          </w:rPr>
          <w:t>https://doi.org/10.3390/ijerph19094946</w:t>
        </w:r>
      </w:hyperlink>
      <w:r w:rsidRPr="00C538D0">
        <w:rPr>
          <w:rFonts w:ascii="Arial" w:hAnsi="Arial" w:cs="Arial"/>
        </w:rPr>
        <w:t xml:space="preserve"> </w:t>
      </w:r>
    </w:p>
    <w:p w14:paraId="0C3C9786" w14:textId="77777777" w:rsidR="00C538D0" w:rsidRPr="00C538D0" w:rsidRDefault="00C538D0" w:rsidP="00C538D0">
      <w:pPr>
        <w:ind w:left="432" w:hanging="432"/>
        <w:jc w:val="both"/>
        <w:rPr>
          <w:rFonts w:ascii="Arial" w:hAnsi="Arial" w:cs="Arial"/>
        </w:rPr>
      </w:pPr>
      <w:r w:rsidRPr="00C538D0">
        <w:rPr>
          <w:rFonts w:ascii="Arial" w:hAnsi="Arial" w:cs="Arial"/>
        </w:rPr>
        <w:t xml:space="preserve">Shaw, K.A., </w:t>
      </w:r>
      <w:proofErr w:type="spellStart"/>
      <w:r w:rsidRPr="00C538D0">
        <w:rPr>
          <w:rFonts w:ascii="Arial" w:hAnsi="Arial" w:cs="Arial"/>
        </w:rPr>
        <w:t>Zello</w:t>
      </w:r>
      <w:proofErr w:type="spellEnd"/>
      <w:r w:rsidRPr="00C538D0">
        <w:rPr>
          <w:rFonts w:ascii="Arial" w:hAnsi="Arial" w:cs="Arial"/>
        </w:rPr>
        <w:t>, G.A., Butcher, S.J., Ko, J.B., Bertrand, L., &amp; </w:t>
      </w:r>
      <w:proofErr w:type="spellStart"/>
      <w:r w:rsidRPr="00C538D0">
        <w:rPr>
          <w:rFonts w:ascii="Arial" w:hAnsi="Arial" w:cs="Arial"/>
        </w:rPr>
        <w:t>Chilibeck</w:t>
      </w:r>
      <w:proofErr w:type="spellEnd"/>
      <w:r w:rsidRPr="00C538D0">
        <w:rPr>
          <w:rFonts w:ascii="Arial" w:hAnsi="Arial" w:cs="Arial"/>
        </w:rPr>
        <w:t>, P.D. (2021). The impact of face masks on performance and physiological outcomes during physical activity: A systematic review and meta-analysis. </w:t>
      </w:r>
      <w:r w:rsidRPr="00C538D0">
        <w:rPr>
          <w:rFonts w:ascii="Arial" w:hAnsi="Arial" w:cs="Arial"/>
          <w:i/>
          <w:iCs/>
        </w:rPr>
        <w:t xml:space="preserve">Appl </w:t>
      </w:r>
      <w:proofErr w:type="spellStart"/>
      <w:r w:rsidRPr="00C538D0">
        <w:rPr>
          <w:rFonts w:ascii="Arial" w:hAnsi="Arial" w:cs="Arial"/>
          <w:i/>
          <w:iCs/>
        </w:rPr>
        <w:t>Physiol</w:t>
      </w:r>
      <w:proofErr w:type="spellEnd"/>
      <w:r w:rsidRPr="00C538D0">
        <w:rPr>
          <w:rFonts w:ascii="Arial" w:hAnsi="Arial" w:cs="Arial"/>
          <w:i/>
          <w:iCs/>
        </w:rPr>
        <w:t xml:space="preserve"> </w:t>
      </w:r>
      <w:proofErr w:type="spellStart"/>
      <w:r w:rsidRPr="00C538D0">
        <w:rPr>
          <w:rFonts w:ascii="Arial" w:hAnsi="Arial" w:cs="Arial"/>
          <w:i/>
          <w:iCs/>
        </w:rPr>
        <w:t>Nutr</w:t>
      </w:r>
      <w:proofErr w:type="spellEnd"/>
      <w:r w:rsidRPr="00C538D0">
        <w:rPr>
          <w:rFonts w:ascii="Arial" w:hAnsi="Arial" w:cs="Arial"/>
          <w:i/>
          <w:iCs/>
        </w:rPr>
        <w:t xml:space="preserve"> </w:t>
      </w:r>
      <w:proofErr w:type="spellStart"/>
      <w:r w:rsidRPr="00C538D0">
        <w:rPr>
          <w:rFonts w:ascii="Arial" w:hAnsi="Arial" w:cs="Arial"/>
          <w:i/>
          <w:iCs/>
        </w:rPr>
        <w:t>Metab</w:t>
      </w:r>
      <w:proofErr w:type="spellEnd"/>
      <w:r w:rsidRPr="00C538D0">
        <w:rPr>
          <w:rFonts w:ascii="Arial" w:hAnsi="Arial" w:cs="Arial"/>
        </w:rPr>
        <w:t>, 46(7), 693–703. </w:t>
      </w:r>
      <w:hyperlink r:id="rId44" w:history="1">
        <w:r w:rsidRPr="00C538D0">
          <w:rPr>
            <w:rStyle w:val="Hyperlink"/>
            <w:rFonts w:ascii="Arial" w:hAnsi="Arial" w:cs="Arial"/>
          </w:rPr>
          <w:t>https://doi.org/10.1139/apnm-2021-0143</w:t>
        </w:r>
      </w:hyperlink>
      <w:r w:rsidRPr="00C538D0">
        <w:rPr>
          <w:rFonts w:ascii="Arial" w:hAnsi="Arial" w:cs="Arial"/>
        </w:rPr>
        <w:t xml:space="preserve">  </w:t>
      </w:r>
    </w:p>
    <w:p w14:paraId="0B8DB4D8" w14:textId="77777777" w:rsidR="00C538D0" w:rsidRPr="00C538D0" w:rsidRDefault="00C538D0" w:rsidP="00C538D0">
      <w:pPr>
        <w:ind w:left="432" w:hanging="432"/>
        <w:jc w:val="both"/>
        <w:rPr>
          <w:rFonts w:ascii="Arial" w:hAnsi="Arial" w:cs="Arial"/>
        </w:rPr>
      </w:pPr>
      <w:r w:rsidRPr="00C538D0">
        <w:rPr>
          <w:rFonts w:ascii="Arial" w:hAnsi="Arial" w:cs="Arial"/>
        </w:rPr>
        <w:t xml:space="preserve">Shui, L., Yang, B., Tang, H., Luo, Y., Hu, S., Zhong, X., &amp; </w:t>
      </w:r>
      <w:proofErr w:type="spellStart"/>
      <w:r w:rsidRPr="00C538D0">
        <w:rPr>
          <w:rFonts w:ascii="Arial" w:hAnsi="Arial" w:cs="Arial"/>
        </w:rPr>
        <w:t>Duan</w:t>
      </w:r>
      <w:proofErr w:type="spellEnd"/>
      <w:r w:rsidRPr="00C538D0">
        <w:rPr>
          <w:rFonts w:ascii="Arial" w:hAnsi="Arial" w:cs="Arial"/>
        </w:rPr>
        <w:t xml:space="preserve">, J. (2022). Physiological effects of surgical and N95 masks during physical activity in the COVID-19 era. </w:t>
      </w:r>
      <w:r w:rsidRPr="00C538D0">
        <w:rPr>
          <w:rFonts w:ascii="Arial" w:hAnsi="Arial" w:cs="Arial"/>
          <w:i/>
          <w:iCs/>
        </w:rPr>
        <w:t>Am J Med Sci</w:t>
      </w:r>
      <w:r w:rsidRPr="00C538D0">
        <w:rPr>
          <w:rFonts w:ascii="Arial" w:hAnsi="Arial" w:cs="Arial"/>
        </w:rPr>
        <w:t xml:space="preserve">, 363(5), 411–419. </w:t>
      </w:r>
      <w:hyperlink r:id="rId45" w:history="1">
        <w:r w:rsidRPr="00C538D0">
          <w:rPr>
            <w:rStyle w:val="Hyperlink"/>
            <w:rFonts w:ascii="Arial" w:hAnsi="Arial" w:cs="Arial"/>
          </w:rPr>
          <w:t>https://doi.org/10.1016/j.amjms.2022.02.006</w:t>
        </w:r>
      </w:hyperlink>
      <w:r w:rsidRPr="00C538D0">
        <w:rPr>
          <w:rFonts w:ascii="Arial" w:hAnsi="Arial" w:cs="Arial"/>
        </w:rPr>
        <w:t xml:space="preserve"> </w:t>
      </w:r>
    </w:p>
    <w:p w14:paraId="565F68AE" w14:textId="77777777" w:rsidR="00C538D0" w:rsidRPr="00C538D0" w:rsidRDefault="00C538D0" w:rsidP="00C538D0">
      <w:pPr>
        <w:ind w:left="432" w:hanging="432"/>
        <w:jc w:val="both"/>
        <w:rPr>
          <w:rFonts w:ascii="Arial" w:hAnsi="Arial" w:cs="Arial"/>
        </w:rPr>
      </w:pPr>
      <w:r w:rsidRPr="00C538D0">
        <w:rPr>
          <w:rFonts w:ascii="Arial" w:hAnsi="Arial" w:cs="Arial"/>
        </w:rPr>
        <w:t xml:space="preserve">Singla, M., </w:t>
      </w:r>
      <w:proofErr w:type="spellStart"/>
      <w:r w:rsidRPr="00C538D0">
        <w:rPr>
          <w:rFonts w:ascii="Arial" w:hAnsi="Arial" w:cs="Arial"/>
        </w:rPr>
        <w:t>Soni</w:t>
      </w:r>
      <w:proofErr w:type="spellEnd"/>
      <w:r w:rsidRPr="00C538D0">
        <w:rPr>
          <w:rFonts w:ascii="Arial" w:hAnsi="Arial" w:cs="Arial"/>
        </w:rPr>
        <w:t xml:space="preserve">, R.K., </w:t>
      </w:r>
      <w:proofErr w:type="spellStart"/>
      <w:r w:rsidRPr="00C538D0">
        <w:rPr>
          <w:rFonts w:ascii="Arial" w:hAnsi="Arial" w:cs="Arial"/>
        </w:rPr>
        <w:t>Chhina</w:t>
      </w:r>
      <w:proofErr w:type="spellEnd"/>
      <w:r w:rsidRPr="00C538D0">
        <w:rPr>
          <w:rFonts w:ascii="Arial" w:hAnsi="Arial" w:cs="Arial"/>
        </w:rPr>
        <w:t xml:space="preserve">, R.S., Chhabra, S.T., &amp; Wander, G.S. (2022). Impact of long duration wearing of N95 masks on cardiorespiratory system and subjective sensations of health-care workers during COVID-19 era. </w:t>
      </w:r>
      <w:r w:rsidRPr="00C538D0">
        <w:rPr>
          <w:rFonts w:ascii="Arial" w:hAnsi="Arial" w:cs="Arial"/>
          <w:i/>
          <w:iCs/>
        </w:rPr>
        <w:t xml:space="preserve">J </w:t>
      </w:r>
      <w:proofErr w:type="spellStart"/>
      <w:r w:rsidRPr="00C538D0">
        <w:rPr>
          <w:rFonts w:ascii="Arial" w:hAnsi="Arial" w:cs="Arial"/>
          <w:i/>
          <w:iCs/>
        </w:rPr>
        <w:t>Anaesthesiol</w:t>
      </w:r>
      <w:proofErr w:type="spellEnd"/>
      <w:r w:rsidRPr="00C538D0">
        <w:rPr>
          <w:rFonts w:ascii="Arial" w:hAnsi="Arial" w:cs="Arial"/>
          <w:i/>
          <w:iCs/>
        </w:rPr>
        <w:t xml:space="preserve"> Clin </w:t>
      </w:r>
      <w:proofErr w:type="spellStart"/>
      <w:r w:rsidRPr="00C538D0">
        <w:rPr>
          <w:rFonts w:ascii="Arial" w:hAnsi="Arial" w:cs="Arial"/>
          <w:i/>
          <w:iCs/>
        </w:rPr>
        <w:t>Pharmacol</w:t>
      </w:r>
      <w:proofErr w:type="spellEnd"/>
      <w:r w:rsidRPr="00C538D0">
        <w:rPr>
          <w:rFonts w:ascii="Arial" w:hAnsi="Arial" w:cs="Arial"/>
        </w:rPr>
        <w:t xml:space="preserve">, 38(4), 599–604. </w:t>
      </w:r>
      <w:hyperlink r:id="rId46" w:history="1">
        <w:r w:rsidRPr="00C538D0">
          <w:rPr>
            <w:rStyle w:val="Hyperlink"/>
            <w:rFonts w:ascii="Arial" w:hAnsi="Arial" w:cs="Arial"/>
          </w:rPr>
          <w:t>https://doi.org/10.4103/joacp.JOACP_644_20</w:t>
        </w:r>
      </w:hyperlink>
      <w:r w:rsidRPr="00C538D0">
        <w:rPr>
          <w:rFonts w:ascii="Arial" w:hAnsi="Arial" w:cs="Arial"/>
        </w:rPr>
        <w:t xml:space="preserve"> </w:t>
      </w:r>
    </w:p>
    <w:p w14:paraId="253FCD7B" w14:textId="77777777" w:rsidR="00C538D0" w:rsidRPr="00C538D0" w:rsidRDefault="00C538D0" w:rsidP="00C538D0">
      <w:pPr>
        <w:ind w:left="432" w:hanging="432"/>
        <w:jc w:val="both"/>
        <w:rPr>
          <w:rFonts w:ascii="Arial" w:hAnsi="Arial" w:cs="Arial"/>
          <w:lang w:val="sv-SE"/>
        </w:rPr>
      </w:pPr>
      <w:proofErr w:type="spellStart"/>
      <w:r w:rsidRPr="00C538D0">
        <w:rPr>
          <w:rFonts w:ascii="Arial" w:hAnsi="Arial" w:cs="Arial"/>
        </w:rPr>
        <w:t>Sukul</w:t>
      </w:r>
      <w:proofErr w:type="spellEnd"/>
      <w:r w:rsidRPr="00C538D0">
        <w:rPr>
          <w:rFonts w:ascii="Arial" w:hAnsi="Arial" w:cs="Arial"/>
        </w:rPr>
        <w:t xml:space="preserve">, P., Bartels, J., Fuchs, P., </w:t>
      </w:r>
      <w:proofErr w:type="spellStart"/>
      <w:r w:rsidRPr="00C538D0">
        <w:rPr>
          <w:rFonts w:ascii="Arial" w:hAnsi="Arial" w:cs="Arial"/>
        </w:rPr>
        <w:t>Trefz</w:t>
      </w:r>
      <w:proofErr w:type="spellEnd"/>
      <w:r w:rsidRPr="00C538D0">
        <w:rPr>
          <w:rFonts w:ascii="Arial" w:hAnsi="Arial" w:cs="Arial"/>
        </w:rPr>
        <w:t xml:space="preserve">, P., Remy, R., </w:t>
      </w:r>
      <w:proofErr w:type="spellStart"/>
      <w:r w:rsidRPr="00C538D0">
        <w:rPr>
          <w:rFonts w:ascii="Arial" w:hAnsi="Arial" w:cs="Arial"/>
        </w:rPr>
        <w:t>Rührmund</w:t>
      </w:r>
      <w:proofErr w:type="spellEnd"/>
      <w:r w:rsidRPr="00C538D0">
        <w:rPr>
          <w:rFonts w:ascii="Arial" w:hAnsi="Arial" w:cs="Arial"/>
        </w:rPr>
        <w:t xml:space="preserve">, L., </w:t>
      </w:r>
      <w:proofErr w:type="spellStart"/>
      <w:r w:rsidRPr="00C538D0">
        <w:rPr>
          <w:rFonts w:ascii="Arial" w:hAnsi="Arial" w:cs="Arial"/>
        </w:rPr>
        <w:t>Kamysek</w:t>
      </w:r>
      <w:proofErr w:type="spellEnd"/>
      <w:r w:rsidRPr="00C538D0">
        <w:rPr>
          <w:rFonts w:ascii="Arial" w:hAnsi="Arial" w:cs="Arial"/>
        </w:rPr>
        <w:t xml:space="preserve">, S., Schubert, J.K., &amp; </w:t>
      </w:r>
      <w:proofErr w:type="spellStart"/>
      <w:r w:rsidRPr="00C538D0">
        <w:rPr>
          <w:rFonts w:ascii="Arial" w:hAnsi="Arial" w:cs="Arial"/>
        </w:rPr>
        <w:t>Miekisch</w:t>
      </w:r>
      <w:proofErr w:type="spellEnd"/>
      <w:r w:rsidRPr="00C538D0">
        <w:rPr>
          <w:rFonts w:ascii="Arial" w:hAnsi="Arial" w:cs="Arial"/>
        </w:rPr>
        <w:t xml:space="preserve">, W. (2022). Effects of COVID-19 protective face masks and wearing durations on respiratory </w:t>
      </w:r>
      <w:proofErr w:type="spellStart"/>
      <w:r w:rsidRPr="00C538D0">
        <w:rPr>
          <w:rFonts w:ascii="Arial" w:hAnsi="Arial" w:cs="Arial"/>
        </w:rPr>
        <w:t>haemodynamic</w:t>
      </w:r>
      <w:proofErr w:type="spellEnd"/>
      <w:r w:rsidRPr="00C538D0">
        <w:rPr>
          <w:rFonts w:ascii="Arial" w:hAnsi="Arial" w:cs="Arial"/>
        </w:rPr>
        <w:t xml:space="preserve"> physiology and exhaled breath constituents. </w:t>
      </w:r>
      <w:r w:rsidRPr="00C538D0">
        <w:rPr>
          <w:rFonts w:ascii="Arial" w:hAnsi="Arial" w:cs="Arial"/>
          <w:i/>
          <w:iCs/>
          <w:lang w:val="sv-SE"/>
        </w:rPr>
        <w:t>Eur Respir J</w:t>
      </w:r>
      <w:r w:rsidRPr="00C538D0">
        <w:rPr>
          <w:rFonts w:ascii="Arial" w:hAnsi="Arial" w:cs="Arial"/>
          <w:lang w:val="sv-SE"/>
        </w:rPr>
        <w:t xml:space="preserve">, 60(3), 2200009. </w:t>
      </w:r>
      <w:hyperlink r:id="rId47" w:history="1">
        <w:r w:rsidRPr="00C538D0">
          <w:rPr>
            <w:rStyle w:val="Hyperlink"/>
            <w:rFonts w:ascii="Arial" w:hAnsi="Arial" w:cs="Arial"/>
            <w:lang w:val="sv-SE"/>
          </w:rPr>
          <w:t>https://doi.org/10.1183/13993003.00009-2022</w:t>
        </w:r>
      </w:hyperlink>
      <w:r w:rsidRPr="00C538D0">
        <w:rPr>
          <w:rFonts w:ascii="Arial" w:hAnsi="Arial" w:cs="Arial"/>
          <w:lang w:val="sv-SE"/>
        </w:rPr>
        <w:t xml:space="preserve"> </w:t>
      </w:r>
    </w:p>
    <w:p w14:paraId="1BBA9B3D"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Tesfaldet, Y.T., &amp; Ndeh, N.T. (2022). </w:t>
      </w:r>
      <w:r w:rsidRPr="00C538D0">
        <w:rPr>
          <w:rFonts w:ascii="Arial" w:hAnsi="Arial" w:cs="Arial"/>
        </w:rPr>
        <w:t xml:space="preserve">Public face masks wearing during the COVID-19 pandemic: A comprehensive analysis is needed for potential implications. </w:t>
      </w:r>
      <w:r w:rsidRPr="00C538D0">
        <w:rPr>
          <w:rFonts w:ascii="Arial" w:hAnsi="Arial" w:cs="Arial"/>
          <w:i/>
          <w:iCs/>
        </w:rPr>
        <w:t>J Hazard Mater Adv</w:t>
      </w:r>
      <w:r w:rsidRPr="00C538D0">
        <w:rPr>
          <w:rFonts w:ascii="Arial" w:hAnsi="Arial" w:cs="Arial"/>
        </w:rPr>
        <w:t xml:space="preserve">, 7, 100125. </w:t>
      </w:r>
      <w:hyperlink r:id="rId48" w:history="1">
        <w:r w:rsidRPr="00C538D0">
          <w:rPr>
            <w:rStyle w:val="Hyperlink"/>
            <w:rFonts w:ascii="Arial" w:hAnsi="Arial" w:cs="Arial"/>
          </w:rPr>
          <w:t>https://doi.org/10.1016/j.hazadv.2022.100125</w:t>
        </w:r>
      </w:hyperlink>
      <w:r w:rsidRPr="00C538D0">
        <w:rPr>
          <w:rFonts w:ascii="Arial" w:hAnsi="Arial" w:cs="Arial"/>
        </w:rPr>
        <w:t xml:space="preserve"> </w:t>
      </w:r>
    </w:p>
    <w:p w14:paraId="60E2256F"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lastRenderedPageBreak/>
        <w:t>Molgat-Seon</w:t>
      </w:r>
      <w:proofErr w:type="spellEnd"/>
      <w:r w:rsidRPr="00C538D0">
        <w:rPr>
          <w:rFonts w:ascii="Arial" w:hAnsi="Arial" w:cs="Arial"/>
        </w:rPr>
        <w:t xml:space="preserve">, Y., Peters, C.M., &amp; </w:t>
      </w:r>
      <w:proofErr w:type="spellStart"/>
      <w:r w:rsidRPr="00C538D0">
        <w:rPr>
          <w:rFonts w:ascii="Arial" w:hAnsi="Arial" w:cs="Arial"/>
        </w:rPr>
        <w:t>Sheel</w:t>
      </w:r>
      <w:proofErr w:type="spellEnd"/>
      <w:r w:rsidRPr="00C538D0">
        <w:rPr>
          <w:rFonts w:ascii="Arial" w:hAnsi="Arial" w:cs="Arial"/>
        </w:rPr>
        <w:t xml:space="preserve">, A.W. (2018). Sex-differences in the human respiratory system and their impact on resting pulmonary function and the integrative response to physical activity. </w:t>
      </w:r>
      <w:proofErr w:type="spellStart"/>
      <w:r w:rsidRPr="00C538D0">
        <w:rPr>
          <w:rFonts w:ascii="Arial" w:hAnsi="Arial" w:cs="Arial"/>
          <w:i/>
          <w:iCs/>
        </w:rPr>
        <w:t>Curr</w:t>
      </w:r>
      <w:proofErr w:type="spellEnd"/>
      <w:r w:rsidRPr="00C538D0">
        <w:rPr>
          <w:rFonts w:ascii="Arial" w:hAnsi="Arial" w:cs="Arial"/>
          <w:i/>
          <w:iCs/>
        </w:rPr>
        <w:t xml:space="preserve"> </w:t>
      </w:r>
      <w:proofErr w:type="spellStart"/>
      <w:r w:rsidRPr="00C538D0">
        <w:rPr>
          <w:rFonts w:ascii="Arial" w:hAnsi="Arial" w:cs="Arial"/>
          <w:i/>
          <w:iCs/>
        </w:rPr>
        <w:t>Opin</w:t>
      </w:r>
      <w:proofErr w:type="spellEnd"/>
      <w:r w:rsidRPr="00C538D0">
        <w:rPr>
          <w:rFonts w:ascii="Arial" w:hAnsi="Arial" w:cs="Arial"/>
          <w:i/>
          <w:iCs/>
        </w:rPr>
        <w:t xml:space="preserve"> </w:t>
      </w:r>
      <w:proofErr w:type="spellStart"/>
      <w:r w:rsidRPr="00C538D0">
        <w:rPr>
          <w:rFonts w:ascii="Arial" w:hAnsi="Arial" w:cs="Arial"/>
          <w:i/>
          <w:iCs/>
        </w:rPr>
        <w:t>Physiol</w:t>
      </w:r>
      <w:proofErr w:type="spellEnd"/>
      <w:r w:rsidRPr="00C538D0">
        <w:rPr>
          <w:rFonts w:ascii="Arial" w:hAnsi="Arial" w:cs="Arial"/>
        </w:rPr>
        <w:t xml:space="preserve">, 6, 21–27. </w:t>
      </w:r>
      <w:hyperlink r:id="rId49" w:history="1">
        <w:r w:rsidRPr="00C538D0">
          <w:rPr>
            <w:rStyle w:val="Hyperlink"/>
            <w:rFonts w:ascii="Arial" w:hAnsi="Arial" w:cs="Arial"/>
          </w:rPr>
          <w:t>https://doi.org/10.1016/j.cophys.2018.03.007</w:t>
        </w:r>
      </w:hyperlink>
      <w:r w:rsidRPr="00C538D0">
        <w:rPr>
          <w:rFonts w:ascii="Arial" w:hAnsi="Arial" w:cs="Arial"/>
        </w:rPr>
        <w:t xml:space="preserve"> </w:t>
      </w:r>
    </w:p>
    <w:p w14:paraId="5EC30EF4" w14:textId="77777777" w:rsidR="00C538D0" w:rsidRPr="00C538D0" w:rsidRDefault="00C538D0" w:rsidP="00C538D0">
      <w:pPr>
        <w:ind w:left="432" w:hanging="432"/>
        <w:jc w:val="both"/>
        <w:rPr>
          <w:rFonts w:ascii="Arial" w:hAnsi="Arial" w:cs="Arial"/>
        </w:rPr>
      </w:pPr>
      <w:r w:rsidRPr="00C538D0">
        <w:rPr>
          <w:rFonts w:ascii="Arial" w:hAnsi="Arial" w:cs="Arial"/>
        </w:rPr>
        <w:t xml:space="preserve">Vito, D., </w:t>
      </w:r>
      <w:proofErr w:type="spellStart"/>
      <w:r w:rsidRPr="00C538D0">
        <w:rPr>
          <w:rFonts w:ascii="Arial" w:hAnsi="Arial" w:cs="Arial"/>
        </w:rPr>
        <w:t>Lauriola</w:t>
      </w:r>
      <w:proofErr w:type="spellEnd"/>
      <w:r w:rsidRPr="00C538D0">
        <w:rPr>
          <w:rFonts w:ascii="Arial" w:hAnsi="Arial" w:cs="Arial"/>
        </w:rPr>
        <w:t xml:space="preserve">, P., &amp; </w:t>
      </w:r>
      <w:proofErr w:type="spellStart"/>
      <w:r w:rsidRPr="00C538D0">
        <w:rPr>
          <w:rFonts w:ascii="Arial" w:hAnsi="Arial" w:cs="Arial"/>
        </w:rPr>
        <w:t>D'Apice</w:t>
      </w:r>
      <w:proofErr w:type="spellEnd"/>
      <w:r w:rsidRPr="00C538D0">
        <w:rPr>
          <w:rFonts w:ascii="Arial" w:hAnsi="Arial" w:cs="Arial"/>
        </w:rPr>
        <w:t xml:space="preserve">, C. (2022). The COVID-19 pandemic: Reshaping public health policy response envisioning health as a common good. </w:t>
      </w:r>
      <w:r w:rsidRPr="00C538D0">
        <w:rPr>
          <w:rFonts w:ascii="Arial" w:hAnsi="Arial" w:cs="Arial"/>
          <w:i/>
          <w:iCs/>
        </w:rPr>
        <w:t>Int J Environ Res Public Health</w:t>
      </w:r>
      <w:r w:rsidRPr="00C538D0">
        <w:rPr>
          <w:rFonts w:ascii="Arial" w:hAnsi="Arial" w:cs="Arial"/>
        </w:rPr>
        <w:t xml:space="preserve">, 19(16), 9985. </w:t>
      </w:r>
      <w:hyperlink r:id="rId50" w:history="1">
        <w:r w:rsidRPr="00C538D0">
          <w:rPr>
            <w:rStyle w:val="Hyperlink"/>
            <w:rFonts w:ascii="Arial" w:hAnsi="Arial" w:cs="Arial"/>
          </w:rPr>
          <w:t>https://doi.org/10.3390/ijerph19169985</w:t>
        </w:r>
      </w:hyperlink>
      <w:r w:rsidRPr="00C538D0">
        <w:rPr>
          <w:rFonts w:ascii="Arial" w:hAnsi="Arial" w:cs="Arial"/>
        </w:rPr>
        <w:t xml:space="preserve"> </w:t>
      </w:r>
    </w:p>
    <w:p w14:paraId="7C219B9A" w14:textId="77777777" w:rsidR="00C538D0" w:rsidRPr="00C538D0" w:rsidRDefault="00C538D0" w:rsidP="00C538D0">
      <w:pPr>
        <w:ind w:left="432" w:hanging="432"/>
        <w:jc w:val="both"/>
        <w:rPr>
          <w:rFonts w:ascii="Arial" w:hAnsi="Arial" w:cs="Arial"/>
        </w:rPr>
      </w:pPr>
      <w:r w:rsidRPr="00B6415A">
        <w:rPr>
          <w:rFonts w:ascii="Arial" w:hAnsi="Arial" w:cs="Arial"/>
          <w:lang w:val="sv-SE"/>
        </w:rPr>
        <w:t xml:space="preserve">Wismans, A., van der Zwan, P., Wennberg, K., Franken, I., Mukerjee, J., Baptista, R., Marin, J.B., Burke, A., Dejardin, M., Janssen, F., Letina, S., Millian, J.M., ... </w:t>
      </w:r>
      <w:proofErr w:type="spellStart"/>
      <w:r w:rsidRPr="00C538D0">
        <w:rPr>
          <w:rFonts w:ascii="Arial" w:hAnsi="Arial" w:cs="Arial"/>
        </w:rPr>
        <w:t>Thurik</w:t>
      </w:r>
      <w:proofErr w:type="spellEnd"/>
      <w:r w:rsidRPr="00C538D0">
        <w:rPr>
          <w:rFonts w:ascii="Arial" w:hAnsi="Arial" w:cs="Arial"/>
        </w:rPr>
        <w:t>, R. (2022). Face mask use during the COVID-19 pandemic: how risk perception, experience with COVID-19, and attitude towards government interact with country-wide policy stringency. </w:t>
      </w:r>
      <w:r w:rsidRPr="00C538D0">
        <w:rPr>
          <w:rFonts w:ascii="Arial" w:hAnsi="Arial" w:cs="Arial"/>
          <w:i/>
          <w:iCs/>
        </w:rPr>
        <w:t>BMC Public Health</w:t>
      </w:r>
      <w:r w:rsidRPr="00C538D0">
        <w:rPr>
          <w:rFonts w:ascii="Arial" w:hAnsi="Arial" w:cs="Arial"/>
        </w:rPr>
        <w:t>, 22,</w:t>
      </w:r>
      <w:r w:rsidRPr="00C538D0">
        <w:rPr>
          <w:rFonts w:ascii="Arial" w:hAnsi="Arial" w:cs="Arial"/>
          <w:b/>
          <w:bCs/>
        </w:rPr>
        <w:t xml:space="preserve"> </w:t>
      </w:r>
      <w:r w:rsidRPr="00C538D0">
        <w:rPr>
          <w:rFonts w:ascii="Arial" w:hAnsi="Arial" w:cs="Arial"/>
        </w:rPr>
        <w:t xml:space="preserve">1622. </w:t>
      </w:r>
      <w:hyperlink r:id="rId51" w:history="1">
        <w:r w:rsidRPr="00C538D0">
          <w:rPr>
            <w:rStyle w:val="Hyperlink"/>
            <w:rFonts w:ascii="Arial" w:hAnsi="Arial" w:cs="Arial"/>
          </w:rPr>
          <w:t>https://doi.org/10.1186/s12889-022-13632-9</w:t>
        </w:r>
      </w:hyperlink>
      <w:r w:rsidRPr="00C538D0">
        <w:rPr>
          <w:rFonts w:ascii="Arial" w:hAnsi="Arial" w:cs="Arial"/>
        </w:rPr>
        <w:t xml:space="preserve"> </w:t>
      </w:r>
    </w:p>
    <w:p w14:paraId="305B518A" w14:textId="77777777" w:rsidR="00C538D0" w:rsidRPr="00C538D0" w:rsidRDefault="00C538D0" w:rsidP="00C538D0">
      <w:pPr>
        <w:ind w:left="432" w:hanging="432"/>
        <w:jc w:val="both"/>
        <w:rPr>
          <w:rFonts w:ascii="Arial" w:hAnsi="Arial" w:cs="Arial"/>
        </w:rPr>
      </w:pPr>
      <w:r w:rsidRPr="00C538D0">
        <w:rPr>
          <w:rFonts w:ascii="Arial" w:hAnsi="Arial" w:cs="Arial"/>
        </w:rPr>
        <w:t>Xu, J., Xiao, X., Zhang, W., Xu, R., Kim, S.C., Cui, Y., Howard, T.T., Wu, E., &amp; Cui, Y. (2020). Air–Filtering Masks for Respiratory Protection from PM</w:t>
      </w:r>
      <w:r w:rsidRPr="00C538D0">
        <w:rPr>
          <w:rFonts w:ascii="Arial" w:hAnsi="Arial" w:cs="Arial"/>
          <w:vertAlign w:val="subscript"/>
        </w:rPr>
        <w:t>2.5</w:t>
      </w:r>
      <w:r w:rsidRPr="00C538D0">
        <w:rPr>
          <w:rFonts w:ascii="Arial" w:hAnsi="Arial" w:cs="Arial"/>
        </w:rPr>
        <w:t xml:space="preserve"> and Pandemic Pathogens. </w:t>
      </w:r>
      <w:r w:rsidRPr="00C538D0">
        <w:rPr>
          <w:rFonts w:ascii="Arial" w:hAnsi="Arial" w:cs="Arial"/>
          <w:i/>
          <w:iCs/>
        </w:rPr>
        <w:t>One Earth</w:t>
      </w:r>
      <w:r w:rsidRPr="00C538D0">
        <w:rPr>
          <w:rFonts w:ascii="Arial" w:hAnsi="Arial" w:cs="Arial"/>
        </w:rPr>
        <w:t xml:space="preserve">, 3(5), 574–589. </w:t>
      </w:r>
      <w:hyperlink r:id="rId52" w:history="1">
        <w:r w:rsidRPr="00C538D0">
          <w:rPr>
            <w:rStyle w:val="Hyperlink"/>
            <w:rFonts w:ascii="Arial" w:hAnsi="Arial" w:cs="Arial"/>
          </w:rPr>
          <w:t>https://doi.org/10.1016/j.oneear.2020.10.014</w:t>
        </w:r>
      </w:hyperlink>
      <w:r w:rsidRPr="00C538D0">
        <w:rPr>
          <w:rFonts w:ascii="Arial" w:hAnsi="Arial" w:cs="Arial"/>
        </w:rPr>
        <w:t xml:space="preserve"> </w:t>
      </w:r>
    </w:p>
    <w:p w14:paraId="21DFD700" w14:textId="3A53F8DE" w:rsidR="00C538D0" w:rsidRPr="00C538D0" w:rsidRDefault="00C538D0" w:rsidP="00C538D0">
      <w:pPr>
        <w:pStyle w:val="Body"/>
        <w:spacing w:after="0"/>
        <w:ind w:left="432" w:hanging="432"/>
        <w:rPr>
          <w:rFonts w:ascii="Arial" w:hAnsi="Arial" w:cs="Arial"/>
        </w:rPr>
      </w:pPr>
      <w:r w:rsidRPr="00C538D0">
        <w:rPr>
          <w:rFonts w:ascii="Arial" w:hAnsi="Arial" w:cs="Arial"/>
        </w:rPr>
        <w:t xml:space="preserve">Zheng, C., Poon, E.T., Wan, K., Dai, Z., &amp; Wong, S.H. (2023). Effects of wearing a mask during physical activity on physiological and psychological outcomes in healthy individuals: A systematic review and meta-analysis. </w:t>
      </w:r>
      <w:r w:rsidRPr="00C538D0">
        <w:rPr>
          <w:rFonts w:ascii="Arial" w:hAnsi="Arial" w:cs="Arial"/>
          <w:i/>
          <w:iCs/>
        </w:rPr>
        <w:t>Sports Med</w:t>
      </w:r>
      <w:r w:rsidRPr="00C538D0">
        <w:rPr>
          <w:rFonts w:ascii="Arial" w:hAnsi="Arial" w:cs="Arial"/>
        </w:rPr>
        <w:t xml:space="preserve">, 53(1), 125–150. </w:t>
      </w:r>
      <w:hyperlink r:id="rId53" w:history="1">
        <w:r w:rsidRPr="00C538D0">
          <w:rPr>
            <w:rStyle w:val="Hyperlink"/>
            <w:rFonts w:ascii="Arial" w:hAnsi="Arial" w:cs="Arial"/>
          </w:rPr>
          <w:t>https://doi.org/10.1007/s40279-022-01746-4</w:t>
        </w:r>
      </w:hyperlink>
    </w:p>
    <w:p w14:paraId="1A98C87B" w14:textId="77777777" w:rsidR="00C538D0" w:rsidRDefault="00C538D0" w:rsidP="00441B6F">
      <w:pPr>
        <w:pStyle w:val="Body"/>
        <w:spacing w:after="0"/>
      </w:pPr>
    </w:p>
    <w:p w14:paraId="22F49B2D" w14:textId="77777777" w:rsidR="00790ADA" w:rsidRDefault="00790ADA" w:rsidP="00441B6F">
      <w:pPr>
        <w:pStyle w:val="Body"/>
        <w:spacing w:after="0"/>
        <w:rPr>
          <w:rFonts w:ascii="Arial" w:hAnsi="Arial" w:cs="Arial"/>
        </w:rPr>
      </w:pPr>
    </w:p>
    <w:p w14:paraId="2111CD7F" w14:textId="77777777" w:rsidR="00441B6F" w:rsidRDefault="00441B6F" w:rsidP="00441B6F">
      <w:pPr>
        <w:pStyle w:val="Body"/>
        <w:spacing w:after="0"/>
        <w:rPr>
          <w:i/>
        </w:rPr>
      </w:pPr>
    </w:p>
    <w:p w14:paraId="4EDA9029" w14:textId="77777777" w:rsidR="00287E68" w:rsidRDefault="00287E68" w:rsidP="00441B6F">
      <w:pPr>
        <w:pStyle w:val="Body"/>
        <w:spacing w:after="0"/>
        <w:rPr>
          <w:rFonts w:ascii="Arial" w:hAnsi="Arial" w:cs="Arial"/>
          <w:b/>
        </w:rPr>
      </w:pPr>
    </w:p>
    <w:p w14:paraId="2A8411E0" w14:textId="77777777" w:rsidR="00D74CB0" w:rsidRDefault="00D74CB0" w:rsidP="00441B6F">
      <w:pPr>
        <w:pStyle w:val="Body"/>
        <w:spacing w:after="0"/>
      </w:pPr>
    </w:p>
    <w:p w14:paraId="27AE779F" w14:textId="77777777" w:rsidR="000D689F" w:rsidRDefault="000D689F" w:rsidP="00441B6F">
      <w:pPr>
        <w:pStyle w:val="Body"/>
        <w:spacing w:after="0"/>
      </w:pPr>
    </w:p>
    <w:p w14:paraId="7229E49E" w14:textId="77777777" w:rsidR="00441B6F" w:rsidRDefault="00441B6F" w:rsidP="00441B6F">
      <w:pPr>
        <w:pStyle w:val="Body"/>
        <w:spacing w:after="0"/>
        <w:jc w:val="left"/>
      </w:pPr>
    </w:p>
    <w:p w14:paraId="4C347ED4" w14:textId="77777777" w:rsidR="00441B6F" w:rsidRDefault="00441B6F" w:rsidP="00441B6F">
      <w:pPr>
        <w:pStyle w:val="Body"/>
        <w:spacing w:after="0"/>
        <w:jc w:val="left"/>
        <w:rPr>
          <w:rFonts w:ascii="Arial" w:hAnsi="Arial" w:cs="Arial"/>
        </w:rPr>
      </w:pPr>
    </w:p>
    <w:p w14:paraId="1A0F9076" w14:textId="7CB82642" w:rsidR="004D4277" w:rsidRPr="00FB3A86" w:rsidRDefault="004D4277" w:rsidP="00441B6F">
      <w:pPr>
        <w:pStyle w:val="Appendix"/>
        <w:spacing w:after="0"/>
        <w:jc w:val="both"/>
        <w:rPr>
          <w:rFonts w:ascii="Arial" w:hAnsi="Arial" w:cs="Arial"/>
          <w:b w:val="0"/>
        </w:rPr>
        <w:sectPr w:rsidR="004D4277" w:rsidRPr="00FB3A86" w:rsidSect="004971B2">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6225B710" w14:textId="77777777" w:rsidR="00B01FCD" w:rsidRPr="00FB3A86" w:rsidRDefault="00B01FCD" w:rsidP="00441B6F">
      <w:pPr>
        <w:pStyle w:val="Appendix"/>
        <w:spacing w:after="0"/>
        <w:jc w:val="both"/>
        <w:rPr>
          <w:rFonts w:ascii="Arial" w:hAnsi="Arial" w:cs="Arial"/>
          <w:b w:val="0"/>
        </w:rPr>
      </w:pPr>
    </w:p>
    <w:sectPr w:rsidR="00B01FCD" w:rsidRPr="00FB3A86" w:rsidSect="004971B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9C34" w14:textId="77777777" w:rsidR="00924EDC" w:rsidRDefault="00924EDC" w:rsidP="00C37E61">
      <w:r>
        <w:separator/>
      </w:r>
    </w:p>
  </w:endnote>
  <w:endnote w:type="continuationSeparator" w:id="0">
    <w:p w14:paraId="5DA62BD5" w14:textId="77777777" w:rsidR="00924EDC" w:rsidRDefault="00924E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EBF3" w14:textId="77777777" w:rsidR="004971B2" w:rsidRDefault="0049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B62F" w14:textId="77777777" w:rsidR="004971B2" w:rsidRDefault="0049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D6B8" w14:textId="537F5989" w:rsidR="00754C9A" w:rsidRPr="003A5620" w:rsidRDefault="00754C9A" w:rsidP="003A5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42C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D422" w14:textId="77777777" w:rsidR="00924EDC" w:rsidRDefault="00924EDC" w:rsidP="00C37E61">
      <w:r>
        <w:separator/>
      </w:r>
    </w:p>
  </w:footnote>
  <w:footnote w:type="continuationSeparator" w:id="0">
    <w:p w14:paraId="67A51459" w14:textId="77777777" w:rsidR="00924EDC" w:rsidRDefault="00924E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D0AC" w14:textId="7B8FE94D" w:rsidR="004971B2" w:rsidRDefault="00924EDC">
    <w:pPr>
      <w:pStyle w:val="Header"/>
    </w:pPr>
    <w:r>
      <w:rPr>
        <w:noProof/>
      </w:rPr>
      <w:pict w14:anchorId="16815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A961" w14:textId="0509B2B0" w:rsidR="004971B2" w:rsidRDefault="00924EDC">
    <w:pPr>
      <w:pStyle w:val="Header"/>
    </w:pPr>
    <w:r>
      <w:rPr>
        <w:noProof/>
      </w:rPr>
      <w:pict w14:anchorId="75EC4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6BA0" w14:textId="3BB3688D" w:rsidR="00296529" w:rsidRPr="00296529" w:rsidRDefault="00924EDC" w:rsidP="00296529">
    <w:pPr>
      <w:ind w:left="2160"/>
      <w:jc w:val="center"/>
      <w:rPr>
        <w:rFonts w:ascii="Times New Roman" w:eastAsia="Calibri" w:hAnsi="Times New Roman"/>
        <w:i/>
        <w:sz w:val="18"/>
        <w:szCs w:val="22"/>
      </w:rPr>
    </w:pPr>
    <w:r>
      <w:rPr>
        <w:noProof/>
      </w:rPr>
      <w:pict w14:anchorId="0C733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34BD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68D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C043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D8FD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D5E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6250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77A9" w14:textId="5E8F0828" w:rsidR="004971B2" w:rsidRDefault="00924EDC">
    <w:pPr>
      <w:pStyle w:val="Header"/>
    </w:pPr>
    <w:r>
      <w:rPr>
        <w:noProof/>
      </w:rPr>
      <w:pict w14:anchorId="42C6C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CF47" w14:textId="60FBD397" w:rsidR="004971B2" w:rsidRDefault="00924EDC">
    <w:pPr>
      <w:pStyle w:val="Header"/>
    </w:pPr>
    <w:r>
      <w:rPr>
        <w:noProof/>
      </w:rPr>
      <w:pict w14:anchorId="4B6E4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15AE" w14:textId="48509AD2" w:rsidR="004971B2" w:rsidRDefault="00924EDC">
    <w:pPr>
      <w:pStyle w:val="Header"/>
    </w:pPr>
    <w:r>
      <w:rPr>
        <w:noProof/>
      </w:rPr>
      <w:pict w14:anchorId="7F931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28CE"/>
    <w:rsid w:val="0008733D"/>
    <w:rsid w:val="000A47FA"/>
    <w:rsid w:val="000A65D3"/>
    <w:rsid w:val="000B1E33"/>
    <w:rsid w:val="000B5C34"/>
    <w:rsid w:val="000D689F"/>
    <w:rsid w:val="000E0116"/>
    <w:rsid w:val="000E7B7B"/>
    <w:rsid w:val="000E7D62"/>
    <w:rsid w:val="00103357"/>
    <w:rsid w:val="00123C9F"/>
    <w:rsid w:val="00126190"/>
    <w:rsid w:val="00130F17"/>
    <w:rsid w:val="001320BF"/>
    <w:rsid w:val="001463DC"/>
    <w:rsid w:val="00163BC4"/>
    <w:rsid w:val="00181EF0"/>
    <w:rsid w:val="00191062"/>
    <w:rsid w:val="00192B72"/>
    <w:rsid w:val="001A29D8"/>
    <w:rsid w:val="001A5CAA"/>
    <w:rsid w:val="001B0427"/>
    <w:rsid w:val="001D3A51"/>
    <w:rsid w:val="001E10D2"/>
    <w:rsid w:val="001E25B4"/>
    <w:rsid w:val="001E44FE"/>
    <w:rsid w:val="00200595"/>
    <w:rsid w:val="00204835"/>
    <w:rsid w:val="00210966"/>
    <w:rsid w:val="00231920"/>
    <w:rsid w:val="0023195C"/>
    <w:rsid w:val="002417AE"/>
    <w:rsid w:val="0024282C"/>
    <w:rsid w:val="002460DC"/>
    <w:rsid w:val="00250985"/>
    <w:rsid w:val="002556F6"/>
    <w:rsid w:val="0025781F"/>
    <w:rsid w:val="00277BD7"/>
    <w:rsid w:val="00283105"/>
    <w:rsid w:val="00284C4C"/>
    <w:rsid w:val="00286E9D"/>
    <w:rsid w:val="00287E68"/>
    <w:rsid w:val="00296529"/>
    <w:rsid w:val="002A5DB1"/>
    <w:rsid w:val="002B27FB"/>
    <w:rsid w:val="002B685A"/>
    <w:rsid w:val="002C50CC"/>
    <w:rsid w:val="002C57D2"/>
    <w:rsid w:val="002E0D56"/>
    <w:rsid w:val="002F1741"/>
    <w:rsid w:val="00315186"/>
    <w:rsid w:val="0033343E"/>
    <w:rsid w:val="003512C2"/>
    <w:rsid w:val="00371FB6"/>
    <w:rsid w:val="003763C1"/>
    <w:rsid w:val="00376BBE"/>
    <w:rsid w:val="003861C3"/>
    <w:rsid w:val="0039224F"/>
    <w:rsid w:val="003A43A4"/>
    <w:rsid w:val="003A5620"/>
    <w:rsid w:val="003A7E18"/>
    <w:rsid w:val="003C4C86"/>
    <w:rsid w:val="003C6258"/>
    <w:rsid w:val="003D5BDC"/>
    <w:rsid w:val="003E2904"/>
    <w:rsid w:val="00401927"/>
    <w:rsid w:val="004068B8"/>
    <w:rsid w:val="0041027F"/>
    <w:rsid w:val="004104F6"/>
    <w:rsid w:val="00412475"/>
    <w:rsid w:val="00423789"/>
    <w:rsid w:val="00440F43"/>
    <w:rsid w:val="00441B6F"/>
    <w:rsid w:val="00441D81"/>
    <w:rsid w:val="00446221"/>
    <w:rsid w:val="00450E62"/>
    <w:rsid w:val="004539DB"/>
    <w:rsid w:val="00471A80"/>
    <w:rsid w:val="004971B2"/>
    <w:rsid w:val="004A264B"/>
    <w:rsid w:val="004B0824"/>
    <w:rsid w:val="004D305E"/>
    <w:rsid w:val="004D4277"/>
    <w:rsid w:val="004D4EB5"/>
    <w:rsid w:val="00502516"/>
    <w:rsid w:val="00505F06"/>
    <w:rsid w:val="00506828"/>
    <w:rsid w:val="00526516"/>
    <w:rsid w:val="0053056E"/>
    <w:rsid w:val="00552F83"/>
    <w:rsid w:val="00554FDA"/>
    <w:rsid w:val="00580859"/>
    <w:rsid w:val="005B596C"/>
    <w:rsid w:val="005C784C"/>
    <w:rsid w:val="005D17F6"/>
    <w:rsid w:val="005E5539"/>
    <w:rsid w:val="005F0756"/>
    <w:rsid w:val="00602BF5"/>
    <w:rsid w:val="00606DB5"/>
    <w:rsid w:val="00617FDD"/>
    <w:rsid w:val="00633614"/>
    <w:rsid w:val="00633F68"/>
    <w:rsid w:val="00636EB2"/>
    <w:rsid w:val="006375B8"/>
    <w:rsid w:val="0066510A"/>
    <w:rsid w:val="00673F9F"/>
    <w:rsid w:val="00686953"/>
    <w:rsid w:val="00687DEA"/>
    <w:rsid w:val="00687E67"/>
    <w:rsid w:val="00692179"/>
    <w:rsid w:val="006967F7"/>
    <w:rsid w:val="006A250C"/>
    <w:rsid w:val="006B21D3"/>
    <w:rsid w:val="006B57D0"/>
    <w:rsid w:val="006B675C"/>
    <w:rsid w:val="006B6BDC"/>
    <w:rsid w:val="006C001F"/>
    <w:rsid w:val="006D30FF"/>
    <w:rsid w:val="006D6940"/>
    <w:rsid w:val="006F11EC"/>
    <w:rsid w:val="0070082C"/>
    <w:rsid w:val="00730612"/>
    <w:rsid w:val="007369E6"/>
    <w:rsid w:val="007376FF"/>
    <w:rsid w:val="00746E59"/>
    <w:rsid w:val="00754C9A"/>
    <w:rsid w:val="0075578A"/>
    <w:rsid w:val="0075599A"/>
    <w:rsid w:val="00761D52"/>
    <w:rsid w:val="0077749E"/>
    <w:rsid w:val="00790ADA"/>
    <w:rsid w:val="007D2288"/>
    <w:rsid w:val="007E088F"/>
    <w:rsid w:val="007F7B32"/>
    <w:rsid w:val="00801394"/>
    <w:rsid w:val="00804BC2"/>
    <w:rsid w:val="0081431A"/>
    <w:rsid w:val="0083216F"/>
    <w:rsid w:val="00860000"/>
    <w:rsid w:val="00863BD3"/>
    <w:rsid w:val="008641ED"/>
    <w:rsid w:val="00866D66"/>
    <w:rsid w:val="008671C6"/>
    <w:rsid w:val="00875803"/>
    <w:rsid w:val="008A3E73"/>
    <w:rsid w:val="008B2980"/>
    <w:rsid w:val="008B459E"/>
    <w:rsid w:val="008C6478"/>
    <w:rsid w:val="008E13AE"/>
    <w:rsid w:val="008E1506"/>
    <w:rsid w:val="008E5FC1"/>
    <w:rsid w:val="008E710C"/>
    <w:rsid w:val="008F0585"/>
    <w:rsid w:val="008F69D6"/>
    <w:rsid w:val="00902823"/>
    <w:rsid w:val="00915CA6"/>
    <w:rsid w:val="00924EDC"/>
    <w:rsid w:val="00927834"/>
    <w:rsid w:val="00932D03"/>
    <w:rsid w:val="0093476E"/>
    <w:rsid w:val="0094630E"/>
    <w:rsid w:val="009500A6"/>
    <w:rsid w:val="00957C18"/>
    <w:rsid w:val="009659BA"/>
    <w:rsid w:val="00983040"/>
    <w:rsid w:val="009B056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9F8"/>
    <w:rsid w:val="00A51431"/>
    <w:rsid w:val="00A539AD"/>
    <w:rsid w:val="00A621CE"/>
    <w:rsid w:val="00A761FC"/>
    <w:rsid w:val="00A9404B"/>
    <w:rsid w:val="00A94063"/>
    <w:rsid w:val="00AA6219"/>
    <w:rsid w:val="00AA74E0"/>
    <w:rsid w:val="00AB703F"/>
    <w:rsid w:val="00AC6BB8"/>
    <w:rsid w:val="00AD21EA"/>
    <w:rsid w:val="00AE008F"/>
    <w:rsid w:val="00AF435B"/>
    <w:rsid w:val="00B00322"/>
    <w:rsid w:val="00B01FCD"/>
    <w:rsid w:val="00B07F9B"/>
    <w:rsid w:val="00B1776C"/>
    <w:rsid w:val="00B20220"/>
    <w:rsid w:val="00B52583"/>
    <w:rsid w:val="00B52896"/>
    <w:rsid w:val="00B6415A"/>
    <w:rsid w:val="00B70E9F"/>
    <w:rsid w:val="00B879F4"/>
    <w:rsid w:val="00B95236"/>
    <w:rsid w:val="00B96BD9"/>
    <w:rsid w:val="00BA1B01"/>
    <w:rsid w:val="00BA2641"/>
    <w:rsid w:val="00BB37AA"/>
    <w:rsid w:val="00BC53A0"/>
    <w:rsid w:val="00BE62AD"/>
    <w:rsid w:val="00BF121F"/>
    <w:rsid w:val="00BF1B18"/>
    <w:rsid w:val="00BF1F80"/>
    <w:rsid w:val="00C166EF"/>
    <w:rsid w:val="00C17EB0"/>
    <w:rsid w:val="00C22C45"/>
    <w:rsid w:val="00C27F5F"/>
    <w:rsid w:val="00C30A0F"/>
    <w:rsid w:val="00C33DD6"/>
    <w:rsid w:val="00C37E61"/>
    <w:rsid w:val="00C538D0"/>
    <w:rsid w:val="00C56A86"/>
    <w:rsid w:val="00C70F1B"/>
    <w:rsid w:val="00C71A47"/>
    <w:rsid w:val="00C7464C"/>
    <w:rsid w:val="00C83306"/>
    <w:rsid w:val="00C85588"/>
    <w:rsid w:val="00CC2EDB"/>
    <w:rsid w:val="00CD6755"/>
    <w:rsid w:val="00CD6856"/>
    <w:rsid w:val="00CE0089"/>
    <w:rsid w:val="00CE793C"/>
    <w:rsid w:val="00CF193C"/>
    <w:rsid w:val="00D173F1"/>
    <w:rsid w:val="00D56F9B"/>
    <w:rsid w:val="00D616F0"/>
    <w:rsid w:val="00D63CE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D6B"/>
    <w:rsid w:val="00E84F3C"/>
    <w:rsid w:val="00E95F62"/>
    <w:rsid w:val="00EA012C"/>
    <w:rsid w:val="00EC6A55"/>
    <w:rsid w:val="00ED0288"/>
    <w:rsid w:val="00EE52CB"/>
    <w:rsid w:val="00EF581D"/>
    <w:rsid w:val="00EF7FD8"/>
    <w:rsid w:val="00F06F59"/>
    <w:rsid w:val="00F17988"/>
    <w:rsid w:val="00F469F0"/>
    <w:rsid w:val="00F53273"/>
    <w:rsid w:val="00F755E4"/>
    <w:rsid w:val="00F77D02"/>
    <w:rsid w:val="00FB3A86"/>
    <w:rsid w:val="00FC25C8"/>
    <w:rsid w:val="00FC402E"/>
    <w:rsid w:val="00FD36C8"/>
    <w:rsid w:val="00FD65EA"/>
    <w:rsid w:val="00FF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31C9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B0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qFormat/>
    <w:rsid w:val="00746E59"/>
    <w:rPr>
      <w:rFonts w:ascii="Tahoma" w:hAnsi="Tahoma" w:cs="Tahoma"/>
      <w:sz w:val="16"/>
      <w:szCs w:val="16"/>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9B056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F1741"/>
    <w:pPr>
      <w:ind w:left="720"/>
      <w:contextualSpacing/>
    </w:pPr>
  </w:style>
  <w:style w:type="paragraph" w:styleId="NoSpacing">
    <w:name w:val="No Spacing"/>
    <w:uiPriority w:val="1"/>
    <w:qFormat/>
    <w:rsid w:val="00E84D6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8/rsta.2023.0133" TargetMode="External"/><Relationship Id="rId26" Type="http://schemas.openxmlformats.org/officeDocument/2006/relationships/hyperlink" Target="https://doi.org/10.1080/03007995.2024.2305248" TargetMode="External"/><Relationship Id="rId39" Type="http://schemas.openxmlformats.org/officeDocument/2006/relationships/hyperlink" Target="https://doi.org/10.1136/bmjresp-2023-002019" TargetMode="External"/><Relationship Id="rId21" Type="http://schemas.openxmlformats.org/officeDocument/2006/relationships/hyperlink" Target="https://doi.org/10.1371/journal.pone.0258191" TargetMode="External"/><Relationship Id="rId34" Type="http://schemas.openxmlformats.org/officeDocument/2006/relationships/hyperlink" Target="https://doi.org/10.1016/j.ebiom.2024.105157" TargetMode="External"/><Relationship Id="rId42" Type="http://schemas.openxmlformats.org/officeDocument/2006/relationships/hyperlink" Target="https://doi.org/10.1016/j.jemermed.2021.11.021" TargetMode="External"/><Relationship Id="rId47" Type="http://schemas.openxmlformats.org/officeDocument/2006/relationships/hyperlink" Target="https://doi.org/10.1183/13993003.00009-2022" TargetMode="External"/><Relationship Id="rId50" Type="http://schemas.openxmlformats.org/officeDocument/2006/relationships/hyperlink" Target="https://doi.org/10.3390/ijerph19169985"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9417381221084661" TargetMode="External"/><Relationship Id="rId29" Type="http://schemas.openxmlformats.org/officeDocument/2006/relationships/hyperlink" Target="https://doi.org/10.3390/ijerph20105757" TargetMode="External"/><Relationship Id="rId11" Type="http://schemas.openxmlformats.org/officeDocument/2006/relationships/footer" Target="footer2.xml"/><Relationship Id="rId24" Type="http://schemas.openxmlformats.org/officeDocument/2006/relationships/hyperlink" Target="https://doi.org/10.1136/bmjebm-2024-113028" TargetMode="External"/><Relationship Id="rId32" Type="http://schemas.openxmlformats.org/officeDocument/2006/relationships/hyperlink" Target="https://doi.org/10.1073/pnas.2014564118" TargetMode="External"/><Relationship Id="rId37" Type="http://schemas.openxmlformats.org/officeDocument/2006/relationships/hyperlink" Target="https://doi.org/10.1136/bmj-2023-078573" TargetMode="External"/><Relationship Id="rId40" Type="http://schemas.openxmlformats.org/officeDocument/2006/relationships/hyperlink" Target="https://doi.org/10.1371/journal.pone.0245688" TargetMode="External"/><Relationship Id="rId45" Type="http://schemas.openxmlformats.org/officeDocument/2006/relationships/hyperlink" Target="https://doi.org/10.1016/j.amjms.2022.02.006" TargetMode="External"/><Relationship Id="rId53" Type="http://schemas.openxmlformats.org/officeDocument/2006/relationships/hyperlink" Target="https://doi.org/10.1007/s40279-022-01746-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80/17461391.2022.206592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11/1440-1681.13624" TargetMode="External"/><Relationship Id="rId27" Type="http://schemas.openxmlformats.org/officeDocument/2006/relationships/hyperlink" Target="https://doi.org/10.1128/cmr.00124-23" TargetMode="External"/><Relationship Id="rId30" Type="http://schemas.openxmlformats.org/officeDocument/2006/relationships/hyperlink" Target="https://doi.org/10.1249/MSS.0b013e3181621325" TargetMode="External"/><Relationship Id="rId35" Type="http://schemas.openxmlformats.org/officeDocument/2006/relationships/hyperlink" Target="https://doi.org/10.1111/resp.13892" TargetMode="External"/><Relationship Id="rId43" Type="http://schemas.openxmlformats.org/officeDocument/2006/relationships/hyperlink" Target="https://doi.org/10.3390/ijerph19094946" TargetMode="External"/><Relationship Id="rId48" Type="http://schemas.openxmlformats.org/officeDocument/2006/relationships/hyperlink" Target="https://doi.org/10.1016/j.hazadv.2022.100125"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186/s12889-022-13632-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40279-022-01748-2" TargetMode="External"/><Relationship Id="rId25" Type="http://schemas.openxmlformats.org/officeDocument/2006/relationships/hyperlink" Target="https://doi.org/10.1007/s00392-020-01704-y" TargetMode="External"/><Relationship Id="rId33" Type="http://schemas.openxmlformats.org/officeDocument/2006/relationships/hyperlink" Target="https://doi.org/10.1177/17534666251333965" TargetMode="External"/><Relationship Id="rId38" Type="http://schemas.openxmlformats.org/officeDocument/2006/relationships/hyperlink" Target="https://doi.org/10.3390/ejihpe13110187" TargetMode="External"/><Relationship Id="rId46" Type="http://schemas.openxmlformats.org/officeDocument/2006/relationships/hyperlink" Target="https://doi.org/10.4103/joacp.JOACP_644_20" TargetMode="External"/><Relationship Id="rId59" Type="http://schemas.openxmlformats.org/officeDocument/2006/relationships/theme" Target="theme/theme1.xml"/><Relationship Id="rId20" Type="http://schemas.openxmlformats.org/officeDocument/2006/relationships/hyperlink" Target="https://doi.org/10.1016/j.scispo.2022.12.006" TargetMode="External"/><Relationship Id="rId41" Type="http://schemas.openxmlformats.org/officeDocument/2006/relationships/hyperlink" Target="https://doi.org/10.1016/j.jacc.2018.11.06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186/s40798-021-00388-6" TargetMode="External"/><Relationship Id="rId28" Type="http://schemas.openxmlformats.org/officeDocument/2006/relationships/hyperlink" Target="https://doi.org/10.3390/ma15227918" TargetMode="External"/><Relationship Id="rId36" Type="http://schemas.openxmlformats.org/officeDocument/2006/relationships/hyperlink" Target="https://doi.org/10.1177/19417381221111395" TargetMode="External"/><Relationship Id="rId49" Type="http://schemas.openxmlformats.org/officeDocument/2006/relationships/hyperlink" Target="https://doi.org/10.1016/j.cophys.2018.03.007"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i.org/10.1113/JP273218" TargetMode="External"/><Relationship Id="rId44" Type="http://schemas.openxmlformats.org/officeDocument/2006/relationships/hyperlink" Target="https://doi.org/10.1139/apnm-2021-0143" TargetMode="External"/><Relationship Id="rId52" Type="http://schemas.openxmlformats.org/officeDocument/2006/relationships/hyperlink" Target="https://doi.org/10.1016/j.oneear.2020.10.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2884-5BF1-4AD3-8BD1-29E9579C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102</TotalTime>
  <Pages>14</Pages>
  <Words>6344</Words>
  <Characters>36166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17</cp:revision>
  <cp:lastPrinted>1999-07-06T11:00:00Z</cp:lastPrinted>
  <dcterms:created xsi:type="dcterms:W3CDTF">2026-03-01T13:50:00Z</dcterms:created>
  <dcterms:modified xsi:type="dcterms:W3CDTF">2026-03-04T11:08:00Z</dcterms:modified>
</cp:coreProperties>
</file>