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299" w:rsidRDefault="00B51299" w:rsidP="00B51299">
      <w:pPr>
        <w:pStyle w:val="ds-markdown-paragraph"/>
        <w:shd w:val="clear" w:color="auto" w:fill="FFFFFF"/>
        <w:spacing w:after="128" w:afterAutospacing="0"/>
        <w:jc w:val="center"/>
        <w:rPr>
          <w:rFonts w:asciiTheme="minorHAnsi" w:hAnsiTheme="minorHAnsi" w:cstheme="minorHAnsi"/>
          <w:color w:val="0F1115"/>
          <w:sz w:val="32"/>
          <w:szCs w:val="22"/>
        </w:rPr>
      </w:pPr>
      <w:r>
        <w:rPr>
          <w:color w:val="000000"/>
          <w:sz w:val="27"/>
          <w:szCs w:val="27"/>
          <w:highlight w:val="yellow"/>
        </w:rPr>
        <w:t xml:space="preserve">AIR TRAVEL IN THE ELDERLY, RECOMMENDATION AND PREVENTIVE </w:t>
      </w:r>
      <w:proofErr w:type="gramStart"/>
      <w:r>
        <w:rPr>
          <w:color w:val="000000"/>
          <w:sz w:val="27"/>
          <w:szCs w:val="27"/>
          <w:highlight w:val="yellow"/>
        </w:rPr>
        <w:t>STRATEGIES:</w:t>
      </w:r>
      <w:proofErr w:type="gramEnd"/>
      <w:r>
        <w:rPr>
          <w:color w:val="000000"/>
          <w:sz w:val="27"/>
          <w:szCs w:val="27"/>
          <w:highlight w:val="yellow"/>
        </w:rPr>
        <w:t xml:space="preserve"> A NARRATIVE REVIEW</w:t>
      </w:r>
    </w:p>
    <w:p w:rsidR="00B51299" w:rsidRDefault="00B51299" w:rsidP="00B51299">
      <w:pPr>
        <w:pStyle w:val="ds-markdown-paragraph"/>
        <w:shd w:val="clear" w:color="auto" w:fill="FFFFFF"/>
        <w:spacing w:after="128" w:afterAutospacing="0"/>
        <w:jc w:val="center"/>
        <w:rPr>
          <w:rFonts w:asciiTheme="minorHAnsi" w:hAnsiTheme="minorHAnsi" w:cstheme="minorHAnsi"/>
          <w:color w:val="0F1115"/>
          <w:sz w:val="32"/>
          <w:szCs w:val="22"/>
        </w:rPr>
      </w:pPr>
    </w:p>
    <w:p w:rsidR="00B51299" w:rsidRDefault="00B51299" w:rsidP="00B51299">
      <w:pPr>
        <w:pStyle w:val="ds-markdown-paragraph"/>
        <w:shd w:val="clear" w:color="auto" w:fill="FFFFFF"/>
        <w:spacing w:after="128" w:afterAutospacing="0"/>
        <w:jc w:val="center"/>
        <w:rPr>
          <w:rFonts w:ascii="Segoe UI" w:hAnsi="Segoe UI" w:cs="Segoe UI"/>
          <w:color w:val="0F1115"/>
          <w:sz w:val="22"/>
          <w:szCs w:val="13"/>
        </w:rPr>
      </w:pPr>
    </w:p>
    <w:p w:rsidR="00B51299" w:rsidRDefault="00B51299" w:rsidP="00B51299">
      <w:pPr>
        <w:pStyle w:val="ds-markdown-paragraph"/>
        <w:shd w:val="clear" w:color="auto" w:fill="FFFFFF"/>
        <w:spacing w:before="128" w:beforeAutospacing="0" w:after="128" w:afterAutospacing="0"/>
        <w:rPr>
          <w:rFonts w:ascii="Segoe UI" w:hAnsi="Segoe UI" w:cs="Segoe UI"/>
          <w:color w:val="0F1115"/>
          <w:sz w:val="16"/>
          <w:szCs w:val="13"/>
        </w:rPr>
      </w:pPr>
      <w:proofErr w:type="gramStart"/>
      <w:r>
        <w:rPr>
          <w:rStyle w:val="Strong"/>
          <w:rFonts w:ascii="Segoe UI" w:hAnsi="Segoe UI" w:cs="Segoe UI"/>
          <w:color w:val="0F1115"/>
          <w:sz w:val="28"/>
          <w:szCs w:val="13"/>
        </w:rPr>
        <w:t>Abstract:</w:t>
      </w:r>
      <w:proofErr w:type="gramEnd"/>
      <w:r>
        <w:rPr>
          <w:rFonts w:ascii="Segoe UI" w:hAnsi="Segoe UI" w:cs="Segoe UI"/>
          <w:color w:val="0F1115"/>
          <w:sz w:val="16"/>
          <w:szCs w:val="13"/>
        </w:rPr>
        <w:t> </w:t>
      </w:r>
    </w:p>
    <w:p w:rsidR="00B51299" w:rsidRPr="0010151B" w:rsidRDefault="00B51299" w:rsidP="00B51299">
      <w:pPr>
        <w:pStyle w:val="ds-markdown-paragraph"/>
        <w:shd w:val="clear" w:color="auto" w:fill="FFFFFF"/>
        <w:spacing w:before="128" w:beforeAutospacing="0" w:after="128" w:afterAutospacing="0"/>
        <w:rPr>
          <w:rFonts w:ascii="Segoe UI" w:hAnsi="Segoe UI" w:cs="Segoe UI"/>
          <w:color w:val="0F1115"/>
        </w:rPr>
      </w:pPr>
      <w:r w:rsidRPr="0010151B">
        <w:rPr>
          <w:rFonts w:asciiTheme="minorHAnsi" w:hAnsiTheme="minorHAnsi" w:cstheme="minorHAnsi"/>
          <w:color w:val="0F1115"/>
        </w:rPr>
        <w:t xml:space="preserve">With increasing life expectancy and the desire to maintain an active social life, the number of older adults (&gt;65 years) undertaking long-haul air travel is steadily growing. This mode of transportation exposes this population, often burdened with comorbidities, to a hypobaric and hypoxic environment, as well as other specific risks (immobility, dehydration, disorientation). </w:t>
      </w:r>
      <w:proofErr w:type="gramStart"/>
      <w:r w:rsidRPr="0010151B">
        <w:rPr>
          <w:rFonts w:asciiTheme="minorHAnsi" w:hAnsiTheme="minorHAnsi" w:cstheme="minorHAnsi"/>
          <w:color w:val="0F1115"/>
        </w:rPr>
        <w:t xml:space="preserve">This  </w:t>
      </w:r>
      <w:r w:rsidRPr="0010151B">
        <w:rPr>
          <w:rFonts w:asciiTheme="minorHAnsi" w:hAnsiTheme="minorHAnsi" w:cstheme="minorHAnsi"/>
          <w:color w:val="0F1115"/>
          <w:highlight w:val="yellow"/>
        </w:rPr>
        <w:t>Narrative</w:t>
      </w:r>
      <w:proofErr w:type="gramEnd"/>
      <w:r w:rsidRPr="0010151B">
        <w:rPr>
          <w:rFonts w:asciiTheme="minorHAnsi" w:hAnsiTheme="minorHAnsi" w:cstheme="minorHAnsi"/>
          <w:color w:val="0F1115"/>
          <w:highlight w:val="yellow"/>
        </w:rPr>
        <w:t xml:space="preserve"> Review</w:t>
      </w:r>
      <w:r w:rsidRPr="0010151B">
        <w:rPr>
          <w:rFonts w:asciiTheme="minorHAnsi" w:hAnsiTheme="minorHAnsi" w:cstheme="minorHAnsi"/>
          <w:color w:val="0F1115"/>
        </w:rPr>
        <w:t xml:space="preserve"> aims to analyze, based on recent medical literature the main health risks associated with air travel for older adults (venous thrombosis, cardiorespiratory decompensation, neurocognitive disorders) and to propose practical recommendations for safe preparation and travel. Particular attention is paid to the crucial role of pre-flight consultation, standardized geriatric assessment, and preventive measures to be implemented before, during, and after the flight. The analysis of studies and international guidelines confirms that individualized medical planning is the primary determinant of successful travel, minimizing risks while preserving the autonomy and quality of life of older travelers.</w:t>
      </w: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F4EAB" w:rsidRDefault="00BF4EAB" w:rsidP="00BF4EAB">
      <w:pPr>
        <w:pStyle w:val="ds-markdown-paragraph"/>
        <w:shd w:val="clear" w:color="auto" w:fill="FFFFFF"/>
        <w:spacing w:before="128" w:beforeAutospacing="0" w:after="128" w:afterAutospacing="0"/>
        <w:rPr>
          <w:rFonts w:ascii="Segoe UI" w:hAnsi="Segoe UI" w:cs="Segoe UI"/>
          <w:color w:val="0F1115"/>
          <w:sz w:val="16"/>
          <w:szCs w:val="13"/>
        </w:rPr>
      </w:pPr>
      <w:proofErr w:type="gramStart"/>
      <w:r>
        <w:rPr>
          <w:rStyle w:val="Strong"/>
          <w:rFonts w:ascii="Segoe UI" w:hAnsi="Segoe UI" w:cs="Segoe UI"/>
          <w:color w:val="0F1115"/>
          <w:sz w:val="28"/>
          <w:szCs w:val="13"/>
        </w:rPr>
        <w:t>Keywords:</w:t>
      </w:r>
      <w:proofErr w:type="gramEnd"/>
      <w:r>
        <w:rPr>
          <w:rFonts w:ascii="Segoe UI" w:hAnsi="Segoe UI" w:cs="Segoe UI"/>
          <w:color w:val="0F1115"/>
          <w:sz w:val="16"/>
          <w:szCs w:val="13"/>
        </w:rPr>
        <w:t> </w:t>
      </w:r>
    </w:p>
    <w:p w:rsidR="00BF4EAB" w:rsidRDefault="00BF4EAB" w:rsidP="00BF4EAB">
      <w:pPr>
        <w:pStyle w:val="ds-markdown-paragraph"/>
        <w:shd w:val="clear" w:color="auto" w:fill="FFFFFF"/>
        <w:spacing w:before="128" w:beforeAutospacing="0" w:after="128" w:afterAutospacing="0"/>
        <w:rPr>
          <w:rFonts w:asciiTheme="minorHAnsi" w:hAnsiTheme="minorHAnsi" w:cstheme="minorHAnsi"/>
          <w:color w:val="0F1115"/>
          <w:sz w:val="22"/>
          <w:szCs w:val="22"/>
        </w:rPr>
      </w:pPr>
      <w:proofErr w:type="gramStart"/>
      <w:r>
        <w:rPr>
          <w:rFonts w:asciiTheme="minorHAnsi" w:hAnsiTheme="minorHAnsi" w:cstheme="minorHAnsi"/>
          <w:color w:val="0F1115"/>
          <w:sz w:val="22"/>
          <w:szCs w:val="22"/>
          <w:highlight w:val="yellow"/>
        </w:rPr>
        <w:t>air</w:t>
      </w:r>
      <w:proofErr w:type="gramEnd"/>
      <w:r>
        <w:rPr>
          <w:rFonts w:asciiTheme="minorHAnsi" w:hAnsiTheme="minorHAnsi" w:cstheme="minorHAnsi"/>
          <w:color w:val="0F1115"/>
          <w:sz w:val="22"/>
          <w:szCs w:val="22"/>
          <w:highlight w:val="yellow"/>
        </w:rPr>
        <w:t xml:space="preserve"> travel, aviation medicine, elderly, geriatrics, pre-flight assessment.</w:t>
      </w:r>
    </w:p>
    <w:p w:rsidR="00B51299" w:rsidRDefault="00B51299" w:rsidP="00B51299">
      <w:pPr>
        <w:pStyle w:val="ds-markdown-paragraph"/>
        <w:shd w:val="clear" w:color="auto" w:fill="FFFFFF"/>
        <w:spacing w:before="149" w:beforeAutospacing="0" w:after="149" w:afterAutospacing="0"/>
        <w:rPr>
          <w:rFonts w:ascii="Segoe UI" w:hAnsi="Segoe UI" w:cs="Segoe UI"/>
          <w:color w:val="0F1115"/>
          <w:sz w:val="15"/>
          <w:szCs w:val="15"/>
        </w:rPr>
      </w:pPr>
    </w:p>
    <w:p w:rsidR="00B51299" w:rsidRPr="0010151B" w:rsidRDefault="00B51299" w:rsidP="00B51299">
      <w:pPr>
        <w:rPr>
          <w:rFonts w:cstheme="minorHAnsi"/>
          <w:b/>
          <w:sz w:val="32"/>
          <w:szCs w:val="32"/>
        </w:rPr>
      </w:pPr>
    </w:p>
    <w:p w:rsidR="00B51299" w:rsidRPr="0010151B" w:rsidRDefault="00B51299" w:rsidP="00B51299">
      <w:pPr>
        <w:rPr>
          <w:rFonts w:cstheme="minorHAnsi"/>
          <w:b/>
          <w:sz w:val="32"/>
          <w:szCs w:val="32"/>
        </w:rPr>
      </w:pPr>
      <w:r w:rsidRPr="0010151B">
        <w:rPr>
          <w:rFonts w:cstheme="minorHAnsi"/>
          <w:b/>
          <w:sz w:val="32"/>
          <w:szCs w:val="32"/>
        </w:rPr>
        <w:t>Introduction</w:t>
      </w:r>
    </w:p>
    <w:p w:rsidR="00B51299" w:rsidRPr="0010151B" w:rsidRDefault="00B51299" w:rsidP="00B51299">
      <w:pPr>
        <w:rPr>
          <w:rFonts w:cstheme="minorHAnsi"/>
          <w:sz w:val="24"/>
          <w:szCs w:val="24"/>
        </w:rPr>
      </w:pPr>
    </w:p>
    <w:p w:rsidR="0038618C" w:rsidRDefault="00B51299" w:rsidP="00B51299">
      <w:pPr>
        <w:rPr>
          <w:rFonts w:cstheme="minorHAnsi"/>
          <w:sz w:val="24"/>
          <w:szCs w:val="24"/>
        </w:rPr>
      </w:pPr>
      <w:r w:rsidRPr="0010151B">
        <w:rPr>
          <w:rFonts w:cstheme="minorHAnsi"/>
          <w:sz w:val="24"/>
          <w:szCs w:val="24"/>
        </w:rPr>
        <w:lastRenderedPageBreak/>
        <w:t>Global demographic aging is an unprecedented reality. According to U</w:t>
      </w:r>
      <w:r w:rsidR="002E64E3">
        <w:rPr>
          <w:rFonts w:cstheme="minorHAnsi"/>
          <w:sz w:val="24"/>
          <w:szCs w:val="24"/>
        </w:rPr>
        <w:t>nited Nations projections</w:t>
      </w:r>
      <w:r w:rsidRPr="0010151B">
        <w:rPr>
          <w:rFonts w:cstheme="minorHAnsi"/>
          <w:sz w:val="24"/>
          <w:szCs w:val="24"/>
        </w:rPr>
        <w:t>, the proportion of people aged 65 and over is expected to increase from 9.3% in 2020 to 16.0% by 2050</w:t>
      </w:r>
      <w:r w:rsidR="002E64E3">
        <w:rPr>
          <w:rFonts w:cstheme="minorHAnsi"/>
          <w:sz w:val="24"/>
          <w:szCs w:val="24"/>
        </w:rPr>
        <w:t xml:space="preserve"> </w:t>
      </w:r>
      <w:r w:rsidR="002E64E3" w:rsidRPr="002E64E3">
        <w:rPr>
          <w:rFonts w:cstheme="minorHAnsi"/>
          <w:sz w:val="24"/>
          <w:szCs w:val="24"/>
        </w:rPr>
        <w:t>(UN, 2022)</w:t>
      </w:r>
      <w:r w:rsidRPr="0010151B">
        <w:rPr>
          <w:rFonts w:cstheme="minorHAnsi"/>
          <w:sz w:val="24"/>
          <w:szCs w:val="24"/>
        </w:rPr>
        <w:t xml:space="preserve">. This population, now referred to as the "young old" or "active aging" cohort, retains a strong desire to travel, whether for family, tourist, cultural, or pilgrimage </w:t>
      </w:r>
      <w:proofErr w:type="gramStart"/>
      <w:r w:rsidRPr="0010151B">
        <w:rPr>
          <w:rFonts w:cstheme="minorHAnsi"/>
          <w:sz w:val="24"/>
          <w:szCs w:val="24"/>
        </w:rPr>
        <w:t>purposes  (</w:t>
      </w:r>
      <w:proofErr w:type="gramEnd"/>
      <w:r w:rsidRPr="0010151B">
        <w:rPr>
          <w:rFonts w:cstheme="minorHAnsi"/>
          <w:sz w:val="24"/>
          <w:szCs w:val="24"/>
        </w:rPr>
        <w:t>Sharma, 2019; Smith et al., 2021). Recent studies confirm this trend, noting that despite the challenges of the pandemic, travel recovery among seniors is robust, with increased attention to health guarantees (İnan, 2025). Air travel remains the preferred mode of transportation for long distances.</w:t>
      </w:r>
    </w:p>
    <w:p w:rsidR="0038618C" w:rsidRDefault="00B51299" w:rsidP="00B51299">
      <w:pPr>
        <w:rPr>
          <w:rFonts w:cstheme="minorHAnsi"/>
          <w:sz w:val="24"/>
          <w:szCs w:val="24"/>
        </w:rPr>
      </w:pPr>
      <w:r w:rsidRPr="0010151B">
        <w:rPr>
          <w:rFonts w:cstheme="minorHAnsi"/>
          <w:sz w:val="24"/>
          <w:szCs w:val="24"/>
        </w:rPr>
        <w:t>However, air travel exposes passengers to a physiologically demanding cabin environment. Conditions include reduced barometric pressure (equivalent to an altitude of 1500 to 2500 meters, typically 2438 m or 8000 feet), extremely low relative humidity (10 to 20%), prolonged immobility, exposure to moderate noise levels, and circadian rhythm disruptions due to time zone changes (Low &amp; Chan, 2002). In older adults, characterized by decreased physiological reserve (homeostenosis), multimorbidity (including cardiovascular, respiratory, metabolic, and cognitive conditions), and polypharmacy, these stressors can precipitate adverse events (Gendreau &amp; DeJohn, 2018) or worsen underlying chronic conditions. A recent trend is the shift from a risk-specific approach to a systemic resilience approach, aiming to empower travelers in the face of global health challenges (Iloughmane et al., 2025).</w:t>
      </w:r>
    </w:p>
    <w:p w:rsidR="00B51299" w:rsidRDefault="00B51299" w:rsidP="00B51299">
      <w:pPr>
        <w:rPr>
          <w:rFonts w:cstheme="minorHAnsi"/>
          <w:sz w:val="24"/>
          <w:szCs w:val="24"/>
        </w:rPr>
      </w:pPr>
      <w:r w:rsidRPr="0010151B">
        <w:rPr>
          <w:rFonts w:cstheme="minorHAnsi"/>
          <w:sz w:val="24"/>
          <w:szCs w:val="24"/>
        </w:rPr>
        <w:t xml:space="preserve">Despite this increased vulnerability, a paradox exists between the growing demand for travel and a medical literature that remains fragmented, often focused on isolated pathologies rather than a comprehensive geriatric approach. Existing guidelines (Ahmedzai et al., </w:t>
      </w:r>
      <w:proofErr w:type="gramStart"/>
      <w:r w:rsidRPr="0010151B">
        <w:rPr>
          <w:rFonts w:cstheme="minorHAnsi"/>
          <w:sz w:val="24"/>
          <w:szCs w:val="24"/>
        </w:rPr>
        <w:t>2011;</w:t>
      </w:r>
      <w:proofErr w:type="gramEnd"/>
      <w:r w:rsidRPr="0010151B">
        <w:rPr>
          <w:rFonts w:cstheme="minorHAnsi"/>
          <w:sz w:val="24"/>
          <w:szCs w:val="24"/>
        </w:rPr>
        <w:t xml:space="preserve"> Coker et al., 2022; Gisquet &amp; Guidez, 2008) therefore require specific adaptation for the older patient profile. This narrative review aims to compile and analyze recent data from the medical literature to provide clinicians—including general practitioners, geriatricians, and aviation medicine physicians—with a comprehensive, updated framework for evaluation and counseling, integrating geriatric principles to enable safe and informed travel for older adults.</w:t>
      </w:r>
    </w:p>
    <w:p w:rsidR="0038618C" w:rsidRDefault="0038618C" w:rsidP="00B51299">
      <w:pPr>
        <w:rPr>
          <w:rFonts w:cstheme="minorHAnsi"/>
          <w:sz w:val="24"/>
          <w:szCs w:val="24"/>
        </w:rPr>
      </w:pPr>
    </w:p>
    <w:p w:rsidR="0038618C" w:rsidRDefault="0038618C" w:rsidP="00B51299">
      <w:pPr>
        <w:rPr>
          <w:rFonts w:cstheme="minorHAnsi"/>
          <w:sz w:val="24"/>
          <w:szCs w:val="24"/>
        </w:rPr>
      </w:pPr>
    </w:p>
    <w:p w:rsidR="0038618C" w:rsidRPr="0010151B" w:rsidRDefault="0038618C" w:rsidP="00B51299">
      <w:pPr>
        <w:rPr>
          <w:rFonts w:cstheme="minorHAnsi"/>
          <w:sz w:val="24"/>
          <w:szCs w:val="24"/>
        </w:rPr>
      </w:pPr>
    </w:p>
    <w:p w:rsidR="00B51299" w:rsidRPr="0010151B" w:rsidRDefault="00B51299" w:rsidP="00B51299">
      <w:pPr>
        <w:rPr>
          <w:rFonts w:cstheme="minorHAnsi"/>
          <w:sz w:val="24"/>
          <w:szCs w:val="24"/>
        </w:rPr>
      </w:pPr>
    </w:p>
    <w:p w:rsidR="00B51299" w:rsidRPr="0038618C" w:rsidRDefault="00B51299" w:rsidP="00B51299">
      <w:pPr>
        <w:rPr>
          <w:rFonts w:cstheme="minorHAnsi"/>
          <w:b/>
          <w:sz w:val="32"/>
          <w:szCs w:val="32"/>
        </w:rPr>
      </w:pPr>
      <w:r w:rsidRPr="002E64E3">
        <w:rPr>
          <w:rFonts w:cstheme="minorHAnsi"/>
          <w:b/>
          <w:sz w:val="32"/>
          <w:szCs w:val="32"/>
        </w:rPr>
        <w:t>Speci</w:t>
      </w:r>
      <w:r w:rsidR="002E64E3">
        <w:rPr>
          <w:rFonts w:cstheme="minorHAnsi"/>
          <w:b/>
          <w:sz w:val="32"/>
          <w:szCs w:val="32"/>
        </w:rPr>
        <w:t xml:space="preserve">fic Risks and </w:t>
      </w:r>
      <w:proofErr w:type="gramStart"/>
      <w:r w:rsidR="002E64E3">
        <w:rPr>
          <w:rFonts w:cstheme="minorHAnsi"/>
          <w:b/>
          <w:sz w:val="32"/>
          <w:szCs w:val="32"/>
        </w:rPr>
        <w:t>Pathophysiology:</w:t>
      </w:r>
      <w:proofErr w:type="gramEnd"/>
    </w:p>
    <w:p w:rsidR="00B51299" w:rsidRPr="0010151B" w:rsidRDefault="00B51299" w:rsidP="00B51299">
      <w:pPr>
        <w:rPr>
          <w:rFonts w:cstheme="minorHAnsi"/>
          <w:sz w:val="24"/>
          <w:szCs w:val="24"/>
        </w:rPr>
      </w:pPr>
      <w:r w:rsidRPr="0010151B">
        <w:rPr>
          <w:rFonts w:cstheme="minorHAnsi"/>
          <w:sz w:val="24"/>
          <w:szCs w:val="24"/>
        </w:rPr>
        <w:t>Understanding the risks requires a detailed pathophysiological analysis of the impact of the aviation environment on an aging organism.</w:t>
      </w:r>
    </w:p>
    <w:p w:rsidR="00B51299" w:rsidRPr="007D5785" w:rsidRDefault="0038618C" w:rsidP="00B51299">
      <w:pPr>
        <w:rPr>
          <w:rFonts w:cstheme="minorHAnsi"/>
          <w:b/>
          <w:sz w:val="24"/>
          <w:szCs w:val="24"/>
        </w:rPr>
      </w:pPr>
      <w:r w:rsidRPr="007D5785">
        <w:rPr>
          <w:rFonts w:cstheme="minorHAnsi"/>
          <w:b/>
          <w:sz w:val="24"/>
          <w:szCs w:val="24"/>
        </w:rPr>
        <w:t xml:space="preserve">1.  </w:t>
      </w:r>
      <w:r w:rsidR="00B51299" w:rsidRPr="007D5785">
        <w:rPr>
          <w:rFonts w:cstheme="minorHAnsi"/>
          <w:b/>
          <w:sz w:val="24"/>
          <w:szCs w:val="24"/>
        </w:rPr>
        <w:t>Altitude Hypoxemia and Ca</w:t>
      </w:r>
      <w:r w:rsidRPr="007D5785">
        <w:rPr>
          <w:rFonts w:cstheme="minorHAnsi"/>
          <w:b/>
          <w:sz w:val="24"/>
          <w:szCs w:val="24"/>
        </w:rPr>
        <w:t>rdiorespiratory Decompensation</w:t>
      </w:r>
    </w:p>
    <w:p w:rsidR="00B51299" w:rsidRPr="0010151B" w:rsidRDefault="00B51299" w:rsidP="00B51299">
      <w:pPr>
        <w:rPr>
          <w:rFonts w:cstheme="minorHAnsi"/>
          <w:sz w:val="24"/>
          <w:szCs w:val="24"/>
        </w:rPr>
      </w:pPr>
      <w:r w:rsidRPr="0010151B">
        <w:rPr>
          <w:rFonts w:cstheme="minorHAnsi"/>
          <w:sz w:val="24"/>
          <w:szCs w:val="24"/>
        </w:rPr>
        <w:lastRenderedPageBreak/>
        <w:t xml:space="preserve">    In a pressurized cabin, the inspired partial pressure of oxygen (PiO₂) drops to about 15 kPa (compared to 21 kPa at sea level), leading to a moderate but significant decrease in saturation (SpO₂). In healthy young individuals, SpO₂ can drop to 90-93%. In older adults, several physiological alterations exacerbate this </w:t>
      </w:r>
      <w:proofErr w:type="gramStart"/>
      <w:r w:rsidRPr="0010151B">
        <w:rPr>
          <w:rFonts w:cstheme="minorHAnsi"/>
          <w:sz w:val="24"/>
          <w:szCs w:val="24"/>
        </w:rPr>
        <w:t>phenomenon:</w:t>
      </w:r>
      <w:proofErr w:type="gramEnd"/>
      <w:r w:rsidRPr="0010151B">
        <w:rPr>
          <w:rFonts w:cstheme="minorHAnsi"/>
          <w:sz w:val="24"/>
          <w:szCs w:val="24"/>
        </w:rPr>
        <w:t xml:space="preserve"> decreased lung compliance and respiratory muscle strength, increased physiological dead space, diminished ventilatory response to hypoxia and hypercapnia, and possible intra-pulmonary shunt (Mohr, 2008). A 2008 analysis confirms that the average drop in SpO₂ during flight is more pronounced in those over 65, with a decrease potentially reaching 4% to 8% compared to ground values (Mohr, 2008).</w:t>
      </w:r>
    </w:p>
    <w:p w:rsidR="00B51299" w:rsidRPr="0010151B" w:rsidRDefault="0038618C" w:rsidP="00B51299">
      <w:pPr>
        <w:rPr>
          <w:rFonts w:cstheme="minorHAnsi"/>
          <w:sz w:val="24"/>
          <w:szCs w:val="24"/>
        </w:rPr>
      </w:pPr>
      <w:r>
        <w:rPr>
          <w:rFonts w:cstheme="minorHAnsi"/>
          <w:sz w:val="24"/>
          <w:szCs w:val="24"/>
        </w:rPr>
        <w:t xml:space="preserve"> </w:t>
      </w:r>
      <w:r w:rsidR="00B51299" w:rsidRPr="0010151B">
        <w:rPr>
          <w:rFonts w:cstheme="minorHAnsi"/>
          <w:sz w:val="24"/>
          <w:szCs w:val="24"/>
        </w:rPr>
        <w:t xml:space="preserve">   For patients with chronic respiratory conditions like COPD (GOLD stage ≥3) or heart failure (NYHA class ≥III), this relative hypoxemia can trigger severe dyspnea, pulmonary hypertension, hypoxic pulmonary vasoconstriction, arrhythmias, or myocardial ischemia (Coker et al., 2022). The most robust prognostic criterion is resting SpO₂ on the ground. A prospective study by Akerø et al. (2005) demonstrated that patients with ground SpO₂ &lt; 92% had a five-fold increased risk of severe desaturation (&lt;85%) during simulated flight. The Hypoxic Challenge Test (HCT) remains the gold standard for "borderline" patients (Dine &amp; Kreider, 2008</w:t>
      </w:r>
      <w:proofErr w:type="gramStart"/>
      <w:r w:rsidR="00B51299" w:rsidRPr="0010151B">
        <w:rPr>
          <w:rFonts w:cstheme="minorHAnsi"/>
          <w:sz w:val="24"/>
          <w:szCs w:val="24"/>
        </w:rPr>
        <w:t>);</w:t>
      </w:r>
      <w:proofErr w:type="gramEnd"/>
      <w:r w:rsidR="00B51299" w:rsidRPr="0010151B">
        <w:rPr>
          <w:rFonts w:cstheme="minorHAnsi"/>
          <w:sz w:val="24"/>
          <w:szCs w:val="24"/>
        </w:rPr>
        <w:t xml:space="preserve"> it measures the patient's partial pressure of arterial oxygen (PaO₂) while breathing a gas mixture with 15.1% O₂. A PaO₂ &lt; 50 mmHg (6.6 kPa) is a formal indication for in-flight oxygen supplementation (Mohr, 2008).</w:t>
      </w:r>
    </w:p>
    <w:p w:rsidR="00B51299" w:rsidRPr="007D5785" w:rsidRDefault="0038618C" w:rsidP="00B51299">
      <w:pPr>
        <w:rPr>
          <w:rFonts w:cstheme="minorHAnsi"/>
          <w:b/>
          <w:sz w:val="24"/>
          <w:szCs w:val="24"/>
        </w:rPr>
      </w:pPr>
      <w:r w:rsidRPr="007D5785">
        <w:rPr>
          <w:rFonts w:cstheme="minorHAnsi"/>
          <w:b/>
          <w:sz w:val="24"/>
          <w:szCs w:val="24"/>
        </w:rPr>
        <w:t xml:space="preserve">2.  </w:t>
      </w:r>
      <w:r w:rsidR="00B51299" w:rsidRPr="007D5785">
        <w:rPr>
          <w:rFonts w:cstheme="minorHAnsi"/>
          <w:b/>
          <w:sz w:val="24"/>
          <w:szCs w:val="24"/>
        </w:rPr>
        <w:t>Veno</w:t>
      </w:r>
      <w:r w:rsidRPr="007D5785">
        <w:rPr>
          <w:rFonts w:cstheme="minorHAnsi"/>
          <w:b/>
          <w:sz w:val="24"/>
          <w:szCs w:val="24"/>
        </w:rPr>
        <w:t xml:space="preserve">us Thromboembolism (VTE) </w:t>
      </w:r>
      <w:proofErr w:type="gramStart"/>
      <w:r w:rsidRPr="007D5785">
        <w:rPr>
          <w:rFonts w:cstheme="minorHAnsi"/>
          <w:b/>
          <w:sz w:val="24"/>
          <w:szCs w:val="24"/>
        </w:rPr>
        <w:t>Risk:</w:t>
      </w:r>
      <w:proofErr w:type="gramEnd"/>
    </w:p>
    <w:p w:rsidR="00B51299" w:rsidRPr="0010151B" w:rsidRDefault="00B51299" w:rsidP="00B51299">
      <w:pPr>
        <w:rPr>
          <w:rFonts w:cstheme="minorHAnsi"/>
          <w:sz w:val="24"/>
          <w:szCs w:val="24"/>
        </w:rPr>
      </w:pPr>
      <w:r w:rsidRPr="0010151B">
        <w:rPr>
          <w:rFonts w:cstheme="minorHAnsi"/>
          <w:sz w:val="24"/>
          <w:szCs w:val="24"/>
        </w:rPr>
        <w:t xml:space="preserve">    Prolonged immobility, combined with dehydration from low cabin humidity and changes in blood rheology (including altered hemodynamics and endothelial activation), constitutes the primary risk factor for deep vein thrombosis (DVT) and pulmonary embolism (PE)—collectively known as venous thromboembolism (VTE) (Kuipers et al., 2007). The absolute risk for a flight over 4 hr is estimated at between 1 in 1,000 and 1 in 6,000 (Schobersberger et al., 2019), but it increases exponentially with age, thrombophilia (e.g., antithrombin deficiency, Factor V Leiden mutation), active cancer, a personal history of VTE, or obesity (Gavish &amp; Brenner, </w:t>
      </w:r>
      <w:proofErr w:type="gramStart"/>
      <w:r w:rsidRPr="0010151B">
        <w:rPr>
          <w:rFonts w:cstheme="minorHAnsi"/>
          <w:sz w:val="24"/>
          <w:szCs w:val="24"/>
        </w:rPr>
        <w:t>2011;</w:t>
      </w:r>
      <w:proofErr w:type="gramEnd"/>
      <w:r w:rsidRPr="0010151B">
        <w:rPr>
          <w:rFonts w:cstheme="minorHAnsi"/>
          <w:sz w:val="24"/>
          <w:szCs w:val="24"/>
        </w:rPr>
        <w:t xml:space="preserve"> Hughes et al., 2003; Chandra et al., 2021). Age over 60 years is an independent risk factor in all prediction scores. A New Zealand cohort study (Hughes et al., 2003) showed that the incidence of symptomatic thrombotic events within 4 weeks following a long-haul flight was significantly higher in individuals over 65. The risk is not limited to the flight </w:t>
      </w:r>
      <w:proofErr w:type="gramStart"/>
      <w:r w:rsidRPr="0010151B">
        <w:rPr>
          <w:rFonts w:cstheme="minorHAnsi"/>
          <w:sz w:val="24"/>
          <w:szCs w:val="24"/>
        </w:rPr>
        <w:t>duration;</w:t>
      </w:r>
      <w:proofErr w:type="gramEnd"/>
      <w:r w:rsidRPr="0010151B">
        <w:rPr>
          <w:rFonts w:cstheme="minorHAnsi"/>
          <w:sz w:val="24"/>
          <w:szCs w:val="24"/>
        </w:rPr>
        <w:t xml:space="preserve"> it persists and may peak in the 2 to 4 weeks following travel, complicating diagnosis (Chandra et al., 2021).</w:t>
      </w:r>
    </w:p>
    <w:p w:rsidR="00B51299" w:rsidRPr="0010151B" w:rsidRDefault="00B51299" w:rsidP="00B51299">
      <w:pPr>
        <w:rPr>
          <w:rFonts w:cstheme="minorHAnsi"/>
          <w:sz w:val="24"/>
          <w:szCs w:val="24"/>
        </w:rPr>
      </w:pPr>
    </w:p>
    <w:p w:rsidR="00B51299" w:rsidRPr="007D5785" w:rsidRDefault="0038618C" w:rsidP="00B51299">
      <w:pPr>
        <w:rPr>
          <w:rFonts w:cstheme="minorHAnsi"/>
          <w:b/>
          <w:sz w:val="24"/>
          <w:szCs w:val="24"/>
        </w:rPr>
      </w:pPr>
      <w:r w:rsidRPr="007D5785">
        <w:rPr>
          <w:rFonts w:cstheme="minorHAnsi"/>
          <w:b/>
          <w:sz w:val="24"/>
          <w:szCs w:val="24"/>
        </w:rPr>
        <w:t xml:space="preserve">3.  </w:t>
      </w:r>
      <w:r w:rsidR="00B51299" w:rsidRPr="007D5785">
        <w:rPr>
          <w:rFonts w:cstheme="minorHAnsi"/>
          <w:b/>
          <w:sz w:val="24"/>
          <w:szCs w:val="24"/>
        </w:rPr>
        <w:t>Neurocogni</w:t>
      </w:r>
      <w:r w:rsidRPr="007D5785">
        <w:rPr>
          <w:rFonts w:cstheme="minorHAnsi"/>
          <w:b/>
          <w:sz w:val="24"/>
          <w:szCs w:val="24"/>
        </w:rPr>
        <w:t xml:space="preserve">tive and Behavioral </w:t>
      </w:r>
      <w:proofErr w:type="gramStart"/>
      <w:r w:rsidRPr="007D5785">
        <w:rPr>
          <w:rFonts w:cstheme="minorHAnsi"/>
          <w:b/>
          <w:sz w:val="24"/>
          <w:szCs w:val="24"/>
        </w:rPr>
        <w:t>Disorders:</w:t>
      </w:r>
      <w:proofErr w:type="gramEnd"/>
    </w:p>
    <w:p w:rsidR="00B51299" w:rsidRPr="0010151B" w:rsidRDefault="00B51299" w:rsidP="00B51299">
      <w:pPr>
        <w:rPr>
          <w:rFonts w:cstheme="minorHAnsi"/>
          <w:sz w:val="24"/>
          <w:szCs w:val="24"/>
        </w:rPr>
      </w:pPr>
      <w:r w:rsidRPr="0010151B">
        <w:rPr>
          <w:rFonts w:cstheme="minorHAnsi"/>
          <w:sz w:val="24"/>
          <w:szCs w:val="24"/>
        </w:rPr>
        <w:t xml:space="preserve">    Air travel, particularly long-haul flights with jet lag, can exacerbate pre-existing cognitive disorders. Spatiotemporal disorientation (e.g., in the airport or cabin), ambient noise, fatigue, disruption of the sleep-wake cycle, and dehydration can trigger or worsen an acute </w:t>
      </w:r>
      <w:r w:rsidRPr="0010151B">
        <w:rPr>
          <w:rFonts w:cstheme="minorHAnsi"/>
          <w:sz w:val="24"/>
          <w:szCs w:val="24"/>
        </w:rPr>
        <w:lastRenderedPageBreak/>
        <w:t>confusional state (delirium) in vulnerable older adults, even without a formal diagnosis of dementia (Smith et al., 2021). This risk is largely underestimated and is a frequent cause of in-flight distress, conflicts with crew or other passengers, and hospitalization upon arrival.</w:t>
      </w:r>
    </w:p>
    <w:p w:rsidR="00B51299" w:rsidRPr="007D5785" w:rsidRDefault="00B51299" w:rsidP="00B51299">
      <w:pPr>
        <w:rPr>
          <w:rFonts w:cstheme="minorHAnsi"/>
          <w:b/>
          <w:sz w:val="24"/>
          <w:szCs w:val="24"/>
        </w:rPr>
      </w:pPr>
      <w:r w:rsidRPr="007D5785">
        <w:rPr>
          <w:rFonts w:cstheme="minorHAnsi"/>
          <w:b/>
          <w:sz w:val="24"/>
          <w:szCs w:val="24"/>
        </w:rPr>
        <w:t xml:space="preserve">4. </w:t>
      </w:r>
      <w:r w:rsidR="0038618C" w:rsidRPr="007D5785">
        <w:rPr>
          <w:rFonts w:cstheme="minorHAnsi"/>
          <w:b/>
          <w:sz w:val="24"/>
          <w:szCs w:val="24"/>
        </w:rPr>
        <w:t xml:space="preserve"> Other Major Geriatric Risks</w:t>
      </w:r>
    </w:p>
    <w:p w:rsidR="00B51299" w:rsidRPr="0010151B" w:rsidRDefault="0038618C" w:rsidP="007D5785">
      <w:pPr>
        <w:spacing w:before="240"/>
        <w:rPr>
          <w:rFonts w:cstheme="minorHAnsi"/>
          <w:sz w:val="24"/>
          <w:szCs w:val="24"/>
        </w:rPr>
      </w:pPr>
      <w:r>
        <w:rPr>
          <w:rFonts w:cstheme="minorHAnsi"/>
          <w:sz w:val="24"/>
          <w:szCs w:val="24"/>
        </w:rPr>
        <w:t xml:space="preserve">    </w:t>
      </w:r>
      <w:r w:rsidR="00B51299" w:rsidRPr="0010151B">
        <w:rPr>
          <w:rFonts w:cstheme="minorHAnsi"/>
          <w:sz w:val="24"/>
          <w:szCs w:val="24"/>
        </w:rPr>
        <w:t>Dehydra</w:t>
      </w:r>
      <w:r>
        <w:rPr>
          <w:rFonts w:cstheme="minorHAnsi"/>
          <w:sz w:val="24"/>
          <w:szCs w:val="24"/>
        </w:rPr>
        <w:t>tion and Electrolyte Imbalances</w:t>
      </w:r>
    </w:p>
    <w:p w:rsidR="00B51299" w:rsidRPr="0010151B" w:rsidRDefault="00B51299" w:rsidP="007D5785">
      <w:pPr>
        <w:spacing w:before="240"/>
        <w:rPr>
          <w:rFonts w:cstheme="minorHAnsi"/>
          <w:sz w:val="24"/>
          <w:szCs w:val="24"/>
        </w:rPr>
      </w:pPr>
      <w:r w:rsidRPr="0010151B">
        <w:rPr>
          <w:rFonts w:cstheme="minorHAnsi"/>
          <w:sz w:val="24"/>
          <w:szCs w:val="24"/>
        </w:rPr>
        <w:t xml:space="preserve">    Dehydration, which is aggravated by osmotic diuresis (e.g., from alcohol or coffee consumption) and insensible losses in dry air, poses a significant risk. As the sensation of thirst decreases with age, dehydration occurs more rapidly and can precipitate confusion, orthostatic hypo</w:t>
      </w:r>
      <w:r w:rsidR="007D5785">
        <w:rPr>
          <w:rFonts w:cstheme="minorHAnsi"/>
          <w:sz w:val="24"/>
          <w:szCs w:val="24"/>
        </w:rPr>
        <w:t xml:space="preserve">tension, or acute renal failure </w:t>
      </w:r>
      <w:r w:rsidR="007D5785" w:rsidRPr="0010151B">
        <w:rPr>
          <w:rFonts w:cstheme="minorHAnsi"/>
          <w:sz w:val="24"/>
          <w:szCs w:val="24"/>
        </w:rPr>
        <w:t>(Gisquet &amp; Guidez, 2008).</w:t>
      </w:r>
    </w:p>
    <w:p w:rsidR="00B51299" w:rsidRPr="0010151B" w:rsidRDefault="0038618C" w:rsidP="007D5785">
      <w:pPr>
        <w:spacing w:before="240"/>
        <w:rPr>
          <w:rFonts w:cstheme="minorHAnsi"/>
          <w:sz w:val="24"/>
          <w:szCs w:val="24"/>
        </w:rPr>
      </w:pPr>
      <w:r>
        <w:rPr>
          <w:rFonts w:cstheme="minorHAnsi"/>
          <w:sz w:val="24"/>
          <w:szCs w:val="24"/>
        </w:rPr>
        <w:t xml:space="preserve">    Worsening of Chronic Conditions</w:t>
      </w:r>
    </w:p>
    <w:p w:rsidR="00B51299" w:rsidRPr="0010151B" w:rsidRDefault="00B51299" w:rsidP="007D5785">
      <w:pPr>
        <w:spacing w:before="240"/>
        <w:rPr>
          <w:rFonts w:cstheme="minorHAnsi"/>
          <w:sz w:val="24"/>
          <w:szCs w:val="24"/>
        </w:rPr>
      </w:pPr>
      <w:r w:rsidRPr="0010151B">
        <w:rPr>
          <w:rFonts w:cstheme="minorHAnsi"/>
          <w:sz w:val="24"/>
          <w:szCs w:val="24"/>
        </w:rPr>
        <w:t xml:space="preserve">    Chronic conditions may be acutely exacerbated during travel. This includes glycemic instability in diabetics, acute urinary retention in men with benign prostatic hyperplasia, exacerbation of arthritic pain due to immobility and cramped seating, and a worsening of balance disorders that increases the risk of falls in aisles or during transfers.</w:t>
      </w:r>
    </w:p>
    <w:p w:rsidR="00B51299" w:rsidRPr="0010151B" w:rsidRDefault="0038618C" w:rsidP="007D5785">
      <w:pPr>
        <w:spacing w:before="240"/>
        <w:rPr>
          <w:rFonts w:cstheme="minorHAnsi"/>
          <w:sz w:val="24"/>
          <w:szCs w:val="24"/>
        </w:rPr>
      </w:pPr>
      <w:r>
        <w:rPr>
          <w:rFonts w:cstheme="minorHAnsi"/>
          <w:sz w:val="24"/>
          <w:szCs w:val="24"/>
        </w:rPr>
        <w:t xml:space="preserve">    Logistical and Sensory Problems</w:t>
      </w:r>
    </w:p>
    <w:p w:rsidR="00B51299" w:rsidRDefault="00B51299" w:rsidP="007D5785">
      <w:pPr>
        <w:spacing w:before="240"/>
        <w:rPr>
          <w:rFonts w:cstheme="minorHAnsi"/>
          <w:sz w:val="24"/>
          <w:szCs w:val="24"/>
        </w:rPr>
      </w:pPr>
      <w:r w:rsidRPr="0010151B">
        <w:rPr>
          <w:rFonts w:cstheme="minorHAnsi"/>
          <w:sz w:val="24"/>
          <w:szCs w:val="24"/>
        </w:rPr>
        <w:t xml:space="preserve">    Age-related sensory impairments create logistical challenges. Hearing loss (presbycusis) can prevent the understanding of crew announcements, while visual impairments hinder the reading of signs. Furthermore, handling heavy carry-on luggage is a common cause of musculoskeletal injuries (Gisquet &amp; Guidez, 2008).</w:t>
      </w:r>
    </w:p>
    <w:p w:rsidR="007D5785" w:rsidRPr="007D5785" w:rsidRDefault="007D5785" w:rsidP="007D5785">
      <w:pPr>
        <w:spacing w:before="240"/>
        <w:rPr>
          <w:rFonts w:cstheme="minorHAnsi"/>
          <w:b/>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5. </w:t>
      </w:r>
      <w:r w:rsidR="00B51299" w:rsidRPr="007D5785">
        <w:rPr>
          <w:rFonts w:cstheme="minorHAnsi"/>
          <w:b/>
          <w:sz w:val="24"/>
          <w:szCs w:val="24"/>
        </w:rPr>
        <w:t>Infectious R</w:t>
      </w:r>
      <w:r w:rsidRPr="007D5785">
        <w:rPr>
          <w:rFonts w:cstheme="minorHAnsi"/>
          <w:b/>
          <w:sz w:val="24"/>
          <w:szCs w:val="24"/>
        </w:rPr>
        <w:t>isks and a Resilience Approach</w:t>
      </w:r>
    </w:p>
    <w:p w:rsidR="00B51299" w:rsidRDefault="00B51299" w:rsidP="00B51299">
      <w:pPr>
        <w:rPr>
          <w:rFonts w:cstheme="minorHAnsi"/>
          <w:sz w:val="24"/>
          <w:szCs w:val="24"/>
        </w:rPr>
      </w:pPr>
      <w:r w:rsidRPr="0010151B">
        <w:rPr>
          <w:rFonts w:cstheme="minorHAnsi"/>
          <w:sz w:val="24"/>
          <w:szCs w:val="24"/>
        </w:rPr>
        <w:t xml:space="preserve">    Airports and aircraft are crowded environments. For older adults, who are often more vulnerable to infectious complications, a systematic approach beyond mere vaccination is required. Iloughmane et al. (2025) propose a "Risk to Resilience" framework that, when applied to seniors, </w:t>
      </w:r>
      <w:proofErr w:type="gramStart"/>
      <w:r w:rsidRPr="0010151B">
        <w:rPr>
          <w:rFonts w:cstheme="minorHAnsi"/>
          <w:sz w:val="24"/>
          <w:szCs w:val="24"/>
        </w:rPr>
        <w:t>includes:</w:t>
      </w:r>
      <w:proofErr w:type="gramEnd"/>
      <w:r w:rsidRPr="0010151B">
        <w:rPr>
          <w:rFonts w:cstheme="minorHAnsi"/>
          <w:sz w:val="24"/>
          <w:szCs w:val="24"/>
        </w:rPr>
        <w:t xml:space="preserve"> (a) individual assessment of immune risk (e.g., vaccination status, immunosuppression), (b) education on active barrier measures (e.g., wearing an N95/FFP2 mask in dense areas, meticulous hand hygiene), and (c) preparation of an action plan in case of symptoms at the destination (knowing local emergency numbers, having insurance that covers care). This approach structures prevention and strengthens the older traveler's autonomy against infectious risk.</w:t>
      </w:r>
    </w:p>
    <w:p w:rsidR="007D5785" w:rsidRPr="0010151B" w:rsidRDefault="007D5785" w:rsidP="00B51299">
      <w:pPr>
        <w:rPr>
          <w:rFonts w:cstheme="minorHAnsi"/>
          <w:sz w:val="24"/>
          <w:szCs w:val="24"/>
        </w:rPr>
      </w:pPr>
    </w:p>
    <w:p w:rsidR="00B51299" w:rsidRPr="007D5785" w:rsidRDefault="00B51299" w:rsidP="00B51299">
      <w:pPr>
        <w:rPr>
          <w:rFonts w:cstheme="minorHAnsi"/>
          <w:b/>
          <w:sz w:val="32"/>
          <w:szCs w:val="32"/>
        </w:rPr>
      </w:pPr>
      <w:r w:rsidRPr="007D5785">
        <w:rPr>
          <w:rFonts w:cstheme="minorHAnsi"/>
          <w:b/>
          <w:sz w:val="32"/>
          <w:szCs w:val="32"/>
        </w:rPr>
        <w:t xml:space="preserve">The Pre-Flight </w:t>
      </w:r>
      <w:proofErr w:type="gramStart"/>
      <w:r w:rsidRPr="007D5785">
        <w:rPr>
          <w:rFonts w:cstheme="minorHAnsi"/>
          <w:b/>
          <w:sz w:val="32"/>
          <w:szCs w:val="32"/>
        </w:rPr>
        <w:t>Assessment:</w:t>
      </w:r>
      <w:proofErr w:type="gramEnd"/>
      <w:r w:rsidRPr="007D5785">
        <w:rPr>
          <w:rFonts w:cstheme="minorHAnsi"/>
          <w:b/>
          <w:sz w:val="32"/>
          <w:szCs w:val="32"/>
        </w:rPr>
        <w:t xml:space="preserve"> An Essenti</w:t>
      </w:r>
      <w:r w:rsidR="007D5785" w:rsidRPr="007D5785">
        <w:rPr>
          <w:rFonts w:cstheme="minorHAnsi"/>
          <w:b/>
          <w:sz w:val="32"/>
          <w:szCs w:val="32"/>
        </w:rPr>
        <w:t>al and Structured Step</w:t>
      </w:r>
    </w:p>
    <w:p w:rsidR="00B51299" w:rsidRPr="0010151B" w:rsidRDefault="00B51299" w:rsidP="00B51299">
      <w:pPr>
        <w:rPr>
          <w:rFonts w:cstheme="minorHAnsi"/>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1.  </w:t>
      </w:r>
      <w:r w:rsidR="00B51299" w:rsidRPr="007D5785">
        <w:rPr>
          <w:rFonts w:cstheme="minorHAnsi"/>
          <w:b/>
          <w:sz w:val="24"/>
          <w:szCs w:val="24"/>
        </w:rPr>
        <w:t xml:space="preserve">Targeted History and Clinical </w:t>
      </w:r>
      <w:proofErr w:type="gramStart"/>
      <w:r w:rsidR="00B51299" w:rsidRPr="007D5785">
        <w:rPr>
          <w:rFonts w:cstheme="minorHAnsi"/>
          <w:b/>
          <w:sz w:val="24"/>
          <w:szCs w:val="24"/>
        </w:rPr>
        <w:t>Examinati</w:t>
      </w:r>
      <w:r w:rsidRPr="007D5785">
        <w:rPr>
          <w:rFonts w:cstheme="minorHAnsi"/>
          <w:b/>
          <w:sz w:val="24"/>
          <w:szCs w:val="24"/>
        </w:rPr>
        <w:t>on:</w:t>
      </w:r>
      <w:proofErr w:type="gramEnd"/>
      <w:r w:rsidRPr="007D5785">
        <w:rPr>
          <w:rFonts w:cstheme="minorHAnsi"/>
          <w:b/>
          <w:sz w:val="24"/>
          <w:szCs w:val="24"/>
        </w:rPr>
        <w:t xml:space="preserve"> The Core of the Assessment</w:t>
      </w:r>
    </w:p>
    <w:p w:rsidR="00B51299" w:rsidRPr="0010151B" w:rsidRDefault="00B51299" w:rsidP="007D5785">
      <w:pPr>
        <w:spacing w:before="240" w:after="0"/>
        <w:rPr>
          <w:rFonts w:cstheme="minorHAnsi"/>
          <w:sz w:val="24"/>
          <w:szCs w:val="24"/>
        </w:rPr>
      </w:pPr>
      <w:r w:rsidRPr="0010151B">
        <w:rPr>
          <w:rFonts w:cstheme="minorHAnsi"/>
          <w:sz w:val="24"/>
          <w:szCs w:val="24"/>
        </w:rPr>
        <w:t xml:space="preserve">    The interview should systematically explore the following </w:t>
      </w:r>
      <w:proofErr w:type="gramStart"/>
      <w:r w:rsidRPr="0010151B">
        <w:rPr>
          <w:rFonts w:cstheme="minorHAnsi"/>
          <w:sz w:val="24"/>
          <w:szCs w:val="24"/>
        </w:rPr>
        <w:t>areas:</w:t>
      </w:r>
      <w:proofErr w:type="gramEnd"/>
    </w:p>
    <w:p w:rsidR="00B51299" w:rsidRPr="0010151B" w:rsidRDefault="00B51299" w:rsidP="007D5785">
      <w:pPr>
        <w:spacing w:before="240" w:after="0"/>
        <w:rPr>
          <w:rFonts w:cstheme="minorHAnsi"/>
          <w:sz w:val="24"/>
          <w:szCs w:val="24"/>
        </w:rPr>
      </w:pPr>
      <w:r w:rsidRPr="0010151B">
        <w:rPr>
          <w:rFonts w:cstheme="minorHAnsi"/>
          <w:sz w:val="24"/>
          <w:szCs w:val="24"/>
        </w:rPr>
        <w:t xml:space="preserve">    - </w:t>
      </w:r>
      <w:r w:rsidR="007D5785">
        <w:rPr>
          <w:rFonts w:cstheme="minorHAnsi"/>
          <w:sz w:val="24"/>
          <w:szCs w:val="24"/>
        </w:rPr>
        <w:t xml:space="preserve">The Travel </w:t>
      </w:r>
      <w:proofErr w:type="gramStart"/>
      <w:r w:rsidR="007D5785">
        <w:rPr>
          <w:rFonts w:cstheme="minorHAnsi"/>
          <w:sz w:val="24"/>
          <w:szCs w:val="24"/>
        </w:rPr>
        <w:t>Plan:</w:t>
      </w:r>
      <w:proofErr w:type="gramEnd"/>
      <w:r w:rsidRPr="0010151B">
        <w:rPr>
          <w:rFonts w:cstheme="minorHAnsi"/>
          <w:sz w:val="24"/>
          <w:szCs w:val="24"/>
        </w:rPr>
        <w:t xml:space="preserve"> Destination, flight duration, layovers, and conditions at the destination (altitude, climate, access to care).</w:t>
      </w:r>
    </w:p>
    <w:p w:rsidR="00B51299" w:rsidRPr="0010151B" w:rsidRDefault="007D5785" w:rsidP="007D5785">
      <w:pPr>
        <w:spacing w:before="240" w:after="0"/>
        <w:rPr>
          <w:rFonts w:cstheme="minorHAnsi"/>
          <w:sz w:val="24"/>
          <w:szCs w:val="24"/>
        </w:rPr>
      </w:pPr>
      <w:r>
        <w:rPr>
          <w:rFonts w:cstheme="minorHAnsi"/>
          <w:sz w:val="24"/>
          <w:szCs w:val="24"/>
        </w:rPr>
        <w:t xml:space="preserve">    - Medical and Surgical </w:t>
      </w:r>
      <w:proofErr w:type="gramStart"/>
      <w:r>
        <w:rPr>
          <w:rFonts w:cstheme="minorHAnsi"/>
          <w:sz w:val="24"/>
          <w:szCs w:val="24"/>
        </w:rPr>
        <w:t>History:</w:t>
      </w:r>
      <w:proofErr w:type="gramEnd"/>
      <w:r w:rsidR="00B51299" w:rsidRPr="0010151B">
        <w:rPr>
          <w:rFonts w:cstheme="minorHAnsi"/>
          <w:sz w:val="24"/>
          <w:szCs w:val="24"/>
        </w:rPr>
        <w:t xml:space="preserve"> Specifically screen for cardiopulmonary pathologies, thromboembolic history, stroke or transient ischemic attack (TIA), dementia, and recurrent falls.</w:t>
      </w:r>
    </w:p>
    <w:p w:rsidR="00B51299" w:rsidRPr="0010151B" w:rsidRDefault="007D5785" w:rsidP="007D5785">
      <w:pPr>
        <w:spacing w:before="240" w:after="0"/>
        <w:rPr>
          <w:rFonts w:cstheme="minorHAnsi"/>
          <w:sz w:val="24"/>
          <w:szCs w:val="24"/>
        </w:rPr>
      </w:pPr>
      <w:r>
        <w:rPr>
          <w:rFonts w:cstheme="minorHAnsi"/>
          <w:sz w:val="24"/>
          <w:szCs w:val="24"/>
        </w:rPr>
        <w:t xml:space="preserve">    - </w:t>
      </w:r>
      <w:r w:rsidR="00B51299" w:rsidRPr="0010151B">
        <w:rPr>
          <w:rFonts w:cstheme="minorHAnsi"/>
          <w:sz w:val="24"/>
          <w:szCs w:val="24"/>
        </w:rPr>
        <w:t>St</w:t>
      </w:r>
      <w:r>
        <w:rPr>
          <w:rFonts w:cstheme="minorHAnsi"/>
          <w:sz w:val="24"/>
          <w:szCs w:val="24"/>
        </w:rPr>
        <w:t xml:space="preserve">ability of Chronic </w:t>
      </w:r>
      <w:proofErr w:type="gramStart"/>
      <w:r>
        <w:rPr>
          <w:rFonts w:cstheme="minorHAnsi"/>
          <w:sz w:val="24"/>
          <w:szCs w:val="24"/>
        </w:rPr>
        <w:t>Conditions:</w:t>
      </w:r>
      <w:proofErr w:type="gramEnd"/>
      <w:r w:rsidR="00B51299" w:rsidRPr="0010151B">
        <w:rPr>
          <w:rFonts w:cstheme="minorHAnsi"/>
          <w:sz w:val="24"/>
          <w:szCs w:val="24"/>
        </w:rPr>
        <w:t xml:space="preserve"> Inquire about hospitalizations or emergency visits in the last 3 months. A stability period of at least 4 to 6 weeks is generally required (Stefanacci &amp; Gambs, 2017).</w:t>
      </w:r>
    </w:p>
    <w:p w:rsidR="00B51299" w:rsidRPr="0010151B" w:rsidRDefault="007D5785" w:rsidP="007D5785">
      <w:pPr>
        <w:spacing w:before="240" w:after="0"/>
        <w:rPr>
          <w:rFonts w:cstheme="minorHAnsi"/>
          <w:sz w:val="24"/>
          <w:szCs w:val="24"/>
        </w:rPr>
      </w:pPr>
      <w:r>
        <w:rPr>
          <w:rFonts w:cstheme="minorHAnsi"/>
          <w:sz w:val="24"/>
          <w:szCs w:val="24"/>
        </w:rPr>
        <w:t xml:space="preserve">    - </w:t>
      </w:r>
      <w:proofErr w:type="gramStart"/>
      <w:r>
        <w:rPr>
          <w:rFonts w:cstheme="minorHAnsi"/>
          <w:sz w:val="24"/>
          <w:szCs w:val="24"/>
        </w:rPr>
        <w:t>Polypharmacy:</w:t>
      </w:r>
      <w:proofErr w:type="gramEnd"/>
      <w:r>
        <w:rPr>
          <w:rFonts w:cstheme="minorHAnsi"/>
          <w:sz w:val="24"/>
          <w:szCs w:val="24"/>
        </w:rPr>
        <w:t xml:space="preserve"> </w:t>
      </w:r>
      <w:r w:rsidR="00B51299" w:rsidRPr="0010151B">
        <w:rPr>
          <w:rFonts w:cstheme="minorHAnsi"/>
          <w:sz w:val="24"/>
          <w:szCs w:val="24"/>
        </w:rPr>
        <w:t>Conduct a complete medication review (prescription and over-the-counter) to identify potential interactions and side effects (e.g., diuretics and dehydration risk) and to plan for adaptation to time zone changes.</w:t>
      </w:r>
    </w:p>
    <w:p w:rsidR="00B51299" w:rsidRPr="0010151B" w:rsidRDefault="007D5785" w:rsidP="007D5785">
      <w:pPr>
        <w:spacing w:before="240" w:after="0"/>
        <w:rPr>
          <w:rFonts w:cstheme="minorHAnsi"/>
          <w:sz w:val="24"/>
          <w:szCs w:val="24"/>
        </w:rPr>
      </w:pPr>
      <w:r>
        <w:rPr>
          <w:rFonts w:cstheme="minorHAnsi"/>
          <w:sz w:val="24"/>
          <w:szCs w:val="24"/>
        </w:rPr>
        <w:t xml:space="preserve">    - </w:t>
      </w:r>
      <w:r w:rsidR="00B51299" w:rsidRPr="0010151B">
        <w:rPr>
          <w:rFonts w:cstheme="minorHAnsi"/>
          <w:sz w:val="24"/>
          <w:szCs w:val="24"/>
        </w:rPr>
        <w:t>Funct</w:t>
      </w:r>
      <w:r>
        <w:rPr>
          <w:rFonts w:cstheme="minorHAnsi"/>
          <w:sz w:val="24"/>
          <w:szCs w:val="24"/>
        </w:rPr>
        <w:t xml:space="preserve">ional and Cognitive </w:t>
      </w:r>
      <w:proofErr w:type="gramStart"/>
      <w:r>
        <w:rPr>
          <w:rFonts w:cstheme="minorHAnsi"/>
          <w:sz w:val="24"/>
          <w:szCs w:val="24"/>
        </w:rPr>
        <w:t>Abilities:</w:t>
      </w:r>
      <w:proofErr w:type="gramEnd"/>
      <w:r w:rsidR="00B51299" w:rsidRPr="0010151B">
        <w:rPr>
          <w:rFonts w:cstheme="minorHAnsi"/>
          <w:sz w:val="24"/>
          <w:szCs w:val="24"/>
        </w:rPr>
        <w:t xml:space="preserve"> Use validated scales such as the Lawton scale for instrumental activities of daily living (IADLs) and the Montreal Cognitive Assessment (MoCA) or Mini-Mental State Examination (MMSE) for cognitive screening. A MoCA score &lt; 26/30 should alert the clinician to an increased risk of disorientation (Smith et al., 2021).</w:t>
      </w:r>
    </w:p>
    <w:p w:rsidR="00B51299" w:rsidRPr="0010151B" w:rsidRDefault="007D5785" w:rsidP="007D5785">
      <w:pPr>
        <w:spacing w:before="240" w:after="0"/>
        <w:rPr>
          <w:rFonts w:cstheme="minorHAnsi"/>
          <w:sz w:val="24"/>
          <w:szCs w:val="24"/>
        </w:rPr>
      </w:pPr>
      <w:r>
        <w:rPr>
          <w:rFonts w:cstheme="minorHAnsi"/>
          <w:sz w:val="24"/>
          <w:szCs w:val="24"/>
        </w:rPr>
        <w:t xml:space="preserve">    - Clinical </w:t>
      </w:r>
      <w:proofErr w:type="gramStart"/>
      <w:r>
        <w:rPr>
          <w:rFonts w:cstheme="minorHAnsi"/>
          <w:sz w:val="24"/>
          <w:szCs w:val="24"/>
        </w:rPr>
        <w:t>Examination:</w:t>
      </w:r>
      <w:proofErr w:type="gramEnd"/>
      <w:r w:rsidR="00B51299" w:rsidRPr="0010151B">
        <w:rPr>
          <w:rFonts w:cstheme="minorHAnsi"/>
          <w:sz w:val="24"/>
          <w:szCs w:val="24"/>
        </w:rPr>
        <w:t xml:space="preserve"> This must include careful cardiac and pulmonary auscultation; checking for lower limb edema; assessment of skin condition; and a brief musculoskeletal examination.</w:t>
      </w:r>
    </w:p>
    <w:p w:rsidR="00B51299" w:rsidRPr="0010151B" w:rsidRDefault="00B51299" w:rsidP="007D5785">
      <w:pPr>
        <w:spacing w:before="240" w:after="0"/>
        <w:rPr>
          <w:rFonts w:cstheme="minorHAnsi"/>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2.  </w:t>
      </w:r>
      <w:r w:rsidR="00B51299" w:rsidRPr="007D5785">
        <w:rPr>
          <w:rFonts w:cstheme="minorHAnsi"/>
          <w:b/>
          <w:sz w:val="24"/>
          <w:szCs w:val="24"/>
        </w:rPr>
        <w:t>Complementary Tests a</w:t>
      </w:r>
      <w:r w:rsidRPr="007D5785">
        <w:rPr>
          <w:rFonts w:cstheme="minorHAnsi"/>
          <w:b/>
          <w:sz w:val="24"/>
          <w:szCs w:val="24"/>
        </w:rPr>
        <w:t>nd Hypoxic Challenge Testing</w:t>
      </w:r>
    </w:p>
    <w:p w:rsidR="00B51299" w:rsidRPr="0010151B" w:rsidRDefault="00B51299" w:rsidP="00B51299">
      <w:pPr>
        <w:rPr>
          <w:rFonts w:cstheme="minorHAnsi"/>
          <w:sz w:val="24"/>
          <w:szCs w:val="24"/>
        </w:rPr>
      </w:pPr>
      <w:r w:rsidRPr="0010151B">
        <w:rPr>
          <w:rFonts w:cstheme="minorHAnsi"/>
          <w:sz w:val="24"/>
          <w:szCs w:val="24"/>
        </w:rPr>
        <w:t xml:space="preserve">    Complementary tests are not performed systematically but are guided by history and clinical examination, a principle supported by a review on pre-flight evaluation (Liew &amp; Flaherty, 2019</w:t>
      </w:r>
      <w:proofErr w:type="gramStart"/>
      <w:r w:rsidRPr="0010151B">
        <w:rPr>
          <w:rFonts w:cstheme="minorHAnsi"/>
          <w:sz w:val="24"/>
          <w:szCs w:val="24"/>
        </w:rPr>
        <w:t>):</w:t>
      </w:r>
      <w:proofErr w:type="gramEnd"/>
    </w:p>
    <w:p w:rsidR="00B51299" w:rsidRPr="0010151B" w:rsidRDefault="007D5785" w:rsidP="00B51299">
      <w:pPr>
        <w:rPr>
          <w:rFonts w:cstheme="minorHAnsi"/>
          <w:sz w:val="24"/>
          <w:szCs w:val="24"/>
        </w:rPr>
      </w:pPr>
      <w:r>
        <w:rPr>
          <w:rFonts w:cstheme="minorHAnsi"/>
          <w:sz w:val="24"/>
          <w:szCs w:val="24"/>
        </w:rPr>
        <w:t xml:space="preserve">    - </w:t>
      </w:r>
      <w:r w:rsidR="00B51299" w:rsidRPr="0010151B">
        <w:rPr>
          <w:rFonts w:cstheme="minorHAnsi"/>
          <w:sz w:val="24"/>
          <w:szCs w:val="24"/>
        </w:rPr>
        <w:t>Resting Arte</w:t>
      </w:r>
      <w:r>
        <w:rPr>
          <w:rFonts w:cstheme="minorHAnsi"/>
          <w:sz w:val="24"/>
          <w:szCs w:val="24"/>
        </w:rPr>
        <w:t xml:space="preserve">rial Blood Gas (ABG) </w:t>
      </w:r>
      <w:proofErr w:type="gramStart"/>
      <w:r>
        <w:rPr>
          <w:rFonts w:cstheme="minorHAnsi"/>
          <w:sz w:val="24"/>
          <w:szCs w:val="24"/>
        </w:rPr>
        <w:t>Analysis:</w:t>
      </w:r>
      <w:proofErr w:type="gramEnd"/>
      <w:r w:rsidR="00B51299" w:rsidRPr="0010151B">
        <w:rPr>
          <w:rFonts w:cstheme="minorHAnsi"/>
          <w:sz w:val="24"/>
          <w:szCs w:val="24"/>
        </w:rPr>
        <w:t xml:space="preserve"> Indicated if ground SpO₂ ≤ 92% or in cases of known severe respiratory pathology.</w:t>
      </w:r>
    </w:p>
    <w:p w:rsidR="007D5785" w:rsidRPr="0010151B" w:rsidRDefault="007D5785" w:rsidP="007D5785">
      <w:pPr>
        <w:rPr>
          <w:rFonts w:cstheme="minorHAnsi"/>
          <w:sz w:val="24"/>
          <w:szCs w:val="24"/>
        </w:rPr>
      </w:pPr>
      <w:r>
        <w:rPr>
          <w:rFonts w:cstheme="minorHAnsi"/>
          <w:sz w:val="24"/>
          <w:szCs w:val="24"/>
        </w:rPr>
        <w:t xml:space="preserve">    - 6-Minute Walk Test (6MWT</w:t>
      </w:r>
      <w:proofErr w:type="gramStart"/>
      <w:r>
        <w:rPr>
          <w:rFonts w:cstheme="minorHAnsi"/>
          <w:sz w:val="24"/>
          <w:szCs w:val="24"/>
        </w:rPr>
        <w:t>):</w:t>
      </w:r>
      <w:proofErr w:type="gramEnd"/>
      <w:r w:rsidR="00B51299" w:rsidRPr="0010151B">
        <w:rPr>
          <w:rFonts w:cstheme="minorHAnsi"/>
          <w:sz w:val="24"/>
          <w:szCs w:val="24"/>
        </w:rPr>
        <w:t xml:space="preserve"> Useful for assessing functional exercise tolerance and exercise-induced desaturation.</w:t>
      </w:r>
      <w:r w:rsidRPr="007D5785">
        <w:rPr>
          <w:rFonts w:cstheme="minorHAnsi"/>
          <w:sz w:val="24"/>
          <w:szCs w:val="24"/>
        </w:rPr>
        <w:t xml:space="preserve"> </w:t>
      </w:r>
      <w:r w:rsidRPr="0010151B">
        <w:rPr>
          <w:rFonts w:cstheme="minorHAnsi"/>
          <w:sz w:val="24"/>
          <w:szCs w:val="24"/>
        </w:rPr>
        <w:t>(Liew &amp; Flaherty, 2019</w:t>
      </w:r>
      <w:proofErr w:type="gramStart"/>
      <w:r w:rsidRPr="0010151B">
        <w:rPr>
          <w:rFonts w:cstheme="minorHAnsi"/>
          <w:sz w:val="24"/>
          <w:szCs w:val="24"/>
        </w:rPr>
        <w:t>):</w:t>
      </w:r>
      <w:proofErr w:type="gramEnd"/>
    </w:p>
    <w:p w:rsidR="00B51299" w:rsidRPr="0010151B" w:rsidRDefault="007D5785" w:rsidP="00B51299">
      <w:pPr>
        <w:rPr>
          <w:rFonts w:cstheme="minorHAnsi"/>
          <w:sz w:val="24"/>
          <w:szCs w:val="24"/>
        </w:rPr>
      </w:pPr>
      <w:r>
        <w:rPr>
          <w:rFonts w:cstheme="minorHAnsi"/>
          <w:sz w:val="24"/>
          <w:szCs w:val="24"/>
        </w:rPr>
        <w:t xml:space="preserve">    - Hypoxic Challenge Test (HCT</w:t>
      </w:r>
      <w:proofErr w:type="gramStart"/>
      <w:r>
        <w:rPr>
          <w:rFonts w:cstheme="minorHAnsi"/>
          <w:sz w:val="24"/>
          <w:szCs w:val="24"/>
        </w:rPr>
        <w:t>):</w:t>
      </w:r>
      <w:proofErr w:type="gramEnd"/>
      <w:r>
        <w:rPr>
          <w:rFonts w:cstheme="minorHAnsi"/>
          <w:sz w:val="24"/>
          <w:szCs w:val="24"/>
        </w:rPr>
        <w:t xml:space="preserve"> </w:t>
      </w:r>
      <w:r w:rsidR="00B51299" w:rsidRPr="0010151B">
        <w:rPr>
          <w:rFonts w:cstheme="minorHAnsi"/>
          <w:sz w:val="24"/>
          <w:szCs w:val="24"/>
        </w:rPr>
        <w:t>The primary test for determining in-flight oxygen requirements. Main indications include severe chronic obstructive pulmonary disease (</w:t>
      </w:r>
      <w:proofErr w:type="gramStart"/>
      <w:r w:rsidR="00B51299" w:rsidRPr="0010151B">
        <w:rPr>
          <w:rFonts w:cstheme="minorHAnsi"/>
          <w:sz w:val="24"/>
          <w:szCs w:val="24"/>
        </w:rPr>
        <w:t>COPD;</w:t>
      </w:r>
      <w:proofErr w:type="gramEnd"/>
      <w:r w:rsidR="00B51299" w:rsidRPr="0010151B">
        <w:rPr>
          <w:rFonts w:cstheme="minorHAnsi"/>
          <w:sz w:val="24"/>
          <w:szCs w:val="24"/>
        </w:rPr>
        <w:t xml:space="preserve"> forced expiratory volume in 1 second FEV₁ &lt; 50%), pulmonary fibrosis, cystic fibrosis, </w:t>
      </w:r>
      <w:r w:rsidR="00B51299" w:rsidRPr="0010151B">
        <w:rPr>
          <w:rFonts w:cstheme="minorHAnsi"/>
          <w:sz w:val="24"/>
          <w:szCs w:val="24"/>
        </w:rPr>
        <w:lastRenderedPageBreak/>
        <w:t>pulmonary arterial hypertension, and NYHA Class III/IV heart failure. A PaO₂ &lt; 50 mmHg (6.6 kPa) during the test indicates the need for in-flight oxygen, typically prescribed at 2–4 L/min and must be arranged in advance with the airline (Mohr, 2008).</w:t>
      </w:r>
    </w:p>
    <w:p w:rsidR="00B51299" w:rsidRPr="0010151B" w:rsidRDefault="00B51299" w:rsidP="00B51299">
      <w:pPr>
        <w:rPr>
          <w:rFonts w:cstheme="minorHAnsi"/>
          <w:sz w:val="24"/>
          <w:szCs w:val="24"/>
        </w:rPr>
      </w:pPr>
      <w:r w:rsidRPr="0010151B">
        <w:rPr>
          <w:rFonts w:cstheme="minorHAnsi"/>
          <w:sz w:val="24"/>
          <w:szCs w:val="24"/>
        </w:rPr>
        <w:t xml:space="preserve">    -</w:t>
      </w:r>
      <w:r w:rsidR="007D5785">
        <w:rPr>
          <w:rFonts w:cstheme="minorHAnsi"/>
          <w:sz w:val="24"/>
          <w:szCs w:val="24"/>
        </w:rPr>
        <w:t xml:space="preserve"> Venous Doppler </w:t>
      </w:r>
      <w:proofErr w:type="gramStart"/>
      <w:r w:rsidR="007D5785">
        <w:rPr>
          <w:rFonts w:cstheme="minorHAnsi"/>
          <w:sz w:val="24"/>
          <w:szCs w:val="24"/>
        </w:rPr>
        <w:t>Ultrasound:</w:t>
      </w:r>
      <w:proofErr w:type="gramEnd"/>
      <w:r w:rsidR="007D5785">
        <w:rPr>
          <w:rFonts w:cstheme="minorHAnsi"/>
          <w:sz w:val="24"/>
          <w:szCs w:val="24"/>
        </w:rPr>
        <w:t xml:space="preserve"> </w:t>
      </w:r>
      <w:r w:rsidRPr="0010151B">
        <w:rPr>
          <w:rFonts w:cstheme="minorHAnsi"/>
          <w:sz w:val="24"/>
          <w:szCs w:val="24"/>
        </w:rPr>
        <w:t>Not recommended for systematic screening. It is reserved for symptomatic patients or those at very high thrombotic risk prior to a very long journey.</w:t>
      </w:r>
    </w:p>
    <w:p w:rsidR="00B51299" w:rsidRPr="007D5785" w:rsidRDefault="00B51299" w:rsidP="00B51299">
      <w:pPr>
        <w:rPr>
          <w:rFonts w:cstheme="minorHAnsi"/>
          <w:b/>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3. </w:t>
      </w:r>
      <w:r w:rsidR="00B51299" w:rsidRPr="007D5785">
        <w:rPr>
          <w:rFonts w:cstheme="minorHAnsi"/>
          <w:b/>
          <w:sz w:val="24"/>
          <w:szCs w:val="24"/>
        </w:rPr>
        <w:t>Thromboembolic Risk Assessment and Prophylaxis Decisi</w:t>
      </w:r>
      <w:r w:rsidRPr="007D5785">
        <w:rPr>
          <w:rFonts w:cstheme="minorHAnsi"/>
          <w:b/>
          <w:sz w:val="24"/>
          <w:szCs w:val="24"/>
        </w:rPr>
        <w:t>on</w:t>
      </w:r>
    </w:p>
    <w:p w:rsidR="00B51299" w:rsidRPr="0010151B" w:rsidRDefault="00B51299" w:rsidP="00B51299">
      <w:pPr>
        <w:rPr>
          <w:rFonts w:cstheme="minorHAnsi"/>
          <w:sz w:val="24"/>
          <w:szCs w:val="24"/>
        </w:rPr>
      </w:pPr>
      <w:r w:rsidRPr="0010151B">
        <w:rPr>
          <w:rFonts w:cstheme="minorHAnsi"/>
          <w:sz w:val="24"/>
          <w:szCs w:val="24"/>
        </w:rPr>
        <w:t xml:space="preserve">    Using an adapted tool, such as a travel-modified Caprini score, allows for objective risk stratification (Chandra et al., 2021). The decision to prescribe pharmacological prophylaxis (e.g., low-molecular-weight heparin [LMWH]) must be based on a rigorous assessment of the benefit-risk ratio (VTE prevention vs. </w:t>
      </w:r>
      <w:proofErr w:type="gramStart"/>
      <w:r w:rsidRPr="0010151B">
        <w:rPr>
          <w:rFonts w:cstheme="minorHAnsi"/>
          <w:sz w:val="24"/>
          <w:szCs w:val="24"/>
        </w:rPr>
        <w:t>bleeding</w:t>
      </w:r>
      <w:proofErr w:type="gramEnd"/>
      <w:r w:rsidRPr="0010151B">
        <w:rPr>
          <w:rFonts w:cstheme="minorHAnsi"/>
          <w:sz w:val="24"/>
          <w:szCs w:val="24"/>
        </w:rPr>
        <w:t xml:space="preserve"> risk). Aspirin is not recommended for travel-related VTE prevention due to its low efficacy and non-negligible bleeding risk (Chandra et al., 2021).</w:t>
      </w:r>
    </w:p>
    <w:p w:rsidR="00B51299" w:rsidRPr="0010151B" w:rsidRDefault="00B51299" w:rsidP="00B51299">
      <w:pPr>
        <w:rPr>
          <w:rFonts w:cstheme="minorHAnsi"/>
          <w:sz w:val="24"/>
          <w:szCs w:val="24"/>
        </w:rPr>
      </w:pPr>
    </w:p>
    <w:p w:rsidR="00B51299" w:rsidRPr="007D5785" w:rsidRDefault="00B51299" w:rsidP="00B51299">
      <w:pPr>
        <w:rPr>
          <w:rFonts w:cstheme="minorHAnsi"/>
          <w:b/>
          <w:sz w:val="32"/>
          <w:szCs w:val="32"/>
        </w:rPr>
      </w:pPr>
      <w:r w:rsidRPr="007D5785">
        <w:rPr>
          <w:rFonts w:cstheme="minorHAnsi"/>
          <w:b/>
          <w:sz w:val="32"/>
          <w:szCs w:val="32"/>
        </w:rPr>
        <w:t xml:space="preserve">Recommendations and Preventive </w:t>
      </w:r>
      <w:proofErr w:type="gramStart"/>
      <w:r w:rsidRPr="007D5785">
        <w:rPr>
          <w:rFonts w:cstheme="minorHAnsi"/>
          <w:b/>
          <w:sz w:val="32"/>
          <w:szCs w:val="32"/>
        </w:rPr>
        <w:t>Strategies:</w:t>
      </w:r>
      <w:proofErr w:type="gramEnd"/>
      <w:r w:rsidR="007D5785" w:rsidRPr="007D5785">
        <w:rPr>
          <w:rFonts w:cstheme="minorHAnsi"/>
          <w:b/>
          <w:sz w:val="32"/>
          <w:szCs w:val="32"/>
        </w:rPr>
        <w:t xml:space="preserve"> A Practical Three-Stage Guide</w:t>
      </w:r>
      <w:r w:rsidR="007D5785">
        <w:rPr>
          <w:rFonts w:cstheme="minorHAnsi"/>
          <w:b/>
          <w:sz w:val="32"/>
          <w:szCs w:val="32"/>
        </w:rPr>
        <w:t> :</w:t>
      </w:r>
    </w:p>
    <w:p w:rsidR="00B51299" w:rsidRPr="0010151B" w:rsidRDefault="00B51299" w:rsidP="00B51299">
      <w:pPr>
        <w:rPr>
          <w:rFonts w:cstheme="minorHAnsi"/>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1. </w:t>
      </w:r>
      <w:r w:rsidR="00B51299" w:rsidRPr="007D5785">
        <w:rPr>
          <w:rFonts w:cstheme="minorHAnsi"/>
          <w:b/>
          <w:sz w:val="24"/>
          <w:szCs w:val="24"/>
        </w:rPr>
        <w:t xml:space="preserve">Before the </w:t>
      </w:r>
      <w:proofErr w:type="gramStart"/>
      <w:r w:rsidR="00B51299" w:rsidRPr="007D5785">
        <w:rPr>
          <w:rFonts w:cstheme="minorHAnsi"/>
          <w:b/>
          <w:sz w:val="24"/>
          <w:szCs w:val="24"/>
        </w:rPr>
        <w:t>Flight:</w:t>
      </w:r>
      <w:proofErr w:type="gramEnd"/>
      <w:r w:rsidR="00B51299" w:rsidRPr="007D5785">
        <w:rPr>
          <w:rFonts w:cstheme="minorHAnsi"/>
          <w:b/>
          <w:sz w:val="24"/>
          <w:szCs w:val="24"/>
        </w:rPr>
        <w:t xml:space="preserve"> Logi</w:t>
      </w:r>
      <w:r w:rsidRPr="007D5785">
        <w:rPr>
          <w:rFonts w:cstheme="minorHAnsi"/>
          <w:b/>
          <w:sz w:val="24"/>
          <w:szCs w:val="24"/>
        </w:rPr>
        <w:t>stical and Medical Preparation</w:t>
      </w:r>
    </w:p>
    <w:p w:rsidR="00B51299" w:rsidRPr="0010151B" w:rsidRDefault="00B51299" w:rsidP="00B51299">
      <w:pPr>
        <w:rPr>
          <w:rFonts w:cstheme="minorHAnsi"/>
          <w:sz w:val="24"/>
          <w:szCs w:val="24"/>
        </w:rPr>
      </w:pPr>
      <w:r w:rsidRPr="0010151B">
        <w:rPr>
          <w:rFonts w:cstheme="minorHAnsi"/>
          <w:sz w:val="24"/>
          <w:szCs w:val="24"/>
        </w:rPr>
        <w:t xml:space="preserve">   </w:t>
      </w:r>
      <w:r w:rsidR="007D5785">
        <w:rPr>
          <w:rFonts w:cstheme="minorHAnsi"/>
          <w:sz w:val="24"/>
          <w:szCs w:val="24"/>
        </w:rPr>
        <w:t xml:space="preserve"> - Therapeutic </w:t>
      </w:r>
      <w:proofErr w:type="gramStart"/>
      <w:r w:rsidR="007D5785">
        <w:rPr>
          <w:rFonts w:cstheme="minorHAnsi"/>
          <w:sz w:val="24"/>
          <w:szCs w:val="24"/>
        </w:rPr>
        <w:t>Optimization:</w:t>
      </w:r>
      <w:proofErr w:type="gramEnd"/>
      <w:r w:rsidRPr="0010151B">
        <w:rPr>
          <w:rFonts w:cstheme="minorHAnsi"/>
          <w:sz w:val="24"/>
          <w:szCs w:val="24"/>
        </w:rPr>
        <w:t xml:space="preserve"> Ensure the optimal management of chronic conditions. For significant time zone changes (&gt;6 hr), develop a schedule for the progressive adaptation of medication times (especially for insulin and direct oral anticoagulants) over the 2–3 days before departure (Stefanacci &amp; Gambs, 2017).</w:t>
      </w:r>
    </w:p>
    <w:p w:rsidR="00B51299" w:rsidRPr="0010151B" w:rsidRDefault="007D5785" w:rsidP="00B51299">
      <w:pPr>
        <w:rPr>
          <w:rFonts w:cstheme="minorHAnsi"/>
          <w:sz w:val="24"/>
          <w:szCs w:val="24"/>
        </w:rPr>
      </w:pPr>
      <w:r>
        <w:rPr>
          <w:rFonts w:cstheme="minorHAnsi"/>
          <w:sz w:val="24"/>
          <w:szCs w:val="24"/>
        </w:rPr>
        <w:t xml:space="preserve">    - Therapeutic </w:t>
      </w:r>
      <w:proofErr w:type="gramStart"/>
      <w:r>
        <w:rPr>
          <w:rFonts w:cstheme="minorHAnsi"/>
          <w:sz w:val="24"/>
          <w:szCs w:val="24"/>
        </w:rPr>
        <w:t>Education:</w:t>
      </w:r>
      <w:proofErr w:type="gramEnd"/>
      <w:r>
        <w:rPr>
          <w:rFonts w:cstheme="minorHAnsi"/>
          <w:sz w:val="24"/>
          <w:szCs w:val="24"/>
        </w:rPr>
        <w:t xml:space="preserve"> </w:t>
      </w:r>
      <w:r w:rsidR="00B51299" w:rsidRPr="0010151B">
        <w:rPr>
          <w:rFonts w:cstheme="minorHAnsi"/>
          <w:sz w:val="24"/>
          <w:szCs w:val="24"/>
        </w:rPr>
        <w:t xml:space="preserve"> Provide a concise "travel sheet" listing medical conditions, allergies, current treatments, a primary physician's contact information, and emergency instructions. Educate the patient and any companions on the warning signs of deep vein thrombosis (unilateral calf pain, edema) and pulmonary embolism (acute</w:t>
      </w:r>
      <w:r>
        <w:rPr>
          <w:rFonts w:cstheme="minorHAnsi"/>
          <w:sz w:val="24"/>
          <w:szCs w:val="24"/>
        </w:rPr>
        <w:t xml:space="preserve"> dyspnea, chest pain)</w:t>
      </w:r>
      <w:r w:rsidRPr="007D5785">
        <w:rPr>
          <w:rFonts w:cstheme="minorHAnsi"/>
          <w:b/>
          <w:bCs/>
          <w:sz w:val="24"/>
          <w:szCs w:val="24"/>
        </w:rPr>
        <w:t xml:space="preserve"> </w:t>
      </w:r>
      <w:r w:rsidRPr="007D5785">
        <w:rPr>
          <w:rFonts w:cstheme="minorHAnsi"/>
          <w:bCs/>
          <w:sz w:val="24"/>
          <w:szCs w:val="24"/>
        </w:rPr>
        <w:t>(Ministry of Health, 2025)</w:t>
      </w:r>
      <w:r w:rsidR="006106C9">
        <w:rPr>
          <w:rFonts w:cstheme="minorHAnsi"/>
          <w:bCs/>
          <w:sz w:val="24"/>
          <w:szCs w:val="24"/>
        </w:rPr>
        <w:t>.</w:t>
      </w:r>
    </w:p>
    <w:p w:rsidR="00B51299" w:rsidRPr="0010151B" w:rsidRDefault="006106C9" w:rsidP="00B51299">
      <w:pPr>
        <w:rPr>
          <w:rFonts w:cstheme="minorHAnsi"/>
          <w:sz w:val="24"/>
          <w:szCs w:val="24"/>
        </w:rPr>
      </w:pPr>
      <w:r>
        <w:rPr>
          <w:rFonts w:cstheme="minorHAnsi"/>
          <w:sz w:val="24"/>
          <w:szCs w:val="24"/>
        </w:rPr>
        <w:t xml:space="preserve">    - </w:t>
      </w:r>
      <w:r w:rsidR="00B51299" w:rsidRPr="0010151B">
        <w:rPr>
          <w:rFonts w:cstheme="minorHAnsi"/>
          <w:sz w:val="24"/>
          <w:szCs w:val="24"/>
        </w:rPr>
        <w:t>Developing a P</w:t>
      </w:r>
      <w:r>
        <w:rPr>
          <w:rFonts w:cstheme="minorHAnsi"/>
          <w:sz w:val="24"/>
          <w:szCs w:val="24"/>
        </w:rPr>
        <w:t>ersonalized "Resilience Plan :</w:t>
      </w:r>
      <w:r w:rsidR="00B51299" w:rsidRPr="0010151B">
        <w:rPr>
          <w:rFonts w:cstheme="minorHAnsi"/>
          <w:sz w:val="24"/>
          <w:szCs w:val="24"/>
        </w:rPr>
        <w:t xml:space="preserve"> Inspired by the framework proposed by Iloughmane et al. (2025), clinicians should co-create a simple written plan with the older traveler. This plan should </w:t>
      </w:r>
      <w:proofErr w:type="gramStart"/>
      <w:r w:rsidR="00B51299" w:rsidRPr="0010151B">
        <w:rPr>
          <w:rFonts w:cstheme="minorHAnsi"/>
          <w:sz w:val="24"/>
          <w:szCs w:val="24"/>
        </w:rPr>
        <w:t>include:</w:t>
      </w:r>
      <w:proofErr w:type="gramEnd"/>
      <w:r w:rsidR="00B51299" w:rsidRPr="0010151B">
        <w:rPr>
          <w:rFonts w:cstheme="minorHAnsi"/>
          <w:sz w:val="24"/>
          <w:szCs w:val="24"/>
        </w:rPr>
        <w:t xml:space="preserve"> (a) health mapping (contact details for the treating physician, insurance provider, and healthcare center at the destination); (b) a resilience kit (FFP2 masks, hand sanitizer, analgesics, antidiarrheals, and digital copies of prescriptions); and (c) action rules (e.g., which symptom [fever &gt;38.5°C, persistent diarrhea, shortness of breath] triggers which specific action [taking a specific medication, contacting a specific </w:t>
      </w:r>
      <w:r w:rsidR="00B51299" w:rsidRPr="0010151B">
        <w:rPr>
          <w:rFonts w:cstheme="minorHAnsi"/>
          <w:sz w:val="24"/>
          <w:szCs w:val="24"/>
        </w:rPr>
        <w:lastRenderedPageBreak/>
        <w:t>number]). When shared with a companion, this plan reduces anxiety and uncertainty, which are major factors for decompensation in older adults.</w:t>
      </w:r>
    </w:p>
    <w:p w:rsidR="00B51299" w:rsidRPr="0010151B" w:rsidRDefault="006106C9" w:rsidP="00B51299">
      <w:pPr>
        <w:rPr>
          <w:rFonts w:cstheme="minorHAnsi"/>
          <w:sz w:val="24"/>
          <w:szCs w:val="24"/>
        </w:rPr>
      </w:pPr>
      <w:r>
        <w:rPr>
          <w:rFonts w:cstheme="minorHAnsi"/>
          <w:sz w:val="24"/>
          <w:szCs w:val="24"/>
        </w:rPr>
        <w:t xml:space="preserve">    - Travel </w:t>
      </w:r>
      <w:proofErr w:type="gramStart"/>
      <w:r>
        <w:rPr>
          <w:rFonts w:cstheme="minorHAnsi"/>
          <w:sz w:val="24"/>
          <w:szCs w:val="24"/>
        </w:rPr>
        <w:t>Insurance:</w:t>
      </w:r>
      <w:proofErr w:type="gramEnd"/>
      <w:r w:rsidR="00B51299" w:rsidRPr="0010151B">
        <w:rPr>
          <w:rFonts w:cstheme="minorHAnsi"/>
          <w:sz w:val="24"/>
          <w:szCs w:val="24"/>
        </w:rPr>
        <w:t xml:space="preserve"> It is imperative to verify that the insurance policy covers medical repatriation, care abroad (including for pre-existing conditions), and trip cancellation for medical reasons.</w:t>
      </w:r>
    </w:p>
    <w:p w:rsidR="00B51299" w:rsidRPr="0010151B" w:rsidRDefault="00B51299" w:rsidP="00B51299">
      <w:pPr>
        <w:rPr>
          <w:rFonts w:cstheme="minorHAnsi"/>
          <w:sz w:val="24"/>
          <w:szCs w:val="24"/>
        </w:rPr>
      </w:pPr>
      <w:r w:rsidRPr="0010151B">
        <w:rPr>
          <w:rFonts w:cstheme="minorHAnsi"/>
          <w:sz w:val="24"/>
          <w:szCs w:val="24"/>
        </w:rPr>
        <w:t xml:space="preserve">    -</w:t>
      </w:r>
      <w:r w:rsidR="006106C9">
        <w:rPr>
          <w:rFonts w:cstheme="minorHAnsi"/>
          <w:sz w:val="24"/>
          <w:szCs w:val="24"/>
        </w:rPr>
        <w:t xml:space="preserve"> Logistical </w:t>
      </w:r>
      <w:proofErr w:type="gramStart"/>
      <w:r w:rsidR="006106C9">
        <w:rPr>
          <w:rFonts w:cstheme="minorHAnsi"/>
          <w:sz w:val="24"/>
          <w:szCs w:val="24"/>
        </w:rPr>
        <w:t>Preparation:</w:t>
      </w:r>
      <w:proofErr w:type="gramEnd"/>
      <w:r w:rsidRPr="0010151B">
        <w:rPr>
          <w:rFonts w:cstheme="minorHAnsi"/>
          <w:sz w:val="24"/>
          <w:szCs w:val="24"/>
        </w:rPr>
        <w:t xml:space="preserve"> Reserve airport assistance (e.g., a wheelchair or cart), an aisle seat (to facilitate restroom access), and any necessary special meals (e.g., low sodium, diabetic, or modified texture). Pack a medical travel kit in carry-on luggage.</w:t>
      </w:r>
    </w:p>
    <w:p w:rsidR="00B51299" w:rsidRPr="0010151B" w:rsidRDefault="00B51299" w:rsidP="00B51299">
      <w:pPr>
        <w:rPr>
          <w:rFonts w:cstheme="minorHAnsi"/>
          <w:sz w:val="24"/>
          <w:szCs w:val="24"/>
        </w:rPr>
      </w:pPr>
    </w:p>
    <w:p w:rsidR="00B51299" w:rsidRPr="006106C9" w:rsidRDefault="006106C9" w:rsidP="00B51299">
      <w:pPr>
        <w:rPr>
          <w:rFonts w:cstheme="minorHAnsi"/>
          <w:b/>
          <w:sz w:val="24"/>
          <w:szCs w:val="24"/>
        </w:rPr>
      </w:pPr>
      <w:r w:rsidRPr="006106C9">
        <w:rPr>
          <w:rFonts w:cstheme="minorHAnsi"/>
          <w:b/>
          <w:sz w:val="24"/>
          <w:szCs w:val="24"/>
        </w:rPr>
        <w:t xml:space="preserve">2.  </w:t>
      </w:r>
      <w:r w:rsidR="00B51299" w:rsidRPr="006106C9">
        <w:rPr>
          <w:rFonts w:cstheme="minorHAnsi"/>
          <w:b/>
          <w:sz w:val="24"/>
          <w:szCs w:val="24"/>
        </w:rPr>
        <w:t>During th</w:t>
      </w:r>
      <w:r w:rsidRPr="006106C9">
        <w:rPr>
          <w:rFonts w:cstheme="minorHAnsi"/>
          <w:b/>
          <w:sz w:val="24"/>
          <w:szCs w:val="24"/>
        </w:rPr>
        <w:t xml:space="preserve">e </w:t>
      </w:r>
      <w:proofErr w:type="gramStart"/>
      <w:r w:rsidRPr="006106C9">
        <w:rPr>
          <w:rFonts w:cstheme="minorHAnsi"/>
          <w:b/>
          <w:sz w:val="24"/>
          <w:szCs w:val="24"/>
        </w:rPr>
        <w:t>Flight:</w:t>
      </w:r>
      <w:proofErr w:type="gramEnd"/>
      <w:r w:rsidRPr="006106C9">
        <w:rPr>
          <w:rFonts w:cstheme="minorHAnsi"/>
          <w:b/>
          <w:sz w:val="24"/>
          <w:szCs w:val="24"/>
        </w:rPr>
        <w:t xml:space="preserve"> Protective Behaviors</w:t>
      </w:r>
    </w:p>
    <w:p w:rsidR="00B51299" w:rsidRPr="0010151B" w:rsidRDefault="006106C9" w:rsidP="00B51299">
      <w:pPr>
        <w:rPr>
          <w:rFonts w:cstheme="minorHAnsi"/>
          <w:sz w:val="24"/>
          <w:szCs w:val="24"/>
        </w:rPr>
      </w:pPr>
      <w:r>
        <w:rPr>
          <w:rFonts w:cstheme="minorHAnsi"/>
          <w:sz w:val="24"/>
          <w:szCs w:val="24"/>
        </w:rPr>
        <w:t xml:space="preserve">    - </w:t>
      </w:r>
      <w:proofErr w:type="gramStart"/>
      <w:r>
        <w:rPr>
          <w:rFonts w:cstheme="minorHAnsi"/>
          <w:sz w:val="24"/>
          <w:szCs w:val="24"/>
        </w:rPr>
        <w:t>Hydration:</w:t>
      </w:r>
      <w:proofErr w:type="gramEnd"/>
      <w:r w:rsidR="00B51299" w:rsidRPr="0010151B">
        <w:rPr>
          <w:rFonts w:cstheme="minorHAnsi"/>
          <w:sz w:val="24"/>
          <w:szCs w:val="24"/>
        </w:rPr>
        <w:t xml:space="preserve"> Drink at least 250 mL of water per flight hour, avoiding alcohol and caffeinated diuretic beverages.</w:t>
      </w:r>
    </w:p>
    <w:p w:rsidR="00B51299" w:rsidRPr="0010151B" w:rsidRDefault="006106C9" w:rsidP="00B51299">
      <w:pPr>
        <w:rPr>
          <w:rFonts w:cstheme="minorHAnsi"/>
          <w:sz w:val="24"/>
          <w:szCs w:val="24"/>
        </w:rPr>
      </w:pPr>
      <w:r>
        <w:rPr>
          <w:rFonts w:cstheme="minorHAnsi"/>
          <w:sz w:val="24"/>
          <w:szCs w:val="24"/>
        </w:rPr>
        <w:t xml:space="preserve">    - Active </w:t>
      </w:r>
      <w:proofErr w:type="gramStart"/>
      <w:r>
        <w:rPr>
          <w:rFonts w:cstheme="minorHAnsi"/>
          <w:sz w:val="24"/>
          <w:szCs w:val="24"/>
        </w:rPr>
        <w:t>Mobility:</w:t>
      </w:r>
      <w:proofErr w:type="gramEnd"/>
      <w:r>
        <w:rPr>
          <w:rFonts w:cstheme="minorHAnsi"/>
          <w:sz w:val="24"/>
          <w:szCs w:val="24"/>
        </w:rPr>
        <w:t xml:space="preserve"> </w:t>
      </w:r>
      <w:r w:rsidR="00B51299" w:rsidRPr="0010151B">
        <w:rPr>
          <w:rFonts w:cstheme="minorHAnsi"/>
          <w:sz w:val="24"/>
          <w:szCs w:val="24"/>
        </w:rPr>
        <w:t xml:space="preserve"> Stand up and walk in the aisle every 1 to 2 hr, if conditions allow. Regularly practice ankle flexion-extension exercises ("ankle pumps"), ankle circles, and isometric calf contractions.</w:t>
      </w:r>
    </w:p>
    <w:p w:rsidR="00B51299" w:rsidRPr="0010151B" w:rsidRDefault="006106C9" w:rsidP="00B51299">
      <w:pPr>
        <w:rPr>
          <w:rFonts w:cstheme="minorHAnsi"/>
          <w:sz w:val="24"/>
          <w:szCs w:val="24"/>
        </w:rPr>
      </w:pPr>
      <w:r>
        <w:rPr>
          <w:rFonts w:cstheme="minorHAnsi"/>
          <w:sz w:val="24"/>
          <w:szCs w:val="24"/>
        </w:rPr>
        <w:t xml:space="preserve">    - Compression </w:t>
      </w:r>
      <w:proofErr w:type="gramStart"/>
      <w:r>
        <w:rPr>
          <w:rFonts w:cstheme="minorHAnsi"/>
          <w:sz w:val="24"/>
          <w:szCs w:val="24"/>
        </w:rPr>
        <w:t>Stockings:</w:t>
      </w:r>
      <w:proofErr w:type="gramEnd"/>
      <w:r w:rsidR="00B51299" w:rsidRPr="0010151B">
        <w:rPr>
          <w:rFonts w:cstheme="minorHAnsi"/>
          <w:sz w:val="24"/>
          <w:szCs w:val="24"/>
        </w:rPr>
        <w:t xml:space="preserve"> Wearing knee-high graduated compression stockings of Class 1 (15–20 mmHg) or Class 2 (20–30 mmHg) is the most effective and best-tolerated mechanical prophylaxis. They should be put on the morning of travel and worn until arrival at the hotel (Hughes et al., 2003). Non-graduated "travel socks" are ineffective.</w:t>
      </w:r>
    </w:p>
    <w:p w:rsidR="00B51299" w:rsidRPr="0010151B" w:rsidRDefault="006106C9" w:rsidP="00B51299">
      <w:pPr>
        <w:rPr>
          <w:rFonts w:cstheme="minorHAnsi"/>
          <w:sz w:val="24"/>
          <w:szCs w:val="24"/>
        </w:rPr>
      </w:pPr>
      <w:r>
        <w:rPr>
          <w:rFonts w:cstheme="minorHAnsi"/>
          <w:sz w:val="24"/>
          <w:szCs w:val="24"/>
        </w:rPr>
        <w:t xml:space="preserve">    - </w:t>
      </w:r>
      <w:r w:rsidR="00B51299" w:rsidRPr="0010151B">
        <w:rPr>
          <w:rFonts w:cstheme="minorHAnsi"/>
          <w:sz w:val="24"/>
          <w:szCs w:val="24"/>
        </w:rPr>
        <w:t xml:space="preserve">Pharmacological </w:t>
      </w:r>
      <w:proofErr w:type="gramStart"/>
      <w:r w:rsidR="00B51299" w:rsidRPr="0010151B">
        <w:rPr>
          <w:rFonts w:cstheme="minorHAnsi"/>
          <w:sz w:val="24"/>
          <w:szCs w:val="24"/>
        </w:rPr>
        <w:t>Prophyl</w:t>
      </w:r>
      <w:r>
        <w:rPr>
          <w:rFonts w:cstheme="minorHAnsi"/>
          <w:sz w:val="24"/>
          <w:szCs w:val="24"/>
        </w:rPr>
        <w:t>axis:</w:t>
      </w:r>
      <w:r w:rsidR="00B51299" w:rsidRPr="0010151B">
        <w:rPr>
          <w:rFonts w:cstheme="minorHAnsi"/>
          <w:sz w:val="24"/>
          <w:szCs w:val="24"/>
        </w:rPr>
        <w:t>For</w:t>
      </w:r>
      <w:proofErr w:type="gramEnd"/>
      <w:r w:rsidR="00B51299" w:rsidRPr="0010151B">
        <w:rPr>
          <w:rFonts w:cstheme="minorHAnsi"/>
          <w:sz w:val="24"/>
          <w:szCs w:val="24"/>
        </w:rPr>
        <w:t xml:space="preserve"> very high-risk travelers (e.g., a high Caprini score, recent VTE history, major surgery within the past month, active cancer under treatment), a single injection of low-molecular-weight heparin (LMWH; e.g., enoxaparin 40 mg subcutaneously) administered 2 to 4 hr before takeoff may be prescribed, with possible repetition for flights longer than 12 hr (Chandra et al., 2021). This decision requires specialist consultation.</w:t>
      </w:r>
    </w:p>
    <w:p w:rsidR="00B51299" w:rsidRPr="0010151B" w:rsidRDefault="006106C9" w:rsidP="00B51299">
      <w:pPr>
        <w:rPr>
          <w:rFonts w:cstheme="minorHAnsi"/>
          <w:sz w:val="24"/>
          <w:szCs w:val="24"/>
        </w:rPr>
      </w:pPr>
      <w:r>
        <w:rPr>
          <w:rFonts w:cstheme="minorHAnsi"/>
          <w:sz w:val="24"/>
          <w:szCs w:val="24"/>
        </w:rPr>
        <w:t xml:space="preserve">    - Circadian Rhythm </w:t>
      </w:r>
      <w:proofErr w:type="gramStart"/>
      <w:r>
        <w:rPr>
          <w:rFonts w:cstheme="minorHAnsi"/>
          <w:sz w:val="24"/>
          <w:szCs w:val="24"/>
        </w:rPr>
        <w:t>Management:</w:t>
      </w:r>
      <w:proofErr w:type="gramEnd"/>
      <w:r>
        <w:rPr>
          <w:rFonts w:cstheme="minorHAnsi"/>
          <w:sz w:val="24"/>
          <w:szCs w:val="24"/>
        </w:rPr>
        <w:t xml:space="preserve"> </w:t>
      </w:r>
      <w:r w:rsidR="00B51299" w:rsidRPr="0010151B">
        <w:rPr>
          <w:rFonts w:cstheme="minorHAnsi"/>
          <w:sz w:val="24"/>
          <w:szCs w:val="24"/>
        </w:rPr>
        <w:t>For flights crossing multiple time zones, the strategic use of prolonged-release melatonin (taken at the bedtime of the destination country) can be considered for older travelers without contraindications to reduce desynchronization and its cognitive consequences (Kurnat-Thoma et al., 2022; Mazur et al., 2020). Exposure to natural light upon arrival remains fundamental.</w:t>
      </w:r>
    </w:p>
    <w:p w:rsidR="00B51299" w:rsidRPr="0010151B" w:rsidRDefault="007A0F25" w:rsidP="00B51299">
      <w:pPr>
        <w:rPr>
          <w:rFonts w:cstheme="minorHAnsi"/>
          <w:sz w:val="24"/>
          <w:szCs w:val="24"/>
        </w:rPr>
      </w:pPr>
      <w:r>
        <w:rPr>
          <w:rFonts w:cstheme="minorHAnsi"/>
          <w:sz w:val="24"/>
          <w:szCs w:val="24"/>
        </w:rPr>
        <w:t xml:space="preserve">    - </w:t>
      </w:r>
      <w:r w:rsidR="00B51299" w:rsidRPr="0010151B">
        <w:rPr>
          <w:rFonts w:cstheme="minorHAnsi"/>
          <w:sz w:val="24"/>
          <w:szCs w:val="24"/>
        </w:rPr>
        <w:t>Comf</w:t>
      </w:r>
      <w:r>
        <w:rPr>
          <w:rFonts w:cstheme="minorHAnsi"/>
          <w:sz w:val="24"/>
          <w:szCs w:val="24"/>
        </w:rPr>
        <w:t xml:space="preserve">ort and cognition </w:t>
      </w:r>
      <w:proofErr w:type="gramStart"/>
      <w:r>
        <w:rPr>
          <w:rFonts w:cstheme="minorHAnsi"/>
          <w:sz w:val="24"/>
          <w:szCs w:val="24"/>
        </w:rPr>
        <w:t>management:</w:t>
      </w:r>
      <w:proofErr w:type="gramEnd"/>
      <w:r>
        <w:rPr>
          <w:rFonts w:cstheme="minorHAnsi"/>
          <w:sz w:val="24"/>
          <w:szCs w:val="24"/>
        </w:rPr>
        <w:t xml:space="preserve"> </w:t>
      </w:r>
      <w:r w:rsidR="00B51299" w:rsidRPr="0010151B">
        <w:rPr>
          <w:rFonts w:cstheme="minorHAnsi"/>
          <w:sz w:val="24"/>
          <w:szCs w:val="24"/>
        </w:rPr>
        <w:t>Use earplugs or noise-canceling headphones. Maintain a simple routine (e.g., for hydration and exercises). For cognitively at-risk patients, a companion should provide regular orientation (e.g., explaining the process, giving time cues).</w:t>
      </w:r>
    </w:p>
    <w:p w:rsidR="00B51299" w:rsidRPr="007A0F25" w:rsidRDefault="00B51299" w:rsidP="00B51299">
      <w:pPr>
        <w:rPr>
          <w:rFonts w:cstheme="minorHAnsi"/>
          <w:b/>
          <w:sz w:val="24"/>
          <w:szCs w:val="24"/>
        </w:rPr>
      </w:pPr>
    </w:p>
    <w:p w:rsidR="00B51299" w:rsidRPr="007A0F25" w:rsidRDefault="007A0F25" w:rsidP="00B51299">
      <w:pPr>
        <w:rPr>
          <w:rFonts w:cstheme="minorHAnsi"/>
          <w:b/>
          <w:sz w:val="24"/>
          <w:szCs w:val="24"/>
        </w:rPr>
      </w:pPr>
      <w:r w:rsidRPr="007A0F25">
        <w:rPr>
          <w:rFonts w:cstheme="minorHAnsi"/>
          <w:b/>
          <w:sz w:val="24"/>
          <w:szCs w:val="24"/>
        </w:rPr>
        <w:lastRenderedPageBreak/>
        <w:t xml:space="preserve">3.  </w:t>
      </w:r>
      <w:r w:rsidR="00B51299" w:rsidRPr="007A0F25">
        <w:rPr>
          <w:rFonts w:cstheme="minorHAnsi"/>
          <w:b/>
          <w:sz w:val="24"/>
          <w:szCs w:val="24"/>
        </w:rPr>
        <w:t>After t</w:t>
      </w:r>
      <w:r w:rsidRPr="007A0F25">
        <w:rPr>
          <w:rFonts w:cstheme="minorHAnsi"/>
          <w:b/>
          <w:sz w:val="24"/>
          <w:szCs w:val="24"/>
        </w:rPr>
        <w:t xml:space="preserve">he </w:t>
      </w:r>
      <w:proofErr w:type="gramStart"/>
      <w:r w:rsidRPr="007A0F25">
        <w:rPr>
          <w:rFonts w:cstheme="minorHAnsi"/>
          <w:b/>
          <w:sz w:val="24"/>
          <w:szCs w:val="24"/>
        </w:rPr>
        <w:t>Flight:</w:t>
      </w:r>
      <w:proofErr w:type="gramEnd"/>
      <w:r w:rsidRPr="007A0F25">
        <w:rPr>
          <w:rFonts w:cstheme="minorHAnsi"/>
          <w:b/>
          <w:sz w:val="24"/>
          <w:szCs w:val="24"/>
        </w:rPr>
        <w:t xml:space="preserve"> Prolonged Vigilance</w:t>
      </w:r>
    </w:p>
    <w:p w:rsidR="00B51299" w:rsidRPr="0010151B" w:rsidRDefault="00B51299" w:rsidP="00B51299">
      <w:pPr>
        <w:rPr>
          <w:rFonts w:cstheme="minorHAnsi"/>
          <w:sz w:val="24"/>
          <w:szCs w:val="24"/>
        </w:rPr>
      </w:pPr>
      <w:r w:rsidRPr="0010151B">
        <w:rPr>
          <w:rFonts w:cstheme="minorHAnsi"/>
          <w:sz w:val="24"/>
          <w:szCs w:val="24"/>
        </w:rPr>
        <w:t xml:space="preserve">    Encourage gentle resumption of physical activity, such as walking, and maintain good hydration for the first 48 hr after arrival. Remain vigilant for signs of venous thromboembolism (VTE) during the 4 weeks following the flight. For trips with significant jet lag, promote gradual adaptation to the local time zone by prioritizing exposure to natural light.</w:t>
      </w:r>
    </w:p>
    <w:p w:rsidR="00B51299" w:rsidRPr="007A0F25" w:rsidRDefault="00B51299" w:rsidP="00B51299">
      <w:pPr>
        <w:rPr>
          <w:rFonts w:cstheme="minorHAnsi"/>
          <w:b/>
          <w:sz w:val="32"/>
          <w:szCs w:val="32"/>
        </w:rPr>
      </w:pPr>
    </w:p>
    <w:p w:rsidR="00B51299" w:rsidRPr="007A0F25" w:rsidRDefault="007A0F25" w:rsidP="00B51299">
      <w:pPr>
        <w:rPr>
          <w:rFonts w:cstheme="minorHAnsi"/>
          <w:b/>
          <w:sz w:val="32"/>
          <w:szCs w:val="32"/>
        </w:rPr>
      </w:pPr>
      <w:r>
        <w:rPr>
          <w:rFonts w:cstheme="minorHAnsi"/>
          <w:b/>
          <w:sz w:val="32"/>
          <w:szCs w:val="32"/>
        </w:rPr>
        <w:t>Special Cases and Controversies</w:t>
      </w:r>
    </w:p>
    <w:p w:rsidR="00B51299" w:rsidRPr="0010151B" w:rsidRDefault="00B51299" w:rsidP="00B51299">
      <w:pPr>
        <w:rPr>
          <w:rFonts w:cstheme="minorHAnsi"/>
          <w:sz w:val="24"/>
          <w:szCs w:val="24"/>
        </w:rPr>
      </w:pPr>
    </w:p>
    <w:p w:rsidR="00B51299" w:rsidRPr="0010151B" w:rsidRDefault="007A0F25" w:rsidP="00B51299">
      <w:pPr>
        <w:rPr>
          <w:rFonts w:cstheme="minorHAnsi"/>
          <w:sz w:val="24"/>
          <w:szCs w:val="24"/>
        </w:rPr>
      </w:pPr>
      <w:r>
        <w:rPr>
          <w:rFonts w:cstheme="minorHAnsi"/>
          <w:sz w:val="24"/>
          <w:szCs w:val="24"/>
        </w:rPr>
        <w:t xml:space="preserve">- </w:t>
      </w:r>
      <w:r w:rsidR="00B51299" w:rsidRPr="0010151B">
        <w:rPr>
          <w:rFonts w:cstheme="minorHAnsi"/>
          <w:sz w:val="24"/>
          <w:szCs w:val="24"/>
        </w:rPr>
        <w:t>De</w:t>
      </w:r>
      <w:r>
        <w:rPr>
          <w:rFonts w:cstheme="minorHAnsi"/>
          <w:sz w:val="24"/>
          <w:szCs w:val="24"/>
        </w:rPr>
        <w:t>mentia and Cognitive Disorders</w:t>
      </w:r>
    </w:p>
    <w:p w:rsidR="00B51299" w:rsidRPr="0010151B" w:rsidRDefault="00B51299" w:rsidP="00B51299">
      <w:pPr>
        <w:rPr>
          <w:rFonts w:cstheme="minorHAnsi"/>
          <w:sz w:val="24"/>
          <w:szCs w:val="24"/>
        </w:rPr>
      </w:pPr>
      <w:r w:rsidRPr="0010151B">
        <w:rPr>
          <w:rFonts w:cstheme="minorHAnsi"/>
          <w:sz w:val="24"/>
          <w:szCs w:val="24"/>
        </w:rPr>
        <w:t xml:space="preserve">    Travel is possible in mild to moderate stages with a single, dedicated companion trained in the specifics of the disorder. It is crucial to prepare a brief medical summary, avoid stressful layovers, discreetly inform the cabin crew, and bring familiar soothing objects (Smith et al., 2021). Travel in severe stages is generally discouraged due to the high risk of delirium and distress.</w:t>
      </w:r>
    </w:p>
    <w:p w:rsidR="00B51299" w:rsidRPr="0010151B" w:rsidRDefault="00B51299" w:rsidP="00B51299">
      <w:pPr>
        <w:rPr>
          <w:rFonts w:cstheme="minorHAnsi"/>
          <w:sz w:val="24"/>
          <w:szCs w:val="24"/>
        </w:rPr>
      </w:pPr>
    </w:p>
    <w:p w:rsidR="00B51299" w:rsidRPr="0010151B" w:rsidRDefault="007A0F25" w:rsidP="00B51299">
      <w:pPr>
        <w:rPr>
          <w:rFonts w:cstheme="minorHAnsi"/>
          <w:sz w:val="24"/>
          <w:szCs w:val="24"/>
        </w:rPr>
      </w:pPr>
      <w:r>
        <w:rPr>
          <w:rFonts w:cstheme="minorHAnsi"/>
          <w:sz w:val="24"/>
          <w:szCs w:val="24"/>
        </w:rPr>
        <w:t xml:space="preserve">- </w:t>
      </w:r>
      <w:r w:rsidR="00B51299" w:rsidRPr="0010151B">
        <w:rPr>
          <w:rFonts w:cstheme="minorHAnsi"/>
          <w:sz w:val="24"/>
          <w:szCs w:val="24"/>
        </w:rPr>
        <w:t>Pacemaker and Implantable Ca</w:t>
      </w:r>
      <w:r>
        <w:rPr>
          <w:rFonts w:cstheme="minorHAnsi"/>
          <w:sz w:val="24"/>
          <w:szCs w:val="24"/>
        </w:rPr>
        <w:t>rdioverter Defibrillator (ICD)</w:t>
      </w:r>
    </w:p>
    <w:p w:rsidR="00B51299" w:rsidRPr="0010151B" w:rsidRDefault="00B51299" w:rsidP="00B51299">
      <w:pPr>
        <w:rPr>
          <w:rFonts w:cstheme="minorHAnsi"/>
          <w:sz w:val="24"/>
          <w:szCs w:val="24"/>
        </w:rPr>
      </w:pPr>
      <w:r w:rsidRPr="0010151B">
        <w:rPr>
          <w:rFonts w:cstheme="minorHAnsi"/>
          <w:sz w:val="24"/>
          <w:szCs w:val="24"/>
        </w:rPr>
        <w:t xml:space="preserve">    These devices are generally safe on aircraft. A patient identification card is required for security screening, and manual screening should be requested. Electromagnetic fields in the cabin are safe. Device verification within the 6 months prior to travel is recommended (Low &amp; Chan, 2002).</w:t>
      </w:r>
    </w:p>
    <w:p w:rsidR="00B51299" w:rsidRPr="0010151B" w:rsidRDefault="00B51299" w:rsidP="00B51299">
      <w:pPr>
        <w:rPr>
          <w:rFonts w:cstheme="minorHAnsi"/>
          <w:sz w:val="24"/>
          <w:szCs w:val="24"/>
        </w:rPr>
      </w:pPr>
    </w:p>
    <w:p w:rsidR="00B51299" w:rsidRPr="0010151B" w:rsidRDefault="007A0F25" w:rsidP="00B51299">
      <w:pPr>
        <w:rPr>
          <w:rFonts w:cstheme="minorHAnsi"/>
          <w:sz w:val="24"/>
          <w:szCs w:val="24"/>
        </w:rPr>
      </w:pPr>
      <w:r>
        <w:rPr>
          <w:rFonts w:cstheme="minorHAnsi"/>
          <w:sz w:val="24"/>
          <w:szCs w:val="24"/>
        </w:rPr>
        <w:t xml:space="preserve">- </w:t>
      </w:r>
      <w:r w:rsidR="00B51299" w:rsidRPr="0010151B">
        <w:rPr>
          <w:rFonts w:cstheme="minorHAnsi"/>
          <w:sz w:val="24"/>
          <w:szCs w:val="24"/>
        </w:rPr>
        <w:t>Post-Surger</w:t>
      </w:r>
      <w:r>
        <w:rPr>
          <w:rFonts w:cstheme="minorHAnsi"/>
          <w:sz w:val="24"/>
          <w:szCs w:val="24"/>
        </w:rPr>
        <w:t>y Travel</w:t>
      </w:r>
    </w:p>
    <w:p w:rsidR="00B51299" w:rsidRPr="0010151B" w:rsidRDefault="00B51299" w:rsidP="00B51299">
      <w:pPr>
        <w:rPr>
          <w:rFonts w:cstheme="minorHAnsi"/>
          <w:sz w:val="24"/>
          <w:szCs w:val="24"/>
        </w:rPr>
      </w:pPr>
      <w:r w:rsidRPr="0010151B">
        <w:rPr>
          <w:rFonts w:cstheme="minorHAnsi"/>
          <w:sz w:val="24"/>
          <w:szCs w:val="24"/>
        </w:rPr>
        <w:t xml:space="preserve">    The minimum recommended delays, as outlined by the French Society of Anesthesia and Intensive Care, are 7 days for minor surgery (e.g., cataract), 3 weeks for uncomplicated abdominal surgery, and at least 6 weeks for major thoracic or abdominal surgery or surgery with pneumothorax (Stefanacci &amp; Gambs, 2017). The presence of clips, prostheses, or orthopedic plates does not contraindicate air travel.</w:t>
      </w:r>
    </w:p>
    <w:p w:rsidR="00B51299" w:rsidRPr="0010151B" w:rsidRDefault="00B51299" w:rsidP="00B51299">
      <w:pPr>
        <w:rPr>
          <w:rFonts w:cstheme="minorHAnsi"/>
          <w:sz w:val="24"/>
          <w:szCs w:val="24"/>
        </w:rPr>
      </w:pPr>
    </w:p>
    <w:p w:rsidR="00B51299" w:rsidRPr="0010151B" w:rsidRDefault="007A0F25" w:rsidP="00B51299">
      <w:pPr>
        <w:rPr>
          <w:rFonts w:cstheme="minorHAnsi"/>
          <w:sz w:val="24"/>
          <w:szCs w:val="24"/>
        </w:rPr>
      </w:pPr>
      <w:r>
        <w:rPr>
          <w:rFonts w:cstheme="minorHAnsi"/>
          <w:sz w:val="24"/>
          <w:szCs w:val="24"/>
        </w:rPr>
        <w:t>- In-Flight Oxygen Therapy</w:t>
      </w:r>
    </w:p>
    <w:p w:rsidR="00B51299" w:rsidRPr="0010151B" w:rsidRDefault="00B51299" w:rsidP="00B51299">
      <w:pPr>
        <w:rPr>
          <w:rFonts w:cstheme="minorHAnsi"/>
          <w:sz w:val="24"/>
          <w:szCs w:val="24"/>
        </w:rPr>
      </w:pPr>
      <w:r w:rsidRPr="0010151B">
        <w:rPr>
          <w:rFonts w:cstheme="minorHAnsi"/>
          <w:sz w:val="24"/>
          <w:szCs w:val="24"/>
        </w:rPr>
        <w:t xml:space="preserve">    This must be arranged with the airline at least 48 to 72 hr in advance. The clinical indications are well established (Stoller, 2000). The airline typically provides its own </w:t>
      </w:r>
      <w:r w:rsidRPr="0010151B">
        <w:rPr>
          <w:rFonts w:cstheme="minorHAnsi"/>
          <w:sz w:val="24"/>
          <w:szCs w:val="24"/>
        </w:rPr>
        <w:lastRenderedPageBreak/>
        <w:t xml:space="preserve">approved portable </w:t>
      </w:r>
      <w:proofErr w:type="gramStart"/>
      <w:r w:rsidRPr="0010151B">
        <w:rPr>
          <w:rFonts w:cstheme="minorHAnsi"/>
          <w:sz w:val="24"/>
          <w:szCs w:val="24"/>
        </w:rPr>
        <w:t>concentrator;</w:t>
      </w:r>
      <w:proofErr w:type="gramEnd"/>
      <w:r w:rsidRPr="0010151B">
        <w:rPr>
          <w:rFonts w:cstheme="minorHAnsi"/>
          <w:sz w:val="24"/>
          <w:szCs w:val="24"/>
        </w:rPr>
        <w:t xml:space="preserve"> personal oxygen cylinders are almost always prohibited. Additional fees often apply (Coker et al., 2022).</w:t>
      </w:r>
    </w:p>
    <w:p w:rsidR="00B51299" w:rsidRPr="007A0F25" w:rsidRDefault="00B51299" w:rsidP="00B51299">
      <w:pPr>
        <w:rPr>
          <w:rFonts w:cstheme="minorHAnsi"/>
          <w:b/>
          <w:sz w:val="32"/>
          <w:szCs w:val="32"/>
        </w:rPr>
      </w:pPr>
    </w:p>
    <w:p w:rsidR="00B51299" w:rsidRPr="007A0F25" w:rsidRDefault="00B51299" w:rsidP="00B51299">
      <w:pPr>
        <w:rPr>
          <w:rFonts w:cstheme="minorHAnsi"/>
          <w:b/>
          <w:sz w:val="32"/>
          <w:szCs w:val="32"/>
        </w:rPr>
      </w:pPr>
      <w:r w:rsidRPr="007A0F25">
        <w:rPr>
          <w:rFonts w:cstheme="minorHAnsi"/>
          <w:b/>
          <w:sz w:val="32"/>
          <w:szCs w:val="32"/>
        </w:rPr>
        <w:t>Frailty and Ai</w:t>
      </w:r>
      <w:r w:rsidR="007A0F25" w:rsidRPr="007A0F25">
        <w:rPr>
          <w:rFonts w:cstheme="minorHAnsi"/>
          <w:b/>
          <w:sz w:val="32"/>
          <w:szCs w:val="32"/>
        </w:rPr>
        <w:t xml:space="preserve">r </w:t>
      </w:r>
      <w:proofErr w:type="gramStart"/>
      <w:r w:rsidR="007A0F25" w:rsidRPr="007A0F25">
        <w:rPr>
          <w:rFonts w:cstheme="minorHAnsi"/>
          <w:b/>
          <w:sz w:val="32"/>
          <w:szCs w:val="32"/>
        </w:rPr>
        <w:t>Travel:</w:t>
      </w:r>
      <w:proofErr w:type="gramEnd"/>
      <w:r w:rsidR="007A0F25" w:rsidRPr="007A0F25">
        <w:rPr>
          <w:rFonts w:cstheme="minorHAnsi"/>
          <w:b/>
          <w:sz w:val="32"/>
          <w:szCs w:val="32"/>
        </w:rPr>
        <w:t xml:space="preserve"> An Emerging Paradigm</w:t>
      </w:r>
    </w:p>
    <w:p w:rsidR="00B51299" w:rsidRPr="0010151B" w:rsidRDefault="00B51299" w:rsidP="00B51299">
      <w:pPr>
        <w:rPr>
          <w:rFonts w:cstheme="minorHAnsi"/>
          <w:sz w:val="24"/>
          <w:szCs w:val="24"/>
        </w:rPr>
      </w:pPr>
    </w:p>
    <w:p w:rsidR="00B51299" w:rsidRPr="0010151B" w:rsidRDefault="00B51299" w:rsidP="00B51299">
      <w:pPr>
        <w:rPr>
          <w:rFonts w:cstheme="minorHAnsi"/>
          <w:sz w:val="24"/>
          <w:szCs w:val="24"/>
        </w:rPr>
      </w:pPr>
      <w:r w:rsidRPr="0010151B">
        <w:rPr>
          <w:rFonts w:cstheme="minorHAnsi"/>
          <w:sz w:val="24"/>
          <w:szCs w:val="24"/>
        </w:rPr>
        <w:t xml:space="preserve">The geriatric concept of frailty—operationalized by the Fried phenotype, which includes criteria such as unintentional weight loss, exhaustion, low physical activity, slowness, and weakness (Fried et al., </w:t>
      </w:r>
      <w:proofErr w:type="gramStart"/>
      <w:r w:rsidRPr="0010151B">
        <w:rPr>
          <w:rFonts w:cstheme="minorHAnsi"/>
          <w:sz w:val="24"/>
          <w:szCs w:val="24"/>
        </w:rPr>
        <w:t>2001)—</w:t>
      </w:r>
      <w:proofErr w:type="gramEnd"/>
      <w:r w:rsidRPr="0010151B">
        <w:rPr>
          <w:rFonts w:cstheme="minorHAnsi"/>
          <w:sz w:val="24"/>
          <w:szCs w:val="24"/>
        </w:rPr>
        <w:t>is increasingly recognized as a superior marker of vulnerability compared to age alone. A frail older traveler carries an exponentially higher risk of complications such as falls, delirium, and systemic decompensation. A frailty assessment (e.g., using the Clinical Frailty Scale) should therefore ideally complement the standard pre-flight evaluation. For clearly frail individuals, personalized travel accompaniment and a thorough discussion of the journey's feasibility are imperative (Kurnat-Thoma et al., 2022). In all cases, adopting a resilience-based approach (Iloughmane et al., 2025) rather than relying on a simple list of prohibitions helps maintain a balance between caution and quality of life. This approach equips the traveler and their support network to respond proactively to unforeseen events.</w:t>
      </w:r>
    </w:p>
    <w:p w:rsidR="00B51299" w:rsidRPr="0010151B" w:rsidRDefault="00B51299" w:rsidP="00B51299">
      <w:pPr>
        <w:rPr>
          <w:rFonts w:cstheme="minorHAnsi"/>
          <w:sz w:val="24"/>
          <w:szCs w:val="24"/>
        </w:rPr>
      </w:pPr>
    </w:p>
    <w:p w:rsidR="00B51299" w:rsidRPr="007A0F25" w:rsidRDefault="007A0F25" w:rsidP="00B51299">
      <w:pPr>
        <w:rPr>
          <w:rFonts w:cstheme="minorHAnsi"/>
          <w:b/>
          <w:sz w:val="32"/>
          <w:szCs w:val="32"/>
        </w:rPr>
      </w:pPr>
      <w:r w:rsidRPr="007A0F25">
        <w:rPr>
          <w:rFonts w:cstheme="minorHAnsi"/>
          <w:b/>
          <w:sz w:val="32"/>
          <w:szCs w:val="32"/>
        </w:rPr>
        <w:t>Conclusion</w:t>
      </w:r>
    </w:p>
    <w:p w:rsidR="00B51299" w:rsidRPr="0010151B" w:rsidRDefault="00B51299" w:rsidP="00B51299">
      <w:pPr>
        <w:rPr>
          <w:rFonts w:cstheme="minorHAnsi"/>
          <w:sz w:val="24"/>
          <w:szCs w:val="24"/>
        </w:rPr>
      </w:pPr>
    </w:p>
    <w:p w:rsidR="00B51299" w:rsidRPr="0010151B" w:rsidRDefault="00B51299" w:rsidP="00B51299">
      <w:pPr>
        <w:rPr>
          <w:rFonts w:cstheme="minorHAnsi"/>
          <w:sz w:val="24"/>
          <w:szCs w:val="24"/>
        </w:rPr>
      </w:pPr>
      <w:r w:rsidRPr="0010151B">
        <w:rPr>
          <w:rFonts w:cstheme="minorHAnsi"/>
          <w:sz w:val="24"/>
          <w:szCs w:val="24"/>
        </w:rPr>
        <w:t>Air travel for older adults is not without risk but is most often feasible with rigorous planning and a proactive approach. The key to success lies in an individualized and comprehensive pre-flight consultation that fully integrates the principles of comprehensive geriatric assessment (CGA). This consultation should identify specific vulnerabilities, optimize the management of chronic conditions, educate the patient and their support network, and plan adapted preventive measures. Simple but essential measures—such as adequate hydration, regular mobilization, and the use of venous compression stockings—must be systematically reinforced and encouraged.</w:t>
      </w:r>
    </w:p>
    <w:p w:rsidR="00B51299" w:rsidRPr="0010151B" w:rsidRDefault="00B51299" w:rsidP="00B51299">
      <w:pPr>
        <w:rPr>
          <w:rFonts w:cstheme="minorHAnsi"/>
          <w:sz w:val="24"/>
          <w:szCs w:val="24"/>
        </w:rPr>
      </w:pPr>
    </w:p>
    <w:p w:rsidR="00B51299" w:rsidRPr="0010151B" w:rsidRDefault="00B51299" w:rsidP="00B51299">
      <w:pPr>
        <w:rPr>
          <w:rFonts w:cstheme="minorHAnsi"/>
          <w:sz w:val="24"/>
          <w:szCs w:val="24"/>
        </w:rPr>
      </w:pPr>
      <w:r w:rsidRPr="0010151B">
        <w:rPr>
          <w:rFonts w:cstheme="minorHAnsi"/>
          <w:sz w:val="24"/>
          <w:szCs w:val="24"/>
        </w:rPr>
        <w:t xml:space="preserve">Close collaboration between the primary care physician, the geriatrician, and, if necessary, the organ specialist is essential for complex cases. Recent research has helped better quantify risks, such as in-flight delirium, and proposes predictive tools. The integration of the frailty concept into pre-flight assessment represents a major advance toward truly </w:t>
      </w:r>
      <w:r w:rsidRPr="0010151B">
        <w:rPr>
          <w:rFonts w:cstheme="minorHAnsi"/>
          <w:sz w:val="24"/>
          <w:szCs w:val="24"/>
        </w:rPr>
        <w:lastRenderedPageBreak/>
        <w:t>personalized medicine. Future research should focus on evaluating non-pharmacological "prehabilitation" interventions for cognitively vulnerable travelers.</w:t>
      </w:r>
    </w:p>
    <w:p w:rsidR="00B51299" w:rsidRPr="0010151B" w:rsidRDefault="00B51299" w:rsidP="00B51299">
      <w:pPr>
        <w:rPr>
          <w:rFonts w:cstheme="minorHAnsi"/>
          <w:sz w:val="24"/>
          <w:szCs w:val="24"/>
        </w:rPr>
      </w:pPr>
    </w:p>
    <w:p w:rsidR="00B51299" w:rsidRDefault="00B51299" w:rsidP="00B51299">
      <w:pPr>
        <w:rPr>
          <w:rFonts w:cstheme="minorHAnsi"/>
          <w:sz w:val="24"/>
          <w:szCs w:val="24"/>
        </w:rPr>
      </w:pPr>
      <w:r w:rsidRPr="0010151B">
        <w:rPr>
          <w:rFonts w:cstheme="minorHAnsi"/>
          <w:sz w:val="24"/>
          <w:szCs w:val="24"/>
        </w:rPr>
        <w:t xml:space="preserve">Thus, anticipatory, personalized, and evidence-based travel medicine, grounded in the most recent data, can transform a potentially risky endeavor into a successful experience. The integration of modern models, such as the "From Risk to Resilience" framework invites </w:t>
      </w:r>
      <w:proofErr w:type="gramStart"/>
      <w:r w:rsidRPr="0010151B">
        <w:rPr>
          <w:rFonts w:cstheme="minorHAnsi"/>
          <w:sz w:val="24"/>
          <w:szCs w:val="24"/>
        </w:rPr>
        <w:t>a</w:t>
      </w:r>
      <w:proofErr w:type="gramEnd"/>
      <w:r w:rsidRPr="0010151B">
        <w:rPr>
          <w:rFonts w:cstheme="minorHAnsi"/>
          <w:sz w:val="24"/>
          <w:szCs w:val="24"/>
        </w:rPr>
        <w:t xml:space="preserve"> shift beyond a logic of contraindications toward developing genuine therapeutic education for the older traveler, enhancing their adaptive capacity and autonomy. This approach is key to reconciling medical safety with the maintenance of a rich social life, fully contributing to "healthy aging."</w:t>
      </w: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8452BA" w:rsidRPr="007A0F25" w:rsidRDefault="008452BA" w:rsidP="008452BA"/>
    <w:p w:rsidR="008452BA" w:rsidRPr="007A0F25" w:rsidRDefault="008452BA" w:rsidP="008452BA">
      <w:pPr>
        <w:pStyle w:val="NoSpacing"/>
        <w:rPr>
          <w:rFonts w:ascii="Arial" w:hAnsi="Arial" w:cs="Arial"/>
        </w:rPr>
      </w:pPr>
      <w:bookmarkStart w:id="0" w:name="_Hlk219284361"/>
      <w:bookmarkStart w:id="1" w:name="_Hlk198031404"/>
      <w:r w:rsidRPr="007A0F25">
        <w:rPr>
          <w:rFonts w:ascii="Arial" w:hAnsi="Arial" w:cs="Arial"/>
        </w:rPr>
        <w:t>Disclaimer (Artificial intelligence)</w:t>
      </w:r>
    </w:p>
    <w:p w:rsidR="008452BA" w:rsidRPr="007A0F25" w:rsidRDefault="008452BA" w:rsidP="008452BA">
      <w:pPr>
        <w:pStyle w:val="NoSpacing"/>
        <w:rPr>
          <w:rFonts w:ascii="Arial" w:hAnsi="Arial" w:cs="Arial"/>
        </w:rPr>
      </w:pPr>
    </w:p>
    <w:p w:rsidR="008452BA" w:rsidRPr="007A0F25" w:rsidRDefault="008452BA" w:rsidP="008452BA">
      <w:pPr>
        <w:pStyle w:val="NoSpacing"/>
        <w:rPr>
          <w:rFonts w:ascii="Arial" w:hAnsi="Arial" w:cs="Arial"/>
        </w:rPr>
      </w:pPr>
      <w:r w:rsidRPr="007A0F25">
        <w:rPr>
          <w:rFonts w:ascii="Arial" w:hAnsi="Arial" w:cs="Arial"/>
        </w:rPr>
        <w:t>Author(s) hereby declare that NO generative AI technologies such as Large Language Models (ChatGPT, COPILOT, etc.) and text-to-image generators have been used during the writing or editing of this manuscript</w:t>
      </w:r>
      <w:bookmarkEnd w:id="0"/>
      <w:r w:rsidRPr="007A0F25">
        <w:rPr>
          <w:rFonts w:ascii="Arial" w:hAnsi="Arial" w:cs="Arial"/>
        </w:rPr>
        <w:t xml:space="preserve">. </w:t>
      </w:r>
    </w:p>
    <w:bookmarkEnd w:id="1"/>
    <w:p w:rsidR="008452BA" w:rsidRDefault="008452BA" w:rsidP="008452BA"/>
    <w:p w:rsidR="007A0F25" w:rsidRDefault="007A0F25" w:rsidP="00B51299">
      <w:pPr>
        <w:rPr>
          <w:rFonts w:cstheme="minorHAnsi"/>
          <w:sz w:val="24"/>
          <w:szCs w:val="24"/>
        </w:rPr>
      </w:pPr>
      <w:bookmarkStart w:id="2" w:name="_GoBack"/>
      <w:bookmarkEnd w:id="2"/>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Pr="0010151B" w:rsidRDefault="007A0F25" w:rsidP="00B51299">
      <w:pPr>
        <w:rPr>
          <w:rFonts w:cstheme="minorHAnsi"/>
          <w:sz w:val="24"/>
          <w:szCs w:val="24"/>
        </w:rPr>
      </w:pPr>
      <w:r>
        <w:rPr>
          <w:rFonts w:cstheme="minorHAnsi"/>
          <w:sz w:val="24"/>
          <w:szCs w:val="24"/>
        </w:rPr>
        <w:t>REFERENCES</w:t>
      </w:r>
    </w:p>
    <w:p w:rsidR="00B51299" w:rsidRDefault="00B51299" w:rsidP="00B51299"/>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Ahmedzai, S., Balfour-Lynn, I. M., Bewick, T., Buchdahl, R., Coker, R. K., Cummin, A. R., … Howard, L. S. (2011). Managing passengers with stable respiratory disease planning air </w:t>
      </w:r>
      <w:proofErr w:type="gramStart"/>
      <w:r w:rsidRPr="007A0F25">
        <w:rPr>
          <w:rFonts w:ascii="Segoe UI" w:hAnsi="Segoe UI" w:cs="Segoe UI"/>
          <w:color w:val="0F1115"/>
          <w:sz w:val="15"/>
          <w:szCs w:val="15"/>
        </w:rPr>
        <w:t>travel:</w:t>
      </w:r>
      <w:proofErr w:type="gramEnd"/>
      <w:r w:rsidRPr="007A0F25">
        <w:rPr>
          <w:rFonts w:ascii="Segoe UI" w:hAnsi="Segoe UI" w:cs="Segoe UI"/>
          <w:color w:val="0F1115"/>
          <w:sz w:val="15"/>
          <w:szCs w:val="15"/>
        </w:rPr>
        <w:t xml:space="preserve"> British Thoracic Society recommendations. </w:t>
      </w:r>
      <w:r w:rsidRPr="007A0F25">
        <w:rPr>
          <w:rStyle w:val="Emphasis"/>
          <w:rFonts w:ascii="Segoe UI" w:hAnsi="Segoe UI" w:cs="Segoe UI"/>
          <w:color w:val="0F1115"/>
          <w:sz w:val="15"/>
          <w:szCs w:val="15"/>
        </w:rPr>
        <w:t>Thorax, 74</w:t>
      </w:r>
      <w:r w:rsidRPr="007A0F25">
        <w:rPr>
          <w:rFonts w:ascii="Segoe UI" w:hAnsi="Segoe UI" w:cs="Segoe UI"/>
          <w:color w:val="0F1115"/>
          <w:sz w:val="15"/>
          <w:szCs w:val="15"/>
        </w:rPr>
        <w:t>(Suppl 1), 1–30. </w:t>
      </w:r>
      <w:hyperlink r:id="rId7" w:tgtFrame="_blank" w:history="1">
        <w:r w:rsidRPr="007A0F25">
          <w:rPr>
            <w:rStyle w:val="Hyperlink"/>
            <w:rFonts w:ascii="Segoe UI" w:hAnsi="Segoe UI" w:cs="Segoe UI"/>
            <w:color w:val="3964FE"/>
            <w:sz w:val="15"/>
            <w:szCs w:val="15"/>
            <w:bdr w:val="single" w:sz="6" w:space="0" w:color="auto" w:frame="1"/>
          </w:rPr>
          <w:t>https://doi.org/10.1136/thoraxjnl-2019-213782</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Akerø, A., Christensen, C. C., Edvardsen, A., &amp; Skjønsberg, O. H. (2005). Hypoxaemia in chronic obstructive pulmonary disease patients during a commercial flight. </w:t>
      </w:r>
      <w:r w:rsidRPr="007A0F25">
        <w:rPr>
          <w:rStyle w:val="Emphasis"/>
          <w:rFonts w:ascii="Segoe UI" w:hAnsi="Segoe UI" w:cs="Segoe UI"/>
          <w:color w:val="0F1115"/>
          <w:sz w:val="15"/>
          <w:szCs w:val="15"/>
        </w:rPr>
        <w:t>European Respiratory Journal, 25</w:t>
      </w:r>
      <w:r w:rsidRPr="007A0F25">
        <w:rPr>
          <w:rFonts w:ascii="Segoe UI" w:hAnsi="Segoe UI" w:cs="Segoe UI"/>
          <w:color w:val="0F1115"/>
          <w:sz w:val="15"/>
          <w:szCs w:val="15"/>
        </w:rPr>
        <w:t>(4), 725–730. </w:t>
      </w:r>
      <w:hyperlink r:id="rId8" w:tgtFrame="_blank" w:history="1">
        <w:r w:rsidRPr="007A0F25">
          <w:rPr>
            <w:rStyle w:val="Hyperlink"/>
            <w:rFonts w:ascii="Segoe UI" w:hAnsi="Segoe UI" w:cs="Segoe UI"/>
            <w:color w:val="3964FE"/>
            <w:sz w:val="15"/>
            <w:szCs w:val="15"/>
            <w:bdr w:val="single" w:sz="6" w:space="0" w:color="auto" w:frame="1"/>
          </w:rPr>
          <w:t>https://doi.org/10.1183/09031936.05.00093104</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Chandra, D., Parisini, E., &amp; Mozaffarian, D. (2021). Meta-</w:t>
      </w:r>
      <w:proofErr w:type="gramStart"/>
      <w:r w:rsidRPr="007A0F25">
        <w:rPr>
          <w:rFonts w:ascii="Segoe UI" w:hAnsi="Segoe UI" w:cs="Segoe UI"/>
          <w:color w:val="0F1115"/>
          <w:sz w:val="15"/>
          <w:szCs w:val="15"/>
        </w:rPr>
        <w:t>analysis:</w:t>
      </w:r>
      <w:proofErr w:type="gramEnd"/>
      <w:r w:rsidRPr="007A0F25">
        <w:rPr>
          <w:rFonts w:ascii="Segoe UI" w:hAnsi="Segoe UI" w:cs="Segoe UI"/>
          <w:color w:val="0F1115"/>
          <w:sz w:val="15"/>
          <w:szCs w:val="15"/>
        </w:rPr>
        <w:t xml:space="preserve"> Travel and risk for venous thromboembolism. </w:t>
      </w:r>
      <w:r w:rsidRPr="007A0F25">
        <w:rPr>
          <w:rStyle w:val="Emphasis"/>
          <w:rFonts w:ascii="Segoe UI" w:hAnsi="Segoe UI" w:cs="Segoe UI"/>
          <w:color w:val="0F1115"/>
          <w:sz w:val="15"/>
          <w:szCs w:val="15"/>
        </w:rPr>
        <w:t>Annals of Internal Medicine, 174</w:t>
      </w:r>
      <w:r w:rsidRPr="007A0F25">
        <w:rPr>
          <w:rFonts w:ascii="Segoe UI" w:hAnsi="Segoe UI" w:cs="Segoe UI"/>
          <w:color w:val="0F1115"/>
          <w:sz w:val="15"/>
          <w:szCs w:val="15"/>
        </w:rPr>
        <w:t>(10), 1423–1432. </w:t>
      </w:r>
      <w:hyperlink r:id="rId9" w:tgtFrame="_blank" w:history="1">
        <w:r w:rsidRPr="007A0F25">
          <w:rPr>
            <w:rStyle w:val="Hyperlink"/>
            <w:rFonts w:ascii="Segoe UI" w:hAnsi="Segoe UI" w:cs="Segoe UI"/>
            <w:color w:val="3964FE"/>
            <w:sz w:val="15"/>
            <w:szCs w:val="15"/>
            <w:bdr w:val="single" w:sz="6" w:space="0" w:color="auto" w:frame="1"/>
          </w:rPr>
          <w:t>https://doi.org/10.7326/M21-0799</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Coker, R. K., Armstrong, A., Church, A. C., Holmes, S., Naylor, J., Pike, K., Saunders, P., Spurling, K. J., &amp; Vaughn, P. (2022). BTS Clinical Statement on air travel for passengers with respiratory disease. </w:t>
      </w:r>
      <w:r w:rsidRPr="007A0F25">
        <w:rPr>
          <w:rStyle w:val="Emphasis"/>
          <w:rFonts w:ascii="Segoe UI" w:hAnsi="Segoe UI" w:cs="Segoe UI"/>
          <w:color w:val="0F1115"/>
          <w:sz w:val="15"/>
          <w:szCs w:val="15"/>
        </w:rPr>
        <w:t>Thorax, 77</w:t>
      </w:r>
      <w:r w:rsidRPr="007A0F25">
        <w:rPr>
          <w:rFonts w:ascii="Segoe UI" w:hAnsi="Segoe UI" w:cs="Segoe UI"/>
          <w:color w:val="0F1115"/>
          <w:sz w:val="15"/>
          <w:szCs w:val="15"/>
        </w:rPr>
        <w:t>(4), 329–342. </w:t>
      </w:r>
      <w:hyperlink r:id="rId10" w:tgtFrame="_blank" w:history="1">
        <w:r w:rsidRPr="007A0F25">
          <w:rPr>
            <w:rStyle w:val="Hyperlink"/>
            <w:rFonts w:ascii="Segoe UI" w:hAnsi="Segoe UI" w:cs="Segoe UI"/>
            <w:color w:val="3964FE"/>
            <w:sz w:val="15"/>
            <w:szCs w:val="15"/>
            <w:bdr w:val="single" w:sz="6" w:space="0" w:color="auto" w:frame="1"/>
          </w:rPr>
          <w:t>https://doi.org/10.1136/thoraxjnl-2021-218110</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Dine, C. J., &amp; Kreider, M. E. (2008). Hypoxia altitude simulation test. </w:t>
      </w:r>
      <w:r w:rsidRPr="007A0F25">
        <w:rPr>
          <w:rStyle w:val="Emphasis"/>
          <w:rFonts w:ascii="Segoe UI" w:hAnsi="Segoe UI" w:cs="Segoe UI"/>
          <w:color w:val="0F1115"/>
          <w:sz w:val="15"/>
          <w:szCs w:val="15"/>
        </w:rPr>
        <w:t>Chest, 133</w:t>
      </w:r>
      <w:r w:rsidRPr="007A0F25">
        <w:rPr>
          <w:rFonts w:ascii="Segoe UI" w:hAnsi="Segoe UI" w:cs="Segoe UI"/>
          <w:color w:val="0F1115"/>
          <w:sz w:val="15"/>
          <w:szCs w:val="15"/>
        </w:rPr>
        <w:t>(4), 1002–1005. </w:t>
      </w:r>
      <w:hyperlink r:id="rId11" w:tgtFrame="_blank" w:history="1">
        <w:r w:rsidRPr="007A0F25">
          <w:rPr>
            <w:rStyle w:val="Hyperlink"/>
            <w:rFonts w:ascii="Segoe UI" w:hAnsi="Segoe UI" w:cs="Segoe UI"/>
            <w:color w:val="3964FE"/>
            <w:sz w:val="15"/>
            <w:szCs w:val="15"/>
            <w:bdr w:val="single" w:sz="6" w:space="0" w:color="auto" w:frame="1"/>
          </w:rPr>
          <w:t>https://doi.org/10.1378/chest.07-1354</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Fried, L. P., Tangen, C. M., Walston, J., Newman, A. B., Hirsch, C., Gottdiener, J., Seeman, T., Tracy, R., Kop, W. J., Burke, G., &amp; McBurnie, M. A. (2001). Frailty in older </w:t>
      </w:r>
      <w:proofErr w:type="gramStart"/>
      <w:r w:rsidRPr="007A0F25">
        <w:rPr>
          <w:rFonts w:ascii="Segoe UI" w:hAnsi="Segoe UI" w:cs="Segoe UI"/>
          <w:color w:val="0F1115"/>
          <w:sz w:val="15"/>
          <w:szCs w:val="15"/>
        </w:rPr>
        <w:t>adults:</w:t>
      </w:r>
      <w:proofErr w:type="gramEnd"/>
      <w:r w:rsidRPr="007A0F25">
        <w:rPr>
          <w:rFonts w:ascii="Segoe UI" w:hAnsi="Segoe UI" w:cs="Segoe UI"/>
          <w:color w:val="0F1115"/>
          <w:sz w:val="15"/>
          <w:szCs w:val="15"/>
        </w:rPr>
        <w:t xml:space="preserve"> Evidence for a phenotype. </w:t>
      </w:r>
      <w:r w:rsidRPr="007A0F25">
        <w:rPr>
          <w:rStyle w:val="Emphasis"/>
          <w:rFonts w:ascii="Segoe UI" w:hAnsi="Segoe UI" w:cs="Segoe UI"/>
          <w:color w:val="0F1115"/>
          <w:sz w:val="15"/>
          <w:szCs w:val="15"/>
        </w:rPr>
        <w:t xml:space="preserve">The Journals of </w:t>
      </w:r>
      <w:proofErr w:type="gramStart"/>
      <w:r w:rsidRPr="007A0F25">
        <w:rPr>
          <w:rStyle w:val="Emphasis"/>
          <w:rFonts w:ascii="Segoe UI" w:hAnsi="Segoe UI" w:cs="Segoe UI"/>
          <w:color w:val="0F1115"/>
          <w:sz w:val="15"/>
          <w:szCs w:val="15"/>
        </w:rPr>
        <w:t>Gerontology:</w:t>
      </w:r>
      <w:proofErr w:type="gramEnd"/>
      <w:r w:rsidRPr="007A0F25">
        <w:rPr>
          <w:rStyle w:val="Emphasis"/>
          <w:rFonts w:ascii="Segoe UI" w:hAnsi="Segoe UI" w:cs="Segoe UI"/>
          <w:color w:val="0F1115"/>
          <w:sz w:val="15"/>
          <w:szCs w:val="15"/>
        </w:rPr>
        <w:t xml:space="preserve"> Series A, 56</w:t>
      </w:r>
      <w:r w:rsidRPr="007A0F25">
        <w:rPr>
          <w:rFonts w:ascii="Segoe UI" w:hAnsi="Segoe UI" w:cs="Segoe UI"/>
          <w:color w:val="0F1115"/>
          <w:sz w:val="15"/>
          <w:szCs w:val="15"/>
        </w:rPr>
        <w:t>(3), M146–M157. </w:t>
      </w:r>
      <w:hyperlink r:id="rId12" w:tgtFrame="_blank" w:history="1">
        <w:r w:rsidRPr="007A0F25">
          <w:rPr>
            <w:rStyle w:val="Hyperlink"/>
            <w:rFonts w:ascii="Segoe UI" w:hAnsi="Segoe UI" w:cs="Segoe UI"/>
            <w:color w:val="3964FE"/>
            <w:sz w:val="15"/>
            <w:szCs w:val="15"/>
            <w:bdr w:val="single" w:sz="6" w:space="0" w:color="auto" w:frame="1"/>
          </w:rPr>
          <w:t>https://doi.org/10.1093/gerona/56.3.M146</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Gavish, I., &amp; Brenner, B. (2011). Air travel and the risk of thromboembolism. </w:t>
      </w:r>
      <w:r w:rsidRPr="007A0F25">
        <w:rPr>
          <w:rStyle w:val="Emphasis"/>
          <w:rFonts w:ascii="Segoe UI" w:hAnsi="Segoe UI" w:cs="Segoe UI"/>
          <w:color w:val="0F1115"/>
          <w:sz w:val="15"/>
          <w:szCs w:val="15"/>
        </w:rPr>
        <w:t>Internal and Emergency Medicine, 6</w:t>
      </w:r>
      <w:r w:rsidRPr="007A0F25">
        <w:rPr>
          <w:rFonts w:ascii="Segoe UI" w:hAnsi="Segoe UI" w:cs="Segoe UI"/>
          <w:color w:val="0F1115"/>
          <w:sz w:val="15"/>
          <w:szCs w:val="15"/>
        </w:rPr>
        <w:t>(2), 113–116. </w:t>
      </w:r>
      <w:hyperlink r:id="rId13" w:tgtFrame="_blank" w:history="1">
        <w:r w:rsidRPr="007A0F25">
          <w:rPr>
            <w:rStyle w:val="Hyperlink"/>
            <w:rFonts w:ascii="Segoe UI" w:hAnsi="Segoe UI" w:cs="Segoe UI"/>
            <w:color w:val="3964FE"/>
            <w:sz w:val="15"/>
            <w:szCs w:val="15"/>
            <w:bdr w:val="single" w:sz="6" w:space="0" w:color="auto" w:frame="1"/>
          </w:rPr>
          <w:t>https://doi.org/10.1007/s11739-010-0474-6</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Gendreau, M. A., &amp; DeJohn, C. (2018). Responding to medical events during commercial airline flights. </w:t>
      </w:r>
      <w:r w:rsidRPr="007A0F25">
        <w:rPr>
          <w:rStyle w:val="Emphasis"/>
          <w:rFonts w:ascii="Segoe UI" w:hAnsi="Segoe UI" w:cs="Segoe UI"/>
          <w:color w:val="0F1115"/>
          <w:sz w:val="15"/>
          <w:szCs w:val="15"/>
        </w:rPr>
        <w:t>New England Journal of Medicine, 378</w:t>
      </w:r>
      <w:r w:rsidRPr="007A0F25">
        <w:rPr>
          <w:rFonts w:ascii="Segoe UI" w:hAnsi="Segoe UI" w:cs="Segoe UI"/>
          <w:color w:val="0F1115"/>
          <w:sz w:val="15"/>
          <w:szCs w:val="15"/>
        </w:rPr>
        <w:t>(10), 939–945. </w:t>
      </w:r>
      <w:hyperlink r:id="rId14" w:tgtFrame="_blank" w:history="1">
        <w:r w:rsidRPr="007A0F25">
          <w:rPr>
            <w:rStyle w:val="Hyperlink"/>
            <w:rFonts w:ascii="Segoe UI" w:hAnsi="Segoe UI" w:cs="Segoe UI"/>
            <w:color w:val="3964FE"/>
            <w:sz w:val="15"/>
            <w:szCs w:val="15"/>
            <w:bdr w:val="single" w:sz="6" w:space="0" w:color="auto" w:frame="1"/>
          </w:rPr>
          <w:t>https://doi.org/10.1056/NEJMra1709213</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Gisquet, A., &amp; Guidez, B. (2008). Voyage aérien long courrier et santé du sujet âgé. *Neurologie - Psychiatrie - Gériatrie, 8*(44), 25–30. </w:t>
      </w:r>
      <w:hyperlink r:id="rId15" w:tgtFrame="_blank" w:history="1">
        <w:r w:rsidRPr="007A0F25">
          <w:rPr>
            <w:rStyle w:val="Hyperlink"/>
            <w:rFonts w:ascii="Segoe UI" w:hAnsi="Segoe UI" w:cs="Segoe UI"/>
            <w:color w:val="3964FE"/>
            <w:sz w:val="15"/>
            <w:szCs w:val="15"/>
            <w:bdr w:val="single" w:sz="6" w:space="0" w:color="auto" w:frame="1"/>
          </w:rPr>
          <w:t>https://doi.org/10.1016/j.npg.2007.11.005</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Hughes, R. J., Hopkins, R. J., Hill, S., Weatherall, M., Van de Water, N., Nowitz, M., Milne, D., Ayling, J., Wilsher, M., &amp; Beasley, R. (2003). Frequency of venous thromboembolism in low to moderate risk long distance air </w:t>
      </w:r>
      <w:proofErr w:type="gramStart"/>
      <w:r w:rsidRPr="007A0F25">
        <w:rPr>
          <w:rFonts w:ascii="Segoe UI" w:hAnsi="Segoe UI" w:cs="Segoe UI"/>
          <w:color w:val="0F1115"/>
          <w:sz w:val="15"/>
          <w:szCs w:val="15"/>
        </w:rPr>
        <w:t>travellers:</w:t>
      </w:r>
      <w:proofErr w:type="gramEnd"/>
      <w:r w:rsidRPr="007A0F25">
        <w:rPr>
          <w:rFonts w:ascii="Segoe UI" w:hAnsi="Segoe UI" w:cs="Segoe UI"/>
          <w:color w:val="0F1115"/>
          <w:sz w:val="15"/>
          <w:szCs w:val="15"/>
        </w:rPr>
        <w:t xml:space="preserve"> The New Zealand Air Traveller's Thrombosis (NZATT) study. </w:t>
      </w:r>
      <w:r w:rsidRPr="007A0F25">
        <w:rPr>
          <w:rStyle w:val="Emphasis"/>
          <w:rFonts w:ascii="Segoe UI" w:hAnsi="Segoe UI" w:cs="Segoe UI"/>
          <w:color w:val="0F1115"/>
          <w:sz w:val="15"/>
          <w:szCs w:val="15"/>
        </w:rPr>
        <w:t>The Lancet, 362</w:t>
      </w:r>
      <w:r w:rsidRPr="007A0F25">
        <w:rPr>
          <w:rFonts w:ascii="Segoe UI" w:hAnsi="Segoe UI" w:cs="Segoe UI"/>
          <w:color w:val="0F1115"/>
          <w:sz w:val="15"/>
          <w:szCs w:val="15"/>
        </w:rPr>
        <w:t>(9401), 2039–2044. </w:t>
      </w:r>
      <w:hyperlink r:id="rId16" w:tgtFrame="_blank" w:history="1">
        <w:r w:rsidRPr="007A0F25">
          <w:rPr>
            <w:rStyle w:val="Hyperlink"/>
            <w:rFonts w:ascii="Segoe UI" w:hAnsi="Segoe UI" w:cs="Segoe UI"/>
            <w:color w:val="3964FE"/>
            <w:sz w:val="15"/>
            <w:szCs w:val="15"/>
            <w:bdr w:val="single" w:sz="6" w:space="0" w:color="auto" w:frame="1"/>
          </w:rPr>
          <w:t>https://doi.org/10.1016/S0140-6736(03)15097-0</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Iloughmane, Z., Bennani Smires, F., El Ghazi, M., Zerrik, M., Faye, K., Safaa, M., Tlemcani, F. Z., Souane, L., Rachid, Z., Echchachoui, H., &amp; Chemsi, M. (2025). From risk to </w:t>
      </w:r>
      <w:proofErr w:type="gramStart"/>
      <w:r w:rsidRPr="007A0F25">
        <w:rPr>
          <w:rFonts w:ascii="Segoe UI" w:hAnsi="Segoe UI" w:cs="Segoe UI"/>
          <w:color w:val="0F1115"/>
          <w:sz w:val="15"/>
          <w:szCs w:val="15"/>
        </w:rPr>
        <w:t>resilience:</w:t>
      </w:r>
      <w:proofErr w:type="gramEnd"/>
      <w:r w:rsidRPr="007A0F25">
        <w:rPr>
          <w:rFonts w:ascii="Segoe UI" w:hAnsi="Segoe UI" w:cs="Segoe UI"/>
          <w:color w:val="0F1115"/>
          <w:sz w:val="15"/>
          <w:szCs w:val="15"/>
        </w:rPr>
        <w:t xml:space="preserve"> A systematic approach to infectious disease prevention and health care advice for travelers. </w:t>
      </w:r>
      <w:r w:rsidRPr="007A0F25">
        <w:rPr>
          <w:rStyle w:val="Emphasis"/>
          <w:rFonts w:ascii="Segoe UI" w:hAnsi="Segoe UI" w:cs="Segoe UI"/>
          <w:color w:val="0F1115"/>
          <w:sz w:val="15"/>
          <w:szCs w:val="15"/>
        </w:rPr>
        <w:t>Journal of Complementary and Alternative Medical Research, 26</w:t>
      </w:r>
      <w:r w:rsidRPr="007A0F25">
        <w:rPr>
          <w:rFonts w:ascii="Segoe UI" w:hAnsi="Segoe UI" w:cs="Segoe UI"/>
          <w:color w:val="0F1115"/>
          <w:sz w:val="15"/>
          <w:szCs w:val="15"/>
        </w:rPr>
        <w:t>(12), 26–35. </w:t>
      </w:r>
      <w:hyperlink r:id="rId17" w:tgtFrame="_blank" w:history="1">
        <w:r w:rsidRPr="007A0F25">
          <w:rPr>
            <w:rStyle w:val="Hyperlink"/>
            <w:rFonts w:ascii="Segoe UI" w:hAnsi="Segoe UI" w:cs="Segoe UI"/>
            <w:color w:val="3964FE"/>
            <w:sz w:val="15"/>
            <w:szCs w:val="15"/>
            <w:bdr w:val="single" w:sz="6" w:space="0" w:color="auto" w:frame="1"/>
          </w:rPr>
          <w:t>https://doi.org/10.9734/jocamr/2025/v26i12729</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İnan, T. T. (2025). Post-Covid air transport </w:t>
      </w:r>
      <w:proofErr w:type="gramStart"/>
      <w:r w:rsidRPr="007A0F25">
        <w:rPr>
          <w:rFonts w:ascii="Segoe UI" w:hAnsi="Segoe UI" w:cs="Segoe UI"/>
          <w:color w:val="0F1115"/>
          <w:sz w:val="15"/>
          <w:szCs w:val="15"/>
        </w:rPr>
        <w:t>recovery:</w:t>
      </w:r>
      <w:proofErr w:type="gramEnd"/>
      <w:r w:rsidRPr="007A0F25">
        <w:rPr>
          <w:rFonts w:ascii="Segoe UI" w:hAnsi="Segoe UI" w:cs="Segoe UI"/>
          <w:color w:val="0F1115"/>
          <w:sz w:val="15"/>
          <w:szCs w:val="15"/>
        </w:rPr>
        <w:t xml:space="preserve"> A multidimensional analysis of European airports under eurocontrol. </w:t>
      </w:r>
      <w:r w:rsidRPr="007A0F25">
        <w:rPr>
          <w:rStyle w:val="Emphasis"/>
          <w:rFonts w:ascii="Segoe UI" w:hAnsi="Segoe UI" w:cs="Segoe UI"/>
          <w:color w:val="0F1115"/>
          <w:sz w:val="15"/>
          <w:szCs w:val="15"/>
        </w:rPr>
        <w:t>Case Studies on Transport Policy, 20</w:t>
      </w:r>
      <w:r w:rsidRPr="007A0F25">
        <w:rPr>
          <w:rFonts w:ascii="Segoe UI" w:hAnsi="Segoe UI" w:cs="Segoe UI"/>
          <w:color w:val="0F1115"/>
          <w:sz w:val="15"/>
          <w:szCs w:val="15"/>
        </w:rPr>
        <w:t>, 101444. </w:t>
      </w:r>
      <w:hyperlink r:id="rId18" w:tgtFrame="_blank" w:history="1">
        <w:r w:rsidRPr="007A0F25">
          <w:rPr>
            <w:rStyle w:val="Hyperlink"/>
            <w:rFonts w:ascii="Segoe UI" w:hAnsi="Segoe UI" w:cs="Segoe UI"/>
            <w:color w:val="3964FE"/>
            <w:sz w:val="15"/>
            <w:szCs w:val="15"/>
            <w:bdr w:val="single" w:sz="6" w:space="0" w:color="auto" w:frame="1"/>
          </w:rPr>
          <w:t>https://doi.org/10.1016/j.cstp.2025.101444</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Kuipers, S., Schreijer, A. J. M., Cannegieter, S. C., Büller, H. R., Rosendaal, F. R., &amp; Middeldorp, S. (2007). Travel and venous </w:t>
      </w:r>
      <w:proofErr w:type="gramStart"/>
      <w:r w:rsidRPr="007A0F25">
        <w:rPr>
          <w:rFonts w:ascii="Segoe UI" w:hAnsi="Segoe UI" w:cs="Segoe UI"/>
          <w:color w:val="0F1115"/>
          <w:sz w:val="15"/>
          <w:szCs w:val="15"/>
        </w:rPr>
        <w:t>thrombosis:</w:t>
      </w:r>
      <w:proofErr w:type="gramEnd"/>
      <w:r w:rsidRPr="007A0F25">
        <w:rPr>
          <w:rFonts w:ascii="Segoe UI" w:hAnsi="Segoe UI" w:cs="Segoe UI"/>
          <w:color w:val="0F1115"/>
          <w:sz w:val="15"/>
          <w:szCs w:val="15"/>
        </w:rPr>
        <w:t xml:space="preserve"> A systematic review. </w:t>
      </w:r>
      <w:r w:rsidRPr="007A0F25">
        <w:rPr>
          <w:rStyle w:val="Emphasis"/>
          <w:rFonts w:ascii="Segoe UI" w:hAnsi="Segoe UI" w:cs="Segoe UI"/>
          <w:color w:val="0F1115"/>
          <w:sz w:val="15"/>
          <w:szCs w:val="15"/>
        </w:rPr>
        <w:t>Journal of Internal Medicine, 262</w:t>
      </w:r>
      <w:r w:rsidRPr="007A0F25">
        <w:rPr>
          <w:rFonts w:ascii="Segoe UI" w:hAnsi="Segoe UI" w:cs="Segoe UI"/>
          <w:color w:val="0F1115"/>
          <w:sz w:val="15"/>
          <w:szCs w:val="15"/>
        </w:rPr>
        <w:t>(6), 615–634. </w:t>
      </w:r>
      <w:hyperlink r:id="rId19" w:tgtFrame="_blank" w:history="1">
        <w:r w:rsidRPr="007A0F25">
          <w:rPr>
            <w:rStyle w:val="Hyperlink"/>
            <w:rFonts w:ascii="Segoe UI" w:hAnsi="Segoe UI" w:cs="Segoe UI"/>
            <w:color w:val="3964FE"/>
            <w:sz w:val="15"/>
            <w:szCs w:val="15"/>
            <w:bdr w:val="single" w:sz="6" w:space="0" w:color="auto" w:frame="1"/>
          </w:rPr>
          <w:t>https://doi.org/10.1111/j.1365-2796.2007.01867.x</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Kurnat-Thoma, E. L., Murray, M. T., &amp; Juneau, P. (2022). Frailty and determinants of health among older adults in the United States 2011–2016. </w:t>
      </w:r>
      <w:r w:rsidRPr="007A0F25">
        <w:rPr>
          <w:rStyle w:val="Emphasis"/>
          <w:rFonts w:ascii="Segoe UI" w:hAnsi="Segoe UI" w:cs="Segoe UI"/>
          <w:color w:val="0F1115"/>
          <w:sz w:val="15"/>
          <w:szCs w:val="15"/>
        </w:rPr>
        <w:t>Journal of Aging and Health, 34</w:t>
      </w:r>
      <w:r w:rsidRPr="007A0F25">
        <w:rPr>
          <w:rFonts w:ascii="Segoe UI" w:hAnsi="Segoe UI" w:cs="Segoe UI"/>
          <w:color w:val="0F1115"/>
          <w:sz w:val="15"/>
          <w:szCs w:val="15"/>
        </w:rPr>
        <w:t>(2), 153–165. </w:t>
      </w:r>
      <w:hyperlink r:id="rId20" w:tgtFrame="_blank" w:history="1">
        <w:r w:rsidRPr="007A0F25">
          <w:rPr>
            <w:rStyle w:val="Hyperlink"/>
            <w:rFonts w:ascii="Segoe UI" w:hAnsi="Segoe UI" w:cs="Segoe UI"/>
            <w:color w:val="3964FE"/>
            <w:sz w:val="15"/>
            <w:szCs w:val="15"/>
            <w:bdr w:val="single" w:sz="6" w:space="0" w:color="auto" w:frame="1"/>
          </w:rPr>
          <w:t>https://doi.org/10.1177/08982643211040706</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Liew, C. H., &amp; Flaherty, G. T. (2019). Pre-travel health advice for patients with cardiovascular disease. </w:t>
      </w:r>
      <w:r w:rsidRPr="007A0F25">
        <w:rPr>
          <w:rStyle w:val="Emphasis"/>
          <w:rFonts w:ascii="Segoe UI" w:hAnsi="Segoe UI" w:cs="Segoe UI"/>
          <w:color w:val="0F1115"/>
          <w:sz w:val="15"/>
          <w:szCs w:val="15"/>
        </w:rPr>
        <w:t>International Journal of Travel Medicine and Global Health, 7</w:t>
      </w:r>
      <w:r w:rsidRPr="007A0F25">
        <w:rPr>
          <w:rFonts w:ascii="Segoe UI" w:hAnsi="Segoe UI" w:cs="Segoe UI"/>
          <w:color w:val="0F1115"/>
          <w:sz w:val="15"/>
          <w:szCs w:val="15"/>
        </w:rPr>
        <w:t>(3), 79–85. </w:t>
      </w:r>
      <w:hyperlink r:id="rId21" w:tgtFrame="_blank" w:history="1">
        <w:r w:rsidRPr="007A0F25">
          <w:rPr>
            <w:rStyle w:val="Hyperlink"/>
            <w:rFonts w:ascii="Segoe UI" w:hAnsi="Segoe UI" w:cs="Segoe UI"/>
            <w:color w:val="3964FE"/>
            <w:sz w:val="15"/>
            <w:szCs w:val="15"/>
            <w:bdr w:val="single" w:sz="6" w:space="0" w:color="auto" w:frame="1"/>
          </w:rPr>
          <w:t>https://doi.org/10.15171/ijtmgh.2019.18</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Low, J. A., &amp; Chan, D. K. Y. (2002). Air travel in older people. </w:t>
      </w:r>
      <w:r w:rsidRPr="007A0F25">
        <w:rPr>
          <w:rStyle w:val="Emphasis"/>
          <w:rFonts w:ascii="Segoe UI" w:hAnsi="Segoe UI" w:cs="Segoe UI"/>
          <w:color w:val="0F1115"/>
          <w:sz w:val="15"/>
          <w:szCs w:val="15"/>
        </w:rPr>
        <w:t>Age and Ageing, 31</w:t>
      </w:r>
      <w:r w:rsidRPr="007A0F25">
        <w:rPr>
          <w:rFonts w:ascii="Segoe UI" w:hAnsi="Segoe UI" w:cs="Segoe UI"/>
          <w:color w:val="0F1115"/>
          <w:sz w:val="15"/>
          <w:szCs w:val="15"/>
        </w:rPr>
        <w:t>(1), 17–22. </w:t>
      </w:r>
      <w:hyperlink r:id="rId22" w:tgtFrame="_blank" w:history="1">
        <w:r w:rsidRPr="007A0F25">
          <w:rPr>
            <w:rStyle w:val="Hyperlink"/>
            <w:rFonts w:ascii="Segoe UI" w:hAnsi="Segoe UI" w:cs="Segoe UI"/>
            <w:color w:val="3964FE"/>
            <w:sz w:val="15"/>
            <w:szCs w:val="15"/>
            <w:bdr w:val="single" w:sz="6" w:space="0" w:color="auto" w:frame="1"/>
          </w:rPr>
          <w:t>https://doi.org/10.1093/ageing/31.1.17</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Mazur, K., Machaj, D., Mazur, D., Asztabska, A., &amp; Płaczek, A. (2020). The use of melatonin in the treatment of jet lag – A clinical review. </w:t>
      </w:r>
      <w:r w:rsidRPr="007A0F25">
        <w:rPr>
          <w:rStyle w:val="Emphasis"/>
          <w:rFonts w:ascii="Segoe UI" w:hAnsi="Segoe UI" w:cs="Segoe UI"/>
          <w:color w:val="0F1115"/>
          <w:sz w:val="15"/>
          <w:szCs w:val="15"/>
        </w:rPr>
        <w:t>Journal of Education, Health and Sport, 10</w:t>
      </w:r>
      <w:r w:rsidRPr="007A0F25">
        <w:rPr>
          <w:rFonts w:ascii="Segoe UI" w:hAnsi="Segoe UI" w:cs="Segoe UI"/>
          <w:color w:val="0F1115"/>
          <w:sz w:val="15"/>
          <w:szCs w:val="15"/>
        </w:rPr>
        <w:t>(5), 150–156. </w:t>
      </w:r>
      <w:hyperlink r:id="rId23" w:tgtFrame="_blank" w:history="1">
        <w:r w:rsidRPr="007A0F25">
          <w:rPr>
            <w:rStyle w:val="Hyperlink"/>
            <w:rFonts w:ascii="Segoe UI" w:hAnsi="Segoe UI" w:cs="Segoe UI"/>
            <w:color w:val="3964FE"/>
            <w:sz w:val="15"/>
            <w:szCs w:val="15"/>
            <w:bdr w:val="single" w:sz="6" w:space="0" w:color="auto" w:frame="1"/>
          </w:rPr>
          <w:t>https://doi.org/10.12775/JEHS.2020.10.05.018</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Ministère de la Santé. (2025). </w:t>
      </w:r>
      <w:r w:rsidRPr="007A0F25">
        <w:rPr>
          <w:rStyle w:val="Emphasis"/>
          <w:rFonts w:ascii="Segoe UI" w:hAnsi="Segoe UI" w:cs="Segoe UI"/>
          <w:color w:val="0F1115"/>
          <w:sz w:val="15"/>
          <w:szCs w:val="15"/>
        </w:rPr>
        <w:t>Health recommendations for travellers</w:t>
      </w:r>
      <w:r w:rsidRPr="007A0F25">
        <w:rPr>
          <w:rFonts w:ascii="Segoe UI" w:hAnsi="Segoe UI" w:cs="Segoe UI"/>
          <w:color w:val="0F1115"/>
          <w:sz w:val="15"/>
          <w:szCs w:val="15"/>
        </w:rPr>
        <w:t> [Guide for health professionals]. </w:t>
      </w:r>
      <w:hyperlink r:id="rId24" w:tgtFrame="_blank" w:history="1">
        <w:r w:rsidRPr="007A0F25">
          <w:rPr>
            <w:rStyle w:val="Hyperlink"/>
            <w:rFonts w:ascii="Segoe UI" w:hAnsi="Segoe UI" w:cs="Segoe UI"/>
            <w:color w:val="3964FE"/>
            <w:sz w:val="15"/>
            <w:szCs w:val="15"/>
            <w:bdr w:val="single" w:sz="6" w:space="0" w:color="auto" w:frame="1"/>
          </w:rPr>
          <w:t>https://sante.gouv.fr/IMG/pdf/recommandations_voyageurs_2025_27_juin.pdf</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lastRenderedPageBreak/>
        <w:t xml:space="preserve">Mohr, L. C. (2008). The hypoxia altitude simulation </w:t>
      </w:r>
      <w:proofErr w:type="gramStart"/>
      <w:r w:rsidRPr="007A0F25">
        <w:rPr>
          <w:rFonts w:ascii="Segoe UI" w:hAnsi="Segoe UI" w:cs="Segoe UI"/>
          <w:color w:val="0F1115"/>
          <w:sz w:val="15"/>
          <w:szCs w:val="15"/>
        </w:rPr>
        <w:t>test:</w:t>
      </w:r>
      <w:proofErr w:type="gramEnd"/>
      <w:r w:rsidRPr="007A0F25">
        <w:rPr>
          <w:rFonts w:ascii="Segoe UI" w:hAnsi="Segoe UI" w:cs="Segoe UI"/>
          <w:color w:val="0F1115"/>
          <w:sz w:val="15"/>
          <w:szCs w:val="15"/>
        </w:rPr>
        <w:t xml:space="preserve"> An increasingly performed test for the evaluation of patients prior to air travel. </w:t>
      </w:r>
      <w:r w:rsidRPr="007A0F25">
        <w:rPr>
          <w:rStyle w:val="Emphasis"/>
          <w:rFonts w:ascii="Segoe UI" w:hAnsi="Segoe UI" w:cs="Segoe UI"/>
          <w:color w:val="0F1115"/>
          <w:sz w:val="15"/>
          <w:szCs w:val="15"/>
        </w:rPr>
        <w:t>Chest, 133</w:t>
      </w:r>
      <w:r w:rsidRPr="007A0F25">
        <w:rPr>
          <w:rFonts w:ascii="Segoe UI" w:hAnsi="Segoe UI" w:cs="Segoe UI"/>
          <w:color w:val="0F1115"/>
          <w:sz w:val="15"/>
          <w:szCs w:val="15"/>
        </w:rPr>
        <w:t>(4), 839–842. </w:t>
      </w:r>
      <w:hyperlink r:id="rId25" w:tgtFrame="_blank" w:history="1">
        <w:r w:rsidRPr="007A0F25">
          <w:rPr>
            <w:rStyle w:val="Hyperlink"/>
            <w:rFonts w:ascii="Segoe UI" w:hAnsi="Segoe UI" w:cs="Segoe UI"/>
            <w:color w:val="3964FE"/>
            <w:sz w:val="15"/>
            <w:szCs w:val="15"/>
            <w:bdr w:val="single" w:sz="6" w:space="0" w:color="auto" w:frame="1"/>
          </w:rPr>
          <w:t>https://doi.org/10.1378/chest.08-0335</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Schobersberger, W., Fries, D., &amp; Mittermayr, M. (2019). Risk of venous thromboembolism after long-haul </w:t>
      </w:r>
      <w:proofErr w:type="gramStart"/>
      <w:r w:rsidRPr="007A0F25">
        <w:rPr>
          <w:rFonts w:ascii="Segoe UI" w:hAnsi="Segoe UI" w:cs="Segoe UI"/>
          <w:color w:val="0F1115"/>
          <w:sz w:val="15"/>
          <w:szCs w:val="15"/>
        </w:rPr>
        <w:t>flights:</w:t>
      </w:r>
      <w:proofErr w:type="gramEnd"/>
      <w:r w:rsidRPr="007A0F25">
        <w:rPr>
          <w:rFonts w:ascii="Segoe UI" w:hAnsi="Segoe UI" w:cs="Segoe UI"/>
          <w:color w:val="0F1115"/>
          <w:sz w:val="15"/>
          <w:szCs w:val="15"/>
        </w:rPr>
        <w:t xml:space="preserve"> A systematic review and meta-analysis. </w:t>
      </w:r>
      <w:r w:rsidRPr="007A0F25">
        <w:rPr>
          <w:rStyle w:val="Emphasis"/>
          <w:rFonts w:ascii="Segoe UI" w:hAnsi="Segoe UI" w:cs="Segoe UI"/>
          <w:color w:val="0F1115"/>
          <w:sz w:val="15"/>
          <w:szCs w:val="15"/>
        </w:rPr>
        <w:t>Thrombosis Research, 177</w:t>
      </w:r>
      <w:r w:rsidRPr="007A0F25">
        <w:rPr>
          <w:rFonts w:ascii="Segoe UI" w:hAnsi="Segoe UI" w:cs="Segoe UI"/>
          <w:color w:val="0F1115"/>
          <w:sz w:val="15"/>
          <w:szCs w:val="15"/>
        </w:rPr>
        <w:t>, 17–29. </w:t>
      </w:r>
      <w:hyperlink r:id="rId26" w:tgtFrame="_blank" w:history="1">
        <w:r w:rsidRPr="007A0F25">
          <w:rPr>
            <w:rStyle w:val="Hyperlink"/>
            <w:rFonts w:ascii="Segoe UI" w:hAnsi="Segoe UI" w:cs="Segoe UI"/>
            <w:color w:val="3964FE"/>
            <w:sz w:val="15"/>
            <w:szCs w:val="15"/>
            <w:bdr w:val="single" w:sz="6" w:space="0" w:color="auto" w:frame="1"/>
          </w:rPr>
          <w:t>https://doi.org/10.1016/j.thromres.2019.02.012</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Sharma, A. K. (2019). A study of travel motivations of senior tourists. </w:t>
      </w:r>
      <w:r w:rsidRPr="007A0F25">
        <w:rPr>
          <w:rStyle w:val="Emphasis"/>
          <w:rFonts w:ascii="Segoe UI" w:hAnsi="Segoe UI" w:cs="Segoe UI"/>
          <w:color w:val="0F1115"/>
          <w:sz w:val="15"/>
          <w:szCs w:val="15"/>
        </w:rPr>
        <w:t>International Journal of Scientific Research, 8</w:t>
      </w:r>
      <w:r w:rsidRPr="007A0F25">
        <w:rPr>
          <w:rFonts w:ascii="Segoe UI" w:hAnsi="Segoe UI" w:cs="Segoe UI"/>
          <w:color w:val="0F1115"/>
          <w:sz w:val="15"/>
          <w:szCs w:val="15"/>
        </w:rPr>
        <w:t>(10), 4–6.</w:t>
      </w:r>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Smith, L., Veronese, N., López-Sánchez, G. F., Yang, L., Pizzol, D., Butler, L. T., Barnett, Y., Felez-Nobrega, M., Jacob, L., Shin, J. I., Tully, M. A., Gorely, T., Oh, H., &amp; Koyanagi, A. (2021). Active travel and mild cognitive impairment among older adults from low- and middle-income countries. </w:t>
      </w:r>
      <w:r w:rsidRPr="007A0F25">
        <w:rPr>
          <w:rStyle w:val="Emphasis"/>
          <w:rFonts w:ascii="Segoe UI" w:hAnsi="Segoe UI" w:cs="Segoe UI"/>
          <w:color w:val="0F1115"/>
          <w:sz w:val="15"/>
          <w:szCs w:val="15"/>
        </w:rPr>
        <w:t>Journal of Clinical Medicine, 10</w:t>
      </w:r>
      <w:r w:rsidRPr="007A0F25">
        <w:rPr>
          <w:rFonts w:ascii="Segoe UI" w:hAnsi="Segoe UI" w:cs="Segoe UI"/>
          <w:color w:val="0F1115"/>
          <w:sz w:val="15"/>
          <w:szCs w:val="15"/>
        </w:rPr>
        <w:t>(6), Article 1243. </w:t>
      </w:r>
      <w:hyperlink r:id="rId27" w:tgtFrame="_blank" w:history="1">
        <w:r w:rsidRPr="007A0F25">
          <w:rPr>
            <w:rStyle w:val="Hyperlink"/>
            <w:rFonts w:ascii="Segoe UI" w:hAnsi="Segoe UI" w:cs="Segoe UI"/>
            <w:color w:val="3964FE"/>
            <w:sz w:val="15"/>
            <w:szCs w:val="15"/>
            <w:bdr w:val="single" w:sz="6" w:space="0" w:color="auto" w:frame="1"/>
          </w:rPr>
          <w:t>https://doi.org/10.3390/jcm10061243</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Stefanacci, R. G., &amp; Gambs, S. (2017, October). Prepping for take-</w:t>
      </w:r>
      <w:proofErr w:type="gramStart"/>
      <w:r w:rsidRPr="007A0F25">
        <w:rPr>
          <w:rFonts w:ascii="Segoe UI" w:hAnsi="Segoe UI" w:cs="Segoe UI"/>
          <w:color w:val="0F1115"/>
          <w:sz w:val="15"/>
          <w:szCs w:val="15"/>
        </w:rPr>
        <w:t>off:</w:t>
      </w:r>
      <w:proofErr w:type="gramEnd"/>
      <w:r w:rsidRPr="007A0F25">
        <w:rPr>
          <w:rFonts w:ascii="Segoe UI" w:hAnsi="Segoe UI" w:cs="Segoe UI"/>
          <w:color w:val="0F1115"/>
          <w:sz w:val="15"/>
          <w:szCs w:val="15"/>
        </w:rPr>
        <w:t xml:space="preserve"> Readying older adults for air travel. *Annals of Long-Term Care, 25*(5). </w:t>
      </w:r>
      <w:hyperlink r:id="rId28" w:tgtFrame="_blank" w:history="1">
        <w:r w:rsidRPr="007A0F25">
          <w:rPr>
            <w:rStyle w:val="Hyperlink"/>
            <w:rFonts w:ascii="Segoe UI" w:hAnsi="Segoe UI" w:cs="Segoe UI"/>
            <w:color w:val="3964FE"/>
            <w:sz w:val="15"/>
            <w:szCs w:val="15"/>
            <w:bdr w:val="single" w:sz="6" w:space="0" w:color="auto" w:frame="1"/>
          </w:rPr>
          <w:t>https://www.hmpgloballearningnetwork.com/site/altc/articles/prepping-take-readying-older-adults-air-travel</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Stoller, J. K. (2000). Oxygen and air travel. </w:t>
      </w:r>
      <w:r w:rsidRPr="007A0F25">
        <w:rPr>
          <w:rStyle w:val="Emphasis"/>
          <w:rFonts w:ascii="Segoe UI" w:hAnsi="Segoe UI" w:cs="Segoe UI"/>
          <w:color w:val="0F1115"/>
          <w:sz w:val="15"/>
          <w:szCs w:val="15"/>
        </w:rPr>
        <w:t>Respir Care, 45</w:t>
      </w:r>
      <w:r w:rsidRPr="007A0F25">
        <w:rPr>
          <w:rFonts w:ascii="Segoe UI" w:hAnsi="Segoe UI" w:cs="Segoe UI"/>
          <w:color w:val="0F1115"/>
          <w:sz w:val="15"/>
          <w:szCs w:val="15"/>
        </w:rPr>
        <w:t>(2), 214–221.</w:t>
      </w:r>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United Nations, Department of Economic and Social Affairs, Population Division. (2022). </w:t>
      </w:r>
      <w:r w:rsidRPr="007A0F25">
        <w:rPr>
          <w:rStyle w:val="Emphasis"/>
          <w:rFonts w:ascii="Segoe UI" w:hAnsi="Segoe UI" w:cs="Segoe UI"/>
          <w:color w:val="0F1115"/>
          <w:sz w:val="15"/>
          <w:szCs w:val="15"/>
        </w:rPr>
        <w:t xml:space="preserve">World Population Prospects </w:t>
      </w:r>
      <w:proofErr w:type="gramStart"/>
      <w:r w:rsidRPr="007A0F25">
        <w:rPr>
          <w:rStyle w:val="Emphasis"/>
          <w:rFonts w:ascii="Segoe UI" w:hAnsi="Segoe UI" w:cs="Segoe UI"/>
          <w:color w:val="0F1115"/>
          <w:sz w:val="15"/>
          <w:szCs w:val="15"/>
        </w:rPr>
        <w:t>2022:</w:t>
      </w:r>
      <w:proofErr w:type="gramEnd"/>
      <w:r w:rsidRPr="007A0F25">
        <w:rPr>
          <w:rStyle w:val="Emphasis"/>
          <w:rFonts w:ascii="Segoe UI" w:hAnsi="Segoe UI" w:cs="Segoe UI"/>
          <w:color w:val="0F1115"/>
          <w:sz w:val="15"/>
          <w:szCs w:val="15"/>
        </w:rPr>
        <w:t xml:space="preserve"> Summary of Results</w:t>
      </w:r>
      <w:r w:rsidRPr="007A0F25">
        <w:rPr>
          <w:rFonts w:ascii="Segoe UI" w:hAnsi="Segoe UI" w:cs="Segoe UI"/>
          <w:color w:val="0F1115"/>
          <w:sz w:val="15"/>
          <w:szCs w:val="15"/>
        </w:rPr>
        <w:t> (UN DESA/POP/2022/TR/NO. 3).</w:t>
      </w:r>
      <w:r w:rsidR="002E64E3" w:rsidRPr="007A0F25">
        <w:rPr>
          <w:rFonts w:ascii="Segoe UI" w:hAnsi="Segoe UI" w:cs="Segoe UI"/>
          <w:color w:val="0F1115"/>
          <w:sz w:val="15"/>
          <w:szCs w:val="15"/>
        </w:rPr>
        <w:t xml:space="preserve"> </w:t>
      </w:r>
      <w:hyperlink r:id="rId29" w:tgtFrame="_blank" w:history="1">
        <w:r w:rsidR="002E64E3" w:rsidRPr="007A0F25">
          <w:rPr>
            <w:rStyle w:val="Hyperlink"/>
            <w:rFonts w:ascii="Segoe UI" w:hAnsi="Segoe UI" w:cs="Segoe UI"/>
            <w:color w:val="3964FE"/>
            <w:sz w:val="15"/>
            <w:szCs w:val="15"/>
            <w:bdr w:val="single" w:sz="6" w:space="0" w:color="auto" w:frame="1"/>
          </w:rPr>
          <w:t>https://www.un.org/development/desa/pd/content/World-Population-Prospects-2022</w:t>
        </w:r>
      </w:hyperlink>
    </w:p>
    <w:p w:rsidR="002E64E3" w:rsidRPr="007A0F25" w:rsidRDefault="002E64E3" w:rsidP="00B51299">
      <w:pPr>
        <w:pStyle w:val="ds-markdown-paragraph"/>
        <w:shd w:val="clear" w:color="auto" w:fill="FFFFFF"/>
        <w:spacing w:before="149" w:beforeAutospacing="0" w:after="149" w:afterAutospacing="0"/>
        <w:rPr>
          <w:rFonts w:ascii="Segoe UI" w:hAnsi="Segoe UI" w:cs="Segoe UI"/>
          <w:color w:val="0F1115"/>
          <w:sz w:val="15"/>
          <w:szCs w:val="15"/>
        </w:rPr>
      </w:pPr>
    </w:p>
    <w:sectPr w:rsidR="002E64E3" w:rsidRPr="007A0F25" w:rsidSect="00007C61">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DE6" w:rsidRDefault="00644DE6" w:rsidP="006436BB">
      <w:pPr>
        <w:spacing w:after="0" w:line="240" w:lineRule="auto"/>
      </w:pPr>
      <w:r>
        <w:separator/>
      </w:r>
    </w:p>
  </w:endnote>
  <w:endnote w:type="continuationSeparator" w:id="0">
    <w:p w:rsidR="00644DE6" w:rsidRDefault="00644DE6" w:rsidP="0064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DE6" w:rsidRDefault="00644DE6" w:rsidP="006436BB">
      <w:pPr>
        <w:spacing w:after="0" w:line="240" w:lineRule="auto"/>
      </w:pPr>
      <w:r>
        <w:separator/>
      </w:r>
    </w:p>
  </w:footnote>
  <w:footnote w:type="continuationSeparator" w:id="0">
    <w:p w:rsidR="00644DE6" w:rsidRDefault="00644DE6" w:rsidP="0064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4D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4D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4D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A2793"/>
    <w:multiLevelType w:val="hybridMultilevel"/>
    <w:tmpl w:val="F0D0E0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08C1"/>
    <w:rsid w:val="00007C61"/>
    <w:rsid w:val="00041218"/>
    <w:rsid w:val="00081C65"/>
    <w:rsid w:val="0010151B"/>
    <w:rsid w:val="001371F5"/>
    <w:rsid w:val="001C625D"/>
    <w:rsid w:val="00250A30"/>
    <w:rsid w:val="002E64E3"/>
    <w:rsid w:val="0030225C"/>
    <w:rsid w:val="00380E01"/>
    <w:rsid w:val="0038618C"/>
    <w:rsid w:val="003B7184"/>
    <w:rsid w:val="003B7D2E"/>
    <w:rsid w:val="00437EE2"/>
    <w:rsid w:val="00457EA3"/>
    <w:rsid w:val="0046592A"/>
    <w:rsid w:val="004A2964"/>
    <w:rsid w:val="004E08C1"/>
    <w:rsid w:val="004E1D93"/>
    <w:rsid w:val="005047B5"/>
    <w:rsid w:val="00511976"/>
    <w:rsid w:val="0052742F"/>
    <w:rsid w:val="00532206"/>
    <w:rsid w:val="006106C9"/>
    <w:rsid w:val="006436BB"/>
    <w:rsid w:val="00644DE6"/>
    <w:rsid w:val="006E538E"/>
    <w:rsid w:val="00715616"/>
    <w:rsid w:val="00790234"/>
    <w:rsid w:val="007A0F25"/>
    <w:rsid w:val="007D5785"/>
    <w:rsid w:val="00836F36"/>
    <w:rsid w:val="008452BA"/>
    <w:rsid w:val="00880B7B"/>
    <w:rsid w:val="008E1FBC"/>
    <w:rsid w:val="00A27FA2"/>
    <w:rsid w:val="00A3403A"/>
    <w:rsid w:val="00A57460"/>
    <w:rsid w:val="00B51299"/>
    <w:rsid w:val="00B731FE"/>
    <w:rsid w:val="00B75FF9"/>
    <w:rsid w:val="00BA17CE"/>
    <w:rsid w:val="00BF4EAB"/>
    <w:rsid w:val="00D26DDC"/>
    <w:rsid w:val="00DC53C4"/>
    <w:rsid w:val="00DD6A2F"/>
    <w:rsid w:val="00E11D0C"/>
    <w:rsid w:val="00E76C4F"/>
    <w:rsid w:val="00EA2E18"/>
    <w:rsid w:val="00F7358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49FF3E-C536-4C6E-A0DD-2A17B586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C61"/>
  </w:style>
  <w:style w:type="paragraph" w:styleId="Heading3">
    <w:name w:val="heading 3"/>
    <w:basedOn w:val="Normal"/>
    <w:link w:val="Heading3Char"/>
    <w:uiPriority w:val="9"/>
    <w:qFormat/>
    <w:rsid w:val="004E08C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8C1"/>
    <w:rPr>
      <w:rFonts w:ascii="Times New Roman" w:eastAsia="Times New Roman" w:hAnsi="Times New Roman" w:cs="Times New Roman"/>
      <w:b/>
      <w:bCs/>
      <w:sz w:val="27"/>
      <w:szCs w:val="27"/>
      <w:lang w:eastAsia="fr-FR"/>
    </w:rPr>
  </w:style>
  <w:style w:type="paragraph" w:customStyle="1" w:styleId="ds-markdown-paragraph">
    <w:name w:val="ds-markdown-paragraph"/>
    <w:basedOn w:val="Normal"/>
    <w:rsid w:val="004E08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E08C1"/>
    <w:rPr>
      <w:b/>
      <w:bCs/>
    </w:rPr>
  </w:style>
  <w:style w:type="character" w:styleId="Emphasis">
    <w:name w:val="Emphasis"/>
    <w:basedOn w:val="DefaultParagraphFont"/>
    <w:uiPriority w:val="20"/>
    <w:qFormat/>
    <w:rsid w:val="004E08C1"/>
    <w:rPr>
      <w:i/>
      <w:iCs/>
    </w:rPr>
  </w:style>
  <w:style w:type="character" w:styleId="Hyperlink">
    <w:name w:val="Hyperlink"/>
    <w:basedOn w:val="DefaultParagraphFont"/>
    <w:uiPriority w:val="99"/>
    <w:unhideWhenUsed/>
    <w:rsid w:val="004E08C1"/>
    <w:rPr>
      <w:color w:val="0000FF"/>
      <w:u w:val="single"/>
    </w:rPr>
  </w:style>
  <w:style w:type="paragraph" w:styleId="ListParagraph">
    <w:name w:val="List Paragraph"/>
    <w:basedOn w:val="Normal"/>
    <w:uiPriority w:val="34"/>
    <w:qFormat/>
    <w:rsid w:val="00B731FE"/>
    <w:pPr>
      <w:ind w:left="720"/>
      <w:contextualSpacing/>
    </w:pPr>
  </w:style>
  <w:style w:type="character" w:customStyle="1" w:styleId="UnresolvedMention1">
    <w:name w:val="Unresolved Mention1"/>
    <w:basedOn w:val="DefaultParagraphFont"/>
    <w:uiPriority w:val="99"/>
    <w:semiHidden/>
    <w:unhideWhenUsed/>
    <w:rsid w:val="00250A30"/>
    <w:rPr>
      <w:color w:val="605E5C"/>
      <w:shd w:val="clear" w:color="auto" w:fill="E1DFDD"/>
    </w:rPr>
  </w:style>
  <w:style w:type="paragraph" w:styleId="Header">
    <w:name w:val="header"/>
    <w:basedOn w:val="Normal"/>
    <w:link w:val="HeaderChar"/>
    <w:uiPriority w:val="99"/>
    <w:unhideWhenUsed/>
    <w:rsid w:val="0064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6BB"/>
  </w:style>
  <w:style w:type="paragraph" w:styleId="Footer">
    <w:name w:val="footer"/>
    <w:basedOn w:val="Normal"/>
    <w:link w:val="FooterChar"/>
    <w:uiPriority w:val="99"/>
    <w:unhideWhenUsed/>
    <w:rsid w:val="0064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6BB"/>
  </w:style>
  <w:style w:type="paragraph" w:styleId="NoSpacing">
    <w:name w:val="No Spacing"/>
    <w:uiPriority w:val="1"/>
    <w:qFormat/>
    <w:rsid w:val="003B7D2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832409">
      <w:bodyDiv w:val="1"/>
      <w:marLeft w:val="0"/>
      <w:marRight w:val="0"/>
      <w:marTop w:val="0"/>
      <w:marBottom w:val="0"/>
      <w:divBdr>
        <w:top w:val="none" w:sz="0" w:space="0" w:color="auto"/>
        <w:left w:val="none" w:sz="0" w:space="0" w:color="auto"/>
        <w:bottom w:val="none" w:sz="0" w:space="0" w:color="auto"/>
        <w:right w:val="none" w:sz="0" w:space="0" w:color="auto"/>
      </w:divBdr>
    </w:div>
    <w:div w:id="1347055145">
      <w:bodyDiv w:val="1"/>
      <w:marLeft w:val="0"/>
      <w:marRight w:val="0"/>
      <w:marTop w:val="0"/>
      <w:marBottom w:val="0"/>
      <w:divBdr>
        <w:top w:val="none" w:sz="0" w:space="0" w:color="auto"/>
        <w:left w:val="none" w:sz="0" w:space="0" w:color="auto"/>
        <w:bottom w:val="none" w:sz="0" w:space="0" w:color="auto"/>
        <w:right w:val="none" w:sz="0" w:space="0" w:color="auto"/>
      </w:divBdr>
    </w:div>
    <w:div w:id="1710640901">
      <w:bodyDiv w:val="1"/>
      <w:marLeft w:val="0"/>
      <w:marRight w:val="0"/>
      <w:marTop w:val="0"/>
      <w:marBottom w:val="0"/>
      <w:divBdr>
        <w:top w:val="none" w:sz="0" w:space="0" w:color="auto"/>
        <w:left w:val="none" w:sz="0" w:space="0" w:color="auto"/>
        <w:bottom w:val="none" w:sz="0" w:space="0" w:color="auto"/>
        <w:right w:val="none" w:sz="0" w:space="0" w:color="auto"/>
      </w:divBdr>
      <w:divsChild>
        <w:div w:id="341277290">
          <w:marLeft w:val="409"/>
          <w:marRight w:val="409"/>
          <w:marTop w:val="0"/>
          <w:marBottom w:val="223"/>
          <w:divBdr>
            <w:top w:val="none" w:sz="0" w:space="0" w:color="auto"/>
            <w:left w:val="none" w:sz="0" w:space="0" w:color="auto"/>
            <w:bottom w:val="none" w:sz="0" w:space="0" w:color="auto"/>
            <w:right w:val="none" w:sz="0" w:space="0" w:color="auto"/>
          </w:divBdr>
          <w:divsChild>
            <w:div w:id="1459033877">
              <w:marLeft w:val="0"/>
              <w:marRight w:val="0"/>
              <w:marTop w:val="0"/>
              <w:marBottom w:val="0"/>
              <w:divBdr>
                <w:top w:val="none" w:sz="0" w:space="0" w:color="auto"/>
                <w:left w:val="none" w:sz="0" w:space="0" w:color="auto"/>
                <w:bottom w:val="none" w:sz="0" w:space="0" w:color="auto"/>
                <w:right w:val="none" w:sz="0" w:space="0" w:color="auto"/>
              </w:divBdr>
              <w:divsChild>
                <w:div w:id="1326861560">
                  <w:marLeft w:val="0"/>
                  <w:marRight w:val="0"/>
                  <w:marTop w:val="0"/>
                  <w:marBottom w:val="0"/>
                  <w:divBdr>
                    <w:top w:val="none" w:sz="0" w:space="0" w:color="auto"/>
                    <w:left w:val="none" w:sz="0" w:space="0" w:color="auto"/>
                    <w:bottom w:val="none" w:sz="0" w:space="0" w:color="auto"/>
                    <w:right w:val="none" w:sz="0" w:space="0" w:color="auto"/>
                  </w:divBdr>
                  <w:divsChild>
                    <w:div w:id="5783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739-010-0474-6" TargetMode="External"/><Relationship Id="rId18" Type="http://schemas.openxmlformats.org/officeDocument/2006/relationships/hyperlink" Target="https://doi.org/10.1016/j.cstp.2025.101444" TargetMode="External"/><Relationship Id="rId26" Type="http://schemas.openxmlformats.org/officeDocument/2006/relationships/hyperlink" Target="https://doi.org/10.1016/j.thromres.2019.02.012" TargetMode="External"/><Relationship Id="rId21" Type="http://schemas.openxmlformats.org/officeDocument/2006/relationships/hyperlink" Target="https://doi.org/10.15171/ijtmgh.2019.18" TargetMode="External"/><Relationship Id="rId34" Type="http://schemas.openxmlformats.org/officeDocument/2006/relationships/header" Target="header3.xml"/><Relationship Id="rId7" Type="http://schemas.openxmlformats.org/officeDocument/2006/relationships/hyperlink" Target="https://doi.org/10.1136/thoraxjnl-2019-213782" TargetMode="External"/><Relationship Id="rId12" Type="http://schemas.openxmlformats.org/officeDocument/2006/relationships/hyperlink" Target="https://doi.org/10.1093/gerona/56.3.M146" TargetMode="External"/><Relationship Id="rId17" Type="http://schemas.openxmlformats.org/officeDocument/2006/relationships/hyperlink" Target="https://doi.org/10.9734/jocamr/2025/v26i12729" TargetMode="External"/><Relationship Id="rId25" Type="http://schemas.openxmlformats.org/officeDocument/2006/relationships/hyperlink" Target="https://doi.org/10.1378/chest.08-033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S0140-6736(03)15097-0" TargetMode="External"/><Relationship Id="rId20" Type="http://schemas.openxmlformats.org/officeDocument/2006/relationships/hyperlink" Target="https://doi.org/10.1177/08982643211040706" TargetMode="External"/><Relationship Id="rId29" Type="http://schemas.openxmlformats.org/officeDocument/2006/relationships/hyperlink" Target="https://www.un.org/development/desa/pd/content/World-Population-Prospects-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8/chest.07-1354" TargetMode="External"/><Relationship Id="rId24" Type="http://schemas.openxmlformats.org/officeDocument/2006/relationships/hyperlink" Target="https://sante.gouv.fr/IMG/pdf/recommandations_voyageurs_2025_27_juin.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npg.2007.11.005" TargetMode="External"/><Relationship Id="rId23" Type="http://schemas.openxmlformats.org/officeDocument/2006/relationships/hyperlink" Target="https://doi.org/10.12775/JEHS.2020.10.05.018" TargetMode="External"/><Relationship Id="rId28" Type="http://schemas.openxmlformats.org/officeDocument/2006/relationships/hyperlink" Target="https://www.hmpgloballearningnetwork.com/site/altc/articles/prepping-take-readying-older-adults-air-travel" TargetMode="External"/><Relationship Id="rId36" Type="http://schemas.openxmlformats.org/officeDocument/2006/relationships/fontTable" Target="fontTable.xml"/><Relationship Id="rId10" Type="http://schemas.openxmlformats.org/officeDocument/2006/relationships/hyperlink" Target="https://doi.org/10.1136/thoraxjnl-2021-218110" TargetMode="External"/><Relationship Id="rId19" Type="http://schemas.openxmlformats.org/officeDocument/2006/relationships/hyperlink" Target="https://doi.org/10.1111/j.1365-2796.2007.01867.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7326/M21-0799" TargetMode="External"/><Relationship Id="rId14" Type="http://schemas.openxmlformats.org/officeDocument/2006/relationships/hyperlink" Target="https://doi.org/10.1056/NEJMra1709213" TargetMode="External"/><Relationship Id="rId22" Type="http://schemas.openxmlformats.org/officeDocument/2006/relationships/hyperlink" Target="https://doi.org/10.1093/ageing/31.1.17" TargetMode="External"/><Relationship Id="rId27" Type="http://schemas.openxmlformats.org/officeDocument/2006/relationships/hyperlink" Target="https://doi.org/10.3390/jcm1006124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183/09031936.05.00093104"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12</Pages>
  <Words>4332</Words>
  <Characters>24698</Characters>
  <Application>Microsoft Office Word</Application>
  <DocSecurity>0</DocSecurity>
  <Lines>205</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SDI 1186</cp:lastModifiedBy>
  <cp:revision>55</cp:revision>
  <dcterms:created xsi:type="dcterms:W3CDTF">2026-02-08T09:01:00Z</dcterms:created>
  <dcterms:modified xsi:type="dcterms:W3CDTF">2026-02-16T08:29:00Z</dcterms:modified>
</cp:coreProperties>
</file>