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D11" w:rsidRPr="0039632C" w:rsidRDefault="00ED0595" w:rsidP="003135EA">
      <w:pPr>
        <w:spacing w:after="0" w:line="240" w:lineRule="auto"/>
        <w:jc w:val="both"/>
        <w:outlineLvl w:val="0"/>
        <w:rPr>
          <w:rFonts w:ascii="Times New Roman" w:hAnsi="Times New Roman" w:cs="Times New Roman"/>
          <w:b/>
          <w:sz w:val="24"/>
          <w:szCs w:val="24"/>
        </w:rPr>
      </w:pPr>
      <w:proofErr w:type="spellStart"/>
      <w:r w:rsidRPr="0039632C">
        <w:rPr>
          <w:rFonts w:ascii="Times New Roman" w:hAnsi="Times New Roman" w:cs="Times New Roman"/>
          <w:b/>
          <w:sz w:val="24"/>
          <w:szCs w:val="24"/>
        </w:rPr>
        <w:t>Immunohaematological</w:t>
      </w:r>
      <w:proofErr w:type="spellEnd"/>
      <w:r w:rsidRPr="0039632C">
        <w:rPr>
          <w:rFonts w:ascii="Times New Roman" w:hAnsi="Times New Roman" w:cs="Times New Roman"/>
          <w:b/>
          <w:sz w:val="24"/>
          <w:szCs w:val="24"/>
        </w:rPr>
        <w:t xml:space="preserve"> Signatures of Malaria in Pregnancy: Comparative Leukocyte Distribution in Infected and Uninfected Pregnant Women in Owerri, Imo State, Nigeria</w:t>
      </w:r>
    </w:p>
    <w:p w:rsidR="004B4ED2" w:rsidRPr="0039632C" w:rsidRDefault="004B4ED2" w:rsidP="00A83D11">
      <w:pPr>
        <w:spacing w:before="100" w:beforeAutospacing="1" w:after="100" w:afterAutospacing="1" w:line="240" w:lineRule="auto"/>
        <w:jc w:val="both"/>
        <w:outlineLvl w:val="0"/>
        <w:rPr>
          <w:rFonts w:ascii="Times New Roman" w:hAnsi="Times New Roman" w:cs="Times New Roman"/>
          <w:b/>
          <w:sz w:val="24"/>
          <w:szCs w:val="24"/>
        </w:rPr>
      </w:pPr>
    </w:p>
    <w:p w:rsidR="00ED0595" w:rsidRPr="0039632C" w:rsidRDefault="0030094A"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9632C">
        <w:rPr>
          <w:rFonts w:ascii="Times New Roman" w:eastAsia="Times New Roman" w:hAnsi="Times New Roman" w:cs="Times New Roman"/>
          <w:b/>
          <w:bCs/>
          <w:kern w:val="36"/>
          <w:sz w:val="24"/>
          <w:szCs w:val="24"/>
        </w:rPr>
        <w:t>Abstract</w:t>
      </w:r>
    </w:p>
    <w:p w:rsidR="00690C28" w:rsidRPr="0039632C" w:rsidRDefault="00690C28" w:rsidP="00690C28">
      <w:pPr>
        <w:spacing w:after="0"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Background:</w:t>
      </w:r>
      <w:r w:rsidR="00E1685A">
        <w:rPr>
          <w:rFonts w:ascii="Times New Roman" w:eastAsia="Times New Roman" w:hAnsi="Times New Roman" w:cs="Times New Roman"/>
          <w:sz w:val="24"/>
          <w:szCs w:val="24"/>
        </w:rPr>
        <w:t xml:space="preserve"> </w:t>
      </w:r>
      <w:r w:rsidRPr="0039632C">
        <w:rPr>
          <w:rFonts w:ascii="Times New Roman" w:eastAsia="Times New Roman" w:hAnsi="Times New Roman" w:cs="Times New Roman"/>
          <w:sz w:val="24"/>
          <w:szCs w:val="24"/>
        </w:rPr>
        <w:t xml:space="preserve">Malaria during pregnancy remains a major public health challenge in sub-Saharan Africa and is associated with maternal anemia, adverse fetal outcomes, and immune alterations. Changes in leukocyte distribution reflect host immune responses and may provide insight into </w:t>
      </w:r>
      <w:proofErr w:type="spellStart"/>
      <w:r w:rsidRPr="0039632C">
        <w:rPr>
          <w:rFonts w:ascii="Times New Roman" w:eastAsia="Times New Roman" w:hAnsi="Times New Roman" w:cs="Times New Roman"/>
          <w:sz w:val="24"/>
          <w:szCs w:val="24"/>
        </w:rPr>
        <w:t>immunohaematological</w:t>
      </w:r>
      <w:proofErr w:type="spellEnd"/>
      <w:r w:rsidRPr="0039632C">
        <w:rPr>
          <w:rFonts w:ascii="Times New Roman" w:eastAsia="Times New Roman" w:hAnsi="Times New Roman" w:cs="Times New Roman"/>
          <w:sz w:val="24"/>
          <w:szCs w:val="24"/>
        </w:rPr>
        <w:t xml:space="preserve"> patterns associated with malaria infection.</w:t>
      </w:r>
    </w:p>
    <w:p w:rsidR="00690C28" w:rsidRPr="0039632C" w:rsidRDefault="00690C28" w:rsidP="00690C28">
      <w:pPr>
        <w:spacing w:after="0"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Objective:</w:t>
      </w:r>
      <w:r w:rsidR="0039632C">
        <w:rPr>
          <w:rFonts w:ascii="Times New Roman" w:eastAsia="Times New Roman" w:hAnsi="Times New Roman" w:cs="Times New Roman"/>
          <w:sz w:val="24"/>
          <w:szCs w:val="24"/>
        </w:rPr>
        <w:t xml:space="preserve"> The present study </w:t>
      </w:r>
      <w:r w:rsidRPr="0039632C">
        <w:rPr>
          <w:rFonts w:ascii="Times New Roman" w:eastAsia="Times New Roman" w:hAnsi="Times New Roman" w:cs="Times New Roman"/>
          <w:sz w:val="24"/>
          <w:szCs w:val="24"/>
        </w:rPr>
        <w:t>compare</w:t>
      </w:r>
      <w:r w:rsidR="0039632C">
        <w:rPr>
          <w:rFonts w:ascii="Times New Roman" w:eastAsia="Times New Roman" w:hAnsi="Times New Roman" w:cs="Times New Roman"/>
          <w:sz w:val="24"/>
          <w:szCs w:val="24"/>
        </w:rPr>
        <w:t>d the</w:t>
      </w:r>
      <w:r w:rsidRPr="0039632C">
        <w:rPr>
          <w:rFonts w:ascii="Times New Roman" w:eastAsia="Times New Roman" w:hAnsi="Times New Roman" w:cs="Times New Roman"/>
          <w:sz w:val="24"/>
          <w:szCs w:val="24"/>
        </w:rPr>
        <w:t xml:space="preserve"> differential leukocyte profiles among malaria-infected pregnant women (MP+), malaria-uninfected pregnant women (MP−), and non-pregnant women (controls) in Owerri, Imo State, Nigeria.</w:t>
      </w:r>
    </w:p>
    <w:p w:rsidR="00690C28" w:rsidRPr="0039632C" w:rsidRDefault="00690C28" w:rsidP="00690C28">
      <w:pPr>
        <w:spacing w:after="0"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Methods:</w:t>
      </w:r>
      <w:r w:rsidR="00E1685A">
        <w:rPr>
          <w:rFonts w:ascii="Times New Roman" w:eastAsia="Times New Roman" w:hAnsi="Times New Roman" w:cs="Times New Roman"/>
          <w:sz w:val="24"/>
          <w:szCs w:val="24"/>
        </w:rPr>
        <w:t xml:space="preserve"> </w:t>
      </w:r>
      <w:r w:rsidRPr="0039632C">
        <w:rPr>
          <w:rFonts w:ascii="Times New Roman" w:eastAsia="Times New Roman" w:hAnsi="Times New Roman" w:cs="Times New Roman"/>
          <w:sz w:val="24"/>
          <w:szCs w:val="24"/>
        </w:rPr>
        <w:t>A comparative cross-sectional study was conducted among 150 participants comprising 50 malaria-infected pregnant women, 50 malaria-uninfected pregnant women, and 50 apparently healthy non-pregnant women recruited through convenience sampling from selected health facilities in Owerri. Malaria infection was confirmed using Giemsa-stained thick and thin blood film microscopy. Complete blood counts and differential leukocyte parameters were determined using an automated hematology analyzer. Statistical analyses were performed using analysis of variance (ANOVA) and independent t-tests, with p &lt; 0.05 considered statistically significant.</w:t>
      </w:r>
    </w:p>
    <w:p w:rsidR="00690C28" w:rsidRPr="0039632C" w:rsidRDefault="00690C28" w:rsidP="00690C28">
      <w:pPr>
        <w:spacing w:after="0"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Results:</w:t>
      </w:r>
      <w:r w:rsidR="00E1685A">
        <w:rPr>
          <w:rFonts w:ascii="Times New Roman" w:eastAsia="Times New Roman" w:hAnsi="Times New Roman" w:cs="Times New Roman"/>
          <w:sz w:val="24"/>
          <w:szCs w:val="24"/>
        </w:rPr>
        <w:t xml:space="preserve"> </w:t>
      </w:r>
      <w:r w:rsidRPr="0039632C">
        <w:rPr>
          <w:rFonts w:ascii="Times New Roman" w:eastAsia="Times New Roman" w:hAnsi="Times New Roman" w:cs="Times New Roman"/>
          <w:sz w:val="24"/>
          <w:szCs w:val="24"/>
        </w:rPr>
        <w:t>Malaria-infected pregnant women exhibited significantly lower lymphocyte percentages (22.70 ± 8.65%) compared with controls (41.12 ± 9.28%, p &lt; 0.001), while the difference between MP+ and MP− groups (25.02 ± 7.11%) was not statistically significant (p = 0.146). Neutrophil percentages were significantly higher in both MP+ (73.46 ± 11.09%) and MP− (74.24 ± 7.69%) groups compared with controls (58.14 ± 9.51%, p &lt; 0.001). Eosinophil percentages were significantly elevated in MP+ participants (1.94 ± 1.41%) relative to MP− (0.26 ± 0.44%) and controls (0.34 ± 0.48%) (p &lt; 0.001). Monocyte and basophil levels showed no significant differences across groups.</w:t>
      </w:r>
    </w:p>
    <w:p w:rsidR="00690C28" w:rsidRPr="0039632C" w:rsidRDefault="00690C28" w:rsidP="00690C28">
      <w:pPr>
        <w:spacing w:after="0"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Conclusion:</w:t>
      </w:r>
      <w:r w:rsidR="00E1685A">
        <w:rPr>
          <w:rFonts w:ascii="Times New Roman" w:eastAsia="Times New Roman" w:hAnsi="Times New Roman" w:cs="Times New Roman"/>
          <w:sz w:val="24"/>
          <w:szCs w:val="24"/>
        </w:rPr>
        <w:t xml:space="preserve"> </w:t>
      </w:r>
      <w:r w:rsidRPr="0039632C">
        <w:rPr>
          <w:rFonts w:ascii="Times New Roman" w:eastAsia="Times New Roman" w:hAnsi="Times New Roman" w:cs="Times New Roman"/>
          <w:sz w:val="24"/>
          <w:szCs w:val="24"/>
        </w:rPr>
        <w:t>Malaria infection during pregnancy is associated with alterations in leukocyte distribution, particularly reduced lymphocyte and elevated eosinophil levels, while pregnancy itself appears associated with increased neutrophil proportions. These findings suggest that leukocyte profiles may reflect immunological responses to malaria infection in pregnancy. However, interpretation should be cautious due to the cross-sectional design, convenience sampling, and absence of formal sample size calculation, which may limit causal inference and generalizability.</w:t>
      </w:r>
    </w:p>
    <w:p w:rsidR="00690C28" w:rsidRPr="0039632C" w:rsidRDefault="00690C28" w:rsidP="00690C28">
      <w:pPr>
        <w:spacing w:after="0" w:line="240" w:lineRule="auto"/>
        <w:jc w:val="both"/>
      </w:pP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i/>
          <w:sz w:val="24"/>
          <w:szCs w:val="24"/>
        </w:rPr>
      </w:pPr>
      <w:r w:rsidRPr="0039632C">
        <w:rPr>
          <w:rFonts w:ascii="Times New Roman" w:eastAsia="Times New Roman" w:hAnsi="Times New Roman" w:cs="Times New Roman"/>
          <w:b/>
          <w:bCs/>
          <w:i/>
          <w:sz w:val="24"/>
          <w:szCs w:val="24"/>
        </w:rPr>
        <w:t>Keywords:</w:t>
      </w:r>
      <w:r w:rsidRPr="0039632C">
        <w:rPr>
          <w:rFonts w:ascii="Times New Roman" w:eastAsia="Times New Roman" w:hAnsi="Times New Roman" w:cs="Times New Roman"/>
          <w:i/>
          <w:sz w:val="24"/>
          <w:szCs w:val="24"/>
        </w:rPr>
        <w:t xml:space="preserve"> Malaria, Pregnancy, Leukocyte Distribution, </w:t>
      </w:r>
      <w:proofErr w:type="spellStart"/>
      <w:r w:rsidRPr="0039632C">
        <w:rPr>
          <w:rFonts w:ascii="Times New Roman" w:eastAsia="Times New Roman" w:hAnsi="Times New Roman" w:cs="Times New Roman"/>
          <w:i/>
          <w:sz w:val="24"/>
          <w:szCs w:val="24"/>
        </w:rPr>
        <w:t>Immunohaematology</w:t>
      </w:r>
      <w:proofErr w:type="spellEnd"/>
    </w:p>
    <w:p w:rsidR="00ED0595" w:rsidRPr="0039632C" w:rsidRDefault="00ED0595" w:rsidP="00A83D11">
      <w:pPr>
        <w:pStyle w:val="Heading2"/>
        <w:spacing w:line="240" w:lineRule="auto"/>
        <w:jc w:val="both"/>
        <w:rPr>
          <w:rFonts w:ascii="Times New Roman" w:hAnsi="Times New Roman" w:cs="Times New Roman"/>
          <w:b/>
          <w:color w:val="auto"/>
          <w:sz w:val="24"/>
          <w:szCs w:val="24"/>
        </w:rPr>
      </w:pPr>
      <w:r w:rsidRPr="0039632C">
        <w:rPr>
          <w:rFonts w:ascii="Times New Roman" w:hAnsi="Times New Roman" w:cs="Times New Roman"/>
          <w:b/>
          <w:color w:val="auto"/>
          <w:sz w:val="24"/>
          <w:szCs w:val="24"/>
        </w:rPr>
        <w:t>Introduction</w:t>
      </w:r>
    </w:p>
    <w:p w:rsidR="00ED0595" w:rsidRPr="0039632C" w:rsidRDefault="00ED0595" w:rsidP="00A83D11">
      <w:pPr>
        <w:pStyle w:val="NormalWeb"/>
        <w:jc w:val="both"/>
      </w:pPr>
      <w:r w:rsidRPr="0039632C">
        <w:t>Malaria remains one of the most significant public health challenges in</w:t>
      </w:r>
      <w:bookmarkStart w:id="0" w:name="_GoBack"/>
      <w:bookmarkEnd w:id="0"/>
      <w:r w:rsidRPr="0039632C">
        <w:t xml:space="preserve"> sub-Saharan Africa, accounting for substantial morbidity and mortality, particularly among vulnerable populations such as pregnant women and young children. According to the World Health Organization, Nigeria bears a disproportionately high burden of global malaria cases and deaths, contributing </w:t>
      </w:r>
      <w:r w:rsidRPr="0039632C">
        <w:lastRenderedPageBreak/>
        <w:t xml:space="preserve">significantly to the overall disease burden in Africa. Pregnancy increases susceptibility to malaria infection due to physiological, hormonal, and immunological changes that occur during gestation. These changes can alter maternal immune responses, making pregnant women more vulnerable to </w:t>
      </w:r>
      <w:r w:rsidRPr="0039632C">
        <w:rPr>
          <w:rStyle w:val="Emphasis"/>
        </w:rPr>
        <w:t>Plasmodium falciparum</w:t>
      </w:r>
      <w:r w:rsidRPr="0039632C">
        <w:t xml:space="preserve"> infection and its associated complications. Malaria in pregnancy has been linked to several adverse maternal and fetal outcomes, including maternal anemia, placental malaria, intrauterine growth restriction, preterm delivery, low birth weight, and increased perinatal mortality</w:t>
      </w:r>
      <w:r w:rsidR="0031669D" w:rsidRPr="0039632C">
        <w:t xml:space="preserve"> [1-2]</w:t>
      </w:r>
      <w:r w:rsidRPr="0039632C">
        <w:t>.</w:t>
      </w:r>
      <w:r w:rsidR="0031669D" w:rsidRPr="0039632C">
        <w:t xml:space="preserve"> </w:t>
      </w:r>
      <w:r w:rsidRPr="0039632C">
        <w:t xml:space="preserve">The interaction between malaria infection and the maternal immune system is complex and involves significant immunological and </w:t>
      </w:r>
      <w:proofErr w:type="spellStart"/>
      <w:r w:rsidRPr="0039632C">
        <w:t>haematological</w:t>
      </w:r>
      <w:proofErr w:type="spellEnd"/>
      <w:r w:rsidRPr="0039632C">
        <w:t xml:space="preserve"> alterations. Pregnancy is characterized by a finely regulated immunological balance that supports fetal tolerance while maintaining adequate protection against pathogens. This immunomodulatory state often results in alterations in both innate and adaptive immune responses. Malaria infection can disrupt this delicate balance, leading to changes in circulating immune cells and inflammatory mediators. One important manifestation of this interaction is the alteration in leukocyte distribution, which reflects the host immune response to infection</w:t>
      </w:r>
      <w:r w:rsidR="0031669D" w:rsidRPr="0039632C">
        <w:t xml:space="preserve"> [3]</w:t>
      </w:r>
      <w:r w:rsidRPr="0039632C">
        <w:t>.</w:t>
      </w:r>
    </w:p>
    <w:p w:rsidR="00ED0595" w:rsidRPr="0039632C" w:rsidRDefault="00ED0595" w:rsidP="00A83D11">
      <w:pPr>
        <w:pStyle w:val="NormalWeb"/>
        <w:jc w:val="both"/>
      </w:pPr>
      <w:r w:rsidRPr="0039632C">
        <w:t xml:space="preserve">Leukocytes play a central role in host defense against malaria parasites. Neutrophils, lymphocytes, monocytes, eosinophils, and basophils contribute to various immune mechanisms involved in parasite recognition, phagocytosis, antigen presentation, and cytokine production. During malaria infection, immune activation often results in shifts in leukocyte populations. For instance, neutrophilia has been associated with acute inflammatory responses and enhanced phagocytic activity, while lymphocyte redistribution may reflect immune suppression or migration of lymphocytes to lymphoid tissues and sites of infection. Monocytes are involved in parasite clearance through phagocytosis and cytokine secretion, whereas eosinophils may participate in immune regulation and parasite-associated inflammatory responses. These leukocyte alterations provide important </w:t>
      </w:r>
      <w:proofErr w:type="spellStart"/>
      <w:r w:rsidRPr="0039632C">
        <w:t>immunohaematological</w:t>
      </w:r>
      <w:proofErr w:type="spellEnd"/>
      <w:r w:rsidRPr="0039632C">
        <w:t xml:space="preserve"> signatures that may help explain the pathophysiology of malaria in pregnancy</w:t>
      </w:r>
      <w:r w:rsidR="0031669D" w:rsidRPr="0039632C">
        <w:t xml:space="preserve"> [4-5]</w:t>
      </w:r>
      <w:r w:rsidRPr="0039632C">
        <w:t>.</w:t>
      </w:r>
      <w:r w:rsidR="0031669D" w:rsidRPr="0039632C">
        <w:t xml:space="preserve"> </w:t>
      </w:r>
      <w:r w:rsidRPr="0039632C">
        <w:t xml:space="preserve">Several studies have reported </w:t>
      </w:r>
      <w:proofErr w:type="spellStart"/>
      <w:r w:rsidRPr="0039632C">
        <w:t>haematological</w:t>
      </w:r>
      <w:proofErr w:type="spellEnd"/>
      <w:r w:rsidRPr="0039632C">
        <w:t xml:space="preserve"> abnormalities in malaria-infected individuals, including anemia, thrombocytopenia, and changes in leukocyte counts. However, the patterns of differential leukocyte distribution in malaria-infected pregnant women remain inconsistently reported across different populations. Some investigations have demonstrated increased neutrophil counts and reduced lymphocyte levels in malaria infection, reflecting an inflammatory response and possible immune modulation. Others have suggested that pregnancy itself may influence leukocyte profiles independent of malaria infection. Therefore, comparative evaluation of leukocyte distribution among malaria-infected pregnant women, uninfected pregnant women, and non-pregnant women may provide valuable insight into the combined effects of malaria infection and pregnancy on the immune system</w:t>
      </w:r>
      <w:r w:rsidR="0031669D" w:rsidRPr="0039632C">
        <w:t xml:space="preserve"> [6-7]</w:t>
      </w:r>
      <w:r w:rsidRPr="0039632C">
        <w:t>.</w:t>
      </w:r>
    </w:p>
    <w:p w:rsidR="00ED0595" w:rsidRPr="0039632C" w:rsidRDefault="00ED0595" w:rsidP="00A83D11">
      <w:pPr>
        <w:pStyle w:val="NormalWeb"/>
        <w:jc w:val="both"/>
      </w:pPr>
      <w:r w:rsidRPr="0039632C">
        <w:t xml:space="preserve">In malaria-endemic regions such as southeastern Nigeria, pregnant women are frequently exposed to repeated malaria infections. Despite widespread implementation of preventive strategies such as insecticide-treated bed nets and intermittent preventive treatment during pregnancy, malaria continues to contribute significantly to maternal and neonatal morbidity. Understanding the </w:t>
      </w:r>
      <w:proofErr w:type="spellStart"/>
      <w:r w:rsidRPr="0039632C">
        <w:t>immunohaematological</w:t>
      </w:r>
      <w:proofErr w:type="spellEnd"/>
      <w:r w:rsidRPr="0039632C">
        <w:t xml:space="preserve"> changes associated with malaria infection in pregnancy is essential for improving diagnostic evaluation, clinical monitoring, and disease management. Differential leukocyte counts are inexpensive, readily available laboratory parameters that can be performed in most healthcare settings, including resource-limited environments. Consequently, evaluating leukocyte distribution patterns may provide a practical approach to understanding immune responses to malaria infection in pregnancy</w:t>
      </w:r>
      <w:r w:rsidR="0031669D" w:rsidRPr="0039632C">
        <w:t xml:space="preserve"> [8-9]</w:t>
      </w:r>
      <w:r w:rsidRPr="0039632C">
        <w:t>.</w:t>
      </w:r>
    </w:p>
    <w:p w:rsidR="00ED0595" w:rsidRPr="0039632C" w:rsidRDefault="00ED0595" w:rsidP="00A83D11">
      <w:pPr>
        <w:pStyle w:val="NormalWeb"/>
        <w:jc w:val="both"/>
      </w:pPr>
      <w:r w:rsidRPr="0039632C">
        <w:lastRenderedPageBreak/>
        <w:t xml:space="preserve">Owerri, the capital city of Imo State in southeastern Nigeria, is located in a malaria-endemic region where transmission occurs throughout the year due to favorable climatic conditions for mosquito breeding. Pregnant women attending antenatal clinics in this region remain at considerable risk of malaria infection despite preventive interventions. However, there is limited data on the </w:t>
      </w:r>
      <w:proofErr w:type="spellStart"/>
      <w:r w:rsidRPr="0039632C">
        <w:t>immunohaematological</w:t>
      </w:r>
      <w:proofErr w:type="spellEnd"/>
      <w:r w:rsidRPr="0039632C">
        <w:t xml:space="preserve"> responses associated with malaria infection among pregnant women in this locality, particularly with respect to differential leukocyte distribution</w:t>
      </w:r>
      <w:r w:rsidR="0031669D" w:rsidRPr="0039632C">
        <w:t xml:space="preserve"> [9]</w:t>
      </w:r>
      <w:r w:rsidRPr="0039632C">
        <w:t>.</w:t>
      </w:r>
      <w:r w:rsidR="0031669D" w:rsidRPr="0039632C">
        <w:t xml:space="preserve"> </w:t>
      </w:r>
      <w:r w:rsidRPr="0039632C">
        <w:t xml:space="preserve">Therefore, this study was designed to investigate the </w:t>
      </w:r>
      <w:proofErr w:type="spellStart"/>
      <w:r w:rsidRPr="0039632C">
        <w:t>immunohaematological</w:t>
      </w:r>
      <w:proofErr w:type="spellEnd"/>
      <w:r w:rsidRPr="0039632C">
        <w:t xml:space="preserve"> signatures of malaria in pregnancy by comparing differential leukocyte percentages among malaria-infected pregnant women, pregnant women without malaria, and non-pregnant women in Owerri, Imo State, Nigeria. By examining variations in leukocyte distribution among these groups, the study aims to contribute to a better understanding of the immune response to malaria infection during pregnancy and provide baseline data that may support improved clinical evaluation and management of malaria in pregnant women in malaria-endemic settings.</w:t>
      </w:r>
    </w:p>
    <w:p w:rsidR="0030094A" w:rsidRPr="0039632C" w:rsidRDefault="0030094A" w:rsidP="00A83D1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Research Methodology</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Study Design</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This study adopted a </w:t>
      </w:r>
      <w:r w:rsidRPr="0039632C">
        <w:rPr>
          <w:rFonts w:ascii="Times New Roman" w:eastAsia="Times New Roman" w:hAnsi="Times New Roman" w:cs="Times New Roman"/>
          <w:bCs/>
          <w:sz w:val="24"/>
          <w:szCs w:val="24"/>
        </w:rPr>
        <w:t>comparative cross-sectional research design</w:t>
      </w:r>
      <w:r w:rsidRPr="0039632C">
        <w:rPr>
          <w:rFonts w:ascii="Times New Roman" w:eastAsia="Times New Roman" w:hAnsi="Times New Roman" w:cs="Times New Roman"/>
          <w:sz w:val="24"/>
          <w:szCs w:val="24"/>
        </w:rPr>
        <w:t xml:space="preserve"> to evaluate the </w:t>
      </w:r>
      <w:proofErr w:type="spellStart"/>
      <w:r w:rsidRPr="0039632C">
        <w:rPr>
          <w:rFonts w:ascii="Times New Roman" w:eastAsia="Times New Roman" w:hAnsi="Times New Roman" w:cs="Times New Roman"/>
          <w:sz w:val="24"/>
          <w:szCs w:val="24"/>
        </w:rPr>
        <w:t>immunohaematological</w:t>
      </w:r>
      <w:proofErr w:type="spellEnd"/>
      <w:r w:rsidRPr="0039632C">
        <w:rPr>
          <w:rFonts w:ascii="Times New Roman" w:eastAsia="Times New Roman" w:hAnsi="Times New Roman" w:cs="Times New Roman"/>
          <w:sz w:val="24"/>
          <w:szCs w:val="24"/>
        </w:rPr>
        <w:t xml:space="preserve"> signatures of malaria infection by assessing differential leukocyte distribution among malaria-infected pregnant women, pregnant women without malaria, and non-pregnant women. The design enabled the comparison of leukocyte percentage patterns across the three study groups in order to determine the immunological alterations associated with malaria infection during pregnancy.</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Study Area</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The study was conducted in </w:t>
      </w:r>
      <w:r w:rsidRPr="0039632C">
        <w:rPr>
          <w:rFonts w:ascii="Times New Roman" w:eastAsia="Times New Roman" w:hAnsi="Times New Roman" w:cs="Times New Roman"/>
          <w:bCs/>
          <w:sz w:val="24"/>
          <w:szCs w:val="24"/>
        </w:rPr>
        <w:t>Owerri, the capital city of Imo State in southeastern Nigeria</w:t>
      </w:r>
      <w:r w:rsidRPr="0039632C">
        <w:rPr>
          <w:rFonts w:ascii="Times New Roman" w:eastAsia="Times New Roman" w:hAnsi="Times New Roman" w:cs="Times New Roman"/>
          <w:sz w:val="24"/>
          <w:szCs w:val="24"/>
        </w:rPr>
        <w:t xml:space="preserve">, a region characterized by perennial malaria transmission due to its tropical climate, high rainfall, and favorable environmental conditions for the breeding of </w:t>
      </w:r>
      <w:r w:rsidRPr="0039632C">
        <w:rPr>
          <w:rFonts w:ascii="Times New Roman" w:eastAsia="Times New Roman" w:hAnsi="Times New Roman" w:cs="Times New Roman"/>
          <w:i/>
          <w:iCs/>
          <w:sz w:val="24"/>
          <w:szCs w:val="24"/>
        </w:rPr>
        <w:t>Anopheles</w:t>
      </w:r>
      <w:r w:rsidRPr="0039632C">
        <w:rPr>
          <w:rFonts w:ascii="Times New Roman" w:eastAsia="Times New Roman" w:hAnsi="Times New Roman" w:cs="Times New Roman"/>
          <w:sz w:val="24"/>
          <w:szCs w:val="24"/>
        </w:rPr>
        <w:t xml:space="preserve"> mosquitoes. Owerri has several public and private health facilities that provide antenatal care services to pregnant women within the metropolis and surrounding communities. The presence of endemic malaria in the area makes it suitable for investigating the </w:t>
      </w:r>
      <w:proofErr w:type="spellStart"/>
      <w:r w:rsidRPr="0039632C">
        <w:rPr>
          <w:rFonts w:ascii="Times New Roman" w:eastAsia="Times New Roman" w:hAnsi="Times New Roman" w:cs="Times New Roman"/>
          <w:sz w:val="24"/>
          <w:szCs w:val="24"/>
        </w:rPr>
        <w:t>immunohaematological</w:t>
      </w:r>
      <w:proofErr w:type="spellEnd"/>
      <w:r w:rsidRPr="0039632C">
        <w:rPr>
          <w:rFonts w:ascii="Times New Roman" w:eastAsia="Times New Roman" w:hAnsi="Times New Roman" w:cs="Times New Roman"/>
          <w:sz w:val="24"/>
          <w:szCs w:val="24"/>
        </w:rPr>
        <w:t xml:space="preserve"> effects of malaria infection among pregnant women.</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Study Population</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The study population consisted of </w:t>
      </w:r>
      <w:r w:rsidRPr="0039632C">
        <w:rPr>
          <w:rFonts w:ascii="Times New Roman" w:eastAsia="Times New Roman" w:hAnsi="Times New Roman" w:cs="Times New Roman"/>
          <w:bCs/>
          <w:sz w:val="24"/>
          <w:szCs w:val="24"/>
        </w:rPr>
        <w:t>pregnant women attending antenatal clinics and apparently healthy non-pregnant women residing in Owerri</w:t>
      </w:r>
      <w:r w:rsidRPr="0039632C">
        <w:rPr>
          <w:rFonts w:ascii="Times New Roman" w:eastAsia="Times New Roman" w:hAnsi="Times New Roman" w:cs="Times New Roman"/>
          <w:sz w:val="24"/>
          <w:szCs w:val="24"/>
        </w:rPr>
        <w:t>. Participants were recruited from selected healthcare facilities and the surrounding community. The study population was categorized into three groups:</w:t>
      </w:r>
    </w:p>
    <w:p w:rsidR="0030094A" w:rsidRPr="0039632C"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Cs/>
          <w:sz w:val="24"/>
          <w:szCs w:val="24"/>
        </w:rPr>
        <w:t>Malaria-infected pregnant women (MP+)</w:t>
      </w:r>
    </w:p>
    <w:p w:rsidR="0030094A" w:rsidRPr="0039632C"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Cs/>
          <w:sz w:val="24"/>
          <w:szCs w:val="24"/>
        </w:rPr>
        <w:t>Pregnant women without malaria infection (MP−)</w:t>
      </w:r>
    </w:p>
    <w:p w:rsidR="0030094A" w:rsidRPr="0039632C"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bCs/>
          <w:sz w:val="24"/>
          <w:szCs w:val="24"/>
        </w:rPr>
        <w:t>Apparently healthy non-pregnant women (control group)</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lastRenderedPageBreak/>
        <w:t>Sample Size and Sampling Technique</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A total of </w:t>
      </w:r>
      <w:r w:rsidRPr="0039632C">
        <w:rPr>
          <w:rFonts w:ascii="Times New Roman" w:eastAsia="Times New Roman" w:hAnsi="Times New Roman" w:cs="Times New Roman"/>
          <w:bCs/>
          <w:sz w:val="24"/>
          <w:szCs w:val="24"/>
        </w:rPr>
        <w:t>150 participants</w:t>
      </w:r>
      <w:r w:rsidRPr="0039632C">
        <w:rPr>
          <w:rFonts w:ascii="Times New Roman" w:eastAsia="Times New Roman" w:hAnsi="Times New Roman" w:cs="Times New Roman"/>
          <w:sz w:val="24"/>
          <w:szCs w:val="24"/>
        </w:rPr>
        <w:t xml:space="preserve"> were enrolled in the study, comprising </w:t>
      </w:r>
      <w:r w:rsidRPr="0039632C">
        <w:rPr>
          <w:rFonts w:ascii="Times New Roman" w:eastAsia="Times New Roman" w:hAnsi="Times New Roman" w:cs="Times New Roman"/>
          <w:bCs/>
          <w:sz w:val="24"/>
          <w:szCs w:val="24"/>
        </w:rPr>
        <w:t>50 malaria-infected pregnant women, 50 pregnant women without malaria, and 50 non-pregnant women</w:t>
      </w:r>
      <w:r w:rsidRPr="0039632C">
        <w:rPr>
          <w:rFonts w:ascii="Times New Roman" w:eastAsia="Times New Roman" w:hAnsi="Times New Roman" w:cs="Times New Roman"/>
          <w:sz w:val="24"/>
          <w:szCs w:val="24"/>
        </w:rPr>
        <w:t xml:space="preserve"> serving as controls. Participants were recruited using a </w:t>
      </w:r>
      <w:r w:rsidRPr="0039632C">
        <w:rPr>
          <w:rFonts w:ascii="Times New Roman" w:eastAsia="Times New Roman" w:hAnsi="Times New Roman" w:cs="Times New Roman"/>
          <w:bCs/>
          <w:sz w:val="24"/>
          <w:szCs w:val="24"/>
        </w:rPr>
        <w:t>convenience sampling technique</w:t>
      </w:r>
      <w:r w:rsidRPr="0039632C">
        <w:rPr>
          <w:rFonts w:ascii="Times New Roman" w:eastAsia="Times New Roman" w:hAnsi="Times New Roman" w:cs="Times New Roman"/>
          <w:sz w:val="24"/>
          <w:szCs w:val="24"/>
        </w:rPr>
        <w:t>, based on eligibility criteria and willingness to participate in the study. Equal numbers were selected for each group to allow for effective statistical comparison.</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Inclusion Criteria</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Participants were included in the study if they met the following criteria:</w:t>
      </w:r>
    </w:p>
    <w:p w:rsidR="0030094A" w:rsidRPr="0039632C"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Pregnant women confirmed by clinical assessment and attending antenatal clinics (for MP+ and MP− groups).</w:t>
      </w:r>
    </w:p>
    <w:p w:rsidR="0030094A" w:rsidRPr="0039632C"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Pregnant women who tested </w:t>
      </w:r>
      <w:r w:rsidRPr="0039632C">
        <w:rPr>
          <w:rFonts w:ascii="Times New Roman" w:eastAsia="Times New Roman" w:hAnsi="Times New Roman" w:cs="Times New Roman"/>
          <w:bCs/>
          <w:sz w:val="24"/>
          <w:szCs w:val="24"/>
        </w:rPr>
        <w:t>positive for malaria parasites</w:t>
      </w:r>
      <w:r w:rsidRPr="0039632C">
        <w:rPr>
          <w:rFonts w:ascii="Times New Roman" w:eastAsia="Times New Roman" w:hAnsi="Times New Roman" w:cs="Times New Roman"/>
          <w:sz w:val="24"/>
          <w:szCs w:val="24"/>
        </w:rPr>
        <w:t xml:space="preserve"> by laboratory examination (for MP+ group).</w:t>
      </w:r>
    </w:p>
    <w:p w:rsidR="0030094A" w:rsidRPr="0039632C"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Pregnant women who tested </w:t>
      </w:r>
      <w:r w:rsidRPr="0039632C">
        <w:rPr>
          <w:rFonts w:ascii="Times New Roman" w:eastAsia="Times New Roman" w:hAnsi="Times New Roman" w:cs="Times New Roman"/>
          <w:bCs/>
          <w:sz w:val="24"/>
          <w:szCs w:val="24"/>
        </w:rPr>
        <w:t>negative for malaria parasites</w:t>
      </w:r>
      <w:r w:rsidRPr="0039632C">
        <w:rPr>
          <w:rFonts w:ascii="Times New Roman" w:eastAsia="Times New Roman" w:hAnsi="Times New Roman" w:cs="Times New Roman"/>
          <w:sz w:val="24"/>
          <w:szCs w:val="24"/>
        </w:rPr>
        <w:t xml:space="preserve"> (for MP− group).</w:t>
      </w:r>
    </w:p>
    <w:p w:rsidR="0030094A" w:rsidRPr="0039632C"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Apparently healthy </w:t>
      </w:r>
      <w:r w:rsidRPr="0039632C">
        <w:rPr>
          <w:rFonts w:ascii="Times New Roman" w:eastAsia="Times New Roman" w:hAnsi="Times New Roman" w:cs="Times New Roman"/>
          <w:bCs/>
          <w:sz w:val="24"/>
          <w:szCs w:val="24"/>
        </w:rPr>
        <w:t>non-pregnant women</w:t>
      </w:r>
      <w:r w:rsidRPr="0039632C">
        <w:rPr>
          <w:rFonts w:ascii="Times New Roman" w:eastAsia="Times New Roman" w:hAnsi="Times New Roman" w:cs="Times New Roman"/>
          <w:sz w:val="24"/>
          <w:szCs w:val="24"/>
        </w:rPr>
        <w:t xml:space="preserve"> residing in the study area (control group).</w:t>
      </w:r>
    </w:p>
    <w:p w:rsidR="0030094A" w:rsidRPr="0039632C"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Individuals who </w:t>
      </w:r>
      <w:r w:rsidRPr="0039632C">
        <w:rPr>
          <w:rFonts w:ascii="Times New Roman" w:eastAsia="Times New Roman" w:hAnsi="Times New Roman" w:cs="Times New Roman"/>
          <w:bCs/>
          <w:sz w:val="24"/>
          <w:szCs w:val="24"/>
        </w:rPr>
        <w:t>gave informed consent</w:t>
      </w:r>
      <w:r w:rsidRPr="0039632C">
        <w:rPr>
          <w:rFonts w:ascii="Times New Roman" w:eastAsia="Times New Roman" w:hAnsi="Times New Roman" w:cs="Times New Roman"/>
          <w:sz w:val="24"/>
          <w:szCs w:val="24"/>
        </w:rPr>
        <w:t xml:space="preserve"> to participate in the study.</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Exclusion Criteria</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Participants were excluded if they:</w:t>
      </w:r>
    </w:p>
    <w:p w:rsidR="0030094A" w:rsidRPr="0039632C"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Had a history of </w:t>
      </w:r>
      <w:r w:rsidRPr="0039632C">
        <w:rPr>
          <w:rFonts w:ascii="Times New Roman" w:eastAsia="Times New Roman" w:hAnsi="Times New Roman" w:cs="Times New Roman"/>
          <w:bCs/>
          <w:sz w:val="24"/>
          <w:szCs w:val="24"/>
        </w:rPr>
        <w:t>chronic illness or hematological disorders</w:t>
      </w:r>
      <w:r w:rsidRPr="0039632C">
        <w:rPr>
          <w:rFonts w:ascii="Times New Roman" w:eastAsia="Times New Roman" w:hAnsi="Times New Roman" w:cs="Times New Roman"/>
          <w:sz w:val="24"/>
          <w:szCs w:val="24"/>
        </w:rPr>
        <w:t>.</w:t>
      </w:r>
    </w:p>
    <w:p w:rsidR="0030094A" w:rsidRPr="0039632C"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9632C">
        <w:rPr>
          <w:rFonts w:ascii="Times New Roman" w:eastAsia="Times New Roman" w:hAnsi="Times New Roman" w:cs="Times New Roman"/>
          <w:sz w:val="24"/>
          <w:szCs w:val="24"/>
        </w:rPr>
        <w:t>Were</w:t>
      </w:r>
      <w:proofErr w:type="spellEnd"/>
      <w:r w:rsidRPr="0039632C">
        <w:rPr>
          <w:rFonts w:ascii="Times New Roman" w:eastAsia="Times New Roman" w:hAnsi="Times New Roman" w:cs="Times New Roman"/>
          <w:sz w:val="24"/>
          <w:szCs w:val="24"/>
        </w:rPr>
        <w:t xml:space="preserve"> undergoing </w:t>
      </w:r>
      <w:r w:rsidRPr="0039632C">
        <w:rPr>
          <w:rFonts w:ascii="Times New Roman" w:eastAsia="Times New Roman" w:hAnsi="Times New Roman" w:cs="Times New Roman"/>
          <w:bCs/>
          <w:sz w:val="24"/>
          <w:szCs w:val="24"/>
        </w:rPr>
        <w:t>treatment for malaria or other infections at the time of recruitment</w:t>
      </w:r>
      <w:r w:rsidRPr="0039632C">
        <w:rPr>
          <w:rFonts w:ascii="Times New Roman" w:eastAsia="Times New Roman" w:hAnsi="Times New Roman" w:cs="Times New Roman"/>
          <w:sz w:val="24"/>
          <w:szCs w:val="24"/>
        </w:rPr>
        <w:t>.</w:t>
      </w:r>
    </w:p>
    <w:p w:rsidR="0030094A" w:rsidRPr="0039632C"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Had </w:t>
      </w:r>
      <w:r w:rsidRPr="0039632C">
        <w:rPr>
          <w:rFonts w:ascii="Times New Roman" w:eastAsia="Times New Roman" w:hAnsi="Times New Roman" w:cs="Times New Roman"/>
          <w:bCs/>
          <w:sz w:val="24"/>
          <w:szCs w:val="24"/>
        </w:rPr>
        <w:t>recent blood transfusion</w:t>
      </w:r>
      <w:r w:rsidRPr="0039632C">
        <w:rPr>
          <w:rFonts w:ascii="Times New Roman" w:eastAsia="Times New Roman" w:hAnsi="Times New Roman" w:cs="Times New Roman"/>
          <w:sz w:val="24"/>
          <w:szCs w:val="24"/>
        </w:rPr>
        <w:t>.</w:t>
      </w:r>
    </w:p>
    <w:p w:rsidR="0030094A" w:rsidRPr="0039632C"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Declined to provide informed consent.</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Sample Collection</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Approximately </w:t>
      </w:r>
      <w:r w:rsidRPr="0039632C">
        <w:rPr>
          <w:rFonts w:ascii="Times New Roman" w:eastAsia="Times New Roman" w:hAnsi="Times New Roman" w:cs="Times New Roman"/>
          <w:bCs/>
          <w:sz w:val="24"/>
          <w:szCs w:val="24"/>
        </w:rPr>
        <w:t>3 mL of venous blood</w:t>
      </w:r>
      <w:r w:rsidRPr="0039632C">
        <w:rPr>
          <w:rFonts w:ascii="Times New Roman" w:eastAsia="Times New Roman" w:hAnsi="Times New Roman" w:cs="Times New Roman"/>
          <w:sz w:val="24"/>
          <w:szCs w:val="24"/>
        </w:rPr>
        <w:t xml:space="preserve"> was collected aseptically from each participant using sterile disposable syringes and transferred into </w:t>
      </w:r>
      <w:r w:rsidRPr="0039632C">
        <w:rPr>
          <w:rFonts w:ascii="Times New Roman" w:eastAsia="Times New Roman" w:hAnsi="Times New Roman" w:cs="Times New Roman"/>
          <w:bCs/>
          <w:sz w:val="24"/>
          <w:szCs w:val="24"/>
        </w:rPr>
        <w:t>ethylene diamine tetra-acetic acid (EDTA) anticoagulant tubes</w:t>
      </w:r>
      <w:r w:rsidRPr="0039632C">
        <w:rPr>
          <w:rFonts w:ascii="Times New Roman" w:eastAsia="Times New Roman" w:hAnsi="Times New Roman" w:cs="Times New Roman"/>
          <w:sz w:val="24"/>
          <w:szCs w:val="24"/>
        </w:rPr>
        <w:t xml:space="preserve"> for </w:t>
      </w:r>
      <w:proofErr w:type="spellStart"/>
      <w:r w:rsidRPr="0039632C">
        <w:rPr>
          <w:rFonts w:ascii="Times New Roman" w:eastAsia="Times New Roman" w:hAnsi="Times New Roman" w:cs="Times New Roman"/>
          <w:sz w:val="24"/>
          <w:szCs w:val="24"/>
        </w:rPr>
        <w:t>haematological</w:t>
      </w:r>
      <w:proofErr w:type="spellEnd"/>
      <w:r w:rsidRPr="0039632C">
        <w:rPr>
          <w:rFonts w:ascii="Times New Roman" w:eastAsia="Times New Roman" w:hAnsi="Times New Roman" w:cs="Times New Roman"/>
          <w:sz w:val="24"/>
          <w:szCs w:val="24"/>
        </w:rPr>
        <w:t xml:space="preserve"> analysis. Standard phlebotomy procedures were followed to ensure sample integrity and minimize contamination. The collected samples were gently mixed to prevent clotting and transported immediately to the laboratory for analysis.</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Laboratory Analysis</w:t>
      </w:r>
    </w:p>
    <w:p w:rsidR="0030094A" w:rsidRPr="0039632C" w:rsidRDefault="0030094A" w:rsidP="00A83D1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Malaria Parasite Detection</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Malaria diagnosis was carried out using </w:t>
      </w:r>
      <w:r w:rsidRPr="0039632C">
        <w:rPr>
          <w:rFonts w:ascii="Times New Roman" w:eastAsia="Times New Roman" w:hAnsi="Times New Roman" w:cs="Times New Roman"/>
          <w:bCs/>
          <w:sz w:val="24"/>
          <w:szCs w:val="24"/>
        </w:rPr>
        <w:t>microscopic examination of thick and thin blood smears</w:t>
      </w:r>
      <w:r w:rsidRPr="0039632C">
        <w:rPr>
          <w:rFonts w:ascii="Times New Roman" w:eastAsia="Times New Roman" w:hAnsi="Times New Roman" w:cs="Times New Roman"/>
          <w:sz w:val="24"/>
          <w:szCs w:val="24"/>
        </w:rPr>
        <w:t xml:space="preserve"> stained with </w:t>
      </w:r>
      <w:r w:rsidRPr="0039632C">
        <w:rPr>
          <w:rFonts w:ascii="Times New Roman" w:eastAsia="Times New Roman" w:hAnsi="Times New Roman" w:cs="Times New Roman"/>
          <w:bCs/>
          <w:sz w:val="24"/>
          <w:szCs w:val="24"/>
        </w:rPr>
        <w:t>Giemsa stain</w:t>
      </w:r>
      <w:r w:rsidRPr="0039632C">
        <w:rPr>
          <w:rFonts w:ascii="Times New Roman" w:eastAsia="Times New Roman" w:hAnsi="Times New Roman" w:cs="Times New Roman"/>
          <w:sz w:val="24"/>
          <w:szCs w:val="24"/>
        </w:rPr>
        <w:t xml:space="preserve">. Thick blood films were used for parasite detection, while thin films were used for species identification. The stained slides were examined under a </w:t>
      </w:r>
      <w:r w:rsidRPr="0039632C">
        <w:rPr>
          <w:rFonts w:ascii="Times New Roman" w:eastAsia="Times New Roman" w:hAnsi="Times New Roman" w:cs="Times New Roman"/>
          <w:bCs/>
          <w:sz w:val="24"/>
          <w:szCs w:val="24"/>
        </w:rPr>
        <w:t>light microscope using oil immersion (×100 objective)</w:t>
      </w:r>
      <w:r w:rsidRPr="0039632C">
        <w:rPr>
          <w:rFonts w:ascii="Times New Roman" w:eastAsia="Times New Roman" w:hAnsi="Times New Roman" w:cs="Times New Roman"/>
          <w:sz w:val="24"/>
          <w:szCs w:val="24"/>
        </w:rPr>
        <w:t xml:space="preserve"> by experienced laboratory personnel. Participants with </w:t>
      </w:r>
      <w:r w:rsidRPr="0039632C">
        <w:rPr>
          <w:rFonts w:ascii="Times New Roman" w:eastAsia="Times New Roman" w:hAnsi="Times New Roman" w:cs="Times New Roman"/>
          <w:sz w:val="24"/>
          <w:szCs w:val="24"/>
        </w:rPr>
        <w:lastRenderedPageBreak/>
        <w:t xml:space="preserve">detectable malaria parasites were classified as </w:t>
      </w:r>
      <w:r w:rsidRPr="0039632C">
        <w:rPr>
          <w:rFonts w:ascii="Times New Roman" w:eastAsia="Times New Roman" w:hAnsi="Times New Roman" w:cs="Times New Roman"/>
          <w:bCs/>
          <w:sz w:val="24"/>
          <w:szCs w:val="24"/>
        </w:rPr>
        <w:t>malaria-positive</w:t>
      </w:r>
      <w:r w:rsidRPr="0039632C">
        <w:rPr>
          <w:rFonts w:ascii="Times New Roman" w:eastAsia="Times New Roman" w:hAnsi="Times New Roman" w:cs="Times New Roman"/>
          <w:sz w:val="24"/>
          <w:szCs w:val="24"/>
        </w:rPr>
        <w:t xml:space="preserve">, while those without parasites were considered </w:t>
      </w:r>
      <w:r w:rsidRPr="0039632C">
        <w:rPr>
          <w:rFonts w:ascii="Times New Roman" w:eastAsia="Times New Roman" w:hAnsi="Times New Roman" w:cs="Times New Roman"/>
          <w:bCs/>
          <w:sz w:val="24"/>
          <w:szCs w:val="24"/>
        </w:rPr>
        <w:t>malaria-negative</w:t>
      </w:r>
      <w:r w:rsidRPr="0039632C">
        <w:rPr>
          <w:rFonts w:ascii="Times New Roman" w:eastAsia="Times New Roman" w:hAnsi="Times New Roman" w:cs="Times New Roman"/>
          <w:sz w:val="24"/>
          <w:szCs w:val="24"/>
        </w:rPr>
        <w:t>.</w:t>
      </w:r>
    </w:p>
    <w:p w:rsidR="0030094A" w:rsidRPr="0039632C" w:rsidRDefault="0030094A" w:rsidP="00A83D1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Differential Leukocyte Count</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Differential leukocyte percentages were determined using an </w:t>
      </w:r>
      <w:r w:rsidRPr="0039632C">
        <w:rPr>
          <w:rFonts w:ascii="Times New Roman" w:eastAsia="Times New Roman" w:hAnsi="Times New Roman" w:cs="Times New Roman"/>
          <w:bCs/>
          <w:sz w:val="24"/>
          <w:szCs w:val="24"/>
        </w:rPr>
        <w:t xml:space="preserve">automated </w:t>
      </w:r>
      <w:proofErr w:type="spellStart"/>
      <w:r w:rsidRPr="0039632C">
        <w:rPr>
          <w:rFonts w:ascii="Times New Roman" w:eastAsia="Times New Roman" w:hAnsi="Times New Roman" w:cs="Times New Roman"/>
          <w:bCs/>
          <w:sz w:val="24"/>
          <w:szCs w:val="24"/>
        </w:rPr>
        <w:t>haematology</w:t>
      </w:r>
      <w:proofErr w:type="spellEnd"/>
      <w:r w:rsidRPr="0039632C">
        <w:rPr>
          <w:rFonts w:ascii="Times New Roman" w:eastAsia="Times New Roman" w:hAnsi="Times New Roman" w:cs="Times New Roman"/>
          <w:bCs/>
          <w:sz w:val="24"/>
          <w:szCs w:val="24"/>
        </w:rPr>
        <w:t xml:space="preserve"> analyzer</w:t>
      </w:r>
      <w:r w:rsidRPr="0039632C">
        <w:rPr>
          <w:rFonts w:ascii="Times New Roman" w:eastAsia="Times New Roman" w:hAnsi="Times New Roman" w:cs="Times New Roman"/>
          <w:sz w:val="24"/>
          <w:szCs w:val="24"/>
        </w:rPr>
        <w:t xml:space="preserve">, which provided quantitative measurements of leukocyte subpopulations including </w:t>
      </w:r>
      <w:r w:rsidRPr="0039632C">
        <w:rPr>
          <w:rFonts w:ascii="Times New Roman" w:eastAsia="Times New Roman" w:hAnsi="Times New Roman" w:cs="Times New Roman"/>
          <w:bCs/>
          <w:sz w:val="24"/>
          <w:szCs w:val="24"/>
        </w:rPr>
        <w:t>neutrophils, lymphocytes, monocytes, eosinophils, and basophils</w:t>
      </w:r>
      <w:r w:rsidRPr="0039632C">
        <w:rPr>
          <w:rFonts w:ascii="Times New Roman" w:eastAsia="Times New Roman" w:hAnsi="Times New Roman" w:cs="Times New Roman"/>
          <w:sz w:val="24"/>
          <w:szCs w:val="24"/>
        </w:rPr>
        <w:t>. The analyzer was calibrated according to the manufacturer’s instructions prior to sample analysis to ensure accuracy and reliability of results.</w:t>
      </w:r>
    </w:p>
    <w:p w:rsidR="0030094A" w:rsidRPr="0039632C"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Data Analysis</w:t>
      </w:r>
    </w:p>
    <w:p w:rsidR="0030094A" w:rsidRPr="0039632C"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Data obtained from the laboratory analyses were entered into </w:t>
      </w:r>
      <w:r w:rsidRPr="0039632C">
        <w:rPr>
          <w:rFonts w:ascii="Times New Roman" w:eastAsia="Times New Roman" w:hAnsi="Times New Roman" w:cs="Times New Roman"/>
          <w:bCs/>
          <w:sz w:val="24"/>
          <w:szCs w:val="24"/>
        </w:rPr>
        <w:t>Statistical Package for the Social Sciences (SPSS) version 25.0</w:t>
      </w:r>
      <w:r w:rsidRPr="0039632C">
        <w:rPr>
          <w:rFonts w:ascii="Times New Roman" w:eastAsia="Times New Roman" w:hAnsi="Times New Roman" w:cs="Times New Roman"/>
          <w:sz w:val="24"/>
          <w:szCs w:val="24"/>
        </w:rPr>
        <w:t xml:space="preserve"> for statistical analysis. Descriptive statistics including </w:t>
      </w:r>
      <w:r w:rsidRPr="0039632C">
        <w:rPr>
          <w:rFonts w:ascii="Times New Roman" w:eastAsia="Times New Roman" w:hAnsi="Times New Roman" w:cs="Times New Roman"/>
          <w:bCs/>
          <w:sz w:val="24"/>
          <w:szCs w:val="24"/>
        </w:rPr>
        <w:t>mean and standard deviation (Mean ± SD)</w:t>
      </w:r>
      <w:r w:rsidRPr="0039632C">
        <w:rPr>
          <w:rFonts w:ascii="Times New Roman" w:eastAsia="Times New Roman" w:hAnsi="Times New Roman" w:cs="Times New Roman"/>
          <w:sz w:val="24"/>
          <w:szCs w:val="24"/>
        </w:rPr>
        <w:t xml:space="preserve"> were used to summarize the leukocyte percentages for each group. Comparisons among the three study groups were performed using </w:t>
      </w:r>
      <w:r w:rsidRPr="0039632C">
        <w:rPr>
          <w:rFonts w:ascii="Times New Roman" w:eastAsia="Times New Roman" w:hAnsi="Times New Roman" w:cs="Times New Roman"/>
          <w:bCs/>
          <w:sz w:val="24"/>
          <w:szCs w:val="24"/>
        </w:rPr>
        <w:t>one-way Analysis of Variance (ANOVA)</w:t>
      </w:r>
      <w:r w:rsidRPr="0039632C">
        <w:rPr>
          <w:rFonts w:ascii="Times New Roman" w:eastAsia="Times New Roman" w:hAnsi="Times New Roman" w:cs="Times New Roman"/>
          <w:sz w:val="24"/>
          <w:szCs w:val="24"/>
        </w:rPr>
        <w:t xml:space="preserve"> to determine overall differences in leukocyte parameters. Where significant differences were observed, </w:t>
      </w:r>
      <w:r w:rsidRPr="0039632C">
        <w:rPr>
          <w:rFonts w:ascii="Times New Roman" w:eastAsia="Times New Roman" w:hAnsi="Times New Roman" w:cs="Times New Roman"/>
          <w:bCs/>
          <w:sz w:val="24"/>
          <w:szCs w:val="24"/>
        </w:rPr>
        <w:t>independent Student’s t-tests</w:t>
      </w:r>
      <w:r w:rsidRPr="0039632C">
        <w:rPr>
          <w:rFonts w:ascii="Times New Roman" w:eastAsia="Times New Roman" w:hAnsi="Times New Roman" w:cs="Times New Roman"/>
          <w:sz w:val="24"/>
          <w:szCs w:val="24"/>
        </w:rPr>
        <w:t xml:space="preserve"> were used for pairwise comparisons between groups (MP+ vs MP−, MP+ vs Control, and MP− vs Control). A </w:t>
      </w:r>
      <w:r w:rsidRPr="0039632C">
        <w:rPr>
          <w:rFonts w:ascii="Times New Roman" w:eastAsia="Times New Roman" w:hAnsi="Times New Roman" w:cs="Times New Roman"/>
          <w:bCs/>
          <w:sz w:val="24"/>
          <w:szCs w:val="24"/>
        </w:rPr>
        <w:t>p-value less than 0.05 (p &lt; 0.05)</w:t>
      </w:r>
      <w:r w:rsidRPr="0039632C">
        <w:rPr>
          <w:rFonts w:ascii="Times New Roman" w:eastAsia="Times New Roman" w:hAnsi="Times New Roman" w:cs="Times New Roman"/>
          <w:sz w:val="24"/>
          <w:szCs w:val="24"/>
        </w:rPr>
        <w:t xml:space="preserve"> was considered statistically significant.</w:t>
      </w:r>
    </w:p>
    <w:p w:rsidR="007F1135" w:rsidRPr="0039632C" w:rsidRDefault="007F1135" w:rsidP="007F1135">
      <w:pPr>
        <w:spacing w:after="0"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Study Limitations</w:t>
      </w:r>
    </w:p>
    <w:p w:rsidR="007F1135" w:rsidRPr="0039632C" w:rsidRDefault="007F1135" w:rsidP="007F1135">
      <w:pPr>
        <w:spacing w:after="0"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Several limitations should be considered when interpreting the findings of this study. First, the </w:t>
      </w:r>
      <w:r w:rsidRPr="0039632C">
        <w:rPr>
          <w:rFonts w:ascii="Times New Roman" w:eastAsia="Times New Roman" w:hAnsi="Times New Roman" w:cs="Times New Roman"/>
          <w:bCs/>
          <w:sz w:val="24"/>
          <w:szCs w:val="24"/>
        </w:rPr>
        <w:t>cross-sectional study design</w:t>
      </w:r>
      <w:r w:rsidRPr="0039632C">
        <w:rPr>
          <w:rFonts w:ascii="Times New Roman" w:eastAsia="Times New Roman" w:hAnsi="Times New Roman" w:cs="Times New Roman"/>
          <w:sz w:val="24"/>
          <w:szCs w:val="24"/>
        </w:rPr>
        <w:t xml:space="preserve"> limits the ability to establish temporal or causal relationships between malaria infection and alterations in leukocyte profiles. The observed associations therefore represent only a snapshot of </w:t>
      </w:r>
      <w:proofErr w:type="spellStart"/>
      <w:r w:rsidRPr="0039632C">
        <w:rPr>
          <w:rFonts w:ascii="Times New Roman" w:eastAsia="Times New Roman" w:hAnsi="Times New Roman" w:cs="Times New Roman"/>
          <w:sz w:val="24"/>
          <w:szCs w:val="24"/>
        </w:rPr>
        <w:t>immunohaematological</w:t>
      </w:r>
      <w:proofErr w:type="spellEnd"/>
      <w:r w:rsidRPr="0039632C">
        <w:rPr>
          <w:rFonts w:ascii="Times New Roman" w:eastAsia="Times New Roman" w:hAnsi="Times New Roman" w:cs="Times New Roman"/>
          <w:sz w:val="24"/>
          <w:szCs w:val="24"/>
        </w:rPr>
        <w:t xml:space="preserve"> patterns at the time of sampling. Second, </w:t>
      </w:r>
      <w:r w:rsidRPr="0039632C">
        <w:rPr>
          <w:rFonts w:ascii="Times New Roman" w:eastAsia="Times New Roman" w:hAnsi="Times New Roman" w:cs="Times New Roman"/>
          <w:bCs/>
          <w:sz w:val="24"/>
          <w:szCs w:val="24"/>
        </w:rPr>
        <w:t>convenience sampling</w:t>
      </w:r>
      <w:r w:rsidRPr="0039632C">
        <w:rPr>
          <w:rFonts w:ascii="Times New Roman" w:eastAsia="Times New Roman" w:hAnsi="Times New Roman" w:cs="Times New Roman"/>
          <w:sz w:val="24"/>
          <w:szCs w:val="24"/>
        </w:rPr>
        <w:t xml:space="preserve"> was used to recruit participants from antenatal clinics and the control population. This non-probability sampling approach may introduce </w:t>
      </w:r>
      <w:r w:rsidRPr="0039632C">
        <w:rPr>
          <w:rFonts w:ascii="Times New Roman" w:eastAsia="Times New Roman" w:hAnsi="Times New Roman" w:cs="Times New Roman"/>
          <w:bCs/>
          <w:sz w:val="24"/>
          <w:szCs w:val="24"/>
        </w:rPr>
        <w:t>selection bias</w:t>
      </w:r>
      <w:r w:rsidRPr="0039632C">
        <w:rPr>
          <w:rFonts w:ascii="Times New Roman" w:eastAsia="Times New Roman" w:hAnsi="Times New Roman" w:cs="Times New Roman"/>
          <w:sz w:val="24"/>
          <w:szCs w:val="24"/>
        </w:rPr>
        <w:t xml:space="preserve"> and reduce the </w:t>
      </w:r>
      <w:r w:rsidRPr="0039632C">
        <w:rPr>
          <w:rFonts w:ascii="Times New Roman" w:eastAsia="Times New Roman" w:hAnsi="Times New Roman" w:cs="Times New Roman"/>
          <w:bCs/>
          <w:sz w:val="24"/>
          <w:szCs w:val="24"/>
        </w:rPr>
        <w:t>generalizability</w:t>
      </w:r>
      <w:r w:rsidRPr="0039632C">
        <w:rPr>
          <w:rFonts w:ascii="Times New Roman" w:eastAsia="Times New Roman" w:hAnsi="Times New Roman" w:cs="Times New Roman"/>
          <w:sz w:val="24"/>
          <w:szCs w:val="24"/>
        </w:rPr>
        <w:t xml:space="preserve"> of the findings to the broader population of pregnant women in the region. Third, the study did not employ a </w:t>
      </w:r>
      <w:r w:rsidRPr="0039632C">
        <w:rPr>
          <w:rFonts w:ascii="Times New Roman" w:eastAsia="Times New Roman" w:hAnsi="Times New Roman" w:cs="Times New Roman"/>
          <w:bCs/>
          <w:sz w:val="24"/>
          <w:szCs w:val="24"/>
        </w:rPr>
        <w:t>formal sample size calculation prior to participant recruitment</w:t>
      </w:r>
      <w:r w:rsidRPr="0039632C">
        <w:rPr>
          <w:rFonts w:ascii="Times New Roman" w:eastAsia="Times New Roman" w:hAnsi="Times New Roman" w:cs="Times New Roman"/>
          <w:sz w:val="24"/>
          <w:szCs w:val="24"/>
        </w:rPr>
        <w:t xml:space="preserve">. Although a total of 150 participants were included, the adequacy of this sample size for detecting smaller effect sizes cannot be fully guaranteed. Fourth, </w:t>
      </w:r>
      <w:r w:rsidRPr="0039632C">
        <w:rPr>
          <w:rFonts w:ascii="Times New Roman" w:eastAsia="Times New Roman" w:hAnsi="Times New Roman" w:cs="Times New Roman"/>
          <w:bCs/>
          <w:sz w:val="24"/>
          <w:szCs w:val="24"/>
        </w:rPr>
        <w:t>potential confounding variables</w:t>
      </w:r>
      <w:r w:rsidRPr="0039632C">
        <w:rPr>
          <w:rFonts w:ascii="Times New Roman" w:eastAsia="Times New Roman" w:hAnsi="Times New Roman" w:cs="Times New Roman"/>
          <w:sz w:val="24"/>
          <w:szCs w:val="24"/>
        </w:rPr>
        <w:t xml:space="preserve"> such as gestational age, parity, nutritional status, presence of other infections, and medication use were not fully controlled in the analysis. These factors may influence leukocyte distribution and could partially affect the observed differences among the study groups. Fifth, the study primarily reported </w:t>
      </w:r>
      <w:r w:rsidRPr="0039632C">
        <w:rPr>
          <w:rFonts w:ascii="Times New Roman" w:eastAsia="Times New Roman" w:hAnsi="Times New Roman" w:cs="Times New Roman"/>
          <w:bCs/>
          <w:sz w:val="24"/>
          <w:szCs w:val="24"/>
        </w:rPr>
        <w:t>differential leukocyte percentages</w:t>
      </w:r>
      <w:r w:rsidRPr="0039632C">
        <w:rPr>
          <w:rFonts w:ascii="Times New Roman" w:eastAsia="Times New Roman" w:hAnsi="Times New Roman" w:cs="Times New Roman"/>
          <w:sz w:val="24"/>
          <w:szCs w:val="24"/>
        </w:rPr>
        <w:t xml:space="preserve">, which may not fully reflect the clinical relevance compared to </w:t>
      </w:r>
      <w:r w:rsidRPr="0039632C">
        <w:rPr>
          <w:rFonts w:ascii="Times New Roman" w:eastAsia="Times New Roman" w:hAnsi="Times New Roman" w:cs="Times New Roman"/>
          <w:bCs/>
          <w:sz w:val="24"/>
          <w:szCs w:val="24"/>
        </w:rPr>
        <w:t>absolute leukocyte counts</w:t>
      </w:r>
      <w:r w:rsidRPr="0039632C">
        <w:rPr>
          <w:rFonts w:ascii="Times New Roman" w:eastAsia="Times New Roman" w:hAnsi="Times New Roman" w:cs="Times New Roman"/>
          <w:sz w:val="24"/>
          <w:szCs w:val="24"/>
        </w:rPr>
        <w:t xml:space="preserve"> that are often used in clinical decision-making. Finally, the study focused on </w:t>
      </w:r>
      <w:r w:rsidRPr="0039632C">
        <w:rPr>
          <w:rFonts w:ascii="Times New Roman" w:eastAsia="Times New Roman" w:hAnsi="Times New Roman" w:cs="Times New Roman"/>
          <w:bCs/>
          <w:sz w:val="24"/>
          <w:szCs w:val="24"/>
        </w:rPr>
        <w:t>routine hematological indices without incorporating additional immunological markers</w:t>
      </w:r>
      <w:r w:rsidRPr="0039632C">
        <w:rPr>
          <w:rFonts w:ascii="Times New Roman" w:eastAsia="Times New Roman" w:hAnsi="Times New Roman" w:cs="Times New Roman"/>
          <w:sz w:val="24"/>
          <w:szCs w:val="24"/>
        </w:rPr>
        <w:t>, such as cytokine profiles or inflammatory biomarkers, which could provide deeper insights into the immunological mechanisms associated with malaria infection during pregnancy.</w:t>
      </w:r>
    </w:p>
    <w:p w:rsidR="00ED0595" w:rsidRPr="0039632C" w:rsidRDefault="00ED0595" w:rsidP="00A83D11">
      <w:pPr>
        <w:pStyle w:val="Heading2"/>
        <w:spacing w:line="240" w:lineRule="auto"/>
        <w:jc w:val="both"/>
        <w:rPr>
          <w:rFonts w:ascii="Times New Roman" w:hAnsi="Times New Roman" w:cs="Times New Roman"/>
          <w:b/>
          <w:color w:val="auto"/>
          <w:sz w:val="24"/>
          <w:szCs w:val="24"/>
        </w:rPr>
      </w:pPr>
      <w:r w:rsidRPr="0039632C">
        <w:rPr>
          <w:rFonts w:ascii="Times New Roman" w:hAnsi="Times New Roman" w:cs="Times New Roman"/>
          <w:b/>
          <w:color w:val="auto"/>
          <w:sz w:val="24"/>
          <w:szCs w:val="24"/>
        </w:rPr>
        <w:t>Results</w:t>
      </w:r>
      <w:r w:rsidR="0039632C" w:rsidRPr="0039632C">
        <w:rPr>
          <w:rFonts w:ascii="Times New Roman" w:hAnsi="Times New Roman" w:cs="Times New Roman"/>
          <w:b/>
          <w:color w:val="auto"/>
          <w:sz w:val="24"/>
          <w:szCs w:val="24"/>
        </w:rPr>
        <w:t xml:space="preserve"> and Discussion</w:t>
      </w:r>
    </w:p>
    <w:p w:rsidR="00ED0595" w:rsidRPr="0039632C" w:rsidRDefault="00ED0595" w:rsidP="00A83D11">
      <w:pPr>
        <w:pStyle w:val="NormalWeb"/>
        <w:jc w:val="both"/>
      </w:pPr>
      <w:r w:rsidRPr="0039632C">
        <w:t xml:space="preserve">The comparison of leukocyte percentages among malaria-infected pregnant women (MP+), pregnant women without malaria (MP−), and non-pregnant controls is presented in Tables 1 and 2. As shown in Table 2, the mean lymphocyte percentage differed significantly among the three study groups (F = 71.37, p &lt; 0.001). The control group recorded the highest lymphocyte level </w:t>
      </w:r>
      <w:r w:rsidRPr="0039632C">
        <w:lastRenderedPageBreak/>
        <w:t>(41.12 ± 9.28), whereas lower values were observed in MP− (25.02 ± 7.11) and MP+ women (22.70 ± 8.65). Pairwise comparisons using Student’s t-test (Table 1) indicated that the difference between MP+ and MP− groups was not statistically significant (t = −1.46, p = 0.146). However, lymphocyte percentages were significantly lower in both MP+ and MP− groups compared with the control group (MP+ vs Control: t = −10.27, p &lt; 0.001; MP− vs Control: t = −9.74, p &lt; 0.001). For monocytes, the mean values were relatively similar across the groups: 0.68 ± 0.79 in MP+, 0.62 ± 0.73 in MP−, and 0.54 ± 0.54 in controls. Analysis of variance showed no statistically significant difference among the groups (F = 0.51, p = 0.601). Similarly, pairwise comparisons revealed no significant differences between MP+ and MP− (t = 0.39, p = 0.694), MP+ and control (t = 1.03, p = 0.306), or MP− and control groups (t = 0.62, p = 0.534). Neutrophil percentages demonstrated a significant variation among the groups (F = 45.38, p &lt; 0.001). Both MP+ (73.46 ± 11.09) and MP− (74.24 ± 7.69) groups showed markedly higher neutrophil levels compared with the control group (58.14 ± 9.51). Pairwise t-test analysis confirmed significant differences between MP+ and control (t = 7.42, p &lt; 0.001) as well as between MP− and control (t = 9.31, p &lt; 0.001). However, the difference between MP+ and MP− groups was not statistically significant (t = −0.41, p = 0.684). Eosinophil percentages also differed significantly among the groups (F = 56.10, p &lt; 0.001). Malaria-infected pregnant women had the highest eosinophil levels (1.94 ± 1.41), while much lower values were observed in MP− (0.26 ± 0.44) and control subjects (0.34 ± 0.48). Pairwise comparisons revealed significant differences between MP+ and MP− groups (t = 8.06, p &lt; 0.001) and between MP+ and controls (t = 7.62, p &lt; 0.001). However, the difference between MP− and control groups was not statistically significant (t = −0.87, p = 0.388). Basophil percentages were uniformly zero across all study participants in the three groups, indicating no observable variation; therefore, statistical comparison was not applicable.</w:t>
      </w:r>
    </w:p>
    <w:p w:rsidR="00ED0595" w:rsidRPr="0039632C"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ED0595" w:rsidRPr="0039632C"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9632C">
        <w:rPr>
          <w:rFonts w:ascii="Times New Roman" w:eastAsia="Times New Roman" w:hAnsi="Times New Roman" w:cs="Times New Roman"/>
          <w:b/>
          <w:bCs/>
          <w:kern w:val="36"/>
          <w:sz w:val="24"/>
          <w:szCs w:val="24"/>
        </w:rPr>
        <w:t>Table 1: Comparison of Leukocyte Percentages among Malaria Infected Pregnant women, Pregnant women without Malaria and Non-Pregnant Women</w:t>
      </w:r>
    </w:p>
    <w:tbl>
      <w:tblPr>
        <w:tblStyle w:val="TableGrid"/>
        <w:tblW w:w="0" w:type="auto"/>
        <w:tblLook w:val="04A0" w:firstRow="1" w:lastRow="0" w:firstColumn="1" w:lastColumn="0" w:noHBand="0" w:noVBand="1"/>
      </w:tblPr>
      <w:tblGrid>
        <w:gridCol w:w="1590"/>
        <w:gridCol w:w="1765"/>
        <w:gridCol w:w="923"/>
        <w:gridCol w:w="1012"/>
        <w:gridCol w:w="1683"/>
      </w:tblGrid>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Parameter</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Comparison</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t-value</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p-value</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Interpretation</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Lymphocytes</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MP−</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-1.46</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0.146</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Not 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-10.27</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-9.74</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Monocytes</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MP−</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0.39</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0.694</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Not 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1.03</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0.306</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Not 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0.62</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0.534</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Not 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Neutrophils</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MP−</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-0.41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0.684</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Not 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7.42</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9.31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Eosinophils</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MP−</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8.06</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7.62</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vs Control</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-0.87</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0.388</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Not significant</w:t>
            </w:r>
          </w:p>
        </w:tc>
      </w:tr>
    </w:tbl>
    <w:p w:rsidR="00ED0595" w:rsidRPr="0039632C" w:rsidRDefault="00ED0595"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 at p &lt; 0.05</w:t>
      </w:r>
    </w:p>
    <w:p w:rsidR="00ED0595" w:rsidRPr="0039632C"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ED0595" w:rsidRPr="0039632C"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9632C">
        <w:rPr>
          <w:rFonts w:ascii="Times New Roman" w:eastAsia="Times New Roman" w:hAnsi="Times New Roman" w:cs="Times New Roman"/>
          <w:b/>
          <w:bCs/>
          <w:kern w:val="36"/>
          <w:sz w:val="24"/>
          <w:szCs w:val="24"/>
        </w:rPr>
        <w:lastRenderedPageBreak/>
        <w:t>Table 2: Descriptive Statistics of Differential Leukocyte Percentages among Study Groups</w:t>
      </w:r>
    </w:p>
    <w:tbl>
      <w:tblPr>
        <w:tblStyle w:val="TableGrid"/>
        <w:tblW w:w="0" w:type="auto"/>
        <w:tblLook w:val="04A0" w:firstRow="1" w:lastRow="0" w:firstColumn="1" w:lastColumn="0" w:noHBand="0" w:noVBand="1"/>
      </w:tblPr>
      <w:tblGrid>
        <w:gridCol w:w="2050"/>
        <w:gridCol w:w="1548"/>
        <w:gridCol w:w="1456"/>
        <w:gridCol w:w="1746"/>
        <w:gridCol w:w="990"/>
        <w:gridCol w:w="1012"/>
      </w:tblGrid>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Parameter</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MP+ (n=50)</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MP− (n=50)</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Control (n=50)</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F-value</w:t>
            </w:r>
          </w:p>
        </w:tc>
        <w:tc>
          <w:tcPr>
            <w:tcW w:w="0" w:type="auto"/>
            <w:hideMark/>
          </w:tcPr>
          <w:p w:rsidR="00ED0595" w:rsidRPr="0039632C" w:rsidRDefault="00ED0595" w:rsidP="00A83D11">
            <w:pPr>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p-value</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Lymphocytes (%)</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22.70 ± 8.65</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25.02 ± 7.11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41.12 ± 9.28</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71.37</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Monocytes (%)</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0.68 ± 0.79</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0.62 ± 0.73</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0.54 ± 0.54</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0.51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0.601</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Neutrophils (%)</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73.46 ± 11.09</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74.24 ± 7.69</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58.14 ± 9.51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45.38</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Eosinophils (%)</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1.94 ± 1.41</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0.26 ± 0.44</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0.34 ± 0.48</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56.10</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&lt;0.001*</w:t>
            </w:r>
          </w:p>
        </w:tc>
      </w:tr>
      <w:tr w:rsidR="0039632C" w:rsidRPr="0039632C" w:rsidTr="00ED0595">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b/>
                <w:bCs/>
                <w:sz w:val="24"/>
                <w:szCs w:val="24"/>
              </w:rPr>
              <w:t>Basophils (%)</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0.00 ± 0.00</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0.00 ± 0.00</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0.00 ± 0.00</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w:t>
            </w:r>
          </w:p>
        </w:tc>
        <w:tc>
          <w:tcPr>
            <w:tcW w:w="0" w:type="auto"/>
            <w:hideMark/>
          </w:tcPr>
          <w:p w:rsidR="00ED0595" w:rsidRPr="0039632C" w:rsidRDefault="00ED0595" w:rsidP="00A83D11">
            <w:pPr>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w:t>
            </w:r>
          </w:p>
        </w:tc>
      </w:tr>
    </w:tbl>
    <w:p w:rsidR="00ED0595" w:rsidRPr="0039632C" w:rsidRDefault="00ED0595"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*Significant at p &lt; 0.05</w:t>
      </w:r>
    </w:p>
    <w:p w:rsidR="00ED0595" w:rsidRPr="0039632C" w:rsidRDefault="00ED0595" w:rsidP="00C66E4D">
      <w:pPr>
        <w:spacing w:before="100" w:beforeAutospacing="1" w:after="100" w:afterAutospacing="1" w:line="240" w:lineRule="auto"/>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MP+ = Malaria-infected pregnant women</w:t>
      </w:r>
      <w:r w:rsidRPr="0039632C">
        <w:rPr>
          <w:rFonts w:ascii="Times New Roman" w:eastAsia="Times New Roman" w:hAnsi="Times New Roman" w:cs="Times New Roman"/>
          <w:sz w:val="24"/>
          <w:szCs w:val="24"/>
        </w:rPr>
        <w:br/>
        <w:t>MP− = Pregnant women without malaria</w:t>
      </w:r>
    </w:p>
    <w:p w:rsidR="00A83D11" w:rsidRPr="0039632C" w:rsidRDefault="00A83D11"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Discussion</w:t>
      </w:r>
    </w:p>
    <w:p w:rsidR="00A83D11" w:rsidRPr="0039632C" w:rsidRDefault="00A83D11"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This study explored the </w:t>
      </w:r>
      <w:proofErr w:type="spellStart"/>
      <w:r w:rsidRPr="0039632C">
        <w:rPr>
          <w:rFonts w:ascii="Times New Roman" w:eastAsia="Times New Roman" w:hAnsi="Times New Roman" w:cs="Times New Roman"/>
          <w:sz w:val="24"/>
          <w:szCs w:val="24"/>
        </w:rPr>
        <w:t>immunohaematological</w:t>
      </w:r>
      <w:proofErr w:type="spellEnd"/>
      <w:r w:rsidRPr="0039632C">
        <w:rPr>
          <w:rFonts w:ascii="Times New Roman" w:eastAsia="Times New Roman" w:hAnsi="Times New Roman" w:cs="Times New Roman"/>
          <w:sz w:val="24"/>
          <w:szCs w:val="24"/>
        </w:rPr>
        <w:t xml:space="preserve"> patterns of malaria in pregnancy by comparing leukocyte distribution among malaria-infected pregnant women, uninfected pregnant women, and non-pregnant women. The findings demonstrate that malaria infection and pregnancy independently and interactively influence leukocyte profiles, providing insight into host immune adaptation during gestation and infection. Lymphocyte percentages were markedly reduced in malaria-infected pregnant women compared to non-pregnant controls, while the difference between infected and uninfected pregnant women was not statistically significant. This indicates that pregnancy alone contributes to a relative lymphopenia, likely reflecting physiological immune modulation to maintain fetal tolerance. Malaria infection may further exacerbate this effect through lymphocyte redistribution or suppression, compromising adaptive immune responses and increasing vulnerability to complications [10-11]. Neutrophil levels were elevated in both malaria-infected and uninfected pregnant women relative to non-pregnant controls, suggesting that pregnancy induces a robust neutrophilic response as part of innate immune adaptation. The lack of significant difference between infected and uninfected pregnant women implies that malaria does not substantially alter this physiological neutrophilia, although functional changes in neutrophils during infection may still occur [12-13].</w:t>
      </w:r>
    </w:p>
    <w:p w:rsidR="00A83D11" w:rsidRPr="0039632C" w:rsidRDefault="00A83D11" w:rsidP="00A83D11">
      <w:pPr>
        <w:spacing w:before="100" w:beforeAutospacing="1" w:after="100" w:afterAutospacing="1"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Eosinophil percentages were significantly higher in malaria-infected pregnant women than in both uninfected pregnant women and non-pregnant controls. This elevation highlights a malaria-driven eosinophilic response, reflecting systemic inflammation and immune activation triggered by the parasite. In contrast, monocyte and basophil percentages were largely unchanged across the groups, indicating that these cell types are less sensitive to either pregnancy or malaria infection in this population [14]. These findings reveal a distinct </w:t>
      </w:r>
      <w:proofErr w:type="spellStart"/>
      <w:r w:rsidRPr="0039632C">
        <w:rPr>
          <w:rFonts w:ascii="Times New Roman" w:eastAsia="Times New Roman" w:hAnsi="Times New Roman" w:cs="Times New Roman"/>
          <w:sz w:val="24"/>
          <w:szCs w:val="24"/>
        </w:rPr>
        <w:t>immunohaematological</w:t>
      </w:r>
      <w:proofErr w:type="spellEnd"/>
      <w:r w:rsidRPr="0039632C">
        <w:rPr>
          <w:rFonts w:ascii="Times New Roman" w:eastAsia="Times New Roman" w:hAnsi="Times New Roman" w:cs="Times New Roman"/>
          <w:sz w:val="24"/>
          <w:szCs w:val="24"/>
        </w:rPr>
        <w:t xml:space="preserve"> signature of malaria in pregnancy: </w:t>
      </w:r>
      <w:r w:rsidRPr="0039632C">
        <w:rPr>
          <w:rFonts w:ascii="Times New Roman" w:eastAsia="Times New Roman" w:hAnsi="Times New Roman" w:cs="Times New Roman"/>
          <w:bCs/>
          <w:sz w:val="24"/>
          <w:szCs w:val="24"/>
        </w:rPr>
        <w:t>reduced lymphocytes, elevated eosinophils, and pregnancy-associated neutrophilia</w:t>
      </w:r>
      <w:r w:rsidRPr="0039632C">
        <w:rPr>
          <w:rFonts w:ascii="Times New Roman" w:eastAsia="Times New Roman" w:hAnsi="Times New Roman" w:cs="Times New Roman"/>
          <w:sz w:val="24"/>
          <w:szCs w:val="24"/>
        </w:rPr>
        <w:t>. These changes underscore the complex interplay between gestational immune modulation and infection-induced immune responses. Differential leukocyte profiling, therefore, represents a practical, non-invasive approach for monitoring malaria-related immune changes in pregnant women, which could improve early detection and guide interventions to reduce maternal and fetal complications in endemic regions [15].</w:t>
      </w:r>
    </w:p>
    <w:p w:rsidR="0030094A" w:rsidRPr="0039632C" w:rsidRDefault="0030094A" w:rsidP="00A83D11">
      <w:pPr>
        <w:pStyle w:val="Heading3"/>
        <w:spacing w:line="240" w:lineRule="auto"/>
        <w:jc w:val="both"/>
        <w:rPr>
          <w:rFonts w:ascii="Times New Roman" w:hAnsi="Times New Roman" w:cs="Times New Roman"/>
          <w:color w:val="auto"/>
        </w:rPr>
      </w:pPr>
      <w:r w:rsidRPr="0039632C">
        <w:rPr>
          <w:rStyle w:val="Strong"/>
          <w:rFonts w:ascii="Times New Roman" w:hAnsi="Times New Roman" w:cs="Times New Roman"/>
          <w:bCs w:val="0"/>
          <w:color w:val="auto"/>
        </w:rPr>
        <w:lastRenderedPageBreak/>
        <w:t>Conclusion</w:t>
      </w:r>
    </w:p>
    <w:p w:rsidR="0030094A" w:rsidRPr="0039632C" w:rsidRDefault="0030094A" w:rsidP="00A83D11">
      <w:pPr>
        <w:pStyle w:val="NormalWeb"/>
        <w:jc w:val="both"/>
      </w:pPr>
      <w:r w:rsidRPr="0039632C">
        <w:t xml:space="preserve">Malaria infection during pregnancy induces distinct </w:t>
      </w:r>
      <w:proofErr w:type="spellStart"/>
      <w:r w:rsidRPr="0039632C">
        <w:t>immunohaematological</w:t>
      </w:r>
      <w:proofErr w:type="spellEnd"/>
      <w:r w:rsidRPr="0039632C">
        <w:t xml:space="preserve"> changes characterized by </w:t>
      </w:r>
      <w:r w:rsidRPr="0039632C">
        <w:rPr>
          <w:rStyle w:val="Strong"/>
          <w:b w:val="0"/>
        </w:rPr>
        <w:t>reduced lymphocyte percentages</w:t>
      </w:r>
      <w:r w:rsidRPr="0039632C">
        <w:rPr>
          <w:b/>
        </w:rPr>
        <w:t xml:space="preserve"> </w:t>
      </w:r>
      <w:r w:rsidRPr="0039632C">
        <w:t>and</w:t>
      </w:r>
      <w:r w:rsidRPr="0039632C">
        <w:rPr>
          <w:b/>
        </w:rPr>
        <w:t xml:space="preserve"> </w:t>
      </w:r>
      <w:r w:rsidRPr="0039632C">
        <w:rPr>
          <w:rStyle w:val="Strong"/>
          <w:b w:val="0"/>
        </w:rPr>
        <w:t>elevated eosinophil counts</w:t>
      </w:r>
      <w:r w:rsidRPr="0039632C">
        <w:t xml:space="preserve">, while pregnancy itself is associated with </w:t>
      </w:r>
      <w:r w:rsidRPr="0039632C">
        <w:rPr>
          <w:rStyle w:val="Strong"/>
          <w:b w:val="0"/>
        </w:rPr>
        <w:t>neutrophilia</w:t>
      </w:r>
      <w:r w:rsidRPr="0039632C">
        <w:t xml:space="preserve">. Monocyte and basophil levels appear largely unaffected by either condition. These differential leukocyte patterns reflect the combined effects of malaria infection and gestational immune modulation and may serve as </w:t>
      </w:r>
      <w:r w:rsidRPr="0039632C">
        <w:rPr>
          <w:rStyle w:val="Strong"/>
          <w:b w:val="0"/>
        </w:rPr>
        <w:t>potential</w:t>
      </w:r>
      <w:r w:rsidRPr="0039632C">
        <w:rPr>
          <w:rStyle w:val="Strong"/>
        </w:rPr>
        <w:t xml:space="preserve"> </w:t>
      </w:r>
      <w:proofErr w:type="spellStart"/>
      <w:r w:rsidRPr="0039632C">
        <w:rPr>
          <w:rStyle w:val="Strong"/>
          <w:b w:val="0"/>
        </w:rPr>
        <w:t>immunohaematological</w:t>
      </w:r>
      <w:proofErr w:type="spellEnd"/>
      <w:r w:rsidRPr="0039632C">
        <w:rPr>
          <w:rStyle w:val="Strong"/>
        </w:rPr>
        <w:t xml:space="preserve"> </w:t>
      </w:r>
      <w:r w:rsidRPr="0039632C">
        <w:rPr>
          <w:rStyle w:val="Strong"/>
          <w:b w:val="0"/>
        </w:rPr>
        <w:t>markers</w:t>
      </w:r>
      <w:r w:rsidRPr="0039632C">
        <w:t xml:space="preserve"> for early detection, monitoring, and risk stratification of malaria in pregnant women. Incorporating routine leukocyte profiling into antenatal care in endemic regions could enhance timely diagnosis and guide interventions to reduce maternal and fetal complications associated with malaria.</w:t>
      </w:r>
    </w:p>
    <w:p w:rsidR="0046350B" w:rsidRPr="0039632C" w:rsidRDefault="0046350B" w:rsidP="0046350B">
      <w:pPr>
        <w:spacing w:after="0" w:line="240" w:lineRule="auto"/>
        <w:jc w:val="both"/>
        <w:outlineLvl w:val="2"/>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t>Study Limitations</w:t>
      </w:r>
    </w:p>
    <w:p w:rsidR="0046350B" w:rsidRPr="0039632C" w:rsidRDefault="0046350B" w:rsidP="0046350B">
      <w:pPr>
        <w:spacing w:after="0" w:line="240" w:lineRule="auto"/>
        <w:jc w:val="both"/>
        <w:rPr>
          <w:rFonts w:ascii="Times New Roman" w:eastAsia="Times New Roman" w:hAnsi="Times New Roman" w:cs="Times New Roman"/>
          <w:sz w:val="24"/>
          <w:szCs w:val="24"/>
        </w:rPr>
      </w:pPr>
      <w:r w:rsidRPr="0039632C">
        <w:rPr>
          <w:rFonts w:ascii="Times New Roman" w:eastAsia="Times New Roman" w:hAnsi="Times New Roman" w:cs="Times New Roman"/>
          <w:sz w:val="24"/>
          <w:szCs w:val="24"/>
        </w:rPr>
        <w:t xml:space="preserve">Several limitations should be considered when interpreting the findings of this study. First, the </w:t>
      </w:r>
      <w:r w:rsidRPr="0039632C">
        <w:rPr>
          <w:rFonts w:ascii="Times New Roman" w:eastAsia="Times New Roman" w:hAnsi="Times New Roman" w:cs="Times New Roman"/>
          <w:bCs/>
          <w:sz w:val="24"/>
          <w:szCs w:val="24"/>
        </w:rPr>
        <w:t>cross-sectional study design</w:t>
      </w:r>
      <w:r w:rsidRPr="0039632C">
        <w:rPr>
          <w:rFonts w:ascii="Times New Roman" w:eastAsia="Times New Roman" w:hAnsi="Times New Roman" w:cs="Times New Roman"/>
          <w:sz w:val="24"/>
          <w:szCs w:val="24"/>
        </w:rPr>
        <w:t xml:space="preserve"> limits the ability to establish temporal or causal relationships between malaria infection and alterations in leukocyte profiles. The observed associations therefore represent only a snapshot of </w:t>
      </w:r>
      <w:proofErr w:type="spellStart"/>
      <w:r w:rsidRPr="0039632C">
        <w:rPr>
          <w:rFonts w:ascii="Times New Roman" w:eastAsia="Times New Roman" w:hAnsi="Times New Roman" w:cs="Times New Roman"/>
          <w:sz w:val="24"/>
          <w:szCs w:val="24"/>
        </w:rPr>
        <w:t>immunohaematological</w:t>
      </w:r>
      <w:proofErr w:type="spellEnd"/>
      <w:r w:rsidRPr="0039632C">
        <w:rPr>
          <w:rFonts w:ascii="Times New Roman" w:eastAsia="Times New Roman" w:hAnsi="Times New Roman" w:cs="Times New Roman"/>
          <w:sz w:val="24"/>
          <w:szCs w:val="24"/>
        </w:rPr>
        <w:t xml:space="preserve"> patterns at the time of sampling. Second, </w:t>
      </w:r>
      <w:r w:rsidRPr="0039632C">
        <w:rPr>
          <w:rFonts w:ascii="Times New Roman" w:eastAsia="Times New Roman" w:hAnsi="Times New Roman" w:cs="Times New Roman"/>
          <w:bCs/>
          <w:sz w:val="24"/>
          <w:szCs w:val="24"/>
        </w:rPr>
        <w:t>convenience sampling</w:t>
      </w:r>
      <w:r w:rsidRPr="0039632C">
        <w:rPr>
          <w:rFonts w:ascii="Times New Roman" w:eastAsia="Times New Roman" w:hAnsi="Times New Roman" w:cs="Times New Roman"/>
          <w:sz w:val="24"/>
          <w:szCs w:val="24"/>
        </w:rPr>
        <w:t xml:space="preserve"> was used to recruit participants from antenatal clinics and the control population. This non-probability sampling approach may introduce </w:t>
      </w:r>
      <w:r w:rsidRPr="0039632C">
        <w:rPr>
          <w:rFonts w:ascii="Times New Roman" w:eastAsia="Times New Roman" w:hAnsi="Times New Roman" w:cs="Times New Roman"/>
          <w:bCs/>
          <w:sz w:val="24"/>
          <w:szCs w:val="24"/>
        </w:rPr>
        <w:t>selection bias</w:t>
      </w:r>
      <w:r w:rsidRPr="0039632C">
        <w:rPr>
          <w:rFonts w:ascii="Times New Roman" w:eastAsia="Times New Roman" w:hAnsi="Times New Roman" w:cs="Times New Roman"/>
          <w:sz w:val="24"/>
          <w:szCs w:val="24"/>
        </w:rPr>
        <w:t xml:space="preserve"> and reduce the </w:t>
      </w:r>
      <w:r w:rsidRPr="0039632C">
        <w:rPr>
          <w:rFonts w:ascii="Times New Roman" w:eastAsia="Times New Roman" w:hAnsi="Times New Roman" w:cs="Times New Roman"/>
          <w:bCs/>
          <w:sz w:val="24"/>
          <w:szCs w:val="24"/>
        </w:rPr>
        <w:t>generalizability</w:t>
      </w:r>
      <w:r w:rsidRPr="0039632C">
        <w:rPr>
          <w:rFonts w:ascii="Times New Roman" w:eastAsia="Times New Roman" w:hAnsi="Times New Roman" w:cs="Times New Roman"/>
          <w:sz w:val="24"/>
          <w:szCs w:val="24"/>
        </w:rPr>
        <w:t xml:space="preserve"> of the findings to the broader population of pregnant women in the region. Third, the study did not employ a </w:t>
      </w:r>
      <w:r w:rsidRPr="0039632C">
        <w:rPr>
          <w:rFonts w:ascii="Times New Roman" w:eastAsia="Times New Roman" w:hAnsi="Times New Roman" w:cs="Times New Roman"/>
          <w:bCs/>
          <w:sz w:val="24"/>
          <w:szCs w:val="24"/>
        </w:rPr>
        <w:t>formal sample size calculation prior to participant recruitment</w:t>
      </w:r>
      <w:r w:rsidRPr="0039632C">
        <w:rPr>
          <w:rFonts w:ascii="Times New Roman" w:eastAsia="Times New Roman" w:hAnsi="Times New Roman" w:cs="Times New Roman"/>
          <w:sz w:val="24"/>
          <w:szCs w:val="24"/>
        </w:rPr>
        <w:t xml:space="preserve">. Although a total of 150 participants were included, the adequacy of this sample size for detecting smaller effect sizes cannot be fully guaranteed. Fourth, </w:t>
      </w:r>
      <w:r w:rsidRPr="0039632C">
        <w:rPr>
          <w:rFonts w:ascii="Times New Roman" w:eastAsia="Times New Roman" w:hAnsi="Times New Roman" w:cs="Times New Roman"/>
          <w:bCs/>
          <w:sz w:val="24"/>
          <w:szCs w:val="24"/>
        </w:rPr>
        <w:t>potential confounding variables</w:t>
      </w:r>
      <w:r w:rsidRPr="0039632C">
        <w:rPr>
          <w:rFonts w:ascii="Times New Roman" w:eastAsia="Times New Roman" w:hAnsi="Times New Roman" w:cs="Times New Roman"/>
          <w:sz w:val="24"/>
          <w:szCs w:val="24"/>
        </w:rPr>
        <w:t xml:space="preserve"> such as gestational age, parity, nutritional status, presence of other infections, and medication use were not fully controlled in the analysis. These factors may influence leukocyte distribution and could partially affect the observed differences among the study groups. Fifth, the study primarily reported </w:t>
      </w:r>
      <w:r w:rsidRPr="0039632C">
        <w:rPr>
          <w:rFonts w:ascii="Times New Roman" w:eastAsia="Times New Roman" w:hAnsi="Times New Roman" w:cs="Times New Roman"/>
          <w:bCs/>
          <w:sz w:val="24"/>
          <w:szCs w:val="24"/>
        </w:rPr>
        <w:t>differential leukocyte percentages</w:t>
      </w:r>
      <w:r w:rsidRPr="0039632C">
        <w:rPr>
          <w:rFonts w:ascii="Times New Roman" w:eastAsia="Times New Roman" w:hAnsi="Times New Roman" w:cs="Times New Roman"/>
          <w:sz w:val="24"/>
          <w:szCs w:val="24"/>
        </w:rPr>
        <w:t xml:space="preserve">, which may not fully reflect the clinical relevance compared to </w:t>
      </w:r>
      <w:r w:rsidRPr="0039632C">
        <w:rPr>
          <w:rFonts w:ascii="Times New Roman" w:eastAsia="Times New Roman" w:hAnsi="Times New Roman" w:cs="Times New Roman"/>
          <w:bCs/>
          <w:sz w:val="24"/>
          <w:szCs w:val="24"/>
        </w:rPr>
        <w:t>absolute leukocyte counts</w:t>
      </w:r>
      <w:r w:rsidRPr="0039632C">
        <w:rPr>
          <w:rFonts w:ascii="Times New Roman" w:eastAsia="Times New Roman" w:hAnsi="Times New Roman" w:cs="Times New Roman"/>
          <w:sz w:val="24"/>
          <w:szCs w:val="24"/>
        </w:rPr>
        <w:t xml:space="preserve"> that are often used in clinical decision-making. Finally, the study focused on </w:t>
      </w:r>
      <w:r w:rsidRPr="0039632C">
        <w:rPr>
          <w:rFonts w:ascii="Times New Roman" w:eastAsia="Times New Roman" w:hAnsi="Times New Roman" w:cs="Times New Roman"/>
          <w:bCs/>
          <w:sz w:val="24"/>
          <w:szCs w:val="24"/>
        </w:rPr>
        <w:t>routine hematological indices without incorporating additional immunological markers</w:t>
      </w:r>
      <w:r w:rsidRPr="0039632C">
        <w:rPr>
          <w:rFonts w:ascii="Times New Roman" w:eastAsia="Times New Roman" w:hAnsi="Times New Roman" w:cs="Times New Roman"/>
          <w:sz w:val="24"/>
          <w:szCs w:val="24"/>
        </w:rPr>
        <w:t>, such as cytokine profiles or inflammatory biomarkers, which could provide deeper insights into the immunological mechanisms associated with malaria infection during pregnancy.</w:t>
      </w:r>
    </w:p>
    <w:p w:rsidR="00CC7542" w:rsidRPr="0039632C" w:rsidRDefault="00CC7542" w:rsidP="00A83D11">
      <w:pPr>
        <w:pStyle w:val="NormalWeb"/>
        <w:jc w:val="both"/>
      </w:pPr>
    </w:p>
    <w:p w:rsidR="00CC7542" w:rsidRPr="0046350B" w:rsidRDefault="00CC7542" w:rsidP="00CC7542">
      <w:pPr>
        <w:pStyle w:val="NormalWeb"/>
        <w:jc w:val="both"/>
        <w:rPr>
          <w:b/>
        </w:rPr>
      </w:pPr>
      <w:r w:rsidRPr="0046350B">
        <w:rPr>
          <w:b/>
        </w:rPr>
        <w:t xml:space="preserve">Consent </w:t>
      </w:r>
    </w:p>
    <w:p w:rsidR="00CC7542" w:rsidRPr="0039632C" w:rsidRDefault="00CC7542" w:rsidP="00CC7542">
      <w:pPr>
        <w:pStyle w:val="NormalWeb"/>
        <w:jc w:val="both"/>
      </w:pPr>
      <w:r w:rsidRPr="0039632C">
        <w:t>As per international standards or university standards, Participants’ written consent has been collected and preserved by the author(s).</w:t>
      </w:r>
    </w:p>
    <w:p w:rsidR="00CC7542" w:rsidRPr="0039632C" w:rsidRDefault="00CC7542" w:rsidP="00CC7542">
      <w:pPr>
        <w:pStyle w:val="NormalWeb"/>
        <w:jc w:val="both"/>
      </w:pPr>
    </w:p>
    <w:p w:rsidR="00D76F31" w:rsidRPr="0039632C" w:rsidRDefault="00D76F31" w:rsidP="00D76F31">
      <w:pPr>
        <w:rPr>
          <w:b/>
          <w:highlight w:val="yellow"/>
        </w:rPr>
      </w:pPr>
      <w:r w:rsidRPr="0039632C">
        <w:rPr>
          <w:b/>
          <w:highlight w:val="yellow"/>
        </w:rPr>
        <w:t>Disclaimer (Artificial intelligence)</w:t>
      </w:r>
    </w:p>
    <w:p w:rsidR="00D76F31" w:rsidRPr="0039632C" w:rsidRDefault="00D76F31" w:rsidP="00D76F31">
      <w:pPr>
        <w:rPr>
          <w:highlight w:val="yellow"/>
        </w:rPr>
      </w:pPr>
      <w:r w:rsidRPr="0039632C">
        <w:rPr>
          <w:highlight w:val="yellow"/>
        </w:rPr>
        <w:t>Author(s) hereby declare that NO generative AI technologies such as Large Language Models (</w:t>
      </w:r>
      <w:proofErr w:type="spellStart"/>
      <w:r w:rsidRPr="0039632C">
        <w:rPr>
          <w:highlight w:val="yellow"/>
        </w:rPr>
        <w:t>ChatGPT</w:t>
      </w:r>
      <w:proofErr w:type="spellEnd"/>
      <w:r w:rsidRPr="0039632C">
        <w:rPr>
          <w:highlight w:val="yellow"/>
        </w:rPr>
        <w:t xml:space="preserve">, COPILOT, etc.) and text-to-image generators have been used during the writing or editing of this manuscript. </w:t>
      </w:r>
    </w:p>
    <w:p w:rsidR="00D76F31" w:rsidRPr="0039632C" w:rsidRDefault="00D76F31" w:rsidP="00A83D11">
      <w:pPr>
        <w:pStyle w:val="NormalWeb"/>
        <w:jc w:val="both"/>
      </w:pPr>
    </w:p>
    <w:p w:rsidR="00A83D11" w:rsidRPr="0039632C" w:rsidRDefault="00A83D11" w:rsidP="00A83D11">
      <w:pPr>
        <w:spacing w:before="100" w:beforeAutospacing="1" w:after="100" w:afterAutospacing="1" w:line="240" w:lineRule="auto"/>
        <w:jc w:val="both"/>
        <w:rPr>
          <w:rFonts w:ascii="Times New Roman" w:eastAsia="Times New Roman" w:hAnsi="Times New Roman" w:cs="Times New Roman"/>
          <w:b/>
          <w:bCs/>
          <w:sz w:val="24"/>
          <w:szCs w:val="24"/>
        </w:rPr>
      </w:pPr>
      <w:r w:rsidRPr="0039632C">
        <w:rPr>
          <w:rFonts w:ascii="Times New Roman" w:eastAsia="Times New Roman" w:hAnsi="Times New Roman" w:cs="Times New Roman"/>
          <w:b/>
          <w:bCs/>
          <w:sz w:val="24"/>
          <w:szCs w:val="24"/>
        </w:rPr>
        <w:lastRenderedPageBreak/>
        <w:t>References</w:t>
      </w:r>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39632C">
        <w:rPr>
          <w:rFonts w:ascii="Times New Roman" w:hAnsi="Times New Roman" w:cs="Times New Roman"/>
          <w:sz w:val="24"/>
          <w:szCs w:val="24"/>
        </w:rPr>
        <w:t>Yitageasu</w:t>
      </w:r>
      <w:proofErr w:type="spellEnd"/>
      <w:r w:rsidRPr="0039632C">
        <w:rPr>
          <w:rFonts w:ascii="Times New Roman" w:hAnsi="Times New Roman" w:cs="Times New Roman"/>
          <w:sz w:val="24"/>
          <w:szCs w:val="24"/>
        </w:rPr>
        <w:t xml:space="preserve">, G., </w:t>
      </w:r>
      <w:proofErr w:type="spellStart"/>
      <w:r w:rsidRPr="0039632C">
        <w:rPr>
          <w:rFonts w:ascii="Times New Roman" w:hAnsi="Times New Roman" w:cs="Times New Roman"/>
          <w:sz w:val="24"/>
          <w:szCs w:val="24"/>
        </w:rPr>
        <w:t>Worede</w:t>
      </w:r>
      <w:proofErr w:type="spellEnd"/>
      <w:r w:rsidRPr="0039632C">
        <w:rPr>
          <w:rFonts w:ascii="Times New Roman" w:hAnsi="Times New Roman" w:cs="Times New Roman"/>
          <w:sz w:val="24"/>
          <w:szCs w:val="24"/>
        </w:rPr>
        <w:t xml:space="preserve">, E. A., Alemu, E. A., </w:t>
      </w:r>
      <w:proofErr w:type="spellStart"/>
      <w:r w:rsidRPr="0039632C">
        <w:rPr>
          <w:rFonts w:ascii="Times New Roman" w:hAnsi="Times New Roman" w:cs="Times New Roman"/>
          <w:sz w:val="24"/>
          <w:szCs w:val="24"/>
        </w:rPr>
        <w:t>Tigabie</w:t>
      </w:r>
      <w:proofErr w:type="spellEnd"/>
      <w:r w:rsidRPr="0039632C">
        <w:rPr>
          <w:rFonts w:ascii="Times New Roman" w:hAnsi="Times New Roman" w:cs="Times New Roman"/>
          <w:sz w:val="24"/>
          <w:szCs w:val="24"/>
        </w:rPr>
        <w:t xml:space="preserve">, M., </w:t>
      </w:r>
      <w:proofErr w:type="spellStart"/>
      <w:r w:rsidRPr="0039632C">
        <w:rPr>
          <w:rFonts w:ascii="Times New Roman" w:hAnsi="Times New Roman" w:cs="Times New Roman"/>
          <w:sz w:val="24"/>
          <w:szCs w:val="24"/>
        </w:rPr>
        <w:t>Birhanu</w:t>
      </w:r>
      <w:proofErr w:type="spellEnd"/>
      <w:r w:rsidRPr="0039632C">
        <w:rPr>
          <w:rFonts w:ascii="Times New Roman" w:hAnsi="Times New Roman" w:cs="Times New Roman"/>
          <w:sz w:val="24"/>
          <w:szCs w:val="24"/>
        </w:rPr>
        <w:t xml:space="preserve">, A., Angelo, A. A., </w:t>
      </w:r>
      <w:proofErr w:type="spellStart"/>
      <w:r w:rsidRPr="0039632C">
        <w:rPr>
          <w:rFonts w:ascii="Times New Roman" w:hAnsi="Times New Roman" w:cs="Times New Roman"/>
          <w:sz w:val="24"/>
          <w:szCs w:val="24"/>
        </w:rPr>
        <w:t>Aweke</w:t>
      </w:r>
      <w:proofErr w:type="spellEnd"/>
      <w:r w:rsidRPr="0039632C">
        <w:rPr>
          <w:rFonts w:ascii="Times New Roman" w:hAnsi="Times New Roman" w:cs="Times New Roman"/>
          <w:sz w:val="24"/>
          <w:szCs w:val="24"/>
        </w:rPr>
        <w:t xml:space="preserve">, M. N., &amp; </w:t>
      </w:r>
      <w:proofErr w:type="spellStart"/>
      <w:r w:rsidRPr="0039632C">
        <w:rPr>
          <w:rFonts w:ascii="Times New Roman" w:hAnsi="Times New Roman" w:cs="Times New Roman"/>
          <w:sz w:val="24"/>
          <w:szCs w:val="24"/>
        </w:rPr>
        <w:t>Demoze</w:t>
      </w:r>
      <w:proofErr w:type="spellEnd"/>
      <w:r w:rsidRPr="0039632C">
        <w:rPr>
          <w:rFonts w:ascii="Times New Roman" w:hAnsi="Times New Roman" w:cs="Times New Roman"/>
          <w:sz w:val="24"/>
          <w:szCs w:val="24"/>
        </w:rPr>
        <w:t xml:space="preserve">, L. (2025). Malaria prevalence and its determinants across 19 sub-Saharan African countries: a spatial and geographically weighted regression analysis. </w:t>
      </w:r>
      <w:r w:rsidRPr="0039632C">
        <w:rPr>
          <w:rFonts w:ascii="Times New Roman" w:hAnsi="Times New Roman" w:cs="Times New Roman"/>
          <w:i/>
          <w:iCs/>
          <w:sz w:val="24"/>
          <w:szCs w:val="24"/>
        </w:rPr>
        <w:t>Malaria journal</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24</w:t>
      </w:r>
      <w:r w:rsidRPr="0039632C">
        <w:rPr>
          <w:rFonts w:ascii="Times New Roman" w:hAnsi="Times New Roman" w:cs="Times New Roman"/>
          <w:sz w:val="24"/>
          <w:szCs w:val="24"/>
        </w:rPr>
        <w:t xml:space="preserve">(1), 305. </w:t>
      </w:r>
      <w:hyperlink r:id="rId7" w:history="1">
        <w:r w:rsidRPr="0039632C">
          <w:rPr>
            <w:rStyle w:val="Hyperlink"/>
            <w:rFonts w:ascii="Times New Roman" w:hAnsi="Times New Roman" w:cs="Times New Roman"/>
            <w:color w:val="auto"/>
            <w:sz w:val="24"/>
            <w:szCs w:val="24"/>
          </w:rPr>
          <w:t>https://doi.org/10.1186/s12936-025-05573-6</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t xml:space="preserve">Li, J., Docile, H. J., Fisher, D., </w:t>
      </w:r>
      <w:proofErr w:type="spellStart"/>
      <w:r w:rsidRPr="0039632C">
        <w:rPr>
          <w:rFonts w:ascii="Times New Roman" w:hAnsi="Times New Roman" w:cs="Times New Roman"/>
          <w:sz w:val="24"/>
          <w:szCs w:val="24"/>
        </w:rPr>
        <w:t>Pronyuk</w:t>
      </w:r>
      <w:proofErr w:type="spellEnd"/>
      <w:r w:rsidRPr="0039632C">
        <w:rPr>
          <w:rFonts w:ascii="Times New Roman" w:hAnsi="Times New Roman" w:cs="Times New Roman"/>
          <w:sz w:val="24"/>
          <w:szCs w:val="24"/>
        </w:rPr>
        <w:t xml:space="preserve">, K., &amp; Zhao, L. (2024). Current Status of Malaria Control and Elimination in Africa: Epidemiology, Diagnosis, Treatment, Progress and Challenges. </w:t>
      </w:r>
      <w:r w:rsidRPr="0039632C">
        <w:rPr>
          <w:rFonts w:ascii="Times New Roman" w:hAnsi="Times New Roman" w:cs="Times New Roman"/>
          <w:i/>
          <w:iCs/>
          <w:sz w:val="24"/>
          <w:szCs w:val="24"/>
        </w:rPr>
        <w:t>Journal of epidemiology and global health</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14</w:t>
      </w:r>
      <w:r w:rsidRPr="0039632C">
        <w:rPr>
          <w:rFonts w:ascii="Times New Roman" w:hAnsi="Times New Roman" w:cs="Times New Roman"/>
          <w:sz w:val="24"/>
          <w:szCs w:val="24"/>
        </w:rPr>
        <w:t xml:space="preserve">(3), 561–579. </w:t>
      </w:r>
      <w:hyperlink r:id="rId8" w:history="1">
        <w:r w:rsidRPr="0039632C">
          <w:rPr>
            <w:rStyle w:val="Hyperlink"/>
            <w:rFonts w:ascii="Times New Roman" w:hAnsi="Times New Roman" w:cs="Times New Roman"/>
            <w:color w:val="auto"/>
            <w:sz w:val="24"/>
            <w:szCs w:val="24"/>
          </w:rPr>
          <w:t>https://doi.org/10.1007/s44197-024-00228-2</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t xml:space="preserve">McLean, A. R., </w:t>
      </w:r>
      <w:proofErr w:type="spellStart"/>
      <w:r w:rsidRPr="0039632C">
        <w:rPr>
          <w:rFonts w:ascii="Times New Roman" w:hAnsi="Times New Roman" w:cs="Times New Roman"/>
          <w:sz w:val="24"/>
          <w:szCs w:val="24"/>
        </w:rPr>
        <w:t>Ataide</w:t>
      </w:r>
      <w:proofErr w:type="spellEnd"/>
      <w:r w:rsidRPr="0039632C">
        <w:rPr>
          <w:rFonts w:ascii="Times New Roman" w:hAnsi="Times New Roman" w:cs="Times New Roman"/>
          <w:sz w:val="24"/>
          <w:szCs w:val="24"/>
        </w:rPr>
        <w:t xml:space="preserve">, R., Simpson, J. A., Beeson, J. G., &amp; </w:t>
      </w:r>
      <w:proofErr w:type="spellStart"/>
      <w:r w:rsidRPr="0039632C">
        <w:rPr>
          <w:rFonts w:ascii="Times New Roman" w:hAnsi="Times New Roman" w:cs="Times New Roman"/>
          <w:sz w:val="24"/>
          <w:szCs w:val="24"/>
        </w:rPr>
        <w:t>Fowkes</w:t>
      </w:r>
      <w:proofErr w:type="spellEnd"/>
      <w:r w:rsidRPr="0039632C">
        <w:rPr>
          <w:rFonts w:ascii="Times New Roman" w:hAnsi="Times New Roman" w:cs="Times New Roman"/>
          <w:sz w:val="24"/>
          <w:szCs w:val="24"/>
        </w:rPr>
        <w:t xml:space="preserve">, F. J. (2015). Malaria and immunity during pregnancy and postpartum: a tale of two species. </w:t>
      </w:r>
      <w:r w:rsidRPr="0039632C">
        <w:rPr>
          <w:rFonts w:ascii="Times New Roman" w:hAnsi="Times New Roman" w:cs="Times New Roman"/>
          <w:i/>
          <w:iCs/>
          <w:sz w:val="24"/>
          <w:szCs w:val="24"/>
        </w:rPr>
        <w:t>Parasitology</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142</w:t>
      </w:r>
      <w:r w:rsidRPr="0039632C">
        <w:rPr>
          <w:rFonts w:ascii="Times New Roman" w:hAnsi="Times New Roman" w:cs="Times New Roman"/>
          <w:sz w:val="24"/>
          <w:szCs w:val="24"/>
        </w:rPr>
        <w:t xml:space="preserve">(8), 999–1015. </w:t>
      </w:r>
      <w:hyperlink r:id="rId9" w:history="1">
        <w:r w:rsidRPr="0039632C">
          <w:rPr>
            <w:rStyle w:val="Hyperlink"/>
            <w:rFonts w:ascii="Times New Roman" w:hAnsi="Times New Roman" w:cs="Times New Roman"/>
            <w:color w:val="auto"/>
            <w:sz w:val="24"/>
            <w:szCs w:val="24"/>
          </w:rPr>
          <w:t>https://doi.org/10.1017/S0031182015000074</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t xml:space="preserve">Gowda, D. C., &amp; Wu, X. (2018). Parasite Recognition and Signaling Mechanisms in Innate Immune Responses to Malaria. </w:t>
      </w:r>
      <w:r w:rsidRPr="0039632C">
        <w:rPr>
          <w:rFonts w:ascii="Times New Roman" w:hAnsi="Times New Roman" w:cs="Times New Roman"/>
          <w:i/>
          <w:iCs/>
          <w:sz w:val="24"/>
          <w:szCs w:val="24"/>
        </w:rPr>
        <w:t>Frontiers in immunology</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9</w:t>
      </w:r>
      <w:r w:rsidRPr="0039632C">
        <w:rPr>
          <w:rFonts w:ascii="Times New Roman" w:hAnsi="Times New Roman" w:cs="Times New Roman"/>
          <w:sz w:val="24"/>
          <w:szCs w:val="24"/>
        </w:rPr>
        <w:t xml:space="preserve">, 3006. </w:t>
      </w:r>
      <w:hyperlink r:id="rId10" w:history="1">
        <w:r w:rsidRPr="0039632C">
          <w:rPr>
            <w:rStyle w:val="Hyperlink"/>
            <w:rFonts w:ascii="Times New Roman" w:hAnsi="Times New Roman" w:cs="Times New Roman"/>
            <w:color w:val="auto"/>
            <w:sz w:val="24"/>
            <w:szCs w:val="24"/>
          </w:rPr>
          <w:t>https://doi.org/10.3389/fimmu.2018.03006</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t xml:space="preserve">Dobbs, K. R., Crabtree, J. N., &amp; Dent, A. E. (2020). Innate immunity to malaria-The role of monocytes. </w:t>
      </w:r>
      <w:r w:rsidRPr="0039632C">
        <w:rPr>
          <w:rFonts w:ascii="Times New Roman" w:hAnsi="Times New Roman" w:cs="Times New Roman"/>
          <w:i/>
          <w:iCs/>
          <w:sz w:val="24"/>
          <w:szCs w:val="24"/>
        </w:rPr>
        <w:t>Immunological reviews</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293</w:t>
      </w:r>
      <w:r w:rsidRPr="0039632C">
        <w:rPr>
          <w:rFonts w:ascii="Times New Roman" w:hAnsi="Times New Roman" w:cs="Times New Roman"/>
          <w:sz w:val="24"/>
          <w:szCs w:val="24"/>
        </w:rPr>
        <w:t xml:space="preserve">(1), 8–24. </w:t>
      </w:r>
      <w:hyperlink r:id="rId11" w:history="1">
        <w:r w:rsidRPr="0039632C">
          <w:rPr>
            <w:rStyle w:val="Hyperlink"/>
            <w:rFonts w:ascii="Times New Roman" w:hAnsi="Times New Roman" w:cs="Times New Roman"/>
            <w:color w:val="auto"/>
            <w:sz w:val="24"/>
            <w:szCs w:val="24"/>
          </w:rPr>
          <w:t>https://doi.org/10.1111/imr.12830</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39632C">
        <w:rPr>
          <w:rFonts w:ascii="Times New Roman" w:hAnsi="Times New Roman" w:cs="Times New Roman"/>
          <w:sz w:val="24"/>
          <w:szCs w:val="24"/>
        </w:rPr>
        <w:t>Asmerom</w:t>
      </w:r>
      <w:proofErr w:type="spellEnd"/>
      <w:r w:rsidRPr="0039632C">
        <w:rPr>
          <w:rFonts w:ascii="Times New Roman" w:hAnsi="Times New Roman" w:cs="Times New Roman"/>
          <w:sz w:val="24"/>
          <w:szCs w:val="24"/>
        </w:rPr>
        <w:t xml:space="preserve">, H., </w:t>
      </w:r>
      <w:proofErr w:type="spellStart"/>
      <w:r w:rsidRPr="0039632C">
        <w:rPr>
          <w:rFonts w:ascii="Times New Roman" w:hAnsi="Times New Roman" w:cs="Times New Roman"/>
          <w:sz w:val="24"/>
          <w:szCs w:val="24"/>
        </w:rPr>
        <w:t>Gemechu</w:t>
      </w:r>
      <w:proofErr w:type="spellEnd"/>
      <w:r w:rsidRPr="0039632C">
        <w:rPr>
          <w:rFonts w:ascii="Times New Roman" w:hAnsi="Times New Roman" w:cs="Times New Roman"/>
          <w:sz w:val="24"/>
          <w:szCs w:val="24"/>
        </w:rPr>
        <w:t xml:space="preserve">, K., </w:t>
      </w:r>
      <w:proofErr w:type="spellStart"/>
      <w:r w:rsidRPr="0039632C">
        <w:rPr>
          <w:rFonts w:ascii="Times New Roman" w:hAnsi="Times New Roman" w:cs="Times New Roman"/>
          <w:sz w:val="24"/>
          <w:szCs w:val="24"/>
        </w:rPr>
        <w:t>Sileshi</w:t>
      </w:r>
      <w:proofErr w:type="spellEnd"/>
      <w:r w:rsidRPr="0039632C">
        <w:rPr>
          <w:rFonts w:ascii="Times New Roman" w:hAnsi="Times New Roman" w:cs="Times New Roman"/>
          <w:sz w:val="24"/>
          <w:szCs w:val="24"/>
        </w:rPr>
        <w:t xml:space="preserve">, B., &amp; </w:t>
      </w:r>
      <w:proofErr w:type="spellStart"/>
      <w:r w:rsidRPr="0039632C">
        <w:rPr>
          <w:rFonts w:ascii="Times New Roman" w:hAnsi="Times New Roman" w:cs="Times New Roman"/>
          <w:sz w:val="24"/>
          <w:szCs w:val="24"/>
        </w:rPr>
        <w:t>Arkew</w:t>
      </w:r>
      <w:proofErr w:type="spellEnd"/>
      <w:r w:rsidRPr="0039632C">
        <w:rPr>
          <w:rFonts w:ascii="Times New Roman" w:hAnsi="Times New Roman" w:cs="Times New Roman"/>
          <w:sz w:val="24"/>
          <w:szCs w:val="24"/>
        </w:rPr>
        <w:t xml:space="preserve">, M. (2023). Hematological Abnormalities Among Malaria Infected Adult Patients in Association with ABO Blood Groups at </w:t>
      </w:r>
      <w:proofErr w:type="spellStart"/>
      <w:r w:rsidRPr="0039632C">
        <w:rPr>
          <w:rFonts w:ascii="Times New Roman" w:hAnsi="Times New Roman" w:cs="Times New Roman"/>
          <w:sz w:val="24"/>
          <w:szCs w:val="24"/>
        </w:rPr>
        <w:t>Jinella</w:t>
      </w:r>
      <w:proofErr w:type="spellEnd"/>
      <w:r w:rsidRPr="0039632C">
        <w:rPr>
          <w:rFonts w:ascii="Times New Roman" w:hAnsi="Times New Roman" w:cs="Times New Roman"/>
          <w:sz w:val="24"/>
          <w:szCs w:val="24"/>
        </w:rPr>
        <w:t xml:space="preserve"> Health Center, Harar, Eastern Ethiopia. </w:t>
      </w:r>
      <w:r w:rsidRPr="0039632C">
        <w:rPr>
          <w:rFonts w:ascii="Times New Roman" w:hAnsi="Times New Roman" w:cs="Times New Roman"/>
          <w:i/>
          <w:iCs/>
          <w:sz w:val="24"/>
          <w:szCs w:val="24"/>
        </w:rPr>
        <w:t>Journal of blood medicine</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14</w:t>
      </w:r>
      <w:r w:rsidRPr="0039632C">
        <w:rPr>
          <w:rFonts w:ascii="Times New Roman" w:hAnsi="Times New Roman" w:cs="Times New Roman"/>
          <w:sz w:val="24"/>
          <w:szCs w:val="24"/>
        </w:rPr>
        <w:t xml:space="preserve">, 463–476. </w:t>
      </w:r>
      <w:hyperlink r:id="rId12" w:history="1">
        <w:r w:rsidRPr="0039632C">
          <w:rPr>
            <w:rStyle w:val="Hyperlink"/>
            <w:rFonts w:ascii="Times New Roman" w:hAnsi="Times New Roman" w:cs="Times New Roman"/>
            <w:color w:val="auto"/>
            <w:sz w:val="24"/>
            <w:szCs w:val="24"/>
          </w:rPr>
          <w:t>https://doi.org/10.2147/JBM.S419815</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39632C">
        <w:rPr>
          <w:rFonts w:ascii="Times New Roman" w:hAnsi="Times New Roman" w:cs="Times New Roman"/>
          <w:sz w:val="24"/>
          <w:szCs w:val="24"/>
        </w:rPr>
        <w:t>Anabire</w:t>
      </w:r>
      <w:proofErr w:type="spellEnd"/>
      <w:r w:rsidRPr="0039632C">
        <w:rPr>
          <w:rFonts w:ascii="Times New Roman" w:hAnsi="Times New Roman" w:cs="Times New Roman"/>
          <w:sz w:val="24"/>
          <w:szCs w:val="24"/>
        </w:rPr>
        <w:t xml:space="preserve">, N. G., </w:t>
      </w:r>
      <w:proofErr w:type="spellStart"/>
      <w:r w:rsidRPr="0039632C">
        <w:rPr>
          <w:rFonts w:ascii="Times New Roman" w:hAnsi="Times New Roman" w:cs="Times New Roman"/>
          <w:sz w:val="24"/>
          <w:szCs w:val="24"/>
        </w:rPr>
        <w:t>Aryee</w:t>
      </w:r>
      <w:proofErr w:type="spellEnd"/>
      <w:r w:rsidRPr="0039632C">
        <w:rPr>
          <w:rFonts w:ascii="Times New Roman" w:hAnsi="Times New Roman" w:cs="Times New Roman"/>
          <w:sz w:val="24"/>
          <w:szCs w:val="24"/>
        </w:rPr>
        <w:t xml:space="preserve">, P. A., &amp; </w:t>
      </w:r>
      <w:proofErr w:type="spellStart"/>
      <w:r w:rsidRPr="0039632C">
        <w:rPr>
          <w:rFonts w:ascii="Times New Roman" w:hAnsi="Times New Roman" w:cs="Times New Roman"/>
          <w:sz w:val="24"/>
          <w:szCs w:val="24"/>
        </w:rPr>
        <w:t>Helegbe</w:t>
      </w:r>
      <w:proofErr w:type="spellEnd"/>
      <w:r w:rsidRPr="0039632C">
        <w:rPr>
          <w:rFonts w:ascii="Times New Roman" w:hAnsi="Times New Roman" w:cs="Times New Roman"/>
          <w:sz w:val="24"/>
          <w:szCs w:val="24"/>
        </w:rPr>
        <w:t xml:space="preserve">, G. K. (2018). Hematological abnormalities in patients with malaria and typhoid in Tamale Metropolis of Ghana. </w:t>
      </w:r>
      <w:r w:rsidRPr="0039632C">
        <w:rPr>
          <w:rFonts w:ascii="Times New Roman" w:hAnsi="Times New Roman" w:cs="Times New Roman"/>
          <w:i/>
          <w:iCs/>
          <w:sz w:val="24"/>
          <w:szCs w:val="24"/>
        </w:rPr>
        <w:t>BMC research notes</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11</w:t>
      </w:r>
      <w:r w:rsidRPr="0039632C">
        <w:rPr>
          <w:rFonts w:ascii="Times New Roman" w:hAnsi="Times New Roman" w:cs="Times New Roman"/>
          <w:sz w:val="24"/>
          <w:szCs w:val="24"/>
        </w:rPr>
        <w:t xml:space="preserve">(1), 353. </w:t>
      </w:r>
      <w:hyperlink r:id="rId13" w:history="1">
        <w:r w:rsidRPr="0039632C">
          <w:rPr>
            <w:rStyle w:val="Hyperlink"/>
            <w:rFonts w:ascii="Times New Roman" w:hAnsi="Times New Roman" w:cs="Times New Roman"/>
            <w:color w:val="auto"/>
            <w:sz w:val="24"/>
            <w:szCs w:val="24"/>
          </w:rPr>
          <w:t>https://doi.org/10.1186/s13104-018-3456-9</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39632C">
        <w:rPr>
          <w:rFonts w:ascii="Times New Roman" w:hAnsi="Times New Roman" w:cs="Times New Roman"/>
          <w:sz w:val="24"/>
          <w:szCs w:val="24"/>
        </w:rPr>
        <w:t>Madukwe</w:t>
      </w:r>
      <w:proofErr w:type="spellEnd"/>
      <w:r w:rsidRPr="0039632C">
        <w:rPr>
          <w:rFonts w:ascii="Times New Roman" w:hAnsi="Times New Roman" w:cs="Times New Roman"/>
          <w:sz w:val="24"/>
          <w:szCs w:val="24"/>
        </w:rPr>
        <w:t xml:space="preserve">, J. C., </w:t>
      </w:r>
      <w:proofErr w:type="spellStart"/>
      <w:r w:rsidRPr="0039632C">
        <w:rPr>
          <w:rFonts w:ascii="Times New Roman" w:hAnsi="Times New Roman" w:cs="Times New Roman"/>
          <w:sz w:val="24"/>
          <w:szCs w:val="24"/>
        </w:rPr>
        <w:t>Ahaneku</w:t>
      </w:r>
      <w:proofErr w:type="spellEnd"/>
      <w:r w:rsidRPr="0039632C">
        <w:rPr>
          <w:rFonts w:ascii="Times New Roman" w:hAnsi="Times New Roman" w:cs="Times New Roman"/>
          <w:sz w:val="24"/>
          <w:szCs w:val="24"/>
        </w:rPr>
        <w:t xml:space="preserve">, E. B., </w:t>
      </w:r>
      <w:proofErr w:type="spellStart"/>
      <w:r w:rsidRPr="0039632C">
        <w:rPr>
          <w:rFonts w:ascii="Times New Roman" w:hAnsi="Times New Roman" w:cs="Times New Roman"/>
          <w:sz w:val="24"/>
          <w:szCs w:val="24"/>
        </w:rPr>
        <w:t>Onukafor</w:t>
      </w:r>
      <w:proofErr w:type="spellEnd"/>
      <w:r w:rsidRPr="0039632C">
        <w:rPr>
          <w:rFonts w:ascii="Times New Roman" w:hAnsi="Times New Roman" w:cs="Times New Roman"/>
          <w:sz w:val="24"/>
          <w:szCs w:val="24"/>
        </w:rPr>
        <w:t xml:space="preserve">, O. S., </w:t>
      </w:r>
      <w:proofErr w:type="spellStart"/>
      <w:r w:rsidRPr="0039632C">
        <w:rPr>
          <w:rFonts w:ascii="Times New Roman" w:hAnsi="Times New Roman" w:cs="Times New Roman"/>
          <w:sz w:val="24"/>
          <w:szCs w:val="24"/>
        </w:rPr>
        <w:t>Edokpayi</w:t>
      </w:r>
      <w:proofErr w:type="spellEnd"/>
      <w:r w:rsidRPr="0039632C">
        <w:rPr>
          <w:rFonts w:ascii="Times New Roman" w:hAnsi="Times New Roman" w:cs="Times New Roman"/>
          <w:sz w:val="24"/>
          <w:szCs w:val="24"/>
        </w:rPr>
        <w:t xml:space="preserve">, S., </w:t>
      </w:r>
      <w:proofErr w:type="spellStart"/>
      <w:r w:rsidRPr="0039632C">
        <w:rPr>
          <w:rFonts w:ascii="Times New Roman" w:hAnsi="Times New Roman" w:cs="Times New Roman"/>
          <w:sz w:val="24"/>
          <w:szCs w:val="24"/>
        </w:rPr>
        <w:t>Madukwe</w:t>
      </w:r>
      <w:proofErr w:type="spellEnd"/>
      <w:r w:rsidRPr="0039632C">
        <w:rPr>
          <w:rFonts w:ascii="Times New Roman" w:hAnsi="Times New Roman" w:cs="Times New Roman"/>
          <w:sz w:val="24"/>
          <w:szCs w:val="24"/>
        </w:rPr>
        <w:t xml:space="preserve">, P. C., </w:t>
      </w:r>
      <w:proofErr w:type="spellStart"/>
      <w:r w:rsidRPr="0039632C">
        <w:rPr>
          <w:rFonts w:ascii="Times New Roman" w:hAnsi="Times New Roman" w:cs="Times New Roman"/>
          <w:sz w:val="24"/>
          <w:szCs w:val="24"/>
        </w:rPr>
        <w:t>Enwereji</w:t>
      </w:r>
      <w:proofErr w:type="spellEnd"/>
      <w:r w:rsidRPr="0039632C">
        <w:rPr>
          <w:rFonts w:ascii="Times New Roman" w:hAnsi="Times New Roman" w:cs="Times New Roman"/>
          <w:sz w:val="24"/>
          <w:szCs w:val="24"/>
        </w:rPr>
        <w:t>, N. U., &amp; Santos, E. M. (2025). Do women attending antenatal clinics who use only intermittent preventive treatment (</w:t>
      </w:r>
      <w:proofErr w:type="spellStart"/>
      <w:r w:rsidRPr="0039632C">
        <w:rPr>
          <w:rFonts w:ascii="Times New Roman" w:hAnsi="Times New Roman" w:cs="Times New Roman"/>
          <w:sz w:val="24"/>
          <w:szCs w:val="24"/>
        </w:rPr>
        <w:t>IPTp</w:t>
      </w:r>
      <w:proofErr w:type="spellEnd"/>
      <w:r w:rsidRPr="0039632C">
        <w:rPr>
          <w:rFonts w:ascii="Times New Roman" w:hAnsi="Times New Roman" w:cs="Times New Roman"/>
          <w:sz w:val="24"/>
          <w:szCs w:val="24"/>
        </w:rPr>
        <w:t xml:space="preserve">) have higher Plasmodium falciparum prevalence compared to those who used both </w:t>
      </w:r>
      <w:proofErr w:type="spellStart"/>
      <w:r w:rsidRPr="0039632C">
        <w:rPr>
          <w:rFonts w:ascii="Times New Roman" w:hAnsi="Times New Roman" w:cs="Times New Roman"/>
          <w:sz w:val="24"/>
          <w:szCs w:val="24"/>
        </w:rPr>
        <w:t>IPTp</w:t>
      </w:r>
      <w:proofErr w:type="spellEnd"/>
      <w:r w:rsidRPr="0039632C">
        <w:rPr>
          <w:rFonts w:ascii="Times New Roman" w:hAnsi="Times New Roman" w:cs="Times New Roman"/>
          <w:sz w:val="24"/>
          <w:szCs w:val="24"/>
        </w:rPr>
        <w:t xml:space="preserve"> and slept under insecticide-treated </w:t>
      </w:r>
      <w:proofErr w:type="gramStart"/>
      <w:r w:rsidRPr="0039632C">
        <w:rPr>
          <w:rFonts w:ascii="Times New Roman" w:hAnsi="Times New Roman" w:cs="Times New Roman"/>
          <w:sz w:val="24"/>
          <w:szCs w:val="24"/>
        </w:rPr>
        <w:t>nets?.</w:t>
      </w:r>
      <w:proofErr w:type="gramEnd"/>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Malaria journal</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24</w:t>
      </w:r>
      <w:r w:rsidRPr="0039632C">
        <w:rPr>
          <w:rFonts w:ascii="Times New Roman" w:hAnsi="Times New Roman" w:cs="Times New Roman"/>
          <w:sz w:val="24"/>
          <w:szCs w:val="24"/>
        </w:rPr>
        <w:t xml:space="preserve">(1), 275. </w:t>
      </w:r>
      <w:hyperlink r:id="rId14" w:history="1">
        <w:r w:rsidRPr="0039632C">
          <w:rPr>
            <w:rStyle w:val="Hyperlink"/>
            <w:rFonts w:ascii="Times New Roman" w:hAnsi="Times New Roman" w:cs="Times New Roman"/>
            <w:color w:val="auto"/>
            <w:sz w:val="24"/>
            <w:szCs w:val="24"/>
          </w:rPr>
          <w:t>https://doi.org/10.1186/s12936-025-05532-1</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t xml:space="preserve">Okafor, I. P., </w:t>
      </w:r>
      <w:proofErr w:type="spellStart"/>
      <w:r w:rsidRPr="0039632C">
        <w:rPr>
          <w:rFonts w:ascii="Times New Roman" w:hAnsi="Times New Roman" w:cs="Times New Roman"/>
          <w:sz w:val="24"/>
          <w:szCs w:val="24"/>
        </w:rPr>
        <w:t>Ezekude</w:t>
      </w:r>
      <w:proofErr w:type="spellEnd"/>
      <w:r w:rsidRPr="0039632C">
        <w:rPr>
          <w:rFonts w:ascii="Times New Roman" w:hAnsi="Times New Roman" w:cs="Times New Roman"/>
          <w:sz w:val="24"/>
          <w:szCs w:val="24"/>
        </w:rPr>
        <w:t xml:space="preserve">, C., Oluwole, E. O., &amp; </w:t>
      </w:r>
      <w:proofErr w:type="spellStart"/>
      <w:r w:rsidRPr="0039632C">
        <w:rPr>
          <w:rFonts w:ascii="Times New Roman" w:hAnsi="Times New Roman" w:cs="Times New Roman"/>
          <w:sz w:val="24"/>
          <w:szCs w:val="24"/>
        </w:rPr>
        <w:t>Onigbogi</w:t>
      </w:r>
      <w:proofErr w:type="spellEnd"/>
      <w:r w:rsidRPr="0039632C">
        <w:rPr>
          <w:rFonts w:ascii="Times New Roman" w:hAnsi="Times New Roman" w:cs="Times New Roman"/>
          <w:sz w:val="24"/>
          <w:szCs w:val="24"/>
        </w:rPr>
        <w:t xml:space="preserve">, O. O. (2019). Malaria in pregnancy: A community-based study on the knowledge, perception, and prevention among Nigerian women. </w:t>
      </w:r>
      <w:r w:rsidRPr="0039632C">
        <w:rPr>
          <w:rFonts w:ascii="Times New Roman" w:hAnsi="Times New Roman" w:cs="Times New Roman"/>
          <w:i/>
          <w:iCs/>
          <w:sz w:val="24"/>
          <w:szCs w:val="24"/>
        </w:rPr>
        <w:t>Journal of family medicine and primary care</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8</w:t>
      </w:r>
      <w:r w:rsidRPr="0039632C">
        <w:rPr>
          <w:rFonts w:ascii="Times New Roman" w:hAnsi="Times New Roman" w:cs="Times New Roman"/>
          <w:sz w:val="24"/>
          <w:szCs w:val="24"/>
        </w:rPr>
        <w:t xml:space="preserve">(4), 1359–1364. </w:t>
      </w:r>
      <w:hyperlink r:id="rId15" w:history="1">
        <w:r w:rsidRPr="0039632C">
          <w:rPr>
            <w:rStyle w:val="Hyperlink"/>
            <w:rFonts w:ascii="Times New Roman" w:hAnsi="Times New Roman" w:cs="Times New Roman"/>
            <w:color w:val="auto"/>
            <w:sz w:val="24"/>
            <w:szCs w:val="24"/>
          </w:rPr>
          <w:t>https://doi.org/10.4103/jfmpc.jfmpc_295_18</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t xml:space="preserve">Matthew, A. K., James, O. O. A., Bolanle, D., &amp; Stephen, O. O. (2013). </w:t>
      </w:r>
      <w:proofErr w:type="spellStart"/>
      <w:r w:rsidRPr="0039632C">
        <w:rPr>
          <w:rFonts w:ascii="Times New Roman" w:hAnsi="Times New Roman" w:cs="Times New Roman"/>
          <w:sz w:val="24"/>
          <w:szCs w:val="24"/>
        </w:rPr>
        <w:t>Hamatological</w:t>
      </w:r>
      <w:proofErr w:type="spellEnd"/>
      <w:r w:rsidRPr="0039632C">
        <w:rPr>
          <w:rFonts w:ascii="Times New Roman" w:hAnsi="Times New Roman" w:cs="Times New Roman"/>
          <w:sz w:val="24"/>
          <w:szCs w:val="24"/>
        </w:rPr>
        <w:t xml:space="preserve"> parameters and malaria parasite infection among pregnant women in Northwest Nigeria. </w:t>
      </w:r>
      <w:r w:rsidRPr="0039632C">
        <w:rPr>
          <w:rFonts w:ascii="Times New Roman" w:hAnsi="Times New Roman" w:cs="Times New Roman"/>
          <w:i/>
          <w:iCs/>
          <w:sz w:val="24"/>
          <w:szCs w:val="24"/>
        </w:rPr>
        <w:t>Asian Pacific Journal of Tropical Disease</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3</w:t>
      </w:r>
      <w:r w:rsidRPr="0039632C">
        <w:rPr>
          <w:rFonts w:ascii="Times New Roman" w:hAnsi="Times New Roman" w:cs="Times New Roman"/>
          <w:sz w:val="24"/>
          <w:szCs w:val="24"/>
        </w:rPr>
        <w:t xml:space="preserve">(1), 47–50. </w:t>
      </w:r>
      <w:hyperlink r:id="rId16" w:history="1">
        <w:r w:rsidRPr="0039632C">
          <w:rPr>
            <w:rStyle w:val="Hyperlink"/>
            <w:rFonts w:ascii="Times New Roman" w:hAnsi="Times New Roman" w:cs="Times New Roman"/>
            <w:color w:val="auto"/>
            <w:sz w:val="24"/>
            <w:szCs w:val="24"/>
          </w:rPr>
          <w:t>https://doi.org/10.1016/S2222-1808(13)60010-9</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t>Mohr-</w:t>
      </w:r>
      <w:proofErr w:type="spellStart"/>
      <w:r w:rsidRPr="0039632C">
        <w:rPr>
          <w:rFonts w:ascii="Times New Roman" w:hAnsi="Times New Roman" w:cs="Times New Roman"/>
          <w:sz w:val="24"/>
          <w:szCs w:val="24"/>
        </w:rPr>
        <w:t>Sasson</w:t>
      </w:r>
      <w:proofErr w:type="spellEnd"/>
      <w:r w:rsidRPr="0039632C">
        <w:rPr>
          <w:rFonts w:ascii="Times New Roman" w:hAnsi="Times New Roman" w:cs="Times New Roman"/>
          <w:sz w:val="24"/>
          <w:szCs w:val="24"/>
        </w:rPr>
        <w:t xml:space="preserve">, A., </w:t>
      </w:r>
      <w:proofErr w:type="spellStart"/>
      <w:r w:rsidRPr="0039632C">
        <w:rPr>
          <w:rFonts w:ascii="Times New Roman" w:hAnsi="Times New Roman" w:cs="Times New Roman"/>
          <w:sz w:val="24"/>
          <w:szCs w:val="24"/>
        </w:rPr>
        <w:t>Chayo</w:t>
      </w:r>
      <w:proofErr w:type="spellEnd"/>
      <w:r w:rsidRPr="0039632C">
        <w:rPr>
          <w:rFonts w:ascii="Times New Roman" w:hAnsi="Times New Roman" w:cs="Times New Roman"/>
          <w:sz w:val="24"/>
          <w:szCs w:val="24"/>
        </w:rPr>
        <w:t xml:space="preserve">, J., Bart, Y., Meyer, R., Sivan, E., </w:t>
      </w:r>
      <w:proofErr w:type="spellStart"/>
      <w:r w:rsidRPr="0039632C">
        <w:rPr>
          <w:rFonts w:ascii="Times New Roman" w:hAnsi="Times New Roman" w:cs="Times New Roman"/>
          <w:sz w:val="24"/>
          <w:szCs w:val="24"/>
        </w:rPr>
        <w:t>Mazaki-Tovi</w:t>
      </w:r>
      <w:proofErr w:type="spellEnd"/>
      <w:r w:rsidRPr="0039632C">
        <w:rPr>
          <w:rFonts w:ascii="Times New Roman" w:hAnsi="Times New Roman" w:cs="Times New Roman"/>
          <w:sz w:val="24"/>
          <w:szCs w:val="24"/>
        </w:rPr>
        <w:t xml:space="preserve">, S., &amp; </w:t>
      </w:r>
      <w:proofErr w:type="spellStart"/>
      <w:r w:rsidRPr="0039632C">
        <w:rPr>
          <w:rFonts w:ascii="Times New Roman" w:hAnsi="Times New Roman" w:cs="Times New Roman"/>
          <w:sz w:val="24"/>
          <w:szCs w:val="24"/>
        </w:rPr>
        <w:t>Yinon</w:t>
      </w:r>
      <w:proofErr w:type="spellEnd"/>
      <w:r w:rsidRPr="0039632C">
        <w:rPr>
          <w:rFonts w:ascii="Times New Roman" w:hAnsi="Times New Roman" w:cs="Times New Roman"/>
          <w:sz w:val="24"/>
          <w:szCs w:val="24"/>
        </w:rPr>
        <w:t xml:space="preserve">, Y. (2020). Laboratory characteristics of pregnant compared to non-pregnant women infected with SARS-CoV-2. </w:t>
      </w:r>
      <w:r w:rsidRPr="0039632C">
        <w:rPr>
          <w:rFonts w:ascii="Times New Roman" w:hAnsi="Times New Roman" w:cs="Times New Roman"/>
          <w:i/>
          <w:iCs/>
          <w:sz w:val="24"/>
          <w:szCs w:val="24"/>
        </w:rPr>
        <w:t>Archives of gynecology and obstetrics</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302</w:t>
      </w:r>
      <w:r w:rsidRPr="0039632C">
        <w:rPr>
          <w:rFonts w:ascii="Times New Roman" w:hAnsi="Times New Roman" w:cs="Times New Roman"/>
          <w:sz w:val="24"/>
          <w:szCs w:val="24"/>
        </w:rPr>
        <w:t xml:space="preserve">(3), 629–634. </w:t>
      </w:r>
      <w:hyperlink r:id="rId17" w:history="1">
        <w:r w:rsidRPr="0039632C">
          <w:rPr>
            <w:rStyle w:val="Hyperlink"/>
            <w:rFonts w:ascii="Times New Roman" w:hAnsi="Times New Roman" w:cs="Times New Roman"/>
            <w:color w:val="auto"/>
            <w:sz w:val="24"/>
            <w:szCs w:val="24"/>
          </w:rPr>
          <w:t>https://doi.org/10.1007/s00404-020-05655-7</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39632C">
        <w:rPr>
          <w:rFonts w:ascii="Times New Roman" w:hAnsi="Times New Roman" w:cs="Times New Roman"/>
          <w:sz w:val="24"/>
          <w:szCs w:val="24"/>
        </w:rPr>
        <w:t>Chukwuanukwu</w:t>
      </w:r>
      <w:proofErr w:type="spellEnd"/>
      <w:r w:rsidRPr="0039632C">
        <w:rPr>
          <w:rFonts w:ascii="Times New Roman" w:hAnsi="Times New Roman" w:cs="Times New Roman"/>
          <w:sz w:val="24"/>
          <w:szCs w:val="24"/>
        </w:rPr>
        <w:t xml:space="preserve">, R. C., </w:t>
      </w:r>
      <w:proofErr w:type="spellStart"/>
      <w:r w:rsidRPr="0039632C">
        <w:rPr>
          <w:rFonts w:ascii="Times New Roman" w:hAnsi="Times New Roman" w:cs="Times New Roman"/>
          <w:sz w:val="24"/>
          <w:szCs w:val="24"/>
        </w:rPr>
        <w:t>Agu</w:t>
      </w:r>
      <w:proofErr w:type="spellEnd"/>
      <w:r w:rsidRPr="0039632C">
        <w:rPr>
          <w:rFonts w:ascii="Times New Roman" w:hAnsi="Times New Roman" w:cs="Times New Roman"/>
          <w:sz w:val="24"/>
          <w:szCs w:val="24"/>
        </w:rPr>
        <w:t xml:space="preserve">, C. E., </w:t>
      </w:r>
      <w:proofErr w:type="spellStart"/>
      <w:r w:rsidRPr="0039632C">
        <w:rPr>
          <w:rFonts w:ascii="Times New Roman" w:hAnsi="Times New Roman" w:cs="Times New Roman"/>
          <w:sz w:val="24"/>
          <w:szCs w:val="24"/>
        </w:rPr>
        <w:t>Ehiaghe</w:t>
      </w:r>
      <w:proofErr w:type="spellEnd"/>
      <w:r w:rsidRPr="0039632C">
        <w:rPr>
          <w:rFonts w:ascii="Times New Roman" w:hAnsi="Times New Roman" w:cs="Times New Roman"/>
          <w:sz w:val="24"/>
          <w:szCs w:val="24"/>
        </w:rPr>
        <w:t xml:space="preserve">, A., </w:t>
      </w:r>
      <w:proofErr w:type="spellStart"/>
      <w:r w:rsidRPr="0039632C">
        <w:rPr>
          <w:rFonts w:ascii="Times New Roman" w:hAnsi="Times New Roman" w:cs="Times New Roman"/>
          <w:sz w:val="24"/>
          <w:szCs w:val="24"/>
        </w:rPr>
        <w:t>Ezeagwuna</w:t>
      </w:r>
      <w:proofErr w:type="spellEnd"/>
      <w:r w:rsidRPr="0039632C">
        <w:rPr>
          <w:rFonts w:ascii="Times New Roman" w:hAnsi="Times New Roman" w:cs="Times New Roman"/>
          <w:sz w:val="24"/>
          <w:szCs w:val="24"/>
        </w:rPr>
        <w:t xml:space="preserve">, D., Herrmann, M., &amp; </w:t>
      </w:r>
      <w:proofErr w:type="spellStart"/>
      <w:r w:rsidRPr="0039632C">
        <w:rPr>
          <w:rFonts w:ascii="Times New Roman" w:hAnsi="Times New Roman" w:cs="Times New Roman"/>
          <w:sz w:val="24"/>
          <w:szCs w:val="24"/>
        </w:rPr>
        <w:t>Udigwe</w:t>
      </w:r>
      <w:proofErr w:type="spellEnd"/>
      <w:r w:rsidRPr="0039632C">
        <w:rPr>
          <w:rFonts w:ascii="Times New Roman" w:hAnsi="Times New Roman" w:cs="Times New Roman"/>
          <w:sz w:val="24"/>
          <w:szCs w:val="24"/>
        </w:rPr>
        <w:t xml:space="preserve">, G. (2025). Markers of neutrophil activation and some immune and </w:t>
      </w:r>
      <w:proofErr w:type="spellStart"/>
      <w:r w:rsidRPr="0039632C">
        <w:rPr>
          <w:rFonts w:ascii="Times New Roman" w:hAnsi="Times New Roman" w:cs="Times New Roman"/>
          <w:sz w:val="24"/>
          <w:szCs w:val="24"/>
        </w:rPr>
        <w:t>haematological</w:t>
      </w:r>
      <w:proofErr w:type="spellEnd"/>
      <w:r w:rsidRPr="0039632C">
        <w:rPr>
          <w:rFonts w:ascii="Times New Roman" w:hAnsi="Times New Roman" w:cs="Times New Roman"/>
          <w:sz w:val="24"/>
          <w:szCs w:val="24"/>
        </w:rPr>
        <w:t xml:space="preserve"> indices in malaria infection during pregnancy. </w:t>
      </w:r>
      <w:r w:rsidRPr="0039632C">
        <w:rPr>
          <w:rFonts w:ascii="Times New Roman" w:hAnsi="Times New Roman" w:cs="Times New Roman"/>
          <w:i/>
          <w:iCs/>
          <w:sz w:val="24"/>
          <w:szCs w:val="24"/>
        </w:rPr>
        <w:t>BMC immunology</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26</w:t>
      </w:r>
      <w:r w:rsidRPr="0039632C">
        <w:rPr>
          <w:rFonts w:ascii="Times New Roman" w:hAnsi="Times New Roman" w:cs="Times New Roman"/>
          <w:sz w:val="24"/>
          <w:szCs w:val="24"/>
        </w:rPr>
        <w:t xml:space="preserve">(1), 28. </w:t>
      </w:r>
      <w:hyperlink r:id="rId18" w:history="1">
        <w:r w:rsidRPr="0039632C">
          <w:rPr>
            <w:rStyle w:val="Hyperlink"/>
            <w:rFonts w:ascii="Times New Roman" w:hAnsi="Times New Roman" w:cs="Times New Roman"/>
            <w:color w:val="auto"/>
            <w:sz w:val="24"/>
            <w:szCs w:val="24"/>
          </w:rPr>
          <w:t>https://doi.org/10.1186/s12865-025-00709-4</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39632C">
        <w:rPr>
          <w:rFonts w:ascii="Times New Roman" w:hAnsi="Times New Roman" w:cs="Times New Roman"/>
          <w:sz w:val="24"/>
          <w:szCs w:val="24"/>
        </w:rPr>
        <w:lastRenderedPageBreak/>
        <w:t xml:space="preserve">Aitken, E. H., Alemu, A., &amp; Rogerson, S. J. (2018). Neutrophils and Malaria. </w:t>
      </w:r>
      <w:r w:rsidRPr="0039632C">
        <w:rPr>
          <w:rFonts w:ascii="Times New Roman" w:hAnsi="Times New Roman" w:cs="Times New Roman"/>
          <w:i/>
          <w:iCs/>
          <w:sz w:val="24"/>
          <w:szCs w:val="24"/>
        </w:rPr>
        <w:t>Frontiers in immunology</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9</w:t>
      </w:r>
      <w:r w:rsidRPr="0039632C">
        <w:rPr>
          <w:rFonts w:ascii="Times New Roman" w:hAnsi="Times New Roman" w:cs="Times New Roman"/>
          <w:sz w:val="24"/>
          <w:szCs w:val="24"/>
        </w:rPr>
        <w:t xml:space="preserve">, 3005. </w:t>
      </w:r>
      <w:hyperlink r:id="rId19" w:history="1">
        <w:r w:rsidRPr="0039632C">
          <w:rPr>
            <w:rStyle w:val="Hyperlink"/>
            <w:rFonts w:ascii="Times New Roman" w:hAnsi="Times New Roman" w:cs="Times New Roman"/>
            <w:color w:val="auto"/>
            <w:sz w:val="24"/>
            <w:szCs w:val="24"/>
          </w:rPr>
          <w:t>https://doi.org/10.3389/fimmu.2018.03005</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39632C">
        <w:rPr>
          <w:rFonts w:ascii="Times New Roman" w:hAnsi="Times New Roman" w:cs="Times New Roman"/>
          <w:sz w:val="24"/>
          <w:szCs w:val="24"/>
        </w:rPr>
        <w:t>Kurtzhals</w:t>
      </w:r>
      <w:proofErr w:type="spellEnd"/>
      <w:r w:rsidRPr="0039632C">
        <w:rPr>
          <w:rFonts w:ascii="Times New Roman" w:hAnsi="Times New Roman" w:cs="Times New Roman"/>
          <w:sz w:val="24"/>
          <w:szCs w:val="24"/>
        </w:rPr>
        <w:t xml:space="preserve">, J. A., </w:t>
      </w:r>
      <w:proofErr w:type="spellStart"/>
      <w:r w:rsidRPr="0039632C">
        <w:rPr>
          <w:rFonts w:ascii="Times New Roman" w:hAnsi="Times New Roman" w:cs="Times New Roman"/>
          <w:sz w:val="24"/>
          <w:szCs w:val="24"/>
        </w:rPr>
        <w:t>Reimert</w:t>
      </w:r>
      <w:proofErr w:type="spellEnd"/>
      <w:r w:rsidRPr="0039632C">
        <w:rPr>
          <w:rFonts w:ascii="Times New Roman" w:hAnsi="Times New Roman" w:cs="Times New Roman"/>
          <w:sz w:val="24"/>
          <w:szCs w:val="24"/>
        </w:rPr>
        <w:t xml:space="preserve">, C. M., </w:t>
      </w:r>
      <w:proofErr w:type="spellStart"/>
      <w:r w:rsidRPr="0039632C">
        <w:rPr>
          <w:rFonts w:ascii="Times New Roman" w:hAnsi="Times New Roman" w:cs="Times New Roman"/>
          <w:sz w:val="24"/>
          <w:szCs w:val="24"/>
        </w:rPr>
        <w:t>Tette</w:t>
      </w:r>
      <w:proofErr w:type="spellEnd"/>
      <w:r w:rsidRPr="0039632C">
        <w:rPr>
          <w:rFonts w:ascii="Times New Roman" w:hAnsi="Times New Roman" w:cs="Times New Roman"/>
          <w:sz w:val="24"/>
          <w:szCs w:val="24"/>
        </w:rPr>
        <w:t xml:space="preserve">, E., </w:t>
      </w:r>
      <w:proofErr w:type="spellStart"/>
      <w:r w:rsidRPr="0039632C">
        <w:rPr>
          <w:rFonts w:ascii="Times New Roman" w:hAnsi="Times New Roman" w:cs="Times New Roman"/>
          <w:sz w:val="24"/>
          <w:szCs w:val="24"/>
        </w:rPr>
        <w:t>Dunyo</w:t>
      </w:r>
      <w:proofErr w:type="spellEnd"/>
      <w:r w:rsidRPr="0039632C">
        <w:rPr>
          <w:rFonts w:ascii="Times New Roman" w:hAnsi="Times New Roman" w:cs="Times New Roman"/>
          <w:sz w:val="24"/>
          <w:szCs w:val="24"/>
        </w:rPr>
        <w:t xml:space="preserve">, S. K., </w:t>
      </w:r>
      <w:proofErr w:type="spellStart"/>
      <w:r w:rsidRPr="0039632C">
        <w:rPr>
          <w:rFonts w:ascii="Times New Roman" w:hAnsi="Times New Roman" w:cs="Times New Roman"/>
          <w:sz w:val="24"/>
          <w:szCs w:val="24"/>
        </w:rPr>
        <w:t>Koram</w:t>
      </w:r>
      <w:proofErr w:type="spellEnd"/>
      <w:r w:rsidRPr="0039632C">
        <w:rPr>
          <w:rFonts w:ascii="Times New Roman" w:hAnsi="Times New Roman" w:cs="Times New Roman"/>
          <w:sz w:val="24"/>
          <w:szCs w:val="24"/>
        </w:rPr>
        <w:t xml:space="preserve">, K. A., </w:t>
      </w:r>
      <w:proofErr w:type="spellStart"/>
      <w:r w:rsidRPr="0039632C">
        <w:rPr>
          <w:rFonts w:ascii="Times New Roman" w:hAnsi="Times New Roman" w:cs="Times New Roman"/>
          <w:sz w:val="24"/>
          <w:szCs w:val="24"/>
        </w:rPr>
        <w:t>Akanmori</w:t>
      </w:r>
      <w:proofErr w:type="spellEnd"/>
      <w:r w:rsidRPr="0039632C">
        <w:rPr>
          <w:rFonts w:ascii="Times New Roman" w:hAnsi="Times New Roman" w:cs="Times New Roman"/>
          <w:sz w:val="24"/>
          <w:szCs w:val="24"/>
        </w:rPr>
        <w:t xml:space="preserve">, B. D., Nkrumah, F. K., &amp; </w:t>
      </w:r>
      <w:proofErr w:type="spellStart"/>
      <w:r w:rsidRPr="0039632C">
        <w:rPr>
          <w:rFonts w:ascii="Times New Roman" w:hAnsi="Times New Roman" w:cs="Times New Roman"/>
          <w:sz w:val="24"/>
          <w:szCs w:val="24"/>
        </w:rPr>
        <w:t>Hviid</w:t>
      </w:r>
      <w:proofErr w:type="spellEnd"/>
      <w:r w:rsidRPr="0039632C">
        <w:rPr>
          <w:rFonts w:ascii="Times New Roman" w:hAnsi="Times New Roman" w:cs="Times New Roman"/>
          <w:sz w:val="24"/>
          <w:szCs w:val="24"/>
        </w:rPr>
        <w:t xml:space="preserve">, L. (1998). Increased eosinophil activity in acute Plasmodium falciparum infection--association with cerebral malaria. </w:t>
      </w:r>
      <w:r w:rsidRPr="0039632C">
        <w:rPr>
          <w:rFonts w:ascii="Times New Roman" w:hAnsi="Times New Roman" w:cs="Times New Roman"/>
          <w:i/>
          <w:iCs/>
          <w:sz w:val="24"/>
          <w:szCs w:val="24"/>
        </w:rPr>
        <w:t>Clinical and experimental immunology</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112</w:t>
      </w:r>
      <w:r w:rsidRPr="0039632C">
        <w:rPr>
          <w:rFonts w:ascii="Times New Roman" w:hAnsi="Times New Roman" w:cs="Times New Roman"/>
          <w:sz w:val="24"/>
          <w:szCs w:val="24"/>
        </w:rPr>
        <w:t xml:space="preserve">(2), 303–307. </w:t>
      </w:r>
      <w:hyperlink r:id="rId20" w:history="1">
        <w:r w:rsidRPr="0039632C">
          <w:rPr>
            <w:rStyle w:val="Hyperlink"/>
            <w:rFonts w:ascii="Times New Roman" w:hAnsi="Times New Roman" w:cs="Times New Roman"/>
            <w:color w:val="auto"/>
            <w:sz w:val="24"/>
            <w:szCs w:val="24"/>
          </w:rPr>
          <w:t>https://doi.org/10.1046/j.1365-2249.1998.00586.x</w:t>
        </w:r>
      </w:hyperlink>
    </w:p>
    <w:p w:rsidR="00A83D11" w:rsidRPr="0039632C"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39632C">
        <w:rPr>
          <w:rFonts w:ascii="Times New Roman" w:hAnsi="Times New Roman" w:cs="Times New Roman"/>
          <w:sz w:val="24"/>
          <w:szCs w:val="24"/>
        </w:rPr>
        <w:t>Hové</w:t>
      </w:r>
      <w:proofErr w:type="spellEnd"/>
      <w:r w:rsidRPr="0039632C">
        <w:rPr>
          <w:rFonts w:ascii="Times New Roman" w:hAnsi="Times New Roman" w:cs="Times New Roman"/>
          <w:sz w:val="24"/>
          <w:szCs w:val="24"/>
        </w:rPr>
        <w:t xml:space="preserve">, C., </w:t>
      </w:r>
      <w:proofErr w:type="spellStart"/>
      <w:r w:rsidRPr="0039632C">
        <w:rPr>
          <w:rFonts w:ascii="Times New Roman" w:hAnsi="Times New Roman" w:cs="Times New Roman"/>
          <w:sz w:val="24"/>
          <w:szCs w:val="24"/>
        </w:rPr>
        <w:t>Trumble</w:t>
      </w:r>
      <w:proofErr w:type="spellEnd"/>
      <w:r w:rsidRPr="0039632C">
        <w:rPr>
          <w:rFonts w:ascii="Times New Roman" w:hAnsi="Times New Roman" w:cs="Times New Roman"/>
          <w:sz w:val="24"/>
          <w:szCs w:val="24"/>
        </w:rPr>
        <w:t xml:space="preserve">, B. C., Anderson, A. S., Stieglitz, J., Kaplan, H., </w:t>
      </w:r>
      <w:proofErr w:type="spellStart"/>
      <w:r w:rsidRPr="0039632C">
        <w:rPr>
          <w:rFonts w:ascii="Times New Roman" w:hAnsi="Times New Roman" w:cs="Times New Roman"/>
          <w:sz w:val="24"/>
          <w:szCs w:val="24"/>
        </w:rPr>
        <w:t>Gurven</w:t>
      </w:r>
      <w:proofErr w:type="spellEnd"/>
      <w:r w:rsidRPr="0039632C">
        <w:rPr>
          <w:rFonts w:ascii="Times New Roman" w:hAnsi="Times New Roman" w:cs="Times New Roman"/>
          <w:sz w:val="24"/>
          <w:szCs w:val="24"/>
        </w:rPr>
        <w:t xml:space="preserve">, M. D., &amp; Blackwell, A. D. (2020). Immune function during pregnancy varies between ecologically distinct populations. </w:t>
      </w:r>
      <w:r w:rsidRPr="0039632C">
        <w:rPr>
          <w:rFonts w:ascii="Times New Roman" w:hAnsi="Times New Roman" w:cs="Times New Roman"/>
          <w:i/>
          <w:iCs/>
          <w:sz w:val="24"/>
          <w:szCs w:val="24"/>
        </w:rPr>
        <w:t>Evolution, medicine, and public health</w:t>
      </w:r>
      <w:r w:rsidRPr="0039632C">
        <w:rPr>
          <w:rFonts w:ascii="Times New Roman" w:hAnsi="Times New Roman" w:cs="Times New Roman"/>
          <w:sz w:val="24"/>
          <w:szCs w:val="24"/>
        </w:rPr>
        <w:t xml:space="preserve">, </w:t>
      </w:r>
      <w:r w:rsidRPr="0039632C">
        <w:rPr>
          <w:rFonts w:ascii="Times New Roman" w:hAnsi="Times New Roman" w:cs="Times New Roman"/>
          <w:i/>
          <w:iCs/>
          <w:sz w:val="24"/>
          <w:szCs w:val="24"/>
        </w:rPr>
        <w:t>2020</w:t>
      </w:r>
      <w:r w:rsidRPr="0039632C">
        <w:rPr>
          <w:rFonts w:ascii="Times New Roman" w:hAnsi="Times New Roman" w:cs="Times New Roman"/>
          <w:sz w:val="24"/>
          <w:szCs w:val="24"/>
        </w:rPr>
        <w:t>(1), 114–128. https://doi.org/10.1093/emph/eoaa022</w:t>
      </w:r>
    </w:p>
    <w:p w:rsidR="00ED0595" w:rsidRPr="0039632C" w:rsidRDefault="00ED0595" w:rsidP="00A83D11">
      <w:pPr>
        <w:spacing w:line="240" w:lineRule="auto"/>
        <w:jc w:val="both"/>
        <w:rPr>
          <w:rFonts w:ascii="Times New Roman" w:hAnsi="Times New Roman" w:cs="Times New Roman"/>
          <w:sz w:val="24"/>
          <w:szCs w:val="24"/>
        </w:rPr>
      </w:pPr>
    </w:p>
    <w:sectPr w:rsidR="00ED0595" w:rsidRPr="0039632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969" w:rsidRDefault="00B06969" w:rsidP="003D4A3D">
      <w:pPr>
        <w:spacing w:after="0" w:line="240" w:lineRule="auto"/>
      </w:pPr>
      <w:r>
        <w:separator/>
      </w:r>
    </w:p>
  </w:endnote>
  <w:endnote w:type="continuationSeparator" w:id="0">
    <w:p w:rsidR="00B06969" w:rsidRDefault="00B06969" w:rsidP="003D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969" w:rsidRDefault="00B06969" w:rsidP="003D4A3D">
      <w:pPr>
        <w:spacing w:after="0" w:line="240" w:lineRule="auto"/>
      </w:pPr>
      <w:r>
        <w:separator/>
      </w:r>
    </w:p>
  </w:footnote>
  <w:footnote w:type="continuationSeparator" w:id="0">
    <w:p w:rsidR="00B06969" w:rsidRDefault="00B06969" w:rsidP="003D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522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522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522A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201"/>
    <w:multiLevelType w:val="multilevel"/>
    <w:tmpl w:val="E42A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56AC4"/>
    <w:multiLevelType w:val="hybridMultilevel"/>
    <w:tmpl w:val="7668FFA0"/>
    <w:lvl w:ilvl="0" w:tplc="08AC2DE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F0152"/>
    <w:multiLevelType w:val="multilevel"/>
    <w:tmpl w:val="B8F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F2452"/>
    <w:multiLevelType w:val="multilevel"/>
    <w:tmpl w:val="15D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NDc2t7AwMrI0MDBR0lEKTi0uzszPAykwrAUAgIzJYCwAAAA="/>
  </w:docVars>
  <w:rsids>
    <w:rsidRoot w:val="00ED0595"/>
    <w:rsid w:val="00027A30"/>
    <w:rsid w:val="0030094A"/>
    <w:rsid w:val="003135EA"/>
    <w:rsid w:val="0031669D"/>
    <w:rsid w:val="0039632C"/>
    <w:rsid w:val="003D4A3D"/>
    <w:rsid w:val="0046350B"/>
    <w:rsid w:val="004B4ED2"/>
    <w:rsid w:val="00522AAB"/>
    <w:rsid w:val="00690C28"/>
    <w:rsid w:val="007F1135"/>
    <w:rsid w:val="00A36B58"/>
    <w:rsid w:val="00A70466"/>
    <w:rsid w:val="00A83D11"/>
    <w:rsid w:val="00A91961"/>
    <w:rsid w:val="00B06969"/>
    <w:rsid w:val="00B46F04"/>
    <w:rsid w:val="00C246D3"/>
    <w:rsid w:val="00C66E4D"/>
    <w:rsid w:val="00CC7542"/>
    <w:rsid w:val="00CE2884"/>
    <w:rsid w:val="00D76F31"/>
    <w:rsid w:val="00D86C0D"/>
    <w:rsid w:val="00E11B47"/>
    <w:rsid w:val="00E1685A"/>
    <w:rsid w:val="00E66F34"/>
    <w:rsid w:val="00EA6E30"/>
    <w:rsid w:val="00EC0EB8"/>
    <w:rsid w:val="00E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C4788E"/>
  <w15:chartTrackingRefBased/>
  <w15:docId w15:val="{21BCCEBA-F0C2-4B7C-9015-E04C5081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05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D0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09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D05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595"/>
    <w:rPr>
      <w:b/>
      <w:bCs/>
    </w:rPr>
  </w:style>
  <w:style w:type="table" w:styleId="TableGrid">
    <w:name w:val="Table Grid"/>
    <w:basedOn w:val="TableNormal"/>
    <w:uiPriority w:val="39"/>
    <w:rsid w:val="00ED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D059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D0595"/>
    <w:rPr>
      <w:i/>
      <w:iCs/>
    </w:rPr>
  </w:style>
  <w:style w:type="character" w:customStyle="1" w:styleId="font-medium">
    <w:name w:val="font-medium"/>
    <w:basedOn w:val="DefaultParagraphFont"/>
    <w:rsid w:val="00ED0595"/>
  </w:style>
  <w:style w:type="paragraph" w:styleId="z-TopofForm">
    <w:name w:val="HTML Top of Form"/>
    <w:basedOn w:val="Normal"/>
    <w:next w:val="Normal"/>
    <w:link w:val="z-TopofFormChar"/>
    <w:hidden/>
    <w:uiPriority w:val="99"/>
    <w:semiHidden/>
    <w:unhideWhenUsed/>
    <w:rsid w:val="00ED059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05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D059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059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0094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83D11"/>
    <w:pPr>
      <w:ind w:left="720"/>
      <w:contextualSpacing/>
    </w:pPr>
  </w:style>
  <w:style w:type="character" w:styleId="Hyperlink">
    <w:name w:val="Hyperlink"/>
    <w:basedOn w:val="DefaultParagraphFont"/>
    <w:uiPriority w:val="99"/>
    <w:unhideWhenUsed/>
    <w:rsid w:val="00A83D11"/>
    <w:rPr>
      <w:color w:val="0563C1" w:themeColor="hyperlink"/>
      <w:u w:val="single"/>
    </w:rPr>
  </w:style>
  <w:style w:type="character" w:styleId="UnresolvedMention">
    <w:name w:val="Unresolved Mention"/>
    <w:basedOn w:val="DefaultParagraphFont"/>
    <w:uiPriority w:val="99"/>
    <w:semiHidden/>
    <w:unhideWhenUsed/>
    <w:rsid w:val="00E66F34"/>
    <w:rPr>
      <w:color w:val="605E5C"/>
      <w:shd w:val="clear" w:color="auto" w:fill="E1DFDD"/>
    </w:rPr>
  </w:style>
  <w:style w:type="paragraph" w:styleId="Header">
    <w:name w:val="header"/>
    <w:basedOn w:val="Normal"/>
    <w:link w:val="HeaderChar"/>
    <w:uiPriority w:val="99"/>
    <w:unhideWhenUsed/>
    <w:rsid w:val="003D4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3D"/>
  </w:style>
  <w:style w:type="paragraph" w:styleId="Footer">
    <w:name w:val="footer"/>
    <w:basedOn w:val="Normal"/>
    <w:link w:val="FooterChar"/>
    <w:uiPriority w:val="99"/>
    <w:unhideWhenUsed/>
    <w:rsid w:val="003D4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1885">
      <w:bodyDiv w:val="1"/>
      <w:marLeft w:val="0"/>
      <w:marRight w:val="0"/>
      <w:marTop w:val="0"/>
      <w:marBottom w:val="0"/>
      <w:divBdr>
        <w:top w:val="none" w:sz="0" w:space="0" w:color="auto"/>
        <w:left w:val="none" w:sz="0" w:space="0" w:color="auto"/>
        <w:bottom w:val="none" w:sz="0" w:space="0" w:color="auto"/>
        <w:right w:val="none" w:sz="0" w:space="0" w:color="auto"/>
      </w:divBdr>
    </w:div>
    <w:div w:id="82190255">
      <w:bodyDiv w:val="1"/>
      <w:marLeft w:val="0"/>
      <w:marRight w:val="0"/>
      <w:marTop w:val="0"/>
      <w:marBottom w:val="0"/>
      <w:divBdr>
        <w:top w:val="none" w:sz="0" w:space="0" w:color="auto"/>
        <w:left w:val="none" w:sz="0" w:space="0" w:color="auto"/>
        <w:bottom w:val="none" w:sz="0" w:space="0" w:color="auto"/>
        <w:right w:val="none" w:sz="0" w:space="0" w:color="auto"/>
      </w:divBdr>
    </w:div>
    <w:div w:id="603923273">
      <w:bodyDiv w:val="1"/>
      <w:marLeft w:val="0"/>
      <w:marRight w:val="0"/>
      <w:marTop w:val="0"/>
      <w:marBottom w:val="0"/>
      <w:divBdr>
        <w:top w:val="none" w:sz="0" w:space="0" w:color="auto"/>
        <w:left w:val="none" w:sz="0" w:space="0" w:color="auto"/>
        <w:bottom w:val="none" w:sz="0" w:space="0" w:color="auto"/>
        <w:right w:val="none" w:sz="0" w:space="0" w:color="auto"/>
      </w:divBdr>
      <w:divsChild>
        <w:div w:id="546070095">
          <w:marLeft w:val="0"/>
          <w:marRight w:val="0"/>
          <w:marTop w:val="0"/>
          <w:marBottom w:val="0"/>
          <w:divBdr>
            <w:top w:val="none" w:sz="0" w:space="0" w:color="auto"/>
            <w:left w:val="none" w:sz="0" w:space="0" w:color="auto"/>
            <w:bottom w:val="none" w:sz="0" w:space="0" w:color="auto"/>
            <w:right w:val="none" w:sz="0" w:space="0" w:color="auto"/>
          </w:divBdr>
          <w:divsChild>
            <w:div w:id="866793900">
              <w:marLeft w:val="0"/>
              <w:marRight w:val="0"/>
              <w:marTop w:val="0"/>
              <w:marBottom w:val="0"/>
              <w:divBdr>
                <w:top w:val="none" w:sz="0" w:space="0" w:color="auto"/>
                <w:left w:val="none" w:sz="0" w:space="0" w:color="auto"/>
                <w:bottom w:val="none" w:sz="0" w:space="0" w:color="auto"/>
                <w:right w:val="none" w:sz="0" w:space="0" w:color="auto"/>
              </w:divBdr>
              <w:divsChild>
                <w:div w:id="2115397023">
                  <w:marLeft w:val="0"/>
                  <w:marRight w:val="0"/>
                  <w:marTop w:val="0"/>
                  <w:marBottom w:val="0"/>
                  <w:divBdr>
                    <w:top w:val="none" w:sz="0" w:space="0" w:color="auto"/>
                    <w:left w:val="none" w:sz="0" w:space="0" w:color="auto"/>
                    <w:bottom w:val="none" w:sz="0" w:space="0" w:color="auto"/>
                    <w:right w:val="none" w:sz="0" w:space="0" w:color="auto"/>
                  </w:divBdr>
                  <w:divsChild>
                    <w:div w:id="1023896170">
                      <w:marLeft w:val="0"/>
                      <w:marRight w:val="0"/>
                      <w:marTop w:val="0"/>
                      <w:marBottom w:val="0"/>
                      <w:divBdr>
                        <w:top w:val="none" w:sz="0" w:space="0" w:color="auto"/>
                        <w:left w:val="none" w:sz="0" w:space="0" w:color="auto"/>
                        <w:bottom w:val="none" w:sz="0" w:space="0" w:color="auto"/>
                        <w:right w:val="none" w:sz="0" w:space="0" w:color="auto"/>
                      </w:divBdr>
                      <w:divsChild>
                        <w:div w:id="1905677129">
                          <w:marLeft w:val="0"/>
                          <w:marRight w:val="0"/>
                          <w:marTop w:val="0"/>
                          <w:marBottom w:val="0"/>
                          <w:divBdr>
                            <w:top w:val="none" w:sz="0" w:space="0" w:color="auto"/>
                            <w:left w:val="none" w:sz="0" w:space="0" w:color="auto"/>
                            <w:bottom w:val="none" w:sz="0" w:space="0" w:color="auto"/>
                            <w:right w:val="none" w:sz="0" w:space="0" w:color="auto"/>
                          </w:divBdr>
                          <w:divsChild>
                            <w:div w:id="382141510">
                              <w:marLeft w:val="0"/>
                              <w:marRight w:val="0"/>
                              <w:marTop w:val="0"/>
                              <w:marBottom w:val="0"/>
                              <w:divBdr>
                                <w:top w:val="none" w:sz="0" w:space="0" w:color="auto"/>
                                <w:left w:val="none" w:sz="0" w:space="0" w:color="auto"/>
                                <w:bottom w:val="none" w:sz="0" w:space="0" w:color="auto"/>
                                <w:right w:val="none" w:sz="0" w:space="0" w:color="auto"/>
                              </w:divBdr>
                              <w:divsChild>
                                <w:div w:id="646126331">
                                  <w:marLeft w:val="0"/>
                                  <w:marRight w:val="0"/>
                                  <w:marTop w:val="0"/>
                                  <w:marBottom w:val="0"/>
                                  <w:divBdr>
                                    <w:top w:val="none" w:sz="0" w:space="0" w:color="auto"/>
                                    <w:left w:val="none" w:sz="0" w:space="0" w:color="auto"/>
                                    <w:bottom w:val="none" w:sz="0" w:space="0" w:color="auto"/>
                                    <w:right w:val="none" w:sz="0" w:space="0" w:color="auto"/>
                                  </w:divBdr>
                                  <w:divsChild>
                                    <w:div w:id="7433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447895">
      <w:bodyDiv w:val="1"/>
      <w:marLeft w:val="0"/>
      <w:marRight w:val="0"/>
      <w:marTop w:val="0"/>
      <w:marBottom w:val="0"/>
      <w:divBdr>
        <w:top w:val="none" w:sz="0" w:space="0" w:color="auto"/>
        <w:left w:val="none" w:sz="0" w:space="0" w:color="auto"/>
        <w:bottom w:val="none" w:sz="0" w:space="0" w:color="auto"/>
        <w:right w:val="none" w:sz="0" w:space="0" w:color="auto"/>
      </w:divBdr>
    </w:div>
    <w:div w:id="1549145579">
      <w:bodyDiv w:val="1"/>
      <w:marLeft w:val="0"/>
      <w:marRight w:val="0"/>
      <w:marTop w:val="0"/>
      <w:marBottom w:val="0"/>
      <w:divBdr>
        <w:top w:val="none" w:sz="0" w:space="0" w:color="auto"/>
        <w:left w:val="none" w:sz="0" w:space="0" w:color="auto"/>
        <w:bottom w:val="none" w:sz="0" w:space="0" w:color="auto"/>
        <w:right w:val="none" w:sz="0" w:space="0" w:color="auto"/>
      </w:divBdr>
    </w:div>
    <w:div w:id="1734503798">
      <w:bodyDiv w:val="1"/>
      <w:marLeft w:val="0"/>
      <w:marRight w:val="0"/>
      <w:marTop w:val="0"/>
      <w:marBottom w:val="0"/>
      <w:divBdr>
        <w:top w:val="none" w:sz="0" w:space="0" w:color="auto"/>
        <w:left w:val="none" w:sz="0" w:space="0" w:color="auto"/>
        <w:bottom w:val="none" w:sz="0" w:space="0" w:color="auto"/>
        <w:right w:val="none" w:sz="0" w:space="0" w:color="auto"/>
      </w:divBdr>
      <w:divsChild>
        <w:div w:id="1672946359">
          <w:marLeft w:val="0"/>
          <w:marRight w:val="0"/>
          <w:marTop w:val="0"/>
          <w:marBottom w:val="0"/>
          <w:divBdr>
            <w:top w:val="none" w:sz="0" w:space="0" w:color="auto"/>
            <w:left w:val="none" w:sz="0" w:space="0" w:color="auto"/>
            <w:bottom w:val="none" w:sz="0" w:space="0" w:color="auto"/>
            <w:right w:val="none" w:sz="0" w:space="0" w:color="auto"/>
          </w:divBdr>
          <w:divsChild>
            <w:div w:id="16262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1811">
      <w:bodyDiv w:val="1"/>
      <w:marLeft w:val="0"/>
      <w:marRight w:val="0"/>
      <w:marTop w:val="0"/>
      <w:marBottom w:val="0"/>
      <w:divBdr>
        <w:top w:val="none" w:sz="0" w:space="0" w:color="auto"/>
        <w:left w:val="none" w:sz="0" w:space="0" w:color="auto"/>
        <w:bottom w:val="none" w:sz="0" w:space="0" w:color="auto"/>
        <w:right w:val="none" w:sz="0" w:space="0" w:color="auto"/>
      </w:divBdr>
      <w:divsChild>
        <w:div w:id="1551913319">
          <w:marLeft w:val="0"/>
          <w:marRight w:val="0"/>
          <w:marTop w:val="0"/>
          <w:marBottom w:val="0"/>
          <w:divBdr>
            <w:top w:val="none" w:sz="0" w:space="0" w:color="auto"/>
            <w:left w:val="none" w:sz="0" w:space="0" w:color="auto"/>
            <w:bottom w:val="none" w:sz="0" w:space="0" w:color="auto"/>
            <w:right w:val="none" w:sz="0" w:space="0" w:color="auto"/>
          </w:divBdr>
          <w:divsChild>
            <w:div w:id="449323229">
              <w:marLeft w:val="0"/>
              <w:marRight w:val="0"/>
              <w:marTop w:val="0"/>
              <w:marBottom w:val="0"/>
              <w:divBdr>
                <w:top w:val="none" w:sz="0" w:space="0" w:color="auto"/>
                <w:left w:val="none" w:sz="0" w:space="0" w:color="auto"/>
                <w:bottom w:val="none" w:sz="0" w:space="0" w:color="auto"/>
                <w:right w:val="none" w:sz="0" w:space="0" w:color="auto"/>
              </w:divBdr>
              <w:divsChild>
                <w:div w:id="1539270217">
                  <w:marLeft w:val="0"/>
                  <w:marRight w:val="0"/>
                  <w:marTop w:val="0"/>
                  <w:marBottom w:val="0"/>
                  <w:divBdr>
                    <w:top w:val="none" w:sz="0" w:space="0" w:color="auto"/>
                    <w:left w:val="none" w:sz="0" w:space="0" w:color="auto"/>
                    <w:bottom w:val="none" w:sz="0" w:space="0" w:color="auto"/>
                    <w:right w:val="none" w:sz="0" w:space="0" w:color="auto"/>
                  </w:divBdr>
                  <w:divsChild>
                    <w:div w:id="1913470759">
                      <w:marLeft w:val="0"/>
                      <w:marRight w:val="0"/>
                      <w:marTop w:val="0"/>
                      <w:marBottom w:val="0"/>
                      <w:divBdr>
                        <w:top w:val="none" w:sz="0" w:space="0" w:color="auto"/>
                        <w:left w:val="none" w:sz="0" w:space="0" w:color="auto"/>
                        <w:bottom w:val="none" w:sz="0" w:space="0" w:color="auto"/>
                        <w:right w:val="none" w:sz="0" w:space="0" w:color="auto"/>
                      </w:divBdr>
                      <w:divsChild>
                        <w:div w:id="454560655">
                          <w:marLeft w:val="0"/>
                          <w:marRight w:val="0"/>
                          <w:marTop w:val="0"/>
                          <w:marBottom w:val="0"/>
                          <w:divBdr>
                            <w:top w:val="none" w:sz="0" w:space="0" w:color="auto"/>
                            <w:left w:val="none" w:sz="0" w:space="0" w:color="auto"/>
                            <w:bottom w:val="none" w:sz="0" w:space="0" w:color="auto"/>
                            <w:right w:val="none" w:sz="0" w:space="0" w:color="auto"/>
                          </w:divBdr>
                          <w:divsChild>
                            <w:div w:id="986591359">
                              <w:marLeft w:val="0"/>
                              <w:marRight w:val="0"/>
                              <w:marTop w:val="0"/>
                              <w:marBottom w:val="0"/>
                              <w:divBdr>
                                <w:top w:val="none" w:sz="0" w:space="0" w:color="auto"/>
                                <w:left w:val="none" w:sz="0" w:space="0" w:color="auto"/>
                                <w:bottom w:val="none" w:sz="0" w:space="0" w:color="auto"/>
                                <w:right w:val="none" w:sz="0" w:space="0" w:color="auto"/>
                              </w:divBdr>
                              <w:divsChild>
                                <w:div w:id="2697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411480">
      <w:bodyDiv w:val="1"/>
      <w:marLeft w:val="0"/>
      <w:marRight w:val="0"/>
      <w:marTop w:val="0"/>
      <w:marBottom w:val="0"/>
      <w:divBdr>
        <w:top w:val="none" w:sz="0" w:space="0" w:color="auto"/>
        <w:left w:val="none" w:sz="0" w:space="0" w:color="auto"/>
        <w:bottom w:val="none" w:sz="0" w:space="0" w:color="auto"/>
        <w:right w:val="none" w:sz="0" w:space="0" w:color="auto"/>
      </w:divBdr>
      <w:divsChild>
        <w:div w:id="1083331629">
          <w:marLeft w:val="0"/>
          <w:marRight w:val="0"/>
          <w:marTop w:val="0"/>
          <w:marBottom w:val="0"/>
          <w:divBdr>
            <w:top w:val="none" w:sz="0" w:space="0" w:color="auto"/>
            <w:left w:val="none" w:sz="0" w:space="0" w:color="auto"/>
            <w:bottom w:val="none" w:sz="0" w:space="0" w:color="auto"/>
            <w:right w:val="none" w:sz="0" w:space="0" w:color="auto"/>
          </w:divBdr>
          <w:divsChild>
            <w:div w:id="1779987015">
              <w:marLeft w:val="0"/>
              <w:marRight w:val="0"/>
              <w:marTop w:val="0"/>
              <w:marBottom w:val="0"/>
              <w:divBdr>
                <w:top w:val="none" w:sz="0" w:space="0" w:color="auto"/>
                <w:left w:val="none" w:sz="0" w:space="0" w:color="auto"/>
                <w:bottom w:val="none" w:sz="0" w:space="0" w:color="auto"/>
                <w:right w:val="none" w:sz="0" w:space="0" w:color="auto"/>
              </w:divBdr>
              <w:divsChild>
                <w:div w:id="1111625445">
                  <w:marLeft w:val="0"/>
                  <w:marRight w:val="0"/>
                  <w:marTop w:val="0"/>
                  <w:marBottom w:val="0"/>
                  <w:divBdr>
                    <w:top w:val="none" w:sz="0" w:space="0" w:color="auto"/>
                    <w:left w:val="none" w:sz="0" w:space="0" w:color="auto"/>
                    <w:bottom w:val="none" w:sz="0" w:space="0" w:color="auto"/>
                    <w:right w:val="none" w:sz="0" w:space="0" w:color="auto"/>
                  </w:divBdr>
                  <w:divsChild>
                    <w:div w:id="205485666">
                      <w:marLeft w:val="0"/>
                      <w:marRight w:val="0"/>
                      <w:marTop w:val="0"/>
                      <w:marBottom w:val="0"/>
                      <w:divBdr>
                        <w:top w:val="none" w:sz="0" w:space="0" w:color="auto"/>
                        <w:left w:val="none" w:sz="0" w:space="0" w:color="auto"/>
                        <w:bottom w:val="none" w:sz="0" w:space="0" w:color="auto"/>
                        <w:right w:val="none" w:sz="0" w:space="0" w:color="auto"/>
                      </w:divBdr>
                      <w:divsChild>
                        <w:div w:id="893125215">
                          <w:marLeft w:val="0"/>
                          <w:marRight w:val="0"/>
                          <w:marTop w:val="0"/>
                          <w:marBottom w:val="0"/>
                          <w:divBdr>
                            <w:top w:val="none" w:sz="0" w:space="0" w:color="auto"/>
                            <w:left w:val="none" w:sz="0" w:space="0" w:color="auto"/>
                            <w:bottom w:val="none" w:sz="0" w:space="0" w:color="auto"/>
                            <w:right w:val="none" w:sz="0" w:space="0" w:color="auto"/>
                          </w:divBdr>
                          <w:divsChild>
                            <w:div w:id="1714842760">
                              <w:marLeft w:val="0"/>
                              <w:marRight w:val="0"/>
                              <w:marTop w:val="0"/>
                              <w:marBottom w:val="0"/>
                              <w:divBdr>
                                <w:top w:val="none" w:sz="0" w:space="0" w:color="auto"/>
                                <w:left w:val="none" w:sz="0" w:space="0" w:color="auto"/>
                                <w:bottom w:val="none" w:sz="0" w:space="0" w:color="auto"/>
                                <w:right w:val="none" w:sz="0" w:space="0" w:color="auto"/>
                              </w:divBdr>
                              <w:divsChild>
                                <w:div w:id="1333487976">
                                  <w:marLeft w:val="0"/>
                                  <w:marRight w:val="0"/>
                                  <w:marTop w:val="0"/>
                                  <w:marBottom w:val="0"/>
                                  <w:divBdr>
                                    <w:top w:val="none" w:sz="0" w:space="0" w:color="auto"/>
                                    <w:left w:val="none" w:sz="0" w:space="0" w:color="auto"/>
                                    <w:bottom w:val="none" w:sz="0" w:space="0" w:color="auto"/>
                                    <w:right w:val="none" w:sz="0" w:space="0" w:color="auto"/>
                                  </w:divBdr>
                                  <w:divsChild>
                                    <w:div w:id="9410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84177">
          <w:marLeft w:val="0"/>
          <w:marRight w:val="0"/>
          <w:marTop w:val="0"/>
          <w:marBottom w:val="0"/>
          <w:divBdr>
            <w:top w:val="none" w:sz="0" w:space="0" w:color="auto"/>
            <w:left w:val="none" w:sz="0" w:space="0" w:color="auto"/>
            <w:bottom w:val="none" w:sz="0" w:space="0" w:color="auto"/>
            <w:right w:val="none" w:sz="0" w:space="0" w:color="auto"/>
          </w:divBdr>
          <w:divsChild>
            <w:div w:id="76178200">
              <w:marLeft w:val="0"/>
              <w:marRight w:val="0"/>
              <w:marTop w:val="0"/>
              <w:marBottom w:val="0"/>
              <w:divBdr>
                <w:top w:val="none" w:sz="0" w:space="0" w:color="auto"/>
                <w:left w:val="none" w:sz="0" w:space="0" w:color="auto"/>
                <w:bottom w:val="none" w:sz="0" w:space="0" w:color="auto"/>
                <w:right w:val="none" w:sz="0" w:space="0" w:color="auto"/>
              </w:divBdr>
              <w:divsChild>
                <w:div w:id="623538197">
                  <w:marLeft w:val="0"/>
                  <w:marRight w:val="0"/>
                  <w:marTop w:val="0"/>
                  <w:marBottom w:val="0"/>
                  <w:divBdr>
                    <w:top w:val="none" w:sz="0" w:space="0" w:color="auto"/>
                    <w:left w:val="none" w:sz="0" w:space="0" w:color="auto"/>
                    <w:bottom w:val="none" w:sz="0" w:space="0" w:color="auto"/>
                    <w:right w:val="none" w:sz="0" w:space="0" w:color="auto"/>
                  </w:divBdr>
                  <w:divsChild>
                    <w:div w:id="340592158">
                      <w:marLeft w:val="0"/>
                      <w:marRight w:val="0"/>
                      <w:marTop w:val="0"/>
                      <w:marBottom w:val="0"/>
                      <w:divBdr>
                        <w:top w:val="none" w:sz="0" w:space="0" w:color="auto"/>
                        <w:left w:val="none" w:sz="0" w:space="0" w:color="auto"/>
                        <w:bottom w:val="none" w:sz="0" w:space="0" w:color="auto"/>
                        <w:right w:val="none" w:sz="0" w:space="0" w:color="auto"/>
                      </w:divBdr>
                      <w:divsChild>
                        <w:div w:id="1857421342">
                          <w:marLeft w:val="0"/>
                          <w:marRight w:val="0"/>
                          <w:marTop w:val="0"/>
                          <w:marBottom w:val="0"/>
                          <w:divBdr>
                            <w:top w:val="none" w:sz="0" w:space="0" w:color="auto"/>
                            <w:left w:val="none" w:sz="0" w:space="0" w:color="auto"/>
                            <w:bottom w:val="none" w:sz="0" w:space="0" w:color="auto"/>
                            <w:right w:val="none" w:sz="0" w:space="0" w:color="auto"/>
                          </w:divBdr>
                          <w:divsChild>
                            <w:div w:id="63384218">
                              <w:marLeft w:val="0"/>
                              <w:marRight w:val="0"/>
                              <w:marTop w:val="0"/>
                              <w:marBottom w:val="0"/>
                              <w:divBdr>
                                <w:top w:val="none" w:sz="0" w:space="0" w:color="auto"/>
                                <w:left w:val="none" w:sz="0" w:space="0" w:color="auto"/>
                                <w:bottom w:val="none" w:sz="0" w:space="0" w:color="auto"/>
                                <w:right w:val="none" w:sz="0" w:space="0" w:color="auto"/>
                              </w:divBdr>
                              <w:divsChild>
                                <w:div w:id="1714112472">
                                  <w:marLeft w:val="0"/>
                                  <w:marRight w:val="0"/>
                                  <w:marTop w:val="0"/>
                                  <w:marBottom w:val="0"/>
                                  <w:divBdr>
                                    <w:top w:val="none" w:sz="0" w:space="0" w:color="auto"/>
                                    <w:left w:val="none" w:sz="0" w:space="0" w:color="auto"/>
                                    <w:bottom w:val="none" w:sz="0" w:space="0" w:color="auto"/>
                                    <w:right w:val="none" w:sz="0" w:space="0" w:color="auto"/>
                                  </w:divBdr>
                                  <w:divsChild>
                                    <w:div w:id="1780293497">
                                      <w:marLeft w:val="0"/>
                                      <w:marRight w:val="0"/>
                                      <w:marTop w:val="0"/>
                                      <w:marBottom w:val="0"/>
                                      <w:divBdr>
                                        <w:top w:val="none" w:sz="0" w:space="0" w:color="auto"/>
                                        <w:left w:val="none" w:sz="0" w:space="0" w:color="auto"/>
                                        <w:bottom w:val="none" w:sz="0" w:space="0" w:color="auto"/>
                                        <w:right w:val="none" w:sz="0" w:space="0" w:color="auto"/>
                                      </w:divBdr>
                                      <w:divsChild>
                                        <w:div w:id="426388152">
                                          <w:marLeft w:val="0"/>
                                          <w:marRight w:val="0"/>
                                          <w:marTop w:val="0"/>
                                          <w:marBottom w:val="0"/>
                                          <w:divBdr>
                                            <w:top w:val="none" w:sz="0" w:space="0" w:color="auto"/>
                                            <w:left w:val="none" w:sz="0" w:space="0" w:color="auto"/>
                                            <w:bottom w:val="none" w:sz="0" w:space="0" w:color="auto"/>
                                            <w:right w:val="none" w:sz="0" w:space="0" w:color="auto"/>
                                          </w:divBdr>
                                          <w:divsChild>
                                            <w:div w:id="117574444">
                                              <w:marLeft w:val="0"/>
                                              <w:marRight w:val="0"/>
                                              <w:marTop w:val="0"/>
                                              <w:marBottom w:val="0"/>
                                              <w:divBdr>
                                                <w:top w:val="none" w:sz="0" w:space="0" w:color="auto"/>
                                                <w:left w:val="none" w:sz="0" w:space="0" w:color="auto"/>
                                                <w:bottom w:val="none" w:sz="0" w:space="0" w:color="auto"/>
                                                <w:right w:val="none" w:sz="0" w:space="0" w:color="auto"/>
                                              </w:divBdr>
                                              <w:divsChild>
                                                <w:div w:id="1570383298">
                                                  <w:marLeft w:val="0"/>
                                                  <w:marRight w:val="0"/>
                                                  <w:marTop w:val="0"/>
                                                  <w:marBottom w:val="0"/>
                                                  <w:divBdr>
                                                    <w:top w:val="none" w:sz="0" w:space="0" w:color="auto"/>
                                                    <w:left w:val="none" w:sz="0" w:space="0" w:color="auto"/>
                                                    <w:bottom w:val="none" w:sz="0" w:space="0" w:color="auto"/>
                                                    <w:right w:val="none" w:sz="0" w:space="0" w:color="auto"/>
                                                  </w:divBdr>
                                                  <w:divsChild>
                                                    <w:div w:id="1693608626">
                                                      <w:marLeft w:val="0"/>
                                                      <w:marRight w:val="0"/>
                                                      <w:marTop w:val="0"/>
                                                      <w:marBottom w:val="0"/>
                                                      <w:divBdr>
                                                        <w:top w:val="none" w:sz="0" w:space="0" w:color="auto"/>
                                                        <w:left w:val="none" w:sz="0" w:space="0" w:color="auto"/>
                                                        <w:bottom w:val="none" w:sz="0" w:space="0" w:color="auto"/>
                                                        <w:right w:val="none" w:sz="0" w:space="0" w:color="auto"/>
                                                      </w:divBdr>
                                                      <w:divsChild>
                                                        <w:div w:id="1237788834">
                                                          <w:marLeft w:val="0"/>
                                                          <w:marRight w:val="0"/>
                                                          <w:marTop w:val="0"/>
                                                          <w:marBottom w:val="0"/>
                                                          <w:divBdr>
                                                            <w:top w:val="none" w:sz="0" w:space="0" w:color="auto"/>
                                                            <w:left w:val="none" w:sz="0" w:space="0" w:color="auto"/>
                                                            <w:bottom w:val="none" w:sz="0" w:space="0" w:color="auto"/>
                                                            <w:right w:val="none" w:sz="0" w:space="0" w:color="auto"/>
                                                          </w:divBdr>
                                                          <w:divsChild>
                                                            <w:div w:id="1936743411">
                                                              <w:marLeft w:val="0"/>
                                                              <w:marRight w:val="0"/>
                                                              <w:marTop w:val="0"/>
                                                              <w:marBottom w:val="0"/>
                                                              <w:divBdr>
                                                                <w:top w:val="none" w:sz="0" w:space="0" w:color="auto"/>
                                                                <w:left w:val="none" w:sz="0" w:space="0" w:color="auto"/>
                                                                <w:bottom w:val="none" w:sz="0" w:space="0" w:color="auto"/>
                                                                <w:right w:val="none" w:sz="0" w:space="0" w:color="auto"/>
                                                              </w:divBdr>
                                                              <w:divsChild>
                                                                <w:div w:id="1954703764">
                                                                  <w:marLeft w:val="0"/>
                                                                  <w:marRight w:val="0"/>
                                                                  <w:marTop w:val="0"/>
                                                                  <w:marBottom w:val="0"/>
                                                                  <w:divBdr>
                                                                    <w:top w:val="none" w:sz="0" w:space="0" w:color="auto"/>
                                                                    <w:left w:val="none" w:sz="0" w:space="0" w:color="auto"/>
                                                                    <w:bottom w:val="none" w:sz="0" w:space="0" w:color="auto"/>
                                                                    <w:right w:val="none" w:sz="0" w:space="0" w:color="auto"/>
                                                                  </w:divBdr>
                                                                  <w:divsChild>
                                                                    <w:div w:id="17012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623">
                                                              <w:marLeft w:val="0"/>
                                                              <w:marRight w:val="0"/>
                                                              <w:marTop w:val="0"/>
                                                              <w:marBottom w:val="0"/>
                                                              <w:divBdr>
                                                                <w:top w:val="none" w:sz="0" w:space="0" w:color="auto"/>
                                                                <w:left w:val="none" w:sz="0" w:space="0" w:color="auto"/>
                                                                <w:bottom w:val="none" w:sz="0" w:space="0" w:color="auto"/>
                                                                <w:right w:val="none" w:sz="0" w:space="0" w:color="auto"/>
                                                              </w:divBdr>
                                                              <w:divsChild>
                                                                <w:div w:id="816802366">
                                                                  <w:marLeft w:val="0"/>
                                                                  <w:marRight w:val="0"/>
                                                                  <w:marTop w:val="0"/>
                                                                  <w:marBottom w:val="0"/>
                                                                  <w:divBdr>
                                                                    <w:top w:val="none" w:sz="0" w:space="0" w:color="auto"/>
                                                                    <w:left w:val="none" w:sz="0" w:space="0" w:color="auto"/>
                                                                    <w:bottom w:val="none" w:sz="0" w:space="0" w:color="auto"/>
                                                                    <w:right w:val="none" w:sz="0" w:space="0" w:color="auto"/>
                                                                  </w:divBdr>
                                                                  <w:divsChild>
                                                                    <w:div w:id="367293453">
                                                                      <w:marLeft w:val="0"/>
                                                                      <w:marRight w:val="0"/>
                                                                      <w:marTop w:val="0"/>
                                                                      <w:marBottom w:val="0"/>
                                                                      <w:divBdr>
                                                                        <w:top w:val="none" w:sz="0" w:space="0" w:color="auto"/>
                                                                        <w:left w:val="none" w:sz="0" w:space="0" w:color="auto"/>
                                                                        <w:bottom w:val="none" w:sz="0" w:space="0" w:color="auto"/>
                                                                        <w:right w:val="none" w:sz="0" w:space="0" w:color="auto"/>
                                                                      </w:divBdr>
                                                                      <w:divsChild>
                                                                        <w:div w:id="4643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025817">
                                  <w:marLeft w:val="0"/>
                                  <w:marRight w:val="0"/>
                                  <w:marTop w:val="0"/>
                                  <w:marBottom w:val="0"/>
                                  <w:divBdr>
                                    <w:top w:val="none" w:sz="0" w:space="0" w:color="auto"/>
                                    <w:left w:val="none" w:sz="0" w:space="0" w:color="auto"/>
                                    <w:bottom w:val="none" w:sz="0" w:space="0" w:color="auto"/>
                                    <w:right w:val="none" w:sz="0" w:space="0" w:color="auto"/>
                                  </w:divBdr>
                                  <w:divsChild>
                                    <w:div w:id="488399517">
                                      <w:marLeft w:val="0"/>
                                      <w:marRight w:val="0"/>
                                      <w:marTop w:val="0"/>
                                      <w:marBottom w:val="0"/>
                                      <w:divBdr>
                                        <w:top w:val="none" w:sz="0" w:space="0" w:color="auto"/>
                                        <w:left w:val="none" w:sz="0" w:space="0" w:color="auto"/>
                                        <w:bottom w:val="none" w:sz="0" w:space="0" w:color="auto"/>
                                        <w:right w:val="none" w:sz="0" w:space="0" w:color="auto"/>
                                      </w:divBdr>
                                      <w:divsChild>
                                        <w:div w:id="553781369">
                                          <w:marLeft w:val="0"/>
                                          <w:marRight w:val="0"/>
                                          <w:marTop w:val="0"/>
                                          <w:marBottom w:val="0"/>
                                          <w:divBdr>
                                            <w:top w:val="none" w:sz="0" w:space="0" w:color="auto"/>
                                            <w:left w:val="none" w:sz="0" w:space="0" w:color="auto"/>
                                            <w:bottom w:val="none" w:sz="0" w:space="0" w:color="auto"/>
                                            <w:right w:val="none" w:sz="0" w:space="0" w:color="auto"/>
                                          </w:divBdr>
                                          <w:divsChild>
                                            <w:div w:id="10945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4197-024-00228-2" TargetMode="External"/><Relationship Id="rId13" Type="http://schemas.openxmlformats.org/officeDocument/2006/relationships/hyperlink" Target="https://doi.org/10.1186/s13104-018-3456-9" TargetMode="External"/><Relationship Id="rId18" Type="http://schemas.openxmlformats.org/officeDocument/2006/relationships/hyperlink" Target="https://doi.org/10.1186/s12865-025-00709-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86/s12936-025-05573-6" TargetMode="External"/><Relationship Id="rId12" Type="http://schemas.openxmlformats.org/officeDocument/2006/relationships/hyperlink" Target="https://doi.org/10.2147/JBM.S419815" TargetMode="External"/><Relationship Id="rId17" Type="http://schemas.openxmlformats.org/officeDocument/2006/relationships/hyperlink" Target="https://doi.org/10.1007/s00404-020-05655-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S2222-1808(13)60010-9" TargetMode="External"/><Relationship Id="rId20" Type="http://schemas.openxmlformats.org/officeDocument/2006/relationships/hyperlink" Target="https://doi.org/10.1046/j.1365-2249.1998.00586.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imr.1283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103/jfmpc.jfmpc_295_1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89/fimmu.2018.03006" TargetMode="External"/><Relationship Id="rId19" Type="http://schemas.openxmlformats.org/officeDocument/2006/relationships/hyperlink" Target="https://doi.org/10.3389/fimmu.2018.03005" TargetMode="External"/><Relationship Id="rId4" Type="http://schemas.openxmlformats.org/officeDocument/2006/relationships/webSettings" Target="webSettings.xml"/><Relationship Id="rId9" Type="http://schemas.openxmlformats.org/officeDocument/2006/relationships/hyperlink" Target="https://doi.org/10.1017/S0031182015000074" TargetMode="External"/><Relationship Id="rId14" Type="http://schemas.openxmlformats.org/officeDocument/2006/relationships/hyperlink" Target="https://doi.org/10.1186/s12936-025-05532-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New 16</cp:lastModifiedBy>
  <cp:revision>20</cp:revision>
  <dcterms:created xsi:type="dcterms:W3CDTF">2026-03-07T14:53:00Z</dcterms:created>
  <dcterms:modified xsi:type="dcterms:W3CDTF">2026-03-19T12:42:00Z</dcterms:modified>
</cp:coreProperties>
</file>