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56AB1" w14:textId="77777777" w:rsidR="00873A5C" w:rsidRPr="004007B2" w:rsidRDefault="008836A0" w:rsidP="008808B4">
      <w:pPr>
        <w:pStyle w:val="Heading3"/>
        <w:rPr>
          <w:rFonts w:ascii="Times New Roman" w:eastAsia="Times New Roman" w:hAnsi="Times New Roman" w:cs="Times New Roman"/>
          <w:noProof/>
          <w:sz w:val="8"/>
        </w:rPr>
      </w:pPr>
      <w:r w:rsidRPr="004007B2">
        <w:rPr>
          <w:rFonts w:ascii="Times New Roman" w:eastAsia="Times New Roman" w:hAnsi="Times New Roman" w:cs="Times New Roman"/>
          <w:noProof/>
        </w:rPr>
        <w:drawing>
          <wp:anchor distT="0" distB="0" distL="114300" distR="114300" simplePos="0" relativeHeight="251683840" behindDoc="1" locked="0" layoutInCell="1" allowOverlap="1" wp14:anchorId="725D684E" wp14:editId="360FD618">
            <wp:simplePos x="0" y="0"/>
            <wp:positionH relativeFrom="column">
              <wp:posOffset>10160</wp:posOffset>
            </wp:positionH>
            <wp:positionV relativeFrom="paragraph">
              <wp:posOffset>-187325</wp:posOffset>
            </wp:positionV>
            <wp:extent cx="711200" cy="1007745"/>
            <wp:effectExtent l="0" t="0" r="0" b="0"/>
            <wp:wrapTight wrapText="bothSides">
              <wp:wrapPolygon edited="0">
                <wp:start x="0" y="0"/>
                <wp:lineTo x="0" y="21233"/>
                <wp:lineTo x="20829" y="21233"/>
                <wp:lineTo x="208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11200" cy="1007745"/>
                    </a:xfrm>
                    <a:prstGeom prst="rect">
                      <a:avLst/>
                    </a:prstGeom>
                    <a:noFill/>
                    <a:ln w="9525">
                      <a:noFill/>
                      <a:miter lim="800000"/>
                      <a:headEnd/>
                      <a:tailEnd/>
                    </a:ln>
                  </pic:spPr>
                </pic:pic>
              </a:graphicData>
            </a:graphic>
            <wp14:sizeRelV relativeFrom="margin">
              <wp14:pctHeight>0</wp14:pctHeight>
            </wp14:sizeRelV>
          </wp:anchor>
        </w:drawing>
      </w:r>
      <w:r w:rsidR="00B00B01" w:rsidRPr="004007B2">
        <w:rPr>
          <w:rFonts w:ascii="Times New Roman" w:eastAsia="Times New Roman" w:hAnsi="Times New Roman" w:cs="Times New Roman"/>
          <w:noProof/>
          <w:lang w:eastAsia="zh-TW"/>
        </w:rPr>
        <w:t>International Journal of Research and Reports in Dentistry</w:t>
      </w:r>
    </w:p>
    <w:p w14:paraId="51AAFF70" w14:textId="77777777" w:rsidR="001A4A55" w:rsidRPr="004007B2" w:rsidRDefault="001A4A55" w:rsidP="001A4A55">
      <w:pPr>
        <w:spacing w:after="0" w:line="240" w:lineRule="auto"/>
        <w:ind w:left="2160"/>
        <w:contextualSpacing/>
        <w:rPr>
          <w:rFonts w:ascii="Times New Roman" w:eastAsia="Times New Roman" w:hAnsi="Times New Roman" w:cs="Times New Roman"/>
          <w:b/>
          <w:i/>
          <w:noProof/>
          <w:sz w:val="24"/>
          <w:szCs w:val="16"/>
          <w:lang w:eastAsia="zh-TW"/>
        </w:rPr>
      </w:pPr>
    </w:p>
    <w:p w14:paraId="28163E56" w14:textId="1BC6B6DF" w:rsidR="00873A5C" w:rsidRPr="004007B2" w:rsidRDefault="00C165F9" w:rsidP="008808B4">
      <w:pPr>
        <w:pStyle w:val="Heading4"/>
        <w:rPr>
          <w:rFonts w:ascii="Times New Roman" w:eastAsia="Times New Roman" w:hAnsi="Times New Roman" w:cs="Times New Roman"/>
        </w:rPr>
      </w:pPr>
      <w:r w:rsidRPr="004007B2">
        <w:rPr>
          <w:rFonts w:ascii="Times New Roman" w:eastAsia="Times New Roman" w:hAnsi="Times New Roman" w:cs="Times New Roman"/>
        </w:rPr>
        <w:t>Volume XXX, Issue XX, Page XX-XX, 20YY</w:t>
      </w:r>
      <w:r w:rsidR="004E094F" w:rsidRPr="004007B2">
        <w:rPr>
          <w:rFonts w:ascii="Times New Roman" w:eastAsia="Times New Roman" w:hAnsi="Times New Roman" w:cs="Times New Roman"/>
        </w:rPr>
        <w:t>;</w:t>
      </w:r>
      <w:r w:rsidR="00873A5C" w:rsidRPr="004007B2">
        <w:rPr>
          <w:rFonts w:ascii="Times New Roman" w:eastAsia="Times New Roman" w:hAnsi="Times New Roman" w:cs="Times New Roman"/>
        </w:rPr>
        <w:t xml:space="preserve"> Article </w:t>
      </w:r>
      <w:proofErr w:type="gramStart"/>
      <w:r w:rsidR="00873A5C" w:rsidRPr="004007B2">
        <w:rPr>
          <w:rFonts w:ascii="Times New Roman" w:eastAsia="Times New Roman" w:hAnsi="Times New Roman" w:cs="Times New Roman"/>
        </w:rPr>
        <w:t>no.</w:t>
      </w:r>
      <w:r w:rsidR="00412C6C" w:rsidRPr="004007B2">
        <w:rPr>
          <w:rFonts w:ascii="Times New Roman" w:eastAsia="Times New Roman" w:hAnsi="Times New Roman" w:cs="Times New Roman"/>
        </w:rPr>
        <w:t>IJRRD</w:t>
      </w:r>
      <w:proofErr w:type="gramEnd"/>
      <w:r w:rsidR="00BE7629" w:rsidRPr="004007B2">
        <w:rPr>
          <w:rFonts w:ascii="Times New Roman" w:eastAsia="Times New Roman" w:hAnsi="Times New Roman" w:cs="Times New Roman"/>
        </w:rPr>
        <w:t>.153077</w:t>
      </w:r>
    </w:p>
    <w:p w14:paraId="78622A21" w14:textId="77777777" w:rsidR="00873A5C" w:rsidRPr="004007B2" w:rsidRDefault="00873A5C" w:rsidP="00EB7881">
      <w:pPr>
        <w:spacing w:after="0" w:line="240" w:lineRule="auto"/>
        <w:ind w:left="2160"/>
        <w:contextualSpacing/>
        <w:rPr>
          <w:rFonts w:ascii="Times New Roman" w:eastAsia="Times New Roman" w:hAnsi="Times New Roman" w:cs="Times New Roman"/>
          <w:b/>
          <w:i/>
          <w:sz w:val="18"/>
          <w:szCs w:val="20"/>
        </w:rPr>
      </w:pPr>
    </w:p>
    <w:p w14:paraId="68F7195D" w14:textId="77777777" w:rsidR="00AA0D41" w:rsidRPr="004007B2" w:rsidRDefault="00AA0D41" w:rsidP="00124A37">
      <w:pPr>
        <w:spacing w:after="0" w:line="240" w:lineRule="auto"/>
        <w:contextualSpacing/>
        <w:jc w:val="center"/>
        <w:rPr>
          <w:rFonts w:ascii="Times New Roman" w:eastAsia="Times New Roman" w:hAnsi="Times New Roman" w:cs="Times New Roman"/>
          <w:b/>
          <w:i/>
          <w:sz w:val="14"/>
          <w:szCs w:val="20"/>
        </w:rPr>
      </w:pPr>
    </w:p>
    <w:p w14:paraId="6A94FBD8" w14:textId="77777777" w:rsidR="001A4A55" w:rsidRPr="004007B2" w:rsidRDefault="001A4A55" w:rsidP="00124A37">
      <w:pPr>
        <w:spacing w:after="0" w:line="240" w:lineRule="auto"/>
        <w:contextualSpacing/>
        <w:jc w:val="center"/>
        <w:rPr>
          <w:rFonts w:ascii="Times New Roman" w:eastAsia="Times New Roman" w:hAnsi="Times New Roman" w:cs="Times New Roman"/>
          <w:b/>
          <w:i/>
          <w:sz w:val="14"/>
          <w:szCs w:val="20"/>
        </w:rPr>
      </w:pPr>
    </w:p>
    <w:p w14:paraId="708E7F5B" w14:textId="77777777" w:rsidR="00873A5C" w:rsidRPr="004007B2" w:rsidRDefault="00000000" w:rsidP="00873A5C">
      <w:pPr>
        <w:spacing w:after="0" w:line="240" w:lineRule="auto"/>
        <w:contextualSpacing/>
        <w:jc w:val="center"/>
        <w:rPr>
          <w:rFonts w:ascii="Times New Roman" w:eastAsia="Times New Roman" w:hAnsi="Times New Roman" w:cs="Times New Roman"/>
          <w:b/>
          <w:bCs/>
          <w:kern w:val="28"/>
          <w:sz w:val="12"/>
          <w:szCs w:val="20"/>
        </w:rPr>
      </w:pPr>
      <w:r w:rsidRPr="004007B2">
        <w:rPr>
          <w:rFonts w:ascii="Times New Roman" w:eastAsia="Times New Roman" w:hAnsi="Times New Roman" w:cs="Times New Roman"/>
          <w:b/>
          <w:bCs/>
          <w:noProof/>
          <w:kern w:val="28"/>
          <w:sz w:val="32"/>
          <w:szCs w:val="20"/>
        </w:rPr>
      </w:r>
      <w:r w:rsidRPr="004007B2">
        <w:rPr>
          <w:rFonts w:ascii="Times New Roman" w:eastAsia="Times New Roman" w:hAnsi="Times New Roman" w:cs="Times New Roman"/>
          <w:b/>
          <w:bCs/>
          <w:noProof/>
          <w:kern w:val="28"/>
          <w:sz w:val="32"/>
          <w:szCs w:val="20"/>
        </w:rPr>
        <w:pict w14:anchorId="34EF31F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79" type="#_x0000_t34" style="width:450.7pt;height:.05pt;visibility:visible;mso-left-percent:-10001;mso-top-percent:-10001;mso-position-horizontal:absolute;mso-position-horizontal-relative:char;mso-position-vertical:absolute;mso-position-vertical-relative:line;mso-left-percent:-10001;mso-top-percent:-10001" adj="10799,-62100000,-2666" strokeweight="1.5pt">
            <o:lock v:ext="edit" aspectratio="t"/>
            <w10:anchorlock/>
          </v:shape>
        </w:pict>
      </w:r>
    </w:p>
    <w:p w14:paraId="25B8C9DC" w14:textId="77777777" w:rsidR="00E531CD" w:rsidRPr="004007B2" w:rsidRDefault="00E531CD" w:rsidP="00BD060A">
      <w:pPr>
        <w:spacing w:after="0" w:line="240" w:lineRule="auto"/>
        <w:contextualSpacing/>
        <w:jc w:val="right"/>
        <w:rPr>
          <w:rFonts w:ascii="Times New Roman" w:eastAsia="Times New Roman" w:hAnsi="Times New Roman" w:cs="Times New Roman"/>
          <w:b/>
          <w:bCs/>
          <w:iCs/>
          <w:kern w:val="28"/>
          <w:sz w:val="20"/>
          <w:szCs w:val="20"/>
        </w:rPr>
      </w:pPr>
    </w:p>
    <w:p w14:paraId="3D24C3E1" w14:textId="0ACB75D8" w:rsidR="003F47A0" w:rsidRPr="004007B2" w:rsidRDefault="00BE7629" w:rsidP="00BE7629">
      <w:pPr>
        <w:pStyle w:val="Heading1"/>
        <w:rPr>
          <w:rFonts w:ascii="Times New Roman" w:eastAsia="Times New Roman" w:hAnsi="Times New Roman" w:cs="Times New Roman"/>
          <w:kern w:val="28"/>
          <w:sz w:val="48"/>
          <w:szCs w:val="48"/>
        </w:rPr>
      </w:pPr>
      <w:r w:rsidRPr="004007B2">
        <w:rPr>
          <w:rFonts w:ascii="Times New Roman" w:eastAsia="Times New Roman" w:hAnsi="Times New Roman" w:cs="Times New Roman"/>
          <w:kern w:val="28"/>
          <w:sz w:val="48"/>
          <w:szCs w:val="48"/>
        </w:rPr>
        <w:t xml:space="preserve">Surgical Management of a Mandibular Odontogenic </w:t>
      </w:r>
      <w:proofErr w:type="spellStart"/>
      <w:r w:rsidRPr="004007B2">
        <w:rPr>
          <w:rFonts w:ascii="Times New Roman" w:eastAsia="Times New Roman" w:hAnsi="Times New Roman" w:cs="Times New Roman"/>
          <w:kern w:val="28"/>
          <w:sz w:val="48"/>
          <w:szCs w:val="48"/>
        </w:rPr>
        <w:t>Keratocyst</w:t>
      </w:r>
      <w:proofErr w:type="spellEnd"/>
      <w:r w:rsidRPr="004007B2">
        <w:rPr>
          <w:rFonts w:ascii="Times New Roman" w:eastAsia="Times New Roman" w:hAnsi="Times New Roman" w:cs="Times New Roman"/>
          <w:kern w:val="28"/>
          <w:sz w:val="48"/>
          <w:szCs w:val="48"/>
        </w:rPr>
        <w:t xml:space="preserve"> Using Enucleation and 5-Fluorouracil: A Case Report</w:t>
      </w:r>
    </w:p>
    <w:p w14:paraId="467B691A" w14:textId="77777777" w:rsidR="003F47A0" w:rsidRPr="004007B2" w:rsidRDefault="003F47A0" w:rsidP="003F47A0">
      <w:pPr>
        <w:spacing w:after="0" w:line="240" w:lineRule="auto"/>
        <w:contextualSpacing/>
        <w:jc w:val="right"/>
        <w:rPr>
          <w:rFonts w:ascii="Times New Roman" w:eastAsia="Times New Roman" w:hAnsi="Times New Roman" w:cs="Times New Roman"/>
          <w:b/>
          <w:bCs/>
          <w:sz w:val="36"/>
          <w:szCs w:val="20"/>
        </w:rPr>
      </w:pPr>
    </w:p>
    <w:p w14:paraId="077BE689" w14:textId="77777777" w:rsidR="003F47A0" w:rsidRPr="004007B2" w:rsidRDefault="003F47A0" w:rsidP="00C165F9">
      <w:pPr>
        <w:spacing w:before="10" w:after="0" w:line="240" w:lineRule="auto"/>
        <w:jc w:val="right"/>
        <w:rPr>
          <w:rFonts w:ascii="Times New Roman" w:eastAsia="Times New Roman" w:hAnsi="Times New Roman" w:cs="Times New Roman"/>
          <w:b/>
          <w:bCs/>
          <w:sz w:val="32"/>
          <w:szCs w:val="32"/>
        </w:rPr>
      </w:pPr>
      <w:r w:rsidRPr="004007B2">
        <w:rPr>
          <w:rFonts w:ascii="Times New Roman" w:eastAsia="Times New Roman" w:hAnsi="Times New Roman" w:cs="Times New Roman"/>
          <w:b/>
          <w:bCs/>
          <w:sz w:val="32"/>
          <w:szCs w:val="32"/>
        </w:rPr>
        <w:t>Authors’ Name……………………………………………………</w:t>
      </w:r>
    </w:p>
    <w:p w14:paraId="3747D250" w14:textId="77777777" w:rsidR="003F47A0" w:rsidRPr="004007B2" w:rsidRDefault="003F47A0" w:rsidP="003F47A0">
      <w:pPr>
        <w:spacing w:after="0" w:line="280" w:lineRule="exact"/>
        <w:jc w:val="right"/>
        <w:rPr>
          <w:rFonts w:ascii="Times New Roman" w:eastAsia="Times New Roman" w:hAnsi="Times New Roman" w:cs="Times New Roman"/>
          <w:b/>
          <w:bCs/>
          <w:sz w:val="24"/>
          <w:szCs w:val="20"/>
        </w:rPr>
      </w:pPr>
    </w:p>
    <w:p w14:paraId="595C17E9" w14:textId="77777777" w:rsidR="003F47A0" w:rsidRPr="004007B2" w:rsidRDefault="003F47A0" w:rsidP="003F47A0">
      <w:pPr>
        <w:spacing w:after="0" w:line="240" w:lineRule="auto"/>
        <w:jc w:val="right"/>
        <w:rPr>
          <w:rFonts w:ascii="Times New Roman" w:eastAsia="Times New Roman" w:hAnsi="Times New Roman" w:cs="Times New Roman"/>
          <w:bCs/>
          <w:i/>
          <w:sz w:val="20"/>
          <w:szCs w:val="20"/>
        </w:rPr>
      </w:pPr>
      <w:r w:rsidRPr="004007B2">
        <w:rPr>
          <w:rFonts w:ascii="Times New Roman" w:eastAsia="Times New Roman" w:hAnsi="Times New Roman" w:cs="Times New Roman"/>
          <w:bCs/>
          <w:i/>
          <w:sz w:val="20"/>
          <w:szCs w:val="20"/>
        </w:rPr>
        <w:t>Affiliations……………………………………………………….………………</w:t>
      </w:r>
    </w:p>
    <w:p w14:paraId="3D0E1F1C" w14:textId="77777777" w:rsidR="00D851AD" w:rsidRPr="004007B2" w:rsidRDefault="00D851AD" w:rsidP="00D851AD">
      <w:pPr>
        <w:spacing w:after="0" w:line="240" w:lineRule="auto"/>
        <w:jc w:val="right"/>
        <w:rPr>
          <w:rFonts w:ascii="Times New Roman" w:eastAsia="Times New Roman" w:hAnsi="Times New Roman" w:cs="Times New Roman"/>
          <w:i/>
          <w:sz w:val="20"/>
          <w:szCs w:val="20"/>
        </w:rPr>
      </w:pPr>
    </w:p>
    <w:p w14:paraId="61CC4A5D" w14:textId="7B51D17B" w:rsidR="00A324F0" w:rsidRPr="004007B2" w:rsidRDefault="00A324F0" w:rsidP="00A324F0">
      <w:pPr>
        <w:spacing w:after="0" w:line="240" w:lineRule="auto"/>
        <w:jc w:val="right"/>
        <w:rPr>
          <w:rFonts w:ascii="Times New Roman" w:eastAsia="Times New Roman" w:hAnsi="Times New Roman" w:cs="Times New Roman"/>
          <w:b/>
          <w:i/>
          <w:color w:val="FF0000"/>
          <w:sz w:val="20"/>
          <w:szCs w:val="20"/>
        </w:rPr>
      </w:pPr>
      <w:r w:rsidRPr="004007B2">
        <w:rPr>
          <w:rFonts w:ascii="Times New Roman" w:eastAsia="Times New Roman" w:hAnsi="Times New Roman" w:cs="Times New Roman"/>
          <w:b/>
          <w:i/>
          <w:sz w:val="20"/>
          <w:szCs w:val="20"/>
        </w:rPr>
        <w:t>Authors’ contributions</w:t>
      </w:r>
    </w:p>
    <w:p w14:paraId="754DBFC7" w14:textId="77777777" w:rsidR="00D851AD" w:rsidRPr="004007B2" w:rsidRDefault="00D851AD" w:rsidP="00D851AD">
      <w:pPr>
        <w:spacing w:after="0" w:line="240" w:lineRule="auto"/>
        <w:jc w:val="right"/>
        <w:rPr>
          <w:rFonts w:ascii="Times New Roman" w:eastAsia="Times New Roman" w:hAnsi="Times New Roman" w:cs="Times New Roman"/>
          <w:b/>
          <w:i/>
          <w:sz w:val="20"/>
          <w:szCs w:val="20"/>
        </w:rPr>
      </w:pPr>
    </w:p>
    <w:p w14:paraId="42C32802" w14:textId="30AE5241" w:rsidR="00A72DD6" w:rsidRPr="004007B2" w:rsidRDefault="00A72DD6" w:rsidP="00A72DD6">
      <w:pPr>
        <w:spacing w:after="0" w:line="240" w:lineRule="auto"/>
        <w:jc w:val="right"/>
        <w:rPr>
          <w:rFonts w:ascii="Times New Roman" w:eastAsia="Times New Roman" w:hAnsi="Times New Roman" w:cs="Times New Roman"/>
          <w:i/>
          <w:sz w:val="20"/>
          <w:szCs w:val="20"/>
        </w:rPr>
      </w:pPr>
      <w:r w:rsidRPr="004007B2">
        <w:rPr>
          <w:rFonts w:ascii="Times New Roman" w:hAnsi="Times New Roman" w:cs="Times New Roman"/>
          <w:i/>
          <w:sz w:val="20"/>
        </w:rPr>
        <w:t>This work was carried out in collaboration among all authors. All authors read and approved the final manuscript.</w:t>
      </w:r>
    </w:p>
    <w:p w14:paraId="53E2B229" w14:textId="77777777" w:rsidR="00D851AD" w:rsidRPr="004007B2" w:rsidRDefault="00D851AD" w:rsidP="00D851AD">
      <w:pPr>
        <w:spacing w:after="0" w:line="240" w:lineRule="auto"/>
        <w:jc w:val="right"/>
        <w:rPr>
          <w:rFonts w:ascii="Times New Roman" w:eastAsia="Times New Roman" w:hAnsi="Times New Roman" w:cs="Times New Roman"/>
          <w:i/>
          <w:sz w:val="20"/>
          <w:szCs w:val="20"/>
        </w:rPr>
      </w:pPr>
    </w:p>
    <w:p w14:paraId="3AD9BC24" w14:textId="77777777" w:rsidR="00D851AD" w:rsidRPr="004007B2" w:rsidRDefault="00D851AD" w:rsidP="00D851AD">
      <w:pPr>
        <w:spacing w:after="0" w:line="240" w:lineRule="auto"/>
        <w:jc w:val="right"/>
        <w:rPr>
          <w:rFonts w:ascii="Times New Roman" w:eastAsia="Times New Roman" w:hAnsi="Times New Roman" w:cs="Times New Roman"/>
          <w:b/>
          <w:i/>
          <w:sz w:val="20"/>
          <w:szCs w:val="20"/>
        </w:rPr>
      </w:pPr>
      <w:r w:rsidRPr="004007B2">
        <w:rPr>
          <w:rFonts w:ascii="Times New Roman" w:eastAsia="Times New Roman" w:hAnsi="Times New Roman" w:cs="Times New Roman"/>
          <w:b/>
          <w:i/>
          <w:sz w:val="20"/>
          <w:szCs w:val="20"/>
        </w:rPr>
        <w:t>Article Information</w:t>
      </w:r>
    </w:p>
    <w:p w14:paraId="4E138479" w14:textId="77777777" w:rsidR="00D851AD" w:rsidRPr="004007B2" w:rsidRDefault="00D851AD" w:rsidP="00D851AD">
      <w:pPr>
        <w:spacing w:after="0" w:line="240" w:lineRule="auto"/>
        <w:jc w:val="right"/>
        <w:rPr>
          <w:rFonts w:ascii="Times New Roman" w:eastAsia="Times New Roman" w:hAnsi="Times New Roman" w:cs="Times New Roman"/>
          <w:b/>
          <w:sz w:val="16"/>
          <w:szCs w:val="20"/>
        </w:rPr>
      </w:pPr>
    </w:p>
    <w:p w14:paraId="2275F92E" w14:textId="734A5911" w:rsidR="00E24690" w:rsidRPr="004007B2" w:rsidRDefault="00E24690" w:rsidP="00D851AD">
      <w:pPr>
        <w:spacing w:after="0" w:line="240" w:lineRule="auto"/>
        <w:jc w:val="right"/>
        <w:rPr>
          <w:rFonts w:ascii="Times New Roman" w:eastAsia="Times New Roman" w:hAnsi="Times New Roman" w:cs="Times New Roman"/>
          <w:b/>
          <w:sz w:val="16"/>
          <w:szCs w:val="20"/>
        </w:rPr>
      </w:pPr>
      <w:r w:rsidRPr="004007B2">
        <w:rPr>
          <w:rFonts w:ascii="Times New Roman" w:eastAsia="Times New Roman" w:hAnsi="Times New Roman" w:cs="Times New Roman"/>
          <w:sz w:val="16"/>
          <w:szCs w:val="16"/>
        </w:rPr>
        <w:t>DOI: 10.9734/IJRRD/202</w:t>
      </w:r>
      <w:r w:rsidR="00DD7A07" w:rsidRPr="004007B2">
        <w:rPr>
          <w:rFonts w:ascii="Times New Roman" w:eastAsia="Times New Roman" w:hAnsi="Times New Roman" w:cs="Times New Roman"/>
          <w:sz w:val="16"/>
          <w:szCs w:val="16"/>
        </w:rPr>
        <w:t>6</w:t>
      </w:r>
      <w:r w:rsidRPr="004007B2">
        <w:rPr>
          <w:rFonts w:ascii="Times New Roman" w:eastAsia="Times New Roman" w:hAnsi="Times New Roman" w:cs="Times New Roman"/>
          <w:sz w:val="16"/>
          <w:szCs w:val="16"/>
        </w:rPr>
        <w:t>/XXXXX</w:t>
      </w:r>
    </w:p>
    <w:p w14:paraId="4BC4133E" w14:textId="77777777" w:rsidR="00E24690" w:rsidRPr="004007B2" w:rsidRDefault="00E24690" w:rsidP="00D851AD">
      <w:pPr>
        <w:spacing w:after="0" w:line="240" w:lineRule="auto"/>
        <w:jc w:val="right"/>
        <w:rPr>
          <w:rFonts w:ascii="Times New Roman" w:eastAsia="Times New Roman" w:hAnsi="Times New Roman" w:cs="Times New Roman"/>
          <w:b/>
          <w:sz w:val="16"/>
          <w:szCs w:val="20"/>
        </w:rPr>
      </w:pPr>
    </w:p>
    <w:p w14:paraId="5DCDF62A" w14:textId="77777777" w:rsidR="009F76E2" w:rsidRPr="004007B2" w:rsidRDefault="009F76E2" w:rsidP="009F76E2">
      <w:pPr>
        <w:spacing w:after="0" w:line="240" w:lineRule="auto"/>
        <w:jc w:val="right"/>
        <w:rPr>
          <w:rFonts w:ascii="Times New Roman" w:eastAsia="Times New Roman" w:hAnsi="Times New Roman" w:cs="Times New Roman"/>
          <w:b/>
          <w:sz w:val="16"/>
          <w:szCs w:val="16"/>
        </w:rPr>
      </w:pPr>
      <w:r w:rsidRPr="004007B2">
        <w:rPr>
          <w:rFonts w:ascii="Times New Roman" w:eastAsia="Times New Roman" w:hAnsi="Times New Roman" w:cs="Times New Roman"/>
          <w:b/>
          <w:sz w:val="16"/>
          <w:szCs w:val="16"/>
        </w:rPr>
        <w:t>Open Peer Review History:</w:t>
      </w:r>
    </w:p>
    <w:p w14:paraId="41698BCA" w14:textId="77777777" w:rsidR="009F76E2" w:rsidRPr="004007B2" w:rsidRDefault="009F76E2" w:rsidP="009F76E2">
      <w:pPr>
        <w:spacing w:after="0" w:line="240" w:lineRule="auto"/>
        <w:jc w:val="right"/>
        <w:rPr>
          <w:rFonts w:ascii="Times New Roman" w:eastAsia="Times New Roman" w:hAnsi="Times New Roman" w:cs="Times New Roman"/>
          <w:sz w:val="16"/>
          <w:szCs w:val="16"/>
        </w:rPr>
      </w:pPr>
      <w:r w:rsidRPr="004007B2">
        <w:rPr>
          <w:rFonts w:ascii="Times New Roman" w:eastAsia="Times New Roman" w:hAnsi="Times New Roman" w:cs="Times New Roman"/>
          <w:sz w:val="16"/>
          <w:szCs w:val="16"/>
        </w:rPr>
        <w:t xml:space="preserve">This journal follows the Advanced Open Peer Review policy. Identity of the Reviewers, Editor(s) and additional </w:t>
      </w:r>
      <w:proofErr w:type="gramStart"/>
      <w:r w:rsidRPr="004007B2">
        <w:rPr>
          <w:rFonts w:ascii="Times New Roman" w:eastAsia="Times New Roman" w:hAnsi="Times New Roman" w:cs="Times New Roman"/>
          <w:sz w:val="16"/>
          <w:szCs w:val="16"/>
        </w:rPr>
        <w:t>Reviewers,  peer</w:t>
      </w:r>
      <w:proofErr w:type="gramEnd"/>
      <w:r w:rsidRPr="004007B2">
        <w:rPr>
          <w:rFonts w:ascii="Times New Roman" w:eastAsia="Times New Roman" w:hAnsi="Times New Roman" w:cs="Times New Roman"/>
          <w:sz w:val="16"/>
          <w:szCs w:val="16"/>
        </w:rPr>
        <w:t xml:space="preserve"> review comments, different versions of the manuscript, comments of the editors, </w:t>
      </w:r>
      <w:proofErr w:type="spellStart"/>
      <w:r w:rsidRPr="004007B2">
        <w:rPr>
          <w:rFonts w:ascii="Times New Roman" w:eastAsia="Times New Roman" w:hAnsi="Times New Roman" w:cs="Times New Roman"/>
          <w:sz w:val="16"/>
          <w:szCs w:val="16"/>
        </w:rPr>
        <w:t>etc</w:t>
      </w:r>
      <w:proofErr w:type="spellEnd"/>
      <w:r w:rsidRPr="004007B2">
        <w:rPr>
          <w:rFonts w:ascii="Times New Roman" w:eastAsia="Times New Roman" w:hAnsi="Times New Roman" w:cs="Times New Roman"/>
          <w:sz w:val="16"/>
          <w:szCs w:val="16"/>
        </w:rPr>
        <w:t xml:space="preserve"> are available here:</w:t>
      </w:r>
    </w:p>
    <w:p w14:paraId="092498C1" w14:textId="77777777" w:rsidR="00BD060A" w:rsidRPr="004007B2" w:rsidRDefault="00BD060A" w:rsidP="002D6E70">
      <w:pPr>
        <w:keepNext/>
        <w:spacing w:after="0" w:line="240" w:lineRule="auto"/>
        <w:contextualSpacing/>
        <w:jc w:val="right"/>
        <w:rPr>
          <w:rFonts w:ascii="Times New Roman" w:eastAsia="Times New Roman" w:hAnsi="Times New Roman" w:cs="Times New Roman"/>
          <w:sz w:val="16"/>
          <w:szCs w:val="20"/>
        </w:rPr>
      </w:pPr>
    </w:p>
    <w:p w14:paraId="43D7AA9C" w14:textId="77777777" w:rsidR="00D851AD" w:rsidRPr="004007B2" w:rsidRDefault="00D851AD" w:rsidP="002D6E70">
      <w:pPr>
        <w:keepNext/>
        <w:spacing w:after="0" w:line="240" w:lineRule="auto"/>
        <w:contextualSpacing/>
        <w:jc w:val="right"/>
        <w:rPr>
          <w:rFonts w:ascii="Times New Roman" w:eastAsia="Times New Roman" w:hAnsi="Times New Roman" w:cs="Times New Roman"/>
          <w:sz w:val="20"/>
          <w:szCs w:val="20"/>
        </w:rPr>
      </w:pPr>
    </w:p>
    <w:p w14:paraId="43B8FBE9" w14:textId="77777777" w:rsidR="00BD060A" w:rsidRPr="004007B2" w:rsidRDefault="00BD060A" w:rsidP="00BD060A">
      <w:pPr>
        <w:spacing w:after="0" w:line="240" w:lineRule="auto"/>
        <w:contextualSpacing/>
        <w:jc w:val="right"/>
        <w:rPr>
          <w:rFonts w:ascii="Times New Roman" w:eastAsia="Times New Roman" w:hAnsi="Times New Roman" w:cs="Times New Roman"/>
          <w:bCs/>
          <w:iCs/>
          <w:sz w:val="20"/>
          <w:szCs w:val="20"/>
        </w:rPr>
      </w:pPr>
    </w:p>
    <w:p w14:paraId="1709379B" w14:textId="1E0B7380" w:rsidR="00BD060A" w:rsidRPr="004007B2" w:rsidRDefault="00000000" w:rsidP="004C3267">
      <w:pPr>
        <w:autoSpaceDE w:val="0"/>
        <w:autoSpaceDN w:val="0"/>
        <w:adjustRightInd w:val="0"/>
        <w:spacing w:after="0" w:line="240" w:lineRule="auto"/>
        <w:contextualSpacing/>
        <w:jc w:val="right"/>
        <w:rPr>
          <w:rFonts w:ascii="Times New Roman" w:eastAsia="Times New Roman" w:hAnsi="Times New Roman" w:cs="Times New Roman"/>
          <w:b/>
          <w:i/>
          <w:sz w:val="20"/>
          <w:szCs w:val="16"/>
        </w:rPr>
      </w:pPr>
      <w:r w:rsidRPr="004007B2">
        <w:rPr>
          <w:rFonts w:ascii="Times New Roman" w:eastAsia="Times New Roman" w:hAnsi="Times New Roman" w:cs="Times New Roman"/>
          <w:b/>
          <w:i/>
          <w:noProof/>
          <w:sz w:val="20"/>
          <w:szCs w:val="20"/>
        </w:rPr>
        <w:pict w14:anchorId="575DBE4E">
          <v:rect id="_x0000_s2077" style="position:absolute;left:0;text-align:left;margin-left:.55pt;margin-top:3.35pt;width:137.6pt;height:18.65pt;z-index:251666432;mso-position-horizontal-relative:text;mso-position-vertical-relative:text">
            <v:textbox style="mso-next-textbox:#_x0000_s2077" inset=",2.16pt,,2.16pt">
              <w:txbxContent>
                <w:p w14:paraId="76A5F0F5" w14:textId="77777777" w:rsidR="00682F1A" w:rsidRPr="005F1FB4" w:rsidRDefault="00682F1A" w:rsidP="00682F1A">
                  <w:pPr>
                    <w:jc w:val="center"/>
                    <w:rPr>
                      <w:rFonts w:ascii="Times New Roman" w:hAnsi="Times New Roman" w:cs="Times New Roman"/>
                      <w:b/>
                      <w:i/>
                      <w:sz w:val="20"/>
                    </w:rPr>
                  </w:pPr>
                  <w:r w:rsidRPr="005F1FB4">
                    <w:rPr>
                      <w:rFonts w:ascii="Times New Roman" w:hAnsi="Times New Roman" w:cs="Times New Roman"/>
                      <w:b/>
                      <w:i/>
                      <w:sz w:val="20"/>
                    </w:rPr>
                    <w:t>………… Article</w:t>
                  </w:r>
                </w:p>
              </w:txbxContent>
            </v:textbox>
          </v:rect>
        </w:pict>
      </w:r>
      <w:r w:rsidR="00BD060A" w:rsidRPr="004007B2">
        <w:rPr>
          <w:rFonts w:ascii="Times New Roman" w:eastAsia="Times New Roman" w:hAnsi="Times New Roman" w:cs="Times New Roman"/>
          <w:b/>
          <w:i/>
          <w:sz w:val="20"/>
          <w:szCs w:val="16"/>
        </w:rPr>
        <w:t>Received</w:t>
      </w:r>
      <w:r w:rsidR="00C165F9" w:rsidRPr="004007B2">
        <w:rPr>
          <w:rFonts w:ascii="Times New Roman" w:eastAsia="Times New Roman" w:hAnsi="Times New Roman" w:cs="Times New Roman"/>
          <w:b/>
          <w:i/>
          <w:sz w:val="20"/>
          <w:szCs w:val="16"/>
        </w:rPr>
        <w:t>:</w:t>
      </w:r>
      <w:r w:rsidR="00BD060A" w:rsidRPr="004007B2">
        <w:rPr>
          <w:rFonts w:ascii="Times New Roman" w:eastAsia="Times New Roman" w:hAnsi="Times New Roman" w:cs="Times New Roman"/>
          <w:b/>
          <w:i/>
          <w:sz w:val="20"/>
          <w:szCs w:val="16"/>
        </w:rPr>
        <w:t xml:space="preserve"> </w:t>
      </w:r>
      <w:r w:rsidR="004719C4" w:rsidRPr="004007B2">
        <w:rPr>
          <w:rFonts w:ascii="Times New Roman" w:eastAsia="Times New Roman" w:hAnsi="Times New Roman" w:cs="Times New Roman"/>
          <w:b/>
          <w:i/>
          <w:sz w:val="20"/>
          <w:szCs w:val="16"/>
        </w:rPr>
        <w:t>DD/MM/20YY</w:t>
      </w:r>
    </w:p>
    <w:p w14:paraId="57A70089" w14:textId="77777777" w:rsidR="00BD060A" w:rsidRPr="004007B2" w:rsidRDefault="00BD060A" w:rsidP="00BD060A">
      <w:pPr>
        <w:autoSpaceDE w:val="0"/>
        <w:autoSpaceDN w:val="0"/>
        <w:adjustRightInd w:val="0"/>
        <w:spacing w:after="0" w:line="240" w:lineRule="auto"/>
        <w:contextualSpacing/>
        <w:jc w:val="right"/>
        <w:rPr>
          <w:rFonts w:ascii="Times New Roman" w:eastAsia="Times New Roman" w:hAnsi="Times New Roman" w:cs="Times New Roman"/>
          <w:sz w:val="20"/>
          <w:szCs w:val="20"/>
        </w:rPr>
      </w:pPr>
      <w:r w:rsidRPr="004007B2">
        <w:rPr>
          <w:rFonts w:ascii="Times New Roman" w:eastAsia="Times New Roman" w:hAnsi="Times New Roman" w:cs="Times New Roman"/>
          <w:b/>
          <w:i/>
          <w:sz w:val="20"/>
          <w:szCs w:val="16"/>
        </w:rPr>
        <w:t>Published</w:t>
      </w:r>
      <w:r w:rsidR="00C165F9" w:rsidRPr="004007B2">
        <w:rPr>
          <w:rFonts w:ascii="Times New Roman" w:eastAsia="Times New Roman" w:hAnsi="Times New Roman" w:cs="Times New Roman"/>
          <w:b/>
          <w:i/>
          <w:sz w:val="20"/>
          <w:szCs w:val="16"/>
        </w:rPr>
        <w:t>:</w:t>
      </w:r>
      <w:r w:rsidRPr="004007B2">
        <w:rPr>
          <w:rFonts w:ascii="Times New Roman" w:eastAsia="Times New Roman" w:hAnsi="Times New Roman" w:cs="Times New Roman"/>
          <w:b/>
          <w:i/>
          <w:sz w:val="20"/>
          <w:szCs w:val="16"/>
        </w:rPr>
        <w:t xml:space="preserve"> </w:t>
      </w:r>
      <w:r w:rsidR="004719C4" w:rsidRPr="004007B2">
        <w:rPr>
          <w:rFonts w:ascii="Times New Roman" w:eastAsia="Times New Roman" w:hAnsi="Times New Roman" w:cs="Times New Roman"/>
          <w:b/>
          <w:i/>
          <w:sz w:val="20"/>
          <w:szCs w:val="16"/>
        </w:rPr>
        <w:t>DD/MM/20YY</w:t>
      </w:r>
    </w:p>
    <w:p w14:paraId="3CCC6FB2" w14:textId="77777777" w:rsidR="00BD060A" w:rsidRPr="004007B2" w:rsidRDefault="00000000" w:rsidP="00BD060A">
      <w:pPr>
        <w:keepNext/>
        <w:spacing w:after="0" w:line="240" w:lineRule="auto"/>
        <w:contextualSpacing/>
        <w:rPr>
          <w:rFonts w:ascii="Times New Roman" w:eastAsia="Times New Roman" w:hAnsi="Times New Roman" w:cs="Times New Roman"/>
          <w:b/>
          <w:caps/>
          <w:sz w:val="24"/>
          <w:szCs w:val="20"/>
        </w:rPr>
      </w:pPr>
      <w:r w:rsidRPr="004007B2">
        <w:rPr>
          <w:rFonts w:ascii="Times New Roman" w:eastAsia="Times New Roman" w:hAnsi="Times New Roman" w:cs="Times New Roman"/>
          <w:b/>
          <w:caps/>
          <w:sz w:val="24"/>
          <w:szCs w:val="20"/>
        </w:rPr>
      </w:r>
      <w:r w:rsidRPr="004007B2">
        <w:rPr>
          <w:rFonts w:ascii="Times New Roman" w:eastAsia="Times New Roman" w:hAnsi="Times New Roman" w:cs="Times New Roman"/>
          <w:b/>
          <w:caps/>
          <w:sz w:val="24"/>
          <w:szCs w:val="20"/>
        </w:rPr>
        <w:pict w14:anchorId="28A47126">
          <v:shapetype id="_x0000_t32" coordsize="21600,21600" o:spt="32" o:oned="t" path="m,l21600,21600e" filled="f">
            <v:path arrowok="t" fillok="f" o:connecttype="none"/>
            <o:lock v:ext="edit" shapetype="t"/>
          </v:shapetype>
          <v:shape id="_x0000_s2078" type="#_x0000_t32" style="width:450.7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09E5D709" w14:textId="77777777" w:rsidR="00BD060A" w:rsidRPr="004007B2" w:rsidRDefault="00BD060A" w:rsidP="00BD060A">
      <w:pPr>
        <w:keepNext/>
        <w:tabs>
          <w:tab w:val="left" w:pos="3870"/>
        </w:tabs>
        <w:spacing w:after="0" w:line="240" w:lineRule="auto"/>
        <w:contextualSpacing/>
        <w:rPr>
          <w:rFonts w:ascii="Times New Roman" w:eastAsia="Times New Roman" w:hAnsi="Times New Roman" w:cs="Times New Roman"/>
          <w:b/>
          <w:caps/>
          <w:sz w:val="20"/>
          <w:szCs w:val="20"/>
        </w:rPr>
      </w:pPr>
    </w:p>
    <w:p w14:paraId="51771FCD" w14:textId="4C148EE9" w:rsidR="00BD060A" w:rsidRPr="004007B2" w:rsidRDefault="00DD7A07" w:rsidP="008808B4">
      <w:pPr>
        <w:pStyle w:val="Heading2"/>
        <w:rPr>
          <w:rFonts w:eastAsia="Times New Roman" w:cs="Times New Roman"/>
        </w:rPr>
      </w:pPr>
      <w:r w:rsidRPr="004007B2">
        <w:rPr>
          <w:rFonts w:eastAsia="Times New Roman" w:cs="Times New Roman"/>
        </w:rPr>
        <w:t>Abstract</w:t>
      </w:r>
    </w:p>
    <w:p w14:paraId="620BE9C4" w14:textId="77777777" w:rsidR="00BD060A" w:rsidRPr="004007B2" w:rsidRDefault="00BD060A" w:rsidP="00BD060A">
      <w:pPr>
        <w:keepNext/>
        <w:spacing w:after="0" w:line="240" w:lineRule="auto"/>
        <w:contextualSpacing/>
        <w:rPr>
          <w:rFonts w:ascii="Times New Roman" w:eastAsia="Times New Roman" w:hAnsi="Times New Roman" w:cs="Times New Roman"/>
          <w:b/>
          <w:cap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8"/>
      </w:tblGrid>
      <w:tr w:rsidR="00BD060A" w:rsidRPr="004007B2" w14:paraId="0A59FD40" w14:textId="77777777" w:rsidTr="00C165F9">
        <w:trPr>
          <w:jc w:val="center"/>
        </w:trPr>
        <w:tc>
          <w:tcPr>
            <w:tcW w:w="9108" w:type="dxa"/>
          </w:tcPr>
          <w:p w14:paraId="59AEEE53" w14:textId="77777777" w:rsidR="00BE7629" w:rsidRPr="004007B2" w:rsidRDefault="00BE7629" w:rsidP="00BE7629">
            <w:pPr>
              <w:spacing w:after="0" w:line="240" w:lineRule="auto"/>
              <w:contextualSpacing/>
              <w:jc w:val="both"/>
              <w:rPr>
                <w:rFonts w:ascii="Times New Roman" w:eastAsia="Calibri" w:hAnsi="Times New Roman" w:cs="Times New Roman"/>
                <w:sz w:val="20"/>
              </w:rPr>
            </w:pPr>
            <w:r w:rsidRPr="004007B2">
              <w:rPr>
                <w:rFonts w:ascii="Times New Roman" w:eastAsia="Calibri" w:hAnsi="Times New Roman" w:cs="Times New Roman"/>
                <w:sz w:val="20"/>
              </w:rPr>
              <w:t xml:space="preserve">Background: Odontogenic </w:t>
            </w:r>
            <w:proofErr w:type="spellStart"/>
            <w:r w:rsidRPr="004007B2">
              <w:rPr>
                <w:rFonts w:ascii="Times New Roman" w:eastAsia="Calibri" w:hAnsi="Times New Roman" w:cs="Times New Roman"/>
                <w:sz w:val="20"/>
              </w:rPr>
              <w:t>Keratocyst</w:t>
            </w:r>
            <w:proofErr w:type="spellEnd"/>
            <w:r w:rsidRPr="004007B2">
              <w:rPr>
                <w:rFonts w:ascii="Times New Roman" w:eastAsia="Calibri" w:hAnsi="Times New Roman" w:cs="Times New Roman"/>
                <w:sz w:val="20"/>
              </w:rPr>
              <w:t xml:space="preserve"> (OKC) is a developmental cyst known for its locally aggressive behavior and high recurrence rates. Traditional surgical management ranges from conservative enucleation to radical resection. The use of chemical adjuvants is critical to reducing recurrence while maintaining jaw function. </w:t>
            </w:r>
          </w:p>
          <w:p w14:paraId="3E8B8AD6" w14:textId="526596B2" w:rsidR="003F47A0" w:rsidRPr="004007B2" w:rsidRDefault="00BE7629" w:rsidP="00BE7629">
            <w:pPr>
              <w:spacing w:after="0" w:line="240" w:lineRule="auto"/>
              <w:contextualSpacing/>
              <w:jc w:val="both"/>
              <w:rPr>
                <w:rFonts w:ascii="Times New Roman" w:eastAsia="Calibri" w:hAnsi="Times New Roman" w:cs="Times New Roman"/>
                <w:sz w:val="20"/>
              </w:rPr>
            </w:pPr>
            <w:r w:rsidRPr="004007B2">
              <w:rPr>
                <w:rFonts w:ascii="Times New Roman" w:eastAsia="Calibri" w:hAnsi="Times New Roman" w:cs="Times New Roman"/>
                <w:b/>
                <w:bCs/>
                <w:sz w:val="20"/>
              </w:rPr>
              <w:t>Case Report:</w:t>
            </w:r>
            <w:r w:rsidRPr="004007B2">
              <w:rPr>
                <w:rFonts w:ascii="Times New Roman" w:eastAsia="Calibri" w:hAnsi="Times New Roman" w:cs="Times New Roman"/>
                <w:sz w:val="20"/>
              </w:rPr>
              <w:t xml:space="preserve"> A 34-year-old female presented with pus discharge in the lower right posterior mandible. Clinical and radiographic examination revealed a large radiolucency in the right mandible (region 41-48). Fine Needle Aspiration Cytology (FNAC) and subsequent biopsy confirmed the diagnosis of an Odontogenic </w:t>
            </w:r>
            <w:proofErr w:type="spellStart"/>
            <w:r w:rsidRPr="004007B2">
              <w:rPr>
                <w:rFonts w:ascii="Times New Roman" w:eastAsia="Calibri" w:hAnsi="Times New Roman" w:cs="Times New Roman"/>
                <w:sz w:val="20"/>
              </w:rPr>
              <w:t>Keratocyst</w:t>
            </w:r>
            <w:proofErr w:type="spellEnd"/>
            <w:r w:rsidRPr="004007B2">
              <w:rPr>
                <w:rFonts w:ascii="Times New Roman" w:eastAsia="Calibri" w:hAnsi="Times New Roman" w:cs="Times New Roman"/>
                <w:sz w:val="20"/>
              </w:rPr>
              <w:t>. The patient was managed with cystic enucleation and chemical curettage using 5-Fluorouracil (5-FU) ointment. Post-operative follow-up at 3 months showed satisfactory clinical healing with no neurosensory deficits. Radiographic evaluation confirmed progressive bone regeneration at the surgical site, with no evidence of recurrence.</w:t>
            </w:r>
          </w:p>
        </w:tc>
      </w:tr>
    </w:tbl>
    <w:p w14:paraId="18F46BC9" w14:textId="77777777" w:rsidR="001B2824" w:rsidRDefault="001B2824" w:rsidP="00BE7629">
      <w:pPr>
        <w:spacing w:after="0" w:line="240" w:lineRule="auto"/>
        <w:ind w:left="1080" w:hanging="1080"/>
        <w:contextualSpacing/>
        <w:jc w:val="both"/>
        <w:rPr>
          <w:rFonts w:ascii="Times New Roman" w:eastAsia="Times New Roman" w:hAnsi="Times New Roman" w:cs="Times New Roman"/>
          <w:i/>
          <w:sz w:val="20"/>
          <w:szCs w:val="20"/>
        </w:rPr>
      </w:pPr>
    </w:p>
    <w:p w14:paraId="15C50BB3" w14:textId="4AB83C77" w:rsidR="00BD060A" w:rsidRPr="004007B2" w:rsidRDefault="00BD060A" w:rsidP="00BE7629">
      <w:pPr>
        <w:spacing w:after="0" w:line="240" w:lineRule="auto"/>
        <w:ind w:left="1080" w:hanging="1080"/>
        <w:contextualSpacing/>
        <w:jc w:val="both"/>
        <w:rPr>
          <w:rFonts w:ascii="Times New Roman" w:eastAsia="Times New Roman" w:hAnsi="Times New Roman" w:cs="Times New Roman"/>
          <w:bCs/>
          <w:i/>
          <w:iCs/>
          <w:sz w:val="20"/>
          <w:szCs w:val="20"/>
        </w:rPr>
      </w:pPr>
      <w:r w:rsidRPr="004007B2">
        <w:rPr>
          <w:rFonts w:ascii="Times New Roman" w:eastAsia="Times New Roman" w:hAnsi="Times New Roman" w:cs="Times New Roman"/>
          <w:i/>
          <w:sz w:val="20"/>
          <w:szCs w:val="20"/>
        </w:rPr>
        <w:t xml:space="preserve">Keywords: </w:t>
      </w:r>
      <w:r w:rsidR="00BE7629" w:rsidRPr="004007B2">
        <w:rPr>
          <w:rFonts w:ascii="Times New Roman" w:eastAsia="Times New Roman" w:hAnsi="Times New Roman" w:cs="Times New Roman"/>
          <w:bCs/>
          <w:i/>
          <w:iCs/>
          <w:sz w:val="20"/>
          <w:szCs w:val="20"/>
        </w:rPr>
        <w:t xml:space="preserve">Odontogenic </w:t>
      </w:r>
      <w:proofErr w:type="spellStart"/>
      <w:r w:rsidR="00BE7629" w:rsidRPr="004007B2">
        <w:rPr>
          <w:rFonts w:ascii="Times New Roman" w:eastAsia="Times New Roman" w:hAnsi="Times New Roman" w:cs="Times New Roman"/>
          <w:bCs/>
          <w:i/>
          <w:iCs/>
          <w:sz w:val="20"/>
          <w:szCs w:val="20"/>
        </w:rPr>
        <w:t>keradtocyst</w:t>
      </w:r>
      <w:proofErr w:type="spellEnd"/>
      <w:r w:rsidR="00BE7629" w:rsidRPr="004007B2">
        <w:rPr>
          <w:rFonts w:ascii="Times New Roman" w:eastAsia="Times New Roman" w:hAnsi="Times New Roman" w:cs="Times New Roman"/>
          <w:bCs/>
          <w:i/>
          <w:iCs/>
          <w:sz w:val="20"/>
          <w:szCs w:val="20"/>
        </w:rPr>
        <w:t>; 5-Fluorouracil; enucleation; mandibular cyst; oral surgery.</w:t>
      </w:r>
    </w:p>
    <w:p w14:paraId="236B9147" w14:textId="77777777" w:rsidR="00BE7629" w:rsidRPr="004007B2" w:rsidRDefault="00BE7629" w:rsidP="00EC4F97">
      <w:pPr>
        <w:spacing w:after="0" w:line="240" w:lineRule="auto"/>
        <w:ind w:left="1080" w:hanging="1080"/>
        <w:contextualSpacing/>
        <w:jc w:val="both"/>
        <w:rPr>
          <w:rFonts w:ascii="Times New Roman" w:eastAsia="Times New Roman" w:hAnsi="Times New Roman" w:cs="Times New Roman"/>
          <w:bCs/>
          <w:i/>
          <w:iCs/>
          <w:sz w:val="12"/>
          <w:szCs w:val="12"/>
        </w:rPr>
      </w:pPr>
    </w:p>
    <w:p w14:paraId="530A7665" w14:textId="63F755B9" w:rsidR="00BE7629" w:rsidRPr="004007B2" w:rsidRDefault="000761C4" w:rsidP="000761C4">
      <w:pPr>
        <w:pStyle w:val="Heading2"/>
        <w:rPr>
          <w:rFonts w:eastAsia="Times New Roman"/>
        </w:rPr>
      </w:pPr>
      <w:r w:rsidRPr="004007B2">
        <w:rPr>
          <w:rFonts w:eastAsia="Times New Roman"/>
        </w:rPr>
        <w:lastRenderedPageBreak/>
        <w:t xml:space="preserve">1. Introduction </w:t>
      </w:r>
    </w:p>
    <w:p w14:paraId="65A652A9" w14:textId="77777777" w:rsidR="000761C4" w:rsidRPr="004007B2" w:rsidRDefault="000761C4" w:rsidP="00EC4F97">
      <w:pPr>
        <w:spacing w:after="0" w:line="240" w:lineRule="auto"/>
        <w:contextualSpacing/>
        <w:jc w:val="both"/>
        <w:rPr>
          <w:rFonts w:ascii="Times New Roman" w:eastAsia="Times New Roman" w:hAnsi="Times New Roman" w:cs="Times New Roman"/>
          <w:b/>
          <w:bCs/>
          <w:sz w:val="12"/>
          <w:szCs w:val="12"/>
        </w:rPr>
      </w:pPr>
    </w:p>
    <w:p w14:paraId="536CD4E9" w14:textId="0A9A4955" w:rsidR="00BE7629" w:rsidRPr="004007B2" w:rsidRDefault="00BE7629" w:rsidP="00C52B50">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sz w:val="20"/>
          <w:szCs w:val="20"/>
        </w:rPr>
        <w:t xml:space="preserve">The Odontogenic </w:t>
      </w:r>
      <w:proofErr w:type="spellStart"/>
      <w:r w:rsidRPr="004007B2">
        <w:rPr>
          <w:rFonts w:ascii="Times New Roman" w:eastAsia="Times New Roman" w:hAnsi="Times New Roman" w:cs="Times New Roman"/>
          <w:sz w:val="20"/>
          <w:szCs w:val="20"/>
        </w:rPr>
        <w:t>Keratocyst</w:t>
      </w:r>
      <w:proofErr w:type="spellEnd"/>
      <w:r w:rsidRPr="004007B2">
        <w:rPr>
          <w:rFonts w:ascii="Times New Roman" w:eastAsia="Times New Roman" w:hAnsi="Times New Roman" w:cs="Times New Roman"/>
          <w:sz w:val="20"/>
          <w:szCs w:val="20"/>
        </w:rPr>
        <w:t xml:space="preserve"> (OKC) is a unique entity in oral and maxillofacial surgery due to its aggressive growth and tendency to recur</w:t>
      </w:r>
      <w:r w:rsidR="005475D1" w:rsidRPr="004007B2">
        <w:rPr>
          <w:rFonts w:ascii="Times New Roman" w:eastAsia="Times New Roman" w:hAnsi="Times New Roman" w:cs="Times New Roman"/>
          <w:sz w:val="20"/>
          <w:szCs w:val="20"/>
        </w:rPr>
        <w:t xml:space="preserve"> (Blanas</w:t>
      </w:r>
      <w:r w:rsidR="00A64521" w:rsidRPr="004007B2">
        <w:rPr>
          <w:rFonts w:ascii="Times New Roman" w:eastAsia="Times New Roman" w:hAnsi="Times New Roman" w:cs="Times New Roman"/>
          <w:sz w:val="20"/>
          <w:szCs w:val="20"/>
        </w:rPr>
        <w:t xml:space="preserve"> et al.</w:t>
      </w:r>
      <w:r w:rsidR="005475D1" w:rsidRPr="004007B2">
        <w:rPr>
          <w:rFonts w:ascii="Times New Roman" w:eastAsia="Times New Roman" w:hAnsi="Times New Roman" w:cs="Times New Roman"/>
          <w:sz w:val="20"/>
          <w:szCs w:val="20"/>
        </w:rPr>
        <w:t>, 2000</w:t>
      </w:r>
      <w:r w:rsidR="00C52B50" w:rsidRPr="004007B2">
        <w:rPr>
          <w:rFonts w:ascii="Times New Roman" w:eastAsia="Times New Roman" w:hAnsi="Times New Roman" w:cs="Times New Roman"/>
          <w:sz w:val="20"/>
          <w:szCs w:val="20"/>
        </w:rPr>
        <w:t>; Speight &amp; Takata, 2018</w:t>
      </w:r>
      <w:r w:rsidR="005475D1" w:rsidRPr="004007B2">
        <w:rPr>
          <w:rFonts w:ascii="Times New Roman" w:eastAsia="Times New Roman" w:hAnsi="Times New Roman" w:cs="Times New Roman"/>
          <w:sz w:val="20"/>
          <w:szCs w:val="20"/>
        </w:rPr>
        <w:t>)</w:t>
      </w:r>
      <w:r w:rsidRPr="004007B2">
        <w:rPr>
          <w:rFonts w:ascii="Times New Roman" w:eastAsia="Times New Roman" w:hAnsi="Times New Roman" w:cs="Times New Roman"/>
          <w:sz w:val="20"/>
          <w:szCs w:val="20"/>
        </w:rPr>
        <w:t>. OKCs often remain asymptomatic until they reach a significant size or become secondarily infected, leading to symptoms such as pain or discharge</w:t>
      </w:r>
      <w:r w:rsidR="00EA6EF1" w:rsidRPr="004007B2">
        <w:rPr>
          <w:rFonts w:ascii="Times New Roman" w:eastAsia="Times New Roman" w:hAnsi="Times New Roman" w:cs="Times New Roman"/>
          <w:sz w:val="20"/>
          <w:szCs w:val="20"/>
        </w:rPr>
        <w:t xml:space="preserve"> (Barua et al., 2023)</w:t>
      </w:r>
      <w:r w:rsidRPr="004007B2">
        <w:rPr>
          <w:rFonts w:ascii="Times New Roman" w:eastAsia="Times New Roman" w:hAnsi="Times New Roman" w:cs="Times New Roman"/>
          <w:sz w:val="20"/>
          <w:szCs w:val="20"/>
        </w:rPr>
        <w:t>. Radiographic evaluation typically shows a well-defined radiolucency that can involve a large portion of the mandible. Accurate diagnosis relies on clinical findings, imaging, and histopathological confirmation through FNAC and biopsy</w:t>
      </w:r>
      <w:r w:rsidR="004B60C1" w:rsidRPr="004007B2">
        <w:rPr>
          <w:rFonts w:ascii="Times New Roman" w:eastAsia="Times New Roman" w:hAnsi="Times New Roman" w:cs="Times New Roman"/>
          <w:sz w:val="20"/>
          <w:szCs w:val="20"/>
        </w:rPr>
        <w:t xml:space="preserve"> (</w:t>
      </w:r>
      <w:proofErr w:type="spellStart"/>
      <w:r w:rsidR="004B60C1" w:rsidRPr="004007B2">
        <w:rPr>
          <w:rFonts w:ascii="Times New Roman" w:eastAsia="Times New Roman" w:hAnsi="Times New Roman" w:cs="Times New Roman"/>
          <w:sz w:val="20"/>
          <w:szCs w:val="20"/>
        </w:rPr>
        <w:t>Ledderhof</w:t>
      </w:r>
      <w:proofErr w:type="spellEnd"/>
      <w:r w:rsidR="004B60C1" w:rsidRPr="004007B2">
        <w:rPr>
          <w:rFonts w:ascii="Times New Roman" w:eastAsia="Times New Roman" w:hAnsi="Times New Roman" w:cs="Times New Roman"/>
          <w:sz w:val="20"/>
          <w:szCs w:val="20"/>
        </w:rPr>
        <w:t xml:space="preserve"> et al., 2017</w:t>
      </w:r>
      <w:r w:rsidR="00BF140F" w:rsidRPr="004007B2">
        <w:rPr>
          <w:rFonts w:ascii="Times New Roman" w:eastAsia="Times New Roman" w:hAnsi="Times New Roman" w:cs="Times New Roman"/>
          <w:sz w:val="20"/>
          <w:szCs w:val="20"/>
        </w:rPr>
        <w:t>a</w:t>
      </w:r>
      <w:r w:rsidR="004B60C1" w:rsidRPr="004007B2">
        <w:rPr>
          <w:rFonts w:ascii="Times New Roman" w:eastAsia="Times New Roman" w:hAnsi="Times New Roman" w:cs="Times New Roman"/>
          <w:sz w:val="20"/>
          <w:szCs w:val="20"/>
        </w:rPr>
        <w:t>)</w:t>
      </w:r>
      <w:r w:rsidRPr="004007B2">
        <w:rPr>
          <w:rFonts w:ascii="Times New Roman" w:eastAsia="Times New Roman" w:hAnsi="Times New Roman" w:cs="Times New Roman"/>
          <w:sz w:val="20"/>
          <w:szCs w:val="20"/>
        </w:rPr>
        <w:t>.</w:t>
      </w:r>
    </w:p>
    <w:p w14:paraId="489BC281" w14:textId="77777777" w:rsidR="00C40BDC" w:rsidRPr="004007B2" w:rsidRDefault="00C40BDC" w:rsidP="00BE7629">
      <w:pPr>
        <w:spacing w:after="0" w:line="240" w:lineRule="auto"/>
        <w:contextualSpacing/>
        <w:jc w:val="both"/>
        <w:rPr>
          <w:rFonts w:ascii="Times New Roman" w:eastAsia="Times New Roman" w:hAnsi="Times New Roman" w:cs="Times New Roman"/>
          <w:sz w:val="12"/>
          <w:szCs w:val="12"/>
        </w:rPr>
      </w:pPr>
    </w:p>
    <w:p w14:paraId="1130CEC8" w14:textId="6A73D29D" w:rsidR="00BE7629" w:rsidRPr="004007B2" w:rsidRDefault="00BE7629" w:rsidP="004B60C1">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sz w:val="20"/>
          <w:szCs w:val="20"/>
        </w:rPr>
        <w:t>The primary challenge in treating OKCs is the elimination of satellite or "daughter" cysts in the cyst wall, which are responsible for high recurrence rates</w:t>
      </w:r>
      <w:r w:rsidR="004B60C1" w:rsidRPr="004007B2">
        <w:rPr>
          <w:rFonts w:ascii="Times New Roman" w:eastAsia="Times New Roman" w:hAnsi="Times New Roman" w:cs="Times New Roman"/>
          <w:sz w:val="20"/>
          <w:szCs w:val="20"/>
        </w:rPr>
        <w:t xml:space="preserve"> (Philipsen, 1956)</w:t>
      </w:r>
      <w:r w:rsidRPr="004007B2">
        <w:rPr>
          <w:rFonts w:ascii="Times New Roman" w:eastAsia="Times New Roman" w:hAnsi="Times New Roman" w:cs="Times New Roman"/>
          <w:sz w:val="20"/>
          <w:szCs w:val="20"/>
        </w:rPr>
        <w:t xml:space="preserve">. Historically, </w:t>
      </w:r>
      <w:proofErr w:type="spellStart"/>
      <w:r w:rsidRPr="004007B2">
        <w:rPr>
          <w:rFonts w:ascii="Times New Roman" w:eastAsia="Times New Roman" w:hAnsi="Times New Roman" w:cs="Times New Roman"/>
          <w:sz w:val="20"/>
          <w:szCs w:val="20"/>
        </w:rPr>
        <w:t>Carnoy’s</w:t>
      </w:r>
      <w:proofErr w:type="spellEnd"/>
      <w:r w:rsidRPr="004007B2">
        <w:rPr>
          <w:rFonts w:ascii="Times New Roman" w:eastAsia="Times New Roman" w:hAnsi="Times New Roman" w:cs="Times New Roman"/>
          <w:sz w:val="20"/>
          <w:szCs w:val="20"/>
        </w:rPr>
        <w:t xml:space="preserve"> solution was the gold standard for chemical curettage; however, its neurotoxic effects have led surgeons to seek safer alternatives</w:t>
      </w:r>
      <w:r w:rsidR="004B60C1" w:rsidRPr="004007B2">
        <w:rPr>
          <w:rFonts w:ascii="Times New Roman" w:eastAsia="Times New Roman" w:hAnsi="Times New Roman" w:cs="Times New Roman"/>
          <w:sz w:val="20"/>
          <w:szCs w:val="20"/>
        </w:rPr>
        <w:t xml:space="preserve"> (Borghesi et al., 2018)</w:t>
      </w:r>
      <w:r w:rsidRPr="004007B2">
        <w:rPr>
          <w:rFonts w:ascii="Times New Roman" w:eastAsia="Times New Roman" w:hAnsi="Times New Roman" w:cs="Times New Roman"/>
          <w:sz w:val="20"/>
          <w:szCs w:val="20"/>
        </w:rPr>
        <w:t>. Recent clinical evidence supports the use of 5-Fluorouracil (5-FU) as a topical antimetabolite that effectively targets residual epithelial cells with significantly less morbidity and risk of nerve injury</w:t>
      </w:r>
      <w:r w:rsidR="004B60C1" w:rsidRPr="004007B2">
        <w:rPr>
          <w:rFonts w:ascii="Times New Roman" w:eastAsia="Times New Roman" w:hAnsi="Times New Roman" w:cs="Times New Roman"/>
          <w:sz w:val="20"/>
          <w:szCs w:val="20"/>
        </w:rPr>
        <w:t xml:space="preserve"> (Madras &amp; Lapointe, 2008; </w:t>
      </w:r>
      <w:proofErr w:type="spellStart"/>
      <w:r w:rsidR="004B60C1" w:rsidRPr="004007B2">
        <w:rPr>
          <w:rFonts w:ascii="Times New Roman" w:eastAsia="Times New Roman" w:hAnsi="Times New Roman" w:cs="Times New Roman"/>
          <w:sz w:val="20"/>
          <w:szCs w:val="20"/>
        </w:rPr>
        <w:t>Kaczmarzyk</w:t>
      </w:r>
      <w:proofErr w:type="spellEnd"/>
      <w:r w:rsidR="004B60C1" w:rsidRPr="004007B2">
        <w:rPr>
          <w:rFonts w:ascii="Times New Roman" w:eastAsia="Times New Roman" w:hAnsi="Times New Roman" w:cs="Times New Roman"/>
          <w:sz w:val="20"/>
          <w:szCs w:val="20"/>
        </w:rPr>
        <w:t xml:space="preserve"> et al., 2012)</w:t>
      </w:r>
      <w:r w:rsidRPr="004007B2">
        <w:rPr>
          <w:rFonts w:ascii="Times New Roman" w:eastAsia="Times New Roman" w:hAnsi="Times New Roman" w:cs="Times New Roman"/>
          <w:sz w:val="20"/>
          <w:szCs w:val="20"/>
        </w:rPr>
        <w:t>.</w:t>
      </w:r>
    </w:p>
    <w:p w14:paraId="08C4410D" w14:textId="6264F508" w:rsidR="00BE7629" w:rsidRPr="004007B2" w:rsidRDefault="00BE7629" w:rsidP="00BE7629">
      <w:pPr>
        <w:spacing w:after="0" w:line="240" w:lineRule="auto"/>
        <w:contextualSpacing/>
        <w:jc w:val="both"/>
        <w:rPr>
          <w:rFonts w:ascii="Times New Roman" w:eastAsia="Times New Roman" w:hAnsi="Times New Roman" w:cs="Times New Roman"/>
          <w:b/>
          <w:bCs/>
          <w:sz w:val="12"/>
          <w:szCs w:val="12"/>
        </w:rPr>
      </w:pPr>
    </w:p>
    <w:p w14:paraId="6C00570D" w14:textId="37A3425D" w:rsidR="00BE7629" w:rsidRPr="004007B2" w:rsidRDefault="000761C4" w:rsidP="000761C4">
      <w:pPr>
        <w:pStyle w:val="Heading2"/>
        <w:rPr>
          <w:rFonts w:eastAsia="Times New Roman"/>
        </w:rPr>
      </w:pPr>
      <w:r w:rsidRPr="004007B2">
        <w:rPr>
          <w:rFonts w:eastAsia="Times New Roman"/>
        </w:rPr>
        <w:t xml:space="preserve">2. </w:t>
      </w:r>
      <w:r w:rsidR="00BE7629" w:rsidRPr="004007B2">
        <w:rPr>
          <w:rFonts w:eastAsia="Times New Roman"/>
        </w:rPr>
        <w:t>Case Presentation</w:t>
      </w:r>
    </w:p>
    <w:p w14:paraId="6D3B816A" w14:textId="77777777" w:rsidR="000761C4" w:rsidRPr="004007B2" w:rsidRDefault="000761C4" w:rsidP="000761C4">
      <w:pPr>
        <w:spacing w:after="0" w:line="240" w:lineRule="auto"/>
        <w:contextualSpacing/>
        <w:jc w:val="both"/>
        <w:rPr>
          <w:rFonts w:ascii="Times New Roman" w:eastAsia="Times New Roman" w:hAnsi="Times New Roman" w:cs="Times New Roman"/>
          <w:b/>
          <w:bCs/>
          <w:sz w:val="12"/>
          <w:szCs w:val="12"/>
        </w:rPr>
      </w:pPr>
    </w:p>
    <w:p w14:paraId="64188AED" w14:textId="73D7CD97" w:rsidR="00BE7629" w:rsidRPr="004007B2" w:rsidRDefault="00BE7629" w:rsidP="00BE7629">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sz w:val="20"/>
          <w:szCs w:val="20"/>
        </w:rPr>
        <w:t>A 34-year-old female patient presented to the department of Oral and Maxillofacial surgery Pacific Dental College and Hospital, Udaipur, Rajasthan,</w:t>
      </w:r>
      <w:r w:rsidR="001B2824">
        <w:rPr>
          <w:rFonts w:ascii="Times New Roman" w:eastAsia="Times New Roman" w:hAnsi="Times New Roman" w:cs="Times New Roman"/>
          <w:sz w:val="20"/>
          <w:szCs w:val="20"/>
        </w:rPr>
        <w:t xml:space="preserve"> </w:t>
      </w:r>
      <w:r w:rsidRPr="004007B2">
        <w:rPr>
          <w:rFonts w:ascii="Times New Roman" w:eastAsia="Times New Roman" w:hAnsi="Times New Roman" w:cs="Times New Roman"/>
          <w:sz w:val="20"/>
          <w:szCs w:val="20"/>
        </w:rPr>
        <w:t>India with a chief complaint of pus discharge in her lower right back tooth region for one month. Her medical and personal histories were non-contributory.</w:t>
      </w:r>
    </w:p>
    <w:p w14:paraId="61E9F016" w14:textId="77777777" w:rsidR="004F5D5B" w:rsidRPr="004007B2" w:rsidRDefault="004F5D5B" w:rsidP="00BE7629">
      <w:pPr>
        <w:spacing w:after="0" w:line="240" w:lineRule="auto"/>
        <w:contextualSpacing/>
        <w:jc w:val="both"/>
        <w:rPr>
          <w:rFonts w:ascii="Times New Roman" w:eastAsia="Times New Roman" w:hAnsi="Times New Roman" w:cs="Times New Roman"/>
          <w:b/>
          <w:bCs/>
          <w:sz w:val="20"/>
          <w:szCs w:val="20"/>
        </w:rPr>
      </w:pPr>
    </w:p>
    <w:p w14:paraId="37CAF2AB" w14:textId="77777777" w:rsidR="004F5D5B" w:rsidRPr="004007B2" w:rsidRDefault="004F5D5B" w:rsidP="004F5D5B">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sz w:val="20"/>
          <w:szCs w:val="20"/>
        </w:rPr>
        <w:t xml:space="preserve">Clinical examination and a preoperative Orthopantomogram (OPG) as given in Fig. 1 revealed a well-defined radiolucency in the right mandible extending from the 32 to 48 </w:t>
      </w:r>
      <w:proofErr w:type="gramStart"/>
      <w:r w:rsidRPr="004007B2">
        <w:rPr>
          <w:rFonts w:ascii="Times New Roman" w:eastAsia="Times New Roman" w:hAnsi="Times New Roman" w:cs="Times New Roman"/>
          <w:sz w:val="20"/>
          <w:szCs w:val="20"/>
        </w:rPr>
        <w:t>region</w:t>
      </w:r>
      <w:proofErr w:type="gramEnd"/>
      <w:r w:rsidRPr="004007B2">
        <w:rPr>
          <w:rFonts w:ascii="Times New Roman" w:eastAsia="Times New Roman" w:hAnsi="Times New Roman" w:cs="Times New Roman"/>
          <w:sz w:val="20"/>
          <w:szCs w:val="20"/>
        </w:rPr>
        <w:t>, associated with impacted teeth 33 and 43. Cone Beam Computed Tomography (CBCT) as given in Fig. 2 further revealed bone resorption in the 43-48 region. The axial view as given in Fig. 3 showed mild Bucco-lingual expansion of the bone. Fine Needle Aspiration Cytology (FNAC) and an initial biopsy report as given in Fig. 4 suggested a Keratinized Odontogenic cyst.</w:t>
      </w:r>
    </w:p>
    <w:p w14:paraId="7FCC49BB" w14:textId="77777777" w:rsidR="004F5D5B" w:rsidRPr="004007B2" w:rsidRDefault="004F5D5B" w:rsidP="004F5D5B">
      <w:pPr>
        <w:spacing w:after="0" w:line="240" w:lineRule="auto"/>
        <w:contextualSpacing/>
        <w:jc w:val="both"/>
        <w:rPr>
          <w:rFonts w:ascii="Times New Roman" w:eastAsia="Times New Roman" w:hAnsi="Times New Roman" w:cs="Times New Roman"/>
          <w:b/>
          <w:bCs/>
          <w:sz w:val="12"/>
          <w:szCs w:val="12"/>
        </w:rPr>
      </w:pPr>
    </w:p>
    <w:p w14:paraId="702A9AFA" w14:textId="77777777" w:rsidR="009B5B94" w:rsidRPr="004007B2" w:rsidRDefault="009B5B94" w:rsidP="009B5B94">
      <w:pPr>
        <w:spacing w:after="0" w:line="240" w:lineRule="auto"/>
        <w:contextualSpacing/>
        <w:jc w:val="both"/>
        <w:rPr>
          <w:rFonts w:ascii="Times New Roman" w:eastAsia="Times New Roman" w:hAnsi="Times New Roman" w:cs="Times New Roman"/>
          <w:sz w:val="12"/>
          <w:szCs w:val="12"/>
        </w:rPr>
      </w:pPr>
    </w:p>
    <w:p w14:paraId="2D88492E" w14:textId="77777777" w:rsidR="009B5B94" w:rsidRPr="004007B2" w:rsidRDefault="009B5B94" w:rsidP="009B5B94">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Cs/>
          <w:noProof/>
          <w:sz w:val="20"/>
          <w:szCs w:val="20"/>
        </w:rPr>
        <w:drawing>
          <wp:inline distT="0" distB="0" distL="0" distR="0" wp14:anchorId="00AD110B" wp14:editId="506A2DB5">
            <wp:extent cx="3410243" cy="1767840"/>
            <wp:effectExtent l="0" t="0" r="0" b="0"/>
            <wp:docPr id="142036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68373" name=""/>
                    <pic:cNvPicPr/>
                  </pic:nvPicPr>
                  <pic:blipFill>
                    <a:blip r:embed="rId9"/>
                    <a:stretch>
                      <a:fillRect/>
                    </a:stretch>
                  </pic:blipFill>
                  <pic:spPr>
                    <a:xfrm>
                      <a:off x="0" y="0"/>
                      <a:ext cx="3450555" cy="1788738"/>
                    </a:xfrm>
                    <a:prstGeom prst="rect">
                      <a:avLst/>
                    </a:prstGeom>
                  </pic:spPr>
                </pic:pic>
              </a:graphicData>
            </a:graphic>
          </wp:inline>
        </w:drawing>
      </w:r>
    </w:p>
    <w:p w14:paraId="606C33F7" w14:textId="77777777" w:rsidR="009B5B94" w:rsidRPr="004007B2" w:rsidRDefault="009B5B94" w:rsidP="009B5B94">
      <w:pPr>
        <w:spacing w:after="0" w:line="240" w:lineRule="auto"/>
        <w:contextualSpacing/>
        <w:jc w:val="both"/>
        <w:rPr>
          <w:rFonts w:ascii="Times New Roman" w:eastAsia="Times New Roman" w:hAnsi="Times New Roman" w:cs="Times New Roman"/>
          <w:b/>
          <w:bCs/>
          <w:sz w:val="12"/>
          <w:szCs w:val="12"/>
        </w:rPr>
      </w:pPr>
    </w:p>
    <w:p w14:paraId="321264CC" w14:textId="77777777" w:rsidR="009B5B94" w:rsidRPr="004007B2" w:rsidRDefault="009B5B94" w:rsidP="009B5B94">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Fig. 1. Preoperative OPG showing a well-defined radiolucency in Right Mandible extending from 32-48 region associated with impacted 33,43</w:t>
      </w:r>
    </w:p>
    <w:p w14:paraId="06B1A654" w14:textId="77777777" w:rsidR="009B5B94" w:rsidRPr="004007B2" w:rsidRDefault="009B5B94" w:rsidP="009B5B94">
      <w:pPr>
        <w:spacing w:after="0" w:line="240" w:lineRule="auto"/>
        <w:contextualSpacing/>
        <w:jc w:val="both"/>
        <w:rPr>
          <w:rFonts w:ascii="Times New Roman" w:eastAsia="Times New Roman" w:hAnsi="Times New Roman" w:cs="Times New Roman"/>
          <w:b/>
          <w:bCs/>
          <w:sz w:val="16"/>
          <w:szCs w:val="16"/>
        </w:rPr>
      </w:pPr>
    </w:p>
    <w:p w14:paraId="68468B2D" w14:textId="77777777" w:rsidR="009B5B94" w:rsidRPr="004007B2" w:rsidRDefault="009B5B94" w:rsidP="009B5B94">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noProof/>
          <w:sz w:val="20"/>
          <w:szCs w:val="20"/>
        </w:rPr>
        <w:drawing>
          <wp:inline distT="0" distB="0" distL="0" distR="0" wp14:anchorId="0B3755F0" wp14:editId="36DDF5F5">
            <wp:extent cx="2026920" cy="1765075"/>
            <wp:effectExtent l="0" t="0" r="0" b="0"/>
            <wp:docPr id="527092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6146" cy="1781817"/>
                    </a:xfrm>
                    <a:prstGeom prst="rect">
                      <a:avLst/>
                    </a:prstGeom>
                    <a:noFill/>
                  </pic:spPr>
                </pic:pic>
              </a:graphicData>
            </a:graphic>
          </wp:inline>
        </w:drawing>
      </w:r>
    </w:p>
    <w:p w14:paraId="7556330F" w14:textId="77777777" w:rsidR="009B5B94" w:rsidRPr="004007B2" w:rsidRDefault="009B5B94" w:rsidP="009B5B94">
      <w:pPr>
        <w:spacing w:after="0" w:line="240" w:lineRule="auto"/>
        <w:contextualSpacing/>
        <w:jc w:val="both"/>
        <w:rPr>
          <w:rFonts w:ascii="Times New Roman" w:eastAsia="Times New Roman" w:hAnsi="Times New Roman" w:cs="Times New Roman"/>
          <w:b/>
          <w:bCs/>
          <w:sz w:val="16"/>
          <w:szCs w:val="16"/>
        </w:rPr>
      </w:pPr>
    </w:p>
    <w:p w14:paraId="06F1AE01" w14:textId="77777777" w:rsidR="009B5B94" w:rsidRPr="004007B2" w:rsidRDefault="009B5B94" w:rsidP="009B5B94">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Fig. 2. 3D CT scan of Cyst</w:t>
      </w:r>
    </w:p>
    <w:p w14:paraId="1EA7FA15" w14:textId="2D31C9C0" w:rsidR="0059299D" w:rsidRPr="004007B2" w:rsidRDefault="0059299D"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noProof/>
          <w:sz w:val="20"/>
          <w:szCs w:val="20"/>
        </w:rPr>
        <w:lastRenderedPageBreak/>
        <w:drawing>
          <wp:inline distT="0" distB="0" distL="0" distR="0" wp14:anchorId="6A15A795" wp14:editId="007B0CE0">
            <wp:extent cx="2023910" cy="1925782"/>
            <wp:effectExtent l="0" t="0" r="0" b="0"/>
            <wp:docPr id="1225195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4848" cy="1945705"/>
                    </a:xfrm>
                    <a:prstGeom prst="rect">
                      <a:avLst/>
                    </a:prstGeom>
                    <a:noFill/>
                  </pic:spPr>
                </pic:pic>
              </a:graphicData>
            </a:graphic>
          </wp:inline>
        </w:drawing>
      </w:r>
    </w:p>
    <w:p w14:paraId="06203DC4" w14:textId="77777777" w:rsidR="0059299D" w:rsidRPr="004007B2" w:rsidRDefault="0059299D" w:rsidP="00BE7629">
      <w:pPr>
        <w:spacing w:after="0" w:line="240" w:lineRule="auto"/>
        <w:contextualSpacing/>
        <w:jc w:val="both"/>
        <w:rPr>
          <w:rFonts w:ascii="Times New Roman" w:eastAsia="Times New Roman" w:hAnsi="Times New Roman" w:cs="Times New Roman"/>
          <w:b/>
          <w:bCs/>
          <w:sz w:val="12"/>
          <w:szCs w:val="12"/>
        </w:rPr>
      </w:pPr>
    </w:p>
    <w:p w14:paraId="0F5170A9" w14:textId="408E208B" w:rsidR="00BE7629"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Fig</w:t>
      </w:r>
      <w:r w:rsidR="0059299D" w:rsidRPr="004007B2">
        <w:rPr>
          <w:rFonts w:ascii="Times New Roman" w:eastAsia="Times New Roman" w:hAnsi="Times New Roman" w:cs="Times New Roman"/>
          <w:b/>
          <w:bCs/>
          <w:sz w:val="20"/>
          <w:szCs w:val="20"/>
        </w:rPr>
        <w:t xml:space="preserve">. </w:t>
      </w:r>
      <w:r w:rsidRPr="004007B2">
        <w:rPr>
          <w:rFonts w:ascii="Times New Roman" w:eastAsia="Times New Roman" w:hAnsi="Times New Roman" w:cs="Times New Roman"/>
          <w:b/>
          <w:bCs/>
          <w:sz w:val="20"/>
          <w:szCs w:val="20"/>
        </w:rPr>
        <w:t>3</w:t>
      </w:r>
      <w:r w:rsidR="0059299D" w:rsidRPr="004007B2">
        <w:rPr>
          <w:rFonts w:ascii="Times New Roman" w:eastAsia="Times New Roman" w:hAnsi="Times New Roman" w:cs="Times New Roman"/>
          <w:b/>
          <w:bCs/>
          <w:sz w:val="20"/>
          <w:szCs w:val="20"/>
        </w:rPr>
        <w:t xml:space="preserve">. </w:t>
      </w:r>
      <w:r w:rsidRPr="004007B2">
        <w:rPr>
          <w:rFonts w:ascii="Times New Roman" w:eastAsia="Times New Roman" w:hAnsi="Times New Roman" w:cs="Times New Roman"/>
          <w:b/>
          <w:bCs/>
          <w:sz w:val="20"/>
          <w:szCs w:val="20"/>
        </w:rPr>
        <w:t>CT scan Axial View</w:t>
      </w:r>
    </w:p>
    <w:p w14:paraId="7A8035D2" w14:textId="77777777" w:rsidR="00EC4F97" w:rsidRPr="004007B2" w:rsidRDefault="00EC4F97" w:rsidP="0059299D">
      <w:pPr>
        <w:spacing w:after="0" w:line="240" w:lineRule="auto"/>
        <w:contextualSpacing/>
        <w:jc w:val="both"/>
        <w:rPr>
          <w:rFonts w:ascii="Times New Roman" w:eastAsia="Times New Roman" w:hAnsi="Times New Roman" w:cs="Times New Roman"/>
          <w:b/>
          <w:bCs/>
          <w:sz w:val="12"/>
          <w:szCs w:val="12"/>
        </w:rPr>
      </w:pPr>
    </w:p>
    <w:p w14:paraId="170BB619" w14:textId="27AEDDD0" w:rsidR="00EC4F97" w:rsidRPr="004007B2" w:rsidRDefault="00EC4F97"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noProof/>
          <w:sz w:val="20"/>
          <w:szCs w:val="20"/>
        </w:rPr>
        <w:drawing>
          <wp:inline distT="0" distB="0" distL="0" distR="0" wp14:anchorId="27FFB653" wp14:editId="7E15B254">
            <wp:extent cx="2507673" cy="1485257"/>
            <wp:effectExtent l="0" t="0" r="0" b="0"/>
            <wp:docPr id="1321699074" name="Picture 2">
              <a:extLst xmlns:a="http://schemas.openxmlformats.org/drawingml/2006/main">
                <a:ext uri="{FF2B5EF4-FFF2-40B4-BE49-F238E27FC236}">
                  <a16:creationId xmlns:a16="http://schemas.microsoft.com/office/drawing/2014/main" id="{588787DC-0A3B-79FF-0421-4E810C335F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8787DC-0A3B-79FF-0421-4E810C335FED}"/>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3081" t="33428" r="25697" b="44405"/>
                    <a:stretch/>
                  </pic:blipFill>
                  <pic:spPr bwMode="auto">
                    <a:xfrm>
                      <a:off x="0" y="0"/>
                      <a:ext cx="2519718" cy="1492391"/>
                    </a:xfrm>
                    <a:prstGeom prst="rect">
                      <a:avLst/>
                    </a:prstGeom>
                    <a:extLst>
                      <a:ext uri="{53640926-AAD7-44D8-BBD7-CCE9431645EC}">
                        <a14:shadowObscured xmlns:a14="http://schemas.microsoft.com/office/drawing/2010/main"/>
                      </a:ext>
                    </a:extLst>
                  </pic:spPr>
                </pic:pic>
              </a:graphicData>
            </a:graphic>
          </wp:inline>
        </w:drawing>
      </w:r>
    </w:p>
    <w:p w14:paraId="6B3DF119" w14:textId="77777777" w:rsidR="00EC4F97" w:rsidRPr="004007B2" w:rsidRDefault="00EC4F97" w:rsidP="0059299D">
      <w:pPr>
        <w:spacing w:after="0" w:line="240" w:lineRule="auto"/>
        <w:contextualSpacing/>
        <w:jc w:val="both"/>
        <w:rPr>
          <w:rFonts w:ascii="Times New Roman" w:eastAsia="Times New Roman" w:hAnsi="Times New Roman" w:cs="Times New Roman"/>
          <w:b/>
          <w:bCs/>
          <w:sz w:val="12"/>
          <w:szCs w:val="12"/>
        </w:rPr>
      </w:pPr>
    </w:p>
    <w:p w14:paraId="669A742F" w14:textId="3755A23E" w:rsidR="00BE7629"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Fig</w:t>
      </w:r>
      <w:r w:rsidR="0059299D" w:rsidRPr="004007B2">
        <w:rPr>
          <w:rFonts w:ascii="Times New Roman" w:eastAsia="Times New Roman" w:hAnsi="Times New Roman" w:cs="Times New Roman"/>
          <w:b/>
          <w:bCs/>
          <w:sz w:val="20"/>
          <w:szCs w:val="20"/>
        </w:rPr>
        <w:t xml:space="preserve">. </w:t>
      </w:r>
      <w:r w:rsidRPr="004007B2">
        <w:rPr>
          <w:rFonts w:ascii="Times New Roman" w:eastAsia="Times New Roman" w:hAnsi="Times New Roman" w:cs="Times New Roman"/>
          <w:b/>
          <w:bCs/>
          <w:sz w:val="20"/>
          <w:szCs w:val="20"/>
        </w:rPr>
        <w:t>4</w:t>
      </w:r>
      <w:r w:rsidR="0059299D" w:rsidRPr="004007B2">
        <w:rPr>
          <w:rFonts w:ascii="Times New Roman" w:eastAsia="Times New Roman" w:hAnsi="Times New Roman" w:cs="Times New Roman"/>
          <w:b/>
          <w:bCs/>
          <w:sz w:val="20"/>
          <w:szCs w:val="20"/>
        </w:rPr>
        <w:t xml:space="preserve">. </w:t>
      </w:r>
      <w:r w:rsidRPr="004007B2">
        <w:rPr>
          <w:rFonts w:ascii="Times New Roman" w:eastAsia="Times New Roman" w:hAnsi="Times New Roman" w:cs="Times New Roman"/>
          <w:b/>
          <w:bCs/>
          <w:sz w:val="20"/>
          <w:szCs w:val="20"/>
        </w:rPr>
        <w:t>Report shows OKC</w:t>
      </w:r>
    </w:p>
    <w:p w14:paraId="1E649BDB" w14:textId="77777777" w:rsidR="0059299D" w:rsidRPr="004007B2" w:rsidRDefault="0059299D" w:rsidP="0059299D">
      <w:pPr>
        <w:spacing w:after="0" w:line="240" w:lineRule="auto"/>
        <w:contextualSpacing/>
        <w:jc w:val="both"/>
        <w:rPr>
          <w:rFonts w:ascii="Times New Roman" w:eastAsia="Times New Roman" w:hAnsi="Times New Roman" w:cs="Times New Roman"/>
          <w:b/>
          <w:bCs/>
          <w:sz w:val="12"/>
          <w:szCs w:val="12"/>
        </w:rPr>
      </w:pPr>
    </w:p>
    <w:p w14:paraId="4F2CC228" w14:textId="2FB55FF2" w:rsidR="004C0258" w:rsidRPr="004007B2" w:rsidRDefault="004C0258" w:rsidP="004C0258">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sz w:val="20"/>
          <w:szCs w:val="20"/>
        </w:rPr>
        <w:t xml:space="preserve">The surgical procedure was performed under local anesthesia. A crevicular incision was made, supplemented by an anterior releasing incision from the 41 </w:t>
      </w:r>
      <w:proofErr w:type="gramStart"/>
      <w:r w:rsidRPr="004007B2">
        <w:rPr>
          <w:rFonts w:ascii="Times New Roman" w:eastAsia="Times New Roman" w:hAnsi="Times New Roman" w:cs="Times New Roman"/>
          <w:sz w:val="20"/>
          <w:szCs w:val="20"/>
        </w:rPr>
        <w:t>region</w:t>
      </w:r>
      <w:proofErr w:type="gramEnd"/>
      <w:r w:rsidRPr="004007B2">
        <w:rPr>
          <w:rFonts w:ascii="Times New Roman" w:eastAsia="Times New Roman" w:hAnsi="Times New Roman" w:cs="Times New Roman"/>
          <w:sz w:val="20"/>
          <w:szCs w:val="20"/>
        </w:rPr>
        <w:t xml:space="preserve"> as given in Fig. 5. A mucoperiosteal flap was elevated to expose the site of pathology as given in Fig. 6. Surgical enucleation of the cyst was performed, and the bony socket was thoroughly irrigated as given in Fig. 7. Chemical cauterization was initially performed with </w:t>
      </w:r>
      <w:proofErr w:type="spellStart"/>
      <w:r w:rsidRPr="004007B2">
        <w:rPr>
          <w:rFonts w:ascii="Times New Roman" w:eastAsia="Times New Roman" w:hAnsi="Times New Roman" w:cs="Times New Roman"/>
          <w:sz w:val="20"/>
          <w:szCs w:val="20"/>
        </w:rPr>
        <w:t>Carnoy’s</w:t>
      </w:r>
      <w:proofErr w:type="spellEnd"/>
      <w:r w:rsidRPr="004007B2">
        <w:rPr>
          <w:rFonts w:ascii="Times New Roman" w:eastAsia="Times New Roman" w:hAnsi="Times New Roman" w:cs="Times New Roman"/>
          <w:sz w:val="20"/>
          <w:szCs w:val="20"/>
        </w:rPr>
        <w:t xml:space="preserve"> solution as given in Fig. 8.</w:t>
      </w:r>
    </w:p>
    <w:p w14:paraId="5C2786B4" w14:textId="77777777" w:rsidR="004F5D5B" w:rsidRPr="004007B2" w:rsidRDefault="004F5D5B" w:rsidP="004C0258">
      <w:pPr>
        <w:spacing w:after="0" w:line="240" w:lineRule="auto"/>
        <w:contextualSpacing/>
        <w:jc w:val="both"/>
        <w:rPr>
          <w:rFonts w:ascii="Times New Roman" w:eastAsia="Times New Roman" w:hAnsi="Times New Roman" w:cs="Times New Roman"/>
          <w:sz w:val="20"/>
          <w:szCs w:val="20"/>
        </w:rPr>
      </w:pPr>
    </w:p>
    <w:p w14:paraId="4342C09F" w14:textId="77777777" w:rsidR="004F5D5B" w:rsidRPr="004007B2" w:rsidRDefault="004F5D5B" w:rsidP="004F5D5B">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noProof/>
          <w:sz w:val="20"/>
          <w:szCs w:val="20"/>
        </w:rPr>
        <w:drawing>
          <wp:inline distT="0" distB="0" distL="0" distR="0" wp14:anchorId="26DBD164" wp14:editId="09DD9F5B">
            <wp:extent cx="2701579" cy="1368790"/>
            <wp:effectExtent l="0" t="0" r="0" b="0"/>
            <wp:docPr id="7423257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1460" cy="1373796"/>
                    </a:xfrm>
                    <a:prstGeom prst="rect">
                      <a:avLst/>
                    </a:prstGeom>
                    <a:noFill/>
                  </pic:spPr>
                </pic:pic>
              </a:graphicData>
            </a:graphic>
          </wp:inline>
        </w:drawing>
      </w:r>
    </w:p>
    <w:p w14:paraId="72E47DA2" w14:textId="77777777" w:rsidR="004F5D5B" w:rsidRPr="004007B2" w:rsidRDefault="004F5D5B" w:rsidP="004F5D5B">
      <w:pPr>
        <w:spacing w:after="0" w:line="240" w:lineRule="auto"/>
        <w:contextualSpacing/>
        <w:jc w:val="both"/>
        <w:rPr>
          <w:rFonts w:ascii="Times New Roman" w:eastAsia="Times New Roman" w:hAnsi="Times New Roman" w:cs="Times New Roman"/>
          <w:b/>
          <w:bCs/>
          <w:sz w:val="12"/>
          <w:szCs w:val="12"/>
        </w:rPr>
      </w:pPr>
    </w:p>
    <w:p w14:paraId="42B4A2F1" w14:textId="77777777" w:rsidR="004F5D5B" w:rsidRPr="004007B2" w:rsidRDefault="004F5D5B" w:rsidP="004F5D5B">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Fig. 5. FNAC Specimen</w:t>
      </w:r>
    </w:p>
    <w:p w14:paraId="0DB26CA1" w14:textId="77777777" w:rsidR="009B5B94" w:rsidRPr="004007B2" w:rsidRDefault="009B5B94" w:rsidP="004F5D5B">
      <w:pPr>
        <w:spacing w:after="0" w:line="240" w:lineRule="auto"/>
        <w:contextualSpacing/>
        <w:jc w:val="center"/>
        <w:rPr>
          <w:rFonts w:ascii="Times New Roman" w:eastAsia="Times New Roman" w:hAnsi="Times New Roman" w:cs="Times New Roman"/>
          <w:b/>
          <w:bCs/>
          <w:sz w:val="20"/>
          <w:szCs w:val="20"/>
        </w:rPr>
      </w:pPr>
    </w:p>
    <w:p w14:paraId="0C359C20" w14:textId="58FD5FE8" w:rsidR="00BE7629" w:rsidRPr="004007B2" w:rsidRDefault="0059299D"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noProof/>
          <w:sz w:val="20"/>
          <w:szCs w:val="20"/>
        </w:rPr>
        <w:drawing>
          <wp:inline distT="0" distB="0" distL="0" distR="0" wp14:anchorId="0DFBCA39" wp14:editId="66D7E2EC">
            <wp:extent cx="2152650" cy="1318159"/>
            <wp:effectExtent l="0" t="0" r="0" b="0"/>
            <wp:docPr id="1681119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05" cy="1329031"/>
                    </a:xfrm>
                    <a:prstGeom prst="rect">
                      <a:avLst/>
                    </a:prstGeom>
                    <a:noFill/>
                  </pic:spPr>
                </pic:pic>
              </a:graphicData>
            </a:graphic>
          </wp:inline>
        </w:drawing>
      </w:r>
    </w:p>
    <w:p w14:paraId="7FB3373C" w14:textId="77777777" w:rsidR="00BE7629" w:rsidRPr="004007B2" w:rsidRDefault="00BE7629" w:rsidP="00BE7629">
      <w:pPr>
        <w:spacing w:after="0" w:line="240" w:lineRule="auto"/>
        <w:contextualSpacing/>
        <w:jc w:val="both"/>
        <w:rPr>
          <w:rFonts w:ascii="Times New Roman" w:eastAsia="Times New Roman" w:hAnsi="Times New Roman" w:cs="Times New Roman"/>
          <w:b/>
          <w:bCs/>
          <w:sz w:val="12"/>
          <w:szCs w:val="12"/>
        </w:rPr>
      </w:pPr>
    </w:p>
    <w:p w14:paraId="195B012B" w14:textId="0B551A3B" w:rsidR="00BE7629"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Fig</w:t>
      </w:r>
      <w:r w:rsidR="0059299D" w:rsidRPr="004007B2">
        <w:rPr>
          <w:rFonts w:ascii="Times New Roman" w:eastAsia="Times New Roman" w:hAnsi="Times New Roman" w:cs="Times New Roman"/>
          <w:b/>
          <w:bCs/>
          <w:sz w:val="20"/>
          <w:szCs w:val="20"/>
        </w:rPr>
        <w:t xml:space="preserve">. </w:t>
      </w:r>
      <w:r w:rsidRPr="004007B2">
        <w:rPr>
          <w:rFonts w:ascii="Times New Roman" w:eastAsia="Times New Roman" w:hAnsi="Times New Roman" w:cs="Times New Roman"/>
          <w:b/>
          <w:bCs/>
          <w:sz w:val="20"/>
          <w:szCs w:val="20"/>
        </w:rPr>
        <w:t>6</w:t>
      </w:r>
      <w:r w:rsidR="0059299D" w:rsidRPr="004007B2">
        <w:rPr>
          <w:rFonts w:ascii="Times New Roman" w:eastAsia="Times New Roman" w:hAnsi="Times New Roman" w:cs="Times New Roman"/>
          <w:b/>
          <w:bCs/>
          <w:sz w:val="20"/>
          <w:szCs w:val="20"/>
        </w:rPr>
        <w:t>.</w:t>
      </w:r>
      <w:r w:rsidRPr="004007B2">
        <w:rPr>
          <w:rFonts w:ascii="Times New Roman" w:eastAsia="Times New Roman" w:hAnsi="Times New Roman" w:cs="Times New Roman"/>
          <w:b/>
          <w:bCs/>
          <w:sz w:val="20"/>
          <w:szCs w:val="20"/>
        </w:rPr>
        <w:t xml:space="preserve"> Crevicular Incision given and an Anterior releasing incision given from 41 region followed by Mucoperiosteal Flap elevation and exposure of site of pathology</w:t>
      </w:r>
    </w:p>
    <w:p w14:paraId="231223F5" w14:textId="0828C12F" w:rsidR="00BE7629" w:rsidRPr="004007B2" w:rsidRDefault="0059299D"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noProof/>
          <w:sz w:val="20"/>
          <w:szCs w:val="20"/>
        </w:rPr>
        <w:lastRenderedPageBreak/>
        <w:drawing>
          <wp:inline distT="0" distB="0" distL="0" distR="0" wp14:anchorId="15C40C33" wp14:editId="1AA6D329">
            <wp:extent cx="2203450" cy="1337982"/>
            <wp:effectExtent l="0" t="0" r="0" b="0"/>
            <wp:docPr id="1960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492" cy="1348937"/>
                    </a:xfrm>
                    <a:prstGeom prst="rect">
                      <a:avLst/>
                    </a:prstGeom>
                    <a:noFill/>
                  </pic:spPr>
                </pic:pic>
              </a:graphicData>
            </a:graphic>
          </wp:inline>
        </w:drawing>
      </w:r>
    </w:p>
    <w:p w14:paraId="02067E56" w14:textId="77777777" w:rsidR="0059299D" w:rsidRPr="004007B2" w:rsidRDefault="00BE7629" w:rsidP="00BE7629">
      <w:pPr>
        <w:spacing w:after="0" w:line="240" w:lineRule="auto"/>
        <w:contextualSpacing/>
        <w:jc w:val="both"/>
        <w:rPr>
          <w:rFonts w:ascii="Times New Roman" w:eastAsia="Times New Roman" w:hAnsi="Times New Roman" w:cs="Times New Roman"/>
          <w:b/>
          <w:bCs/>
          <w:sz w:val="12"/>
          <w:szCs w:val="12"/>
        </w:rPr>
      </w:pPr>
      <w:r w:rsidRPr="004007B2">
        <w:rPr>
          <w:rFonts w:ascii="Times New Roman" w:eastAsia="Times New Roman" w:hAnsi="Times New Roman" w:cs="Times New Roman"/>
          <w:b/>
          <w:bCs/>
          <w:sz w:val="12"/>
          <w:szCs w:val="12"/>
        </w:rPr>
        <w:t xml:space="preserve"> </w:t>
      </w:r>
    </w:p>
    <w:p w14:paraId="09FA3EB5" w14:textId="141D05BA" w:rsidR="00BE7629"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Fig</w:t>
      </w:r>
      <w:r w:rsidR="0059299D" w:rsidRPr="004007B2">
        <w:rPr>
          <w:rFonts w:ascii="Times New Roman" w:eastAsia="Times New Roman" w:hAnsi="Times New Roman" w:cs="Times New Roman"/>
          <w:b/>
          <w:bCs/>
          <w:sz w:val="20"/>
          <w:szCs w:val="20"/>
        </w:rPr>
        <w:t xml:space="preserve">. </w:t>
      </w:r>
      <w:r w:rsidRPr="004007B2">
        <w:rPr>
          <w:rFonts w:ascii="Times New Roman" w:eastAsia="Times New Roman" w:hAnsi="Times New Roman" w:cs="Times New Roman"/>
          <w:b/>
          <w:bCs/>
          <w:sz w:val="20"/>
          <w:szCs w:val="20"/>
        </w:rPr>
        <w:t>7</w:t>
      </w:r>
      <w:r w:rsidR="0059299D" w:rsidRPr="004007B2">
        <w:rPr>
          <w:rFonts w:ascii="Times New Roman" w:eastAsia="Times New Roman" w:hAnsi="Times New Roman" w:cs="Times New Roman"/>
          <w:b/>
          <w:bCs/>
          <w:sz w:val="20"/>
          <w:szCs w:val="20"/>
        </w:rPr>
        <w:t>.</w:t>
      </w:r>
      <w:r w:rsidRPr="004007B2">
        <w:rPr>
          <w:rFonts w:ascii="Times New Roman" w:eastAsia="Times New Roman" w:hAnsi="Times New Roman" w:cs="Times New Roman"/>
          <w:b/>
          <w:bCs/>
          <w:sz w:val="20"/>
          <w:szCs w:val="20"/>
        </w:rPr>
        <w:t xml:space="preserve"> Surgical enucleation and bony socket irrigated and chemical cauterization done with </w:t>
      </w:r>
      <w:proofErr w:type="spellStart"/>
      <w:r w:rsidRPr="004007B2">
        <w:rPr>
          <w:rFonts w:ascii="Times New Roman" w:eastAsia="Times New Roman" w:hAnsi="Times New Roman" w:cs="Times New Roman"/>
          <w:b/>
          <w:bCs/>
          <w:sz w:val="20"/>
          <w:szCs w:val="20"/>
        </w:rPr>
        <w:t>Carnoy’s</w:t>
      </w:r>
      <w:proofErr w:type="spellEnd"/>
      <w:r w:rsidRPr="004007B2">
        <w:rPr>
          <w:rFonts w:ascii="Times New Roman" w:eastAsia="Times New Roman" w:hAnsi="Times New Roman" w:cs="Times New Roman"/>
          <w:b/>
          <w:bCs/>
          <w:sz w:val="20"/>
          <w:szCs w:val="20"/>
        </w:rPr>
        <w:t xml:space="preserve"> solution</w:t>
      </w:r>
    </w:p>
    <w:p w14:paraId="36FAF6CF" w14:textId="77777777" w:rsidR="00BE7629" w:rsidRPr="004007B2" w:rsidRDefault="00BE7629" w:rsidP="00BE7629">
      <w:pPr>
        <w:spacing w:after="0" w:line="240" w:lineRule="auto"/>
        <w:contextualSpacing/>
        <w:jc w:val="both"/>
        <w:rPr>
          <w:rFonts w:ascii="Times New Roman" w:eastAsia="Times New Roman" w:hAnsi="Times New Roman" w:cs="Times New Roman"/>
          <w:b/>
          <w:bCs/>
          <w:sz w:val="12"/>
          <w:szCs w:val="12"/>
        </w:rPr>
      </w:pPr>
    </w:p>
    <w:p w14:paraId="1BCC5714" w14:textId="1E87E7D7" w:rsidR="001A0FE8"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noProof/>
          <w:sz w:val="20"/>
          <w:szCs w:val="20"/>
        </w:rPr>
        <w:drawing>
          <wp:inline distT="0" distB="0" distL="0" distR="0" wp14:anchorId="7097A5A2" wp14:editId="1A168BCF">
            <wp:extent cx="1898073" cy="1802315"/>
            <wp:effectExtent l="0" t="0" r="0" b="0"/>
            <wp:docPr id="7" name="Picture 6">
              <a:extLst xmlns:a="http://schemas.openxmlformats.org/drawingml/2006/main">
                <a:ext uri="{FF2B5EF4-FFF2-40B4-BE49-F238E27FC236}">
                  <a16:creationId xmlns:a16="http://schemas.microsoft.com/office/drawing/2014/main" id="{8D94A9A8-C7DA-18FC-0426-436866D62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D94A9A8-C7DA-18FC-0426-436866D62620}"/>
                        </a:ext>
                      </a:extLst>
                    </pic:cNvPr>
                    <pic:cNvPicPr>
                      <a:picLocks noChangeAspect="1"/>
                    </pic:cNvPicPr>
                  </pic:nvPicPr>
                  <pic:blipFill>
                    <a:blip r:embed="rId16" cstate="print">
                      <a:extLst>
                        <a:ext uri="{28A0092B-C50C-407E-A947-70E740481C1C}">
                          <a14:useLocalDpi xmlns:a14="http://schemas.microsoft.com/office/drawing/2010/main" val="0"/>
                        </a:ext>
                      </a:extLst>
                    </a:blip>
                    <a:srcRect t="3981" r="10093" b="10648"/>
                    <a:stretch>
                      <a:fillRect/>
                    </a:stretch>
                  </pic:blipFill>
                  <pic:spPr>
                    <a:xfrm>
                      <a:off x="0" y="0"/>
                      <a:ext cx="1908369" cy="1812092"/>
                    </a:xfrm>
                    <a:prstGeom prst="rect">
                      <a:avLst/>
                    </a:prstGeom>
                  </pic:spPr>
                </pic:pic>
              </a:graphicData>
            </a:graphic>
          </wp:inline>
        </w:drawing>
      </w:r>
    </w:p>
    <w:p w14:paraId="3CB998E2" w14:textId="77777777" w:rsidR="001A0FE8" w:rsidRPr="004007B2" w:rsidRDefault="001A0FE8" w:rsidP="00BE7629">
      <w:pPr>
        <w:spacing w:after="0" w:line="240" w:lineRule="auto"/>
        <w:contextualSpacing/>
        <w:jc w:val="both"/>
        <w:rPr>
          <w:rFonts w:ascii="Times New Roman" w:eastAsia="Times New Roman" w:hAnsi="Times New Roman" w:cs="Times New Roman"/>
          <w:b/>
          <w:bCs/>
          <w:sz w:val="12"/>
          <w:szCs w:val="12"/>
        </w:rPr>
      </w:pPr>
    </w:p>
    <w:p w14:paraId="5B83F316" w14:textId="5ED5ECAF" w:rsidR="001A0FE8"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Fi</w:t>
      </w:r>
      <w:r w:rsidR="001A0FE8" w:rsidRPr="004007B2">
        <w:rPr>
          <w:rFonts w:ascii="Times New Roman" w:eastAsia="Times New Roman" w:hAnsi="Times New Roman" w:cs="Times New Roman"/>
          <w:b/>
          <w:bCs/>
          <w:sz w:val="20"/>
          <w:szCs w:val="20"/>
        </w:rPr>
        <w:t xml:space="preserve">g. </w:t>
      </w:r>
      <w:r w:rsidRPr="004007B2">
        <w:rPr>
          <w:rFonts w:ascii="Times New Roman" w:eastAsia="Times New Roman" w:hAnsi="Times New Roman" w:cs="Times New Roman"/>
          <w:b/>
          <w:bCs/>
          <w:sz w:val="20"/>
          <w:szCs w:val="20"/>
        </w:rPr>
        <w:t>8</w:t>
      </w:r>
      <w:r w:rsidR="001A0FE8" w:rsidRPr="004007B2">
        <w:rPr>
          <w:rFonts w:ascii="Times New Roman" w:eastAsia="Times New Roman" w:hAnsi="Times New Roman" w:cs="Times New Roman"/>
          <w:b/>
          <w:bCs/>
          <w:sz w:val="20"/>
          <w:szCs w:val="20"/>
        </w:rPr>
        <w:t xml:space="preserve">. </w:t>
      </w:r>
      <w:r w:rsidRPr="004007B2">
        <w:rPr>
          <w:rFonts w:ascii="Times New Roman" w:eastAsia="Times New Roman" w:hAnsi="Times New Roman" w:cs="Times New Roman"/>
          <w:b/>
          <w:bCs/>
          <w:sz w:val="20"/>
          <w:szCs w:val="20"/>
        </w:rPr>
        <w:t>Fluorouracil ointment</w:t>
      </w:r>
    </w:p>
    <w:p w14:paraId="6BADA954" w14:textId="77777777" w:rsidR="001A0FE8" w:rsidRPr="004007B2" w:rsidRDefault="001A0FE8" w:rsidP="00BE7629">
      <w:pPr>
        <w:spacing w:after="0" w:line="240" w:lineRule="auto"/>
        <w:contextualSpacing/>
        <w:jc w:val="both"/>
        <w:rPr>
          <w:rFonts w:ascii="Times New Roman" w:eastAsia="Times New Roman" w:hAnsi="Times New Roman" w:cs="Times New Roman"/>
          <w:b/>
          <w:bCs/>
          <w:sz w:val="12"/>
          <w:szCs w:val="12"/>
        </w:rPr>
      </w:pPr>
    </w:p>
    <w:p w14:paraId="141C3E88" w14:textId="019A08D2" w:rsidR="001A0FE8" w:rsidRPr="004007B2" w:rsidRDefault="001A0FE8"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noProof/>
          <w:sz w:val="20"/>
          <w:szCs w:val="20"/>
        </w:rPr>
        <w:drawing>
          <wp:inline distT="0" distB="0" distL="0" distR="0" wp14:anchorId="0D510156" wp14:editId="0D2AAD8D">
            <wp:extent cx="2212913" cy="1399309"/>
            <wp:effectExtent l="0" t="0" r="0" b="0"/>
            <wp:docPr id="19" name="Picture 18">
              <a:extLst xmlns:a="http://schemas.openxmlformats.org/drawingml/2006/main">
                <a:ext uri="{FF2B5EF4-FFF2-40B4-BE49-F238E27FC236}">
                  <a16:creationId xmlns:a16="http://schemas.microsoft.com/office/drawing/2014/main" id="{1695F5F9-340A-934E-AF1C-C94F3523A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1695F5F9-340A-934E-AF1C-C94F3523A3B8}"/>
                        </a:ext>
                      </a:extLst>
                    </pic:cNvPr>
                    <pic:cNvPicPr>
                      <a:picLocks noChangeAspect="1"/>
                    </pic:cNvPicPr>
                  </pic:nvPicPr>
                  <pic:blipFill>
                    <a:blip r:embed="rId17" cstate="print">
                      <a:extLst>
                        <a:ext uri="{28A0092B-C50C-407E-A947-70E740481C1C}">
                          <a14:useLocalDpi xmlns:a14="http://schemas.microsoft.com/office/drawing/2010/main" val="0"/>
                        </a:ext>
                      </a:extLst>
                    </a:blip>
                    <a:srcRect l="4432" t="3039" r="9662"/>
                    <a:stretch>
                      <a:fillRect/>
                    </a:stretch>
                  </pic:blipFill>
                  <pic:spPr>
                    <a:xfrm>
                      <a:off x="0" y="0"/>
                      <a:ext cx="2379192" cy="1504454"/>
                    </a:xfrm>
                    <a:prstGeom prst="rect">
                      <a:avLst/>
                    </a:prstGeom>
                  </pic:spPr>
                </pic:pic>
              </a:graphicData>
            </a:graphic>
          </wp:inline>
        </w:drawing>
      </w:r>
    </w:p>
    <w:p w14:paraId="44295B22" w14:textId="77777777" w:rsidR="001A0FE8" w:rsidRPr="004007B2" w:rsidRDefault="001A0FE8" w:rsidP="00BE7629">
      <w:pPr>
        <w:spacing w:after="0" w:line="240" w:lineRule="auto"/>
        <w:contextualSpacing/>
        <w:jc w:val="both"/>
        <w:rPr>
          <w:rFonts w:ascii="Times New Roman" w:eastAsia="Times New Roman" w:hAnsi="Times New Roman" w:cs="Times New Roman"/>
          <w:b/>
          <w:bCs/>
          <w:sz w:val="12"/>
          <w:szCs w:val="12"/>
        </w:rPr>
      </w:pPr>
    </w:p>
    <w:p w14:paraId="54DB2A15" w14:textId="4FE5DDA6" w:rsidR="00BE7629"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Fig</w:t>
      </w:r>
      <w:r w:rsidR="001A0FE8" w:rsidRPr="004007B2">
        <w:rPr>
          <w:rFonts w:ascii="Times New Roman" w:eastAsia="Times New Roman" w:hAnsi="Times New Roman" w:cs="Times New Roman"/>
          <w:b/>
          <w:bCs/>
          <w:sz w:val="20"/>
          <w:szCs w:val="20"/>
        </w:rPr>
        <w:t xml:space="preserve">. </w:t>
      </w:r>
      <w:r w:rsidRPr="004007B2">
        <w:rPr>
          <w:rFonts w:ascii="Times New Roman" w:eastAsia="Times New Roman" w:hAnsi="Times New Roman" w:cs="Times New Roman"/>
          <w:b/>
          <w:bCs/>
          <w:sz w:val="20"/>
          <w:szCs w:val="20"/>
        </w:rPr>
        <w:t>9</w:t>
      </w:r>
      <w:r w:rsidR="001A0FE8" w:rsidRPr="004007B2">
        <w:rPr>
          <w:rFonts w:ascii="Times New Roman" w:eastAsia="Times New Roman" w:hAnsi="Times New Roman" w:cs="Times New Roman"/>
          <w:b/>
          <w:bCs/>
          <w:sz w:val="20"/>
          <w:szCs w:val="20"/>
        </w:rPr>
        <w:t>.</w:t>
      </w:r>
      <w:r w:rsidRPr="004007B2">
        <w:rPr>
          <w:rFonts w:ascii="Times New Roman" w:eastAsia="Times New Roman" w:hAnsi="Times New Roman" w:cs="Times New Roman"/>
          <w:b/>
          <w:bCs/>
          <w:sz w:val="20"/>
          <w:szCs w:val="20"/>
        </w:rPr>
        <w:t xml:space="preserve"> 5-Fluorouracil coated gauze</w:t>
      </w:r>
    </w:p>
    <w:p w14:paraId="5E897BB2" w14:textId="77777777" w:rsidR="009B5B94" w:rsidRPr="004007B2" w:rsidRDefault="009B5B94" w:rsidP="00672DBB">
      <w:pPr>
        <w:spacing w:after="0" w:line="240" w:lineRule="auto"/>
        <w:contextualSpacing/>
        <w:jc w:val="both"/>
        <w:rPr>
          <w:rFonts w:ascii="Times New Roman" w:eastAsia="Times New Roman" w:hAnsi="Times New Roman" w:cs="Times New Roman"/>
          <w:sz w:val="12"/>
          <w:szCs w:val="12"/>
        </w:rPr>
      </w:pPr>
    </w:p>
    <w:p w14:paraId="763B482A" w14:textId="7E675DE1" w:rsidR="00672DBB" w:rsidRPr="004007B2" w:rsidRDefault="00672DBB" w:rsidP="00672DBB">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sz w:val="20"/>
          <w:szCs w:val="20"/>
        </w:rPr>
        <w:t xml:space="preserve">To further minimize the risk of recurrence, 5-Fluorouracil (5-FU) ointment as given in Fig. 9 was applied. A 5-FU coated gauze was packed into the bony cavity as given in Fig. 10 for a duration of 24 hours. Interdental sutures were then placed from the 41 to 48 </w:t>
      </w:r>
      <w:proofErr w:type="gramStart"/>
      <w:r w:rsidRPr="004007B2">
        <w:rPr>
          <w:rFonts w:ascii="Times New Roman" w:eastAsia="Times New Roman" w:hAnsi="Times New Roman" w:cs="Times New Roman"/>
          <w:sz w:val="20"/>
          <w:szCs w:val="20"/>
        </w:rPr>
        <w:t>region</w:t>
      </w:r>
      <w:proofErr w:type="gramEnd"/>
      <w:r w:rsidRPr="004007B2">
        <w:rPr>
          <w:rFonts w:ascii="Times New Roman" w:eastAsia="Times New Roman" w:hAnsi="Times New Roman" w:cs="Times New Roman"/>
          <w:sz w:val="20"/>
          <w:szCs w:val="20"/>
        </w:rPr>
        <w:t xml:space="preserve"> as given in Fig. 11. The surgical specimen, measuring 2x2 cm as given in Fig. 12, was sent for a formal histopathological examination. The final biopsy report as given in Fig</w:t>
      </w:r>
      <w:r w:rsidR="009B5B94" w:rsidRPr="004007B2">
        <w:rPr>
          <w:rFonts w:ascii="Times New Roman" w:eastAsia="Times New Roman" w:hAnsi="Times New Roman" w:cs="Times New Roman"/>
          <w:sz w:val="20"/>
          <w:szCs w:val="20"/>
        </w:rPr>
        <w:t>.</w:t>
      </w:r>
      <w:r w:rsidRPr="004007B2">
        <w:rPr>
          <w:rFonts w:ascii="Times New Roman" w:eastAsia="Times New Roman" w:hAnsi="Times New Roman" w:cs="Times New Roman"/>
          <w:sz w:val="20"/>
          <w:szCs w:val="20"/>
        </w:rPr>
        <w:t xml:space="preserve"> 13 confirmed the diagnosis of an Odontogenic </w:t>
      </w:r>
      <w:proofErr w:type="spellStart"/>
      <w:r w:rsidRPr="004007B2">
        <w:rPr>
          <w:rFonts w:ascii="Times New Roman" w:eastAsia="Times New Roman" w:hAnsi="Times New Roman" w:cs="Times New Roman"/>
          <w:sz w:val="20"/>
          <w:szCs w:val="20"/>
        </w:rPr>
        <w:t>Keratocyst</w:t>
      </w:r>
      <w:proofErr w:type="spellEnd"/>
      <w:r w:rsidRPr="004007B2">
        <w:rPr>
          <w:rFonts w:ascii="Times New Roman" w:eastAsia="Times New Roman" w:hAnsi="Times New Roman" w:cs="Times New Roman"/>
          <w:sz w:val="20"/>
          <w:szCs w:val="20"/>
        </w:rPr>
        <w:t>. To manage the large defect and facilitate healing, an obturator was fabricated and placed as given in Fig. 14.</w:t>
      </w:r>
    </w:p>
    <w:p w14:paraId="5124A0F2" w14:textId="77777777" w:rsidR="00672DBB" w:rsidRPr="004007B2" w:rsidRDefault="00672DBB" w:rsidP="00BE7629">
      <w:pPr>
        <w:spacing w:after="0" w:line="240" w:lineRule="auto"/>
        <w:contextualSpacing/>
        <w:jc w:val="both"/>
        <w:rPr>
          <w:rFonts w:ascii="Times New Roman" w:eastAsia="Times New Roman" w:hAnsi="Times New Roman" w:cs="Times New Roman"/>
          <w:b/>
          <w:bCs/>
          <w:sz w:val="12"/>
          <w:szCs w:val="12"/>
        </w:rPr>
      </w:pPr>
    </w:p>
    <w:p w14:paraId="12E73564" w14:textId="74B914D7" w:rsidR="00BE7629"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noProof/>
          <w:sz w:val="20"/>
          <w:szCs w:val="20"/>
        </w:rPr>
        <w:drawing>
          <wp:inline distT="0" distB="0" distL="0" distR="0" wp14:anchorId="7AB5B7D6" wp14:editId="7EFB63A5">
            <wp:extent cx="2389153" cy="1489363"/>
            <wp:effectExtent l="0" t="0" r="0" b="0"/>
            <wp:docPr id="13" name="Picture 12">
              <a:extLst xmlns:a="http://schemas.openxmlformats.org/drawingml/2006/main">
                <a:ext uri="{FF2B5EF4-FFF2-40B4-BE49-F238E27FC236}">
                  <a16:creationId xmlns:a16="http://schemas.microsoft.com/office/drawing/2014/main" id="{0D529800-7588-EF32-ABB1-A8CC363BD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D529800-7588-EF32-ABB1-A8CC363BDD93}"/>
                        </a:ext>
                      </a:extLst>
                    </pic:cNvPr>
                    <pic:cNvPicPr>
                      <a:picLocks noChangeAspect="1"/>
                    </pic:cNvPicPr>
                  </pic:nvPicPr>
                  <pic:blipFill>
                    <a:blip r:embed="rId18" cstate="print">
                      <a:extLst>
                        <a:ext uri="{28A0092B-C50C-407E-A947-70E740481C1C}">
                          <a14:useLocalDpi xmlns:a14="http://schemas.microsoft.com/office/drawing/2010/main" val="0"/>
                        </a:ext>
                      </a:extLst>
                    </a:blip>
                    <a:srcRect l="14109" t="50515" r="13613" b="4428"/>
                    <a:stretch>
                      <a:fillRect/>
                    </a:stretch>
                  </pic:blipFill>
                  <pic:spPr>
                    <a:xfrm>
                      <a:off x="0" y="0"/>
                      <a:ext cx="2506477" cy="1562501"/>
                    </a:xfrm>
                    <a:prstGeom prst="rect">
                      <a:avLst/>
                    </a:prstGeom>
                  </pic:spPr>
                </pic:pic>
              </a:graphicData>
            </a:graphic>
          </wp:inline>
        </w:drawing>
      </w:r>
    </w:p>
    <w:p w14:paraId="262B5182" w14:textId="77777777" w:rsidR="00BE7629" w:rsidRPr="004007B2" w:rsidRDefault="00BE7629" w:rsidP="00BE7629">
      <w:pPr>
        <w:spacing w:after="0" w:line="240" w:lineRule="auto"/>
        <w:contextualSpacing/>
        <w:jc w:val="both"/>
        <w:rPr>
          <w:rFonts w:ascii="Times New Roman" w:eastAsia="Times New Roman" w:hAnsi="Times New Roman" w:cs="Times New Roman"/>
          <w:b/>
          <w:bCs/>
          <w:sz w:val="12"/>
          <w:szCs w:val="12"/>
        </w:rPr>
      </w:pPr>
    </w:p>
    <w:p w14:paraId="66E2AFEE" w14:textId="07743B10" w:rsidR="00BE7629"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Fig</w:t>
      </w:r>
      <w:r w:rsidR="001A0FE8" w:rsidRPr="004007B2">
        <w:rPr>
          <w:rFonts w:ascii="Times New Roman" w:eastAsia="Times New Roman" w:hAnsi="Times New Roman" w:cs="Times New Roman"/>
          <w:b/>
          <w:bCs/>
          <w:sz w:val="20"/>
          <w:szCs w:val="20"/>
        </w:rPr>
        <w:t xml:space="preserve">. </w:t>
      </w:r>
      <w:r w:rsidRPr="004007B2">
        <w:rPr>
          <w:rFonts w:ascii="Times New Roman" w:eastAsia="Times New Roman" w:hAnsi="Times New Roman" w:cs="Times New Roman"/>
          <w:b/>
          <w:bCs/>
          <w:sz w:val="20"/>
          <w:szCs w:val="20"/>
        </w:rPr>
        <w:t>10</w:t>
      </w:r>
      <w:r w:rsidR="001A0FE8" w:rsidRPr="004007B2">
        <w:rPr>
          <w:rFonts w:ascii="Times New Roman" w:eastAsia="Times New Roman" w:hAnsi="Times New Roman" w:cs="Times New Roman"/>
          <w:b/>
          <w:bCs/>
          <w:sz w:val="20"/>
          <w:szCs w:val="20"/>
        </w:rPr>
        <w:t>.</w:t>
      </w:r>
      <w:r w:rsidRPr="004007B2">
        <w:rPr>
          <w:rFonts w:ascii="Times New Roman" w:eastAsia="Times New Roman" w:hAnsi="Times New Roman" w:cs="Times New Roman"/>
          <w:b/>
          <w:bCs/>
          <w:sz w:val="20"/>
          <w:szCs w:val="20"/>
        </w:rPr>
        <w:t xml:space="preserve"> Interdental sutures placed in 41-48 region</w:t>
      </w:r>
    </w:p>
    <w:p w14:paraId="6BB0DB62" w14:textId="77777777" w:rsidR="00BE7629"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noProof/>
          <w:sz w:val="20"/>
          <w:szCs w:val="20"/>
        </w:rPr>
        <w:lastRenderedPageBreak/>
        <w:drawing>
          <wp:inline distT="0" distB="0" distL="0" distR="0" wp14:anchorId="3376A1E7" wp14:editId="1A300D02">
            <wp:extent cx="3990109" cy="1619738"/>
            <wp:effectExtent l="0" t="0" r="0" b="0"/>
            <wp:docPr id="1171864478" name="Picture 4">
              <a:extLst xmlns:a="http://schemas.openxmlformats.org/drawingml/2006/main">
                <a:ext uri="{FF2B5EF4-FFF2-40B4-BE49-F238E27FC236}">
                  <a16:creationId xmlns:a16="http://schemas.microsoft.com/office/drawing/2014/main" id="{727C7D56-70D2-9C39-17D5-E099CDF1D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27C7D56-70D2-9C39-17D5-E099CDF1D7E0}"/>
                        </a:ext>
                      </a:extLst>
                    </pic:cNvPr>
                    <pic:cNvPicPr>
                      <a:picLocks noChangeAspect="1"/>
                    </pic:cNvPicPr>
                  </pic:nvPicPr>
                  <pic:blipFill>
                    <a:blip r:embed="rId19" cstate="print">
                      <a:extLst>
                        <a:ext uri="{28A0092B-C50C-407E-A947-70E740481C1C}">
                          <a14:useLocalDpi xmlns:a14="http://schemas.microsoft.com/office/drawing/2010/main" val="0"/>
                        </a:ext>
                      </a:extLst>
                    </a:blip>
                    <a:srcRect t="25556" r="6944" b="36667"/>
                    <a:stretch>
                      <a:fillRect/>
                    </a:stretch>
                  </pic:blipFill>
                  <pic:spPr>
                    <a:xfrm>
                      <a:off x="0" y="0"/>
                      <a:ext cx="4033594" cy="1637390"/>
                    </a:xfrm>
                    <a:prstGeom prst="rect">
                      <a:avLst/>
                    </a:prstGeom>
                  </pic:spPr>
                </pic:pic>
              </a:graphicData>
            </a:graphic>
          </wp:inline>
        </w:drawing>
      </w:r>
    </w:p>
    <w:p w14:paraId="50D3FC9F" w14:textId="77777777" w:rsidR="001A0FE8" w:rsidRPr="004007B2" w:rsidRDefault="001A0FE8" w:rsidP="00BE7629">
      <w:pPr>
        <w:spacing w:after="0" w:line="240" w:lineRule="auto"/>
        <w:contextualSpacing/>
        <w:jc w:val="both"/>
        <w:rPr>
          <w:rFonts w:ascii="Times New Roman" w:eastAsia="Times New Roman" w:hAnsi="Times New Roman" w:cs="Times New Roman"/>
          <w:b/>
          <w:bCs/>
          <w:sz w:val="20"/>
          <w:szCs w:val="20"/>
        </w:rPr>
      </w:pPr>
    </w:p>
    <w:p w14:paraId="7ADD2686" w14:textId="43CD9B8F" w:rsidR="00BE7629"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Fig</w:t>
      </w:r>
      <w:r w:rsidR="001A0FE8" w:rsidRPr="004007B2">
        <w:rPr>
          <w:rFonts w:ascii="Times New Roman" w:eastAsia="Times New Roman" w:hAnsi="Times New Roman" w:cs="Times New Roman"/>
          <w:b/>
          <w:bCs/>
          <w:sz w:val="20"/>
          <w:szCs w:val="20"/>
        </w:rPr>
        <w:t xml:space="preserve">. </w:t>
      </w:r>
      <w:r w:rsidRPr="004007B2">
        <w:rPr>
          <w:rFonts w:ascii="Times New Roman" w:eastAsia="Times New Roman" w:hAnsi="Times New Roman" w:cs="Times New Roman"/>
          <w:b/>
          <w:bCs/>
          <w:sz w:val="20"/>
          <w:szCs w:val="20"/>
        </w:rPr>
        <w:t>11</w:t>
      </w:r>
      <w:r w:rsidR="001A0FE8" w:rsidRPr="004007B2">
        <w:rPr>
          <w:rFonts w:ascii="Times New Roman" w:eastAsia="Times New Roman" w:hAnsi="Times New Roman" w:cs="Times New Roman"/>
          <w:b/>
          <w:bCs/>
          <w:sz w:val="20"/>
          <w:szCs w:val="20"/>
        </w:rPr>
        <w:t>.</w:t>
      </w:r>
      <w:r w:rsidRPr="004007B2">
        <w:rPr>
          <w:rFonts w:ascii="Times New Roman" w:eastAsia="Times New Roman" w:hAnsi="Times New Roman" w:cs="Times New Roman"/>
          <w:b/>
          <w:bCs/>
          <w:sz w:val="20"/>
          <w:szCs w:val="20"/>
        </w:rPr>
        <w:t xml:space="preserve"> Biopsy Specimen 2x2cm in size sent for histopathological examination</w:t>
      </w:r>
    </w:p>
    <w:p w14:paraId="111BE07D" w14:textId="77777777" w:rsidR="00BE7629" w:rsidRPr="004007B2" w:rsidRDefault="00BE7629" w:rsidP="00BE7629">
      <w:pPr>
        <w:spacing w:after="0" w:line="240" w:lineRule="auto"/>
        <w:contextualSpacing/>
        <w:jc w:val="both"/>
        <w:rPr>
          <w:rFonts w:ascii="Times New Roman" w:eastAsia="Times New Roman" w:hAnsi="Times New Roman" w:cs="Times New Roman"/>
          <w:b/>
          <w:bCs/>
          <w:sz w:val="20"/>
          <w:szCs w:val="20"/>
        </w:rPr>
      </w:pPr>
    </w:p>
    <w:p w14:paraId="757FCDFC" w14:textId="5F8F7875" w:rsidR="00BE7629"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noProof/>
          <w:sz w:val="20"/>
          <w:szCs w:val="20"/>
        </w:rPr>
        <w:drawing>
          <wp:inline distT="0" distB="0" distL="0" distR="0" wp14:anchorId="2A812C7A" wp14:editId="32D6E085">
            <wp:extent cx="4233989" cy="5881255"/>
            <wp:effectExtent l="0" t="0" r="0" b="0"/>
            <wp:docPr id="192153863" name="Picture 4">
              <a:extLst xmlns:a="http://schemas.openxmlformats.org/drawingml/2006/main">
                <a:ext uri="{FF2B5EF4-FFF2-40B4-BE49-F238E27FC236}">
                  <a16:creationId xmlns:a16="http://schemas.microsoft.com/office/drawing/2014/main" id="{D0E19DCC-78DA-1C10-7DA9-31F86C0D0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E19DCC-78DA-1C10-7DA9-31F86C0D0741}"/>
                        </a:ext>
                      </a:extLst>
                    </pic:cNvPr>
                    <pic:cNvPicPr>
                      <a:picLocks noChangeAspect="1"/>
                    </pic:cNvPicPr>
                  </pic:nvPicPr>
                  <pic:blipFill>
                    <a:blip r:embed="rId20"/>
                    <a:stretch>
                      <a:fillRect/>
                    </a:stretch>
                  </pic:blipFill>
                  <pic:spPr>
                    <a:xfrm>
                      <a:off x="0" y="0"/>
                      <a:ext cx="4269424" cy="5930476"/>
                    </a:xfrm>
                    <a:prstGeom prst="rect">
                      <a:avLst/>
                    </a:prstGeom>
                  </pic:spPr>
                </pic:pic>
              </a:graphicData>
            </a:graphic>
          </wp:inline>
        </w:drawing>
      </w:r>
    </w:p>
    <w:p w14:paraId="2555D5A6" w14:textId="77777777" w:rsidR="001A0FE8" w:rsidRPr="004007B2" w:rsidRDefault="001A0FE8" w:rsidP="00BE7629">
      <w:pPr>
        <w:spacing w:after="0" w:line="240" w:lineRule="auto"/>
        <w:contextualSpacing/>
        <w:jc w:val="both"/>
        <w:rPr>
          <w:rFonts w:ascii="Times New Roman" w:eastAsia="Times New Roman" w:hAnsi="Times New Roman" w:cs="Times New Roman"/>
          <w:b/>
          <w:bCs/>
          <w:sz w:val="20"/>
          <w:szCs w:val="20"/>
        </w:rPr>
      </w:pPr>
    </w:p>
    <w:p w14:paraId="11FB9D92" w14:textId="0AA0ACAD" w:rsidR="00BE7629"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Fig</w:t>
      </w:r>
      <w:r w:rsidR="001A0FE8" w:rsidRPr="004007B2">
        <w:rPr>
          <w:rFonts w:ascii="Times New Roman" w:eastAsia="Times New Roman" w:hAnsi="Times New Roman" w:cs="Times New Roman"/>
          <w:b/>
          <w:bCs/>
          <w:sz w:val="20"/>
          <w:szCs w:val="20"/>
        </w:rPr>
        <w:t xml:space="preserve">. </w:t>
      </w:r>
      <w:r w:rsidRPr="004007B2">
        <w:rPr>
          <w:rFonts w:ascii="Times New Roman" w:eastAsia="Times New Roman" w:hAnsi="Times New Roman" w:cs="Times New Roman"/>
          <w:b/>
          <w:bCs/>
          <w:sz w:val="20"/>
          <w:szCs w:val="20"/>
        </w:rPr>
        <w:t>1</w:t>
      </w:r>
      <w:r w:rsidR="001A0FE8" w:rsidRPr="004007B2">
        <w:rPr>
          <w:rFonts w:ascii="Times New Roman" w:eastAsia="Times New Roman" w:hAnsi="Times New Roman" w:cs="Times New Roman"/>
          <w:b/>
          <w:bCs/>
          <w:sz w:val="20"/>
          <w:szCs w:val="20"/>
        </w:rPr>
        <w:t>2.</w:t>
      </w:r>
      <w:r w:rsidRPr="004007B2">
        <w:rPr>
          <w:rFonts w:ascii="Times New Roman" w:eastAsia="Times New Roman" w:hAnsi="Times New Roman" w:cs="Times New Roman"/>
          <w:b/>
          <w:bCs/>
          <w:sz w:val="20"/>
          <w:szCs w:val="20"/>
        </w:rPr>
        <w:t xml:space="preserve"> Biopsy report reveals Odontogenic </w:t>
      </w:r>
      <w:proofErr w:type="spellStart"/>
      <w:r w:rsidRPr="004007B2">
        <w:rPr>
          <w:rFonts w:ascii="Times New Roman" w:eastAsia="Times New Roman" w:hAnsi="Times New Roman" w:cs="Times New Roman"/>
          <w:b/>
          <w:bCs/>
          <w:sz w:val="20"/>
          <w:szCs w:val="20"/>
        </w:rPr>
        <w:t>Keratocyst</w:t>
      </w:r>
      <w:proofErr w:type="spellEnd"/>
    </w:p>
    <w:p w14:paraId="63B4AEC2" w14:textId="77777777" w:rsidR="00BE7629" w:rsidRPr="004007B2" w:rsidRDefault="00BE7629" w:rsidP="00BE7629">
      <w:pPr>
        <w:spacing w:after="0" w:line="240" w:lineRule="auto"/>
        <w:contextualSpacing/>
        <w:jc w:val="both"/>
        <w:rPr>
          <w:rFonts w:ascii="Times New Roman" w:eastAsia="Times New Roman" w:hAnsi="Times New Roman" w:cs="Times New Roman"/>
          <w:b/>
          <w:bCs/>
          <w:sz w:val="20"/>
          <w:szCs w:val="20"/>
        </w:rPr>
      </w:pPr>
    </w:p>
    <w:p w14:paraId="62D0F720" w14:textId="7F050A00" w:rsidR="001A0FE8"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noProof/>
          <w:sz w:val="20"/>
          <w:szCs w:val="20"/>
        </w:rPr>
        <w:lastRenderedPageBreak/>
        <w:drawing>
          <wp:inline distT="0" distB="0" distL="0" distR="0" wp14:anchorId="255E7C2E" wp14:editId="004EFEF5">
            <wp:extent cx="1784484" cy="2037715"/>
            <wp:effectExtent l="0" t="0" r="0" b="0"/>
            <wp:docPr id="4" name="Picture 3">
              <a:extLst xmlns:a="http://schemas.openxmlformats.org/drawingml/2006/main">
                <a:ext uri="{FF2B5EF4-FFF2-40B4-BE49-F238E27FC236}">
                  <a16:creationId xmlns:a16="http://schemas.microsoft.com/office/drawing/2014/main" id="{6C45EBA4-BFD5-1581-4EB7-6C607CAF8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45EBA4-BFD5-1581-4EB7-6C607CAF8A4D}"/>
                        </a:ext>
                      </a:extLst>
                    </pic:cNvPr>
                    <pic:cNvPicPr>
                      <a:picLocks noChangeAspect="1"/>
                    </pic:cNvPicPr>
                  </pic:nvPicPr>
                  <pic:blipFill>
                    <a:blip r:embed="rId21">
                      <a:extLst>
                        <a:ext uri="{28A0092B-C50C-407E-A947-70E740481C1C}">
                          <a14:useLocalDpi xmlns:a14="http://schemas.microsoft.com/office/drawing/2010/main" val="0"/>
                        </a:ext>
                      </a:extLst>
                    </a:blip>
                    <a:srcRect l="9259" t="27129" r="27778" b="46760"/>
                    <a:stretch>
                      <a:fillRect/>
                    </a:stretch>
                  </pic:blipFill>
                  <pic:spPr>
                    <a:xfrm>
                      <a:off x="0" y="0"/>
                      <a:ext cx="1802161" cy="2057901"/>
                    </a:xfrm>
                    <a:prstGeom prst="rect">
                      <a:avLst/>
                    </a:prstGeom>
                  </pic:spPr>
                </pic:pic>
              </a:graphicData>
            </a:graphic>
          </wp:inline>
        </w:drawing>
      </w:r>
    </w:p>
    <w:p w14:paraId="2BFCBCD2" w14:textId="77777777" w:rsidR="001A0FE8" w:rsidRPr="004007B2" w:rsidRDefault="001A0FE8" w:rsidP="00BE7629">
      <w:pPr>
        <w:spacing w:after="0" w:line="240" w:lineRule="auto"/>
        <w:contextualSpacing/>
        <w:jc w:val="both"/>
        <w:rPr>
          <w:rFonts w:ascii="Times New Roman" w:eastAsia="Times New Roman" w:hAnsi="Times New Roman" w:cs="Times New Roman"/>
          <w:b/>
          <w:bCs/>
          <w:sz w:val="20"/>
          <w:szCs w:val="20"/>
        </w:rPr>
      </w:pPr>
    </w:p>
    <w:p w14:paraId="6FC489FD" w14:textId="7F5DACD7" w:rsidR="001A0FE8" w:rsidRPr="004007B2" w:rsidRDefault="00BE7629" w:rsidP="00EC4F97">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Fig</w:t>
      </w:r>
      <w:r w:rsidR="001A0FE8" w:rsidRPr="004007B2">
        <w:rPr>
          <w:rFonts w:ascii="Times New Roman" w:eastAsia="Times New Roman" w:hAnsi="Times New Roman" w:cs="Times New Roman"/>
          <w:b/>
          <w:bCs/>
          <w:sz w:val="20"/>
          <w:szCs w:val="20"/>
        </w:rPr>
        <w:t xml:space="preserve">. </w:t>
      </w:r>
      <w:r w:rsidRPr="004007B2">
        <w:rPr>
          <w:rFonts w:ascii="Times New Roman" w:eastAsia="Times New Roman" w:hAnsi="Times New Roman" w:cs="Times New Roman"/>
          <w:b/>
          <w:bCs/>
          <w:sz w:val="20"/>
          <w:szCs w:val="20"/>
        </w:rPr>
        <w:t>13</w:t>
      </w:r>
      <w:r w:rsidR="001A0FE8" w:rsidRPr="004007B2">
        <w:rPr>
          <w:rFonts w:ascii="Times New Roman" w:eastAsia="Times New Roman" w:hAnsi="Times New Roman" w:cs="Times New Roman"/>
          <w:b/>
          <w:bCs/>
          <w:sz w:val="20"/>
          <w:szCs w:val="20"/>
        </w:rPr>
        <w:t>.</w:t>
      </w:r>
      <w:r w:rsidRPr="004007B2">
        <w:rPr>
          <w:rFonts w:ascii="Times New Roman" w:eastAsia="Times New Roman" w:hAnsi="Times New Roman" w:cs="Times New Roman"/>
          <w:b/>
          <w:bCs/>
          <w:sz w:val="20"/>
          <w:szCs w:val="20"/>
        </w:rPr>
        <w:t xml:space="preserve"> Obturator Fabricated</w:t>
      </w:r>
    </w:p>
    <w:p w14:paraId="1BDAC7A1" w14:textId="77777777" w:rsidR="001A0FE8" w:rsidRPr="004007B2" w:rsidRDefault="001A0FE8" w:rsidP="00BE7629">
      <w:pPr>
        <w:spacing w:after="0" w:line="240" w:lineRule="auto"/>
        <w:contextualSpacing/>
        <w:jc w:val="both"/>
        <w:rPr>
          <w:rFonts w:ascii="Times New Roman" w:eastAsia="Times New Roman" w:hAnsi="Times New Roman" w:cs="Times New Roman"/>
          <w:b/>
          <w:bCs/>
          <w:sz w:val="20"/>
          <w:szCs w:val="20"/>
        </w:rPr>
      </w:pPr>
    </w:p>
    <w:p w14:paraId="7101D1B5" w14:textId="14B2811C" w:rsidR="001A0FE8" w:rsidRPr="004007B2" w:rsidRDefault="001A0FE8" w:rsidP="004F5D5B">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noProof/>
          <w:sz w:val="20"/>
          <w:szCs w:val="20"/>
        </w:rPr>
        <w:drawing>
          <wp:inline distT="0" distB="0" distL="0" distR="0" wp14:anchorId="1F0FDD79" wp14:editId="3EB03DAE">
            <wp:extent cx="1898794" cy="2091690"/>
            <wp:effectExtent l="0" t="0" r="0" b="0"/>
            <wp:docPr id="8" name="Picture 7">
              <a:extLst xmlns:a="http://schemas.openxmlformats.org/drawingml/2006/main">
                <a:ext uri="{FF2B5EF4-FFF2-40B4-BE49-F238E27FC236}">
                  <a16:creationId xmlns:a16="http://schemas.microsoft.com/office/drawing/2014/main" id="{91EB26AE-F9B8-4950-A09D-8C3F0FAE3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1EB26AE-F9B8-4950-A09D-8C3F0FAE3B9E}"/>
                        </a:ext>
                      </a:extLst>
                    </pic:cNvPr>
                    <pic:cNvPicPr>
                      <a:picLocks noChangeAspect="1"/>
                    </pic:cNvPicPr>
                  </pic:nvPicPr>
                  <pic:blipFill>
                    <a:blip r:embed="rId22" cstate="print">
                      <a:extLst>
                        <a:ext uri="{28A0092B-C50C-407E-A947-70E740481C1C}">
                          <a14:useLocalDpi xmlns:a14="http://schemas.microsoft.com/office/drawing/2010/main" val="0"/>
                        </a:ext>
                      </a:extLst>
                    </a:blip>
                    <a:srcRect l="4084" r="1847" b="16574"/>
                    <a:stretch>
                      <a:fillRect/>
                    </a:stretch>
                  </pic:blipFill>
                  <pic:spPr>
                    <a:xfrm>
                      <a:off x="0" y="0"/>
                      <a:ext cx="1917850" cy="2112682"/>
                    </a:xfrm>
                    <a:prstGeom prst="rect">
                      <a:avLst/>
                    </a:prstGeom>
                  </pic:spPr>
                </pic:pic>
              </a:graphicData>
            </a:graphic>
          </wp:inline>
        </w:drawing>
      </w:r>
    </w:p>
    <w:p w14:paraId="7E0B5B17" w14:textId="77777777" w:rsidR="001A0FE8" w:rsidRPr="004007B2" w:rsidRDefault="001A0FE8" w:rsidP="00BE7629">
      <w:pPr>
        <w:spacing w:after="0" w:line="240" w:lineRule="auto"/>
        <w:contextualSpacing/>
        <w:jc w:val="both"/>
        <w:rPr>
          <w:rFonts w:ascii="Times New Roman" w:eastAsia="Times New Roman" w:hAnsi="Times New Roman" w:cs="Times New Roman"/>
          <w:b/>
          <w:bCs/>
          <w:sz w:val="20"/>
          <w:szCs w:val="20"/>
        </w:rPr>
      </w:pPr>
    </w:p>
    <w:p w14:paraId="25A1392C" w14:textId="2243AE4F" w:rsidR="00BE7629" w:rsidRPr="004007B2" w:rsidRDefault="00BE7629" w:rsidP="009B5B94">
      <w:pPr>
        <w:spacing w:after="0" w:line="240" w:lineRule="auto"/>
        <w:contextualSpacing/>
        <w:jc w:val="center"/>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Fig</w:t>
      </w:r>
      <w:r w:rsidR="001A0FE8" w:rsidRPr="004007B2">
        <w:rPr>
          <w:rFonts w:ascii="Times New Roman" w:eastAsia="Times New Roman" w:hAnsi="Times New Roman" w:cs="Times New Roman"/>
          <w:b/>
          <w:bCs/>
          <w:sz w:val="20"/>
          <w:szCs w:val="20"/>
        </w:rPr>
        <w:t xml:space="preserve">. </w:t>
      </w:r>
      <w:r w:rsidRPr="004007B2">
        <w:rPr>
          <w:rFonts w:ascii="Times New Roman" w:eastAsia="Times New Roman" w:hAnsi="Times New Roman" w:cs="Times New Roman"/>
          <w:b/>
          <w:bCs/>
          <w:sz w:val="20"/>
          <w:szCs w:val="20"/>
        </w:rPr>
        <w:t>14</w:t>
      </w:r>
      <w:r w:rsidR="001A0FE8" w:rsidRPr="004007B2">
        <w:rPr>
          <w:rFonts w:ascii="Times New Roman" w:eastAsia="Times New Roman" w:hAnsi="Times New Roman" w:cs="Times New Roman"/>
          <w:b/>
          <w:bCs/>
          <w:sz w:val="20"/>
          <w:szCs w:val="20"/>
        </w:rPr>
        <w:t>.</w:t>
      </w:r>
      <w:r w:rsidRPr="004007B2">
        <w:rPr>
          <w:rFonts w:ascii="Times New Roman" w:eastAsia="Times New Roman" w:hAnsi="Times New Roman" w:cs="Times New Roman"/>
          <w:b/>
          <w:bCs/>
          <w:sz w:val="20"/>
          <w:szCs w:val="20"/>
        </w:rPr>
        <w:t xml:space="preserve"> Obturating closing Bony Defect</w:t>
      </w:r>
    </w:p>
    <w:p w14:paraId="7B1A14C0" w14:textId="77777777" w:rsidR="00EC4F97" w:rsidRPr="004007B2" w:rsidRDefault="00EC4F97" w:rsidP="00BE7629">
      <w:pPr>
        <w:spacing w:after="0" w:line="240" w:lineRule="auto"/>
        <w:contextualSpacing/>
        <w:jc w:val="both"/>
        <w:rPr>
          <w:rFonts w:ascii="Times New Roman" w:eastAsia="Times New Roman" w:hAnsi="Times New Roman" w:cs="Times New Roman"/>
          <w:b/>
          <w:bCs/>
          <w:sz w:val="20"/>
          <w:szCs w:val="20"/>
        </w:rPr>
      </w:pPr>
    </w:p>
    <w:p w14:paraId="2E9FEC75" w14:textId="77777777" w:rsidR="00BE7629" w:rsidRPr="004007B2" w:rsidRDefault="00BE7629" w:rsidP="00BE7629">
      <w:pPr>
        <w:spacing w:after="0" w:line="240" w:lineRule="auto"/>
        <w:contextualSpacing/>
        <w:jc w:val="both"/>
        <w:rPr>
          <w:rFonts w:ascii="Times New Roman" w:eastAsia="Times New Roman" w:hAnsi="Times New Roman" w:cs="Times New Roman"/>
          <w:b/>
          <w:bCs/>
          <w:sz w:val="20"/>
          <w:szCs w:val="20"/>
        </w:rPr>
      </w:pPr>
      <w:r w:rsidRPr="004007B2">
        <w:rPr>
          <w:rFonts w:ascii="Times New Roman" w:eastAsia="Times New Roman" w:hAnsi="Times New Roman" w:cs="Times New Roman"/>
          <w:b/>
          <w:bCs/>
          <w:sz w:val="20"/>
          <w:szCs w:val="20"/>
        </w:rPr>
        <w:t xml:space="preserve">Clinical and Radiographic Evaluation: </w:t>
      </w:r>
      <w:r w:rsidRPr="004007B2">
        <w:rPr>
          <w:rFonts w:ascii="Times New Roman" w:eastAsia="Times New Roman" w:hAnsi="Times New Roman" w:cs="Times New Roman"/>
          <w:sz w:val="20"/>
          <w:szCs w:val="20"/>
        </w:rPr>
        <w:t xml:space="preserve">Intraoral examination confirmed discharge in the posterior mandible. A preoperative orthopantomogram (OPG) revealed a large radiolucent lesion in the right mandible involving the 41 to 48 tooth </w:t>
      </w:r>
      <w:proofErr w:type="gramStart"/>
      <w:r w:rsidRPr="004007B2">
        <w:rPr>
          <w:rFonts w:ascii="Times New Roman" w:eastAsia="Times New Roman" w:hAnsi="Times New Roman" w:cs="Times New Roman"/>
          <w:sz w:val="20"/>
          <w:szCs w:val="20"/>
        </w:rPr>
        <w:t>region</w:t>
      </w:r>
      <w:proofErr w:type="gramEnd"/>
      <w:r w:rsidRPr="004007B2">
        <w:rPr>
          <w:rFonts w:ascii="Times New Roman" w:eastAsia="Times New Roman" w:hAnsi="Times New Roman" w:cs="Times New Roman"/>
          <w:sz w:val="20"/>
          <w:szCs w:val="20"/>
        </w:rPr>
        <w:t xml:space="preserve">. Fine Needle Aspiration Cytology (FNAC) was performed, providing clinical evidence of an Odontogenic </w:t>
      </w:r>
      <w:proofErr w:type="spellStart"/>
      <w:r w:rsidRPr="004007B2">
        <w:rPr>
          <w:rFonts w:ascii="Times New Roman" w:eastAsia="Times New Roman" w:hAnsi="Times New Roman" w:cs="Times New Roman"/>
          <w:sz w:val="20"/>
          <w:szCs w:val="20"/>
        </w:rPr>
        <w:t>Keratocyst</w:t>
      </w:r>
      <w:proofErr w:type="spellEnd"/>
      <w:r w:rsidRPr="004007B2">
        <w:rPr>
          <w:rFonts w:ascii="Times New Roman" w:eastAsia="Times New Roman" w:hAnsi="Times New Roman" w:cs="Times New Roman"/>
          <w:sz w:val="20"/>
          <w:szCs w:val="20"/>
        </w:rPr>
        <w:t>.</w:t>
      </w:r>
    </w:p>
    <w:p w14:paraId="1517E170" w14:textId="77777777" w:rsidR="001A0FE8" w:rsidRPr="004007B2" w:rsidRDefault="001A0FE8" w:rsidP="00BE7629">
      <w:pPr>
        <w:spacing w:after="0" w:line="240" w:lineRule="auto"/>
        <w:contextualSpacing/>
        <w:jc w:val="both"/>
        <w:rPr>
          <w:rFonts w:ascii="Times New Roman" w:eastAsia="Times New Roman" w:hAnsi="Times New Roman" w:cs="Times New Roman"/>
          <w:b/>
          <w:bCs/>
          <w:sz w:val="20"/>
          <w:szCs w:val="20"/>
        </w:rPr>
      </w:pPr>
    </w:p>
    <w:p w14:paraId="483F2144" w14:textId="77777777" w:rsidR="00BE7629" w:rsidRPr="004007B2" w:rsidRDefault="00BE7629" w:rsidP="00BE7629">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b/>
          <w:bCs/>
          <w:sz w:val="20"/>
          <w:szCs w:val="20"/>
        </w:rPr>
        <w:t xml:space="preserve">Surgical Procedure: </w:t>
      </w:r>
      <w:r w:rsidRPr="004007B2">
        <w:rPr>
          <w:rFonts w:ascii="Times New Roman" w:eastAsia="Times New Roman" w:hAnsi="Times New Roman" w:cs="Times New Roman"/>
          <w:sz w:val="20"/>
          <w:szCs w:val="20"/>
        </w:rPr>
        <w:t>Under appropriate anesthesia, a full-thickness mucoperiosteal flap was raised through a standard incision. The cystic lesion was enucleated, and thorough curettage was performed on the bony walls. To address potential microscopic remnants, 5-Fluorouracil (5-FU) ointment was applied to the surgical site. The area was then packed with ribbon gauze and the flap was sutured.</w:t>
      </w:r>
    </w:p>
    <w:p w14:paraId="09C6A1C1" w14:textId="77777777" w:rsidR="001A0FE8" w:rsidRPr="004007B2" w:rsidRDefault="001A0FE8" w:rsidP="00BE7629">
      <w:pPr>
        <w:spacing w:after="0" w:line="240" w:lineRule="auto"/>
        <w:contextualSpacing/>
        <w:jc w:val="both"/>
        <w:rPr>
          <w:rFonts w:ascii="Times New Roman" w:eastAsia="Times New Roman" w:hAnsi="Times New Roman" w:cs="Times New Roman"/>
          <w:sz w:val="20"/>
          <w:szCs w:val="20"/>
        </w:rPr>
      </w:pPr>
    </w:p>
    <w:p w14:paraId="38EC0299" w14:textId="77777777" w:rsidR="00BE7629" w:rsidRPr="004007B2" w:rsidRDefault="00BE7629" w:rsidP="00BE7629">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b/>
          <w:bCs/>
          <w:sz w:val="20"/>
          <w:szCs w:val="20"/>
        </w:rPr>
        <w:t xml:space="preserve">Follow-up: </w:t>
      </w:r>
      <w:r w:rsidRPr="004007B2">
        <w:rPr>
          <w:rFonts w:ascii="Times New Roman" w:eastAsia="Times New Roman" w:hAnsi="Times New Roman" w:cs="Times New Roman"/>
          <w:sz w:val="20"/>
          <w:szCs w:val="20"/>
        </w:rPr>
        <w:t>A biopsy specimen was sent for histopathological examination, which confirmed the diagnosis of OKC. The patient was monitored at multiple intervals (1st, 2nd, and 3rd follow-up visits). Clinical healing was satisfactory, with no signs of neurosensory deficit or immediate recurrence.</w:t>
      </w:r>
    </w:p>
    <w:p w14:paraId="512C79B4" w14:textId="50303052" w:rsidR="00BE7629" w:rsidRPr="004007B2" w:rsidRDefault="00BE7629" w:rsidP="00BE7629">
      <w:pPr>
        <w:spacing w:after="0" w:line="240" w:lineRule="auto"/>
        <w:contextualSpacing/>
        <w:jc w:val="both"/>
        <w:rPr>
          <w:rFonts w:ascii="Times New Roman" w:eastAsia="Times New Roman" w:hAnsi="Times New Roman" w:cs="Times New Roman"/>
          <w:b/>
          <w:bCs/>
          <w:sz w:val="20"/>
          <w:szCs w:val="20"/>
        </w:rPr>
      </w:pPr>
    </w:p>
    <w:p w14:paraId="3245CB3A" w14:textId="295F9203" w:rsidR="00BE7629" w:rsidRPr="004007B2" w:rsidRDefault="00AD0E1F" w:rsidP="00AD0E1F">
      <w:pPr>
        <w:pStyle w:val="Heading2"/>
        <w:rPr>
          <w:rFonts w:eastAsia="Times New Roman"/>
        </w:rPr>
      </w:pPr>
      <w:r w:rsidRPr="004007B2">
        <w:rPr>
          <w:rFonts w:eastAsia="Times New Roman"/>
        </w:rPr>
        <w:t xml:space="preserve">3. </w:t>
      </w:r>
      <w:r w:rsidR="00BE7629" w:rsidRPr="004007B2">
        <w:rPr>
          <w:rFonts w:eastAsia="Times New Roman"/>
        </w:rPr>
        <w:t>Discussion</w:t>
      </w:r>
    </w:p>
    <w:p w14:paraId="00F0ED7A" w14:textId="77777777" w:rsidR="001A0FE8" w:rsidRPr="004007B2" w:rsidRDefault="001A0FE8" w:rsidP="001A0FE8">
      <w:pPr>
        <w:spacing w:after="0" w:line="240" w:lineRule="auto"/>
        <w:contextualSpacing/>
        <w:jc w:val="both"/>
        <w:rPr>
          <w:rFonts w:ascii="Times New Roman" w:eastAsia="Times New Roman" w:hAnsi="Times New Roman" w:cs="Times New Roman"/>
          <w:b/>
          <w:bCs/>
          <w:sz w:val="20"/>
          <w:szCs w:val="20"/>
        </w:rPr>
      </w:pPr>
    </w:p>
    <w:p w14:paraId="3A924BEF" w14:textId="2BB9EADC" w:rsidR="00BE7629" w:rsidRPr="004007B2" w:rsidRDefault="00BE7629" w:rsidP="004B60C1">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sz w:val="20"/>
          <w:szCs w:val="20"/>
        </w:rPr>
        <w:t xml:space="preserve">The management of Odontogenic </w:t>
      </w:r>
      <w:proofErr w:type="spellStart"/>
      <w:r w:rsidRPr="004007B2">
        <w:rPr>
          <w:rFonts w:ascii="Times New Roman" w:eastAsia="Times New Roman" w:hAnsi="Times New Roman" w:cs="Times New Roman"/>
          <w:sz w:val="20"/>
          <w:szCs w:val="20"/>
        </w:rPr>
        <w:t>Keratocysts</w:t>
      </w:r>
      <w:proofErr w:type="spellEnd"/>
      <w:r w:rsidRPr="004007B2">
        <w:rPr>
          <w:rFonts w:ascii="Times New Roman" w:eastAsia="Times New Roman" w:hAnsi="Times New Roman" w:cs="Times New Roman"/>
          <w:sz w:val="20"/>
          <w:szCs w:val="20"/>
        </w:rPr>
        <w:t xml:space="preserve"> (OKC) remains one of the most debated topics in oral and maxillofacial surgery due to the lesion's high recurrence rate and locally aggressive growth pattern. Originally recognized as a developmental cyst, its categorization has fluctuated between a cyst and a tumor (</w:t>
      </w:r>
      <w:proofErr w:type="spellStart"/>
      <w:r w:rsidRPr="004007B2">
        <w:rPr>
          <w:rFonts w:ascii="Times New Roman" w:eastAsia="Times New Roman" w:hAnsi="Times New Roman" w:cs="Times New Roman"/>
          <w:sz w:val="20"/>
          <w:szCs w:val="20"/>
        </w:rPr>
        <w:t>Keratocystic</w:t>
      </w:r>
      <w:proofErr w:type="spellEnd"/>
      <w:r w:rsidRPr="004007B2">
        <w:rPr>
          <w:rFonts w:ascii="Times New Roman" w:eastAsia="Times New Roman" w:hAnsi="Times New Roman" w:cs="Times New Roman"/>
          <w:sz w:val="20"/>
          <w:szCs w:val="20"/>
        </w:rPr>
        <w:t xml:space="preserve"> Odontogenic Tumor) in WHO classifications, reflecting its unique neoplastic-like characteristics, such as high mitotic activity and the presence of PTCH gene mutations</w:t>
      </w:r>
      <w:r w:rsidR="004B60C1" w:rsidRPr="004007B2">
        <w:rPr>
          <w:rFonts w:ascii="Times New Roman" w:eastAsia="Times New Roman" w:hAnsi="Times New Roman" w:cs="Times New Roman"/>
          <w:sz w:val="20"/>
          <w:szCs w:val="20"/>
        </w:rPr>
        <w:t xml:space="preserve"> (Philipsen, 1956; Madras &amp; Lapointe, 2008; El-Naggar et al., 2017)</w:t>
      </w:r>
      <w:r w:rsidRPr="004007B2">
        <w:rPr>
          <w:rFonts w:ascii="Times New Roman" w:eastAsia="Times New Roman" w:hAnsi="Times New Roman" w:cs="Times New Roman"/>
          <w:sz w:val="20"/>
          <w:szCs w:val="20"/>
        </w:rPr>
        <w:t>.</w:t>
      </w:r>
    </w:p>
    <w:p w14:paraId="7FF0EF56" w14:textId="77777777" w:rsidR="001A0FE8" w:rsidRPr="004007B2" w:rsidRDefault="001A0FE8" w:rsidP="00BE7629">
      <w:pPr>
        <w:spacing w:after="0" w:line="240" w:lineRule="auto"/>
        <w:contextualSpacing/>
        <w:jc w:val="both"/>
        <w:rPr>
          <w:rFonts w:ascii="Times New Roman" w:eastAsia="Times New Roman" w:hAnsi="Times New Roman" w:cs="Times New Roman"/>
          <w:sz w:val="20"/>
          <w:szCs w:val="20"/>
        </w:rPr>
      </w:pPr>
    </w:p>
    <w:p w14:paraId="1977DDD4" w14:textId="2F8DECC7" w:rsidR="00BE7629" w:rsidRPr="004007B2" w:rsidRDefault="00BE7629" w:rsidP="00B40C33">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sz w:val="20"/>
          <w:szCs w:val="20"/>
        </w:rPr>
        <w:lastRenderedPageBreak/>
        <w:t>The high recurrence rate of OKC, historically reported between 2.5% and 62%, is primarily attributed to the thin, friable epithelial lining that is difficult to enucleate in one piece, and the presence of "daughter" or satellite cysts within the fibrous capsule or adjacent bone</w:t>
      </w:r>
      <w:r w:rsidR="00B40C33" w:rsidRPr="004007B2">
        <w:rPr>
          <w:rFonts w:ascii="Times New Roman" w:eastAsia="Times New Roman" w:hAnsi="Times New Roman" w:cs="Times New Roman"/>
          <w:sz w:val="20"/>
          <w:szCs w:val="20"/>
        </w:rPr>
        <w:t xml:space="preserve"> (</w:t>
      </w:r>
      <w:proofErr w:type="spellStart"/>
      <w:r w:rsidR="00B40C33" w:rsidRPr="004007B2">
        <w:rPr>
          <w:rFonts w:ascii="Times New Roman" w:eastAsia="Times New Roman" w:hAnsi="Times New Roman" w:cs="Times New Roman"/>
          <w:sz w:val="20"/>
          <w:szCs w:val="20"/>
        </w:rPr>
        <w:t>Kaczmarzyk</w:t>
      </w:r>
      <w:proofErr w:type="spellEnd"/>
      <w:r w:rsidR="00B40C33" w:rsidRPr="004007B2">
        <w:rPr>
          <w:rFonts w:ascii="Times New Roman" w:eastAsia="Times New Roman" w:hAnsi="Times New Roman" w:cs="Times New Roman"/>
          <w:sz w:val="20"/>
          <w:szCs w:val="20"/>
        </w:rPr>
        <w:t xml:space="preserve"> et al., 2012)</w:t>
      </w:r>
      <w:r w:rsidRPr="004007B2">
        <w:rPr>
          <w:rFonts w:ascii="Times New Roman" w:eastAsia="Times New Roman" w:hAnsi="Times New Roman" w:cs="Times New Roman"/>
          <w:sz w:val="20"/>
          <w:szCs w:val="20"/>
        </w:rPr>
        <w:t>. Historically, aggressive treatments such as radical resection were favored to ensure complete eradication; however, these lead to significant morbidity, including facial deformity, loss of teeth, and the need for complex reconstructive surgery</w:t>
      </w:r>
      <w:r w:rsidR="00AF495F" w:rsidRPr="004007B2">
        <w:rPr>
          <w:rFonts w:ascii="Times New Roman" w:eastAsia="Times New Roman" w:hAnsi="Times New Roman" w:cs="Times New Roman"/>
          <w:sz w:val="20"/>
          <w:szCs w:val="20"/>
        </w:rPr>
        <w:t xml:space="preserve"> (Casino et al., 2023)</w:t>
      </w:r>
      <w:r w:rsidRPr="004007B2">
        <w:rPr>
          <w:rFonts w:ascii="Times New Roman" w:eastAsia="Times New Roman" w:hAnsi="Times New Roman" w:cs="Times New Roman"/>
          <w:sz w:val="20"/>
          <w:szCs w:val="20"/>
        </w:rPr>
        <w:t>.</w:t>
      </w:r>
    </w:p>
    <w:p w14:paraId="70BF0631" w14:textId="77777777" w:rsidR="001A0FE8" w:rsidRPr="004007B2" w:rsidRDefault="001A0FE8" w:rsidP="00BE7629">
      <w:pPr>
        <w:spacing w:after="0" w:line="240" w:lineRule="auto"/>
        <w:contextualSpacing/>
        <w:jc w:val="both"/>
        <w:rPr>
          <w:rFonts w:ascii="Times New Roman" w:eastAsia="Times New Roman" w:hAnsi="Times New Roman" w:cs="Times New Roman"/>
          <w:sz w:val="16"/>
          <w:szCs w:val="16"/>
        </w:rPr>
      </w:pPr>
    </w:p>
    <w:p w14:paraId="2685C4DD" w14:textId="54428D6A" w:rsidR="00BE7629" w:rsidRPr="004007B2" w:rsidRDefault="00BE7629" w:rsidP="00B40C33">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sz w:val="20"/>
          <w:szCs w:val="20"/>
        </w:rPr>
        <w:t xml:space="preserve">To bridge the gap between conservative enucleation and radical resection, chemical adjuvants have been employed. </w:t>
      </w:r>
      <w:proofErr w:type="spellStart"/>
      <w:r w:rsidRPr="004007B2">
        <w:rPr>
          <w:rFonts w:ascii="Times New Roman" w:eastAsia="Times New Roman" w:hAnsi="Times New Roman" w:cs="Times New Roman"/>
          <w:sz w:val="20"/>
          <w:szCs w:val="20"/>
        </w:rPr>
        <w:t>Carnoy’s</w:t>
      </w:r>
      <w:proofErr w:type="spellEnd"/>
      <w:r w:rsidRPr="004007B2">
        <w:rPr>
          <w:rFonts w:ascii="Times New Roman" w:eastAsia="Times New Roman" w:hAnsi="Times New Roman" w:cs="Times New Roman"/>
          <w:sz w:val="20"/>
          <w:szCs w:val="20"/>
        </w:rPr>
        <w:t xml:space="preserve"> solution (consisting of absolute alcohol, chloroform, glacial acetic acid, and ferric chloride) was the traditional choice. However, the FDA’s ban on chloroform due to its carcinogenic potential led to the development of "Modified </w:t>
      </w:r>
      <w:proofErr w:type="spellStart"/>
      <w:r w:rsidRPr="004007B2">
        <w:rPr>
          <w:rFonts w:ascii="Times New Roman" w:eastAsia="Times New Roman" w:hAnsi="Times New Roman" w:cs="Times New Roman"/>
          <w:sz w:val="20"/>
          <w:szCs w:val="20"/>
        </w:rPr>
        <w:t>Carnoy’s</w:t>
      </w:r>
      <w:proofErr w:type="spellEnd"/>
      <w:r w:rsidRPr="004007B2">
        <w:rPr>
          <w:rFonts w:ascii="Times New Roman" w:eastAsia="Times New Roman" w:hAnsi="Times New Roman" w:cs="Times New Roman"/>
          <w:sz w:val="20"/>
          <w:szCs w:val="20"/>
        </w:rPr>
        <w:t xml:space="preserve"> Solution," which many studies suggest is less effective</w:t>
      </w:r>
      <w:r w:rsidR="00B40C33" w:rsidRPr="004007B2">
        <w:rPr>
          <w:rFonts w:ascii="Times New Roman" w:eastAsia="Times New Roman" w:hAnsi="Times New Roman" w:cs="Times New Roman"/>
          <w:sz w:val="20"/>
          <w:szCs w:val="20"/>
        </w:rPr>
        <w:t xml:space="preserve"> (Ecker et al., 2016)</w:t>
      </w:r>
      <w:r w:rsidRPr="004007B2">
        <w:rPr>
          <w:rFonts w:ascii="Times New Roman" w:eastAsia="Times New Roman" w:hAnsi="Times New Roman" w:cs="Times New Roman"/>
          <w:sz w:val="20"/>
          <w:szCs w:val="20"/>
        </w:rPr>
        <w:t>.</w:t>
      </w:r>
      <w:r w:rsidR="00B40C33" w:rsidRPr="004007B2">
        <w:rPr>
          <w:rFonts w:ascii="Times New Roman" w:eastAsia="Times New Roman" w:hAnsi="Times New Roman" w:cs="Times New Roman"/>
          <w:sz w:val="20"/>
          <w:szCs w:val="20"/>
        </w:rPr>
        <w:t xml:space="preserve"> </w:t>
      </w:r>
      <w:r w:rsidRPr="004007B2">
        <w:rPr>
          <w:rFonts w:ascii="Times New Roman" w:eastAsia="Times New Roman" w:hAnsi="Times New Roman" w:cs="Times New Roman"/>
          <w:sz w:val="20"/>
          <w:szCs w:val="20"/>
        </w:rPr>
        <w:t xml:space="preserve">Furthermore, </w:t>
      </w:r>
      <w:proofErr w:type="spellStart"/>
      <w:r w:rsidRPr="004007B2">
        <w:rPr>
          <w:rFonts w:ascii="Times New Roman" w:eastAsia="Times New Roman" w:hAnsi="Times New Roman" w:cs="Times New Roman"/>
          <w:sz w:val="20"/>
          <w:szCs w:val="20"/>
        </w:rPr>
        <w:t>Carnoy’s</w:t>
      </w:r>
      <w:proofErr w:type="spellEnd"/>
      <w:r w:rsidRPr="004007B2">
        <w:rPr>
          <w:rFonts w:ascii="Times New Roman" w:eastAsia="Times New Roman" w:hAnsi="Times New Roman" w:cs="Times New Roman"/>
          <w:sz w:val="20"/>
          <w:szCs w:val="20"/>
        </w:rPr>
        <w:t xml:space="preserve"> solution is non-selective and can lead to bone necrosis or permanent damage to the inferior alveolar nerve if the lesion is in close proximity to the mandibular canal</w:t>
      </w:r>
      <w:r w:rsidR="00B40C33" w:rsidRPr="004007B2">
        <w:rPr>
          <w:rFonts w:ascii="Times New Roman" w:eastAsia="Times New Roman" w:hAnsi="Times New Roman" w:cs="Times New Roman"/>
          <w:sz w:val="20"/>
          <w:szCs w:val="20"/>
        </w:rPr>
        <w:t xml:space="preserve"> (Al-</w:t>
      </w:r>
      <w:proofErr w:type="spellStart"/>
      <w:r w:rsidR="00B40C33" w:rsidRPr="004007B2">
        <w:rPr>
          <w:rFonts w:ascii="Times New Roman" w:eastAsia="Times New Roman" w:hAnsi="Times New Roman" w:cs="Times New Roman"/>
          <w:sz w:val="20"/>
          <w:szCs w:val="20"/>
        </w:rPr>
        <w:t>Moraissi</w:t>
      </w:r>
      <w:proofErr w:type="spellEnd"/>
      <w:r w:rsidR="00B40C33" w:rsidRPr="004007B2">
        <w:rPr>
          <w:rFonts w:ascii="Times New Roman" w:eastAsia="Times New Roman" w:hAnsi="Times New Roman" w:cs="Times New Roman"/>
          <w:sz w:val="20"/>
          <w:szCs w:val="20"/>
        </w:rPr>
        <w:t xml:space="preserve"> et al., 2017)</w:t>
      </w:r>
      <w:r w:rsidRPr="004007B2">
        <w:rPr>
          <w:rFonts w:ascii="Times New Roman" w:eastAsia="Times New Roman" w:hAnsi="Times New Roman" w:cs="Times New Roman"/>
          <w:sz w:val="20"/>
          <w:szCs w:val="20"/>
        </w:rPr>
        <w:t>.</w:t>
      </w:r>
    </w:p>
    <w:p w14:paraId="7E15C43E" w14:textId="77777777" w:rsidR="001A0FE8" w:rsidRPr="004007B2" w:rsidRDefault="001A0FE8" w:rsidP="00BE7629">
      <w:pPr>
        <w:spacing w:after="0" w:line="240" w:lineRule="auto"/>
        <w:contextualSpacing/>
        <w:jc w:val="both"/>
        <w:rPr>
          <w:rFonts w:ascii="Times New Roman" w:eastAsia="Times New Roman" w:hAnsi="Times New Roman" w:cs="Times New Roman"/>
          <w:sz w:val="16"/>
          <w:szCs w:val="16"/>
        </w:rPr>
      </w:pPr>
    </w:p>
    <w:p w14:paraId="74DE2A9F" w14:textId="0EB7BF94" w:rsidR="00BE7629" w:rsidRPr="004007B2" w:rsidRDefault="00BE7629" w:rsidP="00B40C33">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sz w:val="20"/>
          <w:szCs w:val="20"/>
        </w:rPr>
        <w:t>The shift toward 5-Fluorouracil (5-FU) represents a milestone in "targeted" medicinal surgery for OKCs. As an antimetabolite and pyrimidine analog, 5-FU interferes with DNA synthesis by inhibiting thymidylate synthase</w:t>
      </w:r>
      <w:r w:rsidR="00B40C33" w:rsidRPr="004007B2">
        <w:rPr>
          <w:rFonts w:ascii="Times New Roman" w:eastAsia="Times New Roman" w:hAnsi="Times New Roman" w:cs="Times New Roman"/>
          <w:sz w:val="20"/>
          <w:szCs w:val="20"/>
        </w:rPr>
        <w:t xml:space="preserve"> </w:t>
      </w:r>
      <w:r w:rsidR="00EA6EF1" w:rsidRPr="004007B2">
        <w:rPr>
          <w:rFonts w:ascii="Times New Roman" w:eastAsia="Times New Roman" w:hAnsi="Times New Roman" w:cs="Times New Roman"/>
          <w:sz w:val="20"/>
          <w:szCs w:val="20"/>
        </w:rPr>
        <w:t>(Singh et al., 2022</w:t>
      </w:r>
      <w:r w:rsidR="00AF495F" w:rsidRPr="004007B2">
        <w:rPr>
          <w:rFonts w:ascii="Times New Roman" w:eastAsia="Times New Roman" w:hAnsi="Times New Roman" w:cs="Times New Roman"/>
          <w:sz w:val="20"/>
          <w:szCs w:val="20"/>
        </w:rPr>
        <w:t>; Farooq et al., 2022</w:t>
      </w:r>
      <w:r w:rsidR="00B40C33" w:rsidRPr="004007B2">
        <w:rPr>
          <w:rFonts w:ascii="Times New Roman" w:eastAsia="Times New Roman" w:hAnsi="Times New Roman" w:cs="Times New Roman"/>
          <w:sz w:val="20"/>
          <w:szCs w:val="20"/>
        </w:rPr>
        <w:t>)</w:t>
      </w:r>
      <w:r w:rsidRPr="004007B2">
        <w:rPr>
          <w:rFonts w:ascii="Times New Roman" w:eastAsia="Times New Roman" w:hAnsi="Times New Roman" w:cs="Times New Roman"/>
          <w:sz w:val="20"/>
          <w:szCs w:val="20"/>
        </w:rPr>
        <w:t>. In the context of an OKC, 5-FU specifically targets the rapidly proliferating odontogenic epithelial cells</w:t>
      </w:r>
      <w:r w:rsidR="00AF495F" w:rsidRPr="004007B2">
        <w:rPr>
          <w:rFonts w:ascii="Times New Roman" w:eastAsia="Times New Roman" w:hAnsi="Times New Roman" w:cs="Times New Roman"/>
          <w:sz w:val="20"/>
          <w:szCs w:val="20"/>
        </w:rPr>
        <w:t xml:space="preserve"> (Johnson et al., 2013)</w:t>
      </w:r>
      <w:r w:rsidRPr="004007B2">
        <w:rPr>
          <w:rFonts w:ascii="Times New Roman" w:eastAsia="Times New Roman" w:hAnsi="Times New Roman" w:cs="Times New Roman"/>
          <w:sz w:val="20"/>
          <w:szCs w:val="20"/>
        </w:rPr>
        <w:t>. When applied topically following enucleation, it induces apoptosis in any remaining microscopic remnants or satellite cysts</w:t>
      </w:r>
      <w:r w:rsidR="00B40C33" w:rsidRPr="004007B2">
        <w:rPr>
          <w:rFonts w:ascii="Times New Roman" w:eastAsia="Times New Roman" w:hAnsi="Times New Roman" w:cs="Times New Roman"/>
          <w:sz w:val="20"/>
          <w:szCs w:val="20"/>
        </w:rPr>
        <w:t xml:space="preserve"> (</w:t>
      </w:r>
      <w:proofErr w:type="spellStart"/>
      <w:r w:rsidR="00B40C33" w:rsidRPr="004007B2">
        <w:rPr>
          <w:rFonts w:ascii="Times New Roman" w:eastAsia="Times New Roman" w:hAnsi="Times New Roman" w:cs="Times New Roman"/>
          <w:sz w:val="20"/>
          <w:szCs w:val="20"/>
        </w:rPr>
        <w:t>Dashow</w:t>
      </w:r>
      <w:proofErr w:type="spellEnd"/>
      <w:r w:rsidR="00B40C33" w:rsidRPr="004007B2">
        <w:rPr>
          <w:rFonts w:ascii="Times New Roman" w:eastAsia="Times New Roman" w:hAnsi="Times New Roman" w:cs="Times New Roman"/>
          <w:sz w:val="20"/>
          <w:szCs w:val="20"/>
        </w:rPr>
        <w:t xml:space="preserve"> et al., 2015; </w:t>
      </w:r>
      <w:proofErr w:type="spellStart"/>
      <w:r w:rsidR="00B40C33" w:rsidRPr="004007B2">
        <w:rPr>
          <w:rFonts w:ascii="Times New Roman" w:eastAsia="Times New Roman" w:hAnsi="Times New Roman" w:cs="Times New Roman"/>
          <w:sz w:val="20"/>
          <w:szCs w:val="20"/>
        </w:rPr>
        <w:t>Ledderhof</w:t>
      </w:r>
      <w:proofErr w:type="spellEnd"/>
      <w:r w:rsidR="00B40C33" w:rsidRPr="004007B2">
        <w:rPr>
          <w:rFonts w:ascii="Times New Roman" w:eastAsia="Times New Roman" w:hAnsi="Times New Roman" w:cs="Times New Roman"/>
          <w:sz w:val="20"/>
          <w:szCs w:val="20"/>
        </w:rPr>
        <w:t xml:space="preserve"> et al., 2017</w:t>
      </w:r>
      <w:r w:rsidR="003E2AF1" w:rsidRPr="004007B2">
        <w:rPr>
          <w:rFonts w:ascii="Times New Roman" w:eastAsia="Times New Roman" w:hAnsi="Times New Roman" w:cs="Times New Roman"/>
          <w:sz w:val="20"/>
          <w:szCs w:val="20"/>
        </w:rPr>
        <w:t>a</w:t>
      </w:r>
      <w:r w:rsidR="009915F5" w:rsidRPr="004007B2">
        <w:rPr>
          <w:rFonts w:ascii="Times New Roman" w:eastAsia="Times New Roman" w:hAnsi="Times New Roman" w:cs="Times New Roman"/>
          <w:sz w:val="20"/>
          <w:szCs w:val="20"/>
        </w:rPr>
        <w:t>; Lone et al., 2020; Mishra et al., 2023</w:t>
      </w:r>
      <w:r w:rsidR="00B40C33" w:rsidRPr="004007B2">
        <w:rPr>
          <w:rFonts w:ascii="Times New Roman" w:eastAsia="Times New Roman" w:hAnsi="Times New Roman" w:cs="Times New Roman"/>
          <w:sz w:val="20"/>
          <w:szCs w:val="20"/>
        </w:rPr>
        <w:t>).</w:t>
      </w:r>
    </w:p>
    <w:p w14:paraId="0C8D0864" w14:textId="77777777" w:rsidR="001A0FE8" w:rsidRPr="004007B2" w:rsidRDefault="001A0FE8" w:rsidP="00BE7629">
      <w:pPr>
        <w:spacing w:after="0" w:line="240" w:lineRule="auto"/>
        <w:contextualSpacing/>
        <w:jc w:val="both"/>
        <w:rPr>
          <w:rFonts w:ascii="Times New Roman" w:eastAsia="Times New Roman" w:hAnsi="Times New Roman" w:cs="Times New Roman"/>
          <w:sz w:val="16"/>
          <w:szCs w:val="16"/>
        </w:rPr>
      </w:pPr>
    </w:p>
    <w:p w14:paraId="0A161BE3" w14:textId="64954B81" w:rsidR="00BE7629" w:rsidRPr="004007B2" w:rsidRDefault="00BE7629" w:rsidP="00BF140F">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sz w:val="20"/>
          <w:szCs w:val="20"/>
        </w:rPr>
        <w:t xml:space="preserve">Clinical studies by </w:t>
      </w:r>
      <w:proofErr w:type="spellStart"/>
      <w:r w:rsidRPr="004007B2">
        <w:rPr>
          <w:rFonts w:ascii="Times New Roman" w:eastAsia="Times New Roman" w:hAnsi="Times New Roman" w:cs="Times New Roman"/>
          <w:sz w:val="20"/>
          <w:szCs w:val="20"/>
        </w:rPr>
        <w:t>Dashow</w:t>
      </w:r>
      <w:proofErr w:type="spellEnd"/>
      <w:r w:rsidRPr="004007B2">
        <w:rPr>
          <w:rFonts w:ascii="Times New Roman" w:eastAsia="Times New Roman" w:hAnsi="Times New Roman" w:cs="Times New Roman"/>
          <w:sz w:val="20"/>
          <w:szCs w:val="20"/>
        </w:rPr>
        <w:t xml:space="preserve"> et al.</w:t>
      </w:r>
      <w:r w:rsidR="00BF140F" w:rsidRPr="004007B2">
        <w:rPr>
          <w:rFonts w:ascii="Times New Roman" w:eastAsia="Times New Roman" w:hAnsi="Times New Roman" w:cs="Times New Roman"/>
          <w:sz w:val="20"/>
          <w:szCs w:val="20"/>
        </w:rPr>
        <w:t xml:space="preserve"> (2015)</w:t>
      </w:r>
      <w:r w:rsidRPr="004007B2">
        <w:rPr>
          <w:rFonts w:ascii="Times New Roman" w:eastAsia="Times New Roman" w:hAnsi="Times New Roman" w:cs="Times New Roman"/>
          <w:sz w:val="20"/>
          <w:szCs w:val="20"/>
        </w:rPr>
        <w:t xml:space="preserve"> and </w:t>
      </w:r>
      <w:proofErr w:type="spellStart"/>
      <w:r w:rsidRPr="004007B2">
        <w:rPr>
          <w:rFonts w:ascii="Times New Roman" w:eastAsia="Times New Roman" w:hAnsi="Times New Roman" w:cs="Times New Roman"/>
          <w:sz w:val="20"/>
          <w:szCs w:val="20"/>
        </w:rPr>
        <w:t>Ledderhof</w:t>
      </w:r>
      <w:proofErr w:type="spellEnd"/>
      <w:r w:rsidRPr="004007B2">
        <w:rPr>
          <w:rFonts w:ascii="Times New Roman" w:eastAsia="Times New Roman" w:hAnsi="Times New Roman" w:cs="Times New Roman"/>
          <w:sz w:val="20"/>
          <w:szCs w:val="20"/>
        </w:rPr>
        <w:t xml:space="preserve"> et al. </w:t>
      </w:r>
      <w:r w:rsidR="00BF140F" w:rsidRPr="004007B2">
        <w:rPr>
          <w:rFonts w:ascii="Times New Roman" w:eastAsia="Times New Roman" w:hAnsi="Times New Roman" w:cs="Times New Roman"/>
          <w:sz w:val="20"/>
          <w:szCs w:val="20"/>
        </w:rPr>
        <w:t>(</w:t>
      </w:r>
      <w:r w:rsidR="00BF140F" w:rsidRPr="004007B2">
        <w:rPr>
          <w:rFonts w:ascii="Times New Roman" w:eastAsia="Times New Roman" w:hAnsi="Times New Roman" w:cs="Times New Roman"/>
          <w:sz w:val="20"/>
          <w:szCs w:val="20"/>
        </w:rPr>
        <w:t>2017b)</w:t>
      </w:r>
      <w:r w:rsidR="00BF140F" w:rsidRPr="004007B2">
        <w:rPr>
          <w:rFonts w:ascii="Times New Roman" w:eastAsia="Times New Roman" w:hAnsi="Times New Roman" w:cs="Times New Roman"/>
          <w:sz w:val="20"/>
          <w:szCs w:val="20"/>
        </w:rPr>
        <w:t xml:space="preserve"> </w:t>
      </w:r>
      <w:r w:rsidRPr="004007B2">
        <w:rPr>
          <w:rFonts w:ascii="Times New Roman" w:eastAsia="Times New Roman" w:hAnsi="Times New Roman" w:cs="Times New Roman"/>
          <w:sz w:val="20"/>
          <w:szCs w:val="20"/>
        </w:rPr>
        <w:t xml:space="preserve">have demonstrated that 5-FU achieves recurrence rates comparable to or better than </w:t>
      </w:r>
      <w:proofErr w:type="spellStart"/>
      <w:r w:rsidRPr="004007B2">
        <w:rPr>
          <w:rFonts w:ascii="Times New Roman" w:eastAsia="Times New Roman" w:hAnsi="Times New Roman" w:cs="Times New Roman"/>
          <w:sz w:val="20"/>
          <w:szCs w:val="20"/>
        </w:rPr>
        <w:t>Carnoy’s</w:t>
      </w:r>
      <w:proofErr w:type="spellEnd"/>
      <w:r w:rsidRPr="004007B2">
        <w:rPr>
          <w:rFonts w:ascii="Times New Roman" w:eastAsia="Times New Roman" w:hAnsi="Times New Roman" w:cs="Times New Roman"/>
          <w:sz w:val="20"/>
          <w:szCs w:val="20"/>
        </w:rPr>
        <w:t xml:space="preserve"> solution (approximately 0–10%) without the associated risks of nerve paresthesia or extensive sequestrum formation</w:t>
      </w:r>
      <w:r w:rsidR="00881DB1" w:rsidRPr="004007B2">
        <w:rPr>
          <w:rFonts w:ascii="Times New Roman" w:eastAsia="Times New Roman" w:hAnsi="Times New Roman" w:cs="Times New Roman"/>
          <w:sz w:val="20"/>
          <w:szCs w:val="20"/>
        </w:rPr>
        <w:t xml:space="preserve"> </w:t>
      </w:r>
      <w:r w:rsidR="00EA6EF1" w:rsidRPr="004007B2">
        <w:rPr>
          <w:rFonts w:ascii="Times New Roman" w:eastAsia="Times New Roman" w:hAnsi="Times New Roman" w:cs="Times New Roman"/>
          <w:sz w:val="20"/>
          <w:szCs w:val="20"/>
        </w:rPr>
        <w:t>(Singh et al., 2022</w:t>
      </w:r>
      <w:r w:rsidR="00EC4F97" w:rsidRPr="004007B2">
        <w:rPr>
          <w:rFonts w:ascii="Times New Roman" w:eastAsia="Times New Roman" w:hAnsi="Times New Roman" w:cs="Times New Roman"/>
          <w:sz w:val="20"/>
          <w:szCs w:val="20"/>
        </w:rPr>
        <w:t xml:space="preserve">; </w:t>
      </w:r>
      <w:proofErr w:type="spellStart"/>
      <w:r w:rsidR="00EC4F97" w:rsidRPr="004007B2">
        <w:rPr>
          <w:rFonts w:ascii="Times New Roman" w:eastAsia="Times New Roman" w:hAnsi="Times New Roman" w:cs="Times New Roman"/>
          <w:sz w:val="20"/>
          <w:szCs w:val="20"/>
        </w:rPr>
        <w:t>Ledderhof</w:t>
      </w:r>
      <w:proofErr w:type="spellEnd"/>
      <w:r w:rsidR="00EC4F97" w:rsidRPr="004007B2">
        <w:rPr>
          <w:rFonts w:ascii="Times New Roman" w:eastAsia="Times New Roman" w:hAnsi="Times New Roman" w:cs="Times New Roman"/>
          <w:sz w:val="20"/>
          <w:szCs w:val="20"/>
        </w:rPr>
        <w:t xml:space="preserve"> et al., 2017</w:t>
      </w:r>
      <w:r w:rsidR="003E6E3E" w:rsidRPr="004007B2">
        <w:rPr>
          <w:rFonts w:ascii="Times New Roman" w:eastAsia="Times New Roman" w:hAnsi="Times New Roman" w:cs="Times New Roman"/>
          <w:sz w:val="20"/>
          <w:szCs w:val="20"/>
        </w:rPr>
        <w:t>b</w:t>
      </w:r>
      <w:r w:rsidR="00881DB1" w:rsidRPr="004007B2">
        <w:rPr>
          <w:rFonts w:ascii="Times New Roman" w:eastAsia="Times New Roman" w:hAnsi="Times New Roman" w:cs="Times New Roman"/>
          <w:sz w:val="20"/>
          <w:szCs w:val="20"/>
        </w:rPr>
        <w:t>)</w:t>
      </w:r>
      <w:r w:rsidRPr="004007B2">
        <w:rPr>
          <w:rFonts w:ascii="Times New Roman" w:eastAsia="Times New Roman" w:hAnsi="Times New Roman" w:cs="Times New Roman"/>
          <w:sz w:val="20"/>
          <w:szCs w:val="20"/>
        </w:rPr>
        <w:t>. In the present case, the application of a 5-</w:t>
      </w:r>
      <w:proofErr w:type="gramStart"/>
      <w:r w:rsidRPr="004007B2">
        <w:rPr>
          <w:rFonts w:ascii="Times New Roman" w:eastAsia="Times New Roman" w:hAnsi="Times New Roman" w:cs="Times New Roman"/>
          <w:sz w:val="20"/>
          <w:szCs w:val="20"/>
        </w:rPr>
        <w:t>FU soaked</w:t>
      </w:r>
      <w:proofErr w:type="gramEnd"/>
      <w:r w:rsidRPr="004007B2">
        <w:rPr>
          <w:rFonts w:ascii="Times New Roman" w:eastAsia="Times New Roman" w:hAnsi="Times New Roman" w:cs="Times New Roman"/>
          <w:sz w:val="20"/>
          <w:szCs w:val="20"/>
        </w:rPr>
        <w:t xml:space="preserve"> gauze for 24 hours allowed for a localized, high-concentration delivery of the drug. This protocol ensured that the medication reached the peripheral bone without systemic toxicity, which is consistent with the lack of neurosensory deficits observed in our 3-month follow-up.</w:t>
      </w:r>
    </w:p>
    <w:p w14:paraId="03DA145D" w14:textId="77777777" w:rsidR="001A0FE8" w:rsidRPr="004007B2" w:rsidRDefault="001A0FE8" w:rsidP="00BE7629">
      <w:pPr>
        <w:spacing w:after="0" w:line="240" w:lineRule="auto"/>
        <w:contextualSpacing/>
        <w:jc w:val="both"/>
        <w:rPr>
          <w:rFonts w:ascii="Times New Roman" w:eastAsia="Times New Roman" w:hAnsi="Times New Roman" w:cs="Times New Roman"/>
          <w:b/>
          <w:bCs/>
          <w:sz w:val="16"/>
          <w:szCs w:val="16"/>
        </w:rPr>
      </w:pPr>
    </w:p>
    <w:p w14:paraId="0D388C57" w14:textId="124266A9" w:rsidR="00BE7629" w:rsidRPr="004007B2" w:rsidRDefault="00BE7629" w:rsidP="00EC4F97">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sz w:val="20"/>
          <w:szCs w:val="20"/>
        </w:rPr>
        <w:t>Furthermore, the observation of bone regeneration in this patient’s follow-up OPG highlights another advantage: unlike more caustic agents, 5-FU appears to be better tolerated by the surrounding osteoblasts, facilitating a more rapid and robust healing of the bony defect</w:t>
      </w:r>
      <w:r w:rsidR="00EC4F97" w:rsidRPr="004007B2">
        <w:rPr>
          <w:rFonts w:ascii="Times New Roman" w:eastAsia="Times New Roman" w:hAnsi="Times New Roman" w:cs="Times New Roman"/>
          <w:sz w:val="20"/>
          <w:szCs w:val="20"/>
        </w:rPr>
        <w:t xml:space="preserve"> (Balamurugan, 2019)</w:t>
      </w:r>
      <w:r w:rsidRPr="004007B2">
        <w:rPr>
          <w:rFonts w:ascii="Times New Roman" w:eastAsia="Times New Roman" w:hAnsi="Times New Roman" w:cs="Times New Roman"/>
          <w:sz w:val="20"/>
          <w:szCs w:val="20"/>
        </w:rPr>
        <w:t>.</w:t>
      </w:r>
      <w:r w:rsidR="00EC4F97" w:rsidRPr="004007B2">
        <w:rPr>
          <w:rFonts w:ascii="Times New Roman" w:eastAsia="Times New Roman" w:hAnsi="Times New Roman" w:cs="Times New Roman"/>
          <w:sz w:val="20"/>
          <w:szCs w:val="20"/>
        </w:rPr>
        <w:t xml:space="preserve"> </w:t>
      </w:r>
      <w:r w:rsidRPr="004007B2">
        <w:rPr>
          <w:rFonts w:ascii="Times New Roman" w:eastAsia="Times New Roman" w:hAnsi="Times New Roman" w:cs="Times New Roman"/>
          <w:sz w:val="20"/>
          <w:szCs w:val="20"/>
        </w:rPr>
        <w:t>While this case shows excellent short-term results, the known late-recurrence patterns of OKC—sometimes occurring 10 years post-operatively—necessitate a long-term clinical and radiographic surveillance protocol.</w:t>
      </w:r>
    </w:p>
    <w:p w14:paraId="59733539" w14:textId="604BDE0B" w:rsidR="00BE7629" w:rsidRPr="004007B2" w:rsidRDefault="00BE7629" w:rsidP="00BE7629">
      <w:pPr>
        <w:spacing w:after="0" w:line="240" w:lineRule="auto"/>
        <w:contextualSpacing/>
        <w:jc w:val="both"/>
        <w:rPr>
          <w:rFonts w:ascii="Times New Roman" w:eastAsia="Times New Roman" w:hAnsi="Times New Roman" w:cs="Times New Roman"/>
          <w:b/>
          <w:bCs/>
          <w:sz w:val="16"/>
          <w:szCs w:val="16"/>
        </w:rPr>
      </w:pPr>
    </w:p>
    <w:p w14:paraId="67679939" w14:textId="31F90049" w:rsidR="001A0FE8" w:rsidRPr="004007B2" w:rsidRDefault="00AD0E1F" w:rsidP="00AD0E1F">
      <w:pPr>
        <w:pStyle w:val="Heading2"/>
        <w:rPr>
          <w:rFonts w:eastAsia="Times New Roman"/>
        </w:rPr>
      </w:pPr>
      <w:r w:rsidRPr="004007B2">
        <w:rPr>
          <w:rFonts w:eastAsia="Times New Roman"/>
        </w:rPr>
        <w:t xml:space="preserve">4. </w:t>
      </w:r>
      <w:r w:rsidR="00BE7629" w:rsidRPr="004007B2">
        <w:rPr>
          <w:rFonts w:eastAsia="Times New Roman"/>
        </w:rPr>
        <w:t>Conclusion</w:t>
      </w:r>
    </w:p>
    <w:p w14:paraId="75837991" w14:textId="77777777" w:rsidR="001A0FE8" w:rsidRPr="004007B2" w:rsidRDefault="001A0FE8" w:rsidP="001A0FE8">
      <w:pPr>
        <w:spacing w:after="0" w:line="240" w:lineRule="auto"/>
        <w:contextualSpacing/>
        <w:jc w:val="both"/>
        <w:rPr>
          <w:rFonts w:ascii="Times New Roman" w:eastAsia="Times New Roman" w:hAnsi="Times New Roman" w:cs="Times New Roman"/>
          <w:b/>
          <w:bCs/>
          <w:sz w:val="16"/>
          <w:szCs w:val="16"/>
        </w:rPr>
      </w:pPr>
    </w:p>
    <w:p w14:paraId="33CDB4E8" w14:textId="0C6E10B4" w:rsidR="00BE7629" w:rsidRPr="004007B2" w:rsidRDefault="00BE7629" w:rsidP="001A0FE8">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sz w:val="20"/>
          <w:szCs w:val="20"/>
        </w:rPr>
        <w:t xml:space="preserve">This case highlights that conservative enucleation combined with 5-Fluorouracil is an effective management strategy for large Mandibular Odontogenic </w:t>
      </w:r>
      <w:proofErr w:type="spellStart"/>
      <w:r w:rsidRPr="004007B2">
        <w:rPr>
          <w:rFonts w:ascii="Times New Roman" w:eastAsia="Times New Roman" w:hAnsi="Times New Roman" w:cs="Times New Roman"/>
          <w:sz w:val="20"/>
          <w:szCs w:val="20"/>
        </w:rPr>
        <w:t>Keratocysts</w:t>
      </w:r>
      <w:proofErr w:type="spellEnd"/>
      <w:r w:rsidRPr="004007B2">
        <w:rPr>
          <w:rFonts w:ascii="Times New Roman" w:eastAsia="Times New Roman" w:hAnsi="Times New Roman" w:cs="Times New Roman"/>
          <w:sz w:val="20"/>
          <w:szCs w:val="20"/>
        </w:rPr>
        <w:t>. This approach minimizes surgical morbidity and prevents neurosensory deficits while providing a robust mechanism to reduce recurrence. Long-term follow-up remains essential.</w:t>
      </w:r>
    </w:p>
    <w:p w14:paraId="3C015A4A" w14:textId="77777777" w:rsidR="001A0FE8" w:rsidRPr="004007B2" w:rsidRDefault="001A0FE8" w:rsidP="001A0FE8">
      <w:pPr>
        <w:spacing w:after="0" w:line="240" w:lineRule="auto"/>
        <w:contextualSpacing/>
        <w:jc w:val="both"/>
        <w:rPr>
          <w:rFonts w:ascii="Times New Roman" w:eastAsia="Times New Roman" w:hAnsi="Times New Roman" w:cs="Times New Roman"/>
          <w:sz w:val="16"/>
          <w:szCs w:val="16"/>
        </w:rPr>
      </w:pPr>
    </w:p>
    <w:p w14:paraId="0D6D8540" w14:textId="77777777" w:rsidR="008525BE" w:rsidRPr="004007B2" w:rsidRDefault="008525BE" w:rsidP="008525BE">
      <w:pPr>
        <w:spacing w:after="0" w:line="240" w:lineRule="auto"/>
        <w:contextualSpacing/>
        <w:jc w:val="both"/>
        <w:rPr>
          <w:rFonts w:ascii="Times New Roman" w:eastAsia="Times New Roman" w:hAnsi="Times New Roman" w:cstheme="majorBidi"/>
          <w:b/>
          <w:bCs/>
          <w:szCs w:val="26"/>
        </w:rPr>
      </w:pPr>
      <w:r w:rsidRPr="004007B2">
        <w:rPr>
          <w:rFonts w:ascii="Times New Roman" w:eastAsia="Times New Roman" w:hAnsi="Times New Roman" w:cstheme="majorBidi"/>
          <w:b/>
          <w:bCs/>
          <w:szCs w:val="26"/>
        </w:rPr>
        <w:t xml:space="preserve">Consent </w:t>
      </w:r>
    </w:p>
    <w:p w14:paraId="4CBA17CE" w14:textId="77777777" w:rsidR="000563CE" w:rsidRPr="004007B2" w:rsidRDefault="000563CE" w:rsidP="008525BE">
      <w:pPr>
        <w:spacing w:after="0" w:line="240" w:lineRule="auto"/>
        <w:contextualSpacing/>
        <w:jc w:val="both"/>
        <w:rPr>
          <w:rFonts w:ascii="Times New Roman" w:eastAsia="Times New Roman" w:hAnsi="Times New Roman" w:cstheme="majorBidi"/>
          <w:b/>
          <w:bCs/>
          <w:szCs w:val="26"/>
        </w:rPr>
      </w:pPr>
    </w:p>
    <w:p w14:paraId="4E8B05C5" w14:textId="63A85B0E" w:rsidR="001A0FE8" w:rsidRPr="004007B2" w:rsidRDefault="008525BE" w:rsidP="008525BE">
      <w:pPr>
        <w:spacing w:after="0" w:line="240" w:lineRule="auto"/>
        <w:contextualSpacing/>
        <w:jc w:val="both"/>
        <w:rPr>
          <w:rFonts w:ascii="Times New Roman" w:eastAsia="Times New Roman" w:hAnsi="Times New Roman" w:cstheme="majorBidi"/>
          <w:sz w:val="20"/>
          <w:szCs w:val="20"/>
        </w:rPr>
      </w:pPr>
      <w:r w:rsidRPr="004007B2">
        <w:rPr>
          <w:rFonts w:ascii="Times New Roman" w:eastAsia="Times New Roman" w:hAnsi="Times New Roman" w:cstheme="majorBidi"/>
          <w:sz w:val="20"/>
          <w:szCs w:val="20"/>
        </w:rPr>
        <w:t>As per international standards or university standards, patient(s) written consent has been collected and preserved by the author(s).</w:t>
      </w:r>
    </w:p>
    <w:p w14:paraId="078715EC" w14:textId="77777777" w:rsidR="008525BE" w:rsidRPr="004007B2" w:rsidRDefault="008525BE" w:rsidP="008525BE">
      <w:pPr>
        <w:spacing w:after="0" w:line="240" w:lineRule="auto"/>
        <w:contextualSpacing/>
        <w:jc w:val="both"/>
        <w:rPr>
          <w:rFonts w:ascii="Times New Roman" w:eastAsia="Times New Roman" w:hAnsi="Times New Roman" w:cs="Times New Roman"/>
          <w:bCs/>
          <w:sz w:val="16"/>
          <w:szCs w:val="16"/>
        </w:rPr>
      </w:pPr>
    </w:p>
    <w:p w14:paraId="2907110E" w14:textId="1E9DD807" w:rsidR="00BE7629" w:rsidRPr="004007B2" w:rsidRDefault="00BE7629" w:rsidP="001A0FE8">
      <w:pPr>
        <w:pStyle w:val="Heading2"/>
        <w:rPr>
          <w:rFonts w:eastAsia="Times New Roman"/>
        </w:rPr>
      </w:pPr>
      <w:r w:rsidRPr="004007B2">
        <w:rPr>
          <w:rFonts w:eastAsia="Times New Roman"/>
        </w:rPr>
        <w:t>Ethical Approval</w:t>
      </w:r>
    </w:p>
    <w:p w14:paraId="0F260062" w14:textId="77777777" w:rsidR="00BE7629" w:rsidRPr="004007B2" w:rsidRDefault="00BE7629" w:rsidP="00BE7629">
      <w:pPr>
        <w:spacing w:after="0" w:line="240" w:lineRule="auto"/>
        <w:contextualSpacing/>
        <w:jc w:val="both"/>
        <w:rPr>
          <w:rFonts w:ascii="Times New Roman" w:eastAsia="Times New Roman" w:hAnsi="Times New Roman" w:cs="Times New Roman"/>
          <w:b/>
          <w:bCs/>
          <w:sz w:val="16"/>
          <w:szCs w:val="16"/>
        </w:rPr>
      </w:pPr>
    </w:p>
    <w:p w14:paraId="3FE96F37" w14:textId="77777777" w:rsidR="00BE7629" w:rsidRPr="004007B2" w:rsidRDefault="00BE7629" w:rsidP="00BE7629">
      <w:pPr>
        <w:spacing w:after="0" w:line="240" w:lineRule="auto"/>
        <w:contextualSpacing/>
        <w:jc w:val="both"/>
        <w:rPr>
          <w:rFonts w:ascii="Times New Roman" w:eastAsia="Times New Roman" w:hAnsi="Times New Roman" w:cs="Times New Roman"/>
          <w:sz w:val="20"/>
          <w:szCs w:val="20"/>
        </w:rPr>
      </w:pPr>
      <w:r w:rsidRPr="004007B2">
        <w:rPr>
          <w:rFonts w:ascii="Times New Roman" w:eastAsia="Times New Roman" w:hAnsi="Times New Roman" w:cs="Times New Roman"/>
          <w:sz w:val="20"/>
          <w:szCs w:val="20"/>
        </w:rPr>
        <w:t>As per international standards or university standards written ethical approval has been collected and preserved by the author(s).</w:t>
      </w:r>
    </w:p>
    <w:p w14:paraId="26EFBA9D" w14:textId="77777777" w:rsidR="00BE7629" w:rsidRPr="004007B2" w:rsidRDefault="00BE7629" w:rsidP="00BE7629">
      <w:pPr>
        <w:spacing w:after="0" w:line="240" w:lineRule="auto"/>
        <w:contextualSpacing/>
        <w:jc w:val="both"/>
        <w:rPr>
          <w:rFonts w:ascii="Times New Roman" w:eastAsia="Times New Roman" w:hAnsi="Times New Roman" w:cs="Times New Roman"/>
          <w:b/>
          <w:bCs/>
          <w:sz w:val="16"/>
          <w:szCs w:val="16"/>
        </w:rPr>
      </w:pPr>
    </w:p>
    <w:p w14:paraId="513774BC" w14:textId="77777777" w:rsidR="00BE7629" w:rsidRPr="004007B2" w:rsidRDefault="00BE7629" w:rsidP="00BE7629">
      <w:pPr>
        <w:spacing w:after="0" w:line="240" w:lineRule="auto"/>
        <w:jc w:val="both"/>
        <w:rPr>
          <w:rFonts w:ascii="Times New Roman" w:eastAsia="Calibri" w:hAnsi="Times New Roman" w:cs="Times New Roman"/>
          <w:b/>
          <w:bCs/>
          <w:kern w:val="2"/>
        </w:rPr>
      </w:pPr>
      <w:r w:rsidRPr="004007B2">
        <w:rPr>
          <w:rFonts w:ascii="Times New Roman" w:eastAsia="Calibri" w:hAnsi="Times New Roman" w:cs="Times New Roman"/>
          <w:b/>
          <w:bCs/>
          <w:kern w:val="2"/>
        </w:rPr>
        <w:t>Disclaimer (Artificial Intelligence)</w:t>
      </w:r>
    </w:p>
    <w:p w14:paraId="578631DA" w14:textId="77777777" w:rsidR="00BE7629" w:rsidRPr="004007B2" w:rsidRDefault="00BE7629" w:rsidP="00BE7629">
      <w:pPr>
        <w:spacing w:after="0" w:line="240" w:lineRule="auto"/>
        <w:jc w:val="both"/>
        <w:rPr>
          <w:rFonts w:ascii="Times New Roman" w:eastAsia="Calibri" w:hAnsi="Times New Roman" w:cs="Times New Roman"/>
          <w:b/>
          <w:bCs/>
          <w:kern w:val="2"/>
          <w:sz w:val="16"/>
          <w:szCs w:val="16"/>
        </w:rPr>
      </w:pPr>
    </w:p>
    <w:p w14:paraId="52336511" w14:textId="77777777" w:rsidR="00BE7629" w:rsidRPr="004007B2" w:rsidRDefault="00BE7629" w:rsidP="00BE7629">
      <w:pPr>
        <w:spacing w:after="0" w:line="240" w:lineRule="auto"/>
        <w:jc w:val="both"/>
        <w:rPr>
          <w:rFonts w:ascii="Times New Roman" w:eastAsia="Calibri" w:hAnsi="Times New Roman" w:cs="Times New Roman"/>
          <w:kern w:val="2"/>
          <w:sz w:val="20"/>
          <w:szCs w:val="20"/>
        </w:rPr>
      </w:pPr>
      <w:r w:rsidRPr="004007B2">
        <w:rPr>
          <w:rFonts w:ascii="Times New Roman" w:eastAsia="Calibri" w:hAnsi="Times New Roman" w:cs="Times New Roman"/>
          <w:kern w:val="2"/>
          <w:sz w:val="20"/>
          <w:szCs w:val="20"/>
        </w:rPr>
        <w:t xml:space="preserve">Author(s) hereby </w:t>
      </w:r>
      <w:proofErr w:type="gramStart"/>
      <w:r w:rsidRPr="004007B2">
        <w:rPr>
          <w:rFonts w:ascii="Times New Roman" w:eastAsia="Calibri" w:hAnsi="Times New Roman" w:cs="Times New Roman"/>
          <w:kern w:val="2"/>
          <w:sz w:val="20"/>
          <w:szCs w:val="20"/>
        </w:rPr>
        <w:t>declare</w:t>
      </w:r>
      <w:proofErr w:type="gramEnd"/>
      <w:r w:rsidRPr="004007B2">
        <w:rPr>
          <w:rFonts w:ascii="Times New Roman" w:eastAsia="Calibri" w:hAnsi="Times New Roman" w:cs="Times New Roman"/>
          <w:kern w:val="2"/>
          <w:sz w:val="20"/>
          <w:szCs w:val="20"/>
        </w:rPr>
        <w:t xml:space="preserve"> that NO generative AI technologies such as Large Language Models (ChatGPT, COPILOT, </w:t>
      </w:r>
      <w:proofErr w:type="spellStart"/>
      <w:r w:rsidRPr="004007B2">
        <w:rPr>
          <w:rFonts w:ascii="Times New Roman" w:eastAsia="Calibri" w:hAnsi="Times New Roman" w:cs="Times New Roman"/>
          <w:kern w:val="2"/>
          <w:sz w:val="20"/>
          <w:szCs w:val="20"/>
        </w:rPr>
        <w:t>etc</w:t>
      </w:r>
      <w:proofErr w:type="spellEnd"/>
      <w:r w:rsidRPr="004007B2">
        <w:rPr>
          <w:rFonts w:ascii="Times New Roman" w:eastAsia="Calibri" w:hAnsi="Times New Roman" w:cs="Times New Roman"/>
          <w:kern w:val="2"/>
          <w:sz w:val="20"/>
          <w:szCs w:val="20"/>
        </w:rPr>
        <w:t xml:space="preserve">) and text-to-image generators have been used during writing or editing of this manuscript. </w:t>
      </w:r>
    </w:p>
    <w:p w14:paraId="18B91418" w14:textId="77777777" w:rsidR="00BE7629" w:rsidRPr="004007B2" w:rsidRDefault="00BE7629" w:rsidP="00BE7629">
      <w:pPr>
        <w:spacing w:after="0" w:line="240" w:lineRule="auto"/>
        <w:jc w:val="both"/>
        <w:rPr>
          <w:rFonts w:ascii="Times New Roman" w:eastAsia="Calibri" w:hAnsi="Times New Roman" w:cs="Times New Roman"/>
          <w:kern w:val="2"/>
          <w:sz w:val="16"/>
          <w:szCs w:val="16"/>
        </w:rPr>
      </w:pPr>
    </w:p>
    <w:p w14:paraId="0CC7907C" w14:textId="77777777" w:rsidR="00BE7629" w:rsidRPr="004007B2" w:rsidRDefault="00BE7629" w:rsidP="00BE7629">
      <w:pPr>
        <w:pStyle w:val="ReferHead"/>
        <w:spacing w:after="0"/>
        <w:jc w:val="both"/>
        <w:rPr>
          <w:rFonts w:ascii="Times New Roman" w:hAnsi="Times New Roman"/>
          <w:bCs/>
        </w:rPr>
      </w:pPr>
      <w:r w:rsidRPr="004007B2">
        <w:rPr>
          <w:rFonts w:ascii="Times New Roman" w:hAnsi="Times New Roman"/>
          <w:bCs/>
          <w:caps w:val="0"/>
        </w:rPr>
        <w:lastRenderedPageBreak/>
        <w:t>Competing Interests</w:t>
      </w:r>
    </w:p>
    <w:p w14:paraId="5EFE8F88" w14:textId="77777777" w:rsidR="00BE7629" w:rsidRPr="004007B2" w:rsidRDefault="00BE7629" w:rsidP="00BE7629">
      <w:pPr>
        <w:pStyle w:val="ReferHead"/>
        <w:spacing w:after="0"/>
        <w:rPr>
          <w:rFonts w:ascii="Times New Roman" w:hAnsi="Times New Roman"/>
        </w:rPr>
      </w:pPr>
    </w:p>
    <w:p w14:paraId="66D52DDE" w14:textId="6D43F47B" w:rsidR="00BE7629" w:rsidRPr="004007B2" w:rsidRDefault="001A0FE8" w:rsidP="001A0FE8">
      <w:pPr>
        <w:pStyle w:val="ReferHead"/>
        <w:spacing w:after="0"/>
        <w:jc w:val="both"/>
        <w:rPr>
          <w:rFonts w:ascii="Times New Roman" w:hAnsi="Times New Roman"/>
          <w:b w:val="0"/>
          <w:caps w:val="0"/>
          <w:sz w:val="20"/>
        </w:rPr>
      </w:pPr>
      <w:r w:rsidRPr="004007B2">
        <w:rPr>
          <w:rFonts w:ascii="Times New Roman" w:hAnsi="Times New Roman"/>
          <w:b w:val="0"/>
          <w:bCs/>
          <w:caps w:val="0"/>
          <w:sz w:val="20"/>
          <w:lang w:val="en-GB"/>
        </w:rPr>
        <w:t>Authors have declared that they have no known competing financial interests OR non-financial interests OR personal relationships that could have appeared to influence the work reported in this paper</w:t>
      </w:r>
      <w:r w:rsidR="00BE7629" w:rsidRPr="004007B2">
        <w:rPr>
          <w:rFonts w:ascii="Times New Roman" w:hAnsi="Times New Roman"/>
          <w:b w:val="0"/>
          <w:caps w:val="0"/>
          <w:sz w:val="20"/>
        </w:rPr>
        <w:t>.</w:t>
      </w:r>
    </w:p>
    <w:p w14:paraId="1745B1D9" w14:textId="77777777" w:rsidR="00BE7629" w:rsidRPr="004007B2" w:rsidRDefault="00BE7629" w:rsidP="00BE7629">
      <w:pPr>
        <w:spacing w:after="0" w:line="240" w:lineRule="auto"/>
        <w:contextualSpacing/>
        <w:jc w:val="both"/>
        <w:rPr>
          <w:rFonts w:ascii="Times New Roman" w:eastAsia="Times New Roman" w:hAnsi="Times New Roman" w:cs="Times New Roman"/>
          <w:b/>
          <w:bCs/>
          <w:sz w:val="20"/>
          <w:szCs w:val="20"/>
        </w:rPr>
      </w:pPr>
    </w:p>
    <w:p w14:paraId="67C49AA9" w14:textId="77777777" w:rsidR="00BE7629" w:rsidRPr="004007B2" w:rsidRDefault="00BE7629" w:rsidP="001A0FE8">
      <w:pPr>
        <w:pStyle w:val="Heading2"/>
        <w:rPr>
          <w:rFonts w:eastAsia="Times New Roman"/>
        </w:rPr>
      </w:pPr>
      <w:r w:rsidRPr="004007B2">
        <w:rPr>
          <w:rFonts w:eastAsia="Times New Roman"/>
        </w:rPr>
        <w:t>References</w:t>
      </w:r>
    </w:p>
    <w:p w14:paraId="7C6E3483" w14:textId="77777777" w:rsidR="00BE7629" w:rsidRPr="004007B2" w:rsidRDefault="00BE7629" w:rsidP="00BE7629">
      <w:pPr>
        <w:spacing w:after="0" w:line="240" w:lineRule="auto"/>
        <w:contextualSpacing/>
        <w:jc w:val="both"/>
        <w:rPr>
          <w:rFonts w:ascii="Times New Roman" w:eastAsia="Times New Roman" w:hAnsi="Times New Roman" w:cs="Times New Roman"/>
          <w:bCs/>
          <w:sz w:val="20"/>
          <w:szCs w:val="20"/>
        </w:rPr>
      </w:pPr>
    </w:p>
    <w:p w14:paraId="5895553B"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bookmarkStart w:id="0" w:name="_Hlk224980404"/>
      <w:r w:rsidRPr="004007B2">
        <w:rPr>
          <w:rFonts w:ascii="Times New Roman" w:eastAsia="Times New Roman" w:hAnsi="Times New Roman" w:cs="Times New Roman"/>
          <w:bCs/>
          <w:sz w:val="20"/>
          <w:szCs w:val="20"/>
          <w:lang w:val="nl-BE"/>
        </w:rPr>
        <w:t xml:space="preserve">Al-Moraissi, E. A., et al. </w:t>
      </w:r>
      <w:r w:rsidRPr="004007B2">
        <w:rPr>
          <w:rFonts w:ascii="Times New Roman" w:eastAsia="Times New Roman" w:hAnsi="Times New Roman" w:cs="Times New Roman"/>
          <w:bCs/>
          <w:sz w:val="20"/>
          <w:szCs w:val="20"/>
        </w:rPr>
        <w:t xml:space="preserve">(2017). What surgical treatment has the lowest recurrence rate? </w:t>
      </w:r>
      <w:r w:rsidRPr="004007B2">
        <w:rPr>
          <w:rFonts w:ascii="Times New Roman" w:eastAsia="Times New Roman" w:hAnsi="Times New Roman" w:cs="Times New Roman"/>
          <w:bCs/>
          <w:i/>
          <w:iCs/>
          <w:sz w:val="20"/>
          <w:szCs w:val="20"/>
        </w:rPr>
        <w:t>Journal of Craniomaxillofacial Surgery</w:t>
      </w:r>
      <w:r w:rsidRPr="004007B2">
        <w:rPr>
          <w:rFonts w:ascii="Times New Roman" w:eastAsia="Times New Roman" w:hAnsi="Times New Roman" w:cs="Times New Roman"/>
          <w:bCs/>
          <w:sz w:val="20"/>
          <w:szCs w:val="20"/>
        </w:rPr>
        <w:t xml:space="preserve">, 45(1), 131–144. </w:t>
      </w:r>
    </w:p>
    <w:p w14:paraId="73F3B064"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Balamurugan, R. (2019). 5-Fluorouracil: Trend setter in the management of OKC. </w:t>
      </w:r>
      <w:r w:rsidRPr="004007B2">
        <w:rPr>
          <w:rFonts w:ascii="Times New Roman" w:eastAsia="Times New Roman" w:hAnsi="Times New Roman" w:cs="Times New Roman"/>
          <w:bCs/>
          <w:i/>
          <w:iCs/>
          <w:sz w:val="20"/>
          <w:szCs w:val="20"/>
        </w:rPr>
        <w:t>Journal of Case Studies and Clinical Trials</w:t>
      </w:r>
      <w:r w:rsidRPr="004007B2">
        <w:rPr>
          <w:rFonts w:ascii="Times New Roman" w:eastAsia="Times New Roman" w:hAnsi="Times New Roman" w:cs="Times New Roman"/>
          <w:bCs/>
          <w:sz w:val="20"/>
          <w:szCs w:val="20"/>
        </w:rPr>
        <w:t xml:space="preserve">, 1. </w:t>
      </w:r>
    </w:p>
    <w:p w14:paraId="66C2E51C"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Barua, C., et al. (2023). The role of 5-fluorouracil in preventing recurrence after enucleation. </w:t>
      </w:r>
      <w:r w:rsidRPr="004007B2">
        <w:rPr>
          <w:rFonts w:ascii="Times New Roman" w:eastAsia="Times New Roman" w:hAnsi="Times New Roman" w:cs="Times New Roman"/>
          <w:bCs/>
          <w:i/>
          <w:iCs/>
          <w:sz w:val="20"/>
          <w:szCs w:val="20"/>
        </w:rPr>
        <w:t>Cureus</w:t>
      </w:r>
      <w:r w:rsidRPr="004007B2">
        <w:rPr>
          <w:rFonts w:ascii="Times New Roman" w:eastAsia="Times New Roman" w:hAnsi="Times New Roman" w:cs="Times New Roman"/>
          <w:bCs/>
          <w:sz w:val="20"/>
          <w:szCs w:val="20"/>
        </w:rPr>
        <w:t xml:space="preserve">, 15(9), e44777. </w:t>
      </w:r>
    </w:p>
    <w:p w14:paraId="5DDC5BE1"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Blanas, N., Freund, B., Schwartz, M., &amp; Furst, I. M. (2000). Systematic review of the treatment and prognosis of the odontogenic </w:t>
      </w:r>
      <w:proofErr w:type="spellStart"/>
      <w:r w:rsidRPr="004007B2">
        <w:rPr>
          <w:rFonts w:ascii="Times New Roman" w:eastAsia="Times New Roman" w:hAnsi="Times New Roman" w:cs="Times New Roman"/>
          <w:bCs/>
          <w:sz w:val="20"/>
          <w:szCs w:val="20"/>
        </w:rPr>
        <w:t>keratocyst</w:t>
      </w:r>
      <w:proofErr w:type="spellEnd"/>
      <w:r w:rsidRPr="004007B2">
        <w:rPr>
          <w:rFonts w:ascii="Times New Roman" w:eastAsia="Times New Roman" w:hAnsi="Times New Roman" w:cs="Times New Roman"/>
          <w:bCs/>
          <w:sz w:val="20"/>
          <w:szCs w:val="20"/>
        </w:rPr>
        <w:t xml:space="preserve">. </w:t>
      </w:r>
      <w:r w:rsidRPr="0098204E">
        <w:rPr>
          <w:rFonts w:ascii="Times New Roman" w:eastAsia="Times New Roman" w:hAnsi="Times New Roman" w:cs="Times New Roman"/>
          <w:bCs/>
          <w:i/>
          <w:iCs/>
          <w:sz w:val="20"/>
          <w:szCs w:val="20"/>
        </w:rPr>
        <w:t>Oral Surgery, Oral Medicine, Oral Pathology, Oral Radiology, and Endodontics</w:t>
      </w:r>
      <w:r w:rsidRPr="004007B2">
        <w:rPr>
          <w:rFonts w:ascii="Times New Roman" w:eastAsia="Times New Roman" w:hAnsi="Times New Roman" w:cs="Times New Roman"/>
          <w:bCs/>
          <w:sz w:val="20"/>
          <w:szCs w:val="20"/>
        </w:rPr>
        <w:t xml:space="preserve">, 90(5), 553–558. https://doi.org/10.1067/moe.2000.110814. </w:t>
      </w:r>
    </w:p>
    <w:p w14:paraId="69BDB87A"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Borghesi, A., et al. (2018). Odontogenic </w:t>
      </w:r>
      <w:proofErr w:type="spellStart"/>
      <w:r w:rsidRPr="004007B2">
        <w:rPr>
          <w:rFonts w:ascii="Times New Roman" w:eastAsia="Times New Roman" w:hAnsi="Times New Roman" w:cs="Times New Roman"/>
          <w:bCs/>
          <w:sz w:val="20"/>
          <w:szCs w:val="20"/>
        </w:rPr>
        <w:t>keratocyst</w:t>
      </w:r>
      <w:proofErr w:type="spellEnd"/>
      <w:r w:rsidRPr="004007B2">
        <w:rPr>
          <w:rFonts w:ascii="Times New Roman" w:eastAsia="Times New Roman" w:hAnsi="Times New Roman" w:cs="Times New Roman"/>
          <w:bCs/>
          <w:sz w:val="20"/>
          <w:szCs w:val="20"/>
        </w:rPr>
        <w:t xml:space="preserve">: Imaging features of a benign lesion with an aggressive behavior. </w:t>
      </w:r>
      <w:r w:rsidRPr="004007B2">
        <w:rPr>
          <w:rFonts w:ascii="Times New Roman" w:eastAsia="Times New Roman" w:hAnsi="Times New Roman" w:cs="Times New Roman"/>
          <w:bCs/>
          <w:i/>
          <w:iCs/>
          <w:sz w:val="20"/>
          <w:szCs w:val="20"/>
        </w:rPr>
        <w:t>Insights into Imaging</w:t>
      </w:r>
      <w:r w:rsidRPr="004007B2">
        <w:rPr>
          <w:rFonts w:ascii="Times New Roman" w:eastAsia="Times New Roman" w:hAnsi="Times New Roman" w:cs="Times New Roman"/>
          <w:bCs/>
          <w:sz w:val="20"/>
          <w:szCs w:val="20"/>
        </w:rPr>
        <w:t xml:space="preserve">, 9(5), 883–897. </w:t>
      </w:r>
    </w:p>
    <w:p w14:paraId="2E5B162F"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Casino, A. J., et al. (2023). Refined topical 5-fluorouracil technique. </w:t>
      </w:r>
      <w:r w:rsidRPr="004007B2">
        <w:rPr>
          <w:rFonts w:ascii="Times New Roman" w:eastAsia="Times New Roman" w:hAnsi="Times New Roman" w:cs="Times New Roman"/>
          <w:bCs/>
          <w:i/>
          <w:iCs/>
          <w:sz w:val="20"/>
          <w:szCs w:val="20"/>
        </w:rPr>
        <w:t>Journal of Oral and Maxillofacial Surgery</w:t>
      </w:r>
      <w:r w:rsidRPr="004007B2">
        <w:rPr>
          <w:rFonts w:ascii="Times New Roman" w:eastAsia="Times New Roman" w:hAnsi="Times New Roman" w:cs="Times New Roman"/>
          <w:bCs/>
          <w:sz w:val="20"/>
          <w:szCs w:val="20"/>
        </w:rPr>
        <w:t xml:space="preserve">, 81(1), 95–100. </w:t>
      </w:r>
    </w:p>
    <w:p w14:paraId="776ED832"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lang w:val="nl-BE"/>
        </w:rPr>
        <w:t xml:space="preserve">Dashow, J. E., et al. </w:t>
      </w:r>
      <w:r w:rsidRPr="004007B2">
        <w:rPr>
          <w:rFonts w:ascii="Times New Roman" w:eastAsia="Times New Roman" w:hAnsi="Times New Roman" w:cs="Times New Roman"/>
          <w:bCs/>
          <w:sz w:val="20"/>
          <w:szCs w:val="20"/>
        </w:rPr>
        <w:t xml:space="preserve">(2015). Significantly lower recurrence rates in KCOTs treated with </w:t>
      </w:r>
      <w:proofErr w:type="spellStart"/>
      <w:r w:rsidRPr="004007B2">
        <w:rPr>
          <w:rFonts w:ascii="Times New Roman" w:eastAsia="Times New Roman" w:hAnsi="Times New Roman" w:cs="Times New Roman"/>
          <w:bCs/>
          <w:sz w:val="20"/>
          <w:szCs w:val="20"/>
        </w:rPr>
        <w:t>Carnoy's</w:t>
      </w:r>
      <w:proofErr w:type="spellEnd"/>
      <w:r w:rsidRPr="004007B2">
        <w:rPr>
          <w:rFonts w:ascii="Times New Roman" w:eastAsia="Times New Roman" w:hAnsi="Times New Roman" w:cs="Times New Roman"/>
          <w:bCs/>
          <w:sz w:val="20"/>
          <w:szCs w:val="20"/>
        </w:rPr>
        <w:t xml:space="preserve"> solution or 5-fluorouracil. </w:t>
      </w:r>
      <w:r w:rsidRPr="004007B2">
        <w:rPr>
          <w:rFonts w:ascii="Times New Roman" w:eastAsia="Times New Roman" w:hAnsi="Times New Roman" w:cs="Times New Roman"/>
          <w:bCs/>
          <w:i/>
          <w:iCs/>
          <w:sz w:val="20"/>
          <w:szCs w:val="20"/>
        </w:rPr>
        <w:t>Journal of Oral and Maxillofacial Surgery</w:t>
      </w:r>
      <w:r w:rsidRPr="004007B2">
        <w:rPr>
          <w:rFonts w:ascii="Times New Roman" w:eastAsia="Times New Roman" w:hAnsi="Times New Roman" w:cs="Times New Roman"/>
          <w:bCs/>
          <w:sz w:val="20"/>
          <w:szCs w:val="20"/>
        </w:rPr>
        <w:t xml:space="preserve">, 73(11), 2132–2135. </w:t>
      </w:r>
    </w:p>
    <w:p w14:paraId="7268EF2C"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Ecker, J., et al. (2016). Current role of </w:t>
      </w:r>
      <w:proofErr w:type="spellStart"/>
      <w:r w:rsidRPr="004007B2">
        <w:rPr>
          <w:rFonts w:ascii="Times New Roman" w:eastAsia="Times New Roman" w:hAnsi="Times New Roman" w:cs="Times New Roman"/>
          <w:bCs/>
          <w:sz w:val="20"/>
          <w:szCs w:val="20"/>
        </w:rPr>
        <w:t>Carnoy's</w:t>
      </w:r>
      <w:proofErr w:type="spellEnd"/>
      <w:r w:rsidRPr="004007B2">
        <w:rPr>
          <w:rFonts w:ascii="Times New Roman" w:eastAsia="Times New Roman" w:hAnsi="Times New Roman" w:cs="Times New Roman"/>
          <w:bCs/>
          <w:sz w:val="20"/>
          <w:szCs w:val="20"/>
        </w:rPr>
        <w:t xml:space="preserve"> solution in treating </w:t>
      </w:r>
      <w:proofErr w:type="spellStart"/>
      <w:r w:rsidRPr="004007B2">
        <w:rPr>
          <w:rFonts w:ascii="Times New Roman" w:eastAsia="Times New Roman" w:hAnsi="Times New Roman" w:cs="Times New Roman"/>
          <w:bCs/>
          <w:sz w:val="20"/>
          <w:szCs w:val="20"/>
        </w:rPr>
        <w:t>keratocystic</w:t>
      </w:r>
      <w:proofErr w:type="spellEnd"/>
      <w:r w:rsidRPr="004007B2">
        <w:rPr>
          <w:rFonts w:ascii="Times New Roman" w:eastAsia="Times New Roman" w:hAnsi="Times New Roman" w:cs="Times New Roman"/>
          <w:bCs/>
          <w:sz w:val="20"/>
          <w:szCs w:val="20"/>
        </w:rPr>
        <w:t xml:space="preserve"> odontogenic </w:t>
      </w:r>
      <w:proofErr w:type="spellStart"/>
      <w:r w:rsidRPr="004007B2">
        <w:rPr>
          <w:rFonts w:ascii="Times New Roman" w:eastAsia="Times New Roman" w:hAnsi="Times New Roman" w:cs="Times New Roman"/>
          <w:bCs/>
          <w:sz w:val="20"/>
          <w:szCs w:val="20"/>
        </w:rPr>
        <w:t>tumours</w:t>
      </w:r>
      <w:proofErr w:type="spellEnd"/>
      <w:r w:rsidRPr="004007B2">
        <w:rPr>
          <w:rFonts w:ascii="Times New Roman" w:eastAsia="Times New Roman" w:hAnsi="Times New Roman" w:cs="Times New Roman"/>
          <w:bCs/>
          <w:sz w:val="20"/>
          <w:szCs w:val="20"/>
        </w:rPr>
        <w:t xml:space="preserve">. </w:t>
      </w:r>
      <w:r w:rsidRPr="004007B2">
        <w:rPr>
          <w:rFonts w:ascii="Times New Roman" w:eastAsia="Times New Roman" w:hAnsi="Times New Roman" w:cs="Times New Roman"/>
          <w:bCs/>
          <w:i/>
          <w:iCs/>
          <w:sz w:val="20"/>
          <w:szCs w:val="20"/>
        </w:rPr>
        <w:t>Journal of Oral and Maxillofacial Surgery</w:t>
      </w:r>
      <w:r w:rsidRPr="004007B2">
        <w:rPr>
          <w:rFonts w:ascii="Times New Roman" w:eastAsia="Times New Roman" w:hAnsi="Times New Roman" w:cs="Times New Roman"/>
          <w:bCs/>
          <w:sz w:val="20"/>
          <w:szCs w:val="20"/>
        </w:rPr>
        <w:t xml:space="preserve">, 74(2), 278–282. </w:t>
      </w:r>
    </w:p>
    <w:p w14:paraId="3EAC5250"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El-Naggar, A. K., et al. (2017). </w:t>
      </w:r>
      <w:r w:rsidRPr="004007B2">
        <w:rPr>
          <w:rFonts w:ascii="Times New Roman" w:eastAsia="Times New Roman" w:hAnsi="Times New Roman" w:cs="Times New Roman"/>
          <w:bCs/>
          <w:i/>
          <w:iCs/>
          <w:sz w:val="20"/>
          <w:szCs w:val="20"/>
        </w:rPr>
        <w:t xml:space="preserve">WHO Classification of Head and Neck </w:t>
      </w:r>
      <w:proofErr w:type="spellStart"/>
      <w:r w:rsidRPr="004007B2">
        <w:rPr>
          <w:rFonts w:ascii="Times New Roman" w:eastAsia="Times New Roman" w:hAnsi="Times New Roman" w:cs="Times New Roman"/>
          <w:bCs/>
          <w:i/>
          <w:iCs/>
          <w:sz w:val="20"/>
          <w:szCs w:val="20"/>
        </w:rPr>
        <w:t>Tumours</w:t>
      </w:r>
      <w:proofErr w:type="spellEnd"/>
      <w:r w:rsidRPr="004007B2">
        <w:rPr>
          <w:rFonts w:ascii="Times New Roman" w:eastAsia="Times New Roman" w:hAnsi="Times New Roman" w:cs="Times New Roman"/>
          <w:bCs/>
          <w:sz w:val="20"/>
          <w:szCs w:val="20"/>
        </w:rPr>
        <w:t xml:space="preserve"> (4th ed.). Geneva: WHO. </w:t>
      </w:r>
    </w:p>
    <w:p w14:paraId="73DE8D1E"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Farooq, S., et al. (2022). Management of OKCs using topical 5-fluorouracil: A comparative study. </w:t>
      </w:r>
      <w:r w:rsidRPr="004007B2">
        <w:rPr>
          <w:rFonts w:ascii="Times New Roman" w:eastAsia="Times New Roman" w:hAnsi="Times New Roman" w:cs="Times New Roman"/>
          <w:bCs/>
          <w:i/>
          <w:iCs/>
          <w:sz w:val="20"/>
          <w:szCs w:val="20"/>
        </w:rPr>
        <w:t>Journal of Pharmacy &amp; Negative Results</w:t>
      </w:r>
      <w:r w:rsidRPr="004007B2">
        <w:rPr>
          <w:rFonts w:ascii="Times New Roman" w:eastAsia="Times New Roman" w:hAnsi="Times New Roman" w:cs="Times New Roman"/>
          <w:bCs/>
          <w:sz w:val="20"/>
          <w:szCs w:val="20"/>
        </w:rPr>
        <w:t xml:space="preserve">, 13(10), 6566. https://doi.org/10.47750/ </w:t>
      </w:r>
    </w:p>
    <w:p w14:paraId="3BD8B1BC"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Johnson, N. R., et al. (2013). Management of the OKC: A systematic review. </w:t>
      </w:r>
      <w:r w:rsidRPr="004007B2">
        <w:rPr>
          <w:rFonts w:ascii="Times New Roman" w:eastAsia="Times New Roman" w:hAnsi="Times New Roman" w:cs="Times New Roman"/>
          <w:bCs/>
          <w:i/>
          <w:iCs/>
          <w:sz w:val="20"/>
          <w:szCs w:val="20"/>
        </w:rPr>
        <w:t>Journal of Oral and Maxillofacial Surgery</w:t>
      </w:r>
      <w:r w:rsidRPr="004007B2">
        <w:rPr>
          <w:rFonts w:ascii="Times New Roman" w:eastAsia="Times New Roman" w:hAnsi="Times New Roman" w:cs="Times New Roman"/>
          <w:bCs/>
          <w:sz w:val="20"/>
          <w:szCs w:val="20"/>
        </w:rPr>
        <w:t>, 71(1), 31–37.</w:t>
      </w:r>
    </w:p>
    <w:p w14:paraId="03273A44"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proofErr w:type="spellStart"/>
      <w:r w:rsidRPr="004007B2">
        <w:rPr>
          <w:rFonts w:ascii="Times New Roman" w:eastAsia="Times New Roman" w:hAnsi="Times New Roman" w:cs="Times New Roman"/>
          <w:bCs/>
          <w:sz w:val="20"/>
          <w:szCs w:val="20"/>
        </w:rPr>
        <w:t>Kaczmarzyk</w:t>
      </w:r>
      <w:proofErr w:type="spellEnd"/>
      <w:r w:rsidRPr="004007B2">
        <w:rPr>
          <w:rFonts w:ascii="Times New Roman" w:eastAsia="Times New Roman" w:hAnsi="Times New Roman" w:cs="Times New Roman"/>
          <w:bCs/>
          <w:sz w:val="20"/>
          <w:szCs w:val="20"/>
        </w:rPr>
        <w:t xml:space="preserve">, T., et al. (2012). A systematic review of the recurrence rate for </w:t>
      </w:r>
      <w:proofErr w:type="spellStart"/>
      <w:r w:rsidRPr="004007B2">
        <w:rPr>
          <w:rFonts w:ascii="Times New Roman" w:eastAsia="Times New Roman" w:hAnsi="Times New Roman" w:cs="Times New Roman"/>
          <w:bCs/>
          <w:sz w:val="20"/>
          <w:szCs w:val="20"/>
        </w:rPr>
        <w:t>keratocystic</w:t>
      </w:r>
      <w:proofErr w:type="spellEnd"/>
      <w:r w:rsidRPr="004007B2">
        <w:rPr>
          <w:rFonts w:ascii="Times New Roman" w:eastAsia="Times New Roman" w:hAnsi="Times New Roman" w:cs="Times New Roman"/>
          <w:bCs/>
          <w:sz w:val="20"/>
          <w:szCs w:val="20"/>
        </w:rPr>
        <w:t xml:space="preserve"> odontogenic </w:t>
      </w:r>
      <w:proofErr w:type="spellStart"/>
      <w:r w:rsidRPr="004007B2">
        <w:rPr>
          <w:rFonts w:ascii="Times New Roman" w:eastAsia="Times New Roman" w:hAnsi="Times New Roman" w:cs="Times New Roman"/>
          <w:bCs/>
          <w:sz w:val="20"/>
          <w:szCs w:val="20"/>
        </w:rPr>
        <w:t>tumour</w:t>
      </w:r>
      <w:proofErr w:type="spellEnd"/>
      <w:r w:rsidRPr="004007B2">
        <w:rPr>
          <w:rFonts w:ascii="Times New Roman" w:eastAsia="Times New Roman" w:hAnsi="Times New Roman" w:cs="Times New Roman"/>
          <w:bCs/>
          <w:sz w:val="20"/>
          <w:szCs w:val="20"/>
        </w:rPr>
        <w:t xml:space="preserve">. </w:t>
      </w:r>
      <w:r w:rsidRPr="004007B2">
        <w:rPr>
          <w:rFonts w:ascii="Times New Roman" w:eastAsia="Times New Roman" w:hAnsi="Times New Roman" w:cs="Times New Roman"/>
          <w:bCs/>
          <w:i/>
          <w:iCs/>
          <w:sz w:val="20"/>
          <w:szCs w:val="20"/>
        </w:rPr>
        <w:t>International Journal of Oral and Maxillofacial Surgery</w:t>
      </w:r>
      <w:r w:rsidRPr="004007B2">
        <w:rPr>
          <w:rFonts w:ascii="Times New Roman" w:eastAsia="Times New Roman" w:hAnsi="Times New Roman" w:cs="Times New Roman"/>
          <w:bCs/>
          <w:sz w:val="20"/>
          <w:szCs w:val="20"/>
        </w:rPr>
        <w:t xml:space="preserve">, 41(6), 756–767. </w:t>
      </w:r>
    </w:p>
    <w:p w14:paraId="12F2E253"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325A82">
        <w:rPr>
          <w:rFonts w:ascii="Times New Roman" w:eastAsia="Times New Roman" w:hAnsi="Times New Roman" w:cs="Times New Roman"/>
          <w:bCs/>
          <w:sz w:val="20"/>
          <w:szCs w:val="20"/>
          <w:lang w:val="nl-BE"/>
        </w:rPr>
        <w:t xml:space="preserve">Ledderhof, N. J., et al. </w:t>
      </w:r>
      <w:r w:rsidRPr="004007B2">
        <w:rPr>
          <w:rFonts w:ascii="Times New Roman" w:eastAsia="Times New Roman" w:hAnsi="Times New Roman" w:cs="Times New Roman"/>
          <w:bCs/>
          <w:sz w:val="20"/>
          <w:szCs w:val="20"/>
          <w:lang w:val="nl-BE"/>
        </w:rPr>
        <w:t xml:space="preserve">(2017a). </w:t>
      </w:r>
      <w:r w:rsidRPr="004007B2">
        <w:rPr>
          <w:rFonts w:ascii="Times New Roman" w:eastAsia="Times New Roman" w:hAnsi="Times New Roman" w:cs="Times New Roman"/>
          <w:bCs/>
          <w:sz w:val="20"/>
          <w:szCs w:val="20"/>
        </w:rPr>
        <w:t xml:space="preserve">Topical 5-fluorouracil is a novel targeted therapy for the KCOT. </w:t>
      </w:r>
      <w:r w:rsidRPr="004007B2">
        <w:rPr>
          <w:rFonts w:ascii="Times New Roman" w:eastAsia="Times New Roman" w:hAnsi="Times New Roman" w:cs="Times New Roman"/>
          <w:bCs/>
          <w:i/>
          <w:iCs/>
          <w:sz w:val="20"/>
          <w:szCs w:val="20"/>
        </w:rPr>
        <w:t>Journal of Oral and Maxillofacial Surgery</w:t>
      </w:r>
      <w:r w:rsidRPr="004007B2">
        <w:rPr>
          <w:rFonts w:ascii="Times New Roman" w:eastAsia="Times New Roman" w:hAnsi="Times New Roman" w:cs="Times New Roman"/>
          <w:bCs/>
          <w:sz w:val="20"/>
          <w:szCs w:val="20"/>
        </w:rPr>
        <w:t xml:space="preserve">, 75(3), 514–524. </w:t>
      </w:r>
    </w:p>
    <w:p w14:paraId="0AE156A9" w14:textId="77777777" w:rsidR="00325A82" w:rsidRPr="004007B2" w:rsidRDefault="00325A82" w:rsidP="00A64521">
      <w:pPr>
        <w:spacing w:after="0" w:line="240" w:lineRule="auto"/>
        <w:ind w:left="540" w:hanging="540"/>
        <w:jc w:val="both"/>
        <w:rPr>
          <w:rFonts w:ascii="Times New Roman" w:eastAsia="Times New Roman" w:hAnsi="Times New Roman" w:cs="Times New Roman"/>
          <w:bCs/>
          <w:sz w:val="20"/>
          <w:szCs w:val="20"/>
        </w:rPr>
      </w:pPr>
      <w:r w:rsidRPr="00325A82">
        <w:rPr>
          <w:rFonts w:ascii="Times New Roman" w:eastAsia="Times New Roman" w:hAnsi="Times New Roman" w:cs="Times New Roman"/>
          <w:bCs/>
          <w:sz w:val="20"/>
          <w:szCs w:val="20"/>
          <w:lang w:val="nl-BE"/>
        </w:rPr>
        <w:t xml:space="preserve">Ledderhof, N. J., et al. (2017b). </w:t>
      </w:r>
      <w:r w:rsidRPr="004007B2">
        <w:rPr>
          <w:rFonts w:ascii="Times New Roman" w:eastAsia="Times New Roman" w:hAnsi="Times New Roman" w:cs="Times New Roman"/>
          <w:bCs/>
          <w:sz w:val="20"/>
          <w:szCs w:val="20"/>
        </w:rPr>
        <w:t xml:space="preserve">Topical 5-Fluorouracil for the treatment of OKCs. </w:t>
      </w:r>
      <w:r w:rsidRPr="004007B2">
        <w:rPr>
          <w:rFonts w:ascii="Times New Roman" w:eastAsia="Times New Roman" w:hAnsi="Times New Roman" w:cs="Times New Roman"/>
          <w:bCs/>
          <w:i/>
          <w:iCs/>
          <w:sz w:val="20"/>
          <w:szCs w:val="20"/>
        </w:rPr>
        <w:t>Journal of Oral and Maxillofacial Surgery</w:t>
      </w:r>
      <w:r w:rsidRPr="004007B2">
        <w:rPr>
          <w:rFonts w:ascii="Times New Roman" w:eastAsia="Times New Roman" w:hAnsi="Times New Roman" w:cs="Times New Roman"/>
          <w:bCs/>
          <w:sz w:val="20"/>
          <w:szCs w:val="20"/>
        </w:rPr>
        <w:t>,</w:t>
      </w:r>
      <w:r w:rsidRPr="004007B2">
        <w:rPr>
          <w:rFonts w:ascii="Times New Roman" w:eastAsia="Times New Roman" w:hAnsi="Times New Roman" w:cs="Times New Roman"/>
          <w:bCs/>
          <w:sz w:val="20"/>
          <w:szCs w:val="20"/>
        </w:rPr>
        <w:t xml:space="preserve"> 75(9), 1915–1924. </w:t>
      </w:r>
    </w:p>
    <w:p w14:paraId="01C646F9"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Lone, P. A., et al. (2020). Topical 5-fluorouracil application in management of OKCs. </w:t>
      </w:r>
      <w:r w:rsidRPr="004007B2">
        <w:rPr>
          <w:rFonts w:ascii="Times New Roman" w:eastAsia="Times New Roman" w:hAnsi="Times New Roman" w:cs="Times New Roman"/>
          <w:bCs/>
          <w:i/>
          <w:iCs/>
          <w:sz w:val="20"/>
          <w:szCs w:val="20"/>
        </w:rPr>
        <w:t>Journal of Oral Biology and Craniofacial Research</w:t>
      </w:r>
      <w:r w:rsidRPr="004007B2">
        <w:rPr>
          <w:rFonts w:ascii="Times New Roman" w:eastAsia="Times New Roman" w:hAnsi="Times New Roman" w:cs="Times New Roman"/>
          <w:bCs/>
          <w:sz w:val="20"/>
          <w:szCs w:val="20"/>
        </w:rPr>
        <w:t xml:space="preserve">, 10(4), 404–406. </w:t>
      </w:r>
    </w:p>
    <w:p w14:paraId="2E9D6D10"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Madras, J., &amp; Lapointe, H. (2008). </w:t>
      </w:r>
      <w:proofErr w:type="spellStart"/>
      <w:r w:rsidRPr="004007B2">
        <w:rPr>
          <w:rFonts w:ascii="Times New Roman" w:eastAsia="Times New Roman" w:hAnsi="Times New Roman" w:cs="Times New Roman"/>
          <w:bCs/>
          <w:sz w:val="20"/>
          <w:szCs w:val="20"/>
        </w:rPr>
        <w:t>Keratocystic</w:t>
      </w:r>
      <w:proofErr w:type="spellEnd"/>
      <w:r w:rsidRPr="004007B2">
        <w:rPr>
          <w:rFonts w:ascii="Times New Roman" w:eastAsia="Times New Roman" w:hAnsi="Times New Roman" w:cs="Times New Roman"/>
          <w:bCs/>
          <w:sz w:val="20"/>
          <w:szCs w:val="20"/>
        </w:rPr>
        <w:t xml:space="preserve"> odontogenic </w:t>
      </w:r>
      <w:proofErr w:type="spellStart"/>
      <w:r w:rsidRPr="004007B2">
        <w:rPr>
          <w:rFonts w:ascii="Times New Roman" w:eastAsia="Times New Roman" w:hAnsi="Times New Roman" w:cs="Times New Roman"/>
          <w:bCs/>
          <w:sz w:val="20"/>
          <w:szCs w:val="20"/>
        </w:rPr>
        <w:t>tumour</w:t>
      </w:r>
      <w:proofErr w:type="spellEnd"/>
      <w:r w:rsidRPr="004007B2">
        <w:rPr>
          <w:rFonts w:ascii="Times New Roman" w:eastAsia="Times New Roman" w:hAnsi="Times New Roman" w:cs="Times New Roman"/>
          <w:bCs/>
          <w:sz w:val="20"/>
          <w:szCs w:val="20"/>
        </w:rPr>
        <w:t xml:space="preserve">: Reclassification of the odontogenic </w:t>
      </w:r>
      <w:proofErr w:type="spellStart"/>
      <w:r w:rsidRPr="004007B2">
        <w:rPr>
          <w:rFonts w:ascii="Times New Roman" w:eastAsia="Times New Roman" w:hAnsi="Times New Roman" w:cs="Times New Roman"/>
          <w:bCs/>
          <w:sz w:val="20"/>
          <w:szCs w:val="20"/>
        </w:rPr>
        <w:t>keratocyst</w:t>
      </w:r>
      <w:proofErr w:type="spellEnd"/>
      <w:r w:rsidRPr="004007B2">
        <w:rPr>
          <w:rFonts w:ascii="Times New Roman" w:eastAsia="Times New Roman" w:hAnsi="Times New Roman" w:cs="Times New Roman"/>
          <w:bCs/>
          <w:sz w:val="20"/>
          <w:szCs w:val="20"/>
        </w:rPr>
        <w:t xml:space="preserve"> from cyst to </w:t>
      </w:r>
      <w:proofErr w:type="spellStart"/>
      <w:r w:rsidRPr="004007B2">
        <w:rPr>
          <w:rFonts w:ascii="Times New Roman" w:eastAsia="Times New Roman" w:hAnsi="Times New Roman" w:cs="Times New Roman"/>
          <w:bCs/>
          <w:sz w:val="20"/>
          <w:szCs w:val="20"/>
        </w:rPr>
        <w:t>tumour</w:t>
      </w:r>
      <w:proofErr w:type="spellEnd"/>
      <w:r w:rsidRPr="004007B2">
        <w:rPr>
          <w:rFonts w:ascii="Times New Roman" w:eastAsia="Times New Roman" w:hAnsi="Times New Roman" w:cs="Times New Roman"/>
          <w:bCs/>
          <w:sz w:val="20"/>
          <w:szCs w:val="20"/>
        </w:rPr>
        <w:t xml:space="preserve">. </w:t>
      </w:r>
      <w:r w:rsidRPr="004007B2">
        <w:rPr>
          <w:rFonts w:ascii="Times New Roman" w:eastAsia="Times New Roman" w:hAnsi="Times New Roman" w:cs="Times New Roman"/>
          <w:bCs/>
          <w:i/>
          <w:iCs/>
          <w:sz w:val="20"/>
          <w:szCs w:val="20"/>
        </w:rPr>
        <w:t>Journal of the Canadian Dental Association</w:t>
      </w:r>
      <w:r w:rsidRPr="004007B2">
        <w:rPr>
          <w:rFonts w:ascii="Times New Roman" w:eastAsia="Times New Roman" w:hAnsi="Times New Roman" w:cs="Times New Roman"/>
          <w:bCs/>
          <w:sz w:val="20"/>
          <w:szCs w:val="20"/>
        </w:rPr>
        <w:t xml:space="preserve">, 74(2), 165–165h. </w:t>
      </w:r>
    </w:p>
    <w:p w14:paraId="686DD7E7"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Mishra, S., et al. (2023). Comparative evaluation of topical 5-FU and modified </w:t>
      </w:r>
      <w:proofErr w:type="spellStart"/>
      <w:r w:rsidRPr="004007B2">
        <w:rPr>
          <w:rFonts w:ascii="Times New Roman" w:eastAsia="Times New Roman" w:hAnsi="Times New Roman" w:cs="Times New Roman"/>
          <w:bCs/>
          <w:sz w:val="20"/>
          <w:szCs w:val="20"/>
        </w:rPr>
        <w:t>Carnoy’s</w:t>
      </w:r>
      <w:proofErr w:type="spellEnd"/>
      <w:r w:rsidRPr="004007B2">
        <w:rPr>
          <w:rFonts w:ascii="Times New Roman" w:eastAsia="Times New Roman" w:hAnsi="Times New Roman" w:cs="Times New Roman"/>
          <w:bCs/>
          <w:sz w:val="20"/>
          <w:szCs w:val="20"/>
        </w:rPr>
        <w:t xml:space="preserve"> solution. </w:t>
      </w:r>
      <w:r w:rsidRPr="004007B2">
        <w:rPr>
          <w:rFonts w:ascii="Times New Roman" w:eastAsia="Times New Roman" w:hAnsi="Times New Roman" w:cs="Times New Roman"/>
          <w:bCs/>
          <w:i/>
          <w:iCs/>
          <w:sz w:val="20"/>
          <w:szCs w:val="20"/>
        </w:rPr>
        <w:t>Annals of Dental Specialty</w:t>
      </w:r>
      <w:r w:rsidRPr="004007B2">
        <w:rPr>
          <w:rFonts w:ascii="Times New Roman" w:eastAsia="Times New Roman" w:hAnsi="Times New Roman" w:cs="Times New Roman"/>
          <w:bCs/>
          <w:sz w:val="20"/>
          <w:szCs w:val="20"/>
        </w:rPr>
        <w:t xml:space="preserve">, 11(2), 100–108. </w:t>
      </w:r>
    </w:p>
    <w:p w14:paraId="5900A8A3"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Philipsen, H. P. (1956). Om </w:t>
      </w:r>
      <w:proofErr w:type="spellStart"/>
      <w:r w:rsidRPr="004007B2">
        <w:rPr>
          <w:rFonts w:ascii="Times New Roman" w:eastAsia="Times New Roman" w:hAnsi="Times New Roman" w:cs="Times New Roman"/>
          <w:bCs/>
          <w:sz w:val="20"/>
          <w:szCs w:val="20"/>
        </w:rPr>
        <w:t>keratocyster</w:t>
      </w:r>
      <w:proofErr w:type="spellEnd"/>
      <w:r w:rsidRPr="004007B2">
        <w:rPr>
          <w:rFonts w:ascii="Times New Roman" w:eastAsia="Times New Roman" w:hAnsi="Times New Roman" w:cs="Times New Roman"/>
          <w:bCs/>
          <w:sz w:val="20"/>
          <w:szCs w:val="20"/>
        </w:rPr>
        <w:t xml:space="preserve"> (</w:t>
      </w:r>
      <w:proofErr w:type="spellStart"/>
      <w:r w:rsidRPr="004007B2">
        <w:rPr>
          <w:rFonts w:ascii="Times New Roman" w:eastAsia="Times New Roman" w:hAnsi="Times New Roman" w:cs="Times New Roman"/>
          <w:bCs/>
          <w:sz w:val="20"/>
          <w:szCs w:val="20"/>
        </w:rPr>
        <w:t>kolesteatom</w:t>
      </w:r>
      <w:proofErr w:type="spellEnd"/>
      <w:r w:rsidRPr="004007B2">
        <w:rPr>
          <w:rFonts w:ascii="Times New Roman" w:eastAsia="Times New Roman" w:hAnsi="Times New Roman" w:cs="Times New Roman"/>
          <w:bCs/>
          <w:sz w:val="20"/>
          <w:szCs w:val="20"/>
        </w:rPr>
        <w:t xml:space="preserve">) </w:t>
      </w:r>
      <w:proofErr w:type="spellStart"/>
      <w:r w:rsidRPr="004007B2">
        <w:rPr>
          <w:rFonts w:ascii="Times New Roman" w:eastAsia="Times New Roman" w:hAnsi="Times New Roman" w:cs="Times New Roman"/>
          <w:bCs/>
          <w:sz w:val="20"/>
          <w:szCs w:val="20"/>
        </w:rPr>
        <w:t>i</w:t>
      </w:r>
      <w:proofErr w:type="spellEnd"/>
      <w:r w:rsidRPr="004007B2">
        <w:rPr>
          <w:rFonts w:ascii="Times New Roman" w:eastAsia="Times New Roman" w:hAnsi="Times New Roman" w:cs="Times New Roman"/>
          <w:bCs/>
          <w:sz w:val="20"/>
          <w:szCs w:val="20"/>
        </w:rPr>
        <w:t xml:space="preserve"> </w:t>
      </w:r>
      <w:proofErr w:type="spellStart"/>
      <w:r w:rsidRPr="004007B2">
        <w:rPr>
          <w:rFonts w:ascii="Times New Roman" w:eastAsia="Times New Roman" w:hAnsi="Times New Roman" w:cs="Times New Roman"/>
          <w:bCs/>
          <w:sz w:val="20"/>
          <w:szCs w:val="20"/>
        </w:rPr>
        <w:t>kaeberne</w:t>
      </w:r>
      <w:proofErr w:type="spellEnd"/>
      <w:r w:rsidRPr="004007B2">
        <w:rPr>
          <w:rFonts w:ascii="Times New Roman" w:eastAsia="Times New Roman" w:hAnsi="Times New Roman" w:cs="Times New Roman"/>
          <w:bCs/>
          <w:sz w:val="20"/>
          <w:szCs w:val="20"/>
        </w:rPr>
        <w:t xml:space="preserve">. </w:t>
      </w:r>
      <w:proofErr w:type="spellStart"/>
      <w:r w:rsidRPr="004007B2">
        <w:rPr>
          <w:rFonts w:ascii="Times New Roman" w:eastAsia="Times New Roman" w:hAnsi="Times New Roman" w:cs="Times New Roman"/>
          <w:bCs/>
          <w:i/>
          <w:iCs/>
          <w:sz w:val="20"/>
          <w:szCs w:val="20"/>
        </w:rPr>
        <w:t>Tandlaegebladet</w:t>
      </w:r>
      <w:proofErr w:type="spellEnd"/>
      <w:r w:rsidRPr="004007B2">
        <w:rPr>
          <w:rFonts w:ascii="Times New Roman" w:eastAsia="Times New Roman" w:hAnsi="Times New Roman" w:cs="Times New Roman"/>
          <w:bCs/>
          <w:sz w:val="20"/>
          <w:szCs w:val="20"/>
        </w:rPr>
        <w:t xml:space="preserve">, 60, 963–980. </w:t>
      </w:r>
    </w:p>
    <w:p w14:paraId="09524864"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Singh, A. K., Khanal, N., </w:t>
      </w:r>
      <w:proofErr w:type="spellStart"/>
      <w:r w:rsidRPr="004007B2">
        <w:rPr>
          <w:rFonts w:ascii="Times New Roman" w:eastAsia="Times New Roman" w:hAnsi="Times New Roman" w:cs="Times New Roman"/>
          <w:bCs/>
          <w:sz w:val="20"/>
          <w:szCs w:val="20"/>
        </w:rPr>
        <w:t>Chaulagain</w:t>
      </w:r>
      <w:proofErr w:type="spellEnd"/>
      <w:r w:rsidRPr="004007B2">
        <w:rPr>
          <w:rFonts w:ascii="Times New Roman" w:eastAsia="Times New Roman" w:hAnsi="Times New Roman" w:cs="Times New Roman"/>
          <w:bCs/>
          <w:sz w:val="20"/>
          <w:szCs w:val="20"/>
        </w:rPr>
        <w:t xml:space="preserve">, R., Bhujel, N., &amp; Singh, R. P. (2022). How effective is 5-Fluorouracil as an adjuvant in the management of odontogenic </w:t>
      </w:r>
      <w:proofErr w:type="spellStart"/>
      <w:r w:rsidRPr="004007B2">
        <w:rPr>
          <w:rFonts w:ascii="Times New Roman" w:eastAsia="Times New Roman" w:hAnsi="Times New Roman" w:cs="Times New Roman"/>
          <w:bCs/>
          <w:sz w:val="20"/>
          <w:szCs w:val="20"/>
        </w:rPr>
        <w:t>keratocyst</w:t>
      </w:r>
      <w:proofErr w:type="spellEnd"/>
      <w:r w:rsidRPr="004007B2">
        <w:rPr>
          <w:rFonts w:ascii="Times New Roman" w:eastAsia="Times New Roman" w:hAnsi="Times New Roman" w:cs="Times New Roman"/>
          <w:bCs/>
          <w:sz w:val="20"/>
          <w:szCs w:val="20"/>
        </w:rPr>
        <w:t xml:space="preserve">? A systematic review and meta-analysis. British Journal of Oral and Maxillofacial Surgery, 60(6), 746-754. </w:t>
      </w:r>
    </w:p>
    <w:bookmarkEnd w:id="0"/>
    <w:p w14:paraId="34AFC945" w14:textId="77777777" w:rsidR="00325A82" w:rsidRPr="004007B2" w:rsidRDefault="00325A82" w:rsidP="00EC4F97">
      <w:pPr>
        <w:spacing w:after="0" w:line="240" w:lineRule="auto"/>
        <w:ind w:left="540" w:hanging="540"/>
        <w:jc w:val="both"/>
        <w:rPr>
          <w:rFonts w:ascii="Times New Roman" w:eastAsia="Times New Roman" w:hAnsi="Times New Roman" w:cs="Times New Roman"/>
          <w:bCs/>
          <w:sz w:val="20"/>
          <w:szCs w:val="20"/>
        </w:rPr>
      </w:pPr>
      <w:r w:rsidRPr="004007B2">
        <w:rPr>
          <w:rFonts w:ascii="Times New Roman" w:eastAsia="Times New Roman" w:hAnsi="Times New Roman" w:cs="Times New Roman"/>
          <w:bCs/>
          <w:sz w:val="20"/>
          <w:szCs w:val="20"/>
        </w:rPr>
        <w:t xml:space="preserve">Speight, P. M., &amp; Takata, T. (2018). New </w:t>
      </w:r>
      <w:proofErr w:type="spellStart"/>
      <w:r w:rsidRPr="004007B2">
        <w:rPr>
          <w:rFonts w:ascii="Times New Roman" w:eastAsia="Times New Roman" w:hAnsi="Times New Roman" w:cs="Times New Roman"/>
          <w:bCs/>
          <w:sz w:val="20"/>
          <w:szCs w:val="20"/>
        </w:rPr>
        <w:t>tumour</w:t>
      </w:r>
      <w:proofErr w:type="spellEnd"/>
      <w:r w:rsidRPr="004007B2">
        <w:rPr>
          <w:rFonts w:ascii="Times New Roman" w:eastAsia="Times New Roman" w:hAnsi="Times New Roman" w:cs="Times New Roman"/>
          <w:bCs/>
          <w:sz w:val="20"/>
          <w:szCs w:val="20"/>
        </w:rPr>
        <w:t xml:space="preserve"> entities in the 4th edition WHO Classification. </w:t>
      </w:r>
      <w:proofErr w:type="spellStart"/>
      <w:r w:rsidRPr="004007B2">
        <w:rPr>
          <w:rFonts w:ascii="Times New Roman" w:eastAsia="Times New Roman" w:hAnsi="Times New Roman" w:cs="Times New Roman"/>
          <w:bCs/>
          <w:i/>
          <w:iCs/>
          <w:sz w:val="20"/>
          <w:szCs w:val="20"/>
        </w:rPr>
        <w:t>Virchows</w:t>
      </w:r>
      <w:proofErr w:type="spellEnd"/>
      <w:r w:rsidRPr="004007B2">
        <w:rPr>
          <w:rFonts w:ascii="Times New Roman" w:eastAsia="Times New Roman" w:hAnsi="Times New Roman" w:cs="Times New Roman"/>
          <w:bCs/>
          <w:i/>
          <w:iCs/>
          <w:sz w:val="20"/>
          <w:szCs w:val="20"/>
        </w:rPr>
        <w:t xml:space="preserve"> </w:t>
      </w:r>
      <w:proofErr w:type="spellStart"/>
      <w:r w:rsidRPr="004007B2">
        <w:rPr>
          <w:rFonts w:ascii="Times New Roman" w:eastAsia="Times New Roman" w:hAnsi="Times New Roman" w:cs="Times New Roman"/>
          <w:bCs/>
          <w:i/>
          <w:iCs/>
          <w:sz w:val="20"/>
          <w:szCs w:val="20"/>
        </w:rPr>
        <w:t>Archiv</w:t>
      </w:r>
      <w:proofErr w:type="spellEnd"/>
      <w:r w:rsidRPr="004007B2">
        <w:rPr>
          <w:rFonts w:ascii="Times New Roman" w:eastAsia="Times New Roman" w:hAnsi="Times New Roman" w:cs="Times New Roman"/>
          <w:bCs/>
          <w:sz w:val="20"/>
          <w:szCs w:val="20"/>
        </w:rPr>
        <w:t xml:space="preserve">, 472(3), 331–339. </w:t>
      </w:r>
    </w:p>
    <w:p w14:paraId="7087C13E" w14:textId="77777777" w:rsidR="00D851AD" w:rsidRPr="004007B2" w:rsidRDefault="00D851AD" w:rsidP="00BD060A">
      <w:pPr>
        <w:keepNext/>
        <w:spacing w:after="0" w:line="240" w:lineRule="auto"/>
        <w:contextualSpacing/>
        <w:jc w:val="both"/>
        <w:rPr>
          <w:rFonts w:ascii="Times New Roman" w:eastAsia="Times New Roman" w:hAnsi="Times New Roman" w:cs="Times New Roman"/>
          <w:b/>
          <w:szCs w:val="20"/>
        </w:rPr>
      </w:pPr>
    </w:p>
    <w:p w14:paraId="230D5DB0" w14:textId="68434058" w:rsidR="00D851AD" w:rsidRPr="004007B2" w:rsidRDefault="00C35E00" w:rsidP="00BD060A">
      <w:pPr>
        <w:keepNext/>
        <w:spacing w:after="0" w:line="240" w:lineRule="auto"/>
        <w:contextualSpacing/>
        <w:jc w:val="both"/>
        <w:rPr>
          <w:rFonts w:ascii="Times New Roman" w:eastAsia="Times New Roman" w:hAnsi="Times New Roman" w:cs="Times New Roman"/>
          <w:b/>
          <w:sz w:val="15"/>
          <w:szCs w:val="15"/>
        </w:rPr>
      </w:pPr>
      <w:r w:rsidRPr="004007B2">
        <w:rPr>
          <w:rFonts w:ascii="Times New Roman" w:eastAsia="Calibri" w:hAnsi="Times New Roman" w:cs="Times New Roman"/>
          <w:b/>
          <w:bCs/>
          <w:kern w:val="2"/>
          <w:sz w:val="15"/>
          <w:szCs w:val="15"/>
          <w:lang w:val="en-GB"/>
        </w:rPr>
        <w:t xml:space="preserve">Disclaimer/Publisher’s Note: </w:t>
      </w:r>
      <w:r w:rsidRPr="004007B2">
        <w:rPr>
          <w:rFonts w:ascii="Times New Roman" w:eastAsia="Calibri" w:hAnsi="Times New Roman" w:cs="Times New Roman"/>
          <w:kern w:val="2"/>
          <w:sz w:val="15"/>
          <w:szCs w:val="15"/>
          <w:lang w:val="en-GB"/>
        </w:rPr>
        <w:t>The statements, opinions and data contained in all publications are solely those of the individual author(s) and contributor(s) and not of the publisher and/or the editor(s). This publisher and/or the editor(s) disclaim responsibility for any injury to people or property resulting from any ideas, methods, instructions or products referred to in the content.</w:t>
      </w:r>
    </w:p>
    <w:p w14:paraId="52CFEDA5" w14:textId="77777777" w:rsidR="00D851AD" w:rsidRPr="004007B2" w:rsidRDefault="00D851AD" w:rsidP="00BD060A">
      <w:pPr>
        <w:keepNext/>
        <w:spacing w:after="0" w:line="240" w:lineRule="auto"/>
        <w:contextualSpacing/>
        <w:jc w:val="both"/>
        <w:rPr>
          <w:rFonts w:ascii="Times New Roman" w:eastAsia="Times New Roman" w:hAnsi="Times New Roman" w:cs="Times New Roman"/>
          <w:b/>
          <w:szCs w:val="20"/>
        </w:rPr>
        <w:sectPr w:rsidR="00D851AD" w:rsidRPr="004007B2" w:rsidSect="0035695E">
          <w:headerReference w:type="default" r:id="rId23"/>
          <w:footerReference w:type="default" r:id="rId24"/>
          <w:footerReference w:type="first" r:id="rId25"/>
          <w:pgSz w:w="11909" w:h="16834" w:code="9"/>
          <w:pgMar w:top="1440" w:right="1440" w:bottom="1440" w:left="1440" w:header="720" w:footer="864" w:gutter="0"/>
          <w:pgNumType w:start="1"/>
          <w:cols w:space="720"/>
          <w:titlePg/>
          <w:docGrid w:linePitch="360"/>
        </w:sectPr>
      </w:pPr>
    </w:p>
    <w:p w14:paraId="0DDCC270" w14:textId="77777777" w:rsidR="00BD060A" w:rsidRPr="004007B2" w:rsidRDefault="00BD060A" w:rsidP="00E702F4">
      <w:pPr>
        <w:spacing w:after="0" w:line="240" w:lineRule="auto"/>
        <w:ind w:left="540" w:hanging="540"/>
        <w:jc w:val="center"/>
        <w:rPr>
          <w:rFonts w:ascii="Times New Roman" w:eastAsia="Times New Roman" w:hAnsi="Times New Roman" w:cs="Times New Roman"/>
          <w:i/>
          <w:sz w:val="16"/>
          <w:szCs w:val="20"/>
        </w:rPr>
      </w:pPr>
    </w:p>
    <w:p w14:paraId="691C00F3" w14:textId="0EF4541C" w:rsidR="00CD3A89" w:rsidRPr="005F1FB4" w:rsidRDefault="0091478B" w:rsidP="00380ACB">
      <w:pPr>
        <w:pBdr>
          <w:top w:val="single" w:sz="4" w:space="1" w:color="auto"/>
        </w:pBdr>
        <w:spacing w:after="0" w:line="240" w:lineRule="auto"/>
        <w:jc w:val="both"/>
        <w:rPr>
          <w:rFonts w:ascii="Times New Roman" w:hAnsi="Times New Roman" w:cs="Times New Roman"/>
        </w:rPr>
      </w:pPr>
      <w:r w:rsidRPr="004007B2">
        <w:rPr>
          <w:rFonts w:ascii="Times New Roman" w:eastAsia="Calibri" w:hAnsi="Times New Roman" w:cs="Times New Roman"/>
          <w:i/>
          <w:iCs/>
          <w:kern w:val="2"/>
          <w:sz w:val="16"/>
          <w:szCs w:val="16"/>
          <w:lang w:val="en-GB"/>
        </w:rPr>
        <w:t>© Copyright (202</w:t>
      </w:r>
      <w:r w:rsidR="00DD7A07" w:rsidRPr="004007B2">
        <w:rPr>
          <w:rFonts w:ascii="Times New Roman" w:eastAsia="Calibri" w:hAnsi="Times New Roman" w:cs="Times New Roman"/>
          <w:i/>
          <w:iCs/>
          <w:kern w:val="2"/>
          <w:sz w:val="16"/>
          <w:szCs w:val="16"/>
          <w:lang w:val="en-GB"/>
        </w:rPr>
        <w:t>6</w:t>
      </w:r>
      <w:r w:rsidRPr="004007B2">
        <w:rPr>
          <w:rFonts w:ascii="Times New Roman" w:eastAsia="Calibri" w:hAnsi="Times New Roman" w:cs="Times New Roman"/>
          <w:i/>
          <w:iCs/>
          <w:kern w:val="2"/>
          <w:sz w:val="16"/>
          <w:szCs w:val="16"/>
          <w:lang w:val="en-GB"/>
        </w:rPr>
        <w:t>): Author(s). The licensee is the journal publisher. This is an Open Access article distributed under the terms of the Creative Commons Attribution License (</w:t>
      </w:r>
      <w:r w:rsidRPr="004007B2">
        <w:rPr>
          <w:rFonts w:ascii="Times New Roman" w:eastAsia="Calibri" w:hAnsi="Times New Roman" w:cs="Times New Roman"/>
          <w:i/>
          <w:iCs/>
          <w:color w:val="0000FF"/>
          <w:kern w:val="2"/>
          <w:sz w:val="16"/>
          <w:szCs w:val="16"/>
          <w:lang w:val="en-GB"/>
        </w:rPr>
        <w:t>http://creativecommons.org/licenses/by/4.0</w:t>
      </w:r>
      <w:r w:rsidRPr="004007B2">
        <w:rPr>
          <w:rFonts w:ascii="Times New Roman" w:eastAsia="Calibri" w:hAnsi="Times New Roman" w:cs="Times New Roman"/>
          <w:i/>
          <w:iCs/>
          <w:kern w:val="2"/>
          <w:sz w:val="16"/>
          <w:szCs w:val="16"/>
          <w:lang w:val="en-GB"/>
        </w:rPr>
        <w:t>), which permits unrestricted use, distribution, and reproduction in any medium, provided the original work is properly cited.</w:t>
      </w:r>
      <w:r w:rsidR="00BD060A" w:rsidRPr="005F1FB4">
        <w:rPr>
          <w:rFonts w:ascii="Times New Roman" w:hAnsi="Times New Roman" w:cs="Times New Roman"/>
        </w:rPr>
        <w:t xml:space="preserve"> </w:t>
      </w:r>
    </w:p>
    <w:sectPr w:rsidR="00CD3A89" w:rsidRPr="005F1FB4" w:rsidSect="0035695E">
      <w:type w:val="continuous"/>
      <w:pgSz w:w="11909" w:h="16834" w:code="9"/>
      <w:pgMar w:top="1440" w:right="1440" w:bottom="1440" w:left="1440"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4D45C" w14:textId="77777777" w:rsidR="00891FCE" w:rsidRDefault="00891FCE" w:rsidP="00CD3A89">
      <w:pPr>
        <w:spacing w:after="0" w:line="240" w:lineRule="auto"/>
      </w:pPr>
      <w:r>
        <w:separator/>
      </w:r>
    </w:p>
  </w:endnote>
  <w:endnote w:type="continuationSeparator" w:id="0">
    <w:p w14:paraId="384AD7F0" w14:textId="77777777" w:rsidR="00891FCE" w:rsidRDefault="00891FCE" w:rsidP="00CD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8593113"/>
      <w:docPartObj>
        <w:docPartGallery w:val="Page Numbers (Bottom of Page)"/>
        <w:docPartUnique/>
      </w:docPartObj>
    </w:sdtPr>
    <w:sdtContent>
      <w:p w14:paraId="754B4558" w14:textId="77777777" w:rsidR="00F6450F" w:rsidRPr="005F1FB4" w:rsidRDefault="00F6450F">
        <w:pPr>
          <w:pStyle w:val="Footer"/>
          <w:jc w:val="center"/>
          <w:rPr>
            <w:rFonts w:ascii="Times New Roman" w:hAnsi="Times New Roman" w:cs="Times New Roman"/>
            <w:sz w:val="28"/>
          </w:rPr>
        </w:pPr>
      </w:p>
      <w:p w14:paraId="63B03ABA" w14:textId="78D21BBB" w:rsidR="00263AE4" w:rsidRPr="005F1FB4" w:rsidRDefault="006D1770">
        <w:pPr>
          <w:pStyle w:val="Footer"/>
          <w:jc w:val="center"/>
          <w:rPr>
            <w:rFonts w:ascii="Times New Roman" w:hAnsi="Times New Roman" w:cs="Times New Roman"/>
            <w:sz w:val="20"/>
          </w:rPr>
        </w:pPr>
        <w:r w:rsidRPr="005F1FB4">
          <w:rPr>
            <w:rFonts w:ascii="Times New Roman" w:hAnsi="Times New Roman" w:cs="Times New Roman"/>
            <w:sz w:val="20"/>
          </w:rPr>
          <w:fldChar w:fldCharType="begin"/>
        </w:r>
        <w:r w:rsidR="00A22248" w:rsidRPr="005F1FB4">
          <w:rPr>
            <w:rFonts w:ascii="Times New Roman" w:hAnsi="Times New Roman" w:cs="Times New Roman"/>
            <w:sz w:val="20"/>
          </w:rPr>
          <w:instrText xml:space="preserve"> PAGE   \* MERGEFORMAT </w:instrText>
        </w:r>
        <w:r w:rsidRPr="005F1FB4">
          <w:rPr>
            <w:rFonts w:ascii="Times New Roman" w:hAnsi="Times New Roman" w:cs="Times New Roman"/>
            <w:sz w:val="20"/>
          </w:rPr>
          <w:fldChar w:fldCharType="separate"/>
        </w:r>
        <w:r w:rsidR="00C52B50">
          <w:rPr>
            <w:rFonts w:ascii="Times New Roman" w:hAnsi="Times New Roman" w:cs="Times New Roman"/>
            <w:noProof/>
            <w:sz w:val="20"/>
          </w:rPr>
          <w:t>2</w:t>
        </w:r>
        <w:r w:rsidRPr="005F1FB4">
          <w:rPr>
            <w:rFonts w:ascii="Times New Roman" w:hAnsi="Times New Roman" w:cs="Times New Roman"/>
            <w:sz w:val="20"/>
          </w:rPr>
          <w:fldChar w:fldCharType="end"/>
        </w:r>
      </w:p>
      <w:p w14:paraId="7AC9D1DA" w14:textId="77777777" w:rsidR="00485F13" w:rsidRPr="005F1FB4" w:rsidRDefault="00000000">
        <w:pPr>
          <w:pStyle w:val="Footer"/>
          <w:jc w:val="center"/>
          <w:rPr>
            <w:rFonts w:ascii="Times New Roman" w:hAnsi="Times New Roman" w:cs="Times New Roman"/>
            <w:sz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59EA" w14:textId="150F6B37" w:rsidR="00E72385" w:rsidRPr="005F1FB4" w:rsidRDefault="00E72385" w:rsidP="00E72385">
    <w:pPr>
      <w:tabs>
        <w:tab w:val="center" w:pos="4320"/>
        <w:tab w:val="right" w:pos="8640"/>
      </w:tabs>
      <w:spacing w:after="0" w:line="240" w:lineRule="auto"/>
      <w:rPr>
        <w:rFonts w:ascii="Times New Roman" w:eastAsia="Times New Roman" w:hAnsi="Times New Roman" w:cs="Times New Roman"/>
        <w:sz w:val="16"/>
        <w:szCs w:val="20"/>
      </w:rPr>
    </w:pPr>
    <w:r w:rsidRPr="005F1FB4">
      <w:rPr>
        <w:rFonts w:ascii="Times New Roman" w:eastAsia="Times New Roman" w:hAnsi="Times New Roman" w:cs="Times New Roman"/>
        <w:sz w:val="16"/>
        <w:szCs w:val="20"/>
      </w:rPr>
      <w:t>____________________________________________</w:t>
    </w:r>
    <w:r w:rsidRPr="005F1FB4">
      <w:rPr>
        <w:rFonts w:ascii="Times New Roman" w:eastAsia="Times New Roman" w:hAnsi="Times New Roman" w:cs="Times New Roman"/>
        <w:sz w:val="16"/>
        <w:szCs w:val="20"/>
      </w:rPr>
      <w:softHyphen/>
    </w:r>
    <w:r w:rsidRPr="005F1FB4">
      <w:rPr>
        <w:rFonts w:ascii="Times New Roman" w:eastAsia="Times New Roman" w:hAnsi="Times New Roman" w:cs="Times New Roman"/>
        <w:sz w:val="16"/>
        <w:szCs w:val="20"/>
      </w:rPr>
      <w:softHyphen/>
    </w:r>
    <w:r w:rsidRPr="005F1FB4">
      <w:rPr>
        <w:rFonts w:ascii="Times New Roman" w:eastAsia="Times New Roman" w:hAnsi="Times New Roman" w:cs="Times New Roman"/>
        <w:sz w:val="16"/>
        <w:szCs w:val="20"/>
      </w:rPr>
      <w:softHyphen/>
    </w:r>
    <w:r w:rsidRPr="005F1FB4">
      <w:rPr>
        <w:rFonts w:ascii="Times New Roman" w:eastAsia="Times New Roman" w:hAnsi="Times New Roman" w:cs="Times New Roman"/>
        <w:sz w:val="16"/>
        <w:szCs w:val="20"/>
      </w:rPr>
      <w:softHyphen/>
    </w:r>
    <w:r w:rsidRPr="005F1FB4">
      <w:rPr>
        <w:rFonts w:ascii="Times New Roman" w:eastAsia="Times New Roman" w:hAnsi="Times New Roman" w:cs="Times New Roman"/>
        <w:sz w:val="16"/>
        <w:szCs w:val="20"/>
      </w:rPr>
      <w:softHyphen/>
      <w:t>_________________________________________________________</w:t>
    </w:r>
    <w:r w:rsidR="005F1FB4">
      <w:rPr>
        <w:rFonts w:ascii="Times New Roman" w:eastAsia="Times New Roman" w:hAnsi="Times New Roman" w:cs="Times New Roman"/>
        <w:sz w:val="16"/>
        <w:szCs w:val="20"/>
      </w:rPr>
      <w:t>___________</w:t>
    </w:r>
  </w:p>
  <w:p w14:paraId="12362E18" w14:textId="77777777" w:rsidR="00E72385" w:rsidRPr="005F1FB4" w:rsidRDefault="00E72385" w:rsidP="00E72385">
    <w:pPr>
      <w:spacing w:after="0" w:line="240" w:lineRule="auto"/>
      <w:jc w:val="both"/>
      <w:rPr>
        <w:rFonts w:ascii="Times New Roman" w:eastAsia="Times New Roman" w:hAnsi="Times New Roman" w:cs="Times New Roman"/>
        <w:i/>
        <w:sz w:val="16"/>
        <w:szCs w:val="20"/>
      </w:rPr>
    </w:pPr>
  </w:p>
  <w:p w14:paraId="4392F827" w14:textId="77777777" w:rsidR="00E72385" w:rsidRPr="005F1FB4" w:rsidRDefault="00E72385" w:rsidP="00E72385">
    <w:pPr>
      <w:spacing w:after="0" w:line="240" w:lineRule="auto"/>
      <w:jc w:val="both"/>
      <w:rPr>
        <w:rFonts w:ascii="Times New Roman" w:eastAsia="Times New Roman" w:hAnsi="Times New Roman" w:cs="Times New Roman"/>
        <w:i/>
        <w:sz w:val="16"/>
        <w:szCs w:val="20"/>
      </w:rPr>
    </w:pPr>
    <w:r w:rsidRPr="005F1FB4">
      <w:rPr>
        <w:rFonts w:ascii="Times New Roman" w:eastAsia="Times New Roman" w:hAnsi="Times New Roman" w:cs="Times New Roman"/>
        <w:i/>
        <w:sz w:val="16"/>
        <w:szCs w:val="20"/>
      </w:rPr>
      <w:t>*Corresponding author: Email: ………………………….;</w:t>
    </w:r>
  </w:p>
  <w:p w14:paraId="7846DB2A" w14:textId="77777777" w:rsidR="00C165F9" w:rsidRPr="005F1FB4" w:rsidRDefault="00C165F9" w:rsidP="00E72385">
    <w:pPr>
      <w:spacing w:after="0" w:line="240" w:lineRule="auto"/>
      <w:jc w:val="both"/>
      <w:rPr>
        <w:rFonts w:ascii="Times New Roman" w:eastAsia="Times New Roman" w:hAnsi="Times New Roman" w:cs="Times New Roman"/>
        <w:i/>
        <w:sz w:val="16"/>
        <w:szCs w:val="20"/>
      </w:rPr>
    </w:pPr>
  </w:p>
  <w:p w14:paraId="0A71F06C" w14:textId="77777777" w:rsidR="0005012B" w:rsidRPr="005F1FB4" w:rsidRDefault="0005012B" w:rsidP="0005012B">
    <w:pPr>
      <w:pStyle w:val="Footer"/>
      <w:jc w:val="both"/>
      <w:rPr>
        <w:rFonts w:ascii="Times New Roman" w:hAnsi="Times New Roman" w:cs="Times New Roman"/>
        <w:b/>
        <w:bCs/>
        <w:i/>
        <w:sz w:val="16"/>
      </w:rPr>
    </w:pPr>
    <w:r w:rsidRPr="005F1FB4">
      <w:rPr>
        <w:rFonts w:ascii="Times New Roman" w:hAnsi="Times New Roman" w:cs="Times New Roman"/>
        <w:b/>
        <w:bCs/>
        <w:i/>
        <w:sz w:val="16"/>
      </w:rPr>
      <w:t>Cite as:</w:t>
    </w:r>
  </w:p>
  <w:p w14:paraId="50210FCA" w14:textId="77777777" w:rsidR="0005012B" w:rsidRPr="005F1FB4" w:rsidRDefault="0005012B" w:rsidP="0005012B">
    <w:pPr>
      <w:pStyle w:val="Footer"/>
      <w:jc w:val="both"/>
      <w:rPr>
        <w:rFonts w:ascii="Times New Roman" w:hAnsi="Times New Roman" w:cs="Times New Roman"/>
        <w:i/>
        <w:sz w:val="16"/>
      </w:rPr>
    </w:pPr>
  </w:p>
  <w:p w14:paraId="7FE9780E" w14:textId="77777777" w:rsidR="00C35E00" w:rsidRPr="005F1FB4" w:rsidRDefault="00C35E00" w:rsidP="0005012B">
    <w:pPr>
      <w:pStyle w:val="Footer"/>
      <w:jc w:val="both"/>
      <w:rPr>
        <w:rFonts w:ascii="Times New Roman" w:hAnsi="Times New Roman" w:cs="Times New Roman"/>
        <w:i/>
        <w:sz w:val="16"/>
      </w:rPr>
    </w:pPr>
  </w:p>
  <w:p w14:paraId="1F6786D6" w14:textId="77777777" w:rsidR="0005012B" w:rsidRPr="005F1FB4" w:rsidRDefault="0005012B" w:rsidP="0005012B">
    <w:pPr>
      <w:pStyle w:val="Footer"/>
      <w:jc w:val="both"/>
      <w:rPr>
        <w:rFonts w:ascii="Times New Roman" w:hAnsi="Times New Roman" w:cs="Times New Roman"/>
        <w:i/>
        <w:sz w:val="16"/>
      </w:rPr>
    </w:pPr>
  </w:p>
  <w:p w14:paraId="6F075B7A" w14:textId="77777777" w:rsidR="00CD3A89" w:rsidRPr="005F1FB4" w:rsidRDefault="00CD3A89">
    <w:pPr>
      <w:pStyle w:val="Footer"/>
      <w:rPr>
        <w:rFonts w:ascii="Times New Roman" w:hAnsi="Times New Roman" w:cs="Times New Roman"/>
        <w:sz w:val="20"/>
      </w:rPr>
    </w:pPr>
  </w:p>
  <w:p w14:paraId="084D5BF2" w14:textId="77777777" w:rsidR="00490A64" w:rsidRPr="005F1FB4" w:rsidRDefault="00490A64">
    <w:pPr>
      <w:pStyle w:val="Footer"/>
      <w:rPr>
        <w:rFonts w:ascii="Times New Roman" w:hAnsi="Times New Roman" w:cs="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C731B" w14:textId="77777777" w:rsidR="00891FCE" w:rsidRDefault="00891FCE" w:rsidP="00CD3A89">
      <w:pPr>
        <w:spacing w:after="0" w:line="240" w:lineRule="auto"/>
      </w:pPr>
      <w:r>
        <w:separator/>
      </w:r>
    </w:p>
  </w:footnote>
  <w:footnote w:type="continuationSeparator" w:id="0">
    <w:p w14:paraId="649F3114" w14:textId="77777777" w:rsidR="00891FCE" w:rsidRDefault="00891FCE" w:rsidP="00CD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47858" w14:textId="77777777" w:rsidR="00171FBC" w:rsidRPr="005F1FB4" w:rsidRDefault="00171FBC" w:rsidP="00171FBC">
    <w:pPr>
      <w:tabs>
        <w:tab w:val="center" w:pos="4320"/>
        <w:tab w:val="right" w:pos="8640"/>
      </w:tabs>
      <w:spacing w:after="0" w:line="240" w:lineRule="auto"/>
      <w:jc w:val="right"/>
      <w:rPr>
        <w:rFonts w:ascii="Times New Roman" w:eastAsia="Times New Roman" w:hAnsi="Times New Roman" w:cs="Times New Roman"/>
        <w:i/>
        <w:sz w:val="16"/>
        <w:szCs w:val="20"/>
        <w:highlight w:val="yellow"/>
      </w:rPr>
    </w:pPr>
  </w:p>
  <w:p w14:paraId="2B598171" w14:textId="77777777" w:rsidR="00171FBC" w:rsidRPr="005F1FB4" w:rsidRDefault="00171FBC" w:rsidP="00171FBC">
    <w:pPr>
      <w:tabs>
        <w:tab w:val="center" w:pos="4320"/>
        <w:tab w:val="right" w:pos="8640"/>
      </w:tabs>
      <w:spacing w:after="0" w:line="240" w:lineRule="auto"/>
      <w:jc w:val="right"/>
      <w:rPr>
        <w:rFonts w:ascii="Times New Roman" w:eastAsia="Times New Roman" w:hAnsi="Times New Roman" w:cs="Times New Roman"/>
        <w:i/>
        <w:sz w:val="16"/>
        <w:szCs w:val="20"/>
        <w:highlight w:val="yellow"/>
      </w:rPr>
    </w:pPr>
  </w:p>
  <w:p w14:paraId="23C78BBE" w14:textId="77777777" w:rsidR="00171FBC" w:rsidRPr="005F1FB4" w:rsidRDefault="00171FBC" w:rsidP="00171FBC">
    <w:pPr>
      <w:tabs>
        <w:tab w:val="center" w:pos="4320"/>
        <w:tab w:val="right" w:pos="8640"/>
      </w:tabs>
      <w:spacing w:after="0" w:line="240" w:lineRule="auto"/>
      <w:jc w:val="right"/>
      <w:rPr>
        <w:rFonts w:ascii="Times New Roman" w:eastAsia="Times New Roman" w:hAnsi="Times New Roman" w:cs="Times New Roman"/>
        <w:i/>
        <w:sz w:val="16"/>
        <w:szCs w:val="20"/>
        <w:highlight w:val="yellow"/>
      </w:rPr>
    </w:pPr>
  </w:p>
  <w:p w14:paraId="3948BAA3" w14:textId="77777777" w:rsidR="00171FBC" w:rsidRPr="005F1FB4" w:rsidRDefault="00171FBC" w:rsidP="00171FBC">
    <w:pPr>
      <w:tabs>
        <w:tab w:val="center" w:pos="4320"/>
        <w:tab w:val="right" w:pos="8640"/>
      </w:tabs>
      <w:spacing w:after="0" w:line="240" w:lineRule="auto"/>
      <w:jc w:val="right"/>
      <w:rPr>
        <w:rFonts w:ascii="Times New Roman" w:eastAsia="Times New Roman" w:hAnsi="Times New Roman" w:cs="Times New Roman"/>
        <w:i/>
        <w:sz w:val="16"/>
        <w:szCs w:val="20"/>
        <w:highlight w:val="yellow"/>
      </w:rPr>
    </w:pPr>
  </w:p>
  <w:p w14:paraId="362CC50D" w14:textId="673C0F82" w:rsidR="00171FBC" w:rsidRPr="005F1FB4" w:rsidRDefault="00974577" w:rsidP="00171FBC">
    <w:pPr>
      <w:tabs>
        <w:tab w:val="center" w:pos="4320"/>
        <w:tab w:val="right" w:pos="8640"/>
      </w:tabs>
      <w:spacing w:after="0" w:line="240" w:lineRule="auto"/>
      <w:jc w:val="right"/>
      <w:rPr>
        <w:rFonts w:ascii="Times New Roman" w:eastAsia="Times New Roman" w:hAnsi="Times New Roman" w:cs="Times New Roman"/>
        <w:i/>
        <w:sz w:val="16"/>
        <w:szCs w:val="20"/>
      </w:rPr>
    </w:pPr>
    <w:r w:rsidRPr="005F1FB4">
      <w:rPr>
        <w:rFonts w:ascii="Times New Roman" w:eastAsia="Times New Roman" w:hAnsi="Times New Roman" w:cs="Times New Roman"/>
        <w:i/>
        <w:sz w:val="16"/>
        <w:szCs w:val="20"/>
        <w:highlight w:val="yellow"/>
      </w:rPr>
      <w:t>Author name</w:t>
    </w:r>
    <w:r w:rsidRPr="005F1FB4">
      <w:rPr>
        <w:rFonts w:ascii="Times New Roman" w:eastAsia="Times New Roman" w:hAnsi="Times New Roman" w:cs="Times New Roman"/>
        <w:i/>
        <w:sz w:val="16"/>
        <w:szCs w:val="20"/>
      </w:rPr>
      <w:t xml:space="preserve">; </w:t>
    </w:r>
    <w:r w:rsidR="00C165F9" w:rsidRPr="005F1FB4">
      <w:rPr>
        <w:rFonts w:ascii="Times New Roman" w:eastAsia="Times New Roman" w:hAnsi="Times New Roman" w:cs="Times New Roman"/>
        <w:i/>
        <w:sz w:val="16"/>
        <w:szCs w:val="20"/>
      </w:rPr>
      <w:t>Int. J. Res. Rep. Dent., vol. xx, no. xx, pp. xx-xx, 20YY</w:t>
    </w:r>
    <w:r w:rsidR="00D851AD" w:rsidRPr="005F1FB4">
      <w:rPr>
        <w:rFonts w:ascii="Times New Roman" w:eastAsia="Times New Roman" w:hAnsi="Times New Roman" w:cs="Times New Roman"/>
        <w:i/>
        <w:sz w:val="16"/>
        <w:szCs w:val="20"/>
      </w:rPr>
      <w:t xml:space="preserve">; Article </w:t>
    </w:r>
    <w:proofErr w:type="gramStart"/>
    <w:r w:rsidR="00D851AD" w:rsidRPr="005F1FB4">
      <w:rPr>
        <w:rFonts w:ascii="Times New Roman" w:eastAsia="Times New Roman" w:hAnsi="Times New Roman" w:cs="Times New Roman"/>
        <w:i/>
        <w:sz w:val="16"/>
        <w:szCs w:val="20"/>
      </w:rPr>
      <w:t>no.</w:t>
    </w:r>
    <w:r w:rsidR="00412C6C" w:rsidRPr="005F1FB4">
      <w:rPr>
        <w:rFonts w:ascii="Times New Roman" w:eastAsia="Times New Roman" w:hAnsi="Times New Roman" w:cs="Times New Roman"/>
        <w:i/>
        <w:sz w:val="16"/>
        <w:szCs w:val="20"/>
      </w:rPr>
      <w:t>IJRRD</w:t>
    </w:r>
    <w:proofErr w:type="gramEnd"/>
    <w:r w:rsidR="00BE7629">
      <w:rPr>
        <w:rFonts w:ascii="Times New Roman" w:eastAsia="Times New Roman" w:hAnsi="Times New Roman" w:cs="Times New Roman"/>
        <w:i/>
        <w:sz w:val="16"/>
        <w:szCs w:val="20"/>
      </w:rPr>
      <w:t>.</w:t>
    </w:r>
    <w:r w:rsidR="00BE7629" w:rsidRPr="00BE7629">
      <w:rPr>
        <w:rFonts w:ascii="Times New Roman" w:eastAsia="Times New Roman" w:hAnsi="Times New Roman" w:cs="Times New Roman"/>
        <w:i/>
        <w:sz w:val="16"/>
        <w:szCs w:val="20"/>
      </w:rPr>
      <w:t>153077</w:t>
    </w:r>
  </w:p>
  <w:p w14:paraId="6E904249" w14:textId="77777777" w:rsidR="00974577" w:rsidRPr="005F1FB4" w:rsidRDefault="00974577" w:rsidP="00171FBC">
    <w:pPr>
      <w:tabs>
        <w:tab w:val="center" w:pos="4320"/>
        <w:tab w:val="right" w:pos="8640"/>
      </w:tabs>
      <w:spacing w:after="0" w:line="240" w:lineRule="auto"/>
      <w:jc w:val="right"/>
      <w:rPr>
        <w:rFonts w:ascii="Times New Roman" w:eastAsia="Times New Roman" w:hAnsi="Times New Roman" w:cs="Times New Roman"/>
        <w:i/>
        <w:sz w:val="16"/>
        <w:szCs w:val="20"/>
      </w:rPr>
    </w:pPr>
  </w:p>
  <w:p w14:paraId="2F4BDE0F" w14:textId="77777777" w:rsidR="00171FBC" w:rsidRPr="005F1FB4" w:rsidRDefault="00171FBC" w:rsidP="00171FBC">
    <w:pPr>
      <w:tabs>
        <w:tab w:val="center" w:pos="4320"/>
        <w:tab w:val="right" w:pos="8640"/>
      </w:tabs>
      <w:spacing w:after="0" w:line="240" w:lineRule="auto"/>
      <w:jc w:val="right"/>
      <w:rPr>
        <w:rFonts w:ascii="Times New Roman" w:hAnsi="Times New Roman" w:cs="Times New Roman"/>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D4748"/>
    <w:multiLevelType w:val="hybridMultilevel"/>
    <w:tmpl w:val="9022D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023F85"/>
    <w:multiLevelType w:val="hybridMultilevel"/>
    <w:tmpl w:val="B9381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4E04F6"/>
    <w:multiLevelType w:val="hybridMultilevel"/>
    <w:tmpl w:val="518CE8A2"/>
    <w:lvl w:ilvl="0" w:tplc="7DF82D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A943BC"/>
    <w:multiLevelType w:val="hybridMultilevel"/>
    <w:tmpl w:val="C020268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94D5085"/>
    <w:multiLevelType w:val="hybridMultilevel"/>
    <w:tmpl w:val="8230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2908884">
    <w:abstractNumId w:val="4"/>
  </w:num>
  <w:num w:numId="2" w16cid:durableId="15350693">
    <w:abstractNumId w:val="1"/>
  </w:num>
  <w:num w:numId="3" w16cid:durableId="1316573365">
    <w:abstractNumId w:val="3"/>
  </w:num>
  <w:num w:numId="4" w16cid:durableId="309335726">
    <w:abstractNumId w:val="0"/>
  </w:num>
  <w:num w:numId="5" w16cid:durableId="1449467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hdrShapeDefaults>
    <o:shapedefaults v:ext="edit" spidmax="208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A1MTe0NLG0MDcwNjJR0lEKTi0uzszPAykwrAUAqCmJzSwAAAA="/>
  </w:docVars>
  <w:rsids>
    <w:rsidRoot w:val="00C13266"/>
    <w:rsid w:val="000140EA"/>
    <w:rsid w:val="000372DB"/>
    <w:rsid w:val="00041716"/>
    <w:rsid w:val="0005012B"/>
    <w:rsid w:val="000563CE"/>
    <w:rsid w:val="000761C4"/>
    <w:rsid w:val="00095EBC"/>
    <w:rsid w:val="00096D6F"/>
    <w:rsid w:val="000A2031"/>
    <w:rsid w:val="000C2408"/>
    <w:rsid w:val="000D1C4D"/>
    <w:rsid w:val="000D1EC1"/>
    <w:rsid w:val="000D4EAD"/>
    <w:rsid w:val="001004BF"/>
    <w:rsid w:val="00100B40"/>
    <w:rsid w:val="0010611F"/>
    <w:rsid w:val="00117484"/>
    <w:rsid w:val="00124A37"/>
    <w:rsid w:val="0013012E"/>
    <w:rsid w:val="001458EB"/>
    <w:rsid w:val="0015014F"/>
    <w:rsid w:val="00150CE4"/>
    <w:rsid w:val="00155B5E"/>
    <w:rsid w:val="00171FBC"/>
    <w:rsid w:val="00190C2D"/>
    <w:rsid w:val="001A0FE8"/>
    <w:rsid w:val="001A4A55"/>
    <w:rsid w:val="001A69A3"/>
    <w:rsid w:val="001A74B7"/>
    <w:rsid w:val="001B111C"/>
    <w:rsid w:val="001B2824"/>
    <w:rsid w:val="001D00F5"/>
    <w:rsid w:val="00205B59"/>
    <w:rsid w:val="00214813"/>
    <w:rsid w:val="00220A21"/>
    <w:rsid w:val="002367E7"/>
    <w:rsid w:val="00246401"/>
    <w:rsid w:val="00250135"/>
    <w:rsid w:val="002573C9"/>
    <w:rsid w:val="00260707"/>
    <w:rsid w:val="00263AE4"/>
    <w:rsid w:val="002645E2"/>
    <w:rsid w:val="00265BE3"/>
    <w:rsid w:val="0028695F"/>
    <w:rsid w:val="00297CC0"/>
    <w:rsid w:val="002A041A"/>
    <w:rsid w:val="002A078A"/>
    <w:rsid w:val="002A635B"/>
    <w:rsid w:val="002B02E7"/>
    <w:rsid w:val="002C7DF4"/>
    <w:rsid w:val="002D6E70"/>
    <w:rsid w:val="002E6D92"/>
    <w:rsid w:val="0031517D"/>
    <w:rsid w:val="00325A82"/>
    <w:rsid w:val="00332601"/>
    <w:rsid w:val="003349BB"/>
    <w:rsid w:val="00335947"/>
    <w:rsid w:val="003403D2"/>
    <w:rsid w:val="00344140"/>
    <w:rsid w:val="003510FD"/>
    <w:rsid w:val="0035241B"/>
    <w:rsid w:val="0035695E"/>
    <w:rsid w:val="0036357D"/>
    <w:rsid w:val="00370C0D"/>
    <w:rsid w:val="00376494"/>
    <w:rsid w:val="00380ACB"/>
    <w:rsid w:val="003A1163"/>
    <w:rsid w:val="003A683A"/>
    <w:rsid w:val="003B2B85"/>
    <w:rsid w:val="003B4704"/>
    <w:rsid w:val="003D0DD7"/>
    <w:rsid w:val="003E2AF1"/>
    <w:rsid w:val="003E6E3E"/>
    <w:rsid w:val="003F07E8"/>
    <w:rsid w:val="003F47A0"/>
    <w:rsid w:val="00400222"/>
    <w:rsid w:val="004007B2"/>
    <w:rsid w:val="00412C6C"/>
    <w:rsid w:val="00414D54"/>
    <w:rsid w:val="00424421"/>
    <w:rsid w:val="0043007E"/>
    <w:rsid w:val="0043035E"/>
    <w:rsid w:val="00435091"/>
    <w:rsid w:val="00454377"/>
    <w:rsid w:val="00455B14"/>
    <w:rsid w:val="004573F9"/>
    <w:rsid w:val="00464EB5"/>
    <w:rsid w:val="004703DB"/>
    <w:rsid w:val="004719C4"/>
    <w:rsid w:val="004743E7"/>
    <w:rsid w:val="00485F13"/>
    <w:rsid w:val="0048681C"/>
    <w:rsid w:val="00490A64"/>
    <w:rsid w:val="00495B61"/>
    <w:rsid w:val="004B3EA4"/>
    <w:rsid w:val="004B60C1"/>
    <w:rsid w:val="004B60EC"/>
    <w:rsid w:val="004C0258"/>
    <w:rsid w:val="004C3267"/>
    <w:rsid w:val="004C5D40"/>
    <w:rsid w:val="004D35A0"/>
    <w:rsid w:val="004D6091"/>
    <w:rsid w:val="004E094F"/>
    <w:rsid w:val="004F2706"/>
    <w:rsid w:val="004F5D5B"/>
    <w:rsid w:val="0051528E"/>
    <w:rsid w:val="0053192C"/>
    <w:rsid w:val="00536BCB"/>
    <w:rsid w:val="005475D1"/>
    <w:rsid w:val="00562C90"/>
    <w:rsid w:val="00563B10"/>
    <w:rsid w:val="005722FD"/>
    <w:rsid w:val="005734C1"/>
    <w:rsid w:val="0058198B"/>
    <w:rsid w:val="0059299D"/>
    <w:rsid w:val="005946F1"/>
    <w:rsid w:val="005A1751"/>
    <w:rsid w:val="005C26C6"/>
    <w:rsid w:val="005C60BB"/>
    <w:rsid w:val="005C63EE"/>
    <w:rsid w:val="005F1FB4"/>
    <w:rsid w:val="00604FB0"/>
    <w:rsid w:val="006066C8"/>
    <w:rsid w:val="006163D9"/>
    <w:rsid w:val="00640DE5"/>
    <w:rsid w:val="00647361"/>
    <w:rsid w:val="006642C2"/>
    <w:rsid w:val="00670C2D"/>
    <w:rsid w:val="00672DBB"/>
    <w:rsid w:val="00682F1A"/>
    <w:rsid w:val="006853A4"/>
    <w:rsid w:val="0068719D"/>
    <w:rsid w:val="006A2F45"/>
    <w:rsid w:val="006A3FCB"/>
    <w:rsid w:val="006C31D2"/>
    <w:rsid w:val="006C667C"/>
    <w:rsid w:val="006C7C39"/>
    <w:rsid w:val="006D1770"/>
    <w:rsid w:val="006D658B"/>
    <w:rsid w:val="00703125"/>
    <w:rsid w:val="007046D7"/>
    <w:rsid w:val="007147B7"/>
    <w:rsid w:val="00716F22"/>
    <w:rsid w:val="00721737"/>
    <w:rsid w:val="007240A8"/>
    <w:rsid w:val="007323FC"/>
    <w:rsid w:val="00734B36"/>
    <w:rsid w:val="00743471"/>
    <w:rsid w:val="00747D62"/>
    <w:rsid w:val="007622EE"/>
    <w:rsid w:val="00785993"/>
    <w:rsid w:val="00793272"/>
    <w:rsid w:val="007B2D63"/>
    <w:rsid w:val="007B380F"/>
    <w:rsid w:val="007B63EC"/>
    <w:rsid w:val="007B7919"/>
    <w:rsid w:val="007C49C7"/>
    <w:rsid w:val="007C4CE5"/>
    <w:rsid w:val="007D55DC"/>
    <w:rsid w:val="007E02F8"/>
    <w:rsid w:val="007E148E"/>
    <w:rsid w:val="007E4345"/>
    <w:rsid w:val="007F504C"/>
    <w:rsid w:val="00805031"/>
    <w:rsid w:val="00807ED0"/>
    <w:rsid w:val="00812548"/>
    <w:rsid w:val="00825F35"/>
    <w:rsid w:val="0083063E"/>
    <w:rsid w:val="0084277D"/>
    <w:rsid w:val="00843678"/>
    <w:rsid w:val="00843CD9"/>
    <w:rsid w:val="008525BE"/>
    <w:rsid w:val="00853333"/>
    <w:rsid w:val="00853DC1"/>
    <w:rsid w:val="00866B49"/>
    <w:rsid w:val="00871E98"/>
    <w:rsid w:val="00873867"/>
    <w:rsid w:val="00873A5C"/>
    <w:rsid w:val="008776D1"/>
    <w:rsid w:val="008808B4"/>
    <w:rsid w:val="00881DB1"/>
    <w:rsid w:val="008836A0"/>
    <w:rsid w:val="00891FCE"/>
    <w:rsid w:val="008A686F"/>
    <w:rsid w:val="008C3188"/>
    <w:rsid w:val="008C3497"/>
    <w:rsid w:val="008E7EDF"/>
    <w:rsid w:val="008F67E8"/>
    <w:rsid w:val="0090596C"/>
    <w:rsid w:val="0091478B"/>
    <w:rsid w:val="00924279"/>
    <w:rsid w:val="009431AE"/>
    <w:rsid w:val="00945900"/>
    <w:rsid w:val="00951D84"/>
    <w:rsid w:val="00953210"/>
    <w:rsid w:val="00962251"/>
    <w:rsid w:val="00974577"/>
    <w:rsid w:val="0098174A"/>
    <w:rsid w:val="0098204E"/>
    <w:rsid w:val="00982102"/>
    <w:rsid w:val="00982184"/>
    <w:rsid w:val="00984737"/>
    <w:rsid w:val="009915F5"/>
    <w:rsid w:val="009B0B88"/>
    <w:rsid w:val="009B4FEB"/>
    <w:rsid w:val="009B5B94"/>
    <w:rsid w:val="009D5065"/>
    <w:rsid w:val="009D5136"/>
    <w:rsid w:val="009E1EFB"/>
    <w:rsid w:val="009F76E2"/>
    <w:rsid w:val="00A0172A"/>
    <w:rsid w:val="00A0275B"/>
    <w:rsid w:val="00A12E38"/>
    <w:rsid w:val="00A21828"/>
    <w:rsid w:val="00A22248"/>
    <w:rsid w:val="00A22FB8"/>
    <w:rsid w:val="00A30A6F"/>
    <w:rsid w:val="00A324F0"/>
    <w:rsid w:val="00A5393A"/>
    <w:rsid w:val="00A5640A"/>
    <w:rsid w:val="00A61B2E"/>
    <w:rsid w:val="00A63C54"/>
    <w:rsid w:val="00A64521"/>
    <w:rsid w:val="00A6662D"/>
    <w:rsid w:val="00A706F7"/>
    <w:rsid w:val="00A72DD6"/>
    <w:rsid w:val="00A90597"/>
    <w:rsid w:val="00A90DA5"/>
    <w:rsid w:val="00A97738"/>
    <w:rsid w:val="00AA0D41"/>
    <w:rsid w:val="00AA26CB"/>
    <w:rsid w:val="00AB7D38"/>
    <w:rsid w:val="00AC3409"/>
    <w:rsid w:val="00AD0E1F"/>
    <w:rsid w:val="00AE1C1D"/>
    <w:rsid w:val="00AE7C5C"/>
    <w:rsid w:val="00AF47AA"/>
    <w:rsid w:val="00AF495F"/>
    <w:rsid w:val="00B00B01"/>
    <w:rsid w:val="00B15404"/>
    <w:rsid w:val="00B2423D"/>
    <w:rsid w:val="00B40C33"/>
    <w:rsid w:val="00B414F6"/>
    <w:rsid w:val="00B41CCB"/>
    <w:rsid w:val="00B605C2"/>
    <w:rsid w:val="00B635EC"/>
    <w:rsid w:val="00B75F26"/>
    <w:rsid w:val="00B7605E"/>
    <w:rsid w:val="00B8786D"/>
    <w:rsid w:val="00B950C8"/>
    <w:rsid w:val="00B976CC"/>
    <w:rsid w:val="00BA1088"/>
    <w:rsid w:val="00BB1435"/>
    <w:rsid w:val="00BB2885"/>
    <w:rsid w:val="00BB5B02"/>
    <w:rsid w:val="00BB5B87"/>
    <w:rsid w:val="00BD060A"/>
    <w:rsid w:val="00BD18E7"/>
    <w:rsid w:val="00BE7629"/>
    <w:rsid w:val="00BF140F"/>
    <w:rsid w:val="00BF2053"/>
    <w:rsid w:val="00BF7A47"/>
    <w:rsid w:val="00C11417"/>
    <w:rsid w:val="00C13266"/>
    <w:rsid w:val="00C14909"/>
    <w:rsid w:val="00C165F9"/>
    <w:rsid w:val="00C32323"/>
    <w:rsid w:val="00C333AF"/>
    <w:rsid w:val="00C35E00"/>
    <w:rsid w:val="00C40BDC"/>
    <w:rsid w:val="00C47C47"/>
    <w:rsid w:val="00C52B50"/>
    <w:rsid w:val="00C54322"/>
    <w:rsid w:val="00C56D42"/>
    <w:rsid w:val="00C972F4"/>
    <w:rsid w:val="00CA4203"/>
    <w:rsid w:val="00CB0A4D"/>
    <w:rsid w:val="00CB3E6C"/>
    <w:rsid w:val="00CB60C5"/>
    <w:rsid w:val="00CD3A89"/>
    <w:rsid w:val="00CD4AFC"/>
    <w:rsid w:val="00CD5E65"/>
    <w:rsid w:val="00CE3E7D"/>
    <w:rsid w:val="00CF0348"/>
    <w:rsid w:val="00CF722D"/>
    <w:rsid w:val="00D02E2D"/>
    <w:rsid w:val="00D20C8C"/>
    <w:rsid w:val="00D210BB"/>
    <w:rsid w:val="00D34DF8"/>
    <w:rsid w:val="00D51808"/>
    <w:rsid w:val="00D576DD"/>
    <w:rsid w:val="00D61E1D"/>
    <w:rsid w:val="00D638F3"/>
    <w:rsid w:val="00D720CF"/>
    <w:rsid w:val="00D76E4A"/>
    <w:rsid w:val="00D851AD"/>
    <w:rsid w:val="00D931D5"/>
    <w:rsid w:val="00D93460"/>
    <w:rsid w:val="00DC0ABA"/>
    <w:rsid w:val="00DD238B"/>
    <w:rsid w:val="00DD7A07"/>
    <w:rsid w:val="00DE5E5F"/>
    <w:rsid w:val="00E214BA"/>
    <w:rsid w:val="00E2233D"/>
    <w:rsid w:val="00E24690"/>
    <w:rsid w:val="00E448E0"/>
    <w:rsid w:val="00E46D35"/>
    <w:rsid w:val="00E51A67"/>
    <w:rsid w:val="00E531CD"/>
    <w:rsid w:val="00E702F4"/>
    <w:rsid w:val="00E7093B"/>
    <w:rsid w:val="00E72385"/>
    <w:rsid w:val="00E73D8F"/>
    <w:rsid w:val="00E743C6"/>
    <w:rsid w:val="00E8718E"/>
    <w:rsid w:val="00E93818"/>
    <w:rsid w:val="00EA6EF1"/>
    <w:rsid w:val="00EB1005"/>
    <w:rsid w:val="00EB740E"/>
    <w:rsid w:val="00EB7881"/>
    <w:rsid w:val="00EC09B7"/>
    <w:rsid w:val="00EC4F97"/>
    <w:rsid w:val="00ED402E"/>
    <w:rsid w:val="00ED56A4"/>
    <w:rsid w:val="00ED6468"/>
    <w:rsid w:val="00ED7CD5"/>
    <w:rsid w:val="00EF3322"/>
    <w:rsid w:val="00F0322C"/>
    <w:rsid w:val="00F17801"/>
    <w:rsid w:val="00F260FA"/>
    <w:rsid w:val="00F42B26"/>
    <w:rsid w:val="00F50851"/>
    <w:rsid w:val="00F55591"/>
    <w:rsid w:val="00F562AA"/>
    <w:rsid w:val="00F57A05"/>
    <w:rsid w:val="00F62C79"/>
    <w:rsid w:val="00F6450F"/>
    <w:rsid w:val="00F656D4"/>
    <w:rsid w:val="00F83CEA"/>
    <w:rsid w:val="00F87B60"/>
    <w:rsid w:val="00FA6E5A"/>
    <w:rsid w:val="00FE41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rules v:ext="edit">
        <o:r id="V:Rule1" type="connector" idref="#_x0000_s2079"/>
        <o:r id="V:Rule2" type="connector" idref="#_x0000_s2078"/>
      </o:rules>
    </o:shapelayout>
  </w:shapeDefaults>
  <w:decimalSymbol w:val="."/>
  <w:listSeparator w:val=","/>
  <w14:docId w14:val="6211102B"/>
  <w15:docId w15:val="{DF1C5C4E-6708-40ED-B7A0-489AFECB1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5E"/>
  </w:style>
  <w:style w:type="paragraph" w:styleId="Heading1">
    <w:name w:val="heading 1"/>
    <w:basedOn w:val="Normal"/>
    <w:next w:val="Normal"/>
    <w:link w:val="Heading1Char"/>
    <w:uiPriority w:val="9"/>
    <w:qFormat/>
    <w:rsid w:val="008808B4"/>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0761C4"/>
    <w:pPr>
      <w:keepNext/>
      <w:keepLines/>
      <w:spacing w:after="0" w:line="240" w:lineRule="auto"/>
      <w:jc w:val="both"/>
      <w:outlineLvl w:val="1"/>
    </w:pPr>
    <w:rPr>
      <w:rFonts w:ascii="Times New Roman" w:eastAsiaTheme="majorEastAsia" w:hAnsi="Times New Roman" w:cstheme="majorBidi"/>
      <w:b/>
      <w:bCs/>
      <w:szCs w:val="26"/>
    </w:rPr>
  </w:style>
  <w:style w:type="paragraph" w:styleId="Heading3">
    <w:name w:val="heading 3"/>
    <w:basedOn w:val="Normal"/>
    <w:next w:val="Normal"/>
    <w:link w:val="Heading3Char"/>
    <w:uiPriority w:val="9"/>
    <w:unhideWhenUsed/>
    <w:qFormat/>
    <w:rsid w:val="008808B4"/>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8808B4"/>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A89"/>
  </w:style>
  <w:style w:type="paragraph" w:styleId="Footer">
    <w:name w:val="footer"/>
    <w:basedOn w:val="Normal"/>
    <w:link w:val="FooterChar"/>
    <w:uiPriority w:val="99"/>
    <w:unhideWhenUsed/>
    <w:rsid w:val="00CD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A89"/>
  </w:style>
  <w:style w:type="paragraph" w:customStyle="1" w:styleId="ReferHead">
    <w:name w:val="Refer Head"/>
    <w:basedOn w:val="Normal"/>
    <w:rsid w:val="00BB5B87"/>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98174A"/>
    <w:rPr>
      <w:color w:val="0000FF" w:themeColor="hyperlink"/>
      <w:u w:val="single"/>
    </w:rPr>
  </w:style>
  <w:style w:type="paragraph" w:styleId="BalloonText">
    <w:name w:val="Balloon Text"/>
    <w:basedOn w:val="Normal"/>
    <w:link w:val="BalloonTextChar"/>
    <w:uiPriority w:val="99"/>
    <w:semiHidden/>
    <w:unhideWhenUsed/>
    <w:rsid w:val="00EB7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40E"/>
    <w:rPr>
      <w:rFonts w:ascii="Tahoma" w:hAnsi="Tahoma" w:cs="Tahoma"/>
      <w:sz w:val="16"/>
      <w:szCs w:val="16"/>
    </w:rPr>
  </w:style>
  <w:style w:type="character" w:customStyle="1" w:styleId="Heading1Char">
    <w:name w:val="Heading 1 Char"/>
    <w:basedOn w:val="DefaultParagraphFont"/>
    <w:link w:val="Heading1"/>
    <w:uiPriority w:val="9"/>
    <w:rsid w:val="008808B4"/>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0761C4"/>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8808B4"/>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8808B4"/>
    <w:rPr>
      <w:rFonts w:ascii="Arial" w:eastAsiaTheme="majorEastAsia" w:hAnsi="Arial" w:cstheme="majorBidi"/>
      <w:b/>
      <w:bCs/>
      <w:i/>
      <w:iCs/>
      <w:sz w:val="20"/>
    </w:rPr>
  </w:style>
  <w:style w:type="paragraph" w:styleId="ListParagraph">
    <w:name w:val="List Paragraph"/>
    <w:basedOn w:val="Normal"/>
    <w:uiPriority w:val="34"/>
    <w:qFormat/>
    <w:rsid w:val="000761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59276">
      <w:bodyDiv w:val="1"/>
      <w:marLeft w:val="0"/>
      <w:marRight w:val="0"/>
      <w:marTop w:val="0"/>
      <w:marBottom w:val="0"/>
      <w:divBdr>
        <w:top w:val="none" w:sz="0" w:space="0" w:color="auto"/>
        <w:left w:val="none" w:sz="0" w:space="0" w:color="auto"/>
        <w:bottom w:val="none" w:sz="0" w:space="0" w:color="auto"/>
        <w:right w:val="none" w:sz="0" w:space="0" w:color="auto"/>
      </w:divBdr>
    </w:div>
    <w:div w:id="85200090">
      <w:bodyDiv w:val="1"/>
      <w:marLeft w:val="0"/>
      <w:marRight w:val="0"/>
      <w:marTop w:val="0"/>
      <w:marBottom w:val="0"/>
      <w:divBdr>
        <w:top w:val="none" w:sz="0" w:space="0" w:color="auto"/>
        <w:left w:val="none" w:sz="0" w:space="0" w:color="auto"/>
        <w:bottom w:val="none" w:sz="0" w:space="0" w:color="auto"/>
        <w:right w:val="none" w:sz="0" w:space="0" w:color="auto"/>
      </w:divBdr>
    </w:div>
    <w:div w:id="176189185">
      <w:bodyDiv w:val="1"/>
      <w:marLeft w:val="0"/>
      <w:marRight w:val="0"/>
      <w:marTop w:val="0"/>
      <w:marBottom w:val="0"/>
      <w:divBdr>
        <w:top w:val="none" w:sz="0" w:space="0" w:color="auto"/>
        <w:left w:val="none" w:sz="0" w:space="0" w:color="auto"/>
        <w:bottom w:val="none" w:sz="0" w:space="0" w:color="auto"/>
        <w:right w:val="none" w:sz="0" w:space="0" w:color="auto"/>
      </w:divBdr>
    </w:div>
    <w:div w:id="565188061">
      <w:bodyDiv w:val="1"/>
      <w:marLeft w:val="0"/>
      <w:marRight w:val="0"/>
      <w:marTop w:val="0"/>
      <w:marBottom w:val="0"/>
      <w:divBdr>
        <w:top w:val="none" w:sz="0" w:space="0" w:color="auto"/>
        <w:left w:val="none" w:sz="0" w:space="0" w:color="auto"/>
        <w:bottom w:val="none" w:sz="0" w:space="0" w:color="auto"/>
        <w:right w:val="none" w:sz="0" w:space="0" w:color="auto"/>
      </w:divBdr>
    </w:div>
    <w:div w:id="1003627440">
      <w:bodyDiv w:val="1"/>
      <w:marLeft w:val="0"/>
      <w:marRight w:val="0"/>
      <w:marTop w:val="0"/>
      <w:marBottom w:val="0"/>
      <w:divBdr>
        <w:top w:val="none" w:sz="0" w:space="0" w:color="auto"/>
        <w:left w:val="none" w:sz="0" w:space="0" w:color="auto"/>
        <w:bottom w:val="none" w:sz="0" w:space="0" w:color="auto"/>
        <w:right w:val="none" w:sz="0" w:space="0" w:color="auto"/>
      </w:divBdr>
    </w:div>
    <w:div w:id="1368220404">
      <w:bodyDiv w:val="1"/>
      <w:marLeft w:val="0"/>
      <w:marRight w:val="0"/>
      <w:marTop w:val="0"/>
      <w:marBottom w:val="0"/>
      <w:divBdr>
        <w:top w:val="none" w:sz="0" w:space="0" w:color="auto"/>
        <w:left w:val="none" w:sz="0" w:space="0" w:color="auto"/>
        <w:bottom w:val="none" w:sz="0" w:space="0" w:color="auto"/>
        <w:right w:val="none" w:sz="0" w:space="0" w:color="auto"/>
      </w:divBdr>
    </w:div>
    <w:div w:id="198229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CA6DB8-B3DE-4C6C-B9CF-3BC4B8FC5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8</Pages>
  <Words>2350</Words>
  <Characters>13395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Editor-022</cp:lastModifiedBy>
  <cp:revision>201</cp:revision>
  <dcterms:created xsi:type="dcterms:W3CDTF">2014-09-20T11:25:00Z</dcterms:created>
  <dcterms:modified xsi:type="dcterms:W3CDTF">2026-03-21T06:58:00Z</dcterms:modified>
</cp:coreProperties>
</file>