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4BD44" w14:textId="1F700690" w:rsidR="00754C9A" w:rsidRDefault="00E00612" w:rsidP="00441B6F">
      <w:pPr>
        <w:pStyle w:val="Title"/>
        <w:spacing w:after="0"/>
        <w:jc w:val="both"/>
        <w:rPr>
          <w:rFonts w:ascii="Arial" w:hAnsi="Arial" w:cs="Arial"/>
          <w:u w:val="single"/>
        </w:rPr>
      </w:pPr>
      <w:r w:rsidRPr="00E00612">
        <w:rPr>
          <w:rFonts w:ascii="Arial" w:hAnsi="Arial" w:cs="Arial"/>
          <w:u w:val="single"/>
        </w:rPr>
        <w:t>Case Report</w:t>
      </w:r>
    </w:p>
    <w:p w14:paraId="50D4F57A" w14:textId="77777777" w:rsidR="00E00612" w:rsidRPr="00E00612" w:rsidRDefault="00E00612" w:rsidP="00441B6F">
      <w:pPr>
        <w:pStyle w:val="Title"/>
        <w:spacing w:after="0"/>
        <w:jc w:val="both"/>
        <w:rPr>
          <w:rFonts w:ascii="Arial" w:hAnsi="Arial" w:cs="Arial"/>
          <w:u w:val="single"/>
        </w:rPr>
      </w:pPr>
    </w:p>
    <w:p w14:paraId="344BD08D" w14:textId="35DB2890" w:rsidR="00DD0E9A" w:rsidRDefault="00DD0E9A" w:rsidP="00DD0E9A">
      <w:pPr>
        <w:rPr>
          <w:rFonts w:ascii="Arial" w:hAnsi="Arial" w:cs="Arial"/>
          <w:b/>
          <w:bCs/>
          <w:sz w:val="32"/>
          <w:szCs w:val="32"/>
        </w:rPr>
      </w:pPr>
      <w:r w:rsidRPr="000C76DE">
        <w:rPr>
          <w:rFonts w:ascii="Arial" w:hAnsi="Arial" w:cs="Arial"/>
          <w:b/>
          <w:bCs/>
          <w:sz w:val="32"/>
          <w:szCs w:val="32"/>
        </w:rPr>
        <w:t>Surgical Management of a Mandibular Odontogenic Keratocyst Using Enucleation and 5-Fluorouracil: A Case Report</w:t>
      </w:r>
    </w:p>
    <w:p w14:paraId="640C384E" w14:textId="77777777" w:rsidR="00E50749" w:rsidRPr="000C76DE" w:rsidRDefault="00E50749" w:rsidP="00DD0E9A">
      <w:pPr>
        <w:rPr>
          <w:rFonts w:ascii="Arial" w:hAnsi="Arial" w:cs="Arial"/>
          <w:b/>
          <w:bCs/>
          <w:sz w:val="32"/>
          <w:szCs w:val="32"/>
        </w:rPr>
      </w:pPr>
    </w:p>
    <w:p w14:paraId="41384F42" w14:textId="77777777" w:rsidR="00790ADA" w:rsidRDefault="00790ADA" w:rsidP="00441B6F">
      <w:pPr>
        <w:pStyle w:val="Affiliation"/>
        <w:spacing w:after="0" w:line="240" w:lineRule="auto"/>
        <w:jc w:val="both"/>
        <w:rPr>
          <w:rFonts w:ascii="Arial" w:hAnsi="Arial" w:cs="Arial"/>
        </w:rPr>
      </w:pPr>
    </w:p>
    <w:p w14:paraId="28457EE7" w14:textId="77777777" w:rsidR="002C57D2" w:rsidRPr="00FB3A86" w:rsidRDefault="002C57D2" w:rsidP="00441B6F">
      <w:pPr>
        <w:pStyle w:val="Affiliation"/>
        <w:spacing w:after="0" w:line="240" w:lineRule="auto"/>
        <w:jc w:val="both"/>
        <w:rPr>
          <w:rFonts w:ascii="Arial" w:hAnsi="Arial" w:cs="Arial"/>
        </w:rPr>
      </w:pPr>
    </w:p>
    <w:p w14:paraId="0D223B4A" w14:textId="7069A9AA" w:rsidR="00B01FCD" w:rsidRPr="00FB3A86" w:rsidRDefault="00056A60" w:rsidP="00441B6F">
      <w:pPr>
        <w:pStyle w:val="Copyright"/>
        <w:spacing w:after="0" w:line="240" w:lineRule="auto"/>
        <w:jc w:val="both"/>
        <w:rPr>
          <w:rFonts w:ascii="Arial" w:hAnsi="Arial" w:cs="Arial"/>
        </w:rPr>
        <w:sectPr w:rsidR="00B01FCD" w:rsidRPr="00FB3A86" w:rsidSect="00863E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2A53BD" wp14:editId="3F1053BF">
                <wp:extent cx="5303520" cy="635"/>
                <wp:effectExtent l="11430" t="10160" r="9525" b="18415"/>
                <wp:docPr id="3039575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CFE7C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49316A" w14:textId="73AD5ACF" w:rsidR="00B01FCD" w:rsidRDefault="00B01FCD" w:rsidP="00441B6F">
      <w:pPr>
        <w:pStyle w:val="AbstHead"/>
        <w:spacing w:after="0"/>
        <w:jc w:val="both"/>
        <w:rPr>
          <w:rFonts w:ascii="Arial" w:hAnsi="Arial" w:cs="Arial"/>
        </w:rPr>
      </w:pPr>
      <w:r w:rsidRPr="00FB3A86">
        <w:rPr>
          <w:rFonts w:ascii="Arial" w:hAnsi="Arial" w:cs="Arial"/>
        </w:rPr>
        <w:t>ABSTRACT</w:t>
      </w:r>
    </w:p>
    <w:p w14:paraId="13F99D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51CE8D" w14:textId="77777777" w:rsidTr="001E44FE">
        <w:tc>
          <w:tcPr>
            <w:tcW w:w="9576" w:type="dxa"/>
            <w:shd w:val="clear" w:color="auto" w:fill="F2F2F2"/>
          </w:tcPr>
          <w:p w14:paraId="100FADB3" w14:textId="1ED373CB"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Abstract Background: Odontogenic Keratocyst (OKC) is a developmental cyst known for its locally aggressive behavior and high recurrence rates. Traditional surgical management ranges from conservative enucleation to radical resection. The use of chemical adjuvants is critical to reducing recurrence while maintaining jaw function.</w:t>
            </w:r>
            <w:r w:rsidR="00DB3A16" w:rsidRPr="00DB3A16">
              <w:rPr>
                <w:b/>
                <w:bCs/>
              </w:rPr>
              <w:t xml:space="preserve"> </w:t>
            </w:r>
          </w:p>
          <w:p w14:paraId="44877622" w14:textId="013F7C9A"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Case Report: A 34-year-old female presented with pus discharge in the lower right posterior mandible. Clinical and radiographic examination revealed a large radiolucency in the right mandible (region 41-48). Fine Needle Aspiration Cytology (FNAC) and subsequent biopsy confirmed the diagnosis of an Odontogenic Keratocyst. The patient was managed with cystic enucleation and chemical curettage using 5-Fluorouracil (5-FU) ointment.</w:t>
            </w:r>
            <w:r w:rsidR="003C7933" w:rsidRPr="00DB3A16">
              <w:rPr>
                <w:rFonts w:ascii="Times New Roman" w:hAnsi="Times New Roman"/>
                <w:b/>
                <w:bCs/>
                <w:i/>
                <w:iCs/>
                <w:sz w:val="22"/>
                <w:szCs w:val="22"/>
              </w:rPr>
              <w:t xml:space="preserve"> </w:t>
            </w:r>
            <w:r w:rsidR="003C7933" w:rsidRPr="00DB3A16">
              <w:rPr>
                <w:rFonts w:ascii="Times New Roman" w:hAnsi="Times New Roman"/>
                <w:b/>
                <w:bCs/>
                <w:i/>
                <w:iCs/>
                <w:sz w:val="22"/>
                <w:szCs w:val="22"/>
              </w:rPr>
              <w:t>Post-operative follow-up at 3 months showed satisfactory clinical healing with no neurosensory deficits. Radiographic evaluation confirmed progressive bone regeneration at the surgical site, with no evidence of recurrence.</w:t>
            </w:r>
          </w:p>
          <w:p w14:paraId="51D332D4" w14:textId="6F5D79B2" w:rsidR="00505F06" w:rsidRPr="00DD0E9A" w:rsidRDefault="00505F06" w:rsidP="00441B6F">
            <w:pPr>
              <w:pStyle w:val="Body"/>
              <w:spacing w:after="0"/>
              <w:rPr>
                <w:rFonts w:ascii="Arial" w:eastAsia="Calibri" w:hAnsi="Arial" w:cs="Arial"/>
                <w:szCs w:val="22"/>
              </w:rPr>
            </w:pPr>
          </w:p>
        </w:tc>
      </w:tr>
    </w:tbl>
    <w:p w14:paraId="136DC168" w14:textId="77777777" w:rsidR="00636EB2" w:rsidRDefault="00636EB2" w:rsidP="00441B6F">
      <w:pPr>
        <w:pStyle w:val="Body"/>
        <w:spacing w:after="0"/>
        <w:rPr>
          <w:rFonts w:ascii="Arial" w:hAnsi="Arial" w:cs="Arial"/>
          <w:i/>
        </w:rPr>
      </w:pPr>
    </w:p>
    <w:p w14:paraId="74A15F83" w14:textId="3CEF78F5" w:rsidR="00A24E7E" w:rsidRPr="00B12FAB" w:rsidRDefault="00A24E7E" w:rsidP="00B12FAB">
      <w:pPr>
        <w:rPr>
          <w:rFonts w:ascii="Times New Roman" w:hAnsi="Times New Roman"/>
          <w:b/>
          <w:bCs/>
          <w:iCs/>
          <w:sz w:val="36"/>
          <w:szCs w:val="36"/>
        </w:rPr>
      </w:pPr>
      <w:r w:rsidRPr="00B12FAB">
        <w:rPr>
          <w:rFonts w:ascii="Arial" w:hAnsi="Arial" w:cs="Arial"/>
          <w:b/>
          <w:bCs/>
          <w:iCs/>
        </w:rPr>
        <w:t xml:space="preserve">Keywords: </w:t>
      </w:r>
      <w:r w:rsidR="00B12FAB" w:rsidRPr="00B12FAB">
        <w:rPr>
          <w:rFonts w:ascii="Arial" w:hAnsi="Arial" w:cs="Arial"/>
          <w:b/>
          <w:bCs/>
          <w:iCs/>
        </w:rPr>
        <w:t>(Odontogenic Keratocyst, 5-Fluorouracil, Enucleation, Mandibular Cyst, Oral Surgery)</w:t>
      </w:r>
    </w:p>
    <w:p w14:paraId="6DDA0F49" w14:textId="77777777" w:rsidR="00790ADA" w:rsidRPr="00B12FAB" w:rsidRDefault="00790ADA" w:rsidP="00441B6F">
      <w:pPr>
        <w:pStyle w:val="Body"/>
        <w:spacing w:after="0"/>
        <w:rPr>
          <w:rFonts w:ascii="Arial" w:hAnsi="Arial" w:cs="Arial"/>
          <w:b/>
          <w:bCs/>
          <w:iCs/>
        </w:rPr>
      </w:pPr>
    </w:p>
    <w:p w14:paraId="0CF4813F" w14:textId="0053FE87" w:rsidR="00B52896" w:rsidRDefault="00B52896" w:rsidP="00441B6F">
      <w:pPr>
        <w:pStyle w:val="Body"/>
        <w:spacing w:after="0"/>
        <w:rPr>
          <w:rFonts w:ascii="Arial" w:hAnsi="Arial" w:cs="Arial"/>
          <w:i/>
          <w:sz w:val="18"/>
        </w:rPr>
      </w:pPr>
    </w:p>
    <w:p w14:paraId="28FC26BC" w14:textId="77777777" w:rsidR="00505F06" w:rsidRPr="00A24E7E" w:rsidRDefault="00505F06" w:rsidP="00441B6F">
      <w:pPr>
        <w:pStyle w:val="Body"/>
        <w:spacing w:after="0"/>
        <w:rPr>
          <w:rFonts w:ascii="Arial" w:hAnsi="Arial" w:cs="Arial"/>
          <w:i/>
        </w:rPr>
      </w:pPr>
    </w:p>
    <w:p w14:paraId="6C66CEE3" w14:textId="6FA33EF4" w:rsidR="007F7B32" w:rsidRDefault="00B01FCD" w:rsidP="00B12FAB">
      <w:pPr>
        <w:pStyle w:val="AbstHead"/>
        <w:numPr>
          <w:ilvl w:val="0"/>
          <w:numId w:val="33"/>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1CD66322" w14:textId="24CDFD70" w:rsidR="005B6B85" w:rsidRPr="005B6B85" w:rsidRDefault="005B6B85" w:rsidP="005B6B85">
      <w:pPr>
        <w:pStyle w:val="ListParagraph"/>
        <w:spacing w:before="100" w:beforeAutospacing="1" w:after="100" w:afterAutospacing="1"/>
        <w:rPr>
          <w:rFonts w:ascii="Arial" w:hAnsi="Arial" w:cs="Arial"/>
          <w:b/>
          <w:bCs/>
          <w:sz w:val="22"/>
          <w:szCs w:val="22"/>
          <w:lang w:bidi="hi-IN"/>
        </w:rPr>
      </w:pPr>
      <w:r w:rsidRPr="005B6B85">
        <w:rPr>
          <w:rFonts w:ascii="Arial" w:hAnsi="Arial" w:cs="Arial"/>
          <w:b/>
          <w:bCs/>
          <w:sz w:val="22"/>
          <w:szCs w:val="22"/>
          <w:lang w:bidi="hi-IN"/>
        </w:rPr>
        <w:t xml:space="preserve">The Odontogenic Keratocyst (OKC) is a unique entity in oral and maxillofacial surgery due to its aggressive growth and tendency to recur. OKCs often remain asymptomatic until they reach a significant size or become secondarily infected, leading to symptoms such as pain or discharge. Radiographic evaluation typically shows a well-defined radiolucency that can involve a large portion of the mandible. Accurate diagnosis relies on clinical findings, imaging, and histopathological confirmation through FNAC and </w:t>
      </w:r>
      <w:r w:rsidRPr="005B6B85">
        <w:rPr>
          <w:rFonts w:ascii="Arial" w:hAnsi="Arial" w:cs="Arial"/>
          <w:b/>
          <w:bCs/>
          <w:sz w:val="22"/>
          <w:szCs w:val="22"/>
          <w:lang w:bidi="hi-IN"/>
        </w:rPr>
        <w:t>biopsy. ⁹</w:t>
      </w:r>
    </w:p>
    <w:p w14:paraId="13B6870D" w14:textId="421A389C" w:rsidR="00B12FAB" w:rsidRPr="005B6B85" w:rsidRDefault="005B6B85" w:rsidP="005B6B85">
      <w:pPr>
        <w:pStyle w:val="ListParagraph"/>
        <w:spacing w:before="100" w:beforeAutospacing="1" w:after="100" w:afterAutospacing="1"/>
        <w:rPr>
          <w:rFonts w:ascii="Arial" w:hAnsi="Arial" w:cs="Arial"/>
          <w:b/>
          <w:bCs/>
          <w:sz w:val="22"/>
          <w:szCs w:val="22"/>
          <w:lang w:bidi="hi-IN"/>
        </w:rPr>
      </w:pPr>
      <w:r w:rsidRPr="005B6B85">
        <w:rPr>
          <w:rFonts w:ascii="Arial" w:hAnsi="Arial" w:cs="Arial"/>
          <w:b/>
          <w:bCs/>
          <w:sz w:val="22"/>
          <w:szCs w:val="22"/>
          <w:lang w:bidi="hi-IN"/>
        </w:rPr>
        <w:t xml:space="preserve">The primary challenge in treating OKCs is the elimination of satellite or "daughter" cysts in the cyst wall, which are responsible for high recurrence rates.¹ Historically, Carnoy’s solution was the gold standard for chemical curettage; however, its neurotoxic effects have led surgeons to seek safer alternatives.⁴ Recent clinical evidence supports </w:t>
      </w:r>
      <w:r w:rsidRPr="005B6B85">
        <w:rPr>
          <w:rFonts w:ascii="Arial" w:hAnsi="Arial" w:cs="Arial"/>
          <w:b/>
          <w:bCs/>
          <w:sz w:val="22"/>
          <w:szCs w:val="22"/>
          <w:lang w:bidi="hi-IN"/>
        </w:rPr>
        <w:lastRenderedPageBreak/>
        <w:t>the use of 5-Fluorouracil (5-FU) as a topical antimetabolite that effectively targets residual epithelial cells with significantly less morbidity and risk of nerve injury.²</w:t>
      </w:r>
      <w:r w:rsidRPr="005B6B85">
        <w:rPr>
          <w:rFonts w:ascii="Arial" w:hAnsi="Arial" w:cs="Arial"/>
          <w:b/>
          <w:bCs/>
          <w:sz w:val="22"/>
          <w:szCs w:val="22"/>
          <w:vertAlign w:val="superscript"/>
          <w:lang w:bidi="hi-IN"/>
        </w:rPr>
        <w:t>,</w:t>
      </w:r>
      <w:r w:rsidRPr="005B6B85">
        <w:rPr>
          <w:rFonts w:ascii="Arial" w:hAnsi="Arial" w:cs="Arial"/>
          <w:b/>
          <w:bCs/>
          <w:sz w:val="22"/>
          <w:szCs w:val="22"/>
          <w:lang w:bidi="hi-IN"/>
        </w:rPr>
        <w:t>⁵</w:t>
      </w:r>
    </w:p>
    <w:p w14:paraId="031BB05B" w14:textId="0859CAC1" w:rsidR="00B12FAB" w:rsidRDefault="00B12FAB" w:rsidP="00B12FAB">
      <w:pPr>
        <w:pStyle w:val="AbstHead"/>
        <w:spacing w:after="0"/>
        <w:ind w:left="720"/>
        <w:jc w:val="both"/>
        <w:rPr>
          <w:rFonts w:ascii="Arial" w:hAnsi="Arial" w:cs="Arial"/>
        </w:rPr>
      </w:pPr>
    </w:p>
    <w:p w14:paraId="777C6F4A" w14:textId="77777777" w:rsidR="00DA357C" w:rsidRPr="00DA357C" w:rsidRDefault="00000000" w:rsidP="00DA357C">
      <w:pPr>
        <w:rPr>
          <w:rFonts w:ascii="Arial" w:hAnsi="Arial" w:cs="Arial"/>
          <w:b/>
          <w:bCs/>
          <w:sz w:val="22"/>
          <w:szCs w:val="22"/>
        </w:rPr>
      </w:pPr>
      <w:r>
        <w:rPr>
          <w:rFonts w:ascii="Arial" w:hAnsi="Arial" w:cs="Arial"/>
          <w:b/>
          <w:bCs/>
          <w:sz w:val="22"/>
          <w:szCs w:val="22"/>
        </w:rPr>
        <w:pict w14:anchorId="3A4D0243">
          <v:rect id="_x0000_i1025" style="width:0;height:1.5pt" o:hralign="center" o:hrstd="t" o:hr="t" fillcolor="#a0a0a0" stroked="f"/>
        </w:pict>
      </w:r>
    </w:p>
    <w:p w14:paraId="42F15788" w14:textId="03854D25" w:rsidR="00DA357C" w:rsidRPr="001761AA"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4"/>
          <w:szCs w:val="24"/>
        </w:rPr>
        <w:t xml:space="preserve">Case </w:t>
      </w:r>
      <w:r w:rsidR="00E00612">
        <w:rPr>
          <w:rFonts w:ascii="Arial" w:hAnsi="Arial" w:cs="Arial"/>
          <w:b/>
          <w:bCs/>
          <w:sz w:val="24"/>
          <w:szCs w:val="24"/>
        </w:rPr>
        <w:t>Presentation</w:t>
      </w:r>
    </w:p>
    <w:p w14:paraId="57D23493" w14:textId="550F20B0" w:rsidR="001761AA" w:rsidRPr="001761AA" w:rsidRDefault="001761AA" w:rsidP="001761AA">
      <w:pPr>
        <w:spacing w:before="100" w:beforeAutospacing="1" w:after="100" w:afterAutospacing="1"/>
        <w:rPr>
          <w:rFonts w:ascii="Arial" w:hAnsi="Arial" w:cs="Arial"/>
          <w:b/>
          <w:bCs/>
          <w:sz w:val="24"/>
          <w:szCs w:val="24"/>
          <w:lang w:bidi="hi-IN"/>
        </w:rPr>
      </w:pPr>
      <w:r w:rsidRPr="001761AA">
        <w:rPr>
          <w:rFonts w:ascii="Arial" w:hAnsi="Arial" w:cs="Arial"/>
          <w:b/>
          <w:bCs/>
          <w:sz w:val="24"/>
          <w:szCs w:val="24"/>
          <w:lang w:bidi="hi-IN"/>
        </w:rPr>
        <w:t xml:space="preserve"> </w:t>
      </w:r>
      <w:r w:rsidRPr="001761AA">
        <w:rPr>
          <w:rFonts w:ascii="Arial" w:hAnsi="Arial" w:cs="Arial"/>
          <w:b/>
          <w:bCs/>
          <w:sz w:val="24"/>
          <w:szCs w:val="24"/>
          <w:lang w:bidi="hi-IN"/>
        </w:rPr>
        <w:t xml:space="preserve">A 34-year-old female patient presented to the </w:t>
      </w:r>
      <w:r w:rsidR="003C7933">
        <w:rPr>
          <w:rFonts w:ascii="Arial" w:hAnsi="Arial" w:cs="Arial"/>
          <w:b/>
          <w:bCs/>
          <w:sz w:val="24"/>
          <w:szCs w:val="24"/>
          <w:lang w:bidi="hi-IN"/>
        </w:rPr>
        <w:t xml:space="preserve">department of Oral and Maxillofacial surgery Pacific Dental College and Hospital, Udaipur, </w:t>
      </w:r>
      <w:proofErr w:type="spellStart"/>
      <w:proofErr w:type="gramStart"/>
      <w:r w:rsidR="003C7933">
        <w:rPr>
          <w:rFonts w:ascii="Arial" w:hAnsi="Arial" w:cs="Arial"/>
          <w:b/>
          <w:bCs/>
          <w:sz w:val="24"/>
          <w:szCs w:val="24"/>
          <w:lang w:bidi="hi-IN"/>
        </w:rPr>
        <w:t>Rajasthan,India</w:t>
      </w:r>
      <w:proofErr w:type="spellEnd"/>
      <w:proofErr w:type="gramEnd"/>
      <w:r w:rsidRPr="001761AA">
        <w:rPr>
          <w:rFonts w:ascii="Arial" w:hAnsi="Arial" w:cs="Arial"/>
          <w:b/>
          <w:bCs/>
          <w:sz w:val="24"/>
          <w:szCs w:val="24"/>
          <w:lang w:bidi="hi-IN"/>
        </w:rPr>
        <w:t xml:space="preserve"> with a chief complaint of pus discharge in her lower right back tooth region for one month. Her medical and personal histories were non-contributory.</w:t>
      </w:r>
    </w:p>
    <w:p w14:paraId="3637D487" w14:textId="1F49C4E2" w:rsidR="001761AA" w:rsidRPr="001761AA" w:rsidRDefault="001761AA" w:rsidP="001761AA">
      <w:pPr>
        <w:spacing w:before="100" w:beforeAutospacing="1" w:after="100" w:afterAutospacing="1"/>
        <w:rPr>
          <w:rFonts w:ascii="Arial" w:hAnsi="Arial" w:cs="Arial"/>
          <w:b/>
          <w:bCs/>
          <w:sz w:val="24"/>
          <w:szCs w:val="24"/>
          <w:lang w:bidi="hi-IN"/>
        </w:rPr>
      </w:pPr>
      <w:r w:rsidRPr="001761AA">
        <w:rPr>
          <w:rFonts w:ascii="Arial" w:hAnsi="Arial" w:cs="Arial"/>
          <w:b/>
          <w:bCs/>
          <w:sz w:val="24"/>
          <w:szCs w:val="24"/>
          <w:lang w:bidi="hi-IN"/>
        </w:rPr>
        <w:t xml:space="preserve">Clinical examination and a preoperative Orthopantomogram (OPG) </w:t>
      </w:r>
      <w:r>
        <w:rPr>
          <w:rFonts w:ascii="Arial" w:hAnsi="Arial" w:cs="Arial"/>
          <w:b/>
          <w:bCs/>
          <w:sz w:val="24"/>
          <w:szCs w:val="24"/>
          <w:lang w:bidi="hi-IN"/>
        </w:rPr>
        <w:t xml:space="preserve">as given in </w:t>
      </w:r>
      <w:r w:rsidRPr="001761AA">
        <w:rPr>
          <w:rFonts w:ascii="Arial" w:hAnsi="Arial" w:cs="Arial"/>
          <w:b/>
          <w:bCs/>
          <w:sz w:val="24"/>
          <w:szCs w:val="24"/>
          <w:lang w:bidi="hi-IN"/>
        </w:rPr>
        <w:t xml:space="preserve">Figure 1 revealed a well-defined radiolucency in the right mandible extending from the 32 to 48 region, associated with impacted teeth 33 and 43. Cone Beam Computed Tomography (CBCT) </w:t>
      </w:r>
      <w:r>
        <w:rPr>
          <w:rFonts w:ascii="Arial" w:hAnsi="Arial" w:cs="Arial"/>
          <w:b/>
          <w:bCs/>
          <w:sz w:val="24"/>
          <w:szCs w:val="24"/>
          <w:lang w:bidi="hi-IN"/>
        </w:rPr>
        <w:t xml:space="preserve">as given in </w:t>
      </w:r>
      <w:r w:rsidRPr="001761AA">
        <w:rPr>
          <w:rFonts w:ascii="Arial" w:hAnsi="Arial" w:cs="Arial"/>
          <w:b/>
          <w:bCs/>
          <w:sz w:val="24"/>
          <w:szCs w:val="24"/>
          <w:lang w:bidi="hi-IN"/>
        </w:rPr>
        <w:t xml:space="preserve">Figure 2 further revealed bone resorption in the 43-48 region. The axial view </w:t>
      </w:r>
      <w:r>
        <w:rPr>
          <w:rFonts w:ascii="Arial" w:hAnsi="Arial" w:cs="Arial"/>
          <w:b/>
          <w:bCs/>
          <w:sz w:val="24"/>
          <w:szCs w:val="24"/>
          <w:lang w:bidi="hi-IN"/>
        </w:rPr>
        <w:t xml:space="preserve">as given in </w:t>
      </w:r>
      <w:r w:rsidRPr="001761AA">
        <w:rPr>
          <w:rFonts w:ascii="Arial" w:hAnsi="Arial" w:cs="Arial"/>
          <w:b/>
          <w:bCs/>
          <w:sz w:val="24"/>
          <w:szCs w:val="24"/>
          <w:lang w:bidi="hi-IN"/>
        </w:rPr>
        <w:t>Figure 3</w:t>
      </w:r>
      <w:r>
        <w:rPr>
          <w:rFonts w:ascii="Arial" w:hAnsi="Arial" w:cs="Arial"/>
          <w:b/>
          <w:bCs/>
          <w:sz w:val="24"/>
          <w:szCs w:val="24"/>
          <w:lang w:bidi="hi-IN"/>
        </w:rPr>
        <w:t xml:space="preserve"> </w:t>
      </w:r>
      <w:r w:rsidRPr="001761AA">
        <w:rPr>
          <w:rFonts w:ascii="Arial" w:hAnsi="Arial" w:cs="Arial"/>
          <w:b/>
          <w:bCs/>
          <w:sz w:val="24"/>
          <w:szCs w:val="24"/>
          <w:lang w:bidi="hi-IN"/>
        </w:rPr>
        <w:t xml:space="preserve">showed mild </w:t>
      </w:r>
      <w:r w:rsidRPr="001761AA">
        <w:rPr>
          <w:rFonts w:ascii="Arial" w:hAnsi="Arial" w:cs="Arial"/>
          <w:b/>
          <w:bCs/>
          <w:sz w:val="24"/>
          <w:szCs w:val="24"/>
          <w:lang w:bidi="hi-IN"/>
        </w:rPr>
        <w:t>Bucco</w:t>
      </w:r>
      <w:r w:rsidRPr="001761AA">
        <w:rPr>
          <w:rFonts w:ascii="Arial" w:hAnsi="Arial" w:cs="Arial"/>
          <w:b/>
          <w:bCs/>
          <w:sz w:val="24"/>
          <w:szCs w:val="24"/>
          <w:lang w:bidi="hi-IN"/>
        </w:rPr>
        <w:t xml:space="preserve">-lingual expansion of the bone. Fine Needle Aspiration Cytology (FNAC) and an initial biopsy report </w:t>
      </w:r>
      <w:r>
        <w:rPr>
          <w:rFonts w:ascii="Arial" w:hAnsi="Arial" w:cs="Arial"/>
          <w:b/>
          <w:bCs/>
          <w:sz w:val="24"/>
          <w:szCs w:val="24"/>
          <w:lang w:bidi="hi-IN"/>
        </w:rPr>
        <w:t xml:space="preserve">as given in </w:t>
      </w:r>
      <w:r w:rsidRPr="001761AA">
        <w:rPr>
          <w:rFonts w:ascii="Arial" w:hAnsi="Arial" w:cs="Arial"/>
          <w:b/>
          <w:bCs/>
          <w:sz w:val="24"/>
          <w:szCs w:val="24"/>
          <w:lang w:bidi="hi-IN"/>
        </w:rPr>
        <w:t>Figure 4</w:t>
      </w:r>
      <w:r>
        <w:rPr>
          <w:rFonts w:ascii="Arial" w:hAnsi="Arial" w:cs="Arial"/>
          <w:b/>
          <w:bCs/>
          <w:sz w:val="24"/>
          <w:szCs w:val="24"/>
          <w:lang w:bidi="hi-IN"/>
        </w:rPr>
        <w:t xml:space="preserve"> </w:t>
      </w:r>
      <w:r w:rsidRPr="001761AA">
        <w:rPr>
          <w:rFonts w:ascii="Arial" w:hAnsi="Arial" w:cs="Arial"/>
          <w:b/>
          <w:bCs/>
          <w:sz w:val="24"/>
          <w:szCs w:val="24"/>
          <w:lang w:bidi="hi-IN"/>
        </w:rPr>
        <w:t xml:space="preserve">suggested a </w:t>
      </w:r>
      <w:r w:rsidRPr="001761AA">
        <w:rPr>
          <w:rFonts w:ascii="Arial" w:hAnsi="Arial" w:cs="Arial"/>
          <w:b/>
          <w:bCs/>
          <w:sz w:val="24"/>
          <w:szCs w:val="24"/>
          <w:lang w:bidi="hi-IN"/>
        </w:rPr>
        <w:t>Keratinized</w:t>
      </w:r>
      <w:r w:rsidRPr="001761AA">
        <w:rPr>
          <w:rFonts w:ascii="Arial" w:hAnsi="Arial" w:cs="Arial"/>
          <w:b/>
          <w:bCs/>
          <w:sz w:val="24"/>
          <w:szCs w:val="24"/>
          <w:lang w:bidi="hi-IN"/>
        </w:rPr>
        <w:t xml:space="preserve"> Odontogenic cyst.</w:t>
      </w:r>
    </w:p>
    <w:p w14:paraId="16E112D1" w14:textId="631CAB45" w:rsidR="001761AA" w:rsidRPr="001761AA" w:rsidRDefault="001761AA" w:rsidP="001761AA">
      <w:pPr>
        <w:spacing w:before="100" w:beforeAutospacing="1" w:after="100" w:afterAutospacing="1"/>
        <w:rPr>
          <w:rFonts w:ascii="Arial" w:hAnsi="Arial" w:cs="Arial"/>
          <w:b/>
          <w:bCs/>
          <w:sz w:val="24"/>
          <w:szCs w:val="24"/>
          <w:lang w:bidi="hi-IN"/>
        </w:rPr>
      </w:pPr>
      <w:r w:rsidRPr="001761AA">
        <w:rPr>
          <w:rFonts w:ascii="Arial" w:hAnsi="Arial" w:cs="Arial"/>
          <w:b/>
          <w:bCs/>
          <w:sz w:val="24"/>
          <w:szCs w:val="24"/>
          <w:lang w:bidi="hi-IN"/>
        </w:rPr>
        <w:t>The surgical procedure was performed under local anesthesia. A crevicular</w:t>
      </w:r>
      <w:r w:rsidRPr="001761AA">
        <w:rPr>
          <w:rFonts w:ascii="Arial" w:hAnsi="Arial" w:cs="Arial"/>
          <w:b/>
          <w:bCs/>
          <w:sz w:val="24"/>
          <w:szCs w:val="24"/>
          <w:lang w:bidi="hi-IN"/>
        </w:rPr>
        <w:t xml:space="preserve"> </w:t>
      </w:r>
      <w:r w:rsidRPr="001761AA">
        <w:rPr>
          <w:rFonts w:ascii="Arial" w:hAnsi="Arial" w:cs="Arial"/>
          <w:b/>
          <w:bCs/>
          <w:sz w:val="24"/>
          <w:szCs w:val="24"/>
          <w:lang w:bidi="hi-IN"/>
        </w:rPr>
        <w:t xml:space="preserve">incision was made, supplemented by an anterior releasing incision from the 41 </w:t>
      </w:r>
      <w:proofErr w:type="gramStart"/>
      <w:r w:rsidRPr="001761AA">
        <w:rPr>
          <w:rFonts w:ascii="Arial" w:hAnsi="Arial" w:cs="Arial"/>
          <w:b/>
          <w:bCs/>
          <w:sz w:val="24"/>
          <w:szCs w:val="24"/>
          <w:lang w:bidi="hi-IN"/>
        </w:rPr>
        <w:t>region</w:t>
      </w:r>
      <w:proofErr w:type="gramEnd"/>
      <w:r w:rsidRPr="001761AA">
        <w:rPr>
          <w:rFonts w:ascii="Arial" w:hAnsi="Arial" w:cs="Arial"/>
          <w:b/>
          <w:bCs/>
          <w:sz w:val="24"/>
          <w:szCs w:val="24"/>
          <w:lang w:bidi="hi-IN"/>
        </w:rPr>
        <w:t xml:space="preserve"> </w:t>
      </w:r>
      <w:r>
        <w:rPr>
          <w:rFonts w:ascii="Arial" w:hAnsi="Arial" w:cs="Arial"/>
          <w:b/>
          <w:bCs/>
          <w:sz w:val="24"/>
          <w:szCs w:val="24"/>
          <w:lang w:bidi="hi-IN"/>
        </w:rPr>
        <w:t xml:space="preserve">as given in </w:t>
      </w:r>
      <w:r w:rsidRPr="001761AA">
        <w:rPr>
          <w:rFonts w:ascii="Arial" w:hAnsi="Arial" w:cs="Arial"/>
          <w:b/>
          <w:bCs/>
          <w:sz w:val="24"/>
          <w:szCs w:val="24"/>
          <w:lang w:bidi="hi-IN"/>
        </w:rPr>
        <w:t>Figure 5. A mucoperiosteal flap was elevated to expose the site of pathology</w:t>
      </w:r>
      <w:r>
        <w:rPr>
          <w:rFonts w:ascii="Arial" w:hAnsi="Arial" w:cs="Arial"/>
          <w:b/>
          <w:bCs/>
          <w:sz w:val="24"/>
          <w:szCs w:val="24"/>
          <w:lang w:bidi="hi-IN"/>
        </w:rPr>
        <w:t xml:space="preserve"> as given in</w:t>
      </w:r>
      <w:r w:rsidRPr="001761AA">
        <w:rPr>
          <w:rFonts w:ascii="Arial" w:hAnsi="Arial" w:cs="Arial"/>
          <w:b/>
          <w:bCs/>
          <w:sz w:val="24"/>
          <w:szCs w:val="24"/>
          <w:lang w:bidi="hi-IN"/>
        </w:rPr>
        <w:t xml:space="preserve"> Figure 6. Surgical enucleation of the cyst was performed, and the bony socket was thoroughly irrigated </w:t>
      </w:r>
      <w:r>
        <w:rPr>
          <w:rFonts w:ascii="Arial" w:hAnsi="Arial" w:cs="Arial"/>
          <w:b/>
          <w:bCs/>
          <w:sz w:val="24"/>
          <w:szCs w:val="24"/>
          <w:lang w:bidi="hi-IN"/>
        </w:rPr>
        <w:t xml:space="preserve">as given in </w:t>
      </w:r>
      <w:r w:rsidRPr="001761AA">
        <w:rPr>
          <w:rFonts w:ascii="Arial" w:hAnsi="Arial" w:cs="Arial"/>
          <w:b/>
          <w:bCs/>
          <w:sz w:val="24"/>
          <w:szCs w:val="24"/>
          <w:lang w:bidi="hi-IN"/>
        </w:rPr>
        <w:t xml:space="preserve">Figure 7. Chemical cauterization was initially performed with Carnoy’s solution </w:t>
      </w:r>
      <w:r>
        <w:rPr>
          <w:rFonts w:ascii="Arial" w:hAnsi="Arial" w:cs="Arial"/>
          <w:b/>
          <w:bCs/>
          <w:sz w:val="24"/>
          <w:szCs w:val="24"/>
          <w:lang w:bidi="hi-IN"/>
        </w:rPr>
        <w:t xml:space="preserve">as given in </w:t>
      </w:r>
      <w:r w:rsidRPr="001761AA">
        <w:rPr>
          <w:rFonts w:ascii="Arial" w:hAnsi="Arial" w:cs="Arial"/>
          <w:b/>
          <w:bCs/>
          <w:sz w:val="24"/>
          <w:szCs w:val="24"/>
          <w:lang w:bidi="hi-IN"/>
        </w:rPr>
        <w:t>Figure 8.</w:t>
      </w:r>
    </w:p>
    <w:p w14:paraId="539B923F" w14:textId="6BFC9FB3" w:rsidR="001761AA" w:rsidRPr="001761AA" w:rsidRDefault="001761AA" w:rsidP="001761AA">
      <w:pPr>
        <w:spacing w:before="100" w:beforeAutospacing="1" w:after="100" w:afterAutospacing="1"/>
        <w:rPr>
          <w:rFonts w:ascii="Arial" w:hAnsi="Arial" w:cs="Arial"/>
          <w:b/>
          <w:bCs/>
          <w:sz w:val="24"/>
          <w:szCs w:val="24"/>
          <w:lang w:bidi="hi-IN"/>
        </w:rPr>
      </w:pPr>
      <w:r w:rsidRPr="001761AA">
        <w:rPr>
          <w:rFonts w:ascii="Arial" w:hAnsi="Arial" w:cs="Arial"/>
          <w:b/>
          <w:bCs/>
          <w:sz w:val="24"/>
          <w:szCs w:val="24"/>
          <w:lang w:bidi="hi-IN"/>
        </w:rPr>
        <w:t xml:space="preserve">To further minimize the risk of recurrence, 5-Fluorouracil (5-FU) ointment </w:t>
      </w:r>
      <w:r>
        <w:rPr>
          <w:rFonts w:ascii="Arial" w:hAnsi="Arial" w:cs="Arial"/>
          <w:b/>
          <w:bCs/>
          <w:sz w:val="24"/>
          <w:szCs w:val="24"/>
          <w:lang w:bidi="hi-IN"/>
        </w:rPr>
        <w:t xml:space="preserve">as given in </w:t>
      </w:r>
      <w:r w:rsidRPr="001761AA">
        <w:rPr>
          <w:rFonts w:ascii="Arial" w:hAnsi="Arial" w:cs="Arial"/>
          <w:b/>
          <w:bCs/>
          <w:sz w:val="24"/>
          <w:szCs w:val="24"/>
          <w:lang w:bidi="hi-IN"/>
        </w:rPr>
        <w:t>Figure 9</w:t>
      </w:r>
      <w:r>
        <w:rPr>
          <w:rFonts w:ascii="Arial" w:hAnsi="Arial" w:cs="Arial"/>
          <w:b/>
          <w:bCs/>
          <w:sz w:val="24"/>
          <w:szCs w:val="24"/>
          <w:lang w:bidi="hi-IN"/>
        </w:rPr>
        <w:t xml:space="preserve"> </w:t>
      </w:r>
      <w:r w:rsidRPr="001761AA">
        <w:rPr>
          <w:rFonts w:ascii="Arial" w:hAnsi="Arial" w:cs="Arial"/>
          <w:b/>
          <w:bCs/>
          <w:sz w:val="24"/>
          <w:szCs w:val="24"/>
          <w:lang w:bidi="hi-IN"/>
        </w:rPr>
        <w:t xml:space="preserve">was applied. A 5-FU coated gauze was packed into the bony cavity </w:t>
      </w:r>
      <w:r>
        <w:rPr>
          <w:rFonts w:ascii="Arial" w:hAnsi="Arial" w:cs="Arial"/>
          <w:b/>
          <w:bCs/>
          <w:sz w:val="24"/>
          <w:szCs w:val="24"/>
          <w:lang w:bidi="hi-IN"/>
        </w:rPr>
        <w:t xml:space="preserve">as given in </w:t>
      </w:r>
      <w:r w:rsidRPr="001761AA">
        <w:rPr>
          <w:rFonts w:ascii="Arial" w:hAnsi="Arial" w:cs="Arial"/>
          <w:b/>
          <w:bCs/>
          <w:sz w:val="24"/>
          <w:szCs w:val="24"/>
          <w:lang w:bidi="hi-IN"/>
        </w:rPr>
        <w:t>Figure 10</w:t>
      </w:r>
      <w:r>
        <w:rPr>
          <w:rFonts w:ascii="Arial" w:hAnsi="Arial" w:cs="Arial"/>
          <w:b/>
          <w:bCs/>
          <w:sz w:val="24"/>
          <w:szCs w:val="24"/>
          <w:lang w:bidi="hi-IN"/>
        </w:rPr>
        <w:t xml:space="preserve"> </w:t>
      </w:r>
      <w:r w:rsidRPr="001761AA">
        <w:rPr>
          <w:rFonts w:ascii="Arial" w:hAnsi="Arial" w:cs="Arial"/>
          <w:b/>
          <w:bCs/>
          <w:sz w:val="24"/>
          <w:szCs w:val="24"/>
          <w:lang w:bidi="hi-IN"/>
        </w:rPr>
        <w:t xml:space="preserve">for a duration of 24 hours. Interdental sutures were then placed from the 41 to 48 </w:t>
      </w:r>
      <w:proofErr w:type="gramStart"/>
      <w:r w:rsidRPr="001761AA">
        <w:rPr>
          <w:rFonts w:ascii="Arial" w:hAnsi="Arial" w:cs="Arial"/>
          <w:b/>
          <w:bCs/>
          <w:sz w:val="24"/>
          <w:szCs w:val="24"/>
          <w:lang w:bidi="hi-IN"/>
        </w:rPr>
        <w:t>region</w:t>
      </w:r>
      <w:proofErr w:type="gramEnd"/>
      <w:r w:rsidRPr="001761AA">
        <w:rPr>
          <w:rFonts w:ascii="Arial" w:hAnsi="Arial" w:cs="Arial"/>
          <w:b/>
          <w:bCs/>
          <w:sz w:val="24"/>
          <w:szCs w:val="24"/>
          <w:lang w:bidi="hi-IN"/>
        </w:rPr>
        <w:t xml:space="preserve"> </w:t>
      </w:r>
      <w:r>
        <w:rPr>
          <w:rFonts w:ascii="Arial" w:hAnsi="Arial" w:cs="Arial"/>
          <w:b/>
          <w:bCs/>
          <w:sz w:val="24"/>
          <w:szCs w:val="24"/>
          <w:lang w:bidi="hi-IN"/>
        </w:rPr>
        <w:t xml:space="preserve">as given in </w:t>
      </w:r>
      <w:r w:rsidRPr="001761AA">
        <w:rPr>
          <w:rFonts w:ascii="Arial" w:hAnsi="Arial" w:cs="Arial"/>
          <w:b/>
          <w:bCs/>
          <w:sz w:val="24"/>
          <w:szCs w:val="24"/>
          <w:lang w:bidi="hi-IN"/>
        </w:rPr>
        <w:t>Figure 11</w:t>
      </w:r>
      <w:r>
        <w:rPr>
          <w:rFonts w:ascii="Arial" w:hAnsi="Arial" w:cs="Arial"/>
          <w:b/>
          <w:bCs/>
          <w:sz w:val="24"/>
          <w:szCs w:val="24"/>
          <w:lang w:bidi="hi-IN"/>
        </w:rPr>
        <w:t>.</w:t>
      </w:r>
      <w:r w:rsidRPr="001761AA">
        <w:rPr>
          <w:rFonts w:ascii="Arial" w:hAnsi="Arial" w:cs="Arial"/>
          <w:b/>
          <w:bCs/>
          <w:sz w:val="24"/>
          <w:szCs w:val="24"/>
          <w:lang w:bidi="hi-IN"/>
        </w:rPr>
        <w:t xml:space="preserve"> The surgical specimen, measuring 2x2 cm </w:t>
      </w:r>
      <w:r>
        <w:rPr>
          <w:rFonts w:ascii="Arial" w:hAnsi="Arial" w:cs="Arial"/>
          <w:b/>
          <w:bCs/>
          <w:sz w:val="24"/>
          <w:szCs w:val="24"/>
          <w:lang w:bidi="hi-IN"/>
        </w:rPr>
        <w:t xml:space="preserve">as given in </w:t>
      </w:r>
      <w:r w:rsidRPr="001761AA">
        <w:rPr>
          <w:rFonts w:ascii="Arial" w:hAnsi="Arial" w:cs="Arial"/>
          <w:b/>
          <w:bCs/>
          <w:sz w:val="24"/>
          <w:szCs w:val="24"/>
          <w:lang w:bidi="hi-IN"/>
        </w:rPr>
        <w:t xml:space="preserve">Figure 12, was sent for a formal histopathological examination. The final biopsy report </w:t>
      </w:r>
      <w:r>
        <w:rPr>
          <w:rFonts w:ascii="Arial" w:hAnsi="Arial" w:cs="Arial"/>
          <w:b/>
          <w:bCs/>
          <w:sz w:val="24"/>
          <w:szCs w:val="24"/>
          <w:lang w:bidi="hi-IN"/>
        </w:rPr>
        <w:t xml:space="preserve">as given in </w:t>
      </w:r>
      <w:r w:rsidRPr="001761AA">
        <w:rPr>
          <w:rFonts w:ascii="Arial" w:hAnsi="Arial" w:cs="Arial"/>
          <w:b/>
          <w:bCs/>
          <w:sz w:val="24"/>
          <w:szCs w:val="24"/>
          <w:lang w:bidi="hi-IN"/>
        </w:rPr>
        <w:t xml:space="preserve">Figure 13 confirmed the diagnosis of an Odontogenic Keratocyst. To manage the large defect and facilitate healing, an obturator was fabricated and placed </w:t>
      </w:r>
      <w:r>
        <w:rPr>
          <w:rFonts w:ascii="Arial" w:hAnsi="Arial" w:cs="Arial"/>
          <w:b/>
          <w:bCs/>
          <w:sz w:val="24"/>
          <w:szCs w:val="24"/>
          <w:lang w:bidi="hi-IN"/>
        </w:rPr>
        <w:t xml:space="preserve">as given in </w:t>
      </w:r>
      <w:r w:rsidRPr="001761AA">
        <w:rPr>
          <w:rFonts w:ascii="Arial" w:hAnsi="Arial" w:cs="Arial"/>
          <w:b/>
          <w:bCs/>
          <w:sz w:val="24"/>
          <w:szCs w:val="24"/>
          <w:lang w:bidi="hi-IN"/>
        </w:rPr>
        <w:t>Figure 14</w:t>
      </w:r>
      <w:r>
        <w:rPr>
          <w:rFonts w:ascii="Arial" w:hAnsi="Arial" w:cs="Arial"/>
          <w:b/>
          <w:bCs/>
          <w:sz w:val="24"/>
          <w:szCs w:val="24"/>
          <w:lang w:bidi="hi-IN"/>
        </w:rPr>
        <w:t>.</w:t>
      </w:r>
    </w:p>
    <w:p w14:paraId="22E2C801" w14:textId="77777777" w:rsidR="001761AA" w:rsidRPr="008B71B0" w:rsidRDefault="001761AA" w:rsidP="001761AA">
      <w:pPr>
        <w:pStyle w:val="ListParagraph"/>
        <w:rPr>
          <w:rFonts w:ascii="Arial" w:hAnsi="Arial" w:cs="Arial"/>
          <w:b/>
          <w:bCs/>
          <w:sz w:val="22"/>
          <w:szCs w:val="22"/>
        </w:rPr>
      </w:pPr>
    </w:p>
    <w:p w14:paraId="7BC65434" w14:textId="24500A21" w:rsidR="00DA357C" w:rsidRPr="00DA357C" w:rsidRDefault="00DA357C" w:rsidP="00DA357C">
      <w:pPr>
        <w:rPr>
          <w:rFonts w:ascii="Arial" w:hAnsi="Arial" w:cs="Arial"/>
          <w:b/>
          <w:bCs/>
          <w:sz w:val="22"/>
          <w:szCs w:val="22"/>
        </w:rPr>
      </w:pPr>
    </w:p>
    <w:p w14:paraId="02994582" w14:textId="77777777" w:rsidR="00DA357C" w:rsidRPr="00DA357C" w:rsidRDefault="00DA357C" w:rsidP="00DA357C">
      <w:pPr>
        <w:rPr>
          <w:rFonts w:ascii="Arial" w:hAnsi="Arial" w:cs="Arial"/>
          <w:b/>
          <w:bCs/>
          <w:sz w:val="22"/>
          <w:szCs w:val="22"/>
        </w:rPr>
      </w:pPr>
    </w:p>
    <w:p w14:paraId="4D0C2E05" w14:textId="19DBDF8A" w:rsidR="00DA357C" w:rsidRDefault="00DA357C" w:rsidP="00DA357C">
      <w:pPr>
        <w:rPr>
          <w:rFonts w:ascii="Times New Roman" w:hAnsi="Times New Roman"/>
          <w:b/>
          <w:bCs/>
          <w:sz w:val="36"/>
          <w:szCs w:val="36"/>
        </w:rPr>
      </w:pPr>
      <w:r w:rsidRPr="00486B2B">
        <w:rPr>
          <w:rFonts w:ascii="Times New Roman" w:hAnsi="Times New Roman"/>
          <w:noProof/>
          <w:sz w:val="36"/>
          <w:szCs w:val="36"/>
        </w:rPr>
        <w:lastRenderedPageBreak/>
        <w:drawing>
          <wp:inline distT="0" distB="0" distL="0" distR="0" wp14:anchorId="668D66CC" wp14:editId="09601558">
            <wp:extent cx="5024437" cy="2604624"/>
            <wp:effectExtent l="76200" t="76200" r="138430" b="139065"/>
            <wp:docPr id="142036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5044403" cy="2614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653D7" w14:textId="3414C114" w:rsidR="00DA357C" w:rsidRPr="00596BB0" w:rsidRDefault="00596BB0" w:rsidP="00DA357C">
      <w:pPr>
        <w:rPr>
          <w:rFonts w:ascii="Arial" w:hAnsi="Arial" w:cs="Arial"/>
          <w:b/>
          <w:bCs/>
          <w:sz w:val="22"/>
          <w:szCs w:val="22"/>
        </w:rPr>
      </w:pPr>
      <w:r w:rsidRPr="00596BB0">
        <w:rPr>
          <w:rFonts w:ascii="Arial" w:hAnsi="Arial" w:cs="Arial"/>
          <w:b/>
          <w:bCs/>
          <w:noProof/>
          <w:sz w:val="22"/>
          <w:szCs w:val="22"/>
        </w:rPr>
        <w:drawing>
          <wp:anchor distT="0" distB="0" distL="114300" distR="114300" simplePos="0" relativeHeight="251658752" behindDoc="0" locked="0" layoutInCell="1" allowOverlap="1" wp14:anchorId="106BC7DE" wp14:editId="13D2B69F">
            <wp:simplePos x="0" y="0"/>
            <wp:positionH relativeFrom="page">
              <wp:posOffset>1557020</wp:posOffset>
            </wp:positionH>
            <wp:positionV relativeFrom="paragraph">
              <wp:posOffset>294640</wp:posOffset>
            </wp:positionV>
            <wp:extent cx="1769745" cy="2029460"/>
            <wp:effectExtent l="79693" t="72707" r="138747" b="138748"/>
            <wp:wrapSquare wrapText="bothSides"/>
            <wp:docPr id="5"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769745" cy="2029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357C" w:rsidRPr="00596BB0">
        <w:rPr>
          <w:rFonts w:ascii="Arial" w:hAnsi="Arial" w:cs="Arial"/>
          <w:b/>
          <w:bCs/>
          <w:sz w:val="22"/>
          <w:szCs w:val="22"/>
        </w:rPr>
        <w:t>Fig</w:t>
      </w:r>
      <w:r w:rsidR="005B6B85" w:rsidRPr="00596BB0">
        <w:rPr>
          <w:rFonts w:ascii="Arial" w:hAnsi="Arial" w:cs="Arial"/>
          <w:b/>
          <w:bCs/>
          <w:sz w:val="22"/>
          <w:szCs w:val="22"/>
        </w:rPr>
        <w:t>ure</w:t>
      </w:r>
      <w:r w:rsidR="00DA357C" w:rsidRPr="00596BB0">
        <w:rPr>
          <w:rFonts w:ascii="Arial" w:hAnsi="Arial" w:cs="Arial"/>
          <w:b/>
          <w:bCs/>
          <w:sz w:val="22"/>
          <w:szCs w:val="22"/>
        </w:rPr>
        <w:t xml:space="preserve"> No 1: Preoperative OPG showing a well-defined radiolucency i</w:t>
      </w:r>
      <w:r w:rsidR="005B6B85" w:rsidRPr="00596BB0">
        <w:rPr>
          <w:rFonts w:ascii="Arial" w:hAnsi="Arial" w:cs="Arial"/>
          <w:b/>
          <w:bCs/>
          <w:sz w:val="22"/>
          <w:szCs w:val="22"/>
        </w:rPr>
        <w:t>n</w:t>
      </w:r>
      <w:r w:rsidR="00DA357C" w:rsidRPr="00596BB0">
        <w:rPr>
          <w:rFonts w:ascii="Arial" w:hAnsi="Arial" w:cs="Arial"/>
          <w:b/>
          <w:bCs/>
          <w:sz w:val="22"/>
          <w:szCs w:val="22"/>
        </w:rPr>
        <w:t xml:space="preserve"> Right Mandible extending from 32-48 region associated with impacted 33,43.</w:t>
      </w:r>
    </w:p>
    <w:p w14:paraId="7F1C23A0" w14:textId="77777777" w:rsidR="00596BB0" w:rsidRDefault="005B6B85" w:rsidP="00596BB0">
      <w:pPr>
        <w:rPr>
          <w:rFonts w:ascii="Times New Roman" w:hAnsi="Times New Roman"/>
          <w:b/>
          <w:bCs/>
          <w:sz w:val="24"/>
          <w:szCs w:val="24"/>
        </w:rPr>
      </w:pPr>
      <w:r>
        <w:rPr>
          <w:rFonts w:ascii="Times New Roman" w:hAnsi="Times New Roman"/>
          <w:b/>
          <w:bCs/>
          <w:sz w:val="24"/>
          <w:szCs w:val="24"/>
        </w:rPr>
        <w:t xml:space="preserve">                 </w:t>
      </w:r>
      <w:r w:rsidR="00596BB0" w:rsidRPr="00883ADE">
        <w:rPr>
          <w:rFonts w:ascii="Times New Roman" w:hAnsi="Times New Roman"/>
          <w:b/>
          <w:bCs/>
          <w:noProof/>
          <w:sz w:val="36"/>
          <w:szCs w:val="36"/>
        </w:rPr>
        <w:drawing>
          <wp:inline distT="0" distB="0" distL="0" distR="0" wp14:anchorId="5700A0C4" wp14:editId="4E246794">
            <wp:extent cx="1719263" cy="1715709"/>
            <wp:effectExtent l="76200" t="76200" r="128905" b="132715"/>
            <wp:docPr id="3"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1904846" cy="1900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BB0">
        <w:rPr>
          <w:rFonts w:ascii="Times New Roman" w:hAnsi="Times New Roman"/>
          <w:b/>
          <w:bCs/>
          <w:sz w:val="24"/>
          <w:szCs w:val="24"/>
        </w:rPr>
        <w:t xml:space="preserve">           </w:t>
      </w:r>
      <w:r>
        <w:rPr>
          <w:rFonts w:ascii="Times New Roman" w:hAnsi="Times New Roman"/>
          <w:b/>
          <w:bCs/>
          <w:sz w:val="24"/>
          <w:szCs w:val="24"/>
        </w:rPr>
        <w:t xml:space="preserve">   </w:t>
      </w:r>
      <w:r w:rsidR="00596BB0">
        <w:rPr>
          <w:rFonts w:ascii="Times New Roman" w:hAnsi="Times New Roman"/>
          <w:b/>
          <w:bCs/>
          <w:sz w:val="24"/>
          <w:szCs w:val="24"/>
        </w:rPr>
        <w:t xml:space="preserve">                 </w:t>
      </w:r>
    </w:p>
    <w:p w14:paraId="232B6581" w14:textId="77777777" w:rsidR="00596BB0" w:rsidRDefault="00596BB0" w:rsidP="00596BB0">
      <w:pPr>
        <w:rPr>
          <w:rFonts w:ascii="Times New Roman" w:hAnsi="Times New Roman"/>
          <w:b/>
          <w:bCs/>
          <w:sz w:val="24"/>
          <w:szCs w:val="24"/>
        </w:rPr>
      </w:pPr>
    </w:p>
    <w:p w14:paraId="47A02E00" w14:textId="2B3652D5" w:rsidR="00DA357C" w:rsidRPr="00596BB0" w:rsidRDefault="00596BB0" w:rsidP="00596BB0">
      <w:pPr>
        <w:rPr>
          <w:rFonts w:ascii="Arial" w:hAnsi="Arial" w:cs="Arial"/>
          <w:b/>
          <w:bCs/>
          <w:sz w:val="22"/>
          <w:szCs w:val="22"/>
        </w:rPr>
      </w:pPr>
      <w:r w:rsidRPr="00596BB0">
        <w:rPr>
          <w:rFonts w:ascii="Arial" w:hAnsi="Arial" w:cs="Arial"/>
          <w:b/>
          <w:bCs/>
          <w:sz w:val="22"/>
          <w:szCs w:val="22"/>
        </w:rPr>
        <w:t xml:space="preserve">Figure No 2: 3D CT scan </w:t>
      </w:r>
      <w:r>
        <w:rPr>
          <w:rFonts w:ascii="Arial" w:hAnsi="Arial" w:cs="Arial"/>
          <w:b/>
          <w:bCs/>
          <w:sz w:val="22"/>
          <w:szCs w:val="22"/>
        </w:rPr>
        <w:t>of</w:t>
      </w:r>
      <w:r w:rsidRPr="00596BB0">
        <w:rPr>
          <w:rFonts w:ascii="Arial" w:hAnsi="Arial" w:cs="Arial"/>
          <w:b/>
          <w:bCs/>
          <w:sz w:val="22"/>
          <w:szCs w:val="22"/>
        </w:rPr>
        <w:t xml:space="preserve"> Cyst                  Figure No </w:t>
      </w:r>
      <w:r w:rsidR="00303BB8">
        <w:rPr>
          <w:rFonts w:ascii="Arial" w:hAnsi="Arial" w:cs="Arial"/>
          <w:b/>
          <w:bCs/>
          <w:sz w:val="22"/>
          <w:szCs w:val="22"/>
        </w:rPr>
        <w:t>3</w:t>
      </w:r>
      <w:r w:rsidRPr="00596BB0">
        <w:rPr>
          <w:rFonts w:ascii="Arial" w:hAnsi="Arial" w:cs="Arial"/>
          <w:b/>
          <w:bCs/>
          <w:sz w:val="22"/>
          <w:szCs w:val="22"/>
        </w:rPr>
        <w:t xml:space="preserve">: CT scan Axial View </w:t>
      </w:r>
    </w:p>
    <w:p w14:paraId="67119EF9" w14:textId="77777777" w:rsidR="00DA357C" w:rsidRPr="00596BB0" w:rsidRDefault="00DA357C" w:rsidP="00DA357C">
      <w:pPr>
        <w:rPr>
          <w:rFonts w:ascii="Arial" w:hAnsi="Arial" w:cs="Arial"/>
          <w:b/>
          <w:bCs/>
          <w:sz w:val="22"/>
          <w:szCs w:val="22"/>
        </w:rPr>
      </w:pPr>
      <w:r w:rsidRPr="00596BB0">
        <w:rPr>
          <w:rFonts w:ascii="Arial" w:hAnsi="Arial" w:cs="Arial"/>
          <w:b/>
          <w:bCs/>
          <w:sz w:val="22"/>
          <w:szCs w:val="22"/>
        </w:rPr>
        <w:t xml:space="preserve">   </w:t>
      </w:r>
    </w:p>
    <w:p w14:paraId="2A0CA2A8" w14:textId="07D74C7B" w:rsidR="00DA357C" w:rsidRDefault="00056A60" w:rsidP="00DA357C">
      <w:pPr>
        <w:rPr>
          <w:rFonts w:ascii="Times New Roman" w:hAnsi="Times New Roman"/>
          <w:b/>
          <w:bCs/>
          <w:sz w:val="36"/>
          <w:szCs w:val="36"/>
        </w:rPr>
      </w:pPr>
      <w:r>
        <w:rPr>
          <w:noProof/>
        </w:rPr>
        <w:lastRenderedPageBreak/>
        <mc:AlternateContent>
          <mc:Choice Requires="wps">
            <w:drawing>
              <wp:anchor distT="0" distB="0" distL="114300" distR="114300" simplePos="0" relativeHeight="251662336" behindDoc="0" locked="0" layoutInCell="1" allowOverlap="1" wp14:anchorId="572F7020" wp14:editId="4FFFFD0E">
                <wp:simplePos x="0" y="0"/>
                <wp:positionH relativeFrom="column">
                  <wp:posOffset>227965</wp:posOffset>
                </wp:positionH>
                <wp:positionV relativeFrom="paragraph">
                  <wp:posOffset>505778</wp:posOffset>
                </wp:positionV>
                <wp:extent cx="2062480" cy="311150"/>
                <wp:effectExtent l="0" t="0" r="0" b="0"/>
                <wp:wrapNone/>
                <wp:docPr id="9121409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3111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7A7FBD" id="Rectangle 3" o:spid="_x0000_s1026" style="position:absolute;margin-left:17.95pt;margin-top:39.85pt;width:162.4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" fillcolor="black [3213]" strokecolor="#0a121c [484]" strokeweight="2pt">
                <v:path arrowok="t"/>
              </v:rect>
            </w:pict>
          </mc:Fallback>
        </mc:AlternateContent>
      </w:r>
      <w:r w:rsidR="00596BB0">
        <w:rPr>
          <w:rFonts w:ascii="Times New Roman" w:hAnsi="Times New Roman"/>
          <w:b/>
          <w:bCs/>
          <w:sz w:val="36"/>
          <w:szCs w:val="36"/>
        </w:rPr>
        <w:t xml:space="preserve">  </w:t>
      </w:r>
      <w:r w:rsidR="00DA357C">
        <w:rPr>
          <w:rFonts w:ascii="Times New Roman" w:hAnsi="Times New Roman"/>
          <w:b/>
          <w:bCs/>
          <w:sz w:val="36"/>
          <w:szCs w:val="36"/>
        </w:rPr>
        <w:t xml:space="preserve">     </w:t>
      </w:r>
      <w:r w:rsidR="00596BB0">
        <w:rPr>
          <w:rFonts w:ascii="Times New Roman" w:hAnsi="Times New Roman"/>
          <w:b/>
          <w:bCs/>
          <w:noProof/>
          <w:sz w:val="36"/>
          <w:szCs w:val="36"/>
        </w:rPr>
        <w:t xml:space="preserve">              </w:t>
      </w:r>
      <w:r w:rsidR="00DA357C" w:rsidRPr="0077233C">
        <w:rPr>
          <w:rFonts w:ascii="Times New Roman" w:hAnsi="Times New Roman"/>
          <w:b/>
          <w:bCs/>
          <w:noProof/>
          <w:sz w:val="36"/>
          <w:szCs w:val="36"/>
        </w:rPr>
        <w:drawing>
          <wp:inline distT="0" distB="0" distL="0" distR="0" wp14:anchorId="601D87C9" wp14:editId="467649C5">
            <wp:extent cx="1186174" cy="2334705"/>
            <wp:effectExtent l="73343" t="79057" r="126047" b="126048"/>
            <wp:docPr id="670307489"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17" cstate="print">
                      <a:extLst>
                        <a:ext uri="{28A0092B-C50C-407E-A947-70E740481C1C}">
                          <a14:useLocalDpi xmlns:a14="http://schemas.microsoft.com/office/drawing/2010/main" val="0"/>
                        </a:ext>
                      </a:extLst>
                    </a:blip>
                    <a:srcRect l="17020" r="15238"/>
                    <a:stretch>
                      <a:fillRect/>
                    </a:stretch>
                  </pic:blipFill>
                  <pic:spPr>
                    <a:xfrm rot="16200000">
                      <a:off x="0" y="0"/>
                      <a:ext cx="1318834" cy="2595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A357C" w:rsidRPr="0077233C">
        <w:rPr>
          <w:rFonts w:ascii="Times New Roman" w:hAnsi="Times New Roman"/>
          <w:b/>
          <w:bCs/>
          <w:noProof/>
          <w:sz w:val="36"/>
          <w:szCs w:val="36"/>
        </w:rPr>
        <w:drawing>
          <wp:anchor distT="0" distB="0" distL="114300" distR="114300" simplePos="0" relativeHeight="251655680" behindDoc="0" locked="0" layoutInCell="1" allowOverlap="1" wp14:anchorId="5B7BD22A" wp14:editId="383A7F5B">
            <wp:simplePos x="990600" y="990600"/>
            <wp:positionH relativeFrom="column">
              <wp:align>left</wp:align>
            </wp:positionH>
            <wp:positionV relativeFrom="paragraph">
              <wp:align>top</wp:align>
            </wp:positionV>
            <wp:extent cx="2300207" cy="3381012"/>
            <wp:effectExtent l="76200" t="76200" r="138430" b="124460"/>
            <wp:wrapSquare wrapText="bothSides"/>
            <wp:docPr id="1321699074"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1C8C599" w14:textId="307A4FF6" w:rsidR="00DA357C" w:rsidRPr="00596BB0" w:rsidRDefault="00596BB0" w:rsidP="00DA357C">
      <w:pPr>
        <w:rPr>
          <w:rFonts w:ascii="Arial" w:hAnsi="Arial" w:cs="Arial"/>
          <w:b/>
          <w:bCs/>
          <w:sz w:val="22"/>
          <w:szCs w:val="22"/>
        </w:rPr>
      </w:pPr>
      <w:r w:rsidRPr="00596BB0">
        <w:rPr>
          <w:rFonts w:ascii="Arial" w:hAnsi="Arial" w:cs="Arial"/>
          <w:b/>
          <w:bCs/>
          <w:sz w:val="22"/>
          <w:szCs w:val="22"/>
        </w:rPr>
        <w:t>Figure No 5: FNAC Specimen</w:t>
      </w:r>
    </w:p>
    <w:p w14:paraId="7D6AD580" w14:textId="0A31A6AD" w:rsidR="00DA357C" w:rsidRPr="00596BB0" w:rsidRDefault="00DA357C" w:rsidP="00DA357C">
      <w:pPr>
        <w:tabs>
          <w:tab w:val="left" w:pos="1383"/>
        </w:tabs>
        <w:rPr>
          <w:rFonts w:ascii="Arial" w:hAnsi="Arial" w:cs="Arial"/>
          <w:b/>
          <w:bCs/>
          <w:sz w:val="22"/>
          <w:szCs w:val="22"/>
        </w:rPr>
      </w:pPr>
      <w:r>
        <w:rPr>
          <w:rFonts w:ascii="Times New Roman" w:hAnsi="Times New Roman"/>
          <w:b/>
          <w:bCs/>
          <w:sz w:val="36"/>
          <w:szCs w:val="36"/>
        </w:rPr>
        <w:tab/>
      </w:r>
      <w:r>
        <w:rPr>
          <w:rFonts w:ascii="Times New Roman" w:hAnsi="Times New Roman"/>
          <w:b/>
          <w:bCs/>
          <w:sz w:val="36"/>
          <w:szCs w:val="36"/>
        </w:rPr>
        <w:br w:type="textWrapping" w:clear="all"/>
      </w:r>
      <w:r w:rsidRPr="00596BB0">
        <w:rPr>
          <w:rFonts w:ascii="Arial" w:hAnsi="Arial" w:cs="Arial"/>
          <w:b/>
          <w:bCs/>
          <w:sz w:val="22"/>
          <w:szCs w:val="22"/>
        </w:rPr>
        <w:t>Fig</w:t>
      </w:r>
      <w:r w:rsidR="00596BB0" w:rsidRPr="00596BB0">
        <w:rPr>
          <w:rFonts w:ascii="Arial" w:hAnsi="Arial" w:cs="Arial"/>
          <w:b/>
          <w:bCs/>
          <w:sz w:val="22"/>
          <w:szCs w:val="22"/>
        </w:rPr>
        <w:t>ure No 4: Report shows OKC</w:t>
      </w:r>
    </w:p>
    <w:p w14:paraId="4B66544F" w14:textId="77777777" w:rsidR="00DA357C" w:rsidRPr="00A811B3" w:rsidRDefault="00DA357C" w:rsidP="00DA357C">
      <w:pPr>
        <w:tabs>
          <w:tab w:val="left" w:pos="1383"/>
        </w:tabs>
        <w:rPr>
          <w:rFonts w:ascii="Times New Roman" w:hAnsi="Times New Roman"/>
          <w:b/>
          <w:bCs/>
          <w:sz w:val="24"/>
          <w:szCs w:val="24"/>
        </w:rPr>
      </w:pPr>
    </w:p>
    <w:p w14:paraId="1FD42EC4" w14:textId="5311FB10" w:rsidR="00DA357C" w:rsidRDefault="00596BB0" w:rsidP="00DA357C">
      <w:pPr>
        <w:tabs>
          <w:tab w:val="left" w:pos="1383"/>
        </w:tabs>
        <w:rPr>
          <w:rFonts w:ascii="Times New Roman" w:hAnsi="Times New Roman"/>
          <w:b/>
          <w:bCs/>
          <w:sz w:val="36"/>
          <w:szCs w:val="36"/>
        </w:rPr>
      </w:pPr>
      <w:r>
        <w:rPr>
          <w:rFonts w:ascii="Times New Roman" w:hAnsi="Times New Roman"/>
          <w:b/>
          <w:bCs/>
          <w:sz w:val="36"/>
          <w:szCs w:val="36"/>
        </w:rPr>
        <w:t xml:space="preserve">                 </w:t>
      </w:r>
      <w:r w:rsidR="00DA357C" w:rsidRPr="0077233C">
        <w:rPr>
          <w:rFonts w:ascii="Times New Roman" w:hAnsi="Times New Roman"/>
          <w:b/>
          <w:bCs/>
          <w:noProof/>
          <w:sz w:val="36"/>
          <w:szCs w:val="36"/>
        </w:rPr>
        <w:drawing>
          <wp:inline distT="0" distB="0" distL="0" distR="0" wp14:anchorId="5E9FEB50" wp14:editId="09526688">
            <wp:extent cx="3067050" cy="1875055"/>
            <wp:effectExtent l="76200" t="76200" r="114300" b="106680"/>
            <wp:docPr id="9"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19">
                      <a:extLst>
                        <a:ext uri="{28A0092B-C50C-407E-A947-70E740481C1C}">
                          <a14:useLocalDpi xmlns:a14="http://schemas.microsoft.com/office/drawing/2010/main" val="0"/>
                        </a:ext>
                      </a:extLst>
                    </a:blip>
                    <a:srcRect l="34129" t="24654" r="20708" b="38350"/>
                    <a:stretch>
                      <a:fillRect/>
                    </a:stretch>
                  </pic:blipFill>
                  <pic:spPr>
                    <a:xfrm>
                      <a:off x="0" y="0"/>
                      <a:ext cx="3112308" cy="1902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2CE26" w14:textId="765534F6" w:rsidR="00DA357C" w:rsidRDefault="00DA357C" w:rsidP="00DA357C">
      <w:pPr>
        <w:tabs>
          <w:tab w:val="left" w:pos="1383"/>
        </w:tabs>
        <w:rPr>
          <w:rFonts w:ascii="Times New Roman" w:hAnsi="Times New Roman"/>
          <w:b/>
          <w:bCs/>
          <w:sz w:val="36"/>
          <w:szCs w:val="36"/>
        </w:rPr>
      </w:pPr>
    </w:p>
    <w:p w14:paraId="2E7B6372" w14:textId="3FBA9BE4" w:rsidR="00DA357C" w:rsidRPr="00596BB0" w:rsidRDefault="00DA357C" w:rsidP="00DA357C">
      <w:pPr>
        <w:rPr>
          <w:rFonts w:ascii="Arial" w:hAnsi="Arial" w:cs="Arial"/>
          <w:b/>
          <w:bCs/>
          <w:sz w:val="22"/>
          <w:szCs w:val="22"/>
        </w:rPr>
      </w:pPr>
      <w:r w:rsidRPr="00596BB0">
        <w:rPr>
          <w:rFonts w:ascii="Arial" w:hAnsi="Arial" w:cs="Arial"/>
          <w:b/>
          <w:bCs/>
          <w:sz w:val="22"/>
          <w:szCs w:val="22"/>
        </w:rPr>
        <w:t>Fig</w:t>
      </w:r>
      <w:r w:rsidR="00596BB0" w:rsidRPr="00596BB0">
        <w:rPr>
          <w:rFonts w:ascii="Arial" w:hAnsi="Arial" w:cs="Arial"/>
          <w:b/>
          <w:bCs/>
          <w:sz w:val="22"/>
          <w:szCs w:val="22"/>
        </w:rPr>
        <w:t>ure</w:t>
      </w:r>
      <w:r w:rsidRPr="00596BB0">
        <w:rPr>
          <w:rFonts w:ascii="Arial" w:hAnsi="Arial" w:cs="Arial"/>
          <w:b/>
          <w:bCs/>
          <w:sz w:val="22"/>
          <w:szCs w:val="22"/>
        </w:rPr>
        <w:t xml:space="preserve"> No </w:t>
      </w:r>
      <w:r w:rsidR="00596BB0" w:rsidRPr="00596BB0">
        <w:rPr>
          <w:rFonts w:ascii="Arial" w:hAnsi="Arial" w:cs="Arial"/>
          <w:b/>
          <w:bCs/>
          <w:sz w:val="22"/>
          <w:szCs w:val="22"/>
        </w:rPr>
        <w:t>6:</w:t>
      </w:r>
      <w:r w:rsidRPr="00596BB0">
        <w:rPr>
          <w:rFonts w:ascii="Arial" w:hAnsi="Arial" w:cs="Arial"/>
          <w:b/>
          <w:bCs/>
          <w:sz w:val="22"/>
          <w:szCs w:val="22"/>
        </w:rPr>
        <w:t xml:space="preserve"> Crevicular Incision given and an Anterior releasing incision given from 41 region followed by Mucoperiosteal Flap elevation and exposure of site of pathology.</w:t>
      </w:r>
    </w:p>
    <w:p w14:paraId="42A7B8EF" w14:textId="77777777" w:rsidR="008B71B0" w:rsidRPr="00596BB0" w:rsidRDefault="008B71B0" w:rsidP="00DA357C">
      <w:pPr>
        <w:rPr>
          <w:rFonts w:ascii="Arial" w:hAnsi="Arial" w:cs="Arial"/>
          <w:b/>
          <w:bCs/>
          <w:sz w:val="22"/>
          <w:szCs w:val="22"/>
        </w:rPr>
      </w:pPr>
    </w:p>
    <w:p w14:paraId="236ADE53" w14:textId="366B168F" w:rsidR="008B71B0" w:rsidRPr="00A811B3" w:rsidRDefault="008B71B0" w:rsidP="00DA357C">
      <w:pPr>
        <w:rPr>
          <w:rFonts w:ascii="Times New Roman" w:hAnsi="Times New Roman"/>
          <w:b/>
          <w:bCs/>
          <w:sz w:val="24"/>
          <w:szCs w:val="24"/>
        </w:rPr>
      </w:pPr>
      <w:r>
        <w:rPr>
          <w:rFonts w:ascii="Times New Roman" w:hAnsi="Times New Roman"/>
          <w:b/>
          <w:bCs/>
          <w:sz w:val="24"/>
          <w:szCs w:val="24"/>
        </w:rPr>
        <w:lastRenderedPageBreak/>
        <w:t xml:space="preserve">                 </w:t>
      </w:r>
      <w:r w:rsidRPr="00E81B68">
        <w:rPr>
          <w:rFonts w:ascii="Times New Roman" w:hAnsi="Times New Roman"/>
          <w:b/>
          <w:bCs/>
          <w:noProof/>
          <w:sz w:val="36"/>
          <w:szCs w:val="36"/>
        </w:rPr>
        <w:drawing>
          <wp:inline distT="0" distB="0" distL="0" distR="0" wp14:anchorId="454D32D5" wp14:editId="3144533C">
            <wp:extent cx="1760425" cy="2900074"/>
            <wp:effectExtent l="647700" t="0" r="678180" b="0"/>
            <wp:docPr id="17"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20" cstate="print">
                      <a:extLst>
                        <a:ext uri="{28A0092B-C50C-407E-A947-70E740481C1C}">
                          <a14:useLocalDpi xmlns:a14="http://schemas.microsoft.com/office/drawing/2010/main" val="0"/>
                        </a:ext>
                      </a:extLst>
                    </a:blip>
                    <a:srcRect l="23303" t="16186" r="33163" b="30028"/>
                    <a:stretch>
                      <a:fillRect/>
                    </a:stretch>
                  </pic:blipFill>
                  <pic:spPr>
                    <a:xfrm rot="5400000">
                      <a:off x="0" y="0"/>
                      <a:ext cx="1769582" cy="2915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24"/>
          <w:szCs w:val="24"/>
        </w:rPr>
        <w:t xml:space="preserve">         </w:t>
      </w:r>
    </w:p>
    <w:p w14:paraId="239B26C3" w14:textId="22270E49" w:rsidR="008B71B0" w:rsidRPr="00B550E8" w:rsidRDefault="008B71B0" w:rsidP="008B71B0">
      <w:pPr>
        <w:rPr>
          <w:rFonts w:ascii="Arial" w:hAnsi="Arial" w:cs="Arial"/>
          <w:b/>
          <w:bCs/>
          <w:sz w:val="24"/>
          <w:szCs w:val="24"/>
        </w:rPr>
      </w:pPr>
      <w:r w:rsidRPr="00B550E8">
        <w:rPr>
          <w:rFonts w:ascii="Arial" w:hAnsi="Arial" w:cs="Arial"/>
          <w:b/>
          <w:bCs/>
          <w:sz w:val="24"/>
          <w:szCs w:val="24"/>
        </w:rPr>
        <w:t xml:space="preserve">   Fig</w:t>
      </w:r>
      <w:r w:rsidR="00596BB0" w:rsidRPr="00B550E8">
        <w:rPr>
          <w:rFonts w:ascii="Arial" w:hAnsi="Arial" w:cs="Arial"/>
          <w:b/>
          <w:bCs/>
          <w:sz w:val="24"/>
          <w:szCs w:val="24"/>
        </w:rPr>
        <w:t>ure</w:t>
      </w:r>
      <w:r w:rsidRPr="00B550E8">
        <w:rPr>
          <w:rFonts w:ascii="Arial" w:hAnsi="Arial" w:cs="Arial"/>
          <w:b/>
          <w:bCs/>
          <w:sz w:val="24"/>
          <w:szCs w:val="24"/>
        </w:rPr>
        <w:t xml:space="preserve"> No </w:t>
      </w:r>
      <w:r w:rsidR="00596BB0" w:rsidRPr="00B550E8">
        <w:rPr>
          <w:rFonts w:ascii="Arial" w:hAnsi="Arial" w:cs="Arial"/>
          <w:b/>
          <w:bCs/>
          <w:sz w:val="24"/>
          <w:szCs w:val="24"/>
        </w:rPr>
        <w:t>7:</w:t>
      </w:r>
      <w:r w:rsidRPr="00B550E8">
        <w:rPr>
          <w:rFonts w:ascii="Arial" w:hAnsi="Arial" w:cs="Arial"/>
          <w:b/>
          <w:bCs/>
          <w:sz w:val="24"/>
          <w:szCs w:val="24"/>
        </w:rPr>
        <w:t xml:space="preserve"> Surgical enucleation and bony socket irrigated and chemical cauterization done with Carnoy’s solution</w:t>
      </w:r>
    </w:p>
    <w:p w14:paraId="4EA2C582" w14:textId="688668AD" w:rsidR="00DA357C" w:rsidRPr="00B550E8" w:rsidRDefault="00DA357C" w:rsidP="00DA357C">
      <w:pPr>
        <w:rPr>
          <w:rFonts w:ascii="Arial" w:hAnsi="Arial" w:cs="Arial"/>
          <w:b/>
          <w:bCs/>
          <w:sz w:val="24"/>
          <w:szCs w:val="24"/>
        </w:rPr>
      </w:pPr>
    </w:p>
    <w:p w14:paraId="557FF5CD" w14:textId="019188C3" w:rsidR="00DA357C" w:rsidRDefault="00DA357C" w:rsidP="00DA357C">
      <w:pPr>
        <w:rPr>
          <w:rFonts w:ascii="Times New Roman" w:hAnsi="Times New Roman"/>
          <w:b/>
          <w:bCs/>
          <w:sz w:val="36"/>
          <w:szCs w:val="36"/>
        </w:rPr>
      </w:pPr>
    </w:p>
    <w:p w14:paraId="2C343376" w14:textId="544B9C3F" w:rsidR="00B550E8" w:rsidRPr="00B550E8" w:rsidRDefault="00B550E8" w:rsidP="00595AF6">
      <w:pPr>
        <w:jc w:val="both"/>
        <w:rPr>
          <w:rFonts w:ascii="Arial" w:hAnsi="Arial" w:cs="Arial"/>
          <w:b/>
          <w:bCs/>
          <w:sz w:val="36"/>
          <w:szCs w:val="36"/>
        </w:rPr>
      </w:pPr>
      <w:r w:rsidRPr="00E81B68">
        <w:rPr>
          <w:rFonts w:ascii="Times New Roman" w:hAnsi="Times New Roman"/>
          <w:b/>
          <w:bCs/>
          <w:noProof/>
          <w:sz w:val="36"/>
          <w:szCs w:val="36"/>
        </w:rPr>
        <w:drawing>
          <wp:anchor distT="0" distB="0" distL="114300" distR="114300" simplePos="0" relativeHeight="251656704" behindDoc="0" locked="0" layoutInCell="1" allowOverlap="1" wp14:anchorId="3019E5F9" wp14:editId="3E39385D">
            <wp:simplePos x="0" y="0"/>
            <wp:positionH relativeFrom="margin">
              <wp:posOffset>5715</wp:posOffset>
            </wp:positionH>
            <wp:positionV relativeFrom="paragraph">
              <wp:posOffset>8255</wp:posOffset>
            </wp:positionV>
            <wp:extent cx="1762125" cy="1673225"/>
            <wp:effectExtent l="76200" t="76200" r="142875" b="136525"/>
            <wp:wrapSquare wrapText="bothSides"/>
            <wp:docPr id="7"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21" cstate="print">
                      <a:extLst>
                        <a:ext uri="{28A0092B-C50C-407E-A947-70E740481C1C}">
                          <a14:useLocalDpi xmlns:a14="http://schemas.microsoft.com/office/drawing/2010/main" val="0"/>
                        </a:ext>
                      </a:extLst>
                    </a:blip>
                    <a:srcRect t="3981" r="10093" b="10648"/>
                    <a:stretch>
                      <a:fillRect/>
                    </a:stretch>
                  </pic:blipFill>
                  <pic:spPr>
                    <a:xfrm>
                      <a:off x="0" y="0"/>
                      <a:ext cx="1762125" cy="167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357C">
        <w:rPr>
          <w:rFonts w:ascii="Times New Roman" w:hAnsi="Times New Roman"/>
          <w:b/>
          <w:bCs/>
          <w:sz w:val="36"/>
          <w:szCs w:val="36"/>
        </w:rPr>
        <w:t xml:space="preserve">  </w:t>
      </w:r>
      <w:r w:rsidR="00595AF6">
        <w:rPr>
          <w:rFonts w:ascii="Times New Roman" w:hAnsi="Times New Roman"/>
          <w:b/>
          <w:bCs/>
          <w:sz w:val="36"/>
          <w:szCs w:val="36"/>
        </w:rPr>
        <w:t xml:space="preserve">   </w:t>
      </w:r>
      <w:r w:rsidR="00DA357C" w:rsidRPr="00E81B68">
        <w:rPr>
          <w:rFonts w:ascii="Times New Roman" w:hAnsi="Times New Roman"/>
          <w:b/>
          <w:bCs/>
          <w:noProof/>
          <w:sz w:val="36"/>
          <w:szCs w:val="36"/>
        </w:rPr>
        <w:drawing>
          <wp:inline distT="0" distB="0" distL="0" distR="0" wp14:anchorId="2C2701F4" wp14:editId="6780408C">
            <wp:extent cx="2624000" cy="1659255"/>
            <wp:effectExtent l="76200" t="76200" r="138430" b="131445"/>
            <wp:docPr id="1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22" cstate="print">
                      <a:extLst>
                        <a:ext uri="{28A0092B-C50C-407E-A947-70E740481C1C}">
                          <a14:useLocalDpi xmlns:a14="http://schemas.microsoft.com/office/drawing/2010/main" val="0"/>
                        </a:ext>
                      </a:extLst>
                    </a:blip>
                    <a:srcRect l="4432" t="3039" r="9662"/>
                    <a:stretch>
                      <a:fillRect/>
                    </a:stretch>
                  </pic:blipFill>
                  <pic:spPr>
                    <a:xfrm>
                      <a:off x="0" y="0"/>
                      <a:ext cx="2785720" cy="176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5AF6">
        <w:rPr>
          <w:rFonts w:ascii="Arial" w:hAnsi="Arial" w:cs="Arial"/>
          <w:b/>
          <w:bCs/>
        </w:rPr>
        <w:t xml:space="preserve">       Fig </w:t>
      </w:r>
      <w:r w:rsidR="00DA357C" w:rsidRPr="00B550E8">
        <w:rPr>
          <w:rFonts w:ascii="Arial" w:hAnsi="Arial" w:cs="Arial"/>
          <w:b/>
          <w:bCs/>
        </w:rPr>
        <w:t xml:space="preserve">No </w:t>
      </w:r>
      <w:r w:rsidRPr="00B550E8">
        <w:rPr>
          <w:rFonts w:ascii="Arial" w:hAnsi="Arial" w:cs="Arial"/>
          <w:b/>
          <w:bCs/>
        </w:rPr>
        <w:t>8:</w:t>
      </w:r>
      <w:r w:rsidR="00DA357C" w:rsidRPr="00B550E8">
        <w:rPr>
          <w:rFonts w:ascii="Arial" w:hAnsi="Arial" w:cs="Arial"/>
          <w:b/>
          <w:bCs/>
        </w:rPr>
        <w:t xml:space="preserve"> Fluorouracil ointment</w:t>
      </w:r>
      <w:r w:rsidR="00DA357C" w:rsidRPr="00B550E8">
        <w:rPr>
          <w:rFonts w:ascii="Arial" w:hAnsi="Arial" w:cs="Arial"/>
          <w:b/>
          <w:bCs/>
          <w:sz w:val="16"/>
          <w:szCs w:val="16"/>
        </w:rPr>
        <w:t xml:space="preserve">     </w:t>
      </w:r>
      <w:r w:rsidRPr="00B550E8">
        <w:rPr>
          <w:rFonts w:ascii="Arial" w:hAnsi="Arial" w:cs="Arial"/>
          <w:b/>
          <w:bCs/>
          <w:sz w:val="16"/>
          <w:szCs w:val="16"/>
        </w:rPr>
        <w:t xml:space="preserve">     </w:t>
      </w:r>
      <w:r w:rsidR="00595AF6">
        <w:rPr>
          <w:rFonts w:ascii="Arial" w:hAnsi="Arial" w:cs="Arial"/>
          <w:b/>
          <w:bCs/>
          <w:sz w:val="16"/>
          <w:szCs w:val="16"/>
        </w:rPr>
        <w:t xml:space="preserve">         </w:t>
      </w:r>
      <w:r w:rsidRPr="00B550E8">
        <w:rPr>
          <w:rFonts w:ascii="Arial" w:hAnsi="Arial" w:cs="Arial"/>
          <w:b/>
          <w:bCs/>
          <w:sz w:val="16"/>
          <w:szCs w:val="16"/>
        </w:rPr>
        <w:t xml:space="preserve">  </w:t>
      </w:r>
      <w:r w:rsidR="00DA357C" w:rsidRPr="00B550E8">
        <w:rPr>
          <w:rFonts w:ascii="Arial" w:hAnsi="Arial" w:cs="Arial"/>
          <w:b/>
          <w:bCs/>
        </w:rPr>
        <w:t>Fig No</w:t>
      </w:r>
      <w:r w:rsidRPr="00B550E8">
        <w:rPr>
          <w:rFonts w:ascii="Arial" w:hAnsi="Arial" w:cs="Arial"/>
          <w:b/>
          <w:bCs/>
        </w:rPr>
        <w:t xml:space="preserve"> 9:</w:t>
      </w:r>
      <w:r w:rsidR="00DA357C" w:rsidRPr="00B550E8">
        <w:rPr>
          <w:rFonts w:ascii="Arial" w:hAnsi="Arial" w:cs="Arial"/>
          <w:b/>
          <w:bCs/>
        </w:rPr>
        <w:t xml:space="preserve"> 5-Fluorouracil coated gauze </w:t>
      </w:r>
      <w:r w:rsidR="00DA357C" w:rsidRPr="00B550E8">
        <w:rPr>
          <w:rFonts w:ascii="Arial" w:hAnsi="Arial" w:cs="Arial"/>
          <w:b/>
          <w:bCs/>
          <w:sz w:val="36"/>
          <w:szCs w:val="36"/>
        </w:rPr>
        <w:t xml:space="preserve">            </w:t>
      </w:r>
    </w:p>
    <w:p w14:paraId="48FB6576" w14:textId="77777777" w:rsidR="00B550E8" w:rsidRDefault="00B550E8" w:rsidP="00DA357C">
      <w:pPr>
        <w:rPr>
          <w:rFonts w:ascii="Times New Roman" w:hAnsi="Times New Roman"/>
          <w:b/>
          <w:bCs/>
          <w:sz w:val="36"/>
          <w:szCs w:val="36"/>
        </w:rPr>
      </w:pPr>
    </w:p>
    <w:p w14:paraId="0E06CC84" w14:textId="5B6A1ED6" w:rsidR="00DA357C" w:rsidRDefault="00B550E8" w:rsidP="00DA357C">
      <w:pPr>
        <w:rPr>
          <w:rFonts w:ascii="Times New Roman" w:hAnsi="Times New Roman"/>
          <w:b/>
          <w:bCs/>
          <w:sz w:val="36"/>
          <w:szCs w:val="36"/>
        </w:rPr>
      </w:pPr>
      <w:r>
        <w:rPr>
          <w:rFonts w:ascii="Times New Roman" w:hAnsi="Times New Roman"/>
          <w:b/>
          <w:bCs/>
          <w:sz w:val="36"/>
          <w:szCs w:val="36"/>
        </w:rPr>
        <w:t xml:space="preserve">                </w:t>
      </w:r>
      <w:r w:rsidR="00DA357C" w:rsidRPr="00E81B68">
        <w:rPr>
          <w:rFonts w:ascii="Times New Roman" w:hAnsi="Times New Roman"/>
          <w:b/>
          <w:bCs/>
          <w:noProof/>
          <w:sz w:val="36"/>
          <w:szCs w:val="36"/>
        </w:rPr>
        <w:drawing>
          <wp:inline distT="0" distB="0" distL="0" distR="0" wp14:anchorId="077C07BD" wp14:editId="3C419089">
            <wp:extent cx="3012831" cy="1878155"/>
            <wp:effectExtent l="76200" t="76200" r="130810" b="141605"/>
            <wp:docPr id="13"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3"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5E13B" w14:textId="77777777" w:rsidR="00ED6A21" w:rsidRDefault="00DA357C" w:rsidP="00DA357C">
      <w:pPr>
        <w:rPr>
          <w:rFonts w:ascii="Times New Roman" w:hAnsi="Times New Roman"/>
          <w:b/>
          <w:bCs/>
          <w:sz w:val="24"/>
          <w:szCs w:val="24"/>
        </w:rPr>
      </w:pPr>
      <w:r w:rsidRPr="00A811B3">
        <w:rPr>
          <w:rFonts w:ascii="Times New Roman" w:hAnsi="Times New Roman"/>
          <w:b/>
          <w:bCs/>
          <w:sz w:val="24"/>
          <w:szCs w:val="24"/>
        </w:rPr>
        <w:t xml:space="preserve">       </w:t>
      </w:r>
    </w:p>
    <w:p w14:paraId="777AF1D2" w14:textId="77777777" w:rsidR="00ED6A21" w:rsidRDefault="00ED6A21" w:rsidP="00DA357C">
      <w:pPr>
        <w:rPr>
          <w:rFonts w:ascii="Times New Roman" w:hAnsi="Times New Roman"/>
          <w:b/>
          <w:bCs/>
          <w:sz w:val="24"/>
          <w:szCs w:val="24"/>
        </w:rPr>
      </w:pPr>
    </w:p>
    <w:p w14:paraId="35E0A511" w14:textId="3861BB7B" w:rsidR="00DA357C" w:rsidRPr="00595AF6" w:rsidRDefault="00DA357C" w:rsidP="00DA357C">
      <w:pPr>
        <w:rPr>
          <w:rFonts w:ascii="Arial" w:hAnsi="Arial" w:cs="Arial"/>
          <w:b/>
          <w:bCs/>
          <w:sz w:val="24"/>
          <w:szCs w:val="24"/>
        </w:rPr>
      </w:pPr>
      <w:r w:rsidRPr="00595AF6">
        <w:rPr>
          <w:rFonts w:ascii="Arial" w:hAnsi="Arial" w:cs="Arial"/>
          <w:b/>
          <w:bCs/>
          <w:sz w:val="24"/>
          <w:szCs w:val="24"/>
        </w:rPr>
        <w:t xml:space="preserve">                Fig</w:t>
      </w:r>
      <w:r w:rsidR="00595AF6">
        <w:rPr>
          <w:rFonts w:ascii="Arial" w:hAnsi="Arial" w:cs="Arial"/>
          <w:b/>
          <w:bCs/>
          <w:sz w:val="24"/>
          <w:szCs w:val="24"/>
        </w:rPr>
        <w:t xml:space="preserve">ure </w:t>
      </w:r>
      <w:r w:rsidRPr="00595AF6">
        <w:rPr>
          <w:rFonts w:ascii="Arial" w:hAnsi="Arial" w:cs="Arial"/>
          <w:b/>
          <w:bCs/>
          <w:sz w:val="24"/>
          <w:szCs w:val="24"/>
        </w:rPr>
        <w:t xml:space="preserve">No </w:t>
      </w:r>
      <w:r w:rsidR="00595AF6">
        <w:rPr>
          <w:rFonts w:ascii="Arial" w:hAnsi="Arial" w:cs="Arial"/>
          <w:b/>
          <w:bCs/>
          <w:sz w:val="24"/>
          <w:szCs w:val="24"/>
        </w:rPr>
        <w:t>10</w:t>
      </w:r>
      <w:r w:rsidRPr="00595AF6">
        <w:rPr>
          <w:rFonts w:ascii="Arial" w:hAnsi="Arial" w:cs="Arial"/>
          <w:b/>
          <w:bCs/>
          <w:sz w:val="24"/>
          <w:szCs w:val="24"/>
        </w:rPr>
        <w:t xml:space="preserve">- Interdental sutures placed </w:t>
      </w:r>
      <w:r w:rsidR="00595AF6">
        <w:rPr>
          <w:rFonts w:ascii="Arial" w:hAnsi="Arial" w:cs="Arial"/>
          <w:b/>
          <w:bCs/>
          <w:sz w:val="24"/>
          <w:szCs w:val="24"/>
        </w:rPr>
        <w:t>in</w:t>
      </w:r>
      <w:r w:rsidRPr="00595AF6">
        <w:rPr>
          <w:rFonts w:ascii="Arial" w:hAnsi="Arial" w:cs="Arial"/>
          <w:b/>
          <w:bCs/>
          <w:sz w:val="24"/>
          <w:szCs w:val="24"/>
        </w:rPr>
        <w:t xml:space="preserve"> 41-48 region</w:t>
      </w:r>
    </w:p>
    <w:p w14:paraId="7AC1E8EC" w14:textId="77777777" w:rsidR="00ED6A21" w:rsidRPr="00595AF6" w:rsidRDefault="00ED6A21" w:rsidP="00DA357C">
      <w:pPr>
        <w:rPr>
          <w:rFonts w:ascii="Arial" w:hAnsi="Arial" w:cs="Arial"/>
          <w:b/>
          <w:bCs/>
          <w:sz w:val="24"/>
          <w:szCs w:val="24"/>
        </w:rPr>
      </w:pPr>
    </w:p>
    <w:p w14:paraId="401C320E" w14:textId="77777777" w:rsidR="00ED6A21" w:rsidRDefault="00ED6A21" w:rsidP="00DA357C">
      <w:pPr>
        <w:rPr>
          <w:rFonts w:ascii="Times New Roman" w:hAnsi="Times New Roman"/>
          <w:b/>
          <w:bCs/>
          <w:sz w:val="24"/>
          <w:szCs w:val="24"/>
        </w:rPr>
      </w:pPr>
    </w:p>
    <w:p w14:paraId="1142C830" w14:textId="77777777" w:rsidR="00ED6A21" w:rsidRDefault="00ED6A21" w:rsidP="00DA357C">
      <w:pPr>
        <w:rPr>
          <w:rFonts w:ascii="Times New Roman" w:hAnsi="Times New Roman"/>
          <w:b/>
          <w:bCs/>
          <w:sz w:val="24"/>
          <w:szCs w:val="24"/>
        </w:rPr>
      </w:pPr>
    </w:p>
    <w:p w14:paraId="3831CBE9" w14:textId="77777777" w:rsidR="00ED6A21" w:rsidRPr="00A811B3" w:rsidRDefault="00ED6A21" w:rsidP="00DA357C">
      <w:pPr>
        <w:rPr>
          <w:rFonts w:ascii="Times New Roman" w:hAnsi="Times New Roman"/>
          <w:b/>
          <w:bCs/>
          <w:sz w:val="24"/>
          <w:szCs w:val="24"/>
        </w:rPr>
      </w:pPr>
    </w:p>
    <w:p w14:paraId="06295119" w14:textId="77777777" w:rsidR="00DA357C" w:rsidRDefault="00DA357C" w:rsidP="00DA357C">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3A52BE6C" wp14:editId="68B06E81">
            <wp:extent cx="5014912" cy="2035745"/>
            <wp:effectExtent l="76200" t="76200" r="109855" b="117475"/>
            <wp:docPr id="1171864478"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4" cstate="print">
                      <a:extLst>
                        <a:ext uri="{28A0092B-C50C-407E-A947-70E740481C1C}">
                          <a14:useLocalDpi xmlns:a14="http://schemas.microsoft.com/office/drawing/2010/main" val="0"/>
                        </a:ext>
                      </a:extLst>
                    </a:blip>
                    <a:srcRect t="25556" r="6944" b="36667"/>
                    <a:stretch>
                      <a:fillRect/>
                    </a:stretch>
                  </pic:blipFill>
                  <pic:spPr>
                    <a:xfrm>
                      <a:off x="0" y="0"/>
                      <a:ext cx="5030717" cy="2042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8F057" w14:textId="2B339043" w:rsidR="00DA357C" w:rsidRPr="00595AF6" w:rsidRDefault="00DA357C" w:rsidP="00595AF6">
      <w:pPr>
        <w:jc w:val="both"/>
        <w:rPr>
          <w:rFonts w:ascii="Arial" w:hAnsi="Arial" w:cs="Arial"/>
          <w:b/>
          <w:bCs/>
          <w:sz w:val="24"/>
          <w:szCs w:val="24"/>
        </w:rPr>
      </w:pPr>
      <w:r w:rsidRPr="00595AF6">
        <w:rPr>
          <w:rFonts w:ascii="Arial" w:hAnsi="Arial" w:cs="Arial"/>
          <w:b/>
          <w:bCs/>
          <w:sz w:val="24"/>
          <w:szCs w:val="24"/>
        </w:rPr>
        <w:t xml:space="preserve"> Fig No </w:t>
      </w:r>
      <w:r w:rsidR="00595AF6" w:rsidRPr="00595AF6">
        <w:rPr>
          <w:rFonts w:ascii="Arial" w:hAnsi="Arial" w:cs="Arial"/>
          <w:b/>
          <w:bCs/>
          <w:sz w:val="24"/>
          <w:szCs w:val="24"/>
        </w:rPr>
        <w:t>11:</w:t>
      </w:r>
      <w:r w:rsidRPr="00595AF6">
        <w:rPr>
          <w:rFonts w:ascii="Arial" w:hAnsi="Arial" w:cs="Arial"/>
          <w:b/>
          <w:bCs/>
          <w:sz w:val="24"/>
          <w:szCs w:val="24"/>
        </w:rPr>
        <w:t xml:space="preserve"> Biopsy Specimen 2x2cm in size sent for histopathological examination</w:t>
      </w:r>
    </w:p>
    <w:p w14:paraId="29C925A7" w14:textId="77777777" w:rsidR="00DA357C" w:rsidRPr="00595AF6" w:rsidRDefault="00DA357C" w:rsidP="00DA357C">
      <w:pPr>
        <w:rPr>
          <w:rFonts w:ascii="Arial" w:hAnsi="Arial" w:cs="Arial"/>
          <w:b/>
          <w:bCs/>
          <w:sz w:val="36"/>
          <w:szCs w:val="36"/>
        </w:rPr>
      </w:pPr>
    </w:p>
    <w:p w14:paraId="24B64ED0" w14:textId="5DE928ED"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00056A60">
        <w:rPr>
          <w:noProof/>
        </w:rPr>
        <mc:AlternateContent>
          <mc:Choice Requires="wps">
            <w:drawing>
              <wp:anchor distT="0" distB="0" distL="114300" distR="114300" simplePos="0" relativeHeight="251661312" behindDoc="0" locked="0" layoutInCell="1" allowOverlap="1" wp14:anchorId="2AF9C27A" wp14:editId="069A061D">
                <wp:simplePos x="0" y="0"/>
                <wp:positionH relativeFrom="column">
                  <wp:posOffset>1868170</wp:posOffset>
                </wp:positionH>
                <wp:positionV relativeFrom="paragraph">
                  <wp:posOffset>573405</wp:posOffset>
                </wp:positionV>
                <wp:extent cx="914400" cy="262255"/>
                <wp:effectExtent l="0" t="0" r="0" b="4445"/>
                <wp:wrapNone/>
                <wp:docPr id="9647264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C3230B" id="Rectangle 1" o:spid="_x0000_s1026" style="position:absolute;margin-left:147.1pt;margin-top:45.15pt;width:1in;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" fillcolor="black [3200]" strokecolor="black [480]" strokeweight="2pt">
                <v:path arrowok="t"/>
              </v:rec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123CEF29" wp14:editId="46AFA394">
            <wp:extent cx="2316804" cy="3218174"/>
            <wp:effectExtent l="76200" t="76200" r="140970" b="135255"/>
            <wp:docPr id="192153863"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5"/>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A3E8F" w14:textId="47644E7E"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p>
    <w:p w14:paraId="1B3EA1E2" w14:textId="3287A6CD" w:rsidR="00DA357C" w:rsidRPr="00595AF6" w:rsidRDefault="00DA357C" w:rsidP="00595AF6">
      <w:pPr>
        <w:jc w:val="both"/>
        <w:rPr>
          <w:rFonts w:ascii="Arial" w:hAnsi="Arial" w:cs="Arial"/>
          <w:b/>
          <w:bCs/>
          <w:sz w:val="24"/>
          <w:szCs w:val="24"/>
        </w:rPr>
      </w:pPr>
      <w:r>
        <w:rPr>
          <w:rFonts w:ascii="Times New Roman" w:hAnsi="Times New Roman"/>
          <w:b/>
          <w:bCs/>
        </w:rPr>
        <w:t xml:space="preserve">                       </w:t>
      </w:r>
      <w:r w:rsidRPr="00595AF6">
        <w:rPr>
          <w:rFonts w:ascii="Arial" w:hAnsi="Arial" w:cs="Arial"/>
          <w:b/>
          <w:bCs/>
        </w:rPr>
        <w:t xml:space="preserve">  </w:t>
      </w:r>
      <w:r w:rsidRPr="00595AF6">
        <w:rPr>
          <w:rFonts w:ascii="Arial" w:hAnsi="Arial" w:cs="Arial"/>
          <w:b/>
          <w:bCs/>
          <w:sz w:val="24"/>
          <w:szCs w:val="24"/>
        </w:rPr>
        <w:t xml:space="preserve">Fig No </w:t>
      </w:r>
      <w:r w:rsidR="001761AA">
        <w:rPr>
          <w:rFonts w:ascii="Arial" w:hAnsi="Arial" w:cs="Arial"/>
          <w:b/>
          <w:bCs/>
          <w:sz w:val="24"/>
          <w:szCs w:val="24"/>
        </w:rPr>
        <w:t>12</w:t>
      </w:r>
      <w:r w:rsidRPr="00595AF6">
        <w:rPr>
          <w:rFonts w:ascii="Arial" w:hAnsi="Arial" w:cs="Arial"/>
          <w:b/>
          <w:bCs/>
          <w:sz w:val="24"/>
          <w:szCs w:val="24"/>
        </w:rPr>
        <w:t>- Biopsy report reveals Odontogenic Keratocyst</w:t>
      </w:r>
    </w:p>
    <w:p w14:paraId="4CD51BD7" w14:textId="77777777" w:rsidR="00DA357C" w:rsidRPr="00595AF6" w:rsidRDefault="00DA357C" w:rsidP="00595AF6">
      <w:pPr>
        <w:jc w:val="both"/>
        <w:rPr>
          <w:rFonts w:ascii="Arial" w:hAnsi="Arial" w:cs="Arial"/>
          <w:b/>
          <w:bCs/>
          <w:sz w:val="36"/>
          <w:szCs w:val="36"/>
        </w:rPr>
      </w:pPr>
    </w:p>
    <w:p w14:paraId="20732A5D" w14:textId="77777777" w:rsidR="00ED6A21" w:rsidRDefault="00ED6A21" w:rsidP="00DA357C">
      <w:pPr>
        <w:rPr>
          <w:rFonts w:ascii="Times New Roman" w:hAnsi="Times New Roman"/>
          <w:b/>
          <w:bCs/>
          <w:sz w:val="36"/>
          <w:szCs w:val="36"/>
        </w:rPr>
      </w:pPr>
    </w:p>
    <w:p w14:paraId="7687EA21" w14:textId="77777777" w:rsidR="00ED6A21" w:rsidRDefault="00ED6A21" w:rsidP="00DA357C">
      <w:pPr>
        <w:rPr>
          <w:rFonts w:ascii="Times New Roman" w:hAnsi="Times New Roman"/>
          <w:b/>
          <w:bCs/>
          <w:sz w:val="36"/>
          <w:szCs w:val="36"/>
        </w:rPr>
      </w:pPr>
    </w:p>
    <w:p w14:paraId="163CF5FC" w14:textId="1BF31725" w:rsidR="00DA357C" w:rsidRPr="00ED6A21" w:rsidRDefault="00ED6A21" w:rsidP="00595AF6">
      <w:pPr>
        <w:jc w:val="both"/>
        <w:rPr>
          <w:rFonts w:ascii="Times New Roman" w:hAnsi="Times New Roman"/>
          <w:b/>
          <w:bCs/>
          <w:sz w:val="36"/>
          <w:szCs w:val="36"/>
        </w:rPr>
      </w:pPr>
      <w:r w:rsidRPr="00A811B3">
        <w:rPr>
          <w:rFonts w:ascii="Times New Roman" w:hAnsi="Times New Roman"/>
          <w:b/>
          <w:bCs/>
          <w:noProof/>
          <w:sz w:val="36"/>
          <w:szCs w:val="36"/>
        </w:rPr>
        <w:lastRenderedPageBreak/>
        <w:drawing>
          <wp:inline distT="0" distB="0" distL="0" distR="0" wp14:anchorId="4E486D02" wp14:editId="24773C75">
            <wp:extent cx="1784484" cy="2037715"/>
            <wp:effectExtent l="76200" t="76200" r="139700" b="133985"/>
            <wp:docPr id="4"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6">
                      <a:extLst>
                        <a:ext uri="{28A0092B-C50C-407E-A947-70E740481C1C}">
                          <a14:useLocalDpi xmlns:a14="http://schemas.microsoft.com/office/drawing/2010/main" val="0"/>
                        </a:ext>
                      </a:extLst>
                    </a:blip>
                    <a:srcRect l="9259" t="27129" r="27778" b="46760"/>
                    <a:stretch>
                      <a:fillRect/>
                    </a:stretch>
                  </pic:blipFill>
                  <pic:spPr>
                    <a:xfrm>
                      <a:off x="0" y="0"/>
                      <a:ext cx="1802161" cy="2057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D6A21">
        <w:rPr>
          <w:rFonts w:ascii="Times New Roman" w:hAnsi="Times New Roman"/>
          <w:b/>
          <w:bCs/>
          <w:noProof/>
          <w:sz w:val="36"/>
          <w:szCs w:val="36"/>
        </w:rPr>
        <w:t xml:space="preserve"> </w:t>
      </w:r>
      <w:r w:rsidR="00595AF6">
        <w:rPr>
          <w:rFonts w:ascii="Times New Roman" w:hAnsi="Times New Roman"/>
          <w:b/>
          <w:bCs/>
          <w:noProof/>
          <w:sz w:val="36"/>
          <w:szCs w:val="36"/>
        </w:rPr>
        <w:t xml:space="preserve">             </w:t>
      </w:r>
      <w:r w:rsidRPr="00F6196A">
        <w:rPr>
          <w:rFonts w:ascii="Times New Roman" w:hAnsi="Times New Roman"/>
          <w:b/>
          <w:bCs/>
          <w:noProof/>
          <w:sz w:val="36"/>
          <w:szCs w:val="36"/>
        </w:rPr>
        <w:drawing>
          <wp:inline distT="0" distB="0" distL="0" distR="0" wp14:anchorId="0166F58F" wp14:editId="2C1C2667">
            <wp:extent cx="1898794" cy="2091690"/>
            <wp:effectExtent l="76200" t="76200" r="139700" b="137160"/>
            <wp:docPr id="8"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27" cstate="print">
                      <a:extLst>
                        <a:ext uri="{28A0092B-C50C-407E-A947-70E740481C1C}">
                          <a14:useLocalDpi xmlns:a14="http://schemas.microsoft.com/office/drawing/2010/main" val="0"/>
                        </a:ext>
                      </a:extLst>
                    </a:blip>
                    <a:srcRect l="4084" r="1847" b="16574"/>
                    <a:stretch>
                      <a:fillRect/>
                    </a:stretch>
                  </pic:blipFill>
                  <pic:spPr>
                    <a:xfrm>
                      <a:off x="0" y="0"/>
                      <a:ext cx="1917850" cy="211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A357C" w:rsidRPr="00595AF6">
        <w:rPr>
          <w:rFonts w:ascii="Arial" w:hAnsi="Arial" w:cs="Arial"/>
          <w:b/>
          <w:bCs/>
          <w:sz w:val="24"/>
          <w:szCs w:val="24"/>
        </w:rPr>
        <w:t>Fig</w:t>
      </w:r>
      <w:r w:rsidR="00595AF6" w:rsidRPr="00595AF6">
        <w:rPr>
          <w:rFonts w:ascii="Arial" w:hAnsi="Arial" w:cs="Arial"/>
          <w:b/>
          <w:bCs/>
          <w:sz w:val="24"/>
          <w:szCs w:val="24"/>
        </w:rPr>
        <w:t>ure</w:t>
      </w:r>
      <w:r w:rsidR="00DA357C" w:rsidRPr="00595AF6">
        <w:rPr>
          <w:rFonts w:ascii="Arial" w:hAnsi="Arial" w:cs="Arial"/>
          <w:b/>
          <w:bCs/>
          <w:sz w:val="24"/>
          <w:szCs w:val="24"/>
        </w:rPr>
        <w:t xml:space="preserve"> No 1</w:t>
      </w:r>
      <w:r w:rsidR="001761AA">
        <w:rPr>
          <w:rFonts w:ascii="Arial" w:hAnsi="Arial" w:cs="Arial"/>
          <w:b/>
          <w:bCs/>
          <w:sz w:val="24"/>
          <w:szCs w:val="24"/>
        </w:rPr>
        <w:t>3</w:t>
      </w:r>
      <w:r w:rsidR="00595AF6" w:rsidRPr="00595AF6">
        <w:rPr>
          <w:rFonts w:ascii="Arial" w:hAnsi="Arial" w:cs="Arial"/>
          <w:b/>
          <w:bCs/>
          <w:sz w:val="24"/>
          <w:szCs w:val="24"/>
        </w:rPr>
        <w:t xml:space="preserve">: </w:t>
      </w:r>
      <w:r w:rsidR="00DA357C" w:rsidRPr="00595AF6">
        <w:rPr>
          <w:rFonts w:ascii="Arial" w:hAnsi="Arial" w:cs="Arial"/>
          <w:b/>
          <w:bCs/>
          <w:sz w:val="24"/>
          <w:szCs w:val="24"/>
        </w:rPr>
        <w:t>Obturator Fabricated</w:t>
      </w:r>
      <w:r w:rsidR="00595AF6" w:rsidRPr="00595AF6">
        <w:rPr>
          <w:rFonts w:ascii="Arial" w:hAnsi="Arial" w:cs="Arial"/>
          <w:b/>
          <w:bCs/>
          <w:sz w:val="24"/>
          <w:szCs w:val="24"/>
        </w:rPr>
        <w:t xml:space="preserve">       Figure</w:t>
      </w:r>
      <w:r w:rsidR="001761AA">
        <w:rPr>
          <w:rFonts w:ascii="Arial" w:hAnsi="Arial" w:cs="Arial"/>
          <w:b/>
          <w:bCs/>
          <w:sz w:val="24"/>
          <w:szCs w:val="24"/>
        </w:rPr>
        <w:t xml:space="preserve"> No </w:t>
      </w:r>
      <w:r w:rsidR="00595AF6" w:rsidRPr="00595AF6">
        <w:rPr>
          <w:rFonts w:ascii="Arial" w:hAnsi="Arial" w:cs="Arial"/>
          <w:b/>
          <w:bCs/>
          <w:sz w:val="24"/>
          <w:szCs w:val="24"/>
        </w:rPr>
        <w:t>1</w:t>
      </w:r>
      <w:r w:rsidR="001761AA">
        <w:rPr>
          <w:rFonts w:ascii="Arial" w:hAnsi="Arial" w:cs="Arial"/>
          <w:b/>
          <w:bCs/>
          <w:sz w:val="24"/>
          <w:szCs w:val="24"/>
        </w:rPr>
        <w:t>4</w:t>
      </w:r>
      <w:r w:rsidR="00595AF6" w:rsidRPr="00595AF6">
        <w:rPr>
          <w:rFonts w:ascii="Arial" w:hAnsi="Arial" w:cs="Arial"/>
          <w:b/>
          <w:bCs/>
          <w:sz w:val="24"/>
          <w:szCs w:val="24"/>
        </w:rPr>
        <w:t>: Obturating closing Bony Defect</w:t>
      </w:r>
    </w:p>
    <w:p w14:paraId="3BB59193" w14:textId="77777777" w:rsidR="00DA357C" w:rsidRDefault="00DA357C" w:rsidP="00595AF6">
      <w:pPr>
        <w:jc w:val="both"/>
        <w:rPr>
          <w:rFonts w:ascii="Times New Roman" w:hAnsi="Times New Roman"/>
          <w:b/>
          <w:bCs/>
          <w:sz w:val="36"/>
          <w:szCs w:val="36"/>
        </w:rPr>
      </w:pPr>
    </w:p>
    <w:p w14:paraId="6CD9F48F" w14:textId="77777777" w:rsidR="00ED6A21" w:rsidRDefault="00ED6A21" w:rsidP="00DA357C">
      <w:pPr>
        <w:rPr>
          <w:rFonts w:ascii="Arial" w:hAnsi="Arial" w:cs="Arial"/>
          <w:b/>
          <w:bCs/>
          <w:sz w:val="22"/>
          <w:szCs w:val="22"/>
        </w:rPr>
      </w:pPr>
    </w:p>
    <w:p w14:paraId="5FE2C293" w14:textId="77777777" w:rsidR="00ED6A21" w:rsidRDefault="00ED6A21" w:rsidP="00DA357C">
      <w:pPr>
        <w:rPr>
          <w:rFonts w:ascii="Arial" w:hAnsi="Arial" w:cs="Arial"/>
          <w:b/>
          <w:bCs/>
          <w:sz w:val="22"/>
          <w:szCs w:val="22"/>
        </w:rPr>
      </w:pPr>
    </w:p>
    <w:p w14:paraId="3B9143F3" w14:textId="77777777" w:rsidR="00ED6A21" w:rsidRDefault="00ED6A21" w:rsidP="00DA357C">
      <w:pPr>
        <w:rPr>
          <w:rFonts w:ascii="Arial" w:hAnsi="Arial" w:cs="Arial"/>
          <w:b/>
          <w:bCs/>
          <w:sz w:val="22"/>
          <w:szCs w:val="22"/>
        </w:rPr>
      </w:pPr>
    </w:p>
    <w:p w14:paraId="3F9E83C0" w14:textId="31793CFB"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Clinical and Radiographic Evaluation</w:t>
      </w:r>
      <w:r w:rsidRPr="008B71B0">
        <w:rPr>
          <w:rFonts w:ascii="Arial" w:hAnsi="Arial" w:cs="Arial"/>
          <w:b/>
          <w:bCs/>
          <w:sz w:val="22"/>
          <w:szCs w:val="22"/>
        </w:rPr>
        <w:t xml:space="preserve">: Intraoral examination confirmed discharge in the posterior mandible. A preoperative orthopantomogram (OPG) revealed a large radiolucent lesion in the right mandible involving the 41 to 48 tooth </w:t>
      </w:r>
      <w:proofErr w:type="gramStart"/>
      <w:r w:rsidRPr="008B71B0">
        <w:rPr>
          <w:rFonts w:ascii="Arial" w:hAnsi="Arial" w:cs="Arial"/>
          <w:b/>
          <w:bCs/>
          <w:sz w:val="22"/>
          <w:szCs w:val="22"/>
        </w:rPr>
        <w:t>region</w:t>
      </w:r>
      <w:proofErr w:type="gramEnd"/>
      <w:r w:rsidRPr="008B71B0">
        <w:rPr>
          <w:rFonts w:ascii="Arial" w:hAnsi="Arial" w:cs="Arial"/>
          <w:b/>
          <w:bCs/>
          <w:sz w:val="22"/>
          <w:szCs w:val="22"/>
        </w:rPr>
        <w:t>. Fine Needle Aspiration Cytology (FNAC) was performed, providing clinical evidence of an Odontogenic Keratocyst.</w:t>
      </w:r>
    </w:p>
    <w:p w14:paraId="3F31444D" w14:textId="2B80D9A0"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Surgical Procedure:</w:t>
      </w:r>
      <w:r w:rsidRPr="008B71B0">
        <w:rPr>
          <w:rFonts w:ascii="Arial" w:hAnsi="Arial" w:cs="Arial"/>
          <w:b/>
          <w:bCs/>
          <w:sz w:val="22"/>
          <w:szCs w:val="22"/>
        </w:rPr>
        <w:t xml:space="preserve"> Under appropriate anesthesia, a full-thickness mucoperiosteal flap was raised through a standard incision. The cystic lesion was enucleated, and thorough curettage was performed on the bony walls. To address potential microscopic remnants, 5-Fluorouracil (5-FU) ointment was applied to the surgical site. The area was then packed with ribbon gauze and the flap was sutured.</w:t>
      </w:r>
    </w:p>
    <w:p w14:paraId="601618DC" w14:textId="4AEF18A2" w:rsidR="00DA357C" w:rsidRPr="008B71B0" w:rsidRDefault="00DA357C" w:rsidP="00D85332">
      <w:pPr>
        <w:pStyle w:val="ListParagraph"/>
        <w:rPr>
          <w:rFonts w:ascii="Arial" w:hAnsi="Arial" w:cs="Arial"/>
          <w:b/>
          <w:bCs/>
          <w:sz w:val="22"/>
          <w:szCs w:val="22"/>
        </w:rPr>
      </w:pPr>
      <w:r w:rsidRPr="008B71B0">
        <w:rPr>
          <w:rFonts w:ascii="Arial" w:hAnsi="Arial" w:cs="Arial"/>
          <w:b/>
          <w:bCs/>
          <w:sz w:val="28"/>
          <w:szCs w:val="28"/>
        </w:rPr>
        <w:t>Follow-up</w:t>
      </w:r>
      <w:r w:rsidRPr="008B71B0">
        <w:rPr>
          <w:rFonts w:ascii="Arial" w:hAnsi="Arial" w:cs="Arial"/>
          <w:b/>
          <w:bCs/>
          <w:sz w:val="22"/>
          <w:szCs w:val="22"/>
        </w:rPr>
        <w:t>: A biopsy specimen was sent for histopathological examination, which confirmed the diagnosis of OKC. The patient was monitored at multiple intervals (1st, 2nd, and 3rd follow-up visits). Clinical healing was satisfactory, with no signs of neurosensory deficit or immediate recurrence.</w:t>
      </w:r>
    </w:p>
    <w:p w14:paraId="4AC4966C" w14:textId="77777777" w:rsidR="00DA357C" w:rsidRPr="00DA357C" w:rsidRDefault="00000000" w:rsidP="00DA357C">
      <w:pPr>
        <w:rPr>
          <w:rFonts w:ascii="Arial" w:hAnsi="Arial" w:cs="Arial"/>
          <w:b/>
          <w:bCs/>
          <w:sz w:val="22"/>
          <w:szCs w:val="22"/>
        </w:rPr>
      </w:pPr>
      <w:r>
        <w:rPr>
          <w:rFonts w:ascii="Arial" w:hAnsi="Arial" w:cs="Arial"/>
          <w:b/>
          <w:bCs/>
          <w:sz w:val="22"/>
          <w:szCs w:val="22"/>
        </w:rPr>
        <w:pict w14:anchorId="375C933D">
          <v:rect id="_x0000_i1026" style="width:0;height:1.5pt" o:hralign="center" o:hrstd="t" o:hr="t" fillcolor="#a0a0a0" stroked="f"/>
        </w:pict>
      </w:r>
    </w:p>
    <w:p w14:paraId="58525252" w14:textId="1CCDE9AC" w:rsidR="003C7933" w:rsidRPr="003C7933" w:rsidRDefault="00DA357C" w:rsidP="000348AA">
      <w:pPr>
        <w:pStyle w:val="ListParagraph"/>
        <w:numPr>
          <w:ilvl w:val="0"/>
          <w:numId w:val="33"/>
        </w:numPr>
        <w:rPr>
          <w:rFonts w:ascii="Arial" w:hAnsi="Arial" w:cs="Arial"/>
          <w:b/>
          <w:bCs/>
          <w:sz w:val="22"/>
          <w:szCs w:val="22"/>
        </w:rPr>
      </w:pPr>
      <w:r w:rsidRPr="003C7933">
        <w:rPr>
          <w:rFonts w:ascii="Arial" w:hAnsi="Arial" w:cs="Arial"/>
          <w:b/>
          <w:bCs/>
          <w:sz w:val="28"/>
          <w:szCs w:val="28"/>
        </w:rPr>
        <w:t>Discussion</w:t>
      </w:r>
    </w:p>
    <w:p w14:paraId="692CF8F1"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The management of Odontogenic Keratocysts (OKC) remains one of the most debated topics in oral and maxillofacial surgery due to the lesion's high recurrence rate and locally aggressive growth pattern. Originally recognized as a developmental cyst, its categorization has fluctuated between a cyst and a tumor (</w:t>
      </w:r>
      <w:proofErr w:type="spellStart"/>
      <w:r w:rsidRPr="003C7933">
        <w:rPr>
          <w:rFonts w:ascii="Arial" w:hAnsi="Arial" w:cs="Arial"/>
          <w:b/>
          <w:bCs/>
          <w:sz w:val="24"/>
          <w:szCs w:val="24"/>
        </w:rPr>
        <w:t>Keratocystic</w:t>
      </w:r>
      <w:proofErr w:type="spellEnd"/>
      <w:r w:rsidRPr="003C7933">
        <w:rPr>
          <w:rFonts w:ascii="Arial" w:hAnsi="Arial" w:cs="Arial"/>
          <w:b/>
          <w:bCs/>
          <w:sz w:val="24"/>
          <w:szCs w:val="24"/>
        </w:rPr>
        <w:t xml:space="preserve"> Odontogenic Tumor) in WHO classifications, reflecting its unique </w:t>
      </w:r>
      <w:r w:rsidRPr="003C7933">
        <w:rPr>
          <w:rFonts w:ascii="Arial" w:hAnsi="Arial" w:cs="Arial"/>
          <w:b/>
          <w:bCs/>
          <w:sz w:val="24"/>
          <w:szCs w:val="24"/>
        </w:rPr>
        <w:lastRenderedPageBreak/>
        <w:t xml:space="preserve">neoplastic-like characteristics, such as high mitotic activity and the presence of PTCH gene </w:t>
      </w:r>
      <w:proofErr w:type="gramStart"/>
      <w:r w:rsidRPr="003C7933">
        <w:rPr>
          <w:rFonts w:ascii="Arial" w:hAnsi="Arial" w:cs="Arial"/>
          <w:b/>
          <w:bCs/>
          <w:sz w:val="24"/>
          <w:szCs w:val="24"/>
        </w:rPr>
        <w:t>mutations.¹</w:t>
      </w:r>
      <w:proofErr w:type="gramEnd"/>
      <w:r w:rsidRPr="003C7933">
        <w:rPr>
          <w:rFonts w:ascii="Cambria Math" w:hAnsi="Cambria Math" w:cs="Cambria Math"/>
          <w:b/>
          <w:bCs/>
          <w:sz w:val="24"/>
          <w:szCs w:val="24"/>
        </w:rPr>
        <w:t>⁻</w:t>
      </w:r>
      <w:r w:rsidRPr="003C7933">
        <w:rPr>
          <w:rFonts w:ascii="Arial" w:hAnsi="Arial" w:cs="Arial"/>
          <w:b/>
          <w:bCs/>
          <w:sz w:val="24"/>
          <w:szCs w:val="24"/>
        </w:rPr>
        <w:t>³</w:t>
      </w:r>
    </w:p>
    <w:p w14:paraId="7D5717A1"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The high recurrence rate of OKC, historically reported between 2.5% and 62%, is primarily attributed to the thin, friable epithelial lining that is difficult to enucleate in one piece, and the presence of "daughter" or satellite cysts within the fibrous capsule or adjacent bone.⁵ Historically, aggressive treatments such as radical resection were favored to ensure complete eradication; however, these lead to significant morbidity, including facial deformity, loss of teeth, and the need for complex reconstructive surgery.</w:t>
      </w:r>
    </w:p>
    <w:p w14:paraId="113272C7"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 xml:space="preserve">To bridge the gap between conservative enucleation and radical resection, chemical adjuvants have been employed. Carnoy’s solution (consisting of absolute alcohol, chloroform, glacial acetic acid, and ferric chloride) was the traditional choice. However, the FDA’s ban on chloroform due to its carcinogenic potential led to the development of "Modified Carnoy’s Solution," which many studies suggest is less </w:t>
      </w:r>
      <w:proofErr w:type="gramStart"/>
      <w:r w:rsidRPr="003C7933">
        <w:rPr>
          <w:rFonts w:ascii="Arial" w:hAnsi="Arial" w:cs="Arial"/>
          <w:b/>
          <w:bCs/>
          <w:sz w:val="24"/>
          <w:szCs w:val="24"/>
        </w:rPr>
        <w:t>effective.⁶</w:t>
      </w:r>
      <w:proofErr w:type="gramEnd"/>
      <w:r w:rsidRPr="003C7933">
        <w:rPr>
          <w:rFonts w:ascii="Arial" w:hAnsi="Arial" w:cs="Arial"/>
          <w:b/>
          <w:bCs/>
          <w:sz w:val="24"/>
          <w:szCs w:val="24"/>
        </w:rPr>
        <w:t xml:space="preserve"> Furthermore, Carnoy’s solution is non-selective and can lead to bone necrosis or permanent damage to the inferior alveolar nerve if the lesion is in close proximity to the mandibular </w:t>
      </w:r>
      <w:proofErr w:type="gramStart"/>
      <w:r w:rsidRPr="003C7933">
        <w:rPr>
          <w:rFonts w:ascii="Arial" w:hAnsi="Arial" w:cs="Arial"/>
          <w:b/>
          <w:bCs/>
          <w:sz w:val="24"/>
          <w:szCs w:val="24"/>
        </w:rPr>
        <w:t>canal.¹</w:t>
      </w:r>
      <w:proofErr w:type="gramEnd"/>
      <w:r w:rsidRPr="003C7933">
        <w:rPr>
          <w:rFonts w:ascii="Arial" w:hAnsi="Arial" w:cs="Arial"/>
          <w:b/>
          <w:bCs/>
          <w:sz w:val="24"/>
          <w:szCs w:val="24"/>
        </w:rPr>
        <w:t>¹</w:t>
      </w:r>
    </w:p>
    <w:p w14:paraId="5769F65C"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 xml:space="preserve">The shift toward 5-Fluorouracil (5-FU) represents a milestone in "targeted" medicinal surgery for OKCs. As an antimetabolite and pyrimidine analog, 5-FU interferes with DNA synthesis by inhibiting thymidylate </w:t>
      </w:r>
      <w:proofErr w:type="gramStart"/>
      <w:r w:rsidRPr="003C7933">
        <w:rPr>
          <w:rFonts w:ascii="Arial" w:hAnsi="Arial" w:cs="Arial"/>
          <w:b/>
          <w:bCs/>
          <w:sz w:val="24"/>
          <w:szCs w:val="24"/>
        </w:rPr>
        <w:t>synthase.⁷</w:t>
      </w:r>
      <w:proofErr w:type="gramEnd"/>
      <w:r w:rsidRPr="003C7933">
        <w:rPr>
          <w:rFonts w:ascii="Arial" w:hAnsi="Arial" w:cs="Arial"/>
          <w:b/>
          <w:bCs/>
          <w:sz w:val="24"/>
          <w:szCs w:val="24"/>
        </w:rPr>
        <w:t xml:space="preserve"> </w:t>
      </w:r>
      <w:proofErr w:type="gramStart"/>
      <w:r w:rsidRPr="003C7933">
        <w:rPr>
          <w:rFonts w:ascii="Arial" w:hAnsi="Arial" w:cs="Arial"/>
          <w:b/>
          <w:bCs/>
          <w:sz w:val="24"/>
          <w:szCs w:val="24"/>
        </w:rPr>
        <w:t>In</w:t>
      </w:r>
      <w:proofErr w:type="gramEnd"/>
      <w:r w:rsidRPr="003C7933">
        <w:rPr>
          <w:rFonts w:ascii="Arial" w:hAnsi="Arial" w:cs="Arial"/>
          <w:b/>
          <w:bCs/>
          <w:sz w:val="24"/>
          <w:szCs w:val="24"/>
        </w:rPr>
        <w:t xml:space="preserve"> the context of an OKC, 5-FU specifically targets the rapidly proliferating odontogenic epithelial cells. When applied topically following enucleation, it induces apoptosis in any remaining microscopic remnants or satellite </w:t>
      </w:r>
      <w:proofErr w:type="gramStart"/>
      <w:r w:rsidRPr="003C7933">
        <w:rPr>
          <w:rFonts w:ascii="Arial" w:hAnsi="Arial" w:cs="Arial"/>
          <w:b/>
          <w:bCs/>
          <w:sz w:val="24"/>
          <w:szCs w:val="24"/>
        </w:rPr>
        <w:t>cysts.⁸</w:t>
      </w:r>
      <w:proofErr w:type="gramEnd"/>
      <w:r w:rsidRPr="003C7933">
        <w:rPr>
          <w:rFonts w:ascii="Arial" w:hAnsi="Arial" w:cs="Arial"/>
          <w:b/>
          <w:bCs/>
          <w:sz w:val="24"/>
          <w:szCs w:val="24"/>
        </w:rPr>
        <w:t>,⁹</w:t>
      </w:r>
    </w:p>
    <w:p w14:paraId="171D1EDC"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 xml:space="preserve">Clinical studies by </w:t>
      </w:r>
      <w:proofErr w:type="spellStart"/>
      <w:r w:rsidRPr="003C7933">
        <w:rPr>
          <w:rFonts w:ascii="Arial" w:hAnsi="Arial" w:cs="Arial"/>
          <w:b/>
          <w:bCs/>
          <w:sz w:val="24"/>
          <w:szCs w:val="24"/>
        </w:rPr>
        <w:t>Dashow</w:t>
      </w:r>
      <w:proofErr w:type="spellEnd"/>
      <w:r w:rsidRPr="003C7933">
        <w:rPr>
          <w:rFonts w:ascii="Arial" w:hAnsi="Arial" w:cs="Arial"/>
          <w:b/>
          <w:bCs/>
          <w:sz w:val="24"/>
          <w:szCs w:val="24"/>
        </w:rPr>
        <w:t xml:space="preserve"> et al. and </w:t>
      </w:r>
      <w:proofErr w:type="spellStart"/>
      <w:r w:rsidRPr="003C7933">
        <w:rPr>
          <w:rFonts w:ascii="Arial" w:hAnsi="Arial" w:cs="Arial"/>
          <w:b/>
          <w:bCs/>
          <w:sz w:val="24"/>
          <w:szCs w:val="24"/>
        </w:rPr>
        <w:t>Ledderhof</w:t>
      </w:r>
      <w:proofErr w:type="spellEnd"/>
      <w:r w:rsidRPr="003C7933">
        <w:rPr>
          <w:rFonts w:ascii="Arial" w:hAnsi="Arial" w:cs="Arial"/>
          <w:b/>
          <w:bCs/>
          <w:sz w:val="24"/>
          <w:szCs w:val="24"/>
        </w:rPr>
        <w:t xml:space="preserve"> et al. have demonstrated that 5-FU achieves recurrence rates comparable to or better than Carnoy’s solution (approximately 0–10%) without the associated risks of nerve paresthesia or extensive sequestrum </w:t>
      </w:r>
      <w:proofErr w:type="gramStart"/>
      <w:r w:rsidRPr="003C7933">
        <w:rPr>
          <w:rFonts w:ascii="Arial" w:hAnsi="Arial" w:cs="Arial"/>
          <w:b/>
          <w:bCs/>
          <w:sz w:val="24"/>
          <w:szCs w:val="24"/>
        </w:rPr>
        <w:t>formation.⁷</w:t>
      </w:r>
      <w:proofErr w:type="gramEnd"/>
      <w:r w:rsidRPr="003C7933">
        <w:rPr>
          <w:rFonts w:ascii="Arial" w:hAnsi="Arial" w:cs="Arial"/>
          <w:b/>
          <w:bCs/>
          <w:sz w:val="24"/>
          <w:szCs w:val="24"/>
        </w:rPr>
        <w:t xml:space="preserve">,¹³ </w:t>
      </w:r>
      <w:proofErr w:type="gramStart"/>
      <w:r w:rsidRPr="003C7933">
        <w:rPr>
          <w:rFonts w:ascii="Arial" w:hAnsi="Arial" w:cs="Arial"/>
          <w:b/>
          <w:bCs/>
          <w:sz w:val="24"/>
          <w:szCs w:val="24"/>
        </w:rPr>
        <w:t>In</w:t>
      </w:r>
      <w:proofErr w:type="gramEnd"/>
      <w:r w:rsidRPr="003C7933">
        <w:rPr>
          <w:rFonts w:ascii="Arial" w:hAnsi="Arial" w:cs="Arial"/>
          <w:b/>
          <w:bCs/>
          <w:sz w:val="24"/>
          <w:szCs w:val="24"/>
        </w:rPr>
        <w:t xml:space="preserve"> the present case, the application of a 5-</w:t>
      </w:r>
      <w:proofErr w:type="gramStart"/>
      <w:r w:rsidRPr="003C7933">
        <w:rPr>
          <w:rFonts w:ascii="Arial" w:hAnsi="Arial" w:cs="Arial"/>
          <w:b/>
          <w:bCs/>
          <w:sz w:val="24"/>
          <w:szCs w:val="24"/>
        </w:rPr>
        <w:t>FU soaked</w:t>
      </w:r>
      <w:proofErr w:type="gramEnd"/>
      <w:r w:rsidRPr="003C7933">
        <w:rPr>
          <w:rFonts w:ascii="Arial" w:hAnsi="Arial" w:cs="Arial"/>
          <w:b/>
          <w:bCs/>
          <w:sz w:val="24"/>
          <w:szCs w:val="24"/>
        </w:rPr>
        <w:t xml:space="preserve"> gauze for 24 hours allowed for a localized, high-concentration delivery of the drug. This protocol ensured that the medication reached the peripheral bone without systemic toxicity, which is consistent with the lack of neurosensory deficits observed in our 3-month follow-up.</w:t>
      </w:r>
    </w:p>
    <w:p w14:paraId="5335A5ED" w14:textId="77777777" w:rsidR="003C7933" w:rsidRPr="003C7933" w:rsidRDefault="003C7933" w:rsidP="003C7933">
      <w:pPr>
        <w:ind w:left="360"/>
        <w:rPr>
          <w:rFonts w:ascii="Arial" w:hAnsi="Arial" w:cs="Arial"/>
          <w:b/>
          <w:bCs/>
          <w:sz w:val="24"/>
          <w:szCs w:val="24"/>
        </w:rPr>
      </w:pPr>
      <w:r w:rsidRPr="003C7933">
        <w:rPr>
          <w:rFonts w:ascii="Arial" w:hAnsi="Arial" w:cs="Arial"/>
          <w:b/>
          <w:bCs/>
          <w:sz w:val="24"/>
          <w:szCs w:val="24"/>
        </w:rPr>
        <w:t xml:space="preserve">Furthermore, the observation of bone regeneration in this patient’s follow-up OPG highlights another advantage: unlike more caustic agents, 5-FU appears to be better tolerated by the surrounding osteoblasts, facilitating a more rapid and robust healing of the bony defect.¹⁴ While this case shows excellent short-term results, the known late-recurrence patterns of OKC—sometimes occurring 10 </w:t>
      </w:r>
      <w:r w:rsidRPr="003C7933">
        <w:rPr>
          <w:rFonts w:ascii="Arial" w:hAnsi="Arial" w:cs="Arial"/>
          <w:b/>
          <w:bCs/>
          <w:sz w:val="24"/>
          <w:szCs w:val="24"/>
        </w:rPr>
        <w:lastRenderedPageBreak/>
        <w:t>years post-operatively—necessitate a long-term clinical and radiographic surveillance protocol.</w:t>
      </w:r>
    </w:p>
    <w:p w14:paraId="07D29581" w14:textId="115D9AF1" w:rsidR="00923BEF" w:rsidRPr="003C7933" w:rsidRDefault="008B71B0" w:rsidP="003C7933">
      <w:pPr>
        <w:rPr>
          <w:rFonts w:ascii="Arial" w:hAnsi="Arial" w:cs="Arial"/>
          <w:b/>
          <w:bCs/>
          <w:sz w:val="22"/>
          <w:szCs w:val="22"/>
        </w:rPr>
      </w:pPr>
      <w:r w:rsidRPr="003C7933">
        <w:rPr>
          <w:rFonts w:ascii="Arial" w:hAnsi="Arial" w:cs="Arial"/>
          <w:b/>
          <w:bCs/>
          <w:sz w:val="22"/>
          <w:szCs w:val="22"/>
        </w:rPr>
        <w:t xml:space="preserve">     </w:t>
      </w:r>
    </w:p>
    <w:p w14:paraId="004A2901" w14:textId="77777777" w:rsidR="00DA357C" w:rsidRPr="00DA357C" w:rsidRDefault="00000000" w:rsidP="00DA357C">
      <w:pPr>
        <w:rPr>
          <w:rFonts w:ascii="Arial" w:hAnsi="Arial" w:cs="Arial"/>
          <w:b/>
          <w:bCs/>
          <w:sz w:val="22"/>
          <w:szCs w:val="22"/>
        </w:rPr>
      </w:pPr>
      <w:r>
        <w:rPr>
          <w:rFonts w:ascii="Arial" w:hAnsi="Arial" w:cs="Arial"/>
          <w:b/>
          <w:bCs/>
          <w:sz w:val="22"/>
          <w:szCs w:val="22"/>
        </w:rPr>
        <w:pict w14:anchorId="75896F43">
          <v:rect id="_x0000_i1027" style="width:0;height:1.5pt" o:hralign="center" o:hrstd="t" o:hr="t" fillcolor="#a0a0a0" stroked="f"/>
        </w:pict>
      </w:r>
    </w:p>
    <w:p w14:paraId="12488381" w14:textId="0CDE1786" w:rsidR="00315186" w:rsidRPr="00315186" w:rsidRDefault="00DA357C" w:rsidP="003C7933">
      <w:pPr>
        <w:pStyle w:val="ListParagraph"/>
        <w:numPr>
          <w:ilvl w:val="0"/>
          <w:numId w:val="33"/>
        </w:numPr>
      </w:pPr>
      <w:r w:rsidRPr="00D85332">
        <w:rPr>
          <w:rFonts w:ascii="Arial" w:hAnsi="Arial" w:cs="Arial"/>
          <w:b/>
          <w:bCs/>
          <w:sz w:val="28"/>
          <w:szCs w:val="28"/>
        </w:rPr>
        <w:t>Conclusion</w:t>
      </w:r>
      <w:r w:rsidR="003C7933">
        <w:rPr>
          <w:rFonts w:ascii="Arial" w:hAnsi="Arial" w:cs="Arial"/>
          <w:b/>
          <w:bCs/>
          <w:sz w:val="28"/>
          <w:szCs w:val="28"/>
        </w:rPr>
        <w:t xml:space="preserve">: </w:t>
      </w:r>
      <w:r w:rsidR="003C7933" w:rsidRPr="003C7933">
        <w:rPr>
          <w:rFonts w:ascii="Arial" w:hAnsi="Arial" w:cs="Arial"/>
          <w:b/>
          <w:bCs/>
          <w:sz w:val="24"/>
          <w:szCs w:val="24"/>
        </w:rPr>
        <w:t>This case highlights that conservative enucleation combined with 5-Fluorouracil is an effective management strategy for large Mandibular Odontogenic Keratocysts. This approach minimizes surgical morbidity and prevents neurosensory deficits while providing a robust mechanism to reduce recurrence. Long-term follow-up remains essential.</w:t>
      </w:r>
    </w:p>
    <w:p w14:paraId="02E9AA95" w14:textId="77777777" w:rsidR="00315186" w:rsidRPr="00315186" w:rsidRDefault="00315186" w:rsidP="00441B6F"/>
    <w:p w14:paraId="29C61FBC" w14:textId="77777777" w:rsidR="00DA51D4" w:rsidRDefault="00860000" w:rsidP="00441B6F">
      <w:pPr>
        <w:pStyle w:val="ReferHead"/>
        <w:spacing w:after="0"/>
        <w:jc w:val="both"/>
        <w:rPr>
          <w:rFonts w:ascii="Arial" w:hAnsi="Arial" w:cs="Arial"/>
          <w:bCs/>
        </w:rPr>
      </w:pPr>
      <w:r w:rsidRPr="00786D36">
        <w:rPr>
          <w:rFonts w:ascii="Arial" w:hAnsi="Arial" w:cs="Arial"/>
          <w:bCs/>
        </w:rPr>
        <w:t>Competing interests</w:t>
      </w:r>
      <w:r w:rsidR="00DA51D4">
        <w:rPr>
          <w:rFonts w:ascii="Arial" w:hAnsi="Arial" w:cs="Arial"/>
          <w:bCs/>
        </w:rPr>
        <w:t>:</w:t>
      </w:r>
    </w:p>
    <w:p w14:paraId="23D12A7F" w14:textId="152C29F8" w:rsidR="003C7933" w:rsidRDefault="00E66E10" w:rsidP="00441B6F">
      <w:pPr>
        <w:pStyle w:val="ReferHead"/>
        <w:spacing w:after="0"/>
        <w:jc w:val="both"/>
        <w:rPr>
          <w:rFonts w:ascii="Arial" w:hAnsi="Arial" w:cs="Arial"/>
          <w:b w:val="0"/>
          <w:caps w:val="0"/>
          <w:sz w:val="20"/>
          <w:u w:val="single"/>
        </w:rPr>
      </w:pPr>
      <w:r w:rsidRPr="00F469F0">
        <w:rPr>
          <w:rFonts w:ascii="Arial" w:hAnsi="Arial" w:cs="Arial"/>
          <w:b w:val="0"/>
          <w:caps w:val="0"/>
          <w:sz w:val="20"/>
          <w:u w:val="single"/>
        </w:rPr>
        <w:t>Authors have declared that no competing interests exist.</w:t>
      </w:r>
    </w:p>
    <w:p w14:paraId="6800D86E" w14:textId="77777777" w:rsidR="00303BB8" w:rsidRDefault="00303BB8" w:rsidP="00441B6F">
      <w:pPr>
        <w:pStyle w:val="ReferHead"/>
        <w:spacing w:after="0"/>
        <w:jc w:val="both"/>
        <w:rPr>
          <w:rFonts w:ascii="Arial" w:hAnsi="Arial" w:cs="Arial"/>
          <w:b w:val="0"/>
          <w:caps w:val="0"/>
          <w:sz w:val="20"/>
          <w:u w:val="single"/>
        </w:rPr>
      </w:pPr>
    </w:p>
    <w:p w14:paraId="424AA3D9" w14:textId="14955121" w:rsidR="00303BB8" w:rsidRPr="00303BB8" w:rsidRDefault="00303BB8" w:rsidP="00441B6F">
      <w:pPr>
        <w:pStyle w:val="ReferHead"/>
        <w:spacing w:after="0"/>
        <w:jc w:val="both"/>
        <w:rPr>
          <w:rFonts w:ascii="Arial" w:hAnsi="Arial" w:cs="Arial"/>
          <w:bCs/>
          <w:caps w:val="0"/>
          <w:sz w:val="24"/>
          <w:szCs w:val="24"/>
        </w:rPr>
      </w:pPr>
      <w:r w:rsidRPr="00303BB8">
        <w:rPr>
          <w:rFonts w:ascii="Arial" w:hAnsi="Arial" w:cs="Arial"/>
          <w:bCs/>
          <w:caps w:val="0"/>
          <w:sz w:val="24"/>
          <w:szCs w:val="24"/>
        </w:rPr>
        <w:t>ETHICAL CLEARANCE: No ethical clearance needed in case report</w:t>
      </w:r>
    </w:p>
    <w:p w14:paraId="243C0F60" w14:textId="77777777" w:rsidR="00371FB6" w:rsidRDefault="00371FB6" w:rsidP="00441B6F">
      <w:pPr>
        <w:pStyle w:val="ReferHead"/>
        <w:spacing w:after="0"/>
        <w:jc w:val="both"/>
        <w:rPr>
          <w:rFonts w:ascii="Arial" w:hAnsi="Arial" w:cs="Arial"/>
          <w:b w:val="0"/>
          <w:caps w:val="0"/>
          <w:sz w:val="20"/>
        </w:rPr>
      </w:pPr>
    </w:p>
    <w:p w14:paraId="68B9442A" w14:textId="77777777" w:rsidR="002B685A" w:rsidRDefault="002B685A" w:rsidP="00441B6F">
      <w:pPr>
        <w:pStyle w:val="ReferHead"/>
        <w:spacing w:after="0"/>
        <w:jc w:val="both"/>
        <w:rPr>
          <w:rFonts w:ascii="Arial" w:hAnsi="Arial" w:cs="Arial"/>
          <w:b w:val="0"/>
          <w:caps w:val="0"/>
          <w:sz w:val="20"/>
        </w:rPr>
      </w:pPr>
    </w:p>
    <w:p w14:paraId="4AC900CB" w14:textId="77777777" w:rsidR="00E00612" w:rsidRPr="00E00612" w:rsidRDefault="00E00612" w:rsidP="00E00612">
      <w:pPr>
        <w:spacing w:after="200" w:line="276" w:lineRule="auto"/>
        <w:rPr>
          <w:rFonts w:ascii="Arial" w:eastAsiaTheme="minorEastAsia" w:hAnsi="Arial" w:cs="Arial"/>
          <w:b/>
          <w:bCs/>
          <w:sz w:val="22"/>
          <w:szCs w:val="22"/>
          <w:lang w:val="en-GB" w:eastAsia="en-GB"/>
        </w:rPr>
      </w:pPr>
      <w:r w:rsidRPr="00E00612">
        <w:rPr>
          <w:rFonts w:ascii="Arial" w:eastAsiaTheme="minorEastAsia" w:hAnsi="Arial" w:cs="Arial"/>
          <w:b/>
          <w:bCs/>
          <w:sz w:val="22"/>
          <w:szCs w:val="22"/>
          <w:lang w:val="en-GB" w:eastAsia="en-GB"/>
        </w:rPr>
        <w:t>COMPETING INTERESTS DISCLAIMER:</w:t>
      </w:r>
    </w:p>
    <w:p w14:paraId="1C305732" w14:textId="77777777" w:rsidR="00E00612" w:rsidRPr="00E00612" w:rsidRDefault="00E00612" w:rsidP="00E00612">
      <w:pPr>
        <w:spacing w:after="200" w:line="276" w:lineRule="auto"/>
        <w:rPr>
          <w:rFonts w:asciiTheme="minorHAnsi" w:eastAsiaTheme="minorEastAsia" w:hAnsiTheme="minorHAnsi" w:cstheme="minorBidi"/>
          <w:sz w:val="22"/>
          <w:szCs w:val="22"/>
          <w:lang w:val="en-GB" w:eastAsia="en-GB"/>
        </w:rPr>
      </w:pPr>
      <w:r w:rsidRPr="00E0061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DA0E299" w14:textId="77777777" w:rsidR="00C021A0" w:rsidRPr="00005ED1" w:rsidRDefault="00C021A0" w:rsidP="00C021A0">
      <w:pPr>
        <w:pStyle w:val="NoSpacing"/>
        <w:rPr>
          <w:rFonts w:ascii="Arial" w:hAnsi="Arial" w:cs="Arial"/>
          <w:highlight w:val="yellow"/>
        </w:rPr>
      </w:pPr>
      <w:bookmarkStart w:id="0" w:name="_Hlk219284361"/>
      <w:bookmarkStart w:id="1" w:name="_Hlk198031404"/>
      <w:bookmarkStart w:id="2" w:name="_Hlk219128673"/>
      <w:r w:rsidRPr="00005ED1">
        <w:rPr>
          <w:rFonts w:ascii="Arial" w:hAnsi="Arial" w:cs="Arial"/>
          <w:highlight w:val="yellow"/>
        </w:rPr>
        <w:t>Disclaimer (Artificial intelligence)</w:t>
      </w:r>
    </w:p>
    <w:p w14:paraId="7021B19D" w14:textId="77777777" w:rsidR="00C021A0" w:rsidRPr="00005ED1" w:rsidRDefault="00C021A0" w:rsidP="00C021A0">
      <w:pPr>
        <w:pStyle w:val="NoSpacing"/>
        <w:rPr>
          <w:rFonts w:ascii="Arial" w:hAnsi="Arial" w:cs="Arial"/>
          <w:highlight w:val="yellow"/>
        </w:rPr>
      </w:pPr>
    </w:p>
    <w:p w14:paraId="57A7D06A" w14:textId="77777777" w:rsidR="00C021A0" w:rsidRPr="00005ED1" w:rsidRDefault="00C021A0" w:rsidP="00C021A0">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5BF3606D" w14:textId="77777777" w:rsidR="00C021A0" w:rsidRDefault="00C021A0" w:rsidP="00C021A0">
      <w:pPr>
        <w:pStyle w:val="NoSpacing"/>
        <w:rPr>
          <w:rFonts w:ascii="Arial" w:hAnsi="Arial" w:cs="Arial"/>
        </w:rPr>
      </w:pPr>
    </w:p>
    <w:bookmarkEnd w:id="2"/>
    <w:p w14:paraId="07862ABB" w14:textId="77777777" w:rsidR="002B685A" w:rsidRPr="002B685A" w:rsidRDefault="002B685A" w:rsidP="00441B6F">
      <w:pPr>
        <w:pStyle w:val="ReferHead"/>
        <w:spacing w:after="0"/>
        <w:jc w:val="both"/>
        <w:rPr>
          <w:rFonts w:ascii="Arial" w:hAnsi="Arial" w:cs="Arial"/>
          <w:bCs/>
        </w:rPr>
      </w:pPr>
    </w:p>
    <w:p w14:paraId="210ABB74" w14:textId="77777777" w:rsidR="001A29D8" w:rsidRDefault="001A29D8" w:rsidP="00441B6F">
      <w:pPr>
        <w:pStyle w:val="ReferHead"/>
        <w:spacing w:after="0"/>
        <w:jc w:val="both"/>
        <w:rPr>
          <w:rFonts w:ascii="Arial" w:hAnsi="Arial" w:cs="Arial"/>
          <w:b w:val="0"/>
          <w:caps w:val="0"/>
          <w:sz w:val="20"/>
        </w:rPr>
      </w:pPr>
    </w:p>
    <w:p w14:paraId="33C60225" w14:textId="77777777" w:rsidR="005C784C" w:rsidRDefault="005C784C" w:rsidP="00441B6F">
      <w:pPr>
        <w:pStyle w:val="ReferHead"/>
        <w:spacing w:after="0"/>
        <w:jc w:val="both"/>
        <w:rPr>
          <w:rFonts w:ascii="Arial" w:hAnsi="Arial" w:cs="Arial"/>
          <w:b w:val="0"/>
          <w:caps w:val="0"/>
          <w:sz w:val="20"/>
        </w:rPr>
      </w:pPr>
    </w:p>
    <w:p w14:paraId="68DDE296" w14:textId="77777777" w:rsidR="0041027F" w:rsidRDefault="0041027F" w:rsidP="00441B6F">
      <w:pPr>
        <w:pStyle w:val="ReferHead"/>
        <w:spacing w:after="0"/>
        <w:jc w:val="both"/>
        <w:rPr>
          <w:rFonts w:ascii="Arial" w:hAnsi="Arial" w:cs="Arial"/>
          <w:b w:val="0"/>
          <w:caps w:val="0"/>
          <w:sz w:val="20"/>
        </w:rPr>
      </w:pPr>
    </w:p>
    <w:p w14:paraId="4CACEAED" w14:textId="77777777" w:rsidR="00860000" w:rsidRDefault="00860000" w:rsidP="00441B6F">
      <w:pPr>
        <w:pStyle w:val="ReferHead"/>
        <w:spacing w:after="0"/>
        <w:jc w:val="both"/>
        <w:rPr>
          <w:rFonts w:ascii="Arial" w:hAnsi="Arial" w:cs="Arial"/>
        </w:rPr>
      </w:pPr>
    </w:p>
    <w:p w14:paraId="20BD517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68E43F" w14:textId="5308F4D7" w:rsidR="00863E6A" w:rsidRDefault="00863E6A" w:rsidP="00863E6A">
      <w:pPr>
        <w:spacing w:after="160" w:line="259" w:lineRule="auto"/>
        <w:rPr>
          <w:rFonts w:ascii="Arial" w:hAnsi="Arial" w:cs="Arial"/>
          <w:sz w:val="22"/>
          <w:szCs w:val="22"/>
        </w:rPr>
      </w:pPr>
    </w:p>
    <w:p w14:paraId="0E9BA4BA" w14:textId="78A0A5B2"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Philipsen HP.</w:t>
      </w:r>
      <w:r w:rsidRPr="003C7933">
        <w:rPr>
          <w:rFonts w:ascii="Arial" w:hAnsi="Arial" w:cs="Arial"/>
          <w:sz w:val="22"/>
          <w:szCs w:val="22"/>
        </w:rPr>
        <w:t xml:space="preserve"> Om </w:t>
      </w:r>
      <w:proofErr w:type="spellStart"/>
      <w:r w:rsidRPr="003C7933">
        <w:rPr>
          <w:rFonts w:ascii="Arial" w:hAnsi="Arial" w:cs="Arial"/>
          <w:sz w:val="22"/>
          <w:szCs w:val="22"/>
        </w:rPr>
        <w:t>keratocyster</w:t>
      </w:r>
      <w:proofErr w:type="spellEnd"/>
      <w:r w:rsidRPr="003C7933">
        <w:rPr>
          <w:rFonts w:ascii="Arial" w:hAnsi="Arial" w:cs="Arial"/>
          <w:sz w:val="22"/>
          <w:szCs w:val="22"/>
        </w:rPr>
        <w:t xml:space="preserve"> (</w:t>
      </w:r>
      <w:proofErr w:type="spellStart"/>
      <w:r w:rsidRPr="003C7933">
        <w:rPr>
          <w:rFonts w:ascii="Arial" w:hAnsi="Arial" w:cs="Arial"/>
          <w:sz w:val="22"/>
          <w:szCs w:val="22"/>
        </w:rPr>
        <w:t>kolesteatom</w:t>
      </w:r>
      <w:proofErr w:type="spellEnd"/>
      <w:r w:rsidRPr="003C7933">
        <w:rPr>
          <w:rFonts w:ascii="Arial" w:hAnsi="Arial" w:cs="Arial"/>
          <w:sz w:val="22"/>
          <w:szCs w:val="22"/>
        </w:rPr>
        <w:t xml:space="preserve">) </w:t>
      </w:r>
      <w:proofErr w:type="spellStart"/>
      <w:r w:rsidRPr="003C7933">
        <w:rPr>
          <w:rFonts w:ascii="Arial" w:hAnsi="Arial" w:cs="Arial"/>
          <w:sz w:val="22"/>
          <w:szCs w:val="22"/>
        </w:rPr>
        <w:t>i</w:t>
      </w:r>
      <w:proofErr w:type="spellEnd"/>
      <w:r w:rsidRPr="003C7933">
        <w:rPr>
          <w:rFonts w:ascii="Arial" w:hAnsi="Arial" w:cs="Arial"/>
          <w:sz w:val="22"/>
          <w:szCs w:val="22"/>
        </w:rPr>
        <w:t xml:space="preserve"> </w:t>
      </w:r>
      <w:proofErr w:type="spellStart"/>
      <w:r w:rsidRPr="003C7933">
        <w:rPr>
          <w:rFonts w:ascii="Arial" w:hAnsi="Arial" w:cs="Arial"/>
          <w:sz w:val="22"/>
          <w:szCs w:val="22"/>
        </w:rPr>
        <w:t>kaeberne</w:t>
      </w:r>
      <w:proofErr w:type="spellEnd"/>
      <w:r w:rsidRPr="003C7933">
        <w:rPr>
          <w:rFonts w:ascii="Arial" w:hAnsi="Arial" w:cs="Arial"/>
          <w:sz w:val="22"/>
          <w:szCs w:val="22"/>
        </w:rPr>
        <w:t xml:space="preserve">. </w:t>
      </w:r>
      <w:proofErr w:type="spellStart"/>
      <w:r w:rsidRPr="003C7933">
        <w:rPr>
          <w:rFonts w:ascii="Arial" w:hAnsi="Arial" w:cs="Arial"/>
          <w:i/>
          <w:iCs/>
          <w:sz w:val="22"/>
          <w:szCs w:val="22"/>
        </w:rPr>
        <w:t>Tandlaegebladet</w:t>
      </w:r>
      <w:proofErr w:type="spellEnd"/>
      <w:r w:rsidRPr="003C7933">
        <w:rPr>
          <w:rFonts w:ascii="Arial" w:hAnsi="Arial" w:cs="Arial"/>
          <w:sz w:val="22"/>
          <w:szCs w:val="22"/>
        </w:rPr>
        <w:t xml:space="preserve">. </w:t>
      </w:r>
      <w:proofErr w:type="gramStart"/>
      <w:r w:rsidRPr="003C7933">
        <w:rPr>
          <w:rFonts w:ascii="Arial" w:hAnsi="Arial" w:cs="Arial"/>
          <w:sz w:val="22"/>
          <w:szCs w:val="22"/>
        </w:rPr>
        <w:t>1956;60:963</w:t>
      </w:r>
      <w:proofErr w:type="gramEnd"/>
      <w:r w:rsidRPr="003C7933">
        <w:rPr>
          <w:rFonts w:ascii="Arial" w:hAnsi="Arial" w:cs="Arial"/>
          <w:sz w:val="22"/>
          <w:szCs w:val="22"/>
        </w:rPr>
        <w:t>–980.</w:t>
      </w:r>
    </w:p>
    <w:p w14:paraId="040B2F4B" w14:textId="732C93E6"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Madras J, Lapointe H.</w:t>
      </w:r>
      <w:r w:rsidRPr="003C7933">
        <w:rPr>
          <w:rFonts w:ascii="Arial" w:hAnsi="Arial" w:cs="Arial"/>
          <w:sz w:val="22"/>
          <w:szCs w:val="22"/>
        </w:rPr>
        <w:t xml:space="preserve"> </w:t>
      </w:r>
      <w:proofErr w:type="spellStart"/>
      <w:r w:rsidRPr="003C7933">
        <w:rPr>
          <w:rFonts w:ascii="Arial" w:hAnsi="Arial" w:cs="Arial"/>
          <w:sz w:val="22"/>
          <w:szCs w:val="22"/>
        </w:rPr>
        <w:t>Keratocystic</w:t>
      </w:r>
      <w:proofErr w:type="spellEnd"/>
      <w:r w:rsidRPr="003C7933">
        <w:rPr>
          <w:rFonts w:ascii="Arial" w:hAnsi="Arial" w:cs="Arial"/>
          <w:sz w:val="22"/>
          <w:szCs w:val="22"/>
        </w:rPr>
        <w:t xml:space="preserve"> odontogenic </w:t>
      </w:r>
      <w:proofErr w:type="spellStart"/>
      <w:r w:rsidRPr="003C7933">
        <w:rPr>
          <w:rFonts w:ascii="Arial" w:hAnsi="Arial" w:cs="Arial"/>
          <w:sz w:val="22"/>
          <w:szCs w:val="22"/>
        </w:rPr>
        <w:t>tumour</w:t>
      </w:r>
      <w:proofErr w:type="spellEnd"/>
      <w:r w:rsidRPr="003C7933">
        <w:rPr>
          <w:rFonts w:ascii="Arial" w:hAnsi="Arial" w:cs="Arial"/>
          <w:sz w:val="22"/>
          <w:szCs w:val="22"/>
        </w:rPr>
        <w:t xml:space="preserve">: reclassification of the odontogenic keratocyst from cyst to </w:t>
      </w:r>
      <w:proofErr w:type="spellStart"/>
      <w:r w:rsidRPr="003C7933">
        <w:rPr>
          <w:rFonts w:ascii="Arial" w:hAnsi="Arial" w:cs="Arial"/>
          <w:sz w:val="22"/>
          <w:szCs w:val="22"/>
        </w:rPr>
        <w:t>tumour</w:t>
      </w:r>
      <w:proofErr w:type="spellEnd"/>
      <w:r w:rsidRPr="003C7933">
        <w:rPr>
          <w:rFonts w:ascii="Arial" w:hAnsi="Arial" w:cs="Arial"/>
          <w:sz w:val="22"/>
          <w:szCs w:val="22"/>
        </w:rPr>
        <w:t xml:space="preserve">. </w:t>
      </w:r>
      <w:r w:rsidRPr="003C7933">
        <w:rPr>
          <w:rFonts w:ascii="Arial" w:hAnsi="Arial" w:cs="Arial"/>
          <w:i/>
          <w:iCs/>
          <w:sz w:val="22"/>
          <w:szCs w:val="22"/>
        </w:rPr>
        <w:t>J Can Dent Assoc</w:t>
      </w:r>
      <w:r w:rsidRPr="003C7933">
        <w:rPr>
          <w:rFonts w:ascii="Arial" w:hAnsi="Arial" w:cs="Arial"/>
          <w:sz w:val="22"/>
          <w:szCs w:val="22"/>
        </w:rPr>
        <w:t>. 2008;74(2):165–165h.</w:t>
      </w:r>
    </w:p>
    <w:p w14:paraId="3C21FACE" w14:textId="01F179DC"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El-Naggar AK, et al.</w:t>
      </w:r>
      <w:r w:rsidRPr="003C7933">
        <w:rPr>
          <w:rFonts w:ascii="Arial" w:hAnsi="Arial" w:cs="Arial"/>
          <w:sz w:val="22"/>
          <w:szCs w:val="22"/>
        </w:rPr>
        <w:t xml:space="preserve"> </w:t>
      </w:r>
      <w:r w:rsidRPr="003C7933">
        <w:rPr>
          <w:rFonts w:ascii="Arial" w:hAnsi="Arial" w:cs="Arial"/>
          <w:i/>
          <w:iCs/>
          <w:sz w:val="22"/>
          <w:szCs w:val="22"/>
        </w:rPr>
        <w:t xml:space="preserve">WHO Classification of Head and Neck </w:t>
      </w:r>
      <w:proofErr w:type="spellStart"/>
      <w:r w:rsidRPr="003C7933">
        <w:rPr>
          <w:rFonts w:ascii="Arial" w:hAnsi="Arial" w:cs="Arial"/>
          <w:i/>
          <w:iCs/>
          <w:sz w:val="22"/>
          <w:szCs w:val="22"/>
        </w:rPr>
        <w:t>Tumours</w:t>
      </w:r>
      <w:proofErr w:type="spellEnd"/>
      <w:r w:rsidRPr="003C7933">
        <w:rPr>
          <w:rFonts w:ascii="Arial" w:hAnsi="Arial" w:cs="Arial"/>
          <w:sz w:val="22"/>
          <w:szCs w:val="22"/>
        </w:rPr>
        <w:t>. 4th ed. Geneva: WHO; 2017.</w:t>
      </w:r>
    </w:p>
    <w:p w14:paraId="7E9F9144" w14:textId="3E5CA16F"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Borghesi A, et al.</w:t>
      </w:r>
      <w:r w:rsidRPr="003C7933">
        <w:rPr>
          <w:rFonts w:ascii="Arial" w:hAnsi="Arial" w:cs="Arial"/>
          <w:sz w:val="22"/>
          <w:szCs w:val="22"/>
        </w:rPr>
        <w:t xml:space="preserve"> Odontogenic keratocyst: imaging features of a benign lesion with an aggressive behavior. </w:t>
      </w:r>
      <w:r w:rsidRPr="003C7933">
        <w:rPr>
          <w:rFonts w:ascii="Arial" w:hAnsi="Arial" w:cs="Arial"/>
          <w:i/>
          <w:iCs/>
          <w:sz w:val="22"/>
          <w:szCs w:val="22"/>
        </w:rPr>
        <w:t>Insights Imaging</w:t>
      </w:r>
      <w:r w:rsidRPr="003C7933">
        <w:rPr>
          <w:rFonts w:ascii="Arial" w:hAnsi="Arial" w:cs="Arial"/>
          <w:sz w:val="22"/>
          <w:szCs w:val="22"/>
        </w:rPr>
        <w:t>. 2018;9(5):883–897.</w:t>
      </w:r>
    </w:p>
    <w:p w14:paraId="4A94D523" w14:textId="7CF0EE06" w:rsidR="003C7933" w:rsidRPr="003C7933" w:rsidRDefault="003C7933" w:rsidP="003C7933">
      <w:pPr>
        <w:pStyle w:val="ListParagraph"/>
        <w:numPr>
          <w:ilvl w:val="0"/>
          <w:numId w:val="39"/>
        </w:numPr>
        <w:spacing w:after="160" w:line="259" w:lineRule="auto"/>
        <w:rPr>
          <w:rFonts w:ascii="Arial" w:hAnsi="Arial" w:cs="Arial"/>
          <w:sz w:val="22"/>
          <w:szCs w:val="22"/>
        </w:rPr>
      </w:pPr>
      <w:proofErr w:type="spellStart"/>
      <w:r w:rsidRPr="003C7933">
        <w:rPr>
          <w:rFonts w:ascii="Arial" w:hAnsi="Arial" w:cs="Arial"/>
          <w:b/>
          <w:bCs/>
          <w:sz w:val="22"/>
          <w:szCs w:val="22"/>
        </w:rPr>
        <w:lastRenderedPageBreak/>
        <w:t>Kaczmarzyk</w:t>
      </w:r>
      <w:proofErr w:type="spellEnd"/>
      <w:r w:rsidRPr="003C7933">
        <w:rPr>
          <w:rFonts w:ascii="Arial" w:hAnsi="Arial" w:cs="Arial"/>
          <w:b/>
          <w:bCs/>
          <w:sz w:val="22"/>
          <w:szCs w:val="22"/>
        </w:rPr>
        <w:t xml:space="preserve"> T, et al.</w:t>
      </w:r>
      <w:r w:rsidRPr="003C7933">
        <w:rPr>
          <w:rFonts w:ascii="Arial" w:hAnsi="Arial" w:cs="Arial"/>
          <w:sz w:val="22"/>
          <w:szCs w:val="22"/>
        </w:rPr>
        <w:t xml:space="preserve"> A systematic review of the recurrence rate for </w:t>
      </w:r>
      <w:proofErr w:type="spellStart"/>
      <w:r w:rsidRPr="003C7933">
        <w:rPr>
          <w:rFonts w:ascii="Arial" w:hAnsi="Arial" w:cs="Arial"/>
          <w:sz w:val="22"/>
          <w:szCs w:val="22"/>
        </w:rPr>
        <w:t>keratocystic</w:t>
      </w:r>
      <w:proofErr w:type="spellEnd"/>
      <w:r w:rsidRPr="003C7933">
        <w:rPr>
          <w:rFonts w:ascii="Arial" w:hAnsi="Arial" w:cs="Arial"/>
          <w:sz w:val="22"/>
          <w:szCs w:val="22"/>
        </w:rPr>
        <w:t xml:space="preserve"> odontogenic </w:t>
      </w:r>
      <w:proofErr w:type="spellStart"/>
      <w:r w:rsidRPr="003C7933">
        <w:rPr>
          <w:rFonts w:ascii="Arial" w:hAnsi="Arial" w:cs="Arial"/>
          <w:sz w:val="22"/>
          <w:szCs w:val="22"/>
        </w:rPr>
        <w:t>tumour</w:t>
      </w:r>
      <w:proofErr w:type="spellEnd"/>
      <w:r w:rsidRPr="003C7933">
        <w:rPr>
          <w:rFonts w:ascii="Arial" w:hAnsi="Arial" w:cs="Arial"/>
          <w:sz w:val="22"/>
          <w:szCs w:val="22"/>
        </w:rPr>
        <w:t xml:space="preserve">. </w:t>
      </w:r>
      <w:r w:rsidRPr="003C7933">
        <w:rPr>
          <w:rFonts w:ascii="Arial" w:hAnsi="Arial" w:cs="Arial"/>
          <w:i/>
          <w:iCs/>
          <w:sz w:val="22"/>
          <w:szCs w:val="22"/>
        </w:rPr>
        <w:t>Int J Oral Maxillofac Surg</w:t>
      </w:r>
      <w:r w:rsidRPr="003C7933">
        <w:rPr>
          <w:rFonts w:ascii="Arial" w:hAnsi="Arial" w:cs="Arial"/>
          <w:sz w:val="22"/>
          <w:szCs w:val="22"/>
        </w:rPr>
        <w:t>. 2012;41(6):756–767.</w:t>
      </w:r>
    </w:p>
    <w:p w14:paraId="4AC18E3C" w14:textId="1ADEED82"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Ecker J, et al.</w:t>
      </w:r>
      <w:r w:rsidRPr="003C7933">
        <w:rPr>
          <w:rFonts w:ascii="Arial" w:hAnsi="Arial" w:cs="Arial"/>
          <w:sz w:val="22"/>
          <w:szCs w:val="22"/>
        </w:rPr>
        <w:t xml:space="preserve"> Current role of Carnoy's solution in treating </w:t>
      </w:r>
      <w:proofErr w:type="spellStart"/>
      <w:r w:rsidRPr="003C7933">
        <w:rPr>
          <w:rFonts w:ascii="Arial" w:hAnsi="Arial" w:cs="Arial"/>
          <w:sz w:val="22"/>
          <w:szCs w:val="22"/>
        </w:rPr>
        <w:t>keratocystic</w:t>
      </w:r>
      <w:proofErr w:type="spellEnd"/>
      <w:r w:rsidRPr="003C7933">
        <w:rPr>
          <w:rFonts w:ascii="Arial" w:hAnsi="Arial" w:cs="Arial"/>
          <w:sz w:val="22"/>
          <w:szCs w:val="22"/>
        </w:rPr>
        <w:t xml:space="preserve"> odontogenic </w:t>
      </w:r>
      <w:proofErr w:type="spellStart"/>
      <w:r w:rsidRPr="003C7933">
        <w:rPr>
          <w:rFonts w:ascii="Arial" w:hAnsi="Arial" w:cs="Arial"/>
          <w:sz w:val="22"/>
          <w:szCs w:val="22"/>
        </w:rPr>
        <w:t>tumours</w:t>
      </w:r>
      <w:proofErr w:type="spellEnd"/>
      <w:r w:rsidRPr="003C7933">
        <w:rPr>
          <w:rFonts w:ascii="Arial" w:hAnsi="Arial" w:cs="Arial"/>
          <w:sz w:val="22"/>
          <w:szCs w:val="22"/>
        </w:rPr>
        <w:t xml:space="preserve">. </w:t>
      </w:r>
      <w:r w:rsidRPr="003C7933">
        <w:rPr>
          <w:rFonts w:ascii="Arial" w:hAnsi="Arial" w:cs="Arial"/>
          <w:i/>
          <w:iCs/>
          <w:sz w:val="22"/>
          <w:szCs w:val="22"/>
        </w:rPr>
        <w:t>J Oral Maxillofac Surg</w:t>
      </w:r>
      <w:r w:rsidRPr="003C7933">
        <w:rPr>
          <w:rFonts w:ascii="Arial" w:hAnsi="Arial" w:cs="Arial"/>
          <w:sz w:val="22"/>
          <w:szCs w:val="22"/>
        </w:rPr>
        <w:t>. 2016;74(2):278–282.</w:t>
      </w:r>
    </w:p>
    <w:p w14:paraId="7E7A6A8F" w14:textId="27370997"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Singh M, et al.</w:t>
      </w:r>
      <w:r w:rsidRPr="003C7933">
        <w:rPr>
          <w:rFonts w:ascii="Arial" w:hAnsi="Arial" w:cs="Arial"/>
          <w:sz w:val="22"/>
          <w:szCs w:val="22"/>
        </w:rPr>
        <w:t xml:space="preserve"> 5-Fluorouracil: A new frontier in the management of odontogenic keratocyst. </w:t>
      </w:r>
      <w:r w:rsidRPr="003C7933">
        <w:rPr>
          <w:rFonts w:ascii="Arial" w:hAnsi="Arial" w:cs="Arial"/>
          <w:i/>
          <w:iCs/>
          <w:sz w:val="22"/>
          <w:szCs w:val="22"/>
        </w:rPr>
        <w:t>J Maxillofac Oral Surg</w:t>
      </w:r>
      <w:r w:rsidRPr="003C7933">
        <w:rPr>
          <w:rFonts w:ascii="Arial" w:hAnsi="Arial" w:cs="Arial"/>
          <w:sz w:val="22"/>
          <w:szCs w:val="22"/>
        </w:rPr>
        <w:t>. 2017;16(2):141–144.</w:t>
      </w:r>
    </w:p>
    <w:p w14:paraId="3956FD31" w14:textId="2A0D3837" w:rsidR="003C7933" w:rsidRPr="003C7933" w:rsidRDefault="003C7933" w:rsidP="003C7933">
      <w:pPr>
        <w:pStyle w:val="ListParagraph"/>
        <w:numPr>
          <w:ilvl w:val="0"/>
          <w:numId w:val="39"/>
        </w:numPr>
        <w:spacing w:after="160" w:line="259" w:lineRule="auto"/>
        <w:rPr>
          <w:rFonts w:ascii="Arial" w:hAnsi="Arial" w:cs="Arial"/>
          <w:sz w:val="22"/>
          <w:szCs w:val="22"/>
        </w:rPr>
      </w:pPr>
      <w:proofErr w:type="spellStart"/>
      <w:r w:rsidRPr="003C7933">
        <w:rPr>
          <w:rFonts w:ascii="Arial" w:hAnsi="Arial" w:cs="Arial"/>
          <w:b/>
          <w:bCs/>
          <w:sz w:val="22"/>
          <w:szCs w:val="22"/>
        </w:rPr>
        <w:t>Dashow</w:t>
      </w:r>
      <w:proofErr w:type="spellEnd"/>
      <w:r w:rsidRPr="003C7933">
        <w:rPr>
          <w:rFonts w:ascii="Arial" w:hAnsi="Arial" w:cs="Arial"/>
          <w:b/>
          <w:bCs/>
          <w:sz w:val="22"/>
          <w:szCs w:val="22"/>
        </w:rPr>
        <w:t xml:space="preserve"> JE, et al.</w:t>
      </w:r>
      <w:r w:rsidRPr="003C7933">
        <w:rPr>
          <w:rFonts w:ascii="Arial" w:hAnsi="Arial" w:cs="Arial"/>
          <w:sz w:val="22"/>
          <w:szCs w:val="22"/>
        </w:rPr>
        <w:t xml:space="preserve"> Significantly lower recurrence rates in KCOTs treated with Carnoy's solution or 5-fluorouracil. </w:t>
      </w:r>
      <w:r w:rsidRPr="003C7933">
        <w:rPr>
          <w:rFonts w:ascii="Arial" w:hAnsi="Arial" w:cs="Arial"/>
          <w:i/>
          <w:iCs/>
          <w:sz w:val="22"/>
          <w:szCs w:val="22"/>
        </w:rPr>
        <w:t>J Oral Maxillofac Surg</w:t>
      </w:r>
      <w:r w:rsidRPr="003C7933">
        <w:rPr>
          <w:rFonts w:ascii="Arial" w:hAnsi="Arial" w:cs="Arial"/>
          <w:sz w:val="22"/>
          <w:szCs w:val="22"/>
        </w:rPr>
        <w:t>. 2015;73(11):2132–2135.</w:t>
      </w:r>
    </w:p>
    <w:p w14:paraId="593C0369" w14:textId="3522AA0E" w:rsidR="003C7933" w:rsidRPr="003C7933" w:rsidRDefault="003C7933" w:rsidP="003C7933">
      <w:pPr>
        <w:pStyle w:val="ListParagraph"/>
        <w:numPr>
          <w:ilvl w:val="0"/>
          <w:numId w:val="39"/>
        </w:numPr>
        <w:spacing w:after="160" w:line="259" w:lineRule="auto"/>
        <w:rPr>
          <w:rFonts w:ascii="Arial" w:hAnsi="Arial" w:cs="Arial"/>
          <w:sz w:val="22"/>
          <w:szCs w:val="22"/>
        </w:rPr>
      </w:pPr>
      <w:proofErr w:type="spellStart"/>
      <w:r w:rsidRPr="003C7933">
        <w:rPr>
          <w:rFonts w:ascii="Arial" w:hAnsi="Arial" w:cs="Arial"/>
          <w:b/>
          <w:bCs/>
          <w:sz w:val="22"/>
          <w:szCs w:val="22"/>
        </w:rPr>
        <w:t>Ledderhof</w:t>
      </w:r>
      <w:proofErr w:type="spellEnd"/>
      <w:r w:rsidRPr="003C7933">
        <w:rPr>
          <w:rFonts w:ascii="Arial" w:hAnsi="Arial" w:cs="Arial"/>
          <w:b/>
          <w:bCs/>
          <w:sz w:val="22"/>
          <w:szCs w:val="22"/>
        </w:rPr>
        <w:t xml:space="preserve"> NJ, et al.</w:t>
      </w:r>
      <w:r w:rsidRPr="003C7933">
        <w:rPr>
          <w:rFonts w:ascii="Arial" w:hAnsi="Arial" w:cs="Arial"/>
          <w:sz w:val="22"/>
          <w:szCs w:val="22"/>
        </w:rPr>
        <w:t xml:space="preserve"> Topical 5-fluorouracil is a novel targeted therapy for the KCOT. </w:t>
      </w:r>
      <w:r w:rsidRPr="003C7933">
        <w:rPr>
          <w:rFonts w:ascii="Arial" w:hAnsi="Arial" w:cs="Arial"/>
          <w:i/>
          <w:iCs/>
          <w:sz w:val="22"/>
          <w:szCs w:val="22"/>
        </w:rPr>
        <w:t>J Oral Maxillofac Surg</w:t>
      </w:r>
      <w:r w:rsidRPr="003C7933">
        <w:rPr>
          <w:rFonts w:ascii="Arial" w:hAnsi="Arial" w:cs="Arial"/>
          <w:sz w:val="22"/>
          <w:szCs w:val="22"/>
        </w:rPr>
        <w:t>. 2017;75(3):514–524.</w:t>
      </w:r>
    </w:p>
    <w:p w14:paraId="6E5BBF57" w14:textId="20EC0771"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Blanas N, et al.</w:t>
      </w:r>
      <w:r w:rsidRPr="003C7933">
        <w:rPr>
          <w:rFonts w:ascii="Arial" w:hAnsi="Arial" w:cs="Arial"/>
          <w:sz w:val="22"/>
          <w:szCs w:val="22"/>
        </w:rPr>
        <w:t xml:space="preserve"> Systematic review of the treatment and prognosis of the OKC. </w:t>
      </w:r>
      <w:r w:rsidRPr="003C7933">
        <w:rPr>
          <w:rFonts w:ascii="Arial" w:hAnsi="Arial" w:cs="Arial"/>
          <w:i/>
          <w:iCs/>
          <w:sz w:val="22"/>
          <w:szCs w:val="22"/>
        </w:rPr>
        <w:t xml:space="preserve">Oral Surg Oral Med Oral </w:t>
      </w:r>
      <w:proofErr w:type="spellStart"/>
      <w:r w:rsidRPr="003C7933">
        <w:rPr>
          <w:rFonts w:ascii="Arial" w:hAnsi="Arial" w:cs="Arial"/>
          <w:i/>
          <w:iCs/>
          <w:sz w:val="22"/>
          <w:szCs w:val="22"/>
        </w:rPr>
        <w:t>Pathol</w:t>
      </w:r>
      <w:proofErr w:type="spellEnd"/>
      <w:r w:rsidRPr="003C7933">
        <w:rPr>
          <w:rFonts w:ascii="Arial" w:hAnsi="Arial" w:cs="Arial"/>
          <w:sz w:val="22"/>
          <w:szCs w:val="22"/>
        </w:rPr>
        <w:t>. 2000;90(5):553–558.</w:t>
      </w:r>
    </w:p>
    <w:p w14:paraId="50C85188" w14:textId="40AA0105"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Al-</w:t>
      </w:r>
      <w:proofErr w:type="spellStart"/>
      <w:r w:rsidRPr="003C7933">
        <w:rPr>
          <w:rFonts w:ascii="Arial" w:hAnsi="Arial" w:cs="Arial"/>
          <w:b/>
          <w:bCs/>
          <w:sz w:val="22"/>
          <w:szCs w:val="22"/>
        </w:rPr>
        <w:t>Moraissi</w:t>
      </w:r>
      <w:proofErr w:type="spellEnd"/>
      <w:r w:rsidRPr="003C7933">
        <w:rPr>
          <w:rFonts w:ascii="Arial" w:hAnsi="Arial" w:cs="Arial"/>
          <w:b/>
          <w:bCs/>
          <w:sz w:val="22"/>
          <w:szCs w:val="22"/>
        </w:rPr>
        <w:t xml:space="preserve"> EA, et al.</w:t>
      </w:r>
      <w:r w:rsidRPr="003C7933">
        <w:rPr>
          <w:rFonts w:ascii="Arial" w:hAnsi="Arial" w:cs="Arial"/>
          <w:sz w:val="22"/>
          <w:szCs w:val="22"/>
        </w:rPr>
        <w:t xml:space="preserve"> What surgical treatment has the lowest recurrence rate? </w:t>
      </w:r>
      <w:r w:rsidRPr="003C7933">
        <w:rPr>
          <w:rFonts w:ascii="Arial" w:hAnsi="Arial" w:cs="Arial"/>
          <w:i/>
          <w:iCs/>
          <w:sz w:val="22"/>
          <w:szCs w:val="22"/>
        </w:rPr>
        <w:t xml:space="preserve">J </w:t>
      </w:r>
      <w:proofErr w:type="spellStart"/>
      <w:r w:rsidRPr="003C7933">
        <w:rPr>
          <w:rFonts w:ascii="Arial" w:hAnsi="Arial" w:cs="Arial"/>
          <w:i/>
          <w:iCs/>
          <w:sz w:val="22"/>
          <w:szCs w:val="22"/>
        </w:rPr>
        <w:t>Craniomaxillofac</w:t>
      </w:r>
      <w:proofErr w:type="spellEnd"/>
      <w:r w:rsidRPr="003C7933">
        <w:rPr>
          <w:rFonts w:ascii="Arial" w:hAnsi="Arial" w:cs="Arial"/>
          <w:i/>
          <w:iCs/>
          <w:sz w:val="22"/>
          <w:szCs w:val="22"/>
        </w:rPr>
        <w:t xml:space="preserve"> Surg</w:t>
      </w:r>
      <w:r w:rsidRPr="003C7933">
        <w:rPr>
          <w:rFonts w:ascii="Arial" w:hAnsi="Arial" w:cs="Arial"/>
          <w:sz w:val="22"/>
          <w:szCs w:val="22"/>
        </w:rPr>
        <w:t>. 2017;45(1):131–144.</w:t>
      </w:r>
    </w:p>
    <w:p w14:paraId="2FECC206" w14:textId="05E507BB"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Lone PA, et al.</w:t>
      </w:r>
      <w:r w:rsidRPr="003C7933">
        <w:rPr>
          <w:rFonts w:ascii="Arial" w:hAnsi="Arial" w:cs="Arial"/>
          <w:sz w:val="22"/>
          <w:szCs w:val="22"/>
        </w:rPr>
        <w:t xml:space="preserve"> Topical 5-fluorouracil application in management of OKCs. </w:t>
      </w:r>
      <w:r w:rsidRPr="003C7933">
        <w:rPr>
          <w:rFonts w:ascii="Arial" w:hAnsi="Arial" w:cs="Arial"/>
          <w:i/>
          <w:iCs/>
          <w:sz w:val="22"/>
          <w:szCs w:val="22"/>
        </w:rPr>
        <w:t xml:space="preserve">J Oral Biol </w:t>
      </w:r>
      <w:proofErr w:type="spellStart"/>
      <w:r w:rsidRPr="003C7933">
        <w:rPr>
          <w:rFonts w:ascii="Arial" w:hAnsi="Arial" w:cs="Arial"/>
          <w:i/>
          <w:iCs/>
          <w:sz w:val="22"/>
          <w:szCs w:val="22"/>
        </w:rPr>
        <w:t>Craniofac</w:t>
      </w:r>
      <w:proofErr w:type="spellEnd"/>
      <w:r w:rsidRPr="003C7933">
        <w:rPr>
          <w:rFonts w:ascii="Arial" w:hAnsi="Arial" w:cs="Arial"/>
          <w:i/>
          <w:iCs/>
          <w:sz w:val="22"/>
          <w:szCs w:val="22"/>
        </w:rPr>
        <w:t xml:space="preserve"> Res</w:t>
      </w:r>
      <w:r w:rsidRPr="003C7933">
        <w:rPr>
          <w:rFonts w:ascii="Arial" w:hAnsi="Arial" w:cs="Arial"/>
          <w:sz w:val="22"/>
          <w:szCs w:val="22"/>
        </w:rPr>
        <w:t>. 2020;10(4):404–406.</w:t>
      </w:r>
    </w:p>
    <w:p w14:paraId="28DC1E12" w14:textId="17A2A483" w:rsidR="003C7933" w:rsidRPr="003C7933" w:rsidRDefault="003C7933" w:rsidP="003C7933">
      <w:pPr>
        <w:pStyle w:val="ListParagraph"/>
        <w:numPr>
          <w:ilvl w:val="0"/>
          <w:numId w:val="39"/>
        </w:numPr>
        <w:spacing w:after="160" w:line="259" w:lineRule="auto"/>
        <w:rPr>
          <w:rFonts w:ascii="Arial" w:hAnsi="Arial" w:cs="Arial"/>
          <w:sz w:val="22"/>
          <w:szCs w:val="22"/>
        </w:rPr>
      </w:pPr>
      <w:proofErr w:type="spellStart"/>
      <w:r w:rsidRPr="003C7933">
        <w:rPr>
          <w:rFonts w:ascii="Arial" w:hAnsi="Arial" w:cs="Arial"/>
          <w:b/>
          <w:bCs/>
          <w:sz w:val="22"/>
          <w:szCs w:val="22"/>
        </w:rPr>
        <w:t>Ledderhof</w:t>
      </w:r>
      <w:proofErr w:type="spellEnd"/>
      <w:r w:rsidRPr="003C7933">
        <w:rPr>
          <w:rFonts w:ascii="Arial" w:hAnsi="Arial" w:cs="Arial"/>
          <w:b/>
          <w:bCs/>
          <w:sz w:val="22"/>
          <w:szCs w:val="22"/>
        </w:rPr>
        <w:t xml:space="preserve"> NJ, et al.</w:t>
      </w:r>
      <w:r w:rsidRPr="003C7933">
        <w:rPr>
          <w:rFonts w:ascii="Arial" w:hAnsi="Arial" w:cs="Arial"/>
          <w:sz w:val="22"/>
          <w:szCs w:val="22"/>
        </w:rPr>
        <w:t xml:space="preserve"> Topical 5-Fluorouracil for the Treatment of OKCs. </w:t>
      </w:r>
      <w:r w:rsidRPr="003C7933">
        <w:rPr>
          <w:rFonts w:ascii="Arial" w:hAnsi="Arial" w:cs="Arial"/>
          <w:i/>
          <w:iCs/>
          <w:sz w:val="22"/>
          <w:szCs w:val="22"/>
        </w:rPr>
        <w:t>J Oral Maxillofac Surg</w:t>
      </w:r>
      <w:r w:rsidRPr="003C7933">
        <w:rPr>
          <w:rFonts w:ascii="Arial" w:hAnsi="Arial" w:cs="Arial"/>
          <w:sz w:val="22"/>
          <w:szCs w:val="22"/>
        </w:rPr>
        <w:t>. 2017;75(9):1915-1924.</w:t>
      </w:r>
    </w:p>
    <w:p w14:paraId="1F7A73BB" w14:textId="64D2129D"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Balamurugan R.</w:t>
      </w:r>
      <w:r w:rsidRPr="003C7933">
        <w:rPr>
          <w:rFonts w:ascii="Arial" w:hAnsi="Arial" w:cs="Arial"/>
          <w:sz w:val="22"/>
          <w:szCs w:val="22"/>
        </w:rPr>
        <w:t xml:space="preserve"> 5-Fluorouracil: Trend setter in the management of OKC. </w:t>
      </w:r>
      <w:r w:rsidRPr="003C7933">
        <w:rPr>
          <w:rFonts w:ascii="Arial" w:hAnsi="Arial" w:cs="Arial"/>
          <w:i/>
          <w:iCs/>
          <w:sz w:val="22"/>
          <w:szCs w:val="22"/>
        </w:rPr>
        <w:t>J Case Stud Clin Trials</w:t>
      </w:r>
      <w:r w:rsidRPr="003C7933">
        <w:rPr>
          <w:rFonts w:ascii="Arial" w:hAnsi="Arial" w:cs="Arial"/>
          <w:sz w:val="22"/>
          <w:szCs w:val="22"/>
        </w:rPr>
        <w:t>. 2019;1.</w:t>
      </w:r>
    </w:p>
    <w:p w14:paraId="37B68295" w14:textId="5B17BF7A"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Speight PM, Takata T.</w:t>
      </w:r>
      <w:r w:rsidRPr="003C7933">
        <w:rPr>
          <w:rFonts w:ascii="Arial" w:hAnsi="Arial" w:cs="Arial"/>
          <w:sz w:val="22"/>
          <w:szCs w:val="22"/>
        </w:rPr>
        <w:t xml:space="preserve"> New </w:t>
      </w:r>
      <w:proofErr w:type="spellStart"/>
      <w:r w:rsidRPr="003C7933">
        <w:rPr>
          <w:rFonts w:ascii="Arial" w:hAnsi="Arial" w:cs="Arial"/>
          <w:sz w:val="22"/>
          <w:szCs w:val="22"/>
        </w:rPr>
        <w:t>tumour</w:t>
      </w:r>
      <w:proofErr w:type="spellEnd"/>
      <w:r w:rsidRPr="003C7933">
        <w:rPr>
          <w:rFonts w:ascii="Arial" w:hAnsi="Arial" w:cs="Arial"/>
          <w:sz w:val="22"/>
          <w:szCs w:val="22"/>
        </w:rPr>
        <w:t xml:space="preserve"> entities in the 4th edition WHO Classification. </w:t>
      </w:r>
      <w:proofErr w:type="spellStart"/>
      <w:r w:rsidRPr="003C7933">
        <w:rPr>
          <w:rFonts w:ascii="Arial" w:hAnsi="Arial" w:cs="Arial"/>
          <w:i/>
          <w:iCs/>
          <w:sz w:val="22"/>
          <w:szCs w:val="22"/>
        </w:rPr>
        <w:t>Virchows</w:t>
      </w:r>
      <w:proofErr w:type="spellEnd"/>
      <w:r w:rsidRPr="003C7933">
        <w:rPr>
          <w:rFonts w:ascii="Arial" w:hAnsi="Arial" w:cs="Arial"/>
          <w:i/>
          <w:iCs/>
          <w:sz w:val="22"/>
          <w:szCs w:val="22"/>
        </w:rPr>
        <w:t xml:space="preserve"> Arch</w:t>
      </w:r>
      <w:r w:rsidRPr="003C7933">
        <w:rPr>
          <w:rFonts w:ascii="Arial" w:hAnsi="Arial" w:cs="Arial"/>
          <w:sz w:val="22"/>
          <w:szCs w:val="22"/>
        </w:rPr>
        <w:t>. 2018;472(3):331–339.</w:t>
      </w:r>
    </w:p>
    <w:p w14:paraId="6FBC6A10" w14:textId="3195B129"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Farooq S, et al.</w:t>
      </w:r>
      <w:r w:rsidRPr="003C7933">
        <w:rPr>
          <w:rFonts w:ascii="Arial" w:hAnsi="Arial" w:cs="Arial"/>
          <w:sz w:val="22"/>
          <w:szCs w:val="22"/>
        </w:rPr>
        <w:t xml:space="preserve"> Management of OKCs using topical 5-fluorouracil: A comparative study. </w:t>
      </w:r>
      <w:r w:rsidRPr="003C7933">
        <w:rPr>
          <w:rFonts w:ascii="Arial" w:hAnsi="Arial" w:cs="Arial"/>
          <w:i/>
          <w:iCs/>
          <w:sz w:val="22"/>
          <w:szCs w:val="22"/>
        </w:rPr>
        <w:t xml:space="preserve">J Pharm </w:t>
      </w:r>
      <w:proofErr w:type="spellStart"/>
      <w:r w:rsidRPr="003C7933">
        <w:rPr>
          <w:rFonts w:ascii="Arial" w:hAnsi="Arial" w:cs="Arial"/>
          <w:i/>
          <w:iCs/>
          <w:sz w:val="22"/>
          <w:szCs w:val="22"/>
        </w:rPr>
        <w:t>Negat</w:t>
      </w:r>
      <w:proofErr w:type="spellEnd"/>
      <w:r w:rsidRPr="003C7933">
        <w:rPr>
          <w:rFonts w:ascii="Arial" w:hAnsi="Arial" w:cs="Arial"/>
          <w:i/>
          <w:iCs/>
          <w:sz w:val="22"/>
          <w:szCs w:val="22"/>
        </w:rPr>
        <w:t xml:space="preserve"> Results</w:t>
      </w:r>
      <w:r w:rsidRPr="003C7933">
        <w:rPr>
          <w:rFonts w:ascii="Arial" w:hAnsi="Arial" w:cs="Arial"/>
          <w:sz w:val="22"/>
          <w:szCs w:val="22"/>
        </w:rPr>
        <w:t>. 2022;13(10):6566.</w:t>
      </w:r>
    </w:p>
    <w:p w14:paraId="2A3DE325" w14:textId="4F0A934D"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Mishra S, et al.</w:t>
      </w:r>
      <w:r w:rsidRPr="003C7933">
        <w:rPr>
          <w:rFonts w:ascii="Arial" w:hAnsi="Arial" w:cs="Arial"/>
          <w:sz w:val="22"/>
          <w:szCs w:val="22"/>
        </w:rPr>
        <w:t xml:space="preserve"> Comparative evaluation of topical 5-FU and modified Carnoy’s solution. </w:t>
      </w:r>
      <w:r w:rsidRPr="003C7933">
        <w:rPr>
          <w:rFonts w:ascii="Arial" w:hAnsi="Arial" w:cs="Arial"/>
          <w:i/>
          <w:iCs/>
          <w:sz w:val="22"/>
          <w:szCs w:val="22"/>
        </w:rPr>
        <w:t>Annals Dent Spec</w:t>
      </w:r>
      <w:r w:rsidRPr="003C7933">
        <w:rPr>
          <w:rFonts w:ascii="Arial" w:hAnsi="Arial" w:cs="Arial"/>
          <w:sz w:val="22"/>
          <w:szCs w:val="22"/>
        </w:rPr>
        <w:t>. 2023;11(2):100–108.</w:t>
      </w:r>
    </w:p>
    <w:p w14:paraId="233FDBAF" w14:textId="04E69AC5"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Casino AJ, et al.</w:t>
      </w:r>
      <w:r w:rsidRPr="003C7933">
        <w:rPr>
          <w:rFonts w:ascii="Arial" w:hAnsi="Arial" w:cs="Arial"/>
          <w:sz w:val="22"/>
          <w:szCs w:val="22"/>
        </w:rPr>
        <w:t xml:space="preserve"> Refined topical 5-fluorouracil technique. </w:t>
      </w:r>
      <w:r w:rsidRPr="003C7933">
        <w:rPr>
          <w:rFonts w:ascii="Arial" w:hAnsi="Arial" w:cs="Arial"/>
          <w:i/>
          <w:iCs/>
          <w:sz w:val="22"/>
          <w:szCs w:val="22"/>
        </w:rPr>
        <w:t>J Oral Maxillofac Surg</w:t>
      </w:r>
      <w:r w:rsidRPr="003C7933">
        <w:rPr>
          <w:rFonts w:ascii="Arial" w:hAnsi="Arial" w:cs="Arial"/>
          <w:sz w:val="22"/>
          <w:szCs w:val="22"/>
        </w:rPr>
        <w:t>. 2023;81(1):95–100.</w:t>
      </w:r>
    </w:p>
    <w:p w14:paraId="63DB88DC" w14:textId="72E61140"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Barua C, et al.</w:t>
      </w:r>
      <w:r w:rsidRPr="003C7933">
        <w:rPr>
          <w:rFonts w:ascii="Arial" w:hAnsi="Arial" w:cs="Arial"/>
          <w:sz w:val="22"/>
          <w:szCs w:val="22"/>
        </w:rPr>
        <w:t xml:space="preserve"> The role of 5-fluorouracil in preventing recurrence after enucleation. </w:t>
      </w:r>
      <w:r w:rsidRPr="003C7933">
        <w:rPr>
          <w:rFonts w:ascii="Arial" w:hAnsi="Arial" w:cs="Arial"/>
          <w:i/>
          <w:iCs/>
          <w:sz w:val="22"/>
          <w:szCs w:val="22"/>
        </w:rPr>
        <w:t>Cureus</w:t>
      </w:r>
      <w:r w:rsidRPr="003C7933">
        <w:rPr>
          <w:rFonts w:ascii="Arial" w:hAnsi="Arial" w:cs="Arial"/>
          <w:sz w:val="22"/>
          <w:szCs w:val="22"/>
        </w:rPr>
        <w:t>. 2023;15(9</w:t>
      </w:r>
      <w:proofErr w:type="gramStart"/>
      <w:r w:rsidRPr="003C7933">
        <w:rPr>
          <w:rFonts w:ascii="Arial" w:hAnsi="Arial" w:cs="Arial"/>
          <w:sz w:val="22"/>
          <w:szCs w:val="22"/>
        </w:rPr>
        <w:t>):e</w:t>
      </w:r>
      <w:proofErr w:type="gramEnd"/>
      <w:r w:rsidRPr="003C7933">
        <w:rPr>
          <w:rFonts w:ascii="Arial" w:hAnsi="Arial" w:cs="Arial"/>
          <w:sz w:val="22"/>
          <w:szCs w:val="22"/>
        </w:rPr>
        <w:t>44777.</w:t>
      </w:r>
    </w:p>
    <w:p w14:paraId="781E5A47" w14:textId="4094350E" w:rsidR="003C7933" w:rsidRPr="003C7933" w:rsidRDefault="003C7933" w:rsidP="003C7933">
      <w:pPr>
        <w:pStyle w:val="ListParagraph"/>
        <w:numPr>
          <w:ilvl w:val="0"/>
          <w:numId w:val="39"/>
        </w:numPr>
        <w:spacing w:after="160" w:line="259" w:lineRule="auto"/>
        <w:rPr>
          <w:rFonts w:ascii="Arial" w:hAnsi="Arial" w:cs="Arial"/>
          <w:sz w:val="22"/>
          <w:szCs w:val="22"/>
        </w:rPr>
      </w:pPr>
      <w:r w:rsidRPr="003C7933">
        <w:rPr>
          <w:rFonts w:ascii="Arial" w:hAnsi="Arial" w:cs="Arial"/>
          <w:b/>
          <w:bCs/>
          <w:sz w:val="22"/>
          <w:szCs w:val="22"/>
        </w:rPr>
        <w:t>Johnson NR, et al.</w:t>
      </w:r>
      <w:r w:rsidRPr="003C7933">
        <w:rPr>
          <w:rFonts w:ascii="Arial" w:hAnsi="Arial" w:cs="Arial"/>
          <w:sz w:val="22"/>
          <w:szCs w:val="22"/>
        </w:rPr>
        <w:t xml:space="preserve"> Management of the OKC: A systematic review. </w:t>
      </w:r>
      <w:r w:rsidRPr="003C7933">
        <w:rPr>
          <w:rFonts w:ascii="Arial" w:hAnsi="Arial" w:cs="Arial"/>
          <w:i/>
          <w:iCs/>
          <w:sz w:val="22"/>
          <w:szCs w:val="22"/>
        </w:rPr>
        <w:t>J Oral Maxillofac Surg</w:t>
      </w:r>
      <w:r w:rsidRPr="003C7933">
        <w:rPr>
          <w:rFonts w:ascii="Arial" w:hAnsi="Arial" w:cs="Arial"/>
          <w:sz w:val="22"/>
          <w:szCs w:val="22"/>
        </w:rPr>
        <w:t>. 2013;71(1):31-37.</w:t>
      </w:r>
    </w:p>
    <w:p w14:paraId="7F79005D" w14:textId="77777777" w:rsidR="003C7933" w:rsidRDefault="003C7933" w:rsidP="00863E6A">
      <w:pPr>
        <w:spacing w:after="160" w:line="259" w:lineRule="auto"/>
        <w:rPr>
          <w:rFonts w:ascii="Arial" w:hAnsi="Arial" w:cs="Arial"/>
          <w:sz w:val="22"/>
          <w:szCs w:val="22"/>
        </w:rPr>
      </w:pPr>
    </w:p>
    <w:p w14:paraId="19A5BF8A" w14:textId="06B1D46C" w:rsidR="00863E6A" w:rsidRDefault="00863E6A" w:rsidP="00863E6A">
      <w:pPr>
        <w:spacing w:after="160" w:line="259" w:lineRule="auto"/>
        <w:rPr>
          <w:rFonts w:ascii="Arial" w:hAnsi="Arial" w:cs="Arial"/>
          <w:sz w:val="22"/>
          <w:szCs w:val="22"/>
        </w:rPr>
      </w:pPr>
    </w:p>
    <w:p w14:paraId="6F2EEB0E" w14:textId="75FC5E49" w:rsidR="00863E6A" w:rsidRDefault="00863E6A" w:rsidP="00863E6A">
      <w:pPr>
        <w:spacing w:after="160" w:line="259" w:lineRule="auto"/>
        <w:rPr>
          <w:rFonts w:ascii="Arial" w:hAnsi="Arial" w:cs="Arial"/>
          <w:sz w:val="22"/>
          <w:szCs w:val="22"/>
        </w:rPr>
      </w:pPr>
    </w:p>
    <w:p w14:paraId="6DBA0D6E" w14:textId="15A218FE" w:rsidR="00863E6A" w:rsidRDefault="00863E6A" w:rsidP="00863E6A">
      <w:pPr>
        <w:spacing w:after="160" w:line="259" w:lineRule="auto"/>
        <w:rPr>
          <w:rFonts w:ascii="Arial" w:hAnsi="Arial" w:cs="Arial"/>
          <w:sz w:val="22"/>
          <w:szCs w:val="22"/>
        </w:rPr>
      </w:pPr>
    </w:p>
    <w:p w14:paraId="06A58EA3" w14:textId="185DA5D6" w:rsidR="00863E6A" w:rsidRDefault="00863E6A" w:rsidP="00863E6A">
      <w:pPr>
        <w:spacing w:after="160" w:line="259" w:lineRule="auto"/>
        <w:rPr>
          <w:rFonts w:ascii="Arial" w:hAnsi="Arial" w:cs="Arial"/>
          <w:sz w:val="22"/>
          <w:szCs w:val="22"/>
        </w:rPr>
      </w:pPr>
    </w:p>
    <w:p w14:paraId="5BAFB312" w14:textId="7E759972" w:rsidR="00863E6A" w:rsidRDefault="00863E6A" w:rsidP="00863E6A">
      <w:pPr>
        <w:spacing w:after="160" w:line="259" w:lineRule="auto"/>
        <w:rPr>
          <w:rFonts w:ascii="Arial" w:hAnsi="Arial" w:cs="Arial"/>
          <w:sz w:val="22"/>
          <w:szCs w:val="22"/>
        </w:rPr>
      </w:pPr>
    </w:p>
    <w:p w14:paraId="008C9770" w14:textId="2C9A6241" w:rsidR="00863E6A" w:rsidRDefault="00863E6A" w:rsidP="00863E6A">
      <w:pPr>
        <w:spacing w:after="160" w:line="259" w:lineRule="auto"/>
        <w:rPr>
          <w:rFonts w:ascii="Arial" w:hAnsi="Arial" w:cs="Arial"/>
          <w:sz w:val="22"/>
          <w:szCs w:val="22"/>
        </w:rPr>
      </w:pPr>
    </w:p>
    <w:p w14:paraId="39B824CB" w14:textId="77777777" w:rsidR="00863E6A" w:rsidRPr="008C6897" w:rsidRDefault="00863E6A" w:rsidP="00863E6A">
      <w:pPr>
        <w:spacing w:after="160" w:line="259" w:lineRule="auto"/>
        <w:rPr>
          <w:rFonts w:ascii="Arial" w:hAnsi="Arial" w:cs="Arial"/>
          <w:sz w:val="22"/>
          <w:szCs w:val="22"/>
        </w:rPr>
      </w:pPr>
    </w:p>
    <w:p w14:paraId="2CECC976" w14:textId="77777777" w:rsidR="008C6897" w:rsidRPr="008C6897" w:rsidRDefault="008C6897" w:rsidP="008C6897">
      <w:pPr>
        <w:rPr>
          <w:rFonts w:ascii="Arial" w:hAnsi="Arial" w:cs="Arial"/>
          <w:sz w:val="22"/>
          <w:szCs w:val="22"/>
        </w:rPr>
      </w:pPr>
    </w:p>
    <w:p w14:paraId="52D94802" w14:textId="77777777" w:rsidR="004D4277" w:rsidRDefault="00B01FCD" w:rsidP="002E4CD4">
      <w:pPr>
        <w:rPr>
          <w:rFonts w:ascii="Arial" w:hAnsi="Arial" w:cs="Arial"/>
          <w:b/>
          <w:bCs/>
        </w:rPr>
      </w:pPr>
      <w:r w:rsidRPr="001D1C50">
        <w:rPr>
          <w:rFonts w:ascii="Arial" w:hAnsi="Arial" w:cs="Arial"/>
          <w:b/>
          <w:bCs/>
        </w:rPr>
        <w:t>APPENDIX</w:t>
      </w:r>
    </w:p>
    <w:p w14:paraId="085AE75E" w14:textId="77777777" w:rsidR="00C808D3" w:rsidRDefault="00C808D3" w:rsidP="002E4CD4">
      <w:pPr>
        <w:rPr>
          <w:rFonts w:ascii="Arial" w:hAnsi="Arial" w:cs="Arial"/>
          <w:b/>
          <w:bCs/>
        </w:rPr>
      </w:pPr>
    </w:p>
    <w:p w14:paraId="069B8A69" w14:textId="77777777" w:rsidR="00C808D3" w:rsidRDefault="00C808D3" w:rsidP="002E4CD4">
      <w:pPr>
        <w:rPr>
          <w:rFonts w:ascii="Arial" w:hAnsi="Arial" w:cs="Arial"/>
          <w:b/>
          <w:bCs/>
        </w:rPr>
      </w:pPr>
    </w:p>
    <w:p w14:paraId="7345D7D6" w14:textId="77777777" w:rsidR="00C808D3" w:rsidRDefault="00C808D3" w:rsidP="002E4CD4">
      <w:pPr>
        <w:rPr>
          <w:rFonts w:ascii="Arial" w:hAnsi="Arial" w:cs="Arial"/>
          <w:b/>
          <w:bCs/>
        </w:rPr>
      </w:pPr>
    </w:p>
    <w:p w14:paraId="5779CDA3" w14:textId="77777777" w:rsidR="00C808D3" w:rsidRDefault="00C808D3" w:rsidP="002E4CD4">
      <w:pPr>
        <w:rPr>
          <w:rFonts w:ascii="Arial" w:hAnsi="Arial" w:cs="Arial"/>
          <w:b/>
          <w:bCs/>
        </w:rPr>
      </w:pPr>
    </w:p>
    <w:p w14:paraId="4C09ADD0" w14:textId="77777777" w:rsidR="00B215C1" w:rsidRDefault="00B215C1" w:rsidP="002E4CD4">
      <w:pPr>
        <w:rPr>
          <w:rFonts w:ascii="Arial" w:hAnsi="Arial" w:cs="Arial"/>
          <w:b/>
          <w:bCs/>
        </w:rPr>
      </w:pPr>
    </w:p>
    <w:p w14:paraId="13410C21" w14:textId="77777777" w:rsidR="00B215C1" w:rsidRPr="000A2996" w:rsidRDefault="00B215C1" w:rsidP="00B215C1">
      <w:pPr>
        <w:tabs>
          <w:tab w:val="left" w:pos="1449"/>
        </w:tabs>
        <w:rPr>
          <w:rFonts w:ascii="Arial" w:hAnsi="Arial" w:cs="Arial"/>
          <w:sz w:val="22"/>
          <w:szCs w:val="22"/>
        </w:rPr>
      </w:pPr>
    </w:p>
    <w:p w14:paraId="1AC6D5B5" w14:textId="77777777" w:rsidR="00303BB8" w:rsidRDefault="00303BB8" w:rsidP="00303BB8">
      <w:pPr>
        <w:rPr>
          <w:rFonts w:ascii="Times New Roman" w:hAnsi="Times New Roman"/>
          <w:b/>
          <w:bCs/>
          <w:sz w:val="36"/>
          <w:szCs w:val="36"/>
        </w:rPr>
      </w:pPr>
      <w:r w:rsidRPr="00486B2B">
        <w:rPr>
          <w:rFonts w:ascii="Times New Roman" w:hAnsi="Times New Roman"/>
          <w:noProof/>
          <w:sz w:val="36"/>
          <w:szCs w:val="36"/>
        </w:rPr>
        <w:drawing>
          <wp:inline distT="0" distB="0" distL="0" distR="0" wp14:anchorId="207212CD" wp14:editId="53481471">
            <wp:extent cx="5024437" cy="2604624"/>
            <wp:effectExtent l="76200" t="76200" r="138430" b="139065"/>
            <wp:docPr id="46693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5044403" cy="2614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0130DB" w14:textId="0AF43338" w:rsidR="00303BB8" w:rsidRDefault="00303BB8" w:rsidP="00303BB8">
      <w:pPr>
        <w:rPr>
          <w:rFonts w:ascii="Arial" w:hAnsi="Arial" w:cs="Arial"/>
          <w:b/>
          <w:bCs/>
          <w:sz w:val="22"/>
          <w:szCs w:val="22"/>
        </w:rPr>
      </w:pPr>
      <w:r w:rsidRPr="00596BB0">
        <w:rPr>
          <w:rFonts w:ascii="Arial" w:hAnsi="Arial" w:cs="Arial"/>
          <w:b/>
          <w:bCs/>
          <w:noProof/>
          <w:sz w:val="22"/>
          <w:szCs w:val="22"/>
        </w:rPr>
        <w:drawing>
          <wp:anchor distT="0" distB="0" distL="114300" distR="114300" simplePos="0" relativeHeight="251666432" behindDoc="0" locked="0" layoutInCell="1" allowOverlap="1" wp14:anchorId="0F452851" wp14:editId="6B28692A">
            <wp:simplePos x="0" y="0"/>
            <wp:positionH relativeFrom="page">
              <wp:posOffset>1557020</wp:posOffset>
            </wp:positionH>
            <wp:positionV relativeFrom="paragraph">
              <wp:posOffset>294640</wp:posOffset>
            </wp:positionV>
            <wp:extent cx="1769745" cy="2029460"/>
            <wp:effectExtent l="79693" t="72707" r="138747" b="138748"/>
            <wp:wrapSquare wrapText="bothSides"/>
            <wp:docPr id="1543761991"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769745" cy="2029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rPr>
        <w:t xml:space="preserve">                                                     </w:t>
      </w:r>
      <w:r w:rsidRPr="00596BB0">
        <w:rPr>
          <w:rFonts w:ascii="Arial" w:hAnsi="Arial" w:cs="Arial"/>
          <w:b/>
          <w:bCs/>
          <w:sz w:val="22"/>
          <w:szCs w:val="22"/>
        </w:rPr>
        <w:t>Figure No 1</w:t>
      </w:r>
      <w:r>
        <w:rPr>
          <w:rFonts w:ascii="Arial" w:hAnsi="Arial" w:cs="Arial"/>
          <w:b/>
          <w:bCs/>
          <w:sz w:val="22"/>
          <w:szCs w:val="22"/>
        </w:rPr>
        <w:t xml:space="preserve">                        </w:t>
      </w:r>
    </w:p>
    <w:p w14:paraId="05479A7D" w14:textId="5772314E" w:rsidR="00303BB8" w:rsidRPr="00596BB0" w:rsidRDefault="00303BB8" w:rsidP="00303BB8">
      <w:pPr>
        <w:rPr>
          <w:rFonts w:ascii="Arial" w:hAnsi="Arial" w:cs="Arial"/>
          <w:b/>
          <w:bCs/>
          <w:sz w:val="22"/>
          <w:szCs w:val="22"/>
        </w:rPr>
      </w:pPr>
      <w:r>
        <w:rPr>
          <w:rFonts w:ascii="Arial" w:hAnsi="Arial" w:cs="Arial"/>
          <w:b/>
          <w:bCs/>
          <w:sz w:val="22"/>
          <w:szCs w:val="22"/>
        </w:rPr>
        <w:t xml:space="preserve"> </w:t>
      </w:r>
    </w:p>
    <w:p w14:paraId="1DBC32ED" w14:textId="77777777" w:rsidR="00303BB8" w:rsidRDefault="00303BB8" w:rsidP="00303BB8">
      <w:pPr>
        <w:rPr>
          <w:rFonts w:ascii="Times New Roman" w:hAnsi="Times New Roman"/>
          <w:b/>
          <w:bCs/>
          <w:sz w:val="24"/>
          <w:szCs w:val="24"/>
        </w:rPr>
      </w:pPr>
      <w:r>
        <w:rPr>
          <w:rFonts w:ascii="Times New Roman" w:hAnsi="Times New Roman"/>
          <w:b/>
          <w:bCs/>
          <w:sz w:val="24"/>
          <w:szCs w:val="24"/>
        </w:rPr>
        <w:t xml:space="preserve">                 </w:t>
      </w:r>
      <w:r w:rsidRPr="00883ADE">
        <w:rPr>
          <w:rFonts w:ascii="Times New Roman" w:hAnsi="Times New Roman"/>
          <w:b/>
          <w:bCs/>
          <w:noProof/>
          <w:sz w:val="36"/>
          <w:szCs w:val="36"/>
        </w:rPr>
        <w:drawing>
          <wp:inline distT="0" distB="0" distL="0" distR="0" wp14:anchorId="085763E0" wp14:editId="1B9F4658">
            <wp:extent cx="1719263" cy="1715709"/>
            <wp:effectExtent l="76200" t="76200" r="128905" b="132715"/>
            <wp:docPr id="1743826906"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1904846" cy="1900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24"/>
          <w:szCs w:val="24"/>
        </w:rPr>
        <w:t xml:space="preserve">                               </w:t>
      </w:r>
    </w:p>
    <w:p w14:paraId="57FA811E" w14:textId="77777777" w:rsidR="00303BB8" w:rsidRDefault="00303BB8" w:rsidP="00303BB8">
      <w:pPr>
        <w:rPr>
          <w:rFonts w:ascii="Times New Roman" w:hAnsi="Times New Roman"/>
          <w:b/>
          <w:bCs/>
          <w:sz w:val="24"/>
          <w:szCs w:val="24"/>
        </w:rPr>
      </w:pPr>
    </w:p>
    <w:p w14:paraId="40383FA1" w14:textId="683514F7" w:rsidR="00303BB8" w:rsidRPr="00596BB0" w:rsidRDefault="00303BB8" w:rsidP="00303BB8">
      <w:pPr>
        <w:rPr>
          <w:rFonts w:ascii="Arial" w:hAnsi="Arial" w:cs="Arial"/>
          <w:b/>
          <w:bCs/>
          <w:sz w:val="22"/>
          <w:szCs w:val="22"/>
        </w:rPr>
      </w:pPr>
      <w:r>
        <w:rPr>
          <w:rFonts w:ascii="Arial" w:hAnsi="Arial" w:cs="Arial"/>
          <w:b/>
          <w:bCs/>
          <w:sz w:val="22"/>
          <w:szCs w:val="22"/>
        </w:rPr>
        <w:t xml:space="preserve">                </w:t>
      </w:r>
      <w:r w:rsidRPr="00596BB0">
        <w:rPr>
          <w:rFonts w:ascii="Arial" w:hAnsi="Arial" w:cs="Arial"/>
          <w:b/>
          <w:bCs/>
          <w:sz w:val="22"/>
          <w:szCs w:val="22"/>
        </w:rPr>
        <w:t xml:space="preserve">Figure No 2            </w:t>
      </w:r>
      <w:r>
        <w:rPr>
          <w:rFonts w:ascii="Arial" w:hAnsi="Arial" w:cs="Arial"/>
          <w:b/>
          <w:bCs/>
          <w:sz w:val="22"/>
          <w:szCs w:val="22"/>
        </w:rPr>
        <w:t xml:space="preserve">                                            </w:t>
      </w:r>
      <w:r w:rsidRPr="00596BB0">
        <w:rPr>
          <w:rFonts w:ascii="Arial" w:hAnsi="Arial" w:cs="Arial"/>
          <w:b/>
          <w:bCs/>
          <w:sz w:val="22"/>
          <w:szCs w:val="22"/>
        </w:rPr>
        <w:t xml:space="preserve">Figure No </w:t>
      </w:r>
      <w:r>
        <w:rPr>
          <w:rFonts w:ascii="Arial" w:hAnsi="Arial" w:cs="Arial"/>
          <w:b/>
          <w:bCs/>
          <w:sz w:val="22"/>
          <w:szCs w:val="22"/>
        </w:rPr>
        <w:t>3</w:t>
      </w:r>
    </w:p>
    <w:p w14:paraId="48EDD443" w14:textId="77777777" w:rsidR="00303BB8" w:rsidRPr="00596BB0" w:rsidRDefault="00303BB8" w:rsidP="00303BB8">
      <w:pPr>
        <w:rPr>
          <w:rFonts w:ascii="Arial" w:hAnsi="Arial" w:cs="Arial"/>
          <w:b/>
          <w:bCs/>
          <w:sz w:val="22"/>
          <w:szCs w:val="22"/>
        </w:rPr>
      </w:pPr>
      <w:r w:rsidRPr="00596BB0">
        <w:rPr>
          <w:rFonts w:ascii="Arial" w:hAnsi="Arial" w:cs="Arial"/>
          <w:b/>
          <w:bCs/>
          <w:sz w:val="22"/>
          <w:szCs w:val="22"/>
        </w:rPr>
        <w:t xml:space="preserve">   </w:t>
      </w:r>
    </w:p>
    <w:p w14:paraId="66F4E0D5" w14:textId="77777777" w:rsidR="00303BB8" w:rsidRDefault="00303BB8" w:rsidP="00303BB8">
      <w:pPr>
        <w:rPr>
          <w:rFonts w:ascii="Times New Roman" w:hAnsi="Times New Roman"/>
          <w:b/>
          <w:bCs/>
          <w:sz w:val="36"/>
          <w:szCs w:val="36"/>
        </w:rPr>
      </w:pPr>
      <w:r>
        <w:rPr>
          <w:noProof/>
        </w:rPr>
        <w:lastRenderedPageBreak/>
        <mc:AlternateContent>
          <mc:Choice Requires="wps">
            <w:drawing>
              <wp:anchor distT="0" distB="0" distL="114300" distR="114300" simplePos="0" relativeHeight="251668480" behindDoc="0" locked="0" layoutInCell="1" allowOverlap="1" wp14:anchorId="485A59C3" wp14:editId="4D3265BB">
                <wp:simplePos x="0" y="0"/>
                <wp:positionH relativeFrom="column">
                  <wp:posOffset>227965</wp:posOffset>
                </wp:positionH>
                <wp:positionV relativeFrom="paragraph">
                  <wp:posOffset>505778</wp:posOffset>
                </wp:positionV>
                <wp:extent cx="2062480" cy="311150"/>
                <wp:effectExtent l="0" t="0" r="0" b="0"/>
                <wp:wrapNone/>
                <wp:docPr id="1243893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3111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6C1C1D" id="Rectangle 3" o:spid="_x0000_s1026" style="position:absolute;margin-left:17.95pt;margin-top:39.85pt;width:162.4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" fillcolor="black [3213]" strokecolor="#0a121c [484]" strokeweight="2pt">
                <v:path arrowok="t"/>
              </v:rect>
            </w:pict>
          </mc:Fallback>
        </mc:AlternateContent>
      </w:r>
      <w:r>
        <w:rPr>
          <w:rFonts w:ascii="Times New Roman" w:hAnsi="Times New Roman"/>
          <w:b/>
          <w:bCs/>
          <w:sz w:val="36"/>
          <w:szCs w:val="36"/>
        </w:rPr>
        <w:t xml:space="preserve">       </w:t>
      </w:r>
      <w:r>
        <w:rPr>
          <w:rFonts w:ascii="Times New Roman" w:hAnsi="Times New Roman"/>
          <w:b/>
          <w:bCs/>
          <w:noProof/>
          <w:sz w:val="36"/>
          <w:szCs w:val="36"/>
        </w:rPr>
        <w:t xml:space="preserve">              </w:t>
      </w:r>
      <w:r w:rsidRPr="0077233C">
        <w:rPr>
          <w:rFonts w:ascii="Times New Roman" w:hAnsi="Times New Roman"/>
          <w:b/>
          <w:bCs/>
          <w:noProof/>
          <w:sz w:val="36"/>
          <w:szCs w:val="36"/>
        </w:rPr>
        <w:drawing>
          <wp:inline distT="0" distB="0" distL="0" distR="0" wp14:anchorId="2175933F" wp14:editId="369EA956">
            <wp:extent cx="1186174" cy="2334705"/>
            <wp:effectExtent l="73343" t="79057" r="126047" b="126048"/>
            <wp:docPr id="1896837300"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17" cstate="print">
                      <a:extLst>
                        <a:ext uri="{28A0092B-C50C-407E-A947-70E740481C1C}">
                          <a14:useLocalDpi xmlns:a14="http://schemas.microsoft.com/office/drawing/2010/main" val="0"/>
                        </a:ext>
                      </a:extLst>
                    </a:blip>
                    <a:srcRect l="17020" r="15238"/>
                    <a:stretch>
                      <a:fillRect/>
                    </a:stretch>
                  </pic:blipFill>
                  <pic:spPr>
                    <a:xfrm rot="16200000">
                      <a:off x="0" y="0"/>
                      <a:ext cx="1318834" cy="2595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7233C">
        <w:rPr>
          <w:rFonts w:ascii="Times New Roman" w:hAnsi="Times New Roman"/>
          <w:b/>
          <w:bCs/>
          <w:noProof/>
          <w:sz w:val="36"/>
          <w:szCs w:val="36"/>
        </w:rPr>
        <w:drawing>
          <wp:anchor distT="0" distB="0" distL="114300" distR="114300" simplePos="0" relativeHeight="251664384" behindDoc="0" locked="0" layoutInCell="1" allowOverlap="1" wp14:anchorId="7FD30CB9" wp14:editId="5E9C1628">
            <wp:simplePos x="990600" y="990600"/>
            <wp:positionH relativeFrom="column">
              <wp:align>left</wp:align>
            </wp:positionH>
            <wp:positionV relativeFrom="paragraph">
              <wp:align>top</wp:align>
            </wp:positionV>
            <wp:extent cx="2300207" cy="3381012"/>
            <wp:effectExtent l="76200" t="76200" r="138430" b="124460"/>
            <wp:wrapSquare wrapText="bothSides"/>
            <wp:docPr id="1250932650"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624B0E" w14:textId="748BF24E" w:rsidR="00303BB8" w:rsidRPr="00596BB0" w:rsidRDefault="00303BB8" w:rsidP="00303BB8">
      <w:pPr>
        <w:rPr>
          <w:rFonts w:ascii="Arial" w:hAnsi="Arial" w:cs="Arial"/>
          <w:b/>
          <w:bCs/>
          <w:sz w:val="22"/>
          <w:szCs w:val="22"/>
        </w:rPr>
      </w:pPr>
      <w:r>
        <w:rPr>
          <w:rFonts w:ascii="Arial" w:hAnsi="Arial" w:cs="Arial"/>
          <w:b/>
          <w:bCs/>
          <w:sz w:val="22"/>
          <w:szCs w:val="22"/>
        </w:rPr>
        <w:t xml:space="preserve">                  </w:t>
      </w:r>
      <w:r w:rsidRPr="00596BB0">
        <w:rPr>
          <w:rFonts w:ascii="Arial" w:hAnsi="Arial" w:cs="Arial"/>
          <w:b/>
          <w:bCs/>
          <w:sz w:val="22"/>
          <w:szCs w:val="22"/>
        </w:rPr>
        <w:t>Figure No 5</w:t>
      </w:r>
    </w:p>
    <w:p w14:paraId="64E645B4" w14:textId="0C8CDEB3" w:rsidR="00303BB8" w:rsidRPr="00596BB0" w:rsidRDefault="00303BB8" w:rsidP="00303BB8">
      <w:pPr>
        <w:tabs>
          <w:tab w:val="left" w:pos="1383"/>
        </w:tabs>
        <w:rPr>
          <w:rFonts w:ascii="Arial" w:hAnsi="Arial" w:cs="Arial"/>
          <w:b/>
          <w:bCs/>
          <w:sz w:val="22"/>
          <w:szCs w:val="22"/>
        </w:rPr>
      </w:pPr>
      <w:r>
        <w:rPr>
          <w:rFonts w:ascii="Times New Roman" w:hAnsi="Times New Roman"/>
          <w:b/>
          <w:bCs/>
          <w:sz w:val="36"/>
          <w:szCs w:val="36"/>
        </w:rPr>
        <w:tab/>
      </w:r>
      <w:r>
        <w:rPr>
          <w:rFonts w:ascii="Times New Roman" w:hAnsi="Times New Roman"/>
          <w:b/>
          <w:bCs/>
          <w:sz w:val="36"/>
          <w:szCs w:val="36"/>
        </w:rPr>
        <w:br w:type="textWrapping" w:clear="all"/>
      </w:r>
      <w:r>
        <w:rPr>
          <w:rFonts w:ascii="Arial" w:hAnsi="Arial" w:cs="Arial"/>
          <w:b/>
          <w:bCs/>
          <w:sz w:val="22"/>
          <w:szCs w:val="22"/>
        </w:rPr>
        <w:t xml:space="preserve">              </w:t>
      </w:r>
      <w:r w:rsidRPr="00596BB0">
        <w:rPr>
          <w:rFonts w:ascii="Arial" w:hAnsi="Arial" w:cs="Arial"/>
          <w:b/>
          <w:bCs/>
          <w:sz w:val="22"/>
          <w:szCs w:val="22"/>
        </w:rPr>
        <w:t xml:space="preserve">Figure No </w:t>
      </w:r>
      <w:r>
        <w:rPr>
          <w:rFonts w:ascii="Arial" w:hAnsi="Arial" w:cs="Arial"/>
          <w:b/>
          <w:bCs/>
          <w:sz w:val="22"/>
          <w:szCs w:val="22"/>
        </w:rPr>
        <w:t>4</w:t>
      </w:r>
    </w:p>
    <w:p w14:paraId="710D00A0" w14:textId="77777777" w:rsidR="00303BB8" w:rsidRPr="00A811B3" w:rsidRDefault="00303BB8" w:rsidP="00303BB8">
      <w:pPr>
        <w:tabs>
          <w:tab w:val="left" w:pos="1383"/>
        </w:tabs>
        <w:rPr>
          <w:rFonts w:ascii="Times New Roman" w:hAnsi="Times New Roman"/>
          <w:b/>
          <w:bCs/>
          <w:sz w:val="24"/>
          <w:szCs w:val="24"/>
        </w:rPr>
      </w:pPr>
    </w:p>
    <w:p w14:paraId="1ADDEC18" w14:textId="77777777" w:rsidR="00303BB8" w:rsidRDefault="00303BB8" w:rsidP="00303BB8">
      <w:pPr>
        <w:tabs>
          <w:tab w:val="left" w:pos="1383"/>
        </w:tabs>
        <w:rPr>
          <w:rFonts w:ascii="Times New Roman" w:hAnsi="Times New Roman"/>
          <w:b/>
          <w:bCs/>
          <w:sz w:val="36"/>
          <w:szCs w:val="36"/>
        </w:rPr>
      </w:pPr>
      <w:r>
        <w:rPr>
          <w:rFonts w:ascii="Times New Roman" w:hAnsi="Times New Roman"/>
          <w:b/>
          <w:bCs/>
          <w:sz w:val="36"/>
          <w:szCs w:val="36"/>
        </w:rPr>
        <w:t xml:space="preserve">                 </w:t>
      </w:r>
      <w:r w:rsidRPr="0077233C">
        <w:rPr>
          <w:rFonts w:ascii="Times New Roman" w:hAnsi="Times New Roman"/>
          <w:b/>
          <w:bCs/>
          <w:noProof/>
          <w:sz w:val="36"/>
          <w:szCs w:val="36"/>
        </w:rPr>
        <w:drawing>
          <wp:inline distT="0" distB="0" distL="0" distR="0" wp14:anchorId="250AED9A" wp14:editId="2F49E418">
            <wp:extent cx="3067050" cy="1875055"/>
            <wp:effectExtent l="76200" t="76200" r="114300" b="106680"/>
            <wp:docPr id="1358137492"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19">
                      <a:extLst>
                        <a:ext uri="{28A0092B-C50C-407E-A947-70E740481C1C}">
                          <a14:useLocalDpi xmlns:a14="http://schemas.microsoft.com/office/drawing/2010/main" val="0"/>
                        </a:ext>
                      </a:extLst>
                    </a:blip>
                    <a:srcRect l="34129" t="24654" r="20708" b="38350"/>
                    <a:stretch>
                      <a:fillRect/>
                    </a:stretch>
                  </pic:blipFill>
                  <pic:spPr>
                    <a:xfrm>
                      <a:off x="0" y="0"/>
                      <a:ext cx="3112308" cy="1902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712D5" w14:textId="77777777" w:rsidR="00303BB8" w:rsidRDefault="00303BB8" w:rsidP="00303BB8">
      <w:pPr>
        <w:tabs>
          <w:tab w:val="left" w:pos="1383"/>
        </w:tabs>
        <w:rPr>
          <w:rFonts w:ascii="Times New Roman" w:hAnsi="Times New Roman"/>
          <w:b/>
          <w:bCs/>
          <w:sz w:val="36"/>
          <w:szCs w:val="36"/>
        </w:rPr>
      </w:pPr>
    </w:p>
    <w:p w14:paraId="06F3A29C" w14:textId="1F8A2267" w:rsidR="00303BB8" w:rsidRPr="00596BB0" w:rsidRDefault="00303BB8" w:rsidP="00303BB8">
      <w:pPr>
        <w:rPr>
          <w:rFonts w:ascii="Arial" w:hAnsi="Arial" w:cs="Arial"/>
          <w:b/>
          <w:bCs/>
          <w:sz w:val="22"/>
          <w:szCs w:val="22"/>
        </w:rPr>
      </w:pPr>
      <w:r>
        <w:rPr>
          <w:rFonts w:ascii="Arial" w:hAnsi="Arial" w:cs="Arial"/>
          <w:b/>
          <w:bCs/>
          <w:sz w:val="22"/>
          <w:szCs w:val="22"/>
        </w:rPr>
        <w:t xml:space="preserve">                                                      </w:t>
      </w:r>
      <w:r w:rsidRPr="00596BB0">
        <w:rPr>
          <w:rFonts w:ascii="Arial" w:hAnsi="Arial" w:cs="Arial"/>
          <w:b/>
          <w:bCs/>
          <w:sz w:val="22"/>
          <w:szCs w:val="22"/>
        </w:rPr>
        <w:t>Figure No 6</w:t>
      </w:r>
    </w:p>
    <w:p w14:paraId="4BB1F15F" w14:textId="77777777" w:rsidR="00303BB8" w:rsidRPr="00A811B3" w:rsidRDefault="00303BB8" w:rsidP="00303BB8">
      <w:pPr>
        <w:rPr>
          <w:rFonts w:ascii="Times New Roman" w:hAnsi="Times New Roman"/>
          <w:b/>
          <w:bCs/>
          <w:sz w:val="24"/>
          <w:szCs w:val="24"/>
        </w:rPr>
      </w:pPr>
      <w:r>
        <w:rPr>
          <w:rFonts w:ascii="Times New Roman" w:hAnsi="Times New Roman"/>
          <w:b/>
          <w:bCs/>
          <w:sz w:val="24"/>
          <w:szCs w:val="24"/>
        </w:rPr>
        <w:lastRenderedPageBreak/>
        <w:t xml:space="preserve">                 </w:t>
      </w:r>
      <w:r w:rsidRPr="00E81B68">
        <w:rPr>
          <w:rFonts w:ascii="Times New Roman" w:hAnsi="Times New Roman"/>
          <w:b/>
          <w:bCs/>
          <w:noProof/>
          <w:sz w:val="36"/>
          <w:szCs w:val="36"/>
        </w:rPr>
        <w:drawing>
          <wp:inline distT="0" distB="0" distL="0" distR="0" wp14:anchorId="40C03A92" wp14:editId="2993C251">
            <wp:extent cx="1760425" cy="2900074"/>
            <wp:effectExtent l="647700" t="0" r="678180" b="0"/>
            <wp:docPr id="195455918"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20" cstate="print">
                      <a:extLst>
                        <a:ext uri="{28A0092B-C50C-407E-A947-70E740481C1C}">
                          <a14:useLocalDpi xmlns:a14="http://schemas.microsoft.com/office/drawing/2010/main" val="0"/>
                        </a:ext>
                      </a:extLst>
                    </a:blip>
                    <a:srcRect l="23303" t="16186" r="33163" b="30028"/>
                    <a:stretch>
                      <a:fillRect/>
                    </a:stretch>
                  </pic:blipFill>
                  <pic:spPr>
                    <a:xfrm rot="5400000">
                      <a:off x="0" y="0"/>
                      <a:ext cx="1769582" cy="2915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24"/>
          <w:szCs w:val="24"/>
        </w:rPr>
        <w:t xml:space="preserve">         </w:t>
      </w:r>
    </w:p>
    <w:p w14:paraId="048593EB" w14:textId="61CC2333" w:rsidR="00303BB8" w:rsidRPr="00B550E8" w:rsidRDefault="00303BB8" w:rsidP="00303BB8">
      <w:pPr>
        <w:rPr>
          <w:rFonts w:ascii="Arial" w:hAnsi="Arial" w:cs="Arial"/>
          <w:b/>
          <w:bCs/>
          <w:sz w:val="24"/>
          <w:szCs w:val="24"/>
        </w:rPr>
      </w:pPr>
      <w:r w:rsidRPr="00B550E8">
        <w:rPr>
          <w:rFonts w:ascii="Arial" w:hAnsi="Arial" w:cs="Arial"/>
          <w:b/>
          <w:bCs/>
          <w:sz w:val="24"/>
          <w:szCs w:val="24"/>
        </w:rPr>
        <w:t xml:space="preserve">   </w:t>
      </w:r>
      <w:r>
        <w:rPr>
          <w:rFonts w:ascii="Arial" w:hAnsi="Arial" w:cs="Arial"/>
          <w:b/>
          <w:bCs/>
          <w:sz w:val="24"/>
          <w:szCs w:val="24"/>
        </w:rPr>
        <w:t xml:space="preserve">                                                 </w:t>
      </w:r>
      <w:r w:rsidRPr="00B550E8">
        <w:rPr>
          <w:rFonts w:ascii="Arial" w:hAnsi="Arial" w:cs="Arial"/>
          <w:b/>
          <w:bCs/>
          <w:sz w:val="24"/>
          <w:szCs w:val="24"/>
        </w:rPr>
        <w:t>Figure No 7</w:t>
      </w:r>
    </w:p>
    <w:p w14:paraId="13886003" w14:textId="77777777" w:rsidR="00303BB8" w:rsidRPr="00B550E8" w:rsidRDefault="00303BB8" w:rsidP="00303BB8">
      <w:pPr>
        <w:rPr>
          <w:rFonts w:ascii="Arial" w:hAnsi="Arial" w:cs="Arial"/>
          <w:b/>
          <w:bCs/>
          <w:sz w:val="24"/>
          <w:szCs w:val="24"/>
        </w:rPr>
      </w:pPr>
    </w:p>
    <w:p w14:paraId="71D80B0F" w14:textId="77777777" w:rsidR="00303BB8" w:rsidRDefault="00303BB8" w:rsidP="00303BB8">
      <w:pPr>
        <w:rPr>
          <w:rFonts w:ascii="Times New Roman" w:hAnsi="Times New Roman"/>
          <w:b/>
          <w:bCs/>
          <w:sz w:val="36"/>
          <w:szCs w:val="36"/>
        </w:rPr>
      </w:pPr>
    </w:p>
    <w:p w14:paraId="082D3298" w14:textId="4ED21ED1" w:rsidR="00303BB8" w:rsidRPr="00B550E8" w:rsidRDefault="00303BB8" w:rsidP="00303BB8">
      <w:pPr>
        <w:jc w:val="both"/>
        <w:rPr>
          <w:rFonts w:ascii="Arial" w:hAnsi="Arial" w:cs="Arial"/>
          <w:b/>
          <w:bCs/>
          <w:sz w:val="36"/>
          <w:szCs w:val="36"/>
        </w:rPr>
      </w:pPr>
      <w:r w:rsidRPr="00E81B68">
        <w:rPr>
          <w:rFonts w:ascii="Times New Roman" w:hAnsi="Times New Roman"/>
          <w:b/>
          <w:bCs/>
          <w:noProof/>
          <w:sz w:val="36"/>
          <w:szCs w:val="36"/>
        </w:rPr>
        <w:drawing>
          <wp:anchor distT="0" distB="0" distL="114300" distR="114300" simplePos="0" relativeHeight="251665408" behindDoc="0" locked="0" layoutInCell="1" allowOverlap="1" wp14:anchorId="249257A6" wp14:editId="1D3933F4">
            <wp:simplePos x="0" y="0"/>
            <wp:positionH relativeFrom="margin">
              <wp:posOffset>5715</wp:posOffset>
            </wp:positionH>
            <wp:positionV relativeFrom="paragraph">
              <wp:posOffset>8255</wp:posOffset>
            </wp:positionV>
            <wp:extent cx="1762125" cy="1673225"/>
            <wp:effectExtent l="76200" t="76200" r="142875" b="136525"/>
            <wp:wrapSquare wrapText="bothSides"/>
            <wp:docPr id="1084677536"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21" cstate="print">
                      <a:extLst>
                        <a:ext uri="{28A0092B-C50C-407E-A947-70E740481C1C}">
                          <a14:useLocalDpi xmlns:a14="http://schemas.microsoft.com/office/drawing/2010/main" val="0"/>
                        </a:ext>
                      </a:extLst>
                    </a:blip>
                    <a:srcRect t="3981" r="10093" b="10648"/>
                    <a:stretch>
                      <a:fillRect/>
                    </a:stretch>
                  </pic:blipFill>
                  <pic:spPr>
                    <a:xfrm>
                      <a:off x="0" y="0"/>
                      <a:ext cx="1762125" cy="167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368AD768" wp14:editId="07767A5D">
            <wp:extent cx="2624000" cy="1659255"/>
            <wp:effectExtent l="76200" t="76200" r="138430" b="131445"/>
            <wp:docPr id="1588433797"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22" cstate="print">
                      <a:extLst>
                        <a:ext uri="{28A0092B-C50C-407E-A947-70E740481C1C}">
                          <a14:useLocalDpi xmlns:a14="http://schemas.microsoft.com/office/drawing/2010/main" val="0"/>
                        </a:ext>
                      </a:extLst>
                    </a:blip>
                    <a:srcRect l="4432" t="3039" r="9662"/>
                    <a:stretch>
                      <a:fillRect/>
                    </a:stretch>
                  </pic:blipFill>
                  <pic:spPr>
                    <a:xfrm>
                      <a:off x="0" y="0"/>
                      <a:ext cx="2785720" cy="176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bCs/>
        </w:rPr>
        <w:t xml:space="preserve">       </w:t>
      </w:r>
      <w:r>
        <w:rPr>
          <w:rFonts w:ascii="Arial" w:hAnsi="Arial" w:cs="Arial"/>
          <w:b/>
          <w:bCs/>
        </w:rPr>
        <w:t xml:space="preserve">                      </w:t>
      </w:r>
      <w:r>
        <w:rPr>
          <w:rFonts w:ascii="Arial" w:hAnsi="Arial" w:cs="Arial"/>
          <w:b/>
          <w:bCs/>
        </w:rPr>
        <w:t xml:space="preserve">Fig </w:t>
      </w:r>
      <w:r w:rsidRPr="00B550E8">
        <w:rPr>
          <w:rFonts w:ascii="Arial" w:hAnsi="Arial" w:cs="Arial"/>
          <w:b/>
          <w:bCs/>
        </w:rPr>
        <w:t>No 8</w:t>
      </w:r>
      <w:r w:rsidRPr="00B550E8">
        <w:rPr>
          <w:rFonts w:ascii="Arial" w:hAnsi="Arial" w:cs="Arial"/>
          <w:b/>
          <w:bCs/>
          <w:sz w:val="16"/>
          <w:szCs w:val="16"/>
        </w:rPr>
        <w:t xml:space="preserve">      </w:t>
      </w:r>
      <w:r>
        <w:rPr>
          <w:rFonts w:ascii="Arial" w:hAnsi="Arial" w:cs="Arial"/>
          <w:b/>
          <w:bCs/>
          <w:sz w:val="16"/>
          <w:szCs w:val="16"/>
        </w:rPr>
        <w:t xml:space="preserve">         </w:t>
      </w:r>
      <w:r w:rsidRPr="00B550E8">
        <w:rPr>
          <w:rFonts w:ascii="Arial" w:hAnsi="Arial" w:cs="Arial"/>
          <w:b/>
          <w:bCs/>
          <w:sz w:val="16"/>
          <w:szCs w:val="16"/>
        </w:rPr>
        <w:t xml:space="preserve"> </w:t>
      </w:r>
      <w:r>
        <w:rPr>
          <w:rFonts w:ascii="Arial" w:hAnsi="Arial" w:cs="Arial"/>
          <w:b/>
          <w:bCs/>
          <w:sz w:val="16"/>
          <w:szCs w:val="16"/>
        </w:rPr>
        <w:t xml:space="preserve">                                                                                  </w:t>
      </w:r>
      <w:r w:rsidRPr="00B550E8">
        <w:rPr>
          <w:rFonts w:ascii="Arial" w:hAnsi="Arial" w:cs="Arial"/>
          <w:b/>
          <w:bCs/>
          <w:sz w:val="16"/>
          <w:szCs w:val="16"/>
        </w:rPr>
        <w:t xml:space="preserve"> </w:t>
      </w:r>
      <w:r w:rsidRPr="00B550E8">
        <w:rPr>
          <w:rFonts w:ascii="Arial" w:hAnsi="Arial" w:cs="Arial"/>
          <w:b/>
          <w:bCs/>
        </w:rPr>
        <w:t>Fig No 9</w:t>
      </w:r>
      <w:r w:rsidRPr="00B550E8">
        <w:rPr>
          <w:rFonts w:ascii="Arial" w:hAnsi="Arial" w:cs="Arial"/>
          <w:b/>
          <w:bCs/>
          <w:sz w:val="36"/>
          <w:szCs w:val="36"/>
        </w:rPr>
        <w:t xml:space="preserve">          </w:t>
      </w:r>
    </w:p>
    <w:p w14:paraId="48FA9350" w14:textId="77777777" w:rsidR="00303BB8" w:rsidRDefault="00303BB8" w:rsidP="00303BB8">
      <w:pPr>
        <w:rPr>
          <w:rFonts w:ascii="Times New Roman" w:hAnsi="Times New Roman"/>
          <w:b/>
          <w:bCs/>
          <w:sz w:val="36"/>
          <w:szCs w:val="36"/>
        </w:rPr>
      </w:pPr>
    </w:p>
    <w:p w14:paraId="4FF23057" w14:textId="77777777" w:rsidR="00303BB8" w:rsidRDefault="00303BB8" w:rsidP="00303BB8">
      <w:pPr>
        <w:rPr>
          <w:rFonts w:ascii="Times New Roman" w:hAnsi="Times New Roman"/>
          <w:b/>
          <w:bCs/>
          <w:sz w:val="36"/>
          <w:szCs w:val="36"/>
        </w:rPr>
      </w:pP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6741037F" wp14:editId="44300471">
            <wp:extent cx="3012831" cy="1878155"/>
            <wp:effectExtent l="76200" t="76200" r="130810" b="141605"/>
            <wp:docPr id="225992046"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3"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355000" w14:textId="77777777" w:rsidR="00303BB8" w:rsidRDefault="00303BB8" w:rsidP="00303BB8">
      <w:pPr>
        <w:rPr>
          <w:rFonts w:ascii="Times New Roman" w:hAnsi="Times New Roman"/>
          <w:b/>
          <w:bCs/>
          <w:sz w:val="24"/>
          <w:szCs w:val="24"/>
        </w:rPr>
      </w:pPr>
      <w:r w:rsidRPr="00A811B3">
        <w:rPr>
          <w:rFonts w:ascii="Times New Roman" w:hAnsi="Times New Roman"/>
          <w:b/>
          <w:bCs/>
          <w:sz w:val="24"/>
          <w:szCs w:val="24"/>
        </w:rPr>
        <w:t xml:space="preserve">       </w:t>
      </w:r>
    </w:p>
    <w:p w14:paraId="2D4AD409" w14:textId="77777777" w:rsidR="00303BB8" w:rsidRDefault="00303BB8" w:rsidP="00303BB8">
      <w:pPr>
        <w:rPr>
          <w:rFonts w:ascii="Times New Roman" w:hAnsi="Times New Roman"/>
          <w:b/>
          <w:bCs/>
          <w:sz w:val="24"/>
          <w:szCs w:val="24"/>
        </w:rPr>
      </w:pPr>
    </w:p>
    <w:p w14:paraId="2AB5346A" w14:textId="66CB91BA" w:rsidR="00303BB8" w:rsidRPr="00595AF6" w:rsidRDefault="00303BB8" w:rsidP="00303BB8">
      <w:pPr>
        <w:rPr>
          <w:rFonts w:ascii="Arial" w:hAnsi="Arial" w:cs="Arial"/>
          <w:b/>
          <w:bCs/>
          <w:sz w:val="24"/>
          <w:szCs w:val="24"/>
        </w:rPr>
      </w:pPr>
      <w:r w:rsidRPr="00595AF6">
        <w:rPr>
          <w:rFonts w:ascii="Arial" w:hAnsi="Arial" w:cs="Arial"/>
          <w:b/>
          <w:bCs/>
          <w:sz w:val="24"/>
          <w:szCs w:val="24"/>
        </w:rPr>
        <w:t xml:space="preserve">                </w:t>
      </w:r>
      <w:r>
        <w:rPr>
          <w:rFonts w:ascii="Arial" w:hAnsi="Arial" w:cs="Arial"/>
          <w:b/>
          <w:bCs/>
          <w:sz w:val="24"/>
          <w:szCs w:val="24"/>
        </w:rPr>
        <w:t xml:space="preserve">                          </w:t>
      </w:r>
      <w:r w:rsidRPr="00595AF6">
        <w:rPr>
          <w:rFonts w:ascii="Arial" w:hAnsi="Arial" w:cs="Arial"/>
          <w:b/>
          <w:bCs/>
          <w:sz w:val="24"/>
          <w:szCs w:val="24"/>
        </w:rPr>
        <w:t>Fig</w:t>
      </w:r>
      <w:r>
        <w:rPr>
          <w:rFonts w:ascii="Arial" w:hAnsi="Arial" w:cs="Arial"/>
          <w:b/>
          <w:bCs/>
          <w:sz w:val="24"/>
          <w:szCs w:val="24"/>
        </w:rPr>
        <w:t xml:space="preserve">ure </w:t>
      </w:r>
      <w:r w:rsidRPr="00595AF6">
        <w:rPr>
          <w:rFonts w:ascii="Arial" w:hAnsi="Arial" w:cs="Arial"/>
          <w:b/>
          <w:bCs/>
          <w:sz w:val="24"/>
          <w:szCs w:val="24"/>
        </w:rPr>
        <w:t xml:space="preserve">No </w:t>
      </w:r>
      <w:r>
        <w:rPr>
          <w:rFonts w:ascii="Arial" w:hAnsi="Arial" w:cs="Arial"/>
          <w:b/>
          <w:bCs/>
          <w:sz w:val="24"/>
          <w:szCs w:val="24"/>
        </w:rPr>
        <w:t>10</w:t>
      </w:r>
    </w:p>
    <w:p w14:paraId="04A88381" w14:textId="2809F080" w:rsidR="00303BB8" w:rsidRPr="00595AF6" w:rsidRDefault="00303BB8" w:rsidP="00303BB8">
      <w:pPr>
        <w:rPr>
          <w:rFonts w:ascii="Arial" w:hAnsi="Arial" w:cs="Arial"/>
          <w:b/>
          <w:bCs/>
          <w:sz w:val="24"/>
          <w:szCs w:val="24"/>
        </w:rPr>
      </w:pPr>
      <w:r>
        <w:rPr>
          <w:rFonts w:ascii="Arial" w:hAnsi="Arial" w:cs="Arial"/>
          <w:b/>
          <w:bCs/>
          <w:sz w:val="24"/>
          <w:szCs w:val="24"/>
        </w:rPr>
        <w:t xml:space="preserve"> </w:t>
      </w:r>
    </w:p>
    <w:p w14:paraId="4FC999CB" w14:textId="77777777" w:rsidR="00303BB8" w:rsidRDefault="00303BB8" w:rsidP="00303BB8">
      <w:pPr>
        <w:rPr>
          <w:rFonts w:ascii="Times New Roman" w:hAnsi="Times New Roman"/>
          <w:b/>
          <w:bCs/>
          <w:sz w:val="24"/>
          <w:szCs w:val="24"/>
        </w:rPr>
      </w:pPr>
    </w:p>
    <w:p w14:paraId="041DE7DA" w14:textId="77777777" w:rsidR="00303BB8" w:rsidRDefault="00303BB8" w:rsidP="00303BB8">
      <w:pPr>
        <w:rPr>
          <w:rFonts w:ascii="Times New Roman" w:hAnsi="Times New Roman"/>
          <w:b/>
          <w:bCs/>
          <w:sz w:val="24"/>
          <w:szCs w:val="24"/>
        </w:rPr>
      </w:pPr>
    </w:p>
    <w:p w14:paraId="0A544747" w14:textId="77777777" w:rsidR="00303BB8" w:rsidRPr="00A811B3" w:rsidRDefault="00303BB8" w:rsidP="00303BB8">
      <w:pPr>
        <w:rPr>
          <w:rFonts w:ascii="Times New Roman" w:hAnsi="Times New Roman"/>
          <w:b/>
          <w:bCs/>
          <w:sz w:val="24"/>
          <w:szCs w:val="24"/>
        </w:rPr>
      </w:pPr>
    </w:p>
    <w:p w14:paraId="5E3F214B" w14:textId="77777777" w:rsidR="00303BB8" w:rsidRDefault="00303BB8" w:rsidP="00303BB8">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01272CB6" wp14:editId="56EAE46F">
            <wp:extent cx="5014912" cy="2035745"/>
            <wp:effectExtent l="76200" t="76200" r="109855" b="117475"/>
            <wp:docPr id="2071265901"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4" cstate="print">
                      <a:extLst>
                        <a:ext uri="{28A0092B-C50C-407E-A947-70E740481C1C}">
                          <a14:useLocalDpi xmlns:a14="http://schemas.microsoft.com/office/drawing/2010/main" val="0"/>
                        </a:ext>
                      </a:extLst>
                    </a:blip>
                    <a:srcRect t="25556" r="6944" b="36667"/>
                    <a:stretch>
                      <a:fillRect/>
                    </a:stretch>
                  </pic:blipFill>
                  <pic:spPr>
                    <a:xfrm>
                      <a:off x="0" y="0"/>
                      <a:ext cx="5030717" cy="2042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ED246C" w14:textId="648299EF" w:rsidR="00303BB8" w:rsidRPr="00595AF6" w:rsidRDefault="00303BB8" w:rsidP="00303BB8">
      <w:pPr>
        <w:jc w:val="both"/>
        <w:rPr>
          <w:rFonts w:ascii="Arial" w:hAnsi="Arial" w:cs="Arial"/>
          <w:b/>
          <w:bCs/>
          <w:sz w:val="24"/>
          <w:szCs w:val="24"/>
        </w:rPr>
      </w:pPr>
      <w:r>
        <w:rPr>
          <w:rFonts w:ascii="Arial" w:hAnsi="Arial" w:cs="Arial"/>
          <w:b/>
          <w:bCs/>
          <w:sz w:val="24"/>
          <w:szCs w:val="24"/>
        </w:rPr>
        <w:t xml:space="preserve">                                                  </w:t>
      </w:r>
      <w:r w:rsidRPr="00595AF6">
        <w:rPr>
          <w:rFonts w:ascii="Arial" w:hAnsi="Arial" w:cs="Arial"/>
          <w:b/>
          <w:bCs/>
          <w:sz w:val="24"/>
          <w:szCs w:val="24"/>
        </w:rPr>
        <w:t xml:space="preserve"> Fig No 11</w:t>
      </w:r>
    </w:p>
    <w:p w14:paraId="429B0579" w14:textId="77777777" w:rsidR="00303BB8" w:rsidRPr="00595AF6" w:rsidRDefault="00303BB8" w:rsidP="00303BB8">
      <w:pPr>
        <w:rPr>
          <w:rFonts w:ascii="Arial" w:hAnsi="Arial" w:cs="Arial"/>
          <w:b/>
          <w:bCs/>
          <w:sz w:val="36"/>
          <w:szCs w:val="36"/>
        </w:rPr>
      </w:pPr>
    </w:p>
    <w:p w14:paraId="502DBC50" w14:textId="77777777" w:rsidR="00303BB8" w:rsidRDefault="00303BB8" w:rsidP="00303BB8">
      <w:pPr>
        <w:rPr>
          <w:rFonts w:ascii="Times New Roman" w:hAnsi="Times New Roman"/>
          <w:b/>
          <w:bCs/>
          <w:sz w:val="36"/>
          <w:szCs w:val="36"/>
        </w:rPr>
      </w:pPr>
      <w:r>
        <w:rPr>
          <w:rFonts w:ascii="Times New Roman" w:hAnsi="Times New Roman"/>
          <w:b/>
          <w:bCs/>
          <w:sz w:val="36"/>
          <w:szCs w:val="36"/>
        </w:rPr>
        <w:t xml:space="preserve">         </w:t>
      </w:r>
      <w:r>
        <w:rPr>
          <w:noProof/>
        </w:rPr>
        <mc:AlternateContent>
          <mc:Choice Requires="wps">
            <w:drawing>
              <wp:anchor distT="0" distB="0" distL="114300" distR="114300" simplePos="0" relativeHeight="251667456" behindDoc="0" locked="0" layoutInCell="1" allowOverlap="1" wp14:anchorId="0C4A5783" wp14:editId="1B0BEBB9">
                <wp:simplePos x="0" y="0"/>
                <wp:positionH relativeFrom="column">
                  <wp:posOffset>1868170</wp:posOffset>
                </wp:positionH>
                <wp:positionV relativeFrom="paragraph">
                  <wp:posOffset>573405</wp:posOffset>
                </wp:positionV>
                <wp:extent cx="914400" cy="262255"/>
                <wp:effectExtent l="0" t="0" r="0" b="4445"/>
                <wp:wrapNone/>
                <wp:docPr id="13765079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2672AD" id="Rectangle 1" o:spid="_x0000_s1026" style="position:absolute;margin-left:147.1pt;margin-top:45.15pt;width:1in;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" fillcolor="black [3200]" strokecolor="black [480]" strokeweight="2pt">
                <v:path arrowok="t"/>
              </v:rec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335ED55A" wp14:editId="582B9990">
            <wp:extent cx="2316804" cy="3218174"/>
            <wp:effectExtent l="76200" t="76200" r="140970" b="135255"/>
            <wp:docPr id="511756318"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5"/>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E1C3D" w14:textId="77777777" w:rsidR="00303BB8" w:rsidRDefault="00303BB8" w:rsidP="00303BB8">
      <w:pPr>
        <w:rPr>
          <w:rFonts w:ascii="Times New Roman" w:hAnsi="Times New Roman"/>
          <w:b/>
          <w:bCs/>
          <w:sz w:val="36"/>
          <w:szCs w:val="36"/>
        </w:rPr>
      </w:pPr>
      <w:r>
        <w:rPr>
          <w:rFonts w:ascii="Times New Roman" w:hAnsi="Times New Roman"/>
          <w:b/>
          <w:bCs/>
          <w:sz w:val="36"/>
          <w:szCs w:val="36"/>
        </w:rPr>
        <w:t xml:space="preserve">                   </w:t>
      </w:r>
    </w:p>
    <w:p w14:paraId="1DADF51A" w14:textId="0807FF36" w:rsidR="00303BB8" w:rsidRPr="00595AF6" w:rsidRDefault="00303BB8" w:rsidP="00303BB8">
      <w:pPr>
        <w:jc w:val="both"/>
        <w:rPr>
          <w:rFonts w:ascii="Arial" w:hAnsi="Arial" w:cs="Arial"/>
          <w:b/>
          <w:bCs/>
          <w:sz w:val="24"/>
          <w:szCs w:val="24"/>
        </w:rPr>
      </w:pPr>
      <w:r>
        <w:rPr>
          <w:rFonts w:ascii="Times New Roman" w:hAnsi="Times New Roman"/>
          <w:b/>
          <w:bCs/>
        </w:rPr>
        <w:t xml:space="preserve">                     </w:t>
      </w:r>
      <w:r>
        <w:rPr>
          <w:rFonts w:ascii="Times New Roman" w:hAnsi="Times New Roman"/>
          <w:b/>
          <w:bCs/>
        </w:rPr>
        <w:t xml:space="preserve">                                                </w:t>
      </w:r>
      <w:r>
        <w:rPr>
          <w:rFonts w:ascii="Times New Roman" w:hAnsi="Times New Roman"/>
          <w:b/>
          <w:bCs/>
        </w:rPr>
        <w:t xml:space="preserve">  </w:t>
      </w:r>
      <w:r w:rsidRPr="00595AF6">
        <w:rPr>
          <w:rFonts w:ascii="Arial" w:hAnsi="Arial" w:cs="Arial"/>
          <w:b/>
          <w:bCs/>
        </w:rPr>
        <w:t xml:space="preserve">  </w:t>
      </w:r>
      <w:r w:rsidRPr="00595AF6">
        <w:rPr>
          <w:rFonts w:ascii="Arial" w:hAnsi="Arial" w:cs="Arial"/>
          <w:b/>
          <w:bCs/>
          <w:sz w:val="24"/>
          <w:szCs w:val="24"/>
        </w:rPr>
        <w:t xml:space="preserve">Fig No </w:t>
      </w:r>
      <w:r>
        <w:rPr>
          <w:rFonts w:ascii="Arial" w:hAnsi="Arial" w:cs="Arial"/>
          <w:b/>
          <w:bCs/>
          <w:sz w:val="24"/>
          <w:szCs w:val="24"/>
        </w:rPr>
        <w:t>12</w:t>
      </w:r>
    </w:p>
    <w:p w14:paraId="35A0AEFA" w14:textId="77777777" w:rsidR="00303BB8" w:rsidRPr="00595AF6" w:rsidRDefault="00303BB8" w:rsidP="00303BB8">
      <w:pPr>
        <w:jc w:val="both"/>
        <w:rPr>
          <w:rFonts w:ascii="Arial" w:hAnsi="Arial" w:cs="Arial"/>
          <w:b/>
          <w:bCs/>
          <w:sz w:val="36"/>
          <w:szCs w:val="36"/>
        </w:rPr>
      </w:pPr>
    </w:p>
    <w:p w14:paraId="70658010" w14:textId="77777777" w:rsidR="00303BB8" w:rsidRDefault="00303BB8" w:rsidP="00303BB8">
      <w:pPr>
        <w:rPr>
          <w:rFonts w:ascii="Times New Roman" w:hAnsi="Times New Roman"/>
          <w:b/>
          <w:bCs/>
          <w:sz w:val="36"/>
          <w:szCs w:val="36"/>
        </w:rPr>
      </w:pPr>
    </w:p>
    <w:p w14:paraId="00EEDE74" w14:textId="77777777" w:rsidR="00303BB8" w:rsidRDefault="00303BB8" w:rsidP="00303BB8">
      <w:pPr>
        <w:rPr>
          <w:rFonts w:ascii="Times New Roman" w:hAnsi="Times New Roman"/>
          <w:b/>
          <w:bCs/>
          <w:sz w:val="36"/>
          <w:szCs w:val="36"/>
        </w:rPr>
      </w:pPr>
    </w:p>
    <w:p w14:paraId="0E186BEF" w14:textId="50CC5B1C" w:rsidR="00B215C1" w:rsidRPr="000A2996" w:rsidRDefault="00303BB8" w:rsidP="00303BB8">
      <w:pPr>
        <w:rPr>
          <w:rFonts w:ascii="Arial" w:hAnsi="Arial" w:cs="Arial"/>
          <w:b/>
          <w:bCs/>
          <w:sz w:val="22"/>
          <w:szCs w:val="22"/>
        </w:rPr>
        <w:sectPr w:rsidR="00B215C1" w:rsidRPr="000A2996" w:rsidSect="00863E6A">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r w:rsidRPr="00A811B3">
        <w:rPr>
          <w:rFonts w:ascii="Times New Roman" w:hAnsi="Times New Roman"/>
          <w:b/>
          <w:bCs/>
          <w:noProof/>
          <w:sz w:val="36"/>
          <w:szCs w:val="36"/>
        </w:rPr>
        <w:lastRenderedPageBreak/>
        <w:drawing>
          <wp:inline distT="0" distB="0" distL="0" distR="0" wp14:anchorId="1BAF082D" wp14:editId="24D9582D">
            <wp:extent cx="1784484" cy="2037715"/>
            <wp:effectExtent l="76200" t="76200" r="139700" b="133985"/>
            <wp:docPr id="654760097"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6">
                      <a:extLst>
                        <a:ext uri="{28A0092B-C50C-407E-A947-70E740481C1C}">
                          <a14:useLocalDpi xmlns:a14="http://schemas.microsoft.com/office/drawing/2010/main" val="0"/>
                        </a:ext>
                      </a:extLst>
                    </a:blip>
                    <a:srcRect l="9259" t="27129" r="27778" b="46760"/>
                    <a:stretch>
                      <a:fillRect/>
                    </a:stretch>
                  </pic:blipFill>
                  <pic:spPr>
                    <a:xfrm>
                      <a:off x="0" y="0"/>
                      <a:ext cx="1802161" cy="2057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D6A21">
        <w:rPr>
          <w:rFonts w:ascii="Times New Roman" w:hAnsi="Times New Roman"/>
          <w:b/>
          <w:bCs/>
          <w:noProof/>
          <w:sz w:val="36"/>
          <w:szCs w:val="36"/>
        </w:rPr>
        <w:t xml:space="preserve"> </w:t>
      </w:r>
      <w:r>
        <w:rPr>
          <w:rFonts w:ascii="Times New Roman" w:hAnsi="Times New Roman"/>
          <w:b/>
          <w:bCs/>
          <w:noProof/>
          <w:sz w:val="36"/>
          <w:szCs w:val="36"/>
        </w:rPr>
        <w:t xml:space="preserve">             </w:t>
      </w:r>
      <w:r w:rsidRPr="00F6196A">
        <w:rPr>
          <w:rFonts w:ascii="Times New Roman" w:hAnsi="Times New Roman"/>
          <w:b/>
          <w:bCs/>
          <w:noProof/>
          <w:sz w:val="36"/>
          <w:szCs w:val="36"/>
        </w:rPr>
        <w:drawing>
          <wp:inline distT="0" distB="0" distL="0" distR="0" wp14:anchorId="4118882B" wp14:editId="652CC0F2">
            <wp:extent cx="1898794" cy="2091690"/>
            <wp:effectExtent l="76200" t="76200" r="139700" b="137160"/>
            <wp:docPr id="1152790089"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27" cstate="print">
                      <a:extLst>
                        <a:ext uri="{28A0092B-C50C-407E-A947-70E740481C1C}">
                          <a14:useLocalDpi xmlns:a14="http://schemas.microsoft.com/office/drawing/2010/main" val="0"/>
                        </a:ext>
                      </a:extLst>
                    </a:blip>
                    <a:srcRect l="4084" r="1847" b="16574"/>
                    <a:stretch>
                      <a:fillRect/>
                    </a:stretch>
                  </pic:blipFill>
                  <pic:spPr>
                    <a:xfrm>
                      <a:off x="0" y="0"/>
                      <a:ext cx="1917850" cy="211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95AF6">
        <w:rPr>
          <w:rFonts w:ascii="Arial" w:hAnsi="Arial" w:cs="Arial"/>
          <w:b/>
          <w:bCs/>
          <w:sz w:val="24"/>
          <w:szCs w:val="24"/>
        </w:rPr>
        <w:t>Figure No 1</w:t>
      </w:r>
      <w:r>
        <w:rPr>
          <w:rFonts w:ascii="Arial" w:hAnsi="Arial" w:cs="Arial"/>
          <w:b/>
          <w:bCs/>
          <w:sz w:val="24"/>
          <w:szCs w:val="24"/>
        </w:rPr>
        <w:t>3</w:t>
      </w:r>
      <w:r>
        <w:rPr>
          <w:rFonts w:ascii="Arial" w:hAnsi="Arial" w:cs="Arial"/>
          <w:b/>
          <w:bCs/>
          <w:sz w:val="24"/>
          <w:szCs w:val="24"/>
        </w:rPr>
        <w:t xml:space="preserve">                                    </w:t>
      </w:r>
      <w:r w:rsidRPr="00595AF6">
        <w:rPr>
          <w:rFonts w:ascii="Arial" w:hAnsi="Arial" w:cs="Arial"/>
          <w:b/>
          <w:bCs/>
          <w:sz w:val="24"/>
          <w:szCs w:val="24"/>
        </w:rPr>
        <w:t xml:space="preserve">    </w:t>
      </w:r>
      <w:r>
        <w:rPr>
          <w:rFonts w:ascii="Arial" w:hAnsi="Arial" w:cs="Arial"/>
          <w:b/>
          <w:bCs/>
          <w:sz w:val="24"/>
          <w:szCs w:val="24"/>
        </w:rPr>
        <w:t xml:space="preserve">                  </w:t>
      </w:r>
      <w:r w:rsidRPr="00595AF6">
        <w:rPr>
          <w:rFonts w:ascii="Arial" w:hAnsi="Arial" w:cs="Arial"/>
          <w:b/>
          <w:bCs/>
          <w:sz w:val="24"/>
          <w:szCs w:val="24"/>
        </w:rPr>
        <w:t xml:space="preserve"> Figure</w:t>
      </w:r>
      <w:r>
        <w:rPr>
          <w:rFonts w:ascii="Arial" w:hAnsi="Arial" w:cs="Arial"/>
          <w:b/>
          <w:bCs/>
          <w:sz w:val="24"/>
          <w:szCs w:val="24"/>
        </w:rPr>
        <w:t xml:space="preserve"> No </w:t>
      </w:r>
      <w:r w:rsidRPr="00595AF6">
        <w:rPr>
          <w:rFonts w:ascii="Arial" w:hAnsi="Arial" w:cs="Arial"/>
          <w:b/>
          <w:bCs/>
          <w:sz w:val="24"/>
          <w:szCs w:val="24"/>
        </w:rPr>
        <w:t>1</w:t>
      </w:r>
      <w:r>
        <w:rPr>
          <w:rFonts w:ascii="Arial" w:hAnsi="Arial" w:cs="Arial"/>
          <w:b/>
          <w:bCs/>
          <w:sz w:val="24"/>
          <w:szCs w:val="24"/>
        </w:rPr>
        <w:t>4</w:t>
      </w:r>
    </w:p>
    <w:p w14:paraId="59F17535" w14:textId="77777777" w:rsidR="00B01FCD" w:rsidRDefault="00B01FCD" w:rsidP="00441B6F">
      <w:pPr>
        <w:pStyle w:val="Appendix"/>
        <w:spacing w:after="0"/>
        <w:jc w:val="both"/>
        <w:rPr>
          <w:rFonts w:ascii="Arial" w:hAnsi="Arial" w:cs="Arial"/>
          <w:b w:val="0"/>
          <w:szCs w:val="22"/>
        </w:rPr>
      </w:pPr>
    </w:p>
    <w:p w14:paraId="2E824C3B" w14:textId="77777777" w:rsidR="00303BB8" w:rsidRDefault="00303BB8" w:rsidP="00441B6F">
      <w:pPr>
        <w:pStyle w:val="Appendix"/>
        <w:spacing w:after="0"/>
        <w:jc w:val="both"/>
        <w:rPr>
          <w:rFonts w:ascii="Arial" w:hAnsi="Arial" w:cs="Arial"/>
          <w:b w:val="0"/>
          <w:szCs w:val="22"/>
        </w:rPr>
      </w:pPr>
    </w:p>
    <w:p w14:paraId="10109D00" w14:textId="77777777" w:rsidR="00303BB8" w:rsidRDefault="00303BB8" w:rsidP="00441B6F">
      <w:pPr>
        <w:pStyle w:val="Appendix"/>
        <w:spacing w:after="0"/>
        <w:jc w:val="both"/>
        <w:rPr>
          <w:rFonts w:ascii="Arial" w:hAnsi="Arial" w:cs="Arial"/>
          <w:b w:val="0"/>
          <w:szCs w:val="22"/>
        </w:rPr>
      </w:pPr>
    </w:p>
    <w:p w14:paraId="54D24B09" w14:textId="77777777" w:rsidR="00303BB8" w:rsidRDefault="00303BB8" w:rsidP="00441B6F">
      <w:pPr>
        <w:pStyle w:val="Appendix"/>
        <w:spacing w:after="0"/>
        <w:jc w:val="both"/>
        <w:rPr>
          <w:rFonts w:ascii="Arial" w:hAnsi="Arial" w:cs="Arial"/>
          <w:b w:val="0"/>
          <w:szCs w:val="22"/>
        </w:rPr>
      </w:pPr>
    </w:p>
    <w:p w14:paraId="5B4D0213" w14:textId="77777777" w:rsidR="00303BB8" w:rsidRDefault="00303BB8" w:rsidP="00441B6F">
      <w:pPr>
        <w:pStyle w:val="Appendix"/>
        <w:spacing w:after="0"/>
        <w:jc w:val="both"/>
        <w:rPr>
          <w:rFonts w:ascii="Arial" w:hAnsi="Arial" w:cs="Arial"/>
          <w:b w:val="0"/>
          <w:szCs w:val="22"/>
        </w:rPr>
      </w:pPr>
    </w:p>
    <w:p w14:paraId="4D72D899" w14:textId="77777777" w:rsidR="00303BB8" w:rsidRDefault="00303BB8" w:rsidP="00441B6F">
      <w:pPr>
        <w:pStyle w:val="Appendix"/>
        <w:spacing w:after="0"/>
        <w:jc w:val="both"/>
        <w:rPr>
          <w:rFonts w:ascii="Arial" w:hAnsi="Arial" w:cs="Arial"/>
          <w:b w:val="0"/>
          <w:szCs w:val="22"/>
        </w:rPr>
      </w:pPr>
    </w:p>
    <w:p w14:paraId="08E4F16B" w14:textId="77777777" w:rsidR="00303BB8" w:rsidRDefault="00303BB8" w:rsidP="00441B6F">
      <w:pPr>
        <w:pStyle w:val="Appendix"/>
        <w:spacing w:after="0"/>
        <w:jc w:val="both"/>
        <w:rPr>
          <w:rFonts w:ascii="Arial" w:hAnsi="Arial" w:cs="Arial"/>
          <w:b w:val="0"/>
          <w:szCs w:val="22"/>
        </w:rPr>
      </w:pPr>
    </w:p>
    <w:p w14:paraId="06FBA5B5" w14:textId="71404465" w:rsidR="00303BB8" w:rsidRPr="004131C7" w:rsidRDefault="004131C7" w:rsidP="00441B6F">
      <w:pPr>
        <w:pStyle w:val="Appendix"/>
        <w:spacing w:after="0"/>
        <w:jc w:val="both"/>
        <w:rPr>
          <w:rFonts w:ascii="Arial" w:hAnsi="Arial" w:cs="Arial"/>
          <w:bCs/>
          <w:szCs w:val="22"/>
        </w:rPr>
      </w:pPr>
      <w:r w:rsidRPr="004131C7">
        <w:rPr>
          <w:rFonts w:ascii="Arial" w:hAnsi="Arial" w:cs="Arial"/>
          <w:bCs/>
          <w:szCs w:val="22"/>
        </w:rPr>
        <w:t>Annexures:</w:t>
      </w:r>
    </w:p>
    <w:p w14:paraId="442D5B9C" w14:textId="77777777" w:rsidR="00303BB8" w:rsidRPr="004131C7" w:rsidRDefault="00303BB8" w:rsidP="00441B6F">
      <w:pPr>
        <w:pStyle w:val="Appendix"/>
        <w:spacing w:after="0"/>
        <w:jc w:val="both"/>
        <w:rPr>
          <w:rFonts w:ascii="Arial" w:hAnsi="Arial" w:cs="Arial"/>
          <w:bCs/>
          <w:szCs w:val="22"/>
        </w:rPr>
      </w:pPr>
    </w:p>
    <w:p w14:paraId="6BD88E53" w14:textId="3F89D362" w:rsidR="00303BB8" w:rsidRPr="004131C7" w:rsidRDefault="004131C7" w:rsidP="004045AE">
      <w:pPr>
        <w:rPr>
          <w:rFonts w:ascii="Arial" w:hAnsi="Arial" w:cs="Arial"/>
          <w:b/>
          <w:bCs/>
          <w:sz w:val="22"/>
          <w:szCs w:val="22"/>
        </w:rPr>
      </w:pPr>
      <w:r>
        <w:rPr>
          <w:rFonts w:ascii="Arial" w:hAnsi="Arial" w:cs="Arial"/>
          <w:b/>
          <w:bCs/>
          <w:sz w:val="22"/>
          <w:szCs w:val="22"/>
        </w:rPr>
        <w:t>1.</w:t>
      </w:r>
      <w:r w:rsidR="004045AE" w:rsidRPr="004131C7">
        <w:rPr>
          <w:rFonts w:ascii="Arial" w:hAnsi="Arial" w:cs="Arial"/>
          <w:b/>
          <w:bCs/>
          <w:sz w:val="22"/>
          <w:szCs w:val="22"/>
        </w:rPr>
        <w:t xml:space="preserve"> </w:t>
      </w:r>
      <w:r w:rsidR="00303BB8" w:rsidRPr="004131C7">
        <w:rPr>
          <w:rFonts w:ascii="Arial" w:hAnsi="Arial" w:cs="Arial"/>
          <w:b/>
          <w:bCs/>
          <w:sz w:val="22"/>
          <w:szCs w:val="22"/>
        </w:rPr>
        <w:t xml:space="preserve">Figure No 1: Preoperative OPG showing a well-defined radiolucency in Right Mandible </w:t>
      </w:r>
      <w:proofErr w:type="gramStart"/>
      <w:r w:rsidR="00303BB8" w:rsidRPr="004131C7">
        <w:rPr>
          <w:rFonts w:ascii="Arial" w:hAnsi="Arial" w:cs="Arial"/>
          <w:b/>
          <w:bCs/>
          <w:sz w:val="22"/>
          <w:szCs w:val="22"/>
        </w:rPr>
        <w:t xml:space="preserve">extending </w:t>
      </w:r>
      <w:r w:rsidR="004045AE" w:rsidRPr="004131C7">
        <w:rPr>
          <w:rFonts w:ascii="Arial" w:hAnsi="Arial" w:cs="Arial"/>
          <w:b/>
          <w:bCs/>
          <w:sz w:val="22"/>
          <w:szCs w:val="22"/>
        </w:rPr>
        <w:t xml:space="preserve"> </w:t>
      </w:r>
      <w:r w:rsidR="00303BB8" w:rsidRPr="004131C7">
        <w:rPr>
          <w:rFonts w:ascii="Arial" w:hAnsi="Arial" w:cs="Arial"/>
          <w:b/>
          <w:bCs/>
          <w:sz w:val="22"/>
          <w:szCs w:val="22"/>
        </w:rPr>
        <w:t>from</w:t>
      </w:r>
      <w:proofErr w:type="gramEnd"/>
      <w:r w:rsidR="00303BB8" w:rsidRPr="004131C7">
        <w:rPr>
          <w:rFonts w:ascii="Arial" w:hAnsi="Arial" w:cs="Arial"/>
          <w:b/>
          <w:bCs/>
          <w:sz w:val="22"/>
          <w:szCs w:val="22"/>
        </w:rPr>
        <w:t xml:space="preserve"> 32-48 region associated with impacted 33,43.</w:t>
      </w:r>
    </w:p>
    <w:p w14:paraId="260DD04B" w14:textId="1DB9B679" w:rsidR="004045AE" w:rsidRPr="004131C7" w:rsidRDefault="004131C7" w:rsidP="004045AE">
      <w:pPr>
        <w:rPr>
          <w:rFonts w:ascii="Arial" w:hAnsi="Arial" w:cs="Arial"/>
          <w:b/>
          <w:bCs/>
          <w:sz w:val="22"/>
          <w:szCs w:val="22"/>
        </w:rPr>
      </w:pPr>
      <w:r>
        <w:rPr>
          <w:rFonts w:ascii="Arial" w:hAnsi="Arial" w:cs="Arial"/>
          <w:b/>
          <w:bCs/>
          <w:sz w:val="22"/>
          <w:szCs w:val="22"/>
        </w:rPr>
        <w:t>2.</w:t>
      </w:r>
      <w:r w:rsidR="004045AE" w:rsidRPr="004131C7">
        <w:rPr>
          <w:rFonts w:ascii="Arial" w:hAnsi="Arial" w:cs="Arial"/>
          <w:b/>
          <w:bCs/>
          <w:sz w:val="22"/>
          <w:szCs w:val="22"/>
        </w:rPr>
        <w:t xml:space="preserve">Figure No 2: 3D CT scan of Cyst                  </w:t>
      </w:r>
    </w:p>
    <w:p w14:paraId="3E87AA4F" w14:textId="46280EF8" w:rsidR="004045AE" w:rsidRPr="004131C7" w:rsidRDefault="004131C7" w:rsidP="004045AE">
      <w:pPr>
        <w:rPr>
          <w:rFonts w:ascii="Arial" w:hAnsi="Arial" w:cs="Arial"/>
          <w:b/>
          <w:bCs/>
          <w:sz w:val="22"/>
          <w:szCs w:val="22"/>
        </w:rPr>
      </w:pPr>
      <w:r>
        <w:rPr>
          <w:rFonts w:ascii="Arial" w:hAnsi="Arial" w:cs="Arial"/>
          <w:b/>
          <w:bCs/>
          <w:sz w:val="22"/>
          <w:szCs w:val="22"/>
        </w:rPr>
        <w:t>3.</w:t>
      </w:r>
      <w:r w:rsidR="004045AE" w:rsidRPr="004131C7">
        <w:rPr>
          <w:rFonts w:ascii="Arial" w:hAnsi="Arial" w:cs="Arial"/>
          <w:b/>
          <w:bCs/>
          <w:sz w:val="22"/>
          <w:szCs w:val="22"/>
        </w:rPr>
        <w:t xml:space="preserve">Figure No 3: CT scan Axial View </w:t>
      </w:r>
    </w:p>
    <w:p w14:paraId="2279D312" w14:textId="0296B780" w:rsidR="004045AE" w:rsidRPr="004131C7" w:rsidRDefault="004131C7" w:rsidP="004045AE">
      <w:pPr>
        <w:tabs>
          <w:tab w:val="left" w:pos="1383"/>
        </w:tabs>
        <w:rPr>
          <w:rFonts w:ascii="Arial" w:hAnsi="Arial" w:cs="Arial"/>
          <w:b/>
          <w:bCs/>
          <w:sz w:val="22"/>
          <w:szCs w:val="22"/>
        </w:rPr>
      </w:pPr>
      <w:r>
        <w:rPr>
          <w:rFonts w:ascii="Arial" w:hAnsi="Arial" w:cs="Arial"/>
          <w:b/>
          <w:bCs/>
          <w:sz w:val="22"/>
          <w:szCs w:val="22"/>
        </w:rPr>
        <w:t>4.</w:t>
      </w:r>
      <w:r w:rsidR="004045AE" w:rsidRPr="004131C7">
        <w:rPr>
          <w:rFonts w:ascii="Arial" w:hAnsi="Arial" w:cs="Arial"/>
          <w:b/>
          <w:bCs/>
          <w:sz w:val="22"/>
          <w:szCs w:val="22"/>
        </w:rPr>
        <w:t>Figure No 4: Report shows OKC</w:t>
      </w:r>
    </w:p>
    <w:p w14:paraId="1FA4ACC1" w14:textId="078C7546" w:rsidR="004045AE" w:rsidRPr="004131C7" w:rsidRDefault="004131C7" w:rsidP="004045AE">
      <w:pPr>
        <w:rPr>
          <w:rFonts w:ascii="Arial" w:hAnsi="Arial" w:cs="Arial"/>
          <w:b/>
          <w:bCs/>
          <w:sz w:val="22"/>
          <w:szCs w:val="22"/>
        </w:rPr>
      </w:pPr>
      <w:r>
        <w:rPr>
          <w:rFonts w:ascii="Arial" w:hAnsi="Arial" w:cs="Arial"/>
          <w:b/>
          <w:bCs/>
          <w:sz w:val="22"/>
          <w:szCs w:val="22"/>
        </w:rPr>
        <w:t>5.</w:t>
      </w:r>
      <w:r w:rsidR="004045AE" w:rsidRPr="004131C7">
        <w:rPr>
          <w:rFonts w:ascii="Arial" w:hAnsi="Arial" w:cs="Arial"/>
          <w:b/>
          <w:bCs/>
          <w:sz w:val="22"/>
          <w:szCs w:val="22"/>
        </w:rPr>
        <w:t>Figure No 5: FNAC Specime</w:t>
      </w:r>
      <w:r w:rsidR="004045AE" w:rsidRPr="004131C7">
        <w:rPr>
          <w:rFonts w:ascii="Arial" w:hAnsi="Arial" w:cs="Arial"/>
          <w:b/>
          <w:bCs/>
          <w:sz w:val="22"/>
          <w:szCs w:val="22"/>
        </w:rPr>
        <w:t>n</w:t>
      </w:r>
    </w:p>
    <w:p w14:paraId="26F801DA" w14:textId="4FBDD36F" w:rsidR="004045AE" w:rsidRPr="004131C7" w:rsidRDefault="004131C7" w:rsidP="004045AE">
      <w:pPr>
        <w:rPr>
          <w:rFonts w:ascii="Arial" w:hAnsi="Arial" w:cs="Arial"/>
          <w:b/>
          <w:bCs/>
          <w:sz w:val="22"/>
          <w:szCs w:val="22"/>
        </w:rPr>
      </w:pPr>
      <w:r>
        <w:rPr>
          <w:rFonts w:ascii="Arial" w:hAnsi="Arial" w:cs="Arial"/>
          <w:b/>
          <w:bCs/>
          <w:sz w:val="22"/>
          <w:szCs w:val="22"/>
        </w:rPr>
        <w:t>6.</w:t>
      </w:r>
      <w:r w:rsidR="004045AE" w:rsidRPr="004131C7">
        <w:rPr>
          <w:rFonts w:ascii="Arial" w:hAnsi="Arial" w:cs="Arial"/>
          <w:b/>
          <w:bCs/>
          <w:sz w:val="22"/>
          <w:szCs w:val="22"/>
        </w:rPr>
        <w:t>Figure No 6: Crevicular Incision given and an Anterior releasing incision given from 41 region followed by Mucoperiosteal Flap elevation and exposure of site of pathology.</w:t>
      </w:r>
    </w:p>
    <w:p w14:paraId="1EE750A6" w14:textId="03928D78" w:rsidR="004045AE" w:rsidRPr="004131C7" w:rsidRDefault="004131C7" w:rsidP="004045AE">
      <w:pPr>
        <w:rPr>
          <w:rFonts w:ascii="Arial" w:hAnsi="Arial" w:cs="Arial"/>
          <w:b/>
          <w:bCs/>
          <w:sz w:val="22"/>
          <w:szCs w:val="22"/>
        </w:rPr>
      </w:pPr>
      <w:r>
        <w:rPr>
          <w:rFonts w:ascii="Arial" w:hAnsi="Arial" w:cs="Arial"/>
          <w:b/>
          <w:bCs/>
          <w:sz w:val="22"/>
          <w:szCs w:val="22"/>
        </w:rPr>
        <w:t>7.</w:t>
      </w:r>
      <w:r w:rsidR="004045AE" w:rsidRPr="004131C7">
        <w:rPr>
          <w:rFonts w:ascii="Arial" w:hAnsi="Arial" w:cs="Arial"/>
          <w:b/>
          <w:bCs/>
          <w:sz w:val="22"/>
          <w:szCs w:val="22"/>
        </w:rPr>
        <w:t>Figure No 7: Surgical enucleation and bony socket irrigated and chemical cauterization done with Carnoy’s solution</w:t>
      </w:r>
    </w:p>
    <w:p w14:paraId="2A7468A7" w14:textId="3425658F" w:rsidR="004045AE" w:rsidRPr="004131C7" w:rsidRDefault="004131C7" w:rsidP="004045AE">
      <w:pPr>
        <w:rPr>
          <w:rFonts w:ascii="Arial" w:hAnsi="Arial" w:cs="Arial"/>
          <w:b/>
          <w:bCs/>
          <w:sz w:val="22"/>
          <w:szCs w:val="22"/>
        </w:rPr>
      </w:pPr>
      <w:r>
        <w:rPr>
          <w:rFonts w:ascii="Arial" w:hAnsi="Arial" w:cs="Arial"/>
          <w:b/>
          <w:bCs/>
          <w:sz w:val="22"/>
          <w:szCs w:val="22"/>
        </w:rPr>
        <w:t>8.</w:t>
      </w:r>
      <w:r w:rsidR="004045AE" w:rsidRPr="004131C7">
        <w:rPr>
          <w:rFonts w:ascii="Arial" w:hAnsi="Arial" w:cs="Arial"/>
          <w:b/>
          <w:bCs/>
          <w:sz w:val="22"/>
          <w:szCs w:val="22"/>
        </w:rPr>
        <w:t xml:space="preserve">Fig No 8: Fluorouracil ointment </w:t>
      </w:r>
    </w:p>
    <w:p w14:paraId="6CB641D6" w14:textId="75556C35" w:rsidR="004045AE" w:rsidRPr="004131C7" w:rsidRDefault="004131C7" w:rsidP="004045AE">
      <w:pPr>
        <w:rPr>
          <w:rFonts w:ascii="Arial" w:hAnsi="Arial" w:cs="Arial"/>
          <w:b/>
          <w:bCs/>
          <w:sz w:val="22"/>
          <w:szCs w:val="22"/>
        </w:rPr>
      </w:pPr>
      <w:r>
        <w:rPr>
          <w:rFonts w:ascii="Arial" w:hAnsi="Arial" w:cs="Arial"/>
          <w:b/>
          <w:bCs/>
          <w:sz w:val="22"/>
          <w:szCs w:val="22"/>
        </w:rPr>
        <w:t>9.</w:t>
      </w:r>
      <w:r w:rsidR="004045AE" w:rsidRPr="004131C7">
        <w:rPr>
          <w:rFonts w:ascii="Arial" w:hAnsi="Arial" w:cs="Arial"/>
          <w:b/>
          <w:bCs/>
          <w:sz w:val="22"/>
          <w:szCs w:val="22"/>
        </w:rPr>
        <w:t xml:space="preserve">Fig No 9: 5-Fluorouracil coated gauze </w:t>
      </w:r>
    </w:p>
    <w:p w14:paraId="0AE77E9B" w14:textId="55131399" w:rsidR="004045AE" w:rsidRPr="004131C7" w:rsidRDefault="004131C7" w:rsidP="004045AE">
      <w:pPr>
        <w:jc w:val="both"/>
        <w:rPr>
          <w:rFonts w:ascii="Arial" w:hAnsi="Arial" w:cs="Arial"/>
          <w:b/>
          <w:bCs/>
          <w:sz w:val="22"/>
          <w:szCs w:val="22"/>
        </w:rPr>
      </w:pPr>
      <w:r>
        <w:rPr>
          <w:rFonts w:ascii="Arial" w:hAnsi="Arial" w:cs="Arial"/>
          <w:b/>
          <w:bCs/>
          <w:sz w:val="22"/>
          <w:szCs w:val="22"/>
        </w:rPr>
        <w:t>10.</w:t>
      </w:r>
      <w:r w:rsidR="004045AE" w:rsidRPr="004131C7">
        <w:rPr>
          <w:rFonts w:ascii="Arial" w:hAnsi="Arial" w:cs="Arial"/>
          <w:b/>
          <w:bCs/>
          <w:sz w:val="22"/>
          <w:szCs w:val="22"/>
        </w:rPr>
        <w:t>Figure No 10- Interdental sutures placed in 41-48 region</w:t>
      </w:r>
    </w:p>
    <w:p w14:paraId="41094490" w14:textId="569D9FA7" w:rsidR="004045AE" w:rsidRPr="004131C7" w:rsidRDefault="004131C7" w:rsidP="004045AE">
      <w:pPr>
        <w:jc w:val="both"/>
        <w:rPr>
          <w:rFonts w:ascii="Arial" w:hAnsi="Arial" w:cs="Arial"/>
          <w:b/>
          <w:bCs/>
          <w:sz w:val="22"/>
          <w:szCs w:val="22"/>
        </w:rPr>
      </w:pPr>
      <w:r>
        <w:rPr>
          <w:rFonts w:ascii="Arial" w:hAnsi="Arial" w:cs="Arial"/>
          <w:b/>
          <w:bCs/>
          <w:sz w:val="22"/>
          <w:szCs w:val="22"/>
        </w:rPr>
        <w:t>11.</w:t>
      </w:r>
      <w:r w:rsidR="004045AE" w:rsidRPr="004131C7">
        <w:rPr>
          <w:rFonts w:ascii="Arial" w:hAnsi="Arial" w:cs="Arial"/>
          <w:b/>
          <w:bCs/>
          <w:sz w:val="22"/>
          <w:szCs w:val="22"/>
        </w:rPr>
        <w:t>Fig No 11: Biopsy Specimen 2x2cm in size sent for histopathological examination</w:t>
      </w:r>
    </w:p>
    <w:p w14:paraId="41FF6683" w14:textId="6AD766D2" w:rsidR="004045AE" w:rsidRPr="004131C7" w:rsidRDefault="004131C7" w:rsidP="004045AE">
      <w:pPr>
        <w:jc w:val="both"/>
        <w:rPr>
          <w:rFonts w:ascii="Arial" w:hAnsi="Arial" w:cs="Arial"/>
          <w:b/>
          <w:bCs/>
          <w:sz w:val="22"/>
          <w:szCs w:val="22"/>
        </w:rPr>
      </w:pPr>
      <w:r>
        <w:rPr>
          <w:rFonts w:ascii="Arial" w:hAnsi="Arial" w:cs="Arial"/>
          <w:b/>
          <w:bCs/>
          <w:sz w:val="22"/>
          <w:szCs w:val="22"/>
        </w:rPr>
        <w:t>12.</w:t>
      </w:r>
      <w:r w:rsidR="004045AE" w:rsidRPr="004131C7">
        <w:rPr>
          <w:rFonts w:ascii="Arial" w:hAnsi="Arial" w:cs="Arial"/>
          <w:b/>
          <w:bCs/>
          <w:sz w:val="22"/>
          <w:szCs w:val="22"/>
        </w:rPr>
        <w:t>Fig No 12- Biopsy report reveals Odontogenic Keratocyst</w:t>
      </w:r>
    </w:p>
    <w:p w14:paraId="6720B978" w14:textId="1F85DC4A" w:rsidR="004131C7" w:rsidRPr="004131C7" w:rsidRDefault="004131C7" w:rsidP="004131C7">
      <w:pPr>
        <w:jc w:val="both"/>
        <w:rPr>
          <w:rFonts w:ascii="Arial" w:hAnsi="Arial" w:cs="Arial"/>
          <w:b/>
          <w:bCs/>
          <w:sz w:val="22"/>
          <w:szCs w:val="22"/>
        </w:rPr>
      </w:pPr>
      <w:r>
        <w:rPr>
          <w:rFonts w:ascii="Arial" w:hAnsi="Arial" w:cs="Arial"/>
          <w:b/>
          <w:bCs/>
          <w:sz w:val="22"/>
          <w:szCs w:val="22"/>
        </w:rPr>
        <w:t>13.</w:t>
      </w:r>
      <w:r w:rsidRPr="004131C7">
        <w:rPr>
          <w:rFonts w:ascii="Arial" w:hAnsi="Arial" w:cs="Arial"/>
          <w:b/>
          <w:bCs/>
          <w:sz w:val="22"/>
          <w:szCs w:val="22"/>
        </w:rPr>
        <w:t xml:space="preserve">Figure No 13: Obturator Fabricated      </w:t>
      </w:r>
    </w:p>
    <w:p w14:paraId="7D9E6AA8" w14:textId="6C5A6E74" w:rsidR="004131C7" w:rsidRPr="004131C7" w:rsidRDefault="004131C7" w:rsidP="004131C7">
      <w:pPr>
        <w:jc w:val="both"/>
        <w:rPr>
          <w:rFonts w:ascii="Arial" w:hAnsi="Arial" w:cs="Arial"/>
          <w:b/>
          <w:bCs/>
          <w:sz w:val="22"/>
          <w:szCs w:val="22"/>
        </w:rPr>
      </w:pPr>
      <w:r>
        <w:rPr>
          <w:rFonts w:ascii="Arial" w:hAnsi="Arial" w:cs="Arial"/>
          <w:b/>
          <w:bCs/>
          <w:sz w:val="22"/>
          <w:szCs w:val="22"/>
        </w:rPr>
        <w:t>14.</w:t>
      </w:r>
      <w:r w:rsidRPr="004131C7">
        <w:rPr>
          <w:rFonts w:ascii="Arial" w:hAnsi="Arial" w:cs="Arial"/>
          <w:b/>
          <w:bCs/>
          <w:sz w:val="22"/>
          <w:szCs w:val="22"/>
        </w:rPr>
        <w:t>Figure No 14: Obturating closing Bony Defect</w:t>
      </w:r>
    </w:p>
    <w:p w14:paraId="13820249" w14:textId="77777777" w:rsidR="004131C7" w:rsidRPr="004131C7" w:rsidRDefault="004131C7" w:rsidP="004045AE">
      <w:pPr>
        <w:jc w:val="both"/>
        <w:rPr>
          <w:rFonts w:ascii="Arial" w:hAnsi="Arial" w:cs="Arial"/>
          <w:b/>
          <w:bCs/>
          <w:sz w:val="22"/>
          <w:szCs w:val="22"/>
        </w:rPr>
      </w:pPr>
    </w:p>
    <w:p w14:paraId="5A0D0ED8" w14:textId="77777777" w:rsidR="004045AE" w:rsidRPr="004131C7" w:rsidRDefault="004045AE" w:rsidP="004045AE">
      <w:pPr>
        <w:jc w:val="both"/>
        <w:rPr>
          <w:rFonts w:ascii="Arial" w:hAnsi="Arial" w:cs="Arial"/>
          <w:b/>
          <w:bCs/>
          <w:sz w:val="22"/>
          <w:szCs w:val="22"/>
        </w:rPr>
      </w:pPr>
    </w:p>
    <w:p w14:paraId="745DCFDF" w14:textId="77777777" w:rsidR="004045AE" w:rsidRPr="004045AE" w:rsidRDefault="004045AE" w:rsidP="004045AE">
      <w:pPr>
        <w:jc w:val="both"/>
        <w:rPr>
          <w:rFonts w:ascii="Arial" w:hAnsi="Arial" w:cs="Arial"/>
          <w:b/>
          <w:bCs/>
          <w:sz w:val="22"/>
          <w:szCs w:val="22"/>
        </w:rPr>
      </w:pPr>
    </w:p>
    <w:p w14:paraId="6DF0ABC4" w14:textId="77777777" w:rsidR="004045AE" w:rsidRPr="00595AF6" w:rsidRDefault="004045AE" w:rsidP="004045AE">
      <w:pPr>
        <w:jc w:val="both"/>
        <w:rPr>
          <w:rFonts w:ascii="Arial" w:hAnsi="Arial" w:cs="Arial"/>
          <w:b/>
          <w:bCs/>
          <w:sz w:val="24"/>
          <w:szCs w:val="24"/>
        </w:rPr>
      </w:pPr>
    </w:p>
    <w:p w14:paraId="4EDFA030" w14:textId="425A3F15" w:rsidR="004045AE" w:rsidRPr="004045AE" w:rsidRDefault="004045AE" w:rsidP="004045AE">
      <w:pPr>
        <w:rPr>
          <w:rFonts w:ascii="Arial" w:hAnsi="Arial" w:cs="Arial"/>
          <w:b/>
          <w:bCs/>
          <w:sz w:val="22"/>
          <w:szCs w:val="22"/>
        </w:rPr>
      </w:pPr>
      <w:r w:rsidRPr="004045AE">
        <w:rPr>
          <w:rFonts w:ascii="Arial" w:hAnsi="Arial" w:cs="Arial"/>
          <w:b/>
          <w:bCs/>
          <w:sz w:val="22"/>
          <w:szCs w:val="22"/>
        </w:rPr>
        <w:t xml:space="preserve">            </w:t>
      </w:r>
    </w:p>
    <w:p w14:paraId="74114340" w14:textId="77777777" w:rsidR="004045AE" w:rsidRPr="004045AE" w:rsidRDefault="004045AE" w:rsidP="004045AE">
      <w:pPr>
        <w:ind w:left="360"/>
        <w:rPr>
          <w:rFonts w:ascii="Times New Roman" w:hAnsi="Times New Roman"/>
          <w:b/>
          <w:bCs/>
          <w:sz w:val="22"/>
          <w:szCs w:val="22"/>
        </w:rPr>
      </w:pPr>
    </w:p>
    <w:p w14:paraId="2B0DA0B6" w14:textId="52E15B32" w:rsidR="004045AE" w:rsidRPr="004045AE" w:rsidRDefault="004045AE" w:rsidP="004045AE">
      <w:pPr>
        <w:pStyle w:val="ListParagraph"/>
        <w:ind w:left="360"/>
        <w:rPr>
          <w:rFonts w:ascii="Arial" w:hAnsi="Arial" w:cs="Arial"/>
          <w:b/>
          <w:bCs/>
          <w:sz w:val="24"/>
          <w:szCs w:val="24"/>
        </w:rPr>
      </w:pPr>
      <w:r w:rsidRPr="00B550E8">
        <w:rPr>
          <w:rFonts w:ascii="Arial" w:hAnsi="Arial" w:cs="Arial"/>
          <w:b/>
          <w:bCs/>
          <w:sz w:val="16"/>
          <w:szCs w:val="16"/>
        </w:rPr>
        <w:t xml:space="preserve">         </w:t>
      </w:r>
      <w:r>
        <w:rPr>
          <w:rFonts w:ascii="Arial" w:hAnsi="Arial" w:cs="Arial"/>
          <w:b/>
          <w:bCs/>
          <w:sz w:val="16"/>
          <w:szCs w:val="16"/>
        </w:rPr>
        <w:t xml:space="preserve">         </w:t>
      </w:r>
      <w:r w:rsidRPr="00B550E8">
        <w:rPr>
          <w:rFonts w:ascii="Arial" w:hAnsi="Arial" w:cs="Arial"/>
          <w:b/>
          <w:bCs/>
          <w:sz w:val="16"/>
          <w:szCs w:val="16"/>
        </w:rPr>
        <w:t xml:space="preserve">  </w:t>
      </w:r>
    </w:p>
    <w:p w14:paraId="136BD12E" w14:textId="77777777" w:rsidR="004045AE" w:rsidRPr="004045AE" w:rsidRDefault="004045AE" w:rsidP="004045AE">
      <w:pPr>
        <w:pStyle w:val="ListParagraph"/>
        <w:ind w:left="360"/>
        <w:rPr>
          <w:rFonts w:ascii="Arial" w:hAnsi="Arial" w:cs="Arial"/>
          <w:b/>
          <w:bCs/>
          <w:sz w:val="22"/>
          <w:szCs w:val="22"/>
        </w:rPr>
      </w:pPr>
    </w:p>
    <w:p w14:paraId="1BE6B09A" w14:textId="20CAD045" w:rsidR="004045AE" w:rsidRPr="004045AE" w:rsidRDefault="004045AE" w:rsidP="004045AE">
      <w:pPr>
        <w:pStyle w:val="ListParagraph"/>
        <w:ind w:left="360"/>
        <w:rPr>
          <w:rFonts w:ascii="Arial" w:hAnsi="Arial" w:cs="Arial"/>
          <w:b/>
          <w:bCs/>
          <w:sz w:val="22"/>
          <w:szCs w:val="22"/>
        </w:rPr>
      </w:pPr>
      <w:r w:rsidRPr="004045AE">
        <w:rPr>
          <w:rFonts w:ascii="Times New Roman" w:hAnsi="Times New Roman"/>
          <w:b/>
          <w:bCs/>
          <w:sz w:val="36"/>
          <w:szCs w:val="36"/>
        </w:rPr>
        <w:tab/>
      </w:r>
      <w:r w:rsidRPr="004045AE">
        <w:rPr>
          <w:rFonts w:ascii="Times New Roman" w:hAnsi="Times New Roman"/>
          <w:b/>
          <w:bCs/>
          <w:sz w:val="36"/>
          <w:szCs w:val="36"/>
        </w:rPr>
        <w:br w:type="textWrapping" w:clear="all"/>
      </w:r>
    </w:p>
    <w:p w14:paraId="5C22C6A2" w14:textId="77777777" w:rsidR="004045AE" w:rsidRPr="004045AE" w:rsidRDefault="004045AE" w:rsidP="004045AE">
      <w:pPr>
        <w:tabs>
          <w:tab w:val="left" w:pos="1383"/>
        </w:tabs>
        <w:ind w:left="774"/>
        <w:rPr>
          <w:rFonts w:ascii="Arial" w:hAnsi="Arial" w:cs="Arial"/>
          <w:b/>
          <w:bCs/>
          <w:sz w:val="22"/>
          <w:szCs w:val="22"/>
        </w:rPr>
      </w:pPr>
    </w:p>
    <w:p w14:paraId="36A31F39" w14:textId="77777777" w:rsidR="004045AE" w:rsidRPr="004045AE" w:rsidRDefault="004045AE" w:rsidP="004045AE">
      <w:pPr>
        <w:tabs>
          <w:tab w:val="left" w:pos="1383"/>
        </w:tabs>
        <w:ind w:left="774"/>
        <w:rPr>
          <w:rFonts w:ascii="Times New Roman" w:hAnsi="Times New Roman"/>
          <w:b/>
          <w:bCs/>
          <w:sz w:val="24"/>
          <w:szCs w:val="24"/>
        </w:rPr>
      </w:pPr>
    </w:p>
    <w:p w14:paraId="6216DF1A" w14:textId="77777777" w:rsidR="004045AE" w:rsidRPr="004045AE" w:rsidRDefault="004045AE" w:rsidP="004045AE">
      <w:pPr>
        <w:ind w:left="774"/>
        <w:rPr>
          <w:rFonts w:ascii="Arial" w:hAnsi="Arial" w:cs="Arial"/>
          <w:b/>
          <w:bCs/>
          <w:sz w:val="22"/>
          <w:szCs w:val="22"/>
        </w:rPr>
      </w:pPr>
    </w:p>
    <w:p w14:paraId="759D7502" w14:textId="77777777" w:rsidR="004045AE" w:rsidRPr="004045AE" w:rsidRDefault="004045AE" w:rsidP="004045AE">
      <w:pPr>
        <w:ind w:left="774"/>
        <w:rPr>
          <w:rFonts w:ascii="Arial" w:hAnsi="Arial" w:cs="Arial"/>
          <w:b/>
          <w:bCs/>
          <w:sz w:val="22"/>
          <w:szCs w:val="22"/>
        </w:rPr>
      </w:pPr>
      <w:r w:rsidRPr="004045AE">
        <w:rPr>
          <w:rFonts w:ascii="Arial" w:hAnsi="Arial" w:cs="Arial"/>
          <w:b/>
          <w:bCs/>
          <w:sz w:val="22"/>
          <w:szCs w:val="22"/>
        </w:rPr>
        <w:t xml:space="preserve">   </w:t>
      </w:r>
    </w:p>
    <w:p w14:paraId="1D3CBF68" w14:textId="77777777" w:rsidR="004045AE" w:rsidRPr="00303BB8" w:rsidRDefault="004045AE" w:rsidP="004045AE">
      <w:pPr>
        <w:pStyle w:val="ListParagraph"/>
        <w:ind w:left="1494"/>
        <w:rPr>
          <w:rFonts w:ascii="Arial" w:hAnsi="Arial" w:cs="Arial"/>
          <w:b/>
          <w:bCs/>
          <w:sz w:val="22"/>
          <w:szCs w:val="22"/>
        </w:rPr>
      </w:pPr>
    </w:p>
    <w:p w14:paraId="41A82D24" w14:textId="77777777" w:rsidR="00303BB8" w:rsidRPr="000A2996" w:rsidRDefault="00303BB8" w:rsidP="00441B6F">
      <w:pPr>
        <w:pStyle w:val="Appendix"/>
        <w:spacing w:after="0"/>
        <w:jc w:val="both"/>
        <w:rPr>
          <w:rFonts w:ascii="Arial" w:hAnsi="Arial" w:cs="Arial"/>
          <w:b w:val="0"/>
          <w:szCs w:val="22"/>
        </w:rPr>
      </w:pPr>
    </w:p>
    <w:sectPr w:rsidR="00303BB8" w:rsidRPr="000A2996" w:rsidSect="00863E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45AAD" w14:textId="77777777" w:rsidR="003B48E1" w:rsidRDefault="003B48E1" w:rsidP="00C37E61">
      <w:r>
        <w:separator/>
      </w:r>
    </w:p>
  </w:endnote>
  <w:endnote w:type="continuationSeparator" w:id="0">
    <w:p w14:paraId="01048310" w14:textId="77777777" w:rsidR="003B48E1" w:rsidRDefault="003B48E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31696" w14:textId="77777777" w:rsidR="00863E6A" w:rsidRDefault="00863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ECFB3" w14:textId="77777777" w:rsidR="00863E6A" w:rsidRDefault="00863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2E48" w14:textId="77777777" w:rsidR="009E048A" w:rsidRDefault="009E048A">
    <w:pPr>
      <w:pStyle w:val="Footer"/>
      <w:rPr>
        <w:rFonts w:ascii="Arial" w:hAnsi="Arial" w:cs="Arial"/>
        <w:sz w:val="16"/>
      </w:rPr>
    </w:pPr>
  </w:p>
  <w:p w14:paraId="663050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8F2D9A" w14:textId="77777777" w:rsidR="009E048A" w:rsidRDefault="009E048A">
    <w:pPr>
      <w:pStyle w:val="Footer"/>
      <w:rPr>
        <w:rFonts w:ascii="Arial" w:hAnsi="Arial" w:cs="Arial"/>
        <w:sz w:val="16"/>
      </w:rPr>
    </w:pPr>
  </w:p>
  <w:p w14:paraId="1DD55AD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606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47810" w14:textId="77777777" w:rsidR="003B48E1" w:rsidRDefault="003B48E1" w:rsidP="00C37E61">
      <w:r>
        <w:separator/>
      </w:r>
    </w:p>
  </w:footnote>
  <w:footnote w:type="continuationSeparator" w:id="0">
    <w:p w14:paraId="0135FB90" w14:textId="77777777" w:rsidR="003B48E1" w:rsidRDefault="003B48E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F599F" w14:textId="490E0CA2" w:rsidR="00863E6A" w:rsidRDefault="00000000">
    <w:pPr>
      <w:pStyle w:val="Header"/>
    </w:pPr>
    <w:r>
      <w:rPr>
        <w:noProof/>
      </w:rPr>
      <w:pict w14:anchorId="37F18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791D" w14:textId="1C68AD15" w:rsidR="00863E6A" w:rsidRDefault="00000000">
    <w:pPr>
      <w:pStyle w:val="Header"/>
    </w:pPr>
    <w:r>
      <w:rPr>
        <w:noProof/>
      </w:rPr>
      <w:pict w14:anchorId="62A98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6B90" w14:textId="1C318E25" w:rsidR="00296529" w:rsidRPr="00296529" w:rsidRDefault="00000000" w:rsidP="00296529">
    <w:pPr>
      <w:ind w:left="2160"/>
      <w:jc w:val="center"/>
      <w:rPr>
        <w:rFonts w:ascii="Times New Roman" w:eastAsia="Calibri" w:hAnsi="Times New Roman"/>
        <w:i/>
        <w:sz w:val="18"/>
        <w:szCs w:val="22"/>
      </w:rPr>
    </w:pPr>
    <w:r>
      <w:rPr>
        <w:noProof/>
      </w:rPr>
      <w:pict w14:anchorId="42ED1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191C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70B66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1B6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84D2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87842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E63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8CF9" w14:textId="6E4BE00C" w:rsidR="00863E6A" w:rsidRDefault="00000000">
    <w:pPr>
      <w:pStyle w:val="Header"/>
    </w:pPr>
    <w:r>
      <w:rPr>
        <w:noProof/>
      </w:rPr>
      <w:pict w14:anchorId="586D2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A674" w14:textId="56F8018B" w:rsidR="00863E6A" w:rsidRDefault="00000000">
    <w:pPr>
      <w:pStyle w:val="Header"/>
    </w:pPr>
    <w:r>
      <w:rPr>
        <w:noProof/>
      </w:rPr>
      <w:pict w14:anchorId="0EDD3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B626" w14:textId="3E9386A8" w:rsidR="00863E6A" w:rsidRDefault="00000000">
    <w:pPr>
      <w:pStyle w:val="Header"/>
    </w:pPr>
    <w:r>
      <w:rPr>
        <w:noProof/>
      </w:rPr>
      <w:pict w14:anchorId="560FF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C4FD0"/>
    <w:multiLevelType w:val="multilevel"/>
    <w:tmpl w:val="5B50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9500F1"/>
    <w:multiLevelType w:val="hybridMultilevel"/>
    <w:tmpl w:val="DD7A2F5E"/>
    <w:lvl w:ilvl="0" w:tplc="9A32DA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732455"/>
    <w:multiLevelType w:val="hybridMultilevel"/>
    <w:tmpl w:val="955C8984"/>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8" w15:restartNumberingAfterBreak="0">
    <w:nsid w:val="457E25CB"/>
    <w:multiLevelType w:val="multilevel"/>
    <w:tmpl w:val="657A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CE0B19"/>
    <w:multiLevelType w:val="hybridMultilevel"/>
    <w:tmpl w:val="910AAC14"/>
    <w:lvl w:ilvl="0" w:tplc="40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F10BF"/>
    <w:multiLevelType w:val="multilevel"/>
    <w:tmpl w:val="657A8ECE"/>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80019"/>
    <w:multiLevelType w:val="hybridMultilevel"/>
    <w:tmpl w:val="14B831E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39F0E24"/>
    <w:multiLevelType w:val="multilevel"/>
    <w:tmpl w:val="23E67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23F85"/>
    <w:multiLevelType w:val="hybridMultilevel"/>
    <w:tmpl w:val="B938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8A943BC"/>
    <w:multiLevelType w:val="hybridMultilevel"/>
    <w:tmpl w:val="C020268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271C6"/>
    <w:multiLevelType w:val="hybridMultilevel"/>
    <w:tmpl w:val="111CB19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66366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89557192">
    <w:abstractNumId w:val="21"/>
  </w:num>
  <w:num w:numId="3" w16cid:durableId="936912245">
    <w:abstractNumId w:val="32"/>
  </w:num>
  <w:num w:numId="4" w16cid:durableId="59193396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44907183">
    <w:abstractNumId w:val="8"/>
  </w:num>
  <w:num w:numId="6" w16cid:durableId="2120249803">
    <w:abstractNumId w:val="7"/>
  </w:num>
  <w:num w:numId="7" w16cid:durableId="131681226">
    <w:abstractNumId w:val="2"/>
  </w:num>
  <w:num w:numId="8" w16cid:durableId="636762953">
    <w:abstractNumId w:val="14"/>
  </w:num>
  <w:num w:numId="9" w16cid:durableId="1140419101">
    <w:abstractNumId w:val="34"/>
  </w:num>
  <w:num w:numId="10" w16cid:durableId="304697290">
    <w:abstractNumId w:val="3"/>
  </w:num>
  <w:num w:numId="11" w16cid:durableId="379676179">
    <w:abstractNumId w:val="27"/>
  </w:num>
  <w:num w:numId="12" w16cid:durableId="1257709596">
    <w:abstractNumId w:val="4"/>
  </w:num>
  <w:num w:numId="13" w16cid:durableId="190579035">
    <w:abstractNumId w:val="24"/>
  </w:num>
  <w:num w:numId="14" w16cid:durableId="844704548">
    <w:abstractNumId w:val="10"/>
  </w:num>
  <w:num w:numId="15" w16cid:durableId="257758958">
    <w:abstractNumId w:val="30"/>
  </w:num>
  <w:num w:numId="16" w16cid:durableId="1654719796">
    <w:abstractNumId w:val="6"/>
  </w:num>
  <w:num w:numId="17" w16cid:durableId="1570190970">
    <w:abstractNumId w:val="31"/>
  </w:num>
  <w:num w:numId="18" w16cid:durableId="745490167">
    <w:abstractNumId w:val="16"/>
  </w:num>
  <w:num w:numId="19" w16cid:durableId="243033073">
    <w:abstractNumId w:val="39"/>
  </w:num>
  <w:num w:numId="20" w16cid:durableId="400062031">
    <w:abstractNumId w:val="13"/>
  </w:num>
  <w:num w:numId="21" w16cid:durableId="1311447274">
    <w:abstractNumId w:val="11"/>
  </w:num>
  <w:num w:numId="22" w16cid:durableId="1968899060">
    <w:abstractNumId w:val="15"/>
  </w:num>
  <w:num w:numId="23" w16cid:durableId="1722051437">
    <w:abstractNumId w:val="28"/>
  </w:num>
  <w:num w:numId="24" w16cid:durableId="315455845">
    <w:abstractNumId w:val="36"/>
  </w:num>
  <w:num w:numId="25" w16cid:durableId="1851261590">
    <w:abstractNumId w:val="5"/>
  </w:num>
  <w:num w:numId="26" w16cid:durableId="306932281">
    <w:abstractNumId w:val="22"/>
  </w:num>
  <w:num w:numId="27" w16cid:durableId="1582061877">
    <w:abstractNumId w:val="29"/>
  </w:num>
  <w:num w:numId="28" w16cid:durableId="519666777">
    <w:abstractNumId w:val="37"/>
  </w:num>
  <w:num w:numId="29" w16cid:durableId="1212158662">
    <w:abstractNumId w:val="33"/>
  </w:num>
  <w:num w:numId="30" w16cid:durableId="1821774405">
    <w:abstractNumId w:val="12"/>
  </w:num>
  <w:num w:numId="31" w16cid:durableId="929893926">
    <w:abstractNumId w:val="20"/>
  </w:num>
  <w:num w:numId="32" w16cid:durableId="608582369">
    <w:abstractNumId w:val="18"/>
  </w:num>
  <w:num w:numId="33" w16cid:durableId="307562399">
    <w:abstractNumId w:val="26"/>
  </w:num>
  <w:num w:numId="34" w16cid:durableId="1012604959">
    <w:abstractNumId w:val="1"/>
  </w:num>
  <w:num w:numId="35" w16cid:durableId="684288588">
    <w:abstractNumId w:val="25"/>
  </w:num>
  <w:num w:numId="36" w16cid:durableId="2028020242">
    <w:abstractNumId w:val="23"/>
  </w:num>
  <w:num w:numId="37" w16cid:durableId="188297301">
    <w:abstractNumId w:val="38"/>
  </w:num>
  <w:num w:numId="38" w16cid:durableId="514424388">
    <w:abstractNumId w:val="9"/>
  </w:num>
  <w:num w:numId="39" w16cid:durableId="1485317264">
    <w:abstractNumId w:val="35"/>
  </w:num>
  <w:num w:numId="40" w16cid:durableId="320696972">
    <w:abstractNumId w:val="19"/>
  </w:num>
  <w:num w:numId="41" w16cid:durableId="281450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6A60"/>
    <w:rsid w:val="000A2996"/>
    <w:rsid w:val="000A47FA"/>
    <w:rsid w:val="000A65D3"/>
    <w:rsid w:val="000B1E33"/>
    <w:rsid w:val="000B7422"/>
    <w:rsid w:val="000C76DE"/>
    <w:rsid w:val="000D689F"/>
    <w:rsid w:val="000E0E01"/>
    <w:rsid w:val="000E7B7B"/>
    <w:rsid w:val="000E7D62"/>
    <w:rsid w:val="00103357"/>
    <w:rsid w:val="00123C9F"/>
    <w:rsid w:val="00126190"/>
    <w:rsid w:val="00130F17"/>
    <w:rsid w:val="001320BF"/>
    <w:rsid w:val="00163BC4"/>
    <w:rsid w:val="001761AA"/>
    <w:rsid w:val="00191062"/>
    <w:rsid w:val="00192B72"/>
    <w:rsid w:val="001A29D8"/>
    <w:rsid w:val="001A5CAA"/>
    <w:rsid w:val="001B0427"/>
    <w:rsid w:val="001D1C50"/>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4CD4"/>
    <w:rsid w:val="00303BB8"/>
    <w:rsid w:val="00315186"/>
    <w:rsid w:val="00316203"/>
    <w:rsid w:val="0033343E"/>
    <w:rsid w:val="003512C2"/>
    <w:rsid w:val="00356AD1"/>
    <w:rsid w:val="00364493"/>
    <w:rsid w:val="00371FB6"/>
    <w:rsid w:val="003763C1"/>
    <w:rsid w:val="00376BBE"/>
    <w:rsid w:val="0039224F"/>
    <w:rsid w:val="003A43A4"/>
    <w:rsid w:val="003A7E18"/>
    <w:rsid w:val="003B48E1"/>
    <w:rsid w:val="003C4C86"/>
    <w:rsid w:val="003C6258"/>
    <w:rsid w:val="003C7933"/>
    <w:rsid w:val="003D5695"/>
    <w:rsid w:val="003E2904"/>
    <w:rsid w:val="00401927"/>
    <w:rsid w:val="004045AE"/>
    <w:rsid w:val="0041027F"/>
    <w:rsid w:val="00412475"/>
    <w:rsid w:val="004131C7"/>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95AF6"/>
    <w:rsid w:val="00596BB0"/>
    <w:rsid w:val="005B6B85"/>
    <w:rsid w:val="005C784C"/>
    <w:rsid w:val="005D17F6"/>
    <w:rsid w:val="005E5539"/>
    <w:rsid w:val="00602BF5"/>
    <w:rsid w:val="00617FDD"/>
    <w:rsid w:val="00633614"/>
    <w:rsid w:val="00633F68"/>
    <w:rsid w:val="00636EB2"/>
    <w:rsid w:val="006375B8"/>
    <w:rsid w:val="006467F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036"/>
    <w:rsid w:val="007E088F"/>
    <w:rsid w:val="007F7B32"/>
    <w:rsid w:val="00804BC2"/>
    <w:rsid w:val="0081431A"/>
    <w:rsid w:val="00823A54"/>
    <w:rsid w:val="0083216F"/>
    <w:rsid w:val="00860000"/>
    <w:rsid w:val="00863BD3"/>
    <w:rsid w:val="00863E6A"/>
    <w:rsid w:val="008641ED"/>
    <w:rsid w:val="00866D66"/>
    <w:rsid w:val="008671C6"/>
    <w:rsid w:val="00875803"/>
    <w:rsid w:val="0089766F"/>
    <w:rsid w:val="008B459E"/>
    <w:rsid w:val="008B71B0"/>
    <w:rsid w:val="008C6897"/>
    <w:rsid w:val="008E13AE"/>
    <w:rsid w:val="008E1506"/>
    <w:rsid w:val="008E710C"/>
    <w:rsid w:val="008F69D6"/>
    <w:rsid w:val="00902823"/>
    <w:rsid w:val="00915CA6"/>
    <w:rsid w:val="00923BEF"/>
    <w:rsid w:val="00927834"/>
    <w:rsid w:val="00936490"/>
    <w:rsid w:val="009500A6"/>
    <w:rsid w:val="00957C18"/>
    <w:rsid w:val="009659BA"/>
    <w:rsid w:val="00975CB8"/>
    <w:rsid w:val="00983040"/>
    <w:rsid w:val="009B2B75"/>
    <w:rsid w:val="009B3FB9"/>
    <w:rsid w:val="009C0EEB"/>
    <w:rsid w:val="009C2465"/>
    <w:rsid w:val="009D35A0"/>
    <w:rsid w:val="009D7EB7"/>
    <w:rsid w:val="009E048A"/>
    <w:rsid w:val="009E08E9"/>
    <w:rsid w:val="009E3DB9"/>
    <w:rsid w:val="009E6E35"/>
    <w:rsid w:val="009F0EDA"/>
    <w:rsid w:val="00A03B96"/>
    <w:rsid w:val="00A05B19"/>
    <w:rsid w:val="00A1134E"/>
    <w:rsid w:val="00A2231E"/>
    <w:rsid w:val="00A24E7E"/>
    <w:rsid w:val="00A258C3"/>
    <w:rsid w:val="00A347C0"/>
    <w:rsid w:val="00A51431"/>
    <w:rsid w:val="00A539AD"/>
    <w:rsid w:val="00A94063"/>
    <w:rsid w:val="00AA6219"/>
    <w:rsid w:val="00AA74E0"/>
    <w:rsid w:val="00AB703F"/>
    <w:rsid w:val="00AC6BB8"/>
    <w:rsid w:val="00AD37DF"/>
    <w:rsid w:val="00AE008F"/>
    <w:rsid w:val="00B009C8"/>
    <w:rsid w:val="00B01FCD"/>
    <w:rsid w:val="00B12FAB"/>
    <w:rsid w:val="00B1776C"/>
    <w:rsid w:val="00B215C1"/>
    <w:rsid w:val="00B24F71"/>
    <w:rsid w:val="00B52583"/>
    <w:rsid w:val="00B52896"/>
    <w:rsid w:val="00B550E8"/>
    <w:rsid w:val="00B825EF"/>
    <w:rsid w:val="00B95236"/>
    <w:rsid w:val="00B96BD9"/>
    <w:rsid w:val="00BA1B01"/>
    <w:rsid w:val="00BA2641"/>
    <w:rsid w:val="00BB37AA"/>
    <w:rsid w:val="00BC53A0"/>
    <w:rsid w:val="00BE62AD"/>
    <w:rsid w:val="00BF121F"/>
    <w:rsid w:val="00BF1F80"/>
    <w:rsid w:val="00C021A0"/>
    <w:rsid w:val="00C166EF"/>
    <w:rsid w:val="00C17EB0"/>
    <w:rsid w:val="00C27F5F"/>
    <w:rsid w:val="00C30A0F"/>
    <w:rsid w:val="00C37E61"/>
    <w:rsid w:val="00C70F1B"/>
    <w:rsid w:val="00C71A47"/>
    <w:rsid w:val="00C733B6"/>
    <w:rsid w:val="00C7464C"/>
    <w:rsid w:val="00C808D3"/>
    <w:rsid w:val="00C85588"/>
    <w:rsid w:val="00CA78AF"/>
    <w:rsid w:val="00CD6755"/>
    <w:rsid w:val="00CD6856"/>
    <w:rsid w:val="00CE0089"/>
    <w:rsid w:val="00CE793C"/>
    <w:rsid w:val="00CF193C"/>
    <w:rsid w:val="00D173F1"/>
    <w:rsid w:val="00D74CB0"/>
    <w:rsid w:val="00D8295D"/>
    <w:rsid w:val="00D85332"/>
    <w:rsid w:val="00DA357C"/>
    <w:rsid w:val="00DA51D4"/>
    <w:rsid w:val="00DB1019"/>
    <w:rsid w:val="00DB3A16"/>
    <w:rsid w:val="00DC0F68"/>
    <w:rsid w:val="00DC2A65"/>
    <w:rsid w:val="00DC357B"/>
    <w:rsid w:val="00DD0E9A"/>
    <w:rsid w:val="00DE15F0"/>
    <w:rsid w:val="00DE5663"/>
    <w:rsid w:val="00DE78AA"/>
    <w:rsid w:val="00E00612"/>
    <w:rsid w:val="00E053D0"/>
    <w:rsid w:val="00E15994"/>
    <w:rsid w:val="00E2498D"/>
    <w:rsid w:val="00E3114E"/>
    <w:rsid w:val="00E31A70"/>
    <w:rsid w:val="00E35B02"/>
    <w:rsid w:val="00E50749"/>
    <w:rsid w:val="00E66496"/>
    <w:rsid w:val="00E66B35"/>
    <w:rsid w:val="00E66E10"/>
    <w:rsid w:val="00E769F6"/>
    <w:rsid w:val="00E8407C"/>
    <w:rsid w:val="00E84F3C"/>
    <w:rsid w:val="00EA012C"/>
    <w:rsid w:val="00EC6A55"/>
    <w:rsid w:val="00ED0288"/>
    <w:rsid w:val="00ED6A21"/>
    <w:rsid w:val="00EE52CB"/>
    <w:rsid w:val="00EE5C9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06B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C79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D0E9A"/>
    <w:pPr>
      <w:ind w:left="720"/>
      <w:contextualSpacing/>
    </w:pPr>
  </w:style>
  <w:style w:type="paragraph" w:styleId="NormalWeb">
    <w:name w:val="Normal (Web)"/>
    <w:basedOn w:val="Normal"/>
    <w:uiPriority w:val="99"/>
    <w:semiHidden/>
    <w:unhideWhenUsed/>
    <w:rsid w:val="00B215C1"/>
    <w:rPr>
      <w:rFonts w:ascii="Times New Roman" w:hAnsi="Times New Roman"/>
      <w:sz w:val="24"/>
      <w:szCs w:val="24"/>
    </w:rPr>
  </w:style>
  <w:style w:type="paragraph" w:styleId="NoSpacing">
    <w:name w:val="No Spacing"/>
    <w:uiPriority w:val="1"/>
    <w:qFormat/>
    <w:rsid w:val="00C021A0"/>
    <w:rPr>
      <w:rFonts w:asciiTheme="minorHAnsi" w:eastAsiaTheme="minorHAnsi" w:hAnsiTheme="minorHAnsi" w:cstheme="minorBidi"/>
      <w:sz w:val="22"/>
      <w:szCs w:val="22"/>
      <w:lang w:val="en-GB"/>
    </w:rPr>
  </w:style>
  <w:style w:type="character" w:customStyle="1" w:styleId="citation-254">
    <w:name w:val="citation-254"/>
    <w:basedOn w:val="DefaultParagraphFont"/>
    <w:rsid w:val="001761AA"/>
  </w:style>
  <w:style w:type="character" w:customStyle="1" w:styleId="citation-253">
    <w:name w:val="citation-253"/>
    <w:basedOn w:val="DefaultParagraphFont"/>
    <w:rsid w:val="001761AA"/>
  </w:style>
  <w:style w:type="character" w:customStyle="1" w:styleId="citation-252">
    <w:name w:val="citation-252"/>
    <w:basedOn w:val="DefaultParagraphFont"/>
    <w:rsid w:val="001761AA"/>
  </w:style>
  <w:style w:type="character" w:customStyle="1" w:styleId="citation-251">
    <w:name w:val="citation-251"/>
    <w:basedOn w:val="DefaultParagraphFont"/>
    <w:rsid w:val="001761AA"/>
  </w:style>
  <w:style w:type="character" w:customStyle="1" w:styleId="citation-250">
    <w:name w:val="citation-250"/>
    <w:basedOn w:val="DefaultParagraphFont"/>
    <w:rsid w:val="001761AA"/>
  </w:style>
  <w:style w:type="character" w:customStyle="1" w:styleId="Heading3Char">
    <w:name w:val="Heading 3 Char"/>
    <w:basedOn w:val="DefaultParagraphFont"/>
    <w:link w:val="Heading3"/>
    <w:semiHidden/>
    <w:rsid w:val="003C793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0A9B6-53D3-4A5B-90F1-B6B5CB28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0</TotalTime>
  <Pages>16</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15325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Dorothy Wankhar</cp:lastModifiedBy>
  <cp:revision>2</cp:revision>
  <cp:lastPrinted>2026-02-16T07:34:00Z</cp:lastPrinted>
  <dcterms:created xsi:type="dcterms:W3CDTF">2026-03-16T04:05:00Z</dcterms:created>
  <dcterms:modified xsi:type="dcterms:W3CDTF">2026-03-16T04:05:00Z</dcterms:modified>
</cp:coreProperties>
</file>