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18BA" w14:textId="3C42AD8E" w:rsidR="00754C9A" w:rsidRDefault="0056222F" w:rsidP="008618E0">
      <w:pPr>
        <w:pStyle w:val="Title"/>
        <w:spacing w:after="0" w:line="276" w:lineRule="auto"/>
        <w:jc w:val="both"/>
        <w:rPr>
          <w:rFonts w:ascii="Arial" w:hAnsi="Arial" w:cs="Arial"/>
        </w:rPr>
      </w:pPr>
      <w:r w:rsidRPr="0056222F">
        <w:rPr>
          <w:rFonts w:ascii="Arial" w:hAnsi="Arial" w:cs="Arial"/>
        </w:rPr>
        <w:t>Review Article</w:t>
      </w:r>
    </w:p>
    <w:p w14:paraId="5146F28B" w14:textId="77777777" w:rsidR="0056222F" w:rsidRDefault="0056222F" w:rsidP="008618E0">
      <w:pPr>
        <w:pStyle w:val="Title"/>
        <w:spacing w:after="0" w:line="276" w:lineRule="auto"/>
        <w:jc w:val="both"/>
        <w:rPr>
          <w:rFonts w:ascii="Arial" w:hAnsi="Arial" w:cs="Arial"/>
        </w:rPr>
      </w:pPr>
    </w:p>
    <w:p w14:paraId="3C2D66A6" w14:textId="723FFCAF" w:rsidR="0056222F" w:rsidRPr="00975946" w:rsidRDefault="00AF6319" w:rsidP="00975946">
      <w:pPr>
        <w:pStyle w:val="Author"/>
        <w:spacing w:line="276" w:lineRule="auto"/>
        <w:rPr>
          <w:rFonts w:ascii="Arial" w:hAnsi="Arial" w:cs="Arial"/>
          <w:bCs/>
          <w:iCs/>
          <w:kern w:val="28"/>
          <w:sz w:val="36"/>
        </w:rPr>
      </w:pPr>
      <w:r w:rsidRPr="005B51E2">
        <w:rPr>
          <w:rFonts w:ascii="Arial" w:hAnsi="Arial" w:cs="Arial"/>
          <w:bCs/>
          <w:iCs/>
          <w:kern w:val="28"/>
          <w:sz w:val="36"/>
          <w:highlight w:val="yellow"/>
        </w:rPr>
        <w:t>Integrative Perspectives on Host–Microbiome–Parasite Interactions in Health and Disease</w:t>
      </w:r>
    </w:p>
    <w:p w14:paraId="768C4816" w14:textId="6CC9E385" w:rsidR="000B68B3" w:rsidRDefault="000B68B3" w:rsidP="000B68B3">
      <w:pPr>
        <w:pStyle w:val="Affiliation"/>
        <w:spacing w:after="0" w:line="276" w:lineRule="auto"/>
        <w:rPr>
          <w:rFonts w:ascii="Arial" w:hAnsi="Arial" w:cs="Arial"/>
          <w:i/>
        </w:rPr>
      </w:pPr>
    </w:p>
    <w:p w14:paraId="5546E151" w14:textId="77777777" w:rsidR="000B68B3" w:rsidRPr="000659B6" w:rsidRDefault="000B68B3" w:rsidP="000B68B3">
      <w:pPr>
        <w:pStyle w:val="Affiliation"/>
        <w:spacing w:after="0" w:line="276" w:lineRule="auto"/>
        <w:rPr>
          <w:rFonts w:ascii="Arial" w:hAnsi="Arial" w:cs="Arial"/>
          <w:i/>
        </w:rPr>
      </w:pPr>
    </w:p>
    <w:p w14:paraId="18EE9DC9" w14:textId="54560223" w:rsidR="00B01FCD" w:rsidRPr="00FB3A86" w:rsidRDefault="009F2DE5" w:rsidP="008618E0">
      <w:pPr>
        <w:pStyle w:val="Copyright"/>
        <w:spacing w:after="0" w:line="276" w:lineRule="auto"/>
        <w:jc w:val="both"/>
        <w:rPr>
          <w:rFonts w:ascii="Arial" w:hAnsi="Arial" w:cs="Arial"/>
        </w:rPr>
        <w:sectPr w:rsidR="00B01FCD" w:rsidRPr="00FB3A86" w:rsidSect="003A53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8D3FED" wp14:editId="5D9265BE">
                <wp:extent cx="5303520" cy="635"/>
                <wp:effectExtent l="11430" t="13970" r="9525" b="14605"/>
                <wp:docPr id="85428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80E502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27DD12" w14:textId="64F08126" w:rsidR="00B01FCD" w:rsidRDefault="00B01FCD" w:rsidP="008618E0">
      <w:pPr>
        <w:pStyle w:val="AbstHead"/>
        <w:spacing w:after="0" w:line="276"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3558C618" w14:textId="77777777" w:rsidR="00790ADA" w:rsidRPr="00FB3A86" w:rsidRDefault="00790ADA" w:rsidP="008618E0">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A81006" w14:textId="77777777" w:rsidTr="001E44FE">
        <w:tc>
          <w:tcPr>
            <w:tcW w:w="9576" w:type="dxa"/>
            <w:shd w:val="clear" w:color="auto" w:fill="F2F2F2"/>
          </w:tcPr>
          <w:p w14:paraId="45365D5A" w14:textId="4A1B6D74" w:rsidR="00505F06" w:rsidRPr="00BA1B01" w:rsidRDefault="000A0220" w:rsidP="008618E0">
            <w:pPr>
              <w:pStyle w:val="Body"/>
              <w:spacing w:after="0" w:line="276" w:lineRule="auto"/>
              <w:rPr>
                <w:rFonts w:ascii="Arial" w:eastAsia="Calibri" w:hAnsi="Arial" w:cs="Arial"/>
                <w:szCs w:val="22"/>
              </w:rPr>
            </w:pPr>
            <w:r w:rsidRPr="000A0220">
              <w:rPr>
                <w:rFonts w:ascii="Arial" w:eastAsia="Calibri" w:hAnsi="Arial" w:cs="Arial"/>
                <w:szCs w:val="22"/>
              </w:rPr>
              <w:t xml:space="preserve">The human host exists as a dynamic biological system shaped by continuous interactions with resident microbial communities and parasitic organisms. While traditional models of infectious disease have focused on binary host–pathogen relationships, emerging evidence supports a more integrated triangular framework in which host, microbiome, and parasites engage in complex ecological and </w:t>
            </w:r>
            <w:proofErr w:type="spellStart"/>
            <w:r w:rsidRPr="000A0220">
              <w:rPr>
                <w:rFonts w:ascii="Arial" w:eastAsia="Calibri" w:hAnsi="Arial" w:cs="Arial"/>
                <w:szCs w:val="22"/>
              </w:rPr>
              <w:t>immunometabolic</w:t>
            </w:r>
            <w:proofErr w:type="spellEnd"/>
            <w:r w:rsidRPr="000A0220">
              <w:rPr>
                <w:rFonts w:ascii="Arial" w:eastAsia="Calibri" w:hAnsi="Arial" w:cs="Arial"/>
                <w:szCs w:val="22"/>
              </w:rPr>
              <w:t xml:space="preserve"> </w:t>
            </w:r>
            <w:r w:rsidR="00A541B3" w:rsidRPr="000A0220">
              <w:rPr>
                <w:rFonts w:ascii="Arial" w:eastAsia="Calibri" w:hAnsi="Arial" w:cs="Arial"/>
                <w:szCs w:val="22"/>
              </w:rPr>
              <w:t>crosstalk</w:t>
            </w:r>
            <w:r w:rsidRPr="000A0220">
              <w:rPr>
                <w:rFonts w:ascii="Arial" w:eastAsia="Calibri" w:hAnsi="Arial" w:cs="Arial"/>
                <w:szCs w:val="22"/>
              </w:rPr>
              <w:t xml:space="preserve">. Within this triadic network, the microbiome establishes foundational immune and metabolic homeostasis through immune education, epithelial barrier maintenance, and colonization resistance. Parasites, in turn, deploy sophisticated immune evasion and immunomodulatory strategies that enable persistence, reshape microbial ecosystems, and recalibrate host immune responses. Concurrently, microbial communities can either restrict or facilitate parasitic colonization through niche competition, metabolite production, and immune priming. Disruption at any vertex of this triangle whether through dysbiosis, infection, or immune imbalance can propagate systemic effects that influence susceptibility to infectious, inflammatory, and metabolic diseases. Chronic parasitic infections may promote immune tolerance and plasticity, potentially </w:t>
            </w:r>
            <w:r w:rsidR="00A541B3" w:rsidRPr="000A0220">
              <w:rPr>
                <w:rFonts w:ascii="Arial" w:eastAsia="Calibri" w:hAnsi="Arial" w:cs="Arial"/>
                <w:szCs w:val="22"/>
              </w:rPr>
              <w:t>mitigate</w:t>
            </w:r>
            <w:r w:rsidRPr="000A0220">
              <w:rPr>
                <w:rFonts w:ascii="Arial" w:eastAsia="Calibri" w:hAnsi="Arial" w:cs="Arial"/>
                <w:szCs w:val="22"/>
              </w:rPr>
              <w:t xml:space="preserve"> autoimmune pathology while increasing vulnerability to secondary infections. Conversely, microbiome instability can predispose hosts to parasitic invasion and exacerbate immunopathology. These bidirectional and context-dependent interactions highlight the inadequacy of reductionist models and underscore the need for </w:t>
            </w:r>
            <w:r w:rsidR="00A541B3" w:rsidRPr="000A0220">
              <w:rPr>
                <w:rFonts w:ascii="Arial" w:eastAsia="Calibri" w:hAnsi="Arial" w:cs="Arial"/>
                <w:szCs w:val="22"/>
              </w:rPr>
              <w:t>system</w:t>
            </w:r>
            <w:r w:rsidRPr="000A0220">
              <w:rPr>
                <w:rFonts w:ascii="Arial" w:eastAsia="Calibri" w:hAnsi="Arial" w:cs="Arial"/>
                <w:szCs w:val="22"/>
              </w:rPr>
              <w:t>-level approaches to disease biology. This review synthesizes current evidence on host–microbiome, host–parasite, and microbiome–parasite interactions, emphasizing mechanistic pathways, ecological dynamics, and translational implications.</w:t>
            </w:r>
            <w:r w:rsidR="004F4072">
              <w:rPr>
                <w:rFonts w:ascii="Arial" w:eastAsia="Calibri" w:hAnsi="Arial" w:cs="Arial"/>
                <w:szCs w:val="22"/>
              </w:rPr>
              <w:t xml:space="preserve"> </w:t>
            </w:r>
            <w:r w:rsidR="004F4072" w:rsidRPr="005B51E2">
              <w:rPr>
                <w:rFonts w:ascii="Arial" w:eastAsia="Calibri" w:hAnsi="Arial" w:cs="Arial"/>
                <w:szCs w:val="22"/>
                <w:highlight w:val="yellow"/>
              </w:rPr>
              <w:t>Though the multidirectional host–</w:t>
            </w:r>
            <w:r w:rsidR="004F4072" w:rsidRPr="005B51E2">
              <w:rPr>
                <w:highlight w:val="yellow"/>
              </w:rPr>
              <w:t xml:space="preserve"> </w:t>
            </w:r>
            <w:r w:rsidR="004F4072" w:rsidRPr="005B51E2">
              <w:rPr>
                <w:rFonts w:ascii="Arial" w:eastAsia="Calibri" w:hAnsi="Arial" w:cs="Arial"/>
                <w:szCs w:val="22"/>
                <w:highlight w:val="yellow"/>
              </w:rPr>
              <w:t>microbiota-parasite–relationship is still under investigation, evidence increasingly suggests that these interactions have a major influence on host health and disease outcomes.</w:t>
            </w:r>
          </w:p>
        </w:tc>
      </w:tr>
    </w:tbl>
    <w:p w14:paraId="377B9736" w14:textId="77777777" w:rsidR="00636EB2" w:rsidRDefault="00636EB2" w:rsidP="008618E0">
      <w:pPr>
        <w:pStyle w:val="Body"/>
        <w:spacing w:after="0" w:line="276" w:lineRule="auto"/>
        <w:rPr>
          <w:rFonts w:ascii="Arial" w:hAnsi="Arial" w:cs="Arial"/>
          <w:i/>
        </w:rPr>
      </w:pPr>
    </w:p>
    <w:p w14:paraId="1B64D513" w14:textId="6095D525" w:rsidR="00A24E7E" w:rsidRDefault="00A24E7E" w:rsidP="008618E0">
      <w:pPr>
        <w:pStyle w:val="Body"/>
        <w:spacing w:after="0" w:line="276" w:lineRule="auto"/>
        <w:rPr>
          <w:rFonts w:ascii="Arial" w:hAnsi="Arial" w:cs="Arial"/>
          <w:i/>
        </w:rPr>
      </w:pPr>
      <w:r>
        <w:rPr>
          <w:rFonts w:ascii="Arial" w:hAnsi="Arial" w:cs="Arial"/>
          <w:i/>
        </w:rPr>
        <w:t>Keywords:</w:t>
      </w:r>
      <w:r w:rsidR="000A0220">
        <w:rPr>
          <w:rFonts w:ascii="Arial" w:hAnsi="Arial" w:cs="Arial"/>
          <w:i/>
        </w:rPr>
        <w:t xml:space="preserve"> (</w:t>
      </w:r>
      <w:r w:rsidR="000A0220" w:rsidRPr="000A0220">
        <w:rPr>
          <w:rFonts w:ascii="Arial" w:hAnsi="Arial" w:cs="Arial"/>
          <w:i/>
        </w:rPr>
        <w:t>Host–microbiome interactions, parasite–microbiome crosstalk, immune modulation, gut microbiome, parasitic infections, dysbiosis</w:t>
      </w:r>
      <w:r w:rsidR="000A0220">
        <w:rPr>
          <w:rFonts w:ascii="Arial" w:hAnsi="Arial" w:cs="Arial"/>
          <w:i/>
        </w:rPr>
        <w:t>)</w:t>
      </w:r>
    </w:p>
    <w:p w14:paraId="7DE5616E" w14:textId="77777777" w:rsidR="00505F06" w:rsidRPr="00A24E7E" w:rsidRDefault="00505F06" w:rsidP="008618E0">
      <w:pPr>
        <w:pStyle w:val="Body"/>
        <w:spacing w:after="0" w:line="276" w:lineRule="auto"/>
        <w:rPr>
          <w:rFonts w:ascii="Arial" w:hAnsi="Arial" w:cs="Arial"/>
          <w:i/>
        </w:rPr>
      </w:pPr>
    </w:p>
    <w:p w14:paraId="63D7BC29" w14:textId="4E6BEBC9" w:rsidR="007F7B32" w:rsidRDefault="00902823" w:rsidP="008618E0">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5A4CD4" w14:textId="77777777" w:rsidR="00790ADA" w:rsidRPr="00FB3A86" w:rsidRDefault="00790ADA" w:rsidP="008618E0">
      <w:pPr>
        <w:pStyle w:val="AbstHead"/>
        <w:spacing w:after="0" w:line="276" w:lineRule="auto"/>
        <w:jc w:val="both"/>
        <w:rPr>
          <w:rFonts w:ascii="Arial" w:hAnsi="Arial" w:cs="Arial"/>
        </w:rPr>
      </w:pPr>
    </w:p>
    <w:p w14:paraId="63F23BCF" w14:textId="314C797F" w:rsidR="000A0220" w:rsidRPr="000A0220" w:rsidRDefault="00AF6319" w:rsidP="008618E0">
      <w:pPr>
        <w:pStyle w:val="Body"/>
        <w:spacing w:line="276" w:lineRule="auto"/>
        <w:rPr>
          <w:rFonts w:ascii="Arial" w:hAnsi="Arial" w:cs="Arial"/>
        </w:rPr>
      </w:pPr>
      <w:r w:rsidRPr="005B51E2">
        <w:rPr>
          <w:rFonts w:ascii="Arial" w:hAnsi="Arial" w:cs="Arial"/>
          <w:highlight w:val="yellow"/>
        </w:rPr>
        <w:t xml:space="preserve">Virtually all animals and plants </w:t>
      </w:r>
      <w:proofErr w:type="spellStart"/>
      <w:r w:rsidRPr="005B51E2">
        <w:rPr>
          <w:rFonts w:ascii="Arial" w:hAnsi="Arial" w:cs="Arial"/>
          <w:highlight w:val="yellow"/>
        </w:rPr>
        <w:t>harbour</w:t>
      </w:r>
      <w:proofErr w:type="spellEnd"/>
      <w:r w:rsidRPr="005B51E2">
        <w:rPr>
          <w:rFonts w:ascii="Arial" w:hAnsi="Arial" w:cs="Arial"/>
          <w:highlight w:val="yellow"/>
        </w:rPr>
        <w:t xml:space="preserve"> a diverse community of microorganisms, termed the microbiome, primarily composed of bacteria, and also encompassing fungi, archaea, and viruses residing on and within the host. In the last decade, advances in sequencing technology have enabled an explosion of research into these largely unculturable microbial communities. Host microbiomes are now </w:t>
      </w:r>
      <w:proofErr w:type="spellStart"/>
      <w:r w:rsidRPr="005B51E2">
        <w:rPr>
          <w:rFonts w:ascii="Arial" w:hAnsi="Arial" w:cs="Arial"/>
          <w:highlight w:val="yellow"/>
        </w:rPr>
        <w:t>recognised</w:t>
      </w:r>
      <w:proofErr w:type="spellEnd"/>
      <w:r w:rsidRPr="005B51E2">
        <w:rPr>
          <w:rFonts w:ascii="Arial" w:hAnsi="Arial" w:cs="Arial"/>
          <w:highlight w:val="yellow"/>
        </w:rPr>
        <w:t xml:space="preserve"> as essential players in host development, physiology and immunity, significantly impacting host health</w:t>
      </w:r>
      <w:r w:rsidRPr="00456D91">
        <w:rPr>
          <w:rFonts w:ascii="Arial" w:hAnsi="Arial" w:cs="Arial"/>
          <w:highlight w:val="yellow"/>
        </w:rPr>
        <w:t xml:space="preserve"> (</w:t>
      </w:r>
      <w:proofErr w:type="spellStart"/>
      <w:r w:rsidRPr="005B51E2">
        <w:rPr>
          <w:rFonts w:ascii="Arial" w:hAnsi="Arial" w:cs="Arial"/>
          <w:highlight w:val="yellow"/>
        </w:rPr>
        <w:t>Toala</w:t>
      </w:r>
      <w:proofErr w:type="spellEnd"/>
      <w:r w:rsidRPr="005B51E2">
        <w:rPr>
          <w:rFonts w:ascii="Arial" w:hAnsi="Arial" w:cs="Arial"/>
          <w:highlight w:val="yellow"/>
        </w:rPr>
        <w:t>-Franco et al., 2025</w:t>
      </w:r>
      <w:r>
        <w:rPr>
          <w:rFonts w:ascii="Arial" w:hAnsi="Arial" w:cs="Arial"/>
          <w:highlight w:val="yellow"/>
        </w:rPr>
        <w:t>)</w:t>
      </w:r>
      <w:r w:rsidRPr="005B51E2">
        <w:rPr>
          <w:rFonts w:ascii="Arial" w:hAnsi="Arial" w:cs="Arial"/>
          <w:highlight w:val="yellow"/>
        </w:rPr>
        <w:t>.</w:t>
      </w:r>
      <w:r>
        <w:rPr>
          <w:rFonts w:ascii="Arial" w:hAnsi="Arial" w:cs="Arial"/>
        </w:rPr>
        <w:t xml:space="preserve"> </w:t>
      </w:r>
      <w:r w:rsidR="000A0220" w:rsidRPr="000A0220">
        <w:rPr>
          <w:rFonts w:ascii="Arial" w:hAnsi="Arial" w:cs="Arial"/>
        </w:rPr>
        <w:t xml:space="preserve">The human host is not a biologically autonomous entity, but a dynamic, composite system shaped by continuous interactions with resident microbial communities and parasitic organisms (Reynoso-García et al., 2022). At mucosal and epithelial surfaces, the immune, metabolic, and structural integrity </w:t>
      </w:r>
      <w:r w:rsidR="000A0220" w:rsidRPr="000A0220">
        <w:rPr>
          <w:rFonts w:ascii="Arial" w:hAnsi="Arial" w:cs="Arial"/>
        </w:rPr>
        <w:lastRenderedPageBreak/>
        <w:t>of the host is constantly influenced by trillions of microorganisms collectively referred to as the microbiome (Valencia et al., 2025). Simultaneously, parasitic organisms ranging from unicellular protozoa to multicellular helminths interact with both host tissues and resident microbial communities, altering immune responses, metabolic signaling, and ecological balance (</w:t>
      </w:r>
      <w:proofErr w:type="spellStart"/>
      <w:r w:rsidR="000A0220" w:rsidRPr="000A0220">
        <w:rPr>
          <w:rFonts w:ascii="Arial" w:hAnsi="Arial" w:cs="Arial"/>
        </w:rPr>
        <w:t>Zakeri</w:t>
      </w:r>
      <w:proofErr w:type="spellEnd"/>
      <w:r w:rsidR="000A0220" w:rsidRPr="000A0220">
        <w:rPr>
          <w:rFonts w:ascii="Arial" w:hAnsi="Arial" w:cs="Arial"/>
        </w:rPr>
        <w:t xml:space="preserve"> et al., 2018). Health and disease therefore emerge not from isolated host–pathogen encounters, but from complex, multidirectional interactions among host, microbiota, and parasites.</w:t>
      </w:r>
      <w:r w:rsidR="00456D91">
        <w:rPr>
          <w:rFonts w:ascii="Arial" w:hAnsi="Arial" w:cs="Arial"/>
        </w:rPr>
        <w:t xml:space="preserve"> </w:t>
      </w:r>
      <w:r w:rsidR="00456D91" w:rsidRPr="005B51E2">
        <w:rPr>
          <w:rFonts w:ascii="Arial" w:hAnsi="Arial" w:cs="Arial"/>
          <w:highlight w:val="yellow"/>
        </w:rPr>
        <w:t>The microbiome can impact host quality via a variety of mechanisms including host size and developmental stage, immune function, reproduction, nutrient acquisition, and behavior. However, the potential for such microbiome-driven changes in host quality to trigger cascading effects on community-level processes, specifically by altering parasite transmission dynamics and community competence, has not been well explored</w:t>
      </w:r>
      <w:r w:rsidR="00456D91" w:rsidRPr="00034F2E">
        <w:rPr>
          <w:rFonts w:ascii="Arial" w:hAnsi="Arial" w:cs="Arial"/>
          <w:highlight w:val="yellow"/>
        </w:rPr>
        <w:t xml:space="preserve"> (</w:t>
      </w:r>
      <w:r w:rsidR="00456D91" w:rsidRPr="005B51E2">
        <w:rPr>
          <w:rFonts w:ascii="Arial" w:hAnsi="Arial" w:cs="Arial"/>
          <w:highlight w:val="yellow"/>
        </w:rPr>
        <w:t>Rosamond et al., 2025</w:t>
      </w:r>
      <w:r w:rsidR="00456D91">
        <w:rPr>
          <w:rFonts w:ascii="Arial" w:hAnsi="Arial" w:cs="Arial"/>
          <w:highlight w:val="yellow"/>
        </w:rPr>
        <w:t>)</w:t>
      </w:r>
      <w:r w:rsidR="00456D91" w:rsidRPr="005B51E2">
        <w:rPr>
          <w:rFonts w:ascii="Arial" w:hAnsi="Arial" w:cs="Arial"/>
          <w:highlight w:val="yellow"/>
        </w:rPr>
        <w:t>.</w:t>
      </w:r>
    </w:p>
    <w:p w14:paraId="5EED57A1" w14:textId="7D7943D1" w:rsidR="000A0220" w:rsidRPr="000A0220" w:rsidRDefault="00153EAE" w:rsidP="00AA51FE">
      <w:pPr>
        <w:pStyle w:val="Body"/>
        <w:spacing w:line="276" w:lineRule="auto"/>
        <w:rPr>
          <w:rFonts w:ascii="Arial" w:hAnsi="Arial" w:cs="Arial"/>
        </w:rPr>
      </w:pPr>
      <w:r w:rsidRPr="005B51E2">
        <w:rPr>
          <w:rFonts w:ascii="Arial" w:hAnsi="Arial" w:cs="Arial"/>
          <w:highlight w:val="yellow"/>
        </w:rPr>
        <w:t xml:space="preserve">Historically, the biology of infectious diseases was </w:t>
      </w:r>
      <w:proofErr w:type="spellStart"/>
      <w:r w:rsidRPr="005B51E2">
        <w:rPr>
          <w:rFonts w:ascii="Arial" w:hAnsi="Arial" w:cs="Arial"/>
          <w:highlight w:val="yellow"/>
        </w:rPr>
        <w:t>conceptualised</w:t>
      </w:r>
      <w:proofErr w:type="spellEnd"/>
      <w:r w:rsidRPr="005B51E2">
        <w:rPr>
          <w:rFonts w:ascii="Arial" w:hAnsi="Arial" w:cs="Arial"/>
          <w:highlight w:val="yellow"/>
        </w:rPr>
        <w:t xml:space="preserve"> predominantly within a binary framework </w:t>
      </w:r>
      <w:proofErr w:type="spellStart"/>
      <w:r w:rsidRPr="005B51E2">
        <w:rPr>
          <w:rFonts w:ascii="Arial" w:hAnsi="Arial" w:cs="Arial"/>
          <w:highlight w:val="yellow"/>
        </w:rPr>
        <w:t>centred</w:t>
      </w:r>
      <w:proofErr w:type="spellEnd"/>
      <w:r w:rsidRPr="005B51E2">
        <w:rPr>
          <w:rFonts w:ascii="Arial" w:hAnsi="Arial" w:cs="Arial"/>
          <w:highlight w:val="yellow"/>
        </w:rPr>
        <w:t xml:space="preserve"> on the host–parasite or host–pathogen dyad. Within this reductionist model, disease processes were interpreted primarily as the consequence of direct interactions between an invading microorganism and the host’s </w:t>
      </w:r>
      <w:proofErr w:type="spellStart"/>
      <w:r w:rsidRPr="005B51E2">
        <w:rPr>
          <w:rFonts w:ascii="Arial" w:hAnsi="Arial" w:cs="Arial"/>
          <w:highlight w:val="yellow"/>
        </w:rPr>
        <w:t>defence</w:t>
      </w:r>
      <w:proofErr w:type="spellEnd"/>
      <w:r w:rsidRPr="005B51E2">
        <w:rPr>
          <w:rFonts w:ascii="Arial" w:hAnsi="Arial" w:cs="Arial"/>
          <w:highlight w:val="yellow"/>
        </w:rPr>
        <w:t xml:space="preserve"> mechanisms</w:t>
      </w:r>
      <w:r w:rsidR="00862B0F">
        <w:rPr>
          <w:rFonts w:ascii="Arial" w:hAnsi="Arial" w:cs="Arial"/>
          <w:highlight w:val="yellow"/>
        </w:rPr>
        <w:t xml:space="preserve"> (</w:t>
      </w:r>
      <w:proofErr w:type="spellStart"/>
      <w:r w:rsidR="00862B0F" w:rsidRPr="005B51E2">
        <w:rPr>
          <w:rFonts w:ascii="Arial" w:hAnsi="Arial" w:cs="Arial"/>
          <w:highlight w:val="yellow"/>
        </w:rPr>
        <w:t>Grondin</w:t>
      </w:r>
      <w:proofErr w:type="spellEnd"/>
      <w:r w:rsidR="00862B0F" w:rsidRPr="005B51E2">
        <w:rPr>
          <w:rFonts w:ascii="Arial" w:hAnsi="Arial" w:cs="Arial"/>
          <w:highlight w:val="yellow"/>
        </w:rPr>
        <w:t xml:space="preserve"> et al., 2024</w:t>
      </w:r>
      <w:r w:rsidR="00862B0F">
        <w:rPr>
          <w:rFonts w:ascii="Arial" w:hAnsi="Arial" w:cs="Arial"/>
          <w:highlight w:val="yellow"/>
        </w:rPr>
        <w:t>)</w:t>
      </w:r>
      <w:r w:rsidRPr="005B51E2">
        <w:rPr>
          <w:rFonts w:ascii="Arial" w:hAnsi="Arial" w:cs="Arial"/>
          <w:highlight w:val="yellow"/>
        </w:rPr>
        <w:t xml:space="preserve">. The pathogen was viewed as the principal causal agent, while the host immune system was considered the primary determinant of resistance or susceptibility. Early immunological paradigms therefore focused extensively on mechanisms of pathogen recognition, immune activation, and subsequent pathogen elimination. Central emphasis was placed on the identification of foreign antigens, the </w:t>
      </w:r>
      <w:proofErr w:type="spellStart"/>
      <w:r w:rsidRPr="005B51E2">
        <w:rPr>
          <w:rFonts w:ascii="Arial" w:hAnsi="Arial" w:cs="Arial"/>
          <w:highlight w:val="yellow"/>
        </w:rPr>
        <w:t>mobilisation</w:t>
      </w:r>
      <w:proofErr w:type="spellEnd"/>
      <w:r w:rsidRPr="005B51E2">
        <w:rPr>
          <w:rFonts w:ascii="Arial" w:hAnsi="Arial" w:cs="Arial"/>
          <w:highlight w:val="yellow"/>
        </w:rPr>
        <w:t xml:space="preserve"> of innate and adaptive immune responses, and the clearance of infectious agents as the key determinants of clinical outcome. Within this conceptual framework, successful immunity was equated with efficient eradication of the pathogen, and pathology was largely attributed to either uncontrolled microbial proliferation or inadequate immune responsiveness.</w:t>
      </w:r>
      <w:r w:rsidRPr="005B51E2" w:rsidDel="00153EAE">
        <w:rPr>
          <w:rFonts w:ascii="Arial" w:hAnsi="Arial" w:cs="Arial"/>
          <w:highlight w:val="yellow"/>
        </w:rPr>
        <w:t xml:space="preserve"> </w:t>
      </w:r>
      <w:r w:rsidR="000A0220" w:rsidRPr="005B51E2">
        <w:rPr>
          <w:rFonts w:ascii="Arial" w:hAnsi="Arial" w:cs="Arial"/>
          <w:highlight w:val="yellow"/>
        </w:rPr>
        <w:t xml:space="preserve"> (Donald and Finlay, 2023</w:t>
      </w:r>
      <w:r w:rsidR="000A0220" w:rsidRPr="000A0220">
        <w:rPr>
          <w:rFonts w:ascii="Arial" w:hAnsi="Arial" w:cs="Arial"/>
        </w:rPr>
        <w:t xml:space="preserve">). While this model advanced understanding of microbial pathogenesis and immune defense, it overlooked the profound influence of resident microbial ecosystems in shaping immune development, barrier integrity, and metabolic homeostasis (Tan et al., 2025). </w:t>
      </w:r>
      <w:r w:rsidR="00AA51FE" w:rsidRPr="005B51E2">
        <w:rPr>
          <w:rFonts w:ascii="Arial" w:hAnsi="Arial" w:cs="Arial"/>
          <w:highlight w:val="yellow"/>
        </w:rPr>
        <w:t xml:space="preserve">The advent of high-throughput sequencing technologies, coupled with advances in systems biology methodologies, has fundamentally transformed understanding of host–microbe interactions. These integrative approaches have enabled comprehensive </w:t>
      </w:r>
      <w:proofErr w:type="spellStart"/>
      <w:r w:rsidR="00AA51FE" w:rsidRPr="005B51E2">
        <w:rPr>
          <w:rFonts w:ascii="Arial" w:hAnsi="Arial" w:cs="Arial"/>
          <w:highlight w:val="yellow"/>
        </w:rPr>
        <w:t>characterisation</w:t>
      </w:r>
      <w:proofErr w:type="spellEnd"/>
      <w:r w:rsidR="00AA51FE" w:rsidRPr="005B51E2">
        <w:rPr>
          <w:rFonts w:ascii="Arial" w:hAnsi="Arial" w:cs="Arial"/>
          <w:highlight w:val="yellow"/>
        </w:rPr>
        <w:t xml:space="preserve"> of complex microbial communities and their functional capacities across diverse anatomical sites. Emerging evidence demonstrates that the microbiome is not merely a passive inhabitant of host environments, but rather an active and dynamic regulator of host physiology (Campbell et al., 2023). Through intricate metabolic, immunological, and </w:t>
      </w:r>
      <w:proofErr w:type="spellStart"/>
      <w:r w:rsidR="00AA51FE" w:rsidRPr="005B51E2">
        <w:rPr>
          <w:rFonts w:ascii="Arial" w:hAnsi="Arial" w:cs="Arial"/>
          <w:highlight w:val="yellow"/>
        </w:rPr>
        <w:t>signalling</w:t>
      </w:r>
      <w:proofErr w:type="spellEnd"/>
      <w:r w:rsidR="00AA51FE" w:rsidRPr="005B51E2">
        <w:rPr>
          <w:rFonts w:ascii="Arial" w:hAnsi="Arial" w:cs="Arial"/>
          <w:highlight w:val="yellow"/>
        </w:rPr>
        <w:t xml:space="preserve"> networks, the microbiome influences nutrient metabolism, epithelial barrier integrity, immune maturation, and inflammatory homeostasis. Consequently, perturbations in microbial composition and function—commonly termed dysbiosis—have been implicated in the pathogenesis of a wide spectrum of infectious and non-communicable diseases. These insights have prompted a paradigm shift from a strictly host–pathogen binary model towards a more integrative framework that </w:t>
      </w:r>
      <w:proofErr w:type="spellStart"/>
      <w:r w:rsidR="00AA51FE" w:rsidRPr="005B51E2">
        <w:rPr>
          <w:rFonts w:ascii="Arial" w:hAnsi="Arial" w:cs="Arial"/>
          <w:highlight w:val="yellow"/>
        </w:rPr>
        <w:t>recognises</w:t>
      </w:r>
      <w:proofErr w:type="spellEnd"/>
      <w:r w:rsidR="00AA51FE" w:rsidRPr="005B51E2">
        <w:rPr>
          <w:rFonts w:ascii="Arial" w:hAnsi="Arial" w:cs="Arial"/>
          <w:highlight w:val="yellow"/>
        </w:rPr>
        <w:t xml:space="preserve"> the tripartite and context-dependent interactions among host, pathogen, and resident microbial communities.</w:t>
      </w:r>
    </w:p>
    <w:p w14:paraId="524796C0" w14:textId="77777777" w:rsidR="000A0220" w:rsidRPr="000A0220" w:rsidRDefault="000A0220" w:rsidP="008618E0">
      <w:pPr>
        <w:pStyle w:val="Body"/>
        <w:spacing w:line="276" w:lineRule="auto"/>
        <w:rPr>
          <w:rFonts w:ascii="Arial" w:hAnsi="Arial" w:cs="Arial"/>
        </w:rPr>
      </w:pPr>
      <w:r w:rsidRPr="000A0220">
        <w:rPr>
          <w:rFonts w:ascii="Arial" w:hAnsi="Arial" w:cs="Arial"/>
        </w:rPr>
        <w:t>Concurrently, parasitology research demonstrated that many parasites exert long-term immunomodulatory and ecological effects that extend beyond direct tissue damage (</w:t>
      </w:r>
      <w:proofErr w:type="spellStart"/>
      <w:r w:rsidRPr="000A0220">
        <w:rPr>
          <w:rFonts w:ascii="Arial" w:hAnsi="Arial" w:cs="Arial"/>
        </w:rPr>
        <w:t>Elsawey</w:t>
      </w:r>
      <w:proofErr w:type="spellEnd"/>
      <w:r w:rsidRPr="000A0220">
        <w:rPr>
          <w:rFonts w:ascii="Arial" w:hAnsi="Arial" w:cs="Arial"/>
        </w:rPr>
        <w:t xml:space="preserve"> et al., 2022). These converging insights have prompted a shift from dyadic to triadic models of interaction. In this triangular framework, the host, microbiome, and parasites form an interconnected network characterized by competition, cooperation, and regulatory feedback loops. The microbiome can influence parasite colonization, immune polarization, and disease severity, while parasites can reshape microbial composition and immune tone (Shealy et al., 2021). Disruption at any vertex of this triangle through dysbiosis, infection, or immune dysfunction reverberates across the system, influencing susceptibility to infectious, inflammatory, and metabolic disorders (Xiao et al., 2025).</w:t>
      </w:r>
    </w:p>
    <w:p w14:paraId="1F6F26BC" w14:textId="77777777" w:rsidR="000A0220" w:rsidRPr="000A0220" w:rsidRDefault="000A0220" w:rsidP="008618E0">
      <w:pPr>
        <w:pStyle w:val="Body"/>
        <w:spacing w:line="276" w:lineRule="auto"/>
        <w:rPr>
          <w:rFonts w:ascii="Arial" w:hAnsi="Arial" w:cs="Arial"/>
        </w:rPr>
      </w:pPr>
      <w:r w:rsidRPr="000A0220">
        <w:rPr>
          <w:rFonts w:ascii="Arial" w:hAnsi="Arial" w:cs="Arial"/>
        </w:rPr>
        <w:t>Adopting a triangular perspective provides a more integrative understanding of disease pathogenesis and therapeutic opportunity (</w:t>
      </w:r>
      <w:proofErr w:type="spellStart"/>
      <w:r w:rsidRPr="000A0220">
        <w:rPr>
          <w:rFonts w:ascii="Arial" w:hAnsi="Arial" w:cs="Arial"/>
        </w:rPr>
        <w:t>Elsawey</w:t>
      </w:r>
      <w:proofErr w:type="spellEnd"/>
      <w:r w:rsidRPr="000A0220">
        <w:rPr>
          <w:rFonts w:ascii="Arial" w:hAnsi="Arial" w:cs="Arial"/>
        </w:rPr>
        <w:t xml:space="preserve"> et al., 2022). It moves beyond reductionist models toward ecological and systems-level interpretations of host biology. Such a framework is particularly relevant in an era marked by rising autoimmune and metabolic diseases, increasing antimicrobial resistance, and persistent parasitic infections in many regions of the world.</w:t>
      </w:r>
    </w:p>
    <w:p w14:paraId="062DABC1"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This review therefore aims to: </w:t>
      </w:r>
    </w:p>
    <w:p w14:paraId="011BCDEA" w14:textId="77777777" w:rsidR="000A0220" w:rsidRDefault="000A0220" w:rsidP="008618E0">
      <w:pPr>
        <w:pStyle w:val="Body"/>
        <w:numPr>
          <w:ilvl w:val="0"/>
          <w:numId w:val="31"/>
        </w:numPr>
        <w:spacing w:line="276" w:lineRule="auto"/>
        <w:rPr>
          <w:rFonts w:ascii="Arial" w:hAnsi="Arial" w:cs="Arial"/>
        </w:rPr>
      </w:pPr>
      <w:r w:rsidRPr="000A0220">
        <w:rPr>
          <w:rFonts w:ascii="Arial" w:hAnsi="Arial" w:cs="Arial"/>
        </w:rPr>
        <w:t>Examine the foundational interactions between host and microbiome in maintaining immune and metabolic homeostasis.</w:t>
      </w:r>
    </w:p>
    <w:p w14:paraId="02AE2232" w14:textId="77777777" w:rsidR="000A0220" w:rsidRDefault="000A0220" w:rsidP="008618E0">
      <w:pPr>
        <w:pStyle w:val="Body"/>
        <w:numPr>
          <w:ilvl w:val="0"/>
          <w:numId w:val="31"/>
        </w:numPr>
        <w:spacing w:line="276" w:lineRule="auto"/>
        <w:rPr>
          <w:rFonts w:ascii="Arial" w:hAnsi="Arial" w:cs="Arial"/>
        </w:rPr>
      </w:pPr>
      <w:r w:rsidRPr="000A0220">
        <w:rPr>
          <w:rFonts w:ascii="Arial" w:hAnsi="Arial" w:cs="Arial"/>
        </w:rPr>
        <w:t>Analyze mechanisms of host–parasite immune modulation and pathophysiological outcomes</w:t>
      </w:r>
    </w:p>
    <w:p w14:paraId="72B7E113" w14:textId="77777777" w:rsidR="000A0220" w:rsidRDefault="000A0220" w:rsidP="008618E0">
      <w:pPr>
        <w:pStyle w:val="Body"/>
        <w:numPr>
          <w:ilvl w:val="0"/>
          <w:numId w:val="31"/>
        </w:numPr>
        <w:spacing w:line="276" w:lineRule="auto"/>
        <w:rPr>
          <w:rFonts w:ascii="Arial" w:hAnsi="Arial" w:cs="Arial"/>
        </w:rPr>
      </w:pPr>
      <w:r w:rsidRPr="000A0220">
        <w:rPr>
          <w:rFonts w:ascii="Arial" w:hAnsi="Arial" w:cs="Arial"/>
        </w:rPr>
        <w:lastRenderedPageBreak/>
        <w:t xml:space="preserve">Explore microbiome–parasite ecological and molecular cross-talk.  </w:t>
      </w:r>
    </w:p>
    <w:p w14:paraId="13348484" w14:textId="246C885B" w:rsidR="00790ADA" w:rsidRPr="000A0220" w:rsidRDefault="000A0220" w:rsidP="008618E0">
      <w:pPr>
        <w:pStyle w:val="Body"/>
        <w:numPr>
          <w:ilvl w:val="0"/>
          <w:numId w:val="31"/>
        </w:numPr>
        <w:spacing w:line="276" w:lineRule="auto"/>
        <w:rPr>
          <w:rFonts w:ascii="Arial" w:hAnsi="Arial" w:cs="Arial"/>
        </w:rPr>
      </w:pPr>
      <w:r w:rsidRPr="000A0220">
        <w:rPr>
          <w:rFonts w:ascii="Arial" w:hAnsi="Arial" w:cs="Arial"/>
        </w:rPr>
        <w:t>Discuss the broader implications of these triadic interactions for health, disease susceptibility, and therapeutic innovation.</w:t>
      </w:r>
    </w:p>
    <w:p w14:paraId="419E2923"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 Host–Microbiome Interactions: Foundations of Immune and Metabolic Homeostasis</w:t>
      </w:r>
    </w:p>
    <w:p w14:paraId="6B9CF708"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2.1 Composition, Diversity, and Functional Roles of the Human Microbiome</w:t>
      </w:r>
    </w:p>
    <w:p w14:paraId="7FBDED81" w14:textId="77777777" w:rsidR="000A0220" w:rsidRPr="00A541B3" w:rsidRDefault="000A0220" w:rsidP="008618E0">
      <w:pPr>
        <w:pStyle w:val="Body"/>
        <w:spacing w:line="276" w:lineRule="auto"/>
        <w:rPr>
          <w:rFonts w:ascii="Arial" w:hAnsi="Arial" w:cs="Arial"/>
        </w:rPr>
      </w:pPr>
      <w:r w:rsidRPr="00A541B3">
        <w:rPr>
          <w:rFonts w:ascii="Arial" w:hAnsi="Arial" w:cs="Arial"/>
        </w:rPr>
        <w:t>The human microbiome comprises a complex and dynamic consortium of microorganisms; including bacteria, archaea, fungi, protozoa, helminths, and viruses, that colonize distinct anatomical niches such as the gut, skin, oral cavity, respiratory tract, and urogenital system (</w:t>
      </w:r>
      <w:proofErr w:type="spellStart"/>
      <w:r w:rsidRPr="00A541B3">
        <w:rPr>
          <w:rFonts w:ascii="Arial" w:hAnsi="Arial" w:cs="Arial"/>
        </w:rPr>
        <w:t>Ogunrinola</w:t>
      </w:r>
      <w:proofErr w:type="spellEnd"/>
      <w:r w:rsidRPr="00A541B3">
        <w:rPr>
          <w:rFonts w:ascii="Arial" w:hAnsi="Arial" w:cs="Arial"/>
        </w:rPr>
        <w:t xml:space="preserve"> et al., 2020; Reynoso-García et al., 2022). Collectively, these microbial communities and their genomes form a functional extension of the host, often conceptualized as a </w:t>
      </w:r>
      <w:proofErr w:type="spellStart"/>
      <w:r w:rsidRPr="00A541B3">
        <w:rPr>
          <w:rFonts w:ascii="Arial" w:hAnsi="Arial" w:cs="Arial"/>
        </w:rPr>
        <w:t>holobiont</w:t>
      </w:r>
      <w:proofErr w:type="spellEnd"/>
      <w:r w:rsidRPr="00A541B3">
        <w:rPr>
          <w:rFonts w:ascii="Arial" w:hAnsi="Arial" w:cs="Arial"/>
        </w:rPr>
        <w:t>. Among these niches, the gut microbiome is the most densely populated and functionally diverse, containing trillions of microbial cells that contribute substantially to host physiology (Rosenberg, 2024). Microbiome composition varies markedly between individuals and body sites, shaped by host genetics, diet, age, lifestyle, environmental exposures, and immune status (Gupta et al., 2017). Despite this interindividual variability, functional redundancy is a defining feature of healthy microbial ecosystems: different microbial taxa can perform overlapping metabolic and immunological roles, thereby conferring resilience to ecological perturbations. Key functions of the microbiome include nutrient metabolism, vitamin synthesis (e.g., vitamin K and B-group vitamins), xenobiotic processing, and protection against pathogenic invasion (Valencia et al., 2025). Through these activities, the microbiome acts not merely as a passive colonizer but as an active regulator of host homeostasis.</w:t>
      </w:r>
    </w:p>
    <w:p w14:paraId="344D7AF4"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2.2 Microbiome-Driven Immune Maturation, Tolerance, and Immune Education</w:t>
      </w:r>
    </w:p>
    <w:p w14:paraId="1B72BDAE" w14:textId="15A7AB80" w:rsidR="000A0220" w:rsidRPr="00A541B3" w:rsidRDefault="000A0220" w:rsidP="008618E0">
      <w:pPr>
        <w:pStyle w:val="Body"/>
        <w:spacing w:line="276" w:lineRule="auto"/>
        <w:rPr>
          <w:rFonts w:ascii="Arial" w:hAnsi="Arial" w:cs="Arial"/>
        </w:rPr>
      </w:pPr>
      <w:r w:rsidRPr="00A541B3">
        <w:rPr>
          <w:rFonts w:ascii="Arial" w:hAnsi="Arial" w:cs="Arial"/>
        </w:rPr>
        <w:t>The microbiome plays a fundamental role in shaping the development and calibration of the host immune system from early life onward. Microbial exposure during critical developmental windows particularly at birth and in early infancy is essential for proper immune maturation (</w:t>
      </w:r>
      <w:proofErr w:type="spellStart"/>
      <w:r w:rsidRPr="00A541B3">
        <w:rPr>
          <w:rFonts w:ascii="Arial" w:hAnsi="Arial" w:cs="Arial"/>
        </w:rPr>
        <w:t>Tepekule</w:t>
      </w:r>
      <w:proofErr w:type="spellEnd"/>
      <w:r w:rsidRPr="00A541B3">
        <w:rPr>
          <w:rFonts w:ascii="Arial" w:hAnsi="Arial" w:cs="Arial"/>
        </w:rPr>
        <w:t xml:space="preserve"> et al., 2025). Evidence from germ-free animal models demonstrates that the absence of microbial colonization leads to profound defects in immune architecture, including underdeveloped lymphoid tissues, reduced immunoglobulin production, and imbalanced T-helper cell responses (</w:t>
      </w:r>
      <w:proofErr w:type="spellStart"/>
      <w:r w:rsidRPr="00A541B3">
        <w:rPr>
          <w:rFonts w:ascii="Arial" w:hAnsi="Arial" w:cs="Arial"/>
        </w:rPr>
        <w:t>Jans</w:t>
      </w:r>
      <w:proofErr w:type="spellEnd"/>
      <w:r w:rsidRPr="00A541B3">
        <w:rPr>
          <w:rFonts w:ascii="Arial" w:hAnsi="Arial" w:cs="Arial"/>
        </w:rPr>
        <w:t xml:space="preserve"> and </w:t>
      </w:r>
      <w:proofErr w:type="spellStart"/>
      <w:r w:rsidRPr="00A541B3">
        <w:rPr>
          <w:rFonts w:ascii="Arial" w:hAnsi="Arial" w:cs="Arial"/>
        </w:rPr>
        <w:t>Vereecke</w:t>
      </w:r>
      <w:proofErr w:type="spellEnd"/>
      <w:r w:rsidRPr="00A541B3">
        <w:rPr>
          <w:rFonts w:ascii="Arial" w:hAnsi="Arial" w:cs="Arial"/>
        </w:rPr>
        <w:t>, 2024). Microbial-derived signals drive immune education through continuous interaction with host pattern recognition receptors, such as Toll-like receptors and NOD-like receptors, promoting immune tolerance toward commensals while maintaining vigilance against pathogens. Commensal microbes also induce regulatory T cells and anti-inflammatory cytokine production, thereby limiting excessive immune activation (Yang et al., 2025). This tolerogenic programming is critical in preventing immune-mediated pathologies, including allergies, inflammatory bowel disease, and autoimmune disorders. Importantly, immune education by the microbiome is not static (</w:t>
      </w:r>
      <w:proofErr w:type="spellStart"/>
      <w:r w:rsidRPr="00A541B3">
        <w:rPr>
          <w:rFonts w:ascii="Arial" w:hAnsi="Arial" w:cs="Arial"/>
        </w:rPr>
        <w:t>Arifuzzaman</w:t>
      </w:r>
      <w:proofErr w:type="spellEnd"/>
      <w:r w:rsidRPr="00A541B3">
        <w:rPr>
          <w:rFonts w:ascii="Arial" w:hAnsi="Arial" w:cs="Arial"/>
        </w:rPr>
        <w:t xml:space="preserve"> et al., 2024; Yang et al., 2025). Throughout life, changes in microbial composition</w:t>
      </w:r>
      <w:r w:rsidR="00A541B3" w:rsidRPr="00A541B3">
        <w:rPr>
          <w:rFonts w:ascii="Arial" w:hAnsi="Arial" w:cs="Arial"/>
        </w:rPr>
        <w:t xml:space="preserve"> </w:t>
      </w:r>
      <w:r w:rsidRPr="00A541B3">
        <w:rPr>
          <w:rFonts w:ascii="Arial" w:hAnsi="Arial" w:cs="Arial"/>
        </w:rPr>
        <w:t>due to diet, antibiotics, stress, or infection</w:t>
      </w:r>
      <w:r w:rsidR="00A541B3" w:rsidRPr="00A541B3">
        <w:rPr>
          <w:rFonts w:ascii="Arial" w:hAnsi="Arial" w:cs="Arial"/>
        </w:rPr>
        <w:t xml:space="preserve"> </w:t>
      </w:r>
      <w:r w:rsidRPr="00A541B3">
        <w:rPr>
          <w:rFonts w:ascii="Arial" w:hAnsi="Arial" w:cs="Arial"/>
        </w:rPr>
        <w:t>can recalibrate immune responses, influencing susceptibility to infectious and inflammatory diseases (Hagan et al., 2019). Thus, immune homeostasis emerges from a dynamic equilibrium between host immunity and microbial signaling.</w:t>
      </w:r>
    </w:p>
    <w:p w14:paraId="1BE38A4A"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2.3 Metabolic Signaling, Epithelial Barrier Integrity, and Colonization Resistance</w:t>
      </w:r>
    </w:p>
    <w:p w14:paraId="033CF6B4" w14:textId="77777777" w:rsidR="000A0220" w:rsidRPr="00A541B3" w:rsidRDefault="000A0220" w:rsidP="008618E0">
      <w:pPr>
        <w:pStyle w:val="Body"/>
        <w:spacing w:line="276" w:lineRule="auto"/>
        <w:rPr>
          <w:rFonts w:ascii="Arial" w:hAnsi="Arial" w:cs="Arial"/>
        </w:rPr>
      </w:pPr>
      <w:r w:rsidRPr="00A541B3">
        <w:rPr>
          <w:rFonts w:ascii="Arial" w:hAnsi="Arial" w:cs="Arial"/>
        </w:rPr>
        <w:t>Beyond immune modulation, the microbiome exerts profound metabolic effects on the host through the production of bioactive metabolites. Short-chain fatty acids (SCFAs), such as acetate, propionate, and butyrate, are among the most well-characterized microbial metabolites (</w:t>
      </w:r>
      <w:proofErr w:type="spellStart"/>
      <w:r w:rsidRPr="00A541B3">
        <w:rPr>
          <w:rFonts w:ascii="Arial" w:hAnsi="Arial" w:cs="Arial"/>
        </w:rPr>
        <w:t>Gasaly</w:t>
      </w:r>
      <w:proofErr w:type="spellEnd"/>
      <w:r w:rsidRPr="00A541B3">
        <w:rPr>
          <w:rFonts w:ascii="Arial" w:hAnsi="Arial" w:cs="Arial"/>
        </w:rPr>
        <w:t xml:space="preserve"> et al., 2021). Generated through the fermentation of dietary fibers, SCFAs serve as energy sources for colonocytes, regulate glucose and lipid metabolism, and exert anti-inflammatory effects by modulating immune cell function (He et al., 2020). Microbiome-derived metabolites also play a critical role in maintaining epithelial barrier integrity (Mann et al., 2024). By strengthening tight junctions and stimulating mucus production, commensal microbes help preserve the physical barrier that separates host tissues from luminal antigens and pathogens (</w:t>
      </w:r>
      <w:proofErr w:type="spellStart"/>
      <w:r w:rsidRPr="00A541B3">
        <w:rPr>
          <w:rFonts w:ascii="Arial" w:hAnsi="Arial" w:cs="Arial"/>
        </w:rPr>
        <w:t>Seekatz</w:t>
      </w:r>
      <w:proofErr w:type="spellEnd"/>
      <w:r w:rsidRPr="00A541B3">
        <w:rPr>
          <w:rFonts w:ascii="Arial" w:hAnsi="Arial" w:cs="Arial"/>
        </w:rPr>
        <w:t xml:space="preserve"> et al., 2022). Disruption of this barrier, often referred to as “leaky gut” permits microbial translocation and systemic inflammation, linking microbiome dysfunction to metabolic and inflammatory disorders (Ghosh et al., 2021). Additionally, the microbiome provides colonization resistance against invading pathogens and parasites (Caballero-Flores et al., 2022). This resistance operates through multiple mechanisms, including competition for nutrients and ecological niches, production of </w:t>
      </w:r>
      <w:r w:rsidRPr="00A541B3">
        <w:rPr>
          <w:rFonts w:ascii="Arial" w:hAnsi="Arial" w:cs="Arial"/>
        </w:rPr>
        <w:lastRenderedPageBreak/>
        <w:t>antimicrobial compounds, and stimulation of host immune defenses. A diverse and functionally intact microbiome therefore acts as a first line of defense against parasitic colonization and secondary infections (Lacob et al., 2019).</w:t>
      </w:r>
    </w:p>
    <w:p w14:paraId="54D1053F"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2.4 Dysbiosis as a Predisposing Factor for Parasitic Infections and Inflammatory Disorders</w:t>
      </w:r>
    </w:p>
    <w:p w14:paraId="71C32205" w14:textId="77777777" w:rsidR="000A0220" w:rsidRPr="000A0220" w:rsidRDefault="000A0220" w:rsidP="008618E0">
      <w:pPr>
        <w:pStyle w:val="Body"/>
        <w:spacing w:line="276" w:lineRule="auto"/>
        <w:rPr>
          <w:rFonts w:ascii="Arial" w:hAnsi="Arial" w:cs="Arial"/>
        </w:rPr>
      </w:pPr>
      <w:r w:rsidRPr="000A0220">
        <w:rPr>
          <w:rFonts w:ascii="Arial" w:hAnsi="Arial" w:cs="Arial"/>
        </w:rPr>
        <w:t>Dysbiosis, defined as a disruption in microbial composition, diversity, or function, is increasingly recognized as a critical determinant of disease susceptibility (Santana et al., 2022). Perturbations caused by antibiotics, dietary shifts, urbanization, or chronic stress can destabilize host–microbiome interactions, reducing ecosystem resilience and impairing immune regulation (Kou et al., 2025). In the context of parasitic infections, dysbiosis may lower colonization resistance, alter mucosal immunity, and create ecological niches favorable to parasite establishment and persistence (Mooney et al., 2015). Conversely, parasitic infections themselves can induce dysbiosis, leading to feedback loops that exacerbate inflammation and tissue damage. Such interactions are particularly evident in the gut, where parasite-induced shifts in microbial communities are associated with altered immune polarization and disease severity (Zhao et al., 2023).</w:t>
      </w:r>
    </w:p>
    <w:p w14:paraId="65FD0C61" w14:textId="77777777" w:rsidR="000A0220" w:rsidRPr="000A0220" w:rsidRDefault="000A0220" w:rsidP="008618E0">
      <w:pPr>
        <w:pStyle w:val="Body"/>
        <w:spacing w:line="276" w:lineRule="auto"/>
        <w:rPr>
          <w:rFonts w:ascii="Arial" w:hAnsi="Arial" w:cs="Arial"/>
        </w:rPr>
      </w:pPr>
      <w:r w:rsidRPr="000A0220">
        <w:rPr>
          <w:rFonts w:ascii="Arial" w:hAnsi="Arial" w:cs="Arial"/>
        </w:rPr>
        <w:t>Moreover, dysbiosis is strongly linked to chronic inflammatory disorders, including inflammatory bowel disease, metabolic syndrome, and allergic diseases (Santana et al., 2022). These conditions often reflect a breakdown in immune tolerance and metabolic signaling pathways normally regulated by the microbiome. Consequently, dysbiosis represents not merely a consequence of disease but a mechanistic contributor to pathogenesis, reinforcing the importance of maintaining microbial homeostasis (Caballero-Flores et al., 2022).</w:t>
      </w:r>
    </w:p>
    <w:p w14:paraId="37D0DB1A"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 Host–Parasite Interactions: Immune Modulation and Pathophysiological Outcomes</w:t>
      </w:r>
    </w:p>
    <w:p w14:paraId="62724391" w14:textId="5031E7FB" w:rsidR="000A0220" w:rsidRPr="000A0220" w:rsidRDefault="000A0220" w:rsidP="008618E0">
      <w:pPr>
        <w:pStyle w:val="Body"/>
        <w:spacing w:line="276" w:lineRule="auto"/>
        <w:rPr>
          <w:rFonts w:ascii="Arial" w:hAnsi="Arial" w:cs="Arial"/>
          <w:b/>
          <w:bCs/>
        </w:rPr>
      </w:pPr>
      <w:r w:rsidRPr="000A0220">
        <w:rPr>
          <w:rFonts w:ascii="Arial" w:hAnsi="Arial" w:cs="Arial"/>
          <w:b/>
          <w:bCs/>
        </w:rPr>
        <w:t>3.1</w:t>
      </w:r>
      <w:r>
        <w:rPr>
          <w:rFonts w:ascii="Arial" w:hAnsi="Arial" w:cs="Arial"/>
          <w:b/>
          <w:bCs/>
        </w:rPr>
        <w:t xml:space="preserve"> </w:t>
      </w:r>
      <w:r w:rsidRPr="000A0220">
        <w:rPr>
          <w:rFonts w:ascii="Arial" w:hAnsi="Arial" w:cs="Arial"/>
          <w:b/>
          <w:bCs/>
        </w:rPr>
        <w:t>Mechanisms of Parasite Recognition by the Host Immune System</w:t>
      </w:r>
    </w:p>
    <w:p w14:paraId="54970AAF" w14:textId="77777777" w:rsidR="000A0220" w:rsidRPr="000A0220" w:rsidRDefault="000A0220" w:rsidP="008618E0">
      <w:pPr>
        <w:pStyle w:val="Body"/>
        <w:spacing w:line="276" w:lineRule="auto"/>
        <w:rPr>
          <w:rFonts w:ascii="Arial" w:hAnsi="Arial" w:cs="Arial"/>
        </w:rPr>
      </w:pPr>
      <w:r w:rsidRPr="000A0220">
        <w:rPr>
          <w:rFonts w:ascii="Arial" w:hAnsi="Arial" w:cs="Arial"/>
        </w:rPr>
        <w:t>Host recognition of parasites relies on a multilayered immune surveillance system that integrates innate and adaptive immune sensing mechanisms. Parasitic organisms, including helminths, protozoa, and ectoparasites present a wide array of pathogen-associated molecular patterns (PAMPs) and damage-associated molecular patterns (DAMPs) that are detected by host pattern recognition receptors (PRRs) such as Toll-like receptors (TLRs), C-type lectin receptors (CLRs), NOD-like receptors (NLRs), and inflammasomes (Li et al., 2021; Sousa et al., 2024). These receptors are expressed by epithelial cells, macrophages, dendritic cells, and innate lymphoid cells at barrier surfaces where parasitic encounters most commonly occur.</w:t>
      </w:r>
    </w:p>
    <w:p w14:paraId="4181C2D3" w14:textId="77777777" w:rsidR="000A0220" w:rsidRPr="000A0220" w:rsidRDefault="000A0220" w:rsidP="008618E0">
      <w:pPr>
        <w:pStyle w:val="Body"/>
        <w:spacing w:line="276" w:lineRule="auto"/>
        <w:rPr>
          <w:rFonts w:ascii="Arial" w:hAnsi="Arial" w:cs="Arial"/>
        </w:rPr>
      </w:pPr>
      <w:r w:rsidRPr="000A0220">
        <w:rPr>
          <w:rFonts w:ascii="Arial" w:hAnsi="Arial" w:cs="Arial"/>
        </w:rPr>
        <w:t>Protozoan parasites, such as Plasmodium, Leishmania, and Trypanosoma species, are often recognized through nucleic acid–sensing pathways and glycosylphosphatidylinositol (GPI) anchors, triggering pro-inflammatory cytokine production and type I interferon responses. In contrast, helminths owing to their large size and complex multicellular structure are less efficiently eliminated by classical phagocytic mechanisms (</w:t>
      </w:r>
      <w:proofErr w:type="spellStart"/>
      <w:r w:rsidRPr="000A0220">
        <w:rPr>
          <w:rFonts w:ascii="Arial" w:hAnsi="Arial" w:cs="Arial"/>
        </w:rPr>
        <w:t>Zakeri</w:t>
      </w:r>
      <w:proofErr w:type="spellEnd"/>
      <w:r w:rsidRPr="000A0220">
        <w:rPr>
          <w:rFonts w:ascii="Arial" w:hAnsi="Arial" w:cs="Arial"/>
        </w:rPr>
        <w:t xml:space="preserve"> et al., 2018). Instead, they induce tissue-derived alarmins such as IL-25, IL-33, and thymic stromal lymphopoietin (TSLP), which initiate type 2 immune responses dominated by eosinophils, mast cells, basophils, and group 2 innate lymphoid cells (ILC2s) (</w:t>
      </w:r>
      <w:proofErr w:type="spellStart"/>
      <w:r w:rsidRPr="000A0220">
        <w:rPr>
          <w:rFonts w:ascii="Arial" w:hAnsi="Arial" w:cs="Arial"/>
        </w:rPr>
        <w:t>Karaś</w:t>
      </w:r>
      <w:proofErr w:type="spellEnd"/>
      <w:r w:rsidRPr="000A0220">
        <w:rPr>
          <w:rFonts w:ascii="Arial" w:hAnsi="Arial" w:cs="Arial"/>
        </w:rPr>
        <w:t xml:space="preserve"> et al., 2019). Importantly, parasite recognition does not occur in isolation but is profoundly influenced by the surrounding microbial environment. Signals derived from the microbiome can modulate PRR expression, antigen presentation, and cytokine polarization, shaping the host’s initial immune response to parasitic invasion (Sousa et al., 2024). Thus, parasite recognition reflects a convergence of parasite-derived cues, host immune architecture, and microbiome-mediated immune conditioning.</w:t>
      </w:r>
    </w:p>
    <w:p w14:paraId="2A1BFE08"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3.2</w:t>
      </w:r>
      <w:r w:rsidRPr="000A0220">
        <w:rPr>
          <w:rFonts w:ascii="Arial" w:hAnsi="Arial" w:cs="Arial"/>
          <w:b/>
          <w:bCs/>
        </w:rPr>
        <w:tab/>
        <w:t>Parasite-Induced Immune Evasion, Suppression, and Immunomodulation</w:t>
      </w:r>
    </w:p>
    <w:p w14:paraId="0EED4988" w14:textId="77777777" w:rsidR="000A0220" w:rsidRPr="000A0220" w:rsidRDefault="000A0220" w:rsidP="008618E0">
      <w:pPr>
        <w:pStyle w:val="Body"/>
        <w:spacing w:line="276" w:lineRule="auto"/>
        <w:rPr>
          <w:rFonts w:ascii="Arial" w:hAnsi="Arial" w:cs="Arial"/>
        </w:rPr>
      </w:pPr>
      <w:r w:rsidRPr="000A0220">
        <w:rPr>
          <w:rFonts w:ascii="Arial" w:hAnsi="Arial" w:cs="Arial"/>
        </w:rPr>
        <w:t>A defining feature of parasitic infections is their capacity to evade, suppress, or actively reprogram host immune responses to ensure survival and transmission. Parasites have evolved highly sophisticated immunomodulatory strategies that target both innate and adaptive immunity. These include antigenic variation, molecular mimicry, secretion of immunomodulatory molecules, and direct interference with antigen presentation and cytokine signaling pathways (</w:t>
      </w:r>
      <w:proofErr w:type="spellStart"/>
      <w:r w:rsidRPr="000A0220">
        <w:rPr>
          <w:rFonts w:ascii="Arial" w:hAnsi="Arial" w:cs="Arial"/>
        </w:rPr>
        <w:t>Chulanetra</w:t>
      </w:r>
      <w:proofErr w:type="spellEnd"/>
      <w:r w:rsidRPr="000A0220">
        <w:rPr>
          <w:rFonts w:ascii="Arial" w:hAnsi="Arial" w:cs="Arial"/>
        </w:rPr>
        <w:t xml:space="preserve"> and </w:t>
      </w:r>
      <w:proofErr w:type="spellStart"/>
      <w:r w:rsidRPr="000A0220">
        <w:rPr>
          <w:rFonts w:ascii="Arial" w:hAnsi="Arial" w:cs="Arial"/>
        </w:rPr>
        <w:t>Chaicumpa</w:t>
      </w:r>
      <w:proofErr w:type="spellEnd"/>
      <w:r w:rsidRPr="000A0220">
        <w:rPr>
          <w:rFonts w:ascii="Arial" w:hAnsi="Arial" w:cs="Arial"/>
        </w:rPr>
        <w:t>, 2021). Many protozoan parasites evade immune clearance through rapid antigenic variation, as seen in Trypanosoma brucei, which continually alters its surface glycoproteins to escape antibody-mediated recognition (</w:t>
      </w:r>
      <w:proofErr w:type="spellStart"/>
      <w:r w:rsidRPr="000A0220">
        <w:rPr>
          <w:rFonts w:ascii="Arial" w:hAnsi="Arial" w:cs="Arial"/>
        </w:rPr>
        <w:t>Faria</w:t>
      </w:r>
      <w:proofErr w:type="spellEnd"/>
      <w:r w:rsidRPr="000A0220">
        <w:rPr>
          <w:rFonts w:ascii="Arial" w:hAnsi="Arial" w:cs="Arial"/>
        </w:rPr>
        <w:t xml:space="preserve"> et al., 2022). Others, such as Leishmania species, survive within host macrophages by inhibiting </w:t>
      </w:r>
      <w:proofErr w:type="spellStart"/>
      <w:r w:rsidRPr="000A0220">
        <w:rPr>
          <w:rFonts w:ascii="Arial" w:hAnsi="Arial" w:cs="Arial"/>
        </w:rPr>
        <w:t>phagolysosomal</w:t>
      </w:r>
      <w:proofErr w:type="spellEnd"/>
      <w:r w:rsidRPr="000A0220">
        <w:rPr>
          <w:rFonts w:ascii="Arial" w:hAnsi="Arial" w:cs="Arial"/>
        </w:rPr>
        <w:t xml:space="preserve"> maturation and </w:t>
      </w:r>
      <w:r w:rsidRPr="000A0220">
        <w:rPr>
          <w:rFonts w:ascii="Arial" w:hAnsi="Arial" w:cs="Arial"/>
        </w:rPr>
        <w:lastRenderedPageBreak/>
        <w:t>suppressing microbicidal pathways. These strategies not only promote parasite persistence but also disrupt normal immune surveillance.</w:t>
      </w:r>
    </w:p>
    <w:p w14:paraId="402AAAF7" w14:textId="77777777" w:rsidR="000A0220" w:rsidRPr="000A0220" w:rsidRDefault="000A0220" w:rsidP="008618E0">
      <w:pPr>
        <w:pStyle w:val="Body"/>
        <w:spacing w:line="276" w:lineRule="auto"/>
        <w:rPr>
          <w:rFonts w:ascii="Arial" w:hAnsi="Arial" w:cs="Arial"/>
        </w:rPr>
      </w:pPr>
      <w:r w:rsidRPr="000A0220">
        <w:rPr>
          <w:rFonts w:ascii="Arial" w:hAnsi="Arial" w:cs="Arial"/>
        </w:rPr>
        <w:t>Helminths are particularly adept at immune modulation. Rather than inducing strong inflammatory responses, they skew host immunity toward regulatory and anti-inflammatory phenotypes (White et al., 2020). Helminth-derived excretory–secretory products can induce regulatory T cells, alternatively activated macrophages (M2), and anti-inflammatory cytokines such as IL-10 and TGF-β (Ayala et al., 2023). This immunoregulatory environment dampens tissue-damaging inflammation but simultaneously allows long-term parasite persistence. Crucially, parasite-induced immunomodulation often extends beyond parasite-specific responses, broadly suppressing host immunity and altering responses to unrelated pathogens, vaccines, and inflammatory stimuli. These effects are frequently amplified or stabilized by interactions with the microbiome, further embedding parasites within the host immune regulatory network (</w:t>
      </w:r>
      <w:proofErr w:type="spellStart"/>
      <w:r w:rsidRPr="000A0220">
        <w:rPr>
          <w:rFonts w:ascii="Arial" w:hAnsi="Arial" w:cs="Arial"/>
        </w:rPr>
        <w:t>Hambrook</w:t>
      </w:r>
      <w:proofErr w:type="spellEnd"/>
      <w:r w:rsidRPr="000A0220">
        <w:rPr>
          <w:rFonts w:ascii="Arial" w:hAnsi="Arial" w:cs="Arial"/>
        </w:rPr>
        <w:t xml:space="preserve"> and </w:t>
      </w:r>
      <w:proofErr w:type="spellStart"/>
      <w:r w:rsidRPr="000A0220">
        <w:rPr>
          <w:rFonts w:ascii="Arial" w:hAnsi="Arial" w:cs="Arial"/>
        </w:rPr>
        <w:t>Hanington</w:t>
      </w:r>
      <w:proofErr w:type="spellEnd"/>
      <w:r w:rsidRPr="000A0220">
        <w:rPr>
          <w:rFonts w:ascii="Arial" w:hAnsi="Arial" w:cs="Arial"/>
        </w:rPr>
        <w:t>, 2021).</w:t>
      </w:r>
    </w:p>
    <w:p w14:paraId="3FEDA74A"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3.3</w:t>
      </w:r>
      <w:r w:rsidRPr="000A0220">
        <w:rPr>
          <w:rFonts w:ascii="Arial" w:hAnsi="Arial" w:cs="Arial"/>
          <w:b/>
          <w:bCs/>
        </w:rPr>
        <w:tab/>
        <w:t>Acute versus Chronic Parasitic Infections and Systemic Effects</w:t>
      </w:r>
    </w:p>
    <w:p w14:paraId="1B378865" w14:textId="77777777" w:rsidR="000A0220" w:rsidRPr="000A0220" w:rsidRDefault="000A0220" w:rsidP="008618E0">
      <w:pPr>
        <w:pStyle w:val="Body"/>
        <w:spacing w:line="276" w:lineRule="auto"/>
        <w:rPr>
          <w:rFonts w:ascii="Arial" w:hAnsi="Arial" w:cs="Arial"/>
        </w:rPr>
      </w:pPr>
      <w:r w:rsidRPr="000A0220">
        <w:rPr>
          <w:rFonts w:ascii="Arial" w:hAnsi="Arial" w:cs="Arial"/>
        </w:rPr>
        <w:t>The temporal dynamics of parasitic infections—acute versus chronic—have profound implications for host immune function and disease outcomes. Acute parasitic infections are typically characterized by robust immune activation, inflammation, and tissue damage aimed at rapid parasite elimination (</w:t>
      </w:r>
      <w:proofErr w:type="spellStart"/>
      <w:r w:rsidRPr="000A0220">
        <w:rPr>
          <w:rFonts w:ascii="Arial" w:hAnsi="Arial" w:cs="Arial"/>
        </w:rPr>
        <w:t>Boccardo</w:t>
      </w:r>
      <w:proofErr w:type="spellEnd"/>
      <w:r w:rsidRPr="000A0220">
        <w:rPr>
          <w:rFonts w:ascii="Arial" w:hAnsi="Arial" w:cs="Arial"/>
        </w:rPr>
        <w:t xml:space="preserve"> et al., 2025). While such responses may be effective in controlling parasite burden, they often come at the cost of collateral tissue injury and systemic inflammatory effects. In contrast, many parasitic infections transition into chronic states marked by immune tolerance rather than clearance. Chronic infections are sustained by parasite-mediated immune modulation and regulatory immune circuits that limit inflammation but permit long-term survival of the parasite. This state of controlled infection is particularly evident in helminthiasis, where parasites may persist for years or decades with relatively mild overt pathology (</w:t>
      </w:r>
      <w:proofErr w:type="spellStart"/>
      <w:r w:rsidRPr="000A0220">
        <w:rPr>
          <w:rFonts w:ascii="Arial" w:hAnsi="Arial" w:cs="Arial"/>
        </w:rPr>
        <w:t>Saftawy</w:t>
      </w:r>
      <w:proofErr w:type="spellEnd"/>
      <w:r w:rsidRPr="000A0220">
        <w:rPr>
          <w:rFonts w:ascii="Arial" w:hAnsi="Arial" w:cs="Arial"/>
        </w:rPr>
        <w:t xml:space="preserve"> et al., 2025).</w:t>
      </w:r>
    </w:p>
    <w:p w14:paraId="3C783B3F" w14:textId="77777777" w:rsidR="000A0220" w:rsidRPr="000A0220" w:rsidRDefault="000A0220" w:rsidP="008618E0">
      <w:pPr>
        <w:pStyle w:val="Body"/>
        <w:spacing w:line="276" w:lineRule="auto"/>
        <w:rPr>
          <w:rFonts w:ascii="Arial" w:hAnsi="Arial" w:cs="Arial"/>
        </w:rPr>
      </w:pPr>
      <w:r w:rsidRPr="000A0220">
        <w:rPr>
          <w:rFonts w:ascii="Arial" w:hAnsi="Arial" w:cs="Arial"/>
        </w:rPr>
        <w:t>However, chronic parasitic infections exert systemic effects that extend far beyond the site of infection. Persistent immune activation or suppression can alter hematopoiesis, metabolic regulation, and neuroimmune communication. Chronic infections have been associated with anemia, growth retardation, altered glucose and lipid metabolism, and increased susceptibility to secondary infections. In some cases, prolonged immune dysregulation contributes to fibrotic disease, cancer risk, or immune exhaustion. The balance between protective immunity and pathological inflammation is therefore not static but dynamically shaped by infection duration, parasite burden, host genetics, and environmental context—including microbiome composition and nutritional status (Singla et al., 2024).</w:t>
      </w:r>
    </w:p>
    <w:p w14:paraId="6B85AE56"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3.4</w:t>
      </w:r>
      <w:r w:rsidRPr="000A0220">
        <w:rPr>
          <w:rFonts w:ascii="Arial" w:hAnsi="Arial" w:cs="Arial"/>
          <w:b/>
          <w:bCs/>
        </w:rPr>
        <w:tab/>
        <w:t>Parasites as Drivers of Immune Plasticity and Disease Susceptibility</w:t>
      </w:r>
    </w:p>
    <w:p w14:paraId="027DF9E7" w14:textId="77777777" w:rsidR="000A0220" w:rsidRPr="000A0220" w:rsidRDefault="000A0220" w:rsidP="008618E0">
      <w:pPr>
        <w:pStyle w:val="Body"/>
        <w:spacing w:line="276" w:lineRule="auto"/>
        <w:rPr>
          <w:rFonts w:ascii="Arial" w:hAnsi="Arial" w:cs="Arial"/>
        </w:rPr>
      </w:pPr>
      <w:r w:rsidRPr="000A0220">
        <w:rPr>
          <w:rFonts w:ascii="Arial" w:hAnsi="Arial" w:cs="Arial"/>
        </w:rPr>
        <w:t>Rather than being viewed solely as pathogens, parasites are increasingly recognized as powerful drivers of immune plasticity. By persistently engaging and reshaping host immune pathways, parasites influence the development, flexibility, and long-term calibration of immune responses (</w:t>
      </w:r>
      <w:proofErr w:type="spellStart"/>
      <w:r w:rsidRPr="000A0220">
        <w:rPr>
          <w:rFonts w:ascii="Arial" w:hAnsi="Arial" w:cs="Arial"/>
        </w:rPr>
        <w:t>Elsawey</w:t>
      </w:r>
      <w:proofErr w:type="spellEnd"/>
      <w:r w:rsidRPr="000A0220">
        <w:rPr>
          <w:rFonts w:ascii="Arial" w:hAnsi="Arial" w:cs="Arial"/>
        </w:rPr>
        <w:t xml:space="preserve"> et al., 2022). This plasticity can have both protective and pathological consequences. On one hand, parasite-induced immune regulation may protect against excessive inflammation, contributing to lower prevalence of autoimmune and allergic diseases in parasite-endemic regions (Douglas et al., 2021). This observation underpins the “old friends” or hygiene hypothesis, which proposes that co-evolution with parasites and microbes has shaped immune systems that require regular regulatory input to function optimally (</w:t>
      </w:r>
      <w:proofErr w:type="spellStart"/>
      <w:r w:rsidRPr="000A0220">
        <w:rPr>
          <w:rFonts w:ascii="Arial" w:hAnsi="Arial" w:cs="Arial"/>
        </w:rPr>
        <w:t>Maizels</w:t>
      </w:r>
      <w:proofErr w:type="spellEnd"/>
      <w:r w:rsidRPr="000A0220">
        <w:rPr>
          <w:rFonts w:ascii="Arial" w:hAnsi="Arial" w:cs="Arial"/>
        </w:rPr>
        <w:t>, 2020).</w:t>
      </w:r>
    </w:p>
    <w:p w14:paraId="35E8D2AF" w14:textId="77777777" w:rsidR="000A0220" w:rsidRPr="000A0220" w:rsidRDefault="000A0220" w:rsidP="008618E0">
      <w:pPr>
        <w:pStyle w:val="Body"/>
        <w:spacing w:line="276" w:lineRule="auto"/>
        <w:rPr>
          <w:rFonts w:ascii="Arial" w:hAnsi="Arial" w:cs="Arial"/>
        </w:rPr>
      </w:pPr>
      <w:r w:rsidRPr="000A0220">
        <w:rPr>
          <w:rFonts w:ascii="Arial" w:hAnsi="Arial" w:cs="Arial"/>
        </w:rPr>
        <w:t>On the other hand, parasite-driven immune modulation can increase susceptibility to unrelated infections, impair vaccine efficacy, and exacerbate certain inflammatory or metabolic disorders under specific conditions (</w:t>
      </w:r>
      <w:proofErr w:type="spellStart"/>
      <w:r w:rsidRPr="000A0220">
        <w:rPr>
          <w:rFonts w:ascii="Arial" w:hAnsi="Arial" w:cs="Arial"/>
        </w:rPr>
        <w:t>Elsawey</w:t>
      </w:r>
      <w:proofErr w:type="spellEnd"/>
      <w:r w:rsidRPr="000A0220">
        <w:rPr>
          <w:rFonts w:ascii="Arial" w:hAnsi="Arial" w:cs="Arial"/>
        </w:rPr>
        <w:t xml:space="preserve"> et al., 2022; Santana et al., 2022). The same regulatory pathways that suppress parasite-directed immunity may blunt effective responses to viral or bacterial pathogens, particularly in individuals with dysbiosis or compromised immune systems. Thus, parasites act as ecological and immunological forces that reshape host disease susceptibility across the lifespan (Chen et al., 2021). </w:t>
      </w:r>
    </w:p>
    <w:p w14:paraId="3FE74D28"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 Competitive, Synergistic, and Regulatory Dynamics of Microbiome–Parasite Interactions</w:t>
      </w:r>
    </w:p>
    <w:p w14:paraId="2787D040"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Microbiome–parasite interactions represent a dynamic ecological interface in which microbial communities and parasitic organisms compete, cooperate, and co-regulate host immunity and metabolism. Rather than existing as independent entities, parasites encounter a pre-established microbial ecosystem that can either constrain or facilitate their survival. </w:t>
      </w:r>
      <w:r w:rsidRPr="000A0220">
        <w:rPr>
          <w:rFonts w:ascii="Arial" w:hAnsi="Arial" w:cs="Arial"/>
        </w:rPr>
        <w:lastRenderedPageBreak/>
        <w:t>Conversely, parasites act as ecological engineers capable of reshaping microbial composition, metabolic outputs, and immune signaling landscapes. These bidirectional interactions generate outcomes that reverberate across host physiology and disease susceptibility.</w:t>
      </w:r>
    </w:p>
    <w:p w14:paraId="204CDD20"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4.1</w:t>
      </w:r>
      <w:r w:rsidRPr="000A0220">
        <w:rPr>
          <w:rFonts w:ascii="Arial" w:hAnsi="Arial" w:cs="Arial"/>
          <w:b/>
          <w:bCs/>
        </w:rPr>
        <w:tab/>
        <w:t>Microbiome-Mediated Resistance or Facilitation of Parasitic Colonization</w:t>
      </w:r>
    </w:p>
    <w:p w14:paraId="0B3AD76B" w14:textId="598E2C01" w:rsidR="000A0220" w:rsidRPr="000A0220" w:rsidRDefault="000A0220" w:rsidP="008618E0">
      <w:pPr>
        <w:pStyle w:val="Body"/>
        <w:spacing w:line="276" w:lineRule="auto"/>
        <w:rPr>
          <w:rFonts w:ascii="Arial" w:hAnsi="Arial" w:cs="Arial"/>
        </w:rPr>
      </w:pPr>
      <w:r w:rsidRPr="000A0220">
        <w:rPr>
          <w:rFonts w:ascii="Arial" w:hAnsi="Arial" w:cs="Arial"/>
        </w:rPr>
        <w:t>The resident microbiota constitutes the first ecological barrier encountered by parasites, particularly within mucosal surfaces such as the gastrointestinal tract. Microbiome-mediated colonization resistance operates through multiple, overlapping mechanisms:</w:t>
      </w:r>
      <w:r w:rsidR="00BA3B8B">
        <w:rPr>
          <w:rFonts w:ascii="Arial" w:hAnsi="Arial" w:cs="Arial"/>
        </w:rPr>
        <w:t xml:space="preserve"> </w:t>
      </w:r>
      <w:r w:rsidRPr="000A0220">
        <w:rPr>
          <w:rFonts w:ascii="Arial" w:hAnsi="Arial" w:cs="Arial"/>
        </w:rPr>
        <w:t>In niche competition and resource limitation, commensal bacteria occupy attachment sites on epithelial surfaces and consume essential nutrients required for parasite establishment (Shealy et al., 2021). A diverse microbial community limits ecological space, reducing opportunities for parasite adherence and replication (Caballero-Flores et al., 2022). Reduced microbial diversity, as seen in dysbiosis, often creates vacant niches that parasites can exploit. production of antimicrobial and antiparasitic factors are carried out by certain bacterial taxa that produces metabolites, bacteriocins, reactive oxygen species, and secondary metabolites that inhibit parasite viability or impair encystation and excystation processes. Short-chain fatty acids (SCFAs), particularly butyrate, modulate epithelial defenses and local immune tone, indirectly influencing parasite survival (</w:t>
      </w:r>
      <w:proofErr w:type="spellStart"/>
      <w:r w:rsidRPr="000A0220">
        <w:rPr>
          <w:rFonts w:ascii="Arial" w:hAnsi="Arial" w:cs="Arial"/>
        </w:rPr>
        <w:t>Yoo</w:t>
      </w:r>
      <w:proofErr w:type="spellEnd"/>
      <w:r w:rsidRPr="000A0220">
        <w:rPr>
          <w:rFonts w:ascii="Arial" w:hAnsi="Arial" w:cs="Arial"/>
        </w:rPr>
        <w:t xml:space="preserve"> et al., 2020). Also, during immune priming and barrier reinforcement, microbiome primes mucosal immunity through tonic signaling via pattern recognition receptors (Caballero-Flores et al., 2022). This baseline immune activation enhances mucus production, IgA secretion, and antimicrobial peptide expression. Such immune conditioning strengthens resistance to protozoan and helminth invasion.</w:t>
      </w:r>
    </w:p>
    <w:p w14:paraId="6B66D7B8" w14:textId="77777777" w:rsidR="000A0220" w:rsidRPr="000A0220" w:rsidRDefault="000A0220" w:rsidP="008618E0">
      <w:pPr>
        <w:pStyle w:val="Body"/>
        <w:spacing w:line="276" w:lineRule="auto"/>
        <w:rPr>
          <w:rFonts w:ascii="Arial" w:hAnsi="Arial" w:cs="Arial"/>
        </w:rPr>
      </w:pPr>
      <w:r w:rsidRPr="000A0220">
        <w:rPr>
          <w:rFonts w:ascii="Arial" w:hAnsi="Arial" w:cs="Arial"/>
        </w:rPr>
        <w:t>However, microbiome effects are not uniformly protective. In some contexts, microbial communities may facilitate parasite colonization. Certain bacterial species provide metabolic substrates, alter oxygen gradients, or modulate local immune responses in ways that favor parasite persistence (</w:t>
      </w:r>
      <w:proofErr w:type="spellStart"/>
      <w:r w:rsidRPr="000A0220">
        <w:rPr>
          <w:rFonts w:ascii="Arial" w:hAnsi="Arial" w:cs="Arial"/>
        </w:rPr>
        <w:t>Yoo</w:t>
      </w:r>
      <w:proofErr w:type="spellEnd"/>
      <w:r w:rsidRPr="000A0220">
        <w:rPr>
          <w:rFonts w:ascii="Arial" w:hAnsi="Arial" w:cs="Arial"/>
        </w:rPr>
        <w:t xml:space="preserve"> et al., 2020; Shealy et al., 2021). For example, bacteria-induced inflammation can increase epithelial permeability, inadvertently enhancing parasite access to host tissues. Thus, the microbiome functions as both a defensive barrier and a potential ecological ally, depending on its composition and functional state (Xiao et al., 2025).</w:t>
      </w:r>
    </w:p>
    <w:p w14:paraId="636EA25B"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4.2</w:t>
      </w:r>
      <w:r w:rsidRPr="000A0220">
        <w:rPr>
          <w:rFonts w:ascii="Arial" w:hAnsi="Arial" w:cs="Arial"/>
          <w:b/>
          <w:bCs/>
        </w:rPr>
        <w:tab/>
        <w:t>Parasite-Driven Alterations in Microbiome Composition and Function</w:t>
      </w:r>
    </w:p>
    <w:p w14:paraId="26576848" w14:textId="77777777" w:rsidR="000A0220" w:rsidRPr="000A0220" w:rsidRDefault="000A0220" w:rsidP="008618E0">
      <w:pPr>
        <w:pStyle w:val="Body"/>
        <w:spacing w:line="276" w:lineRule="auto"/>
        <w:rPr>
          <w:rFonts w:ascii="Arial" w:hAnsi="Arial" w:cs="Arial"/>
        </w:rPr>
      </w:pPr>
      <w:r w:rsidRPr="000A0220">
        <w:rPr>
          <w:rFonts w:ascii="Arial" w:hAnsi="Arial" w:cs="Arial"/>
        </w:rPr>
        <w:t>Parasites are not passive recipients of microbial influence; they actively reshape microbial ecosystems through direct and indirect mechanisms. Parasite-induced immune polarization, particularly type 2 immune responses during helminth infections can alter antimicrobial peptide production, mucus secretion, and epithelial turnover. These changes modify microbial habitat structure and nutrient availability, leading to shifts in bacterial community composition (</w:t>
      </w:r>
      <w:proofErr w:type="spellStart"/>
      <w:r w:rsidRPr="000A0220">
        <w:rPr>
          <w:rFonts w:ascii="Arial" w:hAnsi="Arial" w:cs="Arial"/>
        </w:rPr>
        <w:t>Chulanetra</w:t>
      </w:r>
      <w:proofErr w:type="spellEnd"/>
      <w:r w:rsidRPr="000A0220">
        <w:rPr>
          <w:rFonts w:ascii="Arial" w:hAnsi="Arial" w:cs="Arial"/>
        </w:rPr>
        <w:t xml:space="preserve"> et al., 2021). Physical and structural disruption occurs when parasites disrupt epithelial integrity or alter gut motility, changing luminal flow dynamics and oxygen tension. These physical perturbations are selected for microbial taxa adapted to altered environmental conditions (Abbasi, 2025). Parasites perform metabolic reprogramming by consuming host-derived nutrients and alter bile acid metabolism, carbohydrate availability, and amino acid flux. These metabolic shifts can restructure microbial functional pathways, favoring specific fermentative or oxidative bacterial populations. Helminth infections have been associated with increased microbial diversity and enrichment of taxa linked to regulatory immune states (Sharma et al., 2025). In contrast, certain protozoan infections may reduce diversity and promote inflammatory microbial signatures.</w:t>
      </w:r>
    </w:p>
    <w:p w14:paraId="1CA29161" w14:textId="77777777" w:rsidR="00BA3B8B" w:rsidRDefault="000A0220" w:rsidP="008618E0">
      <w:pPr>
        <w:pStyle w:val="Body"/>
        <w:spacing w:line="276" w:lineRule="auto"/>
        <w:rPr>
          <w:rFonts w:ascii="Arial" w:hAnsi="Arial" w:cs="Arial"/>
          <w:b/>
          <w:bCs/>
        </w:rPr>
      </w:pPr>
      <w:r w:rsidRPr="000A0220">
        <w:rPr>
          <w:rFonts w:ascii="Arial" w:hAnsi="Arial" w:cs="Arial"/>
          <w:b/>
          <w:bCs/>
        </w:rPr>
        <w:lastRenderedPageBreak/>
        <w:t xml:space="preserve"> </w:t>
      </w:r>
      <w:r w:rsidRPr="00774FD7">
        <w:rPr>
          <w:rFonts w:ascii="Times New Roman" w:hAnsi="Times New Roman"/>
          <w:noProof/>
        </w:rPr>
        <w:drawing>
          <wp:inline distT="0" distB="0" distL="0" distR="0" wp14:anchorId="160551F9" wp14:editId="024AB205">
            <wp:extent cx="5212080" cy="3040380"/>
            <wp:effectExtent l="0" t="0" r="0" b="0"/>
            <wp:docPr id="576733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040380"/>
                    </a:xfrm>
                    <a:prstGeom prst="rect">
                      <a:avLst/>
                    </a:prstGeom>
                    <a:noFill/>
                    <a:ln>
                      <a:noFill/>
                    </a:ln>
                  </pic:spPr>
                </pic:pic>
              </a:graphicData>
            </a:graphic>
          </wp:inline>
        </w:drawing>
      </w:r>
    </w:p>
    <w:p w14:paraId="2EF98C18" w14:textId="5546EA97" w:rsidR="000A0220" w:rsidRPr="000A0220" w:rsidRDefault="000A0220" w:rsidP="008618E0">
      <w:pPr>
        <w:pStyle w:val="Body"/>
        <w:spacing w:line="276" w:lineRule="auto"/>
        <w:rPr>
          <w:rFonts w:ascii="Arial" w:hAnsi="Arial" w:cs="Arial"/>
          <w:b/>
          <w:bCs/>
        </w:rPr>
      </w:pPr>
      <w:r w:rsidRPr="000A0220">
        <w:rPr>
          <w:rFonts w:ascii="Arial" w:hAnsi="Arial" w:cs="Arial"/>
          <w:b/>
          <w:bCs/>
        </w:rPr>
        <w:t>Figure 1: Mechanistic pathways of microbiome–parasite crosstalk shaping host immunity and disease outcomes (</w:t>
      </w:r>
      <w:proofErr w:type="spellStart"/>
      <w:r w:rsidRPr="000A0220">
        <w:rPr>
          <w:rFonts w:ascii="Arial" w:hAnsi="Arial" w:cs="Arial"/>
          <w:b/>
          <w:bCs/>
        </w:rPr>
        <w:t>Chulanetra</w:t>
      </w:r>
      <w:proofErr w:type="spellEnd"/>
      <w:r w:rsidRPr="000A0220">
        <w:rPr>
          <w:rFonts w:ascii="Arial" w:hAnsi="Arial" w:cs="Arial"/>
          <w:b/>
          <w:bCs/>
        </w:rPr>
        <w:t xml:space="preserve"> et al., 2021).</w:t>
      </w:r>
    </w:p>
    <w:p w14:paraId="36804D23"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4.3</w:t>
      </w:r>
      <w:r w:rsidRPr="000A0220">
        <w:rPr>
          <w:rFonts w:ascii="Arial" w:hAnsi="Arial" w:cs="Arial"/>
          <w:b/>
          <w:bCs/>
        </w:rPr>
        <w:tab/>
        <w:t>Molecular and Metabolic Comparison Between Parasites and Microbial Communities</w:t>
      </w:r>
    </w:p>
    <w:p w14:paraId="731C0F14" w14:textId="77777777" w:rsidR="000A0220" w:rsidRPr="000A0220" w:rsidRDefault="000A0220" w:rsidP="008618E0">
      <w:pPr>
        <w:pStyle w:val="Body"/>
        <w:spacing w:line="276" w:lineRule="auto"/>
        <w:rPr>
          <w:rFonts w:ascii="Arial" w:hAnsi="Arial" w:cs="Arial"/>
        </w:rPr>
      </w:pPr>
      <w:r w:rsidRPr="000A0220">
        <w:rPr>
          <w:rFonts w:ascii="Arial" w:hAnsi="Arial" w:cs="Arial"/>
        </w:rPr>
        <w:t>Beyond ecological competition, microbiome–parasite interactions involve intricate molecular and metabolic communication networks. Metabolite exchange takes place when microbial metabolites such as SCFAs, secondary bile acids, and tryptophan derivatives influence parasite growth, differentiation, and encystation (</w:t>
      </w:r>
      <w:proofErr w:type="spellStart"/>
      <w:r w:rsidRPr="000A0220">
        <w:rPr>
          <w:rFonts w:ascii="Arial" w:hAnsi="Arial" w:cs="Arial"/>
        </w:rPr>
        <w:t>Karpe</w:t>
      </w:r>
      <w:proofErr w:type="spellEnd"/>
      <w:r w:rsidRPr="000A0220">
        <w:rPr>
          <w:rFonts w:ascii="Arial" w:hAnsi="Arial" w:cs="Arial"/>
        </w:rPr>
        <w:t xml:space="preserve"> et al., 2023). Conversely, parasite excretory–secretory products may modulate bacterial gene expression, quorum sensing, or biofilm formation. Microbiome-derived signals modulate cytokine networks that parasites exploit to maintain chronicity. For example, microbial induction of regulatory T cells may enhance helminth persistence, while </w:t>
      </w:r>
      <w:proofErr w:type="spellStart"/>
      <w:r w:rsidRPr="000A0220">
        <w:rPr>
          <w:rFonts w:ascii="Arial" w:hAnsi="Arial" w:cs="Arial"/>
        </w:rPr>
        <w:t>dysbiotic</w:t>
      </w:r>
      <w:proofErr w:type="spellEnd"/>
      <w:r w:rsidRPr="000A0220">
        <w:rPr>
          <w:rFonts w:ascii="Arial" w:hAnsi="Arial" w:cs="Arial"/>
        </w:rPr>
        <w:t xml:space="preserve"> inflammatory signals may promote protozoan pathogenicity. Emerging evidence suggests that parasites respond to microbial density cues and environmental metabolites to regulate their life cycle transitions. This indicates that parasites can sense microbial community states and adjusting developmental programs accordingly (</w:t>
      </w:r>
      <w:proofErr w:type="spellStart"/>
      <w:r w:rsidRPr="000A0220">
        <w:rPr>
          <w:rFonts w:ascii="Arial" w:hAnsi="Arial" w:cs="Arial"/>
        </w:rPr>
        <w:t>Koellsch</w:t>
      </w:r>
      <w:proofErr w:type="spellEnd"/>
      <w:r w:rsidRPr="000A0220">
        <w:rPr>
          <w:rFonts w:ascii="Arial" w:hAnsi="Arial" w:cs="Arial"/>
        </w:rPr>
        <w:t xml:space="preserve"> et al., 2024).</w:t>
      </w:r>
    </w:p>
    <w:p w14:paraId="167B6A87" w14:textId="77777777" w:rsidR="000A0220" w:rsidRPr="000A0220" w:rsidRDefault="000A0220" w:rsidP="008618E0">
      <w:pPr>
        <w:pStyle w:val="Body"/>
        <w:spacing w:line="276" w:lineRule="auto"/>
        <w:rPr>
          <w:rFonts w:ascii="Arial" w:hAnsi="Arial" w:cs="Arial"/>
        </w:rPr>
      </w:pPr>
      <w:r w:rsidRPr="000A0220">
        <w:rPr>
          <w:rFonts w:ascii="Arial" w:hAnsi="Arial" w:cs="Arial"/>
        </w:rPr>
        <w:t>Empirical studies across parasite classes highlight distinct but overlapping interaction patterns from helminths, protozoa, and gut-resident parasites (</w:t>
      </w:r>
      <w:proofErr w:type="spellStart"/>
      <w:r w:rsidRPr="000A0220">
        <w:rPr>
          <w:rFonts w:ascii="Arial" w:hAnsi="Arial" w:cs="Arial"/>
        </w:rPr>
        <w:t>Karpe</w:t>
      </w:r>
      <w:proofErr w:type="spellEnd"/>
      <w:r w:rsidRPr="000A0220">
        <w:rPr>
          <w:rFonts w:ascii="Arial" w:hAnsi="Arial" w:cs="Arial"/>
        </w:rPr>
        <w:t xml:space="preserve"> et al., 2023). Helminth infections often induce type 2 immune responses and regulatory circuits that reshape microbial composition. Experimental models demonstrate that helminth colonization can increase microbial diversity and promote expansion of bacteria associated with anti-inflammatory phenotypes (Lacob et al., 2019). In some contexts, helminths enhance colonization resistance against unrelated pathogens by modulating microbial ecology and mucosal immunity (</w:t>
      </w:r>
      <w:proofErr w:type="spellStart"/>
      <w:r w:rsidRPr="000A0220">
        <w:rPr>
          <w:rFonts w:ascii="Arial" w:hAnsi="Arial" w:cs="Arial"/>
        </w:rPr>
        <w:t>Fredensborg</w:t>
      </w:r>
      <w:proofErr w:type="spellEnd"/>
      <w:r w:rsidRPr="000A0220">
        <w:rPr>
          <w:rFonts w:ascii="Arial" w:hAnsi="Arial" w:cs="Arial"/>
        </w:rPr>
        <w:t xml:space="preserve"> et al., 2020).</w:t>
      </w:r>
    </w:p>
    <w:p w14:paraId="17B2850D" w14:textId="77777777" w:rsidR="000A0220" w:rsidRPr="000A0220" w:rsidRDefault="000A0220" w:rsidP="008618E0">
      <w:pPr>
        <w:pStyle w:val="Body"/>
        <w:spacing w:line="276" w:lineRule="auto"/>
        <w:rPr>
          <w:rFonts w:ascii="Arial" w:hAnsi="Arial" w:cs="Arial"/>
        </w:rPr>
      </w:pPr>
      <w:r w:rsidRPr="000A0220">
        <w:rPr>
          <w:rFonts w:ascii="Arial" w:hAnsi="Arial" w:cs="Arial"/>
        </w:rPr>
        <w:t>Protozoan parasites such as Giardia, Entamoeba, and Plasmodium interact differently with the microbiome. Some protozoa depend on specific bacterial taxa for optimal colonization, while others induce dysbiosis characterized by reduced diversity and increased inflammatory taxa (Feng et al., 2024). In malaria, systemic immune activation and metabolic alterations can indirectly influence gut microbial composition, linking extraintestinal parasites to distal microbiome effects (Carey et al., 2019).</w:t>
      </w:r>
    </w:p>
    <w:p w14:paraId="36A70C8E"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Commensal-like protozoa, including certain </w:t>
      </w:r>
      <w:proofErr w:type="spellStart"/>
      <w:r w:rsidRPr="000A0220">
        <w:rPr>
          <w:rFonts w:ascii="Arial" w:hAnsi="Arial" w:cs="Arial"/>
        </w:rPr>
        <w:t>Blastocystis</w:t>
      </w:r>
      <w:proofErr w:type="spellEnd"/>
      <w:r w:rsidRPr="000A0220">
        <w:rPr>
          <w:rFonts w:ascii="Arial" w:hAnsi="Arial" w:cs="Arial"/>
        </w:rPr>
        <w:t xml:space="preserve"> subtypes, have been associated with increased microbial diversity and may represent transitional forms between pathogenic and symbiotic lifestyles (</w:t>
      </w:r>
      <w:proofErr w:type="spellStart"/>
      <w:r w:rsidRPr="000A0220">
        <w:rPr>
          <w:rFonts w:ascii="Arial" w:hAnsi="Arial" w:cs="Arial"/>
        </w:rPr>
        <w:t>Beyhan</w:t>
      </w:r>
      <w:proofErr w:type="spellEnd"/>
      <w:r w:rsidRPr="000A0220">
        <w:rPr>
          <w:rFonts w:ascii="Arial" w:hAnsi="Arial" w:cs="Arial"/>
        </w:rPr>
        <w:t xml:space="preserve"> and </w:t>
      </w:r>
      <w:proofErr w:type="spellStart"/>
      <w:r w:rsidRPr="000A0220">
        <w:rPr>
          <w:rFonts w:ascii="Arial" w:hAnsi="Arial" w:cs="Arial"/>
        </w:rPr>
        <w:t>Yildiz</w:t>
      </w:r>
      <w:proofErr w:type="spellEnd"/>
      <w:r w:rsidRPr="000A0220">
        <w:rPr>
          <w:rFonts w:ascii="Arial" w:hAnsi="Arial" w:cs="Arial"/>
        </w:rPr>
        <w:t>, 2023). These observations challenge the binary classification of parasites as strictly harmful and emphasize the ecological continuum within host-associated communities (Drew et al., 2021).</w:t>
      </w:r>
    </w:p>
    <w:p w14:paraId="41996C57" w14:textId="77777777" w:rsidR="000A0220" w:rsidRPr="000A0220" w:rsidRDefault="000A0220" w:rsidP="008618E0">
      <w:pPr>
        <w:pStyle w:val="Body"/>
        <w:spacing w:line="276" w:lineRule="auto"/>
        <w:rPr>
          <w:rFonts w:ascii="Arial" w:hAnsi="Arial" w:cs="Arial"/>
        </w:rPr>
      </w:pPr>
      <w:r w:rsidRPr="000A0220">
        <w:rPr>
          <w:rFonts w:ascii="Arial" w:hAnsi="Arial" w:cs="Arial"/>
        </w:rPr>
        <w:lastRenderedPageBreak/>
        <w:t>Microbiome–parasite interactions operate along a spectrum of competition, facilitation, and regulatory co-adaptation. The microbiome can restrict parasite colonization through niche occupation and immune priming, yet under specific conditions, it can facilitate parasite persistence (</w:t>
      </w:r>
      <w:proofErr w:type="spellStart"/>
      <w:r w:rsidRPr="000A0220">
        <w:rPr>
          <w:rFonts w:ascii="Arial" w:hAnsi="Arial" w:cs="Arial"/>
        </w:rPr>
        <w:t>Aboulhoda</w:t>
      </w:r>
      <w:proofErr w:type="spellEnd"/>
      <w:r w:rsidRPr="000A0220">
        <w:rPr>
          <w:rFonts w:ascii="Arial" w:hAnsi="Arial" w:cs="Arial"/>
        </w:rPr>
        <w:t xml:space="preserve"> et al., 2024). Parasites, in turn, restructure microbial ecosystems via immune modulation, metabolic reprogramming, and habitat alteration. These bidirectional interactions generate emergent properties that influence host immunity, metabolic balance, and disease trajectories (</w:t>
      </w:r>
      <w:proofErr w:type="spellStart"/>
      <w:r w:rsidRPr="000A0220">
        <w:rPr>
          <w:rFonts w:ascii="Arial" w:hAnsi="Arial" w:cs="Arial"/>
        </w:rPr>
        <w:t>Beyhan</w:t>
      </w:r>
      <w:proofErr w:type="spellEnd"/>
      <w:r w:rsidRPr="000A0220">
        <w:rPr>
          <w:rFonts w:ascii="Arial" w:hAnsi="Arial" w:cs="Arial"/>
        </w:rPr>
        <w:t xml:space="preserve"> and </w:t>
      </w:r>
      <w:proofErr w:type="spellStart"/>
      <w:r w:rsidRPr="000A0220">
        <w:rPr>
          <w:rFonts w:ascii="Arial" w:hAnsi="Arial" w:cs="Arial"/>
        </w:rPr>
        <w:t>Yildiz</w:t>
      </w:r>
      <w:proofErr w:type="spellEnd"/>
      <w:r w:rsidRPr="000A0220">
        <w:rPr>
          <w:rFonts w:ascii="Arial" w:hAnsi="Arial" w:cs="Arial"/>
        </w:rPr>
        <w:t>, 2023; Li et al., 2024).</w:t>
      </w:r>
    </w:p>
    <w:p w14:paraId="35DE2DC2" w14:textId="1AF77941" w:rsidR="000A0220" w:rsidRPr="000A0220" w:rsidRDefault="000A0220" w:rsidP="008618E0">
      <w:pPr>
        <w:pStyle w:val="Body"/>
        <w:spacing w:line="276" w:lineRule="auto"/>
        <w:rPr>
          <w:rFonts w:ascii="Arial" w:hAnsi="Arial" w:cs="Arial"/>
          <w:b/>
          <w:bCs/>
        </w:rPr>
      </w:pPr>
      <w:r w:rsidRPr="000A0220">
        <w:rPr>
          <w:rFonts w:ascii="Arial" w:hAnsi="Arial" w:cs="Arial"/>
          <w:b/>
          <w:bCs/>
        </w:rPr>
        <w:t xml:space="preserve"> </w:t>
      </w:r>
      <w:r w:rsidRPr="00662604">
        <w:rPr>
          <w:rFonts w:ascii="Times New Roman" w:hAnsi="Times New Roman"/>
          <w:noProof/>
        </w:rPr>
        <w:drawing>
          <wp:inline distT="0" distB="0" distL="0" distR="0" wp14:anchorId="22F372C1" wp14:editId="1D829823">
            <wp:extent cx="5212080" cy="3474720"/>
            <wp:effectExtent l="0" t="0" r="0" b="0"/>
            <wp:docPr id="1612394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474720"/>
                    </a:xfrm>
                    <a:prstGeom prst="rect">
                      <a:avLst/>
                    </a:prstGeom>
                    <a:noFill/>
                    <a:ln>
                      <a:noFill/>
                    </a:ln>
                  </pic:spPr>
                </pic:pic>
              </a:graphicData>
            </a:graphic>
          </wp:inline>
        </w:drawing>
      </w:r>
    </w:p>
    <w:p w14:paraId="278E3163" w14:textId="0112DAE2" w:rsidR="000A0220" w:rsidRPr="000A0220" w:rsidRDefault="000A0220" w:rsidP="008618E0">
      <w:pPr>
        <w:pStyle w:val="Body"/>
        <w:spacing w:line="276" w:lineRule="auto"/>
        <w:rPr>
          <w:rFonts w:ascii="Arial" w:hAnsi="Arial" w:cs="Arial"/>
          <w:b/>
          <w:bCs/>
        </w:rPr>
      </w:pPr>
      <w:r w:rsidRPr="000A0220">
        <w:rPr>
          <w:rFonts w:ascii="Arial" w:hAnsi="Arial" w:cs="Arial"/>
          <w:b/>
          <w:bCs/>
        </w:rPr>
        <w:t xml:space="preserve"> Figure </w:t>
      </w:r>
      <w:r w:rsidR="00D222BD">
        <w:rPr>
          <w:rFonts w:ascii="Arial" w:hAnsi="Arial" w:cs="Arial"/>
          <w:b/>
          <w:bCs/>
        </w:rPr>
        <w:t>2</w:t>
      </w:r>
      <w:r w:rsidRPr="000A0220">
        <w:rPr>
          <w:rFonts w:ascii="Arial" w:hAnsi="Arial" w:cs="Arial"/>
          <w:b/>
          <w:bCs/>
        </w:rPr>
        <w:t>: Conceptual framework of host–microbiome–parasite interactions.</w:t>
      </w:r>
    </w:p>
    <w:p w14:paraId="15096880" w14:textId="77777777" w:rsidR="000A0220" w:rsidRPr="000A0220" w:rsidRDefault="000A0220" w:rsidP="008618E0">
      <w:pPr>
        <w:pStyle w:val="Body"/>
        <w:spacing w:line="276" w:lineRule="auto"/>
        <w:rPr>
          <w:rFonts w:ascii="Arial" w:hAnsi="Arial" w:cs="Arial"/>
          <w:i/>
          <w:iCs/>
        </w:rPr>
      </w:pPr>
      <w:r w:rsidRPr="000A0220">
        <w:rPr>
          <w:rFonts w:ascii="Arial" w:hAnsi="Arial" w:cs="Arial"/>
          <w:i/>
          <w:iCs/>
        </w:rPr>
        <w:t>The host, resident microbiome, and parasitic organisms form an interconnected ecological network that regulates immune responses, metabolic homeostasis, and disease susceptibility. The microbiome contributes to immune maturation, metabolite signaling, and colonization resistance, while parasites employ immune modulation and ecological restructuring to establish persistence. Host immune and metabolic pathways integrate signals from both communities, generating systemic outcomes that influence infectious, inflammatory, and metabolic diseases. Environmental and lifestyle factors further shape these interactions.</w:t>
      </w:r>
    </w:p>
    <w:p w14:paraId="24FABF8F"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5. Implications for Health, Disease, and Therapeutic Strategies</w:t>
      </w:r>
    </w:p>
    <w:p w14:paraId="4293883F" w14:textId="77777777" w:rsidR="000A0220" w:rsidRPr="000A0220" w:rsidRDefault="000A0220" w:rsidP="008618E0">
      <w:pPr>
        <w:pStyle w:val="Body"/>
        <w:spacing w:line="276" w:lineRule="auto"/>
        <w:rPr>
          <w:rFonts w:ascii="Arial" w:hAnsi="Arial" w:cs="Arial"/>
          <w:b/>
          <w:bCs/>
        </w:rPr>
      </w:pPr>
      <w:r w:rsidRPr="000A0220">
        <w:rPr>
          <w:rFonts w:ascii="Arial" w:hAnsi="Arial" w:cs="Arial"/>
        </w:rPr>
        <w:t>The recognition that host–microbiome–parasite interactions operate as an interconnected triadic system has profound implications for understanding disease pathogenesis and designing therapeutic interventions. Rather than viewing parasitic infections as isolated pathogenic events, this framework emphasizes systemic immune–metabolic recalibration driven by dynamic ecological interactions. Disruption at any vertex of the triangle reverberates across the entire network, influencing infectious susceptibility, inflammatory tone, and metabolic homeostasis</w:t>
      </w:r>
      <w:r w:rsidRPr="000A0220">
        <w:rPr>
          <w:rFonts w:ascii="Arial" w:hAnsi="Arial" w:cs="Arial"/>
          <w:b/>
          <w:bCs/>
        </w:rPr>
        <w:t>.</w:t>
      </w:r>
    </w:p>
    <w:p w14:paraId="30DEB4AD"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5.1</w:t>
      </w:r>
      <w:r w:rsidRPr="000A0220">
        <w:rPr>
          <w:rFonts w:ascii="Arial" w:hAnsi="Arial" w:cs="Arial"/>
          <w:b/>
          <w:bCs/>
        </w:rPr>
        <w:tab/>
        <w:t>Impact of Triadic Interactions on Infectious, Inflammatory, and Metabolic Diseases</w:t>
      </w:r>
    </w:p>
    <w:p w14:paraId="6AC617E1"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Triadic interactions significantly shape susceptibility to and outcomes of infectious diseases. A microbiome primed toward regulatory or anti-inflammatory states may attenuate immunopathology during parasitic infection but could also impair effective pathogen clearance (Yang et al., 2022). Conversely, </w:t>
      </w:r>
      <w:proofErr w:type="spellStart"/>
      <w:r w:rsidRPr="000A0220">
        <w:rPr>
          <w:rFonts w:ascii="Arial" w:hAnsi="Arial" w:cs="Arial"/>
        </w:rPr>
        <w:t>dysbiotic</w:t>
      </w:r>
      <w:proofErr w:type="spellEnd"/>
      <w:r w:rsidRPr="000A0220">
        <w:rPr>
          <w:rFonts w:ascii="Arial" w:hAnsi="Arial" w:cs="Arial"/>
        </w:rPr>
        <w:t xml:space="preserve"> inflammatory microbiomes may enhance resistance against certain parasites while increasing tissue damage.</w:t>
      </w:r>
    </w:p>
    <w:p w14:paraId="4C8EF412" w14:textId="77777777" w:rsidR="000A0220" w:rsidRPr="000A0220" w:rsidRDefault="000A0220" w:rsidP="008618E0">
      <w:pPr>
        <w:pStyle w:val="Body"/>
        <w:spacing w:line="276" w:lineRule="auto"/>
        <w:rPr>
          <w:rFonts w:ascii="Arial" w:hAnsi="Arial" w:cs="Arial"/>
        </w:rPr>
      </w:pPr>
      <w:r w:rsidRPr="000A0220">
        <w:rPr>
          <w:rFonts w:ascii="Arial" w:hAnsi="Arial" w:cs="Arial"/>
        </w:rPr>
        <w:lastRenderedPageBreak/>
        <w:t>Chronic parasitic infections can also modulate host responses to unrelated pathogens. For example, helminth-induced regulatory immune responses may dampen antiviral immunity or alter vaccine efficacy. Protozoan-induced inflammation may predispose individuals to bacterial translocation and systemic infections (</w:t>
      </w:r>
      <w:proofErr w:type="spellStart"/>
      <w:r w:rsidRPr="000A0220">
        <w:rPr>
          <w:rFonts w:ascii="Arial" w:hAnsi="Arial" w:cs="Arial"/>
        </w:rPr>
        <w:t>Akoola</w:t>
      </w:r>
      <w:proofErr w:type="spellEnd"/>
      <w:r w:rsidRPr="000A0220">
        <w:rPr>
          <w:rFonts w:ascii="Arial" w:hAnsi="Arial" w:cs="Arial"/>
        </w:rPr>
        <w:t xml:space="preserve"> et al., 2022). Thus, infection risk and severity emerge from ecological interactions rather than single-agent exposure.</w:t>
      </w:r>
    </w:p>
    <w:p w14:paraId="23362E95" w14:textId="77777777" w:rsidR="000A0220" w:rsidRPr="000A0220" w:rsidRDefault="000A0220" w:rsidP="008618E0">
      <w:pPr>
        <w:pStyle w:val="Body"/>
        <w:spacing w:line="276" w:lineRule="auto"/>
        <w:rPr>
          <w:rFonts w:ascii="Arial" w:hAnsi="Arial" w:cs="Arial"/>
        </w:rPr>
      </w:pPr>
      <w:r w:rsidRPr="000A0220">
        <w:rPr>
          <w:rFonts w:ascii="Arial" w:hAnsi="Arial" w:cs="Arial"/>
        </w:rPr>
        <w:t>Parasite-driven immune modulation intersects strongly with inflammatory disease risk. Epidemiological patterns suggest that reduced exposure to helminths and environmental microbes in industrialized settings correlates with increased prevalence of allergic and autoimmune diseases (Campbell et al., 2023). Parasite-induced expansion of regulatory T cells and alternatively activated macrophages can suppress excessive Th1- or Th17-mediated inflammation (Sharma, 2025). However, this protective effect is context dependent. In individuals with pre-existing dysbiosis or genetic predisposition, parasite infection may exacerbate mucosal inflammation or barrier dysfunction (Mooney et al., 2015; Zhao et al., 2023)</w:t>
      </w:r>
    </w:p>
    <w:p w14:paraId="70A5CE03" w14:textId="77777777" w:rsidR="000A0220" w:rsidRPr="000A0220" w:rsidRDefault="000A0220" w:rsidP="008618E0">
      <w:pPr>
        <w:pStyle w:val="Body"/>
        <w:spacing w:line="276" w:lineRule="auto"/>
        <w:rPr>
          <w:rFonts w:ascii="Arial" w:hAnsi="Arial" w:cs="Arial"/>
        </w:rPr>
      </w:pPr>
      <w:r w:rsidRPr="000A0220">
        <w:rPr>
          <w:rFonts w:ascii="Arial" w:hAnsi="Arial" w:cs="Arial"/>
        </w:rPr>
        <w:t>Microbiome-derived metabolites such as short-chain fatty acids influence insulin sensitivity, lipid metabolism, and systemic inflammation (Zhao et al., 2023). Parasites that alter microbial composition or nutrient flux can therefore indirectly impact metabolic outcomes. Helminth infections, for instance, have been associated in some experimental models with improved glucose tolerance and reduced adipose inflammation, potentially via immune-mediated metabolic reprogramming (</w:t>
      </w:r>
      <w:proofErr w:type="spellStart"/>
      <w:r w:rsidRPr="000A0220">
        <w:rPr>
          <w:rFonts w:ascii="Arial" w:hAnsi="Arial" w:cs="Arial"/>
        </w:rPr>
        <w:t>Ogunrinola</w:t>
      </w:r>
      <w:proofErr w:type="spellEnd"/>
      <w:r w:rsidRPr="000A0220">
        <w:rPr>
          <w:rFonts w:ascii="Arial" w:hAnsi="Arial" w:cs="Arial"/>
        </w:rPr>
        <w:t xml:space="preserve"> et al., 2020; Reynoso-García et al., 2022). Conversely, parasite-induced dysbiosis may promote systemic inflammation that contributes to metabolic syndrome. </w:t>
      </w:r>
    </w:p>
    <w:p w14:paraId="23DD38A9"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5.2</w:t>
      </w:r>
      <w:r w:rsidRPr="000A0220">
        <w:rPr>
          <w:rFonts w:ascii="Arial" w:hAnsi="Arial" w:cs="Arial"/>
          <w:b/>
          <w:bCs/>
        </w:rPr>
        <w:tab/>
        <w:t>Microbiome-Based Interventions in Parasitic Disease Control</w:t>
      </w:r>
    </w:p>
    <w:p w14:paraId="78D370B3" w14:textId="77777777" w:rsidR="000A0220" w:rsidRPr="000A0220" w:rsidRDefault="000A0220" w:rsidP="008618E0">
      <w:pPr>
        <w:pStyle w:val="Body"/>
        <w:spacing w:line="276" w:lineRule="auto"/>
        <w:rPr>
          <w:rFonts w:ascii="Arial" w:hAnsi="Arial" w:cs="Arial"/>
        </w:rPr>
      </w:pPr>
      <w:r w:rsidRPr="000A0220">
        <w:rPr>
          <w:rFonts w:ascii="Arial" w:hAnsi="Arial" w:cs="Arial"/>
        </w:rPr>
        <w:t>Recognition of microbiome–parasite interplay has opened avenues for microbiome-targeted therapies aimed at modifying infection outcomes.</w:t>
      </w:r>
    </w:p>
    <w:p w14:paraId="629783E7" w14:textId="77777777" w:rsidR="000A0220" w:rsidRPr="000A0220" w:rsidRDefault="000A0220" w:rsidP="008618E0">
      <w:pPr>
        <w:pStyle w:val="Body"/>
        <w:spacing w:line="276" w:lineRule="auto"/>
        <w:rPr>
          <w:rFonts w:ascii="Arial" w:hAnsi="Arial" w:cs="Arial"/>
        </w:rPr>
      </w:pPr>
      <w:r w:rsidRPr="000A0220">
        <w:rPr>
          <w:rFonts w:ascii="Arial" w:hAnsi="Arial" w:cs="Arial"/>
        </w:rPr>
        <w:t>Probiotics and Prebiotics</w:t>
      </w:r>
    </w:p>
    <w:p w14:paraId="69AC1EF0" w14:textId="77777777" w:rsidR="000A0220" w:rsidRPr="000A0220" w:rsidRDefault="000A0220" w:rsidP="008618E0">
      <w:pPr>
        <w:pStyle w:val="Body"/>
        <w:spacing w:line="276" w:lineRule="auto"/>
        <w:rPr>
          <w:rFonts w:ascii="Arial" w:hAnsi="Arial" w:cs="Arial"/>
        </w:rPr>
      </w:pPr>
      <w:r w:rsidRPr="000A0220">
        <w:rPr>
          <w:rFonts w:ascii="Arial" w:hAnsi="Arial" w:cs="Arial"/>
        </w:rPr>
        <w:t>Probiotic supplementation may enhance colonization resistance, strengthen epithelial barriers, and modulate immune responses to reduce parasite burden. Certain bacterial strains have demonstrated the capacity to inhibit protozoan adhesion or enhance mucosal immunity in experimental systems (</w:t>
      </w:r>
      <w:proofErr w:type="spellStart"/>
      <w:r w:rsidRPr="000A0220">
        <w:rPr>
          <w:rFonts w:ascii="Arial" w:hAnsi="Arial" w:cs="Arial"/>
        </w:rPr>
        <w:t>Guarner</w:t>
      </w:r>
      <w:proofErr w:type="spellEnd"/>
      <w:r w:rsidRPr="000A0220">
        <w:rPr>
          <w:rFonts w:ascii="Arial" w:hAnsi="Arial" w:cs="Arial"/>
        </w:rPr>
        <w:t xml:space="preserve"> et al., 2024). Prebiotics, by promoting beneficial microbial taxa and SCFA production, may further reinforce these protective mechanisms (</w:t>
      </w:r>
      <w:proofErr w:type="spellStart"/>
      <w:r w:rsidRPr="000A0220">
        <w:rPr>
          <w:rFonts w:ascii="Arial" w:hAnsi="Arial" w:cs="Arial"/>
        </w:rPr>
        <w:t>Guarner</w:t>
      </w:r>
      <w:proofErr w:type="spellEnd"/>
      <w:r w:rsidRPr="000A0220">
        <w:rPr>
          <w:rFonts w:ascii="Arial" w:hAnsi="Arial" w:cs="Arial"/>
        </w:rPr>
        <w:t xml:space="preserve"> et al., 2024). However, probiotic efficacy is context-specific and influenced by baseline microbiome composition, parasite species, and host immune status (You et al., 2022; Ji et al., 2023). Rational strain selection and ecological compatibility remain critical challenges.</w:t>
      </w:r>
    </w:p>
    <w:p w14:paraId="0B2BDE38" w14:textId="77777777" w:rsidR="000A0220" w:rsidRPr="000A0220" w:rsidRDefault="000A0220" w:rsidP="008618E0">
      <w:pPr>
        <w:pStyle w:val="Body"/>
        <w:spacing w:line="276" w:lineRule="auto"/>
        <w:rPr>
          <w:rFonts w:ascii="Arial" w:hAnsi="Arial" w:cs="Arial"/>
        </w:rPr>
      </w:pPr>
      <w:r w:rsidRPr="000A0220">
        <w:rPr>
          <w:rFonts w:ascii="Arial" w:hAnsi="Arial" w:cs="Arial"/>
        </w:rPr>
        <w:t>Fecal Microbiota Transplantation (FMT)</w:t>
      </w:r>
    </w:p>
    <w:p w14:paraId="2CF8B594"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Fecal microbiota transplantation represents a more comprehensive strategy to restore microbial diversity and functional capacity. While primarily established in the treatment of recurrent </w:t>
      </w:r>
      <w:proofErr w:type="spellStart"/>
      <w:r w:rsidRPr="000A0220">
        <w:rPr>
          <w:rFonts w:ascii="Arial" w:hAnsi="Arial" w:cs="Arial"/>
        </w:rPr>
        <w:t>Clostridioides</w:t>
      </w:r>
      <w:proofErr w:type="spellEnd"/>
      <w:r w:rsidRPr="000A0220">
        <w:rPr>
          <w:rFonts w:ascii="Arial" w:hAnsi="Arial" w:cs="Arial"/>
        </w:rPr>
        <w:t xml:space="preserve"> difficile infection, FMT has potential implications for parasitic diseases characterized by dysbiosis (Karimi et al., 2024; </w:t>
      </w:r>
      <w:proofErr w:type="spellStart"/>
      <w:r w:rsidRPr="000A0220">
        <w:rPr>
          <w:rFonts w:ascii="Arial" w:hAnsi="Arial" w:cs="Arial"/>
        </w:rPr>
        <w:t>Yadegar</w:t>
      </w:r>
      <w:proofErr w:type="spellEnd"/>
      <w:r w:rsidRPr="000A0220">
        <w:rPr>
          <w:rFonts w:ascii="Arial" w:hAnsi="Arial" w:cs="Arial"/>
        </w:rPr>
        <w:t xml:space="preserve"> et al., 2024). Restoration of microbial diversity may improve colonization resistance and recalibrate immune tone, potentially limiting parasite persistence or pathology. Nonetheless, safety, donor screening, and long-term ecological consequences must be carefully evaluated, particularly in parasite-endemic regions (Cha and </w:t>
      </w:r>
      <w:proofErr w:type="spellStart"/>
      <w:r w:rsidRPr="000A0220">
        <w:rPr>
          <w:rFonts w:ascii="Arial" w:hAnsi="Arial" w:cs="Arial"/>
        </w:rPr>
        <w:t>Sonu</w:t>
      </w:r>
      <w:proofErr w:type="spellEnd"/>
      <w:r w:rsidRPr="000A0220">
        <w:rPr>
          <w:rFonts w:ascii="Arial" w:hAnsi="Arial" w:cs="Arial"/>
        </w:rPr>
        <w:t>, 2025). Advances in synthetic biology and microbial consortia design raise the possibility of engineering microbial communities that resist parasite colonization or deliver antiparasitic molecules (Hou et al., 2025). Such approaches require detailed mechanistic understanding of metabolic cross-talk and ecological dynamics within the host environment.</w:t>
      </w:r>
    </w:p>
    <w:p w14:paraId="5C5AC12F" w14:textId="77777777" w:rsidR="000A0220" w:rsidRPr="000A0220" w:rsidRDefault="000A0220" w:rsidP="008618E0">
      <w:pPr>
        <w:pStyle w:val="Body"/>
        <w:spacing w:line="276" w:lineRule="auto"/>
        <w:rPr>
          <w:rFonts w:ascii="Arial" w:hAnsi="Arial" w:cs="Arial"/>
        </w:rPr>
      </w:pPr>
      <w:r w:rsidRPr="000A0220">
        <w:rPr>
          <w:rFonts w:ascii="Arial" w:hAnsi="Arial" w:cs="Arial"/>
        </w:rPr>
        <w:t>Parasite-Derived Immunomodulators as Therapeutic Candidates</w:t>
      </w:r>
    </w:p>
    <w:p w14:paraId="20B220C9"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While microbiome-based strategies aim to manipulate microbial ecology, parasite-derived molecules themselves have emerged as potential therapeutics (Chakraborty et al., 2023). Helminths secrete bioactive compounds capable of suppressing excessive inflammation and promoting tissue repair. Isolated parasite-derived proteins, glycans, and extracellular vesicles have shown immunoregulatory effects in experimental models of inflammatory bowel disease, asthma, and autoimmune disorders (Smallwood et al., 2017). These molecules may offer targeted immunomodulation without the risks associated with live parasite therapy. The therapeutic potential of parasite-derived immunomodulators lies in their </w:t>
      </w:r>
      <w:r w:rsidRPr="000A0220">
        <w:rPr>
          <w:rFonts w:ascii="Arial" w:hAnsi="Arial" w:cs="Arial"/>
        </w:rPr>
        <w:lastRenderedPageBreak/>
        <w:t>evolutionary refinement: parasites have co-evolved with host immune systems to achieve durable immune regulation without catastrophic pathology (</w:t>
      </w:r>
      <w:proofErr w:type="spellStart"/>
      <w:r w:rsidRPr="000A0220">
        <w:rPr>
          <w:rFonts w:ascii="Arial" w:hAnsi="Arial" w:cs="Arial"/>
        </w:rPr>
        <w:t>Maizels</w:t>
      </w:r>
      <w:proofErr w:type="spellEnd"/>
      <w:r w:rsidRPr="000A0220">
        <w:rPr>
          <w:rFonts w:ascii="Arial" w:hAnsi="Arial" w:cs="Arial"/>
        </w:rPr>
        <w:t xml:space="preserve"> et al., 2018). Harnessing these mechanisms could enable development of biologics that recalibrate immune responses in chronic inflammatory disease.</w:t>
      </w:r>
    </w:p>
    <w:p w14:paraId="6CA08A65"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CONCLUSION</w:t>
      </w:r>
    </w:p>
    <w:p w14:paraId="65D528C8" w14:textId="644EE921" w:rsidR="000A0220" w:rsidRPr="000A0220" w:rsidRDefault="000A0220" w:rsidP="008618E0">
      <w:pPr>
        <w:pStyle w:val="Body"/>
        <w:spacing w:line="276" w:lineRule="auto"/>
        <w:rPr>
          <w:rFonts w:ascii="Arial" w:hAnsi="Arial" w:cs="Arial"/>
        </w:rPr>
      </w:pPr>
      <w:r w:rsidRPr="000A0220">
        <w:rPr>
          <w:rFonts w:ascii="Arial" w:hAnsi="Arial" w:cs="Arial"/>
        </w:rPr>
        <w:t>The host–microbiome–parasite relationship represents a dynamic and interconnected biological network in which immune regulation, metabolic signaling, and ecological balance are continuously negotiated. Rather than functioning as isolated entities, hosts, microbial communities, and parasites engage in multidirectional interactions that shape disease susceptibility, infection outcomes, and long-term physiological adaptation. The traditional binary model of host–pathogen interaction, while foundational, is insufficient to explain the complexity of modern infectious and inflammatory diseases. This review highlighted interactions that operate along a spectrum ranging from competitive antagonism to regulatory cooperation, generating context-dependent outcomes that vary across environments, genetic backgrounds, and life stages.</w:t>
      </w:r>
      <w:r w:rsidR="008618E0">
        <w:rPr>
          <w:rFonts w:ascii="Arial" w:hAnsi="Arial" w:cs="Arial"/>
        </w:rPr>
        <w:t xml:space="preserve"> </w:t>
      </w:r>
      <w:r w:rsidRPr="000A0220">
        <w:rPr>
          <w:rFonts w:ascii="Arial" w:hAnsi="Arial" w:cs="Arial"/>
        </w:rPr>
        <w:t>Importantly, the triangular framework carries significant translational implications. Microbiome-targeted therapies, precision modulation of immune pathways, and parasite-derived immunoregulatory molecules represent emerging strategies that leverage ecological and evolutionary principles of host–microbe–parasite coadaptation. However, translating these insights into clinical practice requires deeper mechanistic understanding, multi-omics integration, and careful consideration of safety and ethical constraints.</w:t>
      </w:r>
    </w:p>
    <w:p w14:paraId="27307C73" w14:textId="3D8A80A2" w:rsidR="00790ADA" w:rsidRPr="000A0220" w:rsidRDefault="000A0220" w:rsidP="008618E0">
      <w:pPr>
        <w:pStyle w:val="Body"/>
        <w:spacing w:after="0" w:line="276" w:lineRule="auto"/>
        <w:rPr>
          <w:rFonts w:ascii="Arial" w:hAnsi="Arial" w:cs="Arial"/>
        </w:rPr>
      </w:pPr>
      <w:r w:rsidRPr="000A0220">
        <w:rPr>
          <w:rFonts w:ascii="Arial" w:hAnsi="Arial" w:cs="Arial"/>
        </w:rPr>
        <w:t>Future research must move beyond descriptive associations to mechanistic, longitudinal, and systems-level investigations capable of disentangling causality within this complex network. By embracing an integrated ecological perspective, researchers and clinicians can better understand the determinants of health and disease and develop interventions that restore balance within the host–microbiome–parasite axis.</w:t>
      </w:r>
    </w:p>
    <w:p w14:paraId="46ED8AA3" w14:textId="74C0D16D" w:rsidR="000A0220" w:rsidRDefault="000A0220" w:rsidP="008618E0">
      <w:pPr>
        <w:pStyle w:val="Body"/>
        <w:spacing w:after="0" w:line="276" w:lineRule="auto"/>
        <w:rPr>
          <w:rFonts w:ascii="Arial" w:hAnsi="Arial" w:cs="Arial"/>
          <w:b/>
          <w:bCs/>
        </w:rPr>
      </w:pPr>
    </w:p>
    <w:p w14:paraId="2B544BF7" w14:textId="77777777" w:rsidR="00C8500B" w:rsidRPr="00005ED1" w:rsidRDefault="00C8500B" w:rsidP="00C8500B">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BF312E7" w14:textId="77777777" w:rsidR="00C8500B" w:rsidRPr="00005ED1" w:rsidRDefault="00C8500B" w:rsidP="00C8500B">
      <w:pPr>
        <w:pStyle w:val="NoSpacing"/>
        <w:rPr>
          <w:rFonts w:ascii="Arial" w:hAnsi="Arial" w:cs="Arial"/>
          <w:highlight w:val="yellow"/>
        </w:rPr>
      </w:pPr>
    </w:p>
    <w:p w14:paraId="17290F66" w14:textId="77777777" w:rsidR="00C8500B" w:rsidRPr="00005ED1" w:rsidRDefault="00C8500B" w:rsidP="00C8500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1D40699D" w14:textId="77777777" w:rsidR="00C8500B" w:rsidRDefault="00C8500B" w:rsidP="00C8500B">
      <w:pPr>
        <w:pStyle w:val="NoSpacing"/>
        <w:rPr>
          <w:rFonts w:ascii="Arial" w:hAnsi="Arial" w:cs="Arial"/>
        </w:rPr>
      </w:pPr>
    </w:p>
    <w:p w14:paraId="4B20704B" w14:textId="77777777" w:rsidR="00C8500B" w:rsidRDefault="00C8500B" w:rsidP="00C8500B">
      <w:pPr>
        <w:pStyle w:val="NoSpacing"/>
        <w:rPr>
          <w:rFonts w:ascii="Arial" w:hAnsi="Arial" w:cs="Arial"/>
        </w:rPr>
      </w:pPr>
    </w:p>
    <w:p w14:paraId="3680D94B" w14:textId="77777777" w:rsidR="00C8500B" w:rsidRPr="00005ED1" w:rsidRDefault="00C8500B" w:rsidP="00C8500B">
      <w:pPr>
        <w:pStyle w:val="NoSpacing"/>
        <w:rPr>
          <w:rFonts w:ascii="Arial" w:hAnsi="Arial" w:cs="Arial"/>
        </w:rPr>
      </w:pPr>
    </w:p>
    <w:p w14:paraId="242F3AEF" w14:textId="77777777" w:rsidR="00C8500B" w:rsidRPr="000A0220" w:rsidRDefault="00C8500B" w:rsidP="008618E0">
      <w:pPr>
        <w:pStyle w:val="Body"/>
        <w:spacing w:after="0" w:line="276" w:lineRule="auto"/>
        <w:rPr>
          <w:rFonts w:ascii="Arial" w:hAnsi="Arial" w:cs="Arial"/>
          <w:b/>
          <w:bCs/>
        </w:rPr>
      </w:pPr>
    </w:p>
    <w:p w14:paraId="1E107E90" w14:textId="77777777" w:rsidR="00860000" w:rsidRDefault="00860000" w:rsidP="008618E0">
      <w:pPr>
        <w:pStyle w:val="ReferHead"/>
        <w:spacing w:after="0" w:line="276" w:lineRule="auto"/>
        <w:jc w:val="both"/>
        <w:rPr>
          <w:rFonts w:ascii="Arial" w:hAnsi="Arial" w:cs="Arial"/>
        </w:rPr>
      </w:pPr>
    </w:p>
    <w:p w14:paraId="79D412CE" w14:textId="77777777" w:rsidR="00B01FCD" w:rsidRDefault="00B01FCD" w:rsidP="008618E0">
      <w:pPr>
        <w:pStyle w:val="ReferHead"/>
        <w:spacing w:after="0" w:line="276" w:lineRule="auto"/>
        <w:jc w:val="both"/>
        <w:rPr>
          <w:rFonts w:ascii="Arial" w:hAnsi="Arial" w:cs="Arial"/>
        </w:rPr>
      </w:pPr>
      <w:r w:rsidRPr="00FB3A86">
        <w:rPr>
          <w:rFonts w:ascii="Arial" w:hAnsi="Arial" w:cs="Arial"/>
        </w:rPr>
        <w:t>References</w:t>
      </w:r>
    </w:p>
    <w:p w14:paraId="0B07D7E8" w14:textId="77777777" w:rsidR="00BA3B8B" w:rsidRDefault="00BA3B8B" w:rsidP="008618E0">
      <w:pPr>
        <w:pStyle w:val="Appendix"/>
        <w:spacing w:line="276" w:lineRule="auto"/>
        <w:jc w:val="both"/>
        <w:rPr>
          <w:b w:val="0"/>
          <w:caps w:val="0"/>
          <w:sz w:val="20"/>
        </w:rPr>
      </w:pPr>
    </w:p>
    <w:p w14:paraId="31F78629" w14:textId="611202F2" w:rsidR="00BA3B8B" w:rsidRPr="00BA3B8B" w:rsidRDefault="00BA3B8B" w:rsidP="00DF7D65">
      <w:pPr>
        <w:pStyle w:val="Appendix"/>
        <w:numPr>
          <w:ilvl w:val="0"/>
          <w:numId w:val="32"/>
        </w:numPr>
        <w:spacing w:line="276" w:lineRule="auto"/>
        <w:jc w:val="both"/>
        <w:rPr>
          <w:b w:val="0"/>
          <w:caps w:val="0"/>
          <w:sz w:val="20"/>
        </w:rPr>
      </w:pPr>
      <w:bookmarkStart w:id="1" w:name="_GoBack"/>
      <w:r w:rsidRPr="00BA3B8B">
        <w:rPr>
          <w:b w:val="0"/>
          <w:caps w:val="0"/>
          <w:sz w:val="20"/>
        </w:rPr>
        <w:t>Abbasi, E. (2025). Immunology of vector-borne diseases: the role of immunopharmacology in controlling viral and parasitic infections. BMC Infectious Diseases, 25. https://doi.org/10.1186/s12879-025-11627-6.</w:t>
      </w:r>
    </w:p>
    <w:p w14:paraId="7FE2A011"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Aboulhoda</w:t>
      </w:r>
      <w:proofErr w:type="spellEnd"/>
      <w:r w:rsidRPr="00BA3B8B">
        <w:rPr>
          <w:b w:val="0"/>
          <w:caps w:val="0"/>
          <w:sz w:val="20"/>
        </w:rPr>
        <w:t xml:space="preserve">, B., </w:t>
      </w:r>
      <w:proofErr w:type="spellStart"/>
      <w:r w:rsidRPr="00BA3B8B">
        <w:rPr>
          <w:b w:val="0"/>
          <w:caps w:val="0"/>
          <w:sz w:val="20"/>
        </w:rPr>
        <w:t>Abdelfatah</w:t>
      </w:r>
      <w:proofErr w:type="spellEnd"/>
      <w:r w:rsidRPr="00BA3B8B">
        <w:rPr>
          <w:b w:val="0"/>
          <w:caps w:val="0"/>
          <w:sz w:val="20"/>
        </w:rPr>
        <w:t xml:space="preserve">, M., El-Wakil, E., Alghamdi, M., </w:t>
      </w:r>
      <w:proofErr w:type="spellStart"/>
      <w:r w:rsidRPr="00BA3B8B">
        <w:rPr>
          <w:b w:val="0"/>
          <w:caps w:val="0"/>
          <w:sz w:val="20"/>
        </w:rPr>
        <w:t>Albadawi</w:t>
      </w:r>
      <w:proofErr w:type="spellEnd"/>
      <w:r w:rsidRPr="00BA3B8B">
        <w:rPr>
          <w:b w:val="0"/>
          <w:caps w:val="0"/>
          <w:sz w:val="20"/>
        </w:rPr>
        <w:t xml:space="preserve">, E., Hassan, F., &amp; </w:t>
      </w:r>
      <w:proofErr w:type="spellStart"/>
      <w:r w:rsidRPr="00BA3B8B">
        <w:rPr>
          <w:b w:val="0"/>
          <w:caps w:val="0"/>
          <w:sz w:val="20"/>
        </w:rPr>
        <w:t>Saftawy</w:t>
      </w:r>
      <w:proofErr w:type="spellEnd"/>
      <w:r w:rsidRPr="00BA3B8B">
        <w:rPr>
          <w:b w:val="0"/>
          <w:caps w:val="0"/>
          <w:sz w:val="20"/>
        </w:rPr>
        <w:t>, E. (2024). Microbiota-Parasite Interaction: Implication of Secretory Immunoglobulin A and P2X7 Receptor Signaling.. Discovery medicine, 36 181, 217-233 . https://doi.org/10.24976/discov.med.202436181.21.</w:t>
      </w:r>
    </w:p>
    <w:p w14:paraId="3423AFD3"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Akoolo</w:t>
      </w:r>
      <w:proofErr w:type="spellEnd"/>
      <w:r w:rsidRPr="00BA3B8B">
        <w:rPr>
          <w:b w:val="0"/>
          <w:caps w:val="0"/>
          <w:sz w:val="20"/>
        </w:rPr>
        <w:t>, L., Rocha, S., &amp; Parveen, N. (2022). Protozoan co-infections and parasite influence on the efficacy of vaccines against bacterial and viral pathogens. Frontiers in Microbiology, 13. https://doi.org/10.3389/fmicb.2022.1020029.</w:t>
      </w:r>
    </w:p>
    <w:p w14:paraId="581D1109"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Arifuzzaman</w:t>
      </w:r>
      <w:proofErr w:type="spellEnd"/>
      <w:r w:rsidRPr="00BA3B8B">
        <w:rPr>
          <w:b w:val="0"/>
          <w:caps w:val="0"/>
          <w:sz w:val="20"/>
        </w:rPr>
        <w:t xml:space="preserve">, M., Collins, N., Guo, C., &amp; </w:t>
      </w:r>
      <w:proofErr w:type="spellStart"/>
      <w:r w:rsidRPr="00BA3B8B">
        <w:rPr>
          <w:b w:val="0"/>
          <w:caps w:val="0"/>
          <w:sz w:val="20"/>
        </w:rPr>
        <w:t>Artis</w:t>
      </w:r>
      <w:proofErr w:type="spellEnd"/>
      <w:r w:rsidRPr="00BA3B8B">
        <w:rPr>
          <w:b w:val="0"/>
          <w:caps w:val="0"/>
          <w:sz w:val="20"/>
        </w:rPr>
        <w:t>, D. (2024). Nutritional regulation of microbiota-derived metabolites: Implications for immunity and inflammation.. Immunity, 57 1, 14-27 . https://doi.org/10.1016/j.immuni.2023.12.009.</w:t>
      </w:r>
    </w:p>
    <w:p w14:paraId="6E2368DF"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Ayala, A., Hsu, C., </w:t>
      </w:r>
      <w:proofErr w:type="spellStart"/>
      <w:r w:rsidRPr="00BA3B8B">
        <w:rPr>
          <w:b w:val="0"/>
          <w:caps w:val="0"/>
          <w:sz w:val="20"/>
        </w:rPr>
        <w:t>Oles</w:t>
      </w:r>
      <w:proofErr w:type="spellEnd"/>
      <w:r w:rsidRPr="00BA3B8B">
        <w:rPr>
          <w:b w:val="0"/>
          <w:caps w:val="0"/>
          <w:sz w:val="20"/>
        </w:rPr>
        <w:t xml:space="preserve">, R., Matsuo, K., Loomis, L., </w:t>
      </w:r>
      <w:proofErr w:type="spellStart"/>
      <w:r w:rsidRPr="00BA3B8B">
        <w:rPr>
          <w:b w:val="0"/>
          <w:caps w:val="0"/>
          <w:sz w:val="20"/>
        </w:rPr>
        <w:t>Buzun</w:t>
      </w:r>
      <w:proofErr w:type="spellEnd"/>
      <w:r w:rsidRPr="00BA3B8B">
        <w:rPr>
          <w:b w:val="0"/>
          <w:caps w:val="0"/>
          <w:sz w:val="20"/>
        </w:rPr>
        <w:t xml:space="preserve">, E., Terrazas, M., </w:t>
      </w:r>
      <w:proofErr w:type="spellStart"/>
      <w:r w:rsidRPr="00BA3B8B">
        <w:rPr>
          <w:b w:val="0"/>
          <w:caps w:val="0"/>
          <w:sz w:val="20"/>
        </w:rPr>
        <w:t>Gerner</w:t>
      </w:r>
      <w:proofErr w:type="spellEnd"/>
      <w:r w:rsidRPr="00BA3B8B">
        <w:rPr>
          <w:b w:val="0"/>
          <w:caps w:val="0"/>
          <w:sz w:val="20"/>
        </w:rPr>
        <w:t xml:space="preserve">, R., Lu, H., Kim, S., Zhang, Z., Park, J., </w:t>
      </w:r>
      <w:proofErr w:type="spellStart"/>
      <w:r w:rsidRPr="00BA3B8B">
        <w:rPr>
          <w:b w:val="0"/>
          <w:caps w:val="0"/>
          <w:sz w:val="20"/>
        </w:rPr>
        <w:t>Rivaud</w:t>
      </w:r>
      <w:proofErr w:type="spellEnd"/>
      <w:r w:rsidRPr="00BA3B8B">
        <w:rPr>
          <w:b w:val="0"/>
          <w:caps w:val="0"/>
          <w:sz w:val="20"/>
        </w:rPr>
        <w:t xml:space="preserve">, P., Thomson, M., Lu, L., Min, B., &amp; Chu, H. (2023). Commensal bacteria promote type I </w:t>
      </w:r>
      <w:r w:rsidRPr="00BA3B8B">
        <w:rPr>
          <w:b w:val="0"/>
          <w:caps w:val="0"/>
          <w:sz w:val="20"/>
        </w:rPr>
        <w:lastRenderedPageBreak/>
        <w:t>interferon signaling to maintain immune tolerance in mice. The Journal of Experimental Medicine, 221. https://doi.org/10.1084/jem.20230063.</w:t>
      </w:r>
    </w:p>
    <w:p w14:paraId="5F7B34B6"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Beyhan</w:t>
      </w:r>
      <w:proofErr w:type="spellEnd"/>
      <w:r w:rsidRPr="00BA3B8B">
        <w:rPr>
          <w:b w:val="0"/>
          <w:caps w:val="0"/>
          <w:sz w:val="20"/>
        </w:rPr>
        <w:t xml:space="preserve">, Y., &amp; </w:t>
      </w:r>
      <w:proofErr w:type="spellStart"/>
      <w:r w:rsidRPr="00BA3B8B">
        <w:rPr>
          <w:b w:val="0"/>
          <w:caps w:val="0"/>
          <w:sz w:val="20"/>
        </w:rPr>
        <w:t>Yıldız</w:t>
      </w:r>
      <w:proofErr w:type="spellEnd"/>
      <w:r w:rsidRPr="00BA3B8B">
        <w:rPr>
          <w:b w:val="0"/>
          <w:caps w:val="0"/>
          <w:sz w:val="20"/>
        </w:rPr>
        <w:t xml:space="preserve">, M. (2023). Microbiota and parasite relationship.. Diagnostic microbiology and infectious disease, 106 4, 115954 . https://doi.org/10.1016/j.diagmicrobio.2023.115954.Carey, M., Medlock, G., </w:t>
      </w:r>
      <w:proofErr w:type="spellStart"/>
      <w:r w:rsidRPr="00BA3B8B">
        <w:rPr>
          <w:b w:val="0"/>
          <w:caps w:val="0"/>
          <w:sz w:val="20"/>
        </w:rPr>
        <w:t>Stolarczyk</w:t>
      </w:r>
      <w:proofErr w:type="spellEnd"/>
      <w:r w:rsidRPr="00BA3B8B">
        <w:rPr>
          <w:b w:val="0"/>
          <w:caps w:val="0"/>
          <w:sz w:val="20"/>
        </w:rPr>
        <w:t xml:space="preserve">, M., Petri, W., </w:t>
      </w:r>
      <w:proofErr w:type="spellStart"/>
      <w:r w:rsidRPr="00BA3B8B">
        <w:rPr>
          <w:b w:val="0"/>
          <w:caps w:val="0"/>
          <w:sz w:val="20"/>
        </w:rPr>
        <w:t>Guler</w:t>
      </w:r>
      <w:proofErr w:type="spellEnd"/>
      <w:r w:rsidRPr="00BA3B8B">
        <w:rPr>
          <w:b w:val="0"/>
          <w:caps w:val="0"/>
          <w:sz w:val="20"/>
        </w:rPr>
        <w:t xml:space="preserve">, J., &amp; </w:t>
      </w:r>
      <w:proofErr w:type="spellStart"/>
      <w:r w:rsidRPr="00BA3B8B">
        <w:rPr>
          <w:b w:val="0"/>
          <w:caps w:val="0"/>
          <w:sz w:val="20"/>
        </w:rPr>
        <w:t>Papin</w:t>
      </w:r>
      <w:proofErr w:type="spellEnd"/>
      <w:r w:rsidRPr="00BA3B8B">
        <w:rPr>
          <w:b w:val="0"/>
          <w:caps w:val="0"/>
          <w:sz w:val="20"/>
        </w:rPr>
        <w:t xml:space="preserve">, J. (2019). Comparative analyses of parasites with a comprehensive database of genome-scale metabolic models. </w:t>
      </w:r>
      <w:proofErr w:type="spellStart"/>
      <w:r w:rsidRPr="00BA3B8B">
        <w:rPr>
          <w:b w:val="0"/>
          <w:caps w:val="0"/>
          <w:sz w:val="20"/>
        </w:rPr>
        <w:t>PLoS</w:t>
      </w:r>
      <w:proofErr w:type="spellEnd"/>
      <w:r w:rsidRPr="00BA3B8B">
        <w:rPr>
          <w:b w:val="0"/>
          <w:caps w:val="0"/>
          <w:sz w:val="20"/>
        </w:rPr>
        <w:t xml:space="preserve"> Computational Biology, 18. https://doi.org/10.1371/journal.pcbi.1009870.</w:t>
      </w:r>
    </w:p>
    <w:p w14:paraId="14A21425"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Boccardo</w:t>
      </w:r>
      <w:proofErr w:type="spellEnd"/>
      <w:r w:rsidRPr="00BA3B8B">
        <w:rPr>
          <w:b w:val="0"/>
          <w:caps w:val="0"/>
          <w:sz w:val="20"/>
        </w:rPr>
        <w:t xml:space="preserve">, S., Rodriguez, C., Gimenez, C., </w:t>
      </w:r>
      <w:proofErr w:type="spellStart"/>
      <w:r w:rsidRPr="00BA3B8B">
        <w:rPr>
          <w:b w:val="0"/>
          <w:caps w:val="0"/>
          <w:sz w:val="20"/>
        </w:rPr>
        <w:t>Furlan</w:t>
      </w:r>
      <w:proofErr w:type="spellEnd"/>
      <w:r w:rsidRPr="00BA3B8B">
        <w:rPr>
          <w:b w:val="0"/>
          <w:caps w:val="0"/>
          <w:sz w:val="20"/>
        </w:rPr>
        <w:t xml:space="preserve">, C., </w:t>
      </w:r>
      <w:proofErr w:type="spellStart"/>
      <w:r w:rsidRPr="00BA3B8B">
        <w:rPr>
          <w:b w:val="0"/>
          <w:caps w:val="0"/>
          <w:sz w:val="20"/>
        </w:rPr>
        <w:t>Abrate</w:t>
      </w:r>
      <w:proofErr w:type="spellEnd"/>
      <w:r w:rsidRPr="00BA3B8B">
        <w:rPr>
          <w:b w:val="0"/>
          <w:caps w:val="0"/>
          <w:sz w:val="20"/>
        </w:rPr>
        <w:t xml:space="preserve">, C., Almada, L., Concepción, M., Skewes-Cox, P., Rao, S., </w:t>
      </w:r>
      <w:proofErr w:type="spellStart"/>
      <w:r w:rsidRPr="00BA3B8B">
        <w:rPr>
          <w:b w:val="0"/>
          <w:caps w:val="0"/>
          <w:sz w:val="20"/>
        </w:rPr>
        <w:t>Mukdsi</w:t>
      </w:r>
      <w:proofErr w:type="spellEnd"/>
      <w:r w:rsidRPr="00BA3B8B">
        <w:rPr>
          <w:b w:val="0"/>
          <w:caps w:val="0"/>
          <w:sz w:val="20"/>
        </w:rPr>
        <w:t xml:space="preserve">, J., Montes, C., </w:t>
      </w:r>
      <w:proofErr w:type="spellStart"/>
      <w:r w:rsidRPr="00BA3B8B">
        <w:rPr>
          <w:b w:val="0"/>
          <w:caps w:val="0"/>
          <w:sz w:val="20"/>
        </w:rPr>
        <w:t>Gruppi</w:t>
      </w:r>
      <w:proofErr w:type="spellEnd"/>
      <w:r w:rsidRPr="00BA3B8B">
        <w:rPr>
          <w:b w:val="0"/>
          <w:caps w:val="0"/>
          <w:sz w:val="20"/>
        </w:rPr>
        <w:t xml:space="preserve">, A., &amp; Rodríguez, E. (2025). Dynamics of tissue repair regulatory T cells </w:t>
      </w:r>
      <w:r w:rsidRPr="00BA3B8B">
        <w:rPr>
          <w:b w:val="0"/>
          <w:caps w:val="0"/>
          <w:sz w:val="20"/>
        </w:rPr>
        <w:lastRenderedPageBreak/>
        <w:t xml:space="preserve">and damage in acute Trypanosoma </w:t>
      </w:r>
      <w:proofErr w:type="spellStart"/>
      <w:r w:rsidRPr="00BA3B8B">
        <w:rPr>
          <w:b w:val="0"/>
          <w:caps w:val="0"/>
          <w:sz w:val="20"/>
        </w:rPr>
        <w:t>cruzi</w:t>
      </w:r>
      <w:proofErr w:type="spellEnd"/>
      <w:r w:rsidRPr="00BA3B8B">
        <w:rPr>
          <w:b w:val="0"/>
          <w:caps w:val="0"/>
          <w:sz w:val="20"/>
        </w:rPr>
        <w:t xml:space="preserve"> infection. PLOS Pathogens, 21. https://doi.org/10.1371/journal.ppat.1012906.</w:t>
      </w:r>
    </w:p>
    <w:p w14:paraId="28EB83BE"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Caballero-Flores, G., Pickard, J., &amp; </w:t>
      </w:r>
      <w:proofErr w:type="spellStart"/>
      <w:r w:rsidRPr="00BA3B8B">
        <w:rPr>
          <w:b w:val="0"/>
          <w:caps w:val="0"/>
          <w:sz w:val="20"/>
        </w:rPr>
        <w:t>Núñez</w:t>
      </w:r>
      <w:proofErr w:type="spellEnd"/>
      <w:r w:rsidRPr="00BA3B8B">
        <w:rPr>
          <w:b w:val="0"/>
          <w:caps w:val="0"/>
          <w:sz w:val="20"/>
        </w:rPr>
        <w:t>, G. (2022). Microbiota-mediated colonization resistance: mechanisms and regulation. Nature Reviews Microbiology, 21, 347-360. https://doi.org/10.1038/s41579-022-00833-7.</w:t>
      </w:r>
    </w:p>
    <w:p w14:paraId="6E29E19E"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Campbell, C., </w:t>
      </w:r>
      <w:proofErr w:type="spellStart"/>
      <w:r w:rsidRPr="00BA3B8B">
        <w:rPr>
          <w:b w:val="0"/>
          <w:caps w:val="0"/>
          <w:sz w:val="20"/>
        </w:rPr>
        <w:t>Kandalgaonkar</w:t>
      </w:r>
      <w:proofErr w:type="spellEnd"/>
      <w:r w:rsidRPr="00BA3B8B">
        <w:rPr>
          <w:b w:val="0"/>
          <w:caps w:val="0"/>
          <w:sz w:val="20"/>
        </w:rPr>
        <w:t xml:space="preserve">, M., </w:t>
      </w:r>
      <w:proofErr w:type="spellStart"/>
      <w:r w:rsidRPr="00BA3B8B">
        <w:rPr>
          <w:b w:val="0"/>
          <w:caps w:val="0"/>
          <w:sz w:val="20"/>
        </w:rPr>
        <w:t>Golonka</w:t>
      </w:r>
      <w:proofErr w:type="spellEnd"/>
      <w:r w:rsidRPr="00BA3B8B">
        <w:rPr>
          <w:b w:val="0"/>
          <w:caps w:val="0"/>
          <w:sz w:val="20"/>
        </w:rPr>
        <w:t>, R., Yeoh, B., Vijay-Kumar, M., &amp; Saha, P. (2023). Crosstalk between Gut Microbiota and Host Immunity: Impact on Inflammation and Immunotherapy. Biomedicines, 11. https://doi.org/10.3390/biomedicines11020294.</w:t>
      </w:r>
    </w:p>
    <w:p w14:paraId="57C1632F"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Campbell, C., </w:t>
      </w:r>
      <w:proofErr w:type="spellStart"/>
      <w:r w:rsidRPr="00BA3B8B">
        <w:rPr>
          <w:b w:val="0"/>
          <w:caps w:val="0"/>
          <w:sz w:val="20"/>
        </w:rPr>
        <w:t>Kandalgaonkar</w:t>
      </w:r>
      <w:proofErr w:type="spellEnd"/>
      <w:r w:rsidRPr="00BA3B8B">
        <w:rPr>
          <w:b w:val="0"/>
          <w:caps w:val="0"/>
          <w:sz w:val="20"/>
        </w:rPr>
        <w:t xml:space="preserve">, M., </w:t>
      </w:r>
      <w:proofErr w:type="spellStart"/>
      <w:r w:rsidRPr="00BA3B8B">
        <w:rPr>
          <w:b w:val="0"/>
          <w:caps w:val="0"/>
          <w:sz w:val="20"/>
        </w:rPr>
        <w:t>Golonka</w:t>
      </w:r>
      <w:proofErr w:type="spellEnd"/>
      <w:r w:rsidRPr="00BA3B8B">
        <w:rPr>
          <w:b w:val="0"/>
          <w:caps w:val="0"/>
          <w:sz w:val="20"/>
        </w:rPr>
        <w:t>, R., Yeoh, B., Vijay-Kumar, M., &amp; Saha, P. (2023). Crosstalk between Gut Microbiota and Host Immunity: Impact on Inflammation and Immunotherapy. Biomedicines, 11. https://doi.org/10.3390/biomedicines11020294.</w:t>
      </w:r>
    </w:p>
    <w:p w14:paraId="3106D46C"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Cha, R., &amp; </w:t>
      </w:r>
      <w:proofErr w:type="spellStart"/>
      <w:r w:rsidRPr="00BA3B8B">
        <w:rPr>
          <w:b w:val="0"/>
          <w:caps w:val="0"/>
          <w:sz w:val="20"/>
        </w:rPr>
        <w:t>Sonu</w:t>
      </w:r>
      <w:proofErr w:type="spellEnd"/>
      <w:r w:rsidRPr="00BA3B8B">
        <w:rPr>
          <w:b w:val="0"/>
          <w:caps w:val="0"/>
          <w:sz w:val="20"/>
        </w:rPr>
        <w:t>, I. (2025). Fecal microbiota transplantation: present and future. Clinical Endoscopy, 58, 352 - 359. https://doi.org/10.5946/ce.2024.270.</w:t>
      </w:r>
    </w:p>
    <w:p w14:paraId="6E0FFE9C"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Chakraborty, P., </w:t>
      </w:r>
      <w:proofErr w:type="spellStart"/>
      <w:r w:rsidRPr="00BA3B8B">
        <w:rPr>
          <w:b w:val="0"/>
          <w:caps w:val="0"/>
          <w:sz w:val="20"/>
        </w:rPr>
        <w:t>Aravindhan</w:t>
      </w:r>
      <w:proofErr w:type="spellEnd"/>
      <w:r w:rsidRPr="00BA3B8B">
        <w:rPr>
          <w:b w:val="0"/>
          <w:caps w:val="0"/>
          <w:sz w:val="20"/>
        </w:rPr>
        <w:t>, V., &amp; Mukherjee, S. (2023). Helminth-derived biomacromolecules as therapeutic agents for treating inflammatory and infectious diseases: What lessons do we get from recent findings?. International journal of biological macromolecules, 124649 . https://doi.org/10.1016/j.ijbiomac.2023.124649.</w:t>
      </w:r>
    </w:p>
    <w:p w14:paraId="76A79C88"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Chen, J., Zhou, J., &amp; Pan, W. (2021). Immunometabolism: Towards a Better Understanding the Mechanism of Parasitic Infection and Immunity. Frontiers in Immunology, 12. https://doi.org/10.3389/fimmu.2021.661241.</w:t>
      </w:r>
    </w:p>
    <w:p w14:paraId="172D02F9"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Chulanetra</w:t>
      </w:r>
      <w:proofErr w:type="spellEnd"/>
      <w:r w:rsidRPr="00BA3B8B">
        <w:rPr>
          <w:b w:val="0"/>
          <w:caps w:val="0"/>
          <w:sz w:val="20"/>
        </w:rPr>
        <w:t xml:space="preserve">, M., &amp; </w:t>
      </w:r>
      <w:proofErr w:type="spellStart"/>
      <w:r w:rsidRPr="00BA3B8B">
        <w:rPr>
          <w:b w:val="0"/>
          <w:caps w:val="0"/>
          <w:sz w:val="20"/>
        </w:rPr>
        <w:t>Chaicumpa</w:t>
      </w:r>
      <w:proofErr w:type="spellEnd"/>
      <w:r w:rsidRPr="00BA3B8B">
        <w:rPr>
          <w:b w:val="0"/>
          <w:caps w:val="0"/>
          <w:sz w:val="20"/>
        </w:rPr>
        <w:t>, W. (2021). Revisiting the Mechanisms of Immune Evasion Employed by Human Parasites. Frontiers in Cellular and Infection Microbiology, 11. https://doi.org/10.3389/fcimb.2021.702125.</w:t>
      </w:r>
    </w:p>
    <w:p w14:paraId="34D7BDC9"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Chulanetra</w:t>
      </w:r>
      <w:proofErr w:type="spellEnd"/>
      <w:r w:rsidRPr="00BA3B8B">
        <w:rPr>
          <w:b w:val="0"/>
          <w:caps w:val="0"/>
          <w:sz w:val="20"/>
        </w:rPr>
        <w:t xml:space="preserve">, M., &amp; </w:t>
      </w:r>
      <w:proofErr w:type="spellStart"/>
      <w:r w:rsidRPr="00BA3B8B">
        <w:rPr>
          <w:b w:val="0"/>
          <w:caps w:val="0"/>
          <w:sz w:val="20"/>
        </w:rPr>
        <w:t>Chaicumpa</w:t>
      </w:r>
      <w:proofErr w:type="spellEnd"/>
      <w:r w:rsidRPr="00BA3B8B">
        <w:rPr>
          <w:b w:val="0"/>
          <w:caps w:val="0"/>
          <w:sz w:val="20"/>
        </w:rPr>
        <w:t>, W. (2021). Revisiting the Mechanisms of Immune Evasion Employed by Human Parasites. Frontiers in Cellular and Infection Microbiology, 11. https://doi.org/10.3389/fcimb.2021.702125.</w:t>
      </w:r>
    </w:p>
    <w:p w14:paraId="53988BC1"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Donald, K., &amp; Finlay, B. (2023). Early-life interactions between the microbiota and immune system: impact on immune system development and atopic disease. Nature Reviews Immunology, 23, 735 - 748. https://doi.org/10.1038/s41577-023-00874-w.</w:t>
      </w:r>
    </w:p>
    <w:p w14:paraId="1E364CBF"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Douglas, B., </w:t>
      </w:r>
      <w:proofErr w:type="spellStart"/>
      <w:r w:rsidRPr="00BA3B8B">
        <w:rPr>
          <w:b w:val="0"/>
          <w:caps w:val="0"/>
          <w:sz w:val="20"/>
        </w:rPr>
        <w:t>Oyesola</w:t>
      </w:r>
      <w:proofErr w:type="spellEnd"/>
      <w:r w:rsidRPr="00BA3B8B">
        <w:rPr>
          <w:b w:val="0"/>
          <w:caps w:val="0"/>
          <w:sz w:val="20"/>
        </w:rPr>
        <w:t xml:space="preserve">, O., Cooper, M., Posey, A., </w:t>
      </w:r>
      <w:proofErr w:type="spellStart"/>
      <w:r w:rsidRPr="00BA3B8B">
        <w:rPr>
          <w:b w:val="0"/>
          <w:caps w:val="0"/>
          <w:sz w:val="20"/>
        </w:rPr>
        <w:t>Wojno</w:t>
      </w:r>
      <w:proofErr w:type="spellEnd"/>
      <w:r w:rsidRPr="00BA3B8B">
        <w:rPr>
          <w:b w:val="0"/>
          <w:caps w:val="0"/>
          <w:sz w:val="20"/>
        </w:rPr>
        <w:t xml:space="preserve">, E., </w:t>
      </w:r>
      <w:proofErr w:type="spellStart"/>
      <w:r w:rsidRPr="00BA3B8B">
        <w:rPr>
          <w:b w:val="0"/>
          <w:caps w:val="0"/>
          <w:sz w:val="20"/>
        </w:rPr>
        <w:t>Giacomin</w:t>
      </w:r>
      <w:proofErr w:type="spellEnd"/>
      <w:r w:rsidRPr="00BA3B8B">
        <w:rPr>
          <w:b w:val="0"/>
          <w:caps w:val="0"/>
          <w:sz w:val="20"/>
        </w:rPr>
        <w:t>, P., &amp; Herbert, D. (2021). Immune System Investigation Using Parasitic Helminths.. Annual review of immunology. https://doi.org/10.1146/annurev-immunol-093019-122827.</w:t>
      </w:r>
    </w:p>
    <w:p w14:paraId="242B08DD"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Drew, G., Stevens, E., &amp; King, K. (2021). Microbial evolution and transitions along the parasite–mutualist continuum. Nature Reviews. Microbiology, 19, 623 - 638. https://doi.org/10.1038/s41579-021-00550-7.</w:t>
      </w:r>
    </w:p>
    <w:p w14:paraId="21FFD915"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Elsawey</w:t>
      </w:r>
      <w:proofErr w:type="spellEnd"/>
      <w:r w:rsidRPr="00BA3B8B">
        <w:rPr>
          <w:b w:val="0"/>
          <w:caps w:val="0"/>
          <w:sz w:val="20"/>
        </w:rPr>
        <w:t xml:space="preserve">, A., </w:t>
      </w:r>
      <w:proofErr w:type="spellStart"/>
      <w:r w:rsidRPr="00BA3B8B">
        <w:rPr>
          <w:b w:val="0"/>
          <w:caps w:val="0"/>
          <w:sz w:val="20"/>
        </w:rPr>
        <w:t>Nabih</w:t>
      </w:r>
      <w:proofErr w:type="spellEnd"/>
      <w:r w:rsidRPr="00BA3B8B">
        <w:rPr>
          <w:b w:val="0"/>
          <w:caps w:val="0"/>
          <w:sz w:val="20"/>
        </w:rPr>
        <w:t xml:space="preserve">, N., .M., G., </w:t>
      </w:r>
      <w:proofErr w:type="spellStart"/>
      <w:r w:rsidRPr="00BA3B8B">
        <w:rPr>
          <w:b w:val="0"/>
          <w:caps w:val="0"/>
          <w:sz w:val="20"/>
        </w:rPr>
        <w:t>Etewa</w:t>
      </w:r>
      <w:proofErr w:type="spellEnd"/>
      <w:r w:rsidRPr="00BA3B8B">
        <w:rPr>
          <w:b w:val="0"/>
          <w:caps w:val="0"/>
          <w:sz w:val="20"/>
        </w:rPr>
        <w:t xml:space="preserve">, S., &amp; </w:t>
      </w:r>
      <w:proofErr w:type="spellStart"/>
      <w:r w:rsidRPr="00BA3B8B">
        <w:rPr>
          <w:b w:val="0"/>
          <w:caps w:val="0"/>
          <w:sz w:val="20"/>
        </w:rPr>
        <w:t>Aboulfotouh</w:t>
      </w:r>
      <w:proofErr w:type="spellEnd"/>
      <w:r w:rsidRPr="00BA3B8B">
        <w:rPr>
          <w:b w:val="0"/>
          <w:caps w:val="0"/>
          <w:sz w:val="20"/>
        </w:rPr>
        <w:t>, N. (2022). Parasitic Infections’ Immunomodulatory Effects and Autoimmune Diseases. Egyptian Academic Journal of Biological Sciences, E. Medical Entomology &amp; Parasitology. https://doi.org/10.21608/eajbse.2022.259101.</w:t>
      </w:r>
    </w:p>
    <w:p w14:paraId="6F37C973"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Faria</w:t>
      </w:r>
      <w:proofErr w:type="spellEnd"/>
      <w:r w:rsidRPr="00BA3B8B">
        <w:rPr>
          <w:b w:val="0"/>
          <w:caps w:val="0"/>
          <w:sz w:val="20"/>
        </w:rPr>
        <w:t>, J., Briggs, E., Black, J., &amp; McCulloch, R. (2022). Emergence and adaptation of the cellular machinery directing antigenic variation in the African trypanosome.. Current opinion in microbiology, 70, 102209 . https://doi.org/10.1016/j.mib.2022.102209.</w:t>
      </w:r>
    </w:p>
    <w:p w14:paraId="4A384447"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Feng, Z., Miao, Y., Sun, X., Zheng, Y., Luo, G., Pei, J., &amp; Huang, L. (2024). Characterization of microbial community assembly in parasitic plant systems and the influence of microorganisms on metabolite accumulation in parasitic </w:t>
      </w:r>
      <w:r w:rsidRPr="00BA3B8B">
        <w:rPr>
          <w:b w:val="0"/>
          <w:caps w:val="0"/>
          <w:sz w:val="20"/>
        </w:rPr>
        <w:lastRenderedPageBreak/>
        <w:t xml:space="preserve">plants: case study of </w:t>
      </w:r>
      <w:proofErr w:type="spellStart"/>
      <w:r w:rsidRPr="00BA3B8B">
        <w:rPr>
          <w:b w:val="0"/>
          <w:caps w:val="0"/>
          <w:sz w:val="20"/>
        </w:rPr>
        <w:t>Cistanche</w:t>
      </w:r>
      <w:proofErr w:type="spellEnd"/>
      <w:r w:rsidRPr="00BA3B8B">
        <w:rPr>
          <w:b w:val="0"/>
          <w:caps w:val="0"/>
          <w:sz w:val="20"/>
        </w:rPr>
        <w:t xml:space="preserve"> salsa and </w:t>
      </w:r>
      <w:proofErr w:type="spellStart"/>
      <w:r w:rsidRPr="00BA3B8B">
        <w:rPr>
          <w:b w:val="0"/>
          <w:caps w:val="0"/>
          <w:sz w:val="20"/>
        </w:rPr>
        <w:t>Kalidium</w:t>
      </w:r>
      <w:proofErr w:type="spellEnd"/>
      <w:r w:rsidRPr="00BA3B8B">
        <w:rPr>
          <w:b w:val="0"/>
          <w:caps w:val="0"/>
          <w:sz w:val="20"/>
        </w:rPr>
        <w:t xml:space="preserve"> </w:t>
      </w:r>
      <w:proofErr w:type="spellStart"/>
      <w:r w:rsidRPr="00BA3B8B">
        <w:rPr>
          <w:b w:val="0"/>
          <w:caps w:val="0"/>
          <w:sz w:val="20"/>
        </w:rPr>
        <w:t>foliatum</w:t>
      </w:r>
      <w:proofErr w:type="spellEnd"/>
      <w:r w:rsidRPr="00BA3B8B">
        <w:rPr>
          <w:b w:val="0"/>
          <w:caps w:val="0"/>
          <w:sz w:val="20"/>
        </w:rPr>
        <w:t>. Frontiers in Microbiology, 15. https://doi.org/10.3389/fmicb.2024.1279536.</w:t>
      </w:r>
    </w:p>
    <w:p w14:paraId="6BA0293D"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Fredensborg</w:t>
      </w:r>
      <w:proofErr w:type="spellEnd"/>
      <w:r w:rsidRPr="00BA3B8B">
        <w:rPr>
          <w:b w:val="0"/>
          <w:caps w:val="0"/>
          <w:sz w:val="20"/>
        </w:rPr>
        <w:t xml:space="preserve">, B., </w:t>
      </w:r>
      <w:proofErr w:type="spellStart"/>
      <w:r w:rsidRPr="00BA3B8B">
        <w:rPr>
          <w:b w:val="0"/>
          <w:caps w:val="0"/>
          <w:sz w:val="20"/>
        </w:rPr>
        <w:t>Kálvalíð</w:t>
      </w:r>
      <w:proofErr w:type="spellEnd"/>
      <w:r w:rsidRPr="00BA3B8B">
        <w:rPr>
          <w:b w:val="0"/>
          <w:caps w:val="0"/>
          <w:sz w:val="20"/>
        </w:rPr>
        <w:t xml:space="preserve">, I., Johannesen, T., </w:t>
      </w:r>
      <w:proofErr w:type="spellStart"/>
      <w:r w:rsidRPr="00BA3B8B">
        <w:rPr>
          <w:b w:val="0"/>
          <w:caps w:val="0"/>
          <w:sz w:val="20"/>
        </w:rPr>
        <w:t>Stensvold</w:t>
      </w:r>
      <w:proofErr w:type="spellEnd"/>
      <w:r w:rsidRPr="00BA3B8B">
        <w:rPr>
          <w:b w:val="0"/>
          <w:caps w:val="0"/>
          <w:sz w:val="20"/>
        </w:rPr>
        <w:t xml:space="preserve">, C., Nielsen, H., &amp; </w:t>
      </w:r>
      <w:proofErr w:type="spellStart"/>
      <w:r w:rsidRPr="00BA3B8B">
        <w:rPr>
          <w:b w:val="0"/>
          <w:caps w:val="0"/>
          <w:sz w:val="20"/>
        </w:rPr>
        <w:t>Kapel</w:t>
      </w:r>
      <w:proofErr w:type="spellEnd"/>
      <w:r w:rsidRPr="00BA3B8B">
        <w:rPr>
          <w:b w:val="0"/>
          <w:caps w:val="0"/>
          <w:sz w:val="20"/>
        </w:rPr>
        <w:t xml:space="preserve">, C. (2020). Parasites modulate the gut-microbiome in insects: A proof-of-concept study. </w:t>
      </w:r>
      <w:proofErr w:type="spellStart"/>
      <w:r w:rsidRPr="00BA3B8B">
        <w:rPr>
          <w:b w:val="0"/>
          <w:caps w:val="0"/>
          <w:sz w:val="20"/>
        </w:rPr>
        <w:t>PLoS</w:t>
      </w:r>
      <w:proofErr w:type="spellEnd"/>
      <w:r w:rsidRPr="00BA3B8B">
        <w:rPr>
          <w:b w:val="0"/>
          <w:caps w:val="0"/>
          <w:sz w:val="20"/>
        </w:rPr>
        <w:t xml:space="preserve"> ONE, 15. https://doi.org/10.1371/journal.pone.0227561.</w:t>
      </w:r>
    </w:p>
    <w:p w14:paraId="7A5AF401"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Gasaly</w:t>
      </w:r>
      <w:proofErr w:type="spellEnd"/>
      <w:r w:rsidRPr="00BA3B8B">
        <w:rPr>
          <w:b w:val="0"/>
          <w:caps w:val="0"/>
          <w:sz w:val="20"/>
        </w:rPr>
        <w:t xml:space="preserve">, N., De Vos, P., &amp; </w:t>
      </w:r>
      <w:proofErr w:type="spellStart"/>
      <w:r w:rsidRPr="00BA3B8B">
        <w:rPr>
          <w:b w:val="0"/>
          <w:caps w:val="0"/>
          <w:sz w:val="20"/>
        </w:rPr>
        <w:t>Hermoso</w:t>
      </w:r>
      <w:proofErr w:type="spellEnd"/>
      <w:r w:rsidRPr="00BA3B8B">
        <w:rPr>
          <w:b w:val="0"/>
          <w:caps w:val="0"/>
          <w:sz w:val="20"/>
        </w:rPr>
        <w:t>, M. (2021). Impact of Bacterial Metabolites on Gut Barrier Function and Host Immunity: A Focus on Bacterial Metabolism and Its Relevance for Intestinal Inflammation. Frontiers in Immunology, 12. https://doi.org/10.3389/fimmu.2021.658354.</w:t>
      </w:r>
    </w:p>
    <w:p w14:paraId="0E4FCB78"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Ghosh, S., Whitley, C., </w:t>
      </w:r>
      <w:proofErr w:type="spellStart"/>
      <w:r w:rsidRPr="00BA3B8B">
        <w:rPr>
          <w:b w:val="0"/>
          <w:caps w:val="0"/>
          <w:sz w:val="20"/>
        </w:rPr>
        <w:t>Haribabu</w:t>
      </w:r>
      <w:proofErr w:type="spellEnd"/>
      <w:r w:rsidRPr="00BA3B8B">
        <w:rPr>
          <w:b w:val="0"/>
          <w:caps w:val="0"/>
          <w:sz w:val="20"/>
        </w:rPr>
        <w:t xml:space="preserve">, B., &amp; </w:t>
      </w:r>
      <w:proofErr w:type="spellStart"/>
      <w:r w:rsidRPr="00BA3B8B">
        <w:rPr>
          <w:b w:val="0"/>
          <w:caps w:val="0"/>
          <w:sz w:val="20"/>
        </w:rPr>
        <w:t>Jala</w:t>
      </w:r>
      <w:proofErr w:type="spellEnd"/>
      <w:r w:rsidRPr="00BA3B8B">
        <w:rPr>
          <w:b w:val="0"/>
          <w:caps w:val="0"/>
          <w:sz w:val="20"/>
        </w:rPr>
        <w:t>, V. (2021). Regulation of Intestinal Barrier Function by Microbial Metabolites. Cellular and Molecular Gastroenterology and Hepatology, 11, 1463 - 1482. https://doi.org/10.1016/j.jcmgh.2021.02.007.</w:t>
      </w:r>
    </w:p>
    <w:p w14:paraId="263D6CDF"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Guarner</w:t>
      </w:r>
      <w:proofErr w:type="spellEnd"/>
      <w:r w:rsidRPr="00BA3B8B">
        <w:rPr>
          <w:b w:val="0"/>
          <w:caps w:val="0"/>
          <w:sz w:val="20"/>
        </w:rPr>
        <w:t xml:space="preserve">, F., Sanders, M., </w:t>
      </w:r>
      <w:proofErr w:type="spellStart"/>
      <w:r w:rsidRPr="00BA3B8B">
        <w:rPr>
          <w:b w:val="0"/>
          <w:caps w:val="0"/>
          <w:sz w:val="20"/>
        </w:rPr>
        <w:t>Szajewska</w:t>
      </w:r>
      <w:proofErr w:type="spellEnd"/>
      <w:r w:rsidRPr="00BA3B8B">
        <w:rPr>
          <w:b w:val="0"/>
          <w:caps w:val="0"/>
          <w:sz w:val="20"/>
        </w:rPr>
        <w:t>, H., Cohen, H., Eliakim, R., Herrera-</w:t>
      </w:r>
      <w:proofErr w:type="spellStart"/>
      <w:r w:rsidRPr="00BA3B8B">
        <w:rPr>
          <w:b w:val="0"/>
          <w:caps w:val="0"/>
          <w:sz w:val="20"/>
        </w:rPr>
        <w:t>deGuise</w:t>
      </w:r>
      <w:proofErr w:type="spellEnd"/>
      <w:r w:rsidRPr="00BA3B8B">
        <w:rPr>
          <w:b w:val="0"/>
          <w:caps w:val="0"/>
          <w:sz w:val="20"/>
        </w:rPr>
        <w:t xml:space="preserve">, C., </w:t>
      </w:r>
      <w:proofErr w:type="spellStart"/>
      <w:r w:rsidRPr="00BA3B8B">
        <w:rPr>
          <w:b w:val="0"/>
          <w:caps w:val="0"/>
          <w:sz w:val="20"/>
        </w:rPr>
        <w:t>Karakan</w:t>
      </w:r>
      <w:proofErr w:type="spellEnd"/>
      <w:r w:rsidRPr="00BA3B8B">
        <w:rPr>
          <w:b w:val="0"/>
          <w:caps w:val="0"/>
          <w:sz w:val="20"/>
        </w:rPr>
        <w:t xml:space="preserve">, T., </w:t>
      </w:r>
      <w:proofErr w:type="spellStart"/>
      <w:r w:rsidRPr="00BA3B8B">
        <w:rPr>
          <w:b w:val="0"/>
          <w:caps w:val="0"/>
          <w:sz w:val="20"/>
        </w:rPr>
        <w:t>Merenstein</w:t>
      </w:r>
      <w:proofErr w:type="spellEnd"/>
      <w:r w:rsidRPr="00BA3B8B">
        <w:rPr>
          <w:b w:val="0"/>
          <w:caps w:val="0"/>
          <w:sz w:val="20"/>
        </w:rPr>
        <w:t xml:space="preserve">, D., </w:t>
      </w:r>
      <w:proofErr w:type="spellStart"/>
      <w:r w:rsidRPr="00BA3B8B">
        <w:rPr>
          <w:b w:val="0"/>
          <w:caps w:val="0"/>
          <w:sz w:val="20"/>
        </w:rPr>
        <w:t>Piscoya</w:t>
      </w:r>
      <w:proofErr w:type="spellEnd"/>
      <w:r w:rsidRPr="00BA3B8B">
        <w:rPr>
          <w:b w:val="0"/>
          <w:caps w:val="0"/>
          <w:sz w:val="20"/>
        </w:rPr>
        <w:t xml:space="preserve">, A., Ramakrishna, B., </w:t>
      </w:r>
      <w:proofErr w:type="spellStart"/>
      <w:r w:rsidRPr="00BA3B8B">
        <w:rPr>
          <w:b w:val="0"/>
          <w:caps w:val="0"/>
          <w:sz w:val="20"/>
        </w:rPr>
        <w:t>Salminen</w:t>
      </w:r>
      <w:proofErr w:type="spellEnd"/>
      <w:r w:rsidRPr="00BA3B8B">
        <w:rPr>
          <w:b w:val="0"/>
          <w:caps w:val="0"/>
          <w:sz w:val="20"/>
        </w:rPr>
        <w:t xml:space="preserve">, S., &amp; </w:t>
      </w:r>
      <w:proofErr w:type="spellStart"/>
      <w:r w:rsidRPr="00BA3B8B">
        <w:rPr>
          <w:b w:val="0"/>
          <w:caps w:val="0"/>
          <w:sz w:val="20"/>
        </w:rPr>
        <w:t>Melberg</w:t>
      </w:r>
      <w:proofErr w:type="spellEnd"/>
      <w:r w:rsidRPr="00BA3B8B">
        <w:rPr>
          <w:b w:val="0"/>
          <w:caps w:val="0"/>
          <w:sz w:val="20"/>
        </w:rPr>
        <w:t xml:space="preserve">, J. (2024). World Gastroenterology </w:t>
      </w:r>
      <w:proofErr w:type="spellStart"/>
      <w:r w:rsidRPr="00BA3B8B">
        <w:rPr>
          <w:b w:val="0"/>
          <w:caps w:val="0"/>
          <w:sz w:val="20"/>
        </w:rPr>
        <w:t>Organisation</w:t>
      </w:r>
      <w:proofErr w:type="spellEnd"/>
      <w:r w:rsidRPr="00BA3B8B">
        <w:rPr>
          <w:b w:val="0"/>
          <w:caps w:val="0"/>
          <w:sz w:val="20"/>
        </w:rPr>
        <w:t xml:space="preserve"> Global Guidelines: Probiotics and Prebiotics.. Journal of clinical gastroenterology, 58 6, 533-553 . https://doi.org/10.1097/mcg.0000000000002002.</w:t>
      </w:r>
    </w:p>
    <w:p w14:paraId="1D867C48"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Gupta, V., Paul, S., &amp; Dutta, C. (2017). Geography, Ethnicity or Subsistence-Specific Variations in Human Microbiome Composition and Diversity. Frontiers in Microbiology, 8. https://doi.org/10.3389/fmicb.2017.01162. </w:t>
      </w:r>
      <w:proofErr w:type="spellStart"/>
      <w:r w:rsidRPr="00BA3B8B">
        <w:rPr>
          <w:b w:val="0"/>
          <w:caps w:val="0"/>
          <w:sz w:val="20"/>
        </w:rPr>
        <w:t>Yadegar</w:t>
      </w:r>
      <w:proofErr w:type="spellEnd"/>
      <w:r w:rsidRPr="00BA3B8B">
        <w:rPr>
          <w:b w:val="0"/>
          <w:caps w:val="0"/>
          <w:sz w:val="20"/>
        </w:rPr>
        <w:t>, A., Bar-</w:t>
      </w:r>
      <w:proofErr w:type="spellStart"/>
      <w:r w:rsidRPr="00BA3B8B">
        <w:rPr>
          <w:b w:val="0"/>
          <w:caps w:val="0"/>
          <w:sz w:val="20"/>
        </w:rPr>
        <w:t>Yoseph</w:t>
      </w:r>
      <w:proofErr w:type="spellEnd"/>
      <w:r w:rsidRPr="00BA3B8B">
        <w:rPr>
          <w:b w:val="0"/>
          <w:caps w:val="0"/>
          <w:sz w:val="20"/>
        </w:rPr>
        <w:t xml:space="preserve">, H., Monaghan, T., </w:t>
      </w:r>
      <w:proofErr w:type="spellStart"/>
      <w:r w:rsidRPr="00BA3B8B">
        <w:rPr>
          <w:b w:val="0"/>
          <w:caps w:val="0"/>
          <w:sz w:val="20"/>
        </w:rPr>
        <w:t>Pakpour</w:t>
      </w:r>
      <w:proofErr w:type="spellEnd"/>
      <w:r w:rsidRPr="00BA3B8B">
        <w:rPr>
          <w:b w:val="0"/>
          <w:caps w:val="0"/>
          <w:sz w:val="20"/>
        </w:rPr>
        <w:t xml:space="preserve">, S., Severino, A., </w:t>
      </w:r>
      <w:proofErr w:type="spellStart"/>
      <w:r w:rsidRPr="00BA3B8B">
        <w:rPr>
          <w:b w:val="0"/>
          <w:caps w:val="0"/>
          <w:sz w:val="20"/>
        </w:rPr>
        <w:t>Kuijper</w:t>
      </w:r>
      <w:proofErr w:type="spellEnd"/>
      <w:r w:rsidRPr="00BA3B8B">
        <w:rPr>
          <w:b w:val="0"/>
          <w:caps w:val="0"/>
          <w:sz w:val="20"/>
        </w:rPr>
        <w:t xml:space="preserve">, E., Smits, W., </w:t>
      </w:r>
      <w:proofErr w:type="spellStart"/>
      <w:r w:rsidRPr="00BA3B8B">
        <w:rPr>
          <w:b w:val="0"/>
          <w:caps w:val="0"/>
          <w:sz w:val="20"/>
        </w:rPr>
        <w:t>Terveer</w:t>
      </w:r>
      <w:proofErr w:type="spellEnd"/>
      <w:r w:rsidRPr="00BA3B8B">
        <w:rPr>
          <w:b w:val="0"/>
          <w:caps w:val="0"/>
          <w:sz w:val="20"/>
        </w:rPr>
        <w:t xml:space="preserve">, E., Neupane, S., </w:t>
      </w:r>
      <w:proofErr w:type="spellStart"/>
      <w:r w:rsidRPr="00BA3B8B">
        <w:rPr>
          <w:b w:val="0"/>
          <w:caps w:val="0"/>
          <w:sz w:val="20"/>
        </w:rPr>
        <w:t>Nabavi</w:t>
      </w:r>
      <w:proofErr w:type="spellEnd"/>
      <w:r w:rsidRPr="00BA3B8B">
        <w:rPr>
          <w:b w:val="0"/>
          <w:caps w:val="0"/>
          <w:sz w:val="20"/>
        </w:rPr>
        <w:t xml:space="preserve">-Rad, A., Sadeghi, J., </w:t>
      </w:r>
      <w:proofErr w:type="spellStart"/>
      <w:r w:rsidRPr="00BA3B8B">
        <w:rPr>
          <w:b w:val="0"/>
          <w:caps w:val="0"/>
          <w:sz w:val="20"/>
        </w:rPr>
        <w:t>Cammarota</w:t>
      </w:r>
      <w:proofErr w:type="spellEnd"/>
      <w:r w:rsidRPr="00BA3B8B">
        <w:rPr>
          <w:b w:val="0"/>
          <w:caps w:val="0"/>
          <w:sz w:val="20"/>
        </w:rPr>
        <w:t xml:space="preserve">, G., </w:t>
      </w:r>
      <w:proofErr w:type="spellStart"/>
      <w:r w:rsidRPr="00BA3B8B">
        <w:rPr>
          <w:b w:val="0"/>
          <w:caps w:val="0"/>
          <w:sz w:val="20"/>
        </w:rPr>
        <w:t>Ianiro</w:t>
      </w:r>
      <w:proofErr w:type="spellEnd"/>
      <w:r w:rsidRPr="00BA3B8B">
        <w:rPr>
          <w:b w:val="0"/>
          <w:caps w:val="0"/>
          <w:sz w:val="20"/>
        </w:rPr>
        <w:t>, G., Nap-Hill, E., Leung, D., Wong, K., &amp; Kao, D. (2024). Fecal microbiota transplantation: current challenges and future landscapes. Clinical Microbiology Reviews, 37. https://doi.org/10.1128/cmr.00060-22.</w:t>
      </w:r>
    </w:p>
    <w:p w14:paraId="4B5AA4C1"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Hagan, T., Cortese, M., </w:t>
      </w:r>
      <w:proofErr w:type="spellStart"/>
      <w:r w:rsidRPr="00BA3B8B">
        <w:rPr>
          <w:b w:val="0"/>
          <w:caps w:val="0"/>
          <w:sz w:val="20"/>
        </w:rPr>
        <w:t>Rouphael</w:t>
      </w:r>
      <w:proofErr w:type="spellEnd"/>
      <w:r w:rsidRPr="00BA3B8B">
        <w:rPr>
          <w:b w:val="0"/>
          <w:caps w:val="0"/>
          <w:sz w:val="20"/>
        </w:rPr>
        <w:t xml:space="preserve">, N., Boudreau, C., Linde, C., </w:t>
      </w:r>
      <w:proofErr w:type="spellStart"/>
      <w:r w:rsidRPr="00BA3B8B">
        <w:rPr>
          <w:b w:val="0"/>
          <w:caps w:val="0"/>
          <w:sz w:val="20"/>
        </w:rPr>
        <w:t>Maddur</w:t>
      </w:r>
      <w:proofErr w:type="spellEnd"/>
      <w:r w:rsidRPr="00BA3B8B">
        <w:rPr>
          <w:b w:val="0"/>
          <w:caps w:val="0"/>
          <w:sz w:val="20"/>
        </w:rPr>
        <w:t xml:space="preserve">, M., Das, J., Wang, H., Guthmiller, J., Zheng, N., Huang, M., </w:t>
      </w:r>
      <w:proofErr w:type="spellStart"/>
      <w:r w:rsidRPr="00BA3B8B">
        <w:rPr>
          <w:b w:val="0"/>
          <w:caps w:val="0"/>
          <w:sz w:val="20"/>
        </w:rPr>
        <w:t>Uphadhyay</w:t>
      </w:r>
      <w:proofErr w:type="spellEnd"/>
      <w:r w:rsidRPr="00BA3B8B">
        <w:rPr>
          <w:b w:val="0"/>
          <w:caps w:val="0"/>
          <w:sz w:val="20"/>
        </w:rPr>
        <w:t xml:space="preserve">, A., </w:t>
      </w:r>
      <w:proofErr w:type="spellStart"/>
      <w:r w:rsidRPr="00BA3B8B">
        <w:rPr>
          <w:b w:val="0"/>
          <w:caps w:val="0"/>
          <w:sz w:val="20"/>
        </w:rPr>
        <w:t>Gardinassi</w:t>
      </w:r>
      <w:proofErr w:type="spellEnd"/>
      <w:r w:rsidRPr="00BA3B8B">
        <w:rPr>
          <w:b w:val="0"/>
          <w:caps w:val="0"/>
          <w:sz w:val="20"/>
        </w:rPr>
        <w:t xml:space="preserve">, L., </w:t>
      </w:r>
      <w:proofErr w:type="spellStart"/>
      <w:r w:rsidRPr="00BA3B8B">
        <w:rPr>
          <w:b w:val="0"/>
          <w:caps w:val="0"/>
          <w:sz w:val="20"/>
        </w:rPr>
        <w:t>Petitdemange</w:t>
      </w:r>
      <w:proofErr w:type="spellEnd"/>
      <w:r w:rsidRPr="00BA3B8B">
        <w:rPr>
          <w:b w:val="0"/>
          <w:caps w:val="0"/>
          <w:sz w:val="20"/>
        </w:rPr>
        <w:t xml:space="preserve">, C., McCullough, M., Johnson, S., Gill, K., </w:t>
      </w:r>
      <w:proofErr w:type="spellStart"/>
      <w:r w:rsidRPr="00BA3B8B">
        <w:rPr>
          <w:b w:val="0"/>
          <w:caps w:val="0"/>
          <w:sz w:val="20"/>
        </w:rPr>
        <w:t>Cervasi</w:t>
      </w:r>
      <w:proofErr w:type="spellEnd"/>
      <w:r w:rsidRPr="00BA3B8B">
        <w:rPr>
          <w:b w:val="0"/>
          <w:caps w:val="0"/>
          <w:sz w:val="20"/>
        </w:rPr>
        <w:t xml:space="preserve">, B., Zou, J., </w:t>
      </w:r>
      <w:proofErr w:type="spellStart"/>
      <w:r w:rsidRPr="00BA3B8B">
        <w:rPr>
          <w:b w:val="0"/>
          <w:caps w:val="0"/>
          <w:sz w:val="20"/>
        </w:rPr>
        <w:t>Bretin</w:t>
      </w:r>
      <w:proofErr w:type="spellEnd"/>
      <w:r w:rsidRPr="00BA3B8B">
        <w:rPr>
          <w:b w:val="0"/>
          <w:caps w:val="0"/>
          <w:sz w:val="20"/>
        </w:rPr>
        <w:t xml:space="preserve">, A., Hahn, M., Gewirtz, A., </w:t>
      </w:r>
      <w:proofErr w:type="spellStart"/>
      <w:r w:rsidRPr="00BA3B8B">
        <w:rPr>
          <w:b w:val="0"/>
          <w:caps w:val="0"/>
          <w:sz w:val="20"/>
        </w:rPr>
        <w:t>Bosinger</w:t>
      </w:r>
      <w:proofErr w:type="spellEnd"/>
      <w:r w:rsidRPr="00BA3B8B">
        <w:rPr>
          <w:b w:val="0"/>
          <w:caps w:val="0"/>
          <w:sz w:val="20"/>
        </w:rPr>
        <w:t xml:space="preserve">, S., Wilson, P., Li, S., Alter, G., Khurana, S., Golding, </w:t>
      </w:r>
      <w:r w:rsidRPr="00BA3B8B">
        <w:rPr>
          <w:b w:val="0"/>
          <w:caps w:val="0"/>
          <w:sz w:val="20"/>
        </w:rPr>
        <w:lastRenderedPageBreak/>
        <w:t xml:space="preserve">H., &amp; </w:t>
      </w:r>
      <w:proofErr w:type="spellStart"/>
      <w:r w:rsidRPr="00BA3B8B">
        <w:rPr>
          <w:b w:val="0"/>
          <w:caps w:val="0"/>
          <w:sz w:val="20"/>
        </w:rPr>
        <w:t>Pulendran</w:t>
      </w:r>
      <w:proofErr w:type="spellEnd"/>
      <w:r w:rsidRPr="00BA3B8B">
        <w:rPr>
          <w:b w:val="0"/>
          <w:caps w:val="0"/>
          <w:sz w:val="20"/>
        </w:rPr>
        <w:t>, B. (2019). Antibiotics-Driven Gut Microbiome Perturbation Alters Immunity to Vaccines in Humans. Cell, 178, 1313-1328.e13. https://doi.org/10.1016/j.cell.2019.08.010.</w:t>
      </w:r>
    </w:p>
    <w:p w14:paraId="6F6F6EB4"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Hambrook</w:t>
      </w:r>
      <w:proofErr w:type="spellEnd"/>
      <w:r w:rsidRPr="00BA3B8B">
        <w:rPr>
          <w:b w:val="0"/>
          <w:caps w:val="0"/>
          <w:sz w:val="20"/>
        </w:rPr>
        <w:t xml:space="preserve">, J., &amp; </w:t>
      </w:r>
      <w:proofErr w:type="spellStart"/>
      <w:r w:rsidRPr="00BA3B8B">
        <w:rPr>
          <w:b w:val="0"/>
          <w:caps w:val="0"/>
          <w:sz w:val="20"/>
        </w:rPr>
        <w:t>Hanington</w:t>
      </w:r>
      <w:proofErr w:type="spellEnd"/>
      <w:r w:rsidRPr="00BA3B8B">
        <w:rPr>
          <w:b w:val="0"/>
          <w:caps w:val="0"/>
          <w:sz w:val="20"/>
        </w:rPr>
        <w:t>, P. (2021). Immune Evasion Strategies of Schistosomes. Frontiers in Immunology, 11. https://doi.org/10.3389/fimmu.2020.624178.</w:t>
      </w:r>
    </w:p>
    <w:p w14:paraId="20F6F37E"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He, J., Zhang, P., Shen, L., </w:t>
      </w:r>
      <w:proofErr w:type="spellStart"/>
      <w:r w:rsidRPr="00BA3B8B">
        <w:rPr>
          <w:b w:val="0"/>
          <w:caps w:val="0"/>
          <w:sz w:val="20"/>
        </w:rPr>
        <w:t>Niu</w:t>
      </w:r>
      <w:proofErr w:type="spellEnd"/>
      <w:r w:rsidRPr="00BA3B8B">
        <w:rPr>
          <w:b w:val="0"/>
          <w:caps w:val="0"/>
          <w:sz w:val="20"/>
        </w:rPr>
        <w:t xml:space="preserve">, L., Tan, Y., Chen, L., Zhao, Y., Bai, L., Hao, X., Li, X., Zhang, S., &amp; Zhu, L. (2020). Short-Chain Fatty Acids and Their Association with </w:t>
      </w:r>
      <w:proofErr w:type="spellStart"/>
      <w:r w:rsidRPr="00BA3B8B">
        <w:rPr>
          <w:b w:val="0"/>
          <w:caps w:val="0"/>
          <w:sz w:val="20"/>
        </w:rPr>
        <w:t>Signalling</w:t>
      </w:r>
      <w:proofErr w:type="spellEnd"/>
      <w:r w:rsidRPr="00BA3B8B">
        <w:rPr>
          <w:b w:val="0"/>
          <w:caps w:val="0"/>
          <w:sz w:val="20"/>
        </w:rPr>
        <w:t xml:space="preserve"> Pathways in Inflammation, Glucose and Lipid Metabolism. International Journal of Molecular Sciences, 21. https://doi.org/10.3390/ijms21176356.</w:t>
      </w:r>
    </w:p>
    <w:p w14:paraId="3CE7E53E"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Hou, S., Yu, J., Li, Y., Zhao, D., &amp; Zhang, Z. (2025). Advances in Fecal Microbiota Transplantation for Gut Dysbiosis</w:t>
      </w:r>
      <w:r w:rsidRPr="00BA3B8B">
        <w:rPr>
          <w:rFonts w:ascii="Cambria Math" w:hAnsi="Cambria Math" w:cs="Cambria Math"/>
          <w:b w:val="0"/>
          <w:caps w:val="0"/>
          <w:sz w:val="20"/>
        </w:rPr>
        <w:t>‐</w:t>
      </w:r>
      <w:r w:rsidRPr="00BA3B8B">
        <w:rPr>
          <w:b w:val="0"/>
          <w:caps w:val="0"/>
          <w:sz w:val="20"/>
        </w:rPr>
        <w:t>Related Diseases. Advanced Science, 12. https://doi.org/10.1002/advs.202413197.</w:t>
      </w:r>
    </w:p>
    <w:p w14:paraId="27524568"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Iacob</w:t>
      </w:r>
      <w:proofErr w:type="spellEnd"/>
      <w:r w:rsidRPr="00BA3B8B">
        <w:rPr>
          <w:b w:val="0"/>
          <w:caps w:val="0"/>
          <w:sz w:val="20"/>
        </w:rPr>
        <w:t xml:space="preserve">, S., </w:t>
      </w:r>
      <w:proofErr w:type="spellStart"/>
      <w:r w:rsidRPr="00BA3B8B">
        <w:rPr>
          <w:b w:val="0"/>
          <w:caps w:val="0"/>
          <w:sz w:val="20"/>
        </w:rPr>
        <w:t>Iacob</w:t>
      </w:r>
      <w:proofErr w:type="spellEnd"/>
      <w:r w:rsidRPr="00BA3B8B">
        <w:rPr>
          <w:b w:val="0"/>
          <w:caps w:val="0"/>
          <w:sz w:val="20"/>
        </w:rPr>
        <w:t xml:space="preserve">, D., &amp; </w:t>
      </w:r>
      <w:proofErr w:type="spellStart"/>
      <w:r w:rsidRPr="00BA3B8B">
        <w:rPr>
          <w:b w:val="0"/>
          <w:caps w:val="0"/>
          <w:sz w:val="20"/>
        </w:rPr>
        <w:t>Luminos</w:t>
      </w:r>
      <w:proofErr w:type="spellEnd"/>
      <w:r w:rsidRPr="00BA3B8B">
        <w:rPr>
          <w:b w:val="0"/>
          <w:caps w:val="0"/>
          <w:sz w:val="20"/>
        </w:rPr>
        <w:t>, L. (2019). Intestinal Microbiota as a Host Defense Mechanism to Infectious Threats. Frontiers in Microbiology, 9. https://doi.org/10.3389/fmicb.2018.03328.</w:t>
      </w:r>
    </w:p>
    <w:p w14:paraId="1A3D5E02"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Jans</w:t>
      </w:r>
      <w:proofErr w:type="spellEnd"/>
      <w:r w:rsidRPr="00BA3B8B">
        <w:rPr>
          <w:b w:val="0"/>
          <w:caps w:val="0"/>
          <w:sz w:val="20"/>
        </w:rPr>
        <w:t xml:space="preserve">, M., &amp; </w:t>
      </w:r>
      <w:proofErr w:type="spellStart"/>
      <w:r w:rsidRPr="00BA3B8B">
        <w:rPr>
          <w:b w:val="0"/>
          <w:caps w:val="0"/>
          <w:sz w:val="20"/>
        </w:rPr>
        <w:t>Vereecke</w:t>
      </w:r>
      <w:proofErr w:type="spellEnd"/>
      <w:r w:rsidRPr="00BA3B8B">
        <w:rPr>
          <w:b w:val="0"/>
          <w:caps w:val="0"/>
          <w:sz w:val="20"/>
        </w:rPr>
        <w:t>, L. (2024). A guide to germ</w:t>
      </w:r>
      <w:r w:rsidRPr="00BA3B8B">
        <w:rPr>
          <w:rFonts w:ascii="Cambria Math" w:hAnsi="Cambria Math" w:cs="Cambria Math"/>
          <w:b w:val="0"/>
          <w:caps w:val="0"/>
          <w:sz w:val="20"/>
        </w:rPr>
        <w:t>‐</w:t>
      </w:r>
      <w:r w:rsidRPr="00BA3B8B">
        <w:rPr>
          <w:b w:val="0"/>
          <w:caps w:val="0"/>
          <w:sz w:val="20"/>
        </w:rPr>
        <w:t>free and gnotobiotic mouse technology to study health and disease. The FEBS Journal, 292. https://doi.org/10.1111/febs.17124.</w:t>
      </w:r>
    </w:p>
    <w:p w14:paraId="3F4C212F"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Karaś</w:t>
      </w:r>
      <w:proofErr w:type="spellEnd"/>
      <w:r w:rsidRPr="00BA3B8B">
        <w:rPr>
          <w:b w:val="0"/>
          <w:caps w:val="0"/>
          <w:sz w:val="20"/>
        </w:rPr>
        <w:t xml:space="preserve">, M., </w:t>
      </w:r>
      <w:proofErr w:type="spellStart"/>
      <w:r w:rsidRPr="00BA3B8B">
        <w:rPr>
          <w:b w:val="0"/>
          <w:caps w:val="0"/>
          <w:sz w:val="20"/>
        </w:rPr>
        <w:t>Turska-Szewczuk</w:t>
      </w:r>
      <w:proofErr w:type="spellEnd"/>
      <w:r w:rsidRPr="00BA3B8B">
        <w:rPr>
          <w:b w:val="0"/>
          <w:caps w:val="0"/>
          <w:sz w:val="20"/>
        </w:rPr>
        <w:t xml:space="preserve">, A., </w:t>
      </w:r>
      <w:proofErr w:type="spellStart"/>
      <w:r w:rsidRPr="00BA3B8B">
        <w:rPr>
          <w:b w:val="0"/>
          <w:caps w:val="0"/>
          <w:sz w:val="20"/>
        </w:rPr>
        <w:t>Janczarek</w:t>
      </w:r>
      <w:proofErr w:type="spellEnd"/>
      <w:r w:rsidRPr="00BA3B8B">
        <w:rPr>
          <w:b w:val="0"/>
          <w:caps w:val="0"/>
          <w:sz w:val="20"/>
        </w:rPr>
        <w:t xml:space="preserve">, M., &amp; </w:t>
      </w:r>
      <w:proofErr w:type="spellStart"/>
      <w:r w:rsidRPr="00BA3B8B">
        <w:rPr>
          <w:b w:val="0"/>
          <w:caps w:val="0"/>
          <w:sz w:val="20"/>
        </w:rPr>
        <w:t>Szuster</w:t>
      </w:r>
      <w:r w:rsidRPr="00BA3B8B">
        <w:rPr>
          <w:rFonts w:ascii="Cambria Math" w:hAnsi="Cambria Math" w:cs="Cambria Math"/>
          <w:b w:val="0"/>
          <w:caps w:val="0"/>
          <w:sz w:val="20"/>
        </w:rPr>
        <w:t>‐</w:t>
      </w:r>
      <w:r w:rsidRPr="00BA3B8B">
        <w:rPr>
          <w:b w:val="0"/>
          <w:caps w:val="0"/>
          <w:sz w:val="20"/>
        </w:rPr>
        <w:t>Ciesielska</w:t>
      </w:r>
      <w:proofErr w:type="spellEnd"/>
      <w:r w:rsidRPr="00BA3B8B">
        <w:rPr>
          <w:b w:val="0"/>
          <w:caps w:val="0"/>
          <w:sz w:val="20"/>
        </w:rPr>
        <w:t xml:space="preserve">, A. (2019). Glycoconjugates of Gram-negative bacteria and parasitic protozoa </w:t>
      </w:r>
      <w:r w:rsidRPr="00BA3B8B">
        <w:rPr>
          <w:rFonts w:cs="Helvetica"/>
          <w:b w:val="0"/>
          <w:caps w:val="0"/>
          <w:sz w:val="20"/>
        </w:rPr>
        <w:t>–</w:t>
      </w:r>
      <w:r w:rsidRPr="00BA3B8B">
        <w:rPr>
          <w:b w:val="0"/>
          <w:caps w:val="0"/>
          <w:sz w:val="20"/>
        </w:rPr>
        <w:t xml:space="preserve"> are they similar in orchestrating the innate immune response?. Innate Immunity, 25, 73 - 96. https://doi.org/10.1177/1753425918821168.</w:t>
      </w:r>
    </w:p>
    <w:p w14:paraId="66A1D33A"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Karimi, M., </w:t>
      </w:r>
      <w:proofErr w:type="spellStart"/>
      <w:r w:rsidRPr="00BA3B8B">
        <w:rPr>
          <w:b w:val="0"/>
          <w:caps w:val="0"/>
          <w:sz w:val="20"/>
        </w:rPr>
        <w:t>Shirsalimi</w:t>
      </w:r>
      <w:proofErr w:type="spellEnd"/>
      <w:r w:rsidRPr="00BA3B8B">
        <w:rPr>
          <w:b w:val="0"/>
          <w:caps w:val="0"/>
          <w:sz w:val="20"/>
        </w:rPr>
        <w:t xml:space="preserve">, N., </w:t>
      </w:r>
      <w:proofErr w:type="spellStart"/>
      <w:r w:rsidRPr="00BA3B8B">
        <w:rPr>
          <w:b w:val="0"/>
          <w:caps w:val="0"/>
          <w:sz w:val="20"/>
        </w:rPr>
        <w:t>Hashempour</w:t>
      </w:r>
      <w:proofErr w:type="spellEnd"/>
      <w:r w:rsidRPr="00BA3B8B">
        <w:rPr>
          <w:b w:val="0"/>
          <w:caps w:val="0"/>
          <w:sz w:val="20"/>
        </w:rPr>
        <w:t xml:space="preserve">, Z., </w:t>
      </w:r>
      <w:proofErr w:type="spellStart"/>
      <w:r w:rsidRPr="00BA3B8B">
        <w:rPr>
          <w:b w:val="0"/>
          <w:caps w:val="0"/>
          <w:sz w:val="20"/>
        </w:rPr>
        <w:t>Omran</w:t>
      </w:r>
      <w:proofErr w:type="spellEnd"/>
      <w:r w:rsidRPr="00BA3B8B">
        <w:rPr>
          <w:b w:val="0"/>
          <w:caps w:val="0"/>
          <w:sz w:val="20"/>
        </w:rPr>
        <w:t xml:space="preserve">, H., </w:t>
      </w:r>
      <w:proofErr w:type="spellStart"/>
      <w:r w:rsidRPr="00BA3B8B">
        <w:rPr>
          <w:b w:val="0"/>
          <w:caps w:val="0"/>
          <w:sz w:val="20"/>
        </w:rPr>
        <w:t>Sedighi</w:t>
      </w:r>
      <w:proofErr w:type="spellEnd"/>
      <w:r w:rsidRPr="00BA3B8B">
        <w:rPr>
          <w:b w:val="0"/>
          <w:caps w:val="0"/>
          <w:sz w:val="20"/>
        </w:rPr>
        <w:t xml:space="preserve">, E., </w:t>
      </w:r>
      <w:proofErr w:type="spellStart"/>
      <w:r w:rsidRPr="00BA3B8B">
        <w:rPr>
          <w:b w:val="0"/>
          <w:caps w:val="0"/>
          <w:sz w:val="20"/>
        </w:rPr>
        <w:t>Beigi</w:t>
      </w:r>
      <w:proofErr w:type="spellEnd"/>
      <w:r w:rsidRPr="00BA3B8B">
        <w:rPr>
          <w:b w:val="0"/>
          <w:caps w:val="0"/>
          <w:sz w:val="20"/>
        </w:rPr>
        <w:t xml:space="preserve">, F., &amp; </w:t>
      </w:r>
      <w:proofErr w:type="spellStart"/>
      <w:r w:rsidRPr="00BA3B8B">
        <w:rPr>
          <w:b w:val="0"/>
          <w:caps w:val="0"/>
          <w:sz w:val="20"/>
        </w:rPr>
        <w:t>Mortezazadeh</w:t>
      </w:r>
      <w:proofErr w:type="spellEnd"/>
      <w:r w:rsidRPr="00BA3B8B">
        <w:rPr>
          <w:b w:val="0"/>
          <w:caps w:val="0"/>
          <w:sz w:val="20"/>
        </w:rPr>
        <w:t>, M. (2024). Safety and efficacy of fecal microbiota transplantation (FMT) as a modern adjuvant therapy in various diseases and disorders: a comprehensive literature review. Frontiers in Immunology, 15. https://doi.org/10.3389/fimmu.2024.1439176.</w:t>
      </w:r>
    </w:p>
    <w:p w14:paraId="69313906"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Karpe</w:t>
      </w:r>
      <w:proofErr w:type="spellEnd"/>
      <w:r w:rsidRPr="00BA3B8B">
        <w:rPr>
          <w:b w:val="0"/>
          <w:caps w:val="0"/>
          <w:sz w:val="20"/>
        </w:rPr>
        <w:t xml:space="preserve">, A., Hutton, M., </w:t>
      </w:r>
      <w:proofErr w:type="spellStart"/>
      <w:r w:rsidRPr="00BA3B8B">
        <w:rPr>
          <w:b w:val="0"/>
          <w:caps w:val="0"/>
          <w:sz w:val="20"/>
        </w:rPr>
        <w:t>Mileto</w:t>
      </w:r>
      <w:proofErr w:type="spellEnd"/>
      <w:r w:rsidRPr="00BA3B8B">
        <w:rPr>
          <w:b w:val="0"/>
          <w:caps w:val="0"/>
          <w:sz w:val="20"/>
        </w:rPr>
        <w:t xml:space="preserve">, S., James, M., Evans, C., </w:t>
      </w:r>
      <w:proofErr w:type="spellStart"/>
      <w:r w:rsidRPr="00BA3B8B">
        <w:rPr>
          <w:b w:val="0"/>
          <w:caps w:val="0"/>
          <w:sz w:val="20"/>
        </w:rPr>
        <w:t>Ghodke</w:t>
      </w:r>
      <w:proofErr w:type="spellEnd"/>
      <w:r w:rsidRPr="00BA3B8B">
        <w:rPr>
          <w:b w:val="0"/>
          <w:caps w:val="0"/>
          <w:sz w:val="20"/>
        </w:rPr>
        <w:t xml:space="preserve">, A., Shah, R., Metcalfe, S., Liu, J., Walsh, T., </w:t>
      </w:r>
      <w:proofErr w:type="spellStart"/>
      <w:r w:rsidRPr="00BA3B8B">
        <w:rPr>
          <w:b w:val="0"/>
          <w:caps w:val="0"/>
          <w:sz w:val="20"/>
        </w:rPr>
        <w:t>Lyras</w:t>
      </w:r>
      <w:proofErr w:type="spellEnd"/>
      <w:r w:rsidRPr="00BA3B8B">
        <w:rPr>
          <w:b w:val="0"/>
          <w:caps w:val="0"/>
          <w:sz w:val="20"/>
        </w:rPr>
        <w:t xml:space="preserve">, D., </w:t>
      </w:r>
      <w:proofErr w:type="spellStart"/>
      <w:r w:rsidRPr="00BA3B8B">
        <w:rPr>
          <w:b w:val="0"/>
          <w:caps w:val="0"/>
          <w:sz w:val="20"/>
        </w:rPr>
        <w:t>Palombo</w:t>
      </w:r>
      <w:proofErr w:type="spellEnd"/>
      <w:r w:rsidRPr="00BA3B8B">
        <w:rPr>
          <w:b w:val="0"/>
          <w:caps w:val="0"/>
          <w:sz w:val="20"/>
        </w:rPr>
        <w:t xml:space="preserve">, E., &amp; Beale, D. (2023). Gut Microbial Perturbation and Host Response Induce Redox Pathway </w:t>
      </w:r>
      <w:r w:rsidRPr="00BA3B8B">
        <w:rPr>
          <w:b w:val="0"/>
          <w:caps w:val="0"/>
          <w:sz w:val="20"/>
        </w:rPr>
        <w:lastRenderedPageBreak/>
        <w:t>Upregulation along the Gut–Liver Axis during Giardiasis in C57BL/6J Mouse Model. International Journal of Molecular Sciences, 24. https://doi.org/10.3390/ijms24021636.</w:t>
      </w:r>
    </w:p>
    <w:p w14:paraId="20659D08"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Koellsch</w:t>
      </w:r>
      <w:proofErr w:type="spellEnd"/>
      <w:r w:rsidRPr="00BA3B8B">
        <w:rPr>
          <w:b w:val="0"/>
          <w:caps w:val="0"/>
          <w:sz w:val="20"/>
        </w:rPr>
        <w:t xml:space="preserve">, C., Poulin, R., &amp; </w:t>
      </w:r>
      <w:proofErr w:type="spellStart"/>
      <w:r w:rsidRPr="00BA3B8B">
        <w:rPr>
          <w:b w:val="0"/>
          <w:caps w:val="0"/>
          <w:sz w:val="20"/>
        </w:rPr>
        <w:t>Salloum</w:t>
      </w:r>
      <w:proofErr w:type="spellEnd"/>
      <w:r w:rsidRPr="00BA3B8B">
        <w:rPr>
          <w:b w:val="0"/>
          <w:caps w:val="0"/>
          <w:sz w:val="20"/>
        </w:rPr>
        <w:t>, P. (2024). What shapes a microbiome? Differences in bacterial communities associated with helminth-amphipod interactions.. International journal for parasitology. https://doi.org/10.1016/j.ijpara.2024.08.005.</w:t>
      </w:r>
    </w:p>
    <w:p w14:paraId="75460D6D"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Kou, R., Guo, Y., Qin, Z., Xu, X., Liu, Y., Wei, W., Chen, Y., Jian, Z., &amp; Lan, B. (2025). Systemic dysregulation of the gut microenvironment plays a pivotal role in the onset and progression of inflammatory bowel disease. Frontiers in Immunology, 16. https://doi.org/10.3389/fimmu.2025.1661386.</w:t>
      </w:r>
    </w:p>
    <w:p w14:paraId="1B7E006B"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Li, D., &amp; Wu, M. (2021). Pattern recognition receptors in health and diseases. Signal Transduction and Targeted Therapy, 6. https://doi.org/10.1038/s41392-021-00687-0.</w:t>
      </w:r>
    </w:p>
    <w:p w14:paraId="4BE2B90D"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Li, R., Liu, F., Solano-Aguilar, G., &amp; Urban, J. (2024). 40 The gut microbiota modifies host-parasite interactions. Journal of Animal Science. https://doi.org/10.1093/jas/skae234.071.</w:t>
      </w:r>
    </w:p>
    <w:p w14:paraId="53E1F9B1"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Maizels</w:t>
      </w:r>
      <w:proofErr w:type="spellEnd"/>
      <w:r w:rsidRPr="00BA3B8B">
        <w:rPr>
          <w:b w:val="0"/>
          <w:caps w:val="0"/>
          <w:sz w:val="20"/>
        </w:rPr>
        <w:t>, R. (2020). Regulation of immunity and allergy by helminth parasites. Allergy, 75, 524 - 534. https://doi.org/10.1111/all.13944.</w:t>
      </w:r>
    </w:p>
    <w:p w14:paraId="1F34F091"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Mann, E., Lam, Y., &amp; Uhlig, H. (2024). Short-chain fatty acids: linking diet, the microbiome and immunity. Nature Reviews Immunology, 24, 577 - 595. https://doi.org/10.1038/s41577-024-01014-8.</w:t>
      </w:r>
    </w:p>
    <w:p w14:paraId="4CFDA86B"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Mooney, J., </w:t>
      </w:r>
      <w:proofErr w:type="spellStart"/>
      <w:r w:rsidRPr="00BA3B8B">
        <w:rPr>
          <w:b w:val="0"/>
          <w:caps w:val="0"/>
          <w:sz w:val="20"/>
        </w:rPr>
        <w:t>Lokken</w:t>
      </w:r>
      <w:proofErr w:type="spellEnd"/>
      <w:r w:rsidRPr="00BA3B8B">
        <w:rPr>
          <w:b w:val="0"/>
          <w:caps w:val="0"/>
          <w:sz w:val="20"/>
        </w:rPr>
        <w:t xml:space="preserve">, K., </w:t>
      </w:r>
      <w:proofErr w:type="spellStart"/>
      <w:r w:rsidRPr="00BA3B8B">
        <w:rPr>
          <w:b w:val="0"/>
          <w:caps w:val="0"/>
          <w:sz w:val="20"/>
        </w:rPr>
        <w:t>Byndloss</w:t>
      </w:r>
      <w:proofErr w:type="spellEnd"/>
      <w:r w:rsidRPr="00BA3B8B">
        <w:rPr>
          <w:b w:val="0"/>
          <w:caps w:val="0"/>
          <w:sz w:val="20"/>
        </w:rPr>
        <w:t xml:space="preserve">, M., George, M., Velazquez, E., Faber, F., Butler, B., Walker, G., Ali, M., Potts, R., Tiffany, C., </w:t>
      </w:r>
      <w:proofErr w:type="spellStart"/>
      <w:r w:rsidRPr="00BA3B8B">
        <w:rPr>
          <w:b w:val="0"/>
          <w:caps w:val="0"/>
          <w:sz w:val="20"/>
        </w:rPr>
        <w:t>Ahmer</w:t>
      </w:r>
      <w:proofErr w:type="spellEnd"/>
      <w:r w:rsidRPr="00BA3B8B">
        <w:rPr>
          <w:b w:val="0"/>
          <w:caps w:val="0"/>
          <w:sz w:val="20"/>
        </w:rPr>
        <w:t xml:space="preserve">, B., </w:t>
      </w:r>
      <w:proofErr w:type="spellStart"/>
      <w:r w:rsidRPr="00BA3B8B">
        <w:rPr>
          <w:b w:val="0"/>
          <w:caps w:val="0"/>
          <w:sz w:val="20"/>
        </w:rPr>
        <w:t>Luckhart</w:t>
      </w:r>
      <w:proofErr w:type="spellEnd"/>
      <w:r w:rsidRPr="00BA3B8B">
        <w:rPr>
          <w:b w:val="0"/>
          <w:caps w:val="0"/>
          <w:sz w:val="20"/>
        </w:rPr>
        <w:t xml:space="preserve">, S., &amp; </w:t>
      </w:r>
      <w:proofErr w:type="spellStart"/>
      <w:r w:rsidRPr="00BA3B8B">
        <w:rPr>
          <w:b w:val="0"/>
          <w:caps w:val="0"/>
          <w:sz w:val="20"/>
        </w:rPr>
        <w:t>Tsolis</w:t>
      </w:r>
      <w:proofErr w:type="spellEnd"/>
      <w:r w:rsidRPr="00BA3B8B">
        <w:rPr>
          <w:b w:val="0"/>
          <w:caps w:val="0"/>
          <w:sz w:val="20"/>
        </w:rPr>
        <w:t>, R. (2015). Inflammation-associated alterations to the intestinal microbiota reduce colonization resistance against non-typhoidal Salmonella during concurrent malaria parasite infection. Scientific Reports, 5. https://doi.org/10.1038/srep14603.</w:t>
      </w:r>
    </w:p>
    <w:p w14:paraId="3A32DE1F"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Ogunrinola</w:t>
      </w:r>
      <w:proofErr w:type="spellEnd"/>
      <w:r w:rsidRPr="00BA3B8B">
        <w:rPr>
          <w:b w:val="0"/>
          <w:caps w:val="0"/>
          <w:sz w:val="20"/>
        </w:rPr>
        <w:t xml:space="preserve">, G., </w:t>
      </w:r>
      <w:proofErr w:type="spellStart"/>
      <w:r w:rsidRPr="00BA3B8B">
        <w:rPr>
          <w:b w:val="0"/>
          <w:caps w:val="0"/>
          <w:sz w:val="20"/>
        </w:rPr>
        <w:t>Oyewale</w:t>
      </w:r>
      <w:proofErr w:type="spellEnd"/>
      <w:r w:rsidRPr="00BA3B8B">
        <w:rPr>
          <w:b w:val="0"/>
          <w:caps w:val="0"/>
          <w:sz w:val="20"/>
        </w:rPr>
        <w:t xml:space="preserve">, J., </w:t>
      </w:r>
      <w:proofErr w:type="spellStart"/>
      <w:r w:rsidRPr="00BA3B8B">
        <w:rPr>
          <w:b w:val="0"/>
          <w:caps w:val="0"/>
          <w:sz w:val="20"/>
        </w:rPr>
        <w:t>Oshamika</w:t>
      </w:r>
      <w:proofErr w:type="spellEnd"/>
      <w:r w:rsidRPr="00BA3B8B">
        <w:rPr>
          <w:b w:val="0"/>
          <w:caps w:val="0"/>
          <w:sz w:val="20"/>
        </w:rPr>
        <w:t xml:space="preserve">, O., &amp; </w:t>
      </w:r>
      <w:proofErr w:type="spellStart"/>
      <w:r w:rsidRPr="00BA3B8B">
        <w:rPr>
          <w:b w:val="0"/>
          <w:caps w:val="0"/>
          <w:sz w:val="20"/>
        </w:rPr>
        <w:t>Olasehinde</w:t>
      </w:r>
      <w:proofErr w:type="spellEnd"/>
      <w:r w:rsidRPr="00BA3B8B">
        <w:rPr>
          <w:b w:val="0"/>
          <w:caps w:val="0"/>
          <w:sz w:val="20"/>
        </w:rPr>
        <w:t>, G. (2020). The Human Microbiome and Its Impacts on Health. International Journal of Microbiology, 2020. https://doi.org/10.1155/2020/8045646.</w:t>
      </w:r>
    </w:p>
    <w:p w14:paraId="4C802F84"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Reynoso-García, J., Miranda-Santiago, A., Meléndez-Vázquez, N., Acosta-</w:t>
      </w:r>
      <w:proofErr w:type="spellStart"/>
      <w:r w:rsidRPr="00BA3B8B">
        <w:rPr>
          <w:b w:val="0"/>
          <w:caps w:val="0"/>
          <w:sz w:val="20"/>
        </w:rPr>
        <w:t>Pagán</w:t>
      </w:r>
      <w:proofErr w:type="spellEnd"/>
      <w:r w:rsidRPr="00BA3B8B">
        <w:rPr>
          <w:b w:val="0"/>
          <w:caps w:val="0"/>
          <w:sz w:val="20"/>
        </w:rPr>
        <w:t>, K., Sánchez-Rosado, M., Díaz-Rivera, J., Rosado-</w:t>
      </w:r>
      <w:proofErr w:type="spellStart"/>
      <w:r w:rsidRPr="00BA3B8B">
        <w:rPr>
          <w:b w:val="0"/>
          <w:caps w:val="0"/>
          <w:sz w:val="20"/>
        </w:rPr>
        <w:t>Quiñones</w:t>
      </w:r>
      <w:proofErr w:type="spellEnd"/>
      <w:r w:rsidRPr="00BA3B8B">
        <w:rPr>
          <w:b w:val="0"/>
          <w:caps w:val="0"/>
          <w:sz w:val="20"/>
        </w:rPr>
        <w:t>, A., Acevedo-Márquez, L., Cruz-</w:t>
      </w:r>
      <w:proofErr w:type="spellStart"/>
      <w:r w:rsidRPr="00BA3B8B">
        <w:rPr>
          <w:b w:val="0"/>
          <w:caps w:val="0"/>
          <w:sz w:val="20"/>
        </w:rPr>
        <w:t>Roldán</w:t>
      </w:r>
      <w:proofErr w:type="spellEnd"/>
      <w:r w:rsidRPr="00BA3B8B">
        <w:rPr>
          <w:b w:val="0"/>
          <w:caps w:val="0"/>
          <w:sz w:val="20"/>
        </w:rPr>
        <w:t xml:space="preserve">, L., </w:t>
      </w:r>
      <w:proofErr w:type="spellStart"/>
      <w:r w:rsidRPr="00BA3B8B">
        <w:rPr>
          <w:b w:val="0"/>
          <w:caps w:val="0"/>
          <w:sz w:val="20"/>
        </w:rPr>
        <w:t>Tosado</w:t>
      </w:r>
      <w:proofErr w:type="spellEnd"/>
      <w:r w:rsidRPr="00BA3B8B">
        <w:rPr>
          <w:b w:val="0"/>
          <w:caps w:val="0"/>
          <w:sz w:val="20"/>
        </w:rPr>
        <w:t>-Rodríguez, E., Del Mar Figueroa-</w:t>
      </w:r>
      <w:proofErr w:type="spellStart"/>
      <w:r w:rsidRPr="00BA3B8B">
        <w:rPr>
          <w:b w:val="0"/>
          <w:caps w:val="0"/>
          <w:sz w:val="20"/>
        </w:rPr>
        <w:t>Gispert</w:t>
      </w:r>
      <w:proofErr w:type="spellEnd"/>
      <w:r w:rsidRPr="00BA3B8B">
        <w:rPr>
          <w:b w:val="0"/>
          <w:caps w:val="0"/>
          <w:sz w:val="20"/>
        </w:rPr>
        <w:t xml:space="preserve">, M., &amp; Godoy-Vitorino, F. (2022). A complete guide to human microbiomes: Body niches, transmission, </w:t>
      </w:r>
      <w:r w:rsidRPr="00BA3B8B">
        <w:rPr>
          <w:b w:val="0"/>
          <w:caps w:val="0"/>
          <w:sz w:val="20"/>
        </w:rPr>
        <w:lastRenderedPageBreak/>
        <w:t>development, dysbiosis, and restoration. Frontiers in systems biology, 2. https://doi.org/10.3389/fsysb.2022.951403.</w:t>
      </w:r>
    </w:p>
    <w:p w14:paraId="6CABB623"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Rosenberg, E. (2024). Diversity of bacteria within the human gut and its contribution to the functional unity of </w:t>
      </w:r>
      <w:proofErr w:type="spellStart"/>
      <w:r w:rsidRPr="00BA3B8B">
        <w:rPr>
          <w:b w:val="0"/>
          <w:caps w:val="0"/>
          <w:sz w:val="20"/>
        </w:rPr>
        <w:t>holobionts</w:t>
      </w:r>
      <w:proofErr w:type="spellEnd"/>
      <w:r w:rsidRPr="00BA3B8B">
        <w:rPr>
          <w:b w:val="0"/>
          <w:caps w:val="0"/>
          <w:sz w:val="20"/>
        </w:rPr>
        <w:t>. NPJ Biofilms and Microbiomes, 10. https://doi.org/10.1038/s41522-024-00580-y.</w:t>
      </w:r>
    </w:p>
    <w:p w14:paraId="12775F18"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Saftawy</w:t>
      </w:r>
      <w:proofErr w:type="spellEnd"/>
      <w:r w:rsidRPr="00BA3B8B">
        <w:rPr>
          <w:b w:val="0"/>
          <w:caps w:val="0"/>
          <w:sz w:val="20"/>
        </w:rPr>
        <w:t xml:space="preserve">, E., Alghamdi, M., &amp; </w:t>
      </w:r>
      <w:proofErr w:type="spellStart"/>
      <w:r w:rsidRPr="00BA3B8B">
        <w:rPr>
          <w:b w:val="0"/>
          <w:caps w:val="0"/>
          <w:sz w:val="20"/>
        </w:rPr>
        <w:t>Aboulhoda</w:t>
      </w:r>
      <w:proofErr w:type="spellEnd"/>
      <w:r w:rsidRPr="00BA3B8B">
        <w:rPr>
          <w:b w:val="0"/>
          <w:caps w:val="0"/>
          <w:sz w:val="20"/>
        </w:rPr>
        <w:t xml:space="preserve">, B. (2025). Interplay of obesity and parasitic infection: current evidence of </w:t>
      </w:r>
      <w:proofErr w:type="spellStart"/>
      <w:r w:rsidRPr="00BA3B8B">
        <w:rPr>
          <w:b w:val="0"/>
          <w:caps w:val="0"/>
          <w:sz w:val="20"/>
        </w:rPr>
        <w:t>immunogenesis</w:t>
      </w:r>
      <w:proofErr w:type="spellEnd"/>
      <w:r w:rsidRPr="00BA3B8B">
        <w:rPr>
          <w:b w:val="0"/>
          <w:caps w:val="0"/>
          <w:sz w:val="20"/>
        </w:rPr>
        <w:t>, tumorigenesis and leptin receptor involvement. Nutrition &amp; Metabolism, 22. https://doi.org/10.1186/s12986-025-00972-7.</w:t>
      </w:r>
    </w:p>
    <w:p w14:paraId="0887D14C"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Santana, P., Rosas, S., Ribeiro, B., </w:t>
      </w:r>
      <w:proofErr w:type="spellStart"/>
      <w:r w:rsidRPr="00BA3B8B">
        <w:rPr>
          <w:b w:val="0"/>
          <w:caps w:val="0"/>
          <w:sz w:val="20"/>
        </w:rPr>
        <w:t>Marinho</w:t>
      </w:r>
      <w:proofErr w:type="spellEnd"/>
      <w:r w:rsidRPr="00BA3B8B">
        <w:rPr>
          <w:b w:val="0"/>
          <w:caps w:val="0"/>
          <w:sz w:val="20"/>
        </w:rPr>
        <w:t>, Y., &amp; De Souza, H. (2022). Dysbiosis in Inflammatory Bowel Disease: Pathogenic Role and Potential Therapeutic Targets. International Journal of Molecular Sciences, 23. https://doi.org/10.3390/ijms23073464.</w:t>
      </w:r>
    </w:p>
    <w:p w14:paraId="5D74FF37"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Seekatz</w:t>
      </w:r>
      <w:proofErr w:type="spellEnd"/>
      <w:r w:rsidRPr="00BA3B8B">
        <w:rPr>
          <w:b w:val="0"/>
          <w:caps w:val="0"/>
          <w:sz w:val="20"/>
        </w:rPr>
        <w:t xml:space="preserve">, A., Safdar, N., &amp; Khanna, S. (2022). The role of the gut microbiome in colonization resistance and recurrent </w:t>
      </w:r>
      <w:proofErr w:type="spellStart"/>
      <w:r w:rsidRPr="00BA3B8B">
        <w:rPr>
          <w:b w:val="0"/>
          <w:caps w:val="0"/>
          <w:sz w:val="20"/>
        </w:rPr>
        <w:t>Clostridioides</w:t>
      </w:r>
      <w:proofErr w:type="spellEnd"/>
      <w:r w:rsidRPr="00BA3B8B">
        <w:rPr>
          <w:b w:val="0"/>
          <w:caps w:val="0"/>
          <w:sz w:val="20"/>
        </w:rPr>
        <w:t xml:space="preserve"> difficile infection. Therapeutic Advances in Gastroenterology, 15. https://doi.org/10.1177/17562848221134396.</w:t>
      </w:r>
    </w:p>
    <w:p w14:paraId="6C6FBA11"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Sharma, A., Sharma, G., &amp; </w:t>
      </w:r>
      <w:proofErr w:type="spellStart"/>
      <w:r w:rsidRPr="00BA3B8B">
        <w:rPr>
          <w:b w:val="0"/>
          <w:caps w:val="0"/>
          <w:sz w:val="20"/>
        </w:rPr>
        <w:t>Im</w:t>
      </w:r>
      <w:proofErr w:type="spellEnd"/>
      <w:r w:rsidRPr="00BA3B8B">
        <w:rPr>
          <w:b w:val="0"/>
          <w:caps w:val="0"/>
          <w:sz w:val="20"/>
        </w:rPr>
        <w:t>, S. (2025). Gut microbiota in regulatory T cell generation and function: mechanisms and health implications. Gut Microbes, 17. https://doi.org/10.1080/19490976.2025.2516702.</w:t>
      </w:r>
    </w:p>
    <w:p w14:paraId="15421D42"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Shealy, N., </w:t>
      </w:r>
      <w:proofErr w:type="spellStart"/>
      <w:r w:rsidRPr="00BA3B8B">
        <w:rPr>
          <w:b w:val="0"/>
          <w:caps w:val="0"/>
          <w:sz w:val="20"/>
        </w:rPr>
        <w:t>Yoo</w:t>
      </w:r>
      <w:proofErr w:type="spellEnd"/>
      <w:r w:rsidRPr="00BA3B8B">
        <w:rPr>
          <w:b w:val="0"/>
          <w:caps w:val="0"/>
          <w:sz w:val="20"/>
        </w:rPr>
        <w:t xml:space="preserve">, W., &amp; </w:t>
      </w:r>
      <w:proofErr w:type="spellStart"/>
      <w:r w:rsidRPr="00BA3B8B">
        <w:rPr>
          <w:b w:val="0"/>
          <w:caps w:val="0"/>
          <w:sz w:val="20"/>
        </w:rPr>
        <w:t>Byndloss</w:t>
      </w:r>
      <w:proofErr w:type="spellEnd"/>
      <w:r w:rsidRPr="00BA3B8B">
        <w:rPr>
          <w:b w:val="0"/>
          <w:caps w:val="0"/>
          <w:sz w:val="20"/>
        </w:rPr>
        <w:t>, M. (2021). Colonization resistance: metabolic warfare as a strategy against pathogenic Enterobacteriaceae.. Current opinion in microbiology, 64, 82-90 . https://doi.org/10.1016/j.mib.2021.09.014.</w:t>
      </w:r>
    </w:p>
    <w:p w14:paraId="246922DA"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Singla, L., </w:t>
      </w:r>
      <w:proofErr w:type="spellStart"/>
      <w:r w:rsidRPr="00BA3B8B">
        <w:rPr>
          <w:b w:val="0"/>
          <w:caps w:val="0"/>
          <w:sz w:val="20"/>
        </w:rPr>
        <w:t>Sumbria</w:t>
      </w:r>
      <w:proofErr w:type="spellEnd"/>
      <w:r w:rsidRPr="00BA3B8B">
        <w:rPr>
          <w:b w:val="0"/>
          <w:caps w:val="0"/>
          <w:sz w:val="20"/>
        </w:rPr>
        <w:t>, D., Sudan, V., &amp; Kaur, P. (2024). Impact of Parasitic Infections on Host Metabolism: An Overview. Indian Journal of Animal Research. https://doi.org/10.18805/ijar.b-5376.</w:t>
      </w:r>
    </w:p>
    <w:p w14:paraId="706ACFAC"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Smallwood, T., </w:t>
      </w:r>
      <w:proofErr w:type="spellStart"/>
      <w:r w:rsidRPr="00BA3B8B">
        <w:rPr>
          <w:b w:val="0"/>
          <w:caps w:val="0"/>
          <w:sz w:val="20"/>
        </w:rPr>
        <w:t>Giacomin</w:t>
      </w:r>
      <w:proofErr w:type="spellEnd"/>
      <w:r w:rsidRPr="00BA3B8B">
        <w:rPr>
          <w:b w:val="0"/>
          <w:caps w:val="0"/>
          <w:sz w:val="20"/>
        </w:rPr>
        <w:t xml:space="preserve">, P., Loukas, A., </w:t>
      </w:r>
      <w:proofErr w:type="spellStart"/>
      <w:r w:rsidRPr="00BA3B8B">
        <w:rPr>
          <w:b w:val="0"/>
          <w:caps w:val="0"/>
          <w:sz w:val="20"/>
        </w:rPr>
        <w:t>Mulvenna</w:t>
      </w:r>
      <w:proofErr w:type="spellEnd"/>
      <w:r w:rsidRPr="00BA3B8B">
        <w:rPr>
          <w:b w:val="0"/>
          <w:caps w:val="0"/>
          <w:sz w:val="20"/>
        </w:rPr>
        <w:t>, J., Clark, R., &amp; Miles, J. (2017). Helminth Immunomodulation in Autoimmune Disease. Frontiers in Immunology, 8. https://doi.org/10.3389/fimmu.2017.00453.</w:t>
      </w:r>
    </w:p>
    <w:p w14:paraId="4CADE874"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Sousa, R., Yamasaki, S., &amp; Brown, G. (2024). Myeloid C-type lectin receptors in innate immune recognition.. Immunity, 57 4, 700-717 . https://doi.org/10.1016/j.immuni.2024.03.005.</w:t>
      </w:r>
    </w:p>
    <w:p w14:paraId="46BB846E"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Sousa, R., Yamasaki, S., &amp; Brown, G. (2024). Myeloid C-type lectin receptors in innate immune recognition.. Immunity, 57 4, 700-717 . https://doi.org/10.1016/j.immuni.2024.03.005.</w:t>
      </w:r>
    </w:p>
    <w:p w14:paraId="22D44515"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Tan, A., Hendricks, S., Carter, E., Buckley, K., &amp; Strader, M. (2025). Microbial communities experienced during early development shape the host immune system and epigenome. </w:t>
      </w:r>
      <w:proofErr w:type="spellStart"/>
      <w:r w:rsidRPr="00BA3B8B">
        <w:rPr>
          <w:b w:val="0"/>
          <w:caps w:val="0"/>
          <w:sz w:val="20"/>
        </w:rPr>
        <w:t>iScience</w:t>
      </w:r>
      <w:proofErr w:type="spellEnd"/>
      <w:r w:rsidRPr="00BA3B8B">
        <w:rPr>
          <w:b w:val="0"/>
          <w:caps w:val="0"/>
          <w:sz w:val="20"/>
        </w:rPr>
        <w:t>, 28. https://doi.org/10.1016/j.isci.2025.113767.</w:t>
      </w:r>
    </w:p>
    <w:p w14:paraId="446AF74B"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Tepekule</w:t>
      </w:r>
      <w:proofErr w:type="spellEnd"/>
      <w:r w:rsidRPr="00BA3B8B">
        <w:rPr>
          <w:b w:val="0"/>
          <w:caps w:val="0"/>
          <w:sz w:val="20"/>
        </w:rPr>
        <w:t>, B., Lim, A., &amp; Metcalf, C. (2025). A model of early-life interactions between the gut microbiome and adaptive immunity provides insights into the ontogeny of immune tolerance. PLOS Biology, 23. https://doi.org/10.1371/journal.pbio.3003263.</w:t>
      </w:r>
    </w:p>
    <w:p w14:paraId="569DC8B8"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Valencia, S., </w:t>
      </w:r>
      <w:proofErr w:type="spellStart"/>
      <w:r w:rsidRPr="00BA3B8B">
        <w:rPr>
          <w:b w:val="0"/>
          <w:caps w:val="0"/>
          <w:sz w:val="20"/>
        </w:rPr>
        <w:t>Zuluaga</w:t>
      </w:r>
      <w:proofErr w:type="spellEnd"/>
      <w:r w:rsidRPr="00BA3B8B">
        <w:rPr>
          <w:b w:val="0"/>
          <w:caps w:val="0"/>
          <w:sz w:val="20"/>
        </w:rPr>
        <w:t xml:space="preserve">, M., Pérez, M., Montoya-Quintero, K., </w:t>
      </w:r>
      <w:proofErr w:type="spellStart"/>
      <w:r w:rsidRPr="00BA3B8B">
        <w:rPr>
          <w:b w:val="0"/>
          <w:caps w:val="0"/>
          <w:sz w:val="20"/>
        </w:rPr>
        <w:t>Candamil</w:t>
      </w:r>
      <w:proofErr w:type="spellEnd"/>
      <w:r w:rsidRPr="00BA3B8B">
        <w:rPr>
          <w:b w:val="0"/>
          <w:caps w:val="0"/>
          <w:sz w:val="20"/>
        </w:rPr>
        <w:t>-Cortes, M., &amp; Robledo, S. (2025). Human Gut Microbiome: A Connecting Organ Between Nutrition, Metabolism, and Health. International Journal of Molecular Sciences, 26. https://doi.org/10.3390/ijms26094112.</w:t>
      </w:r>
    </w:p>
    <w:p w14:paraId="7E2A17D4"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White, M., McManus, C., &amp; </w:t>
      </w:r>
      <w:proofErr w:type="spellStart"/>
      <w:r w:rsidRPr="00BA3B8B">
        <w:rPr>
          <w:b w:val="0"/>
          <w:caps w:val="0"/>
          <w:sz w:val="20"/>
        </w:rPr>
        <w:t>Maizels</w:t>
      </w:r>
      <w:proofErr w:type="spellEnd"/>
      <w:r w:rsidRPr="00BA3B8B">
        <w:rPr>
          <w:b w:val="0"/>
          <w:caps w:val="0"/>
          <w:sz w:val="20"/>
        </w:rPr>
        <w:t>, R. (2020). Regulatory T</w:t>
      </w:r>
      <w:r w:rsidRPr="00BA3B8B">
        <w:rPr>
          <w:rFonts w:ascii="Cambria Math" w:hAnsi="Cambria Math" w:cs="Cambria Math"/>
          <w:b w:val="0"/>
          <w:caps w:val="0"/>
          <w:sz w:val="20"/>
        </w:rPr>
        <w:t>‐</w:t>
      </w:r>
      <w:r w:rsidRPr="00BA3B8B">
        <w:rPr>
          <w:b w:val="0"/>
          <w:caps w:val="0"/>
          <w:sz w:val="20"/>
        </w:rPr>
        <w:t>cells in helminth infection: induction, function and therapeutic potential. Immunology, 160, 248 - 260. https://doi.org/10.1111/imm.13190.</w:t>
      </w:r>
    </w:p>
    <w:p w14:paraId="2FE109D1"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lastRenderedPageBreak/>
        <w:t xml:space="preserve">Xiao, Y., He, J., Zhu, Z., Zhao, Y., Luo, X., Luo, J., Guo, X., &amp; Chen, D. (2025). Host-microbiota-parasite crosstalk: Gut microbiota dysbiosis exacerbates Leishmania infantum pathogenesis through altered immunity and </w:t>
      </w:r>
      <w:proofErr w:type="spellStart"/>
      <w:r w:rsidRPr="00BA3B8B">
        <w:rPr>
          <w:b w:val="0"/>
          <w:caps w:val="0"/>
          <w:sz w:val="20"/>
        </w:rPr>
        <w:t>glycerylphosphatide</w:t>
      </w:r>
      <w:proofErr w:type="spellEnd"/>
      <w:r w:rsidRPr="00BA3B8B">
        <w:rPr>
          <w:b w:val="0"/>
          <w:caps w:val="0"/>
          <w:sz w:val="20"/>
        </w:rPr>
        <w:t xml:space="preserve"> metabolism. Acta </w:t>
      </w:r>
      <w:proofErr w:type="spellStart"/>
      <w:r w:rsidRPr="00BA3B8B">
        <w:rPr>
          <w:b w:val="0"/>
          <w:caps w:val="0"/>
          <w:sz w:val="20"/>
        </w:rPr>
        <w:t>tropica</w:t>
      </w:r>
      <w:proofErr w:type="spellEnd"/>
      <w:r w:rsidRPr="00BA3B8B">
        <w:rPr>
          <w:b w:val="0"/>
          <w:caps w:val="0"/>
          <w:sz w:val="20"/>
        </w:rPr>
        <w:t>, 107845 . https://doi.org/10.1016/j.actatropica.2025.107845.</w:t>
      </w:r>
    </w:p>
    <w:p w14:paraId="67425CAF"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Yang, B., Wu, J., Hou, X., Bai, T., &amp; Liu, S. (2025). Memory in Misfire: The Gut Microbiome-Trained Immunity Circuit in Inflammatory Bowel Diseases. International Journal of Molecular Sciences, 26. https://doi.org/10.3390/ijms26199663.</w:t>
      </w:r>
    </w:p>
    <w:p w14:paraId="77EA8388"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 xml:space="preserve">Yang, J., Yang, H., &amp; Li, Y. (2022). The triple interactions between gut microbiota, </w:t>
      </w:r>
      <w:proofErr w:type="spellStart"/>
      <w:r w:rsidRPr="00BA3B8B">
        <w:rPr>
          <w:b w:val="0"/>
          <w:caps w:val="0"/>
          <w:sz w:val="20"/>
        </w:rPr>
        <w:t>mycobiota</w:t>
      </w:r>
      <w:proofErr w:type="spellEnd"/>
      <w:r w:rsidRPr="00BA3B8B">
        <w:rPr>
          <w:b w:val="0"/>
          <w:caps w:val="0"/>
          <w:sz w:val="20"/>
        </w:rPr>
        <w:t xml:space="preserve"> and host immunity. Critical Reviews in Food Science and Nutrition, 63, 11604 - 11624. https://doi.org/10.1080/10408398.2022.2094888.</w:t>
      </w:r>
    </w:p>
    <w:p w14:paraId="7AC4F010"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Yoo</w:t>
      </w:r>
      <w:proofErr w:type="spellEnd"/>
      <w:r w:rsidRPr="00BA3B8B">
        <w:rPr>
          <w:b w:val="0"/>
          <w:caps w:val="0"/>
          <w:sz w:val="20"/>
        </w:rPr>
        <w:t xml:space="preserve">, J., </w:t>
      </w:r>
      <w:proofErr w:type="spellStart"/>
      <w:r w:rsidRPr="00BA3B8B">
        <w:rPr>
          <w:b w:val="0"/>
          <w:caps w:val="0"/>
          <w:sz w:val="20"/>
        </w:rPr>
        <w:t>Groer</w:t>
      </w:r>
      <w:proofErr w:type="spellEnd"/>
      <w:r w:rsidRPr="00BA3B8B">
        <w:rPr>
          <w:b w:val="0"/>
          <w:caps w:val="0"/>
          <w:sz w:val="20"/>
        </w:rPr>
        <w:t>, M., Dutra, S., Sarkar, A., &amp; McSkimming, D. (2020). Gut Microbiota and Immune System Interactions. Microorganisms, 8. https://doi.org/10.3390/microorganisms8101587.</w:t>
      </w:r>
    </w:p>
    <w:p w14:paraId="703A9929" w14:textId="77777777" w:rsidR="00BA3B8B" w:rsidRPr="00BA3B8B" w:rsidRDefault="00BA3B8B" w:rsidP="00DF7D65">
      <w:pPr>
        <w:pStyle w:val="Appendix"/>
        <w:numPr>
          <w:ilvl w:val="0"/>
          <w:numId w:val="32"/>
        </w:numPr>
        <w:spacing w:line="276" w:lineRule="auto"/>
        <w:jc w:val="both"/>
        <w:rPr>
          <w:b w:val="0"/>
          <w:caps w:val="0"/>
          <w:sz w:val="20"/>
        </w:rPr>
      </w:pPr>
      <w:r w:rsidRPr="00BA3B8B">
        <w:rPr>
          <w:b w:val="0"/>
          <w:caps w:val="0"/>
          <w:sz w:val="20"/>
        </w:rPr>
        <w:t>You, S., , Y., Yan, B., Pei, W., Wu, Q., Ding, C., &amp; Huang, C. (2022). The promotion mechanism of prebiotics for probiotics: A review. Frontiers in Nutrition, 9. https://doi.org/10.3389/fnut.2022.1000517.</w:t>
      </w:r>
    </w:p>
    <w:p w14:paraId="1312A3C5" w14:textId="77777777" w:rsidR="00BA3B8B" w:rsidRPr="00BA3B8B" w:rsidRDefault="00BA3B8B" w:rsidP="00DF7D65">
      <w:pPr>
        <w:pStyle w:val="Appendix"/>
        <w:numPr>
          <w:ilvl w:val="0"/>
          <w:numId w:val="32"/>
        </w:numPr>
        <w:spacing w:line="276" w:lineRule="auto"/>
        <w:jc w:val="both"/>
        <w:rPr>
          <w:b w:val="0"/>
          <w:caps w:val="0"/>
          <w:sz w:val="20"/>
        </w:rPr>
      </w:pPr>
      <w:proofErr w:type="spellStart"/>
      <w:r w:rsidRPr="00BA3B8B">
        <w:rPr>
          <w:b w:val="0"/>
          <w:caps w:val="0"/>
          <w:sz w:val="20"/>
        </w:rPr>
        <w:t>Zakeri</w:t>
      </w:r>
      <w:proofErr w:type="spellEnd"/>
      <w:r w:rsidRPr="00BA3B8B">
        <w:rPr>
          <w:b w:val="0"/>
          <w:caps w:val="0"/>
          <w:sz w:val="20"/>
        </w:rPr>
        <w:t xml:space="preserve">, A., Hansen, E., Andersen, S., Williams, A., &amp; </w:t>
      </w:r>
      <w:proofErr w:type="spellStart"/>
      <w:r w:rsidRPr="00BA3B8B">
        <w:rPr>
          <w:b w:val="0"/>
          <w:caps w:val="0"/>
          <w:sz w:val="20"/>
        </w:rPr>
        <w:t>Nejsum</w:t>
      </w:r>
      <w:proofErr w:type="spellEnd"/>
      <w:r w:rsidRPr="00BA3B8B">
        <w:rPr>
          <w:b w:val="0"/>
          <w:caps w:val="0"/>
          <w:sz w:val="20"/>
        </w:rPr>
        <w:t>, P. (2018). Immunomodulation by Helminths: Intracellular Pathways and Extracellular Vesicles. Frontiers in Immunology, 9. https://doi.org/10.3389/fimmu.2018.02349.</w:t>
      </w:r>
    </w:p>
    <w:p w14:paraId="2B663114" w14:textId="68F6DED4" w:rsidR="00AF6319" w:rsidRDefault="00BA3B8B" w:rsidP="00DF7D65">
      <w:pPr>
        <w:pStyle w:val="Appendix"/>
        <w:numPr>
          <w:ilvl w:val="0"/>
          <w:numId w:val="32"/>
        </w:numPr>
        <w:spacing w:after="0" w:line="276" w:lineRule="auto"/>
        <w:jc w:val="both"/>
        <w:rPr>
          <w:b w:val="0"/>
          <w:caps w:val="0"/>
          <w:sz w:val="20"/>
        </w:rPr>
      </w:pPr>
      <w:r w:rsidRPr="00BA3B8B">
        <w:rPr>
          <w:b w:val="0"/>
          <w:caps w:val="0"/>
          <w:sz w:val="20"/>
        </w:rPr>
        <w:t xml:space="preserve">Zhao, M., Chu, J., Feng, S., Guo, C., </w:t>
      </w:r>
      <w:proofErr w:type="spellStart"/>
      <w:r w:rsidRPr="00BA3B8B">
        <w:rPr>
          <w:b w:val="0"/>
          <w:caps w:val="0"/>
          <w:sz w:val="20"/>
        </w:rPr>
        <w:t>Xue</w:t>
      </w:r>
      <w:proofErr w:type="spellEnd"/>
      <w:r w:rsidRPr="00BA3B8B">
        <w:rPr>
          <w:b w:val="0"/>
          <w:caps w:val="0"/>
          <w:sz w:val="20"/>
        </w:rPr>
        <w:t xml:space="preserve">, B., He, K., &amp; Li, L. (2023). Immunological mechanisms of inflammatory diseases caused by gut microbiota dysbiosis: A review.. Biomedicine &amp; pharmacotherapy = </w:t>
      </w:r>
      <w:proofErr w:type="spellStart"/>
      <w:r w:rsidRPr="00BA3B8B">
        <w:rPr>
          <w:b w:val="0"/>
          <w:caps w:val="0"/>
          <w:sz w:val="20"/>
        </w:rPr>
        <w:t>Biomedecine</w:t>
      </w:r>
      <w:proofErr w:type="spellEnd"/>
      <w:r w:rsidRPr="00BA3B8B">
        <w:rPr>
          <w:b w:val="0"/>
          <w:caps w:val="0"/>
          <w:sz w:val="20"/>
        </w:rPr>
        <w:t xml:space="preserve"> &amp; </w:t>
      </w:r>
      <w:proofErr w:type="spellStart"/>
      <w:r w:rsidRPr="00BA3B8B">
        <w:rPr>
          <w:b w:val="0"/>
          <w:caps w:val="0"/>
          <w:sz w:val="20"/>
        </w:rPr>
        <w:t>pharmacotherapie</w:t>
      </w:r>
      <w:proofErr w:type="spellEnd"/>
      <w:r w:rsidRPr="00BA3B8B">
        <w:rPr>
          <w:b w:val="0"/>
          <w:caps w:val="0"/>
          <w:sz w:val="20"/>
        </w:rPr>
        <w:t xml:space="preserve">, 164, 114985 . </w:t>
      </w:r>
      <w:hyperlink r:id="rId16" w:history="1">
        <w:r w:rsidR="00AF6319" w:rsidRPr="007D5168">
          <w:rPr>
            <w:rStyle w:val="Hyperlink"/>
            <w:b w:val="0"/>
            <w:caps w:val="0"/>
            <w:sz w:val="20"/>
          </w:rPr>
          <w:t>https://doi.org/10.1016/j.biopha.2023.114985</w:t>
        </w:r>
      </w:hyperlink>
    </w:p>
    <w:p w14:paraId="61CF6CB7" w14:textId="77777777" w:rsidR="00AF6319" w:rsidRDefault="00AF6319" w:rsidP="008618E0">
      <w:pPr>
        <w:pStyle w:val="Appendix"/>
        <w:spacing w:after="0" w:line="276" w:lineRule="auto"/>
        <w:jc w:val="both"/>
        <w:rPr>
          <w:b w:val="0"/>
          <w:caps w:val="0"/>
          <w:sz w:val="20"/>
        </w:rPr>
      </w:pPr>
    </w:p>
    <w:p w14:paraId="56856555" w14:textId="302BB2CC" w:rsidR="00B01FCD" w:rsidRDefault="00AF6319" w:rsidP="00DF7D65">
      <w:pPr>
        <w:pStyle w:val="Appendix"/>
        <w:numPr>
          <w:ilvl w:val="0"/>
          <w:numId w:val="32"/>
        </w:numPr>
        <w:spacing w:after="0" w:line="276" w:lineRule="auto"/>
        <w:jc w:val="both"/>
        <w:rPr>
          <w:b w:val="0"/>
          <w:caps w:val="0"/>
          <w:sz w:val="20"/>
          <w:highlight w:val="yellow"/>
        </w:rPr>
      </w:pPr>
      <w:proofErr w:type="spellStart"/>
      <w:r w:rsidRPr="005B51E2">
        <w:rPr>
          <w:b w:val="0"/>
          <w:caps w:val="0"/>
          <w:sz w:val="20"/>
          <w:highlight w:val="yellow"/>
        </w:rPr>
        <w:t>Toala</w:t>
      </w:r>
      <w:proofErr w:type="spellEnd"/>
      <w:r w:rsidRPr="005B51E2">
        <w:rPr>
          <w:b w:val="0"/>
          <w:caps w:val="0"/>
          <w:sz w:val="20"/>
          <w:highlight w:val="yellow"/>
        </w:rPr>
        <w:t xml:space="preserve">-Franco, D., Torres-Cifuentes, D. M., Flores-Méndez, L. C., &amp; </w:t>
      </w:r>
      <w:proofErr w:type="spellStart"/>
      <w:r w:rsidRPr="005B51E2">
        <w:rPr>
          <w:b w:val="0"/>
          <w:caps w:val="0"/>
          <w:sz w:val="20"/>
          <w:highlight w:val="yellow"/>
        </w:rPr>
        <w:t>Caña-Bozada</w:t>
      </w:r>
      <w:proofErr w:type="spellEnd"/>
      <w:r w:rsidRPr="005B51E2">
        <w:rPr>
          <w:b w:val="0"/>
          <w:caps w:val="0"/>
          <w:sz w:val="20"/>
          <w:highlight w:val="yellow"/>
        </w:rPr>
        <w:t>, V. H. (2025). Integrative RNA-Seq analysis of host-parasite interactions and microbiota shifts in the gills of two fish species infected with monogeneans. Veterinary Parasitology, 337, 110472</w:t>
      </w:r>
    </w:p>
    <w:p w14:paraId="74AF9F6E" w14:textId="77777777" w:rsidR="00456D91" w:rsidRDefault="00456D91" w:rsidP="008618E0">
      <w:pPr>
        <w:pStyle w:val="Appendix"/>
        <w:spacing w:after="0" w:line="276" w:lineRule="auto"/>
        <w:jc w:val="both"/>
        <w:rPr>
          <w:b w:val="0"/>
          <w:caps w:val="0"/>
          <w:sz w:val="20"/>
          <w:highlight w:val="yellow"/>
        </w:rPr>
      </w:pPr>
    </w:p>
    <w:p w14:paraId="475C55E3" w14:textId="1D3FCBEE" w:rsidR="00456D91" w:rsidRDefault="00456D91" w:rsidP="00DF7D65">
      <w:pPr>
        <w:pStyle w:val="Appendix"/>
        <w:numPr>
          <w:ilvl w:val="0"/>
          <w:numId w:val="32"/>
        </w:numPr>
        <w:spacing w:after="0" w:line="276" w:lineRule="auto"/>
        <w:jc w:val="both"/>
        <w:rPr>
          <w:b w:val="0"/>
          <w:caps w:val="0"/>
          <w:sz w:val="20"/>
          <w:highlight w:val="yellow"/>
        </w:rPr>
      </w:pPr>
      <w:r w:rsidRPr="005B51E2">
        <w:rPr>
          <w:b w:val="0"/>
          <w:caps w:val="0"/>
          <w:sz w:val="20"/>
          <w:highlight w:val="yellow"/>
        </w:rPr>
        <w:t xml:space="preserve">Kristen M Rosamond, Helen Joan </w:t>
      </w:r>
      <w:proofErr w:type="spellStart"/>
      <w:r w:rsidRPr="005B51E2">
        <w:rPr>
          <w:b w:val="0"/>
          <w:caps w:val="0"/>
          <w:sz w:val="20"/>
          <w:highlight w:val="yellow"/>
        </w:rPr>
        <w:t>Esser</w:t>
      </w:r>
      <w:proofErr w:type="spellEnd"/>
      <w:r w:rsidRPr="005B51E2">
        <w:rPr>
          <w:b w:val="0"/>
          <w:caps w:val="0"/>
          <w:sz w:val="20"/>
          <w:highlight w:val="yellow"/>
        </w:rPr>
        <w:t xml:space="preserve">, </w:t>
      </w:r>
      <w:proofErr w:type="spellStart"/>
      <w:r w:rsidRPr="005B51E2">
        <w:rPr>
          <w:b w:val="0"/>
          <w:caps w:val="0"/>
          <w:sz w:val="20"/>
          <w:highlight w:val="yellow"/>
        </w:rPr>
        <w:t>Rebekka</w:t>
      </w:r>
      <w:proofErr w:type="spellEnd"/>
      <w:r w:rsidRPr="005B51E2">
        <w:rPr>
          <w:b w:val="0"/>
          <w:caps w:val="0"/>
          <w:sz w:val="20"/>
          <w:highlight w:val="yellow"/>
        </w:rPr>
        <w:t xml:space="preserve"> B </w:t>
      </w:r>
      <w:proofErr w:type="spellStart"/>
      <w:r w:rsidRPr="005B51E2">
        <w:rPr>
          <w:b w:val="0"/>
          <w:caps w:val="0"/>
          <w:sz w:val="20"/>
          <w:highlight w:val="yellow"/>
        </w:rPr>
        <w:t>Assink</w:t>
      </w:r>
      <w:proofErr w:type="spellEnd"/>
      <w:r w:rsidRPr="005B51E2">
        <w:rPr>
          <w:b w:val="0"/>
          <w:caps w:val="0"/>
          <w:sz w:val="20"/>
          <w:highlight w:val="yellow"/>
        </w:rPr>
        <w:t xml:space="preserve">, Laura Jaramillo-Ortiz, </w:t>
      </w:r>
      <w:proofErr w:type="spellStart"/>
      <w:r w:rsidRPr="005B51E2">
        <w:rPr>
          <w:b w:val="0"/>
          <w:caps w:val="0"/>
          <w:sz w:val="20"/>
          <w:highlight w:val="yellow"/>
        </w:rPr>
        <w:t>Melissah</w:t>
      </w:r>
      <w:proofErr w:type="spellEnd"/>
      <w:r w:rsidRPr="005B51E2">
        <w:rPr>
          <w:b w:val="0"/>
          <w:caps w:val="0"/>
          <w:sz w:val="20"/>
          <w:highlight w:val="yellow"/>
        </w:rPr>
        <w:t xml:space="preserve"> Rowe, Ellie C Kirke, Kevin D Matson, Host–Microbiome Interactions as Moderators of Host Quality and Biodiversity–Disease Relationships, Integrative and Comparative Biology, Volume 65, Issue 2, August 2025, Pages 430–444, </w:t>
      </w:r>
      <w:hyperlink r:id="rId17" w:history="1">
        <w:r w:rsidR="00862B0F" w:rsidRPr="005B51E2">
          <w:rPr>
            <w:rStyle w:val="Hyperlink"/>
            <w:b w:val="0"/>
            <w:caps w:val="0"/>
            <w:sz w:val="20"/>
            <w:highlight w:val="yellow"/>
          </w:rPr>
          <w:t>https://doi.org/10.1093/icb/icaf091</w:t>
        </w:r>
      </w:hyperlink>
    </w:p>
    <w:p w14:paraId="337F2614" w14:textId="77777777" w:rsidR="00862B0F" w:rsidRDefault="00862B0F" w:rsidP="008618E0">
      <w:pPr>
        <w:pStyle w:val="Appendix"/>
        <w:spacing w:after="0" w:line="276" w:lineRule="auto"/>
        <w:jc w:val="both"/>
        <w:rPr>
          <w:b w:val="0"/>
          <w:caps w:val="0"/>
          <w:sz w:val="20"/>
          <w:highlight w:val="yellow"/>
        </w:rPr>
      </w:pPr>
    </w:p>
    <w:p w14:paraId="37ED14B2" w14:textId="77777777" w:rsidR="00862B0F" w:rsidRPr="00862B0F" w:rsidRDefault="00862B0F" w:rsidP="00DF7D65">
      <w:pPr>
        <w:pStyle w:val="ListParagraph"/>
        <w:numPr>
          <w:ilvl w:val="0"/>
          <w:numId w:val="32"/>
        </w:numPr>
      </w:pPr>
      <w:proofErr w:type="spellStart"/>
      <w:r w:rsidRPr="00DF7D65">
        <w:rPr>
          <w:highlight w:val="yellow"/>
        </w:rPr>
        <w:t>Grondin</w:t>
      </w:r>
      <w:proofErr w:type="spellEnd"/>
      <w:r w:rsidRPr="00DF7D65">
        <w:rPr>
          <w:highlight w:val="yellow"/>
        </w:rPr>
        <w:t xml:space="preserve">, J. A., Jamal, A., </w:t>
      </w:r>
      <w:proofErr w:type="spellStart"/>
      <w:r w:rsidRPr="00DF7D65">
        <w:rPr>
          <w:highlight w:val="yellow"/>
        </w:rPr>
        <w:t>Mowna</w:t>
      </w:r>
      <w:proofErr w:type="spellEnd"/>
      <w:r w:rsidRPr="00DF7D65">
        <w:rPr>
          <w:highlight w:val="yellow"/>
        </w:rPr>
        <w:t xml:space="preserve">, S., </w:t>
      </w:r>
      <w:proofErr w:type="spellStart"/>
      <w:r w:rsidRPr="00DF7D65">
        <w:rPr>
          <w:highlight w:val="yellow"/>
        </w:rPr>
        <w:t>Seto</w:t>
      </w:r>
      <w:proofErr w:type="spellEnd"/>
      <w:r w:rsidRPr="00DF7D65">
        <w:rPr>
          <w:highlight w:val="yellow"/>
        </w:rPr>
        <w:t xml:space="preserve">, T., &amp; Khan, W. I. (2024). Interaction between Intestinal Parasites and the Gut Microbiota: Implications for the Intestinal Immune Response and Host </w:t>
      </w:r>
      <w:proofErr w:type="spellStart"/>
      <w:r w:rsidRPr="00DF7D65">
        <w:rPr>
          <w:highlight w:val="yellow"/>
        </w:rPr>
        <w:t>Defence</w:t>
      </w:r>
      <w:proofErr w:type="spellEnd"/>
      <w:r w:rsidRPr="00DF7D65">
        <w:rPr>
          <w:highlight w:val="yellow"/>
        </w:rPr>
        <w:t>. Pathogens, 13(8), 608. https://doi.org/10.3390/pathogens13080608</w:t>
      </w:r>
    </w:p>
    <w:p w14:paraId="7BCEB28A" w14:textId="77777777" w:rsidR="00862B0F" w:rsidRDefault="00862B0F" w:rsidP="008618E0">
      <w:pPr>
        <w:pStyle w:val="Appendix"/>
        <w:spacing w:after="0" w:line="276" w:lineRule="auto"/>
        <w:jc w:val="both"/>
        <w:rPr>
          <w:b w:val="0"/>
          <w:caps w:val="0"/>
          <w:sz w:val="20"/>
        </w:rPr>
      </w:pPr>
    </w:p>
    <w:p w14:paraId="29808BBF" w14:textId="5CB461FF" w:rsidR="00AF6319" w:rsidRDefault="00AF6319" w:rsidP="008618E0">
      <w:pPr>
        <w:pStyle w:val="Appendix"/>
        <w:spacing w:after="0" w:line="276" w:lineRule="auto"/>
        <w:jc w:val="both"/>
        <w:rPr>
          <w:rFonts w:ascii="Arial" w:hAnsi="Arial" w:cs="Arial"/>
          <w:b w:val="0"/>
        </w:rPr>
      </w:pPr>
    </w:p>
    <w:bookmarkEnd w:id="1"/>
    <w:p w14:paraId="0F206515" w14:textId="77777777" w:rsidR="00AF6319" w:rsidRPr="00FB3A86" w:rsidRDefault="00AF6319" w:rsidP="008618E0">
      <w:pPr>
        <w:pStyle w:val="Appendix"/>
        <w:spacing w:after="0" w:line="276" w:lineRule="auto"/>
        <w:jc w:val="both"/>
        <w:rPr>
          <w:rFonts w:ascii="Arial" w:hAnsi="Arial" w:cs="Arial"/>
          <w:b w:val="0"/>
        </w:rPr>
      </w:pPr>
    </w:p>
    <w:sectPr w:rsidR="00AF6319" w:rsidRPr="00FB3A86" w:rsidSect="003A5378">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769FE" w14:textId="77777777" w:rsidR="009B15F7" w:rsidRDefault="009B15F7" w:rsidP="00C37E61">
      <w:r>
        <w:separator/>
      </w:r>
    </w:p>
  </w:endnote>
  <w:endnote w:type="continuationSeparator" w:id="0">
    <w:p w14:paraId="5CB82108" w14:textId="77777777" w:rsidR="009B15F7" w:rsidRDefault="009B15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8C05" w14:textId="77777777" w:rsidR="00D55CA8" w:rsidRDefault="00D5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16FC" w14:textId="77777777" w:rsidR="00D55CA8" w:rsidRDefault="00D5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769D" w14:textId="77777777" w:rsidR="009E048A" w:rsidRDefault="009E048A">
    <w:pPr>
      <w:pStyle w:val="Footer"/>
      <w:rPr>
        <w:rFonts w:ascii="Arial" w:hAnsi="Arial" w:cs="Arial"/>
        <w:sz w:val="16"/>
      </w:rPr>
    </w:pPr>
  </w:p>
  <w:p w14:paraId="6B5F38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FC148F" w14:textId="77777777" w:rsidR="009E048A" w:rsidRDefault="009E048A">
    <w:pPr>
      <w:pStyle w:val="Footer"/>
      <w:rPr>
        <w:rFonts w:ascii="Arial" w:hAnsi="Arial" w:cs="Arial"/>
        <w:sz w:val="16"/>
      </w:rPr>
    </w:pPr>
  </w:p>
  <w:p w14:paraId="67AD7A8D" w14:textId="55DB91D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4D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8926B" w14:textId="77777777" w:rsidR="009B15F7" w:rsidRDefault="009B15F7" w:rsidP="00C37E61">
      <w:r>
        <w:separator/>
      </w:r>
    </w:p>
  </w:footnote>
  <w:footnote w:type="continuationSeparator" w:id="0">
    <w:p w14:paraId="25FED5EB" w14:textId="77777777" w:rsidR="009B15F7" w:rsidRDefault="009B15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36FD" w14:textId="1A05006B" w:rsidR="00D55CA8" w:rsidRDefault="009B15F7">
    <w:pPr>
      <w:pStyle w:val="Header"/>
    </w:pPr>
    <w:r>
      <w:rPr>
        <w:noProof/>
      </w:rPr>
      <w:pict w14:anchorId="095EE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E3F2" w14:textId="50830366" w:rsidR="00D55CA8" w:rsidRDefault="009B15F7">
    <w:pPr>
      <w:pStyle w:val="Header"/>
    </w:pPr>
    <w:r>
      <w:rPr>
        <w:noProof/>
      </w:rPr>
      <w:pict w14:anchorId="4A94F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7953" w14:textId="7EA69396" w:rsidR="00296529" w:rsidRPr="00296529" w:rsidRDefault="009B15F7" w:rsidP="00296529">
    <w:pPr>
      <w:ind w:left="2160"/>
      <w:jc w:val="center"/>
      <w:rPr>
        <w:rFonts w:ascii="Times New Roman" w:eastAsia="Calibri" w:hAnsi="Times New Roman"/>
        <w:i/>
        <w:sz w:val="18"/>
        <w:szCs w:val="22"/>
      </w:rPr>
    </w:pPr>
    <w:r>
      <w:rPr>
        <w:noProof/>
      </w:rPr>
      <w:pict w14:anchorId="38DC8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CE1D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5161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1B0D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D12C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96B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0A3D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B4AC" w14:textId="37774360" w:rsidR="00D55CA8" w:rsidRDefault="009B15F7">
    <w:pPr>
      <w:pStyle w:val="Header"/>
    </w:pPr>
    <w:r>
      <w:rPr>
        <w:noProof/>
      </w:rPr>
      <w:pict w14:anchorId="03503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06B5" w14:textId="5905E88E" w:rsidR="00D55CA8" w:rsidRDefault="009B15F7">
    <w:pPr>
      <w:pStyle w:val="Header"/>
    </w:pPr>
    <w:r>
      <w:rPr>
        <w:noProof/>
      </w:rPr>
      <w:pict w14:anchorId="74721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68AE" w14:textId="64DD72BD" w:rsidR="00D55CA8" w:rsidRDefault="009B15F7">
    <w:pPr>
      <w:pStyle w:val="Header"/>
    </w:pPr>
    <w:r>
      <w:rPr>
        <w:noProof/>
      </w:rPr>
      <w:pict w14:anchorId="2F36D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605F4D"/>
    <w:multiLevelType w:val="hybridMultilevel"/>
    <w:tmpl w:val="AE12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04714"/>
    <w:multiLevelType w:val="hybridMultilevel"/>
    <w:tmpl w:val="2C0E95DA"/>
    <w:lvl w:ilvl="0" w:tplc="185CC9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NjSxMDE3sTAzsjRX0lEKTi0uzszPAykwrAUAF//o0ywAAAA="/>
  </w:docVars>
  <w:rsids>
    <w:rsidRoot w:val="00AA6219"/>
    <w:rsid w:val="00000F8F"/>
    <w:rsid w:val="00030174"/>
    <w:rsid w:val="00034F2E"/>
    <w:rsid w:val="0004579C"/>
    <w:rsid w:val="000659B6"/>
    <w:rsid w:val="000A0220"/>
    <w:rsid w:val="000A47FA"/>
    <w:rsid w:val="000A65D3"/>
    <w:rsid w:val="000B1E33"/>
    <w:rsid w:val="000B68B3"/>
    <w:rsid w:val="000C0138"/>
    <w:rsid w:val="000D689F"/>
    <w:rsid w:val="000E7B7B"/>
    <w:rsid w:val="000E7D62"/>
    <w:rsid w:val="00103357"/>
    <w:rsid w:val="00123C9F"/>
    <w:rsid w:val="00126190"/>
    <w:rsid w:val="00130F17"/>
    <w:rsid w:val="001320BF"/>
    <w:rsid w:val="00153EAE"/>
    <w:rsid w:val="00163BC4"/>
    <w:rsid w:val="00184500"/>
    <w:rsid w:val="00191062"/>
    <w:rsid w:val="00192B72"/>
    <w:rsid w:val="001A29D8"/>
    <w:rsid w:val="001A5CAA"/>
    <w:rsid w:val="001B0427"/>
    <w:rsid w:val="001D3A51"/>
    <w:rsid w:val="001E10D2"/>
    <w:rsid w:val="001E25B4"/>
    <w:rsid w:val="001E44FE"/>
    <w:rsid w:val="001F6647"/>
    <w:rsid w:val="00200595"/>
    <w:rsid w:val="00204835"/>
    <w:rsid w:val="00231920"/>
    <w:rsid w:val="0023195C"/>
    <w:rsid w:val="0024282C"/>
    <w:rsid w:val="002460DC"/>
    <w:rsid w:val="00250985"/>
    <w:rsid w:val="002556F6"/>
    <w:rsid w:val="00283105"/>
    <w:rsid w:val="00284C4C"/>
    <w:rsid w:val="00287E68"/>
    <w:rsid w:val="00296529"/>
    <w:rsid w:val="002A463C"/>
    <w:rsid w:val="002B27FB"/>
    <w:rsid w:val="002B685A"/>
    <w:rsid w:val="002C57D2"/>
    <w:rsid w:val="002E0D56"/>
    <w:rsid w:val="00315186"/>
    <w:rsid w:val="0033343E"/>
    <w:rsid w:val="003512C2"/>
    <w:rsid w:val="00371FB6"/>
    <w:rsid w:val="003763C1"/>
    <w:rsid w:val="00376BBE"/>
    <w:rsid w:val="00382D0C"/>
    <w:rsid w:val="0039224F"/>
    <w:rsid w:val="003A43A4"/>
    <w:rsid w:val="003A5378"/>
    <w:rsid w:val="003A7E18"/>
    <w:rsid w:val="003C4C86"/>
    <w:rsid w:val="003C6258"/>
    <w:rsid w:val="003E2904"/>
    <w:rsid w:val="00401927"/>
    <w:rsid w:val="0041027F"/>
    <w:rsid w:val="00412475"/>
    <w:rsid w:val="00423789"/>
    <w:rsid w:val="00440F43"/>
    <w:rsid w:val="00441B6F"/>
    <w:rsid w:val="004451FC"/>
    <w:rsid w:val="00446221"/>
    <w:rsid w:val="00450E62"/>
    <w:rsid w:val="004539DB"/>
    <w:rsid w:val="00456D91"/>
    <w:rsid w:val="00471A80"/>
    <w:rsid w:val="00473239"/>
    <w:rsid w:val="004D305E"/>
    <w:rsid w:val="004D4277"/>
    <w:rsid w:val="004F4072"/>
    <w:rsid w:val="004F67BC"/>
    <w:rsid w:val="00502516"/>
    <w:rsid w:val="00505F06"/>
    <w:rsid w:val="00506828"/>
    <w:rsid w:val="0053056E"/>
    <w:rsid w:val="0053197B"/>
    <w:rsid w:val="00550BA9"/>
    <w:rsid w:val="00554FDA"/>
    <w:rsid w:val="0056222F"/>
    <w:rsid w:val="005B51E2"/>
    <w:rsid w:val="005C784C"/>
    <w:rsid w:val="005D17F6"/>
    <w:rsid w:val="005E5539"/>
    <w:rsid w:val="005E6FE3"/>
    <w:rsid w:val="005F4387"/>
    <w:rsid w:val="00602BF5"/>
    <w:rsid w:val="00617FDD"/>
    <w:rsid w:val="00633614"/>
    <w:rsid w:val="00633F68"/>
    <w:rsid w:val="00636EB2"/>
    <w:rsid w:val="006375B8"/>
    <w:rsid w:val="00640045"/>
    <w:rsid w:val="00645CA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7F15"/>
    <w:rsid w:val="007D2288"/>
    <w:rsid w:val="007E088F"/>
    <w:rsid w:val="007F7B32"/>
    <w:rsid w:val="00804BC2"/>
    <w:rsid w:val="0081431A"/>
    <w:rsid w:val="0083216F"/>
    <w:rsid w:val="00860000"/>
    <w:rsid w:val="008618E0"/>
    <w:rsid w:val="00862B0F"/>
    <w:rsid w:val="00863BD3"/>
    <w:rsid w:val="008641ED"/>
    <w:rsid w:val="00866D66"/>
    <w:rsid w:val="008671C6"/>
    <w:rsid w:val="00875803"/>
    <w:rsid w:val="008B459E"/>
    <w:rsid w:val="008E13AE"/>
    <w:rsid w:val="008E1506"/>
    <w:rsid w:val="008E710C"/>
    <w:rsid w:val="008F10F7"/>
    <w:rsid w:val="008F69D6"/>
    <w:rsid w:val="00902823"/>
    <w:rsid w:val="00915CA6"/>
    <w:rsid w:val="00927834"/>
    <w:rsid w:val="009500A6"/>
    <w:rsid w:val="00957C18"/>
    <w:rsid w:val="009659BA"/>
    <w:rsid w:val="00975946"/>
    <w:rsid w:val="00983040"/>
    <w:rsid w:val="009B15F7"/>
    <w:rsid w:val="009B3FB9"/>
    <w:rsid w:val="009C2465"/>
    <w:rsid w:val="009D35A0"/>
    <w:rsid w:val="009D7EB7"/>
    <w:rsid w:val="009E048A"/>
    <w:rsid w:val="009E08E9"/>
    <w:rsid w:val="009E3DB9"/>
    <w:rsid w:val="009E6E35"/>
    <w:rsid w:val="009F0EDA"/>
    <w:rsid w:val="009F2DE5"/>
    <w:rsid w:val="00A03B96"/>
    <w:rsid w:val="00A05B19"/>
    <w:rsid w:val="00A1134E"/>
    <w:rsid w:val="00A24E7E"/>
    <w:rsid w:val="00A258C3"/>
    <w:rsid w:val="00A347C0"/>
    <w:rsid w:val="00A5049D"/>
    <w:rsid w:val="00A51431"/>
    <w:rsid w:val="00A51D4A"/>
    <w:rsid w:val="00A539AD"/>
    <w:rsid w:val="00A541B3"/>
    <w:rsid w:val="00A94063"/>
    <w:rsid w:val="00AA51FE"/>
    <w:rsid w:val="00AA6219"/>
    <w:rsid w:val="00AA74E0"/>
    <w:rsid w:val="00AB703F"/>
    <w:rsid w:val="00AC6BB8"/>
    <w:rsid w:val="00AE008F"/>
    <w:rsid w:val="00AF6319"/>
    <w:rsid w:val="00B01FCD"/>
    <w:rsid w:val="00B1776C"/>
    <w:rsid w:val="00B2169F"/>
    <w:rsid w:val="00B52583"/>
    <w:rsid w:val="00B52896"/>
    <w:rsid w:val="00B95236"/>
    <w:rsid w:val="00B96BD9"/>
    <w:rsid w:val="00BA1B01"/>
    <w:rsid w:val="00BA2641"/>
    <w:rsid w:val="00BA3B8B"/>
    <w:rsid w:val="00BB37AA"/>
    <w:rsid w:val="00BC53A0"/>
    <w:rsid w:val="00BE62AD"/>
    <w:rsid w:val="00BF121F"/>
    <w:rsid w:val="00BF1F80"/>
    <w:rsid w:val="00C166EF"/>
    <w:rsid w:val="00C17EB0"/>
    <w:rsid w:val="00C27F5F"/>
    <w:rsid w:val="00C30A0F"/>
    <w:rsid w:val="00C37E61"/>
    <w:rsid w:val="00C567A4"/>
    <w:rsid w:val="00C70F1B"/>
    <w:rsid w:val="00C71A47"/>
    <w:rsid w:val="00C7464C"/>
    <w:rsid w:val="00C8500B"/>
    <w:rsid w:val="00C85588"/>
    <w:rsid w:val="00CD6755"/>
    <w:rsid w:val="00CD6856"/>
    <w:rsid w:val="00CD6B47"/>
    <w:rsid w:val="00CE0089"/>
    <w:rsid w:val="00CE793C"/>
    <w:rsid w:val="00CF193C"/>
    <w:rsid w:val="00D173F1"/>
    <w:rsid w:val="00D222BD"/>
    <w:rsid w:val="00D55CA8"/>
    <w:rsid w:val="00D74CB0"/>
    <w:rsid w:val="00D8295D"/>
    <w:rsid w:val="00DC0ED2"/>
    <w:rsid w:val="00DC2A65"/>
    <w:rsid w:val="00DE15F0"/>
    <w:rsid w:val="00DE5663"/>
    <w:rsid w:val="00DE78AA"/>
    <w:rsid w:val="00DF7D65"/>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5D0E"/>
    <w:rsid w:val="00EE52CB"/>
    <w:rsid w:val="00EF581D"/>
    <w:rsid w:val="00EF7FD8"/>
    <w:rsid w:val="00F06F59"/>
    <w:rsid w:val="00F17988"/>
    <w:rsid w:val="00F469F0"/>
    <w:rsid w:val="00F53273"/>
    <w:rsid w:val="00F755E4"/>
    <w:rsid w:val="00F77D02"/>
    <w:rsid w:val="00FB358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A72B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8500B"/>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DF7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4450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5499556">
      <w:bodyDiv w:val="1"/>
      <w:marLeft w:val="0"/>
      <w:marRight w:val="0"/>
      <w:marTop w:val="0"/>
      <w:marBottom w:val="0"/>
      <w:divBdr>
        <w:top w:val="none" w:sz="0" w:space="0" w:color="auto"/>
        <w:left w:val="none" w:sz="0" w:space="0" w:color="auto"/>
        <w:bottom w:val="none" w:sz="0" w:space="0" w:color="auto"/>
        <w:right w:val="none" w:sz="0" w:space="0" w:color="auto"/>
      </w:divBdr>
      <w:divsChild>
        <w:div w:id="488324857">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0546445">
      <w:bodyDiv w:val="1"/>
      <w:marLeft w:val="0"/>
      <w:marRight w:val="0"/>
      <w:marTop w:val="0"/>
      <w:marBottom w:val="0"/>
      <w:divBdr>
        <w:top w:val="none" w:sz="0" w:space="0" w:color="auto"/>
        <w:left w:val="none" w:sz="0" w:space="0" w:color="auto"/>
        <w:bottom w:val="none" w:sz="0" w:space="0" w:color="auto"/>
        <w:right w:val="none" w:sz="0" w:space="0" w:color="auto"/>
      </w:divBdr>
      <w:divsChild>
        <w:div w:id="269751586">
          <w:marLeft w:val="0"/>
          <w:marRight w:val="0"/>
          <w:marTop w:val="0"/>
          <w:marBottom w:val="0"/>
          <w:divBdr>
            <w:top w:val="none" w:sz="0" w:space="0" w:color="auto"/>
            <w:left w:val="none" w:sz="0" w:space="0" w:color="auto"/>
            <w:bottom w:val="none" w:sz="0" w:space="0" w:color="auto"/>
            <w:right w:val="none" w:sz="0" w:space="0" w:color="auto"/>
          </w:divBdr>
          <w:divsChild>
            <w:div w:id="155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6273">
      <w:bodyDiv w:val="1"/>
      <w:marLeft w:val="0"/>
      <w:marRight w:val="0"/>
      <w:marTop w:val="0"/>
      <w:marBottom w:val="0"/>
      <w:divBdr>
        <w:top w:val="none" w:sz="0" w:space="0" w:color="auto"/>
        <w:left w:val="none" w:sz="0" w:space="0" w:color="auto"/>
        <w:bottom w:val="none" w:sz="0" w:space="0" w:color="auto"/>
        <w:right w:val="none" w:sz="0" w:space="0" w:color="auto"/>
      </w:divBdr>
      <w:divsChild>
        <w:div w:id="46417277">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36961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737208">
      <w:bodyDiv w:val="1"/>
      <w:marLeft w:val="0"/>
      <w:marRight w:val="0"/>
      <w:marTop w:val="0"/>
      <w:marBottom w:val="0"/>
      <w:divBdr>
        <w:top w:val="none" w:sz="0" w:space="0" w:color="auto"/>
        <w:left w:val="none" w:sz="0" w:space="0" w:color="auto"/>
        <w:bottom w:val="none" w:sz="0" w:space="0" w:color="auto"/>
        <w:right w:val="none" w:sz="0" w:space="0" w:color="auto"/>
      </w:divBdr>
      <w:divsChild>
        <w:div w:id="248389694">
          <w:marLeft w:val="0"/>
          <w:marRight w:val="0"/>
          <w:marTop w:val="0"/>
          <w:marBottom w:val="0"/>
          <w:divBdr>
            <w:top w:val="none" w:sz="0" w:space="0" w:color="auto"/>
            <w:left w:val="none" w:sz="0" w:space="0" w:color="auto"/>
            <w:bottom w:val="none" w:sz="0" w:space="0" w:color="auto"/>
            <w:right w:val="none" w:sz="0" w:space="0" w:color="auto"/>
          </w:divBdr>
          <w:divsChild>
            <w:div w:id="13986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3/icb/icaf091" TargetMode="External"/><Relationship Id="rId2" Type="http://schemas.openxmlformats.org/officeDocument/2006/relationships/numbering" Target="numbering.xml"/><Relationship Id="rId16" Type="http://schemas.openxmlformats.org/officeDocument/2006/relationships/hyperlink" Target="https://doi.org/10.1016/j.biopha.2023.11498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51F0-C023-4207-9725-C15C49F4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17</Pages>
  <Words>8464</Words>
  <Characters>48249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40</cp:revision>
  <cp:lastPrinted>1999-07-06T11:00:00Z</cp:lastPrinted>
  <dcterms:created xsi:type="dcterms:W3CDTF">2026-02-24T17:26:00Z</dcterms:created>
  <dcterms:modified xsi:type="dcterms:W3CDTF">2026-02-28T06:57:00Z</dcterms:modified>
</cp:coreProperties>
</file>