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E5F" w:rsidRPr="00454E5F" w:rsidRDefault="002646CF" w:rsidP="00FD2800">
      <w:pPr>
        <w:spacing w:before="100" w:beforeAutospacing="1" w:after="100" w:afterAutospacing="1" w:line="480" w:lineRule="auto"/>
        <w:jc w:val="center"/>
        <w:rPr>
          <w:rFonts w:ascii="Times New Roman" w:eastAsia="Times New Roman" w:hAnsi="Times New Roman" w:cs="Times New Roman"/>
          <w:b/>
          <w:bCs/>
          <w:sz w:val="24"/>
          <w:szCs w:val="24"/>
        </w:rPr>
      </w:pPr>
      <w:r w:rsidRPr="00FD2800">
        <w:rPr>
          <w:rFonts w:ascii="Times New Roman" w:eastAsia="Times New Roman" w:hAnsi="Times New Roman" w:cs="Times New Roman"/>
          <w:b/>
          <w:bCs/>
          <w:sz w:val="24"/>
          <w:szCs w:val="24"/>
        </w:rPr>
        <w:t xml:space="preserve">PREVALENCE OF </w:t>
      </w:r>
      <w:r w:rsidRPr="00FD2800">
        <w:rPr>
          <w:rFonts w:ascii="Times New Roman" w:eastAsia="Times New Roman" w:hAnsi="Times New Roman" w:cs="Times New Roman"/>
          <w:b/>
          <w:bCs/>
          <w:i/>
          <w:sz w:val="24"/>
          <w:szCs w:val="24"/>
        </w:rPr>
        <w:t>SALMONELLA</w:t>
      </w:r>
      <w:r w:rsidRPr="00FD2800">
        <w:rPr>
          <w:rFonts w:ascii="Times New Roman" w:eastAsia="Times New Roman" w:hAnsi="Times New Roman" w:cs="Times New Roman"/>
          <w:b/>
          <w:bCs/>
          <w:sz w:val="24"/>
          <w:szCs w:val="24"/>
        </w:rPr>
        <w:t xml:space="preserve"> INFECTION AMONG INTERNALLY DISPLACED PERSONS IN NORTH CENTRAL NIGERIA</w:t>
      </w:r>
    </w:p>
    <w:p w:rsidR="00E57527" w:rsidRDefault="00E57527" w:rsidP="002646CF">
      <w:pPr>
        <w:spacing w:after="200" w:line="276" w:lineRule="auto"/>
        <w:jc w:val="both"/>
        <w:rPr>
          <w:rFonts w:ascii="Times New Roman" w:eastAsia="Times New Roman" w:hAnsi="Times New Roman" w:cs="Times New Roman"/>
          <w:b/>
          <w:bCs/>
          <w:sz w:val="24"/>
          <w:szCs w:val="24"/>
          <w:lang w:val="en-US"/>
        </w:rPr>
      </w:pPr>
      <w:r w:rsidRPr="00E57527">
        <w:rPr>
          <w:rFonts w:ascii="Times New Roman" w:eastAsia="Times New Roman" w:hAnsi="Times New Roman" w:cs="Times New Roman"/>
          <w:b/>
          <w:bCs/>
          <w:sz w:val="24"/>
          <w:szCs w:val="24"/>
          <w:lang w:val="en-US"/>
        </w:rPr>
        <w:t>ABSTRACT</w:t>
      </w:r>
    </w:p>
    <w:p w:rsidR="00CA4029" w:rsidRDefault="00A5506D" w:rsidP="00A5506D">
      <w:pPr>
        <w:spacing w:after="0" w:line="240" w:lineRule="auto"/>
        <w:jc w:val="both"/>
        <w:rPr>
          <w:rFonts w:ascii="Times New Roman" w:eastAsia="Times New Roman" w:hAnsi="Times New Roman" w:cs="Times New Roman"/>
          <w:sz w:val="24"/>
          <w:szCs w:val="24"/>
          <w:lang w:val="en-US"/>
        </w:rPr>
      </w:pPr>
      <w:r w:rsidRPr="00886AD9">
        <w:rPr>
          <w:rFonts w:ascii="Times New Roman" w:hAnsi="Times New Roman" w:cs="Times New Roman"/>
          <w:sz w:val="24"/>
          <w:szCs w:val="24"/>
        </w:rPr>
        <w:t>Salmonellosis constitutes a significant public health problem among internally displaced persons (IDPs), largely due to overcrowded living conditions, inadequate sanitation, unsafe water supplies, and restricted access to healthcare services. This st</w:t>
      </w:r>
      <w:r>
        <w:rPr>
          <w:rFonts w:ascii="Times New Roman" w:hAnsi="Times New Roman" w:cs="Times New Roman"/>
          <w:sz w:val="24"/>
          <w:szCs w:val="24"/>
        </w:rPr>
        <w:t>udy investigated the prevalence of salmonella infection among internally displaced persons</w:t>
      </w:r>
      <w:r w:rsidRPr="00886AD9">
        <w:rPr>
          <w:rFonts w:ascii="Times New Roman" w:hAnsi="Times New Roman" w:cs="Times New Roman"/>
          <w:sz w:val="24"/>
          <w:szCs w:val="24"/>
        </w:rPr>
        <w:t xml:space="preserve"> residing in selected camps in Benue, Nasarawa, and Plateau States, Nigeria. </w:t>
      </w:r>
      <w:r w:rsidR="008A02C4" w:rsidRPr="008A02C4">
        <w:rPr>
          <w:rFonts w:ascii="Times New Roman" w:eastAsia="Times New Roman" w:hAnsi="Times New Roman" w:cs="Times New Roman"/>
          <w:sz w:val="24"/>
          <w:szCs w:val="24"/>
          <w:lang w:val="en-US"/>
        </w:rPr>
        <w:t>A descriptive cross-sectional study design was adopted. A total of 422 symptomatic participants were recruited using a standard sample size determination formula for populations greater than 10,000. Stool samples were collected using sterile containers with Cary-Blair transport medium and processed using conventional microbiological techniques, including enrichment in Selenite F broth, selective plating on Salmonella-Shigella agar, MacConkey agar, and Deoxycholate Citrate Agar, followed by Gram staining and biochemical characterization. Statistical analyses were performed to determine associations between infection status and demographic variables.</w:t>
      </w:r>
      <w:r w:rsidR="00850CF7">
        <w:rPr>
          <w:rFonts w:ascii="Times New Roman" w:eastAsia="Times New Roman" w:hAnsi="Times New Roman" w:cs="Times New Roman"/>
          <w:sz w:val="24"/>
          <w:szCs w:val="24"/>
          <w:lang w:val="en-US"/>
        </w:rPr>
        <w:t xml:space="preserve"> </w:t>
      </w:r>
      <w:r w:rsidR="008A02C4" w:rsidRPr="008A02C4">
        <w:rPr>
          <w:rFonts w:ascii="Times New Roman" w:eastAsia="Times New Roman" w:hAnsi="Times New Roman" w:cs="Times New Roman"/>
          <w:sz w:val="24"/>
          <w:szCs w:val="24"/>
          <w:lang w:val="en-US"/>
        </w:rPr>
        <w:t>The overall prevalence of Salmonella infection was 6.4%. Nasarawa State recorded the highest prevalence (8.0%), followed by Plateau (6.0%) and Benue (5.4%), with no statistically significant difference across states (p = 0.612). The highest age-specific prevalence was observed among individuals aged 31–40 years (10.9%), although age was not significantly associated with infection (p = 0.086). A significantly higher prevalence was observed among males (9.4%) compared to females (4.1%) (p = 0.029). Marital status showed a statistically significant association with infection (p = 0.050), with married participants accounting for the majority of cases (55.6%). Educational level and occupation were not significantly associated with infection, although farmers represented the largest proportion of infected individuals (74.1%).</w:t>
      </w:r>
      <w:r w:rsidR="00850CF7">
        <w:rPr>
          <w:rFonts w:ascii="Times New Roman" w:eastAsia="Times New Roman" w:hAnsi="Times New Roman" w:cs="Times New Roman"/>
          <w:sz w:val="24"/>
          <w:szCs w:val="24"/>
          <w:lang w:val="en-US"/>
        </w:rPr>
        <w:t xml:space="preserve"> </w:t>
      </w:r>
      <w:r w:rsidR="008A02C4" w:rsidRPr="008A02C4">
        <w:rPr>
          <w:rFonts w:ascii="Times New Roman" w:eastAsia="Times New Roman" w:hAnsi="Times New Roman" w:cs="Times New Roman"/>
          <w:sz w:val="24"/>
          <w:szCs w:val="24"/>
          <w:lang w:val="en-US"/>
        </w:rPr>
        <w:t>The findings highlight ongoing transmission of Salmonella within IDP camps and emphasize the urgent need for improved sanitation, hygiene education, and targeted public health interventions to reduce enteric disease bur</w:t>
      </w:r>
      <w:r w:rsidR="0043787D">
        <w:rPr>
          <w:rFonts w:ascii="Times New Roman" w:eastAsia="Times New Roman" w:hAnsi="Times New Roman" w:cs="Times New Roman"/>
          <w:sz w:val="24"/>
          <w:szCs w:val="24"/>
          <w:lang w:val="en-US"/>
        </w:rPr>
        <w:t>den among displaced populations</w:t>
      </w:r>
    </w:p>
    <w:p w:rsidR="00273206" w:rsidRPr="00200505" w:rsidRDefault="00273206" w:rsidP="00A5506D">
      <w:pPr>
        <w:spacing w:after="0" w:line="240" w:lineRule="auto"/>
        <w:jc w:val="both"/>
        <w:rPr>
          <w:rFonts w:ascii="Times New Roman" w:eastAsia="Times New Roman" w:hAnsi="Times New Roman" w:cs="Times New Roman"/>
          <w:b/>
          <w:sz w:val="24"/>
          <w:szCs w:val="24"/>
          <w:lang w:val="en-US"/>
        </w:rPr>
      </w:pPr>
      <w:r w:rsidRPr="00273206">
        <w:rPr>
          <w:rFonts w:ascii="Times New Roman" w:eastAsia="Times New Roman" w:hAnsi="Times New Roman" w:cs="Times New Roman"/>
          <w:b/>
          <w:sz w:val="24"/>
          <w:szCs w:val="24"/>
          <w:lang w:val="en-US"/>
        </w:rPr>
        <w:t>Keywords</w:t>
      </w:r>
      <w:r>
        <w:rPr>
          <w:rFonts w:ascii="Times New Roman" w:eastAsia="Times New Roman" w:hAnsi="Times New Roman" w:cs="Times New Roman"/>
          <w:b/>
          <w:sz w:val="24"/>
          <w:szCs w:val="24"/>
          <w:lang w:val="en-US"/>
        </w:rPr>
        <w:t xml:space="preserve">: </w:t>
      </w:r>
      <w:r w:rsidRPr="00200505">
        <w:rPr>
          <w:rStyle w:val="whitespace-normal"/>
          <w:rFonts w:ascii="Times New Roman" w:hAnsi="Times New Roman" w:cs="Times New Roman"/>
          <w:sz w:val="24"/>
          <w:szCs w:val="24"/>
        </w:rPr>
        <w:t>Salmonella</w:t>
      </w:r>
      <w:r w:rsidR="00200505" w:rsidRPr="00200505">
        <w:rPr>
          <w:rFonts w:ascii="Times New Roman" w:hAnsi="Times New Roman" w:cs="Times New Roman"/>
          <w:sz w:val="24"/>
          <w:szCs w:val="24"/>
        </w:rPr>
        <w:t xml:space="preserve">, </w:t>
      </w:r>
      <w:r w:rsidRPr="00200505">
        <w:rPr>
          <w:rFonts w:ascii="Times New Roman" w:hAnsi="Times New Roman" w:cs="Times New Roman"/>
          <w:sz w:val="24"/>
          <w:szCs w:val="24"/>
        </w:rPr>
        <w:t>Salmonellosis, Internally Displaced Persons (IDPs), Prevalence.</w:t>
      </w:r>
    </w:p>
    <w:p w:rsidR="00A5506D" w:rsidRPr="003F7357" w:rsidRDefault="00200505" w:rsidP="003F7357">
      <w:pPr>
        <w:tabs>
          <w:tab w:val="left" w:pos="96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86E38" w:rsidRPr="00454E5F" w:rsidRDefault="00186E38" w:rsidP="00454E5F">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bCs/>
          <w:sz w:val="24"/>
          <w:szCs w:val="24"/>
        </w:rPr>
      </w:pPr>
      <w:r w:rsidRPr="00454E5F">
        <w:rPr>
          <w:rFonts w:ascii="Times New Roman" w:eastAsia="Times New Roman" w:hAnsi="Times New Roman" w:cs="Times New Roman"/>
          <w:b/>
          <w:bCs/>
          <w:sz w:val="24"/>
          <w:szCs w:val="24"/>
        </w:rPr>
        <w:t>INTRODUCTION</w:t>
      </w:r>
    </w:p>
    <w:p w:rsidR="00186E38" w:rsidRDefault="00186E38" w:rsidP="00186E38">
      <w:pPr>
        <w:spacing w:line="480" w:lineRule="auto"/>
        <w:jc w:val="both"/>
        <w:rPr>
          <w:rFonts w:ascii="Times New Roman" w:hAnsi="Times New Roman" w:cs="Times New Roman"/>
          <w:sz w:val="24"/>
          <w:szCs w:val="24"/>
        </w:rPr>
      </w:pPr>
      <w:r>
        <w:rPr>
          <w:rFonts w:ascii="Times New Roman" w:hAnsi="Times New Roman" w:cs="Times New Roman"/>
          <w:i/>
          <w:iCs/>
          <w:sz w:val="24"/>
          <w:szCs w:val="24"/>
        </w:rPr>
        <w:t>Salmonella</w:t>
      </w:r>
      <w:r>
        <w:rPr>
          <w:rFonts w:ascii="Times New Roman" w:hAnsi="Times New Roman" w:cs="Times New Roman"/>
          <w:sz w:val="24"/>
          <w:szCs w:val="24"/>
        </w:rPr>
        <w:t xml:space="preserve"> is one of the most important bacterial pathogens associated with foodborne and waterborne diseases wor</w:t>
      </w:r>
      <w:r w:rsidR="0078495D">
        <w:rPr>
          <w:rFonts w:ascii="Times New Roman" w:hAnsi="Times New Roman" w:cs="Times New Roman"/>
          <w:sz w:val="24"/>
          <w:szCs w:val="24"/>
        </w:rPr>
        <w:t>ldwide. It belongs to the</w:t>
      </w:r>
      <w:r>
        <w:rPr>
          <w:rFonts w:ascii="Times New Roman" w:hAnsi="Times New Roman" w:cs="Times New Roman"/>
          <w:sz w:val="24"/>
          <w:szCs w:val="24"/>
        </w:rPr>
        <w:t xml:space="preserve"> Enterobacteriaceae</w:t>
      </w:r>
      <w:r w:rsidR="0078495D">
        <w:rPr>
          <w:rFonts w:ascii="Times New Roman" w:hAnsi="Times New Roman" w:cs="Times New Roman"/>
          <w:sz w:val="24"/>
          <w:szCs w:val="24"/>
        </w:rPr>
        <w:t xml:space="preserve"> family</w:t>
      </w:r>
      <w:r>
        <w:rPr>
          <w:rFonts w:ascii="Times New Roman" w:hAnsi="Times New Roman" w:cs="Times New Roman"/>
          <w:sz w:val="24"/>
          <w:szCs w:val="24"/>
        </w:rPr>
        <w:t xml:space="preserve"> and consists of Gram-negative, rod-shaped, facultative anaerobes that are usually motile due to </w:t>
      </w:r>
      <w:r>
        <w:rPr>
          <w:rFonts w:ascii="Times New Roman" w:hAnsi="Times New Roman" w:cs="Times New Roman"/>
          <w:sz w:val="24"/>
          <w:szCs w:val="24"/>
        </w:rPr>
        <w:lastRenderedPageBreak/>
        <w:t xml:space="preserve">peritrichous flagella (Eng </w:t>
      </w:r>
      <w:r>
        <w:rPr>
          <w:rFonts w:ascii="Times New Roman" w:hAnsi="Times New Roman" w:cs="Times New Roman"/>
          <w:i/>
          <w:iCs/>
          <w:sz w:val="24"/>
          <w:szCs w:val="24"/>
        </w:rPr>
        <w:t>et al</w:t>
      </w:r>
      <w:r>
        <w:rPr>
          <w:rFonts w:ascii="Times New Roman" w:hAnsi="Times New Roman" w:cs="Times New Roman"/>
          <w:sz w:val="24"/>
          <w:szCs w:val="24"/>
        </w:rPr>
        <w:t xml:space="preserve">., 2015). The genus contains two species, </w:t>
      </w:r>
      <w:r>
        <w:rPr>
          <w:rFonts w:ascii="Times New Roman" w:hAnsi="Times New Roman" w:cs="Times New Roman"/>
          <w:i/>
          <w:iCs/>
          <w:sz w:val="24"/>
          <w:szCs w:val="24"/>
        </w:rPr>
        <w:t>Salmonella enterica</w:t>
      </w:r>
      <w:r>
        <w:rPr>
          <w:rFonts w:ascii="Times New Roman" w:hAnsi="Times New Roman" w:cs="Times New Roman"/>
          <w:sz w:val="24"/>
          <w:szCs w:val="24"/>
        </w:rPr>
        <w:t xml:space="preserve"> and </w:t>
      </w:r>
      <w:r>
        <w:rPr>
          <w:rFonts w:ascii="Times New Roman" w:hAnsi="Times New Roman" w:cs="Times New Roman"/>
          <w:i/>
          <w:iCs/>
          <w:sz w:val="24"/>
          <w:szCs w:val="24"/>
        </w:rPr>
        <w:t>Salmonella bongori</w:t>
      </w:r>
      <w:r>
        <w:rPr>
          <w:rFonts w:ascii="Times New Roman" w:hAnsi="Times New Roman" w:cs="Times New Roman"/>
          <w:sz w:val="24"/>
          <w:szCs w:val="24"/>
        </w:rPr>
        <w:t xml:space="preserve">, with </w:t>
      </w:r>
      <w:r>
        <w:rPr>
          <w:rFonts w:ascii="Times New Roman" w:hAnsi="Times New Roman" w:cs="Times New Roman"/>
          <w:i/>
          <w:iCs/>
          <w:sz w:val="24"/>
          <w:szCs w:val="24"/>
        </w:rPr>
        <w:t>S. enterica</w:t>
      </w:r>
      <w:r>
        <w:rPr>
          <w:rFonts w:ascii="Times New Roman" w:hAnsi="Times New Roman" w:cs="Times New Roman"/>
          <w:sz w:val="24"/>
          <w:szCs w:val="24"/>
        </w:rPr>
        <w:t xml:space="preserve"> further divided into several subspecies and over 2,600 serovars, many of which are pathogenic to humans (Majowicz </w:t>
      </w:r>
      <w:r>
        <w:rPr>
          <w:rFonts w:ascii="Times New Roman" w:hAnsi="Times New Roman" w:cs="Times New Roman"/>
          <w:i/>
          <w:iCs/>
          <w:sz w:val="24"/>
          <w:szCs w:val="24"/>
        </w:rPr>
        <w:t>et al</w:t>
      </w:r>
      <w:r>
        <w:rPr>
          <w:rFonts w:ascii="Times New Roman" w:hAnsi="Times New Roman" w:cs="Times New Roman"/>
          <w:sz w:val="24"/>
          <w:szCs w:val="24"/>
        </w:rPr>
        <w:t xml:space="preserve">., 2010). Most human infections are caused by </w:t>
      </w:r>
      <w:r>
        <w:rPr>
          <w:rFonts w:ascii="Times New Roman" w:hAnsi="Times New Roman" w:cs="Times New Roman"/>
          <w:i/>
          <w:iCs/>
          <w:sz w:val="24"/>
          <w:szCs w:val="24"/>
        </w:rPr>
        <w:t>S. enterica</w:t>
      </w:r>
      <w:r>
        <w:rPr>
          <w:rFonts w:ascii="Times New Roman" w:hAnsi="Times New Roman" w:cs="Times New Roman"/>
          <w:sz w:val="24"/>
          <w:szCs w:val="24"/>
        </w:rPr>
        <w:t xml:space="preserve"> subspecies </w:t>
      </w:r>
      <w:r>
        <w:rPr>
          <w:rFonts w:ascii="Times New Roman" w:hAnsi="Times New Roman" w:cs="Times New Roman"/>
          <w:i/>
          <w:iCs/>
          <w:sz w:val="24"/>
          <w:szCs w:val="24"/>
        </w:rPr>
        <w:t>enterica</w:t>
      </w:r>
      <w:r>
        <w:rPr>
          <w:rFonts w:ascii="Times New Roman" w:hAnsi="Times New Roman" w:cs="Times New Roman"/>
          <w:sz w:val="24"/>
          <w:szCs w:val="24"/>
        </w:rPr>
        <w:t xml:space="preserve">, particularly serovars such as </w:t>
      </w:r>
      <w:r>
        <w:rPr>
          <w:rFonts w:ascii="Times New Roman" w:hAnsi="Times New Roman" w:cs="Times New Roman"/>
          <w:i/>
          <w:iCs/>
          <w:sz w:val="24"/>
          <w:szCs w:val="24"/>
        </w:rPr>
        <w:t>S. Typhi</w:t>
      </w:r>
      <w:r>
        <w:rPr>
          <w:rFonts w:ascii="Times New Roman" w:hAnsi="Times New Roman" w:cs="Times New Roman"/>
          <w:sz w:val="24"/>
          <w:szCs w:val="24"/>
        </w:rPr>
        <w:t xml:space="preserve">, </w:t>
      </w:r>
      <w:r>
        <w:rPr>
          <w:rFonts w:ascii="Times New Roman" w:hAnsi="Times New Roman" w:cs="Times New Roman"/>
          <w:i/>
          <w:iCs/>
          <w:sz w:val="24"/>
          <w:szCs w:val="24"/>
        </w:rPr>
        <w:t>S. Paratyphi</w:t>
      </w:r>
      <w:r>
        <w:rPr>
          <w:rFonts w:ascii="Times New Roman" w:hAnsi="Times New Roman" w:cs="Times New Roman"/>
          <w:sz w:val="24"/>
          <w:szCs w:val="24"/>
        </w:rPr>
        <w:t xml:space="preserve">, </w:t>
      </w:r>
      <w:r>
        <w:rPr>
          <w:rFonts w:ascii="Times New Roman" w:hAnsi="Times New Roman" w:cs="Times New Roman"/>
          <w:i/>
          <w:iCs/>
          <w:sz w:val="24"/>
          <w:szCs w:val="24"/>
        </w:rPr>
        <w:t>S. Typhimurium</w:t>
      </w:r>
      <w:r>
        <w:rPr>
          <w:rFonts w:ascii="Times New Roman" w:hAnsi="Times New Roman" w:cs="Times New Roman"/>
          <w:sz w:val="24"/>
          <w:szCs w:val="24"/>
        </w:rPr>
        <w:t xml:space="preserve">, and </w:t>
      </w:r>
      <w:r>
        <w:rPr>
          <w:rFonts w:ascii="Times New Roman" w:hAnsi="Times New Roman" w:cs="Times New Roman"/>
          <w:i/>
          <w:iCs/>
          <w:sz w:val="24"/>
          <w:szCs w:val="24"/>
        </w:rPr>
        <w:t>S. Enteritidis</w:t>
      </w:r>
      <w:r>
        <w:rPr>
          <w:rFonts w:ascii="Times New Roman" w:hAnsi="Times New Roman" w:cs="Times New Roman"/>
          <w:sz w:val="24"/>
          <w:szCs w:val="24"/>
        </w:rPr>
        <w:t>.</w:t>
      </w:r>
    </w:p>
    <w:p w:rsidR="00186E38" w:rsidRDefault="00186E38" w:rsidP="00186E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Transmission primarily occurs through the faecal–oral route, mainly via contaminated food or water. Infections can range from self-limiting gastroenteritis to severe systemic illness such as enteric fever, which can be fatal without treatment (Gordon, 2008). In low- and middle-income countries, including Nigeria, the burden of </w:t>
      </w:r>
      <w:r>
        <w:rPr>
          <w:rFonts w:ascii="Times New Roman" w:hAnsi="Times New Roman" w:cs="Times New Roman"/>
          <w:i/>
          <w:iCs/>
          <w:sz w:val="24"/>
          <w:szCs w:val="24"/>
        </w:rPr>
        <w:t>Salmonella</w:t>
      </w:r>
      <w:r>
        <w:rPr>
          <w:rFonts w:ascii="Times New Roman" w:hAnsi="Times New Roman" w:cs="Times New Roman"/>
          <w:sz w:val="24"/>
          <w:szCs w:val="24"/>
        </w:rPr>
        <w:t xml:space="preserve"> infections is worsened by poor sanitation, inadequate access to clean water, weak healthcare systems, and the growing challenge of antimicrobial resistance (Akinyemi </w:t>
      </w:r>
      <w:r>
        <w:rPr>
          <w:rFonts w:ascii="Times New Roman" w:hAnsi="Times New Roman" w:cs="Times New Roman"/>
          <w:i/>
          <w:iCs/>
          <w:sz w:val="24"/>
          <w:szCs w:val="24"/>
        </w:rPr>
        <w:t>et al</w:t>
      </w:r>
      <w:r>
        <w:rPr>
          <w:rFonts w:ascii="Times New Roman" w:hAnsi="Times New Roman" w:cs="Times New Roman"/>
          <w:sz w:val="24"/>
          <w:szCs w:val="24"/>
        </w:rPr>
        <w:t>., 2018).</w:t>
      </w:r>
    </w:p>
    <w:p w:rsidR="00186E38" w:rsidRDefault="00186E38" w:rsidP="00186E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problem is particularly acute in displaced populations. Internally Displaced Persons (IDPs) are people forced to leave their homes due to conflict, disasters, or violence but who remain within their country’s borders. In Nigeria, especially the North Central states of Benue, Nasarawa, and Plateau, widespread displacement has occurred due to farmer–herder conflicts, ethno-religious violence, and insurgency (Internal Displacement Monitoring Centre [IDMC], 2021). IDP camps in these regions often experience overcrowding, poor sanitation, inadequate waste management, and limited access to clean water, all of which increase the risk of transmission of enteric pathogens such as </w:t>
      </w:r>
      <w:r>
        <w:rPr>
          <w:rFonts w:ascii="Times New Roman" w:hAnsi="Times New Roman" w:cs="Times New Roman"/>
          <w:i/>
          <w:iCs/>
          <w:sz w:val="24"/>
          <w:szCs w:val="24"/>
        </w:rPr>
        <w:t>Salmonella</w:t>
      </w:r>
      <w:r>
        <w:rPr>
          <w:rFonts w:ascii="Times New Roman" w:hAnsi="Times New Roman" w:cs="Times New Roman"/>
          <w:sz w:val="24"/>
          <w:szCs w:val="24"/>
        </w:rPr>
        <w:t xml:space="preserve"> (World Health Organization [WHO], 2018).</w:t>
      </w:r>
    </w:p>
    <w:p w:rsidR="00722D00" w:rsidRDefault="00186E38" w:rsidP="00186E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several studies in Nigeria have examined the prevalence of </w:t>
      </w:r>
      <w:r>
        <w:rPr>
          <w:rFonts w:ascii="Times New Roman" w:hAnsi="Times New Roman" w:cs="Times New Roman"/>
          <w:i/>
          <w:iCs/>
          <w:sz w:val="24"/>
          <w:szCs w:val="24"/>
        </w:rPr>
        <w:t>Salmonella</w:t>
      </w:r>
      <w:r>
        <w:rPr>
          <w:rFonts w:ascii="Times New Roman" w:hAnsi="Times New Roman" w:cs="Times New Roman"/>
          <w:sz w:val="24"/>
          <w:szCs w:val="24"/>
        </w:rPr>
        <w:t xml:space="preserve"> in food, water, and clinical settings, few have specifically targeted displaced populations. Most available studies are hospital-based and rely on phenotypic identification. </w:t>
      </w:r>
      <w:r>
        <w:rPr>
          <w:rFonts w:ascii="Times New Roman" w:hAnsi="Times New Roman" w:cs="Times New Roman"/>
          <w:sz w:val="24"/>
          <w:szCs w:val="24"/>
        </w:rPr>
        <w:lastRenderedPageBreak/>
        <w:t xml:space="preserve">Consequently, there is limited understanding of the epidemiological risks and molecular characteristics of </w:t>
      </w:r>
      <w:r>
        <w:rPr>
          <w:rFonts w:ascii="Times New Roman" w:hAnsi="Times New Roman" w:cs="Times New Roman"/>
          <w:i/>
          <w:iCs/>
          <w:sz w:val="24"/>
          <w:szCs w:val="24"/>
        </w:rPr>
        <w:t>Salmonella</w:t>
      </w:r>
      <w:r>
        <w:rPr>
          <w:rFonts w:ascii="Times New Roman" w:hAnsi="Times New Roman" w:cs="Times New Roman"/>
          <w:sz w:val="24"/>
          <w:szCs w:val="24"/>
        </w:rPr>
        <w:t xml:space="preserve"> within IDP communities. This knowledge gap hinders effective public health planning and targeted interventions.</w:t>
      </w:r>
    </w:p>
    <w:p w:rsidR="00F61B4B" w:rsidRPr="000A3184" w:rsidRDefault="00F61B4B" w:rsidP="00F61B4B">
      <w:pPr>
        <w:spacing w:line="480" w:lineRule="auto"/>
        <w:jc w:val="both"/>
        <w:rPr>
          <w:rFonts w:ascii="Times New Roman" w:hAnsi="Times New Roman" w:cs="Times New Roman"/>
          <w:b/>
          <w:bCs/>
          <w:sz w:val="24"/>
          <w:szCs w:val="24"/>
        </w:rPr>
      </w:pPr>
      <w:r w:rsidRPr="000A3184">
        <w:rPr>
          <w:rFonts w:ascii="Times New Roman" w:hAnsi="Times New Roman" w:cs="Times New Roman"/>
          <w:b/>
          <w:sz w:val="24"/>
          <w:szCs w:val="24"/>
        </w:rPr>
        <w:t>2. MATERIALS AND METHODS</w:t>
      </w:r>
      <w:r w:rsidRPr="000A3184">
        <w:rPr>
          <w:rFonts w:ascii="Times New Roman" w:hAnsi="Times New Roman" w:cs="Times New Roman"/>
          <w:b/>
          <w:sz w:val="24"/>
          <w:szCs w:val="24"/>
        </w:rPr>
        <w:tab/>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Study Design</w:t>
      </w:r>
    </w:p>
    <w:p w:rsidR="00F61B4B"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 xml:space="preserve">A descriptive cross-sectional study design was employed to investigate the prevalence and distribution of circulating </w:t>
      </w:r>
      <w:r w:rsidRPr="00325C26">
        <w:rPr>
          <w:rFonts w:ascii="Times New Roman" w:hAnsi="Times New Roman" w:cs="Times New Roman"/>
          <w:i/>
          <w:iCs/>
          <w:kern w:val="2"/>
          <w:sz w:val="24"/>
          <w:szCs w:val="24"/>
          <w14:ligatures w14:val="standardContextual"/>
        </w:rPr>
        <w:t>Salmonella</w:t>
      </w:r>
      <w:r w:rsidRPr="0071129D">
        <w:rPr>
          <w:rFonts w:ascii="Times New Roman" w:hAnsi="Times New Roman" w:cs="Times New Roman"/>
          <w:kern w:val="2"/>
          <w:sz w:val="24"/>
          <w:szCs w:val="24"/>
          <w14:ligatures w14:val="standardContextual"/>
        </w:rPr>
        <w:t xml:space="preserve"> strains. The design also facilitated the assessment of demographic characteristics of the study participants.</w:t>
      </w:r>
    </w:p>
    <w:p w:rsidR="0043787D" w:rsidRPr="00C757D3" w:rsidRDefault="0043787D" w:rsidP="00F61B4B">
      <w:pPr>
        <w:spacing w:line="480" w:lineRule="auto"/>
        <w:jc w:val="both"/>
        <w:rPr>
          <w:rFonts w:ascii="Times New Roman" w:hAnsi="Times New Roman" w:cs="Times New Roman"/>
          <w:kern w:val="2"/>
          <w:sz w:val="24"/>
          <w:szCs w:val="24"/>
          <w14:ligatures w14:val="standardContextual"/>
        </w:rPr>
      </w:pPr>
    </w:p>
    <w:p w:rsidR="00F61B4B" w:rsidRPr="00304FC4" w:rsidRDefault="00F61B4B" w:rsidP="00F61B4B">
      <w:pPr>
        <w:spacing w:line="48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 </w:t>
      </w:r>
      <w:r w:rsidRPr="00304FC4">
        <w:rPr>
          <w:rFonts w:ascii="Times New Roman" w:hAnsi="Times New Roman" w:cs="Times New Roman"/>
          <w:b/>
          <w:bCs/>
          <w:kern w:val="2"/>
          <w:sz w:val="24"/>
          <w:szCs w:val="24"/>
          <w14:ligatures w14:val="standardContextual"/>
        </w:rPr>
        <w:t>Study Population</w:t>
      </w:r>
    </w:p>
    <w:p w:rsidR="00C757D3" w:rsidRPr="0071129D"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 xml:space="preserve">The study population comprised patients residing in Internally Displaced Persons (IDPs) camps located in Benue, Nasarawa, and Plateau States. Participants included individuals presenting with clinical symptoms such as </w:t>
      </w:r>
      <w:r>
        <w:rPr>
          <w:rFonts w:ascii="Times New Roman" w:hAnsi="Times New Roman" w:cs="Times New Roman"/>
          <w:kern w:val="2"/>
          <w:sz w:val="24"/>
          <w:szCs w:val="24"/>
          <w14:ligatures w14:val="standardContextual"/>
        </w:rPr>
        <w:t>diarrhoea</w:t>
      </w:r>
      <w:r w:rsidRPr="0071129D">
        <w:rPr>
          <w:rFonts w:ascii="Times New Roman" w:hAnsi="Times New Roman" w:cs="Times New Roman"/>
          <w:kern w:val="2"/>
          <w:sz w:val="24"/>
          <w:szCs w:val="24"/>
          <w14:ligatures w14:val="standardContextual"/>
        </w:rPr>
        <w:t>, fever, vomiting, and abdominal cramps.</w:t>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Sample Size Determination</w:t>
      </w:r>
    </w:p>
    <w:p w:rsidR="00F61B4B" w:rsidRPr="00D26D9D" w:rsidRDefault="00F61B4B" w:rsidP="00D26D9D">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kern w:val="2"/>
          <w:sz w:val="24"/>
          <w:szCs w:val="24"/>
          <w14:ligatures w14:val="standardContextual"/>
        </w:rPr>
        <w:t>Sample size was determined based on</w:t>
      </w:r>
      <w:r w:rsidR="00D26D9D">
        <w:rPr>
          <w:rFonts w:ascii="Times New Roman" w:hAnsi="Times New Roman" w:cs="Times New Roman"/>
          <w:kern w:val="2"/>
          <w:sz w:val="24"/>
          <w:szCs w:val="24"/>
          <w14:ligatures w14:val="standardContextual"/>
        </w:rPr>
        <w:t xml:space="preserve"> this </w:t>
      </w:r>
      <w:r w:rsidRPr="0071129D">
        <w:rPr>
          <w:rFonts w:ascii="Times New Roman" w:hAnsi="Times New Roman" w:cs="Times New Roman"/>
          <w:kern w:val="2"/>
          <w:sz w:val="24"/>
          <w:szCs w:val="24"/>
          <w14:ligatures w14:val="standardContextual"/>
        </w:rPr>
        <w:t>n=Z</w:t>
      </w:r>
      <w:r w:rsidRPr="0071129D">
        <w:rPr>
          <w:rFonts w:ascii="Times New Roman" w:hAnsi="Times New Roman" w:cs="Times New Roman"/>
          <w:kern w:val="2"/>
          <w:sz w:val="24"/>
          <w:szCs w:val="24"/>
          <w:vertAlign w:val="superscript"/>
          <w14:ligatures w14:val="standardContextual"/>
        </w:rPr>
        <w:t>2</w:t>
      </w:r>
      <w:r w:rsidRPr="0071129D">
        <w:rPr>
          <w:rFonts w:ascii="Times New Roman" w:hAnsi="Times New Roman" w:cs="Times New Roman"/>
          <w:kern w:val="2"/>
          <w:sz w:val="24"/>
          <w:szCs w:val="24"/>
          <w14:ligatures w14:val="standardContextual"/>
        </w:rPr>
        <w:t>Pq/d</w:t>
      </w:r>
      <w:r w:rsidRPr="0071129D">
        <w:rPr>
          <w:rFonts w:ascii="Times New Roman" w:hAnsi="Times New Roman" w:cs="Times New Roman"/>
          <w:kern w:val="2"/>
          <w:sz w:val="24"/>
          <w:szCs w:val="24"/>
          <w:vertAlign w:val="superscript"/>
          <w14:ligatures w14:val="standardContextual"/>
        </w:rPr>
        <w:t>2</w:t>
      </w:r>
      <w:r w:rsidRPr="0071129D">
        <w:rPr>
          <w:rFonts w:ascii="Times New Roman" w:hAnsi="Times New Roman" w:cs="Times New Roman"/>
          <w:kern w:val="2"/>
          <w:sz w:val="24"/>
          <w:szCs w:val="24"/>
          <w14:ligatures w14:val="standardContextual"/>
        </w:rPr>
        <w:t xml:space="preserve"> (Naing </w:t>
      </w:r>
      <w:r w:rsidRPr="00D07D72">
        <w:rPr>
          <w:rFonts w:ascii="Times New Roman" w:hAnsi="Times New Roman" w:cs="Times New Roman"/>
          <w:i/>
          <w:iCs/>
          <w:kern w:val="2"/>
          <w:sz w:val="24"/>
          <w:szCs w:val="24"/>
          <w14:ligatures w14:val="standardContextual"/>
        </w:rPr>
        <w:t>et al</w:t>
      </w:r>
      <w:r w:rsidRPr="0071129D">
        <w:rPr>
          <w:rFonts w:ascii="Times New Roman" w:hAnsi="Times New Roman" w:cs="Times New Roman"/>
          <w:i/>
          <w:iCs/>
          <w:kern w:val="2"/>
          <w:sz w:val="24"/>
          <w:szCs w:val="24"/>
          <w14:ligatures w14:val="standardContextual"/>
        </w:rPr>
        <w:t>.</w:t>
      </w:r>
      <w:r w:rsidRPr="0071129D">
        <w:rPr>
          <w:rFonts w:ascii="Times New Roman" w:hAnsi="Times New Roman" w:cs="Times New Roman"/>
          <w:kern w:val="2"/>
          <w:sz w:val="24"/>
          <w:szCs w:val="24"/>
          <w14:ligatures w14:val="standardContextual"/>
        </w:rPr>
        <w:t>, 2022).</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 xml:space="preserve">n= desired sample </w:t>
      </w:r>
      <w:r w:rsidR="001C4CEC">
        <w:rPr>
          <w:rFonts w:ascii="Times New Roman" w:hAnsi="Times New Roman" w:cs="Times New Roman"/>
          <w:kern w:val="2"/>
          <w:sz w:val="24"/>
          <w:szCs w:val="24"/>
          <w14:ligatures w14:val="standardContextual"/>
        </w:rPr>
        <w:t xml:space="preserve">size </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Z= 95</w:t>
      </w:r>
      <w:r>
        <w:rPr>
          <w:rFonts w:ascii="Times New Roman" w:hAnsi="Times New Roman" w:cs="Times New Roman"/>
          <w:i/>
          <w:iCs/>
          <w:kern w:val="2"/>
          <w:sz w:val="24"/>
          <w:szCs w:val="24"/>
          <w14:ligatures w14:val="standardContextual"/>
        </w:rPr>
        <w:t xml:space="preserve"> </w:t>
      </w:r>
      <w:r w:rsidRPr="00296151">
        <w:rPr>
          <w:rFonts w:ascii="Times New Roman" w:hAnsi="Times New Roman" w:cs="Times New Roman"/>
          <w:kern w:val="2"/>
          <w:sz w:val="24"/>
          <w:szCs w:val="24"/>
          <w14:ligatures w14:val="standardContextual"/>
        </w:rPr>
        <w:t>%</w:t>
      </w:r>
      <w:r w:rsidRPr="0071129D">
        <w:rPr>
          <w:rFonts w:ascii="Times New Roman" w:hAnsi="Times New Roman" w:cs="Times New Roman"/>
          <w:kern w:val="2"/>
          <w:sz w:val="24"/>
          <w:szCs w:val="24"/>
          <w14:ligatures w14:val="standardContextual"/>
        </w:rPr>
        <w:t xml:space="preserve"> confidence interval = </w:t>
      </w:r>
      <w:r w:rsidRPr="0071129D">
        <w:rPr>
          <w:rFonts w:ascii="Times New Roman" w:hAnsi="Times New Roman" w:cs="Times New Roman"/>
          <w:kern w:val="2"/>
          <w:sz w:val="24"/>
          <w:szCs w:val="24"/>
          <w14:ligatures w14:val="standardContextual"/>
        </w:rPr>
        <w:tab/>
        <w:t>1.96.</w:t>
      </w:r>
    </w:p>
    <w:p w:rsidR="00F61B4B" w:rsidRPr="0071129D" w:rsidRDefault="00D26D9D" w:rsidP="00F61B4B">
      <w:pPr>
        <w:tabs>
          <w:tab w:val="left" w:pos="1220"/>
        </w:tabs>
        <w:spacing w:before="62" w:after="0" w:line="340" w:lineRule="exact"/>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t xml:space="preserve">P= is the previous study of Salmonella at 48.9% (Fasema </w:t>
      </w:r>
      <w:r w:rsidRPr="00D26D9D">
        <w:rPr>
          <w:rFonts w:ascii="Times New Roman" w:hAnsi="Times New Roman" w:cs="Times New Roman"/>
          <w:i/>
          <w:kern w:val="2"/>
          <w:sz w:val="24"/>
          <w:szCs w:val="24"/>
          <w14:ligatures w14:val="standardContextual"/>
        </w:rPr>
        <w:t>et al.,</w:t>
      </w:r>
      <w:r>
        <w:rPr>
          <w:rFonts w:ascii="Times New Roman" w:hAnsi="Times New Roman" w:cs="Times New Roman"/>
          <w:kern w:val="2"/>
          <w:sz w:val="24"/>
          <w:szCs w:val="24"/>
          <w14:ligatures w14:val="standardContextual"/>
        </w:rPr>
        <w:t xml:space="preserve"> 2024</w:t>
      </w:r>
      <w:r w:rsidR="00F61B4B" w:rsidRPr="0071129D">
        <w:rPr>
          <w:rFonts w:ascii="Times New Roman" w:hAnsi="Times New Roman" w:cs="Times New Roman"/>
          <w:kern w:val="2"/>
          <w:sz w:val="24"/>
          <w:szCs w:val="24"/>
          <w14:ligatures w14:val="standardContextual"/>
        </w:rPr>
        <w:t>).</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lastRenderedPageBreak/>
        <w:tab/>
        <w:t>d=error margin which is taken at 5</w:t>
      </w:r>
      <w:r>
        <w:rPr>
          <w:rFonts w:ascii="Times New Roman" w:hAnsi="Times New Roman" w:cs="Times New Roman"/>
          <w:i/>
          <w:iCs/>
          <w:kern w:val="2"/>
          <w:sz w:val="24"/>
          <w:szCs w:val="24"/>
          <w14:ligatures w14:val="standardContextual"/>
        </w:rPr>
        <w:t xml:space="preserve"> </w:t>
      </w:r>
      <w:r w:rsidRPr="00296151">
        <w:rPr>
          <w:rFonts w:ascii="Times New Roman" w:hAnsi="Times New Roman" w:cs="Times New Roman"/>
          <w:kern w:val="2"/>
          <w:sz w:val="24"/>
          <w:szCs w:val="24"/>
          <w14:ligatures w14:val="standardContextual"/>
        </w:rPr>
        <w:t>%</w:t>
      </w:r>
      <w:r w:rsidRPr="0071129D">
        <w:rPr>
          <w:rFonts w:ascii="Times New Roman" w:hAnsi="Times New Roman" w:cs="Times New Roman"/>
          <w:kern w:val="2"/>
          <w:sz w:val="24"/>
          <w:szCs w:val="24"/>
          <w14:ligatures w14:val="standardContextual"/>
        </w:rPr>
        <w:t xml:space="preserve"> = 0.05</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 xml:space="preserve"> </w:t>
      </w:r>
      <w:r w:rsidRPr="0071129D">
        <w:rPr>
          <w:rFonts w:ascii="Times New Roman" w:hAnsi="Times New Roman" w:cs="Times New Roman"/>
          <w:kern w:val="2"/>
          <w:sz w:val="24"/>
          <w:szCs w:val="24"/>
          <w14:ligatures w14:val="standardContextual"/>
        </w:rPr>
        <w:tab/>
        <w:t>q=1.0 –P</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n =1.96</w:t>
      </w:r>
      <w:r w:rsidRPr="0071129D">
        <w:rPr>
          <w:rFonts w:ascii="Times New Roman" w:hAnsi="Times New Roman" w:cs="Times New Roman"/>
          <w:kern w:val="2"/>
          <w:sz w:val="24"/>
          <w:szCs w:val="24"/>
          <w:vertAlign w:val="superscript"/>
          <w14:ligatures w14:val="standardContextual"/>
        </w:rPr>
        <w:t xml:space="preserve">2 </w:t>
      </w:r>
      <w:r w:rsidR="00D26D9D">
        <w:rPr>
          <w:rFonts w:ascii="Times New Roman" w:hAnsi="Times New Roman" w:cs="Times New Roman"/>
          <w:kern w:val="2"/>
          <w:sz w:val="24"/>
          <w:szCs w:val="24"/>
          <w14:ligatures w14:val="standardContextual"/>
        </w:rPr>
        <w:t>×0.487</w:t>
      </w:r>
      <w:r w:rsidRPr="0071129D">
        <w:rPr>
          <w:rFonts w:ascii="Times New Roman" w:hAnsi="Times New Roman" w:cs="Times New Roman"/>
          <w:kern w:val="2"/>
          <w:sz w:val="24"/>
          <w:szCs w:val="24"/>
          <w14:ligatures w14:val="standardContextual"/>
        </w:rPr>
        <w:t>(1-0.5)/0.05</w:t>
      </w:r>
      <w:r w:rsidRPr="0071129D">
        <w:rPr>
          <w:rFonts w:ascii="Times New Roman" w:hAnsi="Times New Roman" w:cs="Times New Roman"/>
          <w:kern w:val="2"/>
          <w:sz w:val="24"/>
          <w:szCs w:val="24"/>
          <w:vertAlign w:val="superscript"/>
          <w14:ligatures w14:val="standardContextual"/>
        </w:rPr>
        <w:t xml:space="preserve">2 </w:t>
      </w:r>
      <w:r w:rsidR="00D26D9D">
        <w:rPr>
          <w:rFonts w:ascii="Times New Roman" w:hAnsi="Times New Roman" w:cs="Times New Roman"/>
          <w:kern w:val="2"/>
          <w:sz w:val="24"/>
          <w:szCs w:val="24"/>
          <w14:ligatures w14:val="standardContextual"/>
        </w:rPr>
        <w:t>=374.2</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1129D">
        <w:rPr>
          <w:rFonts w:ascii="Times New Roman" w:hAnsi="Times New Roman" w:cs="Times New Roman"/>
          <w:kern w:val="2"/>
          <w:sz w:val="24"/>
          <w:szCs w:val="24"/>
          <w14:ligatures w14:val="standardContextual"/>
        </w:rPr>
        <w:t>=422</w:t>
      </w:r>
    </w:p>
    <w:p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eastAsia="Times New Roman" w:hAnsi="Times New Roman" w:cs="Times New Roman"/>
          <w:i/>
          <w:w w:val="101"/>
          <w:kern w:val="2"/>
          <w:position w:val="-7"/>
          <w:sz w:val="24"/>
          <w:szCs w:val="24"/>
          <w14:ligatures w14:val="standardContextual"/>
        </w:rPr>
        <w:tab/>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Inclusion Criteria</w:t>
      </w:r>
    </w:p>
    <w:p w:rsidR="00C757D3" w:rsidRPr="00B831FA" w:rsidRDefault="00F61B4B" w:rsidP="00F61B4B">
      <w:pPr>
        <w:spacing w:line="480" w:lineRule="auto"/>
        <w:jc w:val="both"/>
        <w:rPr>
          <w:rFonts w:ascii="Times New Roman" w:hAnsi="Times New Roman" w:cs="Times New Roman"/>
          <w:kern w:val="2"/>
          <w:sz w:val="24"/>
          <w:szCs w:val="24"/>
          <w14:ligatures w14:val="standardContextual"/>
        </w:rPr>
      </w:pPr>
      <w:r w:rsidRPr="00304FC4">
        <w:rPr>
          <w:rFonts w:ascii="Times New Roman" w:hAnsi="Times New Roman" w:cs="Times New Roman"/>
          <w:kern w:val="2"/>
          <w:sz w:val="24"/>
          <w:szCs w:val="24"/>
          <w14:ligatures w14:val="standardContextual"/>
        </w:rPr>
        <w:t>The study population comprised individuals residing in the selected IDP camps who presented with clinical symptoms such as diarrhoea, fever, or abdominal pain. In addition to these primary symptoms, other related conditions including vomiting, muscle pain, chills, headache, and the presence of blood in stool were also considered. Only participants who exhibited at least one of these symptoms and who provided informed consent were enrolled in the study.</w:t>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Exclusion Criteria</w:t>
      </w:r>
    </w:p>
    <w:p w:rsidR="00B831FA" w:rsidRPr="007674A5" w:rsidRDefault="00F61B4B" w:rsidP="00F61B4B">
      <w:pPr>
        <w:spacing w:line="480" w:lineRule="auto"/>
        <w:jc w:val="both"/>
        <w:rPr>
          <w:rFonts w:ascii="Times New Roman" w:hAnsi="Times New Roman" w:cs="Times New Roman"/>
          <w:kern w:val="2"/>
          <w:sz w:val="24"/>
          <w:szCs w:val="24"/>
          <w14:ligatures w14:val="standardContextual"/>
        </w:rPr>
      </w:pPr>
      <w:r w:rsidRPr="007674A5">
        <w:rPr>
          <w:rFonts w:ascii="Times New Roman" w:hAnsi="Times New Roman" w:cs="Times New Roman"/>
          <w:kern w:val="2"/>
          <w:sz w:val="24"/>
          <w:szCs w:val="24"/>
          <w14:ligatures w14:val="standardContextual"/>
        </w:rPr>
        <w:t>Individuals who did not present with any of the aforementioned symptoms, or who declined to give consent, were excluded from the investigation. This ensured that only symptomatic individuals, who were the target group for the research, were included in the analysis.</w:t>
      </w:r>
    </w:p>
    <w:p w:rsidR="00F61B4B" w:rsidRPr="00F61B4B"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b/>
          <w:bCs/>
          <w:kern w:val="2"/>
          <w:sz w:val="24"/>
          <w:szCs w:val="24"/>
          <w14:ligatures w14:val="standardContextual"/>
        </w:rPr>
        <w:t>Ethical Clearance</w:t>
      </w:r>
    </w:p>
    <w:p w:rsidR="00F61B4B" w:rsidRDefault="00F61B4B" w:rsidP="00F61B4B">
      <w:pPr>
        <w:spacing w:line="480" w:lineRule="auto"/>
        <w:jc w:val="both"/>
        <w:rPr>
          <w:rFonts w:ascii="Times New Roman" w:hAnsi="Times New Roman" w:cs="Times New Roman"/>
          <w:kern w:val="2"/>
          <w:sz w:val="24"/>
          <w:szCs w:val="24"/>
          <w14:ligatures w14:val="standardContextual"/>
        </w:rPr>
      </w:pPr>
      <w:r w:rsidRPr="007674A5">
        <w:rPr>
          <w:rFonts w:ascii="Times New Roman" w:hAnsi="Times New Roman" w:cs="Times New Roman"/>
          <w:kern w:val="2"/>
          <w:sz w:val="24"/>
          <w:szCs w:val="24"/>
          <w14:ligatures w14:val="standardContextual"/>
        </w:rPr>
        <w:t>Prior to the commencement of the study, ethical approval was obtained from the State Emergency Management Agencies of the three states where the IDP camps were located. This approval provided the ethical framework and legitimacy for conducting the study among vulnerable populations.</w:t>
      </w:r>
    </w:p>
    <w:p w:rsidR="00F61B4B" w:rsidRPr="007674A5" w:rsidRDefault="00F61B4B" w:rsidP="00F61B4B">
      <w:pPr>
        <w:spacing w:line="480" w:lineRule="auto"/>
        <w:jc w:val="both"/>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lastRenderedPageBreak/>
        <w:t xml:space="preserve"> </w:t>
      </w:r>
      <w:r w:rsidRPr="0071129D">
        <w:rPr>
          <w:rFonts w:ascii="Times New Roman" w:hAnsi="Times New Roman" w:cs="Times New Roman"/>
          <w:b/>
          <w:bCs/>
          <w:kern w:val="2"/>
          <w:sz w:val="24"/>
          <w:szCs w:val="24"/>
          <w14:ligatures w14:val="standardContextual"/>
        </w:rPr>
        <w:t>Collection and Transportation of Stool Samples</w:t>
      </w:r>
    </w:p>
    <w:p w:rsidR="00F61B4B" w:rsidRPr="00B831FA" w:rsidRDefault="00F61B4B" w:rsidP="00F61B4B">
      <w:pPr>
        <w:spacing w:line="480" w:lineRule="auto"/>
        <w:jc w:val="both"/>
        <w:rPr>
          <w:rFonts w:ascii="Times New Roman" w:hAnsi="Times New Roman" w:cs="Times New Roman"/>
          <w:kern w:val="2"/>
          <w:sz w:val="24"/>
          <w:szCs w:val="24"/>
          <w14:ligatures w14:val="standardContextual"/>
        </w:rPr>
      </w:pPr>
      <w:r w:rsidRPr="007674A5">
        <w:rPr>
          <w:rFonts w:ascii="Times New Roman" w:hAnsi="Times New Roman" w:cs="Times New Roman"/>
          <w:kern w:val="2"/>
          <w:sz w:val="24"/>
          <w:szCs w:val="24"/>
          <w14:ligatures w14:val="standardContextual"/>
        </w:rPr>
        <w:t>Fresh stool specimens were collected from individuals who met the inclusion criteria and who had consented to participate. Sampling was carried out in the selected IDP camps located in Benue, Nasarawa, and Plateau States. Early morning samples were preferred and were obtained in sterile, dry, leak-proof plastic containers containing Cary-Blair transport medium. Each container was clearly labelled with the participant’s identification details to prevent mix-ups. Participants were instructed to ensure that their stool samples were free from contamination with urine, water, or soil. After collection, the specimens were preserved in ice packs and transported at ambient temperature to the Department of Medical Microbiology and Parasitology, Benue State University Teaching Hospital, Makurdi, where they were immediately processed for analysis.</w:t>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Isolation of </w:t>
      </w:r>
      <w:r w:rsidRPr="00325C26">
        <w:rPr>
          <w:rFonts w:ascii="Times New Roman" w:hAnsi="Times New Roman" w:cs="Times New Roman"/>
          <w:b/>
          <w:bCs/>
          <w:i/>
          <w:iCs/>
          <w:kern w:val="2"/>
          <w:sz w:val="24"/>
          <w:szCs w:val="24"/>
          <w14:ligatures w14:val="standardContextual"/>
        </w:rPr>
        <w:t>Salmonella</w:t>
      </w:r>
    </w:p>
    <w:p w:rsidR="00F61B4B" w:rsidRPr="00BD212E"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The stool specimens were inoculated aseptically into Selenite F broth contained in sterile McCartney bottles and incubated at 37</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 xml:space="preserve">°C for 24 hours. Following enrichment, aliquots from the broth cultures were streaked onto selective media, including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-Shigella Agar, MacConkey Agar, and Deoxycholate Citrate Agar. The inoculated plates were incubated at 37</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 xml:space="preserve">°C for another 24 hours. Colonies with distinct morphological appearances suggestive of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were sub-cultured on Nutrient Agar to obtain pure isolates. This process of enrichment and selective plating followed previously established microbiological methods (Mikolei, 2014</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 xml:space="preserve">Moses </w:t>
      </w:r>
      <w:r w:rsidRPr="00D07D72">
        <w:rPr>
          <w:rFonts w:ascii="Times New Roman" w:hAnsi="Times New Roman" w:cs="Times New Roman"/>
          <w:i/>
          <w:iCs/>
          <w:kern w:val="2"/>
          <w:sz w:val="24"/>
          <w:szCs w:val="24"/>
          <w14:ligatures w14:val="standardContextual"/>
        </w:rPr>
        <w:t>et al</w:t>
      </w:r>
      <w:r w:rsidRPr="00BD212E">
        <w:rPr>
          <w:rFonts w:ascii="Times New Roman" w:hAnsi="Times New Roman" w:cs="Times New Roman"/>
          <w:kern w:val="2"/>
          <w:sz w:val="24"/>
          <w:szCs w:val="24"/>
          <w14:ligatures w14:val="standardContextual"/>
        </w:rPr>
        <w:t>., 2014).</w:t>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Identification of Isolates</w:t>
      </w:r>
    </w:p>
    <w:p w:rsidR="00C757D3" w:rsidRDefault="00F61B4B" w:rsidP="00F61B4B">
      <w:pPr>
        <w:spacing w:line="480" w:lineRule="auto"/>
        <w:jc w:val="both"/>
        <w:rPr>
          <w:rFonts w:ascii="Times New Roman" w:hAnsi="Times New Roman" w:cs="Times New Roman"/>
          <w:kern w:val="2"/>
          <w:sz w:val="24"/>
          <w:szCs w:val="24"/>
          <w14:ligatures w14:val="standardContextual"/>
        </w:rPr>
      </w:pPr>
      <w:r w:rsidRPr="00BD212E">
        <w:rPr>
          <w:rFonts w:ascii="Times New Roman" w:hAnsi="Times New Roman" w:cs="Times New Roman"/>
          <w:kern w:val="2"/>
          <w:sz w:val="24"/>
          <w:szCs w:val="24"/>
          <w14:ligatures w14:val="standardContextual"/>
        </w:rPr>
        <w:lastRenderedPageBreak/>
        <w:t xml:space="preserve">Colonies suspected to be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were identified based on their cultural characteristics, microscopic appearance following Gram staining, and a series of biochemical tests. Morphologically,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typically produced smooth, pale, non-lactose fermenting colonies with black </w:t>
      </w:r>
      <w:r w:rsidR="00B831FA" w:rsidRPr="00BD212E">
        <w:rPr>
          <w:rFonts w:ascii="Times New Roman" w:hAnsi="Times New Roman" w:cs="Times New Roman"/>
          <w:kern w:val="2"/>
          <w:sz w:val="24"/>
          <w:szCs w:val="24"/>
          <w14:ligatures w14:val="standardContextual"/>
        </w:rPr>
        <w:t>centres</w:t>
      </w:r>
      <w:r w:rsidRPr="00BD212E">
        <w:rPr>
          <w:rFonts w:ascii="Times New Roman" w:hAnsi="Times New Roman" w:cs="Times New Roman"/>
          <w:kern w:val="2"/>
          <w:sz w:val="24"/>
          <w:szCs w:val="24"/>
          <w14:ligatures w14:val="standardContextual"/>
        </w:rPr>
        <w:t xml:space="preserve"> on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w:t>
      </w:r>
      <w:r w:rsidRPr="00B831FA">
        <w:rPr>
          <w:rFonts w:ascii="Times New Roman" w:hAnsi="Times New Roman" w:cs="Times New Roman"/>
          <w:i/>
          <w:kern w:val="2"/>
          <w:sz w:val="24"/>
          <w:szCs w:val="24"/>
          <w14:ligatures w14:val="standardContextual"/>
        </w:rPr>
        <w:t>Shigella</w:t>
      </w:r>
      <w:r w:rsidRPr="00BD212E">
        <w:rPr>
          <w:rFonts w:ascii="Times New Roman" w:hAnsi="Times New Roman" w:cs="Times New Roman"/>
          <w:kern w:val="2"/>
          <w:sz w:val="24"/>
          <w:szCs w:val="24"/>
          <w14:ligatures w14:val="standardContextual"/>
        </w:rPr>
        <w:t xml:space="preserve"> agar,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hydrogen sulfide production. Such colonies were sub-cultured on Nutrient Agar to ensure purity, while stock cultures were maintained on Mueller-Hinton Agar slants at 4–8</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°C and transferred bi-weekly to maintain viability. Colonies that appeared as lactose fermenters were re-incubated, and if no change was observed, they were discarded as non-</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(Perilla, 2003; Tam </w:t>
      </w:r>
      <w:r w:rsidRPr="00D07D72">
        <w:rPr>
          <w:rFonts w:ascii="Times New Roman" w:hAnsi="Times New Roman" w:cs="Times New Roman"/>
          <w:i/>
          <w:iCs/>
          <w:kern w:val="2"/>
          <w:sz w:val="24"/>
          <w:szCs w:val="24"/>
          <w14:ligatures w14:val="standardContextual"/>
        </w:rPr>
        <w:t>et al</w:t>
      </w:r>
      <w:r w:rsidRPr="00BD212E">
        <w:rPr>
          <w:rFonts w:ascii="Times New Roman" w:hAnsi="Times New Roman" w:cs="Times New Roman"/>
          <w:kern w:val="2"/>
          <w:sz w:val="24"/>
          <w:szCs w:val="24"/>
          <w14:ligatures w14:val="standardContextual"/>
        </w:rPr>
        <w:t>., 2008).</w:t>
      </w:r>
    </w:p>
    <w:p w:rsidR="00C757D3" w:rsidRDefault="00C757D3" w:rsidP="00F61B4B">
      <w:pPr>
        <w:spacing w:line="480" w:lineRule="auto"/>
        <w:jc w:val="both"/>
        <w:rPr>
          <w:rFonts w:ascii="Times New Roman" w:hAnsi="Times New Roman" w:cs="Times New Roman"/>
          <w:kern w:val="2"/>
          <w:sz w:val="24"/>
          <w:szCs w:val="24"/>
          <w14:ligatures w14:val="standardContextual"/>
        </w:rPr>
      </w:pPr>
    </w:p>
    <w:p w:rsidR="00C757D3" w:rsidRDefault="00C757D3" w:rsidP="00F61B4B">
      <w:pPr>
        <w:spacing w:line="480" w:lineRule="auto"/>
        <w:jc w:val="both"/>
        <w:rPr>
          <w:rFonts w:ascii="Times New Roman" w:hAnsi="Times New Roman" w:cs="Times New Roman"/>
          <w:kern w:val="2"/>
          <w:sz w:val="24"/>
          <w:szCs w:val="24"/>
          <w14:ligatures w14:val="standardContextual"/>
        </w:rPr>
      </w:pPr>
    </w:p>
    <w:p w:rsidR="00F61B4B" w:rsidRPr="00C757D3"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b/>
          <w:bCs/>
          <w:kern w:val="2"/>
          <w:sz w:val="24"/>
          <w:szCs w:val="24"/>
          <w14:ligatures w14:val="standardContextual"/>
        </w:rPr>
        <w:t>Gram Staining</w:t>
      </w:r>
    </w:p>
    <w:p w:rsidR="00F61B4B" w:rsidRPr="00BD212E" w:rsidRDefault="00F61B4B" w:rsidP="00F61B4B">
      <w:pPr>
        <w:spacing w:line="480" w:lineRule="auto"/>
        <w:jc w:val="both"/>
        <w:rPr>
          <w:rFonts w:ascii="Times New Roman" w:hAnsi="Times New Roman" w:cs="Times New Roman"/>
          <w:kern w:val="2"/>
          <w:sz w:val="24"/>
          <w:szCs w:val="24"/>
          <w14:ligatures w14:val="standardContextual"/>
        </w:rPr>
      </w:pPr>
      <w:r w:rsidRPr="00BD212E">
        <w:rPr>
          <w:rFonts w:ascii="Times New Roman" w:hAnsi="Times New Roman" w:cs="Times New Roman"/>
          <w:kern w:val="2"/>
          <w:sz w:val="24"/>
          <w:szCs w:val="24"/>
          <w14:ligatures w14:val="standardContextual"/>
        </w:rPr>
        <w:t xml:space="preserve">Gram staining of suspected colonies was performed according to standard microbiological protocols (Cheesbrough, 2006). Under oil immersion microscopy,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appeared as Gram-negative rods, confirming their classification as enteric bacilli.</w:t>
      </w:r>
    </w:p>
    <w:p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Biochemical Identification</w:t>
      </w:r>
    </w:p>
    <w:p w:rsidR="00F61B4B" w:rsidRPr="00BD212E" w:rsidRDefault="00F61B4B" w:rsidP="00F61B4B">
      <w:pPr>
        <w:spacing w:line="480" w:lineRule="auto"/>
        <w:jc w:val="both"/>
        <w:rPr>
          <w:rFonts w:ascii="Times New Roman" w:hAnsi="Times New Roman" w:cs="Times New Roman"/>
          <w:kern w:val="2"/>
          <w:sz w:val="24"/>
          <w:szCs w:val="24"/>
          <w14:ligatures w14:val="standardContextual"/>
        </w:rPr>
      </w:pPr>
      <w:r w:rsidRPr="00BD212E">
        <w:rPr>
          <w:rFonts w:ascii="Times New Roman" w:hAnsi="Times New Roman" w:cs="Times New Roman"/>
          <w:kern w:val="2"/>
          <w:sz w:val="24"/>
          <w:szCs w:val="24"/>
          <w14:ligatures w14:val="standardContextual"/>
        </w:rPr>
        <w:t xml:space="preserve">Biochemical tests were conducted to further characterize and confirm the identity of the isolates. These included the indole, urease, methyl red, citrate utilization, catalase, oxidase, Voges-Proskauer, nitrate reduction, and hydrogen sulfide production tests, as well as fermentation profiles on Triple Sugar Iron agar. Each test was performed according to standard microbiological protocols (Oboegbulam </w:t>
      </w:r>
      <w:r w:rsidRPr="00D07D72">
        <w:rPr>
          <w:rFonts w:ascii="Times New Roman" w:hAnsi="Times New Roman" w:cs="Times New Roman"/>
          <w:i/>
          <w:iCs/>
          <w:kern w:val="2"/>
          <w:sz w:val="24"/>
          <w:szCs w:val="24"/>
          <w14:ligatures w14:val="standardContextual"/>
        </w:rPr>
        <w:lastRenderedPageBreak/>
        <w:t>et al</w:t>
      </w:r>
      <w:r w:rsidRPr="00BD212E">
        <w:rPr>
          <w:rFonts w:ascii="Times New Roman" w:hAnsi="Times New Roman" w:cs="Times New Roman"/>
          <w:kern w:val="2"/>
          <w:sz w:val="24"/>
          <w:szCs w:val="24"/>
          <w14:ligatures w14:val="standardContextual"/>
        </w:rPr>
        <w:t xml:space="preserve">., 1995). For instance, the catalase test was used to detect the production of the catalase enzyme, </w:t>
      </w:r>
      <w:r w:rsidRPr="00BD212E">
        <w:rPr>
          <w:rFonts w:ascii="Times New Roman" w:hAnsi="Times New Roman" w:cs="Times New Roman"/>
          <w:i/>
          <w:iCs/>
          <w:kern w:val="2"/>
          <w:sz w:val="24"/>
          <w:szCs w:val="24"/>
          <w14:ligatures w14:val="standardContextual"/>
        </w:rPr>
        <w:t>indica</w:t>
      </w:r>
      <w:r w:rsidRPr="00BD212E">
        <w:rPr>
          <w:rFonts w:ascii="Times New Roman" w:hAnsi="Times New Roman" w:cs="Times New Roman"/>
          <w:kern w:val="2"/>
          <w:sz w:val="24"/>
          <w:szCs w:val="24"/>
          <w14:ligatures w14:val="standardContextual"/>
        </w:rPr>
        <w:t xml:space="preserve">ted by the release of oxygen bubbles upon exposure to hydrogen peroxide. Motility was determined in peptone water following incubation at 37°C for 24 hours. Indole production was tested in tryptone water by adding Kovac’s reagent, with the development of a red ring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a positive result. The Triple Sugar Iron agar test was used to assess carbohydrate fermentation, gas production, and hydrogen sulfide generation. Oxidase activity was determined by the development of a blue-purple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 after application of oxidase reagent, while citrate utilization was </w:t>
      </w:r>
      <w:r w:rsidRPr="00BD212E">
        <w:rPr>
          <w:rFonts w:ascii="Times New Roman" w:hAnsi="Times New Roman" w:cs="Times New Roman"/>
          <w:i/>
          <w:iCs/>
          <w:kern w:val="2"/>
          <w:sz w:val="24"/>
          <w:szCs w:val="24"/>
          <w14:ligatures w14:val="standardContextual"/>
        </w:rPr>
        <w:t>indica</w:t>
      </w:r>
      <w:r w:rsidRPr="00BD212E">
        <w:rPr>
          <w:rFonts w:ascii="Times New Roman" w:hAnsi="Times New Roman" w:cs="Times New Roman"/>
          <w:kern w:val="2"/>
          <w:sz w:val="24"/>
          <w:szCs w:val="24"/>
          <w14:ligatures w14:val="standardContextual"/>
        </w:rPr>
        <w:t xml:space="preserve">ted by growth with a bright blue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on Simmon’s citrate agar. The urease test was carried out using Christensen’s urea broth, where a pink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w:t>
      </w:r>
      <w:r w:rsidRPr="00BD212E">
        <w:rPr>
          <w:rFonts w:ascii="Times New Roman" w:hAnsi="Times New Roman" w:cs="Times New Roman"/>
          <w:i/>
          <w:iCs/>
          <w:kern w:val="2"/>
          <w:sz w:val="24"/>
          <w:szCs w:val="24"/>
          <w14:ligatures w14:val="standardContextual"/>
        </w:rPr>
        <w:t>indica</w:t>
      </w:r>
      <w:r w:rsidRPr="00BD212E">
        <w:rPr>
          <w:rFonts w:ascii="Times New Roman" w:hAnsi="Times New Roman" w:cs="Times New Roman"/>
          <w:kern w:val="2"/>
          <w:sz w:val="24"/>
          <w:szCs w:val="24"/>
          <w14:ligatures w14:val="standardContextual"/>
        </w:rPr>
        <w:t xml:space="preserve">ted urease activity. Similarly, the methyl red and Voges-Proskauer tests were performed to assess glucose metabolism pathways, with red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a positive methyl red reaction and a pink-red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a positive Voges-Proskauer reaction.</w:t>
      </w:r>
    </w:p>
    <w:p w:rsidR="00CB0BCC" w:rsidRPr="00ED1D23" w:rsidRDefault="00CB0BCC" w:rsidP="00ED1D23">
      <w:pPr>
        <w:pStyle w:val="ListParagraph"/>
        <w:numPr>
          <w:ilvl w:val="0"/>
          <w:numId w:val="2"/>
        </w:numPr>
        <w:spacing w:line="480" w:lineRule="auto"/>
        <w:rPr>
          <w:rFonts w:ascii="Times New Roman" w:hAnsi="Times New Roman" w:cs="Times New Roman"/>
          <w:b/>
          <w:sz w:val="24"/>
          <w:szCs w:val="24"/>
        </w:rPr>
      </w:pPr>
      <w:r w:rsidRPr="00ED1D23">
        <w:rPr>
          <w:rFonts w:ascii="Times New Roman" w:hAnsi="Times New Roman" w:cs="Times New Roman"/>
          <w:b/>
          <w:sz w:val="24"/>
          <w:szCs w:val="24"/>
        </w:rPr>
        <w:t>RESULTS</w:t>
      </w:r>
    </w:p>
    <w:p w:rsidR="0093453B" w:rsidRPr="0071129D" w:rsidRDefault="0093453B" w:rsidP="0093453B">
      <w:pPr>
        <w:autoSpaceDE w:val="0"/>
        <w:autoSpaceDN w:val="0"/>
        <w:adjustRightInd w:val="0"/>
        <w:spacing w:after="0" w:line="240" w:lineRule="auto"/>
        <w:rPr>
          <w:rFonts w:ascii="Times New Roman" w:hAnsi="Times New Roman" w:cs="Times New Roman"/>
          <w:b/>
          <w:bCs/>
          <w:color w:val="000000"/>
          <w:sz w:val="24"/>
          <w:szCs w:val="24"/>
        </w:rPr>
      </w:pPr>
      <w:r w:rsidRPr="001C0A23">
        <w:rPr>
          <w:rFonts w:ascii="Times New Roman" w:hAnsi="Times New Roman" w:cs="Times New Roman"/>
          <w:b/>
          <w:bCs/>
          <w:sz w:val="24"/>
          <w:szCs w:val="24"/>
        </w:rPr>
        <w:t>Table</w:t>
      </w:r>
      <w:r>
        <w:rPr>
          <w:rFonts w:ascii="Times New Roman" w:hAnsi="Times New Roman" w:cs="Times New Roman"/>
          <w:b/>
          <w:bCs/>
          <w:sz w:val="24"/>
          <w:szCs w:val="24"/>
        </w:rPr>
        <w:t xml:space="preserve">: 1: </w:t>
      </w:r>
      <w:r w:rsidRPr="0071129D">
        <w:rPr>
          <w:rFonts w:ascii="Times New Roman" w:hAnsi="Times New Roman" w:cs="Times New Roman"/>
          <w:b/>
          <w:bCs/>
          <w:sz w:val="24"/>
          <w:szCs w:val="24"/>
        </w:rPr>
        <w:t xml:space="preserve"> Prevalence of </w:t>
      </w:r>
      <w:r w:rsidRPr="00325C26">
        <w:rPr>
          <w:rFonts w:ascii="Times New Roman" w:hAnsi="Times New Roman" w:cs="Times New Roman"/>
          <w:b/>
          <w:bCs/>
          <w:i/>
          <w:iCs/>
          <w:sz w:val="24"/>
          <w:szCs w:val="24"/>
        </w:rPr>
        <w:t>Salmonella</w:t>
      </w:r>
      <w:r w:rsidRPr="0071129D">
        <w:rPr>
          <w:rFonts w:ascii="Times New Roman" w:hAnsi="Times New Roman" w:cs="Times New Roman"/>
          <w:b/>
          <w:bCs/>
          <w:sz w:val="24"/>
          <w:szCs w:val="24"/>
        </w:rPr>
        <w:t xml:space="preserve"> Infection among the Internally Displaced Persons (IDPs) in relation to States</w:t>
      </w:r>
    </w:p>
    <w:p w:rsidR="0093453B" w:rsidRDefault="0093453B" w:rsidP="0093453B">
      <w:pPr>
        <w:spacing w:line="480" w:lineRule="auto"/>
        <w:rPr>
          <w:rFonts w:ascii="Times New Roman" w:hAnsi="Times New Roman" w:cs="Times New Roman"/>
          <w:bCs/>
          <w:sz w:val="24"/>
          <w:szCs w:val="24"/>
        </w:rPr>
      </w:pPr>
    </w:p>
    <w:p w:rsidR="00CB0BCC" w:rsidRPr="00B37F20" w:rsidRDefault="0093453B" w:rsidP="00CB0BCC">
      <w:pPr>
        <w:spacing w:line="480" w:lineRule="auto"/>
        <w:rPr>
          <w:rFonts w:ascii="Times New Roman" w:hAnsi="Times New Roman" w:cs="Times New Roman"/>
          <w:bCs/>
          <w:sz w:val="24"/>
          <w:szCs w:val="24"/>
        </w:rPr>
      </w:pPr>
      <w:r w:rsidRPr="0071129D">
        <w:rPr>
          <w:rFonts w:ascii="Times New Roman" w:hAnsi="Times New Roman" w:cs="Times New Roman"/>
          <w:bCs/>
          <w:sz w:val="24"/>
          <w:szCs w:val="24"/>
        </w:rPr>
        <w:t>Nasarawa State recorded the highest prevalence (8.0</w:t>
      </w:r>
      <w:r>
        <w:rPr>
          <w:rFonts w:ascii="Times New Roman" w:hAnsi="Times New Roman" w:cs="Times New Roman"/>
          <w:bCs/>
          <w:i/>
          <w:iCs/>
          <w:sz w:val="24"/>
          <w:szCs w:val="24"/>
        </w:rPr>
        <w:t xml:space="preserve"> </w:t>
      </w:r>
      <w:r w:rsidRPr="00296151">
        <w:rPr>
          <w:rFonts w:ascii="Times New Roman" w:hAnsi="Times New Roman" w:cs="Times New Roman"/>
          <w:bCs/>
          <w:sz w:val="24"/>
          <w:szCs w:val="24"/>
        </w:rPr>
        <w:t>%</w:t>
      </w:r>
      <w:r w:rsidRPr="0071129D">
        <w:rPr>
          <w:rFonts w:ascii="Times New Roman" w:hAnsi="Times New Roman" w:cs="Times New Roman"/>
          <w:bCs/>
          <w:sz w:val="24"/>
          <w:szCs w:val="24"/>
        </w:rPr>
        <w:t>), followed by Plateau (6.0</w:t>
      </w:r>
      <w:r>
        <w:rPr>
          <w:rFonts w:ascii="Times New Roman" w:hAnsi="Times New Roman" w:cs="Times New Roman"/>
          <w:bCs/>
          <w:i/>
          <w:iCs/>
          <w:sz w:val="24"/>
          <w:szCs w:val="24"/>
        </w:rPr>
        <w:t xml:space="preserve"> </w:t>
      </w:r>
      <w:r w:rsidRPr="00296151">
        <w:rPr>
          <w:rFonts w:ascii="Times New Roman" w:hAnsi="Times New Roman" w:cs="Times New Roman"/>
          <w:bCs/>
          <w:sz w:val="24"/>
          <w:szCs w:val="24"/>
        </w:rPr>
        <w:t>%</w:t>
      </w:r>
      <w:r w:rsidRPr="0071129D">
        <w:rPr>
          <w:rFonts w:ascii="Times New Roman" w:hAnsi="Times New Roman" w:cs="Times New Roman"/>
          <w:bCs/>
          <w:sz w:val="24"/>
          <w:szCs w:val="24"/>
        </w:rPr>
        <w:t>), while Benue reported the lowest rate (5.4</w:t>
      </w:r>
      <w:r>
        <w:rPr>
          <w:rFonts w:ascii="Times New Roman" w:hAnsi="Times New Roman" w:cs="Times New Roman"/>
          <w:bCs/>
          <w:i/>
          <w:iCs/>
          <w:sz w:val="24"/>
          <w:szCs w:val="24"/>
        </w:rPr>
        <w:t xml:space="preserve"> </w:t>
      </w:r>
      <w:r w:rsidRPr="00296151">
        <w:rPr>
          <w:rFonts w:ascii="Times New Roman" w:hAnsi="Times New Roman" w:cs="Times New Roman"/>
          <w:bCs/>
          <w:sz w:val="24"/>
          <w:szCs w:val="24"/>
        </w:rPr>
        <w:t>%</w:t>
      </w:r>
      <w:r w:rsidRPr="0071129D">
        <w:rPr>
          <w:rFonts w:ascii="Times New Roman" w:hAnsi="Times New Roman" w:cs="Times New Roman"/>
          <w:bCs/>
          <w:sz w:val="24"/>
          <w:szCs w:val="24"/>
        </w:rPr>
        <w:t xml:space="preserve">). Despite these variations, the distribution of </w:t>
      </w:r>
      <w:r w:rsidRPr="00325C26">
        <w:rPr>
          <w:rFonts w:ascii="Times New Roman" w:hAnsi="Times New Roman" w:cs="Times New Roman"/>
          <w:bCs/>
          <w:i/>
          <w:iCs/>
          <w:sz w:val="24"/>
          <w:szCs w:val="24"/>
        </w:rPr>
        <w:t>Salmonella</w:t>
      </w:r>
      <w:r w:rsidRPr="0071129D">
        <w:rPr>
          <w:rFonts w:ascii="Times New Roman" w:hAnsi="Times New Roman" w:cs="Times New Roman"/>
          <w:bCs/>
          <w:sz w:val="24"/>
          <w:szCs w:val="24"/>
        </w:rPr>
        <w:t xml:space="preserve"> infection across the states can be</w:t>
      </w:r>
      <w:r>
        <w:rPr>
          <w:rFonts w:ascii="Times New Roman" w:hAnsi="Times New Roman" w:cs="Times New Roman"/>
          <w:bCs/>
          <w:sz w:val="24"/>
          <w:szCs w:val="24"/>
        </w:rPr>
        <w:t xml:space="preserve"> considered relatively uniform</w:t>
      </w:r>
      <w:r w:rsidRPr="0071129D">
        <w:rPr>
          <w:rFonts w:ascii="Times New Roman" w:hAnsi="Times New Roman" w:cs="Times New Roman"/>
          <w:bCs/>
          <w:sz w:val="24"/>
          <w:szCs w:val="24"/>
        </w:rPr>
        <w:t>.</w:t>
      </w:r>
      <w:r w:rsidRPr="0093453B">
        <w:rPr>
          <w:rFonts w:ascii="Times New Roman" w:hAnsi="Times New Roman" w:cs="Times New Roman"/>
          <w:bCs/>
          <w:sz w:val="24"/>
          <w:szCs w:val="24"/>
        </w:rPr>
        <w:t xml:space="preserve"> </w:t>
      </w:r>
      <w:r w:rsidRPr="0071129D">
        <w:rPr>
          <w:rFonts w:ascii="Times New Roman" w:hAnsi="Times New Roman" w:cs="Times New Roman"/>
          <w:bCs/>
          <w:sz w:val="24"/>
          <w:szCs w:val="24"/>
        </w:rPr>
        <w:t>Comparison of infection rates across the three states showed no statistically significant difference (χ² = 0.983, p = 0.612).</w:t>
      </w:r>
    </w:p>
    <w:p w:rsidR="00CB0BCC" w:rsidRDefault="00B37F20" w:rsidP="00CB0BCC">
      <w:pPr>
        <w:spacing w:line="480" w:lineRule="auto"/>
      </w:pPr>
      <w:r w:rsidRPr="001C0A23">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2</w:t>
      </w:r>
      <w:r w:rsidRPr="0071129D">
        <w:rPr>
          <w:rFonts w:ascii="Times New Roman" w:eastAsia="Times New Roman" w:hAnsi="Times New Roman" w:cs="Times New Roman"/>
          <w:b/>
          <w:bCs/>
          <w:sz w:val="24"/>
          <w:szCs w:val="24"/>
        </w:rPr>
        <w:t xml:space="preserve">: Age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Displaced Persons (IDPs) in North-Central Nigeria</w:t>
      </w:r>
    </w:p>
    <w:p w:rsidR="00CB0BCC" w:rsidRPr="00C757D3" w:rsidRDefault="00B37F20" w:rsidP="00C757D3">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lastRenderedPageBreak/>
        <w:t xml:space="preserve">Age-specific prevalence patterns are shown in </w:t>
      </w:r>
      <w:r w:rsidRPr="001C0A23">
        <w:rPr>
          <w:rFonts w:ascii="Times New Roman" w:hAnsi="Times New Roman" w:cs="Times New Roman"/>
          <w:sz w:val="24"/>
          <w:szCs w:val="24"/>
        </w:rPr>
        <w:t>Table</w:t>
      </w:r>
      <w:r>
        <w:rPr>
          <w:rFonts w:ascii="Times New Roman" w:hAnsi="Times New Roman" w:cs="Times New Roman"/>
          <w:sz w:val="24"/>
          <w:szCs w:val="24"/>
        </w:rPr>
        <w:t xml:space="preserve"> 2</w:t>
      </w:r>
      <w:r w:rsidRPr="0071129D">
        <w:rPr>
          <w:rFonts w:ascii="Times New Roman" w:hAnsi="Times New Roman" w:cs="Times New Roman"/>
          <w:sz w:val="24"/>
          <w:szCs w:val="24"/>
        </w:rPr>
        <w:t>. The highest infection rate was observed among individuals aged 31–40 years (10.9</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n = 7), followed by those in the 21–30 years and ≥41 years categories, each recording a prevalence of 8.3</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In contrast, the lowest preval</w:t>
      </w:r>
      <w:r w:rsidR="00B20280">
        <w:rPr>
          <w:rFonts w:ascii="Times New Roman" w:hAnsi="Times New Roman" w:cs="Times New Roman"/>
          <w:sz w:val="24"/>
          <w:szCs w:val="24"/>
        </w:rPr>
        <w:t>ence was documented in the 0–10</w:t>
      </w:r>
      <w:r w:rsidRPr="0071129D">
        <w:rPr>
          <w:rFonts w:ascii="Times New Roman" w:hAnsi="Times New Roman" w:cs="Times New Roman"/>
          <w:sz w:val="24"/>
          <w:szCs w:val="24"/>
        </w:rPr>
        <w:t>years age group, at only 1.0</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Despite these variations, the majority of participants (93.3</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had no detec</w:t>
      </w:r>
      <w:r w:rsidRPr="001C0A23">
        <w:rPr>
          <w:rFonts w:ascii="Times New Roman" w:hAnsi="Times New Roman" w:cs="Times New Roman"/>
          <w:sz w:val="24"/>
          <w:szCs w:val="24"/>
        </w:rPr>
        <w:t>table</w:t>
      </w:r>
      <w:r w:rsidRPr="0071129D">
        <w:rPr>
          <w:rFonts w:ascii="Times New Roman" w:hAnsi="Times New Roman" w:cs="Times New Roman"/>
          <w:sz w:val="24"/>
          <w:szCs w:val="24"/>
        </w:rPr>
        <w:t xml:space="preserve"> infection. Statistical analysis revealed no significant association between age and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 (χ² = 8.145; p = 0.086).</w:t>
      </w:r>
    </w:p>
    <w:p w:rsidR="00B20280" w:rsidRDefault="00B20280" w:rsidP="00B20280">
      <w:pPr>
        <w:spacing w:line="480" w:lineRule="auto"/>
        <w:jc w:val="both"/>
        <w:rPr>
          <w:rFonts w:ascii="Times New Roman" w:hAnsi="Times New Roman" w:cs="Times New Roman"/>
          <w:sz w:val="24"/>
          <w:szCs w:val="24"/>
        </w:rPr>
      </w:pPr>
      <w:r w:rsidRPr="001C0A23">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3</w:t>
      </w:r>
      <w:r w:rsidRPr="0071129D">
        <w:rPr>
          <w:rFonts w:ascii="Times New Roman" w:eastAsia="Times New Roman" w:hAnsi="Times New Roman" w:cs="Times New Roman"/>
          <w:b/>
          <w:bCs/>
          <w:sz w:val="24"/>
          <w:szCs w:val="24"/>
        </w:rPr>
        <w:t xml:space="preserv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w:t>
      </w:r>
      <w:r>
        <w:rPr>
          <w:rFonts w:ascii="Times New Roman" w:eastAsia="Times New Roman" w:hAnsi="Times New Roman" w:cs="Times New Roman"/>
          <w:b/>
          <w:bCs/>
          <w:sz w:val="24"/>
          <w:szCs w:val="24"/>
        </w:rPr>
        <w:t>Displaced Persons (IDPs) by Sex</w:t>
      </w:r>
    </w:p>
    <w:p w:rsidR="00D215E9" w:rsidRDefault="00B20280" w:rsidP="00B20280">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71129D">
        <w:rPr>
          <w:rFonts w:ascii="Times New Roman" w:hAnsi="Times New Roman" w:cs="Times New Roman"/>
          <w:sz w:val="24"/>
          <w:szCs w:val="24"/>
        </w:rPr>
        <w:t xml:space="preserve">he prevalence of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 was higher among males (9.4</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compared to females (4.1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n = 10). This gender-based difference was statistically significant (p = 0.029), suggesting that the observed variation is unlikely to have occurred by chance. Overall, however, the vast majority of IDPs screened (93.6</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were free of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w:t>
      </w:r>
    </w:p>
    <w:p w:rsidR="00B20280" w:rsidRPr="00AC3887" w:rsidRDefault="00AC3887" w:rsidP="00B20280">
      <w:pPr>
        <w:spacing w:line="480" w:lineRule="auto"/>
        <w:jc w:val="both"/>
        <w:rPr>
          <w:rFonts w:ascii="Times New Roman" w:hAnsi="Times New Roman" w:cs="Times New Roman"/>
          <w:b/>
          <w:sz w:val="24"/>
          <w:szCs w:val="24"/>
        </w:rPr>
      </w:pPr>
      <w:r w:rsidRPr="00AC3887">
        <w:rPr>
          <w:rFonts w:ascii="Times New Roman" w:hAnsi="Times New Roman" w:cs="Times New Roman"/>
          <w:b/>
          <w:sz w:val="24"/>
          <w:szCs w:val="24"/>
        </w:rPr>
        <w:t>Table:</w:t>
      </w:r>
      <w:r>
        <w:rPr>
          <w:rFonts w:ascii="Times New Roman" w:hAnsi="Times New Roman" w:cs="Times New Roman"/>
          <w:b/>
          <w:sz w:val="24"/>
          <w:szCs w:val="24"/>
        </w:rPr>
        <w:t xml:space="preserve"> </w:t>
      </w:r>
      <w:r w:rsidRPr="00AC3887">
        <w:rPr>
          <w:rFonts w:ascii="Times New Roman" w:hAnsi="Times New Roman" w:cs="Times New Roman"/>
          <w:b/>
          <w:sz w:val="24"/>
          <w:szCs w:val="24"/>
        </w:rPr>
        <w:t>4:</w:t>
      </w:r>
      <w:r>
        <w:rPr>
          <w:rFonts w:ascii="Times New Roman" w:hAnsi="Times New Roman" w:cs="Times New Roman"/>
          <w:b/>
          <w:sz w:val="24"/>
          <w:szCs w:val="24"/>
        </w:rPr>
        <w:t xml:space="preserve"> Prevalence of </w:t>
      </w:r>
      <w:r w:rsidRPr="00AC3887">
        <w:rPr>
          <w:rFonts w:ascii="Times New Roman" w:hAnsi="Times New Roman" w:cs="Times New Roman"/>
          <w:b/>
          <w:i/>
          <w:sz w:val="24"/>
          <w:szCs w:val="24"/>
        </w:rPr>
        <w:t>Salmonella</w:t>
      </w:r>
      <w:r>
        <w:rPr>
          <w:rFonts w:ascii="Times New Roman" w:hAnsi="Times New Roman" w:cs="Times New Roman"/>
          <w:b/>
          <w:sz w:val="24"/>
          <w:szCs w:val="24"/>
        </w:rPr>
        <w:t xml:space="preserve"> infection in Relation Socio-Demographic</w:t>
      </w:r>
      <w:r w:rsidR="00B153A8">
        <w:rPr>
          <w:rFonts w:ascii="Times New Roman" w:hAnsi="Times New Roman" w:cs="Times New Roman"/>
          <w:b/>
          <w:sz w:val="24"/>
          <w:szCs w:val="24"/>
        </w:rPr>
        <w:t xml:space="preserve"> Characteristics</w:t>
      </w:r>
    </w:p>
    <w:p w:rsidR="007E4686" w:rsidRPr="0071129D" w:rsidRDefault="007E4686" w:rsidP="007E46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level </w:t>
      </w:r>
      <w:r w:rsidRPr="0071129D">
        <w:rPr>
          <w:rFonts w:ascii="Times New Roman" w:hAnsi="Times New Roman" w:cs="Times New Roman"/>
          <w:sz w:val="24"/>
          <w:szCs w:val="24"/>
        </w:rPr>
        <w:t>showed the highest prevalence among participants with secondary education (55.6</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In comparison, prevalence was 22.2</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among those without formal education,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among those with primary education, and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among those with tertiary education. However, this variation was not statistically significant (χ² = 4.002; p = 0.261).</w:t>
      </w:r>
    </w:p>
    <w:p w:rsidR="007E4686" w:rsidRPr="0071129D" w:rsidRDefault="007E4686" w:rsidP="007E4686">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Marital status was a more relevant factor. Married participants accounted for the majority of infections (55.6</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while single individuals represented 22.2</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Widows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widowers (7.4</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and divorced participants (3.7</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had lower prevalence. Statistical analysis </w:t>
      </w:r>
      <w:r w:rsidRPr="0071129D">
        <w:rPr>
          <w:rFonts w:ascii="Times New Roman" w:hAnsi="Times New Roman" w:cs="Times New Roman"/>
          <w:i/>
          <w:iCs/>
          <w:sz w:val="24"/>
          <w:szCs w:val="24"/>
        </w:rPr>
        <w:lastRenderedPageBreak/>
        <w:t>indica</w:t>
      </w:r>
      <w:r w:rsidRPr="0071129D">
        <w:rPr>
          <w:rFonts w:ascii="Times New Roman" w:hAnsi="Times New Roman" w:cs="Times New Roman"/>
          <w:sz w:val="24"/>
          <w:szCs w:val="24"/>
        </w:rPr>
        <w:t xml:space="preserve">ted a significant association between marital status and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 (p = 0.050), suggesting that marital status may influence risk.</w:t>
      </w:r>
    </w:p>
    <w:p w:rsidR="00D215E9" w:rsidRPr="0071129D" w:rsidRDefault="007E4686" w:rsidP="007E4686">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Occupational s</w:t>
      </w:r>
      <w:r>
        <w:rPr>
          <w:rFonts w:ascii="Times New Roman" w:hAnsi="Times New Roman" w:cs="Times New Roman"/>
          <w:sz w:val="24"/>
          <w:szCs w:val="24"/>
        </w:rPr>
        <w:t>tatus also revealed variations</w:t>
      </w:r>
      <w:r w:rsidRPr="0071129D">
        <w:rPr>
          <w:rFonts w:ascii="Times New Roman" w:hAnsi="Times New Roman" w:cs="Times New Roman"/>
          <w:sz w:val="24"/>
          <w:szCs w:val="24"/>
        </w:rPr>
        <w:t>. Farmers represented the largest proportion of infections (74.1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n = 20 of 27 positive cases). Petty traders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civil servants (7.4</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artisans (3.7</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and students (3.7</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accounted for much smaller proportions. Nevertheless, the association between occupation and infection was not statistically significant (χ² = 6.508; p = 0.164).</w:t>
      </w:r>
    </w:p>
    <w:p w:rsidR="00CB0BCC" w:rsidRDefault="00CB0BCC" w:rsidP="00CB0BCC">
      <w:pPr>
        <w:spacing w:line="480" w:lineRule="auto"/>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480" w:lineRule="auto"/>
        <w:rPr>
          <w:rFonts w:ascii="Times New Roman" w:hAnsi="Times New Roman" w:cs="Times New Roman"/>
          <w:sz w:val="24"/>
          <w:szCs w:val="24"/>
        </w:rPr>
      </w:pPr>
    </w:p>
    <w:p w:rsidR="00CB0BCC" w:rsidRPr="0071129D" w:rsidRDefault="00CB0BCC" w:rsidP="00CB0BCC">
      <w:pPr>
        <w:spacing w:line="240" w:lineRule="auto"/>
        <w:jc w:val="both"/>
        <w:rPr>
          <w:rFonts w:ascii="Times New Roman" w:hAnsi="Times New Roman" w:cs="Times New Roman"/>
          <w:kern w:val="2"/>
          <w:sz w:val="24"/>
          <w:szCs w:val="24"/>
          <w14:ligatures w14:val="standardContextual"/>
        </w:rPr>
      </w:pPr>
    </w:p>
    <w:p w:rsidR="00CB0BCC" w:rsidRPr="0071129D" w:rsidRDefault="00CB0BCC" w:rsidP="00CB0BCC">
      <w:pPr>
        <w:spacing w:line="240" w:lineRule="auto"/>
        <w:jc w:val="both"/>
        <w:rPr>
          <w:rFonts w:ascii="Times New Roman" w:hAnsi="Times New Roman" w:cs="Times New Roman"/>
          <w:sz w:val="24"/>
          <w:szCs w:val="24"/>
        </w:rPr>
      </w:pPr>
    </w:p>
    <w:p w:rsidR="00CB0BCC" w:rsidRDefault="00CB0BCC" w:rsidP="00CB0BCC">
      <w:pPr>
        <w:rPr>
          <w:rFonts w:ascii="Times New Roman" w:hAnsi="Times New Roman" w:cs="Times New Roman"/>
          <w:b/>
          <w:bCs/>
          <w:color w:val="FF0000"/>
          <w:sz w:val="24"/>
          <w:szCs w:val="24"/>
          <w:highlight w:val="yellow"/>
        </w:rPr>
      </w:pPr>
      <w:r>
        <w:rPr>
          <w:rFonts w:ascii="Times New Roman" w:hAnsi="Times New Roman" w:cs="Times New Roman"/>
          <w:b/>
          <w:bCs/>
          <w:color w:val="FF0000"/>
          <w:sz w:val="24"/>
          <w:szCs w:val="24"/>
          <w:highlight w:val="yellow"/>
        </w:rPr>
        <w:br w:type="page"/>
      </w:r>
    </w:p>
    <w:p w:rsidR="00CB0BCC" w:rsidRPr="0071129D" w:rsidRDefault="00CB0BCC" w:rsidP="00CB0BCC">
      <w:pPr>
        <w:autoSpaceDE w:val="0"/>
        <w:autoSpaceDN w:val="0"/>
        <w:adjustRightInd w:val="0"/>
        <w:spacing w:after="0" w:line="240" w:lineRule="auto"/>
        <w:rPr>
          <w:rFonts w:ascii="Times New Roman" w:hAnsi="Times New Roman" w:cs="Times New Roman"/>
          <w:b/>
          <w:bCs/>
          <w:color w:val="000000"/>
          <w:sz w:val="24"/>
          <w:szCs w:val="24"/>
        </w:rPr>
      </w:pPr>
      <w:r w:rsidRPr="001C0A23">
        <w:rPr>
          <w:rFonts w:ascii="Times New Roman" w:hAnsi="Times New Roman" w:cs="Times New Roman"/>
          <w:b/>
          <w:bCs/>
          <w:sz w:val="24"/>
          <w:szCs w:val="24"/>
        </w:rPr>
        <w:lastRenderedPageBreak/>
        <w:t>Table</w:t>
      </w:r>
      <w:r w:rsidR="00B73DC2">
        <w:rPr>
          <w:rFonts w:ascii="Times New Roman" w:hAnsi="Times New Roman" w:cs="Times New Roman"/>
          <w:b/>
          <w:bCs/>
          <w:sz w:val="24"/>
          <w:szCs w:val="24"/>
        </w:rPr>
        <w:t>: 1</w:t>
      </w:r>
      <w:r w:rsidR="0093453B">
        <w:rPr>
          <w:rFonts w:ascii="Times New Roman" w:hAnsi="Times New Roman" w:cs="Times New Roman"/>
          <w:b/>
          <w:bCs/>
          <w:sz w:val="24"/>
          <w:szCs w:val="24"/>
        </w:rPr>
        <w:t>:</w:t>
      </w:r>
      <w:r w:rsidRPr="0071129D">
        <w:rPr>
          <w:rFonts w:ascii="Times New Roman" w:hAnsi="Times New Roman" w:cs="Times New Roman"/>
          <w:b/>
          <w:bCs/>
          <w:sz w:val="24"/>
          <w:szCs w:val="24"/>
        </w:rPr>
        <w:t xml:space="preserve"> Prevalence of </w:t>
      </w:r>
      <w:r w:rsidRPr="00325C26">
        <w:rPr>
          <w:rFonts w:ascii="Times New Roman" w:hAnsi="Times New Roman" w:cs="Times New Roman"/>
          <w:b/>
          <w:bCs/>
          <w:i/>
          <w:iCs/>
          <w:sz w:val="24"/>
          <w:szCs w:val="24"/>
        </w:rPr>
        <w:t>Salmonella</w:t>
      </w:r>
      <w:r w:rsidRPr="0071129D">
        <w:rPr>
          <w:rFonts w:ascii="Times New Roman" w:hAnsi="Times New Roman" w:cs="Times New Roman"/>
          <w:b/>
          <w:bCs/>
          <w:sz w:val="24"/>
          <w:szCs w:val="24"/>
        </w:rPr>
        <w:t xml:space="preserve"> Infection among the Internally Displaced Persons (IDPs) in relation to States</w:t>
      </w:r>
    </w:p>
    <w:tbl>
      <w:tblPr>
        <w:tblW w:w="5005" w:type="pct"/>
        <w:tblInd w:w="-5" w:type="dxa"/>
        <w:tblCellMar>
          <w:left w:w="0" w:type="dxa"/>
          <w:right w:w="0" w:type="dxa"/>
        </w:tblCellMar>
        <w:tblLook w:val="04A0" w:firstRow="1" w:lastRow="0" w:firstColumn="1" w:lastColumn="0" w:noHBand="0" w:noVBand="1"/>
      </w:tblPr>
      <w:tblGrid>
        <w:gridCol w:w="1875"/>
        <w:gridCol w:w="400"/>
        <w:gridCol w:w="695"/>
        <w:gridCol w:w="1469"/>
        <w:gridCol w:w="693"/>
        <w:gridCol w:w="436"/>
        <w:gridCol w:w="1707"/>
        <w:gridCol w:w="1142"/>
        <w:gridCol w:w="1712"/>
        <w:gridCol w:w="1142"/>
        <w:gridCol w:w="1702"/>
      </w:tblGrid>
      <w:tr w:rsidR="00CB0BCC" w:rsidRPr="0071129D" w:rsidTr="00814CF2">
        <w:trPr>
          <w:cantSplit/>
        </w:trPr>
        <w:tc>
          <w:tcPr>
            <w:tcW w:w="1711" w:type="pct"/>
            <w:gridSpan w:val="4"/>
            <w:vMerge w:val="restart"/>
            <w:tcBorders>
              <w:top w:val="single" w:sz="4" w:space="0" w:color="auto"/>
              <w:left w:val="nil"/>
              <w:bottom w:val="single" w:sz="4" w:space="0" w:color="auto"/>
              <w:right w:val="nil"/>
            </w:tcBorders>
            <w:shd w:val="clear" w:color="auto" w:fill="FFFFFF"/>
            <w:vAlign w:val="center"/>
            <w:hideMark/>
          </w:tcPr>
          <w:p w:rsidR="00CB0BCC" w:rsidRPr="0071129D" w:rsidRDefault="00CB0BCC" w:rsidP="00814CF2">
            <w:pPr>
              <w:autoSpaceDE w:val="0"/>
              <w:autoSpaceDN w:val="0"/>
              <w:adjustRightInd w:val="0"/>
              <w:spacing w:after="0" w:line="240" w:lineRule="auto"/>
              <w:rPr>
                <w:rFonts w:ascii="Times New Roman" w:hAnsi="Times New Roman" w:cs="Times New Roman"/>
                <w:b/>
                <w:sz w:val="24"/>
                <w:szCs w:val="24"/>
              </w:rPr>
            </w:pPr>
            <w:r w:rsidRPr="0071129D">
              <w:rPr>
                <w:rFonts w:ascii="Times New Roman" w:hAnsi="Times New Roman" w:cs="Times New Roman"/>
                <w:b/>
                <w:sz w:val="24"/>
                <w:szCs w:val="24"/>
              </w:rPr>
              <w:t xml:space="preserve"> </w:t>
            </w:r>
            <w:r w:rsidR="00C47F9F">
              <w:rPr>
                <w:rFonts w:ascii="Times New Roman" w:hAnsi="Times New Roman" w:cs="Times New Roman"/>
                <w:b/>
                <w:sz w:val="24"/>
                <w:szCs w:val="24"/>
              </w:rPr>
              <w:t xml:space="preserve">                   </w:t>
            </w:r>
            <w:r w:rsidR="00B73DC2">
              <w:rPr>
                <w:rFonts w:ascii="Times New Roman" w:hAnsi="Times New Roman" w:cs="Times New Roman"/>
                <w:b/>
                <w:sz w:val="24"/>
                <w:szCs w:val="24"/>
              </w:rPr>
              <w:t xml:space="preserve">        </w:t>
            </w:r>
            <w:r w:rsidR="00C47F9F">
              <w:rPr>
                <w:rFonts w:ascii="Times New Roman" w:hAnsi="Times New Roman" w:cs="Times New Roman"/>
                <w:b/>
                <w:sz w:val="24"/>
                <w:szCs w:val="24"/>
              </w:rPr>
              <w:t xml:space="preserve"> STATE</w:t>
            </w:r>
          </w:p>
        </w:tc>
        <w:tc>
          <w:tcPr>
            <w:tcW w:w="2193" w:type="pct"/>
            <w:gridSpan w:val="5"/>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325C26">
              <w:rPr>
                <w:rFonts w:ascii="Times New Roman" w:hAnsi="Times New Roman" w:cs="Times New Roman"/>
                <w:b/>
                <w:i/>
                <w:iCs/>
                <w:color w:val="000000"/>
                <w:sz w:val="24"/>
                <w:szCs w:val="24"/>
              </w:rPr>
              <w:t>SALMONELLA</w:t>
            </w:r>
            <w:r w:rsidRPr="0071129D">
              <w:rPr>
                <w:rFonts w:ascii="Times New Roman" w:hAnsi="Times New Roman" w:cs="Times New Roman"/>
                <w:b/>
                <w:color w:val="000000"/>
                <w:sz w:val="24"/>
                <w:szCs w:val="24"/>
              </w:rPr>
              <w:t xml:space="preserve"> INFECTION</w:t>
            </w:r>
          </w:p>
        </w:tc>
        <w:tc>
          <w:tcPr>
            <w:tcW w:w="1096" w:type="pct"/>
            <w:gridSpan w:val="2"/>
            <w:vMerge w:val="restart"/>
            <w:tcBorders>
              <w:top w:val="single" w:sz="4" w:space="0" w:color="auto"/>
              <w:left w:val="nil"/>
              <w:bottom w:val="nil"/>
              <w:right w:val="nil"/>
            </w:tcBorders>
            <w:shd w:val="clear" w:color="auto" w:fill="FFFFFF"/>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p>
        </w:tc>
      </w:tr>
      <w:tr w:rsidR="00CB0BCC" w:rsidRPr="0071129D" w:rsidTr="00814CF2">
        <w:trPr>
          <w:cantSplit/>
        </w:trPr>
        <w:tc>
          <w:tcPr>
            <w:tcW w:w="0" w:type="auto"/>
            <w:gridSpan w:val="4"/>
            <w:vMerge/>
            <w:tcBorders>
              <w:top w:val="single" w:sz="4" w:space="0" w:color="auto"/>
              <w:left w:val="nil"/>
              <w:bottom w:val="single" w:sz="4" w:space="0" w:color="auto"/>
              <w:right w:val="nil"/>
            </w:tcBorders>
            <w:vAlign w:val="center"/>
            <w:hideMark/>
          </w:tcPr>
          <w:p w:rsidR="00CB0BCC" w:rsidRPr="0071129D" w:rsidRDefault="00CB0BCC" w:rsidP="00814CF2">
            <w:pPr>
              <w:spacing w:after="0"/>
              <w:rPr>
                <w:rFonts w:ascii="Times New Roman" w:hAnsi="Times New Roman" w:cs="Times New Roman"/>
                <w:b/>
                <w:kern w:val="2"/>
                <w:sz w:val="24"/>
                <w:szCs w:val="24"/>
                <w14:ligatures w14:val="standardContextual"/>
              </w:rPr>
            </w:pPr>
          </w:p>
        </w:tc>
        <w:tc>
          <w:tcPr>
            <w:tcW w:w="1093" w:type="pct"/>
            <w:gridSpan w:val="3"/>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Absent</w:t>
            </w:r>
          </w:p>
        </w:tc>
        <w:tc>
          <w:tcPr>
            <w:tcW w:w="1100" w:type="pct"/>
            <w:gridSpan w:val="2"/>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Present</w:t>
            </w:r>
          </w:p>
        </w:tc>
        <w:tc>
          <w:tcPr>
            <w:tcW w:w="0" w:type="auto"/>
            <w:gridSpan w:val="2"/>
            <w:vMerge/>
            <w:tcBorders>
              <w:top w:val="single" w:sz="4" w:space="0" w:color="auto"/>
              <w:left w:val="nil"/>
              <w:bottom w:val="nil"/>
              <w:right w:val="nil"/>
            </w:tcBorders>
            <w:vAlign w:val="center"/>
            <w:hideMark/>
          </w:tcPr>
          <w:p w:rsidR="00CB0BCC" w:rsidRPr="0071129D" w:rsidRDefault="00CB0BCC" w:rsidP="00814CF2">
            <w:pPr>
              <w:spacing w:after="0"/>
              <w:rPr>
                <w:rFonts w:ascii="Times New Roman" w:hAnsi="Times New Roman" w:cs="Times New Roman"/>
                <w:b/>
                <w:color w:val="000000"/>
                <w:kern w:val="2"/>
                <w:sz w:val="24"/>
                <w:szCs w:val="24"/>
                <w14:ligatures w14:val="standardContextual"/>
              </w:rPr>
            </w:pPr>
          </w:p>
        </w:tc>
      </w:tr>
      <w:tr w:rsidR="00CB0BCC" w:rsidRPr="0071129D" w:rsidTr="00814CF2">
        <w:trPr>
          <w:cantSplit/>
        </w:trPr>
        <w:tc>
          <w:tcPr>
            <w:tcW w:w="0" w:type="auto"/>
            <w:gridSpan w:val="4"/>
            <w:vMerge/>
            <w:tcBorders>
              <w:top w:val="single" w:sz="4" w:space="0" w:color="auto"/>
              <w:left w:val="nil"/>
              <w:bottom w:val="single" w:sz="4" w:space="0" w:color="auto"/>
              <w:right w:val="nil"/>
            </w:tcBorders>
            <w:vAlign w:val="center"/>
            <w:hideMark/>
          </w:tcPr>
          <w:p w:rsidR="00CB0BCC" w:rsidRPr="0071129D" w:rsidRDefault="00CB0BCC" w:rsidP="00814CF2">
            <w:pPr>
              <w:spacing w:after="0"/>
              <w:rPr>
                <w:rFonts w:ascii="Times New Roman" w:hAnsi="Times New Roman" w:cs="Times New Roman"/>
                <w:b/>
                <w:kern w:val="2"/>
                <w:sz w:val="24"/>
                <w:szCs w:val="24"/>
                <w14:ligatures w14:val="standardContextual"/>
              </w:rPr>
            </w:pPr>
          </w:p>
        </w:tc>
        <w:tc>
          <w:tcPr>
            <w:tcW w:w="435" w:type="pct"/>
            <w:gridSpan w:val="2"/>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Number</w:t>
            </w:r>
          </w:p>
        </w:tc>
        <w:tc>
          <w:tcPr>
            <w:tcW w:w="658"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r w:rsidRPr="0071129D">
              <w:rPr>
                <w:rFonts w:ascii="Times New Roman" w:hAnsi="Times New Roman" w:cs="Times New Roman"/>
                <w:b/>
                <w:color w:val="000000"/>
                <w:sz w:val="24"/>
                <w:szCs w:val="24"/>
              </w:rPr>
              <w:t xml:space="preserve"> </w:t>
            </w:r>
          </w:p>
        </w:tc>
        <w:tc>
          <w:tcPr>
            <w:tcW w:w="440"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Number</w:t>
            </w:r>
          </w:p>
        </w:tc>
        <w:tc>
          <w:tcPr>
            <w:tcW w:w="660"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 xml:space="preserve">      </w:t>
            </w: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p>
        </w:tc>
        <w:tc>
          <w:tcPr>
            <w:tcW w:w="440"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 xml:space="preserve">      IDPs</w:t>
            </w:r>
          </w:p>
        </w:tc>
        <w:tc>
          <w:tcPr>
            <w:tcW w:w="656"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p>
        </w:tc>
      </w:tr>
      <w:tr w:rsidR="00CB0BCC" w:rsidRPr="0071129D" w:rsidTr="00814CF2">
        <w:trPr>
          <w:cantSplit/>
        </w:trPr>
        <w:tc>
          <w:tcPr>
            <w:tcW w:w="723" w:type="pct"/>
            <w:vMerge w:val="restart"/>
            <w:tcBorders>
              <w:top w:val="single" w:sz="4" w:space="0" w:color="auto"/>
              <w:left w:val="nil"/>
              <w:bottom w:val="nil"/>
              <w:right w:val="nil"/>
            </w:tcBorders>
            <w:shd w:val="clear" w:color="auto" w:fill="FFFFFF"/>
            <w:vAlign w:val="center"/>
            <w:hideMark/>
          </w:tcPr>
          <w:p w:rsidR="00CB0BCC" w:rsidRPr="0071129D" w:rsidRDefault="00CB0BCC" w:rsidP="00814CF2">
            <w:pPr>
              <w:autoSpaceDE w:val="0"/>
              <w:autoSpaceDN w:val="0"/>
              <w:adjustRightInd w:val="0"/>
              <w:spacing w:after="0" w:line="480" w:lineRule="auto"/>
              <w:ind w:right="60"/>
              <w:rPr>
                <w:rFonts w:ascii="Times New Roman" w:hAnsi="Times New Roman" w:cs="Times New Roman"/>
                <w:color w:val="000000"/>
                <w:sz w:val="24"/>
                <w:szCs w:val="24"/>
              </w:rPr>
            </w:pPr>
          </w:p>
        </w:tc>
        <w:tc>
          <w:tcPr>
            <w:tcW w:w="988" w:type="pct"/>
            <w:gridSpan w:val="3"/>
            <w:tcBorders>
              <w:top w:val="single" w:sz="4" w:space="0" w:color="auto"/>
              <w:left w:val="nil"/>
              <w:bottom w:val="nil"/>
              <w:right w:val="nil"/>
            </w:tcBorders>
            <w:shd w:val="clear" w:color="auto" w:fill="FFFFFF"/>
            <w:vAlign w:val="center"/>
            <w:hideMark/>
          </w:tcPr>
          <w:p w:rsidR="00CB0BCC" w:rsidRPr="0071129D" w:rsidRDefault="00CB0BCC" w:rsidP="00814CF2">
            <w:pPr>
              <w:autoSpaceDE w:val="0"/>
              <w:autoSpaceDN w:val="0"/>
              <w:adjustRightInd w:val="0"/>
              <w:spacing w:after="0" w:line="480" w:lineRule="auto"/>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BENUE</w:t>
            </w:r>
          </w:p>
        </w:tc>
        <w:tc>
          <w:tcPr>
            <w:tcW w:w="435" w:type="pct"/>
            <w:gridSpan w:val="2"/>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142</w:t>
            </w:r>
            <w:r w:rsidRPr="0071129D">
              <w:rPr>
                <w:rFonts w:ascii="Times New Roman" w:hAnsi="Times New Roman" w:cs="Times New Roman"/>
                <w:color w:val="000000"/>
                <w:sz w:val="24"/>
                <w:szCs w:val="24"/>
                <w:vertAlign w:val="subscript"/>
              </w:rPr>
              <w:t>a</w:t>
            </w:r>
          </w:p>
        </w:tc>
        <w:tc>
          <w:tcPr>
            <w:tcW w:w="658" w:type="pct"/>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94.6</w:t>
            </w:r>
          </w:p>
        </w:tc>
        <w:tc>
          <w:tcPr>
            <w:tcW w:w="440" w:type="pct"/>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8</w:t>
            </w:r>
            <w:r w:rsidRPr="0071129D">
              <w:rPr>
                <w:rFonts w:ascii="Times New Roman" w:hAnsi="Times New Roman" w:cs="Times New Roman"/>
                <w:color w:val="000000"/>
                <w:sz w:val="24"/>
                <w:szCs w:val="24"/>
                <w:vertAlign w:val="subscript"/>
              </w:rPr>
              <w:t>b</w:t>
            </w:r>
          </w:p>
        </w:tc>
        <w:tc>
          <w:tcPr>
            <w:tcW w:w="660" w:type="pct"/>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5.4</w:t>
            </w:r>
          </w:p>
        </w:tc>
        <w:tc>
          <w:tcPr>
            <w:tcW w:w="440" w:type="pct"/>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150</w:t>
            </w:r>
          </w:p>
        </w:tc>
        <w:tc>
          <w:tcPr>
            <w:tcW w:w="656" w:type="pct"/>
            <w:tcBorders>
              <w:top w:val="single" w:sz="4" w:space="0" w:color="auto"/>
              <w:left w:val="nil"/>
              <w:bottom w:val="nil"/>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35.5</w:t>
            </w:r>
          </w:p>
        </w:tc>
      </w:tr>
      <w:tr w:rsidR="00CB0BCC" w:rsidRPr="0071129D" w:rsidTr="00814CF2">
        <w:trPr>
          <w:cantSplit/>
        </w:trPr>
        <w:tc>
          <w:tcPr>
            <w:tcW w:w="0" w:type="auto"/>
            <w:vMerge/>
            <w:tcBorders>
              <w:top w:val="single" w:sz="4" w:space="0" w:color="auto"/>
              <w:left w:val="nil"/>
              <w:bottom w:val="nil"/>
              <w:right w:val="nil"/>
            </w:tcBorders>
            <w:vAlign w:val="center"/>
            <w:hideMark/>
          </w:tcPr>
          <w:p w:rsidR="00CB0BCC" w:rsidRPr="0071129D" w:rsidRDefault="00CB0BCC" w:rsidP="00814CF2">
            <w:pPr>
              <w:spacing w:after="0"/>
              <w:rPr>
                <w:rFonts w:ascii="Times New Roman" w:hAnsi="Times New Roman" w:cs="Times New Roman"/>
                <w:color w:val="000000"/>
                <w:kern w:val="2"/>
                <w:sz w:val="24"/>
                <w:szCs w:val="24"/>
                <w14:ligatures w14:val="standardContextual"/>
              </w:rPr>
            </w:pPr>
          </w:p>
        </w:tc>
        <w:tc>
          <w:tcPr>
            <w:tcW w:w="988" w:type="pct"/>
            <w:gridSpan w:val="3"/>
            <w:shd w:val="clear" w:color="auto" w:fill="FFFFFF"/>
            <w:vAlign w:val="center"/>
            <w:hideMark/>
          </w:tcPr>
          <w:p w:rsidR="00CB0BCC" w:rsidRPr="0071129D" w:rsidRDefault="00CB0BCC" w:rsidP="00814CF2">
            <w:pPr>
              <w:autoSpaceDE w:val="0"/>
              <w:autoSpaceDN w:val="0"/>
              <w:adjustRightInd w:val="0"/>
              <w:spacing w:after="0" w:line="480" w:lineRule="auto"/>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NASARAWA</w:t>
            </w:r>
          </w:p>
        </w:tc>
        <w:tc>
          <w:tcPr>
            <w:tcW w:w="435" w:type="pct"/>
            <w:gridSpan w:val="2"/>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112</w:t>
            </w:r>
            <w:r w:rsidRPr="0071129D">
              <w:rPr>
                <w:rFonts w:ascii="Times New Roman" w:hAnsi="Times New Roman" w:cs="Times New Roman"/>
                <w:color w:val="000000"/>
                <w:sz w:val="24"/>
                <w:szCs w:val="24"/>
                <w:vertAlign w:val="subscript"/>
              </w:rPr>
              <w:t>a</w:t>
            </w:r>
          </w:p>
        </w:tc>
        <w:tc>
          <w:tcPr>
            <w:tcW w:w="658"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92.0</w:t>
            </w:r>
          </w:p>
        </w:tc>
        <w:tc>
          <w:tcPr>
            <w:tcW w:w="440"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10</w:t>
            </w:r>
            <w:r w:rsidRPr="0071129D">
              <w:rPr>
                <w:rFonts w:ascii="Times New Roman" w:hAnsi="Times New Roman" w:cs="Times New Roman"/>
                <w:color w:val="000000"/>
                <w:sz w:val="24"/>
                <w:szCs w:val="24"/>
                <w:vertAlign w:val="subscript"/>
              </w:rPr>
              <w:t>b</w:t>
            </w:r>
          </w:p>
        </w:tc>
        <w:tc>
          <w:tcPr>
            <w:tcW w:w="660"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8.0</w:t>
            </w:r>
          </w:p>
        </w:tc>
        <w:tc>
          <w:tcPr>
            <w:tcW w:w="440"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122</w:t>
            </w:r>
          </w:p>
        </w:tc>
        <w:tc>
          <w:tcPr>
            <w:tcW w:w="656"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29.0</w:t>
            </w:r>
          </w:p>
        </w:tc>
      </w:tr>
      <w:tr w:rsidR="00CB0BCC" w:rsidRPr="0071129D" w:rsidTr="00814CF2">
        <w:trPr>
          <w:cantSplit/>
        </w:trPr>
        <w:tc>
          <w:tcPr>
            <w:tcW w:w="0" w:type="auto"/>
            <w:vMerge/>
            <w:tcBorders>
              <w:top w:val="single" w:sz="4" w:space="0" w:color="auto"/>
              <w:left w:val="nil"/>
              <w:bottom w:val="nil"/>
              <w:right w:val="nil"/>
            </w:tcBorders>
            <w:vAlign w:val="center"/>
            <w:hideMark/>
          </w:tcPr>
          <w:p w:rsidR="00CB0BCC" w:rsidRPr="0071129D" w:rsidRDefault="00CB0BCC" w:rsidP="00814CF2">
            <w:pPr>
              <w:spacing w:after="0"/>
              <w:rPr>
                <w:rFonts w:ascii="Times New Roman" w:hAnsi="Times New Roman" w:cs="Times New Roman"/>
                <w:color w:val="000000"/>
                <w:kern w:val="2"/>
                <w:sz w:val="24"/>
                <w:szCs w:val="24"/>
                <w14:ligatures w14:val="standardContextual"/>
              </w:rPr>
            </w:pPr>
          </w:p>
        </w:tc>
        <w:tc>
          <w:tcPr>
            <w:tcW w:w="988" w:type="pct"/>
            <w:gridSpan w:val="3"/>
            <w:shd w:val="clear" w:color="auto" w:fill="FFFFFF"/>
            <w:vAlign w:val="center"/>
            <w:hideMark/>
          </w:tcPr>
          <w:p w:rsidR="00CB0BCC" w:rsidRPr="0071129D" w:rsidRDefault="00CB0BCC" w:rsidP="00814CF2">
            <w:pPr>
              <w:autoSpaceDE w:val="0"/>
              <w:autoSpaceDN w:val="0"/>
              <w:adjustRightInd w:val="0"/>
              <w:spacing w:after="0" w:line="480" w:lineRule="auto"/>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PLATEAU</w:t>
            </w:r>
          </w:p>
        </w:tc>
        <w:tc>
          <w:tcPr>
            <w:tcW w:w="435" w:type="pct"/>
            <w:gridSpan w:val="2"/>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141</w:t>
            </w:r>
            <w:r w:rsidRPr="0071129D">
              <w:rPr>
                <w:rFonts w:ascii="Times New Roman" w:hAnsi="Times New Roman" w:cs="Times New Roman"/>
                <w:color w:val="000000"/>
                <w:sz w:val="24"/>
                <w:szCs w:val="24"/>
                <w:vertAlign w:val="subscript"/>
              </w:rPr>
              <w:t>a</w:t>
            </w:r>
          </w:p>
        </w:tc>
        <w:tc>
          <w:tcPr>
            <w:tcW w:w="658"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94.0</w:t>
            </w:r>
          </w:p>
        </w:tc>
        <w:tc>
          <w:tcPr>
            <w:tcW w:w="440"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w:t>
            </w:r>
            <w:r w:rsidRPr="0071129D">
              <w:rPr>
                <w:rFonts w:ascii="Times New Roman" w:hAnsi="Times New Roman" w:cs="Times New Roman"/>
                <w:color w:val="000000"/>
                <w:sz w:val="24"/>
                <w:szCs w:val="24"/>
                <w:vertAlign w:val="subscript"/>
              </w:rPr>
              <w:t>b</w:t>
            </w:r>
          </w:p>
        </w:tc>
        <w:tc>
          <w:tcPr>
            <w:tcW w:w="660"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6.0</w:t>
            </w:r>
          </w:p>
        </w:tc>
        <w:tc>
          <w:tcPr>
            <w:tcW w:w="440"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150</w:t>
            </w:r>
          </w:p>
        </w:tc>
        <w:tc>
          <w:tcPr>
            <w:tcW w:w="656" w:type="pct"/>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35.5</w:t>
            </w:r>
          </w:p>
        </w:tc>
      </w:tr>
      <w:tr w:rsidR="00CB0BCC" w:rsidRPr="0071129D" w:rsidTr="00814CF2">
        <w:trPr>
          <w:cantSplit/>
        </w:trPr>
        <w:tc>
          <w:tcPr>
            <w:tcW w:w="1711" w:type="pct"/>
            <w:gridSpan w:val="4"/>
            <w:tcBorders>
              <w:top w:val="nil"/>
              <w:left w:val="nil"/>
              <w:bottom w:val="single" w:sz="4" w:space="0" w:color="auto"/>
              <w:right w:val="nil"/>
            </w:tcBorders>
            <w:shd w:val="clear" w:color="auto" w:fill="FFFFFF"/>
            <w:vAlign w:val="center"/>
            <w:hideMark/>
          </w:tcPr>
          <w:p w:rsidR="00CB0BCC" w:rsidRPr="0071129D" w:rsidRDefault="00C47F9F" w:rsidP="00814CF2">
            <w:pPr>
              <w:autoSpaceDE w:val="0"/>
              <w:autoSpaceDN w:val="0"/>
              <w:adjustRightInd w:val="0"/>
              <w:spacing w:after="0" w:line="48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CB0BCC" w:rsidRPr="0071129D">
              <w:rPr>
                <w:rFonts w:ascii="Times New Roman" w:hAnsi="Times New Roman" w:cs="Times New Roman"/>
                <w:b/>
                <w:color w:val="000000"/>
                <w:sz w:val="24"/>
                <w:szCs w:val="24"/>
              </w:rPr>
              <w:t>Total</w:t>
            </w:r>
          </w:p>
        </w:tc>
        <w:tc>
          <w:tcPr>
            <w:tcW w:w="435" w:type="pct"/>
            <w:gridSpan w:val="2"/>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395</w:t>
            </w:r>
          </w:p>
        </w:tc>
        <w:tc>
          <w:tcPr>
            <w:tcW w:w="658"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93.6</w:t>
            </w:r>
          </w:p>
        </w:tc>
        <w:tc>
          <w:tcPr>
            <w:tcW w:w="440"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27</w:t>
            </w:r>
          </w:p>
        </w:tc>
        <w:tc>
          <w:tcPr>
            <w:tcW w:w="660"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6.4</w:t>
            </w:r>
          </w:p>
        </w:tc>
        <w:tc>
          <w:tcPr>
            <w:tcW w:w="440"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422</w:t>
            </w:r>
          </w:p>
        </w:tc>
        <w:tc>
          <w:tcPr>
            <w:tcW w:w="656" w:type="pct"/>
            <w:tcBorders>
              <w:top w:val="nil"/>
              <w:left w:val="nil"/>
              <w:bottom w:val="single" w:sz="4" w:space="0" w:color="auto"/>
              <w:right w:val="nil"/>
            </w:tcBorders>
            <w:shd w:val="clear" w:color="auto" w:fill="FFFFFF"/>
            <w:hideMark/>
          </w:tcPr>
          <w:p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100.0</w:t>
            </w: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p>
        </w:tc>
      </w:tr>
      <w:tr w:rsidR="00CB0BCC" w:rsidRPr="0071129D" w:rsidTr="00814CF2">
        <w:trPr>
          <w:cantSplit/>
        </w:trPr>
        <w:tc>
          <w:tcPr>
            <w:tcW w:w="5000" w:type="pct"/>
            <w:gridSpan w:val="11"/>
            <w:tcBorders>
              <w:top w:val="single" w:sz="4" w:space="0" w:color="auto"/>
              <w:left w:val="nil"/>
              <w:bottom w:val="nil"/>
              <w:right w:val="nil"/>
            </w:tcBorders>
            <w:shd w:val="clear" w:color="auto" w:fill="FFFFFF"/>
            <w:vAlign w:val="center"/>
            <w:hideMark/>
          </w:tcPr>
          <w:p w:rsidR="00CB0BCC" w:rsidRPr="0071129D" w:rsidRDefault="00CB0BCC" w:rsidP="00814CF2">
            <w:pPr>
              <w:autoSpaceDE w:val="0"/>
              <w:autoSpaceDN w:val="0"/>
              <w:adjustRightInd w:val="0"/>
              <w:spacing w:after="0" w:line="320" w:lineRule="atLeast"/>
              <w:ind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 xml:space="preserve">Each subscript letter denotes a subset of </w:t>
            </w:r>
            <w:r w:rsidRPr="00325C26">
              <w:rPr>
                <w:rFonts w:ascii="Times New Roman" w:hAnsi="Times New Roman" w:cs="Times New Roman"/>
                <w:i/>
                <w:iCs/>
                <w:color w:val="000000"/>
                <w:sz w:val="24"/>
                <w:szCs w:val="24"/>
              </w:rPr>
              <w:t>SALMONELLA</w:t>
            </w:r>
            <w:r w:rsidRPr="0071129D">
              <w:rPr>
                <w:rFonts w:ascii="Times New Roman" w:hAnsi="Times New Roman" w:cs="Times New Roman"/>
                <w:i/>
                <w:color w:val="000000"/>
                <w:sz w:val="24"/>
                <w:szCs w:val="24"/>
              </w:rPr>
              <w:t xml:space="preserve"> </w:t>
            </w:r>
            <w:r w:rsidRPr="0071129D">
              <w:rPr>
                <w:rFonts w:ascii="Times New Roman" w:hAnsi="Times New Roman" w:cs="Times New Roman"/>
                <w:color w:val="000000"/>
                <w:sz w:val="24"/>
                <w:szCs w:val="24"/>
              </w:rPr>
              <w:t>INFECTION categories whose column proportions do not differ significantly from each other at the .05 level.</w:t>
            </w:r>
          </w:p>
        </w:tc>
      </w:tr>
      <w:tr w:rsidR="00CB0BCC" w:rsidRPr="0071129D" w:rsidTr="00814CF2">
        <w:trPr>
          <w:gridAfter w:val="6"/>
          <w:wAfter w:w="3022" w:type="pct"/>
          <w:cantSplit/>
        </w:trPr>
        <w:tc>
          <w:tcPr>
            <w:tcW w:w="877" w:type="pct"/>
            <w:gridSpan w:val="2"/>
            <w:shd w:val="clear" w:color="auto" w:fill="FFFFFF"/>
            <w:hideMark/>
          </w:tcPr>
          <w:p w:rsidR="00CB0BCC" w:rsidRPr="0071129D" w:rsidRDefault="00CB0BCC" w:rsidP="00814CF2">
            <w:pPr>
              <w:tabs>
                <w:tab w:val="right" w:pos="1001"/>
              </w:tabs>
              <w:autoSpaceDE w:val="0"/>
              <w:autoSpaceDN w:val="0"/>
              <w:adjustRightInd w:val="0"/>
              <w:spacing w:after="0" w:line="320" w:lineRule="atLeast"/>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ab/>
              <w:t>χ</w:t>
            </w:r>
            <w:r w:rsidRPr="0071129D">
              <w:rPr>
                <w:rFonts w:ascii="Times New Roman" w:hAnsi="Times New Roman" w:cs="Times New Roman"/>
                <w:color w:val="000000"/>
                <w:sz w:val="24"/>
                <w:szCs w:val="24"/>
                <w:vertAlign w:val="superscript"/>
              </w:rPr>
              <w:t>2</w:t>
            </w:r>
            <w:r w:rsidRPr="0071129D">
              <w:rPr>
                <w:rFonts w:ascii="Times New Roman" w:hAnsi="Times New Roman" w:cs="Times New Roman"/>
                <w:color w:val="000000"/>
                <w:sz w:val="24"/>
                <w:szCs w:val="24"/>
              </w:rPr>
              <w:t xml:space="preserve"> = 0. 983</w:t>
            </w:r>
            <w:r w:rsidRPr="0071129D">
              <w:rPr>
                <w:rFonts w:ascii="Times New Roman" w:hAnsi="Times New Roman" w:cs="Times New Roman"/>
                <w:color w:val="000000"/>
                <w:sz w:val="24"/>
                <w:szCs w:val="24"/>
                <w:vertAlign w:val="superscript"/>
              </w:rPr>
              <w:t>a</w:t>
            </w:r>
          </w:p>
        </w:tc>
        <w:tc>
          <w:tcPr>
            <w:tcW w:w="268" w:type="pct"/>
            <w:shd w:val="clear" w:color="auto" w:fill="FFFFFF"/>
            <w:hideMark/>
          </w:tcPr>
          <w:p w:rsidR="00CB0BCC" w:rsidRPr="0071129D" w:rsidRDefault="00CB0BCC" w:rsidP="00814CF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2</w:t>
            </w:r>
          </w:p>
        </w:tc>
        <w:tc>
          <w:tcPr>
            <w:tcW w:w="833" w:type="pct"/>
            <w:gridSpan w:val="2"/>
            <w:shd w:val="clear" w:color="auto" w:fill="FFFFFF"/>
            <w:hideMark/>
          </w:tcPr>
          <w:p w:rsidR="00CB0BCC" w:rsidRPr="0071129D" w:rsidRDefault="00CB0BCC" w:rsidP="00814CF2">
            <w:pPr>
              <w:autoSpaceDE w:val="0"/>
              <w:autoSpaceDN w:val="0"/>
              <w:adjustRightInd w:val="0"/>
              <w:spacing w:after="0" w:line="320" w:lineRule="atLeast"/>
              <w:ind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 xml:space="preserve">      0.612</w:t>
            </w:r>
          </w:p>
        </w:tc>
      </w:tr>
    </w:tbl>
    <w:p w:rsidR="00CB0BCC" w:rsidRPr="0071129D" w:rsidRDefault="00CB0BCC" w:rsidP="00CB0BCC">
      <w:pPr>
        <w:autoSpaceDE w:val="0"/>
        <w:autoSpaceDN w:val="0"/>
        <w:adjustRightInd w:val="0"/>
        <w:spacing w:after="0" w:line="240" w:lineRule="auto"/>
        <w:rPr>
          <w:rFonts w:ascii="Times New Roman" w:hAnsi="Times New Roman" w:cs="Times New Roman"/>
          <w:b/>
          <w:bCs/>
          <w:color w:val="000000"/>
          <w:kern w:val="2"/>
          <w:sz w:val="24"/>
          <w:szCs w:val="24"/>
          <w14:ligatures w14:val="standardContextual"/>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814CF2" w:rsidRPr="0071129D" w:rsidRDefault="00814CF2" w:rsidP="00814CF2">
      <w:pPr>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3264"/>
        <w:gridCol w:w="1625"/>
        <w:gridCol w:w="1078"/>
        <w:gridCol w:w="1078"/>
        <w:gridCol w:w="1078"/>
        <w:gridCol w:w="1159"/>
        <w:gridCol w:w="1063"/>
        <w:gridCol w:w="806"/>
        <w:gridCol w:w="936"/>
        <w:gridCol w:w="487"/>
        <w:gridCol w:w="386"/>
      </w:tblGrid>
      <w:tr w:rsidR="00814CF2" w:rsidRPr="0071129D" w:rsidTr="00814CF2">
        <w:trPr>
          <w:trHeight w:val="900"/>
        </w:trPr>
        <w:tc>
          <w:tcPr>
            <w:tcW w:w="5000" w:type="pct"/>
            <w:gridSpan w:val="11"/>
            <w:tcBorders>
              <w:top w:val="nil"/>
              <w:left w:val="nil"/>
              <w:bottom w:val="single" w:sz="4" w:space="0" w:color="auto"/>
              <w:right w:val="nil"/>
            </w:tcBorders>
            <w:noWrap/>
            <w:vAlign w:val="center"/>
            <w:hideMark/>
          </w:tcPr>
          <w:p w:rsidR="00814CF2" w:rsidRPr="0071129D" w:rsidRDefault="00814CF2" w:rsidP="00814CF2">
            <w:pPr>
              <w:spacing w:after="0" w:line="240" w:lineRule="auto"/>
              <w:ind w:left="1060" w:hanging="1060"/>
              <w:rPr>
                <w:rFonts w:ascii="Times New Roman" w:eastAsia="Times New Roman" w:hAnsi="Times New Roman" w:cs="Times New Roman"/>
                <w:b/>
                <w:bCs/>
                <w:dstrike/>
                <w:sz w:val="24"/>
                <w:szCs w:val="24"/>
              </w:rPr>
            </w:pPr>
            <w:r w:rsidRPr="001C0A23">
              <w:rPr>
                <w:rFonts w:ascii="Times New Roman" w:eastAsia="Times New Roman" w:hAnsi="Times New Roman" w:cs="Times New Roman"/>
                <w:b/>
                <w:bCs/>
                <w:sz w:val="24"/>
                <w:szCs w:val="24"/>
              </w:rPr>
              <w:lastRenderedPageBreak/>
              <w:t>Table</w:t>
            </w:r>
            <w:r w:rsidR="00B73DC2">
              <w:rPr>
                <w:rFonts w:ascii="Times New Roman" w:eastAsia="Times New Roman" w:hAnsi="Times New Roman" w:cs="Times New Roman"/>
                <w:b/>
                <w:bCs/>
                <w:sz w:val="24"/>
                <w:szCs w:val="24"/>
              </w:rPr>
              <w:t>: 2</w:t>
            </w:r>
            <w:r w:rsidRPr="0071129D">
              <w:rPr>
                <w:rFonts w:ascii="Times New Roman" w:eastAsia="Times New Roman" w:hAnsi="Times New Roman" w:cs="Times New Roman"/>
                <w:b/>
                <w:bCs/>
                <w:sz w:val="24"/>
                <w:szCs w:val="24"/>
              </w:rPr>
              <w:t xml:space="preserve">: Age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Displaced Persons (IDPs) in North-Central Nigeria </w:t>
            </w:r>
          </w:p>
        </w:tc>
      </w:tr>
      <w:tr w:rsidR="00814CF2" w:rsidRPr="0071129D" w:rsidTr="00814CF2">
        <w:trPr>
          <w:trHeight w:val="290"/>
        </w:trPr>
        <w:tc>
          <w:tcPr>
            <w:tcW w:w="1259" w:type="pct"/>
            <w:noWrap/>
            <w:vAlign w:val="bottom"/>
            <w:hideMark/>
          </w:tcPr>
          <w:p w:rsidR="00814CF2" w:rsidRPr="0071129D" w:rsidRDefault="00814CF2" w:rsidP="00814CF2">
            <w:pPr>
              <w:rPr>
                <w:rFonts w:ascii="Times New Roman" w:eastAsia="Times New Roman" w:hAnsi="Times New Roman" w:cs="Times New Roman"/>
                <w:b/>
                <w:bCs/>
                <w:dstrike/>
                <w:sz w:val="24"/>
                <w:szCs w:val="24"/>
              </w:rPr>
            </w:pPr>
          </w:p>
        </w:tc>
        <w:tc>
          <w:tcPr>
            <w:tcW w:w="2321" w:type="pct"/>
            <w:gridSpan w:val="5"/>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kern w:val="2"/>
                <w:sz w:val="24"/>
                <w:szCs w:val="24"/>
                <w14:ligatures w14:val="standardContextual"/>
              </w:rPr>
            </w:pPr>
            <w:r w:rsidRPr="0071129D">
              <w:rPr>
                <w:rFonts w:ascii="Times New Roman" w:eastAsia="Times New Roman" w:hAnsi="Times New Roman" w:cs="Times New Roman"/>
                <w:b/>
                <w:color w:val="000000"/>
                <w:sz w:val="24"/>
                <w:szCs w:val="24"/>
              </w:rPr>
              <w:t>Age range (yr) of IDPs</w:t>
            </w:r>
          </w:p>
        </w:tc>
        <w:tc>
          <w:tcPr>
            <w:tcW w:w="410" w:type="pct"/>
            <w:vMerge w:val="restart"/>
            <w:tcBorders>
              <w:top w:val="nil"/>
              <w:left w:val="nil"/>
              <w:bottom w:val="single" w:sz="4" w:space="0" w:color="auto"/>
              <w:right w:val="nil"/>
            </w:tcBorders>
            <w:noWrap/>
            <w:vAlign w:val="center"/>
            <w:hideMark/>
          </w:tcPr>
          <w:p w:rsidR="00814CF2" w:rsidRPr="0071129D" w:rsidRDefault="00814CF2" w:rsidP="00814CF2">
            <w:pPr>
              <w:spacing w:after="0" w:line="240" w:lineRule="auto"/>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Total</w:t>
            </w:r>
          </w:p>
        </w:tc>
        <w:tc>
          <w:tcPr>
            <w:tcW w:w="311" w:type="pct"/>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Χ</w:t>
            </w:r>
            <w:r w:rsidRPr="0071129D">
              <w:rPr>
                <w:rFonts w:ascii="Times New Roman" w:eastAsia="Times New Roman" w:hAnsi="Times New Roman" w:cs="Times New Roman"/>
                <w:b/>
                <w:color w:val="000000"/>
                <w:sz w:val="24"/>
                <w:szCs w:val="24"/>
                <w:vertAlign w:val="superscript"/>
              </w:rPr>
              <w:t>2</w:t>
            </w:r>
          </w:p>
        </w:tc>
        <w:tc>
          <w:tcPr>
            <w:tcW w:w="361" w:type="pct"/>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df</w:t>
            </w:r>
          </w:p>
        </w:tc>
        <w:tc>
          <w:tcPr>
            <w:tcW w:w="338" w:type="pct"/>
            <w:gridSpan w:val="2"/>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P</w:t>
            </w:r>
          </w:p>
        </w:tc>
      </w:tr>
      <w:tr w:rsidR="00814CF2" w:rsidRPr="0071129D" w:rsidTr="00814CF2">
        <w:trPr>
          <w:trHeight w:val="290"/>
        </w:trPr>
        <w:tc>
          <w:tcPr>
            <w:tcW w:w="1259" w:type="pct"/>
            <w:tcBorders>
              <w:top w:val="nil"/>
              <w:left w:val="nil"/>
              <w:bottom w:val="single" w:sz="4" w:space="0" w:color="auto"/>
              <w:right w:val="nil"/>
            </w:tcBorders>
            <w:noWrap/>
            <w:hideMark/>
          </w:tcPr>
          <w:p w:rsidR="00814CF2" w:rsidRPr="0071129D" w:rsidRDefault="00814CF2" w:rsidP="00814CF2">
            <w:pPr>
              <w:spacing w:after="0" w:line="240" w:lineRule="auto"/>
              <w:jc w:val="center"/>
              <w:rPr>
                <w:rFonts w:ascii="Times New Roman" w:eastAsia="Times New Roman" w:hAnsi="Times New Roman" w:cs="Times New Roman"/>
                <w:b/>
                <w:i/>
                <w:iCs/>
                <w:color w:val="000000"/>
                <w:sz w:val="24"/>
                <w:szCs w:val="24"/>
              </w:rPr>
            </w:pPr>
            <w:r w:rsidRPr="00325C26">
              <w:rPr>
                <w:rFonts w:ascii="Times New Roman" w:eastAsia="Times New Roman" w:hAnsi="Times New Roman" w:cs="Times New Roman"/>
                <w:b/>
                <w:i/>
                <w:iCs/>
                <w:color w:val="000000"/>
                <w:sz w:val="24"/>
                <w:szCs w:val="24"/>
              </w:rPr>
              <w:t>Salmonella</w:t>
            </w:r>
            <w:r w:rsidRPr="0071129D">
              <w:rPr>
                <w:rFonts w:ascii="Times New Roman" w:eastAsia="Times New Roman" w:hAnsi="Times New Roman" w:cs="Times New Roman"/>
                <w:b/>
                <w:i/>
                <w:iCs/>
                <w:color w:val="000000"/>
                <w:sz w:val="24"/>
                <w:szCs w:val="24"/>
              </w:rPr>
              <w:t xml:space="preserve"> </w:t>
            </w:r>
            <w:r w:rsidRPr="008714B7">
              <w:rPr>
                <w:rFonts w:ascii="Times New Roman" w:eastAsia="Times New Roman" w:hAnsi="Times New Roman" w:cs="Times New Roman"/>
                <w:b/>
                <w:color w:val="000000"/>
                <w:sz w:val="24"/>
                <w:szCs w:val="24"/>
              </w:rPr>
              <w:t>Infection</w:t>
            </w:r>
          </w:p>
        </w:tc>
        <w:tc>
          <w:tcPr>
            <w:tcW w:w="627" w:type="pct"/>
            <w:tcBorders>
              <w:top w:val="nil"/>
              <w:left w:val="nil"/>
              <w:bottom w:val="single" w:sz="4" w:space="0" w:color="auto"/>
              <w:right w:val="nil"/>
            </w:tcBorders>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0-10</w:t>
            </w:r>
          </w:p>
        </w:tc>
        <w:tc>
          <w:tcPr>
            <w:tcW w:w="416" w:type="pct"/>
            <w:tcBorders>
              <w:top w:val="nil"/>
              <w:left w:val="nil"/>
              <w:bottom w:val="single" w:sz="4" w:space="0" w:color="auto"/>
              <w:right w:val="nil"/>
            </w:tcBorders>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11-20</w:t>
            </w:r>
          </w:p>
        </w:tc>
        <w:tc>
          <w:tcPr>
            <w:tcW w:w="416" w:type="pct"/>
            <w:tcBorders>
              <w:top w:val="nil"/>
              <w:left w:val="nil"/>
              <w:bottom w:val="single" w:sz="4" w:space="0" w:color="auto"/>
              <w:right w:val="nil"/>
            </w:tcBorders>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21-30</w:t>
            </w:r>
          </w:p>
        </w:tc>
        <w:tc>
          <w:tcPr>
            <w:tcW w:w="416" w:type="pct"/>
            <w:tcBorders>
              <w:top w:val="nil"/>
              <w:left w:val="nil"/>
              <w:bottom w:val="single" w:sz="4" w:space="0" w:color="auto"/>
              <w:right w:val="nil"/>
            </w:tcBorders>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31-40</w:t>
            </w:r>
          </w:p>
        </w:tc>
        <w:tc>
          <w:tcPr>
            <w:tcW w:w="447" w:type="pct"/>
            <w:tcBorders>
              <w:top w:val="nil"/>
              <w:left w:val="nil"/>
              <w:bottom w:val="single" w:sz="4" w:space="0" w:color="auto"/>
              <w:right w:val="nil"/>
            </w:tcBorders>
            <w:noWrap/>
            <w:vAlign w:val="bottom"/>
            <w:hideMark/>
          </w:tcPr>
          <w:p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41 &amp; above</w:t>
            </w:r>
          </w:p>
        </w:tc>
        <w:tc>
          <w:tcPr>
            <w:tcW w:w="410" w:type="pct"/>
            <w:vMerge/>
            <w:tcBorders>
              <w:top w:val="nil"/>
              <w:left w:val="nil"/>
              <w:bottom w:val="single" w:sz="4" w:space="0" w:color="auto"/>
              <w:right w:val="nil"/>
            </w:tcBorders>
            <w:vAlign w:val="center"/>
            <w:hideMark/>
          </w:tcPr>
          <w:p w:rsidR="00814CF2" w:rsidRPr="0071129D" w:rsidRDefault="00814CF2" w:rsidP="00814CF2">
            <w:pPr>
              <w:spacing w:after="0"/>
              <w:rPr>
                <w:rFonts w:ascii="Times New Roman" w:eastAsia="Times New Roman" w:hAnsi="Times New Roman" w:cs="Times New Roman"/>
                <w:b/>
                <w:color w:val="000000"/>
                <w:kern w:val="2"/>
                <w:sz w:val="24"/>
                <w:szCs w:val="24"/>
                <w14:ligatures w14:val="standardContextual"/>
              </w:rPr>
            </w:pPr>
          </w:p>
        </w:tc>
        <w:tc>
          <w:tcPr>
            <w:tcW w:w="311" w:type="pct"/>
            <w:tcBorders>
              <w:top w:val="nil"/>
              <w:left w:val="nil"/>
              <w:bottom w:val="single" w:sz="4" w:space="0" w:color="auto"/>
              <w:right w:val="nil"/>
            </w:tcBorders>
            <w:noWrap/>
            <w:vAlign w:val="bottom"/>
            <w:hideMark/>
          </w:tcPr>
          <w:p w:rsidR="00814CF2" w:rsidRPr="0071129D" w:rsidRDefault="00814CF2" w:rsidP="00814CF2">
            <w:pPr>
              <w:rPr>
                <w:rFonts w:ascii="Times New Roman" w:eastAsia="Times New Roman" w:hAnsi="Times New Roman" w:cs="Times New Roman"/>
                <w:b/>
                <w:color w:val="000000"/>
                <w:sz w:val="24"/>
                <w:szCs w:val="24"/>
              </w:rPr>
            </w:pPr>
          </w:p>
        </w:tc>
        <w:tc>
          <w:tcPr>
            <w:tcW w:w="361" w:type="pct"/>
            <w:tcBorders>
              <w:top w:val="nil"/>
              <w:left w:val="nil"/>
              <w:bottom w:val="single" w:sz="4" w:space="0" w:color="auto"/>
              <w:right w:val="nil"/>
            </w:tcBorders>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tcBorders>
              <w:top w:val="nil"/>
              <w:left w:val="nil"/>
              <w:bottom w:val="single" w:sz="4" w:space="0" w:color="auto"/>
              <w:right w:val="nil"/>
            </w:tcBorders>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tcBorders>
              <w:top w:val="single" w:sz="4" w:space="0" w:color="auto"/>
              <w:left w:val="nil"/>
              <w:bottom w:val="nil"/>
              <w:right w:val="nil"/>
            </w:tcBorders>
            <w:noWrap/>
            <w:hideMark/>
          </w:tcPr>
          <w:p w:rsidR="00814CF2" w:rsidRPr="0071129D" w:rsidRDefault="00814CF2" w:rsidP="00814CF2">
            <w:pPr>
              <w:spacing w:before="240" w:after="0" w:line="240" w:lineRule="auto"/>
              <w:rPr>
                <w:rFonts w:ascii="Times New Roman" w:eastAsia="Times New Roman" w:hAnsi="Times New Roman" w:cs="Times New Roman"/>
                <w:color w:val="FF0000"/>
                <w:kern w:val="2"/>
                <w:sz w:val="24"/>
                <w:szCs w:val="24"/>
                <w14:ligatures w14:val="standardContextual"/>
              </w:rPr>
            </w:pPr>
            <w:r w:rsidRPr="0071129D">
              <w:rPr>
                <w:rFonts w:ascii="Times New Roman" w:eastAsia="Times New Roman" w:hAnsi="Times New Roman" w:cs="Times New Roman"/>
                <w:color w:val="000000"/>
                <w:sz w:val="24"/>
                <w:szCs w:val="24"/>
              </w:rPr>
              <w:t xml:space="preserve">No. of IDPs with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w:t>
            </w:r>
            <w:r w:rsidRPr="0071129D">
              <w:rPr>
                <w:rFonts w:ascii="Times New Roman" w:eastAsia="Times New Roman" w:hAnsi="Times New Roman" w:cs="Times New Roman"/>
                <w:sz w:val="24"/>
                <w:szCs w:val="24"/>
              </w:rPr>
              <w:t>infections</w:t>
            </w:r>
          </w:p>
        </w:tc>
        <w:tc>
          <w:tcPr>
            <w:tcW w:w="627"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w:t>
            </w:r>
            <w:r w:rsidRPr="0071129D">
              <w:rPr>
                <w:rFonts w:ascii="Times New Roman" w:eastAsia="Times New Roman" w:hAnsi="Times New Roman" w:cs="Times New Roman"/>
                <w:color w:val="000000"/>
                <w:sz w:val="24"/>
                <w:szCs w:val="24"/>
                <w:vertAlign w:val="subscript"/>
              </w:rPr>
              <w:t>a</w:t>
            </w:r>
          </w:p>
        </w:tc>
        <w:tc>
          <w:tcPr>
            <w:tcW w:w="416"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w:t>
            </w:r>
            <w:r w:rsidRPr="0071129D">
              <w:rPr>
                <w:rFonts w:ascii="Times New Roman" w:eastAsia="Times New Roman" w:hAnsi="Times New Roman" w:cs="Times New Roman"/>
                <w:color w:val="000000"/>
                <w:sz w:val="24"/>
                <w:szCs w:val="24"/>
                <w:vertAlign w:val="subscript"/>
              </w:rPr>
              <w:t>a, b</w:t>
            </w:r>
          </w:p>
        </w:tc>
        <w:tc>
          <w:tcPr>
            <w:tcW w:w="416"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w:t>
            </w:r>
            <w:r w:rsidRPr="0071129D">
              <w:rPr>
                <w:rFonts w:ascii="Times New Roman" w:eastAsia="Times New Roman" w:hAnsi="Times New Roman" w:cs="Times New Roman"/>
                <w:color w:val="000000"/>
                <w:sz w:val="24"/>
                <w:szCs w:val="24"/>
                <w:vertAlign w:val="subscript"/>
              </w:rPr>
              <w:t>b</w:t>
            </w:r>
          </w:p>
        </w:tc>
        <w:tc>
          <w:tcPr>
            <w:tcW w:w="416"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w:t>
            </w:r>
            <w:r w:rsidRPr="0071129D">
              <w:rPr>
                <w:rFonts w:ascii="Times New Roman" w:eastAsia="Times New Roman" w:hAnsi="Times New Roman" w:cs="Times New Roman"/>
                <w:color w:val="000000"/>
                <w:sz w:val="24"/>
                <w:szCs w:val="24"/>
                <w:vertAlign w:val="subscript"/>
              </w:rPr>
              <w:t>b</w:t>
            </w:r>
          </w:p>
        </w:tc>
        <w:tc>
          <w:tcPr>
            <w:tcW w:w="447"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w:t>
            </w:r>
            <w:r w:rsidRPr="0071129D">
              <w:rPr>
                <w:rFonts w:ascii="Times New Roman" w:eastAsia="Times New Roman" w:hAnsi="Times New Roman" w:cs="Times New Roman"/>
                <w:color w:val="000000"/>
                <w:sz w:val="24"/>
                <w:szCs w:val="24"/>
                <w:vertAlign w:val="subscript"/>
              </w:rPr>
              <w:t>b</w:t>
            </w:r>
          </w:p>
        </w:tc>
        <w:tc>
          <w:tcPr>
            <w:tcW w:w="410"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27</w:t>
            </w:r>
          </w:p>
        </w:tc>
        <w:tc>
          <w:tcPr>
            <w:tcW w:w="311"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8.145</w:t>
            </w:r>
          </w:p>
        </w:tc>
        <w:tc>
          <w:tcPr>
            <w:tcW w:w="361" w:type="pct"/>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w:t>
            </w:r>
          </w:p>
        </w:tc>
        <w:tc>
          <w:tcPr>
            <w:tcW w:w="338" w:type="pct"/>
            <w:gridSpan w:val="2"/>
            <w:tcBorders>
              <w:top w:val="single" w:sz="4" w:space="0" w:color="auto"/>
              <w:left w:val="nil"/>
              <w:bottom w:val="nil"/>
              <w:right w:val="nil"/>
            </w:tcBorders>
            <w:noWrap/>
            <w:vAlign w:val="center"/>
            <w:hideMark/>
          </w:tcPr>
          <w:p w:rsidR="00814CF2" w:rsidRPr="0071129D" w:rsidRDefault="00814CF2" w:rsidP="00814CF2">
            <w:pPr>
              <w:spacing w:before="240"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.086</w:t>
            </w:r>
          </w:p>
        </w:tc>
      </w:tr>
      <w:tr w:rsidR="00814CF2" w:rsidRPr="0071129D" w:rsidTr="00814CF2">
        <w:trPr>
          <w:trHeight w:val="290"/>
        </w:trPr>
        <w:tc>
          <w:tcPr>
            <w:tcW w:w="1259" w:type="pct"/>
            <w:noWrap/>
            <w:hideMark/>
          </w:tcPr>
          <w:p w:rsidR="00814CF2" w:rsidRPr="0071129D" w:rsidRDefault="00814CF2" w:rsidP="00814CF2">
            <w:pPr>
              <w:spacing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2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5.9</w:t>
            </w:r>
            <w:r>
              <w:rPr>
                <w:rFonts w:ascii="Times New Roman" w:eastAsia="Times New Roman" w:hAnsi="Times New Roman" w:cs="Times New Roman"/>
                <w:i/>
                <w:iCs/>
                <w:color w:val="000000"/>
                <w:sz w:val="24"/>
                <w:szCs w:val="24"/>
              </w:rPr>
              <w:t xml:space="preserve"> </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8.3</w:t>
            </w:r>
            <w:r>
              <w:rPr>
                <w:rFonts w:ascii="Times New Roman" w:eastAsia="Times New Roman" w:hAnsi="Times New Roman" w:cs="Times New Roman"/>
                <w:i/>
                <w:iCs/>
                <w:color w:val="000000"/>
                <w:sz w:val="24"/>
                <w:szCs w:val="24"/>
              </w:rPr>
              <w:t xml:space="preserve"> </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10.9</w:t>
            </w:r>
            <w:r>
              <w:rPr>
                <w:rFonts w:ascii="Times New Roman" w:eastAsia="Times New Roman" w:hAnsi="Times New Roman" w:cs="Times New Roman"/>
                <w:i/>
                <w:iCs/>
                <w:color w:val="000000"/>
                <w:sz w:val="24"/>
                <w:szCs w:val="24"/>
              </w:rPr>
              <w:t xml:space="preserve"> </w:t>
            </w:r>
          </w:p>
        </w:tc>
        <w:tc>
          <w:tcPr>
            <w:tcW w:w="44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8.3</w:t>
            </w:r>
            <w:r>
              <w:rPr>
                <w:rFonts w:ascii="Times New Roman" w:eastAsia="Times New Roman" w:hAnsi="Times New Roman" w:cs="Times New Roman"/>
                <w:i/>
                <w:iCs/>
                <w:color w:val="000000"/>
                <w:sz w:val="24"/>
                <w:szCs w:val="24"/>
              </w:rPr>
              <w:t xml:space="preserve"> </w:t>
            </w:r>
          </w:p>
        </w:tc>
        <w:tc>
          <w:tcPr>
            <w:tcW w:w="410"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6.4</w:t>
            </w:r>
            <w:r>
              <w:rPr>
                <w:rFonts w:ascii="Times New Roman" w:eastAsia="Times New Roman" w:hAnsi="Times New Roman" w:cs="Times New Roman"/>
                <w:i/>
                <w:iCs/>
                <w:color w:val="000000"/>
                <w:sz w:val="24"/>
                <w:szCs w:val="24"/>
              </w:rPr>
              <w:t xml:space="preserve"> </w:t>
            </w:r>
          </w:p>
        </w:tc>
        <w:tc>
          <w:tcPr>
            <w:tcW w:w="311" w:type="pct"/>
            <w:noWrap/>
            <w:vAlign w:val="bottom"/>
            <w:hideMark/>
          </w:tcPr>
          <w:p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noWrap/>
            <w:hideMark/>
          </w:tcPr>
          <w:p w:rsidR="00814CF2" w:rsidRPr="0071129D" w:rsidRDefault="00814CF2" w:rsidP="00814CF2">
            <w:pPr>
              <w:spacing w:after="0"/>
              <w:rPr>
                <w:rFonts w:ascii="Times New Roman" w:hAnsi="Times New Roman" w:cs="Times New Roman"/>
                <w:sz w:val="24"/>
                <w:szCs w:val="24"/>
              </w:rPr>
            </w:pPr>
          </w:p>
        </w:tc>
        <w:tc>
          <w:tcPr>
            <w:tcW w:w="627"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47"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0"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31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6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noWrap/>
            <w:hideMark/>
          </w:tcPr>
          <w:p w:rsidR="00814CF2" w:rsidRPr="0071129D" w:rsidRDefault="00814CF2" w:rsidP="00814CF2">
            <w:pPr>
              <w:spacing w:after="0" w:line="240" w:lineRule="auto"/>
              <w:rPr>
                <w:rFonts w:ascii="Times New Roman" w:eastAsia="Times New Roman" w:hAnsi="Times New Roman" w:cs="Times New Roman"/>
                <w:color w:val="FF0000"/>
                <w:kern w:val="2"/>
                <w:sz w:val="24"/>
                <w:szCs w:val="24"/>
                <w14:ligatures w14:val="standardContextual"/>
              </w:rPr>
            </w:pPr>
            <w:r w:rsidRPr="0071129D">
              <w:rPr>
                <w:rFonts w:ascii="Times New Roman" w:eastAsia="Times New Roman" w:hAnsi="Times New Roman" w:cs="Times New Roman"/>
                <w:color w:val="000000"/>
                <w:sz w:val="24"/>
                <w:szCs w:val="24"/>
              </w:rPr>
              <w:t xml:space="preserve">No. of IDPs without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w:t>
            </w:r>
            <w:r w:rsidRPr="0071129D">
              <w:rPr>
                <w:rFonts w:ascii="Times New Roman" w:eastAsia="Times New Roman" w:hAnsi="Times New Roman" w:cs="Times New Roman"/>
                <w:sz w:val="24"/>
                <w:szCs w:val="24"/>
              </w:rPr>
              <w:t>infection</w:t>
            </w:r>
          </w:p>
        </w:tc>
        <w:tc>
          <w:tcPr>
            <w:tcW w:w="62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w:t>
            </w:r>
            <w:r w:rsidRPr="0071129D">
              <w:rPr>
                <w:rFonts w:ascii="Times New Roman" w:eastAsia="Times New Roman" w:hAnsi="Times New Roman" w:cs="Times New Roman"/>
                <w:color w:val="000000"/>
                <w:sz w:val="24"/>
                <w:szCs w:val="24"/>
                <w:vertAlign w:val="subscript"/>
              </w:rPr>
              <w:t>a</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95</w:t>
            </w:r>
            <w:r w:rsidRPr="0071129D">
              <w:rPr>
                <w:rFonts w:ascii="Times New Roman" w:eastAsia="Times New Roman" w:hAnsi="Times New Roman" w:cs="Times New Roman"/>
                <w:color w:val="000000"/>
                <w:sz w:val="24"/>
                <w:szCs w:val="24"/>
                <w:vertAlign w:val="subscript"/>
              </w:rPr>
              <w:t>a, b</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66</w:t>
            </w:r>
            <w:r w:rsidRPr="0071129D">
              <w:rPr>
                <w:rFonts w:ascii="Times New Roman" w:eastAsia="Times New Roman" w:hAnsi="Times New Roman" w:cs="Times New Roman"/>
                <w:color w:val="000000"/>
                <w:sz w:val="24"/>
                <w:szCs w:val="24"/>
                <w:vertAlign w:val="subscript"/>
              </w:rPr>
              <w:t>b</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57</w:t>
            </w:r>
            <w:r w:rsidRPr="0071129D">
              <w:rPr>
                <w:rFonts w:ascii="Times New Roman" w:eastAsia="Times New Roman" w:hAnsi="Times New Roman" w:cs="Times New Roman"/>
                <w:color w:val="000000"/>
                <w:sz w:val="24"/>
                <w:szCs w:val="24"/>
                <w:vertAlign w:val="subscript"/>
              </w:rPr>
              <w:t>b</w:t>
            </w:r>
          </w:p>
        </w:tc>
        <w:tc>
          <w:tcPr>
            <w:tcW w:w="44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77</w:t>
            </w:r>
            <w:r w:rsidRPr="0071129D">
              <w:rPr>
                <w:rFonts w:ascii="Times New Roman" w:eastAsia="Times New Roman" w:hAnsi="Times New Roman" w:cs="Times New Roman"/>
                <w:color w:val="000000"/>
                <w:sz w:val="24"/>
                <w:szCs w:val="24"/>
                <w:vertAlign w:val="subscript"/>
              </w:rPr>
              <w:t>b</w:t>
            </w:r>
          </w:p>
        </w:tc>
        <w:tc>
          <w:tcPr>
            <w:tcW w:w="410"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395</w:t>
            </w:r>
          </w:p>
        </w:tc>
        <w:tc>
          <w:tcPr>
            <w:tcW w:w="311" w:type="pct"/>
            <w:noWrap/>
            <w:vAlign w:val="bottom"/>
            <w:hideMark/>
          </w:tcPr>
          <w:p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noWrap/>
            <w:hideMark/>
          </w:tcPr>
          <w:p w:rsidR="00814CF2" w:rsidRPr="0071129D" w:rsidRDefault="00814CF2"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2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(99.0</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94.1</w:t>
            </w:r>
            <w:r>
              <w:rPr>
                <w:rFonts w:ascii="Times New Roman" w:eastAsia="Times New Roman" w:hAnsi="Times New Roman" w:cs="Times New Roman"/>
                <w:i/>
                <w:iCs/>
                <w:color w:val="000000"/>
                <w:sz w:val="24"/>
                <w:szCs w:val="24"/>
              </w:rPr>
              <w:t xml:space="preserve"> </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91.7</w:t>
            </w:r>
            <w:r>
              <w:rPr>
                <w:rFonts w:ascii="Times New Roman" w:eastAsia="Times New Roman" w:hAnsi="Times New Roman" w:cs="Times New Roman"/>
                <w:i/>
                <w:iCs/>
                <w:color w:val="000000"/>
                <w:sz w:val="24"/>
                <w:szCs w:val="24"/>
              </w:rPr>
              <w:t xml:space="preserve"> </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89.1</w:t>
            </w:r>
            <w:r>
              <w:rPr>
                <w:rFonts w:ascii="Times New Roman" w:eastAsia="Times New Roman" w:hAnsi="Times New Roman" w:cs="Times New Roman"/>
                <w:i/>
                <w:iCs/>
                <w:color w:val="000000"/>
                <w:sz w:val="24"/>
                <w:szCs w:val="24"/>
              </w:rPr>
              <w:t xml:space="preserve"> </w:t>
            </w:r>
          </w:p>
        </w:tc>
        <w:tc>
          <w:tcPr>
            <w:tcW w:w="44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91.7</w:t>
            </w:r>
            <w:r>
              <w:rPr>
                <w:rFonts w:ascii="Times New Roman" w:eastAsia="Times New Roman" w:hAnsi="Times New Roman" w:cs="Times New Roman"/>
                <w:i/>
                <w:iCs/>
                <w:color w:val="000000"/>
                <w:sz w:val="24"/>
                <w:szCs w:val="24"/>
              </w:rPr>
              <w:t xml:space="preserve"> </w:t>
            </w:r>
          </w:p>
        </w:tc>
        <w:tc>
          <w:tcPr>
            <w:tcW w:w="410"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93.6</w:t>
            </w:r>
            <w:r>
              <w:rPr>
                <w:rFonts w:ascii="Times New Roman" w:eastAsia="Times New Roman" w:hAnsi="Times New Roman" w:cs="Times New Roman"/>
                <w:i/>
                <w:iCs/>
                <w:color w:val="000000"/>
                <w:sz w:val="24"/>
                <w:szCs w:val="24"/>
              </w:rPr>
              <w:t xml:space="preserve"> </w:t>
            </w:r>
          </w:p>
        </w:tc>
        <w:tc>
          <w:tcPr>
            <w:tcW w:w="311" w:type="pct"/>
            <w:noWrap/>
            <w:vAlign w:val="bottom"/>
            <w:hideMark/>
          </w:tcPr>
          <w:p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noWrap/>
            <w:hideMark/>
          </w:tcPr>
          <w:p w:rsidR="00814CF2" w:rsidRPr="0071129D" w:rsidRDefault="00814CF2" w:rsidP="00814CF2">
            <w:pPr>
              <w:spacing w:after="0"/>
              <w:rPr>
                <w:rFonts w:ascii="Times New Roman" w:hAnsi="Times New Roman" w:cs="Times New Roman"/>
                <w:sz w:val="24"/>
                <w:szCs w:val="24"/>
              </w:rPr>
            </w:pPr>
          </w:p>
        </w:tc>
        <w:tc>
          <w:tcPr>
            <w:tcW w:w="627"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47"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410" w:type="pct"/>
            <w:noWrap/>
            <w:vAlign w:val="center"/>
            <w:hideMark/>
          </w:tcPr>
          <w:p w:rsidR="00814CF2" w:rsidRPr="0071129D" w:rsidRDefault="00814CF2" w:rsidP="00814CF2">
            <w:pPr>
              <w:spacing w:after="0"/>
              <w:rPr>
                <w:rFonts w:ascii="Times New Roman" w:hAnsi="Times New Roman" w:cs="Times New Roman"/>
                <w:sz w:val="24"/>
                <w:szCs w:val="24"/>
              </w:rPr>
            </w:pPr>
          </w:p>
        </w:tc>
        <w:tc>
          <w:tcPr>
            <w:tcW w:w="31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6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noWrap/>
            <w:hideMark/>
          </w:tcPr>
          <w:p w:rsidR="00814CF2" w:rsidRPr="0071129D" w:rsidRDefault="00814CF2"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Total no. of IDPs examined</w:t>
            </w:r>
          </w:p>
        </w:tc>
        <w:tc>
          <w:tcPr>
            <w:tcW w:w="62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101</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101</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72</w:t>
            </w:r>
          </w:p>
        </w:tc>
        <w:tc>
          <w:tcPr>
            <w:tcW w:w="416"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64</w:t>
            </w:r>
          </w:p>
        </w:tc>
        <w:tc>
          <w:tcPr>
            <w:tcW w:w="447"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84</w:t>
            </w:r>
          </w:p>
        </w:tc>
        <w:tc>
          <w:tcPr>
            <w:tcW w:w="410" w:type="pct"/>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422</w:t>
            </w:r>
          </w:p>
        </w:tc>
        <w:tc>
          <w:tcPr>
            <w:tcW w:w="311" w:type="pct"/>
            <w:noWrap/>
            <w:vAlign w:val="bottom"/>
            <w:hideMark/>
          </w:tcPr>
          <w:p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trHeight w:val="290"/>
        </w:trPr>
        <w:tc>
          <w:tcPr>
            <w:tcW w:w="1259" w:type="pct"/>
            <w:tcBorders>
              <w:top w:val="nil"/>
              <w:left w:val="nil"/>
              <w:bottom w:val="single" w:sz="4" w:space="0" w:color="auto"/>
              <w:right w:val="nil"/>
            </w:tcBorders>
            <w:noWrap/>
            <w:hideMark/>
          </w:tcPr>
          <w:p w:rsidR="00814CF2" w:rsidRPr="0071129D" w:rsidRDefault="00814CF2"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27" w:type="pct"/>
            <w:tcBorders>
              <w:top w:val="nil"/>
              <w:left w:val="nil"/>
              <w:bottom w:val="single" w:sz="4" w:space="0" w:color="auto"/>
              <w:right w:val="nil"/>
            </w:tcBorders>
            <w:noWrap/>
            <w:vAlign w:val="center"/>
            <w:hideMark/>
          </w:tcPr>
          <w:p w:rsidR="00814CF2" w:rsidRPr="0071129D" w:rsidRDefault="00814CF2" w:rsidP="00814CF2">
            <w:pPr>
              <w:spacing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416" w:type="pct"/>
            <w:tcBorders>
              <w:top w:val="nil"/>
              <w:left w:val="nil"/>
              <w:bottom w:val="single" w:sz="4" w:space="0" w:color="auto"/>
              <w:right w:val="nil"/>
            </w:tcBorders>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16" w:type="pct"/>
            <w:tcBorders>
              <w:top w:val="nil"/>
              <w:left w:val="nil"/>
              <w:bottom w:val="single" w:sz="4" w:space="0" w:color="auto"/>
              <w:right w:val="nil"/>
            </w:tcBorders>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16" w:type="pct"/>
            <w:tcBorders>
              <w:top w:val="nil"/>
              <w:left w:val="nil"/>
              <w:bottom w:val="single" w:sz="4" w:space="0" w:color="auto"/>
              <w:right w:val="nil"/>
            </w:tcBorders>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47" w:type="pct"/>
            <w:tcBorders>
              <w:top w:val="nil"/>
              <w:left w:val="nil"/>
              <w:bottom w:val="single" w:sz="4" w:space="0" w:color="auto"/>
              <w:right w:val="nil"/>
            </w:tcBorders>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10" w:type="pct"/>
            <w:tcBorders>
              <w:top w:val="nil"/>
              <w:left w:val="nil"/>
              <w:bottom w:val="single" w:sz="4" w:space="0" w:color="auto"/>
              <w:right w:val="nil"/>
            </w:tcBorders>
            <w:noWrap/>
            <w:vAlign w:val="center"/>
            <w:hideMark/>
          </w:tcPr>
          <w:p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311" w:type="pct"/>
            <w:tcBorders>
              <w:top w:val="nil"/>
              <w:left w:val="nil"/>
              <w:bottom w:val="single" w:sz="4" w:space="0" w:color="auto"/>
              <w:right w:val="nil"/>
            </w:tcBorders>
            <w:noWrap/>
            <w:vAlign w:val="bottom"/>
            <w:hideMark/>
          </w:tcPr>
          <w:p w:rsidR="00814CF2" w:rsidRPr="0071129D" w:rsidRDefault="00814CF2" w:rsidP="00814CF2">
            <w:pPr>
              <w:rPr>
                <w:rFonts w:ascii="Times New Roman" w:eastAsia="Times New Roman" w:hAnsi="Times New Roman" w:cs="Times New Roman"/>
                <w:color w:val="000000"/>
                <w:sz w:val="24"/>
                <w:szCs w:val="24"/>
              </w:rPr>
            </w:pPr>
          </w:p>
        </w:tc>
        <w:tc>
          <w:tcPr>
            <w:tcW w:w="361" w:type="pct"/>
            <w:tcBorders>
              <w:top w:val="nil"/>
              <w:left w:val="nil"/>
              <w:bottom w:val="single" w:sz="4" w:space="0" w:color="auto"/>
              <w:right w:val="nil"/>
            </w:tcBorders>
            <w:noWrap/>
            <w:vAlign w:val="bottom"/>
            <w:hideMark/>
          </w:tcPr>
          <w:p w:rsidR="00814CF2" w:rsidRPr="0071129D" w:rsidRDefault="00814CF2" w:rsidP="00814CF2">
            <w:pPr>
              <w:spacing w:after="0"/>
              <w:rPr>
                <w:rFonts w:ascii="Times New Roman" w:hAnsi="Times New Roman" w:cs="Times New Roman"/>
                <w:sz w:val="24"/>
                <w:szCs w:val="24"/>
              </w:rPr>
            </w:pPr>
          </w:p>
        </w:tc>
        <w:tc>
          <w:tcPr>
            <w:tcW w:w="338" w:type="pct"/>
            <w:gridSpan w:val="2"/>
            <w:tcBorders>
              <w:top w:val="nil"/>
              <w:left w:val="nil"/>
              <w:bottom w:val="single" w:sz="4" w:space="0" w:color="auto"/>
              <w:right w:val="nil"/>
            </w:tcBorders>
            <w:noWrap/>
            <w:vAlign w:val="bottom"/>
            <w:hideMark/>
          </w:tcPr>
          <w:p w:rsidR="00814CF2" w:rsidRPr="0071129D" w:rsidRDefault="00814CF2" w:rsidP="00814CF2">
            <w:pPr>
              <w:spacing w:after="0"/>
              <w:rPr>
                <w:rFonts w:ascii="Times New Roman" w:hAnsi="Times New Roman" w:cs="Times New Roman"/>
                <w:sz w:val="24"/>
                <w:szCs w:val="24"/>
              </w:rPr>
            </w:pPr>
          </w:p>
        </w:tc>
      </w:tr>
      <w:tr w:rsidR="00814CF2" w:rsidRPr="0071129D" w:rsidTr="00814CF2">
        <w:trPr>
          <w:gridAfter w:val="1"/>
          <w:wAfter w:w="149" w:type="pct"/>
          <w:trHeight w:val="290"/>
        </w:trPr>
        <w:tc>
          <w:tcPr>
            <w:tcW w:w="4851" w:type="pct"/>
            <w:gridSpan w:val="10"/>
            <w:tcBorders>
              <w:top w:val="single" w:sz="4" w:space="0" w:color="auto"/>
              <w:left w:val="nil"/>
              <w:bottom w:val="nil"/>
              <w:right w:val="nil"/>
            </w:tcBorders>
            <w:noWrap/>
            <w:hideMark/>
          </w:tcPr>
          <w:p w:rsidR="00814CF2" w:rsidRPr="0071129D" w:rsidRDefault="00814CF2" w:rsidP="00814CF2">
            <w:pPr>
              <w:spacing w:after="0" w:line="240" w:lineRule="auto"/>
              <w:jc w:val="center"/>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Each subscript letter denotes a subset of SEX categories whose column proportions do not differ significantly from each other at the .05 level.</w:t>
            </w:r>
          </w:p>
        </w:tc>
      </w:tr>
    </w:tbl>
    <w:p w:rsidR="00CB0BCC" w:rsidRDefault="00CB0BCC" w:rsidP="00CB0BCC">
      <w:pPr>
        <w:rPr>
          <w:rFonts w:ascii="Times New Roman" w:hAnsi="Times New Roman" w:cs="Times New Roman"/>
          <w:sz w:val="24"/>
          <w:szCs w:val="24"/>
        </w:rPr>
      </w:pPr>
    </w:p>
    <w:p w:rsidR="00814CF2" w:rsidRDefault="00814CF2" w:rsidP="00CB0BCC">
      <w:pPr>
        <w:rPr>
          <w:rFonts w:ascii="Times New Roman" w:hAnsi="Times New Roman" w:cs="Times New Roman"/>
          <w:sz w:val="24"/>
          <w:szCs w:val="24"/>
        </w:rPr>
      </w:pPr>
    </w:p>
    <w:p w:rsidR="00814CF2" w:rsidRDefault="00814CF2" w:rsidP="00CB0BCC">
      <w:pPr>
        <w:rPr>
          <w:rFonts w:ascii="Times New Roman" w:hAnsi="Times New Roman" w:cs="Times New Roman"/>
          <w:sz w:val="24"/>
          <w:szCs w:val="24"/>
        </w:rPr>
      </w:pPr>
    </w:p>
    <w:p w:rsidR="00814CF2" w:rsidRDefault="00814CF2" w:rsidP="00CB0BCC">
      <w:pPr>
        <w:rPr>
          <w:rFonts w:ascii="Times New Roman" w:hAnsi="Times New Roman" w:cs="Times New Roman"/>
          <w:sz w:val="24"/>
          <w:szCs w:val="24"/>
        </w:rPr>
      </w:pPr>
    </w:p>
    <w:p w:rsidR="00814CF2" w:rsidRDefault="00814CF2" w:rsidP="00CB0BCC">
      <w:pPr>
        <w:rPr>
          <w:rFonts w:ascii="Times New Roman" w:hAnsi="Times New Roman" w:cs="Times New Roman"/>
          <w:sz w:val="24"/>
          <w:szCs w:val="24"/>
        </w:rPr>
      </w:pPr>
    </w:p>
    <w:p w:rsidR="00814CF2" w:rsidRDefault="00814CF2"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tbl>
      <w:tblPr>
        <w:tblW w:w="3173" w:type="pct"/>
        <w:jc w:val="center"/>
        <w:tblLook w:val="04A0" w:firstRow="1" w:lastRow="0" w:firstColumn="1" w:lastColumn="0" w:noHBand="0" w:noVBand="1"/>
      </w:tblPr>
      <w:tblGrid>
        <w:gridCol w:w="4171"/>
        <w:gridCol w:w="1718"/>
        <w:gridCol w:w="1535"/>
        <w:gridCol w:w="1531"/>
        <w:gridCol w:w="1467"/>
        <w:gridCol w:w="940"/>
        <w:gridCol w:w="1598"/>
      </w:tblGrid>
      <w:tr w:rsidR="00C47F9F" w:rsidRPr="0071129D" w:rsidTr="00814CF2">
        <w:trPr>
          <w:trHeight w:val="300"/>
          <w:jc w:val="center"/>
        </w:trPr>
        <w:tc>
          <w:tcPr>
            <w:tcW w:w="5000" w:type="pct"/>
            <w:gridSpan w:val="7"/>
            <w:tcBorders>
              <w:top w:val="nil"/>
              <w:left w:val="nil"/>
              <w:bottom w:val="single" w:sz="4" w:space="0" w:color="auto"/>
              <w:right w:val="nil"/>
            </w:tcBorders>
            <w:noWrap/>
            <w:vAlign w:val="center"/>
            <w:hideMark/>
          </w:tcPr>
          <w:p w:rsidR="00C47F9F" w:rsidRPr="0071129D" w:rsidRDefault="00C47F9F" w:rsidP="00814CF2">
            <w:pPr>
              <w:spacing w:after="0" w:line="240" w:lineRule="auto"/>
              <w:ind w:left="970" w:hanging="990"/>
              <w:rPr>
                <w:rFonts w:ascii="Times New Roman" w:eastAsia="Times New Roman" w:hAnsi="Times New Roman" w:cs="Times New Roman"/>
                <w:b/>
                <w:bCs/>
                <w:dstrike/>
                <w:sz w:val="24"/>
                <w:szCs w:val="24"/>
              </w:rPr>
            </w:pPr>
            <w:r w:rsidRPr="001C0A23">
              <w:rPr>
                <w:rFonts w:ascii="Times New Roman" w:eastAsia="Times New Roman" w:hAnsi="Times New Roman" w:cs="Times New Roman"/>
                <w:b/>
                <w:bCs/>
                <w:sz w:val="24"/>
                <w:szCs w:val="24"/>
              </w:rPr>
              <w:t>Table</w:t>
            </w:r>
            <w:r w:rsidR="00B73DC2">
              <w:rPr>
                <w:rFonts w:ascii="Times New Roman" w:eastAsia="Times New Roman" w:hAnsi="Times New Roman" w:cs="Times New Roman"/>
                <w:b/>
                <w:bCs/>
                <w:sz w:val="24"/>
                <w:szCs w:val="24"/>
              </w:rPr>
              <w:t>: 3</w:t>
            </w:r>
            <w:r w:rsidRPr="0071129D">
              <w:rPr>
                <w:rFonts w:ascii="Times New Roman" w:eastAsia="Times New Roman" w:hAnsi="Times New Roman" w:cs="Times New Roman"/>
                <w:b/>
                <w:bCs/>
                <w:sz w:val="24"/>
                <w:szCs w:val="24"/>
              </w:rPr>
              <w:t xml:space="preserv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Displaced Persons (IDPs) by Sex.</w:t>
            </w:r>
          </w:p>
        </w:tc>
      </w:tr>
      <w:tr w:rsidR="00C47F9F" w:rsidRPr="0071129D" w:rsidTr="00814CF2">
        <w:trPr>
          <w:trHeight w:val="290"/>
          <w:jc w:val="center"/>
        </w:trPr>
        <w:tc>
          <w:tcPr>
            <w:tcW w:w="1616" w:type="pct"/>
            <w:tcBorders>
              <w:top w:val="single" w:sz="4" w:space="0" w:color="auto"/>
              <w:left w:val="nil"/>
              <w:bottom w:val="nil"/>
              <w:right w:val="nil"/>
            </w:tcBorders>
            <w:noWrap/>
            <w:vAlign w:val="bottom"/>
            <w:hideMark/>
          </w:tcPr>
          <w:p w:rsidR="00C47F9F" w:rsidRPr="0071129D" w:rsidRDefault="00C47F9F" w:rsidP="00814CF2">
            <w:pPr>
              <w:rPr>
                <w:rFonts w:ascii="Times New Roman" w:eastAsia="Times New Roman" w:hAnsi="Times New Roman" w:cs="Times New Roman"/>
                <w:b/>
                <w:bCs/>
                <w:dstrike/>
                <w:sz w:val="24"/>
                <w:szCs w:val="24"/>
              </w:rPr>
            </w:pPr>
          </w:p>
        </w:tc>
        <w:tc>
          <w:tcPr>
            <w:tcW w:w="1253" w:type="pct"/>
            <w:gridSpan w:val="2"/>
            <w:tcBorders>
              <w:top w:val="single" w:sz="4" w:space="0" w:color="auto"/>
              <w:left w:val="nil"/>
              <w:bottom w:val="nil"/>
              <w:right w:val="nil"/>
            </w:tcBorders>
            <w:noWrap/>
            <w:vAlign w:val="bottom"/>
            <w:hideMark/>
          </w:tcPr>
          <w:p w:rsidR="00C47F9F" w:rsidRPr="0071129D" w:rsidRDefault="00C47F9F" w:rsidP="00814CF2">
            <w:pPr>
              <w:spacing w:after="0" w:line="240" w:lineRule="auto"/>
              <w:jc w:val="center"/>
              <w:rPr>
                <w:rFonts w:ascii="Times New Roman" w:eastAsia="Times New Roman" w:hAnsi="Times New Roman" w:cs="Times New Roman"/>
                <w:b/>
                <w:color w:val="000000"/>
                <w:kern w:val="2"/>
                <w:sz w:val="24"/>
                <w:szCs w:val="24"/>
                <w14:ligatures w14:val="standardContextual"/>
              </w:rPr>
            </w:pPr>
            <w:r w:rsidRPr="0071129D">
              <w:rPr>
                <w:rFonts w:ascii="Times New Roman" w:eastAsia="Times New Roman" w:hAnsi="Times New Roman" w:cs="Times New Roman"/>
                <w:b/>
                <w:color w:val="000000"/>
                <w:sz w:val="24"/>
                <w:szCs w:val="24"/>
              </w:rPr>
              <w:t>SEX</w:t>
            </w:r>
          </w:p>
        </w:tc>
        <w:tc>
          <w:tcPr>
            <w:tcW w:w="590" w:type="pct"/>
            <w:tcBorders>
              <w:top w:val="single" w:sz="4" w:space="0" w:color="auto"/>
              <w:left w:val="nil"/>
              <w:bottom w:val="nil"/>
              <w:right w:val="nil"/>
            </w:tcBorders>
            <w:noWrap/>
            <w:vAlign w:val="bottom"/>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Total</w:t>
            </w:r>
          </w:p>
        </w:tc>
        <w:tc>
          <w:tcPr>
            <w:tcW w:w="565" w:type="pct"/>
            <w:tcBorders>
              <w:top w:val="single" w:sz="4" w:space="0" w:color="auto"/>
              <w:left w:val="nil"/>
              <w:bottom w:val="nil"/>
              <w:right w:val="nil"/>
            </w:tcBorders>
            <w:noWrap/>
            <w:vAlign w:val="bottom"/>
            <w:hideMark/>
          </w:tcPr>
          <w:p w:rsidR="00C47F9F" w:rsidRPr="0071129D" w:rsidRDefault="00C47F9F" w:rsidP="00814CF2">
            <w:pPr>
              <w:spacing w:after="0" w:line="240" w:lineRule="auto"/>
              <w:rPr>
                <w:rFonts w:ascii="Times New Roman" w:eastAsia="Times New Roman" w:hAnsi="Times New Roman" w:cs="Times New Roman"/>
                <w:b/>
                <w:color w:val="000000"/>
                <w:sz w:val="24"/>
                <w:szCs w:val="24"/>
              </w:rPr>
            </w:pPr>
            <w:r w:rsidRPr="0071129D">
              <w:rPr>
                <w:rFonts w:ascii="Tahoma" w:hAnsi="Tahoma" w:cs="Tahoma"/>
                <w:b/>
                <w:sz w:val="24"/>
                <w:szCs w:val="24"/>
              </w:rPr>
              <w:t>ꭓ</w:t>
            </w:r>
            <w:r w:rsidRPr="0071129D">
              <w:rPr>
                <w:rFonts w:ascii="Times New Roman" w:eastAsia="Times New Roman" w:hAnsi="Times New Roman" w:cs="Times New Roman"/>
                <w:b/>
                <w:color w:val="000000"/>
                <w:sz w:val="24"/>
                <w:szCs w:val="24"/>
                <w:vertAlign w:val="superscript"/>
              </w:rPr>
              <w:t>2</w:t>
            </w:r>
            <w:r w:rsidRPr="0071129D">
              <w:rPr>
                <w:rFonts w:ascii="Times New Roman" w:eastAsia="Times New Roman" w:hAnsi="Times New Roman" w:cs="Times New Roman"/>
                <w:b/>
                <w:color w:val="000000"/>
                <w:sz w:val="24"/>
                <w:szCs w:val="24"/>
              </w:rPr>
              <w:t xml:space="preserve"> value</w:t>
            </w:r>
          </w:p>
        </w:tc>
        <w:tc>
          <w:tcPr>
            <w:tcW w:w="360" w:type="pct"/>
            <w:tcBorders>
              <w:top w:val="single" w:sz="4" w:space="0" w:color="auto"/>
              <w:left w:val="nil"/>
              <w:bottom w:val="nil"/>
              <w:right w:val="nil"/>
            </w:tcBorders>
            <w:noWrap/>
            <w:vAlign w:val="bottom"/>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df</w:t>
            </w:r>
          </w:p>
        </w:tc>
        <w:tc>
          <w:tcPr>
            <w:tcW w:w="615" w:type="pct"/>
            <w:tcBorders>
              <w:top w:val="single" w:sz="4" w:space="0" w:color="auto"/>
              <w:left w:val="nil"/>
              <w:bottom w:val="nil"/>
              <w:right w:val="nil"/>
            </w:tcBorders>
            <w:noWrap/>
            <w:vAlign w:val="bottom"/>
            <w:hideMark/>
          </w:tcPr>
          <w:p w:rsidR="00C47F9F" w:rsidRPr="0071129D" w:rsidRDefault="00C47F9F" w:rsidP="00814CF2">
            <w:pPr>
              <w:spacing w:after="0" w:line="240" w:lineRule="auto"/>
              <w:rPr>
                <w:rFonts w:ascii="Times New Roman" w:eastAsia="Times New Roman" w:hAnsi="Times New Roman" w:cs="Times New Roman"/>
                <w:b/>
                <w:sz w:val="24"/>
                <w:szCs w:val="24"/>
              </w:rPr>
            </w:pPr>
            <w:r w:rsidRPr="0071129D">
              <w:rPr>
                <w:rFonts w:ascii="Times New Roman" w:eastAsia="Times New Roman" w:hAnsi="Times New Roman" w:cs="Times New Roman"/>
                <w:b/>
                <w:sz w:val="24"/>
                <w:szCs w:val="24"/>
              </w:rPr>
              <w:t>P value</w:t>
            </w:r>
          </w:p>
        </w:tc>
      </w:tr>
      <w:tr w:rsidR="00C47F9F" w:rsidRPr="0071129D" w:rsidTr="00814CF2">
        <w:trPr>
          <w:trHeight w:val="290"/>
          <w:jc w:val="center"/>
        </w:trPr>
        <w:tc>
          <w:tcPr>
            <w:tcW w:w="1616" w:type="pct"/>
            <w:tcBorders>
              <w:top w:val="nil"/>
              <w:left w:val="nil"/>
              <w:bottom w:val="single" w:sz="4" w:space="0" w:color="auto"/>
              <w:right w:val="nil"/>
            </w:tcBorders>
            <w:noWrap/>
            <w:hideMark/>
          </w:tcPr>
          <w:p w:rsidR="00C47F9F" w:rsidRPr="0071129D" w:rsidRDefault="00C47F9F" w:rsidP="00814CF2">
            <w:pPr>
              <w:spacing w:before="240" w:after="0" w:line="240" w:lineRule="auto"/>
              <w:rPr>
                <w:rFonts w:ascii="Times New Roman" w:eastAsia="Times New Roman" w:hAnsi="Times New Roman" w:cs="Times New Roman"/>
                <w:b/>
                <w:i/>
                <w:iCs/>
                <w:color w:val="000000"/>
                <w:sz w:val="24"/>
                <w:szCs w:val="24"/>
              </w:rPr>
            </w:pPr>
            <w:r w:rsidRPr="00325C26">
              <w:rPr>
                <w:rFonts w:ascii="Times New Roman" w:eastAsia="Times New Roman" w:hAnsi="Times New Roman" w:cs="Times New Roman"/>
                <w:b/>
                <w:i/>
                <w:iCs/>
                <w:color w:val="000000"/>
                <w:sz w:val="24"/>
                <w:szCs w:val="24"/>
              </w:rPr>
              <w:lastRenderedPageBreak/>
              <w:t>Salmonella</w:t>
            </w:r>
            <w:r w:rsidRPr="0071129D">
              <w:rPr>
                <w:rFonts w:ascii="Times New Roman" w:eastAsia="Times New Roman" w:hAnsi="Times New Roman" w:cs="Times New Roman"/>
                <w:b/>
                <w:i/>
                <w:iCs/>
                <w:color w:val="000000"/>
                <w:sz w:val="24"/>
                <w:szCs w:val="24"/>
              </w:rPr>
              <w:t xml:space="preserve"> </w:t>
            </w:r>
            <w:r w:rsidRPr="008714B7">
              <w:rPr>
                <w:rFonts w:ascii="Times New Roman" w:eastAsia="Times New Roman" w:hAnsi="Times New Roman" w:cs="Times New Roman"/>
                <w:b/>
                <w:color w:val="000000"/>
                <w:sz w:val="24"/>
                <w:szCs w:val="24"/>
              </w:rPr>
              <w:t>infection</w:t>
            </w:r>
          </w:p>
        </w:tc>
        <w:tc>
          <w:tcPr>
            <w:tcW w:w="662" w:type="pct"/>
            <w:tcBorders>
              <w:top w:val="nil"/>
              <w:left w:val="nil"/>
              <w:bottom w:val="single" w:sz="4" w:space="0" w:color="auto"/>
              <w:right w:val="nil"/>
            </w:tcBorders>
            <w:noWrap/>
            <w:vAlign w:val="bottom"/>
            <w:hideMark/>
          </w:tcPr>
          <w:p w:rsidR="00C47F9F" w:rsidRPr="0071129D" w:rsidRDefault="00C47F9F" w:rsidP="00814CF2">
            <w:pPr>
              <w:spacing w:before="240"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Female</w:t>
            </w:r>
          </w:p>
        </w:tc>
        <w:tc>
          <w:tcPr>
            <w:tcW w:w="591" w:type="pct"/>
            <w:tcBorders>
              <w:top w:val="nil"/>
              <w:left w:val="nil"/>
              <w:bottom w:val="single" w:sz="4" w:space="0" w:color="auto"/>
              <w:right w:val="nil"/>
            </w:tcBorders>
            <w:noWrap/>
            <w:vAlign w:val="bottom"/>
            <w:hideMark/>
          </w:tcPr>
          <w:p w:rsidR="00C47F9F" w:rsidRPr="0071129D" w:rsidRDefault="00C47F9F" w:rsidP="00814CF2">
            <w:pPr>
              <w:spacing w:before="240"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Male</w:t>
            </w:r>
          </w:p>
        </w:tc>
        <w:tc>
          <w:tcPr>
            <w:tcW w:w="590" w:type="pct"/>
            <w:tcBorders>
              <w:top w:val="nil"/>
              <w:left w:val="nil"/>
              <w:bottom w:val="single" w:sz="4" w:space="0" w:color="auto"/>
              <w:right w:val="nil"/>
            </w:tcBorders>
            <w:noWrap/>
            <w:vAlign w:val="bottom"/>
            <w:hideMark/>
          </w:tcPr>
          <w:p w:rsidR="00C47F9F" w:rsidRPr="0071129D" w:rsidRDefault="00C47F9F" w:rsidP="00814CF2">
            <w:pPr>
              <w:rPr>
                <w:rFonts w:ascii="Times New Roman" w:eastAsia="Times New Roman" w:hAnsi="Times New Roman" w:cs="Times New Roman"/>
                <w:b/>
                <w:color w:val="000000"/>
                <w:sz w:val="24"/>
                <w:szCs w:val="24"/>
              </w:rPr>
            </w:pPr>
          </w:p>
        </w:tc>
        <w:tc>
          <w:tcPr>
            <w:tcW w:w="565" w:type="pct"/>
            <w:tcBorders>
              <w:top w:val="nil"/>
              <w:left w:val="nil"/>
              <w:bottom w:val="single" w:sz="4" w:space="0" w:color="auto"/>
              <w:right w:val="nil"/>
            </w:tcBorders>
            <w:noWrap/>
            <w:vAlign w:val="bottom"/>
            <w:hideMark/>
          </w:tcPr>
          <w:p w:rsidR="00C47F9F" w:rsidRPr="0071129D" w:rsidRDefault="00C47F9F" w:rsidP="00814CF2">
            <w:pPr>
              <w:spacing w:after="0"/>
              <w:rPr>
                <w:rFonts w:ascii="Times New Roman" w:hAnsi="Times New Roman" w:cs="Times New Roman"/>
                <w:sz w:val="24"/>
                <w:szCs w:val="24"/>
              </w:rPr>
            </w:pPr>
          </w:p>
        </w:tc>
        <w:tc>
          <w:tcPr>
            <w:tcW w:w="360" w:type="pct"/>
            <w:tcBorders>
              <w:top w:val="nil"/>
              <w:left w:val="nil"/>
              <w:bottom w:val="single" w:sz="4" w:space="0" w:color="auto"/>
              <w:right w:val="nil"/>
            </w:tcBorders>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tcBorders>
              <w:top w:val="nil"/>
              <w:left w:val="nil"/>
              <w:bottom w:val="single" w:sz="4" w:space="0" w:color="auto"/>
              <w:right w:val="nil"/>
            </w:tcBorders>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tcBorders>
              <w:top w:val="single" w:sz="4" w:space="0" w:color="auto"/>
              <w:left w:val="nil"/>
              <w:bottom w:val="nil"/>
              <w:right w:val="nil"/>
            </w:tcBorders>
            <w:noWrap/>
            <w:hideMark/>
          </w:tcPr>
          <w:p w:rsidR="00C47F9F" w:rsidRPr="0071129D" w:rsidRDefault="00C47F9F" w:rsidP="00814CF2">
            <w:pPr>
              <w:spacing w:before="360"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No. of IDPs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present)</w:t>
            </w:r>
          </w:p>
        </w:tc>
        <w:tc>
          <w:tcPr>
            <w:tcW w:w="662" w:type="pct"/>
            <w:tcBorders>
              <w:top w:val="single" w:sz="4" w:space="0" w:color="auto"/>
              <w:left w:val="nil"/>
              <w:bottom w:val="nil"/>
              <w:right w:val="nil"/>
            </w:tcBorders>
            <w:noWrap/>
            <w:vAlign w:val="center"/>
            <w:hideMark/>
          </w:tcPr>
          <w:p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w:t>
            </w:r>
            <w:r w:rsidRPr="0071129D">
              <w:rPr>
                <w:rFonts w:ascii="Times New Roman" w:eastAsia="Times New Roman" w:hAnsi="Times New Roman" w:cs="Times New Roman"/>
                <w:color w:val="000000"/>
                <w:sz w:val="24"/>
                <w:szCs w:val="24"/>
                <w:vertAlign w:val="subscript"/>
              </w:rPr>
              <w:t>a</w:t>
            </w:r>
          </w:p>
        </w:tc>
        <w:tc>
          <w:tcPr>
            <w:tcW w:w="591" w:type="pct"/>
            <w:tcBorders>
              <w:top w:val="single" w:sz="4" w:space="0" w:color="auto"/>
              <w:left w:val="nil"/>
              <w:bottom w:val="nil"/>
              <w:right w:val="nil"/>
            </w:tcBorders>
            <w:noWrap/>
            <w:vAlign w:val="center"/>
            <w:hideMark/>
          </w:tcPr>
          <w:p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17</w:t>
            </w:r>
            <w:r w:rsidRPr="0071129D">
              <w:rPr>
                <w:rFonts w:ascii="Times New Roman" w:eastAsia="Times New Roman" w:hAnsi="Times New Roman" w:cs="Times New Roman"/>
                <w:color w:val="000000"/>
                <w:sz w:val="24"/>
                <w:szCs w:val="24"/>
                <w:vertAlign w:val="subscript"/>
              </w:rPr>
              <w:t>b</w:t>
            </w:r>
          </w:p>
        </w:tc>
        <w:tc>
          <w:tcPr>
            <w:tcW w:w="590" w:type="pct"/>
            <w:tcBorders>
              <w:top w:val="single" w:sz="4" w:space="0" w:color="auto"/>
              <w:left w:val="nil"/>
              <w:bottom w:val="nil"/>
              <w:right w:val="nil"/>
            </w:tcBorders>
            <w:noWrap/>
            <w:vAlign w:val="center"/>
            <w:hideMark/>
          </w:tcPr>
          <w:p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27</w:t>
            </w:r>
          </w:p>
        </w:tc>
        <w:tc>
          <w:tcPr>
            <w:tcW w:w="565" w:type="pct"/>
            <w:tcBorders>
              <w:top w:val="single" w:sz="4" w:space="0" w:color="auto"/>
              <w:left w:val="nil"/>
              <w:bottom w:val="nil"/>
              <w:right w:val="nil"/>
            </w:tcBorders>
            <w:noWrap/>
            <w:vAlign w:val="bottom"/>
            <w:hideMark/>
          </w:tcPr>
          <w:p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4.744</w:t>
            </w:r>
          </w:p>
        </w:tc>
        <w:tc>
          <w:tcPr>
            <w:tcW w:w="360" w:type="pct"/>
            <w:tcBorders>
              <w:top w:val="single" w:sz="4" w:space="0" w:color="auto"/>
              <w:left w:val="nil"/>
              <w:bottom w:val="nil"/>
              <w:right w:val="nil"/>
            </w:tcBorders>
            <w:noWrap/>
            <w:vAlign w:val="bottom"/>
            <w:hideMark/>
          </w:tcPr>
          <w:p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w:t>
            </w:r>
          </w:p>
        </w:tc>
        <w:tc>
          <w:tcPr>
            <w:tcW w:w="615" w:type="pct"/>
            <w:tcBorders>
              <w:top w:val="single" w:sz="4" w:space="0" w:color="auto"/>
              <w:left w:val="nil"/>
              <w:bottom w:val="nil"/>
              <w:right w:val="nil"/>
            </w:tcBorders>
            <w:noWrap/>
            <w:vAlign w:val="bottom"/>
            <w:hideMark/>
          </w:tcPr>
          <w:p w:rsidR="00C47F9F" w:rsidRPr="0071129D" w:rsidRDefault="00C47F9F" w:rsidP="00814CF2">
            <w:pPr>
              <w:spacing w:before="360" w:after="0" w:line="240" w:lineRule="auto"/>
              <w:jc w:val="center"/>
              <w:rPr>
                <w:rFonts w:ascii="Times New Roman" w:eastAsia="Times New Roman" w:hAnsi="Times New Roman" w:cs="Times New Roman"/>
                <w:sz w:val="24"/>
                <w:szCs w:val="24"/>
              </w:rPr>
            </w:pPr>
            <w:r w:rsidRPr="0071129D">
              <w:rPr>
                <w:rFonts w:ascii="Times New Roman" w:eastAsia="Times New Roman" w:hAnsi="Times New Roman" w:cs="Times New Roman"/>
                <w:sz w:val="24"/>
                <w:szCs w:val="24"/>
              </w:rPr>
              <w:t>0.029</w:t>
            </w:r>
          </w:p>
        </w:tc>
      </w:tr>
      <w:tr w:rsidR="00C47F9F" w:rsidRPr="0071129D" w:rsidTr="00814CF2">
        <w:trPr>
          <w:trHeight w:val="290"/>
          <w:jc w:val="center"/>
        </w:trPr>
        <w:tc>
          <w:tcPr>
            <w:tcW w:w="1616" w:type="pct"/>
            <w:noWrap/>
            <w:hideMark/>
          </w:tcPr>
          <w:p w:rsidR="00C47F9F" w:rsidRPr="0071129D" w:rsidRDefault="00C47F9F" w:rsidP="00814CF2">
            <w:pPr>
              <w:spacing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62"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(4.1</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591"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(9.4</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590"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(6.4</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565" w:type="pct"/>
            <w:noWrap/>
            <w:vAlign w:val="bottom"/>
            <w:hideMark/>
          </w:tcPr>
          <w:p w:rsidR="00C47F9F" w:rsidRPr="0071129D" w:rsidRDefault="00C47F9F" w:rsidP="00814CF2">
            <w:pPr>
              <w:rPr>
                <w:rFonts w:ascii="Times New Roman" w:eastAsia="Times New Roman" w:hAnsi="Times New Roman" w:cs="Times New Roman"/>
                <w:color w:val="000000"/>
                <w:sz w:val="24"/>
                <w:szCs w:val="24"/>
              </w:rPr>
            </w:pPr>
          </w:p>
        </w:tc>
        <w:tc>
          <w:tcPr>
            <w:tcW w:w="360"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noWrap/>
          </w:tcPr>
          <w:p w:rsidR="00C47F9F" w:rsidRPr="0071129D" w:rsidRDefault="00C47F9F" w:rsidP="00814CF2">
            <w:pPr>
              <w:spacing w:after="0" w:line="240" w:lineRule="auto"/>
              <w:rPr>
                <w:rFonts w:ascii="Times New Roman" w:eastAsia="Times New Roman" w:hAnsi="Times New Roman" w:cs="Times New Roman"/>
                <w:color w:val="000000"/>
                <w:kern w:val="2"/>
                <w:sz w:val="24"/>
                <w:szCs w:val="24"/>
                <w14:ligatures w14:val="standardContextual"/>
              </w:rPr>
            </w:pPr>
          </w:p>
        </w:tc>
        <w:tc>
          <w:tcPr>
            <w:tcW w:w="662" w:type="pct"/>
            <w:noWrap/>
            <w:vAlign w:val="center"/>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591" w:type="pct"/>
            <w:noWrap/>
            <w:vAlign w:val="center"/>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590" w:type="pct"/>
            <w:noWrap/>
            <w:vAlign w:val="center"/>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565" w:type="pct"/>
            <w:noWrap/>
            <w:vAlign w:val="bottom"/>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360" w:type="pct"/>
            <w:noWrap/>
            <w:vAlign w:val="bottom"/>
          </w:tcPr>
          <w:p w:rsidR="00C47F9F" w:rsidRPr="0071129D" w:rsidRDefault="00C47F9F" w:rsidP="00814CF2">
            <w:pPr>
              <w:spacing w:after="0" w:line="240" w:lineRule="auto"/>
              <w:jc w:val="center"/>
              <w:rPr>
                <w:rFonts w:ascii="Times New Roman" w:eastAsia="Times New Roman" w:hAnsi="Times New Roman" w:cs="Times New Roman"/>
                <w:sz w:val="24"/>
                <w:szCs w:val="24"/>
              </w:rPr>
            </w:pPr>
          </w:p>
        </w:tc>
        <w:tc>
          <w:tcPr>
            <w:tcW w:w="615" w:type="pct"/>
            <w:noWrap/>
            <w:vAlign w:val="bottom"/>
          </w:tcPr>
          <w:p w:rsidR="00C47F9F" w:rsidRPr="0071129D" w:rsidRDefault="00C47F9F" w:rsidP="00814CF2">
            <w:pPr>
              <w:spacing w:after="0" w:line="240" w:lineRule="auto"/>
              <w:jc w:val="center"/>
              <w:rPr>
                <w:rFonts w:ascii="Times New Roman" w:eastAsia="Times New Roman" w:hAnsi="Times New Roman" w:cs="Times New Roman"/>
                <w:sz w:val="24"/>
                <w:szCs w:val="24"/>
              </w:rPr>
            </w:pPr>
          </w:p>
        </w:tc>
      </w:tr>
      <w:tr w:rsidR="00C47F9F" w:rsidRPr="0071129D" w:rsidTr="00814CF2">
        <w:trPr>
          <w:trHeight w:val="290"/>
          <w:jc w:val="center"/>
        </w:trPr>
        <w:tc>
          <w:tcPr>
            <w:tcW w:w="1616" w:type="pct"/>
            <w:noWrap/>
            <w:hideMark/>
          </w:tcPr>
          <w:p w:rsidR="00C47F9F" w:rsidRPr="0071129D" w:rsidRDefault="00C47F9F" w:rsidP="00814CF2">
            <w:pPr>
              <w:rPr>
                <w:rFonts w:ascii="Times New Roman" w:eastAsia="Times New Roman" w:hAnsi="Times New Roman" w:cs="Times New Roman"/>
                <w:sz w:val="24"/>
                <w:szCs w:val="24"/>
              </w:rPr>
            </w:pPr>
          </w:p>
        </w:tc>
        <w:tc>
          <w:tcPr>
            <w:tcW w:w="662" w:type="pct"/>
            <w:noWrap/>
            <w:vAlign w:val="center"/>
            <w:hideMark/>
          </w:tcPr>
          <w:p w:rsidR="00C47F9F" w:rsidRPr="0071129D" w:rsidRDefault="00C47F9F" w:rsidP="00814CF2">
            <w:pPr>
              <w:spacing w:after="0"/>
              <w:rPr>
                <w:rFonts w:ascii="Times New Roman" w:hAnsi="Times New Roman" w:cs="Times New Roman"/>
                <w:sz w:val="24"/>
                <w:szCs w:val="24"/>
              </w:rPr>
            </w:pPr>
          </w:p>
        </w:tc>
        <w:tc>
          <w:tcPr>
            <w:tcW w:w="591" w:type="pct"/>
            <w:noWrap/>
            <w:vAlign w:val="center"/>
            <w:hideMark/>
          </w:tcPr>
          <w:p w:rsidR="00C47F9F" w:rsidRPr="0071129D" w:rsidRDefault="00C47F9F" w:rsidP="00814CF2">
            <w:pPr>
              <w:spacing w:after="0"/>
              <w:rPr>
                <w:rFonts w:ascii="Times New Roman" w:hAnsi="Times New Roman" w:cs="Times New Roman"/>
                <w:sz w:val="24"/>
                <w:szCs w:val="24"/>
              </w:rPr>
            </w:pPr>
          </w:p>
        </w:tc>
        <w:tc>
          <w:tcPr>
            <w:tcW w:w="590" w:type="pct"/>
            <w:noWrap/>
            <w:vAlign w:val="center"/>
            <w:hideMark/>
          </w:tcPr>
          <w:p w:rsidR="00C47F9F" w:rsidRPr="0071129D" w:rsidRDefault="00C47F9F" w:rsidP="00814CF2">
            <w:pPr>
              <w:spacing w:after="0"/>
              <w:rPr>
                <w:rFonts w:ascii="Times New Roman" w:hAnsi="Times New Roman" w:cs="Times New Roman"/>
                <w:sz w:val="24"/>
                <w:szCs w:val="24"/>
              </w:rPr>
            </w:pPr>
          </w:p>
        </w:tc>
        <w:tc>
          <w:tcPr>
            <w:tcW w:w="565"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360"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noWrap/>
            <w:hideMark/>
          </w:tcPr>
          <w:p w:rsidR="00C47F9F" w:rsidRPr="0071129D" w:rsidRDefault="00C47F9F"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No. of IDPs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absent)</w:t>
            </w:r>
          </w:p>
        </w:tc>
        <w:tc>
          <w:tcPr>
            <w:tcW w:w="662"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231</w:t>
            </w:r>
            <w:r w:rsidRPr="0071129D">
              <w:rPr>
                <w:rFonts w:ascii="Times New Roman" w:eastAsia="Times New Roman" w:hAnsi="Times New Roman" w:cs="Times New Roman"/>
                <w:color w:val="000000"/>
                <w:sz w:val="24"/>
                <w:szCs w:val="24"/>
                <w:vertAlign w:val="subscript"/>
              </w:rPr>
              <w:t>a</w:t>
            </w:r>
          </w:p>
        </w:tc>
        <w:tc>
          <w:tcPr>
            <w:tcW w:w="591"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164</w:t>
            </w:r>
            <w:r w:rsidRPr="0071129D">
              <w:rPr>
                <w:rFonts w:ascii="Times New Roman" w:eastAsia="Times New Roman" w:hAnsi="Times New Roman" w:cs="Times New Roman"/>
                <w:color w:val="000000"/>
                <w:sz w:val="24"/>
                <w:szCs w:val="24"/>
                <w:vertAlign w:val="subscript"/>
              </w:rPr>
              <w:t>b</w:t>
            </w:r>
          </w:p>
        </w:tc>
        <w:tc>
          <w:tcPr>
            <w:tcW w:w="590"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395</w:t>
            </w:r>
          </w:p>
        </w:tc>
        <w:tc>
          <w:tcPr>
            <w:tcW w:w="565" w:type="pct"/>
            <w:noWrap/>
            <w:vAlign w:val="bottom"/>
            <w:hideMark/>
          </w:tcPr>
          <w:p w:rsidR="00C47F9F" w:rsidRPr="0071129D" w:rsidRDefault="00C47F9F" w:rsidP="00814CF2">
            <w:pPr>
              <w:rPr>
                <w:rFonts w:ascii="Times New Roman" w:eastAsia="Times New Roman" w:hAnsi="Times New Roman" w:cs="Times New Roman"/>
                <w:color w:val="000000"/>
                <w:sz w:val="24"/>
                <w:szCs w:val="24"/>
              </w:rPr>
            </w:pPr>
          </w:p>
        </w:tc>
        <w:tc>
          <w:tcPr>
            <w:tcW w:w="360"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noWrap/>
            <w:hideMark/>
          </w:tcPr>
          <w:p w:rsidR="00C47F9F" w:rsidRPr="0071129D" w:rsidRDefault="00C47F9F"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62"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p>
        </w:tc>
        <w:tc>
          <w:tcPr>
            <w:tcW w:w="591"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p>
        </w:tc>
        <w:tc>
          <w:tcPr>
            <w:tcW w:w="590"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93.6</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p>
        </w:tc>
        <w:tc>
          <w:tcPr>
            <w:tcW w:w="565" w:type="pct"/>
            <w:noWrap/>
            <w:vAlign w:val="bottom"/>
            <w:hideMark/>
          </w:tcPr>
          <w:p w:rsidR="00C47F9F" w:rsidRPr="0071129D" w:rsidRDefault="00C47F9F" w:rsidP="00814CF2">
            <w:pPr>
              <w:rPr>
                <w:rFonts w:ascii="Times New Roman" w:eastAsia="Times New Roman" w:hAnsi="Times New Roman" w:cs="Times New Roman"/>
                <w:color w:val="000000"/>
                <w:sz w:val="24"/>
                <w:szCs w:val="24"/>
              </w:rPr>
            </w:pPr>
          </w:p>
        </w:tc>
        <w:tc>
          <w:tcPr>
            <w:tcW w:w="360"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noWrap/>
            <w:hideMark/>
          </w:tcPr>
          <w:p w:rsidR="00C47F9F" w:rsidRPr="0071129D" w:rsidRDefault="00C47F9F" w:rsidP="00814CF2">
            <w:pPr>
              <w:spacing w:after="0"/>
              <w:rPr>
                <w:rFonts w:ascii="Times New Roman" w:hAnsi="Times New Roman" w:cs="Times New Roman"/>
                <w:sz w:val="24"/>
                <w:szCs w:val="24"/>
              </w:rPr>
            </w:pPr>
          </w:p>
        </w:tc>
        <w:tc>
          <w:tcPr>
            <w:tcW w:w="662" w:type="pct"/>
            <w:noWrap/>
            <w:vAlign w:val="center"/>
            <w:hideMark/>
          </w:tcPr>
          <w:p w:rsidR="00C47F9F" w:rsidRPr="0071129D" w:rsidRDefault="00C47F9F" w:rsidP="00814CF2">
            <w:pPr>
              <w:spacing w:after="0"/>
              <w:rPr>
                <w:rFonts w:ascii="Times New Roman" w:hAnsi="Times New Roman" w:cs="Times New Roman"/>
                <w:sz w:val="24"/>
                <w:szCs w:val="24"/>
              </w:rPr>
            </w:pPr>
          </w:p>
        </w:tc>
        <w:tc>
          <w:tcPr>
            <w:tcW w:w="591" w:type="pct"/>
            <w:noWrap/>
            <w:vAlign w:val="center"/>
            <w:hideMark/>
          </w:tcPr>
          <w:p w:rsidR="00C47F9F" w:rsidRPr="0071129D" w:rsidRDefault="00C47F9F" w:rsidP="00814CF2">
            <w:pPr>
              <w:spacing w:after="0"/>
              <w:rPr>
                <w:rFonts w:ascii="Times New Roman" w:hAnsi="Times New Roman" w:cs="Times New Roman"/>
                <w:sz w:val="24"/>
                <w:szCs w:val="24"/>
              </w:rPr>
            </w:pPr>
          </w:p>
        </w:tc>
        <w:tc>
          <w:tcPr>
            <w:tcW w:w="590" w:type="pct"/>
            <w:noWrap/>
            <w:vAlign w:val="center"/>
            <w:hideMark/>
          </w:tcPr>
          <w:p w:rsidR="00C47F9F" w:rsidRPr="0071129D" w:rsidRDefault="00C47F9F" w:rsidP="00814CF2">
            <w:pPr>
              <w:spacing w:after="0"/>
              <w:rPr>
                <w:rFonts w:ascii="Times New Roman" w:hAnsi="Times New Roman" w:cs="Times New Roman"/>
                <w:sz w:val="24"/>
                <w:szCs w:val="24"/>
              </w:rPr>
            </w:pPr>
          </w:p>
        </w:tc>
        <w:tc>
          <w:tcPr>
            <w:tcW w:w="565"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360"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noWrap/>
            <w:hideMark/>
          </w:tcPr>
          <w:p w:rsidR="00C47F9F" w:rsidRPr="0071129D" w:rsidRDefault="00C47F9F" w:rsidP="00814CF2">
            <w:pPr>
              <w:spacing w:after="0" w:line="240" w:lineRule="auto"/>
              <w:rPr>
                <w:rFonts w:ascii="Times New Roman" w:eastAsia="Times New Roman" w:hAnsi="Times New Roman" w:cs="Times New Roman"/>
                <w:b/>
                <w:color w:val="FF0000"/>
                <w:kern w:val="2"/>
                <w:sz w:val="24"/>
                <w:szCs w:val="24"/>
                <w14:ligatures w14:val="standardContextual"/>
              </w:rPr>
            </w:pPr>
            <w:r w:rsidRPr="0071129D">
              <w:rPr>
                <w:rFonts w:ascii="Times New Roman" w:eastAsia="Times New Roman" w:hAnsi="Times New Roman" w:cs="Times New Roman"/>
                <w:b/>
                <w:sz w:val="24"/>
                <w:szCs w:val="24"/>
              </w:rPr>
              <w:t xml:space="preserve">Total no. of IDPs </w:t>
            </w:r>
          </w:p>
        </w:tc>
        <w:tc>
          <w:tcPr>
            <w:tcW w:w="662"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241</w:t>
            </w:r>
          </w:p>
        </w:tc>
        <w:tc>
          <w:tcPr>
            <w:tcW w:w="591"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181</w:t>
            </w:r>
          </w:p>
        </w:tc>
        <w:tc>
          <w:tcPr>
            <w:tcW w:w="590" w:type="pct"/>
            <w:noWrap/>
            <w:vAlign w:val="center"/>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422</w:t>
            </w:r>
          </w:p>
        </w:tc>
        <w:tc>
          <w:tcPr>
            <w:tcW w:w="565" w:type="pct"/>
            <w:noWrap/>
            <w:vAlign w:val="bottom"/>
            <w:hideMark/>
          </w:tcPr>
          <w:p w:rsidR="00C47F9F" w:rsidRPr="0071129D" w:rsidRDefault="00C47F9F" w:rsidP="00814CF2">
            <w:pPr>
              <w:rPr>
                <w:rFonts w:ascii="Times New Roman" w:eastAsia="Times New Roman" w:hAnsi="Times New Roman" w:cs="Times New Roman"/>
                <w:b/>
                <w:color w:val="000000"/>
                <w:sz w:val="24"/>
                <w:szCs w:val="24"/>
              </w:rPr>
            </w:pPr>
          </w:p>
        </w:tc>
        <w:tc>
          <w:tcPr>
            <w:tcW w:w="360" w:type="pct"/>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1616" w:type="pct"/>
            <w:tcBorders>
              <w:top w:val="nil"/>
              <w:left w:val="nil"/>
              <w:bottom w:val="single" w:sz="4" w:space="0" w:color="auto"/>
              <w:right w:val="nil"/>
            </w:tcBorders>
            <w:noWrap/>
            <w:hideMark/>
          </w:tcPr>
          <w:p w:rsidR="00C47F9F" w:rsidRPr="0071129D" w:rsidRDefault="00C47F9F" w:rsidP="00814CF2">
            <w:pPr>
              <w:spacing w:after="0" w:line="240" w:lineRule="auto"/>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662" w:type="pct"/>
            <w:tcBorders>
              <w:top w:val="nil"/>
              <w:left w:val="nil"/>
              <w:bottom w:val="single" w:sz="4" w:space="0" w:color="auto"/>
              <w:right w:val="nil"/>
            </w:tcBorders>
            <w:noWrap/>
            <w:vAlign w:val="center"/>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100.0</w:t>
            </w: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591" w:type="pct"/>
            <w:tcBorders>
              <w:top w:val="nil"/>
              <w:left w:val="nil"/>
              <w:bottom w:val="single" w:sz="4" w:space="0" w:color="auto"/>
              <w:right w:val="nil"/>
            </w:tcBorders>
            <w:noWrap/>
            <w:vAlign w:val="center"/>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100.0</w:t>
            </w: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590" w:type="pct"/>
            <w:tcBorders>
              <w:top w:val="nil"/>
              <w:left w:val="nil"/>
              <w:bottom w:val="single" w:sz="4" w:space="0" w:color="auto"/>
              <w:right w:val="nil"/>
            </w:tcBorders>
            <w:noWrap/>
            <w:vAlign w:val="center"/>
            <w:hideMark/>
          </w:tcPr>
          <w:p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100.0</w:t>
            </w: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565" w:type="pct"/>
            <w:tcBorders>
              <w:top w:val="nil"/>
              <w:left w:val="nil"/>
              <w:bottom w:val="single" w:sz="4" w:space="0" w:color="auto"/>
              <w:right w:val="nil"/>
            </w:tcBorders>
            <w:noWrap/>
            <w:vAlign w:val="bottom"/>
            <w:hideMark/>
          </w:tcPr>
          <w:p w:rsidR="00C47F9F" w:rsidRPr="0071129D" w:rsidRDefault="00C47F9F" w:rsidP="00814CF2">
            <w:pPr>
              <w:rPr>
                <w:rFonts w:ascii="Times New Roman" w:eastAsia="Times New Roman" w:hAnsi="Times New Roman" w:cs="Times New Roman"/>
                <w:b/>
                <w:color w:val="000000"/>
                <w:sz w:val="24"/>
                <w:szCs w:val="24"/>
              </w:rPr>
            </w:pPr>
          </w:p>
        </w:tc>
        <w:tc>
          <w:tcPr>
            <w:tcW w:w="360" w:type="pct"/>
            <w:tcBorders>
              <w:top w:val="nil"/>
              <w:left w:val="nil"/>
              <w:bottom w:val="single" w:sz="4" w:space="0" w:color="auto"/>
              <w:right w:val="nil"/>
            </w:tcBorders>
            <w:noWrap/>
            <w:vAlign w:val="bottom"/>
            <w:hideMark/>
          </w:tcPr>
          <w:p w:rsidR="00C47F9F" w:rsidRPr="0071129D" w:rsidRDefault="00C47F9F" w:rsidP="00814CF2">
            <w:pPr>
              <w:spacing w:after="0"/>
              <w:rPr>
                <w:rFonts w:ascii="Times New Roman" w:hAnsi="Times New Roman" w:cs="Times New Roman"/>
                <w:sz w:val="24"/>
                <w:szCs w:val="24"/>
              </w:rPr>
            </w:pPr>
          </w:p>
        </w:tc>
        <w:tc>
          <w:tcPr>
            <w:tcW w:w="615" w:type="pct"/>
            <w:tcBorders>
              <w:top w:val="nil"/>
              <w:left w:val="nil"/>
              <w:bottom w:val="single" w:sz="4" w:space="0" w:color="auto"/>
              <w:right w:val="nil"/>
            </w:tcBorders>
            <w:noWrap/>
            <w:vAlign w:val="bottom"/>
            <w:hideMark/>
          </w:tcPr>
          <w:p w:rsidR="00C47F9F" w:rsidRPr="0071129D" w:rsidRDefault="00C47F9F" w:rsidP="00814CF2">
            <w:pPr>
              <w:spacing w:after="0"/>
              <w:rPr>
                <w:rFonts w:ascii="Times New Roman" w:hAnsi="Times New Roman" w:cs="Times New Roman"/>
                <w:sz w:val="24"/>
                <w:szCs w:val="24"/>
              </w:rPr>
            </w:pPr>
          </w:p>
        </w:tc>
      </w:tr>
      <w:tr w:rsidR="00C47F9F" w:rsidRPr="0071129D" w:rsidTr="00814CF2">
        <w:trPr>
          <w:trHeight w:val="290"/>
          <w:jc w:val="center"/>
        </w:trPr>
        <w:tc>
          <w:tcPr>
            <w:tcW w:w="5000" w:type="pct"/>
            <w:gridSpan w:val="7"/>
            <w:tcBorders>
              <w:top w:val="single" w:sz="4" w:space="0" w:color="auto"/>
              <w:left w:val="nil"/>
              <w:bottom w:val="nil"/>
              <w:right w:val="nil"/>
            </w:tcBorders>
            <w:noWrap/>
            <w:hideMark/>
          </w:tcPr>
          <w:p w:rsidR="00C47F9F" w:rsidRPr="0071129D" w:rsidRDefault="00C47F9F" w:rsidP="00814CF2">
            <w:pPr>
              <w:spacing w:after="0" w:line="240" w:lineRule="auto"/>
              <w:jc w:val="center"/>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Each subscript letter denotes a subset of SEX categories whose column proportions do not differ significantly from each other at the .05 level.</w:t>
            </w:r>
          </w:p>
        </w:tc>
      </w:tr>
    </w:tbl>
    <w:p w:rsidR="00C47F9F" w:rsidRPr="0071129D" w:rsidRDefault="00C47F9F" w:rsidP="00C47F9F">
      <w:pPr>
        <w:rPr>
          <w:rFonts w:ascii="Times New Roman" w:hAnsi="Times New Roman" w:cs="Times New Roman"/>
          <w:kern w:val="2"/>
          <w:sz w:val="24"/>
          <w:szCs w:val="24"/>
          <w14:ligatures w14:val="standardContextual"/>
        </w:rPr>
      </w:pPr>
    </w:p>
    <w:p w:rsidR="00C47F9F" w:rsidRPr="0071129D" w:rsidRDefault="00C47F9F" w:rsidP="00C47F9F">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 xml:space="preserve"> </w:t>
      </w: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kern w:val="2"/>
          <w:sz w:val="24"/>
          <w:szCs w:val="24"/>
          <w14:ligatures w14:val="standardContextual"/>
        </w:rPr>
      </w:pPr>
    </w:p>
    <w:tbl>
      <w:tblPr>
        <w:tblW w:w="5942" w:type="pct"/>
        <w:tblInd w:w="-900" w:type="dxa"/>
        <w:tblLook w:val="04A0" w:firstRow="1" w:lastRow="0" w:firstColumn="1" w:lastColumn="0" w:noHBand="0" w:noVBand="1"/>
      </w:tblPr>
      <w:tblGrid>
        <w:gridCol w:w="2194"/>
        <w:gridCol w:w="2076"/>
        <w:gridCol w:w="1195"/>
        <w:gridCol w:w="1127"/>
        <w:gridCol w:w="1377"/>
        <w:gridCol w:w="1389"/>
        <w:gridCol w:w="1374"/>
        <w:gridCol w:w="1389"/>
        <w:gridCol w:w="1232"/>
        <w:gridCol w:w="1097"/>
        <w:gridCol w:w="952"/>
      </w:tblGrid>
      <w:tr w:rsidR="00814CF2" w:rsidRPr="0071129D" w:rsidTr="00814CF2">
        <w:trPr>
          <w:trHeight w:val="90"/>
        </w:trPr>
        <w:tc>
          <w:tcPr>
            <w:tcW w:w="5000" w:type="pct"/>
            <w:gridSpan w:val="11"/>
            <w:tcBorders>
              <w:top w:val="nil"/>
              <w:left w:val="nil"/>
              <w:bottom w:val="single" w:sz="4" w:space="0" w:color="auto"/>
              <w:right w:val="nil"/>
            </w:tcBorders>
            <w:noWrap/>
            <w:vAlign w:val="center"/>
            <w:hideMark/>
          </w:tcPr>
          <w:p w:rsidR="00814CF2" w:rsidRPr="0071129D" w:rsidRDefault="00D215E9" w:rsidP="00814CF2">
            <w:pPr>
              <w:spacing w:after="0" w:line="240" w:lineRule="auto"/>
              <w:ind w:left="900" w:hanging="900"/>
              <w:rPr>
                <w:rFonts w:ascii="Times New Roman" w:hAnsi="Times New Roman" w:cs="Times New Roman"/>
                <w:b/>
                <w:bCs/>
                <w:sz w:val="24"/>
                <w:szCs w:val="24"/>
              </w:rPr>
            </w:pPr>
            <w:r>
              <w:rPr>
                <w:rFonts w:ascii="Times New Roman" w:eastAsia="Times New Roman" w:hAnsi="Times New Roman" w:cs="Times New Roman"/>
                <w:b/>
                <w:sz w:val="24"/>
                <w:szCs w:val="24"/>
              </w:rPr>
              <w:t>Table</w:t>
            </w:r>
            <w:r w:rsidR="00B73DC2">
              <w:rPr>
                <w:rFonts w:ascii="Times New Roman" w:eastAsia="Times New Roman" w:hAnsi="Times New Roman" w:cs="Times New Roman"/>
                <w:b/>
                <w:sz w:val="24"/>
                <w:szCs w:val="24"/>
              </w:rPr>
              <w:t>:4</w:t>
            </w:r>
            <w:r w:rsidR="00814CF2" w:rsidRPr="0071129D">
              <w:rPr>
                <w:rFonts w:ascii="Times New Roman" w:eastAsia="Times New Roman" w:hAnsi="Times New Roman" w:cs="Times New Roman"/>
                <w:b/>
                <w:sz w:val="24"/>
                <w:szCs w:val="24"/>
              </w:rPr>
              <w:t xml:space="preserve">: Prevalence of </w:t>
            </w:r>
            <w:r w:rsidR="00814CF2" w:rsidRPr="00325C26">
              <w:rPr>
                <w:rFonts w:ascii="Times New Roman" w:eastAsia="Times New Roman" w:hAnsi="Times New Roman" w:cs="Times New Roman"/>
                <w:b/>
                <w:i/>
                <w:iCs/>
                <w:sz w:val="24"/>
                <w:szCs w:val="24"/>
              </w:rPr>
              <w:t>Salmonella</w:t>
            </w:r>
            <w:r w:rsidR="00814CF2" w:rsidRPr="0071129D">
              <w:rPr>
                <w:rFonts w:ascii="Times New Roman" w:eastAsia="Times New Roman" w:hAnsi="Times New Roman" w:cs="Times New Roman"/>
                <w:b/>
                <w:i/>
                <w:sz w:val="24"/>
                <w:szCs w:val="24"/>
              </w:rPr>
              <w:t xml:space="preserve"> </w:t>
            </w:r>
            <w:r w:rsidR="00814CF2" w:rsidRPr="0071129D">
              <w:rPr>
                <w:rFonts w:ascii="Times New Roman" w:eastAsia="Times New Roman" w:hAnsi="Times New Roman" w:cs="Times New Roman"/>
                <w:b/>
                <w:sz w:val="24"/>
                <w:szCs w:val="24"/>
              </w:rPr>
              <w:t>infections in relation to Socio-demographic</w:t>
            </w:r>
            <w:r w:rsidR="00814CF2" w:rsidRPr="0071129D">
              <w:rPr>
                <w:rFonts w:ascii="Times New Roman" w:eastAsia="Times New Roman" w:hAnsi="Times New Roman" w:cs="Times New Roman"/>
                <w:sz w:val="24"/>
                <w:szCs w:val="24"/>
              </w:rPr>
              <w:t xml:space="preserve"> </w:t>
            </w:r>
            <w:r w:rsidR="00814CF2" w:rsidRPr="0071129D">
              <w:rPr>
                <w:rFonts w:ascii="Times New Roman" w:hAnsi="Times New Roman" w:cs="Times New Roman"/>
                <w:b/>
                <w:bCs/>
                <w:sz w:val="24"/>
                <w:szCs w:val="24"/>
              </w:rPr>
              <w:t xml:space="preserve">characteristics of the research respondents in the Selected IDP Camps  </w:t>
            </w:r>
          </w:p>
        </w:tc>
      </w:tr>
      <w:tr w:rsidR="00814CF2" w:rsidRPr="00EE698B" w:rsidTr="00814CF2">
        <w:trPr>
          <w:trHeight w:val="243"/>
        </w:trPr>
        <w:tc>
          <w:tcPr>
            <w:tcW w:w="712" w:type="pct"/>
            <w:noWrap/>
            <w:vAlign w:val="bottom"/>
            <w:hideMark/>
          </w:tcPr>
          <w:p w:rsidR="00814CF2" w:rsidRPr="00EE698B" w:rsidRDefault="00814CF2" w:rsidP="00814CF2">
            <w:pPr>
              <w:rPr>
                <w:rFonts w:ascii="Times New Roman" w:hAnsi="Times New Roman" w:cs="Times New Roman"/>
                <w:b/>
                <w:bCs/>
              </w:rPr>
            </w:pPr>
          </w:p>
        </w:tc>
        <w:tc>
          <w:tcPr>
            <w:tcW w:w="674" w:type="pct"/>
            <w:noWrap/>
            <w:vAlign w:val="bottom"/>
            <w:hideMark/>
          </w:tcPr>
          <w:p w:rsidR="00814CF2" w:rsidRPr="00EE698B" w:rsidRDefault="00814CF2" w:rsidP="00814CF2">
            <w:pPr>
              <w:spacing w:after="0"/>
              <w:rPr>
                <w:rFonts w:ascii="Times New Roman" w:hAnsi="Times New Roman" w:cs="Times New Roman"/>
              </w:rPr>
            </w:pPr>
          </w:p>
        </w:tc>
        <w:tc>
          <w:tcPr>
            <w:tcW w:w="2548" w:type="pct"/>
            <w:gridSpan w:val="6"/>
            <w:tcBorders>
              <w:top w:val="single" w:sz="4" w:space="0" w:color="auto"/>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kern w:val="2"/>
                <w14:ligatures w14:val="standardContextual"/>
              </w:rPr>
            </w:pPr>
            <w:r w:rsidRPr="00EE698B">
              <w:rPr>
                <w:rFonts w:ascii="Times New Roman" w:eastAsia="Times New Roman" w:hAnsi="Times New Roman" w:cs="Times New Roman"/>
                <w:i/>
                <w:iCs/>
                <w:color w:val="000000"/>
              </w:rPr>
              <w:t>Salmonella</w:t>
            </w:r>
            <w:r w:rsidRPr="00EE698B">
              <w:rPr>
                <w:rFonts w:ascii="Times New Roman" w:eastAsia="Times New Roman" w:hAnsi="Times New Roman" w:cs="Times New Roman"/>
                <w:color w:val="000000"/>
              </w:rPr>
              <w:t xml:space="preserve"> species</w:t>
            </w:r>
          </w:p>
        </w:tc>
        <w:tc>
          <w:tcPr>
            <w:tcW w:w="400" w:type="pct"/>
            <w:tcBorders>
              <w:top w:val="single" w:sz="4" w:space="0" w:color="auto"/>
              <w:left w:val="nil"/>
              <w:bottom w:val="nil"/>
              <w:right w:val="nil"/>
            </w:tcBorders>
            <w:noWrap/>
            <w:vAlign w:val="center"/>
            <w:hideMark/>
          </w:tcPr>
          <w:p w:rsidR="00814CF2" w:rsidRPr="00EE698B" w:rsidRDefault="00814CF2" w:rsidP="00814CF2">
            <w:pPr>
              <w:rPr>
                <w:rFonts w:ascii="Times New Roman" w:eastAsia="Times New Roman" w:hAnsi="Times New Roman" w:cs="Times New Roman"/>
              </w:rPr>
            </w:pPr>
          </w:p>
        </w:tc>
        <w:tc>
          <w:tcPr>
            <w:tcW w:w="356" w:type="pct"/>
            <w:tcBorders>
              <w:top w:val="single" w:sz="4" w:space="0" w:color="auto"/>
              <w:left w:val="nil"/>
              <w:bottom w:val="nil"/>
              <w:right w:val="nil"/>
            </w:tcBorders>
            <w:noWrap/>
            <w:vAlign w:val="center"/>
            <w:hideMark/>
          </w:tcPr>
          <w:p w:rsidR="00814CF2" w:rsidRPr="00EE698B" w:rsidRDefault="00814CF2" w:rsidP="00814CF2">
            <w:pPr>
              <w:spacing w:after="0"/>
              <w:rPr>
                <w:rFonts w:ascii="Times New Roman" w:hAnsi="Times New Roman" w:cs="Times New Roman"/>
              </w:rPr>
            </w:pPr>
          </w:p>
        </w:tc>
        <w:tc>
          <w:tcPr>
            <w:tcW w:w="310" w:type="pct"/>
            <w:tcBorders>
              <w:top w:val="single" w:sz="4" w:space="0" w:color="auto"/>
              <w:left w:val="nil"/>
              <w:bottom w:val="nil"/>
              <w:right w:val="nil"/>
            </w:tcBorders>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vAlign w:val="bottom"/>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Variables</w:t>
            </w:r>
          </w:p>
        </w:tc>
        <w:tc>
          <w:tcPr>
            <w:tcW w:w="674" w:type="pct"/>
            <w:noWrap/>
            <w:vAlign w:val="bottom"/>
            <w:hideMark/>
          </w:tcPr>
          <w:p w:rsidR="00814CF2" w:rsidRPr="00EE698B" w:rsidRDefault="00814CF2" w:rsidP="00814CF2">
            <w:pPr>
              <w:rPr>
                <w:rFonts w:ascii="Times New Roman" w:eastAsia="Times New Roman" w:hAnsi="Times New Roman" w:cs="Times New Roman"/>
                <w:color w:val="000000"/>
              </w:rPr>
            </w:pPr>
          </w:p>
        </w:tc>
        <w:tc>
          <w:tcPr>
            <w:tcW w:w="754" w:type="pct"/>
            <w:gridSpan w:val="2"/>
            <w:tcBorders>
              <w:top w:val="single" w:sz="4" w:space="0" w:color="auto"/>
              <w:left w:val="nil"/>
              <w:bottom w:val="nil"/>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Present</w:t>
            </w:r>
          </w:p>
        </w:tc>
        <w:tc>
          <w:tcPr>
            <w:tcW w:w="898" w:type="pct"/>
            <w:gridSpan w:val="2"/>
            <w:tcBorders>
              <w:top w:val="single" w:sz="4" w:space="0" w:color="auto"/>
              <w:left w:val="nil"/>
              <w:bottom w:val="nil"/>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absent</w:t>
            </w:r>
          </w:p>
        </w:tc>
        <w:tc>
          <w:tcPr>
            <w:tcW w:w="897" w:type="pct"/>
            <w:gridSpan w:val="2"/>
            <w:tcBorders>
              <w:top w:val="single" w:sz="4" w:space="0" w:color="auto"/>
              <w:left w:val="nil"/>
              <w:bottom w:val="nil"/>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Total</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tcBorders>
              <w:top w:val="nil"/>
              <w:left w:val="nil"/>
              <w:bottom w:val="single" w:sz="4" w:space="0" w:color="auto"/>
              <w:right w:val="nil"/>
            </w:tcBorders>
            <w:noWrap/>
            <w:vAlign w:val="bottom"/>
            <w:hideMark/>
          </w:tcPr>
          <w:p w:rsidR="00814CF2" w:rsidRPr="00EE698B" w:rsidRDefault="00814CF2" w:rsidP="00814CF2">
            <w:pPr>
              <w:spacing w:after="0"/>
              <w:rPr>
                <w:rFonts w:ascii="Times New Roman" w:hAnsi="Times New Roman" w:cs="Times New Roman"/>
              </w:rPr>
            </w:pPr>
          </w:p>
        </w:tc>
        <w:tc>
          <w:tcPr>
            <w:tcW w:w="674" w:type="pct"/>
            <w:tcBorders>
              <w:top w:val="nil"/>
              <w:left w:val="nil"/>
              <w:bottom w:val="single" w:sz="4" w:space="0" w:color="auto"/>
              <w:right w:val="nil"/>
            </w:tcBorders>
            <w:noWrap/>
            <w:vAlign w:val="bottom"/>
            <w:hideMark/>
          </w:tcPr>
          <w:p w:rsidR="00814CF2" w:rsidRPr="00EE698B" w:rsidRDefault="00814CF2" w:rsidP="00814CF2">
            <w:pPr>
              <w:spacing w:after="0"/>
              <w:rPr>
                <w:rFonts w:ascii="Times New Roman" w:hAnsi="Times New Roman" w:cs="Times New Roman"/>
              </w:rPr>
            </w:pPr>
          </w:p>
        </w:tc>
        <w:tc>
          <w:tcPr>
            <w:tcW w:w="388"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Number</w:t>
            </w:r>
          </w:p>
        </w:tc>
        <w:tc>
          <w:tcPr>
            <w:tcW w:w="365"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i/>
                <w:iCs/>
                <w:color w:val="000000"/>
              </w:rPr>
              <w:t xml:space="preserve"> </w:t>
            </w:r>
            <w:r w:rsidRPr="00EE698B">
              <w:rPr>
                <w:rFonts w:ascii="Times New Roman" w:eastAsia="Times New Roman" w:hAnsi="Times New Roman" w:cs="Times New Roman"/>
                <w:color w:val="000000"/>
              </w:rPr>
              <w:t>%</w:t>
            </w:r>
          </w:p>
        </w:tc>
        <w:tc>
          <w:tcPr>
            <w:tcW w:w="447"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Number</w:t>
            </w:r>
          </w:p>
        </w:tc>
        <w:tc>
          <w:tcPr>
            <w:tcW w:w="451"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i/>
                <w:iCs/>
                <w:color w:val="000000"/>
              </w:rPr>
              <w:t xml:space="preserve"> </w:t>
            </w:r>
            <w:r w:rsidRPr="00EE698B">
              <w:rPr>
                <w:rFonts w:ascii="Times New Roman" w:eastAsia="Times New Roman" w:hAnsi="Times New Roman" w:cs="Times New Roman"/>
                <w:color w:val="000000"/>
              </w:rPr>
              <w:t>%</w:t>
            </w:r>
          </w:p>
        </w:tc>
        <w:tc>
          <w:tcPr>
            <w:tcW w:w="446"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number</w:t>
            </w:r>
          </w:p>
        </w:tc>
        <w:tc>
          <w:tcPr>
            <w:tcW w:w="451"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i/>
                <w:iCs/>
                <w:color w:val="000000"/>
              </w:rPr>
              <w:t xml:space="preserve"> </w:t>
            </w:r>
            <w:r w:rsidRPr="00EE698B">
              <w:rPr>
                <w:rFonts w:ascii="Times New Roman" w:eastAsia="Times New Roman" w:hAnsi="Times New Roman" w:cs="Times New Roman"/>
                <w:color w:val="000000"/>
              </w:rPr>
              <w:t>%</w:t>
            </w:r>
          </w:p>
        </w:tc>
        <w:tc>
          <w:tcPr>
            <w:tcW w:w="400"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Χ</w:t>
            </w:r>
            <w:r w:rsidRPr="00EE698B">
              <w:rPr>
                <w:rFonts w:ascii="Times New Roman" w:eastAsia="Times New Roman" w:hAnsi="Times New Roman" w:cs="Times New Roman"/>
                <w:color w:val="000000"/>
                <w:vertAlign w:val="superscript"/>
              </w:rPr>
              <w:t>2</w:t>
            </w:r>
          </w:p>
        </w:tc>
        <w:tc>
          <w:tcPr>
            <w:tcW w:w="356"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df</w:t>
            </w:r>
          </w:p>
        </w:tc>
        <w:tc>
          <w:tcPr>
            <w:tcW w:w="310"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P</w:t>
            </w:r>
          </w:p>
        </w:tc>
      </w:tr>
      <w:tr w:rsidR="00814CF2" w:rsidRPr="00EE698B" w:rsidTr="00814CF2">
        <w:trPr>
          <w:trHeight w:val="234"/>
        </w:trPr>
        <w:tc>
          <w:tcPr>
            <w:tcW w:w="712" w:type="pct"/>
            <w:tcBorders>
              <w:top w:val="single" w:sz="4" w:space="0" w:color="auto"/>
              <w:left w:val="nil"/>
              <w:bottom w:val="nil"/>
              <w:right w:val="nil"/>
            </w:tcBorders>
            <w:noWrap/>
            <w:vAlign w:val="bottom"/>
          </w:tcPr>
          <w:p w:rsidR="00814CF2" w:rsidRPr="00EE698B" w:rsidRDefault="00814CF2" w:rsidP="00814CF2">
            <w:pPr>
              <w:spacing w:after="0" w:line="240" w:lineRule="auto"/>
              <w:rPr>
                <w:rFonts w:ascii="Times New Roman" w:eastAsia="Times New Roman" w:hAnsi="Times New Roman" w:cs="Times New Roman"/>
              </w:rPr>
            </w:pPr>
          </w:p>
        </w:tc>
        <w:tc>
          <w:tcPr>
            <w:tcW w:w="674" w:type="pct"/>
            <w:tcBorders>
              <w:top w:val="single" w:sz="4" w:space="0" w:color="auto"/>
              <w:left w:val="nil"/>
              <w:bottom w:val="nil"/>
              <w:right w:val="nil"/>
            </w:tcBorders>
            <w:noWrap/>
            <w:vAlign w:val="bottom"/>
          </w:tcPr>
          <w:p w:rsidR="00814CF2" w:rsidRPr="00EE698B" w:rsidRDefault="00814CF2" w:rsidP="00814CF2">
            <w:pPr>
              <w:spacing w:after="0" w:line="240" w:lineRule="auto"/>
              <w:rPr>
                <w:rFonts w:ascii="Times New Roman" w:eastAsia="Times New Roman" w:hAnsi="Times New Roman" w:cs="Times New Roman"/>
              </w:rPr>
            </w:pPr>
          </w:p>
        </w:tc>
        <w:tc>
          <w:tcPr>
            <w:tcW w:w="388"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65"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7"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6"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00"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56"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10" w:type="pct"/>
            <w:tcBorders>
              <w:top w:val="single" w:sz="4" w:space="0" w:color="auto"/>
              <w:left w:val="nil"/>
              <w:bottom w:val="nil"/>
              <w:right w:val="nil"/>
            </w:tcBorders>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r>
      <w:tr w:rsidR="00814CF2" w:rsidRPr="00EE698B" w:rsidTr="00814CF2">
        <w:trPr>
          <w:trHeight w:val="250"/>
        </w:trPr>
        <w:tc>
          <w:tcPr>
            <w:tcW w:w="712" w:type="pct"/>
            <w:noWrap/>
            <w:hideMark/>
          </w:tcPr>
          <w:p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EDUCATION</w:t>
            </w: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NONE</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22.2</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86</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21.8</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92</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21.8</w:t>
            </w:r>
          </w:p>
        </w:tc>
        <w:tc>
          <w:tcPr>
            <w:tcW w:w="400"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4.002</w:t>
            </w:r>
          </w:p>
        </w:tc>
        <w:tc>
          <w:tcPr>
            <w:tcW w:w="35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p>
        </w:tc>
        <w:tc>
          <w:tcPr>
            <w:tcW w:w="310"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.261</w:t>
            </w:r>
          </w:p>
        </w:tc>
      </w:tr>
      <w:tr w:rsidR="00814CF2" w:rsidRPr="00EE698B" w:rsidTr="00814CF2">
        <w:trPr>
          <w:trHeight w:val="234"/>
        </w:trPr>
        <w:tc>
          <w:tcPr>
            <w:tcW w:w="712" w:type="pct"/>
            <w:noWrap/>
            <w:hideMark/>
          </w:tcPr>
          <w:p w:rsidR="00814CF2" w:rsidRPr="00EE698B" w:rsidRDefault="00814CF2" w:rsidP="00814CF2">
            <w:pPr>
              <w:rPr>
                <w:rFonts w:ascii="Times New Roman" w:eastAsia="Times New Roman" w:hAnsi="Times New Roman" w:cs="Times New Roman"/>
                <w:color w:val="000000"/>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PRIMARY</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110</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27.8</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113</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26.8</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SECONDARY</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15</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55.6</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162</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41.0</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177</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41.9</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TERTIARY</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9.4</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40</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9.5</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line="240" w:lineRule="auto"/>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Total</w:t>
            </w:r>
          </w:p>
        </w:tc>
        <w:tc>
          <w:tcPr>
            <w:tcW w:w="674" w:type="pct"/>
            <w:noWrap/>
            <w:hideMark/>
          </w:tcPr>
          <w:p w:rsidR="00814CF2" w:rsidRPr="00EE698B" w:rsidRDefault="00814CF2" w:rsidP="00814CF2">
            <w:pPr>
              <w:rPr>
                <w:rFonts w:ascii="Times New Roman" w:eastAsia="Times New Roman" w:hAnsi="Times New Roman" w:cs="Times New Roman"/>
                <w:b/>
                <w:color w:val="000000"/>
              </w:rPr>
            </w:pP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27</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395</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422</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00" w:type="pct"/>
            <w:noWrap/>
            <w:vAlign w:val="center"/>
            <w:hideMark/>
          </w:tcPr>
          <w:p w:rsidR="00814CF2" w:rsidRPr="00EE698B" w:rsidRDefault="00814CF2" w:rsidP="00814CF2">
            <w:pPr>
              <w:rPr>
                <w:rFonts w:ascii="Times New Roman" w:eastAsia="Times New Roman" w:hAnsi="Times New Roman" w:cs="Times New Roman"/>
                <w:b/>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p>
        </w:tc>
        <w:tc>
          <w:tcPr>
            <w:tcW w:w="674" w:type="pct"/>
            <w:noWrap/>
          </w:tcPr>
          <w:p w:rsidR="00814CF2" w:rsidRPr="00EE698B" w:rsidRDefault="00814CF2" w:rsidP="00814CF2">
            <w:pPr>
              <w:spacing w:after="0" w:line="240" w:lineRule="auto"/>
              <w:rPr>
                <w:rFonts w:ascii="Times New Roman" w:eastAsia="Times New Roman" w:hAnsi="Times New Roman" w:cs="Times New Roman"/>
                <w:color w:val="000000"/>
              </w:rPr>
            </w:pPr>
          </w:p>
        </w:tc>
        <w:tc>
          <w:tcPr>
            <w:tcW w:w="388"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65"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7"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6"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00"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56" w:type="pct"/>
            <w:noWrap/>
            <w:vAlign w:val="center"/>
          </w:tcPr>
          <w:p w:rsidR="00814CF2" w:rsidRPr="00EE698B" w:rsidRDefault="00814CF2" w:rsidP="00814CF2">
            <w:pPr>
              <w:spacing w:after="0" w:line="240" w:lineRule="auto"/>
              <w:jc w:val="center"/>
              <w:rPr>
                <w:rFonts w:ascii="Times New Roman" w:eastAsia="Times New Roman" w:hAnsi="Times New Roman" w:cs="Times New Roman"/>
              </w:rPr>
            </w:pPr>
          </w:p>
        </w:tc>
        <w:tc>
          <w:tcPr>
            <w:tcW w:w="310" w:type="pct"/>
            <w:noWrap/>
            <w:vAlign w:val="center"/>
          </w:tcPr>
          <w:p w:rsidR="00814CF2" w:rsidRPr="00EE698B" w:rsidRDefault="00814CF2" w:rsidP="00814CF2">
            <w:pPr>
              <w:spacing w:after="0" w:line="240" w:lineRule="auto"/>
              <w:jc w:val="center"/>
              <w:rPr>
                <w:rFonts w:ascii="Times New Roman" w:eastAsia="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MARITAL STATUS</w:t>
            </w: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DIVORCED</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1.0</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5</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1.2</w:t>
            </w:r>
          </w:p>
        </w:tc>
        <w:tc>
          <w:tcPr>
            <w:tcW w:w="400"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9.466</w:t>
            </w:r>
          </w:p>
        </w:tc>
        <w:tc>
          <w:tcPr>
            <w:tcW w:w="35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w:t>
            </w:r>
          </w:p>
        </w:tc>
        <w:tc>
          <w:tcPr>
            <w:tcW w:w="310"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.050</w:t>
            </w:r>
          </w:p>
        </w:tc>
      </w:tr>
      <w:tr w:rsidR="00814CF2" w:rsidRPr="00EE698B" w:rsidTr="00814CF2">
        <w:trPr>
          <w:trHeight w:val="234"/>
        </w:trPr>
        <w:tc>
          <w:tcPr>
            <w:tcW w:w="712" w:type="pct"/>
            <w:noWrap/>
            <w:hideMark/>
          </w:tcPr>
          <w:p w:rsidR="00814CF2" w:rsidRPr="00EE698B" w:rsidRDefault="00814CF2" w:rsidP="00814CF2">
            <w:pPr>
              <w:rPr>
                <w:rFonts w:ascii="Times New Roman" w:eastAsia="Times New Roman" w:hAnsi="Times New Roman" w:cs="Times New Roman"/>
                <w:color w:val="000000"/>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MARRIED</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15</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55.6</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130</w:t>
            </w:r>
            <w:r w:rsidRPr="00EE698B">
              <w:rPr>
                <w:rFonts w:ascii="Times New Roman" w:eastAsia="Times New Roman" w:hAnsi="Times New Roman" w:cs="Times New Roman"/>
                <w:color w:val="000000"/>
                <w:vertAlign w:val="subscript"/>
              </w:rPr>
              <w:t>b</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32.9</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145</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34.4</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SINGLE</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22.2</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196</w:t>
            </w:r>
            <w:r w:rsidRPr="00EE698B">
              <w:rPr>
                <w:rFonts w:ascii="Times New Roman" w:eastAsia="Times New Roman" w:hAnsi="Times New Roman" w:cs="Times New Roman"/>
                <w:color w:val="000000"/>
                <w:vertAlign w:val="subscript"/>
              </w:rPr>
              <w:t>b</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49.6</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202</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47.9</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WIDOW</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34</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8.6</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8.8</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WIDOWER</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7.4</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31</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7.8</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33</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7.8</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line="240" w:lineRule="auto"/>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Total</w:t>
            </w:r>
          </w:p>
        </w:tc>
        <w:tc>
          <w:tcPr>
            <w:tcW w:w="674" w:type="pct"/>
            <w:noWrap/>
            <w:hideMark/>
          </w:tcPr>
          <w:p w:rsidR="00814CF2" w:rsidRPr="00EE698B" w:rsidRDefault="00814CF2" w:rsidP="00814CF2">
            <w:pPr>
              <w:rPr>
                <w:rFonts w:ascii="Times New Roman" w:eastAsia="Times New Roman" w:hAnsi="Times New Roman" w:cs="Times New Roman"/>
                <w:b/>
                <w:color w:val="000000"/>
              </w:rPr>
            </w:pP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27</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395</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422</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00" w:type="pct"/>
            <w:noWrap/>
            <w:vAlign w:val="center"/>
            <w:hideMark/>
          </w:tcPr>
          <w:p w:rsidR="00814CF2" w:rsidRPr="00EE698B" w:rsidRDefault="00814CF2" w:rsidP="00814CF2">
            <w:pPr>
              <w:rPr>
                <w:rFonts w:ascii="Times New Roman" w:eastAsia="Times New Roman" w:hAnsi="Times New Roman" w:cs="Times New Roman"/>
                <w:b/>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p>
        </w:tc>
        <w:tc>
          <w:tcPr>
            <w:tcW w:w="674" w:type="pct"/>
            <w:noWrap/>
          </w:tcPr>
          <w:p w:rsidR="00814CF2" w:rsidRPr="00EE698B" w:rsidRDefault="00814CF2" w:rsidP="00814CF2">
            <w:pPr>
              <w:spacing w:after="0" w:line="240" w:lineRule="auto"/>
              <w:rPr>
                <w:rFonts w:ascii="Times New Roman" w:eastAsia="Times New Roman" w:hAnsi="Times New Roman" w:cs="Times New Roman"/>
                <w:color w:val="000000"/>
              </w:rPr>
            </w:pPr>
          </w:p>
        </w:tc>
        <w:tc>
          <w:tcPr>
            <w:tcW w:w="388"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65"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7"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6"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00" w:type="pct"/>
            <w:noWrap/>
            <w:vAlign w:val="center"/>
          </w:tcPr>
          <w:p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56" w:type="pct"/>
            <w:noWrap/>
            <w:vAlign w:val="center"/>
          </w:tcPr>
          <w:p w:rsidR="00814CF2" w:rsidRPr="00EE698B" w:rsidRDefault="00814CF2" w:rsidP="00814CF2">
            <w:pPr>
              <w:spacing w:after="0" w:line="240" w:lineRule="auto"/>
              <w:jc w:val="center"/>
              <w:rPr>
                <w:rFonts w:ascii="Times New Roman" w:eastAsia="Times New Roman" w:hAnsi="Times New Roman" w:cs="Times New Roman"/>
              </w:rPr>
            </w:pPr>
          </w:p>
        </w:tc>
        <w:tc>
          <w:tcPr>
            <w:tcW w:w="310" w:type="pct"/>
            <w:noWrap/>
            <w:vAlign w:val="center"/>
          </w:tcPr>
          <w:p w:rsidR="00814CF2" w:rsidRPr="00EE698B" w:rsidRDefault="00814CF2" w:rsidP="00814CF2">
            <w:pPr>
              <w:spacing w:after="0" w:line="240" w:lineRule="auto"/>
              <w:jc w:val="center"/>
              <w:rPr>
                <w:rFonts w:ascii="Times New Roman" w:eastAsia="Times New Roman" w:hAnsi="Times New Roman" w:cs="Times New Roman"/>
              </w:rPr>
            </w:pPr>
          </w:p>
        </w:tc>
      </w:tr>
      <w:tr w:rsidR="00814CF2" w:rsidRPr="00EE698B" w:rsidTr="00814CF2">
        <w:trPr>
          <w:trHeight w:val="250"/>
        </w:trPr>
        <w:tc>
          <w:tcPr>
            <w:tcW w:w="712" w:type="pct"/>
            <w:noWrap/>
            <w:hideMark/>
          </w:tcPr>
          <w:p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OCCUPATION</w:t>
            </w: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ARTISAN</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1.8</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1.9</w:t>
            </w:r>
          </w:p>
        </w:tc>
        <w:tc>
          <w:tcPr>
            <w:tcW w:w="400"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6.508</w:t>
            </w:r>
          </w:p>
        </w:tc>
        <w:tc>
          <w:tcPr>
            <w:tcW w:w="35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w:t>
            </w:r>
          </w:p>
        </w:tc>
        <w:tc>
          <w:tcPr>
            <w:tcW w:w="310"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.164</w:t>
            </w:r>
          </w:p>
        </w:tc>
      </w:tr>
      <w:tr w:rsidR="00814CF2" w:rsidRPr="00EE698B" w:rsidTr="00814CF2">
        <w:trPr>
          <w:trHeight w:val="234"/>
        </w:trPr>
        <w:tc>
          <w:tcPr>
            <w:tcW w:w="712" w:type="pct"/>
            <w:noWrap/>
            <w:hideMark/>
          </w:tcPr>
          <w:p w:rsidR="00814CF2" w:rsidRPr="00EE698B" w:rsidRDefault="00814CF2" w:rsidP="00814CF2">
            <w:pPr>
              <w:rPr>
                <w:rFonts w:ascii="Times New Roman" w:eastAsia="Times New Roman" w:hAnsi="Times New Roman" w:cs="Times New Roman"/>
                <w:color w:val="000000"/>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CIVIL SERVANTS</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7.4</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15</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3.8</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17</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4.0</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FARMING</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20</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74.1</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245</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62.0</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265</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62.8</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PETTY TRADING</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35</w:t>
            </w:r>
            <w:r w:rsidRPr="00EE698B">
              <w:rPr>
                <w:rFonts w:ascii="Times New Roman" w:eastAsia="Times New Roman" w:hAnsi="Times New Roman" w:cs="Times New Roman"/>
                <w:color w:val="000000"/>
                <w:vertAlign w:val="subscript"/>
              </w:rPr>
              <w:t>a</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8.9</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38</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9.0</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rPr>
                <w:rFonts w:ascii="Times New Roman" w:hAnsi="Times New Roman" w:cs="Times New Roman"/>
              </w:rPr>
            </w:pPr>
          </w:p>
        </w:tc>
        <w:tc>
          <w:tcPr>
            <w:tcW w:w="674" w:type="pct"/>
            <w:noWrap/>
            <w:hideMark/>
          </w:tcPr>
          <w:p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STUDENT</w:t>
            </w:r>
          </w:p>
        </w:tc>
        <w:tc>
          <w:tcPr>
            <w:tcW w:w="388"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w:t>
            </w:r>
            <w:r w:rsidRPr="00EE698B">
              <w:rPr>
                <w:rFonts w:ascii="Times New Roman" w:eastAsia="Times New Roman" w:hAnsi="Times New Roman" w:cs="Times New Roman"/>
                <w:color w:val="000000"/>
                <w:vertAlign w:val="subscript"/>
              </w:rPr>
              <w:t>a</w:t>
            </w:r>
          </w:p>
        </w:tc>
        <w:tc>
          <w:tcPr>
            <w:tcW w:w="365"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47"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93</w:t>
            </w:r>
            <w:r w:rsidRPr="00EE698B">
              <w:rPr>
                <w:rFonts w:ascii="Times New Roman" w:eastAsia="Times New Roman" w:hAnsi="Times New Roman" w:cs="Times New Roman"/>
                <w:color w:val="000000"/>
                <w:vertAlign w:val="subscript"/>
              </w:rPr>
              <w:t>b</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23.5</w:t>
            </w:r>
          </w:p>
        </w:tc>
        <w:tc>
          <w:tcPr>
            <w:tcW w:w="446"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94</w:t>
            </w:r>
          </w:p>
        </w:tc>
        <w:tc>
          <w:tcPr>
            <w:tcW w:w="451" w:type="pct"/>
            <w:noWrap/>
            <w:vAlign w:val="center"/>
            <w:hideMark/>
          </w:tcPr>
          <w:p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22.3</w:t>
            </w:r>
          </w:p>
        </w:tc>
        <w:tc>
          <w:tcPr>
            <w:tcW w:w="400" w:type="pct"/>
            <w:noWrap/>
            <w:vAlign w:val="center"/>
            <w:hideMark/>
          </w:tcPr>
          <w:p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rsidR="00814CF2" w:rsidRPr="00EE698B" w:rsidRDefault="00814CF2" w:rsidP="00814CF2">
            <w:pPr>
              <w:spacing w:after="0"/>
              <w:rPr>
                <w:rFonts w:ascii="Times New Roman" w:hAnsi="Times New Roman" w:cs="Times New Roman"/>
              </w:rPr>
            </w:pPr>
          </w:p>
        </w:tc>
        <w:tc>
          <w:tcPr>
            <w:tcW w:w="310" w:type="pct"/>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34"/>
        </w:trPr>
        <w:tc>
          <w:tcPr>
            <w:tcW w:w="712" w:type="pct"/>
            <w:noWrap/>
            <w:hideMark/>
          </w:tcPr>
          <w:p w:rsidR="00814CF2" w:rsidRPr="00EE698B" w:rsidRDefault="00814CF2" w:rsidP="00814CF2">
            <w:pPr>
              <w:spacing w:after="0" w:line="240" w:lineRule="auto"/>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Total</w:t>
            </w:r>
          </w:p>
        </w:tc>
        <w:tc>
          <w:tcPr>
            <w:tcW w:w="674" w:type="pct"/>
            <w:noWrap/>
            <w:hideMark/>
          </w:tcPr>
          <w:p w:rsidR="00814CF2" w:rsidRPr="00EE698B" w:rsidRDefault="00814CF2" w:rsidP="00814CF2">
            <w:pPr>
              <w:rPr>
                <w:rFonts w:ascii="Times New Roman" w:eastAsia="Times New Roman" w:hAnsi="Times New Roman" w:cs="Times New Roman"/>
                <w:b/>
                <w:color w:val="000000"/>
              </w:rPr>
            </w:pPr>
          </w:p>
        </w:tc>
        <w:tc>
          <w:tcPr>
            <w:tcW w:w="388"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27</w:t>
            </w:r>
          </w:p>
        </w:tc>
        <w:tc>
          <w:tcPr>
            <w:tcW w:w="365"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7"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395</w:t>
            </w:r>
          </w:p>
        </w:tc>
        <w:tc>
          <w:tcPr>
            <w:tcW w:w="451"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6"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422</w:t>
            </w:r>
          </w:p>
        </w:tc>
        <w:tc>
          <w:tcPr>
            <w:tcW w:w="451" w:type="pct"/>
            <w:tcBorders>
              <w:top w:val="nil"/>
              <w:left w:val="nil"/>
              <w:bottom w:val="single" w:sz="4" w:space="0" w:color="auto"/>
              <w:right w:val="nil"/>
            </w:tcBorders>
            <w:noWrap/>
            <w:vAlign w:val="center"/>
            <w:hideMark/>
          </w:tcPr>
          <w:p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00" w:type="pct"/>
            <w:tcBorders>
              <w:top w:val="nil"/>
              <w:left w:val="nil"/>
              <w:bottom w:val="single" w:sz="4" w:space="0" w:color="auto"/>
              <w:right w:val="nil"/>
            </w:tcBorders>
            <w:noWrap/>
            <w:vAlign w:val="center"/>
            <w:hideMark/>
          </w:tcPr>
          <w:p w:rsidR="00814CF2" w:rsidRPr="00EE698B" w:rsidRDefault="00814CF2" w:rsidP="00814CF2">
            <w:pPr>
              <w:rPr>
                <w:rFonts w:ascii="Times New Roman" w:eastAsia="Times New Roman" w:hAnsi="Times New Roman" w:cs="Times New Roman"/>
                <w:b/>
                <w:color w:val="000000"/>
              </w:rPr>
            </w:pPr>
          </w:p>
        </w:tc>
        <w:tc>
          <w:tcPr>
            <w:tcW w:w="356" w:type="pct"/>
            <w:tcBorders>
              <w:top w:val="nil"/>
              <w:left w:val="nil"/>
              <w:bottom w:val="single" w:sz="4" w:space="0" w:color="auto"/>
              <w:right w:val="nil"/>
            </w:tcBorders>
            <w:noWrap/>
            <w:vAlign w:val="center"/>
            <w:hideMark/>
          </w:tcPr>
          <w:p w:rsidR="00814CF2" w:rsidRPr="00EE698B" w:rsidRDefault="00814CF2" w:rsidP="00814CF2">
            <w:pPr>
              <w:spacing w:after="0"/>
              <w:rPr>
                <w:rFonts w:ascii="Times New Roman" w:hAnsi="Times New Roman" w:cs="Times New Roman"/>
              </w:rPr>
            </w:pPr>
          </w:p>
        </w:tc>
        <w:tc>
          <w:tcPr>
            <w:tcW w:w="310" w:type="pct"/>
            <w:tcBorders>
              <w:top w:val="nil"/>
              <w:left w:val="nil"/>
              <w:bottom w:val="single" w:sz="4" w:space="0" w:color="auto"/>
              <w:right w:val="nil"/>
            </w:tcBorders>
            <w:noWrap/>
            <w:vAlign w:val="center"/>
            <w:hideMark/>
          </w:tcPr>
          <w:p w:rsidR="00814CF2" w:rsidRPr="00EE698B" w:rsidRDefault="00814CF2" w:rsidP="00814CF2">
            <w:pPr>
              <w:spacing w:after="0"/>
              <w:rPr>
                <w:rFonts w:ascii="Times New Roman" w:hAnsi="Times New Roman" w:cs="Times New Roman"/>
              </w:rPr>
            </w:pPr>
          </w:p>
        </w:tc>
      </w:tr>
      <w:tr w:rsidR="00814CF2" w:rsidRPr="00EE698B" w:rsidTr="00814CF2">
        <w:trPr>
          <w:trHeight w:val="243"/>
        </w:trPr>
        <w:tc>
          <w:tcPr>
            <w:tcW w:w="5000" w:type="pct"/>
            <w:gridSpan w:val="11"/>
            <w:tcBorders>
              <w:top w:val="single" w:sz="4" w:space="0" w:color="auto"/>
              <w:left w:val="nil"/>
              <w:bottom w:val="nil"/>
              <w:right w:val="nil"/>
            </w:tcBorders>
            <w:noWrap/>
            <w:vAlign w:val="center"/>
            <w:hideMark/>
          </w:tcPr>
          <w:p w:rsidR="00814CF2" w:rsidRPr="00EE698B" w:rsidRDefault="00814CF2" w:rsidP="00814CF2">
            <w:pPr>
              <w:spacing w:after="0" w:line="240" w:lineRule="auto"/>
              <w:rPr>
                <w:rFonts w:ascii="Times New Roman" w:eastAsia="Times New Roman" w:hAnsi="Times New Roman" w:cs="Times New Roman"/>
                <w:kern w:val="2"/>
                <w14:ligatures w14:val="standardContextual"/>
              </w:rPr>
            </w:pPr>
            <w:r w:rsidRPr="00EE698B">
              <w:rPr>
                <w:rFonts w:ascii="Times New Roman" w:eastAsia="Times New Roman" w:hAnsi="Times New Roman" w:cs="Times New Roman"/>
                <w:color w:val="000000"/>
              </w:rPr>
              <w:t xml:space="preserve">Each subscript letter denotes a subset of </w:t>
            </w:r>
            <w:r w:rsidRPr="00EE698B">
              <w:rPr>
                <w:rFonts w:ascii="Times New Roman" w:eastAsia="Times New Roman" w:hAnsi="Times New Roman" w:cs="Times New Roman"/>
                <w:i/>
                <w:iCs/>
                <w:color w:val="000000"/>
              </w:rPr>
              <w:t>SALMONELLA</w:t>
            </w:r>
            <w:r w:rsidRPr="00EE698B">
              <w:rPr>
                <w:rFonts w:ascii="Times New Roman" w:eastAsia="Times New Roman" w:hAnsi="Times New Roman" w:cs="Times New Roman"/>
                <w:color w:val="000000"/>
              </w:rPr>
              <w:t xml:space="preserve"> SPECIES categories whose column proportions do not differ significantly from each other at the .05 level.</w:t>
            </w:r>
          </w:p>
        </w:tc>
      </w:tr>
    </w:tbl>
    <w:p w:rsidR="00814CF2" w:rsidRDefault="00814CF2" w:rsidP="00814CF2">
      <w:pPr>
        <w:spacing w:after="0" w:line="240" w:lineRule="auto"/>
        <w:rPr>
          <w:rFonts w:ascii="Times New Roman" w:eastAsia="Times New Roman" w:hAnsi="Times New Roman" w:cs="Times New Roman"/>
          <w:b/>
          <w:bCs/>
          <w:sz w:val="24"/>
          <w:szCs w:val="24"/>
        </w:rPr>
        <w:sectPr w:rsidR="00814CF2" w:rsidSect="00814CF2">
          <w:pgSz w:w="15840" w:h="12240" w:orient="landscape"/>
          <w:pgMar w:top="1440" w:right="1440" w:bottom="1440" w:left="1440" w:header="706" w:footer="706" w:gutter="0"/>
          <w:cols w:space="708"/>
          <w:docGrid w:linePitch="360"/>
        </w:sectPr>
      </w:pPr>
    </w:p>
    <w:p w:rsidR="00B73DC2" w:rsidRPr="00340149" w:rsidRDefault="00B73DC2" w:rsidP="00340149">
      <w:pPr>
        <w:pStyle w:val="ListParagraph"/>
        <w:numPr>
          <w:ilvl w:val="0"/>
          <w:numId w:val="2"/>
        </w:numPr>
        <w:rPr>
          <w:rFonts w:ascii="Times New Roman" w:hAnsi="Times New Roman" w:cs="Times New Roman"/>
          <w:sz w:val="24"/>
          <w:szCs w:val="24"/>
        </w:rPr>
      </w:pPr>
      <w:r w:rsidRPr="00340149">
        <w:rPr>
          <w:rFonts w:ascii="Times New Roman" w:hAnsi="Times New Roman" w:cs="Times New Roman"/>
          <w:b/>
          <w:bCs/>
          <w:sz w:val="24"/>
          <w:szCs w:val="24"/>
        </w:rPr>
        <w:lastRenderedPageBreak/>
        <w:t>DISCUSSION</w:t>
      </w:r>
    </w:p>
    <w:p w:rsidR="00EE1F09" w:rsidRDefault="00B73DC2"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This study investigated the molecular characterization of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infections among Internally Displaced Persons (IDPs) in three selected states</w:t>
      </w:r>
      <w:r>
        <w:rPr>
          <w:rFonts w:ascii="Times New Roman" w:hAnsi="Times New Roman" w:cs="Times New Roman"/>
          <w:sz w:val="24"/>
          <w:szCs w:val="24"/>
        </w:rPr>
        <w:t xml:space="preserve"> (</w:t>
      </w:r>
      <w:r w:rsidRPr="001701CD">
        <w:rPr>
          <w:rFonts w:ascii="Times New Roman" w:hAnsi="Times New Roman" w:cs="Times New Roman"/>
          <w:sz w:val="24"/>
          <w:szCs w:val="24"/>
        </w:rPr>
        <w:t>Benue, Plateau, and Nasarawa</w:t>
      </w:r>
      <w:r>
        <w:rPr>
          <w:rFonts w:ascii="Times New Roman" w:hAnsi="Times New Roman" w:cs="Times New Roman"/>
          <w:sz w:val="24"/>
          <w:szCs w:val="24"/>
        </w:rPr>
        <w:t xml:space="preserve">) </w:t>
      </w:r>
      <w:r w:rsidRPr="001701CD">
        <w:rPr>
          <w:rFonts w:ascii="Times New Roman" w:hAnsi="Times New Roman" w:cs="Times New Roman"/>
          <w:sz w:val="24"/>
          <w:szCs w:val="24"/>
        </w:rPr>
        <w:t xml:space="preserve">in North-Central Nigeria. The major goal was to determine the prevalence and genetic diversity of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serovars within these camps to provide insights into their public health implications.</w:t>
      </w:r>
    </w:p>
    <w:p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Among the 27 positive cases, the highest prevalence occurred in the 31–40-year group (10.9</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followed by 21–30 years (8.3</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and ≥41 years (8.3</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The higher infection rate among older individuals may be due to reduced immune efficiency and increased vulnerability to enteric pathogens. Conversely, lower prevalence among younger age groups may reflect self-medication practices or partial immunity from prior exposure.</w:t>
      </w:r>
    </w:p>
    <w:p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This pattern agrees with the findings of Gbodo and Anumudu (2019), who reported elevated prevalence among adults aged 41–55 years in Imo State, and Amare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(2024) in Ethiopia. However, it contrasts with reports by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found higher infection rates among individuals below 20 years, and Ngolo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(2023), who recorded the highest prevalence among those aged 21–30 years. Musa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(2022) similarly observed higher prevalence among young and middle-aged adults in sub-Saharan African IDP camps, while Okeke and Adebayo (2023) noted lower prevalence among children under 10 years, likely due to closer parental supervision.</w:t>
      </w:r>
    </w:p>
    <w:p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The absence of significant age-related differences in this study may indicate uniform exposure across all age groups within the camps. However, adults’ greater involvement in high-risk activities such as food preparation, sanitation, and crowd interactions could explain their slightly higher prevalence. Age-related immune response differences may also play a contributory role (WHO, 2022).</w:t>
      </w:r>
    </w:p>
    <w:p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lastRenderedPageBreak/>
        <w:t xml:space="preserve">The implication of these findings is that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surveillance and control programs in IDP camps should focus on adults aged 21 years and above, who represent a potentially high-risk group. Targeted interventions, including health education and nutritional support, could help mitigate infection risks in this demographic. Further studies examining age-related immune susceptibility and </w:t>
      </w:r>
      <w:r>
        <w:rPr>
          <w:rFonts w:ascii="Times New Roman" w:hAnsi="Times New Roman" w:cs="Times New Roman"/>
          <w:sz w:val="24"/>
          <w:szCs w:val="24"/>
        </w:rPr>
        <w:t>behaviour</w:t>
      </w:r>
      <w:r w:rsidRPr="001701CD">
        <w:rPr>
          <w:rFonts w:ascii="Times New Roman" w:hAnsi="Times New Roman" w:cs="Times New Roman"/>
          <w:sz w:val="24"/>
          <w:szCs w:val="24"/>
        </w:rPr>
        <w:t>al risk factors would provide valuable insights for designing age-specific disease prevention strategies.</w:t>
      </w:r>
    </w:p>
    <w:p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The study revealed a higher prevalence of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among males (9.4</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compared to females (4.1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consistent with the reports of Abdullahi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(2017) and Okeke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(2023). Similar patterns were observed in studies by Isa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(2013) in Biu, Borno State and by Ngolo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(2023), where males showed higher infection rates than females</w:t>
      </w:r>
      <w:r w:rsidR="00EE1F09">
        <w:rPr>
          <w:rFonts w:ascii="Times New Roman" w:hAnsi="Times New Roman" w:cs="Times New Roman"/>
          <w:sz w:val="24"/>
          <w:szCs w:val="24"/>
        </w:rPr>
        <w:t xml:space="preserve">. </w:t>
      </w:r>
      <w:r w:rsidRPr="001701CD">
        <w:rPr>
          <w:rFonts w:ascii="Times New Roman" w:hAnsi="Times New Roman" w:cs="Times New Roman"/>
          <w:sz w:val="24"/>
          <w:szCs w:val="24"/>
        </w:rPr>
        <w:t xml:space="preserve">The gender disparity may be attributed to greater outdoor exposure and risk </w:t>
      </w:r>
      <w:r>
        <w:rPr>
          <w:rFonts w:ascii="Times New Roman" w:hAnsi="Times New Roman" w:cs="Times New Roman"/>
          <w:sz w:val="24"/>
          <w:szCs w:val="24"/>
        </w:rPr>
        <w:t>behaviour</w:t>
      </w:r>
      <w:r w:rsidRPr="001701CD">
        <w:rPr>
          <w:rFonts w:ascii="Times New Roman" w:hAnsi="Times New Roman" w:cs="Times New Roman"/>
          <w:sz w:val="24"/>
          <w:szCs w:val="24"/>
        </w:rPr>
        <w:t>s among males, such as frequent consumption of street-vended foods and participation in sanitation or waste-handling activities within the camps, which increase contact with contaminated materials. Crump (2019) similarly linked higher infection rates among men to food consumption habits and occupational exposure.</w:t>
      </w:r>
    </w:p>
    <w:p w:rsidR="00B73DC2" w:rsidRPr="001701CD" w:rsidRDefault="00B73DC2" w:rsidP="005C6F15">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While the current study aligns with several reports, it contrasts with those of Gbodo and Anumudu (2019),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Udujih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(2017, 2024), Abioye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(2017), Omotola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(2020), and Olorundare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observed higher prevalence among females. The observed gender variation in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suggests the importance of incorporating sex as a variable in public health risk assessments. Males may be more susceptible to enteric infections in IDP camps due to higher exposure levels and </w:t>
      </w:r>
      <w:r>
        <w:rPr>
          <w:rFonts w:ascii="Times New Roman" w:hAnsi="Times New Roman" w:cs="Times New Roman"/>
          <w:sz w:val="24"/>
          <w:szCs w:val="24"/>
        </w:rPr>
        <w:t>behaviour</w:t>
      </w:r>
      <w:r w:rsidRPr="001701CD">
        <w:rPr>
          <w:rFonts w:ascii="Times New Roman" w:hAnsi="Times New Roman" w:cs="Times New Roman"/>
          <w:sz w:val="24"/>
          <w:szCs w:val="24"/>
        </w:rPr>
        <w:t>al factors, while biological differences in immune response, as noted by WHO (2022), may also play a role.</w:t>
      </w:r>
    </w:p>
    <w:p w:rsidR="00B73DC2" w:rsidRDefault="00B73DC2"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 </w:t>
      </w:r>
    </w:p>
    <w:p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lastRenderedPageBreak/>
        <w:t xml:space="preserve">The influence of educational status on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among Internally Displaced Persons (IDPs) revealed that individuals with secondary education recorded the highest prevalence, accounting for 55.6</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(15 cases). In contrast, those without formal education represented 22.2</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(6 cases), while those with primary and tertiary education each recorded 11.1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(3 cases). This pattern aligns with the findings of Mawazo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(2019) and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similarly observed elevated infection rates among participants with secondary education levels. This trend may be associated with the demographic composition of the IDP population, as most respondents were young married females whose educational opportunities were truncated due to early marriage — a common occurrence in Northern Nigeria. Consequently, many women in these settings attain only secondary-level education before assuming family responsibilities. Although higher prevalence was observed among individuals with secondary education, the association between educational status and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was not statistically significant (P &gt; 0.05).</w:t>
      </w:r>
    </w:p>
    <w:p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Regarding marital status, this study identified a predominance of married participants (55.6</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among infected individuals, compared to singles (22.2</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widows (11.1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widowers (7.4</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and divorced individuals (3.7</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This observation is consistent with the findings of Deksissa and Gebremedhin (2019) and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also reported higher infection rates among married participants. The predominance of married individuals may be explained by the demographic composition of the IDP camps, where the majority are women of reproductive age. Many of these women may be pregnant or postpartum, conditions that can increase susceptibility to enteric infections such as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A significant association was established between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and marital status (P &lt; 0.05), suggesting that family-based exposure and shared household resources, including food and water, may facilitate transmission within households.</w:t>
      </w:r>
    </w:p>
    <w:p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lastRenderedPageBreak/>
        <w:t>The occupational distribution of infected individuals further supports the socioeconomic vulnerability of the IDP population. The highest prevalence was observed among farmers (74.1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followed by petty traders (11.1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and civil servants (7.4</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Conversely, artisans and students each accounted for 3.7</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of the infections. This trend corroborates the assertion that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is primarily a disease of individuals with low socioeconomic status (Okeke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2020). Farmers may face increased risk due to frequent contact with contaminated soil and water. Many rely on unprotected water sources such as ponds, streams, or stagnant pools during farm work, and often consume food without adequate handwashing. Despite the high prevalence observed among farmers, the association between occupation and infection was not statistically significant (P &gt; 0.05).</w:t>
      </w:r>
    </w:p>
    <w:p w:rsidR="004404DE" w:rsidRPr="001701CD" w:rsidRDefault="004404DE" w:rsidP="004404DE">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These results underscore the need for public health interventions targeted at farmers and individuals with limited education in IDP settings. The higher prevalence among married participants also indicates that intra-household transmission may be an important factor in disease spread. Improved access to clean water, hygiene education, and sanitation facilities could substantially reduce infection risks. Tailored health campaigns focusing on safe food handling, proper hand hygiene, and waste management are recommended to address the occupational and domestic exposure pathways observed in this study.</w:t>
      </w:r>
    </w:p>
    <w:p w:rsidR="00C47F9F" w:rsidRPr="0071129D" w:rsidRDefault="00C47F9F" w:rsidP="00C47F9F">
      <w:pPr>
        <w:rPr>
          <w:rFonts w:ascii="Times New Roman" w:hAnsi="Times New Roman" w:cs="Times New Roman"/>
          <w:sz w:val="24"/>
          <w:szCs w:val="24"/>
        </w:rPr>
      </w:pPr>
    </w:p>
    <w:p w:rsidR="0043787D" w:rsidRPr="0043787D" w:rsidRDefault="008C72F1" w:rsidP="0043787D">
      <w:pPr>
        <w:pStyle w:val="ListParagraph"/>
        <w:numPr>
          <w:ilvl w:val="0"/>
          <w:numId w:val="2"/>
        </w:numPr>
        <w:shd w:val="clear" w:color="auto" w:fill="FFFFFF" w:themeFill="background1"/>
        <w:spacing w:line="480" w:lineRule="auto"/>
        <w:jc w:val="both"/>
        <w:rPr>
          <w:rFonts w:ascii="Times New Roman" w:hAnsi="Times New Roman" w:cs="Times New Roman"/>
          <w:b/>
          <w:sz w:val="24"/>
          <w:szCs w:val="24"/>
          <w:shd w:val="clear" w:color="auto" w:fill="FFFFFF"/>
        </w:rPr>
      </w:pPr>
      <w:r w:rsidRPr="0043787D">
        <w:rPr>
          <w:rFonts w:ascii="Times New Roman" w:hAnsi="Times New Roman" w:cs="Times New Roman"/>
          <w:b/>
          <w:sz w:val="24"/>
          <w:szCs w:val="24"/>
          <w:shd w:val="clear" w:color="auto" w:fill="FFFFFF"/>
        </w:rPr>
        <w:t>Conclusion</w:t>
      </w:r>
    </w:p>
    <w:p w:rsidR="00C47F9F" w:rsidRDefault="0043787D" w:rsidP="0043787D">
      <w:pPr>
        <w:shd w:val="clear" w:color="auto" w:fill="FFFFFF" w:themeFill="background1"/>
        <w:spacing w:line="480" w:lineRule="auto"/>
        <w:ind w:left="360"/>
        <w:jc w:val="both"/>
        <w:rPr>
          <w:rFonts w:ascii="Times New Roman" w:hAnsi="Times New Roman" w:cs="Times New Roman"/>
          <w:sz w:val="24"/>
          <w:szCs w:val="24"/>
        </w:rPr>
      </w:pPr>
      <w:r w:rsidRPr="0043787D">
        <w:rPr>
          <w:rFonts w:ascii="Times New Roman" w:eastAsia="Times New Roman" w:hAnsi="Times New Roman" w:cs="Times New Roman"/>
          <w:sz w:val="24"/>
          <w:szCs w:val="24"/>
          <w:lang w:val="en-US"/>
        </w:rPr>
        <w:t xml:space="preserve">This study demonstrates that Salmonella infection remains a public health concern among IDPs in Benue, Nasarawa, and Plateau States, with an overall prevalence of 6.4%. Although the distribution of infection across the three states was relatively uniform, significant associations were observed with sex and marital status. Males were more affected than females, suggesting </w:t>
      </w:r>
      <w:r w:rsidRPr="0043787D">
        <w:rPr>
          <w:rFonts w:ascii="Times New Roman" w:eastAsia="Times New Roman" w:hAnsi="Times New Roman" w:cs="Times New Roman"/>
          <w:sz w:val="24"/>
          <w:szCs w:val="24"/>
          <w:lang w:val="en-US"/>
        </w:rPr>
        <w:lastRenderedPageBreak/>
        <w:t>increased exposure through occupational and behavioural factors. Married individuals also showed higher infection rates, indicating possible intra-household transmission dynamics within camp settings.</w:t>
      </w:r>
      <w:r>
        <w:rPr>
          <w:rFonts w:ascii="Times New Roman" w:hAnsi="Times New Roman" w:cs="Times New Roman"/>
          <w:b/>
          <w:sz w:val="24"/>
          <w:szCs w:val="24"/>
          <w:shd w:val="clear" w:color="auto" w:fill="FFFFFF"/>
        </w:rPr>
        <w:t xml:space="preserve"> </w:t>
      </w:r>
      <w:r w:rsidRPr="0043787D">
        <w:rPr>
          <w:rFonts w:ascii="Times New Roman" w:eastAsia="Times New Roman" w:hAnsi="Times New Roman" w:cs="Times New Roman"/>
          <w:sz w:val="24"/>
          <w:szCs w:val="24"/>
          <w:lang w:val="en-US"/>
        </w:rPr>
        <w:t>Age, education level, and occupation were not statistically significant predictors of infection; however, adults aged 21–40 years and farmers showed relatively higher prevalence proportions, suggesting environmental and occupational exposure risks.</w:t>
      </w:r>
      <w:r>
        <w:rPr>
          <w:rFonts w:ascii="Times New Roman" w:hAnsi="Times New Roman" w:cs="Times New Roman"/>
          <w:b/>
          <w:sz w:val="24"/>
          <w:szCs w:val="24"/>
          <w:shd w:val="clear" w:color="auto" w:fill="FFFFFF"/>
        </w:rPr>
        <w:t xml:space="preserve"> </w:t>
      </w:r>
      <w:r w:rsidRPr="0043787D">
        <w:rPr>
          <w:rFonts w:ascii="Times New Roman" w:eastAsia="Times New Roman" w:hAnsi="Times New Roman" w:cs="Times New Roman"/>
          <w:sz w:val="24"/>
          <w:szCs w:val="24"/>
          <w:lang w:val="en-US"/>
        </w:rPr>
        <w:t>Given the conditions</w:t>
      </w:r>
      <w:r>
        <w:rPr>
          <w:rFonts w:ascii="Times New Roman" w:eastAsia="Times New Roman" w:hAnsi="Times New Roman" w:cs="Times New Roman"/>
          <w:sz w:val="24"/>
          <w:szCs w:val="24"/>
          <w:lang w:val="en-US"/>
        </w:rPr>
        <w:t xml:space="preserve"> commonly observed in IDP camps </w:t>
      </w:r>
      <w:r w:rsidRPr="0043787D">
        <w:rPr>
          <w:rFonts w:ascii="Times New Roman" w:eastAsia="Times New Roman" w:hAnsi="Times New Roman" w:cs="Times New Roman"/>
          <w:sz w:val="24"/>
          <w:szCs w:val="24"/>
          <w:lang w:val="en-US"/>
        </w:rPr>
        <w:t>overcrowding, poor sanitation, inadequate clean water supply</w:t>
      </w:r>
      <w:r>
        <w:rPr>
          <w:rFonts w:ascii="Times New Roman" w:eastAsia="Times New Roman" w:hAnsi="Times New Roman" w:cs="Times New Roman"/>
          <w:sz w:val="24"/>
          <w:szCs w:val="24"/>
          <w:lang w:val="en-US"/>
        </w:rPr>
        <w:t xml:space="preserve">, and limited healthcare access </w:t>
      </w:r>
      <w:r w:rsidRPr="0043787D">
        <w:rPr>
          <w:rFonts w:ascii="Times New Roman" w:eastAsia="Times New Roman" w:hAnsi="Times New Roman" w:cs="Times New Roman"/>
          <w:sz w:val="24"/>
          <w:szCs w:val="24"/>
          <w:lang w:val="en-US"/>
        </w:rPr>
        <w:t>sustained surveillance, strengthened laboratory diagnostics, and integrated water</w:t>
      </w:r>
      <w:r>
        <w:rPr>
          <w:rFonts w:ascii="Times New Roman" w:eastAsia="Times New Roman" w:hAnsi="Times New Roman" w:cs="Times New Roman"/>
          <w:sz w:val="24"/>
          <w:szCs w:val="24"/>
          <w:lang w:val="en-US"/>
        </w:rPr>
        <w:t xml:space="preserve">, sanitation, and hygiene </w:t>
      </w:r>
      <w:r w:rsidRPr="0043787D">
        <w:rPr>
          <w:rFonts w:ascii="Times New Roman" w:eastAsia="Times New Roman" w:hAnsi="Times New Roman" w:cs="Times New Roman"/>
          <w:sz w:val="24"/>
          <w:szCs w:val="24"/>
          <w:lang w:val="en-US"/>
        </w:rPr>
        <w:t>interventions are essential. Targeted health education programs focusing on safe food handling, hand hygiene, and waste disposal should be prioritized to mitigate Salmonella transmission and improve health outcomes among displaced populations in North-Central Nigeria.</w:t>
      </w:r>
      <w:r>
        <w:rPr>
          <w:rFonts w:ascii="Times New Roman" w:hAnsi="Times New Roman" w:cs="Times New Roman"/>
          <w:sz w:val="24"/>
          <w:szCs w:val="24"/>
        </w:rPr>
        <w:t xml:space="preserve"> </w:t>
      </w:r>
    </w:p>
    <w:p w:rsidR="00DB7200" w:rsidRDefault="00DB7200" w:rsidP="00DB7200">
      <w:pPr>
        <w:rPr>
          <w:highlight w:val="yellow"/>
          <w:lang w:val="en-US"/>
        </w:rPr>
      </w:pPr>
      <w:r>
        <w:rPr>
          <w:highlight w:val="yellow"/>
        </w:rPr>
        <w:t>Disclaimer (Artificial intelligence)</w:t>
      </w:r>
    </w:p>
    <w:p w:rsidR="00DB7200" w:rsidRDefault="00DB7200" w:rsidP="00DB72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DB7200" w:rsidRPr="0043787D" w:rsidRDefault="00DB7200" w:rsidP="0043787D">
      <w:pPr>
        <w:shd w:val="clear" w:color="auto" w:fill="FFFFFF" w:themeFill="background1"/>
        <w:spacing w:line="480" w:lineRule="auto"/>
        <w:ind w:left="360"/>
        <w:jc w:val="both"/>
        <w:rPr>
          <w:rFonts w:ascii="Times New Roman" w:eastAsia="Times New Roman" w:hAnsi="Times New Roman" w:cs="Times New Roman"/>
          <w:sz w:val="24"/>
          <w:szCs w:val="24"/>
          <w:lang w:val="en-US"/>
        </w:rPr>
      </w:pPr>
      <w:bookmarkStart w:id="0" w:name="_GoBack"/>
      <w:bookmarkEnd w:id="0"/>
    </w:p>
    <w:p w:rsidR="00C47F9F" w:rsidRPr="0043787D" w:rsidRDefault="0043787D" w:rsidP="00C47F9F">
      <w:pPr>
        <w:rPr>
          <w:rFonts w:ascii="Times New Roman" w:hAnsi="Times New Roman" w:cs="Times New Roman"/>
          <w:b/>
          <w:kern w:val="2"/>
          <w:sz w:val="24"/>
          <w:szCs w:val="24"/>
          <w14:ligatures w14:val="standardContextual"/>
        </w:rPr>
      </w:pPr>
      <w:r w:rsidRPr="0043787D">
        <w:rPr>
          <w:rFonts w:ascii="Times New Roman" w:hAnsi="Times New Roman" w:cs="Times New Roman"/>
          <w:b/>
          <w:kern w:val="2"/>
          <w:sz w:val="24"/>
          <w:szCs w:val="24"/>
          <w14:ligatures w14:val="standardContextual"/>
        </w:rPr>
        <w:t>References</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Abdullahi, M., et al. (2017). Prevalence and antimicrobial susceptibility patterns of Salmonella species in Nigeria. </w:t>
      </w:r>
      <w:r w:rsidRPr="0043787D">
        <w:rPr>
          <w:rFonts w:ascii="Times New Roman" w:eastAsia="Times New Roman" w:hAnsi="Times New Roman" w:cs="Times New Roman"/>
          <w:i/>
          <w:iCs/>
          <w:sz w:val="24"/>
          <w:szCs w:val="24"/>
          <w:lang w:val="en-US"/>
        </w:rPr>
        <w:t>African Journal of Clinical and Experimental Microbiology</w:t>
      </w:r>
      <w:r w:rsidRPr="0043787D">
        <w:rPr>
          <w:rFonts w:ascii="Times New Roman" w:eastAsia="Times New Roman" w:hAnsi="Times New Roman" w:cs="Times New Roman"/>
          <w:sz w:val="24"/>
          <w:szCs w:val="24"/>
          <w:lang w:val="en-US"/>
        </w:rPr>
        <w:t>, 18(2), 90–97.</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Abioye, O., et al. (2017). Gender differences in Salmonella infection patterns in Northern Nigeria. </w:t>
      </w:r>
      <w:r w:rsidRPr="0043787D">
        <w:rPr>
          <w:rFonts w:ascii="Times New Roman" w:eastAsia="Times New Roman" w:hAnsi="Times New Roman" w:cs="Times New Roman"/>
          <w:i/>
          <w:iCs/>
          <w:sz w:val="24"/>
          <w:szCs w:val="24"/>
          <w:lang w:val="en-US"/>
        </w:rPr>
        <w:t>Nigerian Journal of Medical Microbiology</w:t>
      </w:r>
      <w:r w:rsidRPr="0043787D">
        <w:rPr>
          <w:rFonts w:ascii="Times New Roman" w:eastAsia="Times New Roman" w:hAnsi="Times New Roman" w:cs="Times New Roman"/>
          <w:sz w:val="24"/>
          <w:szCs w:val="24"/>
          <w:lang w:val="en-US"/>
        </w:rPr>
        <w:t>, 31(1), 45–52.</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Akinyemi, K. O., et al. (2018). Antimicrobial resistance in Salmonella species isolated in Nigeria. </w:t>
      </w:r>
      <w:r w:rsidRPr="0043787D">
        <w:rPr>
          <w:rFonts w:ascii="Times New Roman" w:eastAsia="Times New Roman" w:hAnsi="Times New Roman" w:cs="Times New Roman"/>
          <w:i/>
          <w:iCs/>
          <w:sz w:val="24"/>
          <w:szCs w:val="24"/>
          <w:lang w:val="en-US"/>
        </w:rPr>
        <w:t>BMC Research Notes</w:t>
      </w:r>
      <w:r w:rsidRPr="0043787D">
        <w:rPr>
          <w:rFonts w:ascii="Times New Roman" w:eastAsia="Times New Roman" w:hAnsi="Times New Roman" w:cs="Times New Roman"/>
          <w:sz w:val="24"/>
          <w:szCs w:val="24"/>
          <w:lang w:val="en-US"/>
        </w:rPr>
        <w:t>, 11, 437.</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Amare, A., et al. (2024). Epidemiology of Salmonella infection in Ethiopia: A cross-sectional study. </w:t>
      </w:r>
      <w:r w:rsidRPr="0043787D">
        <w:rPr>
          <w:rFonts w:ascii="Times New Roman" w:eastAsia="Times New Roman" w:hAnsi="Times New Roman" w:cs="Times New Roman"/>
          <w:i/>
          <w:iCs/>
          <w:sz w:val="24"/>
          <w:szCs w:val="24"/>
          <w:lang w:val="en-US"/>
        </w:rPr>
        <w:t>Ethiopian Journal of Health Sciences</w:t>
      </w:r>
      <w:r w:rsidRPr="0043787D">
        <w:rPr>
          <w:rFonts w:ascii="Times New Roman" w:eastAsia="Times New Roman" w:hAnsi="Times New Roman" w:cs="Times New Roman"/>
          <w:sz w:val="24"/>
          <w:szCs w:val="24"/>
          <w:lang w:val="en-US"/>
        </w:rPr>
        <w:t>, 34(1), 45–54.</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Cheesbrough, M. (2006). </w:t>
      </w:r>
      <w:r w:rsidRPr="0043787D">
        <w:rPr>
          <w:rFonts w:ascii="Times New Roman" w:eastAsia="Times New Roman" w:hAnsi="Times New Roman" w:cs="Times New Roman"/>
          <w:i/>
          <w:iCs/>
          <w:sz w:val="24"/>
          <w:szCs w:val="24"/>
          <w:lang w:val="en-US"/>
        </w:rPr>
        <w:t>District Laboratory Practice in Tropical Countries, Part 2</w:t>
      </w:r>
      <w:r w:rsidRPr="0043787D">
        <w:rPr>
          <w:rFonts w:ascii="Times New Roman" w:eastAsia="Times New Roman" w:hAnsi="Times New Roman" w:cs="Times New Roman"/>
          <w:sz w:val="24"/>
          <w:szCs w:val="24"/>
          <w:lang w:val="en-US"/>
        </w:rPr>
        <w:t>. Cambridge University Press.</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lastRenderedPageBreak/>
        <w:t xml:space="preserve">Crump, J. A. (2019). Progress in typhoid fever epidemiology. </w:t>
      </w:r>
      <w:r w:rsidRPr="0043787D">
        <w:rPr>
          <w:rFonts w:ascii="Times New Roman" w:eastAsia="Times New Roman" w:hAnsi="Times New Roman" w:cs="Times New Roman"/>
          <w:i/>
          <w:iCs/>
          <w:sz w:val="24"/>
          <w:szCs w:val="24"/>
          <w:lang w:val="en-US"/>
        </w:rPr>
        <w:t>Clinical Infectious Diseases</w:t>
      </w:r>
      <w:r w:rsidRPr="0043787D">
        <w:rPr>
          <w:rFonts w:ascii="Times New Roman" w:eastAsia="Times New Roman" w:hAnsi="Times New Roman" w:cs="Times New Roman"/>
          <w:sz w:val="24"/>
          <w:szCs w:val="24"/>
          <w:lang w:val="en-US"/>
        </w:rPr>
        <w:t>, 68(Suppl 1), S4–S9.</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Deksissa, T., &amp; Gebremedhin, E. (2019). Prevalence and associated factors of Salmonella infection among displaced populations. </w:t>
      </w:r>
      <w:r w:rsidRPr="0043787D">
        <w:rPr>
          <w:rFonts w:ascii="Times New Roman" w:eastAsia="Times New Roman" w:hAnsi="Times New Roman" w:cs="Times New Roman"/>
          <w:i/>
          <w:iCs/>
          <w:sz w:val="24"/>
          <w:szCs w:val="24"/>
          <w:lang w:val="en-US"/>
        </w:rPr>
        <w:t>BMC Infectious Diseases</w:t>
      </w:r>
      <w:r w:rsidRPr="0043787D">
        <w:rPr>
          <w:rFonts w:ascii="Times New Roman" w:eastAsia="Times New Roman" w:hAnsi="Times New Roman" w:cs="Times New Roman"/>
          <w:sz w:val="24"/>
          <w:szCs w:val="24"/>
          <w:lang w:val="en-US"/>
        </w:rPr>
        <w:t>, 19, 1024.</w:t>
      </w:r>
    </w:p>
    <w:p w:rsid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Eng, S. K., et al. (2015). Salmonella: A review on pathogenesis, epidemiology and antibiotic resistance. </w:t>
      </w:r>
      <w:r w:rsidRPr="0043787D">
        <w:rPr>
          <w:rFonts w:ascii="Times New Roman" w:eastAsia="Times New Roman" w:hAnsi="Times New Roman" w:cs="Times New Roman"/>
          <w:i/>
          <w:iCs/>
          <w:sz w:val="24"/>
          <w:szCs w:val="24"/>
          <w:lang w:val="en-US"/>
        </w:rPr>
        <w:t>Frontiers in Life Science</w:t>
      </w:r>
      <w:r w:rsidRPr="0043787D">
        <w:rPr>
          <w:rFonts w:ascii="Times New Roman" w:eastAsia="Times New Roman" w:hAnsi="Times New Roman" w:cs="Times New Roman"/>
          <w:sz w:val="24"/>
          <w:szCs w:val="24"/>
          <w:lang w:val="en-US"/>
        </w:rPr>
        <w:t>, 8(3), 284–293.</w:t>
      </w:r>
    </w:p>
    <w:p w:rsidR="00166B62" w:rsidRPr="0043787D" w:rsidRDefault="00166B62" w:rsidP="0043787D">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Fasema, R., Owuna, J.E., Nkene, J.H., Abimiku, R.H., Tama, S.C., Igbawua, I.N., Ardaly, A.A.D. (2024). Prevalence and Antimicrobial Susceptibility Pattern of Salmonella Species in Asymptomatic individuals in Makurdi Metropolis. </w:t>
      </w:r>
      <w:r w:rsidRPr="00166B62">
        <w:rPr>
          <w:rFonts w:ascii="Times New Roman" w:eastAsia="Times New Roman" w:hAnsi="Times New Roman" w:cs="Times New Roman"/>
          <w:i/>
          <w:sz w:val="24"/>
          <w:szCs w:val="24"/>
          <w:lang w:val="en-US"/>
        </w:rPr>
        <w:t>Asian Journal of Biotechnology and Genetic Engineering</w:t>
      </w:r>
      <w:r>
        <w:rPr>
          <w:rFonts w:ascii="Times New Roman" w:eastAsia="Times New Roman" w:hAnsi="Times New Roman" w:cs="Times New Roman"/>
          <w:sz w:val="24"/>
          <w:szCs w:val="24"/>
          <w:lang w:val="en-US"/>
        </w:rPr>
        <w:t xml:space="preserve"> 7(2): 306-12</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Gbodo, E. O., &amp; Anumudu, C. I. (2019). Prevalence of Salmonella infection in Imo State, Nigeria. </w:t>
      </w:r>
      <w:r w:rsidRPr="0043787D">
        <w:rPr>
          <w:rFonts w:ascii="Times New Roman" w:eastAsia="Times New Roman" w:hAnsi="Times New Roman" w:cs="Times New Roman"/>
          <w:i/>
          <w:iCs/>
          <w:sz w:val="24"/>
          <w:szCs w:val="24"/>
          <w:lang w:val="en-US"/>
        </w:rPr>
        <w:t>Nigerian Journal of Microbiology</w:t>
      </w:r>
      <w:r w:rsidRPr="0043787D">
        <w:rPr>
          <w:rFonts w:ascii="Times New Roman" w:eastAsia="Times New Roman" w:hAnsi="Times New Roman" w:cs="Times New Roman"/>
          <w:sz w:val="24"/>
          <w:szCs w:val="24"/>
          <w:lang w:val="en-US"/>
        </w:rPr>
        <w:t>, 33(2), 4567–4575.</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Gordon, M. A. (2008). Salmonella infections in immunocompromised adults. </w:t>
      </w:r>
      <w:r w:rsidRPr="0043787D">
        <w:rPr>
          <w:rFonts w:ascii="Times New Roman" w:eastAsia="Times New Roman" w:hAnsi="Times New Roman" w:cs="Times New Roman"/>
          <w:i/>
          <w:iCs/>
          <w:sz w:val="24"/>
          <w:szCs w:val="24"/>
          <w:lang w:val="en-US"/>
        </w:rPr>
        <w:t>Journal of Infection</w:t>
      </w:r>
      <w:r w:rsidRPr="0043787D">
        <w:rPr>
          <w:rFonts w:ascii="Times New Roman" w:eastAsia="Times New Roman" w:hAnsi="Times New Roman" w:cs="Times New Roman"/>
          <w:sz w:val="24"/>
          <w:szCs w:val="24"/>
          <w:lang w:val="en-US"/>
        </w:rPr>
        <w:t>, 56(6), 413–422.</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Internal Displacement Monitoring Centre (IDMC). (2021). </w:t>
      </w:r>
      <w:r w:rsidRPr="0043787D">
        <w:rPr>
          <w:rFonts w:ascii="Times New Roman" w:eastAsia="Times New Roman" w:hAnsi="Times New Roman" w:cs="Times New Roman"/>
          <w:i/>
          <w:iCs/>
          <w:sz w:val="24"/>
          <w:szCs w:val="24"/>
          <w:lang w:val="en-US"/>
        </w:rPr>
        <w:t>Nigeria: Country Information on Internal Displacement</w:t>
      </w:r>
      <w:r w:rsidRPr="0043787D">
        <w:rPr>
          <w:rFonts w:ascii="Times New Roman" w:eastAsia="Times New Roman" w:hAnsi="Times New Roman" w:cs="Times New Roman"/>
          <w:sz w:val="24"/>
          <w:szCs w:val="24"/>
          <w:lang w:val="en-US"/>
        </w:rPr>
        <w:t>. Geneva: IDMC.</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Majowicz, S. E., et al. (2010). The global burden of nontyphoidal Salmonella gastroenteritis. </w:t>
      </w:r>
      <w:r w:rsidRPr="0043787D">
        <w:rPr>
          <w:rFonts w:ascii="Times New Roman" w:eastAsia="Times New Roman" w:hAnsi="Times New Roman" w:cs="Times New Roman"/>
          <w:i/>
          <w:iCs/>
          <w:sz w:val="24"/>
          <w:szCs w:val="24"/>
          <w:lang w:val="en-US"/>
        </w:rPr>
        <w:t>Clinical Infectious Diseases</w:t>
      </w:r>
      <w:r w:rsidRPr="0043787D">
        <w:rPr>
          <w:rFonts w:ascii="Times New Roman" w:eastAsia="Times New Roman" w:hAnsi="Times New Roman" w:cs="Times New Roman"/>
          <w:sz w:val="24"/>
          <w:szCs w:val="24"/>
          <w:lang w:val="en-US"/>
        </w:rPr>
        <w:t>, 50(6), 882–889.</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Mawazo, A., et al. (2019). Risk factors associated with Salmonella infection in vulnerable communities. </w:t>
      </w:r>
      <w:r w:rsidRPr="0043787D">
        <w:rPr>
          <w:rFonts w:ascii="Times New Roman" w:eastAsia="Times New Roman" w:hAnsi="Times New Roman" w:cs="Times New Roman"/>
          <w:i/>
          <w:iCs/>
          <w:sz w:val="24"/>
          <w:szCs w:val="24"/>
          <w:lang w:val="en-US"/>
        </w:rPr>
        <w:t>African Health Sciences</w:t>
      </w:r>
      <w:r w:rsidRPr="0043787D">
        <w:rPr>
          <w:rFonts w:ascii="Times New Roman" w:eastAsia="Times New Roman" w:hAnsi="Times New Roman" w:cs="Times New Roman"/>
          <w:sz w:val="24"/>
          <w:szCs w:val="24"/>
          <w:lang w:val="en-US"/>
        </w:rPr>
        <w:t>, 19(3), 2314–2322.</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Mikolei, G. I. (2014). Isolation and identification of Salmonella species from clinical samples. </w:t>
      </w:r>
      <w:r w:rsidRPr="0043787D">
        <w:rPr>
          <w:rFonts w:ascii="Times New Roman" w:eastAsia="Times New Roman" w:hAnsi="Times New Roman" w:cs="Times New Roman"/>
          <w:i/>
          <w:iCs/>
          <w:sz w:val="24"/>
          <w:szCs w:val="24"/>
          <w:lang w:val="en-US"/>
        </w:rPr>
        <w:t>Journal of Medical Laboratory Science</w:t>
      </w:r>
      <w:r w:rsidRPr="0043787D">
        <w:rPr>
          <w:rFonts w:ascii="Times New Roman" w:eastAsia="Times New Roman" w:hAnsi="Times New Roman" w:cs="Times New Roman"/>
          <w:sz w:val="24"/>
          <w:szCs w:val="24"/>
          <w:lang w:val="en-US"/>
        </w:rPr>
        <w:t>, 23(4), 12–18.</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Moses, A. E., et al. (2014). Microbiological techniques in enteric pathogen identification. </w:t>
      </w:r>
      <w:r w:rsidRPr="0043787D">
        <w:rPr>
          <w:rFonts w:ascii="Times New Roman" w:eastAsia="Times New Roman" w:hAnsi="Times New Roman" w:cs="Times New Roman"/>
          <w:i/>
          <w:iCs/>
          <w:sz w:val="24"/>
          <w:szCs w:val="24"/>
          <w:lang w:val="en-US"/>
        </w:rPr>
        <w:t>Nigerian Journal of Microbiology</w:t>
      </w:r>
      <w:r w:rsidRPr="0043787D">
        <w:rPr>
          <w:rFonts w:ascii="Times New Roman" w:eastAsia="Times New Roman" w:hAnsi="Times New Roman" w:cs="Times New Roman"/>
          <w:sz w:val="24"/>
          <w:szCs w:val="24"/>
          <w:lang w:val="en-US"/>
        </w:rPr>
        <w:t>, 28(1), 3200–3207.</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Mujahid, S., et al. (2022). Prevalence and risk factors of Salmonella infection among displaced populations. </w:t>
      </w:r>
      <w:r w:rsidRPr="0043787D">
        <w:rPr>
          <w:rFonts w:ascii="Times New Roman" w:eastAsia="Times New Roman" w:hAnsi="Times New Roman" w:cs="Times New Roman"/>
          <w:i/>
          <w:iCs/>
          <w:sz w:val="24"/>
          <w:szCs w:val="24"/>
          <w:lang w:val="en-US"/>
        </w:rPr>
        <w:t>Infectious Diseases Reports</w:t>
      </w:r>
      <w:r w:rsidRPr="0043787D">
        <w:rPr>
          <w:rFonts w:ascii="Times New Roman" w:eastAsia="Times New Roman" w:hAnsi="Times New Roman" w:cs="Times New Roman"/>
          <w:sz w:val="24"/>
          <w:szCs w:val="24"/>
          <w:lang w:val="en-US"/>
        </w:rPr>
        <w:t>, 14(2), 150–158.</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Naing, L., et al. (2022). Practical issues in calculating sample size for cross-sectional studies. </w:t>
      </w:r>
      <w:r w:rsidRPr="0043787D">
        <w:rPr>
          <w:rFonts w:ascii="Times New Roman" w:eastAsia="Times New Roman" w:hAnsi="Times New Roman" w:cs="Times New Roman"/>
          <w:i/>
          <w:iCs/>
          <w:sz w:val="24"/>
          <w:szCs w:val="24"/>
          <w:lang w:val="en-US"/>
        </w:rPr>
        <w:t>Malaysian Journal of Medical Sciences</w:t>
      </w:r>
      <w:r w:rsidRPr="0043787D">
        <w:rPr>
          <w:rFonts w:ascii="Times New Roman" w:eastAsia="Times New Roman" w:hAnsi="Times New Roman" w:cs="Times New Roman"/>
          <w:sz w:val="24"/>
          <w:szCs w:val="24"/>
          <w:lang w:val="en-US"/>
        </w:rPr>
        <w:t>, 29(4), 5–12.</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Ngolo, J. R., et al. (2023). Epidemiology of Salmonella infection in Northern Nigeria. </w:t>
      </w:r>
      <w:r w:rsidRPr="0043787D">
        <w:rPr>
          <w:rFonts w:ascii="Times New Roman" w:eastAsia="Times New Roman" w:hAnsi="Times New Roman" w:cs="Times New Roman"/>
          <w:i/>
          <w:iCs/>
          <w:sz w:val="24"/>
          <w:szCs w:val="24"/>
          <w:lang w:val="en-US"/>
        </w:rPr>
        <w:t>Pan African Medical Journal</w:t>
      </w:r>
      <w:r w:rsidRPr="0043787D">
        <w:rPr>
          <w:rFonts w:ascii="Times New Roman" w:eastAsia="Times New Roman" w:hAnsi="Times New Roman" w:cs="Times New Roman"/>
          <w:sz w:val="24"/>
          <w:szCs w:val="24"/>
          <w:lang w:val="en-US"/>
        </w:rPr>
        <w:t>, 45, 112.</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Oboegbulam, S. I., et al. (1995). Biochemical characterization of enteric bacteria in Nigeria. </w:t>
      </w:r>
      <w:r w:rsidRPr="0043787D">
        <w:rPr>
          <w:rFonts w:ascii="Times New Roman" w:eastAsia="Times New Roman" w:hAnsi="Times New Roman" w:cs="Times New Roman"/>
          <w:i/>
          <w:iCs/>
          <w:sz w:val="24"/>
          <w:szCs w:val="24"/>
          <w:lang w:val="en-US"/>
        </w:rPr>
        <w:t>Nigerian Veterinary Journal</w:t>
      </w:r>
      <w:r w:rsidRPr="0043787D">
        <w:rPr>
          <w:rFonts w:ascii="Times New Roman" w:eastAsia="Times New Roman" w:hAnsi="Times New Roman" w:cs="Times New Roman"/>
          <w:sz w:val="24"/>
          <w:szCs w:val="24"/>
          <w:lang w:val="en-US"/>
        </w:rPr>
        <w:t>, 16(2), 45–53.</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lastRenderedPageBreak/>
        <w:t xml:space="preserve">Okeke, I. N., &amp; Adebayo, L. (2023). Enteric infections among children in displaced communities. </w:t>
      </w:r>
      <w:r w:rsidRPr="0043787D">
        <w:rPr>
          <w:rFonts w:ascii="Times New Roman" w:eastAsia="Times New Roman" w:hAnsi="Times New Roman" w:cs="Times New Roman"/>
          <w:i/>
          <w:iCs/>
          <w:sz w:val="24"/>
          <w:szCs w:val="24"/>
          <w:lang w:val="en-US"/>
        </w:rPr>
        <w:t>African Journal of Infectious Diseases</w:t>
      </w:r>
      <w:r w:rsidRPr="0043787D">
        <w:rPr>
          <w:rFonts w:ascii="Times New Roman" w:eastAsia="Times New Roman" w:hAnsi="Times New Roman" w:cs="Times New Roman"/>
          <w:sz w:val="24"/>
          <w:szCs w:val="24"/>
          <w:lang w:val="en-US"/>
        </w:rPr>
        <w:t>, 17(1), 60–68.</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Okeke, I. N., et al. (2020). Socioeconomic determinants of enteric infections in Nigeria. </w:t>
      </w:r>
      <w:r w:rsidRPr="0043787D">
        <w:rPr>
          <w:rFonts w:ascii="Times New Roman" w:eastAsia="Times New Roman" w:hAnsi="Times New Roman" w:cs="Times New Roman"/>
          <w:i/>
          <w:iCs/>
          <w:sz w:val="24"/>
          <w:szCs w:val="24"/>
          <w:lang w:val="en-US"/>
        </w:rPr>
        <w:t>International Journal of Infectious Diseases</w:t>
      </w:r>
      <w:r w:rsidRPr="0043787D">
        <w:rPr>
          <w:rFonts w:ascii="Times New Roman" w:eastAsia="Times New Roman" w:hAnsi="Times New Roman" w:cs="Times New Roman"/>
          <w:sz w:val="24"/>
          <w:szCs w:val="24"/>
          <w:lang w:val="en-US"/>
        </w:rPr>
        <w:t>, 95, 120–127.</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Perilla, M. J. (2003). Manual for laboratory identification of Salmonella. </w:t>
      </w:r>
      <w:r w:rsidRPr="0043787D">
        <w:rPr>
          <w:rFonts w:ascii="Times New Roman" w:eastAsia="Times New Roman" w:hAnsi="Times New Roman" w:cs="Times New Roman"/>
          <w:i/>
          <w:iCs/>
          <w:sz w:val="24"/>
          <w:szCs w:val="24"/>
          <w:lang w:val="en-US"/>
        </w:rPr>
        <w:t>WHO Global Salm-Surv Manual</w:t>
      </w:r>
      <w:r w:rsidRPr="0043787D">
        <w:rPr>
          <w:rFonts w:ascii="Times New Roman" w:eastAsia="Times New Roman" w:hAnsi="Times New Roman" w:cs="Times New Roman"/>
          <w:sz w:val="24"/>
          <w:szCs w:val="24"/>
          <w:lang w:val="en-US"/>
        </w:rPr>
        <w:t>. Geneva: WHO.</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Tam, C. C., et al. (2008). Longitudinal study of infectious intestinal disease in the UK. </w:t>
      </w:r>
      <w:r w:rsidRPr="0043787D">
        <w:rPr>
          <w:rFonts w:ascii="Times New Roman" w:eastAsia="Times New Roman" w:hAnsi="Times New Roman" w:cs="Times New Roman"/>
          <w:i/>
          <w:iCs/>
          <w:sz w:val="24"/>
          <w:szCs w:val="24"/>
          <w:lang w:val="en-US"/>
        </w:rPr>
        <w:t>British Medical Journal</w:t>
      </w:r>
      <w:r w:rsidRPr="0043787D">
        <w:rPr>
          <w:rFonts w:ascii="Times New Roman" w:eastAsia="Times New Roman" w:hAnsi="Times New Roman" w:cs="Times New Roman"/>
          <w:sz w:val="24"/>
          <w:szCs w:val="24"/>
          <w:lang w:val="en-US"/>
        </w:rPr>
        <w:t>, 336, 567–571.</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World Health Organization (WHO). (2018). </w:t>
      </w:r>
      <w:r w:rsidRPr="0043787D">
        <w:rPr>
          <w:rFonts w:ascii="Times New Roman" w:eastAsia="Times New Roman" w:hAnsi="Times New Roman" w:cs="Times New Roman"/>
          <w:i/>
          <w:iCs/>
          <w:sz w:val="24"/>
          <w:szCs w:val="24"/>
          <w:lang w:val="en-US"/>
        </w:rPr>
        <w:t>Guidelines on sanitation and health</w:t>
      </w:r>
      <w:r w:rsidRPr="0043787D">
        <w:rPr>
          <w:rFonts w:ascii="Times New Roman" w:eastAsia="Times New Roman" w:hAnsi="Times New Roman" w:cs="Times New Roman"/>
          <w:sz w:val="24"/>
          <w:szCs w:val="24"/>
          <w:lang w:val="en-US"/>
        </w:rPr>
        <w:t>. Geneva: WHO.</w:t>
      </w: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World Health Organization (WHO). (2022). </w:t>
      </w:r>
      <w:r w:rsidRPr="0043787D">
        <w:rPr>
          <w:rFonts w:ascii="Times New Roman" w:eastAsia="Times New Roman" w:hAnsi="Times New Roman" w:cs="Times New Roman"/>
          <w:i/>
          <w:iCs/>
          <w:sz w:val="24"/>
          <w:szCs w:val="24"/>
          <w:lang w:val="en-US"/>
        </w:rPr>
        <w:t>Typhoid and other invasive Salmonella infections</w:t>
      </w:r>
      <w:r w:rsidRPr="0043787D">
        <w:rPr>
          <w:rFonts w:ascii="Times New Roman" w:eastAsia="Times New Roman" w:hAnsi="Times New Roman" w:cs="Times New Roman"/>
          <w:sz w:val="24"/>
          <w:szCs w:val="24"/>
          <w:lang w:val="en-US"/>
        </w:rPr>
        <w:t>. Geneva: WHO.</w:t>
      </w:r>
    </w:p>
    <w:p w:rsidR="0043787D" w:rsidRPr="0043787D" w:rsidRDefault="0043787D" w:rsidP="0043787D">
      <w:pPr>
        <w:pBdr>
          <w:bottom w:val="single" w:sz="6" w:space="1" w:color="auto"/>
        </w:pBdr>
        <w:spacing w:after="0" w:line="240" w:lineRule="auto"/>
        <w:jc w:val="center"/>
        <w:rPr>
          <w:rFonts w:ascii="Arial" w:eastAsia="Times New Roman" w:hAnsi="Arial" w:cs="Arial"/>
          <w:vanish/>
          <w:sz w:val="16"/>
          <w:szCs w:val="16"/>
          <w:lang w:val="en-US"/>
        </w:rPr>
      </w:pPr>
      <w:r w:rsidRPr="0043787D">
        <w:rPr>
          <w:rFonts w:ascii="Arial" w:eastAsia="Times New Roman" w:hAnsi="Arial" w:cs="Arial"/>
          <w:vanish/>
          <w:sz w:val="16"/>
          <w:szCs w:val="16"/>
          <w:lang w:val="en-US"/>
        </w:rPr>
        <w:t>Top of Form</w:t>
      </w:r>
    </w:p>
    <w:p w:rsidR="0043787D" w:rsidRPr="0043787D" w:rsidRDefault="0043787D" w:rsidP="0043787D">
      <w:pPr>
        <w:spacing w:after="0" w:line="240" w:lineRule="auto"/>
        <w:rPr>
          <w:rFonts w:ascii="Times New Roman" w:eastAsia="Times New Roman" w:hAnsi="Times New Roman" w:cs="Times New Roman"/>
          <w:sz w:val="24"/>
          <w:szCs w:val="24"/>
          <w:lang w:val="en-US"/>
        </w:rPr>
      </w:pPr>
    </w:p>
    <w:p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p>
    <w:p w:rsidR="0043787D" w:rsidRPr="0043787D" w:rsidRDefault="0043787D" w:rsidP="0043787D">
      <w:pPr>
        <w:pBdr>
          <w:top w:val="single" w:sz="6" w:space="1" w:color="auto"/>
        </w:pBdr>
        <w:spacing w:after="0" w:line="240" w:lineRule="auto"/>
        <w:jc w:val="center"/>
        <w:rPr>
          <w:rFonts w:ascii="Arial" w:eastAsia="Times New Roman" w:hAnsi="Arial" w:cs="Arial"/>
          <w:vanish/>
          <w:sz w:val="16"/>
          <w:szCs w:val="16"/>
          <w:lang w:val="en-US"/>
        </w:rPr>
      </w:pPr>
      <w:r w:rsidRPr="0043787D">
        <w:rPr>
          <w:rFonts w:ascii="Arial" w:eastAsia="Times New Roman" w:hAnsi="Arial" w:cs="Arial"/>
          <w:vanish/>
          <w:sz w:val="16"/>
          <w:szCs w:val="16"/>
          <w:lang w:val="en-US"/>
        </w:rPr>
        <w:t>Bottom of Form</w:t>
      </w:r>
    </w:p>
    <w:p w:rsidR="00C47F9F" w:rsidRPr="0071129D" w:rsidRDefault="00C47F9F" w:rsidP="00C47F9F">
      <w:pPr>
        <w:rPr>
          <w:rFonts w:ascii="Times New Roman" w:hAnsi="Times New Roman" w:cs="Times New Roman"/>
          <w:sz w:val="24"/>
          <w:szCs w:val="24"/>
        </w:rPr>
      </w:pPr>
    </w:p>
    <w:p w:rsidR="00C47F9F" w:rsidRPr="0071129D" w:rsidRDefault="00C47F9F" w:rsidP="00C47F9F">
      <w:pPr>
        <w:spacing w:line="240" w:lineRule="auto"/>
        <w:jc w:val="both"/>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rPr>
          <w:rFonts w:ascii="Times New Roman" w:hAnsi="Times New Roman" w:cs="Times New Roman"/>
          <w:sz w:val="24"/>
          <w:szCs w:val="24"/>
        </w:rPr>
      </w:pPr>
    </w:p>
    <w:p w:rsidR="00C47F9F" w:rsidRPr="0071129D" w:rsidRDefault="00C47F9F" w:rsidP="00C47F9F">
      <w:pPr>
        <w:tabs>
          <w:tab w:val="left" w:pos="1485"/>
        </w:tabs>
        <w:rPr>
          <w:rFonts w:ascii="Times New Roman" w:hAnsi="Times New Roman" w:cs="Times New Roman"/>
          <w:sz w:val="24"/>
          <w:szCs w:val="24"/>
        </w:rPr>
      </w:pPr>
      <w:r w:rsidRPr="0071129D">
        <w:rPr>
          <w:rFonts w:ascii="Times New Roman" w:hAnsi="Times New Roman" w:cs="Times New Roman"/>
          <w:sz w:val="24"/>
          <w:szCs w:val="24"/>
        </w:rPr>
        <w:tab/>
      </w:r>
    </w:p>
    <w:p w:rsidR="00C47F9F" w:rsidRPr="0071129D" w:rsidRDefault="00C47F9F" w:rsidP="00C47F9F">
      <w:pPr>
        <w:tabs>
          <w:tab w:val="left" w:pos="1485"/>
        </w:tabs>
        <w:rPr>
          <w:rFonts w:ascii="Times New Roman" w:hAnsi="Times New Roman" w:cs="Times New Roman"/>
          <w:sz w:val="24"/>
          <w:szCs w:val="24"/>
        </w:rPr>
      </w:pPr>
    </w:p>
    <w:p w:rsidR="00C47F9F" w:rsidRPr="0071129D" w:rsidRDefault="00C47F9F" w:rsidP="00C47F9F">
      <w:pPr>
        <w:tabs>
          <w:tab w:val="left" w:pos="1485"/>
        </w:tabs>
        <w:rPr>
          <w:rFonts w:ascii="Times New Roman" w:hAnsi="Times New Roman" w:cs="Times New Roman"/>
          <w:sz w:val="24"/>
          <w:szCs w:val="24"/>
        </w:rPr>
      </w:pPr>
    </w:p>
    <w:p w:rsidR="00C47F9F" w:rsidRDefault="00C47F9F" w:rsidP="00814CF2">
      <w:pPr>
        <w:spacing w:after="0" w:line="240" w:lineRule="auto"/>
        <w:rPr>
          <w:rFonts w:ascii="Times New Roman" w:eastAsia="Times New Roman" w:hAnsi="Times New Roman" w:cs="Times New Roman"/>
          <w:b/>
          <w:sz w:val="24"/>
          <w:szCs w:val="24"/>
        </w:rPr>
        <w:sectPr w:rsidR="00C47F9F">
          <w:pgSz w:w="12240" w:h="15840"/>
          <w:pgMar w:top="1440" w:right="1440" w:bottom="1440" w:left="1440" w:header="708" w:footer="708" w:gutter="0"/>
          <w:cols w:space="708"/>
          <w:docGrid w:linePitch="360"/>
        </w:sectPr>
      </w:pPr>
    </w:p>
    <w:p w:rsidR="00C47F9F" w:rsidRPr="0071129D" w:rsidRDefault="00C47F9F" w:rsidP="00C47F9F">
      <w:pPr>
        <w:spacing w:after="0" w:line="240" w:lineRule="auto"/>
        <w:rPr>
          <w:rFonts w:ascii="Times New Roman" w:eastAsia="Times New Roman" w:hAnsi="Times New Roman" w:cs="Times New Roman"/>
          <w:kern w:val="2"/>
          <w:sz w:val="24"/>
          <w:szCs w:val="24"/>
          <w14:ligatures w14:val="standardContextual"/>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Pr="0071129D" w:rsidRDefault="00C47F9F" w:rsidP="00C47F9F">
      <w:pPr>
        <w:spacing w:after="0" w:line="240" w:lineRule="auto"/>
        <w:rPr>
          <w:rFonts w:ascii="Times New Roman" w:eastAsia="Times New Roman" w:hAnsi="Times New Roman" w:cs="Times New Roman"/>
          <w:sz w:val="24"/>
          <w:szCs w:val="24"/>
        </w:rPr>
      </w:pPr>
    </w:p>
    <w:p w:rsidR="00C47F9F" w:rsidRDefault="00C47F9F" w:rsidP="00C47F9F">
      <w:pPr>
        <w:spacing w:after="0" w:line="240" w:lineRule="auto"/>
        <w:rPr>
          <w:rFonts w:ascii="Times New Roman" w:hAnsi="Times New Roman" w:cs="Times New Roman"/>
          <w:sz w:val="24"/>
          <w:szCs w:val="24"/>
        </w:rPr>
        <w:sectPr w:rsidR="00C47F9F">
          <w:pgSz w:w="12240" w:h="15840"/>
          <w:pgMar w:top="1440" w:right="1440" w:bottom="1440" w:left="1440" w:header="708" w:footer="708" w:gutter="0"/>
          <w:cols w:space="708"/>
          <w:docGrid w:linePitch="360"/>
        </w:sect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Pr="0071129D" w:rsidRDefault="00CB0BCC" w:rsidP="00CB0BCC">
      <w:pPr>
        <w:rPr>
          <w:rFonts w:ascii="Times New Roman" w:hAnsi="Times New Roman" w:cs="Times New Roman"/>
          <w:sz w:val="24"/>
          <w:szCs w:val="24"/>
        </w:rPr>
      </w:pPr>
    </w:p>
    <w:p w:rsidR="00CB0BCC" w:rsidRDefault="00CB0BCC" w:rsidP="00186E38">
      <w:pPr>
        <w:spacing w:line="480" w:lineRule="auto"/>
        <w:jc w:val="both"/>
      </w:pPr>
    </w:p>
    <w:sectPr w:rsidR="00CB0B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F7A79"/>
    <w:multiLevelType w:val="hybridMultilevel"/>
    <w:tmpl w:val="6E9A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26D2A"/>
    <w:multiLevelType w:val="hybridMultilevel"/>
    <w:tmpl w:val="7C6C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A0F94"/>
    <w:multiLevelType w:val="hybridMultilevel"/>
    <w:tmpl w:val="5FC6A9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38"/>
    <w:rsid w:val="00166B62"/>
    <w:rsid w:val="00186E38"/>
    <w:rsid w:val="001C4CEC"/>
    <w:rsid w:val="00200505"/>
    <w:rsid w:val="002646CF"/>
    <w:rsid w:val="00273206"/>
    <w:rsid w:val="00286910"/>
    <w:rsid w:val="00340149"/>
    <w:rsid w:val="00345CD8"/>
    <w:rsid w:val="003F7357"/>
    <w:rsid w:val="0043787D"/>
    <w:rsid w:val="004404DE"/>
    <w:rsid w:val="00454E5F"/>
    <w:rsid w:val="004937C1"/>
    <w:rsid w:val="005C6F15"/>
    <w:rsid w:val="006861A2"/>
    <w:rsid w:val="006A6057"/>
    <w:rsid w:val="006C4C49"/>
    <w:rsid w:val="00722D00"/>
    <w:rsid w:val="0078495D"/>
    <w:rsid w:val="007A353D"/>
    <w:rsid w:val="007E4686"/>
    <w:rsid w:val="00814CF2"/>
    <w:rsid w:val="00850CF7"/>
    <w:rsid w:val="008A02C4"/>
    <w:rsid w:val="008B6478"/>
    <w:rsid w:val="008C72F1"/>
    <w:rsid w:val="0093453B"/>
    <w:rsid w:val="00A5506D"/>
    <w:rsid w:val="00AC3887"/>
    <w:rsid w:val="00B153A8"/>
    <w:rsid w:val="00B20280"/>
    <w:rsid w:val="00B37F20"/>
    <w:rsid w:val="00B73DC2"/>
    <w:rsid w:val="00B831FA"/>
    <w:rsid w:val="00BA58D6"/>
    <w:rsid w:val="00C47F9F"/>
    <w:rsid w:val="00C757D3"/>
    <w:rsid w:val="00CA4029"/>
    <w:rsid w:val="00CB0BCC"/>
    <w:rsid w:val="00D215E9"/>
    <w:rsid w:val="00D26D9D"/>
    <w:rsid w:val="00DB7200"/>
    <w:rsid w:val="00E104B5"/>
    <w:rsid w:val="00E57527"/>
    <w:rsid w:val="00ED1D23"/>
    <w:rsid w:val="00EE1F09"/>
    <w:rsid w:val="00F61B4B"/>
    <w:rsid w:val="00FD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B397"/>
  <w15:chartTrackingRefBased/>
  <w15:docId w15:val="{FCD17948-2B06-4EF2-8CE9-D0BB4C7D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E38"/>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E38"/>
    <w:pPr>
      <w:ind w:left="720"/>
      <w:contextualSpacing/>
    </w:pPr>
  </w:style>
  <w:style w:type="paragraph" w:customStyle="1" w:styleId="Affiliation">
    <w:name w:val="Affiliation"/>
    <w:basedOn w:val="Normal"/>
    <w:rsid w:val="00E57527"/>
    <w:pPr>
      <w:spacing w:after="240" w:line="240" w:lineRule="exact"/>
      <w:jc w:val="right"/>
    </w:pPr>
    <w:rPr>
      <w:rFonts w:ascii="Helvetica" w:eastAsia="Times New Roman" w:hAnsi="Helvetica" w:cs="Times New Roman"/>
      <w:sz w:val="20"/>
      <w:szCs w:val="20"/>
      <w:lang w:val="en-US"/>
    </w:rPr>
  </w:style>
  <w:style w:type="character" w:customStyle="1" w:styleId="whitespace-normal">
    <w:name w:val="whitespace-normal"/>
    <w:basedOn w:val="DefaultParagraphFont"/>
    <w:rsid w:val="00273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3100">
      <w:bodyDiv w:val="1"/>
      <w:marLeft w:val="0"/>
      <w:marRight w:val="0"/>
      <w:marTop w:val="0"/>
      <w:marBottom w:val="0"/>
      <w:divBdr>
        <w:top w:val="none" w:sz="0" w:space="0" w:color="auto"/>
        <w:left w:val="none" w:sz="0" w:space="0" w:color="auto"/>
        <w:bottom w:val="none" w:sz="0" w:space="0" w:color="auto"/>
        <w:right w:val="none" w:sz="0" w:space="0" w:color="auto"/>
      </w:divBdr>
    </w:div>
    <w:div w:id="1105073783">
      <w:bodyDiv w:val="1"/>
      <w:marLeft w:val="0"/>
      <w:marRight w:val="0"/>
      <w:marTop w:val="0"/>
      <w:marBottom w:val="0"/>
      <w:divBdr>
        <w:top w:val="none" w:sz="0" w:space="0" w:color="auto"/>
        <w:left w:val="none" w:sz="0" w:space="0" w:color="auto"/>
        <w:bottom w:val="none" w:sz="0" w:space="0" w:color="auto"/>
        <w:right w:val="none" w:sz="0" w:space="0" w:color="auto"/>
      </w:divBdr>
    </w:div>
    <w:div w:id="1228492835">
      <w:bodyDiv w:val="1"/>
      <w:marLeft w:val="0"/>
      <w:marRight w:val="0"/>
      <w:marTop w:val="0"/>
      <w:marBottom w:val="0"/>
      <w:divBdr>
        <w:top w:val="none" w:sz="0" w:space="0" w:color="auto"/>
        <w:left w:val="none" w:sz="0" w:space="0" w:color="auto"/>
        <w:bottom w:val="none" w:sz="0" w:space="0" w:color="auto"/>
        <w:right w:val="none" w:sz="0" w:space="0" w:color="auto"/>
      </w:divBdr>
    </w:div>
    <w:div w:id="1828671461">
      <w:bodyDiv w:val="1"/>
      <w:marLeft w:val="0"/>
      <w:marRight w:val="0"/>
      <w:marTop w:val="0"/>
      <w:marBottom w:val="0"/>
      <w:divBdr>
        <w:top w:val="none" w:sz="0" w:space="0" w:color="auto"/>
        <w:left w:val="none" w:sz="0" w:space="0" w:color="auto"/>
        <w:bottom w:val="none" w:sz="0" w:space="0" w:color="auto"/>
        <w:right w:val="none" w:sz="0" w:space="0" w:color="auto"/>
      </w:divBdr>
      <w:divsChild>
        <w:div w:id="2003660102">
          <w:marLeft w:val="0"/>
          <w:marRight w:val="0"/>
          <w:marTop w:val="0"/>
          <w:marBottom w:val="0"/>
          <w:divBdr>
            <w:top w:val="none" w:sz="0" w:space="0" w:color="auto"/>
            <w:left w:val="none" w:sz="0" w:space="0" w:color="auto"/>
            <w:bottom w:val="none" w:sz="0" w:space="0" w:color="auto"/>
            <w:right w:val="none" w:sz="0" w:space="0" w:color="auto"/>
          </w:divBdr>
          <w:divsChild>
            <w:div w:id="2102139382">
              <w:marLeft w:val="0"/>
              <w:marRight w:val="0"/>
              <w:marTop w:val="0"/>
              <w:marBottom w:val="0"/>
              <w:divBdr>
                <w:top w:val="none" w:sz="0" w:space="0" w:color="auto"/>
                <w:left w:val="none" w:sz="0" w:space="0" w:color="auto"/>
                <w:bottom w:val="none" w:sz="0" w:space="0" w:color="auto"/>
                <w:right w:val="none" w:sz="0" w:space="0" w:color="auto"/>
              </w:divBdr>
              <w:divsChild>
                <w:div w:id="174616921">
                  <w:marLeft w:val="0"/>
                  <w:marRight w:val="0"/>
                  <w:marTop w:val="0"/>
                  <w:marBottom w:val="0"/>
                  <w:divBdr>
                    <w:top w:val="none" w:sz="0" w:space="0" w:color="auto"/>
                    <w:left w:val="none" w:sz="0" w:space="0" w:color="auto"/>
                    <w:bottom w:val="none" w:sz="0" w:space="0" w:color="auto"/>
                    <w:right w:val="none" w:sz="0" w:space="0" w:color="auto"/>
                  </w:divBdr>
                  <w:divsChild>
                    <w:div w:id="1613513699">
                      <w:marLeft w:val="0"/>
                      <w:marRight w:val="0"/>
                      <w:marTop w:val="0"/>
                      <w:marBottom w:val="0"/>
                      <w:divBdr>
                        <w:top w:val="none" w:sz="0" w:space="0" w:color="auto"/>
                        <w:left w:val="none" w:sz="0" w:space="0" w:color="auto"/>
                        <w:bottom w:val="none" w:sz="0" w:space="0" w:color="auto"/>
                        <w:right w:val="none" w:sz="0" w:space="0" w:color="auto"/>
                      </w:divBdr>
                      <w:divsChild>
                        <w:div w:id="1897735550">
                          <w:marLeft w:val="0"/>
                          <w:marRight w:val="0"/>
                          <w:marTop w:val="0"/>
                          <w:marBottom w:val="0"/>
                          <w:divBdr>
                            <w:top w:val="none" w:sz="0" w:space="0" w:color="auto"/>
                            <w:left w:val="none" w:sz="0" w:space="0" w:color="auto"/>
                            <w:bottom w:val="none" w:sz="0" w:space="0" w:color="auto"/>
                            <w:right w:val="none" w:sz="0" w:space="0" w:color="auto"/>
                          </w:divBdr>
                          <w:divsChild>
                            <w:div w:id="280503712">
                              <w:marLeft w:val="0"/>
                              <w:marRight w:val="0"/>
                              <w:marTop w:val="0"/>
                              <w:marBottom w:val="0"/>
                              <w:divBdr>
                                <w:top w:val="none" w:sz="0" w:space="0" w:color="auto"/>
                                <w:left w:val="none" w:sz="0" w:space="0" w:color="auto"/>
                                <w:bottom w:val="none" w:sz="0" w:space="0" w:color="auto"/>
                                <w:right w:val="none" w:sz="0" w:space="0" w:color="auto"/>
                              </w:divBdr>
                              <w:divsChild>
                                <w:div w:id="1371952501">
                                  <w:marLeft w:val="0"/>
                                  <w:marRight w:val="0"/>
                                  <w:marTop w:val="0"/>
                                  <w:marBottom w:val="0"/>
                                  <w:divBdr>
                                    <w:top w:val="none" w:sz="0" w:space="0" w:color="auto"/>
                                    <w:left w:val="none" w:sz="0" w:space="0" w:color="auto"/>
                                    <w:bottom w:val="none" w:sz="0" w:space="0" w:color="auto"/>
                                    <w:right w:val="none" w:sz="0" w:space="0" w:color="auto"/>
                                  </w:divBdr>
                                  <w:divsChild>
                                    <w:div w:id="11052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321951">
          <w:marLeft w:val="0"/>
          <w:marRight w:val="0"/>
          <w:marTop w:val="0"/>
          <w:marBottom w:val="0"/>
          <w:divBdr>
            <w:top w:val="none" w:sz="0" w:space="0" w:color="auto"/>
            <w:left w:val="none" w:sz="0" w:space="0" w:color="auto"/>
            <w:bottom w:val="none" w:sz="0" w:space="0" w:color="auto"/>
            <w:right w:val="none" w:sz="0" w:space="0" w:color="auto"/>
          </w:divBdr>
          <w:divsChild>
            <w:div w:id="852183553">
              <w:marLeft w:val="0"/>
              <w:marRight w:val="0"/>
              <w:marTop w:val="0"/>
              <w:marBottom w:val="0"/>
              <w:divBdr>
                <w:top w:val="none" w:sz="0" w:space="0" w:color="auto"/>
                <w:left w:val="none" w:sz="0" w:space="0" w:color="auto"/>
                <w:bottom w:val="none" w:sz="0" w:space="0" w:color="auto"/>
                <w:right w:val="none" w:sz="0" w:space="0" w:color="auto"/>
              </w:divBdr>
              <w:divsChild>
                <w:div w:id="190412810">
                  <w:marLeft w:val="0"/>
                  <w:marRight w:val="0"/>
                  <w:marTop w:val="0"/>
                  <w:marBottom w:val="0"/>
                  <w:divBdr>
                    <w:top w:val="none" w:sz="0" w:space="0" w:color="auto"/>
                    <w:left w:val="none" w:sz="0" w:space="0" w:color="auto"/>
                    <w:bottom w:val="none" w:sz="0" w:space="0" w:color="auto"/>
                    <w:right w:val="none" w:sz="0" w:space="0" w:color="auto"/>
                  </w:divBdr>
                  <w:divsChild>
                    <w:div w:id="1339387051">
                      <w:marLeft w:val="0"/>
                      <w:marRight w:val="0"/>
                      <w:marTop w:val="0"/>
                      <w:marBottom w:val="0"/>
                      <w:divBdr>
                        <w:top w:val="none" w:sz="0" w:space="0" w:color="auto"/>
                        <w:left w:val="none" w:sz="0" w:space="0" w:color="auto"/>
                        <w:bottom w:val="none" w:sz="0" w:space="0" w:color="auto"/>
                        <w:right w:val="none" w:sz="0" w:space="0" w:color="auto"/>
                      </w:divBdr>
                      <w:divsChild>
                        <w:div w:id="1190073070">
                          <w:marLeft w:val="0"/>
                          <w:marRight w:val="0"/>
                          <w:marTop w:val="0"/>
                          <w:marBottom w:val="0"/>
                          <w:divBdr>
                            <w:top w:val="none" w:sz="0" w:space="0" w:color="auto"/>
                            <w:left w:val="none" w:sz="0" w:space="0" w:color="auto"/>
                            <w:bottom w:val="none" w:sz="0" w:space="0" w:color="auto"/>
                            <w:right w:val="none" w:sz="0" w:space="0" w:color="auto"/>
                          </w:divBdr>
                          <w:divsChild>
                            <w:div w:id="1844585910">
                              <w:marLeft w:val="0"/>
                              <w:marRight w:val="0"/>
                              <w:marTop w:val="0"/>
                              <w:marBottom w:val="0"/>
                              <w:divBdr>
                                <w:top w:val="none" w:sz="0" w:space="0" w:color="auto"/>
                                <w:left w:val="none" w:sz="0" w:space="0" w:color="auto"/>
                                <w:bottom w:val="none" w:sz="0" w:space="0" w:color="auto"/>
                                <w:right w:val="none" w:sz="0" w:space="0" w:color="auto"/>
                              </w:divBdr>
                              <w:divsChild>
                                <w:div w:id="93595447">
                                  <w:marLeft w:val="0"/>
                                  <w:marRight w:val="0"/>
                                  <w:marTop w:val="0"/>
                                  <w:marBottom w:val="0"/>
                                  <w:divBdr>
                                    <w:top w:val="none" w:sz="0" w:space="0" w:color="auto"/>
                                    <w:left w:val="none" w:sz="0" w:space="0" w:color="auto"/>
                                    <w:bottom w:val="none" w:sz="0" w:space="0" w:color="auto"/>
                                    <w:right w:val="none" w:sz="0" w:space="0" w:color="auto"/>
                                  </w:divBdr>
                                  <w:divsChild>
                                    <w:div w:id="1270891715">
                                      <w:marLeft w:val="0"/>
                                      <w:marRight w:val="0"/>
                                      <w:marTop w:val="0"/>
                                      <w:marBottom w:val="0"/>
                                      <w:divBdr>
                                        <w:top w:val="none" w:sz="0" w:space="0" w:color="auto"/>
                                        <w:left w:val="none" w:sz="0" w:space="0" w:color="auto"/>
                                        <w:bottom w:val="none" w:sz="0" w:space="0" w:color="auto"/>
                                        <w:right w:val="none" w:sz="0" w:space="0" w:color="auto"/>
                                      </w:divBdr>
                                      <w:divsChild>
                                        <w:div w:id="1296988807">
                                          <w:marLeft w:val="0"/>
                                          <w:marRight w:val="0"/>
                                          <w:marTop w:val="0"/>
                                          <w:marBottom w:val="0"/>
                                          <w:divBdr>
                                            <w:top w:val="none" w:sz="0" w:space="0" w:color="auto"/>
                                            <w:left w:val="none" w:sz="0" w:space="0" w:color="auto"/>
                                            <w:bottom w:val="none" w:sz="0" w:space="0" w:color="auto"/>
                                            <w:right w:val="none" w:sz="0" w:space="0" w:color="auto"/>
                                          </w:divBdr>
                                          <w:divsChild>
                                            <w:div w:id="9999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3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23</Pages>
  <Words>4415</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35</cp:revision>
  <dcterms:created xsi:type="dcterms:W3CDTF">2026-01-21T21:18:00Z</dcterms:created>
  <dcterms:modified xsi:type="dcterms:W3CDTF">2026-03-05T05:41:00Z</dcterms:modified>
</cp:coreProperties>
</file>