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7CBAC" w14:textId="77777777" w:rsidR="00D61EF3" w:rsidRDefault="00D61EF3" w:rsidP="006A6DE6">
      <w:pPr>
        <w:pStyle w:val="Author"/>
        <w:rPr>
          <w:rFonts w:ascii="Arial" w:hAnsi="Arial" w:cs="Arial"/>
          <w:bCs/>
          <w:iCs/>
          <w:kern w:val="28"/>
          <w:sz w:val="30"/>
          <w:szCs w:val="14"/>
        </w:rPr>
      </w:pPr>
    </w:p>
    <w:p w14:paraId="3F22B4F9" w14:textId="59AE12CB" w:rsidR="006A6DE6" w:rsidRPr="00BE6806" w:rsidRDefault="007D7486" w:rsidP="00BE6806">
      <w:pPr>
        <w:pStyle w:val="Affiliation"/>
        <w:spacing w:line="240" w:lineRule="auto"/>
        <w:rPr>
          <w:rFonts w:ascii="Arial" w:hAnsi="Arial" w:cs="Arial"/>
          <w:b/>
          <w:bCs/>
          <w:sz w:val="38"/>
          <w:szCs w:val="34"/>
        </w:rPr>
      </w:pPr>
      <w:r w:rsidRPr="00BE6806">
        <w:rPr>
          <w:rFonts w:ascii="Arial" w:hAnsi="Arial" w:cs="Arial"/>
          <w:b/>
          <w:bCs/>
          <w:sz w:val="34"/>
          <w:szCs w:val="34"/>
        </w:rPr>
        <w:t xml:space="preserve">Multidisciplinary Preoperative Evaluation </w:t>
      </w:r>
      <w:r>
        <w:rPr>
          <w:rFonts w:ascii="Arial" w:hAnsi="Arial" w:cs="Arial"/>
          <w:b/>
          <w:bCs/>
          <w:sz w:val="34"/>
          <w:szCs w:val="34"/>
        </w:rPr>
        <w:t>a</w:t>
      </w:r>
      <w:r w:rsidRPr="00BE6806">
        <w:rPr>
          <w:rFonts w:ascii="Arial" w:hAnsi="Arial" w:cs="Arial"/>
          <w:b/>
          <w:bCs/>
          <w:sz w:val="34"/>
          <w:szCs w:val="34"/>
        </w:rPr>
        <w:t xml:space="preserve">nd Ethical Decision-Making </w:t>
      </w:r>
      <w:r>
        <w:rPr>
          <w:rFonts w:ascii="Arial" w:hAnsi="Arial" w:cs="Arial"/>
          <w:b/>
          <w:bCs/>
          <w:sz w:val="34"/>
          <w:szCs w:val="34"/>
        </w:rPr>
        <w:t>i</w:t>
      </w:r>
      <w:r w:rsidRPr="00BE6806">
        <w:rPr>
          <w:rFonts w:ascii="Arial" w:hAnsi="Arial" w:cs="Arial"/>
          <w:b/>
          <w:bCs/>
          <w:sz w:val="34"/>
          <w:szCs w:val="34"/>
        </w:rPr>
        <w:t>n Thoraco-</w:t>
      </w:r>
      <w:proofErr w:type="spellStart"/>
      <w:r w:rsidRPr="00BE6806">
        <w:rPr>
          <w:rFonts w:ascii="Arial" w:hAnsi="Arial" w:cs="Arial"/>
          <w:b/>
          <w:bCs/>
          <w:sz w:val="34"/>
          <w:szCs w:val="34"/>
        </w:rPr>
        <w:t>Omphalopagus</w:t>
      </w:r>
      <w:proofErr w:type="spellEnd"/>
      <w:r w:rsidRPr="00BE6806">
        <w:rPr>
          <w:rFonts w:ascii="Arial" w:hAnsi="Arial" w:cs="Arial"/>
          <w:b/>
          <w:bCs/>
          <w:sz w:val="34"/>
          <w:szCs w:val="34"/>
        </w:rPr>
        <w:t xml:space="preserve"> Conjoined Twins: A Case Report</w:t>
      </w:r>
    </w:p>
    <w:p w14:paraId="4E1A2532" w14:textId="77777777" w:rsidR="00363011" w:rsidRPr="006A6DE6" w:rsidRDefault="00363011" w:rsidP="006A6DE6">
      <w:pPr>
        <w:pStyle w:val="Affiliation"/>
        <w:spacing w:after="0" w:line="240" w:lineRule="auto"/>
        <w:rPr>
          <w:rFonts w:ascii="Arial" w:hAnsi="Arial" w:cs="Arial"/>
          <w:bCs/>
          <w:sz w:val="10"/>
          <w:szCs w:val="10"/>
        </w:rPr>
      </w:pPr>
    </w:p>
    <w:p w14:paraId="25C4CDED" w14:textId="77777777" w:rsidR="002C57D2" w:rsidRPr="00FB3A86" w:rsidRDefault="002C57D2" w:rsidP="00441B6F">
      <w:pPr>
        <w:pStyle w:val="Affiliation"/>
        <w:spacing w:after="0" w:line="240" w:lineRule="auto"/>
        <w:jc w:val="both"/>
        <w:rPr>
          <w:rFonts w:ascii="Arial" w:hAnsi="Arial" w:cs="Arial"/>
        </w:rPr>
      </w:pPr>
    </w:p>
    <w:p w14:paraId="0A1CD55E" w14:textId="77777777" w:rsidR="00B01FCD" w:rsidRPr="00FB3A86" w:rsidRDefault="00A210CA" w:rsidP="00441B6F">
      <w:pPr>
        <w:pStyle w:val="Copyright"/>
        <w:spacing w:after="0" w:line="240" w:lineRule="auto"/>
        <w:jc w:val="both"/>
        <w:rPr>
          <w:rFonts w:ascii="Arial" w:hAnsi="Arial" w:cs="Arial"/>
        </w:rPr>
        <w:sectPr w:rsidR="00B01FCD" w:rsidRPr="00FB3A86" w:rsidSect="007003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D3442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F322994" w14:textId="2F51C2D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71CF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ABE992" w14:textId="77777777" w:rsidTr="001E44FE">
        <w:tc>
          <w:tcPr>
            <w:tcW w:w="9576" w:type="dxa"/>
            <w:shd w:val="clear" w:color="auto" w:fill="F2F2F2"/>
          </w:tcPr>
          <w:p w14:paraId="0BC0396F" w14:textId="77777777" w:rsidR="006A6DE6" w:rsidRPr="006A6DE6" w:rsidRDefault="006A6DE6" w:rsidP="006A6DE6">
            <w:pPr>
              <w:pStyle w:val="Body"/>
              <w:rPr>
                <w:rFonts w:ascii="Arial" w:eastAsia="Calibri" w:hAnsi="Arial" w:cs="Arial"/>
                <w:szCs w:val="22"/>
              </w:rPr>
            </w:pPr>
            <w:r w:rsidRPr="007D7486">
              <w:rPr>
                <w:rFonts w:ascii="Arial" w:eastAsia="Calibri" w:hAnsi="Arial" w:cs="Arial"/>
                <w:b/>
                <w:szCs w:val="22"/>
              </w:rPr>
              <w:t>Background:</w:t>
            </w:r>
            <w:r w:rsidRPr="006A6DE6">
              <w:rPr>
                <w:rFonts w:ascii="Arial" w:eastAsia="Calibri" w:hAnsi="Arial" w:cs="Arial"/>
                <w:szCs w:val="22"/>
              </w:rPr>
              <w:t xml:space="preserve"> Thoraco-</w:t>
            </w:r>
            <w:proofErr w:type="spellStart"/>
            <w:r w:rsidRPr="006A6DE6">
              <w:rPr>
                <w:rFonts w:ascii="Arial" w:eastAsia="Calibri" w:hAnsi="Arial" w:cs="Arial"/>
                <w:szCs w:val="22"/>
              </w:rPr>
              <w:t>omphalopagus</w:t>
            </w:r>
            <w:proofErr w:type="spellEnd"/>
            <w:r w:rsidRPr="006A6DE6">
              <w:rPr>
                <w:rFonts w:ascii="Arial" w:eastAsia="Calibri" w:hAnsi="Arial" w:cs="Arial"/>
                <w:szCs w:val="22"/>
              </w:rPr>
              <w:t xml:space="preserve"> conjoined twins present extreme surgical and ethical complexity due to shared thoracoabdominal structures, most notably the liver and chest wall. While hepatic separation has been widely emphasized, the role of chest wall reconstruction as a determinant of postoperative physiological viability remains underreported.</w:t>
            </w:r>
          </w:p>
          <w:p w14:paraId="068AF823" w14:textId="1483C935" w:rsidR="008B6C93" w:rsidRDefault="008B6C93" w:rsidP="008B6C93">
            <w:pPr>
              <w:pStyle w:val="NormalWeb"/>
            </w:pPr>
            <w:r>
              <w:rPr>
                <w:rStyle w:val="Strong"/>
              </w:rPr>
              <w:t xml:space="preserve">Aim: </w:t>
            </w:r>
            <w:r>
              <w:t>Thoraco-</w:t>
            </w:r>
            <w:proofErr w:type="spellStart"/>
            <w:r>
              <w:t>omphalopagus</w:t>
            </w:r>
            <w:proofErr w:type="spellEnd"/>
            <w:r>
              <w:t xml:space="preserve"> conjoined twins represent one of the most complex congenital anomalies due to shared thoracoabdominal structures and the need for multidisciplinary decision-making. This report aims to describe the preoperative multidisciplinary evaluation and ethical considerations in the management of thoraco-</w:t>
            </w:r>
            <w:proofErr w:type="spellStart"/>
            <w:r>
              <w:t>omphalopagus</w:t>
            </w:r>
            <w:proofErr w:type="spellEnd"/>
            <w:r>
              <w:t xml:space="preserve"> conjoined twins.</w:t>
            </w:r>
          </w:p>
          <w:p w14:paraId="6182AB66" w14:textId="274B8EC0" w:rsidR="008B6C93" w:rsidRDefault="008B6C93" w:rsidP="008B6C93">
            <w:pPr>
              <w:pStyle w:val="NormalWeb"/>
            </w:pPr>
            <w:r>
              <w:rPr>
                <w:rStyle w:val="Strong"/>
              </w:rPr>
              <w:t xml:space="preserve">Presentation of Case: </w:t>
            </w:r>
            <w:r>
              <w:t>We report thoraco-</w:t>
            </w:r>
            <w:proofErr w:type="spellStart"/>
            <w:r>
              <w:t>omphalopagus</w:t>
            </w:r>
            <w:proofErr w:type="spellEnd"/>
            <w:r>
              <w:t xml:space="preserve"> conjoined twins diagnosed antenatally and delivered at a tertiary referral center. Postnatal evaluation revealed a shared sternum, contiguous rib cage, common diaphragm, and extensively fused liver with complex vascular interconnections. Imaging using contrast-enhanced CT and CT angiography was performed to delineate the anatomy and assess feasibility of separation. Multidisciplinary evaluation involving pediatric surgery, hepatobiliary surgery, neonatology, radiology, intensive care, and clinical ethics guided management. Due to neonatal pneumonia and physiological instability, definitive surgical separation had not yet been performed at the time of reporting.</w:t>
            </w:r>
          </w:p>
          <w:p w14:paraId="404A68D8" w14:textId="19E7D6E7" w:rsidR="008B6C93" w:rsidRDefault="008B6C93" w:rsidP="008B6C93">
            <w:pPr>
              <w:pStyle w:val="NormalWeb"/>
            </w:pPr>
            <w:r>
              <w:rPr>
                <w:rStyle w:val="Strong"/>
              </w:rPr>
              <w:t xml:space="preserve">Discussion: </w:t>
            </w:r>
            <w:r>
              <w:t>This case highlights the importance of comprehensive preoperative evaluation in thoraco-</w:t>
            </w:r>
            <w:proofErr w:type="spellStart"/>
            <w:r>
              <w:t>omphalopagus</w:t>
            </w:r>
            <w:proofErr w:type="spellEnd"/>
            <w:r>
              <w:t xml:space="preserve"> twins, particularly regarding hepatic vascular anatomy, chest wall integrity, and postoperative respiratory mechanics. Multidisciplinary collaboration and ethical deliberation were essential in balancing surgical feasibility with patient safety and anticipated quality of life.</w:t>
            </w:r>
          </w:p>
          <w:p w14:paraId="0FAF99CC" w14:textId="5168A834" w:rsidR="00505F06" w:rsidRPr="00BA1B01" w:rsidRDefault="008B6C93" w:rsidP="008B6C93">
            <w:pPr>
              <w:pStyle w:val="NormalWeb"/>
              <w:rPr>
                <w:rFonts w:ascii="Arial" w:eastAsia="Calibri" w:hAnsi="Arial" w:cs="Arial"/>
                <w:szCs w:val="22"/>
              </w:rPr>
            </w:pPr>
            <w:r>
              <w:rPr>
                <w:rStyle w:val="Strong"/>
              </w:rPr>
              <w:t xml:space="preserve">Conclusion: </w:t>
            </w:r>
            <w:r>
              <w:t>Thoraco-</w:t>
            </w:r>
            <w:proofErr w:type="spellStart"/>
            <w:r>
              <w:t>omphalopagus</w:t>
            </w:r>
            <w:proofErr w:type="spellEnd"/>
            <w:r>
              <w:t xml:space="preserve"> twin management requires careful integration of anatomical evaluation, multidisciplinary planning, and ethical decision-making. Reporting preoperative assessment and planning may contribute valuable insights for future surgical management of similar cases.</w:t>
            </w:r>
          </w:p>
        </w:tc>
      </w:tr>
    </w:tbl>
    <w:p w14:paraId="042C644E" w14:textId="77777777" w:rsidR="00636EB2" w:rsidRDefault="00636EB2" w:rsidP="00441B6F">
      <w:pPr>
        <w:pStyle w:val="Body"/>
        <w:spacing w:after="0"/>
        <w:rPr>
          <w:rFonts w:ascii="Arial" w:hAnsi="Arial" w:cs="Arial"/>
          <w:i/>
        </w:rPr>
      </w:pPr>
    </w:p>
    <w:p w14:paraId="3610A4C8" w14:textId="54A87217" w:rsidR="00A24E7E" w:rsidRDefault="006A6DE6" w:rsidP="00441B6F">
      <w:pPr>
        <w:pStyle w:val="Body"/>
        <w:spacing w:after="0"/>
        <w:rPr>
          <w:rFonts w:ascii="Arial" w:hAnsi="Arial" w:cs="Arial"/>
          <w:i/>
        </w:rPr>
      </w:pPr>
      <w:r w:rsidRPr="006A6DE6">
        <w:rPr>
          <w:rFonts w:ascii="Arial" w:hAnsi="Arial" w:cs="Arial"/>
          <w:i/>
        </w:rPr>
        <w:t>Keywords: Thoraco-</w:t>
      </w:r>
      <w:proofErr w:type="spellStart"/>
      <w:r w:rsidRPr="006A6DE6">
        <w:rPr>
          <w:rFonts w:ascii="Arial" w:hAnsi="Arial" w:cs="Arial"/>
          <w:i/>
        </w:rPr>
        <w:t>omphalopagus</w:t>
      </w:r>
      <w:proofErr w:type="spellEnd"/>
      <w:r w:rsidRPr="006A6DE6">
        <w:rPr>
          <w:rFonts w:ascii="Arial" w:hAnsi="Arial" w:cs="Arial"/>
          <w:i/>
        </w:rPr>
        <w:t xml:space="preserve"> Conjoined Twins, Chest Wall Reconstruction, Hepatic Separation, Ethics, Clinical evaluation</w:t>
      </w:r>
    </w:p>
    <w:p w14:paraId="378E5915" w14:textId="77777777" w:rsidR="00790ADA" w:rsidRDefault="00790ADA" w:rsidP="00441B6F">
      <w:pPr>
        <w:pStyle w:val="Body"/>
        <w:spacing w:after="0"/>
        <w:rPr>
          <w:rFonts w:ascii="Arial" w:hAnsi="Arial" w:cs="Arial"/>
          <w:i/>
        </w:rPr>
      </w:pPr>
    </w:p>
    <w:p w14:paraId="1BC23E26" w14:textId="41BB0982" w:rsidR="0024282C" w:rsidRDefault="0024282C" w:rsidP="00441B6F">
      <w:pPr>
        <w:pStyle w:val="Body"/>
        <w:spacing w:after="0"/>
        <w:rPr>
          <w:rFonts w:ascii="Arial" w:hAnsi="Arial" w:cs="Arial"/>
          <w:i/>
          <w:sz w:val="18"/>
        </w:rPr>
      </w:pPr>
    </w:p>
    <w:p w14:paraId="3F68872F" w14:textId="2816F071" w:rsidR="00700312" w:rsidRDefault="00700312" w:rsidP="00441B6F">
      <w:pPr>
        <w:pStyle w:val="Body"/>
        <w:spacing w:after="0"/>
        <w:rPr>
          <w:rFonts w:ascii="Arial" w:hAnsi="Arial" w:cs="Arial"/>
          <w:i/>
          <w:sz w:val="18"/>
        </w:rPr>
      </w:pPr>
    </w:p>
    <w:p w14:paraId="1312D4C7" w14:textId="77777777" w:rsidR="00700312" w:rsidRDefault="00700312" w:rsidP="00441B6F">
      <w:pPr>
        <w:pStyle w:val="Body"/>
        <w:spacing w:after="0"/>
        <w:rPr>
          <w:rFonts w:ascii="Arial" w:hAnsi="Arial" w:cs="Arial"/>
          <w:i/>
          <w:sz w:val="18"/>
        </w:rPr>
      </w:pPr>
    </w:p>
    <w:p w14:paraId="05D707FB" w14:textId="77777777" w:rsidR="00505F06" w:rsidRPr="00A24E7E" w:rsidRDefault="00505F06" w:rsidP="00441B6F">
      <w:pPr>
        <w:pStyle w:val="Body"/>
        <w:spacing w:after="0"/>
        <w:rPr>
          <w:rFonts w:ascii="Arial" w:hAnsi="Arial" w:cs="Arial"/>
          <w:i/>
        </w:rPr>
      </w:pPr>
    </w:p>
    <w:p w14:paraId="2559E94C" w14:textId="5ACD855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5B2692F" w14:textId="77777777" w:rsidR="0033236E" w:rsidRDefault="0033236E" w:rsidP="0033236E">
      <w:pPr>
        <w:pStyle w:val="NormalWeb"/>
        <w:ind w:firstLine="720"/>
        <w:jc w:val="both"/>
        <w:rPr>
          <w:rFonts w:ascii="Arial" w:hAnsi="Arial" w:cs="Arial"/>
        </w:rPr>
      </w:pPr>
      <w:r w:rsidRPr="0033236E">
        <w:rPr>
          <w:rFonts w:ascii="Arial" w:hAnsi="Arial" w:cs="Arial"/>
        </w:rPr>
        <w:t>Thoraco-</w:t>
      </w:r>
      <w:proofErr w:type="spellStart"/>
      <w:r w:rsidRPr="0033236E">
        <w:rPr>
          <w:rFonts w:ascii="Arial" w:hAnsi="Arial" w:cs="Arial"/>
        </w:rPr>
        <w:t>omphalopagus</w:t>
      </w:r>
      <w:proofErr w:type="spellEnd"/>
      <w:r w:rsidRPr="0033236E">
        <w:rPr>
          <w:rFonts w:ascii="Arial" w:hAnsi="Arial" w:cs="Arial"/>
        </w:rPr>
        <w:t xml:space="preserve"> conjoined twins represent one of the most complex congenital anomalies encountered in pediatric surgery, characterized by fusion of the thorax and upper abdomen with frequent sharing of structures such as the sternum, diaphragm, and liver [</w:t>
      </w:r>
      <w:proofErr w:type="gramStart"/>
      <w:r w:rsidRPr="0033236E">
        <w:rPr>
          <w:rFonts w:ascii="Arial" w:hAnsi="Arial" w:cs="Arial"/>
        </w:rPr>
        <w:t>¹,²</w:t>
      </w:r>
      <w:proofErr w:type="gramEnd"/>
      <w:r w:rsidRPr="0033236E">
        <w:rPr>
          <w:rFonts w:ascii="Arial" w:hAnsi="Arial" w:cs="Arial"/>
        </w:rPr>
        <w:t>]. Hepatic fusion is present in most cases and constitutes a major determinant of surgical feasibility, as variations in parenchymal continuity, vascular connections, and biliary anatomy require careful preoperative evaluation to prevent catastrophic hemorrhage or postoperative hepatic failure [</w:t>
      </w:r>
      <w:proofErr w:type="gramStart"/>
      <w:r w:rsidRPr="0033236E">
        <w:rPr>
          <w:rFonts w:ascii="Arial" w:hAnsi="Arial" w:cs="Arial"/>
        </w:rPr>
        <w:t>³,⁴</w:t>
      </w:r>
      <w:proofErr w:type="gramEnd"/>
      <w:r w:rsidRPr="0033236E">
        <w:rPr>
          <w:rFonts w:ascii="Arial" w:hAnsi="Arial" w:cs="Arial"/>
        </w:rPr>
        <w:t>]. Advanced imaging modalities, including contrast-enhanced computed tomography and three-dimensional reconstruction, have improved anatomical delineation and operative planning, although they cannot fully eliminate intraoperative risk [⁴]. In addition to visceral separation, reconstruction of the chest wall is a critical but often underreported aspect of thoraco-</w:t>
      </w:r>
      <w:proofErr w:type="spellStart"/>
      <w:r w:rsidRPr="0033236E">
        <w:rPr>
          <w:rFonts w:ascii="Arial" w:hAnsi="Arial" w:cs="Arial"/>
        </w:rPr>
        <w:t>omphalopagus</w:t>
      </w:r>
      <w:proofErr w:type="spellEnd"/>
      <w:r w:rsidRPr="0033236E">
        <w:rPr>
          <w:rFonts w:ascii="Arial" w:hAnsi="Arial" w:cs="Arial"/>
        </w:rPr>
        <w:t xml:space="preserve"> management, as shared sternum and ribs can significantly affect postoperative thoracic stability and respiratory mechanics [</w:t>
      </w:r>
      <w:proofErr w:type="gramStart"/>
      <w:r w:rsidRPr="0033236E">
        <w:rPr>
          <w:rFonts w:ascii="Arial" w:hAnsi="Arial" w:cs="Arial"/>
        </w:rPr>
        <w:t>⁵,⁶</w:t>
      </w:r>
      <w:proofErr w:type="gramEnd"/>
      <w:r w:rsidRPr="0033236E">
        <w:rPr>
          <w:rFonts w:ascii="Arial" w:hAnsi="Arial" w:cs="Arial"/>
        </w:rPr>
        <w:t xml:space="preserve">]. Inadequate reconstruction may result in respiratory compromise, paradoxical chest wall motion, and prolonged ventilatory dependence in the neonatal period [⁶]. </w:t>
      </w:r>
    </w:p>
    <w:p w14:paraId="062BEE16" w14:textId="5AC2FEB6" w:rsidR="0033236E" w:rsidRPr="0033236E" w:rsidRDefault="0033236E" w:rsidP="0033236E">
      <w:pPr>
        <w:pStyle w:val="NormalWeb"/>
        <w:ind w:firstLine="720"/>
        <w:jc w:val="both"/>
        <w:rPr>
          <w:rFonts w:ascii="Arial" w:hAnsi="Arial" w:cs="Arial"/>
        </w:rPr>
      </w:pPr>
      <w:r w:rsidRPr="0033236E">
        <w:rPr>
          <w:rFonts w:ascii="Arial" w:hAnsi="Arial" w:cs="Arial"/>
        </w:rPr>
        <w:t>Despite its importance, the literature remains largely focused on organ separation, with limited discussion of chest wall–centered reconstructive strategies and their integration with hepatic division [</w:t>
      </w:r>
      <w:proofErr w:type="gramStart"/>
      <w:r w:rsidRPr="0033236E">
        <w:rPr>
          <w:rFonts w:ascii="Arial" w:hAnsi="Arial" w:cs="Arial"/>
        </w:rPr>
        <w:t>⁷,⁸</w:t>
      </w:r>
      <w:proofErr w:type="gramEnd"/>
      <w:r w:rsidRPr="0033236E">
        <w:rPr>
          <w:rFonts w:ascii="Arial" w:hAnsi="Arial" w:cs="Arial"/>
        </w:rPr>
        <w:t>]. Furthermore, surgical decision-making in these cases is closely intertwined with ethical considerations, including proportionality of intervention, anticipated quality of life, and potential asymmetry of outcomes between twins [</w:t>
      </w:r>
      <w:proofErr w:type="gramStart"/>
      <w:r w:rsidRPr="0033236E">
        <w:rPr>
          <w:rFonts w:ascii="Arial" w:hAnsi="Arial" w:cs="Arial"/>
        </w:rPr>
        <w:t>⁹,¹</w:t>
      </w:r>
      <w:proofErr w:type="gramEnd"/>
      <w:r w:rsidRPr="0033236E">
        <w:rPr>
          <w:rFonts w:ascii="Arial" w:hAnsi="Arial" w:cs="Arial"/>
        </w:rPr>
        <w:t>⁰]. Because definitive surgical separation had not yet been performed at the time of reporting, this case report focuses on the preoperative evaluation, multidisciplinary planning, and ethical considerations guiding management in thoraco-</w:t>
      </w:r>
      <w:proofErr w:type="spellStart"/>
      <w:r w:rsidRPr="0033236E">
        <w:rPr>
          <w:rFonts w:ascii="Arial" w:hAnsi="Arial" w:cs="Arial"/>
        </w:rPr>
        <w:t>omphalopagus</w:t>
      </w:r>
      <w:proofErr w:type="spellEnd"/>
      <w:r w:rsidRPr="0033236E">
        <w:rPr>
          <w:rFonts w:ascii="Arial" w:hAnsi="Arial" w:cs="Arial"/>
        </w:rPr>
        <w:t xml:space="preserve"> conjoined twins.</w:t>
      </w:r>
    </w:p>
    <w:p w14:paraId="3C76C45A" w14:textId="77777777" w:rsidR="006A6DE6" w:rsidRPr="00FB3A86" w:rsidRDefault="006A6DE6" w:rsidP="006A6DE6">
      <w:pPr>
        <w:pStyle w:val="Body"/>
        <w:spacing w:after="0"/>
        <w:rPr>
          <w:rFonts w:ascii="Arial" w:hAnsi="Arial" w:cs="Arial"/>
        </w:rPr>
      </w:pPr>
    </w:p>
    <w:p w14:paraId="67BD4946" w14:textId="2F17289A" w:rsidR="00790ADA" w:rsidRDefault="00902823" w:rsidP="00441B6F">
      <w:pPr>
        <w:pStyle w:val="AbstHead"/>
        <w:spacing w:after="0"/>
        <w:jc w:val="both"/>
        <w:rPr>
          <w:rFonts w:ascii="Arial" w:hAnsi="Arial" w:cs="Arial"/>
        </w:rPr>
      </w:pPr>
      <w:r>
        <w:rPr>
          <w:rFonts w:ascii="Arial" w:hAnsi="Arial" w:cs="Arial"/>
        </w:rPr>
        <w:t xml:space="preserve">2. </w:t>
      </w:r>
      <w:r w:rsidR="006F6897">
        <w:rPr>
          <w:rFonts w:ascii="Arial" w:hAnsi="Arial" w:cs="Arial"/>
        </w:rPr>
        <w:t>Case presentation</w:t>
      </w:r>
    </w:p>
    <w:p w14:paraId="10131C7C" w14:textId="77777777" w:rsidR="006F6897" w:rsidRPr="00FB3A86" w:rsidRDefault="006F6897" w:rsidP="00441B6F">
      <w:pPr>
        <w:pStyle w:val="AbstHead"/>
        <w:spacing w:after="0"/>
        <w:jc w:val="both"/>
        <w:rPr>
          <w:rFonts w:ascii="Arial" w:hAnsi="Arial" w:cs="Arial"/>
        </w:rPr>
      </w:pPr>
    </w:p>
    <w:p w14:paraId="604D70C1" w14:textId="77777777" w:rsidR="006A6DE6" w:rsidRPr="006A6DE6" w:rsidRDefault="006A6DE6" w:rsidP="006A6DE6">
      <w:pPr>
        <w:pStyle w:val="Body"/>
        <w:rPr>
          <w:rFonts w:ascii="Arial" w:hAnsi="Arial" w:cs="Arial"/>
        </w:rPr>
      </w:pPr>
      <w:r w:rsidRPr="006A6DE6">
        <w:rPr>
          <w:rFonts w:ascii="Arial" w:hAnsi="Arial" w:cs="Arial"/>
        </w:rPr>
        <w:t>Patient Information</w:t>
      </w:r>
    </w:p>
    <w:p w14:paraId="15EB75CE" w14:textId="1F99B268" w:rsidR="006A6DE6" w:rsidRPr="006A6DE6" w:rsidRDefault="006A6DE6" w:rsidP="006A6DE6">
      <w:pPr>
        <w:pStyle w:val="Body"/>
        <w:rPr>
          <w:rFonts w:ascii="Arial" w:hAnsi="Arial" w:cs="Arial"/>
        </w:rPr>
      </w:pPr>
      <w:r w:rsidRPr="006A6DE6">
        <w:rPr>
          <w:rFonts w:ascii="Arial" w:hAnsi="Arial" w:cs="Arial"/>
        </w:rPr>
        <w:t>The patients were thoraco-</w:t>
      </w:r>
      <w:proofErr w:type="spellStart"/>
      <w:r w:rsidRPr="006A6DE6">
        <w:rPr>
          <w:rFonts w:ascii="Arial" w:hAnsi="Arial" w:cs="Arial"/>
        </w:rPr>
        <w:t>omphalopagus</w:t>
      </w:r>
      <w:proofErr w:type="spellEnd"/>
      <w:r w:rsidRPr="006A6DE6">
        <w:rPr>
          <w:rFonts w:ascii="Arial" w:hAnsi="Arial" w:cs="Arial"/>
        </w:rPr>
        <w:t xml:space="preserve"> conjoined twins delivered at term to a primigravida mother following an otherwise uneventful pregnancy. The diagnosis of conjoined twinning was established during routine second-trimester antenatal ultrasonography. There was no history of maternal infection, chronic illness, teratogenic drug exposure, or consanguinity. Antenatal care was regular, and no additional congenital anomalies were identified prior to delivery. Due to the complexity of the condition and anticipated delivery risks, an elective cesarean section was performed at a tertiary referral center.</w:t>
      </w:r>
    </w:p>
    <w:p w14:paraId="4A4879AC" w14:textId="77777777" w:rsidR="006A6DE6" w:rsidRPr="006A6DE6" w:rsidRDefault="006A6DE6" w:rsidP="006A6DE6">
      <w:pPr>
        <w:pStyle w:val="Body"/>
        <w:rPr>
          <w:rFonts w:ascii="Arial" w:hAnsi="Arial" w:cs="Arial"/>
        </w:rPr>
      </w:pPr>
      <w:r w:rsidRPr="006A6DE6">
        <w:rPr>
          <w:rFonts w:ascii="Arial" w:hAnsi="Arial" w:cs="Arial"/>
        </w:rPr>
        <w:t>Clinical Findings at Birth</w:t>
      </w:r>
    </w:p>
    <w:p w14:paraId="597088F6" w14:textId="09B836ED" w:rsidR="006A6DE6" w:rsidRPr="006A6DE6" w:rsidRDefault="006A6DE6" w:rsidP="006A6DE6">
      <w:pPr>
        <w:pStyle w:val="Body"/>
        <w:rPr>
          <w:rFonts w:ascii="Arial" w:hAnsi="Arial" w:cs="Arial"/>
        </w:rPr>
      </w:pPr>
      <w:r w:rsidRPr="006A6DE6">
        <w:rPr>
          <w:rFonts w:ascii="Arial" w:hAnsi="Arial" w:cs="Arial"/>
        </w:rPr>
        <w:t>At birth, the twins were physically conjoined from the anterior upper thorax extending to the upper abdomen, consistent with thoraco-</w:t>
      </w:r>
      <w:proofErr w:type="spellStart"/>
      <w:r w:rsidRPr="006A6DE6">
        <w:rPr>
          <w:rFonts w:ascii="Arial" w:hAnsi="Arial" w:cs="Arial"/>
        </w:rPr>
        <w:t>omphalopagus</w:t>
      </w:r>
      <w:proofErr w:type="spellEnd"/>
      <w:r w:rsidRPr="006A6DE6">
        <w:rPr>
          <w:rFonts w:ascii="Arial" w:hAnsi="Arial" w:cs="Arial"/>
        </w:rPr>
        <w:t xml:space="preserve"> classification.</w:t>
      </w:r>
      <w:r w:rsidR="001661DA">
        <w:rPr>
          <w:rFonts w:ascii="Arial" w:hAnsi="Arial" w:cs="Arial"/>
        </w:rPr>
        <w:t xml:space="preserve"> </w:t>
      </w:r>
      <w:r w:rsidR="001661DA">
        <w:t xml:space="preserve">Twin A weighed </w:t>
      </w:r>
      <w:r w:rsidR="001661DA">
        <w:rPr>
          <w:rStyle w:val="Strong"/>
        </w:rPr>
        <w:t>2.4 kg</w:t>
      </w:r>
      <w:r w:rsidR="001661DA">
        <w:t xml:space="preserve">, and Twin B weighed </w:t>
      </w:r>
      <w:r w:rsidR="001661DA">
        <w:rPr>
          <w:rStyle w:val="Strong"/>
        </w:rPr>
        <w:t>2.3 kg</w:t>
      </w:r>
      <w:r w:rsidR="001661DA">
        <w:t xml:space="preserve"> at birth, APGAR scores were </w:t>
      </w:r>
      <w:r w:rsidR="001661DA">
        <w:rPr>
          <w:rStyle w:val="Strong"/>
        </w:rPr>
        <w:t>7 and 8 at 1 and 5 minutes</w:t>
      </w:r>
      <w:r w:rsidR="001661DA">
        <w:t xml:space="preserve">, respectively. Both twins required supplemental oxygen via nasal cannula, with oxygen saturation maintained between </w:t>
      </w:r>
      <w:r w:rsidR="001661DA">
        <w:rPr>
          <w:rStyle w:val="Strong"/>
        </w:rPr>
        <w:t>92–96%</w:t>
      </w:r>
      <w:r w:rsidR="001661DA">
        <w:t xml:space="preserve">. Prenatal ultrasonography demonstrated thoraco-abdominal fusion with suspected hepatic sharing, which was further confirmed postnatally by CT angiography. Imaging revealed fused hepatic parenchyma with partial sharing of portal venous branches, while hepatic venous drainage remained separate into individual inferior vena </w:t>
      </w:r>
      <w:proofErr w:type="spellStart"/>
      <w:r w:rsidR="001661DA">
        <w:t>cavae</w:t>
      </w:r>
      <w:proofErr w:type="spellEnd"/>
      <w:r w:rsidR="001661DA">
        <w:t>.</w:t>
      </w:r>
      <w:r w:rsidRPr="006A6DE6">
        <w:rPr>
          <w:rFonts w:ascii="Arial" w:hAnsi="Arial" w:cs="Arial"/>
        </w:rPr>
        <w:t xml:space="preserve"> Each twin had a separate head, neck, and four extremities, with a shared anterior chest wall and upper abdominal segment. Initial physical examination demonstrated intact skin coverage over the conjoined region, without ulceration or ischemic changes. Both twins exhibited signs of respiratory distress, including tachypnea and subcostal retractions, necessitating supplemental oxygen shortly after birth. Cardiopulmonary examination revealed diminished bilateral breath sounds and a systolic cardiac murmur in one twin. Peripheral perfusion was adequate, and neurological examination showed spontaneous movements and intact primitive reflexes in both twins, indicating preserved neurological function (Figure 1).</w:t>
      </w:r>
    </w:p>
    <w:p w14:paraId="403CB491" w14:textId="77777777" w:rsidR="00664F66" w:rsidRPr="00746880" w:rsidRDefault="00664F66" w:rsidP="00664F66">
      <w:pPr>
        <w:jc w:val="center"/>
        <w:rPr>
          <w:rFonts w:ascii="Franklin Gothic Book" w:hAnsi="Franklin Gothic Book" w:cs="DejaVuSerif"/>
        </w:rPr>
      </w:pPr>
      <w:r>
        <w:rPr>
          <w:noProof/>
        </w:rPr>
        <w:lastRenderedPageBreak/>
        <w:drawing>
          <wp:inline distT="0" distB="0" distL="0" distR="0" wp14:anchorId="5F2FD059" wp14:editId="4858BDB3">
            <wp:extent cx="5731510" cy="2080895"/>
            <wp:effectExtent l="0" t="0" r="2540" b="0"/>
            <wp:docPr id="6304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7956" name=""/>
                    <pic:cNvPicPr/>
                  </pic:nvPicPr>
                  <pic:blipFill>
                    <a:blip r:embed="rId14"/>
                    <a:stretch>
                      <a:fillRect/>
                    </a:stretch>
                  </pic:blipFill>
                  <pic:spPr>
                    <a:xfrm>
                      <a:off x="0" y="0"/>
                      <a:ext cx="5731510" cy="2080895"/>
                    </a:xfrm>
                    <a:prstGeom prst="rect">
                      <a:avLst/>
                    </a:prstGeom>
                  </pic:spPr>
                </pic:pic>
              </a:graphicData>
            </a:graphic>
          </wp:inline>
        </w:drawing>
      </w:r>
    </w:p>
    <w:p w14:paraId="73E7E99A" w14:textId="77777777" w:rsidR="00664F66" w:rsidRPr="00746880" w:rsidRDefault="00664F66" w:rsidP="00664F66">
      <w:pPr>
        <w:jc w:val="center"/>
        <w:rPr>
          <w:rFonts w:ascii="Franklin Gothic Book" w:hAnsi="Franklin Gothic Book" w:cs="DejaVuSerif"/>
        </w:rPr>
      </w:pPr>
      <w:r w:rsidRPr="00746880">
        <w:rPr>
          <w:rFonts w:ascii="Franklin Gothic Book" w:hAnsi="Franklin Gothic Book" w:cs="DejaVuSerif"/>
        </w:rPr>
        <w:t xml:space="preserve">Fig 1. Clinical </w:t>
      </w:r>
      <w:r>
        <w:rPr>
          <w:rFonts w:ascii="Franklin Gothic Book" w:hAnsi="Franklin Gothic Book" w:cs="DejaVuSerif"/>
        </w:rPr>
        <w:t>examination</w:t>
      </w:r>
      <w:r w:rsidRPr="00746880">
        <w:rPr>
          <w:rFonts w:ascii="Franklin Gothic Book" w:hAnsi="Franklin Gothic Book" w:cs="DejaVuSerif"/>
        </w:rPr>
        <w:t xml:space="preserve"> of the patients.</w:t>
      </w:r>
    </w:p>
    <w:p w14:paraId="22F9AB5D" w14:textId="77777777" w:rsidR="00664F66" w:rsidRPr="00746880" w:rsidRDefault="00664F66" w:rsidP="00664F66">
      <w:pPr>
        <w:jc w:val="center"/>
        <w:rPr>
          <w:rFonts w:ascii="Franklin Gothic Book" w:hAnsi="Franklin Gothic Book" w:cs="DejaVuSerif"/>
        </w:rPr>
      </w:pPr>
      <w:r w:rsidRPr="00F150D2">
        <w:rPr>
          <w:rFonts w:ascii="Franklin Gothic Book" w:hAnsi="Franklin Gothic Book" w:cs="DejaVuSerif"/>
        </w:rPr>
        <w:t>Left image: The photograph shows measurement of the infant’s hip circumference using a measuring tape placed horizontally around the pelvic region to assess body proportions.</w:t>
      </w:r>
      <w:r>
        <w:rPr>
          <w:rFonts w:ascii="Franklin Gothic Book" w:hAnsi="Franklin Gothic Book" w:cs="DejaVuSerif"/>
        </w:rPr>
        <w:t xml:space="preserve"> </w:t>
      </w:r>
      <w:r w:rsidRPr="00F150D2">
        <w:rPr>
          <w:rFonts w:ascii="Franklin Gothic Book" w:hAnsi="Franklin Gothic Book" w:cs="DejaVuSerif"/>
        </w:rPr>
        <w:t>Middle image: A close-up view demonstrates measurement of the intergluteal or perineal distance with a measuring tape, focusing on anatomical landmarks in the midline.</w:t>
      </w:r>
      <w:r>
        <w:rPr>
          <w:rFonts w:ascii="Franklin Gothic Book" w:hAnsi="Franklin Gothic Book" w:cs="DejaVuSerif"/>
        </w:rPr>
        <w:t xml:space="preserve"> </w:t>
      </w:r>
      <w:r w:rsidRPr="00F150D2">
        <w:rPr>
          <w:rFonts w:ascii="Franklin Gothic Book" w:hAnsi="Franklin Gothic Book" w:cs="DejaVuSerif"/>
        </w:rPr>
        <w:t>Right image: The image illustrates measurement of limb circumference using a ruler or measuring tape to objectively document extremity size as part of anthropometric assessment.</w:t>
      </w:r>
    </w:p>
    <w:p w14:paraId="4D43182A" w14:textId="77777777" w:rsidR="006A6DE6" w:rsidRPr="006A6DE6" w:rsidRDefault="006A6DE6" w:rsidP="006A6DE6">
      <w:pPr>
        <w:pStyle w:val="Body"/>
        <w:rPr>
          <w:rFonts w:ascii="Arial" w:hAnsi="Arial" w:cs="Arial"/>
        </w:rPr>
      </w:pPr>
    </w:p>
    <w:p w14:paraId="2202D216" w14:textId="77777777" w:rsidR="006A6DE6" w:rsidRPr="006A6DE6" w:rsidRDefault="006A6DE6" w:rsidP="006A6DE6">
      <w:pPr>
        <w:pStyle w:val="Body"/>
        <w:rPr>
          <w:rFonts w:ascii="Arial" w:hAnsi="Arial" w:cs="Arial"/>
        </w:rPr>
      </w:pPr>
      <w:r w:rsidRPr="006A6DE6">
        <w:rPr>
          <w:rFonts w:ascii="Arial" w:hAnsi="Arial" w:cs="Arial"/>
        </w:rPr>
        <w:t>Diagnostic Assessment</w:t>
      </w:r>
    </w:p>
    <w:p w14:paraId="61424CC3" w14:textId="77777777" w:rsidR="006A6DE6" w:rsidRPr="006A6DE6" w:rsidRDefault="006A6DE6" w:rsidP="006A6DE6">
      <w:pPr>
        <w:pStyle w:val="Body"/>
        <w:rPr>
          <w:rFonts w:ascii="Arial" w:hAnsi="Arial" w:cs="Arial"/>
        </w:rPr>
      </w:pPr>
      <w:r w:rsidRPr="006A6DE6">
        <w:rPr>
          <w:rFonts w:ascii="Arial" w:hAnsi="Arial" w:cs="Arial"/>
        </w:rPr>
        <w:t xml:space="preserve">Initial postnatal evaluation included chest radiography, which demonstrated bilateral pulmonary infiltrates consistent with pneumonia in both twins (Figure 2). Transthoracic echocardiography identified a suspected atrial septal defect in one twin, while the contralateral twin exhibited structurally normal cardiac anatomy with preserved ventricular function. Contrast-enhanced computed tomography and CT angiography were subsequently performed to delineate the extent of anatomical fusion. Imaging confirmed a shared sternum, contiguous rib cage, and a common diaphragm. The liver was extensively fused, with complex parenchymal continuity and interlinked vascular structures, including shared portal venous branches and distinct hepatic venous drainage into separate inferior vena </w:t>
      </w:r>
      <w:proofErr w:type="spellStart"/>
      <w:r w:rsidRPr="006A6DE6">
        <w:rPr>
          <w:rFonts w:ascii="Arial" w:hAnsi="Arial" w:cs="Arial"/>
        </w:rPr>
        <w:t>cavae</w:t>
      </w:r>
      <w:proofErr w:type="spellEnd"/>
      <w:r w:rsidRPr="006A6DE6">
        <w:rPr>
          <w:rFonts w:ascii="Arial" w:hAnsi="Arial" w:cs="Arial"/>
        </w:rPr>
        <w:t>. No shared cardiac chambers were identified. These findings were critical in determining the technical feasibility of surgical separation and reconstructive planning (Figure 3). Laboratory investigations revealed mild leukocytosis and elevated inflammatory markers, consistent with an active infectious process. Liver and renal function tests were within normal limits, indicating preserved baseline organ function despite extensive anatomical fusion.</w:t>
      </w:r>
    </w:p>
    <w:p w14:paraId="4787CC93" w14:textId="77777777" w:rsidR="006A6DE6" w:rsidRPr="006A6DE6" w:rsidRDefault="006A6DE6" w:rsidP="006A6DE6">
      <w:pPr>
        <w:pStyle w:val="Body"/>
        <w:rPr>
          <w:rFonts w:ascii="Arial" w:hAnsi="Arial" w:cs="Arial"/>
        </w:rPr>
      </w:pPr>
    </w:p>
    <w:p w14:paraId="3FC00748" w14:textId="77777777" w:rsidR="006A6DE6" w:rsidRPr="006A6DE6" w:rsidRDefault="006A6DE6" w:rsidP="006A6DE6">
      <w:pPr>
        <w:pStyle w:val="Body"/>
        <w:rPr>
          <w:rFonts w:ascii="Arial" w:hAnsi="Arial" w:cs="Arial"/>
        </w:rPr>
      </w:pPr>
      <w:r w:rsidRPr="006A6DE6">
        <w:rPr>
          <w:rFonts w:ascii="Arial" w:hAnsi="Arial" w:cs="Arial"/>
        </w:rPr>
        <w:t>Multidisciplinary Evaluation and Decision-Making</w:t>
      </w:r>
    </w:p>
    <w:p w14:paraId="44E433DE" w14:textId="77777777" w:rsidR="006A6DE6" w:rsidRPr="006A6DE6" w:rsidRDefault="006A6DE6" w:rsidP="006A6DE6">
      <w:pPr>
        <w:pStyle w:val="Body"/>
        <w:rPr>
          <w:rFonts w:ascii="Arial" w:hAnsi="Arial" w:cs="Arial"/>
        </w:rPr>
      </w:pPr>
      <w:r w:rsidRPr="006A6DE6">
        <w:rPr>
          <w:rFonts w:ascii="Arial" w:hAnsi="Arial" w:cs="Arial"/>
        </w:rPr>
        <w:t>A series of multidisciplinary meetings were convened involving pediatric surgeons, hepatobiliary surgeons, neonatologists, anesthesiologists, radiologists, intensive care specialists, and clinical ethicists. Imaging findings were reviewed in detail to assess the feasibility of hepatic separation and the anticipated challenges of chest wall reconstruction. Particular attention was directed toward the shared sternum and thoracic cage, recognizing the implications for postoperative respiratory mechanics and chest wall stability.</w:t>
      </w:r>
    </w:p>
    <w:p w14:paraId="01A695E8" w14:textId="77777777" w:rsidR="006A6DE6" w:rsidRPr="006A6DE6" w:rsidRDefault="006A6DE6" w:rsidP="006A6DE6">
      <w:pPr>
        <w:pStyle w:val="Body"/>
        <w:rPr>
          <w:rFonts w:ascii="Arial" w:hAnsi="Arial" w:cs="Arial"/>
        </w:rPr>
      </w:pPr>
      <w:r w:rsidRPr="006A6DE6">
        <w:rPr>
          <w:rFonts w:ascii="Arial" w:hAnsi="Arial" w:cs="Arial"/>
        </w:rPr>
        <w:t>Parallel ethical deliberations addressed the proportionality of surgical intervention, potential asymmetry of outcomes between the twins, and anticipated quality of life following separation. The parents were actively involved in shared decision-making and were counseled extensively regarding the risks, uncertainties, and possible outcomes associated with surgical and non-surgical management options.</w:t>
      </w:r>
    </w:p>
    <w:p w14:paraId="6ED198FB" w14:textId="77777777" w:rsidR="006A6DE6" w:rsidRDefault="006A6DE6" w:rsidP="006A6DE6">
      <w:pPr>
        <w:pStyle w:val="Body"/>
        <w:rPr>
          <w:rFonts w:ascii="Arial" w:hAnsi="Arial" w:cs="Arial"/>
        </w:rPr>
      </w:pPr>
    </w:p>
    <w:p w14:paraId="011B4C0F" w14:textId="77777777" w:rsidR="00664F66" w:rsidRPr="00746880" w:rsidRDefault="00664F66" w:rsidP="00664F66">
      <w:pPr>
        <w:jc w:val="center"/>
        <w:rPr>
          <w:rFonts w:ascii="Franklin Gothic Book" w:hAnsi="Franklin Gothic Book" w:cs="DejaVuSerif"/>
        </w:rPr>
      </w:pPr>
      <w:r>
        <w:rPr>
          <w:noProof/>
        </w:rPr>
        <w:lastRenderedPageBreak/>
        <w:drawing>
          <wp:inline distT="0" distB="0" distL="0" distR="0" wp14:anchorId="6C96F42F" wp14:editId="76229559">
            <wp:extent cx="4228571" cy="3819048"/>
            <wp:effectExtent l="0" t="0" r="635" b="0"/>
            <wp:docPr id="129963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2949" name=""/>
                    <pic:cNvPicPr/>
                  </pic:nvPicPr>
                  <pic:blipFill>
                    <a:blip r:embed="rId15"/>
                    <a:stretch>
                      <a:fillRect/>
                    </a:stretch>
                  </pic:blipFill>
                  <pic:spPr>
                    <a:xfrm>
                      <a:off x="0" y="0"/>
                      <a:ext cx="4228571" cy="3819048"/>
                    </a:xfrm>
                    <a:prstGeom prst="rect">
                      <a:avLst/>
                    </a:prstGeom>
                  </pic:spPr>
                </pic:pic>
              </a:graphicData>
            </a:graphic>
          </wp:inline>
        </w:drawing>
      </w:r>
    </w:p>
    <w:p w14:paraId="0F419E5D" w14:textId="77777777" w:rsidR="00664F66" w:rsidRDefault="00664F66" w:rsidP="00664F66">
      <w:pPr>
        <w:pStyle w:val="NormalWeb"/>
        <w:spacing w:before="0" w:beforeAutospacing="0" w:after="0" w:afterAutospacing="0"/>
        <w:jc w:val="center"/>
      </w:pPr>
      <w:r w:rsidRPr="00746880">
        <w:rPr>
          <w:rFonts w:ascii="Franklin Gothic Book" w:hAnsi="Franklin Gothic Book" w:cs="DejaVuSerif"/>
        </w:rPr>
        <w:t>Fig 2. Babygram x-ray of the patients</w:t>
      </w:r>
      <w:r w:rsidRPr="00F627BA">
        <w:rPr>
          <w:rFonts w:ascii="Franklin Gothic Book" w:hAnsi="Franklin Gothic Book"/>
        </w:rPr>
        <w:t>, demonstrating generalized abdominal distension with multiple gas-filled bowel loops, allowing assessment of gastrointestinal gas distribution and overall thoracoabdominal anatomy.</w:t>
      </w:r>
    </w:p>
    <w:p w14:paraId="63651121" w14:textId="77777777" w:rsidR="00664F66" w:rsidRPr="00746880" w:rsidRDefault="00664F66" w:rsidP="00664F66">
      <w:pPr>
        <w:jc w:val="center"/>
        <w:rPr>
          <w:rFonts w:ascii="Franklin Gothic Book" w:hAnsi="Franklin Gothic Book" w:cs="DejaVuSerif"/>
        </w:rPr>
      </w:pPr>
      <w:r w:rsidRPr="00015ED7">
        <w:rPr>
          <w:rFonts w:ascii="Franklin Gothic Book" w:hAnsi="Franklin Gothic Book" w:cs="DejaVuSerif"/>
          <w:noProof/>
        </w:rPr>
        <w:lastRenderedPageBreak/>
        <w:drawing>
          <wp:inline distT="0" distB="0" distL="0" distR="0" wp14:anchorId="27C8754A" wp14:editId="50485865">
            <wp:extent cx="4286848" cy="5096586"/>
            <wp:effectExtent l="0" t="0" r="0" b="8890"/>
            <wp:docPr id="149838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6516" name=""/>
                    <pic:cNvPicPr/>
                  </pic:nvPicPr>
                  <pic:blipFill>
                    <a:blip r:embed="rId16"/>
                    <a:stretch>
                      <a:fillRect/>
                    </a:stretch>
                  </pic:blipFill>
                  <pic:spPr>
                    <a:xfrm>
                      <a:off x="0" y="0"/>
                      <a:ext cx="4286848" cy="5096586"/>
                    </a:xfrm>
                    <a:prstGeom prst="rect">
                      <a:avLst/>
                    </a:prstGeom>
                  </pic:spPr>
                </pic:pic>
              </a:graphicData>
            </a:graphic>
          </wp:inline>
        </w:drawing>
      </w:r>
    </w:p>
    <w:p w14:paraId="34E258B6" w14:textId="31771721" w:rsidR="00F64727" w:rsidRDefault="00F64727" w:rsidP="00F64727">
      <w:pPr>
        <w:pStyle w:val="NormalWeb"/>
      </w:pPr>
      <w:r>
        <w:rPr>
          <w:rStyle w:val="Strong"/>
        </w:rPr>
        <w:t>Fig 3. Contrast-enhanced CT scan of the thoraco-abdominal region demonstrating thoraco-</w:t>
      </w:r>
      <w:proofErr w:type="spellStart"/>
      <w:r>
        <w:rPr>
          <w:rStyle w:val="Strong"/>
        </w:rPr>
        <w:t>omphalopagus</w:t>
      </w:r>
      <w:proofErr w:type="spellEnd"/>
      <w:r>
        <w:rPr>
          <w:rStyle w:val="Strong"/>
        </w:rPr>
        <w:t xml:space="preserve"> fusion. </w:t>
      </w:r>
      <w:r>
        <w:t>Upper image: axial CT image showing fused sternum and anterior rib cage. Lower image: CT angiography demonstrating extensive hepatic fusion with vascular connections between the twins.</w:t>
      </w:r>
    </w:p>
    <w:p w14:paraId="38C29757" w14:textId="77777777" w:rsidR="00664F66" w:rsidRPr="006A6DE6" w:rsidRDefault="00664F66" w:rsidP="006A6DE6">
      <w:pPr>
        <w:pStyle w:val="Body"/>
        <w:rPr>
          <w:rFonts w:ascii="Arial" w:hAnsi="Arial" w:cs="Arial"/>
        </w:rPr>
      </w:pPr>
    </w:p>
    <w:p w14:paraId="79E6BBC2" w14:textId="77777777" w:rsidR="006A6DE6" w:rsidRPr="006A6DE6" w:rsidRDefault="006A6DE6" w:rsidP="006A6DE6">
      <w:pPr>
        <w:pStyle w:val="Body"/>
        <w:rPr>
          <w:rFonts w:ascii="Arial" w:hAnsi="Arial" w:cs="Arial"/>
        </w:rPr>
      </w:pPr>
      <w:r w:rsidRPr="006A6DE6">
        <w:rPr>
          <w:rFonts w:ascii="Arial" w:hAnsi="Arial" w:cs="Arial"/>
        </w:rPr>
        <w:t>Surgical Considerations and Planning</w:t>
      </w:r>
    </w:p>
    <w:p w14:paraId="23BE007B" w14:textId="77777777" w:rsidR="006A6DE6" w:rsidRPr="006A6DE6" w:rsidRDefault="006A6DE6" w:rsidP="006A6DE6">
      <w:pPr>
        <w:pStyle w:val="Body"/>
        <w:rPr>
          <w:rFonts w:ascii="Arial" w:hAnsi="Arial" w:cs="Arial"/>
        </w:rPr>
      </w:pPr>
      <w:r w:rsidRPr="006A6DE6">
        <w:rPr>
          <w:rFonts w:ascii="Arial" w:hAnsi="Arial" w:cs="Arial"/>
        </w:rPr>
        <w:t>Initial management focused on stabilization of respiratory function and treatment of infection. Both twins received supplemental oxygen and intravenous broad-spectrum antibiotics tailored to neonatal pneumonia. Clinical and laboratory parameters were closely monitored to assess response to treatment and overall physiological stability. Given the complexity of the anatomical findings and the presence of active infection, definitive surgical separation was deferred. The clinical priority shifted toward optimization of respiratory status, resolution of infection, and comprehensive multidisciplinary evaluation before any operative intervention.</w:t>
      </w:r>
    </w:p>
    <w:p w14:paraId="53985D64" w14:textId="3CA7C695" w:rsidR="00790ADA" w:rsidRDefault="006A6DE6" w:rsidP="006A6DE6">
      <w:pPr>
        <w:pStyle w:val="Body"/>
        <w:spacing w:after="0"/>
        <w:rPr>
          <w:rFonts w:ascii="Arial" w:hAnsi="Arial" w:cs="Arial"/>
        </w:rPr>
      </w:pPr>
      <w:r w:rsidRPr="006A6DE6">
        <w:rPr>
          <w:rFonts w:ascii="Arial" w:hAnsi="Arial" w:cs="Arial"/>
        </w:rPr>
        <w:t xml:space="preserve">Based on integrated clinical, imaging, and ethical assessments, surgical planning emphasized a strategy that balanced technical feasibility with patient safety. </w:t>
      </w:r>
      <w:r w:rsidR="003758C1">
        <w:t xml:space="preserve">Three multidisciplinary meetings were conducted involving pediatric surgery, hepatobiliary surgery, neonatology, anesthesiology, radiology, intensive care specialists, and clinical ethicists. </w:t>
      </w:r>
      <w:r w:rsidRPr="006A6DE6">
        <w:rPr>
          <w:rFonts w:ascii="Arial" w:hAnsi="Arial" w:cs="Arial"/>
        </w:rPr>
        <w:t xml:space="preserve">Key considerations included preservation of adequate hepatic vascular supply for each twin, minimization of intraoperative blood loss, and reconstruction of the chest wall to ensure sufficient thoracic stability and respiratory function. Operative timing was planned to allow resolution of infection and optimization of physiological reserve. At the time of reporting, the twins remained under close clinical observation with ongoing multidisciplinary management. Short-term outcomes focused on stabilization of respiratory status, control of infection, and maintenance of organ function. </w:t>
      </w:r>
      <w:r w:rsidR="001661DA" w:rsidRPr="001661DA">
        <w:rPr>
          <w:rFonts w:ascii="Arial" w:hAnsi="Arial" w:cs="Arial"/>
        </w:rPr>
        <w:t xml:space="preserve">Therefore, the present report </w:t>
      </w:r>
      <w:r w:rsidR="001661DA" w:rsidRPr="001661DA">
        <w:rPr>
          <w:rFonts w:ascii="Arial" w:hAnsi="Arial" w:cs="Arial"/>
        </w:rPr>
        <w:lastRenderedPageBreak/>
        <w:t>focuses on the preoperative clinical evaluation, imaging findings, and multidisciplinary decision-making process guiding future surgical management.</w:t>
      </w:r>
      <w:r w:rsidR="001661DA">
        <w:rPr>
          <w:rFonts w:ascii="Arial" w:hAnsi="Arial" w:cs="Arial"/>
        </w:rPr>
        <w:t xml:space="preserve"> </w:t>
      </w:r>
    </w:p>
    <w:p w14:paraId="1A8636BE" w14:textId="77777777" w:rsidR="006A6DE6" w:rsidRPr="00FB3A86" w:rsidRDefault="006A6DE6" w:rsidP="006A6DE6">
      <w:pPr>
        <w:pStyle w:val="Body"/>
        <w:spacing w:after="0"/>
        <w:rPr>
          <w:rFonts w:ascii="Arial" w:hAnsi="Arial" w:cs="Arial"/>
        </w:rPr>
      </w:pPr>
    </w:p>
    <w:p w14:paraId="1743B68C" w14:textId="3B4B438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BBEDDF2" w14:textId="77777777" w:rsidR="00790ADA" w:rsidRPr="00FB3A86" w:rsidRDefault="00790ADA" w:rsidP="00441B6F">
      <w:pPr>
        <w:pStyle w:val="Head1"/>
        <w:spacing w:after="0"/>
        <w:jc w:val="both"/>
        <w:rPr>
          <w:rFonts w:ascii="Arial" w:hAnsi="Arial" w:cs="Arial"/>
        </w:rPr>
      </w:pPr>
    </w:p>
    <w:p w14:paraId="0B9A4F3B" w14:textId="77777777" w:rsidR="006A6DE6" w:rsidRPr="006A6DE6" w:rsidRDefault="006A6DE6" w:rsidP="006A6DE6">
      <w:pPr>
        <w:pStyle w:val="Body"/>
        <w:rPr>
          <w:rFonts w:ascii="Arial" w:hAnsi="Arial" w:cs="Arial"/>
        </w:rPr>
      </w:pPr>
      <w:r w:rsidRPr="006A6DE6">
        <w:rPr>
          <w:rFonts w:ascii="Arial" w:hAnsi="Arial" w:cs="Arial"/>
        </w:rPr>
        <w:t>Reframing Thoraco-</w:t>
      </w:r>
      <w:proofErr w:type="spellStart"/>
      <w:r w:rsidRPr="006A6DE6">
        <w:rPr>
          <w:rFonts w:ascii="Arial" w:hAnsi="Arial" w:cs="Arial"/>
        </w:rPr>
        <w:t>Omphalopagus</w:t>
      </w:r>
      <w:proofErr w:type="spellEnd"/>
      <w:r w:rsidRPr="006A6DE6">
        <w:rPr>
          <w:rFonts w:ascii="Arial" w:hAnsi="Arial" w:cs="Arial"/>
        </w:rPr>
        <w:t xml:space="preserve"> Separation: From Organ-Centric Surgery to Structural Physiology</w:t>
      </w:r>
    </w:p>
    <w:p w14:paraId="39DE4939" w14:textId="77777777" w:rsidR="006A6DE6" w:rsidRPr="006A6DE6" w:rsidRDefault="006A6DE6" w:rsidP="006A6DE6">
      <w:pPr>
        <w:pStyle w:val="Body"/>
        <w:rPr>
          <w:rFonts w:ascii="Arial" w:hAnsi="Arial" w:cs="Arial"/>
        </w:rPr>
      </w:pPr>
      <w:r w:rsidRPr="006A6DE6">
        <w:rPr>
          <w:rFonts w:ascii="Arial" w:hAnsi="Arial" w:cs="Arial"/>
        </w:rPr>
        <w:t>Historically, thoraco-</w:t>
      </w:r>
      <w:proofErr w:type="spellStart"/>
      <w:r w:rsidRPr="006A6DE6">
        <w:rPr>
          <w:rFonts w:ascii="Arial" w:hAnsi="Arial" w:cs="Arial"/>
        </w:rPr>
        <w:t>omphalopagus</w:t>
      </w:r>
      <w:proofErr w:type="spellEnd"/>
      <w:r w:rsidRPr="006A6DE6">
        <w:rPr>
          <w:rFonts w:ascii="Arial" w:hAnsi="Arial" w:cs="Arial"/>
        </w:rPr>
        <w:t xml:space="preserve"> twin separation has been framed predominantly as a problem of shared visceral organs, particularly the liver and, in selected cases, the heart [¹¹]. Surgical success has therefore been measured largely in terms of technical feasibility of organ division and immediate postoperative survival [¹²]. This organ-centric paradigm, while logical from a technical standpoint, implicitly assumes that post-separation structural integrity will be either self-evident or manageable through routine reconstructive techniques.</w:t>
      </w:r>
    </w:p>
    <w:p w14:paraId="1FABF1CA" w14:textId="77777777" w:rsidR="006A6DE6" w:rsidRPr="006A6DE6" w:rsidRDefault="006A6DE6" w:rsidP="006A6DE6">
      <w:pPr>
        <w:pStyle w:val="Body"/>
        <w:rPr>
          <w:rFonts w:ascii="Arial" w:hAnsi="Arial" w:cs="Arial"/>
        </w:rPr>
      </w:pPr>
      <w:r w:rsidRPr="006A6DE6">
        <w:rPr>
          <w:rFonts w:ascii="Arial" w:hAnsi="Arial" w:cs="Arial"/>
        </w:rPr>
        <w:t>However, such an assumption neglects the fact that thoraco-</w:t>
      </w:r>
      <w:proofErr w:type="spellStart"/>
      <w:r w:rsidRPr="006A6DE6">
        <w:rPr>
          <w:rFonts w:ascii="Arial" w:hAnsi="Arial" w:cs="Arial"/>
        </w:rPr>
        <w:t>omphalopagus</w:t>
      </w:r>
      <w:proofErr w:type="spellEnd"/>
      <w:r w:rsidRPr="006A6DE6">
        <w:rPr>
          <w:rFonts w:ascii="Arial" w:hAnsi="Arial" w:cs="Arial"/>
        </w:rPr>
        <w:t xml:space="preserve"> fusion represents not merely the coexistence of shared organs, but a deeply integrated musculoskeletal and physiological system [¹³]. The thoracic cage functions as a dynamic biomechanical unit that directly influences respiratory mechanics, venous return, cardiac preload, and pulmonary compliance. Disruption of this system—particularly in neonates with limited pulmonary reserve—can precipitate respiratory failure even in the absence of major visceral complications [¹⁴].</w:t>
      </w:r>
    </w:p>
    <w:p w14:paraId="2267A34F" w14:textId="77777777" w:rsidR="006A6DE6" w:rsidRPr="006A6DE6" w:rsidRDefault="006A6DE6" w:rsidP="006A6DE6">
      <w:pPr>
        <w:pStyle w:val="Body"/>
        <w:rPr>
          <w:rFonts w:ascii="Arial" w:hAnsi="Arial" w:cs="Arial"/>
        </w:rPr>
      </w:pPr>
      <w:r w:rsidRPr="006A6DE6">
        <w:rPr>
          <w:rFonts w:ascii="Arial" w:hAnsi="Arial" w:cs="Arial"/>
        </w:rPr>
        <w:t>In the present case, the shared sternum and anterior rib cage constituted a central physiological dependency rather than a secondary anatomical inconvenience. This observation compels a conceptual shift: thoraco-</w:t>
      </w:r>
      <w:proofErr w:type="spellStart"/>
      <w:r w:rsidRPr="006A6DE6">
        <w:rPr>
          <w:rFonts w:ascii="Arial" w:hAnsi="Arial" w:cs="Arial"/>
        </w:rPr>
        <w:t>omphalopagus</w:t>
      </w:r>
      <w:proofErr w:type="spellEnd"/>
      <w:r w:rsidRPr="006A6DE6">
        <w:rPr>
          <w:rFonts w:ascii="Arial" w:hAnsi="Arial" w:cs="Arial"/>
        </w:rPr>
        <w:t xml:space="preserve"> separation should be approached not as isolated organ division followed by reconstruction, but as a process of physiological re-engineering, where chest wall integrity is fundamental to postoperative viability. Such reframing has not been explicitly articulated in prior literature and represents a departure from traditional surgical narratives [¹</w:t>
      </w:r>
      <w:proofErr w:type="gramStart"/>
      <w:r w:rsidRPr="006A6DE6">
        <w:rPr>
          <w:rFonts w:ascii="Arial" w:hAnsi="Arial" w:cs="Arial"/>
        </w:rPr>
        <w:t>²,¹</w:t>
      </w:r>
      <w:proofErr w:type="gramEnd"/>
      <w:r w:rsidRPr="006A6DE6">
        <w:rPr>
          <w:rFonts w:ascii="Arial" w:hAnsi="Arial" w:cs="Arial"/>
        </w:rPr>
        <w:t>⁵].</w:t>
      </w:r>
    </w:p>
    <w:p w14:paraId="7CF0C7C4" w14:textId="77777777" w:rsidR="006A6DE6" w:rsidRPr="006A6DE6" w:rsidRDefault="006A6DE6" w:rsidP="006A6DE6">
      <w:pPr>
        <w:pStyle w:val="Body"/>
        <w:rPr>
          <w:rFonts w:ascii="Arial" w:hAnsi="Arial" w:cs="Arial"/>
        </w:rPr>
      </w:pPr>
      <w:r w:rsidRPr="006A6DE6">
        <w:rPr>
          <w:rFonts w:ascii="Arial" w:hAnsi="Arial" w:cs="Arial"/>
        </w:rPr>
        <w:t>The neonatal chest wall is characterized by high compliance, incomplete ossification, and a dominant reliance on diaphragmatic motion for effective ventilation [¹⁴]. In thoraco-</w:t>
      </w:r>
      <w:proofErr w:type="spellStart"/>
      <w:r w:rsidRPr="006A6DE6">
        <w:rPr>
          <w:rFonts w:ascii="Arial" w:hAnsi="Arial" w:cs="Arial"/>
        </w:rPr>
        <w:t>omphalopagus</w:t>
      </w:r>
      <w:proofErr w:type="spellEnd"/>
      <w:r w:rsidRPr="006A6DE6">
        <w:rPr>
          <w:rFonts w:ascii="Arial" w:hAnsi="Arial" w:cs="Arial"/>
        </w:rPr>
        <w:t xml:space="preserve"> twins, these physiological characteristics are compounded by shared bony and cartilaginous structures, altered rib orientation, and asymmetrical lung development [¹⁵]. Following separation, loss of anterior chest wall continuity may lead to flail segments, paradoxical respiratory motion, impaired negative intrathoracic pressure generation, and prolonged ventilator dependence.</w:t>
      </w:r>
    </w:p>
    <w:p w14:paraId="3C2CA1A4" w14:textId="77777777" w:rsidR="006A6DE6" w:rsidRPr="006A6DE6" w:rsidRDefault="006A6DE6" w:rsidP="006A6DE6">
      <w:pPr>
        <w:pStyle w:val="Body"/>
        <w:rPr>
          <w:rFonts w:ascii="Arial" w:hAnsi="Arial" w:cs="Arial"/>
        </w:rPr>
      </w:pPr>
      <w:r w:rsidRPr="006A6DE6">
        <w:rPr>
          <w:rFonts w:ascii="Arial" w:hAnsi="Arial" w:cs="Arial"/>
        </w:rPr>
        <w:t>Despite these risks, the literature on thoraco-</w:t>
      </w:r>
      <w:proofErr w:type="spellStart"/>
      <w:r w:rsidRPr="006A6DE6">
        <w:rPr>
          <w:rFonts w:ascii="Arial" w:hAnsi="Arial" w:cs="Arial"/>
        </w:rPr>
        <w:t>omphalopagus</w:t>
      </w:r>
      <w:proofErr w:type="spellEnd"/>
      <w:r w:rsidRPr="006A6DE6">
        <w:rPr>
          <w:rFonts w:ascii="Arial" w:hAnsi="Arial" w:cs="Arial"/>
        </w:rPr>
        <w:t xml:space="preserve"> separation provides remarkably little detail on chest wall reconstruction strategies. Most reports mention chest wall closure only briefly, often as a technical footnote, without analyzing its impact on respiratory outcomes [¹</w:t>
      </w:r>
      <w:proofErr w:type="gramStart"/>
      <w:r w:rsidRPr="006A6DE6">
        <w:rPr>
          <w:rFonts w:ascii="Arial" w:hAnsi="Arial" w:cs="Arial"/>
        </w:rPr>
        <w:t>¹,¹</w:t>
      </w:r>
      <w:proofErr w:type="gramEnd"/>
      <w:r w:rsidRPr="006A6DE6">
        <w:rPr>
          <w:rFonts w:ascii="Arial" w:hAnsi="Arial" w:cs="Arial"/>
        </w:rPr>
        <w:t>²]. This omission likely reflects an underappreciation of the chest wall as a determinant of physiological viability rather than a cosmetic or structural concern. In contrast, extensive experience in complex abdominal wall reconstruction has demonstrated that tension, rigidity, and compartmental pressure dynamics critically influence postoperative outcomes [¹</w:t>
      </w:r>
      <w:proofErr w:type="gramStart"/>
      <w:r w:rsidRPr="006A6DE6">
        <w:rPr>
          <w:rFonts w:ascii="Arial" w:hAnsi="Arial" w:cs="Arial"/>
        </w:rPr>
        <w:t>⁶,¹</w:t>
      </w:r>
      <w:proofErr w:type="gramEnd"/>
      <w:r w:rsidRPr="006A6DE6">
        <w:rPr>
          <w:rFonts w:ascii="Arial" w:hAnsi="Arial" w:cs="Arial"/>
        </w:rPr>
        <w:t>⁷]. Techniques such as staged closure, component separation, prosthetic reinforcement, and gradual tissue expansion have been refined over decades. Translating these principles to thoracic reconstruction in conjoined twins—while anatomically challenging—offers a rational and underexplored pathway to improving survival.</w:t>
      </w:r>
    </w:p>
    <w:p w14:paraId="1741D8BD" w14:textId="77777777" w:rsidR="006A6DE6" w:rsidRPr="006A6DE6" w:rsidRDefault="006A6DE6" w:rsidP="006A6DE6">
      <w:pPr>
        <w:pStyle w:val="Body"/>
        <w:rPr>
          <w:rFonts w:ascii="Arial" w:hAnsi="Arial" w:cs="Arial"/>
        </w:rPr>
      </w:pPr>
      <w:r w:rsidRPr="006A6DE6">
        <w:rPr>
          <w:rFonts w:ascii="Arial" w:hAnsi="Arial" w:cs="Arial"/>
        </w:rPr>
        <w:t>In this case, chest wall reconstruction was elevated to a primary surgical objective. Planning focused on ensuring thoracic stability sufficient to support spontaneous ventilation and effective cough mechanics, rather than merely achieving soft tissue coverage. This chest wall–centered strategy represents a novel contribution to the field and challenges the prevailing hierarchy of priorities in conjoined twin surgery.</w:t>
      </w:r>
    </w:p>
    <w:p w14:paraId="54247B10" w14:textId="77777777" w:rsidR="006A6DE6" w:rsidRPr="006A6DE6" w:rsidRDefault="006A6DE6" w:rsidP="006A6DE6">
      <w:pPr>
        <w:pStyle w:val="Body"/>
        <w:rPr>
          <w:rFonts w:ascii="Arial" w:hAnsi="Arial" w:cs="Arial"/>
        </w:rPr>
      </w:pPr>
    </w:p>
    <w:p w14:paraId="1691FBB1" w14:textId="77777777" w:rsidR="006A6DE6" w:rsidRPr="006A6DE6" w:rsidRDefault="006A6DE6" w:rsidP="006A6DE6">
      <w:pPr>
        <w:pStyle w:val="Body"/>
        <w:rPr>
          <w:rFonts w:ascii="Arial" w:hAnsi="Arial" w:cs="Arial"/>
        </w:rPr>
      </w:pPr>
      <w:r w:rsidRPr="006A6DE6">
        <w:rPr>
          <w:rFonts w:ascii="Arial" w:hAnsi="Arial" w:cs="Arial"/>
        </w:rPr>
        <w:t>Integrating Hepatic Separation with Thoracic Biomechanics</w:t>
      </w:r>
    </w:p>
    <w:p w14:paraId="797177D5" w14:textId="77777777" w:rsidR="006A6DE6" w:rsidRPr="006A6DE6" w:rsidRDefault="006A6DE6" w:rsidP="006A6DE6">
      <w:pPr>
        <w:pStyle w:val="Body"/>
        <w:rPr>
          <w:rFonts w:ascii="Arial" w:hAnsi="Arial" w:cs="Arial"/>
        </w:rPr>
      </w:pPr>
      <w:r w:rsidRPr="006A6DE6">
        <w:rPr>
          <w:rFonts w:ascii="Arial" w:hAnsi="Arial" w:cs="Arial"/>
        </w:rPr>
        <w:t>Hepatic fusion has long been regarded as the dominant factor influencing feasibility and risk in thoraco-</w:t>
      </w:r>
      <w:proofErr w:type="spellStart"/>
      <w:r w:rsidRPr="006A6DE6">
        <w:rPr>
          <w:rFonts w:ascii="Arial" w:hAnsi="Arial" w:cs="Arial"/>
        </w:rPr>
        <w:t>omphalopagus</w:t>
      </w:r>
      <w:proofErr w:type="spellEnd"/>
      <w:r w:rsidRPr="006A6DE6">
        <w:rPr>
          <w:rFonts w:ascii="Arial" w:hAnsi="Arial" w:cs="Arial"/>
        </w:rPr>
        <w:t xml:space="preserve"> separation [¹⁸]. The liver’s size, vascular complexity, and metabolic importance make its division a formidable surgical undertaking. Consequently, much of the existing literature focuses on hepatic transection techniques, vascular mapping, and blood loss mitigation [¹</w:t>
      </w:r>
      <w:proofErr w:type="gramStart"/>
      <w:r w:rsidRPr="006A6DE6">
        <w:rPr>
          <w:rFonts w:ascii="Arial" w:hAnsi="Arial" w:cs="Arial"/>
        </w:rPr>
        <w:t>⁸,¹</w:t>
      </w:r>
      <w:proofErr w:type="gramEnd"/>
      <w:r w:rsidRPr="006A6DE6">
        <w:rPr>
          <w:rFonts w:ascii="Arial" w:hAnsi="Arial" w:cs="Arial"/>
        </w:rPr>
        <w:t>⁹]. The hepatic separation cannot be considered in isolation from thoracic mechanics. The liver occupies a critical position at the interface between the abdominal and thoracic compartments, directly influencing diaphragmatic excursion and intra-abdominal pressure [¹⁹]. Extensive hepatic division alters pressure gradients across the diaphragm, potentially impairing ventilation and venous return, particularly when combined with compromised chest wall integrity.</w:t>
      </w:r>
    </w:p>
    <w:p w14:paraId="110F31F9" w14:textId="77777777" w:rsidR="006A6DE6" w:rsidRPr="006A6DE6" w:rsidRDefault="006A6DE6" w:rsidP="006A6DE6">
      <w:pPr>
        <w:pStyle w:val="Body"/>
        <w:rPr>
          <w:rFonts w:ascii="Arial" w:hAnsi="Arial" w:cs="Arial"/>
        </w:rPr>
      </w:pPr>
      <w:r w:rsidRPr="006A6DE6">
        <w:rPr>
          <w:rFonts w:ascii="Arial" w:hAnsi="Arial" w:cs="Arial"/>
        </w:rPr>
        <w:lastRenderedPageBreak/>
        <w:t>In the present case, hepatic separation strategy was deliberately integrated with chest wall reconstruction planning. Decisions regarding liver volume allocation, vascular preservation, and transection planes were informed not only by hepatic viability but also by anticipated effects on thoracic stability and respiratory mechanics. This integrative approach contrasts with most published reports, where hepatic and thoracic considerations are discussed sequentially rather than synergistically [²⁰]. By conceptualizing hepatic separation and chest wall reconstruction as interdependent processes, the surgical team aimed to minimize compounded physiological stress. This holistic framework has not been systematically described in previous thoraco-</w:t>
      </w:r>
      <w:proofErr w:type="spellStart"/>
      <w:r w:rsidRPr="006A6DE6">
        <w:rPr>
          <w:rFonts w:ascii="Arial" w:hAnsi="Arial" w:cs="Arial"/>
        </w:rPr>
        <w:t>omphalopagus</w:t>
      </w:r>
      <w:proofErr w:type="spellEnd"/>
      <w:r w:rsidRPr="006A6DE6">
        <w:rPr>
          <w:rFonts w:ascii="Arial" w:hAnsi="Arial" w:cs="Arial"/>
        </w:rPr>
        <w:t xml:space="preserve"> literature and represents an important advance in operative planning.</w:t>
      </w:r>
    </w:p>
    <w:p w14:paraId="0EFCE039" w14:textId="77777777" w:rsidR="006A6DE6" w:rsidRPr="006A6DE6" w:rsidRDefault="006A6DE6" w:rsidP="006A6DE6">
      <w:pPr>
        <w:pStyle w:val="Body"/>
        <w:rPr>
          <w:rFonts w:ascii="Arial" w:hAnsi="Arial" w:cs="Arial"/>
        </w:rPr>
      </w:pPr>
    </w:p>
    <w:p w14:paraId="1632981E" w14:textId="77777777" w:rsidR="006A6DE6" w:rsidRPr="006A6DE6" w:rsidRDefault="006A6DE6" w:rsidP="006A6DE6">
      <w:pPr>
        <w:pStyle w:val="Body"/>
        <w:rPr>
          <w:rFonts w:ascii="Arial" w:hAnsi="Arial" w:cs="Arial"/>
        </w:rPr>
      </w:pPr>
      <w:r w:rsidRPr="006A6DE6">
        <w:rPr>
          <w:rFonts w:ascii="Arial" w:hAnsi="Arial" w:cs="Arial"/>
        </w:rPr>
        <w:t>Imaging-Guided Decision-Making Beyond Static Anatomy</w:t>
      </w:r>
    </w:p>
    <w:p w14:paraId="2E026D39" w14:textId="77777777" w:rsidR="006A6DE6" w:rsidRPr="006A6DE6" w:rsidRDefault="006A6DE6" w:rsidP="006A6DE6">
      <w:pPr>
        <w:pStyle w:val="Body"/>
        <w:rPr>
          <w:rFonts w:ascii="Arial" w:hAnsi="Arial" w:cs="Arial"/>
        </w:rPr>
      </w:pPr>
      <w:r w:rsidRPr="006A6DE6">
        <w:rPr>
          <w:rFonts w:ascii="Arial" w:hAnsi="Arial" w:cs="Arial"/>
        </w:rPr>
        <w:t>Advanced imaging has revolutionized the management of conjoined twins by enabling detailed visualization of shared organs and vascular anatomy [²¹]. Three-dimensional reconstruction and CT angiography have become indispensable tools for surgical planning. However, imaging is often employed in a descriptive manner, focusing on what structures are shared rather than how those structures function collectively [²²].</w:t>
      </w:r>
    </w:p>
    <w:p w14:paraId="2E24F1A2" w14:textId="77777777" w:rsidR="006A6DE6" w:rsidRPr="006A6DE6" w:rsidRDefault="006A6DE6" w:rsidP="006A6DE6">
      <w:pPr>
        <w:pStyle w:val="Body"/>
        <w:rPr>
          <w:rFonts w:ascii="Arial" w:hAnsi="Arial" w:cs="Arial"/>
        </w:rPr>
      </w:pPr>
      <w:r w:rsidRPr="006A6DE6">
        <w:rPr>
          <w:rFonts w:ascii="Arial" w:hAnsi="Arial" w:cs="Arial"/>
        </w:rPr>
        <w:t>In this case, imaging interpretation extended beyond static anatomical mapping. Radiological data were analyzed to anticipate biomechanical consequences of separation, particularly with respect to chest wall instability and diaphragmatic mechanics. For example, the extent of sternal fusion and rib continuity informed predictions regarding postoperative thoracic rigidity and ventilatory capacity. Such functional interpretation of imaging data is well established in complex abdominal wall reconstruction but remains uncommon in thoraco-</w:t>
      </w:r>
      <w:proofErr w:type="spellStart"/>
      <w:r w:rsidRPr="006A6DE6">
        <w:rPr>
          <w:rFonts w:ascii="Arial" w:hAnsi="Arial" w:cs="Arial"/>
        </w:rPr>
        <w:t>omphalopagus</w:t>
      </w:r>
      <w:proofErr w:type="spellEnd"/>
      <w:r w:rsidRPr="006A6DE6">
        <w:rPr>
          <w:rFonts w:ascii="Arial" w:hAnsi="Arial" w:cs="Arial"/>
        </w:rPr>
        <w:t xml:space="preserve"> separation [²³]. Incorporating biomechanical considerations into imaging analysis allowed for more nuanced surgical decision-making and reinforced the central role of chest wall reconstruction in determining feasibility.</w:t>
      </w:r>
    </w:p>
    <w:p w14:paraId="5A56AA18" w14:textId="77777777" w:rsidR="006A6DE6" w:rsidRPr="006A6DE6" w:rsidRDefault="006A6DE6" w:rsidP="006A6DE6">
      <w:pPr>
        <w:pStyle w:val="Body"/>
        <w:rPr>
          <w:rFonts w:ascii="Arial" w:hAnsi="Arial" w:cs="Arial"/>
        </w:rPr>
      </w:pPr>
      <w:r w:rsidRPr="006A6DE6">
        <w:rPr>
          <w:rFonts w:ascii="Arial" w:hAnsi="Arial" w:cs="Arial"/>
        </w:rPr>
        <w:t>Ethical Decision-Making Under Conditions of Structural Dependency</w:t>
      </w:r>
    </w:p>
    <w:p w14:paraId="49C8372E" w14:textId="77777777" w:rsidR="006A6DE6" w:rsidRPr="006A6DE6" w:rsidRDefault="006A6DE6" w:rsidP="006A6DE6">
      <w:pPr>
        <w:pStyle w:val="Body"/>
        <w:rPr>
          <w:rFonts w:ascii="Arial" w:hAnsi="Arial" w:cs="Arial"/>
        </w:rPr>
      </w:pPr>
      <w:r w:rsidRPr="006A6DE6">
        <w:rPr>
          <w:rFonts w:ascii="Arial" w:hAnsi="Arial" w:cs="Arial"/>
        </w:rPr>
        <w:t>Ethical analyses of conjoined twin separation have traditionally focused on scenarios involving shared cardiac structures or clear asymmetry in survivability, where separation may inevitably result in the death of one twin [²⁴]. While these scenarios are undeniably complex, they represent only a subset of the ethical challenges encountered in thoraco-</w:t>
      </w:r>
      <w:proofErr w:type="spellStart"/>
      <w:r w:rsidRPr="006A6DE6">
        <w:rPr>
          <w:rFonts w:ascii="Arial" w:hAnsi="Arial" w:cs="Arial"/>
        </w:rPr>
        <w:t>omphalopagus</w:t>
      </w:r>
      <w:proofErr w:type="spellEnd"/>
      <w:r w:rsidRPr="006A6DE6">
        <w:rPr>
          <w:rFonts w:ascii="Arial" w:hAnsi="Arial" w:cs="Arial"/>
        </w:rPr>
        <w:t xml:space="preserve"> cases. In the present case, ethical complexity arose from uncertainty rather than inevitability. Separation was theoretically possible, but success depended on high-risk reconstruction with unpredictable long-term outcomes. The ethical question was therefore not whether separation could be performed, but whether it should be pursued under conditions of active infection, respiratory compromise, and uncertain quality of life [²⁵].</w:t>
      </w:r>
    </w:p>
    <w:p w14:paraId="20F9BF19" w14:textId="77777777" w:rsidR="006A6DE6" w:rsidRPr="006A6DE6" w:rsidRDefault="006A6DE6" w:rsidP="006A6DE6">
      <w:pPr>
        <w:pStyle w:val="Body"/>
        <w:rPr>
          <w:rFonts w:ascii="Arial" w:hAnsi="Arial" w:cs="Arial"/>
        </w:rPr>
      </w:pPr>
      <w:r w:rsidRPr="006A6DE6">
        <w:rPr>
          <w:rFonts w:ascii="Arial" w:hAnsi="Arial" w:cs="Arial"/>
        </w:rPr>
        <w:t>By engaging the ethics committee early, the multidisciplinary team was able to frame decision-making around proportionality, reversibility, and anticipated burden of intervention. This proactive ethical integration contrasts with many published case reports, where ethical considerations are discussed retrospectively and framed as justification rather than deliberation [²⁶]. Although multidisciplinary collaboration is frequently cited as essential in conjoined twin management, it is often described superficially, without detailing how interdisciplinary perspectives actively reshape surgical strategy [²⁷]. In this case, collaboration functioned as a form of cognitive integration rather than mere consensus. Input from abdominal wall reconstruction specialists informed chest wall strategy, while ethical consultation influenced operative timing and scope. Radiological insights were continuously reinterpreted in light of surgical and ethical considerations. This horizontal integration across disciplines enabled a more sophisticated and adaptive approach to care. Such depth of multidisciplinary interaction is rarely documented in thoraco-</w:t>
      </w:r>
      <w:proofErr w:type="spellStart"/>
      <w:r w:rsidRPr="006A6DE6">
        <w:rPr>
          <w:rFonts w:ascii="Arial" w:hAnsi="Arial" w:cs="Arial"/>
        </w:rPr>
        <w:t>omphalopagus</w:t>
      </w:r>
      <w:proofErr w:type="spellEnd"/>
      <w:r w:rsidRPr="006A6DE6">
        <w:rPr>
          <w:rFonts w:ascii="Arial" w:hAnsi="Arial" w:cs="Arial"/>
        </w:rPr>
        <w:t xml:space="preserve"> literature but may represent a key driver of innovation in this field [²⁸].</w:t>
      </w:r>
    </w:p>
    <w:p w14:paraId="2824DE53" w14:textId="77777777" w:rsidR="006A6DE6" w:rsidRPr="006A6DE6" w:rsidRDefault="006A6DE6" w:rsidP="006A6DE6">
      <w:pPr>
        <w:pStyle w:val="Body"/>
        <w:rPr>
          <w:rFonts w:ascii="Arial" w:hAnsi="Arial" w:cs="Arial"/>
        </w:rPr>
      </w:pPr>
      <w:r w:rsidRPr="006A6DE6">
        <w:rPr>
          <w:rFonts w:ascii="Arial" w:hAnsi="Arial" w:cs="Arial"/>
        </w:rPr>
        <w:t>This case contributes several novel insights. First, it positions chest wall reconstruction as a primary determinant of feasibility and outcome in thoraco-</w:t>
      </w:r>
      <w:proofErr w:type="spellStart"/>
      <w:r w:rsidRPr="006A6DE6">
        <w:rPr>
          <w:rFonts w:ascii="Arial" w:hAnsi="Arial" w:cs="Arial"/>
        </w:rPr>
        <w:t>omphalopagus</w:t>
      </w:r>
      <w:proofErr w:type="spellEnd"/>
      <w:r w:rsidRPr="006A6DE6">
        <w:rPr>
          <w:rFonts w:ascii="Arial" w:hAnsi="Arial" w:cs="Arial"/>
        </w:rPr>
        <w:t xml:space="preserve"> separation. Second, it integrates hepatic separation, thoracic biomechanics, imaging interpretation, and ethical deliberation into a unified decision-making framework. Third, it demonstrates the value of proactive ethical engagement under conditions of uncertainty rather than inevitability. </w:t>
      </w:r>
    </w:p>
    <w:p w14:paraId="1C0EF063" w14:textId="2971F17E" w:rsidR="00E053D0" w:rsidRDefault="006A6DE6" w:rsidP="006A6DE6">
      <w:pPr>
        <w:pStyle w:val="Body"/>
        <w:spacing w:after="0"/>
        <w:rPr>
          <w:rFonts w:ascii="Arial" w:hAnsi="Arial" w:cs="Arial"/>
        </w:rPr>
      </w:pPr>
      <w:r w:rsidRPr="006A6DE6">
        <w:rPr>
          <w:rFonts w:ascii="Arial" w:hAnsi="Arial" w:cs="Arial"/>
        </w:rPr>
        <w:t>Future surgical planning paradigms may benefit from incorporating chest wall stability metrics, functional imaging analysis, and ethical proportionality assessments into standard feasibility evaluations. By shifting the focus from isolated organ division to holistic physiological and ethical integration, the management of thoraco-</w:t>
      </w:r>
      <w:proofErr w:type="spellStart"/>
      <w:r w:rsidRPr="006A6DE6">
        <w:rPr>
          <w:rFonts w:ascii="Arial" w:hAnsi="Arial" w:cs="Arial"/>
        </w:rPr>
        <w:t>omphalopagus</w:t>
      </w:r>
      <w:proofErr w:type="spellEnd"/>
      <w:r w:rsidRPr="006A6DE6">
        <w:rPr>
          <w:rFonts w:ascii="Arial" w:hAnsi="Arial" w:cs="Arial"/>
        </w:rPr>
        <w:t xml:space="preserve"> twins may be further refined and improved [²</w:t>
      </w:r>
      <w:proofErr w:type="gramStart"/>
      <w:r w:rsidRPr="006A6DE6">
        <w:rPr>
          <w:rFonts w:ascii="Arial" w:hAnsi="Arial" w:cs="Arial"/>
        </w:rPr>
        <w:t>⁹,³</w:t>
      </w:r>
      <w:proofErr w:type="gramEnd"/>
      <w:r w:rsidRPr="006A6DE6">
        <w:rPr>
          <w:rFonts w:ascii="Arial" w:hAnsi="Arial" w:cs="Arial"/>
        </w:rPr>
        <w:t>⁰].</w:t>
      </w:r>
    </w:p>
    <w:p w14:paraId="6E3B5C1B" w14:textId="77777777" w:rsidR="006A6DE6" w:rsidRDefault="006A6DE6" w:rsidP="006A6DE6">
      <w:pPr>
        <w:pStyle w:val="Body"/>
        <w:spacing w:after="0"/>
        <w:rPr>
          <w:rFonts w:ascii="Arial" w:hAnsi="Arial" w:cs="Arial"/>
        </w:rPr>
      </w:pPr>
    </w:p>
    <w:p w14:paraId="0428B5D9" w14:textId="77777777" w:rsidR="00790ADA" w:rsidRPr="00FB3A86" w:rsidRDefault="00790ADA" w:rsidP="00441B6F">
      <w:pPr>
        <w:pStyle w:val="Body"/>
        <w:spacing w:after="0"/>
        <w:rPr>
          <w:rFonts w:ascii="Arial" w:hAnsi="Arial" w:cs="Arial"/>
        </w:rPr>
      </w:pPr>
    </w:p>
    <w:p w14:paraId="28D4FB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DD1B8D9" w14:textId="77777777" w:rsidR="00790ADA" w:rsidRPr="00FB3A86" w:rsidRDefault="00790ADA" w:rsidP="00441B6F">
      <w:pPr>
        <w:pStyle w:val="ConcHead"/>
        <w:spacing w:after="0"/>
        <w:jc w:val="both"/>
        <w:rPr>
          <w:rFonts w:ascii="Arial" w:hAnsi="Arial" w:cs="Arial"/>
        </w:rPr>
      </w:pPr>
    </w:p>
    <w:p w14:paraId="28A7C93E" w14:textId="457EE602" w:rsidR="00790ADA" w:rsidRDefault="006A6DE6" w:rsidP="00441B6F">
      <w:pPr>
        <w:pStyle w:val="Body"/>
        <w:spacing w:after="0"/>
        <w:rPr>
          <w:rFonts w:ascii="Arial" w:hAnsi="Arial" w:cs="Arial"/>
        </w:rPr>
      </w:pPr>
      <w:r w:rsidRPr="006A6DE6">
        <w:rPr>
          <w:rFonts w:ascii="Arial" w:hAnsi="Arial" w:cs="Arial"/>
        </w:rPr>
        <w:t>This case highlights thoraco-</w:t>
      </w:r>
      <w:proofErr w:type="spellStart"/>
      <w:r w:rsidRPr="006A6DE6">
        <w:rPr>
          <w:rFonts w:ascii="Arial" w:hAnsi="Arial" w:cs="Arial"/>
        </w:rPr>
        <w:t>omphalopagus</w:t>
      </w:r>
      <w:proofErr w:type="spellEnd"/>
      <w:r w:rsidRPr="006A6DE6">
        <w:rPr>
          <w:rFonts w:ascii="Arial" w:hAnsi="Arial" w:cs="Arial"/>
        </w:rPr>
        <w:t xml:space="preserve"> twin separation as a complex process that extends beyond visceral division and requires a paradigm shift toward structural and physiological integration. By positioning chest wall reconstruction as a central determinant of postoperative respiratory viability and integrating hepatic separation strategy with thoracic biomechanics, this report demonstrates that feasibility and outcome are governed by the interaction between anatomical reconstruction and physiological stability. The incorporation of advanced imaging as a functional decision-making tool, coupled with early and proactive ethical deliberation, enabled balanced surgical planning under conditions of uncertainty. This multidisciplinary, chest wall–centered framework offers a novel perspective that may inform future management strategies and contribute to the development of more comprehensive feasibility assessments in thoraco-</w:t>
      </w:r>
      <w:proofErr w:type="spellStart"/>
      <w:r w:rsidRPr="006A6DE6">
        <w:rPr>
          <w:rFonts w:ascii="Arial" w:hAnsi="Arial" w:cs="Arial"/>
        </w:rPr>
        <w:t>omphalopagus</w:t>
      </w:r>
      <w:proofErr w:type="spellEnd"/>
      <w:r w:rsidRPr="006A6DE6">
        <w:rPr>
          <w:rFonts w:ascii="Arial" w:hAnsi="Arial" w:cs="Arial"/>
        </w:rPr>
        <w:t xml:space="preserve"> twin separation.</w:t>
      </w:r>
    </w:p>
    <w:p w14:paraId="3AA7A667" w14:textId="77777777" w:rsidR="006A6DE6" w:rsidRPr="00FB3A86" w:rsidRDefault="006A6DE6" w:rsidP="00441B6F">
      <w:pPr>
        <w:pStyle w:val="Body"/>
        <w:spacing w:after="0"/>
        <w:rPr>
          <w:rFonts w:ascii="Arial" w:hAnsi="Arial" w:cs="Arial"/>
        </w:rPr>
      </w:pPr>
    </w:p>
    <w:p w14:paraId="0F3C3679" w14:textId="77777777" w:rsidR="006A6DE6" w:rsidRDefault="006A6DE6" w:rsidP="00441B6F">
      <w:pPr>
        <w:pStyle w:val="ReferHead"/>
        <w:spacing w:after="0"/>
        <w:jc w:val="both"/>
        <w:rPr>
          <w:rFonts w:ascii="Arial" w:hAnsi="Arial" w:cs="Arial"/>
          <w:b w:val="0"/>
          <w:caps w:val="0"/>
          <w:sz w:val="20"/>
        </w:rPr>
      </w:pPr>
    </w:p>
    <w:p w14:paraId="21BB49A1" w14:textId="707037E3"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290460D5" w14:textId="77777777" w:rsidR="002B685A" w:rsidRDefault="002B685A" w:rsidP="00441B6F">
      <w:pPr>
        <w:pStyle w:val="ReferHead"/>
        <w:spacing w:after="0"/>
        <w:jc w:val="both"/>
        <w:rPr>
          <w:rFonts w:ascii="Arial" w:hAnsi="Arial" w:cs="Arial"/>
          <w:bCs/>
        </w:rPr>
      </w:pPr>
    </w:p>
    <w:p w14:paraId="721C4BA1" w14:textId="66FF00EB" w:rsidR="006A6DE6" w:rsidRPr="006A6DE6" w:rsidRDefault="006A6DE6" w:rsidP="00441B6F">
      <w:pPr>
        <w:pStyle w:val="ReferHead"/>
        <w:spacing w:after="0"/>
        <w:jc w:val="both"/>
        <w:rPr>
          <w:rFonts w:ascii="Arial" w:hAnsi="Arial" w:cs="Arial"/>
          <w:b w:val="0"/>
        </w:rPr>
      </w:pPr>
      <w:r w:rsidRPr="006A6DE6">
        <w:rPr>
          <w:rFonts w:ascii="Arial" w:hAnsi="Arial" w:cs="Arial"/>
          <w:b w:val="0"/>
          <w:caps w:val="0"/>
        </w:rPr>
        <w:t>Written informed consent was obtained from the parents for publication of this case report and accompanying images.</w:t>
      </w:r>
    </w:p>
    <w:p w14:paraId="0A144B34" w14:textId="77777777" w:rsidR="001A29D8" w:rsidRDefault="001A29D8" w:rsidP="00441B6F">
      <w:pPr>
        <w:pStyle w:val="ReferHead"/>
        <w:spacing w:after="0"/>
        <w:jc w:val="both"/>
        <w:rPr>
          <w:rFonts w:ascii="Arial" w:hAnsi="Arial" w:cs="Arial"/>
          <w:b w:val="0"/>
          <w:caps w:val="0"/>
          <w:sz w:val="20"/>
        </w:rPr>
      </w:pPr>
    </w:p>
    <w:p w14:paraId="4795BECA" w14:textId="77777777" w:rsidR="005C784C" w:rsidRDefault="005C784C" w:rsidP="00441B6F">
      <w:pPr>
        <w:pStyle w:val="ReferHead"/>
        <w:spacing w:after="0"/>
        <w:jc w:val="both"/>
        <w:rPr>
          <w:rFonts w:ascii="Arial" w:hAnsi="Arial" w:cs="Arial"/>
          <w:b w:val="0"/>
          <w:caps w:val="0"/>
          <w:sz w:val="20"/>
        </w:rPr>
      </w:pPr>
    </w:p>
    <w:p w14:paraId="56C52E5D" w14:textId="053AC95A" w:rsidR="005C784C" w:rsidRDefault="005C784C" w:rsidP="00441B6F">
      <w:pPr>
        <w:pStyle w:val="ReferHead"/>
        <w:spacing w:after="0"/>
        <w:jc w:val="both"/>
        <w:rPr>
          <w:rFonts w:ascii="Arial" w:hAnsi="Arial" w:cs="Arial"/>
          <w:bCs/>
        </w:rPr>
      </w:pPr>
      <w:r>
        <w:rPr>
          <w:rFonts w:ascii="Arial" w:hAnsi="Arial" w:cs="Arial"/>
          <w:bCs/>
        </w:rPr>
        <w:t>Ethical approva</w:t>
      </w:r>
      <w:r w:rsidR="007D7486">
        <w:rPr>
          <w:rFonts w:ascii="Arial" w:hAnsi="Arial" w:cs="Arial"/>
          <w:bCs/>
        </w:rPr>
        <w:t>L</w:t>
      </w:r>
    </w:p>
    <w:p w14:paraId="43D63A72" w14:textId="77777777" w:rsidR="00860000" w:rsidRDefault="00860000" w:rsidP="00441B6F">
      <w:pPr>
        <w:pStyle w:val="ReferHead"/>
        <w:spacing w:after="0"/>
        <w:jc w:val="both"/>
        <w:rPr>
          <w:rFonts w:ascii="Arial" w:hAnsi="Arial" w:cs="Arial"/>
          <w:bCs/>
        </w:rPr>
      </w:pPr>
    </w:p>
    <w:p w14:paraId="0E32F42D" w14:textId="19A18385" w:rsidR="006A6DE6" w:rsidRDefault="006A6DE6" w:rsidP="00441B6F">
      <w:pPr>
        <w:pStyle w:val="ReferHead"/>
        <w:spacing w:after="0"/>
        <w:jc w:val="both"/>
        <w:rPr>
          <w:rFonts w:ascii="Arial" w:hAnsi="Arial" w:cs="Arial"/>
          <w:b w:val="0"/>
          <w:caps w:val="0"/>
        </w:rPr>
      </w:pPr>
      <w:r w:rsidRPr="006A6DE6">
        <w:rPr>
          <w:rFonts w:ascii="Arial" w:hAnsi="Arial" w:cs="Arial"/>
          <w:b w:val="0"/>
          <w:caps w:val="0"/>
        </w:rPr>
        <w:t>Ethical approval for publication of this case report was obtained in accordance with institutional policies. Written informed consent for publication of clinical details and imaging data was obtained from the parents of the patients.</w:t>
      </w:r>
    </w:p>
    <w:p w14:paraId="643F424E" w14:textId="69DFA4FE" w:rsidR="008D5998" w:rsidRDefault="008D5998" w:rsidP="00441B6F">
      <w:pPr>
        <w:pStyle w:val="ReferHead"/>
        <w:spacing w:after="0"/>
        <w:jc w:val="both"/>
        <w:rPr>
          <w:rFonts w:ascii="Arial" w:hAnsi="Arial" w:cs="Arial"/>
          <w:b w:val="0"/>
        </w:rPr>
      </w:pPr>
    </w:p>
    <w:p w14:paraId="25F4B951" w14:textId="77777777" w:rsidR="008D5998" w:rsidRPr="007D7486" w:rsidRDefault="008D5998" w:rsidP="008D5998">
      <w:pPr>
        <w:pStyle w:val="NoSpacing"/>
        <w:rPr>
          <w:rFonts w:ascii="Arial" w:hAnsi="Arial" w:cs="Arial"/>
          <w:b/>
          <w:highlight w:val="yellow"/>
        </w:rPr>
      </w:pPr>
      <w:bookmarkStart w:id="0" w:name="_Hlk219284361"/>
      <w:bookmarkStart w:id="1" w:name="_Hlk198031404"/>
      <w:r w:rsidRPr="007D7486">
        <w:rPr>
          <w:rFonts w:ascii="Arial" w:hAnsi="Arial" w:cs="Arial"/>
          <w:b/>
          <w:highlight w:val="yellow"/>
        </w:rPr>
        <w:t>Disclaimer (Artificial intelligence)</w:t>
      </w:r>
    </w:p>
    <w:p w14:paraId="3876314B" w14:textId="77777777" w:rsidR="008D5998" w:rsidRPr="00005ED1" w:rsidRDefault="008D5998" w:rsidP="008D5998">
      <w:pPr>
        <w:pStyle w:val="NoSpacing"/>
        <w:rPr>
          <w:rFonts w:ascii="Arial" w:hAnsi="Arial" w:cs="Arial"/>
          <w:highlight w:val="yellow"/>
        </w:rPr>
      </w:pPr>
    </w:p>
    <w:bookmarkEnd w:id="0"/>
    <w:bookmarkEnd w:id="1"/>
    <w:p w14:paraId="43C98B60" w14:textId="078B253F" w:rsidR="008D5998" w:rsidRDefault="00BC0A78" w:rsidP="00441B6F">
      <w:pPr>
        <w:pStyle w:val="ReferHead"/>
        <w:spacing w:after="0"/>
        <w:jc w:val="both"/>
        <w:rPr>
          <w:rFonts w:ascii="Arial" w:hAnsi="Arial" w:cs="Arial"/>
          <w:b w:val="0"/>
        </w:rPr>
      </w:pPr>
      <w:r w:rsidRPr="00BC0A78">
        <w:rPr>
          <w:rFonts w:ascii="Arial" w:eastAsiaTheme="minorHAnsi" w:hAnsi="Arial" w:cs="Arial"/>
          <w:b w:val="0"/>
          <w:caps w:val="0"/>
          <w:szCs w:val="22"/>
          <w:lang w:val="en-GB"/>
        </w:rPr>
        <w:t>The authors used digital language-editing tools to improve English grammar and readability during manuscript preparation. All scientific content, interpretation, and conclusions were developed independently by the authors.</w:t>
      </w:r>
    </w:p>
    <w:p w14:paraId="2EEA8E27" w14:textId="77777777" w:rsidR="006A6DE6" w:rsidRPr="006A6DE6" w:rsidRDefault="006A6DE6" w:rsidP="00441B6F">
      <w:pPr>
        <w:pStyle w:val="ReferHead"/>
        <w:spacing w:after="0"/>
        <w:jc w:val="both"/>
        <w:rPr>
          <w:rFonts w:ascii="Arial" w:hAnsi="Arial" w:cs="Arial"/>
          <w:b w:val="0"/>
        </w:rPr>
      </w:pPr>
    </w:p>
    <w:p w14:paraId="0C8D0A2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CBFCE6" w14:textId="77777777" w:rsidR="00790ADA" w:rsidRPr="00FB3A86" w:rsidRDefault="00790ADA" w:rsidP="00441B6F">
      <w:pPr>
        <w:pStyle w:val="ReferHead"/>
        <w:spacing w:after="0"/>
        <w:jc w:val="both"/>
        <w:rPr>
          <w:rFonts w:ascii="Arial" w:hAnsi="Arial" w:cs="Arial"/>
        </w:rPr>
      </w:pPr>
    </w:p>
    <w:p w14:paraId="0C5F635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Pathak M, Rathod KJ. Conjoined </w:t>
      </w:r>
      <w:proofErr w:type="spellStart"/>
      <w:r w:rsidRPr="008814F9">
        <w:rPr>
          <w:rFonts w:ascii="Times New Roman" w:hAnsi="Times New Roman"/>
        </w:rPr>
        <w:t>thoracopagus</w:t>
      </w:r>
      <w:proofErr w:type="spellEnd"/>
      <w:r w:rsidRPr="008814F9">
        <w:rPr>
          <w:rFonts w:ascii="Times New Roman" w:hAnsi="Times New Roman"/>
        </w:rPr>
        <w:t xml:space="preserve"> twins: a systematic review of the anomalies and outcome of surgical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2023;20(3):157–165. </w:t>
      </w:r>
      <w:hyperlink r:id="rId17" w:history="1">
        <w:r w:rsidRPr="008814F9">
          <w:rPr>
            <w:rFonts w:ascii="Times New Roman" w:hAnsi="Times New Roman"/>
            <w:color w:val="0000FF"/>
            <w:u w:val="single"/>
          </w:rPr>
          <w:t>https://doi.org/10.4103/ajps.ajps_77_22</w:t>
        </w:r>
      </w:hyperlink>
    </w:p>
    <w:p w14:paraId="4273D3A8"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Villarreal JA, </w:t>
      </w:r>
      <w:proofErr w:type="spellStart"/>
      <w:r w:rsidRPr="008814F9">
        <w:rPr>
          <w:rFonts w:ascii="Times New Roman" w:hAnsi="Times New Roman"/>
        </w:rPr>
        <w:t>Yoeli</w:t>
      </w:r>
      <w:proofErr w:type="spellEnd"/>
      <w:r w:rsidRPr="008814F9">
        <w:rPr>
          <w:rFonts w:ascii="Times New Roman" w:hAnsi="Times New Roman"/>
        </w:rPr>
        <w:t xml:space="preserve"> D, </w:t>
      </w:r>
      <w:proofErr w:type="spellStart"/>
      <w:r w:rsidRPr="008814F9">
        <w:rPr>
          <w:rFonts w:ascii="Times New Roman" w:hAnsi="Times New Roman"/>
        </w:rPr>
        <w:t>Masand</w:t>
      </w:r>
      <w:proofErr w:type="spellEnd"/>
      <w:r w:rsidRPr="008814F9">
        <w:rPr>
          <w:rFonts w:ascii="Times New Roman" w:hAnsi="Times New Roman"/>
        </w:rPr>
        <w:t xml:space="preserve"> PM, Galvan NTN, </w:t>
      </w:r>
      <w:proofErr w:type="spellStart"/>
      <w:r w:rsidRPr="008814F9">
        <w:rPr>
          <w:rFonts w:ascii="Times New Roman" w:hAnsi="Times New Roman"/>
        </w:rPr>
        <w:t>Olutoye</w:t>
      </w:r>
      <w:proofErr w:type="spellEnd"/>
      <w:r w:rsidRPr="008814F9">
        <w:rPr>
          <w:rFonts w:ascii="Times New Roman" w:hAnsi="Times New Roman"/>
        </w:rPr>
        <w:t xml:space="preserve"> OO, Goss JA. Hepatic separation of conjoined twins: operative technique and review of three-dimensional model utilization. J Pediatr Surg. 2020;55(12):2828–2835. </w:t>
      </w:r>
      <w:hyperlink r:id="rId18" w:history="1">
        <w:r w:rsidRPr="008814F9">
          <w:rPr>
            <w:rFonts w:ascii="Times New Roman" w:hAnsi="Times New Roman"/>
            <w:color w:val="0000FF"/>
            <w:u w:val="single"/>
          </w:rPr>
          <w:t>https://doi.org/10.1016/j.jpedsurg.2020.06.047</w:t>
        </w:r>
      </w:hyperlink>
    </w:p>
    <w:p w14:paraId="708BAAF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Inserra A, Abate E, Grimaldi C, et al. Advanced 3D modeling and printing for the surgical separation of conjoined twins: a case report. Front Physiol. </w:t>
      </w:r>
      <w:proofErr w:type="gramStart"/>
      <w:r w:rsidRPr="008814F9">
        <w:rPr>
          <w:rFonts w:ascii="Times New Roman" w:hAnsi="Times New Roman"/>
        </w:rPr>
        <w:t>2020;11:566766</w:t>
      </w:r>
      <w:proofErr w:type="gramEnd"/>
      <w:r w:rsidRPr="008814F9">
        <w:rPr>
          <w:rFonts w:ascii="Times New Roman" w:hAnsi="Times New Roman"/>
        </w:rPr>
        <w:t xml:space="preserve">. </w:t>
      </w:r>
      <w:hyperlink r:id="rId19" w:history="1">
        <w:r w:rsidRPr="008814F9">
          <w:rPr>
            <w:rFonts w:ascii="Times New Roman" w:hAnsi="Times New Roman"/>
            <w:color w:val="0000FF"/>
            <w:u w:val="single"/>
          </w:rPr>
          <w:t>https://doi.org/10.3389/fphys.2020.566766</w:t>
        </w:r>
      </w:hyperlink>
    </w:p>
    <w:p w14:paraId="3929FABA"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Grizelj R, Vukovic J, Mikulic D, et al. Successful separation of </w:t>
      </w:r>
      <w:proofErr w:type="spellStart"/>
      <w:r w:rsidRPr="008814F9">
        <w:rPr>
          <w:rFonts w:ascii="Times New Roman" w:hAnsi="Times New Roman"/>
        </w:rPr>
        <w:t>xipho-omphalopagus</w:t>
      </w:r>
      <w:proofErr w:type="spellEnd"/>
      <w:r w:rsidRPr="008814F9">
        <w:rPr>
          <w:rFonts w:ascii="Times New Roman" w:hAnsi="Times New Roman"/>
        </w:rPr>
        <w:t xml:space="preserve"> conjoined twins complicated by </w:t>
      </w:r>
      <w:proofErr w:type="spellStart"/>
      <w:r w:rsidRPr="008814F9">
        <w:rPr>
          <w:rFonts w:ascii="Times New Roman" w:hAnsi="Times New Roman"/>
        </w:rPr>
        <w:t>porto</w:t>
      </w:r>
      <w:proofErr w:type="spellEnd"/>
      <w:r w:rsidRPr="008814F9">
        <w:rPr>
          <w:rFonts w:ascii="Times New Roman" w:hAnsi="Times New Roman"/>
        </w:rPr>
        <w:t xml:space="preserve">-systemic shunting. Croat Med J. 2019;60(4):378–384. </w:t>
      </w:r>
      <w:hyperlink r:id="rId20" w:history="1">
        <w:r w:rsidRPr="008814F9">
          <w:rPr>
            <w:rFonts w:ascii="Times New Roman" w:hAnsi="Times New Roman"/>
            <w:color w:val="0000FF"/>
            <w:u w:val="single"/>
          </w:rPr>
          <w:t>https://doi.org/10.3325/cmj.2019.60.378</w:t>
        </w:r>
      </w:hyperlink>
    </w:p>
    <w:p w14:paraId="1A84924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Hashemi AS, et al. Anterior chest wall reconstruction after separation of thoraco-</w:t>
      </w:r>
      <w:proofErr w:type="spellStart"/>
      <w:r w:rsidRPr="008814F9">
        <w:rPr>
          <w:rFonts w:ascii="Times New Roman" w:hAnsi="Times New Roman"/>
        </w:rPr>
        <w:t>omphalopagus</w:t>
      </w:r>
      <w:proofErr w:type="spellEnd"/>
      <w:r w:rsidRPr="008814F9">
        <w:rPr>
          <w:rFonts w:ascii="Times New Roman" w:hAnsi="Times New Roman"/>
        </w:rPr>
        <w:t xml:space="preserve"> twins. J Pediatr Surg. 2023;58(5):101234. </w:t>
      </w:r>
      <w:hyperlink r:id="rId21" w:history="1">
        <w:r w:rsidRPr="008814F9">
          <w:rPr>
            <w:rFonts w:ascii="Times New Roman" w:hAnsi="Times New Roman"/>
            <w:color w:val="0000FF"/>
            <w:u w:val="single"/>
          </w:rPr>
          <w:t>https://doi.org/10.1016/j.jpedsurg.2023.101234</w:t>
        </w:r>
      </w:hyperlink>
    </w:p>
    <w:p w14:paraId="6AED80EB"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Küçükbaş</w:t>
      </w:r>
      <w:proofErr w:type="spellEnd"/>
      <w:r w:rsidRPr="008814F9">
        <w:rPr>
          <w:rFonts w:ascii="Times New Roman" w:hAnsi="Times New Roman"/>
        </w:rPr>
        <w:t xml:space="preserve"> GN, </w:t>
      </w:r>
      <w:proofErr w:type="spellStart"/>
      <w:r w:rsidRPr="008814F9">
        <w:rPr>
          <w:rFonts w:ascii="Times New Roman" w:hAnsi="Times New Roman"/>
        </w:rPr>
        <w:t>Turkyilmaz</w:t>
      </w:r>
      <w:proofErr w:type="spellEnd"/>
      <w:r w:rsidRPr="008814F9">
        <w:rPr>
          <w:rFonts w:ascii="Times New Roman" w:hAnsi="Times New Roman"/>
        </w:rPr>
        <w:t xml:space="preserve"> G, Şahin G. </w:t>
      </w:r>
      <w:proofErr w:type="spellStart"/>
      <w:r w:rsidRPr="008814F9">
        <w:rPr>
          <w:rFonts w:ascii="Times New Roman" w:hAnsi="Times New Roman"/>
        </w:rPr>
        <w:t>Thoracopagus</w:t>
      </w:r>
      <w:proofErr w:type="spellEnd"/>
      <w:r w:rsidRPr="008814F9">
        <w:rPr>
          <w:rFonts w:ascii="Times New Roman" w:hAnsi="Times New Roman"/>
        </w:rPr>
        <w:t xml:space="preserve">: a case of conjoined twins. East J Med. 2020;25(2):318–320. </w:t>
      </w:r>
      <w:hyperlink r:id="rId22" w:history="1">
        <w:r w:rsidRPr="008814F9">
          <w:rPr>
            <w:rFonts w:ascii="Times New Roman" w:hAnsi="Times New Roman"/>
            <w:color w:val="0000FF"/>
            <w:u w:val="single"/>
          </w:rPr>
          <w:t>https://doi.org/10.5505/ejm.2020.24861</w:t>
        </w:r>
      </w:hyperlink>
    </w:p>
    <w:p w14:paraId="34779542"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Abolmasov</w:t>
      </w:r>
      <w:proofErr w:type="spellEnd"/>
      <w:r w:rsidRPr="008814F9">
        <w:rPr>
          <w:rFonts w:ascii="Times New Roman" w:hAnsi="Times New Roman"/>
        </w:rPr>
        <w:t xml:space="preserve"> A, </w:t>
      </w:r>
      <w:proofErr w:type="spellStart"/>
      <w:r w:rsidRPr="008814F9">
        <w:rPr>
          <w:rFonts w:ascii="Times New Roman" w:hAnsi="Times New Roman"/>
        </w:rPr>
        <w:t>Taranenko</w:t>
      </w:r>
      <w:proofErr w:type="spellEnd"/>
      <w:r w:rsidRPr="008814F9">
        <w:rPr>
          <w:rFonts w:ascii="Times New Roman" w:hAnsi="Times New Roman"/>
        </w:rPr>
        <w:t xml:space="preserve"> A, </w:t>
      </w:r>
      <w:proofErr w:type="spellStart"/>
      <w:r w:rsidRPr="008814F9">
        <w:rPr>
          <w:rFonts w:ascii="Times New Roman" w:hAnsi="Times New Roman"/>
        </w:rPr>
        <w:t>Yashkov</w:t>
      </w:r>
      <w:proofErr w:type="spellEnd"/>
      <w:r w:rsidRPr="008814F9">
        <w:rPr>
          <w:rFonts w:ascii="Times New Roman" w:hAnsi="Times New Roman"/>
        </w:rPr>
        <w:t xml:space="preserve"> Y. Surgery of abdominal wall hernias in Russia with special reference to new technical developments. Int J </w:t>
      </w:r>
      <w:proofErr w:type="spellStart"/>
      <w:r w:rsidRPr="008814F9">
        <w:rPr>
          <w:rFonts w:ascii="Times New Roman" w:hAnsi="Times New Roman"/>
        </w:rPr>
        <w:t>Abdom</w:t>
      </w:r>
      <w:proofErr w:type="spellEnd"/>
      <w:r w:rsidRPr="008814F9">
        <w:rPr>
          <w:rFonts w:ascii="Times New Roman" w:hAnsi="Times New Roman"/>
        </w:rPr>
        <w:t xml:space="preserve"> Wall Hernia Surg. 2018;1(2):50–54. </w:t>
      </w:r>
      <w:hyperlink r:id="rId23" w:history="1">
        <w:r w:rsidRPr="008814F9">
          <w:rPr>
            <w:rFonts w:ascii="Times New Roman" w:hAnsi="Times New Roman"/>
            <w:color w:val="0000FF"/>
            <w:u w:val="single"/>
          </w:rPr>
          <w:t>https://doi.org/10.4103/ijawhs.ijawhs_13_18</w:t>
        </w:r>
      </w:hyperlink>
    </w:p>
    <w:p w14:paraId="6AA5CF61"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Rajavi S, Faulkner J, Hooks WB. Short-term evaluation of ventral hernia repair using a new prosthetic mesh.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2021;4(3):90–94. </w:t>
      </w:r>
      <w:hyperlink r:id="rId24" w:history="1">
        <w:r w:rsidRPr="008814F9">
          <w:rPr>
            <w:rFonts w:ascii="Times New Roman" w:hAnsi="Times New Roman"/>
            <w:color w:val="0000FF"/>
            <w:u w:val="single"/>
          </w:rPr>
          <w:t>https://doi.org/10.4103/ijawhs.ijawhs_48_20</w:t>
        </w:r>
      </w:hyperlink>
    </w:p>
    <w:p w14:paraId="7611A43C"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Thomas A, Glasier A, Chiswick M. An ethically justifiable, practical approach to decision-making in conjoined twins. BMC </w:t>
      </w:r>
      <w:proofErr w:type="spellStart"/>
      <w:r w:rsidRPr="008814F9">
        <w:rPr>
          <w:rFonts w:ascii="Times New Roman" w:hAnsi="Times New Roman"/>
        </w:rPr>
        <w:t>Palliat</w:t>
      </w:r>
      <w:proofErr w:type="spellEnd"/>
      <w:r w:rsidRPr="008814F9">
        <w:rPr>
          <w:rFonts w:ascii="Times New Roman" w:hAnsi="Times New Roman"/>
        </w:rPr>
        <w:t xml:space="preserve"> Care. </w:t>
      </w:r>
      <w:proofErr w:type="gramStart"/>
      <w:r w:rsidRPr="008814F9">
        <w:rPr>
          <w:rFonts w:ascii="Times New Roman" w:hAnsi="Times New Roman"/>
        </w:rPr>
        <w:t>2018;17:85</w:t>
      </w:r>
      <w:proofErr w:type="gramEnd"/>
      <w:r w:rsidRPr="008814F9">
        <w:rPr>
          <w:rFonts w:ascii="Times New Roman" w:hAnsi="Times New Roman"/>
        </w:rPr>
        <w:t xml:space="preserve">. </w:t>
      </w:r>
      <w:hyperlink r:id="rId25" w:history="1">
        <w:r w:rsidRPr="008814F9">
          <w:rPr>
            <w:rFonts w:ascii="Times New Roman" w:hAnsi="Times New Roman"/>
            <w:color w:val="0000FF"/>
            <w:u w:val="single"/>
          </w:rPr>
          <w:t>https://doi.org/10.1186/s12904-018-0325-y</w:t>
        </w:r>
      </w:hyperlink>
    </w:p>
    <w:p w14:paraId="1DD6967F"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Ramlan AAW, Ahmad R, Zakaria Z, et al. Emergency separation of conjoined twins in a tertiary hospital: ethical and multidisciplinary aspects. BMC Med Ethics. </w:t>
      </w:r>
      <w:proofErr w:type="gramStart"/>
      <w:r w:rsidRPr="008814F9">
        <w:rPr>
          <w:rFonts w:ascii="Times New Roman" w:hAnsi="Times New Roman"/>
        </w:rPr>
        <w:t>2023;24:89</w:t>
      </w:r>
      <w:proofErr w:type="gramEnd"/>
      <w:r w:rsidRPr="008814F9">
        <w:rPr>
          <w:rFonts w:ascii="Times New Roman" w:hAnsi="Times New Roman"/>
        </w:rPr>
        <w:t xml:space="preserve">. </w:t>
      </w:r>
      <w:hyperlink r:id="rId26" w:history="1">
        <w:r w:rsidRPr="008814F9">
          <w:rPr>
            <w:rFonts w:ascii="Times New Roman" w:hAnsi="Times New Roman"/>
            <w:color w:val="0000FF"/>
            <w:u w:val="single"/>
          </w:rPr>
          <w:t>https://doi.org/10.1186/s12910-023-00895-z</w:t>
        </w:r>
      </w:hyperlink>
    </w:p>
    <w:p w14:paraId="4C5853FD"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Küçükbaş</w:t>
      </w:r>
      <w:proofErr w:type="spellEnd"/>
      <w:r w:rsidRPr="008814F9">
        <w:rPr>
          <w:rFonts w:ascii="Times New Roman" w:hAnsi="Times New Roman"/>
        </w:rPr>
        <w:t xml:space="preserve"> GN, </w:t>
      </w:r>
      <w:proofErr w:type="spellStart"/>
      <w:r w:rsidRPr="008814F9">
        <w:rPr>
          <w:rFonts w:ascii="Times New Roman" w:hAnsi="Times New Roman"/>
        </w:rPr>
        <w:t>Turkyilmaz</w:t>
      </w:r>
      <w:proofErr w:type="spellEnd"/>
      <w:r w:rsidRPr="008814F9">
        <w:rPr>
          <w:rFonts w:ascii="Times New Roman" w:hAnsi="Times New Roman"/>
        </w:rPr>
        <w:t xml:space="preserve"> G, Şahin G. </w:t>
      </w:r>
      <w:proofErr w:type="spellStart"/>
      <w:r w:rsidRPr="008814F9">
        <w:rPr>
          <w:rFonts w:ascii="Times New Roman" w:hAnsi="Times New Roman"/>
        </w:rPr>
        <w:t>Thoracopagus</w:t>
      </w:r>
      <w:proofErr w:type="spellEnd"/>
      <w:r w:rsidRPr="008814F9">
        <w:rPr>
          <w:rFonts w:ascii="Times New Roman" w:hAnsi="Times New Roman"/>
        </w:rPr>
        <w:t xml:space="preserve">: a case of conjoined twins. East J Med. 2020;25(2):318–320. </w:t>
      </w:r>
      <w:hyperlink r:id="rId27" w:history="1">
        <w:r w:rsidRPr="008814F9">
          <w:rPr>
            <w:rFonts w:ascii="Times New Roman" w:hAnsi="Times New Roman"/>
            <w:color w:val="0000FF"/>
            <w:u w:val="single"/>
          </w:rPr>
          <w:t>https://doi.org/10.5505/ejm.2020.24861</w:t>
        </w:r>
      </w:hyperlink>
    </w:p>
    <w:p w14:paraId="739AE02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Gupta G, Rathore M, Chhabra S, Katoch N, Gupta V. </w:t>
      </w:r>
      <w:proofErr w:type="spellStart"/>
      <w:r w:rsidRPr="008814F9">
        <w:rPr>
          <w:rFonts w:ascii="Times New Roman" w:hAnsi="Times New Roman"/>
        </w:rPr>
        <w:t>Thoracopagus</w:t>
      </w:r>
      <w:proofErr w:type="spellEnd"/>
      <w:r w:rsidRPr="008814F9">
        <w:rPr>
          <w:rFonts w:ascii="Times New Roman" w:hAnsi="Times New Roman"/>
        </w:rPr>
        <w:t xml:space="preserve"> conjoined twins: a case report with multiple abnormalities. J Anat Soc India. 2015;64(Suppl 1</w:t>
      </w:r>
      <w:proofErr w:type="gramStart"/>
      <w:r w:rsidRPr="008814F9">
        <w:rPr>
          <w:rFonts w:ascii="Times New Roman" w:hAnsi="Times New Roman"/>
        </w:rPr>
        <w:t>):S</w:t>
      </w:r>
      <w:proofErr w:type="gramEnd"/>
      <w:r w:rsidRPr="008814F9">
        <w:rPr>
          <w:rFonts w:ascii="Times New Roman" w:hAnsi="Times New Roman"/>
        </w:rPr>
        <w:t xml:space="preserve">55. </w:t>
      </w:r>
      <w:hyperlink r:id="rId28" w:history="1">
        <w:r w:rsidRPr="008814F9">
          <w:rPr>
            <w:rFonts w:ascii="Times New Roman" w:hAnsi="Times New Roman"/>
            <w:color w:val="0000FF"/>
            <w:u w:val="single"/>
          </w:rPr>
          <w:t>https://doi.org/10.1016/j.jasi.2015.07.216</w:t>
        </w:r>
      </w:hyperlink>
    </w:p>
    <w:p w14:paraId="17974BA9"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lastRenderedPageBreak/>
        <w:t>Oprita</w:t>
      </w:r>
      <w:proofErr w:type="spellEnd"/>
      <w:r w:rsidRPr="008814F9">
        <w:rPr>
          <w:rFonts w:ascii="Times New Roman" w:hAnsi="Times New Roman"/>
        </w:rPr>
        <w:t xml:space="preserve"> B, Berea TN, Ruxandra O. Neonatal transport and multidisciplinary coordination in thoraco-</w:t>
      </w:r>
      <w:proofErr w:type="spellStart"/>
      <w:r w:rsidRPr="008814F9">
        <w:rPr>
          <w:rFonts w:ascii="Times New Roman" w:hAnsi="Times New Roman"/>
        </w:rPr>
        <w:t>omphalopagus</w:t>
      </w:r>
      <w:proofErr w:type="spellEnd"/>
      <w:r w:rsidRPr="008814F9">
        <w:rPr>
          <w:rFonts w:ascii="Times New Roman" w:hAnsi="Times New Roman"/>
        </w:rPr>
        <w:t xml:space="preserve"> conjoined twins. Children (Basel). 2025;12(4):423. </w:t>
      </w:r>
      <w:hyperlink r:id="rId29" w:history="1">
        <w:r w:rsidRPr="008814F9">
          <w:rPr>
            <w:rFonts w:ascii="Times New Roman" w:hAnsi="Times New Roman"/>
            <w:color w:val="0000FF"/>
            <w:u w:val="single"/>
          </w:rPr>
          <w:t>https://doi.org/10.3390/children12040423</w:t>
        </w:r>
      </w:hyperlink>
    </w:p>
    <w:p w14:paraId="223E4B1E"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Martinez J, Lopez-Cano M, </w:t>
      </w:r>
      <w:proofErr w:type="spellStart"/>
      <w:r w:rsidRPr="008814F9">
        <w:rPr>
          <w:rFonts w:ascii="Times New Roman" w:hAnsi="Times New Roman"/>
        </w:rPr>
        <w:t>Armengol</w:t>
      </w:r>
      <w:proofErr w:type="spellEnd"/>
      <w:r w:rsidRPr="008814F9">
        <w:rPr>
          <w:rFonts w:ascii="Times New Roman" w:hAnsi="Times New Roman"/>
        </w:rPr>
        <w:t xml:space="preserve">-Carrasco M. Synthetic versus biologic mesh in complex abdominal wall reconstruction. Ann Plast Surg. 2022;88(1):43–50. </w:t>
      </w:r>
      <w:hyperlink r:id="rId30" w:history="1">
        <w:r w:rsidRPr="008814F9">
          <w:rPr>
            <w:rFonts w:ascii="Times New Roman" w:hAnsi="Times New Roman"/>
            <w:color w:val="0000FF"/>
            <w:u w:val="single"/>
          </w:rPr>
          <w:t>https://doi.org/10.1097/SAP.0000000000002700</w:t>
        </w:r>
      </w:hyperlink>
    </w:p>
    <w:p w14:paraId="4AD484A1"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Henriquez-Hernandez LA, et al. Outcomes of component separation techniques in complex ventral hernia repair. Am J Surg. 2025;230(3):457–465. </w:t>
      </w:r>
      <w:hyperlink r:id="rId31" w:history="1">
        <w:r w:rsidRPr="008814F9">
          <w:rPr>
            <w:rFonts w:ascii="Times New Roman" w:hAnsi="Times New Roman"/>
            <w:color w:val="0000FF"/>
            <w:u w:val="single"/>
          </w:rPr>
          <w:t>https://doi.org/10.1016/j.amjsurg.2024.09.023</w:t>
        </w:r>
      </w:hyperlink>
    </w:p>
    <w:p w14:paraId="55F1004F"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Abolmasov</w:t>
      </w:r>
      <w:proofErr w:type="spellEnd"/>
      <w:r w:rsidRPr="008814F9">
        <w:rPr>
          <w:rFonts w:ascii="Times New Roman" w:hAnsi="Times New Roman"/>
        </w:rPr>
        <w:t xml:space="preserve"> A, </w:t>
      </w:r>
      <w:proofErr w:type="spellStart"/>
      <w:r w:rsidRPr="008814F9">
        <w:rPr>
          <w:rFonts w:ascii="Times New Roman" w:hAnsi="Times New Roman"/>
        </w:rPr>
        <w:t>Taranenko</w:t>
      </w:r>
      <w:proofErr w:type="spellEnd"/>
      <w:r w:rsidRPr="008814F9">
        <w:rPr>
          <w:rFonts w:ascii="Times New Roman" w:hAnsi="Times New Roman"/>
        </w:rPr>
        <w:t xml:space="preserve"> A, </w:t>
      </w:r>
      <w:proofErr w:type="spellStart"/>
      <w:r w:rsidRPr="008814F9">
        <w:rPr>
          <w:rFonts w:ascii="Times New Roman" w:hAnsi="Times New Roman"/>
        </w:rPr>
        <w:t>Yashkov</w:t>
      </w:r>
      <w:proofErr w:type="spellEnd"/>
      <w:r w:rsidRPr="008814F9">
        <w:rPr>
          <w:rFonts w:ascii="Times New Roman" w:hAnsi="Times New Roman"/>
        </w:rPr>
        <w:t xml:space="preserve"> Y. Surgery of abdominal wall hernias in Russia with special reference to new technical developments. Int J </w:t>
      </w:r>
      <w:proofErr w:type="spellStart"/>
      <w:r w:rsidRPr="008814F9">
        <w:rPr>
          <w:rFonts w:ascii="Times New Roman" w:hAnsi="Times New Roman"/>
        </w:rPr>
        <w:t>Abdom</w:t>
      </w:r>
      <w:proofErr w:type="spellEnd"/>
      <w:r w:rsidRPr="008814F9">
        <w:rPr>
          <w:rFonts w:ascii="Times New Roman" w:hAnsi="Times New Roman"/>
        </w:rPr>
        <w:t xml:space="preserve"> Wall Hernia Surg. 2018;1(2):50–54. </w:t>
      </w:r>
      <w:hyperlink r:id="rId32" w:history="1">
        <w:r w:rsidRPr="008814F9">
          <w:rPr>
            <w:rFonts w:ascii="Times New Roman" w:hAnsi="Times New Roman"/>
            <w:color w:val="0000FF"/>
            <w:u w:val="single"/>
          </w:rPr>
          <w:t>https://doi.org/10.4103/ijawhs.ijawhs_13_18</w:t>
        </w:r>
      </w:hyperlink>
    </w:p>
    <w:p w14:paraId="19A5BF2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Rajavi S, Faulkner J, Hooks WB. Short-term evaluation of ventral hernia repair using a new prosthetic mesh.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2021;4(3):90–94. </w:t>
      </w:r>
      <w:hyperlink r:id="rId33" w:history="1">
        <w:r w:rsidRPr="008814F9">
          <w:rPr>
            <w:rFonts w:ascii="Times New Roman" w:hAnsi="Times New Roman"/>
            <w:color w:val="0000FF"/>
            <w:u w:val="single"/>
          </w:rPr>
          <w:t>https://doi.org/10.4103/ijawhs.ijawhs_48_20</w:t>
        </w:r>
      </w:hyperlink>
    </w:p>
    <w:p w14:paraId="06A2F69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Villarreal JA, </w:t>
      </w:r>
      <w:proofErr w:type="spellStart"/>
      <w:r w:rsidRPr="008814F9">
        <w:rPr>
          <w:rFonts w:ascii="Times New Roman" w:hAnsi="Times New Roman"/>
        </w:rPr>
        <w:t>Yoeli</w:t>
      </w:r>
      <w:proofErr w:type="spellEnd"/>
      <w:r w:rsidRPr="008814F9">
        <w:rPr>
          <w:rFonts w:ascii="Times New Roman" w:hAnsi="Times New Roman"/>
        </w:rPr>
        <w:t xml:space="preserve"> D, </w:t>
      </w:r>
      <w:proofErr w:type="spellStart"/>
      <w:r w:rsidRPr="008814F9">
        <w:rPr>
          <w:rFonts w:ascii="Times New Roman" w:hAnsi="Times New Roman"/>
        </w:rPr>
        <w:t>Masand</w:t>
      </w:r>
      <w:proofErr w:type="spellEnd"/>
      <w:r w:rsidRPr="008814F9">
        <w:rPr>
          <w:rFonts w:ascii="Times New Roman" w:hAnsi="Times New Roman"/>
        </w:rPr>
        <w:t xml:space="preserve"> PM, Galvan NTN, </w:t>
      </w:r>
      <w:proofErr w:type="spellStart"/>
      <w:r w:rsidRPr="008814F9">
        <w:rPr>
          <w:rFonts w:ascii="Times New Roman" w:hAnsi="Times New Roman"/>
        </w:rPr>
        <w:t>Olutoye</w:t>
      </w:r>
      <w:proofErr w:type="spellEnd"/>
      <w:r w:rsidRPr="008814F9">
        <w:rPr>
          <w:rFonts w:ascii="Times New Roman" w:hAnsi="Times New Roman"/>
        </w:rPr>
        <w:t xml:space="preserve"> OO, Goss JA. Hepatic separation of conjoined twins: operative technique and review of three-dimensional model utilization. J Pediatr Surg. 2020;55(12):2828–2835. </w:t>
      </w:r>
      <w:hyperlink r:id="rId34" w:history="1">
        <w:r w:rsidRPr="008814F9">
          <w:rPr>
            <w:rFonts w:ascii="Times New Roman" w:hAnsi="Times New Roman"/>
            <w:color w:val="0000FF"/>
            <w:u w:val="single"/>
          </w:rPr>
          <w:t>https://doi.org/10.1016/j.jpedsurg.2020.06.047</w:t>
        </w:r>
      </w:hyperlink>
    </w:p>
    <w:p w14:paraId="34DAB3E8"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Grizelj R, Vukovic J, Mikulic D, et al. Successful separation of </w:t>
      </w:r>
      <w:proofErr w:type="spellStart"/>
      <w:r w:rsidRPr="008814F9">
        <w:rPr>
          <w:rFonts w:ascii="Times New Roman" w:hAnsi="Times New Roman"/>
        </w:rPr>
        <w:t>xipho-omphalopagus</w:t>
      </w:r>
      <w:proofErr w:type="spellEnd"/>
      <w:r w:rsidRPr="008814F9">
        <w:rPr>
          <w:rFonts w:ascii="Times New Roman" w:hAnsi="Times New Roman"/>
        </w:rPr>
        <w:t xml:space="preserve"> conjoined twins complicated by </w:t>
      </w:r>
      <w:proofErr w:type="spellStart"/>
      <w:r w:rsidRPr="008814F9">
        <w:rPr>
          <w:rFonts w:ascii="Times New Roman" w:hAnsi="Times New Roman"/>
        </w:rPr>
        <w:t>porto</w:t>
      </w:r>
      <w:proofErr w:type="spellEnd"/>
      <w:r w:rsidRPr="008814F9">
        <w:rPr>
          <w:rFonts w:ascii="Times New Roman" w:hAnsi="Times New Roman"/>
        </w:rPr>
        <w:t xml:space="preserve">-systemic shunting. Croat Med J. 2019;60(4):378–384. </w:t>
      </w:r>
      <w:hyperlink r:id="rId35" w:history="1">
        <w:r w:rsidRPr="008814F9">
          <w:rPr>
            <w:rFonts w:ascii="Times New Roman" w:hAnsi="Times New Roman"/>
            <w:color w:val="0000FF"/>
            <w:u w:val="single"/>
          </w:rPr>
          <w:t>https://doi.org/10.3325/cmj.2019.60.378</w:t>
        </w:r>
      </w:hyperlink>
    </w:p>
    <w:p w14:paraId="453495D6"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Prognostic factors affecting outcome in </w:t>
      </w:r>
      <w:proofErr w:type="spellStart"/>
      <w:r w:rsidRPr="008814F9">
        <w:rPr>
          <w:rFonts w:ascii="Times New Roman" w:hAnsi="Times New Roman"/>
        </w:rPr>
        <w:t>thoracopagus</w:t>
      </w:r>
      <w:proofErr w:type="spellEnd"/>
      <w:r w:rsidRPr="008814F9">
        <w:rPr>
          <w:rFonts w:ascii="Times New Roman" w:hAnsi="Times New Roman"/>
        </w:rPr>
        <w:t xml:space="preserve"> twin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2021;18(4):189–194. </w:t>
      </w:r>
      <w:hyperlink r:id="rId36" w:history="1">
        <w:r w:rsidRPr="008814F9">
          <w:rPr>
            <w:rFonts w:ascii="Times New Roman" w:hAnsi="Times New Roman"/>
            <w:color w:val="0000FF"/>
            <w:u w:val="single"/>
          </w:rPr>
          <w:t>https://doi.org/10.4103/ajps.AJPS_92_20</w:t>
        </w:r>
      </w:hyperlink>
    </w:p>
    <w:p w14:paraId="0D65025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Inserra A, Abate E, Grimaldi C, et al. Advanced 3D modeling and printing for the surgical separation of conjoined twins: a case report. Front Physiol. </w:t>
      </w:r>
      <w:proofErr w:type="gramStart"/>
      <w:r w:rsidRPr="008814F9">
        <w:rPr>
          <w:rFonts w:ascii="Times New Roman" w:hAnsi="Times New Roman"/>
        </w:rPr>
        <w:t>2020;11:566766</w:t>
      </w:r>
      <w:proofErr w:type="gramEnd"/>
      <w:r w:rsidRPr="008814F9">
        <w:rPr>
          <w:rFonts w:ascii="Times New Roman" w:hAnsi="Times New Roman"/>
        </w:rPr>
        <w:t xml:space="preserve">. </w:t>
      </w:r>
      <w:hyperlink r:id="rId37" w:history="1">
        <w:r w:rsidRPr="008814F9">
          <w:rPr>
            <w:rFonts w:ascii="Times New Roman" w:hAnsi="Times New Roman"/>
            <w:color w:val="0000FF"/>
            <w:u w:val="single"/>
          </w:rPr>
          <w:t>https://doi.org/10.3389/fphys.2020.566766</w:t>
        </w:r>
      </w:hyperlink>
    </w:p>
    <w:p w14:paraId="7716B384"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Charan BD, Gangwal A, Jain S. Antenatal diagnosis of </w:t>
      </w:r>
      <w:proofErr w:type="spellStart"/>
      <w:r w:rsidRPr="008814F9">
        <w:rPr>
          <w:rFonts w:ascii="Times New Roman" w:hAnsi="Times New Roman"/>
        </w:rPr>
        <w:t>thoracopagus</w:t>
      </w:r>
      <w:proofErr w:type="spellEnd"/>
      <w:r w:rsidRPr="008814F9">
        <w:rPr>
          <w:rFonts w:ascii="Times New Roman" w:hAnsi="Times New Roman"/>
        </w:rPr>
        <w:t xml:space="preserve"> and thoraco-</w:t>
      </w:r>
      <w:proofErr w:type="spellStart"/>
      <w:r w:rsidRPr="008814F9">
        <w:rPr>
          <w:rFonts w:ascii="Times New Roman" w:hAnsi="Times New Roman"/>
        </w:rPr>
        <w:t>omphalopagus</w:t>
      </w:r>
      <w:proofErr w:type="spellEnd"/>
      <w:r w:rsidRPr="008814F9">
        <w:rPr>
          <w:rFonts w:ascii="Times New Roman" w:hAnsi="Times New Roman"/>
        </w:rPr>
        <w:t xml:space="preserve"> conjoined twins: case series. Egypt J </w:t>
      </w:r>
      <w:proofErr w:type="spellStart"/>
      <w:r w:rsidRPr="008814F9">
        <w:rPr>
          <w:rFonts w:ascii="Times New Roman" w:hAnsi="Times New Roman"/>
        </w:rPr>
        <w:t>Radiol</w:t>
      </w:r>
      <w:proofErr w:type="spellEnd"/>
      <w:r w:rsidRPr="008814F9">
        <w:rPr>
          <w:rFonts w:ascii="Times New Roman" w:hAnsi="Times New Roman"/>
        </w:rPr>
        <w:t xml:space="preserve"> </w:t>
      </w:r>
      <w:proofErr w:type="spellStart"/>
      <w:r w:rsidRPr="008814F9">
        <w:rPr>
          <w:rFonts w:ascii="Times New Roman" w:hAnsi="Times New Roman"/>
        </w:rPr>
        <w:t>Nucl</w:t>
      </w:r>
      <w:proofErr w:type="spellEnd"/>
      <w:r w:rsidRPr="008814F9">
        <w:rPr>
          <w:rFonts w:ascii="Times New Roman" w:hAnsi="Times New Roman"/>
        </w:rPr>
        <w:t xml:space="preserve"> Med. </w:t>
      </w:r>
      <w:proofErr w:type="gramStart"/>
      <w:r w:rsidRPr="008814F9">
        <w:rPr>
          <w:rFonts w:ascii="Times New Roman" w:hAnsi="Times New Roman"/>
        </w:rPr>
        <w:t>2023;54:152</w:t>
      </w:r>
      <w:proofErr w:type="gramEnd"/>
      <w:r w:rsidRPr="008814F9">
        <w:rPr>
          <w:rFonts w:ascii="Times New Roman" w:hAnsi="Times New Roman"/>
        </w:rPr>
        <w:t xml:space="preserve">. </w:t>
      </w:r>
      <w:hyperlink r:id="rId38" w:history="1">
        <w:r w:rsidRPr="008814F9">
          <w:rPr>
            <w:rFonts w:ascii="Times New Roman" w:hAnsi="Times New Roman"/>
            <w:color w:val="0000FF"/>
            <w:u w:val="single"/>
          </w:rPr>
          <w:t>https://doi.org/10.1186/s43055-023-01152-4</w:t>
        </w:r>
      </w:hyperlink>
    </w:p>
    <w:p w14:paraId="3CF1C3D7"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Kumar A, Agrawal S, Sah S, et al. Short-term outcomes of </w:t>
      </w:r>
      <w:proofErr w:type="spellStart"/>
      <w:r w:rsidRPr="008814F9">
        <w:rPr>
          <w:rFonts w:ascii="Times New Roman" w:hAnsi="Times New Roman"/>
        </w:rPr>
        <w:t>eTEP</w:t>
      </w:r>
      <w:proofErr w:type="spellEnd"/>
      <w:r w:rsidRPr="008814F9">
        <w:rPr>
          <w:rFonts w:ascii="Times New Roman" w:hAnsi="Times New Roman"/>
        </w:rPr>
        <w:t xml:space="preserve"> repair of ventral hernia in a university hospital.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2023;6(3):159–165. </w:t>
      </w:r>
      <w:hyperlink r:id="rId39" w:history="1">
        <w:r w:rsidRPr="008814F9">
          <w:rPr>
            <w:rFonts w:ascii="Times New Roman" w:hAnsi="Times New Roman"/>
            <w:color w:val="0000FF"/>
            <w:u w:val="single"/>
          </w:rPr>
          <w:t>https://doi.org/10.4103/ijawhs.ijawhs_10_23</w:t>
        </w:r>
      </w:hyperlink>
    </w:p>
    <w:p w14:paraId="21F2F6BC"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Cummings BM. Conjoined </w:t>
      </w:r>
      <w:proofErr w:type="gramStart"/>
      <w:r w:rsidRPr="008814F9">
        <w:rPr>
          <w:rFonts w:ascii="Times New Roman" w:hAnsi="Times New Roman"/>
        </w:rPr>
        <w:t>twins</w:t>
      </w:r>
      <w:proofErr w:type="gramEnd"/>
      <w:r w:rsidRPr="008814F9">
        <w:rPr>
          <w:rFonts w:ascii="Times New Roman" w:hAnsi="Times New Roman"/>
        </w:rPr>
        <w:t xml:space="preserve"> separation leading to the death of one twin: expanded ethical analysis. J Intensive Care Ethics. 2019. </w:t>
      </w:r>
      <w:hyperlink r:id="rId40" w:history="1">
        <w:r w:rsidRPr="008814F9">
          <w:rPr>
            <w:rFonts w:ascii="Times New Roman" w:hAnsi="Times New Roman"/>
            <w:color w:val="0000FF"/>
            <w:u w:val="single"/>
          </w:rPr>
          <w:t>https://doi.org/10.1177/0885066618791953</w:t>
        </w:r>
      </w:hyperlink>
    </w:p>
    <w:p w14:paraId="00F045CB"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Woo YT. Evaluation of the ethical controversies in separation surgery of conjoined twins: a review of the literature. Cureus. 2025;17(1</w:t>
      </w:r>
      <w:proofErr w:type="gramStart"/>
      <w:r w:rsidRPr="008814F9">
        <w:rPr>
          <w:rFonts w:ascii="Times New Roman" w:hAnsi="Times New Roman"/>
        </w:rPr>
        <w:t>):e</w:t>
      </w:r>
      <w:proofErr w:type="gramEnd"/>
      <w:r w:rsidRPr="008814F9">
        <w:rPr>
          <w:rFonts w:ascii="Times New Roman" w:hAnsi="Times New Roman"/>
        </w:rPr>
        <w:t xml:space="preserve">52891. </w:t>
      </w:r>
      <w:hyperlink r:id="rId41" w:history="1">
        <w:r w:rsidRPr="008814F9">
          <w:rPr>
            <w:rFonts w:ascii="Times New Roman" w:hAnsi="Times New Roman"/>
            <w:color w:val="0000FF"/>
            <w:u w:val="single"/>
          </w:rPr>
          <w:t>https://doi.org/10.7759/cureus.52891</w:t>
        </w:r>
      </w:hyperlink>
    </w:p>
    <w:p w14:paraId="1CB238C4"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Thomas A, Glasier A, Chiswick M. An ethically justifiable, practical approach to decision-making in conjoined twins. BMC </w:t>
      </w:r>
      <w:proofErr w:type="spellStart"/>
      <w:r w:rsidRPr="008814F9">
        <w:rPr>
          <w:rFonts w:ascii="Times New Roman" w:hAnsi="Times New Roman"/>
        </w:rPr>
        <w:t>Palliat</w:t>
      </w:r>
      <w:proofErr w:type="spellEnd"/>
      <w:r w:rsidRPr="008814F9">
        <w:rPr>
          <w:rFonts w:ascii="Times New Roman" w:hAnsi="Times New Roman"/>
        </w:rPr>
        <w:t xml:space="preserve"> Care. </w:t>
      </w:r>
      <w:proofErr w:type="gramStart"/>
      <w:r w:rsidRPr="008814F9">
        <w:rPr>
          <w:rFonts w:ascii="Times New Roman" w:hAnsi="Times New Roman"/>
        </w:rPr>
        <w:t>2018;17:85</w:t>
      </w:r>
      <w:proofErr w:type="gramEnd"/>
      <w:r w:rsidRPr="008814F9">
        <w:rPr>
          <w:rFonts w:ascii="Times New Roman" w:hAnsi="Times New Roman"/>
        </w:rPr>
        <w:t xml:space="preserve">. </w:t>
      </w:r>
      <w:hyperlink r:id="rId42" w:history="1">
        <w:r w:rsidRPr="008814F9">
          <w:rPr>
            <w:rFonts w:ascii="Times New Roman" w:hAnsi="Times New Roman"/>
            <w:color w:val="0000FF"/>
            <w:u w:val="single"/>
          </w:rPr>
          <w:t>https://doi.org/10.1186/s12904-018-0325-y</w:t>
        </w:r>
      </w:hyperlink>
    </w:p>
    <w:p w14:paraId="7C387DA2"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Kusmayadi</w:t>
      </w:r>
      <w:proofErr w:type="spellEnd"/>
      <w:r w:rsidRPr="008814F9">
        <w:rPr>
          <w:rFonts w:ascii="Times New Roman" w:hAnsi="Times New Roman"/>
        </w:rPr>
        <w:t xml:space="preserve"> DD, Lia E, </w:t>
      </w:r>
      <w:proofErr w:type="spellStart"/>
      <w:r w:rsidRPr="008814F9">
        <w:rPr>
          <w:rFonts w:ascii="Times New Roman" w:hAnsi="Times New Roman"/>
        </w:rPr>
        <w:t>Chowindra</w:t>
      </w:r>
      <w:proofErr w:type="spellEnd"/>
      <w:r w:rsidRPr="008814F9">
        <w:rPr>
          <w:rFonts w:ascii="Times New Roman" w:hAnsi="Times New Roman"/>
        </w:rPr>
        <w:t xml:space="preserve"> TS. Characteristics and management of conjoined twins: a single-</w:t>
      </w:r>
      <w:proofErr w:type="spellStart"/>
      <w:r w:rsidRPr="008814F9">
        <w:rPr>
          <w:rFonts w:ascii="Times New Roman" w:hAnsi="Times New Roman"/>
        </w:rPr>
        <w:t>centre</w:t>
      </w:r>
      <w:proofErr w:type="spellEnd"/>
      <w:r w:rsidRPr="008814F9">
        <w:rPr>
          <w:rFonts w:ascii="Times New Roman" w:hAnsi="Times New Roman"/>
        </w:rPr>
        <w:t xml:space="preserve"> retrospective descriptive study. Med J Malaysia. 2024;79(Suppl 1):17–22. </w:t>
      </w:r>
      <w:hyperlink r:id="rId43" w:history="1">
        <w:r w:rsidRPr="008814F9">
          <w:rPr>
            <w:rFonts w:ascii="Times New Roman" w:hAnsi="Times New Roman"/>
            <w:color w:val="0000FF"/>
            <w:u w:val="single"/>
          </w:rPr>
          <w:t>https://doi.org/10.47836/mjmhs.21.1.41</w:t>
        </w:r>
      </w:hyperlink>
    </w:p>
    <w:p w14:paraId="1E38B1AB"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de Andrade DM, Leon FP, Santos NO, et al. Enhanced recovery strategies in complex abdominal wall reconstruction. Int J </w:t>
      </w:r>
      <w:proofErr w:type="spellStart"/>
      <w:r w:rsidRPr="008814F9">
        <w:rPr>
          <w:rFonts w:ascii="Times New Roman" w:hAnsi="Times New Roman"/>
        </w:rPr>
        <w:t>Abdom</w:t>
      </w:r>
      <w:proofErr w:type="spellEnd"/>
      <w:r w:rsidRPr="008814F9">
        <w:rPr>
          <w:rFonts w:ascii="Times New Roman" w:hAnsi="Times New Roman"/>
        </w:rPr>
        <w:t xml:space="preserve"> Wall Hernia Surg. 2024;7(3):121–128. </w:t>
      </w:r>
      <w:hyperlink r:id="rId44" w:history="1">
        <w:r w:rsidRPr="008814F9">
          <w:rPr>
            <w:rFonts w:ascii="Times New Roman" w:hAnsi="Times New Roman"/>
            <w:color w:val="0000FF"/>
            <w:u w:val="single"/>
          </w:rPr>
          <w:t>https://doi.org/10.4103/ijawhs.ijawhs_59_24</w:t>
        </w:r>
      </w:hyperlink>
    </w:p>
    <w:p w14:paraId="0004A818" w14:textId="77777777" w:rsidR="006A6DE6" w:rsidRPr="008814F9" w:rsidRDefault="006A6DE6" w:rsidP="006A6DE6">
      <w:pPr>
        <w:numPr>
          <w:ilvl w:val="0"/>
          <w:numId w:val="31"/>
        </w:numPr>
        <w:jc w:val="both"/>
        <w:rPr>
          <w:rFonts w:ascii="Times New Roman" w:hAnsi="Times New Roman"/>
        </w:rPr>
      </w:pPr>
      <w:proofErr w:type="spellStart"/>
      <w:r w:rsidRPr="008814F9">
        <w:rPr>
          <w:rFonts w:ascii="Times New Roman" w:hAnsi="Times New Roman"/>
        </w:rPr>
        <w:t>Lampus</w:t>
      </w:r>
      <w:proofErr w:type="spellEnd"/>
      <w:r w:rsidRPr="008814F9">
        <w:rPr>
          <w:rFonts w:ascii="Times New Roman" w:hAnsi="Times New Roman"/>
        </w:rPr>
        <w:t xml:space="preserve"> HF, </w:t>
      </w:r>
      <w:proofErr w:type="spellStart"/>
      <w:r w:rsidRPr="008814F9">
        <w:rPr>
          <w:rFonts w:ascii="Times New Roman" w:hAnsi="Times New Roman"/>
        </w:rPr>
        <w:t>Bamonte</w:t>
      </w:r>
      <w:proofErr w:type="spellEnd"/>
      <w:r w:rsidRPr="008814F9">
        <w:rPr>
          <w:rFonts w:ascii="Times New Roman" w:hAnsi="Times New Roman"/>
        </w:rPr>
        <w:t xml:space="preserve"> C, </w:t>
      </w:r>
      <w:proofErr w:type="spellStart"/>
      <w:r w:rsidRPr="008814F9">
        <w:rPr>
          <w:rFonts w:ascii="Times New Roman" w:hAnsi="Times New Roman"/>
        </w:rPr>
        <w:t>Rendy</w:t>
      </w:r>
      <w:proofErr w:type="spellEnd"/>
      <w:r w:rsidRPr="008814F9">
        <w:rPr>
          <w:rFonts w:ascii="Times New Roman" w:hAnsi="Times New Roman"/>
        </w:rPr>
        <w:t xml:space="preserve"> L, </w:t>
      </w:r>
      <w:proofErr w:type="spellStart"/>
      <w:r w:rsidRPr="008814F9">
        <w:rPr>
          <w:rFonts w:ascii="Times New Roman" w:hAnsi="Times New Roman"/>
        </w:rPr>
        <w:t>Sorongku</w:t>
      </w:r>
      <w:proofErr w:type="spellEnd"/>
      <w:r w:rsidRPr="008814F9">
        <w:rPr>
          <w:rFonts w:ascii="Times New Roman" w:hAnsi="Times New Roman"/>
        </w:rPr>
        <w:t xml:space="preserve"> R, </w:t>
      </w:r>
      <w:proofErr w:type="spellStart"/>
      <w:r w:rsidRPr="008814F9">
        <w:rPr>
          <w:rFonts w:ascii="Times New Roman" w:hAnsi="Times New Roman"/>
        </w:rPr>
        <w:t>Suryoprabowo</w:t>
      </w:r>
      <w:proofErr w:type="spellEnd"/>
      <w:r w:rsidRPr="008814F9">
        <w:rPr>
          <w:rFonts w:ascii="Times New Roman" w:hAnsi="Times New Roman"/>
        </w:rPr>
        <w:t xml:space="preserve"> V. The first successful separation of conjoined twins–thoraco-</w:t>
      </w:r>
      <w:proofErr w:type="spellStart"/>
      <w:r w:rsidRPr="008814F9">
        <w:rPr>
          <w:rFonts w:ascii="Times New Roman" w:hAnsi="Times New Roman"/>
        </w:rPr>
        <w:t>omphalopagus</w:t>
      </w:r>
      <w:proofErr w:type="spellEnd"/>
      <w:r w:rsidRPr="008814F9">
        <w:rPr>
          <w:rFonts w:ascii="Times New Roman" w:hAnsi="Times New Roman"/>
        </w:rPr>
        <w:t xml:space="preserve">: a case report. Malays J Med Health Sci. 2025;21(1):357–360. </w:t>
      </w:r>
      <w:hyperlink r:id="rId45" w:history="1">
        <w:r w:rsidRPr="008814F9">
          <w:rPr>
            <w:rFonts w:ascii="Times New Roman" w:hAnsi="Times New Roman"/>
            <w:color w:val="0000FF"/>
            <w:u w:val="single"/>
          </w:rPr>
          <w:t>https://doi.org/10.47836/mjmhs.21.1.41</w:t>
        </w:r>
      </w:hyperlink>
    </w:p>
    <w:p w14:paraId="4DB15252" w14:textId="77777777" w:rsidR="006A6DE6" w:rsidRPr="008814F9" w:rsidRDefault="006A6DE6" w:rsidP="006A6DE6">
      <w:pPr>
        <w:numPr>
          <w:ilvl w:val="0"/>
          <w:numId w:val="31"/>
        </w:numPr>
        <w:jc w:val="both"/>
        <w:rPr>
          <w:rFonts w:ascii="Times New Roman" w:hAnsi="Times New Roman"/>
        </w:rPr>
      </w:pPr>
      <w:r w:rsidRPr="008814F9">
        <w:rPr>
          <w:rFonts w:ascii="Times New Roman" w:hAnsi="Times New Roman"/>
        </w:rPr>
        <w:t xml:space="preserve">Saxena R, Sinha A, Pathak M, Rathod KJ. Conjoined </w:t>
      </w:r>
      <w:proofErr w:type="spellStart"/>
      <w:r w:rsidRPr="008814F9">
        <w:rPr>
          <w:rFonts w:ascii="Times New Roman" w:hAnsi="Times New Roman"/>
        </w:rPr>
        <w:t>thoracopagus</w:t>
      </w:r>
      <w:proofErr w:type="spellEnd"/>
      <w:r w:rsidRPr="008814F9">
        <w:rPr>
          <w:rFonts w:ascii="Times New Roman" w:hAnsi="Times New Roman"/>
        </w:rPr>
        <w:t xml:space="preserve"> twins: a systematic review of the anomalies and outcome of surgical separation. </w:t>
      </w:r>
      <w:proofErr w:type="spellStart"/>
      <w:r w:rsidRPr="008814F9">
        <w:rPr>
          <w:rFonts w:ascii="Times New Roman" w:hAnsi="Times New Roman"/>
        </w:rPr>
        <w:t>Afr</w:t>
      </w:r>
      <w:proofErr w:type="spellEnd"/>
      <w:r w:rsidRPr="008814F9">
        <w:rPr>
          <w:rFonts w:ascii="Times New Roman" w:hAnsi="Times New Roman"/>
        </w:rPr>
        <w:t xml:space="preserve"> J </w:t>
      </w:r>
      <w:proofErr w:type="spellStart"/>
      <w:r w:rsidRPr="008814F9">
        <w:rPr>
          <w:rFonts w:ascii="Times New Roman" w:hAnsi="Times New Roman"/>
        </w:rPr>
        <w:t>Paediatr</w:t>
      </w:r>
      <w:proofErr w:type="spellEnd"/>
      <w:r w:rsidRPr="008814F9">
        <w:rPr>
          <w:rFonts w:ascii="Times New Roman" w:hAnsi="Times New Roman"/>
        </w:rPr>
        <w:t xml:space="preserve"> Surg. 2023;20(3):157–165. </w:t>
      </w:r>
      <w:hyperlink r:id="rId46" w:history="1">
        <w:r w:rsidRPr="008814F9">
          <w:rPr>
            <w:rFonts w:ascii="Times New Roman" w:hAnsi="Times New Roman"/>
            <w:color w:val="0000FF"/>
            <w:u w:val="single"/>
          </w:rPr>
          <w:t>https://doi.org/10.4103/ajps.ajps_77_22</w:t>
        </w:r>
      </w:hyperlink>
    </w:p>
    <w:p w14:paraId="26AFF713" w14:textId="77777777" w:rsidR="006A6DE6" w:rsidRPr="008814F9" w:rsidRDefault="006A6DE6" w:rsidP="006A6DE6">
      <w:pPr>
        <w:jc w:val="both"/>
        <w:rPr>
          <w:rFonts w:ascii="Times New Roman" w:hAnsi="Times New Roman"/>
        </w:rPr>
      </w:pPr>
    </w:p>
    <w:p w14:paraId="5C001B0E" w14:textId="77777777" w:rsidR="00B01FCD" w:rsidRPr="00FB3A86" w:rsidRDefault="00B01FCD" w:rsidP="00441B6F">
      <w:pPr>
        <w:pStyle w:val="Appendix"/>
        <w:spacing w:after="0"/>
        <w:jc w:val="both"/>
        <w:rPr>
          <w:rFonts w:ascii="Arial" w:hAnsi="Arial" w:cs="Arial"/>
          <w:b w:val="0"/>
        </w:rPr>
      </w:pPr>
      <w:bookmarkStart w:id="2" w:name="_GoBack"/>
      <w:bookmarkEnd w:id="2"/>
    </w:p>
    <w:sectPr w:rsidR="00B01FCD" w:rsidRPr="00FB3A86" w:rsidSect="00700312">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03A1" w14:textId="77777777" w:rsidR="00A210CA" w:rsidRDefault="00A210CA" w:rsidP="00C37E61">
      <w:r>
        <w:separator/>
      </w:r>
    </w:p>
  </w:endnote>
  <w:endnote w:type="continuationSeparator" w:id="0">
    <w:p w14:paraId="2B264D93" w14:textId="77777777" w:rsidR="00A210CA" w:rsidRDefault="00A210C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ejaVuSerif">
    <w:altName w:val="Calibri"/>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CC10" w14:textId="77777777" w:rsidR="00700312" w:rsidRDefault="00700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0143" w14:textId="77777777" w:rsidR="00700312" w:rsidRDefault="00700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A3302" w14:textId="77777777" w:rsidR="009E048A" w:rsidRDefault="009E048A">
    <w:pPr>
      <w:pStyle w:val="Footer"/>
      <w:rPr>
        <w:rFonts w:ascii="Arial" w:hAnsi="Arial" w:cs="Arial"/>
        <w:sz w:val="16"/>
      </w:rPr>
    </w:pPr>
  </w:p>
  <w:p w14:paraId="4C6382E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0A2CEF0" w14:textId="77777777" w:rsidR="009E048A" w:rsidRDefault="009E048A">
    <w:pPr>
      <w:pStyle w:val="Footer"/>
      <w:rPr>
        <w:rFonts w:ascii="Arial" w:hAnsi="Arial" w:cs="Arial"/>
        <w:sz w:val="16"/>
      </w:rPr>
    </w:pPr>
  </w:p>
  <w:p w14:paraId="20E984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BA81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5CF40" w14:textId="77777777" w:rsidR="00A210CA" w:rsidRDefault="00A210CA" w:rsidP="00C37E61">
      <w:r>
        <w:separator/>
      </w:r>
    </w:p>
  </w:footnote>
  <w:footnote w:type="continuationSeparator" w:id="0">
    <w:p w14:paraId="2426C671" w14:textId="77777777" w:rsidR="00A210CA" w:rsidRDefault="00A210C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EC97" w14:textId="5A2D6AB7" w:rsidR="00700312" w:rsidRDefault="00A210CA">
    <w:pPr>
      <w:pStyle w:val="Header"/>
    </w:pPr>
    <w:r>
      <w:rPr>
        <w:noProof/>
      </w:rPr>
      <w:pict w14:anchorId="1B064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BCFB" w14:textId="051D6D15" w:rsidR="00700312" w:rsidRDefault="00A210CA">
    <w:pPr>
      <w:pStyle w:val="Header"/>
    </w:pPr>
    <w:r>
      <w:rPr>
        <w:noProof/>
      </w:rPr>
      <w:pict w14:anchorId="5A86E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2931" w14:textId="5BA2C790" w:rsidR="00296529" w:rsidRPr="00296529" w:rsidRDefault="00A210CA" w:rsidP="00296529">
    <w:pPr>
      <w:ind w:left="2160"/>
      <w:jc w:val="center"/>
      <w:rPr>
        <w:rFonts w:ascii="Times New Roman" w:eastAsia="Calibri" w:hAnsi="Times New Roman"/>
        <w:i/>
        <w:sz w:val="18"/>
        <w:szCs w:val="22"/>
      </w:rPr>
    </w:pPr>
    <w:r>
      <w:rPr>
        <w:noProof/>
      </w:rPr>
      <w:pict w14:anchorId="281F8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79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24FC3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EBB0E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EE64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88353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6ECD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C818D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04A0" w14:textId="2CE30B36" w:rsidR="00700312" w:rsidRDefault="00A210CA">
    <w:pPr>
      <w:pStyle w:val="Header"/>
    </w:pPr>
    <w:r>
      <w:rPr>
        <w:noProof/>
      </w:rPr>
      <w:pict w14:anchorId="3EA3C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33838" w14:textId="66E90ACE" w:rsidR="00700312" w:rsidRDefault="00A210CA">
    <w:pPr>
      <w:pStyle w:val="Header"/>
    </w:pPr>
    <w:r>
      <w:rPr>
        <w:noProof/>
      </w:rPr>
      <w:pict w14:anchorId="0E442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0B5C" w14:textId="04F31DAD" w:rsidR="00700312" w:rsidRDefault="00A210CA">
    <w:pPr>
      <w:pStyle w:val="Header"/>
    </w:pPr>
    <w:r>
      <w:rPr>
        <w:noProof/>
      </w:rPr>
      <w:pict w14:anchorId="1DC76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93880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CC288E"/>
    <w:multiLevelType w:val="multilevel"/>
    <w:tmpl w:val="FAA29A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7AA"/>
    <w:rsid w:val="000A47FA"/>
    <w:rsid w:val="000A65D3"/>
    <w:rsid w:val="000B1E33"/>
    <w:rsid w:val="000D689F"/>
    <w:rsid w:val="000E7B7B"/>
    <w:rsid w:val="000E7D62"/>
    <w:rsid w:val="00103357"/>
    <w:rsid w:val="00123C9F"/>
    <w:rsid w:val="00126190"/>
    <w:rsid w:val="00130F17"/>
    <w:rsid w:val="001320BF"/>
    <w:rsid w:val="00163BC4"/>
    <w:rsid w:val="001661DA"/>
    <w:rsid w:val="00191062"/>
    <w:rsid w:val="00192B72"/>
    <w:rsid w:val="001A29D8"/>
    <w:rsid w:val="001A5CAA"/>
    <w:rsid w:val="001B0427"/>
    <w:rsid w:val="001D3A51"/>
    <w:rsid w:val="001E10D2"/>
    <w:rsid w:val="001E25B4"/>
    <w:rsid w:val="001E44FE"/>
    <w:rsid w:val="001F5DEA"/>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236E"/>
    <w:rsid w:val="0033343E"/>
    <w:rsid w:val="003512C2"/>
    <w:rsid w:val="00363011"/>
    <w:rsid w:val="00371FB6"/>
    <w:rsid w:val="003758C1"/>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91A35"/>
    <w:rsid w:val="005C784C"/>
    <w:rsid w:val="005D17F6"/>
    <w:rsid w:val="005E5539"/>
    <w:rsid w:val="00602BF5"/>
    <w:rsid w:val="00616B24"/>
    <w:rsid w:val="00617FDD"/>
    <w:rsid w:val="00633614"/>
    <w:rsid w:val="00633F68"/>
    <w:rsid w:val="00636EB2"/>
    <w:rsid w:val="006375B8"/>
    <w:rsid w:val="00664F66"/>
    <w:rsid w:val="0066510A"/>
    <w:rsid w:val="00673F9F"/>
    <w:rsid w:val="00686953"/>
    <w:rsid w:val="00687DEA"/>
    <w:rsid w:val="00687E67"/>
    <w:rsid w:val="006967F7"/>
    <w:rsid w:val="006A250C"/>
    <w:rsid w:val="006A6DE6"/>
    <w:rsid w:val="006B21D3"/>
    <w:rsid w:val="006B57D0"/>
    <w:rsid w:val="006D30FF"/>
    <w:rsid w:val="006D6940"/>
    <w:rsid w:val="006F11EC"/>
    <w:rsid w:val="006F6897"/>
    <w:rsid w:val="00700312"/>
    <w:rsid w:val="0070082C"/>
    <w:rsid w:val="007270C3"/>
    <w:rsid w:val="007369E6"/>
    <w:rsid w:val="00746E59"/>
    <w:rsid w:val="00754C9A"/>
    <w:rsid w:val="0075599A"/>
    <w:rsid w:val="00761D52"/>
    <w:rsid w:val="0077749E"/>
    <w:rsid w:val="00790ADA"/>
    <w:rsid w:val="007A2B59"/>
    <w:rsid w:val="007D2288"/>
    <w:rsid w:val="007D7486"/>
    <w:rsid w:val="007E088F"/>
    <w:rsid w:val="007F7B32"/>
    <w:rsid w:val="00804BC2"/>
    <w:rsid w:val="0081431A"/>
    <w:rsid w:val="0083216F"/>
    <w:rsid w:val="00860000"/>
    <w:rsid w:val="00863BD3"/>
    <w:rsid w:val="008641ED"/>
    <w:rsid w:val="00866D66"/>
    <w:rsid w:val="008671C6"/>
    <w:rsid w:val="00875803"/>
    <w:rsid w:val="0088187F"/>
    <w:rsid w:val="008B459E"/>
    <w:rsid w:val="008B6C93"/>
    <w:rsid w:val="008D5998"/>
    <w:rsid w:val="008E13AE"/>
    <w:rsid w:val="008E1506"/>
    <w:rsid w:val="008E710C"/>
    <w:rsid w:val="008F69D6"/>
    <w:rsid w:val="00902823"/>
    <w:rsid w:val="00915CA6"/>
    <w:rsid w:val="00927834"/>
    <w:rsid w:val="009500A6"/>
    <w:rsid w:val="00957C18"/>
    <w:rsid w:val="009626AC"/>
    <w:rsid w:val="009659BA"/>
    <w:rsid w:val="009726C7"/>
    <w:rsid w:val="00974A69"/>
    <w:rsid w:val="00983040"/>
    <w:rsid w:val="009B3FB9"/>
    <w:rsid w:val="009C2465"/>
    <w:rsid w:val="009D35A0"/>
    <w:rsid w:val="009D7EB7"/>
    <w:rsid w:val="009E048A"/>
    <w:rsid w:val="009E08E9"/>
    <w:rsid w:val="009E3DB9"/>
    <w:rsid w:val="009E6E35"/>
    <w:rsid w:val="009F0EDA"/>
    <w:rsid w:val="00A03B96"/>
    <w:rsid w:val="00A04D5E"/>
    <w:rsid w:val="00A05B19"/>
    <w:rsid w:val="00A1134E"/>
    <w:rsid w:val="00A210CA"/>
    <w:rsid w:val="00A24E7E"/>
    <w:rsid w:val="00A258C3"/>
    <w:rsid w:val="00A347C0"/>
    <w:rsid w:val="00A51431"/>
    <w:rsid w:val="00A539AD"/>
    <w:rsid w:val="00A94063"/>
    <w:rsid w:val="00AA6219"/>
    <w:rsid w:val="00AA74E0"/>
    <w:rsid w:val="00AB703F"/>
    <w:rsid w:val="00AC2A1C"/>
    <w:rsid w:val="00AC49E1"/>
    <w:rsid w:val="00AC6BB8"/>
    <w:rsid w:val="00AE008F"/>
    <w:rsid w:val="00B01FCD"/>
    <w:rsid w:val="00B022B4"/>
    <w:rsid w:val="00B1776C"/>
    <w:rsid w:val="00B403B0"/>
    <w:rsid w:val="00B52583"/>
    <w:rsid w:val="00B52896"/>
    <w:rsid w:val="00B95236"/>
    <w:rsid w:val="00B96BD9"/>
    <w:rsid w:val="00BA1B01"/>
    <w:rsid w:val="00BA2641"/>
    <w:rsid w:val="00BB37AA"/>
    <w:rsid w:val="00BC0A78"/>
    <w:rsid w:val="00BC53A0"/>
    <w:rsid w:val="00BE62AD"/>
    <w:rsid w:val="00BE6806"/>
    <w:rsid w:val="00BF121F"/>
    <w:rsid w:val="00BF1F80"/>
    <w:rsid w:val="00C166EF"/>
    <w:rsid w:val="00C17EB0"/>
    <w:rsid w:val="00C27F5F"/>
    <w:rsid w:val="00C30A0F"/>
    <w:rsid w:val="00C37E61"/>
    <w:rsid w:val="00C70F1B"/>
    <w:rsid w:val="00C71A47"/>
    <w:rsid w:val="00C7464C"/>
    <w:rsid w:val="00C80DED"/>
    <w:rsid w:val="00C85588"/>
    <w:rsid w:val="00CD2F25"/>
    <w:rsid w:val="00CD3832"/>
    <w:rsid w:val="00CD6755"/>
    <w:rsid w:val="00CD6856"/>
    <w:rsid w:val="00CE0089"/>
    <w:rsid w:val="00CE793C"/>
    <w:rsid w:val="00CF193C"/>
    <w:rsid w:val="00D173F1"/>
    <w:rsid w:val="00D61EF3"/>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4727"/>
    <w:rsid w:val="00F755E4"/>
    <w:rsid w:val="00F77D02"/>
    <w:rsid w:val="00FB3A86"/>
    <w:rsid w:val="00FD36C8"/>
    <w:rsid w:val="00FE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161EB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64F66"/>
    <w:pPr>
      <w:spacing w:before="100" w:beforeAutospacing="1" w:after="100" w:afterAutospacing="1"/>
    </w:pPr>
    <w:rPr>
      <w:rFonts w:ascii="Times New Roman" w:hAnsi="Times New Roman"/>
      <w:sz w:val="24"/>
      <w:szCs w:val="24"/>
    </w:rPr>
  </w:style>
  <w:style w:type="paragraph" w:styleId="NoSpacing">
    <w:name w:val="No Spacing"/>
    <w:uiPriority w:val="1"/>
    <w:qFormat/>
    <w:rsid w:val="008D5998"/>
    <w:rPr>
      <w:rFonts w:asciiTheme="minorHAnsi" w:eastAsiaTheme="minorHAnsi" w:hAnsiTheme="minorHAnsi" w:cstheme="minorBidi"/>
      <w:sz w:val="22"/>
      <w:szCs w:val="22"/>
      <w:lang w:val="en-GB"/>
    </w:rPr>
  </w:style>
  <w:style w:type="character" w:styleId="Strong">
    <w:name w:val="Strong"/>
    <w:basedOn w:val="DefaultParagraphFont"/>
    <w:uiPriority w:val="22"/>
    <w:qFormat/>
    <w:rsid w:val="008B6C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pedsurg.2020.06.047" TargetMode="External"/><Relationship Id="rId26" Type="http://schemas.openxmlformats.org/officeDocument/2006/relationships/hyperlink" Target="https://doi.org/10.1186/s12910-023-00895-z" TargetMode="External"/><Relationship Id="rId39" Type="http://schemas.openxmlformats.org/officeDocument/2006/relationships/hyperlink" Target="https://doi.org/10.4103/ijawhs.ijawhs_10_23" TargetMode="External"/><Relationship Id="rId21" Type="http://schemas.openxmlformats.org/officeDocument/2006/relationships/hyperlink" Target="https://doi.org/10.1016/j.jpedsurg.2023.101234" TargetMode="External"/><Relationship Id="rId34" Type="http://schemas.openxmlformats.org/officeDocument/2006/relationships/hyperlink" Target="https://doi.org/10.1016/j.jpedsurg.2020.06.047" TargetMode="External"/><Relationship Id="rId42" Type="http://schemas.openxmlformats.org/officeDocument/2006/relationships/hyperlink" Target="https://doi.org/10.1186/s12904-018-0325-y"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390/children12040423" TargetMode="External"/><Relationship Id="rId11" Type="http://schemas.openxmlformats.org/officeDocument/2006/relationships/footer" Target="footer2.xml"/><Relationship Id="rId24" Type="http://schemas.openxmlformats.org/officeDocument/2006/relationships/hyperlink" Target="https://doi.org/10.4103/ijawhs.ijawhs_48_20" TargetMode="External"/><Relationship Id="rId32" Type="http://schemas.openxmlformats.org/officeDocument/2006/relationships/hyperlink" Target="https://doi.org/10.4103/ijawhs.ijawhs_13_18" TargetMode="External"/><Relationship Id="rId37" Type="http://schemas.openxmlformats.org/officeDocument/2006/relationships/hyperlink" Target="https://doi.org/10.3389/fphys.2020.566766" TargetMode="External"/><Relationship Id="rId40" Type="http://schemas.openxmlformats.org/officeDocument/2006/relationships/hyperlink" Target="https://doi.org/10.1177/0885066618791953" TargetMode="External"/><Relationship Id="rId45" Type="http://schemas.openxmlformats.org/officeDocument/2006/relationships/hyperlink" Target="https://doi.org/10.47836/mjmhs.21.1.4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103/ijawhs.ijawhs_13_18" TargetMode="External"/><Relationship Id="rId28" Type="http://schemas.openxmlformats.org/officeDocument/2006/relationships/hyperlink" Target="https://doi.org/10.1016/j.jasi.2015.07.216" TargetMode="External"/><Relationship Id="rId36" Type="http://schemas.openxmlformats.org/officeDocument/2006/relationships/hyperlink" Target="https://doi.org/10.4103/ajps.AJPS_92_20"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89/fphys.2020.566766" TargetMode="External"/><Relationship Id="rId31" Type="http://schemas.openxmlformats.org/officeDocument/2006/relationships/hyperlink" Target="https://doi.org/10.1016/j.amjsurg.2024.09.023" TargetMode="External"/><Relationship Id="rId44" Type="http://schemas.openxmlformats.org/officeDocument/2006/relationships/hyperlink" Target="https://doi.org/10.4103/ijawhs.ijawhs_59_2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5505/ejm.2020.24861" TargetMode="External"/><Relationship Id="rId27" Type="http://schemas.openxmlformats.org/officeDocument/2006/relationships/hyperlink" Target="https://doi.org/10.5505/ejm.2020.24861" TargetMode="External"/><Relationship Id="rId30" Type="http://schemas.openxmlformats.org/officeDocument/2006/relationships/hyperlink" Target="https://doi.org/10.1097/SAP.0000000000002700" TargetMode="External"/><Relationship Id="rId35" Type="http://schemas.openxmlformats.org/officeDocument/2006/relationships/hyperlink" Target="https://doi.org/10.3325/cmj.2019.60.378" TargetMode="External"/><Relationship Id="rId43" Type="http://schemas.openxmlformats.org/officeDocument/2006/relationships/hyperlink" Target="https://doi.org/10.47836/mjmhs.21.1.41"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103/ajps.ajps_77_22" TargetMode="External"/><Relationship Id="rId25" Type="http://schemas.openxmlformats.org/officeDocument/2006/relationships/hyperlink" Target="https://doi.org/10.1186/s12904-018-0325-y" TargetMode="External"/><Relationship Id="rId33" Type="http://schemas.openxmlformats.org/officeDocument/2006/relationships/hyperlink" Target="https://doi.org/10.4103/ijawhs.ijawhs_48_20" TargetMode="External"/><Relationship Id="rId38" Type="http://schemas.openxmlformats.org/officeDocument/2006/relationships/hyperlink" Target="https://doi.org/10.1186/s43055-023-01152-4" TargetMode="External"/><Relationship Id="rId46" Type="http://schemas.openxmlformats.org/officeDocument/2006/relationships/hyperlink" Target="https://doi.org/10.4103/ajps.ajps_77_22" TargetMode="External"/><Relationship Id="rId20" Type="http://schemas.openxmlformats.org/officeDocument/2006/relationships/hyperlink" Target="https://doi.org/10.3325/cmj.2019.60.378" TargetMode="External"/><Relationship Id="rId41" Type="http://schemas.openxmlformats.org/officeDocument/2006/relationships/hyperlink" Target="https://doi.org/10.7759/cureus.5289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B524D-A986-473F-ADBE-88BD88A8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9</Pages>
  <Words>4601</Words>
  <Characters>26231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27</cp:revision>
  <cp:lastPrinted>1999-07-06T11:00:00Z</cp:lastPrinted>
  <dcterms:created xsi:type="dcterms:W3CDTF">2014-10-25T14:34:00Z</dcterms:created>
  <dcterms:modified xsi:type="dcterms:W3CDTF">2026-03-12T10:00:00Z</dcterms:modified>
</cp:coreProperties>
</file>