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15DD" w14:textId="26B2909A" w:rsidR="00773739" w:rsidRPr="00246AD2" w:rsidRDefault="00AB60A9" w:rsidP="00282979">
      <w:pPr>
        <w:spacing w:after="0" w:line="240" w:lineRule="auto"/>
        <w:jc w:val="center"/>
        <w:rPr>
          <w:rFonts w:ascii="Calibri" w:hAnsi="Calibri" w:cs="Calibri"/>
          <w:b/>
          <w:sz w:val="32"/>
          <w:szCs w:val="32"/>
        </w:rPr>
      </w:pPr>
      <w:r w:rsidRPr="00246AD2">
        <w:rPr>
          <w:rFonts w:ascii="Calibri" w:hAnsi="Calibri" w:cs="Calibri"/>
          <w:b/>
          <w:sz w:val="32"/>
          <w:szCs w:val="32"/>
        </w:rPr>
        <w:t>Perceptions of Vegetable and Fruit Retailers on Food Loss and Waste (FLW) and Its Environmental Impacts in Rural Markets of Faridpur</w:t>
      </w:r>
      <w:r w:rsidR="009D5F75" w:rsidRPr="00246AD2">
        <w:rPr>
          <w:rFonts w:ascii="Calibri" w:hAnsi="Calibri" w:cs="Calibri"/>
          <w:b/>
          <w:sz w:val="32"/>
          <w:szCs w:val="32"/>
        </w:rPr>
        <w:t>,</w:t>
      </w:r>
      <w:r w:rsidRPr="00246AD2">
        <w:rPr>
          <w:rFonts w:ascii="Calibri" w:hAnsi="Calibri" w:cs="Calibri"/>
          <w:b/>
          <w:sz w:val="32"/>
          <w:szCs w:val="32"/>
        </w:rPr>
        <w:t xml:space="preserve"> Bangladesh</w:t>
      </w:r>
    </w:p>
    <w:p w14:paraId="5298F5F3" w14:textId="77777777" w:rsidR="005C050A" w:rsidRPr="00246AD2" w:rsidRDefault="005C050A" w:rsidP="00066F93">
      <w:pPr>
        <w:spacing w:after="0" w:line="240" w:lineRule="auto"/>
        <w:jc w:val="center"/>
        <w:rPr>
          <w:rFonts w:ascii="Calibri" w:hAnsi="Calibri" w:cs="Calibri"/>
          <w:b/>
        </w:rPr>
      </w:pPr>
    </w:p>
    <w:p w14:paraId="51204856" w14:textId="77777777" w:rsidR="00B21D21" w:rsidRPr="00246AD2" w:rsidRDefault="00B21D21" w:rsidP="00066F93">
      <w:pPr>
        <w:spacing w:after="0" w:line="240" w:lineRule="auto"/>
        <w:rPr>
          <w:rFonts w:ascii="Calibri" w:hAnsi="Calibri" w:cs="Calibri"/>
          <w:b/>
        </w:rPr>
      </w:pPr>
      <w:r w:rsidRPr="00246AD2">
        <w:rPr>
          <w:rFonts w:ascii="Calibri" w:hAnsi="Calibri" w:cs="Calibri"/>
          <w:b/>
        </w:rPr>
        <w:t>Abstract</w:t>
      </w:r>
    </w:p>
    <w:p w14:paraId="5E83FC02" w14:textId="737688BD" w:rsidR="00E60C9B" w:rsidRPr="00246AD2" w:rsidRDefault="002F1502" w:rsidP="00066F93">
      <w:pPr>
        <w:pStyle w:val="NormalWeb"/>
        <w:spacing w:before="0" w:beforeAutospacing="0" w:after="0" w:afterAutospacing="0"/>
        <w:jc w:val="both"/>
        <w:rPr>
          <w:rFonts w:ascii="Calibri" w:hAnsi="Calibri" w:cs="Calibri"/>
          <w:b/>
          <w:sz w:val="22"/>
          <w:szCs w:val="22"/>
          <w:highlight w:val="yellow"/>
          <w:shd w:val="clear" w:color="auto" w:fill="FFFFFF"/>
        </w:rPr>
      </w:pPr>
      <w:r w:rsidRPr="002F1502">
        <w:rPr>
          <w:rFonts w:ascii="Calibri" w:hAnsi="Calibri" w:cs="Calibri"/>
          <w:sz w:val="22"/>
          <w:szCs w:val="22"/>
        </w:rPr>
        <w:t xml:space="preserve">Food loss and waste (FLW) is a critical global issue affecting food security, environmental sustainability, and economic efficiency, contributing significantly to resource depletion and greenhouse gas emissions. In Bangladesh, especially in rural markets, substantial losses of perishable produce occur due to inadequate infrastructure, poor handling, and limited awareness. Despite its importance, research on FLW at the retail level and retailers’ environmental perceptions remains </w:t>
      </w:r>
      <w:proofErr w:type="spellStart"/>
      <w:r w:rsidRPr="002F1502">
        <w:rPr>
          <w:rFonts w:ascii="Calibri" w:hAnsi="Calibri" w:cs="Calibri"/>
          <w:sz w:val="22"/>
          <w:szCs w:val="22"/>
        </w:rPr>
        <w:t>limited.</w:t>
      </w:r>
      <w:r>
        <w:rPr>
          <w:rFonts w:ascii="Calibri" w:hAnsi="Calibri" w:cs="Calibri"/>
          <w:sz w:val="22"/>
          <w:szCs w:val="22"/>
        </w:rPr>
        <w:t xml:space="preserve"> </w:t>
      </w:r>
      <w:r w:rsidR="00E60C9B" w:rsidRPr="00246AD2">
        <w:rPr>
          <w:rFonts w:ascii="Calibri" w:hAnsi="Calibri" w:cs="Calibri"/>
          <w:sz w:val="22"/>
          <w:szCs w:val="22"/>
        </w:rPr>
        <w:t>Thi</w:t>
      </w:r>
      <w:proofErr w:type="spellEnd"/>
      <w:r w:rsidR="00E60C9B" w:rsidRPr="00246AD2">
        <w:rPr>
          <w:rFonts w:ascii="Calibri" w:hAnsi="Calibri" w:cs="Calibri"/>
          <w:sz w:val="22"/>
          <w:szCs w:val="22"/>
        </w:rPr>
        <w:t xml:space="preserve">s study investigates the </w:t>
      </w:r>
      <w:r w:rsidR="00CE43A0">
        <w:rPr>
          <w:rFonts w:ascii="Calibri" w:hAnsi="Calibri" w:cs="Calibri"/>
          <w:sz w:val="22"/>
          <w:szCs w:val="22"/>
        </w:rPr>
        <w:t>socioeconomic status</w:t>
      </w:r>
      <w:r w:rsidR="00E60C9B" w:rsidRPr="00246AD2">
        <w:rPr>
          <w:rFonts w:ascii="Calibri" w:hAnsi="Calibri" w:cs="Calibri"/>
          <w:sz w:val="22"/>
          <w:szCs w:val="22"/>
        </w:rPr>
        <w:t xml:space="preserve">, </w:t>
      </w:r>
      <w:proofErr w:type="gramStart"/>
      <w:r w:rsidR="00E60C9B" w:rsidRPr="00246AD2">
        <w:rPr>
          <w:rFonts w:ascii="Calibri" w:hAnsi="Calibri" w:cs="Calibri"/>
          <w:sz w:val="22"/>
          <w:szCs w:val="22"/>
        </w:rPr>
        <w:t>perceptions,  practices</w:t>
      </w:r>
      <w:proofErr w:type="gramEnd"/>
      <w:r w:rsidR="00BB5478">
        <w:rPr>
          <w:rFonts w:ascii="Calibri" w:hAnsi="Calibri" w:cs="Calibri"/>
          <w:sz w:val="22"/>
          <w:szCs w:val="22"/>
        </w:rPr>
        <w:t>,</w:t>
      </w:r>
      <w:r w:rsidR="00E60C9B" w:rsidRPr="00246AD2">
        <w:rPr>
          <w:rFonts w:ascii="Calibri" w:hAnsi="Calibri" w:cs="Calibri"/>
          <w:sz w:val="22"/>
          <w:szCs w:val="22"/>
        </w:rPr>
        <w:t xml:space="preserve"> </w:t>
      </w:r>
      <w:r w:rsidR="00CE43A0">
        <w:rPr>
          <w:rFonts w:ascii="Calibri" w:hAnsi="Calibri" w:cs="Calibri"/>
          <w:sz w:val="22"/>
          <w:szCs w:val="22"/>
        </w:rPr>
        <w:t xml:space="preserve">and environmental impacts </w:t>
      </w:r>
      <w:r w:rsidR="00E60C9B" w:rsidRPr="00246AD2">
        <w:rPr>
          <w:rFonts w:ascii="Calibri" w:hAnsi="Calibri" w:cs="Calibri"/>
          <w:sz w:val="22"/>
          <w:szCs w:val="22"/>
        </w:rPr>
        <w:t xml:space="preserve">related to food loss and waste (FLW) among vegetable and fruit retailers in rural markets in Faridpur District, Bangladesh. A mixed-methods approach was employed, combining quantitative surveys with 196 retail owners and qualitative key informant interviews (KIIs) with market committee members and Department of Agricultural Extension representatives. The results show a predominantly young, male </w:t>
      </w:r>
      <w:r w:rsidR="00BB5478">
        <w:rPr>
          <w:rFonts w:ascii="Calibri" w:hAnsi="Calibri" w:cs="Calibri"/>
          <w:sz w:val="22"/>
          <w:szCs w:val="22"/>
        </w:rPr>
        <w:t xml:space="preserve">retail </w:t>
      </w:r>
      <w:proofErr w:type="gramStart"/>
      <w:r w:rsidR="00BB5478">
        <w:rPr>
          <w:rFonts w:ascii="Calibri" w:hAnsi="Calibri" w:cs="Calibri"/>
          <w:sz w:val="22"/>
          <w:szCs w:val="22"/>
        </w:rPr>
        <w:t xml:space="preserve">owner </w:t>
      </w:r>
      <w:r w:rsidR="00E60C9B" w:rsidRPr="00246AD2">
        <w:rPr>
          <w:rFonts w:ascii="Calibri" w:hAnsi="Calibri" w:cs="Calibri"/>
          <w:sz w:val="22"/>
          <w:szCs w:val="22"/>
        </w:rPr>
        <w:t>,</w:t>
      </w:r>
      <w:proofErr w:type="gramEnd"/>
      <w:r w:rsidR="00E60C9B" w:rsidRPr="00246AD2">
        <w:rPr>
          <w:rFonts w:ascii="Calibri" w:hAnsi="Calibri" w:cs="Calibri"/>
          <w:sz w:val="22"/>
          <w:szCs w:val="22"/>
        </w:rPr>
        <w:t xml:space="preserve"> with a moderate level of education and experience in retailing perishable goods. </w:t>
      </w:r>
      <w:r w:rsidR="00E350C6" w:rsidRPr="00246AD2">
        <w:rPr>
          <w:rFonts w:ascii="Calibri" w:hAnsi="Calibri" w:cs="Calibri"/>
          <w:sz w:val="22"/>
          <w:szCs w:val="22"/>
        </w:rPr>
        <w:t>Retail owners</w:t>
      </w:r>
      <w:r w:rsidR="00E60C9B" w:rsidRPr="00246AD2">
        <w:rPr>
          <w:rFonts w:ascii="Calibri" w:hAnsi="Calibri" w:cs="Calibri"/>
          <w:sz w:val="22"/>
          <w:szCs w:val="22"/>
        </w:rPr>
        <w:t xml:space="preserve"> demonstrated strong awareness of the drivers of FLW, including poor transportation, selling delays, and over-purchasing, but highlighted infrastructure limitations, particularly the lack of cold storage, as key contributors to food waste. </w:t>
      </w:r>
      <w:r w:rsidR="00BB5478" w:rsidRPr="00BB5478">
        <w:rPr>
          <w:rFonts w:ascii="Calibri" w:hAnsi="Calibri" w:cs="Calibri"/>
          <w:sz w:val="22"/>
          <w:szCs w:val="22"/>
        </w:rPr>
        <w:t xml:space="preserve">The study revealed that 75% of vegetable and 72% of fruit retailers recognized the environmental pollution and public health risks associated with food loss and waste (FLW). However, only 51–52% acknowledged FLW’s contribution to climate change. While most traders understood the immediate environmental and health impacts of vegetable and fruit loss, awareness of broader climate implications was comparatively lower. These findings highlight the need for targeted interventions to raise climate-related awareness and promote sustainable waste management practices among rural market </w:t>
      </w:r>
      <w:proofErr w:type="spellStart"/>
      <w:proofErr w:type="gramStart"/>
      <w:r w:rsidR="00BB5478" w:rsidRPr="00BB5478">
        <w:rPr>
          <w:rFonts w:ascii="Calibri" w:hAnsi="Calibri" w:cs="Calibri"/>
          <w:sz w:val="22"/>
          <w:szCs w:val="22"/>
        </w:rPr>
        <w:t>retailers.</w:t>
      </w:r>
      <w:r w:rsidR="00E60C9B" w:rsidRPr="00246AD2">
        <w:rPr>
          <w:rFonts w:ascii="Calibri" w:hAnsi="Calibri" w:cs="Calibri"/>
          <w:sz w:val="22"/>
          <w:szCs w:val="22"/>
        </w:rPr>
        <w:t>Despite</w:t>
      </w:r>
      <w:proofErr w:type="spellEnd"/>
      <w:proofErr w:type="gramEnd"/>
      <w:r w:rsidR="00E60C9B" w:rsidRPr="00246AD2">
        <w:rPr>
          <w:rFonts w:ascii="Calibri" w:hAnsi="Calibri" w:cs="Calibri"/>
          <w:sz w:val="22"/>
          <w:szCs w:val="22"/>
        </w:rPr>
        <w:t xml:space="preserve"> a strong willingness to adopt improved waste management practices, gaps in practical implementation, such as waste separation</w:t>
      </w:r>
      <w:r w:rsidR="0070202D" w:rsidRPr="00246AD2">
        <w:rPr>
          <w:rFonts w:ascii="Calibri" w:hAnsi="Calibri" w:cs="Calibri"/>
          <w:sz w:val="22"/>
          <w:szCs w:val="22"/>
        </w:rPr>
        <w:t>,</w:t>
      </w:r>
      <w:r w:rsidR="00E60C9B" w:rsidRPr="00246AD2">
        <w:rPr>
          <w:rFonts w:ascii="Calibri" w:hAnsi="Calibri" w:cs="Calibri"/>
          <w:sz w:val="22"/>
          <w:szCs w:val="22"/>
        </w:rPr>
        <w:t xml:space="preserve"> proper handling,</w:t>
      </w:r>
      <w:r w:rsidR="0070202D" w:rsidRPr="00246AD2">
        <w:rPr>
          <w:rFonts w:ascii="Calibri" w:hAnsi="Calibri" w:cs="Calibri"/>
          <w:sz w:val="22"/>
          <w:szCs w:val="22"/>
        </w:rPr>
        <w:t xml:space="preserve"> and waste management</w:t>
      </w:r>
      <w:r w:rsidR="00E60C9B" w:rsidRPr="00246AD2">
        <w:rPr>
          <w:rFonts w:ascii="Calibri" w:hAnsi="Calibri" w:cs="Calibri"/>
          <w:sz w:val="22"/>
          <w:szCs w:val="22"/>
        </w:rPr>
        <w:t xml:space="preserve">. These findings </w:t>
      </w:r>
      <w:r w:rsidR="009D5F75" w:rsidRPr="00246AD2">
        <w:rPr>
          <w:rFonts w:ascii="Calibri" w:hAnsi="Calibri" w:cs="Calibri"/>
          <w:sz w:val="22"/>
          <w:szCs w:val="22"/>
        </w:rPr>
        <w:t>emphasize</w:t>
      </w:r>
      <w:r w:rsidR="00E60C9B" w:rsidRPr="00246AD2">
        <w:rPr>
          <w:rFonts w:ascii="Calibri" w:hAnsi="Calibri" w:cs="Calibri"/>
          <w:sz w:val="22"/>
          <w:szCs w:val="22"/>
        </w:rPr>
        <w:t xml:space="preserve"> the need for integrated interventions combining education, infrastructure development, and behavior-based strategies to reduce FLW and mitigate its environmental and economic impacts in rural markets.</w:t>
      </w:r>
    </w:p>
    <w:p w14:paraId="23AF9103" w14:textId="77777777" w:rsidR="00876502" w:rsidRDefault="00876502" w:rsidP="00066F93">
      <w:pPr>
        <w:spacing w:after="0" w:line="240" w:lineRule="auto"/>
        <w:rPr>
          <w:rFonts w:ascii="Calibri" w:hAnsi="Calibri" w:cs="Calibri"/>
          <w:b/>
        </w:rPr>
      </w:pPr>
    </w:p>
    <w:p w14:paraId="0F597DE9" w14:textId="685F1B84" w:rsidR="00E60C9B" w:rsidRPr="00246AD2" w:rsidRDefault="00E60C9B" w:rsidP="00066F93">
      <w:pPr>
        <w:spacing w:after="0" w:line="240" w:lineRule="auto"/>
        <w:rPr>
          <w:rFonts w:ascii="Calibri" w:hAnsi="Calibri" w:cs="Calibri"/>
          <w:b/>
        </w:rPr>
      </w:pPr>
      <w:r w:rsidRPr="00246AD2">
        <w:rPr>
          <w:rFonts w:ascii="Calibri" w:hAnsi="Calibri" w:cs="Calibri"/>
          <w:b/>
        </w:rPr>
        <w:t xml:space="preserve">Keywords: </w:t>
      </w:r>
      <w:r w:rsidR="0070202D" w:rsidRPr="00246AD2">
        <w:rPr>
          <w:rFonts w:ascii="Calibri" w:hAnsi="Calibri" w:cs="Calibri"/>
        </w:rPr>
        <w:t xml:space="preserve">Retailers, </w:t>
      </w:r>
      <w:r w:rsidRPr="00246AD2">
        <w:rPr>
          <w:rFonts w:ascii="Calibri" w:hAnsi="Calibri" w:cs="Calibri"/>
        </w:rPr>
        <w:t xml:space="preserve">Food Loss and Waste, </w:t>
      </w:r>
      <w:r w:rsidR="00F87BE8" w:rsidRPr="00246AD2">
        <w:rPr>
          <w:rFonts w:ascii="Calibri" w:hAnsi="Calibri" w:cs="Calibri"/>
        </w:rPr>
        <w:t xml:space="preserve">Food Safety, </w:t>
      </w:r>
      <w:r w:rsidRPr="00246AD2">
        <w:rPr>
          <w:rFonts w:ascii="Calibri" w:hAnsi="Calibri" w:cs="Calibri"/>
        </w:rPr>
        <w:t xml:space="preserve">Rural Markets, Environmental </w:t>
      </w:r>
      <w:r w:rsidR="00E350C6" w:rsidRPr="00246AD2">
        <w:rPr>
          <w:rFonts w:ascii="Calibri" w:hAnsi="Calibri" w:cs="Calibri"/>
        </w:rPr>
        <w:t>Impacts</w:t>
      </w:r>
    </w:p>
    <w:p w14:paraId="773FFB0E" w14:textId="77777777" w:rsidR="007D756B" w:rsidRPr="00246AD2" w:rsidRDefault="007D756B" w:rsidP="00066F93">
      <w:pPr>
        <w:pStyle w:val="Heading3"/>
        <w:spacing w:before="0" w:beforeAutospacing="0" w:after="0" w:afterAutospacing="0"/>
        <w:jc w:val="both"/>
        <w:rPr>
          <w:rFonts w:ascii="Calibri" w:hAnsi="Calibri" w:cs="Calibri"/>
          <w:sz w:val="22"/>
          <w:szCs w:val="22"/>
        </w:rPr>
      </w:pPr>
    </w:p>
    <w:p w14:paraId="6C8F36C1" w14:textId="77777777" w:rsidR="007D756B"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1. INTRODUCTION</w:t>
      </w:r>
    </w:p>
    <w:p w14:paraId="4D346EE4"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Food loss and waste (FLW) has become a major global challenge to food security, environmental sustainability, and economic efficiency. It is estimated that nearly one-third of all food produced for human consumption is lost and wasted along the food supply chain, from production and post-harvest handling to retail and consumption (Balan et al., 2023; Von et al., 2023; UNEP, 2024). FLW represents a significant misuse of natural resources, including land, water, energy, and labor, while also contributing substantially to greenhouse gas (GHG) emissions (Guo et al., 2020; </w:t>
      </w:r>
      <w:proofErr w:type="spellStart"/>
      <w:r w:rsidRPr="00246AD2">
        <w:rPr>
          <w:rFonts w:ascii="Calibri" w:eastAsia="Times New Roman" w:hAnsi="Calibri" w:cs="Calibri"/>
          <w:kern w:val="0"/>
          <w14:ligatures w14:val="none"/>
        </w:rPr>
        <w:t>Adelodum</w:t>
      </w:r>
      <w:proofErr w:type="spellEnd"/>
      <w:r w:rsidRPr="00246AD2">
        <w:rPr>
          <w:rFonts w:ascii="Calibri" w:eastAsia="Times New Roman" w:hAnsi="Calibri" w:cs="Calibri"/>
          <w:kern w:val="0"/>
          <w14:ligatures w14:val="none"/>
        </w:rPr>
        <w:t xml:space="preserve"> et al., 2025). Food loss and waste account for 8% of global GHG emissions, waste land and water, and underscore the need for systemic solutions at the retail and consumer levels to reduce environmental burdens (Kohli et al., 2024</w:t>
      </w:r>
      <w:r w:rsidR="003A5DFC" w:rsidRPr="00246AD2">
        <w:rPr>
          <w:rFonts w:ascii="Calibri" w:eastAsia="Times New Roman" w:hAnsi="Calibri" w:cs="Calibri"/>
          <w:kern w:val="0"/>
          <w14:ligatures w14:val="none"/>
        </w:rPr>
        <w:t xml:space="preserve">; </w:t>
      </w:r>
      <w:r w:rsidR="003A5DFC" w:rsidRPr="00246AD2">
        <w:rPr>
          <w:rFonts w:ascii="Calibri" w:hAnsi="Calibri" w:cs="Calibri"/>
          <w:shd w:val="clear" w:color="auto" w:fill="FFFFFF"/>
        </w:rPr>
        <w:t>Carvalho et al., 2025</w:t>
      </w:r>
      <w:r w:rsidRPr="00246AD2">
        <w:rPr>
          <w:rFonts w:ascii="Calibri" w:eastAsia="Times New Roman" w:hAnsi="Calibri" w:cs="Calibri"/>
          <w:kern w:val="0"/>
          <w14:ligatures w14:val="none"/>
        </w:rPr>
        <w:t>). Recent global assessments indicate that food loss and waste collectively account for approximately 8–10% of total global GHG emissions, making FLW a critical yet often overlooked driver of climate change (UNEP, 2024; Heydari, 2024</w:t>
      </w:r>
      <w:r w:rsidR="00AE1AEA" w:rsidRPr="00246AD2">
        <w:rPr>
          <w:rFonts w:ascii="Calibri" w:eastAsia="Times New Roman" w:hAnsi="Calibri" w:cs="Calibri"/>
          <w:kern w:val="0"/>
          <w14:ligatures w14:val="none"/>
        </w:rPr>
        <w:t>; Aslam et al., 2024</w:t>
      </w:r>
      <w:r w:rsidRPr="00246AD2">
        <w:rPr>
          <w:rFonts w:ascii="Calibri" w:eastAsia="Times New Roman" w:hAnsi="Calibri" w:cs="Calibri"/>
          <w:kern w:val="0"/>
          <w14:ligatures w14:val="none"/>
        </w:rPr>
        <w:t>). Food loss and food waste occur at different stages of the food supply chain and are driven by distinct processes</w:t>
      </w:r>
      <w:r w:rsidR="00EC6BBB" w:rsidRPr="00246AD2">
        <w:rPr>
          <w:rFonts w:ascii="Calibri" w:eastAsia="Times New Roman" w:hAnsi="Calibri" w:cs="Calibri"/>
          <w:kern w:val="0"/>
          <w14:ligatures w14:val="none"/>
        </w:rPr>
        <w:t xml:space="preserve"> (Heydari, 2024)</w:t>
      </w:r>
      <w:r w:rsidRPr="00246AD2">
        <w:rPr>
          <w:rFonts w:ascii="Calibri" w:eastAsia="Times New Roman" w:hAnsi="Calibri" w:cs="Calibri"/>
          <w:kern w:val="0"/>
          <w14:ligatures w14:val="none"/>
        </w:rPr>
        <w:t xml:space="preserve">. Food loss generally refers to the reduction in quantity or quality of food due to inefficiencies during production, post-harvest handling, storage, processing, and distribution. These losses are often linked to inadequate infrastructure, poor storage facilities, limited access to technology, and weak market systems, particularly in developing countries (Kunwar et al., 2024; </w:t>
      </w:r>
      <w:r w:rsidRPr="00246AD2">
        <w:rPr>
          <w:rFonts w:ascii="Calibri" w:eastAsia="Times New Roman" w:hAnsi="Calibri" w:cs="Calibri"/>
          <w:kern w:val="0"/>
          <w14:ligatures w14:val="none"/>
        </w:rPr>
        <w:lastRenderedPageBreak/>
        <w:t>Ahmed et al., 2025). Food loss encompasses the deterioration, spoilage, or reduction in quality of food before it reaches consumers. Such losses typically occur during the storage, processing, packaging, handling, and distribution stages of the food retail at the local markets</w:t>
      </w:r>
      <w:r w:rsidR="00C05DE1" w:rsidRPr="00246AD2">
        <w:rPr>
          <w:rFonts w:ascii="Calibri" w:eastAsia="Times New Roman" w:hAnsi="Calibri" w:cs="Calibri"/>
          <w:kern w:val="0"/>
          <w14:ligatures w14:val="none"/>
        </w:rPr>
        <w:t xml:space="preserve"> (Khanam et al., 2021)</w:t>
      </w:r>
      <w:r w:rsidRPr="00246AD2">
        <w:rPr>
          <w:rFonts w:ascii="Calibri" w:eastAsia="Times New Roman" w:hAnsi="Calibri" w:cs="Calibri"/>
          <w:kern w:val="0"/>
          <w14:ligatures w14:val="none"/>
        </w:rPr>
        <w:t xml:space="preserve">. Vegetables and fruits spoil at the retail levels, often due to poor handling practices, overstocking, and lack of awareness of food waste-reduction strategies (Jahan, 2023; Rahman &amp; </w:t>
      </w:r>
      <w:proofErr w:type="spellStart"/>
      <w:r w:rsidRPr="00246AD2">
        <w:rPr>
          <w:rFonts w:ascii="Calibri" w:eastAsia="Times New Roman" w:hAnsi="Calibri" w:cs="Calibri"/>
          <w:kern w:val="0"/>
          <w14:ligatures w14:val="none"/>
        </w:rPr>
        <w:t>Saha</w:t>
      </w:r>
      <w:proofErr w:type="spellEnd"/>
      <w:r w:rsidRPr="00246AD2">
        <w:rPr>
          <w:rFonts w:ascii="Calibri" w:eastAsia="Times New Roman" w:hAnsi="Calibri" w:cs="Calibri"/>
          <w:kern w:val="0"/>
          <w14:ligatures w14:val="none"/>
        </w:rPr>
        <w:t xml:space="preserve">, 2023; </w:t>
      </w:r>
      <w:proofErr w:type="spellStart"/>
      <w:r w:rsidRPr="00246AD2">
        <w:rPr>
          <w:rFonts w:ascii="Calibri" w:eastAsia="Times New Roman" w:hAnsi="Calibri" w:cs="Calibri"/>
          <w:kern w:val="0"/>
          <w14:ligatures w14:val="none"/>
        </w:rPr>
        <w:t>Boliko</w:t>
      </w:r>
      <w:proofErr w:type="spellEnd"/>
      <w:r w:rsidRPr="00246AD2">
        <w:rPr>
          <w:rFonts w:ascii="Calibri" w:eastAsia="Times New Roman" w:hAnsi="Calibri" w:cs="Calibri"/>
          <w:kern w:val="0"/>
          <w14:ligatures w14:val="none"/>
        </w:rPr>
        <w:t>, 2019). While food loss predominates the supply chain in low and middle-income countries, food waste at the retail stage is increasingly recognized as a growing concern in both urban and rural markets.</w:t>
      </w:r>
    </w:p>
    <w:p w14:paraId="6F8F0681"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5CF96F5C" w14:textId="77777777" w:rsidR="007D756B" w:rsidRPr="00246AD2" w:rsidRDefault="007D756B" w:rsidP="00066F93">
      <w:pPr>
        <w:pStyle w:val="ListParagraph"/>
        <w:spacing w:after="0" w:line="240" w:lineRule="auto"/>
        <w:ind w:left="0"/>
        <w:rPr>
          <w:rFonts w:cs="Calibri"/>
          <w:szCs w:val="22"/>
        </w:rPr>
      </w:pPr>
      <w:r w:rsidRPr="00246AD2">
        <w:rPr>
          <w:rFonts w:cs="Calibri"/>
          <w:noProof/>
          <w:szCs w:val="22"/>
        </w:rPr>
        <w:drawing>
          <wp:inline distT="0" distB="0" distL="0" distR="0" wp14:anchorId="14749C36" wp14:editId="5899760B">
            <wp:extent cx="5434681" cy="1188720"/>
            <wp:effectExtent l="0" t="0" r="0" b="0"/>
            <wp:docPr id="1" name="Picture 1" descr="C:\Users\BABUL\OneDrive\Desktop\Final_Thesis Presentation_Ashraful Islam_2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Final_Thesis Presentation_Ashraful Islam_2912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681" cy="1188720"/>
                    </a:xfrm>
                    <a:prstGeom prst="rect">
                      <a:avLst/>
                    </a:prstGeom>
                    <a:noFill/>
                    <a:ln>
                      <a:noFill/>
                    </a:ln>
                  </pic:spPr>
                </pic:pic>
              </a:graphicData>
            </a:graphic>
          </wp:inline>
        </w:drawing>
      </w:r>
    </w:p>
    <w:p w14:paraId="6831F6DC" w14:textId="77777777" w:rsidR="007D756B" w:rsidRPr="00246AD2" w:rsidRDefault="007D756B" w:rsidP="00066F93">
      <w:pPr>
        <w:pStyle w:val="Caption"/>
        <w:spacing w:after="0"/>
        <w:jc w:val="center"/>
        <w:rPr>
          <w:rFonts w:cs="Calibri"/>
          <w:i w:val="0"/>
          <w:color w:val="auto"/>
          <w:sz w:val="22"/>
          <w:szCs w:val="22"/>
        </w:rPr>
      </w:pPr>
      <w:r w:rsidRPr="00246AD2">
        <w:rPr>
          <w:rFonts w:cs="Calibri"/>
          <w:i w:val="0"/>
          <w:color w:val="auto"/>
          <w:sz w:val="22"/>
          <w:szCs w:val="22"/>
        </w:rPr>
        <w:t xml:space="preserve">Figure </w:t>
      </w:r>
      <w:r w:rsidRPr="00246AD2">
        <w:rPr>
          <w:rFonts w:cs="Calibri"/>
          <w:i w:val="0"/>
          <w:color w:val="auto"/>
          <w:sz w:val="22"/>
          <w:szCs w:val="22"/>
        </w:rPr>
        <w:fldChar w:fldCharType="begin"/>
      </w:r>
      <w:r w:rsidRPr="00246AD2">
        <w:rPr>
          <w:rFonts w:cs="Calibri"/>
          <w:i w:val="0"/>
          <w:color w:val="auto"/>
          <w:sz w:val="22"/>
          <w:szCs w:val="22"/>
        </w:rPr>
        <w:instrText xml:space="preserve"> SEQ Figure \* ARABIC </w:instrText>
      </w:r>
      <w:r w:rsidRPr="00246AD2">
        <w:rPr>
          <w:rFonts w:cs="Calibri"/>
          <w:i w:val="0"/>
          <w:color w:val="auto"/>
          <w:sz w:val="22"/>
          <w:szCs w:val="22"/>
        </w:rPr>
        <w:fldChar w:fldCharType="separate"/>
      </w:r>
      <w:r w:rsidRPr="00246AD2">
        <w:rPr>
          <w:rFonts w:cs="Calibri"/>
          <w:i w:val="0"/>
          <w:noProof/>
          <w:color w:val="auto"/>
          <w:sz w:val="22"/>
          <w:szCs w:val="22"/>
        </w:rPr>
        <w:t>1</w:t>
      </w:r>
      <w:r w:rsidRPr="00246AD2">
        <w:rPr>
          <w:rFonts w:cs="Calibri"/>
          <w:i w:val="0"/>
          <w:color w:val="auto"/>
          <w:sz w:val="22"/>
          <w:szCs w:val="22"/>
        </w:rPr>
        <w:fldChar w:fldCharType="end"/>
      </w:r>
      <w:r w:rsidRPr="00246AD2">
        <w:rPr>
          <w:rFonts w:cs="Calibri"/>
          <w:i w:val="0"/>
          <w:color w:val="auto"/>
          <w:sz w:val="22"/>
          <w:szCs w:val="22"/>
        </w:rPr>
        <w:t>: Diagram of the Food Supply Chain</w:t>
      </w:r>
    </w:p>
    <w:p w14:paraId="5FD838FA"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050EAD9C" w14:textId="77777777" w:rsidR="00E350C6" w:rsidRPr="00246AD2" w:rsidRDefault="00AE1AEA" w:rsidP="00066F93">
      <w:pPr>
        <w:spacing w:after="0" w:line="240" w:lineRule="auto"/>
        <w:jc w:val="both"/>
        <w:rPr>
          <w:rFonts w:ascii="Calibri" w:hAnsi="Calibri" w:cs="Calibri"/>
          <w:shd w:val="clear" w:color="auto" w:fill="FFFFFF"/>
        </w:rPr>
      </w:pPr>
      <w:r w:rsidRPr="00246AD2">
        <w:rPr>
          <w:rFonts w:ascii="Calibri" w:eastAsia="Times New Roman" w:hAnsi="Calibri" w:cs="Calibri"/>
          <w:kern w:val="0"/>
          <w14:ligatures w14:val="none"/>
        </w:rPr>
        <w:t xml:space="preserve">Sarker </w:t>
      </w:r>
      <w:r w:rsidR="00E350C6" w:rsidRPr="00246AD2">
        <w:rPr>
          <w:rFonts w:ascii="Calibri" w:eastAsia="Times New Roman" w:hAnsi="Calibri" w:cs="Calibri"/>
          <w:kern w:val="0"/>
          <w14:ligatures w14:val="none"/>
        </w:rPr>
        <w:t>et al. (202</w:t>
      </w:r>
      <w:r w:rsidRPr="00246AD2">
        <w:rPr>
          <w:rFonts w:ascii="Calibri" w:eastAsia="Times New Roman" w:hAnsi="Calibri" w:cs="Calibri"/>
          <w:kern w:val="0"/>
          <w14:ligatures w14:val="none"/>
        </w:rPr>
        <w:t>2</w:t>
      </w:r>
      <w:r w:rsidR="00E350C6" w:rsidRPr="00246AD2">
        <w:rPr>
          <w:rFonts w:ascii="Calibri" w:eastAsia="Times New Roman" w:hAnsi="Calibri" w:cs="Calibri"/>
          <w:kern w:val="0"/>
          <w14:ligatures w14:val="none"/>
        </w:rPr>
        <w:t xml:space="preserve">) conducted a study </w:t>
      </w:r>
      <w:r w:rsidRPr="00246AD2">
        <w:rPr>
          <w:rFonts w:ascii="Calibri" w:eastAsia="Times New Roman" w:hAnsi="Calibri" w:cs="Calibri"/>
          <w:kern w:val="0"/>
          <w14:ligatures w14:val="none"/>
        </w:rPr>
        <w:t>on sustainable food waste recycling for the circular economy in developing countries,</w:t>
      </w:r>
      <w:r w:rsidR="00E350C6" w:rsidRPr="00246AD2">
        <w:rPr>
          <w:rFonts w:ascii="Calibri" w:eastAsia="Times New Roman" w:hAnsi="Calibri" w:cs="Calibri"/>
          <w:kern w:val="0"/>
          <w14:ligatures w14:val="none"/>
        </w:rPr>
        <w:t xml:space="preserve"> identifying FLW as a significant issue due to its high socioeconomic costs and its links to waste management and climate change challenges</w:t>
      </w:r>
      <w:r w:rsidR="00CB6BC4" w:rsidRPr="00246AD2">
        <w:rPr>
          <w:rFonts w:ascii="Calibri" w:eastAsia="Times New Roman" w:hAnsi="Calibri" w:cs="Calibri"/>
          <w:kern w:val="0"/>
          <w14:ligatures w14:val="none"/>
        </w:rPr>
        <w:t xml:space="preserve"> (Roy et al., 2022)</w:t>
      </w:r>
      <w:r w:rsidR="00E350C6" w:rsidRPr="00246AD2">
        <w:rPr>
          <w:rFonts w:ascii="Calibri" w:eastAsia="Times New Roman" w:hAnsi="Calibri" w:cs="Calibri"/>
          <w:kern w:val="0"/>
          <w14:ligatures w14:val="none"/>
        </w:rPr>
        <w:t>. Food loss and waste refer to the loss of biomass during handling from farm to table. The annual per capita food waste at the consumer level was estimated to be 95–115 kg in developed countries and 6–11 kg in developing countries</w:t>
      </w:r>
      <w:r w:rsidR="00A5665B" w:rsidRPr="00246AD2">
        <w:rPr>
          <w:rFonts w:ascii="Calibri" w:eastAsia="Times New Roman" w:hAnsi="Calibri" w:cs="Calibri"/>
          <w:kern w:val="0"/>
          <w14:ligatures w14:val="none"/>
        </w:rPr>
        <w:t xml:space="preserve"> (Rahman et al., 2024)</w:t>
      </w:r>
      <w:r w:rsidR="00E350C6" w:rsidRPr="00246AD2">
        <w:rPr>
          <w:rFonts w:ascii="Calibri" w:eastAsia="Times New Roman" w:hAnsi="Calibri" w:cs="Calibri"/>
          <w:kern w:val="0"/>
          <w14:ligatures w14:val="none"/>
        </w:rPr>
        <w:t>. The increasing global demand for nutritious and essential food commodities has contributed to greater dietary diversity. However, inadequate post-harvest handling, storage, transportation, marketing, retailing, processing, distribution, and consumption practices have led to increased food waste across the food supply chain</w:t>
      </w:r>
      <w:r w:rsidR="00787C8E" w:rsidRPr="00246AD2">
        <w:rPr>
          <w:rFonts w:ascii="Calibri" w:eastAsia="Times New Roman" w:hAnsi="Calibri" w:cs="Calibri"/>
          <w:kern w:val="0"/>
          <w14:ligatures w14:val="none"/>
        </w:rPr>
        <w:t xml:space="preserve"> (Abbas et al., 2024)</w:t>
      </w:r>
      <w:r w:rsidR="00E350C6" w:rsidRPr="00246AD2">
        <w:rPr>
          <w:rFonts w:ascii="Calibri" w:eastAsia="Times New Roman" w:hAnsi="Calibri" w:cs="Calibri"/>
          <w:kern w:val="0"/>
          <w14:ligatures w14:val="none"/>
        </w:rPr>
        <w:t>. Food loss and waste are influenced by food quality, nutritional value, and fitness for consumption. FLW typically occurs at the retail and household consumption levels within the food value chain</w:t>
      </w:r>
      <w:r w:rsidR="00EC6BBB" w:rsidRPr="00246AD2">
        <w:rPr>
          <w:rFonts w:ascii="Calibri" w:eastAsia="Times New Roman" w:hAnsi="Calibri" w:cs="Calibri"/>
          <w:kern w:val="0"/>
          <w14:ligatures w14:val="none"/>
        </w:rPr>
        <w:t xml:space="preserve"> (Choudhury et al., 2024</w:t>
      </w:r>
      <w:r w:rsidR="003E504F" w:rsidRPr="00246AD2">
        <w:rPr>
          <w:rFonts w:ascii="Calibri" w:eastAsia="Times New Roman" w:hAnsi="Calibri" w:cs="Calibri"/>
          <w:kern w:val="0"/>
          <w14:ligatures w14:val="none"/>
        </w:rPr>
        <w:t>;</w:t>
      </w:r>
      <w:r w:rsidR="00E350C6" w:rsidRPr="00246AD2">
        <w:rPr>
          <w:rFonts w:ascii="Calibri" w:eastAsia="Times New Roman" w:hAnsi="Calibri" w:cs="Calibri"/>
          <w:kern w:val="0"/>
          <w14:ligatures w14:val="none"/>
        </w:rPr>
        <w:t xml:space="preserve"> Galford et al.</w:t>
      </w:r>
      <w:r w:rsidR="003E504F" w:rsidRPr="00246AD2">
        <w:rPr>
          <w:rFonts w:ascii="Calibri" w:eastAsia="Times New Roman" w:hAnsi="Calibri" w:cs="Calibri"/>
          <w:kern w:val="0"/>
          <w14:ligatures w14:val="none"/>
        </w:rPr>
        <w:t xml:space="preserve">, </w:t>
      </w:r>
      <w:r w:rsidR="00E350C6" w:rsidRPr="00246AD2">
        <w:rPr>
          <w:rFonts w:ascii="Calibri" w:eastAsia="Times New Roman" w:hAnsi="Calibri" w:cs="Calibri"/>
          <w:kern w:val="0"/>
          <w14:ligatures w14:val="none"/>
        </w:rPr>
        <w:t>2020) estimated that approximately one-third of food produced globally is lost or wasted each year.</w:t>
      </w:r>
      <w:r w:rsidR="00A5665B" w:rsidRPr="00246AD2">
        <w:rPr>
          <w:rFonts w:ascii="Calibri" w:eastAsia="Times New Roman" w:hAnsi="Calibri" w:cs="Calibri"/>
          <w:kern w:val="0"/>
          <w14:ligatures w14:val="none"/>
        </w:rPr>
        <w:t xml:space="preserve"> </w:t>
      </w:r>
      <w:r w:rsidR="00A5665B" w:rsidRPr="00246AD2">
        <w:rPr>
          <w:rFonts w:ascii="Calibri" w:hAnsi="Calibri" w:cs="Calibri"/>
          <w:shd w:val="clear" w:color="auto" w:fill="FFFFFF"/>
        </w:rPr>
        <w:t>The study investigated the extent of heavy metal contamination in widely consumed grapes, apples, oranges, bananas, and pomegranates from supermarkets in Dhaka, Bangladesh, using atomic absorption spectroscopy to assess the health risks to humans (Afrin et al., 2024).</w:t>
      </w:r>
    </w:p>
    <w:p w14:paraId="1F26E488" w14:textId="77777777" w:rsidR="00A5665B" w:rsidRPr="00246AD2" w:rsidRDefault="00A5665B" w:rsidP="00066F93">
      <w:pPr>
        <w:spacing w:after="0" w:line="240" w:lineRule="auto"/>
        <w:jc w:val="both"/>
        <w:rPr>
          <w:rFonts w:ascii="Calibri" w:eastAsia="Times New Roman" w:hAnsi="Calibri" w:cs="Calibri"/>
          <w:kern w:val="0"/>
          <w14:ligatures w14:val="none"/>
        </w:rPr>
      </w:pPr>
    </w:p>
    <w:p w14:paraId="321A0B5A" w14:textId="77777777" w:rsidR="006A6F7E"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The environmental impacts of vegetable and fruit waste in the market are critical issues to maintain the market environment (Shakil et al., 2024). This includes the poor transportation, handling, storage facilities, appropriate damping strategy, and awareness of retailers that contribute to market environment degradation, air and water pollution</w:t>
      </w:r>
      <w:r w:rsidR="00EC6BBB" w:rsidRPr="00246AD2">
        <w:rPr>
          <w:rFonts w:ascii="Calibri" w:eastAsia="Times New Roman" w:hAnsi="Calibri" w:cs="Calibri"/>
          <w:kern w:val="0"/>
          <w14:ligatures w14:val="none"/>
        </w:rPr>
        <w:t xml:space="preserve"> (Guarnieri et al., 2021)</w:t>
      </w:r>
      <w:r w:rsidRPr="00246AD2">
        <w:rPr>
          <w:rFonts w:ascii="Calibri" w:eastAsia="Times New Roman" w:hAnsi="Calibri" w:cs="Calibri"/>
          <w:kern w:val="0"/>
          <w14:ligatures w14:val="none"/>
        </w:rPr>
        <w:t>. Moreover, when food waste is disposed of in open dumps, it decomposes anaerobically and releases methane, a greenhouse gas with a global warming potential far greater than carbon dioxide (Xue et al., 2024). These global challenges are particularly relevant for Bangladesh. The empirical studies estimate that between 20% and 30% of vegetables are lost or wasted along the supply chain, with substantial losses occurring during storage, transportation, and retail (Chowdhury et al., 2021; FAO, 2020). Fruits and vegetables are especially vulnerable due to their high perishability, inadequate cold storage facilities, poor packaging, and exposure to high temperatures and humidity (</w:t>
      </w:r>
      <w:proofErr w:type="spellStart"/>
      <w:r w:rsidRPr="00246AD2">
        <w:rPr>
          <w:rFonts w:ascii="Calibri" w:eastAsia="Times New Roman" w:hAnsi="Calibri" w:cs="Calibri"/>
          <w:kern w:val="0"/>
          <w14:ligatures w14:val="none"/>
        </w:rPr>
        <w:t>Makule</w:t>
      </w:r>
      <w:proofErr w:type="spellEnd"/>
      <w:r w:rsidRPr="00246AD2">
        <w:rPr>
          <w:rFonts w:ascii="Calibri" w:eastAsia="Times New Roman" w:hAnsi="Calibri" w:cs="Calibri"/>
          <w:kern w:val="0"/>
          <w14:ligatures w14:val="none"/>
        </w:rPr>
        <w:t xml:space="preserve"> et al., 2022). Rural markets play a critical role in Bangladesh’s food system, serving as key nodes linking farmers, traders, retailers, and consumers (</w:t>
      </w:r>
      <w:r w:rsidR="00C05DE1" w:rsidRPr="00246AD2">
        <w:rPr>
          <w:rFonts w:ascii="Calibri" w:eastAsia="Times New Roman" w:hAnsi="Calibri" w:cs="Calibri"/>
          <w:kern w:val="0"/>
          <w14:ligatures w14:val="none"/>
        </w:rPr>
        <w:t xml:space="preserve">Joshi et al., 2025; </w:t>
      </w:r>
      <w:r w:rsidRPr="00246AD2">
        <w:rPr>
          <w:rFonts w:ascii="Calibri" w:eastAsia="Times New Roman" w:hAnsi="Calibri" w:cs="Calibri"/>
          <w:kern w:val="0"/>
          <w14:ligatures w14:val="none"/>
        </w:rPr>
        <w:t xml:space="preserve">Waris, 2022). In districts such as Faridpur, rural markets are central to the distribution of fresh produce and provide livelihoods for a large number of small-scale retail owners. The condition of market infrastructure, including storage facilities, drainage systems, </w:t>
      </w:r>
      <w:r w:rsidR="006A6F7E" w:rsidRPr="00246AD2">
        <w:rPr>
          <w:rFonts w:ascii="Calibri" w:eastAsia="Times New Roman" w:hAnsi="Calibri" w:cs="Calibri"/>
          <w:kern w:val="0"/>
          <w14:ligatures w14:val="none"/>
        </w:rPr>
        <w:t xml:space="preserve">and </w:t>
      </w:r>
      <w:r w:rsidRPr="00246AD2">
        <w:rPr>
          <w:rFonts w:ascii="Calibri" w:eastAsia="Times New Roman" w:hAnsi="Calibri" w:cs="Calibri"/>
          <w:kern w:val="0"/>
          <w14:ligatures w14:val="none"/>
        </w:rPr>
        <w:t>waste disposal mechanisms</w:t>
      </w:r>
      <w:r w:rsidR="006A6F7E" w:rsidRPr="00246AD2">
        <w:rPr>
          <w:rFonts w:ascii="Calibri" w:eastAsia="Times New Roman" w:hAnsi="Calibri" w:cs="Calibri"/>
          <w:kern w:val="0"/>
          <w14:ligatures w14:val="none"/>
        </w:rPr>
        <w:t>,</w:t>
      </w:r>
      <w:r w:rsidRPr="00246AD2">
        <w:rPr>
          <w:rFonts w:ascii="Calibri" w:eastAsia="Times New Roman" w:hAnsi="Calibri" w:cs="Calibri"/>
          <w:kern w:val="0"/>
          <w14:ligatures w14:val="none"/>
        </w:rPr>
        <w:t xml:space="preserve"> strongly influences food handling practices and the extent of FLW</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Kushitor</w:t>
      </w:r>
      <w:proofErr w:type="spellEnd"/>
      <w:r w:rsidR="00896DE8" w:rsidRPr="00246AD2">
        <w:rPr>
          <w:rFonts w:ascii="Calibri" w:hAnsi="Calibri" w:cs="Calibri"/>
          <w:shd w:val="clear" w:color="auto" w:fill="FFFFFF"/>
        </w:rPr>
        <w:t xml:space="preserve"> et al., 2022; </w:t>
      </w:r>
      <w:r w:rsidR="005E0959" w:rsidRPr="00246AD2">
        <w:rPr>
          <w:rFonts w:ascii="Calibri" w:hAnsi="Calibri" w:cs="Calibri"/>
          <w:shd w:val="clear" w:color="auto" w:fill="FFFFFF"/>
        </w:rPr>
        <w:t>Hasan</w:t>
      </w:r>
      <w:r w:rsidR="00896DE8" w:rsidRPr="00246AD2">
        <w:rPr>
          <w:rFonts w:ascii="Calibri" w:hAnsi="Calibri" w:cs="Calibri"/>
          <w:shd w:val="clear" w:color="auto" w:fill="FFFFFF"/>
        </w:rPr>
        <w:t xml:space="preserve"> et al., 2025</w:t>
      </w:r>
      <w:r w:rsidR="005E0959" w:rsidRPr="00246AD2">
        <w:rPr>
          <w:rFonts w:ascii="Calibri" w:hAnsi="Calibri" w:cs="Calibri"/>
          <w:shd w:val="clear" w:color="auto" w:fill="FFFFFF"/>
        </w:rPr>
        <w:t>; Chakma et al., 2026</w:t>
      </w:r>
      <w:r w:rsidR="00896DE8" w:rsidRPr="00246AD2">
        <w:rPr>
          <w:rFonts w:ascii="Calibri" w:hAnsi="Calibri" w:cs="Calibri"/>
          <w:shd w:val="clear" w:color="auto" w:fill="FFFFFF"/>
        </w:rPr>
        <w:t>)</w:t>
      </w:r>
      <w:r w:rsidRPr="00246AD2">
        <w:rPr>
          <w:rFonts w:ascii="Calibri" w:eastAsia="Times New Roman" w:hAnsi="Calibri" w:cs="Calibri"/>
          <w:kern w:val="0"/>
          <w14:ligatures w14:val="none"/>
        </w:rPr>
        <w:t xml:space="preserve">. However, despite the importance of rural retail markets, experiential research on FLW in Bangladesh has largely focused on production </w:t>
      </w:r>
      <w:r w:rsidRPr="00246AD2">
        <w:rPr>
          <w:rFonts w:ascii="Calibri" w:eastAsia="Times New Roman" w:hAnsi="Calibri" w:cs="Calibri"/>
          <w:kern w:val="0"/>
          <w14:ligatures w14:val="none"/>
        </w:rPr>
        <w:lastRenderedPageBreak/>
        <w:t>and post-harvest stages, with relatively little attention given to the retail level, particularly in rural settings (Akter et al., 2022). Another gap in the literature concerns the perceptions of retail owners regarding the environmental impacts of food loss and waste. Retailers’ decisions related to purchasing quantities, storage, pricing, handling, and disposal practices can significantly influence the amount of food lost or wasted in markets (Alam et al., 2025</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Shee</w:t>
      </w:r>
      <w:proofErr w:type="spellEnd"/>
      <w:r w:rsidR="00896DE8" w:rsidRPr="00246AD2">
        <w:rPr>
          <w:rFonts w:ascii="Calibri" w:hAnsi="Calibri" w:cs="Calibri"/>
          <w:shd w:val="clear" w:color="auto" w:fill="FFFFFF"/>
        </w:rPr>
        <w:t xml:space="preserve"> et al., 2023</w:t>
      </w:r>
      <w:r w:rsidRPr="00246AD2">
        <w:rPr>
          <w:rFonts w:ascii="Calibri" w:eastAsia="Times New Roman" w:hAnsi="Calibri" w:cs="Calibri"/>
          <w:kern w:val="0"/>
          <w14:ligatures w14:val="none"/>
        </w:rPr>
        <w:t>). Studies from other low- and middle-income countries suggest that retailers often prioritize economic considerations, such as minimizing financial losses and responding to consumer preferences, while environmental impacts receive limited attention unless linked to immediate business benefits (</w:t>
      </w:r>
      <w:proofErr w:type="spellStart"/>
      <w:r w:rsidRPr="00246AD2">
        <w:rPr>
          <w:rFonts w:ascii="Calibri" w:eastAsia="Times New Roman" w:hAnsi="Calibri" w:cs="Calibri"/>
          <w:kern w:val="0"/>
          <w14:ligatures w14:val="none"/>
        </w:rPr>
        <w:t>Aschemann</w:t>
      </w:r>
      <w:proofErr w:type="spellEnd"/>
      <w:r w:rsidRPr="00246AD2">
        <w:rPr>
          <w:rFonts w:ascii="Calibri" w:eastAsia="Times New Roman" w:hAnsi="Calibri" w:cs="Calibri"/>
          <w:kern w:val="0"/>
          <w14:ligatures w14:val="none"/>
        </w:rPr>
        <w:t xml:space="preserve"> et al., 2023; Haque et al., 2025).  </w:t>
      </w:r>
    </w:p>
    <w:p w14:paraId="2C323C49" w14:textId="77777777" w:rsidR="00896DE8" w:rsidRPr="00246AD2" w:rsidRDefault="00896DE8" w:rsidP="00066F93">
      <w:pPr>
        <w:spacing w:after="0" w:line="240" w:lineRule="auto"/>
        <w:jc w:val="both"/>
        <w:rPr>
          <w:rFonts w:ascii="Calibri" w:eastAsia="Times New Roman" w:hAnsi="Calibri" w:cs="Calibri"/>
          <w:kern w:val="0"/>
          <w14:ligatures w14:val="none"/>
        </w:rPr>
      </w:pPr>
    </w:p>
    <w:p w14:paraId="1E3F8607" w14:textId="77777777" w:rsidR="006A6F7E" w:rsidRPr="00246AD2" w:rsidRDefault="006A6F7E" w:rsidP="006A6F7E">
      <w:pPr>
        <w:spacing w:after="0" w:line="240" w:lineRule="auto"/>
        <w:contextualSpacing/>
        <w:jc w:val="both"/>
        <w:rPr>
          <w:rFonts w:ascii="Calibri" w:hAnsi="Calibri" w:cs="Calibri"/>
          <w:b/>
          <w:bCs/>
          <w:shd w:val="clear" w:color="auto" w:fill="FFFFFF"/>
        </w:rPr>
      </w:pPr>
      <w:r w:rsidRPr="00246AD2">
        <w:rPr>
          <w:rFonts w:ascii="Calibri" w:hAnsi="Calibri" w:cs="Calibri"/>
        </w:rPr>
        <w:t>Food handlers play a key role in maintaining food safety and preventing foodborne illnesses. In Bangladesh, food safety-related conventional research focuses on the microbiological and chemical qualities of foods</w:t>
      </w:r>
      <w:r w:rsidR="00DD6F32" w:rsidRPr="00246AD2">
        <w:rPr>
          <w:rFonts w:ascii="Calibri" w:hAnsi="Calibri" w:cs="Calibri"/>
        </w:rPr>
        <w:t>,</w:t>
      </w:r>
      <w:r w:rsidRPr="00246AD2">
        <w:rPr>
          <w:rFonts w:ascii="Calibri" w:hAnsi="Calibri" w:cs="Calibri"/>
        </w:rPr>
        <w:t xml:space="preserve"> whereas food handlers are less emphasized</w:t>
      </w:r>
      <w:r w:rsidR="000C213B" w:rsidRPr="00246AD2">
        <w:rPr>
          <w:rFonts w:ascii="Calibri" w:hAnsi="Calibri" w:cs="Calibri"/>
        </w:rPr>
        <w:t xml:space="preserve"> (</w:t>
      </w:r>
      <w:r w:rsidR="000C213B" w:rsidRPr="00246AD2">
        <w:rPr>
          <w:rFonts w:ascii="Calibri" w:hAnsi="Calibri" w:cs="Calibri"/>
          <w:shd w:val="clear" w:color="auto" w:fill="FFFFFF"/>
        </w:rPr>
        <w:t>Al Banna et al., 2021)</w:t>
      </w:r>
      <w:r w:rsidRPr="00246AD2">
        <w:rPr>
          <w:rFonts w:ascii="Calibri" w:hAnsi="Calibri" w:cs="Calibri"/>
        </w:rPr>
        <w:t xml:space="preserve">. Therefore, this systematic process impacted food loss and waste knowledge and practices among food handlers in Bangladesh. Food handlers in different settings, including restaurants, street food, retail </w:t>
      </w:r>
      <w:r w:rsidR="00DD6F32" w:rsidRPr="00246AD2">
        <w:rPr>
          <w:rFonts w:ascii="Calibri" w:hAnsi="Calibri" w:cs="Calibri"/>
        </w:rPr>
        <w:t>markets (Rahman et al., 2025)</w:t>
      </w:r>
      <w:r w:rsidRPr="00246AD2">
        <w:rPr>
          <w:rFonts w:ascii="Calibri" w:hAnsi="Calibri" w:cs="Calibri"/>
        </w:rPr>
        <w:t>, the food industry, and households</w:t>
      </w:r>
      <w:r w:rsidR="00DD6F32" w:rsidRPr="00246AD2">
        <w:rPr>
          <w:rFonts w:ascii="Calibri" w:hAnsi="Calibri" w:cs="Calibri"/>
        </w:rPr>
        <w:t>,</w:t>
      </w:r>
      <w:r w:rsidRPr="00246AD2">
        <w:rPr>
          <w:rFonts w:ascii="Calibri" w:hAnsi="Calibri" w:cs="Calibri"/>
        </w:rPr>
        <w:t xml:space="preserve"> were widely varied by their socio-demographic characteristics, including gender, age, education, and income</w:t>
      </w:r>
      <w:r w:rsidR="00DD6F32" w:rsidRPr="00246AD2">
        <w:rPr>
          <w:rFonts w:ascii="Calibri" w:hAnsi="Calibri" w:cs="Calibri"/>
        </w:rPr>
        <w:t xml:space="preserve"> (</w:t>
      </w:r>
      <w:proofErr w:type="spellStart"/>
      <w:r w:rsidR="00DD6F32" w:rsidRPr="00246AD2">
        <w:rPr>
          <w:rFonts w:ascii="Calibri" w:hAnsi="Calibri" w:cs="Calibri"/>
          <w:shd w:val="clear" w:color="auto" w:fill="FFFFFF"/>
        </w:rPr>
        <w:t>Siddiky</w:t>
      </w:r>
      <w:proofErr w:type="spellEnd"/>
      <w:r w:rsidR="00DD6F32" w:rsidRPr="00246AD2">
        <w:rPr>
          <w:rFonts w:ascii="Calibri" w:hAnsi="Calibri" w:cs="Calibri"/>
          <w:shd w:val="clear" w:color="auto" w:fill="FFFFFF"/>
        </w:rPr>
        <w:t xml:space="preserve"> et al., 2024)</w:t>
      </w:r>
      <w:r w:rsidRPr="00246AD2">
        <w:rPr>
          <w:rFonts w:ascii="Calibri" w:hAnsi="Calibri" w:cs="Calibri"/>
        </w:rPr>
        <w:t xml:space="preserve">. Among them, the minimum food safety knowledge of the food handlers was reported at 62.50% in the studies. Food safety practices were reported 72.73% of poor food handling practices </w:t>
      </w:r>
      <w:r w:rsidR="00DD6F32" w:rsidRPr="00246AD2">
        <w:rPr>
          <w:rFonts w:ascii="Calibri" w:hAnsi="Calibri" w:cs="Calibri"/>
        </w:rPr>
        <w:t>by</w:t>
      </w:r>
      <w:r w:rsidRPr="00246AD2">
        <w:rPr>
          <w:rFonts w:ascii="Calibri" w:hAnsi="Calibri" w:cs="Calibri"/>
        </w:rPr>
        <w:t xml:space="preserve"> the food handlers</w:t>
      </w:r>
      <w:r w:rsidR="00DD6F32" w:rsidRPr="00246AD2">
        <w:rPr>
          <w:rFonts w:ascii="Calibri" w:hAnsi="Calibri" w:cs="Calibri"/>
        </w:rPr>
        <w:t xml:space="preserve"> </w:t>
      </w:r>
      <w:r w:rsidR="00DD6F32" w:rsidRPr="0024502B">
        <w:rPr>
          <w:rFonts w:ascii="Calibri" w:hAnsi="Calibri" w:cs="Calibri"/>
          <w:bCs/>
        </w:rPr>
        <w:t>(</w:t>
      </w:r>
      <w:r w:rsidR="00DD6F32" w:rsidRPr="0024502B">
        <w:rPr>
          <w:rFonts w:ascii="Calibri" w:hAnsi="Calibri" w:cs="Calibri"/>
          <w:bCs/>
          <w:shd w:val="clear" w:color="auto" w:fill="FFFFFF"/>
        </w:rPr>
        <w:t>Rifat et al., 2022).</w:t>
      </w:r>
      <w:r w:rsidRPr="00246AD2">
        <w:rPr>
          <w:rFonts w:ascii="Calibri" w:hAnsi="Calibri" w:cs="Calibri"/>
        </w:rPr>
        <w:t xml:space="preserve"> On the other hand, education, training, food handling experience, and attitude were found to be associated with food safety knowledge. Overall</w:t>
      </w:r>
      <w:r w:rsidR="00DD6F32" w:rsidRPr="00246AD2">
        <w:rPr>
          <w:rFonts w:ascii="Calibri" w:hAnsi="Calibri" w:cs="Calibri"/>
        </w:rPr>
        <w:t>,</w:t>
      </w:r>
      <w:r w:rsidRPr="00246AD2">
        <w:rPr>
          <w:rFonts w:ascii="Calibri" w:hAnsi="Calibri" w:cs="Calibri"/>
        </w:rPr>
        <w:t xml:space="preserve"> food safety knowledge and practices of the food handlers in Bangladesh are not satisfactory</w:t>
      </w:r>
      <w:r w:rsidR="000C213B" w:rsidRPr="00246AD2">
        <w:rPr>
          <w:rFonts w:ascii="Calibri" w:hAnsi="Calibri" w:cs="Calibri"/>
        </w:rPr>
        <w:t xml:space="preserve"> (Islam et al., 2023)</w:t>
      </w:r>
      <w:r w:rsidRPr="00246AD2">
        <w:rPr>
          <w:rFonts w:ascii="Calibri" w:hAnsi="Calibri" w:cs="Calibri"/>
        </w:rPr>
        <w:t>. Strengthening the food safety monitoring system, providing food safety training to the food handlers, and building awareness could be considered to improve the situation</w:t>
      </w:r>
      <w:r w:rsidR="00DD6F32" w:rsidRPr="00246AD2">
        <w:rPr>
          <w:rFonts w:ascii="Calibri" w:hAnsi="Calibri" w:cs="Calibri"/>
        </w:rPr>
        <w:t>.</w:t>
      </w:r>
      <w:r w:rsidRPr="00246AD2">
        <w:rPr>
          <w:rFonts w:ascii="Calibri" w:hAnsi="Calibri" w:cs="Calibri"/>
        </w:rPr>
        <w:t xml:space="preserve"> </w:t>
      </w:r>
    </w:p>
    <w:p w14:paraId="0605754A" w14:textId="77777777" w:rsidR="00DD6F32" w:rsidRPr="00246AD2" w:rsidRDefault="00DD6F32" w:rsidP="006A6F7E">
      <w:pPr>
        <w:spacing w:after="0" w:line="240" w:lineRule="auto"/>
        <w:contextualSpacing/>
        <w:jc w:val="both"/>
        <w:rPr>
          <w:rFonts w:ascii="Calibri" w:hAnsi="Calibri" w:cs="Calibri"/>
          <w:shd w:val="clear" w:color="auto" w:fill="FFFFFF"/>
        </w:rPr>
      </w:pPr>
    </w:p>
    <w:p w14:paraId="1A715AF2"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In rural Bangladesh, perceptions of food loss and waste are shaped by a complex interaction of economic constraints, infrastructural limitations, social norms, and institutional arrangements. Factors such as price volatility, lack of cold storage, inadequate waste management services, and consumer demand for visually fresh produce often require retailers to discard unsold or damaged food. At the same time, limited awareness of the environmental impacts of food waste (Naser, 2020) and the absence of incentives for waste reduction may discourage the adoption of improved practices for composting (Hossain et al., 2023). This study examines retail owners' perceptions of the environmental impacts of food loss and waste in rural markets. This study investigates the awareness, attitudes, and responsibilities perceived by vegetable and fruit retailers in rural Faridpur regarding the environmental consequences of food loss and waste in the rural market in Bangladesh.</w:t>
      </w:r>
    </w:p>
    <w:p w14:paraId="09BABF33" w14:textId="77777777" w:rsidR="000230CA" w:rsidRPr="00246AD2" w:rsidRDefault="000230CA" w:rsidP="00066F93">
      <w:pPr>
        <w:spacing w:after="0" w:line="240" w:lineRule="auto"/>
        <w:rPr>
          <w:rFonts w:ascii="Calibri" w:hAnsi="Calibri" w:cs="Calibri"/>
        </w:rPr>
      </w:pPr>
    </w:p>
    <w:p w14:paraId="5C45AD5D" w14:textId="77777777" w:rsidR="00B21D21" w:rsidRPr="00246AD2" w:rsidRDefault="00E350C6" w:rsidP="00066F93">
      <w:pPr>
        <w:pStyle w:val="Heading2"/>
        <w:spacing w:before="0" w:line="240" w:lineRule="auto"/>
        <w:jc w:val="both"/>
        <w:rPr>
          <w:rFonts w:ascii="Calibri" w:hAnsi="Calibri" w:cs="Calibri"/>
          <w:b/>
          <w:color w:val="auto"/>
          <w:sz w:val="22"/>
          <w:szCs w:val="22"/>
        </w:rPr>
      </w:pPr>
      <w:r w:rsidRPr="00246AD2">
        <w:rPr>
          <w:rFonts w:ascii="Calibri" w:hAnsi="Calibri" w:cs="Calibri"/>
          <w:b/>
          <w:color w:val="auto"/>
          <w:sz w:val="22"/>
          <w:szCs w:val="22"/>
        </w:rPr>
        <w:t>2. METHODS AND MATERIALS</w:t>
      </w:r>
    </w:p>
    <w:p w14:paraId="7818BE92"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2.1 </w:t>
      </w:r>
      <w:r w:rsidR="00B21D21" w:rsidRPr="00246AD2">
        <w:rPr>
          <w:rFonts w:ascii="Calibri" w:hAnsi="Calibri" w:cs="Calibri"/>
          <w:sz w:val="22"/>
          <w:szCs w:val="22"/>
        </w:rPr>
        <w:t>Study Design</w:t>
      </w:r>
    </w:p>
    <w:p w14:paraId="6853D58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This study adopts a cross-sectional mixed-methods design, combining quantitative and qualitative approaches. The quantitative component assesses retail owners’ awareness and perceptions of the environmental impacts of food loss and waste (FLW), while the qualitative component explores in-depth experiences, contextual factors, and practices influencing these perceptions. This mixed-methods approach enables triangulation and strengthens the robustness of findings. The study was conducted in selected rural markets (hat/bazar) of Faridpur District, an agriculturally intensive area where perishable items such as fruits and vegetables are traded daily. Retail owners with at least one year of experience in handling perishable goods will be included, ensuring relevant insights into FLW practices.</w:t>
      </w:r>
    </w:p>
    <w:p w14:paraId="7334A5CA"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45C9243A"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2.2 </w:t>
      </w:r>
      <w:r w:rsidR="00B21D21" w:rsidRPr="00246AD2">
        <w:rPr>
          <w:rFonts w:ascii="Calibri" w:hAnsi="Calibri" w:cs="Calibri"/>
          <w:sz w:val="22"/>
          <w:szCs w:val="22"/>
        </w:rPr>
        <w:t>Sampling Technique and Sample Size</w:t>
      </w:r>
    </w:p>
    <w:p w14:paraId="507FA9FF" w14:textId="77777777" w:rsidR="00B21D21" w:rsidRPr="00246AD2" w:rsidRDefault="00B21D21" w:rsidP="00066F93">
      <w:pPr>
        <w:pStyle w:val="Heading3"/>
        <w:spacing w:before="0" w:beforeAutospacing="0" w:after="0" w:afterAutospacing="0"/>
        <w:jc w:val="both"/>
        <w:rPr>
          <w:rFonts w:ascii="Calibri" w:hAnsi="Calibri" w:cs="Calibri"/>
          <w:b w:val="0"/>
          <w:sz w:val="22"/>
          <w:szCs w:val="22"/>
        </w:rPr>
      </w:pPr>
      <w:r w:rsidRPr="00246AD2">
        <w:rPr>
          <w:rFonts w:ascii="Calibri" w:hAnsi="Calibri" w:cs="Calibri"/>
          <w:b w:val="0"/>
          <w:sz w:val="22"/>
          <w:szCs w:val="22"/>
        </w:rPr>
        <w:t xml:space="preserve">A </w:t>
      </w:r>
      <w:r w:rsidRPr="00246AD2">
        <w:rPr>
          <w:rStyle w:val="Strong"/>
          <w:rFonts w:ascii="Calibri" w:hAnsi="Calibri" w:cs="Calibri"/>
          <w:sz w:val="22"/>
          <w:szCs w:val="22"/>
        </w:rPr>
        <w:t>multi-stage sampling technique</w:t>
      </w:r>
      <w:r w:rsidRPr="00246AD2">
        <w:rPr>
          <w:rFonts w:ascii="Calibri" w:hAnsi="Calibri" w:cs="Calibri"/>
          <w:b w:val="0"/>
          <w:sz w:val="22"/>
          <w:szCs w:val="22"/>
        </w:rPr>
        <w:t xml:space="preserve"> was employed for this study. In the first stage, four Upazilas from Faridpur District were selected based on the concentration of rural markets. In the second stage, four </w:t>
      </w:r>
      <w:r w:rsidRPr="00246AD2">
        <w:rPr>
          <w:rFonts w:ascii="Calibri" w:hAnsi="Calibri" w:cs="Calibri"/>
          <w:b w:val="0"/>
          <w:sz w:val="22"/>
          <w:szCs w:val="22"/>
        </w:rPr>
        <w:lastRenderedPageBreak/>
        <w:t xml:space="preserve">rural markets (hat/bazar) were randomly selected from each chosen Upazila. In the final stage, retail owners within the selected markets were chosen using simple random sampling. A total of </w:t>
      </w:r>
      <w:r w:rsidRPr="00246AD2">
        <w:rPr>
          <w:rStyle w:val="Strong"/>
          <w:rFonts w:ascii="Calibri" w:hAnsi="Calibri" w:cs="Calibri"/>
          <w:sz w:val="22"/>
          <w:szCs w:val="22"/>
        </w:rPr>
        <w:t>196 retail owners</w:t>
      </w:r>
      <w:r w:rsidRPr="00246AD2">
        <w:rPr>
          <w:rFonts w:ascii="Calibri" w:hAnsi="Calibri" w:cs="Calibri"/>
          <w:b w:val="0"/>
          <w:sz w:val="22"/>
          <w:szCs w:val="22"/>
        </w:rPr>
        <w:t xml:space="preserve"> participated in the quantitative survey, providing sufficient data for both descriptive and inferential analyses. For the qualitative component, </w:t>
      </w:r>
      <w:r w:rsidRPr="00246AD2">
        <w:rPr>
          <w:rStyle w:val="Strong"/>
          <w:rFonts w:ascii="Calibri" w:hAnsi="Calibri" w:cs="Calibri"/>
          <w:sz w:val="22"/>
          <w:szCs w:val="22"/>
        </w:rPr>
        <w:t>8 key informant interviews (KIIs)</w:t>
      </w:r>
      <w:r w:rsidRPr="00246AD2">
        <w:rPr>
          <w:rFonts w:ascii="Calibri" w:hAnsi="Calibri" w:cs="Calibri"/>
          <w:b w:val="0"/>
          <w:sz w:val="22"/>
          <w:szCs w:val="22"/>
        </w:rPr>
        <w:t xml:space="preserve"> were conducted with selected retail owners, market committee members, and representatives from the Department of Agricultural Extension (DAE) to gain deeper insights into perceptions, practices, and institutional perspectives regarding food loss and waste.</w:t>
      </w:r>
    </w:p>
    <w:p w14:paraId="4CA98F2D"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p w14:paraId="1FE68EA3" w14:textId="77777777" w:rsidR="00B21D21" w:rsidRPr="00246AD2" w:rsidRDefault="00E350C6"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b/>
          <w:bCs/>
          <w:kern w:val="0"/>
          <w14:ligatures w14:val="none"/>
        </w:rPr>
        <w:t xml:space="preserve">2.3 </w:t>
      </w:r>
      <w:r w:rsidR="00B21D21" w:rsidRPr="00246AD2">
        <w:rPr>
          <w:rFonts w:ascii="Calibri" w:eastAsia="Times New Roman" w:hAnsi="Calibri" w:cs="Calibri"/>
          <w:b/>
          <w:bCs/>
          <w:kern w:val="0"/>
          <w14:ligatures w14:val="none"/>
        </w:rPr>
        <w:t>Data Collection and Analysis</w:t>
      </w:r>
    </w:p>
    <w:p w14:paraId="6AFABC28" w14:textId="77777777" w:rsidR="00B21D21" w:rsidRPr="00246AD2" w:rsidRDefault="00B21D21" w:rsidP="00066F93">
      <w:pPr>
        <w:pStyle w:val="Heading3"/>
        <w:spacing w:before="0" w:beforeAutospacing="0" w:after="0" w:afterAutospacing="0"/>
        <w:jc w:val="both"/>
        <w:rPr>
          <w:rFonts w:ascii="Calibri" w:hAnsi="Calibri" w:cs="Calibri"/>
          <w:b w:val="0"/>
          <w:bCs w:val="0"/>
          <w:sz w:val="22"/>
          <w:szCs w:val="22"/>
        </w:rPr>
      </w:pPr>
      <w:r w:rsidRPr="00246AD2">
        <w:rPr>
          <w:rFonts w:ascii="Calibri" w:hAnsi="Calibri" w:cs="Calibri"/>
          <w:b w:val="0"/>
          <w:bCs w:val="0"/>
          <w:sz w:val="22"/>
          <w:szCs w:val="22"/>
        </w:rPr>
        <w:t>Quantitative data were collected using a structured questionnaire through face-to-face interviews with retail owners. The questionnaire was developed based on a literature review and reviewed by an expert to ensure it captured awareness of food loss and waste, perceptions of environmental impacts, and retail practices. After finalizing the survey, a field test was conducted with 196 retail owners across nine rural markets (hat/bazar) in four Upazilas of Faridpur District. For the qualitative component, 4 key informant interviews (KIIs) were conducted with selected market committee members and 4 with Department of Agricultural Extension (DAE) representatives using a semi-structured guide. Quantitative data were analyzed using SPSS with descriptive statistics, while qualitative data underwent thematic analysis, with emerging themes compared to quantitative findings for comprehensive interpretation.</w:t>
      </w:r>
    </w:p>
    <w:p w14:paraId="30114C88" w14:textId="77777777" w:rsidR="00B21D21" w:rsidRPr="00246AD2" w:rsidRDefault="00B21D21" w:rsidP="00066F93">
      <w:pPr>
        <w:pStyle w:val="Heading3"/>
        <w:spacing w:before="0" w:beforeAutospacing="0" w:after="0" w:afterAutospacing="0"/>
        <w:jc w:val="both"/>
        <w:rPr>
          <w:rFonts w:ascii="Calibri" w:hAnsi="Calibri" w:cs="Calibri"/>
          <w:sz w:val="22"/>
          <w:szCs w:val="22"/>
        </w:rPr>
      </w:pPr>
    </w:p>
    <w:p w14:paraId="22B1DCF1"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3. RESULTS AND DISCUSSIONS</w:t>
      </w:r>
    </w:p>
    <w:p w14:paraId="1C75D3BB"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 xml:space="preserve">3.1 </w:t>
      </w:r>
      <w:r w:rsidR="00B21D21" w:rsidRPr="00246AD2">
        <w:rPr>
          <w:rFonts w:ascii="Calibri" w:hAnsi="Calibri" w:cs="Calibri"/>
          <w:b/>
        </w:rPr>
        <w:t>Demographic characteristics of vegetable and fruit retail owners</w:t>
      </w:r>
    </w:p>
    <w:p w14:paraId="6F488007" w14:textId="77777777" w:rsidR="00B21D21"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demographic characteristics of vegetable and fruit retailers in rural markets provide valuable insights into the composition of the retail sector. Among vegetable retailers, 95.17% were male, and 5.83% were female. A similar pattern was observed among fruit retailers, with 97.37% male. Age distribution revealed that 48.33% of vegetable retailers and 43.42% of fruit retailers were aged 18–35 years, followed by 30.83% and 30.26% aged 36–45 years, 13.33% and 18.42% aged 46–59 years, and 7.50% and 7.89% aged 60 years and above, for vegetable and fruit retailers, respectively. Most retailers were married, representing 79.08% overall; however, 80.83% of vegetable retailers were unmarried compared to 75% of fruit retailers. Educational attainment varied, with 42.86% having completed primary education, 25.51% having no formal education, 19.90% SSC, 8.67% HSC, and 3.06% holding a BA/BSc degree.</w:t>
      </w:r>
    </w:p>
    <w:p w14:paraId="4B64773E" w14:textId="77777777" w:rsidR="0024502B" w:rsidRPr="00246AD2" w:rsidRDefault="0024502B" w:rsidP="00066F93">
      <w:pPr>
        <w:pStyle w:val="NormalWeb"/>
        <w:spacing w:before="0" w:beforeAutospacing="0" w:after="0" w:afterAutospacing="0"/>
        <w:jc w:val="both"/>
        <w:rPr>
          <w:rFonts w:ascii="Calibri" w:hAnsi="Calibri" w:cs="Calibri"/>
          <w:sz w:val="22"/>
          <w:szCs w:val="22"/>
        </w:rPr>
      </w:pPr>
    </w:p>
    <w:p w14:paraId="683F522C"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1</w:t>
      </w:r>
      <w:r w:rsidRPr="0024502B">
        <w:rPr>
          <w:i w:val="0"/>
          <w:color w:val="auto"/>
          <w:sz w:val="22"/>
          <w:szCs w:val="22"/>
        </w:rPr>
        <w:fldChar w:fldCharType="end"/>
      </w:r>
      <w:r w:rsidRPr="0024502B">
        <w:rPr>
          <w:i w:val="0"/>
          <w:color w:val="auto"/>
          <w:sz w:val="22"/>
          <w:szCs w:val="22"/>
        </w:rPr>
        <w:t>: Demographic characteristics of vegetable and fruit retail owners</w:t>
      </w:r>
    </w:p>
    <w:tbl>
      <w:tblPr>
        <w:tblW w:w="9005" w:type="dxa"/>
        <w:tblInd w:w="-5" w:type="dxa"/>
        <w:tblLook w:val="04A0" w:firstRow="1" w:lastRow="0" w:firstColumn="1" w:lastColumn="0" w:noHBand="0" w:noVBand="1"/>
      </w:tblPr>
      <w:tblGrid>
        <w:gridCol w:w="2302"/>
        <w:gridCol w:w="2502"/>
        <w:gridCol w:w="2001"/>
        <w:gridCol w:w="2200"/>
      </w:tblGrid>
      <w:tr w:rsidR="00B21D21" w:rsidRPr="00246AD2" w14:paraId="11F78A92" w14:textId="77777777" w:rsidTr="006A6F7E">
        <w:trPr>
          <w:trHeight w:val="361"/>
        </w:trPr>
        <w:tc>
          <w:tcPr>
            <w:tcW w:w="2302" w:type="dxa"/>
            <w:tcBorders>
              <w:top w:val="single" w:sz="4" w:space="0" w:color="auto"/>
              <w:bottom w:val="single" w:sz="4" w:space="0" w:color="auto"/>
            </w:tcBorders>
            <w:vAlign w:val="center"/>
            <w:hideMark/>
          </w:tcPr>
          <w:p w14:paraId="60405B3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502" w:type="dxa"/>
            <w:tcBorders>
              <w:top w:val="single" w:sz="4" w:space="0" w:color="auto"/>
              <w:bottom w:val="single" w:sz="4" w:space="0" w:color="auto"/>
            </w:tcBorders>
            <w:vAlign w:val="center"/>
            <w:hideMark/>
          </w:tcPr>
          <w:p w14:paraId="1FF84924"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2001" w:type="dxa"/>
            <w:tcBorders>
              <w:top w:val="single" w:sz="4" w:space="0" w:color="auto"/>
              <w:bottom w:val="single" w:sz="4" w:space="0" w:color="auto"/>
            </w:tcBorders>
            <w:vAlign w:val="center"/>
            <w:hideMark/>
          </w:tcPr>
          <w:p w14:paraId="131A9CB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2200" w:type="dxa"/>
            <w:tcBorders>
              <w:top w:val="single" w:sz="4" w:space="0" w:color="auto"/>
              <w:bottom w:val="single" w:sz="4" w:space="0" w:color="auto"/>
            </w:tcBorders>
            <w:vAlign w:val="center"/>
            <w:hideMark/>
          </w:tcPr>
          <w:p w14:paraId="7EFB83AD"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7A560C95" w14:textId="77777777" w:rsidTr="006A6F7E">
        <w:trPr>
          <w:trHeight w:val="180"/>
        </w:trPr>
        <w:tc>
          <w:tcPr>
            <w:tcW w:w="2302" w:type="dxa"/>
            <w:tcBorders>
              <w:top w:val="single" w:sz="4" w:space="0" w:color="auto"/>
              <w:bottom w:val="single" w:sz="4" w:space="0" w:color="auto"/>
            </w:tcBorders>
            <w:vAlign w:val="center"/>
            <w:hideMark/>
          </w:tcPr>
          <w:p w14:paraId="608BCD4B"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Sex</w:t>
            </w:r>
          </w:p>
        </w:tc>
        <w:tc>
          <w:tcPr>
            <w:tcW w:w="2502" w:type="dxa"/>
            <w:tcBorders>
              <w:top w:val="single" w:sz="4" w:space="0" w:color="auto"/>
              <w:bottom w:val="single" w:sz="4" w:space="0" w:color="auto"/>
            </w:tcBorders>
            <w:noWrap/>
            <w:vAlign w:val="center"/>
            <w:hideMark/>
          </w:tcPr>
          <w:p w14:paraId="6E4F904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D600D4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bottom"/>
            <w:hideMark/>
          </w:tcPr>
          <w:p w14:paraId="68EA29E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3DDEA6CA" w14:textId="77777777" w:rsidTr="006A6F7E">
        <w:trPr>
          <w:trHeight w:val="180"/>
        </w:trPr>
        <w:tc>
          <w:tcPr>
            <w:tcW w:w="2302" w:type="dxa"/>
            <w:tcBorders>
              <w:top w:val="single" w:sz="4" w:space="0" w:color="auto"/>
            </w:tcBorders>
            <w:vAlign w:val="center"/>
            <w:hideMark/>
          </w:tcPr>
          <w:p w14:paraId="522D9A8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Male</w:t>
            </w:r>
          </w:p>
        </w:tc>
        <w:tc>
          <w:tcPr>
            <w:tcW w:w="2502" w:type="dxa"/>
            <w:tcBorders>
              <w:top w:val="single" w:sz="4" w:space="0" w:color="auto"/>
            </w:tcBorders>
            <w:vAlign w:val="center"/>
            <w:hideMark/>
          </w:tcPr>
          <w:p w14:paraId="3A8E042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 (94.17%)</w:t>
            </w:r>
          </w:p>
        </w:tc>
        <w:tc>
          <w:tcPr>
            <w:tcW w:w="2001" w:type="dxa"/>
            <w:tcBorders>
              <w:top w:val="single" w:sz="4" w:space="0" w:color="auto"/>
            </w:tcBorders>
            <w:vAlign w:val="center"/>
            <w:hideMark/>
          </w:tcPr>
          <w:p w14:paraId="754362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(97.37%)</w:t>
            </w:r>
          </w:p>
        </w:tc>
        <w:tc>
          <w:tcPr>
            <w:tcW w:w="2200" w:type="dxa"/>
            <w:tcBorders>
              <w:top w:val="single" w:sz="4" w:space="0" w:color="auto"/>
            </w:tcBorders>
            <w:noWrap/>
            <w:vAlign w:val="center"/>
            <w:hideMark/>
          </w:tcPr>
          <w:p w14:paraId="3523EA4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187 (95.41%)</w:t>
            </w:r>
          </w:p>
        </w:tc>
      </w:tr>
      <w:tr w:rsidR="00246AD2" w:rsidRPr="00246AD2" w14:paraId="3513BABE" w14:textId="77777777" w:rsidTr="009D5F75">
        <w:trPr>
          <w:trHeight w:val="180"/>
        </w:trPr>
        <w:tc>
          <w:tcPr>
            <w:tcW w:w="2302" w:type="dxa"/>
            <w:tcBorders>
              <w:bottom w:val="single" w:sz="4" w:space="0" w:color="auto"/>
            </w:tcBorders>
            <w:vAlign w:val="center"/>
            <w:hideMark/>
          </w:tcPr>
          <w:p w14:paraId="21B171C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Female</w:t>
            </w:r>
          </w:p>
        </w:tc>
        <w:tc>
          <w:tcPr>
            <w:tcW w:w="2502" w:type="dxa"/>
            <w:tcBorders>
              <w:bottom w:val="single" w:sz="4" w:space="0" w:color="auto"/>
            </w:tcBorders>
            <w:vAlign w:val="center"/>
            <w:hideMark/>
          </w:tcPr>
          <w:p w14:paraId="2F674D7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(5.83%)</w:t>
            </w:r>
          </w:p>
        </w:tc>
        <w:tc>
          <w:tcPr>
            <w:tcW w:w="2001" w:type="dxa"/>
            <w:tcBorders>
              <w:bottom w:val="single" w:sz="4" w:space="0" w:color="auto"/>
            </w:tcBorders>
            <w:vAlign w:val="center"/>
            <w:hideMark/>
          </w:tcPr>
          <w:p w14:paraId="29149EF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 (2.63%)</w:t>
            </w:r>
          </w:p>
        </w:tc>
        <w:tc>
          <w:tcPr>
            <w:tcW w:w="2200" w:type="dxa"/>
            <w:tcBorders>
              <w:bottom w:val="single" w:sz="4" w:space="0" w:color="auto"/>
            </w:tcBorders>
            <w:noWrap/>
            <w:vAlign w:val="center"/>
            <w:hideMark/>
          </w:tcPr>
          <w:p w14:paraId="172302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(4.59%)</w:t>
            </w:r>
          </w:p>
        </w:tc>
      </w:tr>
      <w:tr w:rsidR="00B21D21" w:rsidRPr="00246AD2" w14:paraId="532D3A82" w14:textId="77777777" w:rsidTr="009D5F75">
        <w:trPr>
          <w:trHeight w:val="180"/>
        </w:trPr>
        <w:tc>
          <w:tcPr>
            <w:tcW w:w="2302" w:type="dxa"/>
            <w:tcBorders>
              <w:top w:val="single" w:sz="4" w:space="0" w:color="auto"/>
              <w:bottom w:val="single" w:sz="4" w:space="0" w:color="auto"/>
            </w:tcBorders>
            <w:vAlign w:val="center"/>
            <w:hideMark/>
          </w:tcPr>
          <w:p w14:paraId="50EFE011"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Religion</w:t>
            </w:r>
          </w:p>
        </w:tc>
        <w:tc>
          <w:tcPr>
            <w:tcW w:w="2502" w:type="dxa"/>
            <w:tcBorders>
              <w:top w:val="single" w:sz="4" w:space="0" w:color="auto"/>
              <w:bottom w:val="single" w:sz="4" w:space="0" w:color="auto"/>
            </w:tcBorders>
            <w:noWrap/>
            <w:vAlign w:val="center"/>
            <w:hideMark/>
          </w:tcPr>
          <w:p w14:paraId="1D73CC3C"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E6EEE6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0BC4EF2"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550C1D2F" w14:textId="77777777" w:rsidTr="006A6F7E">
        <w:trPr>
          <w:trHeight w:val="180"/>
        </w:trPr>
        <w:tc>
          <w:tcPr>
            <w:tcW w:w="2302" w:type="dxa"/>
            <w:tcBorders>
              <w:top w:val="single" w:sz="4" w:space="0" w:color="auto"/>
            </w:tcBorders>
            <w:vAlign w:val="center"/>
            <w:hideMark/>
          </w:tcPr>
          <w:p w14:paraId="092A679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Islam</w:t>
            </w:r>
          </w:p>
        </w:tc>
        <w:tc>
          <w:tcPr>
            <w:tcW w:w="2502" w:type="dxa"/>
            <w:tcBorders>
              <w:top w:val="single" w:sz="4" w:space="0" w:color="auto"/>
            </w:tcBorders>
            <w:vAlign w:val="center"/>
            <w:hideMark/>
          </w:tcPr>
          <w:p w14:paraId="3AD4F36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108 (90.00%)</w:t>
            </w:r>
          </w:p>
        </w:tc>
        <w:tc>
          <w:tcPr>
            <w:tcW w:w="2001" w:type="dxa"/>
            <w:tcBorders>
              <w:top w:val="single" w:sz="4" w:space="0" w:color="auto"/>
            </w:tcBorders>
            <w:vAlign w:val="center"/>
            <w:hideMark/>
          </w:tcPr>
          <w:p w14:paraId="168AB7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2200" w:type="dxa"/>
            <w:tcBorders>
              <w:top w:val="single" w:sz="4" w:space="0" w:color="auto"/>
            </w:tcBorders>
            <w:noWrap/>
            <w:vAlign w:val="center"/>
            <w:hideMark/>
          </w:tcPr>
          <w:p w14:paraId="62B501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173 (88.27%)</w:t>
            </w:r>
          </w:p>
        </w:tc>
      </w:tr>
      <w:tr w:rsidR="00246AD2" w:rsidRPr="00246AD2" w14:paraId="6307AE5F" w14:textId="77777777" w:rsidTr="009D5F75">
        <w:trPr>
          <w:trHeight w:val="180"/>
        </w:trPr>
        <w:tc>
          <w:tcPr>
            <w:tcW w:w="2302" w:type="dxa"/>
            <w:tcBorders>
              <w:bottom w:val="single" w:sz="4" w:space="0" w:color="auto"/>
            </w:tcBorders>
            <w:vAlign w:val="center"/>
            <w:hideMark/>
          </w:tcPr>
          <w:p w14:paraId="4CC8678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Hindu</w:t>
            </w:r>
          </w:p>
        </w:tc>
        <w:tc>
          <w:tcPr>
            <w:tcW w:w="2502" w:type="dxa"/>
            <w:tcBorders>
              <w:bottom w:val="single" w:sz="4" w:space="0" w:color="auto"/>
            </w:tcBorders>
            <w:vAlign w:val="center"/>
            <w:hideMark/>
          </w:tcPr>
          <w:p w14:paraId="3F3926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(10.00%)</w:t>
            </w:r>
          </w:p>
        </w:tc>
        <w:tc>
          <w:tcPr>
            <w:tcW w:w="2001" w:type="dxa"/>
            <w:tcBorders>
              <w:bottom w:val="single" w:sz="4" w:space="0" w:color="auto"/>
            </w:tcBorders>
            <w:vAlign w:val="center"/>
            <w:hideMark/>
          </w:tcPr>
          <w:p w14:paraId="0E8D72E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2200" w:type="dxa"/>
            <w:tcBorders>
              <w:bottom w:val="single" w:sz="4" w:space="0" w:color="auto"/>
            </w:tcBorders>
            <w:noWrap/>
            <w:vAlign w:val="center"/>
            <w:hideMark/>
          </w:tcPr>
          <w:p w14:paraId="637D8FE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(11.73%)</w:t>
            </w:r>
          </w:p>
        </w:tc>
      </w:tr>
      <w:tr w:rsidR="00B21D21" w:rsidRPr="00246AD2" w14:paraId="07D20B88" w14:textId="77777777" w:rsidTr="009D5F75">
        <w:trPr>
          <w:trHeight w:val="180"/>
        </w:trPr>
        <w:tc>
          <w:tcPr>
            <w:tcW w:w="2302" w:type="dxa"/>
            <w:tcBorders>
              <w:top w:val="single" w:sz="4" w:space="0" w:color="auto"/>
              <w:bottom w:val="single" w:sz="4" w:space="0" w:color="auto"/>
            </w:tcBorders>
            <w:vAlign w:val="center"/>
            <w:hideMark/>
          </w:tcPr>
          <w:p w14:paraId="38B9579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Age groups</w:t>
            </w:r>
          </w:p>
        </w:tc>
        <w:tc>
          <w:tcPr>
            <w:tcW w:w="2502" w:type="dxa"/>
            <w:tcBorders>
              <w:top w:val="single" w:sz="4" w:space="0" w:color="auto"/>
              <w:bottom w:val="single" w:sz="4" w:space="0" w:color="auto"/>
            </w:tcBorders>
            <w:noWrap/>
            <w:vAlign w:val="center"/>
            <w:hideMark/>
          </w:tcPr>
          <w:p w14:paraId="396216F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0317FD2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A5707C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70F82237" w14:textId="77777777" w:rsidTr="006A6F7E">
        <w:trPr>
          <w:trHeight w:val="180"/>
        </w:trPr>
        <w:tc>
          <w:tcPr>
            <w:tcW w:w="2302" w:type="dxa"/>
            <w:tcBorders>
              <w:top w:val="single" w:sz="4" w:space="0" w:color="auto"/>
            </w:tcBorders>
            <w:vAlign w:val="center"/>
            <w:hideMark/>
          </w:tcPr>
          <w:p w14:paraId="2011074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18-35 years</w:t>
            </w:r>
          </w:p>
        </w:tc>
        <w:tc>
          <w:tcPr>
            <w:tcW w:w="2502" w:type="dxa"/>
            <w:tcBorders>
              <w:top w:val="single" w:sz="4" w:space="0" w:color="auto"/>
            </w:tcBorders>
            <w:vAlign w:val="center"/>
            <w:hideMark/>
          </w:tcPr>
          <w:p w14:paraId="4851AC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(48.33%)</w:t>
            </w:r>
          </w:p>
        </w:tc>
        <w:tc>
          <w:tcPr>
            <w:tcW w:w="2001" w:type="dxa"/>
            <w:tcBorders>
              <w:top w:val="single" w:sz="4" w:space="0" w:color="auto"/>
            </w:tcBorders>
            <w:vAlign w:val="center"/>
            <w:hideMark/>
          </w:tcPr>
          <w:p w14:paraId="005385B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33 (43.42%)</w:t>
            </w:r>
          </w:p>
        </w:tc>
        <w:tc>
          <w:tcPr>
            <w:tcW w:w="2200" w:type="dxa"/>
            <w:tcBorders>
              <w:top w:val="single" w:sz="4" w:space="0" w:color="auto"/>
            </w:tcBorders>
            <w:noWrap/>
            <w:vAlign w:val="center"/>
            <w:hideMark/>
          </w:tcPr>
          <w:p w14:paraId="1F3C8CF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 (46.43%)</w:t>
            </w:r>
          </w:p>
        </w:tc>
      </w:tr>
      <w:tr w:rsidR="00246AD2" w:rsidRPr="00246AD2" w14:paraId="75BB9B4C" w14:textId="77777777" w:rsidTr="006A6F7E">
        <w:trPr>
          <w:trHeight w:val="180"/>
        </w:trPr>
        <w:tc>
          <w:tcPr>
            <w:tcW w:w="2302" w:type="dxa"/>
            <w:vAlign w:val="center"/>
            <w:hideMark/>
          </w:tcPr>
          <w:p w14:paraId="7A457B5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36-45 years</w:t>
            </w:r>
          </w:p>
        </w:tc>
        <w:tc>
          <w:tcPr>
            <w:tcW w:w="2502" w:type="dxa"/>
            <w:vAlign w:val="center"/>
            <w:hideMark/>
          </w:tcPr>
          <w:p w14:paraId="569966A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2001" w:type="dxa"/>
            <w:vAlign w:val="center"/>
            <w:hideMark/>
          </w:tcPr>
          <w:p w14:paraId="56053CB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(30.26%)</w:t>
            </w:r>
          </w:p>
        </w:tc>
        <w:tc>
          <w:tcPr>
            <w:tcW w:w="2200" w:type="dxa"/>
            <w:noWrap/>
            <w:vAlign w:val="center"/>
            <w:hideMark/>
          </w:tcPr>
          <w:p w14:paraId="21F6021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(30.61%)</w:t>
            </w:r>
          </w:p>
        </w:tc>
      </w:tr>
      <w:tr w:rsidR="00246AD2" w:rsidRPr="00246AD2" w14:paraId="66F5811C" w14:textId="77777777" w:rsidTr="006A6F7E">
        <w:trPr>
          <w:trHeight w:val="180"/>
        </w:trPr>
        <w:tc>
          <w:tcPr>
            <w:tcW w:w="2302" w:type="dxa"/>
            <w:vAlign w:val="center"/>
            <w:hideMark/>
          </w:tcPr>
          <w:p w14:paraId="3941B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46-59 years</w:t>
            </w:r>
          </w:p>
        </w:tc>
        <w:tc>
          <w:tcPr>
            <w:tcW w:w="2502" w:type="dxa"/>
            <w:vAlign w:val="center"/>
            <w:hideMark/>
          </w:tcPr>
          <w:p w14:paraId="29E876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(13.33%)</w:t>
            </w:r>
          </w:p>
        </w:tc>
        <w:tc>
          <w:tcPr>
            <w:tcW w:w="2001" w:type="dxa"/>
            <w:vAlign w:val="center"/>
            <w:hideMark/>
          </w:tcPr>
          <w:p w14:paraId="5618DE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c>
          <w:tcPr>
            <w:tcW w:w="2200" w:type="dxa"/>
            <w:noWrap/>
            <w:vAlign w:val="center"/>
            <w:hideMark/>
          </w:tcPr>
          <w:p w14:paraId="130CA3D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 (15.31%)</w:t>
            </w:r>
          </w:p>
        </w:tc>
      </w:tr>
      <w:tr w:rsidR="00246AD2" w:rsidRPr="00246AD2" w14:paraId="2E9D0159" w14:textId="77777777" w:rsidTr="009D5F75">
        <w:trPr>
          <w:trHeight w:val="180"/>
        </w:trPr>
        <w:tc>
          <w:tcPr>
            <w:tcW w:w="2302" w:type="dxa"/>
            <w:tcBorders>
              <w:bottom w:val="single" w:sz="4" w:space="0" w:color="auto"/>
            </w:tcBorders>
            <w:vAlign w:val="center"/>
            <w:hideMark/>
          </w:tcPr>
          <w:p w14:paraId="7366F6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years and above</w:t>
            </w:r>
          </w:p>
        </w:tc>
        <w:tc>
          <w:tcPr>
            <w:tcW w:w="2502" w:type="dxa"/>
            <w:tcBorders>
              <w:bottom w:val="single" w:sz="4" w:space="0" w:color="auto"/>
            </w:tcBorders>
            <w:vAlign w:val="center"/>
            <w:hideMark/>
          </w:tcPr>
          <w:p w14:paraId="500B527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2001" w:type="dxa"/>
            <w:tcBorders>
              <w:bottom w:val="single" w:sz="4" w:space="0" w:color="auto"/>
            </w:tcBorders>
            <w:vAlign w:val="center"/>
            <w:hideMark/>
          </w:tcPr>
          <w:p w14:paraId="5D682BB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(7.89%)</w:t>
            </w:r>
          </w:p>
        </w:tc>
        <w:tc>
          <w:tcPr>
            <w:tcW w:w="2200" w:type="dxa"/>
            <w:tcBorders>
              <w:bottom w:val="single" w:sz="4" w:space="0" w:color="auto"/>
            </w:tcBorders>
            <w:noWrap/>
            <w:vAlign w:val="center"/>
            <w:hideMark/>
          </w:tcPr>
          <w:p w14:paraId="006144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(7.65%)</w:t>
            </w:r>
          </w:p>
        </w:tc>
      </w:tr>
      <w:tr w:rsidR="00B21D21" w:rsidRPr="00246AD2" w14:paraId="5800297E" w14:textId="77777777" w:rsidTr="009D5F75">
        <w:trPr>
          <w:trHeight w:val="180"/>
        </w:trPr>
        <w:tc>
          <w:tcPr>
            <w:tcW w:w="2302" w:type="dxa"/>
            <w:tcBorders>
              <w:top w:val="single" w:sz="4" w:space="0" w:color="auto"/>
              <w:bottom w:val="single" w:sz="4" w:space="0" w:color="auto"/>
            </w:tcBorders>
            <w:vAlign w:val="center"/>
            <w:hideMark/>
          </w:tcPr>
          <w:p w14:paraId="58498C59"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Marital status</w:t>
            </w:r>
          </w:p>
        </w:tc>
        <w:tc>
          <w:tcPr>
            <w:tcW w:w="2502" w:type="dxa"/>
            <w:tcBorders>
              <w:top w:val="single" w:sz="4" w:space="0" w:color="auto"/>
              <w:bottom w:val="single" w:sz="4" w:space="0" w:color="auto"/>
            </w:tcBorders>
            <w:noWrap/>
            <w:vAlign w:val="center"/>
            <w:hideMark/>
          </w:tcPr>
          <w:p w14:paraId="189A127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69C33AC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1B3563E"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7D215C" w14:textId="77777777" w:rsidTr="006A6F7E">
        <w:trPr>
          <w:trHeight w:val="180"/>
        </w:trPr>
        <w:tc>
          <w:tcPr>
            <w:tcW w:w="2302" w:type="dxa"/>
            <w:tcBorders>
              <w:top w:val="single" w:sz="4" w:space="0" w:color="auto"/>
            </w:tcBorders>
            <w:vAlign w:val="center"/>
            <w:hideMark/>
          </w:tcPr>
          <w:p w14:paraId="19449D9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Un-married</w:t>
            </w:r>
          </w:p>
        </w:tc>
        <w:tc>
          <w:tcPr>
            <w:tcW w:w="2502" w:type="dxa"/>
            <w:tcBorders>
              <w:top w:val="single" w:sz="4" w:space="0" w:color="auto"/>
            </w:tcBorders>
            <w:vAlign w:val="center"/>
            <w:hideMark/>
          </w:tcPr>
          <w:p w14:paraId="785F94E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97 (80.83%)</w:t>
            </w:r>
          </w:p>
        </w:tc>
        <w:tc>
          <w:tcPr>
            <w:tcW w:w="2001" w:type="dxa"/>
            <w:tcBorders>
              <w:top w:val="single" w:sz="4" w:space="0" w:color="auto"/>
            </w:tcBorders>
            <w:vAlign w:val="center"/>
            <w:hideMark/>
          </w:tcPr>
          <w:p w14:paraId="05DF7DD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57 (75.00%)</w:t>
            </w:r>
          </w:p>
        </w:tc>
        <w:tc>
          <w:tcPr>
            <w:tcW w:w="2200" w:type="dxa"/>
            <w:tcBorders>
              <w:top w:val="single" w:sz="4" w:space="0" w:color="auto"/>
            </w:tcBorders>
            <w:noWrap/>
            <w:vAlign w:val="center"/>
            <w:hideMark/>
          </w:tcPr>
          <w:p w14:paraId="69EA7AF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41 (20.92%)</w:t>
            </w:r>
          </w:p>
        </w:tc>
      </w:tr>
      <w:tr w:rsidR="00246AD2" w:rsidRPr="00246AD2" w14:paraId="328C9A67" w14:textId="77777777" w:rsidTr="009D5F75">
        <w:trPr>
          <w:trHeight w:val="180"/>
        </w:trPr>
        <w:tc>
          <w:tcPr>
            <w:tcW w:w="2302" w:type="dxa"/>
            <w:tcBorders>
              <w:bottom w:val="single" w:sz="4" w:space="0" w:color="auto"/>
            </w:tcBorders>
            <w:vAlign w:val="center"/>
            <w:hideMark/>
          </w:tcPr>
          <w:p w14:paraId="5275C46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Married</w:t>
            </w:r>
          </w:p>
        </w:tc>
        <w:tc>
          <w:tcPr>
            <w:tcW w:w="2502" w:type="dxa"/>
            <w:tcBorders>
              <w:bottom w:val="single" w:sz="4" w:space="0" w:color="auto"/>
            </w:tcBorders>
            <w:vAlign w:val="center"/>
            <w:hideMark/>
          </w:tcPr>
          <w:p w14:paraId="0AFB7D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2001" w:type="dxa"/>
            <w:tcBorders>
              <w:bottom w:val="single" w:sz="4" w:space="0" w:color="auto"/>
            </w:tcBorders>
            <w:vAlign w:val="center"/>
            <w:hideMark/>
          </w:tcPr>
          <w:p w14:paraId="6D1137C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2200" w:type="dxa"/>
            <w:tcBorders>
              <w:bottom w:val="single" w:sz="4" w:space="0" w:color="auto"/>
            </w:tcBorders>
            <w:noWrap/>
            <w:vAlign w:val="center"/>
            <w:hideMark/>
          </w:tcPr>
          <w:p w14:paraId="4895B6A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155 (79.08%)</w:t>
            </w:r>
          </w:p>
        </w:tc>
      </w:tr>
      <w:tr w:rsidR="00B21D21" w:rsidRPr="00246AD2" w14:paraId="5D79E05A" w14:textId="77777777" w:rsidTr="009D5F75">
        <w:trPr>
          <w:trHeight w:val="180"/>
        </w:trPr>
        <w:tc>
          <w:tcPr>
            <w:tcW w:w="2302" w:type="dxa"/>
            <w:tcBorders>
              <w:top w:val="single" w:sz="4" w:space="0" w:color="auto"/>
              <w:bottom w:val="single" w:sz="4" w:space="0" w:color="auto"/>
            </w:tcBorders>
            <w:noWrap/>
            <w:vAlign w:val="center"/>
            <w:hideMark/>
          </w:tcPr>
          <w:p w14:paraId="570C3FA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Education levels</w:t>
            </w:r>
          </w:p>
        </w:tc>
        <w:tc>
          <w:tcPr>
            <w:tcW w:w="2502" w:type="dxa"/>
            <w:tcBorders>
              <w:top w:val="single" w:sz="4" w:space="0" w:color="auto"/>
              <w:bottom w:val="single" w:sz="4" w:space="0" w:color="auto"/>
            </w:tcBorders>
            <w:noWrap/>
            <w:vAlign w:val="center"/>
            <w:hideMark/>
          </w:tcPr>
          <w:p w14:paraId="0BF3BD0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20A7353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9B26FD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54493F3" w14:textId="77777777" w:rsidTr="006A6F7E">
        <w:trPr>
          <w:trHeight w:val="180"/>
        </w:trPr>
        <w:tc>
          <w:tcPr>
            <w:tcW w:w="2302" w:type="dxa"/>
            <w:tcBorders>
              <w:top w:val="single" w:sz="4" w:space="0" w:color="auto"/>
            </w:tcBorders>
            <w:vAlign w:val="center"/>
            <w:hideMark/>
          </w:tcPr>
          <w:p w14:paraId="27A0B49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lastRenderedPageBreak/>
              <w:t>No Education</w:t>
            </w:r>
          </w:p>
        </w:tc>
        <w:tc>
          <w:tcPr>
            <w:tcW w:w="2502" w:type="dxa"/>
            <w:tcBorders>
              <w:top w:val="single" w:sz="4" w:space="0" w:color="auto"/>
            </w:tcBorders>
            <w:vAlign w:val="center"/>
            <w:hideMark/>
          </w:tcPr>
          <w:p w14:paraId="5B3CBAC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2001" w:type="dxa"/>
            <w:tcBorders>
              <w:top w:val="single" w:sz="4" w:space="0" w:color="auto"/>
            </w:tcBorders>
            <w:vAlign w:val="center"/>
            <w:hideMark/>
          </w:tcPr>
          <w:p w14:paraId="43D742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2200" w:type="dxa"/>
            <w:tcBorders>
              <w:top w:val="single" w:sz="4" w:space="0" w:color="auto"/>
            </w:tcBorders>
            <w:noWrap/>
            <w:vAlign w:val="center"/>
            <w:hideMark/>
          </w:tcPr>
          <w:p w14:paraId="3416AF0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50 (25.51%)</w:t>
            </w:r>
          </w:p>
        </w:tc>
      </w:tr>
      <w:tr w:rsidR="00246AD2" w:rsidRPr="00246AD2" w14:paraId="0F490937" w14:textId="77777777" w:rsidTr="006A6F7E">
        <w:trPr>
          <w:trHeight w:val="180"/>
        </w:trPr>
        <w:tc>
          <w:tcPr>
            <w:tcW w:w="2302" w:type="dxa"/>
            <w:vAlign w:val="center"/>
            <w:hideMark/>
          </w:tcPr>
          <w:p w14:paraId="12ECC246"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Primary</w:t>
            </w:r>
          </w:p>
        </w:tc>
        <w:tc>
          <w:tcPr>
            <w:tcW w:w="2502" w:type="dxa"/>
            <w:vAlign w:val="center"/>
            <w:hideMark/>
          </w:tcPr>
          <w:p w14:paraId="1FE5A79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48 (40.00%)</w:t>
            </w:r>
          </w:p>
        </w:tc>
        <w:tc>
          <w:tcPr>
            <w:tcW w:w="2001" w:type="dxa"/>
            <w:vAlign w:val="center"/>
            <w:hideMark/>
          </w:tcPr>
          <w:p w14:paraId="485BDD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(48.68%)</w:t>
            </w:r>
          </w:p>
        </w:tc>
        <w:tc>
          <w:tcPr>
            <w:tcW w:w="2200" w:type="dxa"/>
            <w:noWrap/>
            <w:vAlign w:val="center"/>
            <w:hideMark/>
          </w:tcPr>
          <w:p w14:paraId="0752D1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84 (42.86%)</w:t>
            </w:r>
          </w:p>
        </w:tc>
      </w:tr>
      <w:tr w:rsidR="00246AD2" w:rsidRPr="00246AD2" w14:paraId="74EC5501" w14:textId="77777777" w:rsidTr="006A6F7E">
        <w:trPr>
          <w:trHeight w:val="180"/>
        </w:trPr>
        <w:tc>
          <w:tcPr>
            <w:tcW w:w="2302" w:type="dxa"/>
            <w:vAlign w:val="center"/>
            <w:hideMark/>
          </w:tcPr>
          <w:p w14:paraId="7FF329D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SSC</w:t>
            </w:r>
          </w:p>
        </w:tc>
        <w:tc>
          <w:tcPr>
            <w:tcW w:w="2502" w:type="dxa"/>
            <w:vAlign w:val="center"/>
            <w:hideMark/>
          </w:tcPr>
          <w:p w14:paraId="2E9A0D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(18.33%)</w:t>
            </w:r>
          </w:p>
        </w:tc>
        <w:tc>
          <w:tcPr>
            <w:tcW w:w="2001" w:type="dxa"/>
            <w:vAlign w:val="center"/>
            <w:hideMark/>
          </w:tcPr>
          <w:p w14:paraId="6714324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c>
          <w:tcPr>
            <w:tcW w:w="2200" w:type="dxa"/>
            <w:noWrap/>
            <w:vAlign w:val="center"/>
            <w:hideMark/>
          </w:tcPr>
          <w:p w14:paraId="0CD8D19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(19.90%)</w:t>
            </w:r>
          </w:p>
        </w:tc>
      </w:tr>
      <w:tr w:rsidR="00246AD2" w:rsidRPr="00246AD2" w14:paraId="59DD8DC8" w14:textId="77777777" w:rsidTr="006A6F7E">
        <w:trPr>
          <w:trHeight w:val="180"/>
        </w:trPr>
        <w:tc>
          <w:tcPr>
            <w:tcW w:w="2302" w:type="dxa"/>
            <w:vAlign w:val="center"/>
            <w:hideMark/>
          </w:tcPr>
          <w:p w14:paraId="2986037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HSC</w:t>
            </w:r>
          </w:p>
        </w:tc>
        <w:tc>
          <w:tcPr>
            <w:tcW w:w="2502" w:type="dxa"/>
            <w:vAlign w:val="center"/>
            <w:hideMark/>
          </w:tcPr>
          <w:p w14:paraId="153EFE7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(9.17%)</w:t>
            </w:r>
          </w:p>
        </w:tc>
        <w:tc>
          <w:tcPr>
            <w:tcW w:w="2001" w:type="dxa"/>
            <w:vAlign w:val="center"/>
            <w:hideMark/>
          </w:tcPr>
          <w:p w14:paraId="2CB4CA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 (9.21%)</w:t>
            </w:r>
          </w:p>
        </w:tc>
        <w:tc>
          <w:tcPr>
            <w:tcW w:w="2200" w:type="dxa"/>
            <w:noWrap/>
            <w:vAlign w:val="center"/>
            <w:hideMark/>
          </w:tcPr>
          <w:p w14:paraId="2ED26E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r w:rsidR="00246AD2" w:rsidRPr="00246AD2" w14:paraId="1DD03055" w14:textId="77777777" w:rsidTr="006A6F7E">
        <w:trPr>
          <w:trHeight w:val="180"/>
        </w:trPr>
        <w:tc>
          <w:tcPr>
            <w:tcW w:w="2302" w:type="dxa"/>
            <w:tcBorders>
              <w:bottom w:val="single" w:sz="4" w:space="0" w:color="auto"/>
            </w:tcBorders>
            <w:vAlign w:val="center"/>
            <w:hideMark/>
          </w:tcPr>
          <w:p w14:paraId="2395126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BA/BSc</w:t>
            </w:r>
          </w:p>
        </w:tc>
        <w:tc>
          <w:tcPr>
            <w:tcW w:w="2502" w:type="dxa"/>
            <w:tcBorders>
              <w:bottom w:val="single" w:sz="4" w:space="0" w:color="auto"/>
            </w:tcBorders>
            <w:vAlign w:val="center"/>
            <w:hideMark/>
          </w:tcPr>
          <w:p w14:paraId="28EF4C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(2.50%)</w:t>
            </w:r>
          </w:p>
        </w:tc>
        <w:tc>
          <w:tcPr>
            <w:tcW w:w="2001" w:type="dxa"/>
            <w:tcBorders>
              <w:bottom w:val="single" w:sz="4" w:space="0" w:color="auto"/>
            </w:tcBorders>
            <w:vAlign w:val="center"/>
            <w:hideMark/>
          </w:tcPr>
          <w:p w14:paraId="7F66648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(3.95%)</w:t>
            </w:r>
          </w:p>
        </w:tc>
        <w:tc>
          <w:tcPr>
            <w:tcW w:w="2200" w:type="dxa"/>
            <w:tcBorders>
              <w:bottom w:val="single" w:sz="4" w:space="0" w:color="auto"/>
            </w:tcBorders>
            <w:noWrap/>
            <w:vAlign w:val="center"/>
            <w:hideMark/>
          </w:tcPr>
          <w:p w14:paraId="162B7F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(3.06%)</w:t>
            </w:r>
          </w:p>
        </w:tc>
      </w:tr>
    </w:tbl>
    <w:p w14:paraId="56DAE8F8" w14:textId="77777777" w:rsidR="00B21D21" w:rsidRPr="00246AD2" w:rsidRDefault="00B21D21" w:rsidP="00066F93">
      <w:pPr>
        <w:spacing w:after="0" w:line="240" w:lineRule="auto"/>
        <w:jc w:val="both"/>
        <w:rPr>
          <w:rFonts w:ascii="Calibri" w:hAnsi="Calibri" w:cs="Calibri"/>
          <w:b/>
        </w:rPr>
      </w:pPr>
    </w:p>
    <w:p w14:paraId="272865DC"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These demographic insights indicate a predominantly young, male workforce with basic education levels, suggesting that targeted training and capacity-building initiatives in food loss and waste management could be highly effective in reducing food loss and improving retail practices.</w:t>
      </w:r>
    </w:p>
    <w:p w14:paraId="53D874C0"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203BCB2"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3.2 </w:t>
      </w:r>
      <w:r w:rsidR="00B21D21" w:rsidRPr="00246AD2">
        <w:rPr>
          <w:rFonts w:ascii="Calibri" w:hAnsi="Calibri" w:cs="Calibri"/>
          <w:b/>
          <w:sz w:val="22"/>
          <w:szCs w:val="22"/>
        </w:rPr>
        <w:t>Business Characteristics of Retail Owners</w:t>
      </w:r>
    </w:p>
    <w:p w14:paraId="546AD56D"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business characteristics of vegetable and fruit retailers provide important insights into their experience, sales performance, and food management practices in rural markets. Among vegetable retailers</w:t>
      </w:r>
      <w:r w:rsidR="006202EA" w:rsidRPr="00246AD2">
        <w:rPr>
          <w:rFonts w:ascii="Calibri" w:hAnsi="Calibri" w:cs="Calibri"/>
          <w:sz w:val="22"/>
          <w:szCs w:val="22"/>
        </w:rPr>
        <w:t>,</w:t>
      </w:r>
      <w:r w:rsidRPr="00246AD2">
        <w:rPr>
          <w:rFonts w:ascii="Calibri" w:hAnsi="Calibri" w:cs="Calibri"/>
          <w:sz w:val="22"/>
          <w:szCs w:val="22"/>
        </w:rPr>
        <w:t xml:space="preserve"> 30% had 6–8 years of experience, followed by 29.17% having 9–10 years, 19.17% 2–5 years, 14.17% of over 10 years, and 7.5% less than one year. In the fruit retail, 42.11% had 6–8 years of experience, 25% had 9–10 years, 17.11% had 2–5 years, 10.53% had over 10 years, and 5.26% had less than one year. The combined result shows that most retailers have moderate experience, with 34.69% in the 6–8-year category and 27.55% in the 9–10-year category. Analysis of average daily sales indicated that 35.83% of vegetable retailers earned BDT 1,000–3,000, 30.83% earned BDT 3,001–5,000, and 14.17% exceeded BDT 5,000, while 19.17% earned less than BDT 1,000. Among fruit retailers, 40.79% earned BDT 1,000–3,000, 25% earned BDT 3,001–5,000, 19.74% exceeded BDT 5,000, and 14.47% earned less than BDT 1,000. Regarding unsold food, 44.90% of all retailers reported less than 5% daily wastage, 27.04% reported 5–10%, 19.39% reported 11–20%, and 8.67% experienced over 20% losses. </w:t>
      </w:r>
    </w:p>
    <w:p w14:paraId="218A8B7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5B1632E5"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2</w:t>
      </w:r>
      <w:r w:rsidRPr="0024502B">
        <w:rPr>
          <w:i w:val="0"/>
          <w:color w:val="auto"/>
          <w:sz w:val="22"/>
          <w:szCs w:val="22"/>
        </w:rPr>
        <w:fldChar w:fldCharType="end"/>
      </w:r>
      <w:r w:rsidRPr="0024502B">
        <w:rPr>
          <w:i w:val="0"/>
          <w:color w:val="auto"/>
          <w:sz w:val="22"/>
          <w:szCs w:val="22"/>
        </w:rPr>
        <w:t>: Business Characteristics of Retail Owners</w:t>
      </w:r>
    </w:p>
    <w:tbl>
      <w:tblPr>
        <w:tblW w:w="8843" w:type="dxa"/>
        <w:tblInd w:w="-5" w:type="dxa"/>
        <w:tblLook w:val="04A0" w:firstRow="1" w:lastRow="0" w:firstColumn="1" w:lastColumn="0" w:noHBand="0" w:noVBand="1"/>
      </w:tblPr>
      <w:tblGrid>
        <w:gridCol w:w="3060"/>
        <w:gridCol w:w="2018"/>
        <w:gridCol w:w="1847"/>
        <w:gridCol w:w="1918"/>
      </w:tblGrid>
      <w:tr w:rsidR="00B21D21" w:rsidRPr="00246AD2" w14:paraId="73196CC4" w14:textId="77777777" w:rsidTr="00066F93">
        <w:trPr>
          <w:trHeight w:val="349"/>
        </w:trPr>
        <w:tc>
          <w:tcPr>
            <w:tcW w:w="3060" w:type="dxa"/>
            <w:tcBorders>
              <w:top w:val="single" w:sz="4" w:space="0" w:color="auto"/>
              <w:bottom w:val="single" w:sz="4" w:space="0" w:color="auto"/>
            </w:tcBorders>
            <w:vAlign w:val="center"/>
            <w:hideMark/>
          </w:tcPr>
          <w:p w14:paraId="7DAB5806"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018" w:type="dxa"/>
            <w:tcBorders>
              <w:top w:val="single" w:sz="4" w:space="0" w:color="auto"/>
              <w:bottom w:val="single" w:sz="4" w:space="0" w:color="auto"/>
            </w:tcBorders>
            <w:vAlign w:val="center"/>
            <w:hideMark/>
          </w:tcPr>
          <w:p w14:paraId="315CE068"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1847" w:type="dxa"/>
            <w:tcBorders>
              <w:top w:val="single" w:sz="4" w:space="0" w:color="auto"/>
              <w:bottom w:val="single" w:sz="4" w:space="0" w:color="auto"/>
            </w:tcBorders>
            <w:vAlign w:val="center"/>
            <w:hideMark/>
          </w:tcPr>
          <w:p w14:paraId="5319C3EE"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1918" w:type="dxa"/>
            <w:tcBorders>
              <w:top w:val="single" w:sz="4" w:space="0" w:color="auto"/>
              <w:bottom w:val="single" w:sz="4" w:space="0" w:color="auto"/>
            </w:tcBorders>
            <w:vAlign w:val="center"/>
            <w:hideMark/>
          </w:tcPr>
          <w:p w14:paraId="1E7E6C9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2B18A630" w14:textId="77777777" w:rsidTr="00066F93">
        <w:trPr>
          <w:trHeight w:val="210"/>
        </w:trPr>
        <w:tc>
          <w:tcPr>
            <w:tcW w:w="3060" w:type="dxa"/>
            <w:tcBorders>
              <w:top w:val="single" w:sz="4" w:space="0" w:color="auto"/>
              <w:bottom w:val="single" w:sz="4" w:space="0" w:color="auto"/>
            </w:tcBorders>
            <w:vAlign w:val="center"/>
            <w:hideMark/>
          </w:tcPr>
          <w:p w14:paraId="316EA213"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Years of experience</w:t>
            </w:r>
          </w:p>
        </w:tc>
        <w:tc>
          <w:tcPr>
            <w:tcW w:w="2018" w:type="dxa"/>
            <w:tcBorders>
              <w:top w:val="single" w:sz="4" w:space="0" w:color="auto"/>
              <w:bottom w:val="single" w:sz="4" w:space="0" w:color="auto"/>
            </w:tcBorders>
            <w:vAlign w:val="center"/>
            <w:hideMark/>
          </w:tcPr>
          <w:p w14:paraId="7C4C8AF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1F7B29CD"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noWrap/>
            <w:vAlign w:val="bottom"/>
            <w:hideMark/>
          </w:tcPr>
          <w:p w14:paraId="52FF66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4E718D14" w14:textId="77777777" w:rsidTr="00066F93">
        <w:trPr>
          <w:trHeight w:val="225"/>
        </w:trPr>
        <w:tc>
          <w:tcPr>
            <w:tcW w:w="3060" w:type="dxa"/>
            <w:tcBorders>
              <w:top w:val="single" w:sz="4" w:space="0" w:color="auto"/>
            </w:tcBorders>
            <w:vAlign w:val="center"/>
            <w:hideMark/>
          </w:tcPr>
          <w:p w14:paraId="6BAC4AB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 year</w:t>
            </w:r>
          </w:p>
        </w:tc>
        <w:tc>
          <w:tcPr>
            <w:tcW w:w="2018" w:type="dxa"/>
            <w:tcBorders>
              <w:top w:val="single" w:sz="4" w:space="0" w:color="auto"/>
            </w:tcBorders>
            <w:vAlign w:val="center"/>
            <w:hideMark/>
          </w:tcPr>
          <w:p w14:paraId="4BBC23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top w:val="single" w:sz="4" w:space="0" w:color="auto"/>
            </w:tcBorders>
            <w:vAlign w:val="center"/>
            <w:hideMark/>
          </w:tcPr>
          <w:p w14:paraId="0BACD1D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 (5.26%)</w:t>
            </w:r>
          </w:p>
        </w:tc>
        <w:tc>
          <w:tcPr>
            <w:tcW w:w="1918" w:type="dxa"/>
            <w:tcBorders>
              <w:top w:val="single" w:sz="4" w:space="0" w:color="auto"/>
            </w:tcBorders>
            <w:vAlign w:val="center"/>
            <w:hideMark/>
          </w:tcPr>
          <w:p w14:paraId="7FFAAAA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(6.63%)</w:t>
            </w:r>
          </w:p>
        </w:tc>
      </w:tr>
      <w:tr w:rsidR="00246AD2" w:rsidRPr="00246AD2" w14:paraId="0AA4F7A3" w14:textId="77777777" w:rsidTr="00066F93">
        <w:trPr>
          <w:trHeight w:val="225"/>
        </w:trPr>
        <w:tc>
          <w:tcPr>
            <w:tcW w:w="3060" w:type="dxa"/>
            <w:vAlign w:val="center"/>
            <w:hideMark/>
          </w:tcPr>
          <w:p w14:paraId="753E0BF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years</w:t>
            </w:r>
          </w:p>
        </w:tc>
        <w:tc>
          <w:tcPr>
            <w:tcW w:w="2018" w:type="dxa"/>
            <w:vAlign w:val="center"/>
            <w:hideMark/>
          </w:tcPr>
          <w:p w14:paraId="685DB2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vAlign w:val="center"/>
            <w:hideMark/>
          </w:tcPr>
          <w:p w14:paraId="6D85C8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1918" w:type="dxa"/>
            <w:vAlign w:val="center"/>
            <w:hideMark/>
          </w:tcPr>
          <w:p w14:paraId="4057FD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(18.37%)</w:t>
            </w:r>
          </w:p>
        </w:tc>
      </w:tr>
      <w:tr w:rsidR="00246AD2" w:rsidRPr="00246AD2" w14:paraId="2941A495" w14:textId="77777777" w:rsidTr="00066F93">
        <w:trPr>
          <w:trHeight w:val="225"/>
        </w:trPr>
        <w:tc>
          <w:tcPr>
            <w:tcW w:w="3060" w:type="dxa"/>
            <w:vAlign w:val="center"/>
            <w:hideMark/>
          </w:tcPr>
          <w:p w14:paraId="75BCDD6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years</w:t>
            </w:r>
          </w:p>
        </w:tc>
        <w:tc>
          <w:tcPr>
            <w:tcW w:w="2018" w:type="dxa"/>
            <w:vAlign w:val="center"/>
            <w:hideMark/>
          </w:tcPr>
          <w:p w14:paraId="698703F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1847" w:type="dxa"/>
            <w:vAlign w:val="center"/>
            <w:hideMark/>
          </w:tcPr>
          <w:p w14:paraId="7BB13B6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(42.11%)</w:t>
            </w:r>
          </w:p>
        </w:tc>
        <w:tc>
          <w:tcPr>
            <w:tcW w:w="1918" w:type="dxa"/>
            <w:vAlign w:val="center"/>
            <w:hideMark/>
          </w:tcPr>
          <w:p w14:paraId="5940E29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(34.69%)</w:t>
            </w:r>
          </w:p>
        </w:tc>
      </w:tr>
      <w:tr w:rsidR="00246AD2" w:rsidRPr="00246AD2" w14:paraId="6FF0BDF5" w14:textId="77777777" w:rsidTr="00066F93">
        <w:trPr>
          <w:trHeight w:val="225"/>
        </w:trPr>
        <w:tc>
          <w:tcPr>
            <w:tcW w:w="3060" w:type="dxa"/>
            <w:vAlign w:val="center"/>
            <w:hideMark/>
          </w:tcPr>
          <w:p w14:paraId="5653A6E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9–10 years</w:t>
            </w:r>
          </w:p>
        </w:tc>
        <w:tc>
          <w:tcPr>
            <w:tcW w:w="2018" w:type="dxa"/>
            <w:vAlign w:val="center"/>
            <w:hideMark/>
          </w:tcPr>
          <w:p w14:paraId="6237677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02889E1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4E24AC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(27.55%)</w:t>
            </w:r>
          </w:p>
        </w:tc>
      </w:tr>
      <w:tr w:rsidR="00246AD2" w:rsidRPr="00246AD2" w14:paraId="7D387840" w14:textId="77777777" w:rsidTr="00246AD2">
        <w:trPr>
          <w:trHeight w:val="225"/>
        </w:trPr>
        <w:tc>
          <w:tcPr>
            <w:tcW w:w="3060" w:type="dxa"/>
            <w:tcBorders>
              <w:bottom w:val="single" w:sz="4" w:space="0" w:color="auto"/>
            </w:tcBorders>
            <w:vAlign w:val="center"/>
            <w:hideMark/>
          </w:tcPr>
          <w:p w14:paraId="01B4656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&gt;10 years</w:t>
            </w:r>
          </w:p>
        </w:tc>
        <w:tc>
          <w:tcPr>
            <w:tcW w:w="2018" w:type="dxa"/>
            <w:tcBorders>
              <w:bottom w:val="single" w:sz="4" w:space="0" w:color="auto"/>
            </w:tcBorders>
            <w:vAlign w:val="center"/>
            <w:hideMark/>
          </w:tcPr>
          <w:p w14:paraId="00A1FA0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6100C1F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751D39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(12.76%)</w:t>
            </w:r>
          </w:p>
        </w:tc>
      </w:tr>
      <w:tr w:rsidR="00246AD2" w:rsidRPr="00246AD2" w14:paraId="7EA897A0" w14:textId="77777777" w:rsidTr="00246AD2">
        <w:trPr>
          <w:trHeight w:val="225"/>
        </w:trPr>
        <w:tc>
          <w:tcPr>
            <w:tcW w:w="3060" w:type="dxa"/>
            <w:tcBorders>
              <w:top w:val="single" w:sz="4" w:space="0" w:color="auto"/>
              <w:bottom w:val="single" w:sz="4" w:space="0" w:color="auto"/>
            </w:tcBorders>
            <w:vAlign w:val="center"/>
            <w:hideMark/>
          </w:tcPr>
          <w:p w14:paraId="7A6A3A3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sales (BDT)</w:t>
            </w:r>
          </w:p>
        </w:tc>
        <w:tc>
          <w:tcPr>
            <w:tcW w:w="2018" w:type="dxa"/>
            <w:tcBorders>
              <w:top w:val="single" w:sz="4" w:space="0" w:color="auto"/>
              <w:bottom w:val="single" w:sz="4" w:space="0" w:color="auto"/>
            </w:tcBorders>
            <w:vAlign w:val="center"/>
            <w:hideMark/>
          </w:tcPr>
          <w:p w14:paraId="5849344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0B66E32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05252F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042FF793" w14:textId="77777777" w:rsidTr="00246AD2">
        <w:trPr>
          <w:trHeight w:val="225"/>
        </w:trPr>
        <w:tc>
          <w:tcPr>
            <w:tcW w:w="3060" w:type="dxa"/>
            <w:tcBorders>
              <w:top w:val="single" w:sz="4" w:space="0" w:color="auto"/>
            </w:tcBorders>
            <w:vAlign w:val="center"/>
            <w:hideMark/>
          </w:tcPr>
          <w:p w14:paraId="24CDDD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&lt;1,000</w:t>
            </w:r>
          </w:p>
        </w:tc>
        <w:tc>
          <w:tcPr>
            <w:tcW w:w="2018" w:type="dxa"/>
            <w:tcBorders>
              <w:top w:val="single" w:sz="4" w:space="0" w:color="auto"/>
            </w:tcBorders>
            <w:vAlign w:val="center"/>
            <w:hideMark/>
          </w:tcPr>
          <w:p w14:paraId="08B71B1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tcBorders>
              <w:top w:val="single" w:sz="4" w:space="0" w:color="auto"/>
            </w:tcBorders>
            <w:vAlign w:val="center"/>
            <w:hideMark/>
          </w:tcPr>
          <w:p w14:paraId="739725E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tcBorders>
              <w:top w:val="single" w:sz="4" w:space="0" w:color="auto"/>
            </w:tcBorders>
            <w:vAlign w:val="center"/>
            <w:hideMark/>
          </w:tcPr>
          <w:p w14:paraId="08962C5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34 (17.35%)</w:t>
            </w:r>
          </w:p>
        </w:tc>
      </w:tr>
      <w:tr w:rsidR="00246AD2" w:rsidRPr="00246AD2" w14:paraId="47E1B17E" w14:textId="77777777" w:rsidTr="00066F93">
        <w:trPr>
          <w:trHeight w:val="225"/>
        </w:trPr>
        <w:tc>
          <w:tcPr>
            <w:tcW w:w="3060" w:type="dxa"/>
            <w:vAlign w:val="center"/>
            <w:hideMark/>
          </w:tcPr>
          <w:p w14:paraId="3F39807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1,000–3,000</w:t>
            </w:r>
          </w:p>
        </w:tc>
        <w:tc>
          <w:tcPr>
            <w:tcW w:w="2018" w:type="dxa"/>
            <w:vAlign w:val="center"/>
            <w:hideMark/>
          </w:tcPr>
          <w:p w14:paraId="1C0158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 (35.83%)</w:t>
            </w:r>
          </w:p>
        </w:tc>
        <w:tc>
          <w:tcPr>
            <w:tcW w:w="1847" w:type="dxa"/>
            <w:vAlign w:val="center"/>
            <w:hideMark/>
          </w:tcPr>
          <w:p w14:paraId="7AA08A1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 (40.79%)</w:t>
            </w:r>
          </w:p>
        </w:tc>
        <w:tc>
          <w:tcPr>
            <w:tcW w:w="1918" w:type="dxa"/>
            <w:vAlign w:val="center"/>
            <w:hideMark/>
          </w:tcPr>
          <w:p w14:paraId="7BDF7D9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(37.76%)</w:t>
            </w:r>
          </w:p>
        </w:tc>
      </w:tr>
      <w:tr w:rsidR="00246AD2" w:rsidRPr="00246AD2" w14:paraId="4CAC34D9" w14:textId="77777777" w:rsidTr="00066F93">
        <w:trPr>
          <w:trHeight w:val="225"/>
        </w:trPr>
        <w:tc>
          <w:tcPr>
            <w:tcW w:w="3060" w:type="dxa"/>
            <w:vAlign w:val="center"/>
            <w:hideMark/>
          </w:tcPr>
          <w:p w14:paraId="38630C0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3,001–5,000</w:t>
            </w:r>
          </w:p>
        </w:tc>
        <w:tc>
          <w:tcPr>
            <w:tcW w:w="2018" w:type="dxa"/>
            <w:vAlign w:val="center"/>
            <w:hideMark/>
          </w:tcPr>
          <w:p w14:paraId="4AD27AC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1847" w:type="dxa"/>
            <w:vAlign w:val="center"/>
            <w:hideMark/>
          </w:tcPr>
          <w:p w14:paraId="07BC401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5BF477F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56 (28.57%)</w:t>
            </w:r>
          </w:p>
        </w:tc>
      </w:tr>
      <w:tr w:rsidR="00246AD2" w:rsidRPr="00246AD2" w14:paraId="3E947F48" w14:textId="77777777" w:rsidTr="00246AD2">
        <w:trPr>
          <w:trHeight w:val="225"/>
        </w:trPr>
        <w:tc>
          <w:tcPr>
            <w:tcW w:w="3060" w:type="dxa"/>
            <w:tcBorders>
              <w:bottom w:val="single" w:sz="4" w:space="0" w:color="auto"/>
            </w:tcBorders>
            <w:vAlign w:val="center"/>
            <w:hideMark/>
          </w:tcPr>
          <w:p w14:paraId="0574400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&gt;5,000</w:t>
            </w:r>
          </w:p>
        </w:tc>
        <w:tc>
          <w:tcPr>
            <w:tcW w:w="2018" w:type="dxa"/>
            <w:tcBorders>
              <w:bottom w:val="single" w:sz="4" w:space="0" w:color="auto"/>
            </w:tcBorders>
            <w:vAlign w:val="center"/>
            <w:hideMark/>
          </w:tcPr>
          <w:p w14:paraId="57C9F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7A0967B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1918" w:type="dxa"/>
            <w:tcBorders>
              <w:bottom w:val="single" w:sz="4" w:space="0" w:color="auto"/>
            </w:tcBorders>
            <w:vAlign w:val="center"/>
            <w:hideMark/>
          </w:tcPr>
          <w:p w14:paraId="55DDF1D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(16.33%)</w:t>
            </w:r>
          </w:p>
        </w:tc>
      </w:tr>
      <w:tr w:rsidR="00246AD2" w:rsidRPr="00246AD2" w14:paraId="6B3C10AB" w14:textId="77777777" w:rsidTr="00246AD2">
        <w:trPr>
          <w:trHeight w:val="225"/>
        </w:trPr>
        <w:tc>
          <w:tcPr>
            <w:tcW w:w="3060" w:type="dxa"/>
            <w:tcBorders>
              <w:top w:val="single" w:sz="4" w:space="0" w:color="auto"/>
              <w:bottom w:val="single" w:sz="4" w:space="0" w:color="auto"/>
            </w:tcBorders>
            <w:vAlign w:val="center"/>
            <w:hideMark/>
          </w:tcPr>
          <w:p w14:paraId="61E3B862" w14:textId="77777777" w:rsidR="00B21D21" w:rsidRPr="00246AD2" w:rsidRDefault="00066F93"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unsold food (%)</w:t>
            </w:r>
          </w:p>
        </w:tc>
        <w:tc>
          <w:tcPr>
            <w:tcW w:w="2018" w:type="dxa"/>
            <w:tcBorders>
              <w:top w:val="single" w:sz="4" w:space="0" w:color="auto"/>
              <w:bottom w:val="single" w:sz="4" w:space="0" w:color="auto"/>
            </w:tcBorders>
            <w:vAlign w:val="center"/>
            <w:hideMark/>
          </w:tcPr>
          <w:p w14:paraId="78256F8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4F346569"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28233F3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0260E2" w14:textId="77777777" w:rsidTr="00066F93">
        <w:trPr>
          <w:trHeight w:val="225"/>
        </w:trPr>
        <w:tc>
          <w:tcPr>
            <w:tcW w:w="3060" w:type="dxa"/>
            <w:tcBorders>
              <w:top w:val="single" w:sz="4" w:space="0" w:color="auto"/>
            </w:tcBorders>
            <w:vAlign w:val="center"/>
            <w:hideMark/>
          </w:tcPr>
          <w:p w14:paraId="7A58501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&lt;5%</w:t>
            </w:r>
          </w:p>
        </w:tc>
        <w:tc>
          <w:tcPr>
            <w:tcW w:w="2018" w:type="dxa"/>
            <w:tcBorders>
              <w:top w:val="single" w:sz="4" w:space="0" w:color="auto"/>
            </w:tcBorders>
            <w:vAlign w:val="center"/>
            <w:hideMark/>
          </w:tcPr>
          <w:p w14:paraId="2905E98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49 (40.83%)</w:t>
            </w:r>
          </w:p>
        </w:tc>
        <w:tc>
          <w:tcPr>
            <w:tcW w:w="1847" w:type="dxa"/>
            <w:tcBorders>
              <w:top w:val="single" w:sz="4" w:space="0" w:color="auto"/>
            </w:tcBorders>
            <w:vAlign w:val="center"/>
            <w:hideMark/>
          </w:tcPr>
          <w:p w14:paraId="62DC080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(51.32%)</w:t>
            </w:r>
          </w:p>
        </w:tc>
        <w:tc>
          <w:tcPr>
            <w:tcW w:w="1918" w:type="dxa"/>
            <w:tcBorders>
              <w:top w:val="single" w:sz="4" w:space="0" w:color="auto"/>
            </w:tcBorders>
            <w:vAlign w:val="center"/>
            <w:hideMark/>
          </w:tcPr>
          <w:p w14:paraId="2E2BD7C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88 (44.90%)</w:t>
            </w:r>
          </w:p>
        </w:tc>
      </w:tr>
      <w:tr w:rsidR="00246AD2" w:rsidRPr="00246AD2" w14:paraId="1150FD64" w14:textId="77777777" w:rsidTr="00066F93">
        <w:trPr>
          <w:trHeight w:val="225"/>
        </w:trPr>
        <w:tc>
          <w:tcPr>
            <w:tcW w:w="3060" w:type="dxa"/>
            <w:vAlign w:val="center"/>
            <w:hideMark/>
          </w:tcPr>
          <w:p w14:paraId="6D4BABA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5–10%</w:t>
            </w:r>
          </w:p>
        </w:tc>
        <w:tc>
          <w:tcPr>
            <w:tcW w:w="2018" w:type="dxa"/>
            <w:vAlign w:val="center"/>
            <w:hideMark/>
          </w:tcPr>
          <w:p w14:paraId="0B04C8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51818F6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c>
          <w:tcPr>
            <w:tcW w:w="1918" w:type="dxa"/>
            <w:vAlign w:val="center"/>
            <w:hideMark/>
          </w:tcPr>
          <w:p w14:paraId="7267C08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53 (27.04%)</w:t>
            </w:r>
          </w:p>
        </w:tc>
      </w:tr>
      <w:tr w:rsidR="00246AD2" w:rsidRPr="00246AD2" w14:paraId="18660676" w14:textId="77777777" w:rsidTr="00066F93">
        <w:trPr>
          <w:trHeight w:val="225"/>
        </w:trPr>
        <w:tc>
          <w:tcPr>
            <w:tcW w:w="3060" w:type="dxa"/>
            <w:vAlign w:val="center"/>
            <w:hideMark/>
          </w:tcPr>
          <w:p w14:paraId="6B15A7C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11–20%</w:t>
            </w:r>
          </w:p>
        </w:tc>
        <w:tc>
          <w:tcPr>
            <w:tcW w:w="2018" w:type="dxa"/>
            <w:vAlign w:val="center"/>
            <w:hideMark/>
          </w:tcPr>
          <w:p w14:paraId="38D2CE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27 (22.50%)</w:t>
            </w:r>
          </w:p>
        </w:tc>
        <w:tc>
          <w:tcPr>
            <w:tcW w:w="1847" w:type="dxa"/>
            <w:vAlign w:val="center"/>
            <w:hideMark/>
          </w:tcPr>
          <w:p w14:paraId="0A4E56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vAlign w:val="center"/>
            <w:hideMark/>
          </w:tcPr>
          <w:p w14:paraId="7A688F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(19.39%)</w:t>
            </w:r>
          </w:p>
        </w:tc>
      </w:tr>
      <w:tr w:rsidR="00246AD2" w:rsidRPr="00246AD2" w14:paraId="7439116D" w14:textId="77777777" w:rsidTr="00066F93">
        <w:trPr>
          <w:trHeight w:val="225"/>
        </w:trPr>
        <w:tc>
          <w:tcPr>
            <w:tcW w:w="3060" w:type="dxa"/>
            <w:tcBorders>
              <w:bottom w:val="single" w:sz="4" w:space="0" w:color="auto"/>
            </w:tcBorders>
            <w:vAlign w:val="center"/>
            <w:hideMark/>
          </w:tcPr>
          <w:p w14:paraId="1D12997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&gt;20%</w:t>
            </w:r>
          </w:p>
        </w:tc>
        <w:tc>
          <w:tcPr>
            <w:tcW w:w="2018" w:type="dxa"/>
            <w:tcBorders>
              <w:bottom w:val="single" w:sz="4" w:space="0" w:color="auto"/>
            </w:tcBorders>
            <w:vAlign w:val="center"/>
            <w:hideMark/>
          </w:tcPr>
          <w:p w14:paraId="6D9701D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bottom w:val="single" w:sz="4" w:space="0" w:color="auto"/>
            </w:tcBorders>
            <w:vAlign w:val="center"/>
            <w:hideMark/>
          </w:tcPr>
          <w:p w14:paraId="552F50A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1335062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bl>
    <w:p w14:paraId="4C5E82F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These findings suggest that most retailers have moderate experience and achieve modest daily sales, with a relatively low proportion of unsold food. This highlights important opportunities for targeted interventions to improve business efficiency, reduce post-harvest losses, and optimize daily sales practices across both the vegetable and fruit retail sectors. </w:t>
      </w:r>
    </w:p>
    <w:p w14:paraId="60D283F6" w14:textId="77777777" w:rsidR="00210C72" w:rsidRPr="00246AD2" w:rsidRDefault="00210C72" w:rsidP="00066F93">
      <w:pPr>
        <w:pStyle w:val="NormalWeb"/>
        <w:spacing w:before="0" w:beforeAutospacing="0" w:after="0" w:afterAutospacing="0"/>
        <w:jc w:val="both"/>
        <w:rPr>
          <w:rFonts w:ascii="Calibri" w:hAnsi="Calibri" w:cs="Calibri"/>
          <w:sz w:val="22"/>
          <w:szCs w:val="22"/>
        </w:rPr>
      </w:pPr>
    </w:p>
    <w:p w14:paraId="071D4C7D"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3.3 </w:t>
      </w:r>
      <w:r w:rsidR="00B21D21" w:rsidRPr="00246AD2">
        <w:rPr>
          <w:rFonts w:ascii="Calibri" w:hAnsi="Calibri" w:cs="Calibri"/>
          <w:b/>
          <w:sz w:val="22"/>
          <w:szCs w:val="22"/>
        </w:rPr>
        <w:t>Retail owners’ awareness of food loss and waste (FLW) in rural markets</w:t>
      </w:r>
    </w:p>
    <w:p w14:paraId="0A0BFBE7"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Retail owners in rural markets demonstrated a relatively high level of awareness regarding food loss and waste (FLW) and its contributing factors. Among vegetable retailers, 85.83% identified poor </w:t>
      </w:r>
      <w:r w:rsidRPr="00246AD2">
        <w:rPr>
          <w:rFonts w:ascii="Calibri" w:hAnsi="Calibri" w:cs="Calibri"/>
          <w:sz w:val="22"/>
          <w:szCs w:val="22"/>
        </w:rPr>
        <w:lastRenderedPageBreak/>
        <w:t xml:space="preserve">transportation, 84.17% cited selling delays, and 82.50% reported over-purchasing as key drivers of food loss. Awareness was similarly high among fruit retailers, with 84.21% identifying poor transportation and 81.58% acknowledging over-purchasing as major causes of unsold food. Limited infrastructure was widely perceived as a challenge, with 78.33% of vegetable retailers and 77.63% of fruit retailers reporting that a lack of cold storage significantly contributes to food loss. Improper handling of fruits and vegetables was also recognized by 67.50% of vegetable retailers and 67.11% of fruit retailers. While the use of waste bins to reduce </w:t>
      </w:r>
      <w:proofErr w:type="gramStart"/>
      <w:r w:rsidR="0024502B" w:rsidRPr="00246AD2">
        <w:rPr>
          <w:rFonts w:ascii="Calibri" w:hAnsi="Calibri" w:cs="Calibri"/>
          <w:sz w:val="22"/>
          <w:szCs w:val="22"/>
        </w:rPr>
        <w:t>food</w:t>
      </w:r>
      <w:proofErr w:type="gramEnd"/>
      <w:r w:rsidRPr="00246AD2">
        <w:rPr>
          <w:rFonts w:ascii="Calibri" w:hAnsi="Calibri" w:cs="Calibri"/>
          <w:sz w:val="22"/>
          <w:szCs w:val="22"/>
        </w:rPr>
        <w:t xml:space="preserve"> waste was reported by 69.17% of vegetable retailers and 77.63% of fruit retailers, food waste separation practices were reported by 57.50% and 61.84%, respectively. Encouragingly, 79.17% of vegetable retailers and 80.26% of fruit retailers followed first-in, first-out (FIFO) practices, and 84.17% and 82.89%, respectively, expressed strong willingness to adopt improved measures to reduce FLW.</w:t>
      </w:r>
    </w:p>
    <w:p w14:paraId="08CB9201" w14:textId="77777777" w:rsidR="00B21D21" w:rsidRPr="00246AD2" w:rsidRDefault="00B21D21" w:rsidP="00066F93">
      <w:pPr>
        <w:pStyle w:val="NormalWeb"/>
        <w:spacing w:before="0" w:beforeAutospacing="0" w:after="0" w:afterAutospacing="0"/>
        <w:jc w:val="both"/>
        <w:rPr>
          <w:rFonts w:ascii="Calibri" w:hAnsi="Calibri" w:cs="Calibri"/>
          <w:b/>
          <w:sz w:val="22"/>
          <w:szCs w:val="22"/>
        </w:rPr>
      </w:pPr>
    </w:p>
    <w:p w14:paraId="04ACF5FA"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3</w:t>
      </w:r>
      <w:r w:rsidRPr="0024502B">
        <w:rPr>
          <w:i w:val="0"/>
          <w:color w:val="auto"/>
          <w:sz w:val="22"/>
          <w:szCs w:val="22"/>
        </w:rPr>
        <w:fldChar w:fldCharType="end"/>
      </w:r>
      <w:r w:rsidRPr="0024502B">
        <w:rPr>
          <w:i w:val="0"/>
          <w:color w:val="auto"/>
          <w:sz w:val="22"/>
          <w:szCs w:val="22"/>
        </w:rPr>
        <w:t>: Retail owners’ awareness of food loss and waste (FLW) in rural markets</w:t>
      </w:r>
    </w:p>
    <w:tbl>
      <w:tblPr>
        <w:tblW w:w="9096" w:type="dxa"/>
        <w:tblInd w:w="-5" w:type="dxa"/>
        <w:tblLook w:val="04A0" w:firstRow="1" w:lastRow="0" w:firstColumn="1" w:lastColumn="0" w:noHBand="0" w:noVBand="1"/>
      </w:tblPr>
      <w:tblGrid>
        <w:gridCol w:w="3785"/>
        <w:gridCol w:w="1440"/>
        <w:gridCol w:w="1351"/>
        <w:gridCol w:w="1260"/>
        <w:gridCol w:w="1260"/>
      </w:tblGrid>
      <w:tr w:rsidR="00246AD2" w:rsidRPr="00246AD2" w14:paraId="2976AD91" w14:textId="77777777" w:rsidTr="00157DB9">
        <w:trPr>
          <w:trHeight w:val="125"/>
        </w:trPr>
        <w:tc>
          <w:tcPr>
            <w:tcW w:w="3785" w:type="dxa"/>
            <w:vMerge w:val="restart"/>
            <w:tcBorders>
              <w:top w:val="single" w:sz="4" w:space="0" w:color="auto"/>
            </w:tcBorders>
            <w:vAlign w:val="center"/>
            <w:hideMark/>
          </w:tcPr>
          <w:p w14:paraId="7A65217A"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Awareness statement</w:t>
            </w:r>
          </w:p>
        </w:tc>
        <w:tc>
          <w:tcPr>
            <w:tcW w:w="2791" w:type="dxa"/>
            <w:gridSpan w:val="2"/>
            <w:tcBorders>
              <w:top w:val="single" w:sz="4" w:space="0" w:color="auto"/>
              <w:bottom w:val="single" w:sz="4" w:space="0" w:color="auto"/>
            </w:tcBorders>
            <w:vAlign w:val="center"/>
            <w:hideMark/>
          </w:tcPr>
          <w:p w14:paraId="14C2453A"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Vegetable Retailers </w:t>
            </w:r>
            <w:r w:rsidR="00157DB9">
              <w:rPr>
                <w:rFonts w:ascii="Calibri" w:eastAsia="Times New Roman" w:hAnsi="Calibri" w:cs="Calibri"/>
                <w:b/>
                <w:kern w:val="0"/>
                <w14:ligatures w14:val="none"/>
              </w:rPr>
              <w:t>(n=120)</w:t>
            </w:r>
          </w:p>
          <w:p w14:paraId="7BE677F1"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2520" w:type="dxa"/>
            <w:gridSpan w:val="2"/>
            <w:tcBorders>
              <w:top w:val="single" w:sz="4" w:space="0" w:color="auto"/>
              <w:bottom w:val="single" w:sz="4" w:space="0" w:color="auto"/>
            </w:tcBorders>
            <w:vAlign w:val="center"/>
            <w:hideMark/>
          </w:tcPr>
          <w:p w14:paraId="53944964" w14:textId="77777777" w:rsidR="00D05C9F" w:rsidRPr="00246AD2" w:rsidRDefault="00D05C9F" w:rsidP="00157DB9">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Fruit Retailers </w:t>
            </w:r>
            <w:r w:rsidR="00157DB9" w:rsidRPr="00246AD2">
              <w:rPr>
                <w:rFonts w:ascii="Calibri" w:eastAsia="Times New Roman" w:hAnsi="Calibri" w:cs="Calibri"/>
                <w:b/>
                <w:kern w:val="0"/>
                <w14:ligatures w14:val="none"/>
              </w:rPr>
              <w:t>(n=76)</w:t>
            </w:r>
          </w:p>
          <w:p w14:paraId="7AD07072"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r>
      <w:tr w:rsidR="00246AD2" w:rsidRPr="00246AD2" w14:paraId="07DA48E9" w14:textId="77777777" w:rsidTr="00157DB9">
        <w:trPr>
          <w:trHeight w:val="125"/>
        </w:trPr>
        <w:tc>
          <w:tcPr>
            <w:tcW w:w="3785" w:type="dxa"/>
            <w:vMerge/>
            <w:tcBorders>
              <w:bottom w:val="single" w:sz="4" w:space="0" w:color="auto"/>
            </w:tcBorders>
            <w:vAlign w:val="center"/>
          </w:tcPr>
          <w:p w14:paraId="48ED59BC"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1440" w:type="dxa"/>
            <w:tcBorders>
              <w:top w:val="single" w:sz="4" w:space="0" w:color="auto"/>
              <w:bottom w:val="single" w:sz="4" w:space="0" w:color="auto"/>
            </w:tcBorders>
            <w:vAlign w:val="center"/>
          </w:tcPr>
          <w:p w14:paraId="549854C4"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351" w:type="dxa"/>
            <w:tcBorders>
              <w:top w:val="single" w:sz="4" w:space="0" w:color="auto"/>
              <w:bottom w:val="single" w:sz="4" w:space="0" w:color="auto"/>
            </w:tcBorders>
            <w:vAlign w:val="center"/>
          </w:tcPr>
          <w:p w14:paraId="72F8CA60"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c>
          <w:tcPr>
            <w:tcW w:w="1260" w:type="dxa"/>
            <w:tcBorders>
              <w:top w:val="single" w:sz="4" w:space="0" w:color="auto"/>
              <w:bottom w:val="single" w:sz="4" w:space="0" w:color="auto"/>
            </w:tcBorders>
            <w:vAlign w:val="center"/>
          </w:tcPr>
          <w:p w14:paraId="4D78C9A6"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260" w:type="dxa"/>
            <w:tcBorders>
              <w:top w:val="single" w:sz="4" w:space="0" w:color="auto"/>
              <w:bottom w:val="single" w:sz="4" w:space="0" w:color="auto"/>
            </w:tcBorders>
            <w:vAlign w:val="center"/>
          </w:tcPr>
          <w:p w14:paraId="2DDCBA0D"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r>
      <w:tr w:rsidR="00246AD2" w:rsidRPr="00246AD2" w14:paraId="4B5E57AB" w14:textId="77777777" w:rsidTr="00157DB9">
        <w:trPr>
          <w:trHeight w:val="43"/>
        </w:trPr>
        <w:tc>
          <w:tcPr>
            <w:tcW w:w="3785" w:type="dxa"/>
            <w:tcBorders>
              <w:top w:val="single" w:sz="4" w:space="0" w:color="auto"/>
              <w:bottom w:val="dashSmallGap" w:sz="4" w:space="0" w:color="auto"/>
            </w:tcBorders>
            <w:vAlign w:val="center"/>
            <w:hideMark/>
          </w:tcPr>
          <w:p w14:paraId="5C2BD15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storage facilities cause food spoilage</w:t>
            </w:r>
          </w:p>
        </w:tc>
        <w:tc>
          <w:tcPr>
            <w:tcW w:w="1440" w:type="dxa"/>
            <w:tcBorders>
              <w:top w:val="single" w:sz="4" w:space="0" w:color="auto"/>
              <w:bottom w:val="dashSmallGap" w:sz="4" w:space="0" w:color="auto"/>
            </w:tcBorders>
            <w:vAlign w:val="center"/>
            <w:hideMark/>
          </w:tcPr>
          <w:p w14:paraId="180B918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 (62.50%)</w:t>
            </w:r>
          </w:p>
        </w:tc>
        <w:tc>
          <w:tcPr>
            <w:tcW w:w="1351" w:type="dxa"/>
            <w:tcBorders>
              <w:top w:val="single" w:sz="4" w:space="0" w:color="auto"/>
              <w:bottom w:val="dashSmallGap" w:sz="4" w:space="0" w:color="auto"/>
            </w:tcBorders>
            <w:vAlign w:val="center"/>
            <w:hideMark/>
          </w:tcPr>
          <w:p w14:paraId="0EDB09D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45 (37.50%)</w:t>
            </w:r>
          </w:p>
        </w:tc>
        <w:tc>
          <w:tcPr>
            <w:tcW w:w="1260" w:type="dxa"/>
            <w:tcBorders>
              <w:top w:val="single" w:sz="4" w:space="0" w:color="auto"/>
              <w:bottom w:val="dashSmallGap" w:sz="4" w:space="0" w:color="auto"/>
            </w:tcBorders>
            <w:noWrap/>
            <w:vAlign w:val="center"/>
            <w:hideMark/>
          </w:tcPr>
          <w:p w14:paraId="041450A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(78.95%)</w:t>
            </w:r>
          </w:p>
        </w:tc>
        <w:tc>
          <w:tcPr>
            <w:tcW w:w="1260" w:type="dxa"/>
            <w:tcBorders>
              <w:top w:val="single" w:sz="4" w:space="0" w:color="auto"/>
              <w:bottom w:val="dashSmallGap" w:sz="4" w:space="0" w:color="auto"/>
            </w:tcBorders>
            <w:noWrap/>
            <w:vAlign w:val="center"/>
            <w:hideMark/>
          </w:tcPr>
          <w:p w14:paraId="1A65B8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r>
      <w:tr w:rsidR="00246AD2" w:rsidRPr="00246AD2" w14:paraId="4F6102B8" w14:textId="77777777" w:rsidTr="00157DB9">
        <w:trPr>
          <w:trHeight w:val="43"/>
        </w:trPr>
        <w:tc>
          <w:tcPr>
            <w:tcW w:w="3785" w:type="dxa"/>
            <w:tcBorders>
              <w:top w:val="dashSmallGap" w:sz="4" w:space="0" w:color="auto"/>
              <w:bottom w:val="dashSmallGap" w:sz="4" w:space="0" w:color="auto"/>
            </w:tcBorders>
            <w:vAlign w:val="center"/>
            <w:hideMark/>
          </w:tcPr>
          <w:p w14:paraId="7D56287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Lack of cold storage leads to food loss</w:t>
            </w:r>
          </w:p>
        </w:tc>
        <w:tc>
          <w:tcPr>
            <w:tcW w:w="1440" w:type="dxa"/>
            <w:tcBorders>
              <w:top w:val="dashSmallGap" w:sz="4" w:space="0" w:color="auto"/>
              <w:bottom w:val="dashSmallGap" w:sz="4" w:space="0" w:color="auto"/>
            </w:tcBorders>
            <w:vAlign w:val="center"/>
            <w:hideMark/>
          </w:tcPr>
          <w:p w14:paraId="6D5A516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94 (78.33%)</w:t>
            </w:r>
          </w:p>
        </w:tc>
        <w:tc>
          <w:tcPr>
            <w:tcW w:w="1351" w:type="dxa"/>
            <w:tcBorders>
              <w:top w:val="dashSmallGap" w:sz="4" w:space="0" w:color="auto"/>
              <w:bottom w:val="dashSmallGap" w:sz="4" w:space="0" w:color="auto"/>
            </w:tcBorders>
            <w:vAlign w:val="center"/>
            <w:hideMark/>
          </w:tcPr>
          <w:p w14:paraId="3CF22BB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26 (21.67%)</w:t>
            </w:r>
          </w:p>
        </w:tc>
        <w:tc>
          <w:tcPr>
            <w:tcW w:w="1260" w:type="dxa"/>
            <w:tcBorders>
              <w:top w:val="dashSmallGap" w:sz="4" w:space="0" w:color="auto"/>
              <w:bottom w:val="dashSmallGap" w:sz="4" w:space="0" w:color="auto"/>
            </w:tcBorders>
            <w:noWrap/>
            <w:vAlign w:val="center"/>
            <w:hideMark/>
          </w:tcPr>
          <w:p w14:paraId="318508F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57B4D52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6755B203" w14:textId="77777777" w:rsidTr="00157DB9">
        <w:trPr>
          <w:trHeight w:val="43"/>
        </w:trPr>
        <w:tc>
          <w:tcPr>
            <w:tcW w:w="3785" w:type="dxa"/>
            <w:tcBorders>
              <w:top w:val="dashSmallGap" w:sz="4" w:space="0" w:color="auto"/>
              <w:bottom w:val="dashSmallGap" w:sz="4" w:space="0" w:color="auto"/>
            </w:tcBorders>
            <w:vAlign w:val="center"/>
            <w:hideMark/>
          </w:tcPr>
          <w:p w14:paraId="57B21B5E"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handling spoils of foods</w:t>
            </w:r>
          </w:p>
        </w:tc>
        <w:tc>
          <w:tcPr>
            <w:tcW w:w="1440" w:type="dxa"/>
            <w:tcBorders>
              <w:top w:val="dashSmallGap" w:sz="4" w:space="0" w:color="auto"/>
              <w:bottom w:val="dashSmallGap" w:sz="4" w:space="0" w:color="auto"/>
            </w:tcBorders>
            <w:vAlign w:val="center"/>
            <w:hideMark/>
          </w:tcPr>
          <w:p w14:paraId="66D0CCC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81 (67.50%)</w:t>
            </w:r>
          </w:p>
        </w:tc>
        <w:tc>
          <w:tcPr>
            <w:tcW w:w="1351" w:type="dxa"/>
            <w:tcBorders>
              <w:top w:val="dashSmallGap" w:sz="4" w:space="0" w:color="auto"/>
              <w:bottom w:val="dashSmallGap" w:sz="4" w:space="0" w:color="auto"/>
            </w:tcBorders>
            <w:vAlign w:val="center"/>
            <w:hideMark/>
          </w:tcPr>
          <w:p w14:paraId="734CA9C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(32.50%)</w:t>
            </w:r>
          </w:p>
        </w:tc>
        <w:tc>
          <w:tcPr>
            <w:tcW w:w="1260" w:type="dxa"/>
            <w:tcBorders>
              <w:top w:val="dashSmallGap" w:sz="4" w:space="0" w:color="auto"/>
              <w:bottom w:val="dashSmallGap" w:sz="4" w:space="0" w:color="auto"/>
            </w:tcBorders>
            <w:noWrap/>
            <w:vAlign w:val="center"/>
            <w:hideMark/>
          </w:tcPr>
          <w:p w14:paraId="5F1A666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(67.11%)</w:t>
            </w:r>
          </w:p>
        </w:tc>
        <w:tc>
          <w:tcPr>
            <w:tcW w:w="1260" w:type="dxa"/>
            <w:tcBorders>
              <w:top w:val="dashSmallGap" w:sz="4" w:space="0" w:color="auto"/>
              <w:bottom w:val="dashSmallGap" w:sz="4" w:space="0" w:color="auto"/>
            </w:tcBorders>
            <w:noWrap/>
            <w:vAlign w:val="center"/>
            <w:hideMark/>
          </w:tcPr>
          <w:p w14:paraId="12D743E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(32.89%)</w:t>
            </w:r>
          </w:p>
        </w:tc>
      </w:tr>
      <w:tr w:rsidR="00246AD2" w:rsidRPr="00246AD2" w14:paraId="66BB6DA8" w14:textId="77777777" w:rsidTr="00157DB9">
        <w:trPr>
          <w:trHeight w:val="43"/>
        </w:trPr>
        <w:tc>
          <w:tcPr>
            <w:tcW w:w="3785" w:type="dxa"/>
            <w:tcBorders>
              <w:top w:val="dashSmallGap" w:sz="4" w:space="0" w:color="auto"/>
              <w:bottom w:val="dashSmallGap" w:sz="4" w:space="0" w:color="auto"/>
            </w:tcBorders>
            <w:vAlign w:val="center"/>
            <w:hideMark/>
          </w:tcPr>
          <w:p w14:paraId="5D9B11E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Over-purchasing results in unsold food</w:t>
            </w:r>
          </w:p>
        </w:tc>
        <w:tc>
          <w:tcPr>
            <w:tcW w:w="1440" w:type="dxa"/>
            <w:tcBorders>
              <w:top w:val="dashSmallGap" w:sz="4" w:space="0" w:color="auto"/>
              <w:bottom w:val="dashSmallGap" w:sz="4" w:space="0" w:color="auto"/>
            </w:tcBorders>
            <w:vAlign w:val="center"/>
            <w:hideMark/>
          </w:tcPr>
          <w:p w14:paraId="210AAB94"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99 (82.50%)</w:t>
            </w:r>
          </w:p>
        </w:tc>
        <w:tc>
          <w:tcPr>
            <w:tcW w:w="1351" w:type="dxa"/>
            <w:tcBorders>
              <w:top w:val="dashSmallGap" w:sz="4" w:space="0" w:color="auto"/>
              <w:bottom w:val="dashSmallGap" w:sz="4" w:space="0" w:color="auto"/>
            </w:tcBorders>
            <w:vAlign w:val="center"/>
            <w:hideMark/>
          </w:tcPr>
          <w:p w14:paraId="31650C6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 (17.50%)</w:t>
            </w:r>
          </w:p>
        </w:tc>
        <w:tc>
          <w:tcPr>
            <w:tcW w:w="1260" w:type="dxa"/>
            <w:tcBorders>
              <w:top w:val="dashSmallGap" w:sz="4" w:space="0" w:color="auto"/>
              <w:bottom w:val="dashSmallGap" w:sz="4" w:space="0" w:color="auto"/>
            </w:tcBorders>
            <w:noWrap/>
            <w:vAlign w:val="center"/>
            <w:hideMark/>
          </w:tcPr>
          <w:p w14:paraId="0C98C73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62 (81.58%)</w:t>
            </w:r>
          </w:p>
        </w:tc>
        <w:tc>
          <w:tcPr>
            <w:tcW w:w="1260" w:type="dxa"/>
            <w:tcBorders>
              <w:top w:val="dashSmallGap" w:sz="4" w:space="0" w:color="auto"/>
              <w:bottom w:val="dashSmallGap" w:sz="4" w:space="0" w:color="auto"/>
            </w:tcBorders>
            <w:noWrap/>
            <w:vAlign w:val="center"/>
            <w:hideMark/>
          </w:tcPr>
          <w:p w14:paraId="5C2085D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r>
      <w:tr w:rsidR="00246AD2" w:rsidRPr="00246AD2" w14:paraId="631EF1BA" w14:textId="77777777" w:rsidTr="00157DB9">
        <w:trPr>
          <w:trHeight w:val="43"/>
        </w:trPr>
        <w:tc>
          <w:tcPr>
            <w:tcW w:w="3785" w:type="dxa"/>
            <w:tcBorders>
              <w:top w:val="dashSmallGap" w:sz="4" w:space="0" w:color="auto"/>
              <w:bottom w:val="dashSmallGap" w:sz="4" w:space="0" w:color="auto"/>
            </w:tcBorders>
            <w:vAlign w:val="center"/>
            <w:hideMark/>
          </w:tcPr>
          <w:p w14:paraId="3F6ABD1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Selling delays reduce food quality</w:t>
            </w:r>
          </w:p>
        </w:tc>
        <w:tc>
          <w:tcPr>
            <w:tcW w:w="1440" w:type="dxa"/>
            <w:tcBorders>
              <w:top w:val="dashSmallGap" w:sz="4" w:space="0" w:color="auto"/>
              <w:bottom w:val="dashSmallGap" w:sz="4" w:space="0" w:color="auto"/>
            </w:tcBorders>
            <w:vAlign w:val="center"/>
            <w:hideMark/>
          </w:tcPr>
          <w:p w14:paraId="7CE50D3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dashSmallGap" w:sz="4" w:space="0" w:color="auto"/>
            </w:tcBorders>
            <w:vAlign w:val="center"/>
            <w:hideMark/>
          </w:tcPr>
          <w:p w14:paraId="7A3A075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dashSmallGap" w:sz="4" w:space="0" w:color="auto"/>
            </w:tcBorders>
            <w:noWrap/>
            <w:vAlign w:val="center"/>
            <w:hideMark/>
          </w:tcPr>
          <w:p w14:paraId="1F37C21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(76.32%)</w:t>
            </w:r>
          </w:p>
        </w:tc>
        <w:tc>
          <w:tcPr>
            <w:tcW w:w="1260" w:type="dxa"/>
            <w:tcBorders>
              <w:top w:val="dashSmallGap" w:sz="4" w:space="0" w:color="auto"/>
              <w:bottom w:val="dashSmallGap" w:sz="4" w:space="0" w:color="auto"/>
            </w:tcBorders>
            <w:noWrap/>
            <w:vAlign w:val="center"/>
            <w:hideMark/>
          </w:tcPr>
          <w:p w14:paraId="391E869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r>
      <w:tr w:rsidR="00246AD2" w:rsidRPr="00246AD2" w14:paraId="380FE9EE" w14:textId="77777777" w:rsidTr="00157DB9">
        <w:trPr>
          <w:trHeight w:val="43"/>
        </w:trPr>
        <w:tc>
          <w:tcPr>
            <w:tcW w:w="3785" w:type="dxa"/>
            <w:tcBorders>
              <w:top w:val="dashSmallGap" w:sz="4" w:space="0" w:color="auto"/>
              <w:bottom w:val="dashSmallGap" w:sz="4" w:space="0" w:color="auto"/>
            </w:tcBorders>
            <w:vAlign w:val="center"/>
            <w:hideMark/>
          </w:tcPr>
          <w:p w14:paraId="352C4B5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transportation increases food loss</w:t>
            </w:r>
          </w:p>
        </w:tc>
        <w:tc>
          <w:tcPr>
            <w:tcW w:w="1440" w:type="dxa"/>
            <w:tcBorders>
              <w:top w:val="dashSmallGap" w:sz="4" w:space="0" w:color="auto"/>
              <w:bottom w:val="dashSmallGap" w:sz="4" w:space="0" w:color="auto"/>
            </w:tcBorders>
            <w:vAlign w:val="center"/>
            <w:hideMark/>
          </w:tcPr>
          <w:p w14:paraId="7F53B34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103 (85.83%)</w:t>
            </w:r>
          </w:p>
        </w:tc>
        <w:tc>
          <w:tcPr>
            <w:tcW w:w="1351" w:type="dxa"/>
            <w:tcBorders>
              <w:top w:val="dashSmallGap" w:sz="4" w:space="0" w:color="auto"/>
              <w:bottom w:val="dashSmallGap" w:sz="4" w:space="0" w:color="auto"/>
            </w:tcBorders>
            <w:vAlign w:val="center"/>
            <w:hideMark/>
          </w:tcPr>
          <w:p w14:paraId="4911A71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260" w:type="dxa"/>
            <w:tcBorders>
              <w:top w:val="dashSmallGap" w:sz="4" w:space="0" w:color="auto"/>
              <w:bottom w:val="dashSmallGap" w:sz="4" w:space="0" w:color="auto"/>
            </w:tcBorders>
            <w:noWrap/>
            <w:vAlign w:val="center"/>
            <w:hideMark/>
          </w:tcPr>
          <w:p w14:paraId="4544511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64 (84.21%)</w:t>
            </w:r>
          </w:p>
        </w:tc>
        <w:tc>
          <w:tcPr>
            <w:tcW w:w="1260" w:type="dxa"/>
            <w:tcBorders>
              <w:top w:val="dashSmallGap" w:sz="4" w:space="0" w:color="auto"/>
              <w:bottom w:val="dashSmallGap" w:sz="4" w:space="0" w:color="auto"/>
            </w:tcBorders>
            <w:noWrap/>
            <w:vAlign w:val="center"/>
            <w:hideMark/>
          </w:tcPr>
          <w:p w14:paraId="68E86FA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(15.79%)</w:t>
            </w:r>
          </w:p>
        </w:tc>
      </w:tr>
      <w:tr w:rsidR="00246AD2" w:rsidRPr="00246AD2" w14:paraId="08357823" w14:textId="77777777" w:rsidTr="00157DB9">
        <w:trPr>
          <w:trHeight w:val="43"/>
        </w:trPr>
        <w:tc>
          <w:tcPr>
            <w:tcW w:w="3785" w:type="dxa"/>
            <w:tcBorders>
              <w:top w:val="dashSmallGap" w:sz="4" w:space="0" w:color="auto"/>
              <w:bottom w:val="dashSmallGap" w:sz="4" w:space="0" w:color="auto"/>
            </w:tcBorders>
            <w:vAlign w:val="center"/>
            <w:hideMark/>
          </w:tcPr>
          <w:p w14:paraId="558E12E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Use of waste bins helps reduce food waste</w:t>
            </w:r>
          </w:p>
        </w:tc>
        <w:tc>
          <w:tcPr>
            <w:tcW w:w="1440" w:type="dxa"/>
            <w:tcBorders>
              <w:top w:val="dashSmallGap" w:sz="4" w:space="0" w:color="auto"/>
              <w:bottom w:val="dashSmallGap" w:sz="4" w:space="0" w:color="auto"/>
            </w:tcBorders>
            <w:vAlign w:val="center"/>
            <w:hideMark/>
          </w:tcPr>
          <w:p w14:paraId="4677C75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83 (69.17%)</w:t>
            </w:r>
          </w:p>
        </w:tc>
        <w:tc>
          <w:tcPr>
            <w:tcW w:w="1351" w:type="dxa"/>
            <w:tcBorders>
              <w:top w:val="dashSmallGap" w:sz="4" w:space="0" w:color="auto"/>
              <w:bottom w:val="dashSmallGap" w:sz="4" w:space="0" w:color="auto"/>
            </w:tcBorders>
            <w:vAlign w:val="center"/>
            <w:hideMark/>
          </w:tcPr>
          <w:p w14:paraId="7C26260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(31.67%)</w:t>
            </w:r>
          </w:p>
        </w:tc>
        <w:tc>
          <w:tcPr>
            <w:tcW w:w="1260" w:type="dxa"/>
            <w:tcBorders>
              <w:top w:val="dashSmallGap" w:sz="4" w:space="0" w:color="auto"/>
              <w:bottom w:val="dashSmallGap" w:sz="4" w:space="0" w:color="auto"/>
            </w:tcBorders>
            <w:noWrap/>
            <w:vAlign w:val="center"/>
            <w:hideMark/>
          </w:tcPr>
          <w:p w14:paraId="5E8D857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7646764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4153A58A" w14:textId="77777777" w:rsidTr="00157DB9">
        <w:trPr>
          <w:trHeight w:val="43"/>
        </w:trPr>
        <w:tc>
          <w:tcPr>
            <w:tcW w:w="3785" w:type="dxa"/>
            <w:tcBorders>
              <w:top w:val="dashSmallGap" w:sz="4" w:space="0" w:color="auto"/>
              <w:bottom w:val="dashSmallGap" w:sz="4" w:space="0" w:color="auto"/>
            </w:tcBorders>
            <w:vAlign w:val="center"/>
            <w:hideMark/>
          </w:tcPr>
          <w:p w14:paraId="064E9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Unsold food is </w:t>
            </w:r>
            <w:r w:rsidR="00D05C9F" w:rsidRPr="00246AD2">
              <w:rPr>
                <w:rFonts w:ascii="Calibri" w:eastAsia="Times New Roman" w:hAnsi="Calibri" w:cs="Calibri"/>
                <w:kern w:val="0"/>
                <w:sz w:val="20"/>
                <w:szCs w:val="20"/>
                <w14:ligatures w14:val="none"/>
              </w:rPr>
              <w:t>wasted</w:t>
            </w:r>
          </w:p>
        </w:tc>
        <w:tc>
          <w:tcPr>
            <w:tcW w:w="1440" w:type="dxa"/>
            <w:tcBorders>
              <w:top w:val="dashSmallGap" w:sz="4" w:space="0" w:color="auto"/>
              <w:bottom w:val="dashSmallGap" w:sz="4" w:space="0" w:color="auto"/>
            </w:tcBorders>
            <w:vAlign w:val="center"/>
            <w:hideMark/>
          </w:tcPr>
          <w:p w14:paraId="10D5ABE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703127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28CBA80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27FA1DB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73B3E0D8" w14:textId="77777777" w:rsidTr="00157DB9">
        <w:trPr>
          <w:trHeight w:val="43"/>
        </w:trPr>
        <w:tc>
          <w:tcPr>
            <w:tcW w:w="3785" w:type="dxa"/>
            <w:tcBorders>
              <w:top w:val="dashSmallGap" w:sz="4" w:space="0" w:color="auto"/>
              <w:bottom w:val="dashSmallGap" w:sz="4" w:space="0" w:color="auto"/>
            </w:tcBorders>
            <w:vAlign w:val="center"/>
            <w:hideMark/>
          </w:tcPr>
          <w:p w14:paraId="41027CB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Food waste is separated from </w:t>
            </w:r>
            <w:r w:rsidR="00D05C9F" w:rsidRPr="00246AD2">
              <w:rPr>
                <w:rFonts w:ascii="Calibri" w:eastAsia="Times New Roman" w:hAnsi="Calibri" w:cs="Calibri"/>
                <w:kern w:val="0"/>
                <w:sz w:val="20"/>
                <w:szCs w:val="20"/>
                <w14:ligatures w14:val="none"/>
              </w:rPr>
              <w:t>good</w:t>
            </w:r>
            <w:r w:rsidRPr="00246AD2">
              <w:rPr>
                <w:rFonts w:ascii="Calibri" w:eastAsia="Times New Roman" w:hAnsi="Calibri" w:cs="Calibri"/>
                <w:kern w:val="0"/>
                <w:sz w:val="20"/>
                <w:szCs w:val="20"/>
                <w14:ligatures w14:val="none"/>
              </w:rPr>
              <w:t xml:space="preserve"> food</w:t>
            </w:r>
          </w:p>
        </w:tc>
        <w:tc>
          <w:tcPr>
            <w:tcW w:w="1440" w:type="dxa"/>
            <w:tcBorders>
              <w:top w:val="dashSmallGap" w:sz="4" w:space="0" w:color="auto"/>
              <w:bottom w:val="dashSmallGap" w:sz="4" w:space="0" w:color="auto"/>
            </w:tcBorders>
            <w:vAlign w:val="center"/>
            <w:hideMark/>
          </w:tcPr>
          <w:p w14:paraId="177773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69 (57.50%)</w:t>
            </w:r>
          </w:p>
        </w:tc>
        <w:tc>
          <w:tcPr>
            <w:tcW w:w="1351" w:type="dxa"/>
            <w:tcBorders>
              <w:top w:val="dashSmallGap" w:sz="4" w:space="0" w:color="auto"/>
              <w:bottom w:val="dashSmallGap" w:sz="4" w:space="0" w:color="auto"/>
            </w:tcBorders>
            <w:vAlign w:val="center"/>
            <w:hideMark/>
          </w:tcPr>
          <w:p w14:paraId="5C9D0BE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(42.50%)</w:t>
            </w:r>
          </w:p>
        </w:tc>
        <w:tc>
          <w:tcPr>
            <w:tcW w:w="1260" w:type="dxa"/>
            <w:tcBorders>
              <w:top w:val="dashSmallGap" w:sz="4" w:space="0" w:color="auto"/>
              <w:bottom w:val="dashSmallGap" w:sz="4" w:space="0" w:color="auto"/>
            </w:tcBorders>
            <w:noWrap/>
            <w:vAlign w:val="center"/>
            <w:hideMark/>
          </w:tcPr>
          <w:p w14:paraId="0FDECA9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47 (61.84%)</w:t>
            </w:r>
          </w:p>
        </w:tc>
        <w:tc>
          <w:tcPr>
            <w:tcW w:w="1260" w:type="dxa"/>
            <w:tcBorders>
              <w:top w:val="dashSmallGap" w:sz="4" w:space="0" w:color="auto"/>
              <w:bottom w:val="dashSmallGap" w:sz="4" w:space="0" w:color="auto"/>
            </w:tcBorders>
            <w:noWrap/>
            <w:vAlign w:val="center"/>
            <w:hideMark/>
          </w:tcPr>
          <w:p w14:paraId="710F516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29 (38.16%)</w:t>
            </w:r>
          </w:p>
        </w:tc>
      </w:tr>
      <w:tr w:rsidR="00246AD2" w:rsidRPr="00246AD2" w14:paraId="45D7475A" w14:textId="77777777" w:rsidTr="00157DB9">
        <w:trPr>
          <w:trHeight w:val="43"/>
        </w:trPr>
        <w:tc>
          <w:tcPr>
            <w:tcW w:w="3785" w:type="dxa"/>
            <w:tcBorders>
              <w:top w:val="dashSmallGap" w:sz="4" w:space="0" w:color="auto"/>
              <w:bottom w:val="dashSmallGap" w:sz="4" w:space="0" w:color="auto"/>
            </w:tcBorders>
            <w:vAlign w:val="center"/>
            <w:hideMark/>
          </w:tcPr>
          <w:p w14:paraId="56C5B04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Unsold food is reused or fed to animals</w:t>
            </w:r>
          </w:p>
        </w:tc>
        <w:tc>
          <w:tcPr>
            <w:tcW w:w="1440" w:type="dxa"/>
            <w:tcBorders>
              <w:top w:val="dashSmallGap" w:sz="4" w:space="0" w:color="auto"/>
              <w:bottom w:val="dashSmallGap" w:sz="4" w:space="0" w:color="auto"/>
            </w:tcBorders>
            <w:vAlign w:val="center"/>
            <w:hideMark/>
          </w:tcPr>
          <w:p w14:paraId="7908B70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(15.00%)</w:t>
            </w:r>
          </w:p>
        </w:tc>
        <w:tc>
          <w:tcPr>
            <w:tcW w:w="1351" w:type="dxa"/>
            <w:tcBorders>
              <w:top w:val="dashSmallGap" w:sz="4" w:space="0" w:color="auto"/>
              <w:bottom w:val="dashSmallGap" w:sz="4" w:space="0" w:color="auto"/>
            </w:tcBorders>
            <w:vAlign w:val="center"/>
            <w:hideMark/>
          </w:tcPr>
          <w:p w14:paraId="5E63B2C8"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102 (85.00%)</w:t>
            </w:r>
          </w:p>
        </w:tc>
        <w:tc>
          <w:tcPr>
            <w:tcW w:w="1260" w:type="dxa"/>
            <w:tcBorders>
              <w:top w:val="dashSmallGap" w:sz="4" w:space="0" w:color="auto"/>
              <w:bottom w:val="dashSmallGap" w:sz="4" w:space="0" w:color="auto"/>
            </w:tcBorders>
            <w:noWrap/>
            <w:vAlign w:val="center"/>
            <w:hideMark/>
          </w:tcPr>
          <w:p w14:paraId="31CE981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(28.95%)</w:t>
            </w:r>
          </w:p>
        </w:tc>
        <w:tc>
          <w:tcPr>
            <w:tcW w:w="1260" w:type="dxa"/>
            <w:tcBorders>
              <w:top w:val="dashSmallGap" w:sz="4" w:space="0" w:color="auto"/>
              <w:bottom w:val="dashSmallGap" w:sz="4" w:space="0" w:color="auto"/>
            </w:tcBorders>
            <w:noWrap/>
            <w:vAlign w:val="center"/>
            <w:hideMark/>
          </w:tcPr>
          <w:p w14:paraId="5DACB63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(71.05%)</w:t>
            </w:r>
          </w:p>
        </w:tc>
      </w:tr>
      <w:tr w:rsidR="00246AD2" w:rsidRPr="00246AD2" w14:paraId="2BEFDE1A" w14:textId="77777777" w:rsidTr="00157DB9">
        <w:trPr>
          <w:trHeight w:val="43"/>
        </w:trPr>
        <w:tc>
          <w:tcPr>
            <w:tcW w:w="3785" w:type="dxa"/>
            <w:tcBorders>
              <w:top w:val="dashSmallGap" w:sz="4" w:space="0" w:color="auto"/>
              <w:bottom w:val="dashSmallGap" w:sz="4" w:space="0" w:color="auto"/>
            </w:tcBorders>
            <w:vAlign w:val="center"/>
            <w:hideMark/>
          </w:tcPr>
          <w:p w14:paraId="6ED92CB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First-in, first-out (FIFO) practice</w:t>
            </w:r>
            <w:r w:rsidR="00D05C9F" w:rsidRPr="00246AD2">
              <w:rPr>
                <w:rFonts w:ascii="Calibri" w:eastAsia="Times New Roman" w:hAnsi="Calibri" w:cs="Calibri"/>
                <w:kern w:val="0"/>
                <w:sz w:val="20"/>
                <w:szCs w:val="20"/>
                <w14:ligatures w14:val="none"/>
              </w:rPr>
              <w:t>d</w:t>
            </w:r>
          </w:p>
        </w:tc>
        <w:tc>
          <w:tcPr>
            <w:tcW w:w="1440" w:type="dxa"/>
            <w:tcBorders>
              <w:top w:val="dashSmallGap" w:sz="4" w:space="0" w:color="auto"/>
              <w:bottom w:val="dashSmallGap" w:sz="4" w:space="0" w:color="auto"/>
            </w:tcBorders>
            <w:vAlign w:val="center"/>
            <w:hideMark/>
          </w:tcPr>
          <w:p w14:paraId="1C94A32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0D44A83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1DF679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139A926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2854A7FA" w14:textId="77777777" w:rsidTr="00157DB9">
        <w:trPr>
          <w:trHeight w:val="43"/>
        </w:trPr>
        <w:tc>
          <w:tcPr>
            <w:tcW w:w="3785" w:type="dxa"/>
            <w:tcBorders>
              <w:top w:val="dashSmallGap" w:sz="4" w:space="0" w:color="auto"/>
              <w:bottom w:val="single" w:sz="4" w:space="0" w:color="auto"/>
            </w:tcBorders>
            <w:vAlign w:val="center"/>
            <w:hideMark/>
          </w:tcPr>
          <w:p w14:paraId="2C284D02"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Readiness to adopt FLW-reducing practices.</w:t>
            </w:r>
          </w:p>
        </w:tc>
        <w:tc>
          <w:tcPr>
            <w:tcW w:w="1440" w:type="dxa"/>
            <w:tcBorders>
              <w:top w:val="dashSmallGap" w:sz="4" w:space="0" w:color="auto"/>
              <w:bottom w:val="single" w:sz="4" w:space="0" w:color="auto"/>
            </w:tcBorders>
            <w:vAlign w:val="center"/>
            <w:hideMark/>
          </w:tcPr>
          <w:p w14:paraId="211F1D18"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single" w:sz="4" w:space="0" w:color="auto"/>
            </w:tcBorders>
            <w:vAlign w:val="center"/>
            <w:hideMark/>
          </w:tcPr>
          <w:p w14:paraId="41ABF39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single" w:sz="4" w:space="0" w:color="auto"/>
            </w:tcBorders>
            <w:noWrap/>
            <w:vAlign w:val="center"/>
            <w:hideMark/>
          </w:tcPr>
          <w:p w14:paraId="7CADBC54"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63 (82.89%)</w:t>
            </w:r>
          </w:p>
        </w:tc>
        <w:tc>
          <w:tcPr>
            <w:tcW w:w="1260" w:type="dxa"/>
            <w:tcBorders>
              <w:top w:val="dashSmallGap" w:sz="4" w:space="0" w:color="auto"/>
              <w:bottom w:val="single" w:sz="4" w:space="0" w:color="auto"/>
            </w:tcBorders>
            <w:noWrap/>
            <w:vAlign w:val="center"/>
            <w:hideMark/>
          </w:tcPr>
          <w:p w14:paraId="301ECAB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r>
    </w:tbl>
    <w:p w14:paraId="52BCEA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47192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Retail owners in rural markets demonstrated relatively high awareness of the drivers of food loss and waste (FLW), particularly poor transportation, selling delays, and over-purchasing (Sarangi et al., 2024; Tsai et al., 2025). Similar patterns among vegetable and fruit retailers indicate that FLW is widely recognized as a systemic issue rather than being commodity-specific. Limited cold storage and improper handling were consistently identified as major contributors, aligning with evidence from low- and middle-income countries, where infrastructure gaps dominate post-harvest losses (Pedrotti et al., 2023; Owino et al., 2025). Although the use of waste bins and separation practices remains moderate, widespread adoption of FIFO practices and strong willingness to implement improved measures suggest substantial potential for behavior-based interventions alongside infrastructure investments (</w:t>
      </w:r>
      <w:proofErr w:type="spellStart"/>
      <w:r w:rsidRPr="00246AD2">
        <w:rPr>
          <w:rFonts w:ascii="Calibri" w:hAnsi="Calibri" w:cs="Calibri"/>
          <w:sz w:val="22"/>
          <w:szCs w:val="22"/>
        </w:rPr>
        <w:t>Urugo</w:t>
      </w:r>
      <w:proofErr w:type="spellEnd"/>
      <w:r w:rsidRPr="00246AD2">
        <w:rPr>
          <w:rFonts w:ascii="Calibri" w:hAnsi="Calibri" w:cs="Calibri"/>
          <w:sz w:val="22"/>
          <w:szCs w:val="22"/>
        </w:rPr>
        <w:t xml:space="preserve"> et al., 2024). Overall, the findings indicate good awareness of FLW issues, though gaps persist in practical waste management and reuse behaviors.</w:t>
      </w:r>
    </w:p>
    <w:p w14:paraId="0402890B"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70502EA7" w14:textId="77777777" w:rsidR="00B21D21" w:rsidRPr="00246AD2" w:rsidRDefault="00B21D21" w:rsidP="00066F93">
      <w:pPr>
        <w:pStyle w:val="NormalWeb"/>
        <w:spacing w:before="0" w:beforeAutospacing="0" w:after="0" w:afterAutospacing="0"/>
        <w:jc w:val="both"/>
        <w:rPr>
          <w:rFonts w:ascii="Calibri" w:hAnsi="Calibri" w:cs="Calibri"/>
          <w:b/>
          <w:sz w:val="22"/>
          <w:szCs w:val="22"/>
          <w:shd w:val="clear" w:color="auto" w:fill="FFFFFF"/>
        </w:rPr>
      </w:pPr>
      <w:r w:rsidRPr="00246AD2">
        <w:rPr>
          <w:rFonts w:ascii="Calibri" w:hAnsi="Calibri" w:cs="Calibri"/>
          <w:b/>
          <w:sz w:val="22"/>
          <w:szCs w:val="22"/>
          <w:shd w:val="clear" w:color="auto" w:fill="FFFFFF"/>
        </w:rPr>
        <w:t xml:space="preserve"> </w:t>
      </w:r>
      <w:r w:rsidR="00E350C6" w:rsidRPr="00246AD2">
        <w:rPr>
          <w:rFonts w:ascii="Calibri" w:hAnsi="Calibri" w:cs="Calibri"/>
          <w:b/>
          <w:sz w:val="22"/>
          <w:szCs w:val="22"/>
          <w:shd w:val="clear" w:color="auto" w:fill="FFFFFF"/>
        </w:rPr>
        <w:t xml:space="preserve">3.4 </w:t>
      </w:r>
      <w:r w:rsidRPr="00246AD2">
        <w:rPr>
          <w:rFonts w:ascii="Calibri" w:hAnsi="Calibri" w:cs="Calibri"/>
          <w:b/>
          <w:sz w:val="22"/>
          <w:szCs w:val="22"/>
          <w:shd w:val="clear" w:color="auto" w:fill="FFFFFF"/>
        </w:rPr>
        <w:t>Retail owners' perception of the environmental impacts of FLW in rural markets</w:t>
      </w:r>
    </w:p>
    <w:p w14:paraId="4F1ABDB2"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study findings indicate that retail owners in rural markets demonstrate substantial awareness of the environmental impacts of food loss and waste (FLW), particularly for vegetables and fruits. Specifically, 75.0% of vegetable retailers and 72.37% of fruit retailers acknowledged that FLW contributes to environmental pollution, while 74.17% and 76.32% of vegetable and fruit retailers, respectively, recognized the public health risks associated with improper waste disposal. Awareness of FLW’s role in climate change through greenhouse gas emissions was moderate, with 51.67% of vegetable and 52.63% of fruit retailers acknowledging this impact. Nonetheless, 80.83% of vegetable and 89.47% of fruit retailers emphasized the importance of reducing FLW for environmental protection and strongly recognized their own responsibility for its environmental consequences.</w:t>
      </w:r>
    </w:p>
    <w:p w14:paraId="4FEC2769"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1B0C781" w14:textId="77777777" w:rsidR="0024502B" w:rsidRPr="0024502B" w:rsidRDefault="0024502B" w:rsidP="0024502B">
      <w:pPr>
        <w:pStyle w:val="Caption"/>
        <w:keepNext/>
        <w:rPr>
          <w:i w:val="0"/>
          <w:color w:val="auto"/>
          <w:sz w:val="22"/>
          <w:szCs w:val="22"/>
        </w:rPr>
      </w:pPr>
      <w:r w:rsidRPr="0024502B">
        <w:rPr>
          <w:i w:val="0"/>
          <w:color w:val="auto"/>
          <w:sz w:val="22"/>
          <w:szCs w:val="22"/>
        </w:rPr>
        <w:lastRenderedPageBreak/>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sidRPr="0024502B">
        <w:rPr>
          <w:i w:val="0"/>
          <w:noProof/>
          <w:color w:val="auto"/>
          <w:sz w:val="22"/>
          <w:szCs w:val="22"/>
        </w:rPr>
        <w:t>4</w:t>
      </w:r>
      <w:r w:rsidRPr="0024502B">
        <w:rPr>
          <w:i w:val="0"/>
          <w:color w:val="auto"/>
          <w:sz w:val="22"/>
          <w:szCs w:val="22"/>
        </w:rPr>
        <w:fldChar w:fldCharType="end"/>
      </w:r>
      <w:r w:rsidRPr="0024502B">
        <w:rPr>
          <w:i w:val="0"/>
          <w:color w:val="auto"/>
          <w:sz w:val="22"/>
          <w:szCs w:val="22"/>
        </w:rPr>
        <w:t>: Retail owners' perception of the environmental impacts of FLW in rural markets</w:t>
      </w:r>
    </w:p>
    <w:tbl>
      <w:tblPr>
        <w:tblW w:w="8530" w:type="dxa"/>
        <w:tblInd w:w="-5" w:type="dxa"/>
        <w:tblBorders>
          <w:insideH w:val="single" w:sz="4" w:space="0" w:color="auto"/>
          <w:insideV w:val="single" w:sz="4" w:space="0" w:color="auto"/>
        </w:tblBorders>
        <w:tblLook w:val="04A0" w:firstRow="1" w:lastRow="0" w:firstColumn="1" w:lastColumn="0" w:noHBand="0" w:noVBand="1"/>
      </w:tblPr>
      <w:tblGrid>
        <w:gridCol w:w="4415"/>
        <w:gridCol w:w="1080"/>
        <w:gridCol w:w="1080"/>
        <w:gridCol w:w="1080"/>
        <w:gridCol w:w="875"/>
      </w:tblGrid>
      <w:tr w:rsidR="00B21D21" w:rsidRPr="00246AD2" w14:paraId="4D707189" w14:textId="77777777" w:rsidTr="00D05C9F">
        <w:trPr>
          <w:trHeight w:val="145"/>
        </w:trPr>
        <w:tc>
          <w:tcPr>
            <w:tcW w:w="4415" w:type="dxa"/>
            <w:vMerge w:val="restart"/>
            <w:tcBorders>
              <w:top w:val="single" w:sz="4" w:space="0" w:color="auto"/>
              <w:bottom w:val="single" w:sz="4" w:space="0" w:color="auto"/>
            </w:tcBorders>
            <w:vAlign w:val="center"/>
            <w:hideMark/>
          </w:tcPr>
          <w:p w14:paraId="65E269F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Environmental Impacts of FLW</w:t>
            </w:r>
          </w:p>
        </w:tc>
        <w:tc>
          <w:tcPr>
            <w:tcW w:w="2160" w:type="dxa"/>
            <w:gridSpan w:val="2"/>
            <w:tcBorders>
              <w:top w:val="single" w:sz="4" w:space="0" w:color="auto"/>
              <w:bottom w:val="single" w:sz="4" w:space="0" w:color="auto"/>
            </w:tcBorders>
            <w:vAlign w:val="center"/>
            <w:hideMark/>
          </w:tcPr>
          <w:p w14:paraId="3A081B3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Vegetables</w:t>
            </w:r>
          </w:p>
        </w:tc>
        <w:tc>
          <w:tcPr>
            <w:tcW w:w="1955" w:type="dxa"/>
            <w:gridSpan w:val="2"/>
            <w:tcBorders>
              <w:top w:val="single" w:sz="4" w:space="0" w:color="auto"/>
              <w:bottom w:val="single" w:sz="4" w:space="0" w:color="auto"/>
            </w:tcBorders>
            <w:vAlign w:val="center"/>
            <w:hideMark/>
          </w:tcPr>
          <w:p w14:paraId="6409222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Fruits</w:t>
            </w:r>
          </w:p>
        </w:tc>
      </w:tr>
      <w:tr w:rsidR="00246AD2" w:rsidRPr="00246AD2" w14:paraId="1164E5BC" w14:textId="77777777" w:rsidTr="00F87BE8">
        <w:trPr>
          <w:trHeight w:val="145"/>
        </w:trPr>
        <w:tc>
          <w:tcPr>
            <w:tcW w:w="4415" w:type="dxa"/>
            <w:vMerge/>
            <w:tcBorders>
              <w:top w:val="single" w:sz="4" w:space="0" w:color="auto"/>
              <w:bottom w:val="single" w:sz="4" w:space="0" w:color="auto"/>
            </w:tcBorders>
            <w:vAlign w:val="center"/>
            <w:hideMark/>
          </w:tcPr>
          <w:p w14:paraId="6DC06B29"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tc>
        <w:tc>
          <w:tcPr>
            <w:tcW w:w="1080" w:type="dxa"/>
            <w:tcBorders>
              <w:top w:val="single" w:sz="4" w:space="0" w:color="auto"/>
              <w:bottom w:val="single" w:sz="4" w:space="0" w:color="auto"/>
              <w:right w:val="nil"/>
            </w:tcBorders>
            <w:vAlign w:val="center"/>
            <w:hideMark/>
          </w:tcPr>
          <w:p w14:paraId="09DBEE4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1080" w:type="dxa"/>
            <w:tcBorders>
              <w:top w:val="single" w:sz="4" w:space="0" w:color="auto"/>
              <w:left w:val="nil"/>
              <w:bottom w:val="single" w:sz="4" w:space="0" w:color="auto"/>
              <w:right w:val="single" w:sz="4" w:space="0" w:color="auto"/>
            </w:tcBorders>
            <w:vAlign w:val="center"/>
            <w:hideMark/>
          </w:tcPr>
          <w:p w14:paraId="55518A63"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c>
          <w:tcPr>
            <w:tcW w:w="1080" w:type="dxa"/>
            <w:tcBorders>
              <w:top w:val="single" w:sz="4" w:space="0" w:color="auto"/>
              <w:left w:val="single" w:sz="4" w:space="0" w:color="auto"/>
              <w:bottom w:val="single" w:sz="4" w:space="0" w:color="auto"/>
              <w:right w:val="nil"/>
            </w:tcBorders>
            <w:vAlign w:val="center"/>
            <w:hideMark/>
          </w:tcPr>
          <w:p w14:paraId="3436DB52"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875" w:type="dxa"/>
            <w:tcBorders>
              <w:top w:val="single" w:sz="4" w:space="0" w:color="auto"/>
              <w:left w:val="nil"/>
              <w:bottom w:val="single" w:sz="4" w:space="0" w:color="auto"/>
            </w:tcBorders>
            <w:vAlign w:val="center"/>
            <w:hideMark/>
          </w:tcPr>
          <w:p w14:paraId="3788AD16"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r>
      <w:tr w:rsidR="00246AD2" w:rsidRPr="00246AD2" w14:paraId="7E3E874D" w14:textId="77777777" w:rsidTr="009D5F75">
        <w:trPr>
          <w:trHeight w:val="145"/>
        </w:trPr>
        <w:tc>
          <w:tcPr>
            <w:tcW w:w="4415" w:type="dxa"/>
            <w:tcBorders>
              <w:top w:val="single" w:sz="4" w:space="0" w:color="auto"/>
              <w:bottom w:val="single" w:sz="4" w:space="0" w:color="auto"/>
              <w:right w:val="nil"/>
            </w:tcBorders>
            <w:vAlign w:val="center"/>
            <w:hideMark/>
          </w:tcPr>
          <w:p w14:paraId="66CE0E5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contributes to environmental pollution</w:t>
            </w:r>
          </w:p>
        </w:tc>
        <w:tc>
          <w:tcPr>
            <w:tcW w:w="1080" w:type="dxa"/>
            <w:tcBorders>
              <w:top w:val="single" w:sz="4" w:space="0" w:color="auto"/>
              <w:left w:val="nil"/>
              <w:bottom w:val="single" w:sz="4" w:space="0" w:color="auto"/>
              <w:right w:val="nil"/>
            </w:tcBorders>
            <w:noWrap/>
            <w:vAlign w:val="center"/>
            <w:hideMark/>
          </w:tcPr>
          <w:p w14:paraId="0A0A51B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75.00%</w:t>
            </w:r>
          </w:p>
        </w:tc>
        <w:tc>
          <w:tcPr>
            <w:tcW w:w="1080" w:type="dxa"/>
            <w:tcBorders>
              <w:top w:val="single" w:sz="4" w:space="0" w:color="auto"/>
              <w:left w:val="nil"/>
              <w:bottom w:val="single" w:sz="4" w:space="0" w:color="auto"/>
              <w:right w:val="nil"/>
            </w:tcBorders>
            <w:noWrap/>
            <w:vAlign w:val="center"/>
            <w:hideMark/>
          </w:tcPr>
          <w:p w14:paraId="48EEA9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single" w:sz="4" w:space="0" w:color="auto"/>
              <w:left w:val="nil"/>
              <w:bottom w:val="single" w:sz="4" w:space="0" w:color="auto"/>
              <w:right w:val="nil"/>
            </w:tcBorders>
            <w:noWrap/>
            <w:vAlign w:val="center"/>
            <w:hideMark/>
          </w:tcPr>
          <w:p w14:paraId="06F638F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72.37%</w:t>
            </w:r>
          </w:p>
        </w:tc>
        <w:tc>
          <w:tcPr>
            <w:tcW w:w="875" w:type="dxa"/>
            <w:tcBorders>
              <w:top w:val="single" w:sz="4" w:space="0" w:color="auto"/>
              <w:left w:val="nil"/>
              <w:bottom w:val="single" w:sz="4" w:space="0" w:color="auto"/>
            </w:tcBorders>
            <w:noWrap/>
            <w:vAlign w:val="center"/>
            <w:hideMark/>
          </w:tcPr>
          <w:p w14:paraId="2EF4BE8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3E103F2F" w14:textId="77777777" w:rsidTr="009D5F75">
        <w:trPr>
          <w:trHeight w:val="145"/>
        </w:trPr>
        <w:tc>
          <w:tcPr>
            <w:tcW w:w="4415" w:type="dxa"/>
            <w:tcBorders>
              <w:top w:val="single" w:sz="4" w:space="0" w:color="auto"/>
              <w:bottom w:val="dashSmallGap" w:sz="4" w:space="0" w:color="auto"/>
              <w:right w:val="nil"/>
            </w:tcBorders>
            <w:vAlign w:val="center"/>
            <w:hideMark/>
          </w:tcPr>
          <w:p w14:paraId="3FD986A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pressures land and water resources</w:t>
            </w:r>
          </w:p>
        </w:tc>
        <w:tc>
          <w:tcPr>
            <w:tcW w:w="1080" w:type="dxa"/>
            <w:tcBorders>
              <w:top w:val="single" w:sz="4" w:space="0" w:color="auto"/>
              <w:left w:val="nil"/>
              <w:bottom w:val="dashSmallGap" w:sz="4" w:space="0" w:color="auto"/>
              <w:right w:val="nil"/>
            </w:tcBorders>
            <w:noWrap/>
            <w:vAlign w:val="center"/>
            <w:hideMark/>
          </w:tcPr>
          <w:p w14:paraId="170F0A3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42.50%</w:t>
            </w:r>
          </w:p>
        </w:tc>
        <w:tc>
          <w:tcPr>
            <w:tcW w:w="1080" w:type="dxa"/>
            <w:tcBorders>
              <w:top w:val="single" w:sz="4" w:space="0" w:color="auto"/>
              <w:left w:val="nil"/>
              <w:bottom w:val="dashSmallGap" w:sz="4" w:space="0" w:color="auto"/>
              <w:right w:val="nil"/>
            </w:tcBorders>
            <w:noWrap/>
            <w:vAlign w:val="center"/>
            <w:hideMark/>
          </w:tcPr>
          <w:p w14:paraId="3706874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85.00%</w:t>
            </w:r>
          </w:p>
        </w:tc>
        <w:tc>
          <w:tcPr>
            <w:tcW w:w="1080" w:type="dxa"/>
            <w:tcBorders>
              <w:top w:val="single" w:sz="4" w:space="0" w:color="auto"/>
              <w:left w:val="nil"/>
              <w:bottom w:val="dashSmallGap" w:sz="4" w:space="0" w:color="auto"/>
              <w:right w:val="nil"/>
            </w:tcBorders>
            <w:noWrap/>
            <w:vAlign w:val="center"/>
            <w:hideMark/>
          </w:tcPr>
          <w:p w14:paraId="1080F0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43.42%</w:t>
            </w:r>
          </w:p>
        </w:tc>
        <w:tc>
          <w:tcPr>
            <w:tcW w:w="875" w:type="dxa"/>
            <w:tcBorders>
              <w:top w:val="single" w:sz="4" w:space="0" w:color="auto"/>
              <w:left w:val="nil"/>
              <w:bottom w:val="dashSmallGap" w:sz="4" w:space="0" w:color="auto"/>
            </w:tcBorders>
            <w:noWrap/>
            <w:vAlign w:val="center"/>
            <w:hideMark/>
          </w:tcPr>
          <w:p w14:paraId="3D854E0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85.53%</w:t>
            </w:r>
          </w:p>
        </w:tc>
      </w:tr>
      <w:tr w:rsidR="00246AD2" w:rsidRPr="00246AD2" w14:paraId="35422350" w14:textId="77777777" w:rsidTr="009D5F75">
        <w:trPr>
          <w:trHeight w:val="145"/>
        </w:trPr>
        <w:tc>
          <w:tcPr>
            <w:tcW w:w="4415" w:type="dxa"/>
            <w:tcBorders>
              <w:top w:val="dashSmallGap" w:sz="4" w:space="0" w:color="auto"/>
              <w:bottom w:val="dashSmallGap" w:sz="4" w:space="0" w:color="auto"/>
              <w:right w:val="nil"/>
            </w:tcBorders>
            <w:vAlign w:val="center"/>
            <w:hideMark/>
          </w:tcPr>
          <w:p w14:paraId="1054CE96"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food waste disposal harms public health</w:t>
            </w:r>
          </w:p>
        </w:tc>
        <w:tc>
          <w:tcPr>
            <w:tcW w:w="1080" w:type="dxa"/>
            <w:tcBorders>
              <w:top w:val="dashSmallGap" w:sz="4" w:space="0" w:color="auto"/>
              <w:left w:val="nil"/>
              <w:bottom w:val="dashSmallGap" w:sz="4" w:space="0" w:color="auto"/>
              <w:right w:val="nil"/>
            </w:tcBorders>
            <w:noWrap/>
            <w:vAlign w:val="center"/>
            <w:hideMark/>
          </w:tcPr>
          <w:p w14:paraId="208602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74.17%</w:t>
            </w:r>
          </w:p>
        </w:tc>
        <w:tc>
          <w:tcPr>
            <w:tcW w:w="1080" w:type="dxa"/>
            <w:tcBorders>
              <w:top w:val="dashSmallGap" w:sz="4" w:space="0" w:color="auto"/>
              <w:left w:val="nil"/>
              <w:bottom w:val="dashSmallGap" w:sz="4" w:space="0" w:color="auto"/>
              <w:right w:val="nil"/>
            </w:tcBorders>
            <w:noWrap/>
            <w:vAlign w:val="center"/>
            <w:hideMark/>
          </w:tcPr>
          <w:p w14:paraId="500E15D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769D5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76.32%</w:t>
            </w:r>
          </w:p>
        </w:tc>
        <w:tc>
          <w:tcPr>
            <w:tcW w:w="875" w:type="dxa"/>
            <w:tcBorders>
              <w:top w:val="dashSmallGap" w:sz="4" w:space="0" w:color="auto"/>
              <w:left w:val="nil"/>
              <w:bottom w:val="dashSmallGap" w:sz="4" w:space="0" w:color="auto"/>
            </w:tcBorders>
            <w:noWrap/>
            <w:vAlign w:val="center"/>
            <w:hideMark/>
          </w:tcPr>
          <w:p w14:paraId="42258A9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5FCEFB68" w14:textId="77777777" w:rsidTr="009D5F75">
        <w:trPr>
          <w:trHeight w:val="145"/>
        </w:trPr>
        <w:tc>
          <w:tcPr>
            <w:tcW w:w="4415" w:type="dxa"/>
            <w:tcBorders>
              <w:top w:val="dashSmallGap" w:sz="4" w:space="0" w:color="auto"/>
              <w:bottom w:val="dashSmallGap" w:sz="4" w:space="0" w:color="auto"/>
              <w:right w:val="nil"/>
            </w:tcBorders>
            <w:vAlign w:val="center"/>
            <w:hideMark/>
          </w:tcPr>
          <w:p w14:paraId="45517BD8"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drives climate change through GHG emissions</w:t>
            </w:r>
          </w:p>
        </w:tc>
        <w:tc>
          <w:tcPr>
            <w:tcW w:w="1080" w:type="dxa"/>
            <w:tcBorders>
              <w:top w:val="dashSmallGap" w:sz="4" w:space="0" w:color="auto"/>
              <w:left w:val="nil"/>
              <w:bottom w:val="dashSmallGap" w:sz="4" w:space="0" w:color="auto"/>
              <w:right w:val="nil"/>
            </w:tcBorders>
            <w:noWrap/>
            <w:vAlign w:val="center"/>
            <w:hideMark/>
          </w:tcPr>
          <w:p w14:paraId="6208E7C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51.67%</w:t>
            </w:r>
          </w:p>
        </w:tc>
        <w:tc>
          <w:tcPr>
            <w:tcW w:w="1080" w:type="dxa"/>
            <w:tcBorders>
              <w:top w:val="dashSmallGap" w:sz="4" w:space="0" w:color="auto"/>
              <w:left w:val="nil"/>
              <w:bottom w:val="dashSmallGap" w:sz="4" w:space="0" w:color="auto"/>
              <w:right w:val="nil"/>
            </w:tcBorders>
            <w:noWrap/>
            <w:vAlign w:val="center"/>
            <w:hideMark/>
          </w:tcPr>
          <w:p w14:paraId="0AAFD29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dashSmallGap" w:sz="4" w:space="0" w:color="auto"/>
              <w:left w:val="nil"/>
              <w:bottom w:val="dashSmallGap" w:sz="4" w:space="0" w:color="auto"/>
              <w:right w:val="nil"/>
            </w:tcBorders>
            <w:noWrap/>
            <w:vAlign w:val="center"/>
            <w:hideMark/>
          </w:tcPr>
          <w:p w14:paraId="162EF8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52.63%</w:t>
            </w:r>
          </w:p>
        </w:tc>
        <w:tc>
          <w:tcPr>
            <w:tcW w:w="875" w:type="dxa"/>
            <w:tcBorders>
              <w:top w:val="dashSmallGap" w:sz="4" w:space="0" w:color="auto"/>
              <w:left w:val="nil"/>
              <w:bottom w:val="dashSmallGap" w:sz="4" w:space="0" w:color="auto"/>
            </w:tcBorders>
            <w:noWrap/>
            <w:vAlign w:val="center"/>
            <w:hideMark/>
          </w:tcPr>
          <w:p w14:paraId="22F6595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1D83110F" w14:textId="77777777" w:rsidTr="009D5F75">
        <w:trPr>
          <w:trHeight w:val="145"/>
        </w:trPr>
        <w:tc>
          <w:tcPr>
            <w:tcW w:w="4415" w:type="dxa"/>
            <w:tcBorders>
              <w:top w:val="dashSmallGap" w:sz="4" w:space="0" w:color="auto"/>
              <w:bottom w:val="dashSmallGap" w:sz="4" w:space="0" w:color="auto"/>
              <w:right w:val="nil"/>
            </w:tcBorders>
            <w:vAlign w:val="center"/>
            <w:hideMark/>
          </w:tcPr>
          <w:p w14:paraId="228FAE95"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Reducing FLW protects the environment</w:t>
            </w:r>
          </w:p>
        </w:tc>
        <w:tc>
          <w:tcPr>
            <w:tcW w:w="1080" w:type="dxa"/>
            <w:tcBorders>
              <w:top w:val="dashSmallGap" w:sz="4" w:space="0" w:color="auto"/>
              <w:left w:val="nil"/>
              <w:bottom w:val="dashSmallGap" w:sz="4" w:space="0" w:color="auto"/>
              <w:right w:val="nil"/>
            </w:tcBorders>
            <w:noWrap/>
            <w:vAlign w:val="center"/>
            <w:hideMark/>
          </w:tcPr>
          <w:p w14:paraId="7D294F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80.83%</w:t>
            </w:r>
          </w:p>
        </w:tc>
        <w:tc>
          <w:tcPr>
            <w:tcW w:w="1080" w:type="dxa"/>
            <w:tcBorders>
              <w:top w:val="dashSmallGap" w:sz="4" w:space="0" w:color="auto"/>
              <w:left w:val="nil"/>
              <w:bottom w:val="dashSmallGap" w:sz="4" w:space="0" w:color="auto"/>
              <w:right w:val="nil"/>
            </w:tcBorders>
            <w:noWrap/>
            <w:vAlign w:val="center"/>
            <w:hideMark/>
          </w:tcPr>
          <w:p w14:paraId="34EA95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17.50%</w:t>
            </w:r>
          </w:p>
        </w:tc>
        <w:tc>
          <w:tcPr>
            <w:tcW w:w="1080" w:type="dxa"/>
            <w:tcBorders>
              <w:top w:val="dashSmallGap" w:sz="4" w:space="0" w:color="auto"/>
              <w:left w:val="nil"/>
              <w:bottom w:val="dashSmallGap" w:sz="4" w:space="0" w:color="auto"/>
              <w:right w:val="nil"/>
            </w:tcBorders>
            <w:noWrap/>
            <w:vAlign w:val="center"/>
            <w:hideMark/>
          </w:tcPr>
          <w:p w14:paraId="2673480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89.47%</w:t>
            </w:r>
          </w:p>
        </w:tc>
        <w:tc>
          <w:tcPr>
            <w:tcW w:w="875" w:type="dxa"/>
            <w:tcBorders>
              <w:top w:val="dashSmallGap" w:sz="4" w:space="0" w:color="auto"/>
              <w:left w:val="nil"/>
              <w:bottom w:val="dashSmallGap" w:sz="4" w:space="0" w:color="auto"/>
            </w:tcBorders>
            <w:noWrap/>
            <w:vAlign w:val="center"/>
            <w:hideMark/>
          </w:tcPr>
          <w:p w14:paraId="2F9FB8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46BA5181" w14:textId="77777777" w:rsidTr="009D5F75">
        <w:trPr>
          <w:trHeight w:val="145"/>
        </w:trPr>
        <w:tc>
          <w:tcPr>
            <w:tcW w:w="4415" w:type="dxa"/>
            <w:tcBorders>
              <w:top w:val="dashSmallGap" w:sz="4" w:space="0" w:color="auto"/>
              <w:bottom w:val="dashSmallGap" w:sz="4" w:space="0" w:color="auto"/>
              <w:right w:val="nil"/>
            </w:tcBorders>
            <w:vAlign w:val="center"/>
            <w:hideMark/>
          </w:tcPr>
          <w:p w14:paraId="48323714"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Responsibility to reduce the market environment</w:t>
            </w:r>
          </w:p>
        </w:tc>
        <w:tc>
          <w:tcPr>
            <w:tcW w:w="1080" w:type="dxa"/>
            <w:tcBorders>
              <w:top w:val="dashSmallGap" w:sz="4" w:space="0" w:color="auto"/>
              <w:left w:val="nil"/>
              <w:bottom w:val="dashSmallGap" w:sz="4" w:space="0" w:color="auto"/>
              <w:right w:val="nil"/>
            </w:tcBorders>
            <w:noWrap/>
            <w:vAlign w:val="center"/>
            <w:hideMark/>
          </w:tcPr>
          <w:p w14:paraId="4977D0C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87.50%</w:t>
            </w:r>
          </w:p>
        </w:tc>
        <w:tc>
          <w:tcPr>
            <w:tcW w:w="1080" w:type="dxa"/>
            <w:tcBorders>
              <w:top w:val="dashSmallGap" w:sz="4" w:space="0" w:color="auto"/>
              <w:left w:val="nil"/>
              <w:bottom w:val="dashSmallGap" w:sz="4" w:space="0" w:color="auto"/>
              <w:right w:val="nil"/>
            </w:tcBorders>
            <w:noWrap/>
            <w:vAlign w:val="center"/>
            <w:hideMark/>
          </w:tcPr>
          <w:p w14:paraId="149267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F8CD1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92.11%</w:t>
            </w:r>
          </w:p>
        </w:tc>
        <w:tc>
          <w:tcPr>
            <w:tcW w:w="875" w:type="dxa"/>
            <w:tcBorders>
              <w:top w:val="dashSmallGap" w:sz="4" w:space="0" w:color="auto"/>
              <w:left w:val="nil"/>
              <w:bottom w:val="dashSmallGap" w:sz="4" w:space="0" w:color="auto"/>
            </w:tcBorders>
            <w:noWrap/>
            <w:vAlign w:val="center"/>
            <w:hideMark/>
          </w:tcPr>
          <w:p w14:paraId="685CAF3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409FEED8" w14:textId="77777777" w:rsidTr="009D5F75">
        <w:trPr>
          <w:trHeight w:val="145"/>
        </w:trPr>
        <w:tc>
          <w:tcPr>
            <w:tcW w:w="4415" w:type="dxa"/>
            <w:tcBorders>
              <w:top w:val="dashSmallGap" w:sz="4" w:space="0" w:color="auto"/>
              <w:bottom w:val="dashSmallGap" w:sz="4" w:space="0" w:color="auto"/>
              <w:right w:val="nil"/>
            </w:tcBorders>
            <w:vAlign w:val="center"/>
            <w:hideMark/>
          </w:tcPr>
          <w:p w14:paraId="74D5A61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vs. economic losses of FLW</w:t>
            </w:r>
          </w:p>
        </w:tc>
        <w:tc>
          <w:tcPr>
            <w:tcW w:w="1080" w:type="dxa"/>
            <w:tcBorders>
              <w:top w:val="dashSmallGap" w:sz="4" w:space="0" w:color="auto"/>
              <w:left w:val="nil"/>
              <w:bottom w:val="dashSmallGap" w:sz="4" w:space="0" w:color="auto"/>
              <w:right w:val="nil"/>
            </w:tcBorders>
            <w:noWrap/>
            <w:vAlign w:val="center"/>
            <w:hideMark/>
          </w:tcPr>
          <w:p w14:paraId="4352A8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31.67%</w:t>
            </w:r>
          </w:p>
        </w:tc>
        <w:tc>
          <w:tcPr>
            <w:tcW w:w="1080" w:type="dxa"/>
            <w:tcBorders>
              <w:top w:val="dashSmallGap" w:sz="4" w:space="0" w:color="auto"/>
              <w:left w:val="nil"/>
              <w:bottom w:val="dashSmallGap" w:sz="4" w:space="0" w:color="auto"/>
              <w:right w:val="nil"/>
            </w:tcBorders>
            <w:noWrap/>
            <w:vAlign w:val="center"/>
            <w:hideMark/>
          </w:tcPr>
          <w:p w14:paraId="5507301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0FCC52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30.26%</w:t>
            </w:r>
          </w:p>
        </w:tc>
        <w:tc>
          <w:tcPr>
            <w:tcW w:w="875" w:type="dxa"/>
            <w:tcBorders>
              <w:top w:val="dashSmallGap" w:sz="4" w:space="0" w:color="auto"/>
              <w:left w:val="nil"/>
              <w:bottom w:val="dashSmallGap" w:sz="4" w:space="0" w:color="auto"/>
            </w:tcBorders>
            <w:noWrap/>
            <w:vAlign w:val="center"/>
            <w:hideMark/>
          </w:tcPr>
          <w:p w14:paraId="2C7932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6E7F23F1" w14:textId="77777777" w:rsidTr="009D5F75">
        <w:trPr>
          <w:trHeight w:val="145"/>
        </w:trPr>
        <w:tc>
          <w:tcPr>
            <w:tcW w:w="4415" w:type="dxa"/>
            <w:tcBorders>
              <w:top w:val="dashSmallGap" w:sz="4" w:space="0" w:color="auto"/>
              <w:bottom w:val="single" w:sz="4" w:space="0" w:color="auto"/>
              <w:right w:val="nil"/>
            </w:tcBorders>
            <w:vAlign w:val="center"/>
            <w:hideMark/>
          </w:tcPr>
          <w:p w14:paraId="529AA9A9"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Awareness boosts FLW reduction efforts</w:t>
            </w:r>
          </w:p>
        </w:tc>
        <w:tc>
          <w:tcPr>
            <w:tcW w:w="1080" w:type="dxa"/>
            <w:tcBorders>
              <w:top w:val="dashSmallGap" w:sz="4" w:space="0" w:color="auto"/>
              <w:left w:val="nil"/>
              <w:bottom w:val="single" w:sz="4" w:space="0" w:color="auto"/>
              <w:right w:val="nil"/>
            </w:tcBorders>
            <w:noWrap/>
            <w:vAlign w:val="center"/>
            <w:hideMark/>
          </w:tcPr>
          <w:p w14:paraId="126BA66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19.17%</w:t>
            </w:r>
          </w:p>
        </w:tc>
        <w:tc>
          <w:tcPr>
            <w:tcW w:w="1080" w:type="dxa"/>
            <w:tcBorders>
              <w:top w:val="dashSmallGap" w:sz="4" w:space="0" w:color="auto"/>
              <w:left w:val="nil"/>
              <w:bottom w:val="single" w:sz="4" w:space="0" w:color="auto"/>
              <w:right w:val="nil"/>
            </w:tcBorders>
            <w:noWrap/>
            <w:vAlign w:val="center"/>
            <w:hideMark/>
          </w:tcPr>
          <w:p w14:paraId="46DB1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dashSmallGap" w:sz="4" w:space="0" w:color="auto"/>
              <w:left w:val="nil"/>
              <w:bottom w:val="single" w:sz="4" w:space="0" w:color="auto"/>
              <w:right w:val="nil"/>
            </w:tcBorders>
            <w:noWrap/>
            <w:vAlign w:val="center"/>
            <w:hideMark/>
          </w:tcPr>
          <w:p w14:paraId="5E01EE9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17.11%</w:t>
            </w:r>
          </w:p>
        </w:tc>
        <w:tc>
          <w:tcPr>
            <w:tcW w:w="875" w:type="dxa"/>
            <w:tcBorders>
              <w:top w:val="dashSmallGap" w:sz="4" w:space="0" w:color="auto"/>
              <w:left w:val="nil"/>
              <w:bottom w:val="single" w:sz="4" w:space="0" w:color="auto"/>
            </w:tcBorders>
            <w:noWrap/>
            <w:vAlign w:val="center"/>
            <w:hideMark/>
          </w:tcPr>
          <w:p w14:paraId="0B2A3D5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15.79%</w:t>
            </w:r>
          </w:p>
        </w:tc>
      </w:tr>
      <w:tr w:rsidR="00246AD2" w:rsidRPr="00246AD2" w14:paraId="52536B3F" w14:textId="77777777" w:rsidTr="00D05C9F">
        <w:trPr>
          <w:trHeight w:val="145"/>
        </w:trPr>
        <w:tc>
          <w:tcPr>
            <w:tcW w:w="4415" w:type="dxa"/>
            <w:tcBorders>
              <w:top w:val="single" w:sz="4" w:space="0" w:color="auto"/>
              <w:bottom w:val="single" w:sz="4" w:space="0" w:color="auto"/>
              <w:right w:val="nil"/>
            </w:tcBorders>
            <w:vAlign w:val="center"/>
            <w:hideMark/>
          </w:tcPr>
          <w:p w14:paraId="1E92B463"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of FLW in the market area</w:t>
            </w:r>
          </w:p>
        </w:tc>
        <w:tc>
          <w:tcPr>
            <w:tcW w:w="1080" w:type="dxa"/>
            <w:tcBorders>
              <w:top w:val="single" w:sz="4" w:space="0" w:color="auto"/>
              <w:left w:val="nil"/>
              <w:bottom w:val="single" w:sz="4" w:space="0" w:color="auto"/>
              <w:right w:val="nil"/>
            </w:tcBorders>
            <w:noWrap/>
            <w:vAlign w:val="center"/>
            <w:hideMark/>
          </w:tcPr>
          <w:p w14:paraId="7D1EF9B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15.00%</w:t>
            </w:r>
          </w:p>
        </w:tc>
        <w:tc>
          <w:tcPr>
            <w:tcW w:w="1080" w:type="dxa"/>
            <w:tcBorders>
              <w:top w:val="single" w:sz="4" w:space="0" w:color="auto"/>
              <w:left w:val="nil"/>
              <w:bottom w:val="single" w:sz="4" w:space="0" w:color="auto"/>
              <w:right w:val="nil"/>
            </w:tcBorders>
            <w:noWrap/>
            <w:vAlign w:val="center"/>
            <w:hideMark/>
          </w:tcPr>
          <w:p w14:paraId="285F448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single" w:sz="4" w:space="0" w:color="auto"/>
              <w:left w:val="nil"/>
              <w:bottom w:val="single" w:sz="4" w:space="0" w:color="auto"/>
              <w:right w:val="nil"/>
            </w:tcBorders>
            <w:noWrap/>
            <w:vAlign w:val="center"/>
            <w:hideMark/>
          </w:tcPr>
          <w:p w14:paraId="69D43DD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c>
          <w:tcPr>
            <w:tcW w:w="875" w:type="dxa"/>
            <w:tcBorders>
              <w:top w:val="single" w:sz="4" w:space="0" w:color="auto"/>
              <w:left w:val="nil"/>
              <w:bottom w:val="single" w:sz="4" w:space="0" w:color="auto"/>
            </w:tcBorders>
            <w:noWrap/>
            <w:vAlign w:val="center"/>
            <w:hideMark/>
          </w:tcPr>
          <w:p w14:paraId="0E5447C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bl>
    <w:p w14:paraId="65463FAE" w14:textId="77777777" w:rsidR="00B21D21" w:rsidRPr="00246AD2" w:rsidRDefault="00B21D21" w:rsidP="00066F93">
      <w:pPr>
        <w:spacing w:after="0" w:line="240" w:lineRule="auto"/>
        <w:jc w:val="both"/>
        <w:rPr>
          <w:rFonts w:ascii="Calibri" w:eastAsia="Times New Roman" w:hAnsi="Calibri" w:cs="Calibri"/>
          <w:kern w:val="0"/>
          <w14:ligatures w14:val="none"/>
        </w:rPr>
      </w:pPr>
    </w:p>
    <w:p w14:paraId="5305D059" w14:textId="77777777" w:rsidR="00B21D21" w:rsidRPr="00246AD2" w:rsidRDefault="00B21D21" w:rsidP="00066F93">
      <w:pPr>
        <w:spacing w:after="0" w:line="240" w:lineRule="auto"/>
        <w:jc w:val="both"/>
        <w:rPr>
          <w:rFonts w:ascii="Calibri" w:hAnsi="Calibri" w:cs="Calibri"/>
        </w:rPr>
      </w:pPr>
      <w:r w:rsidRPr="00246AD2">
        <w:rPr>
          <w:rFonts w:ascii="Calibri" w:hAnsi="Calibri" w:cs="Calibri"/>
        </w:rPr>
        <w:t xml:space="preserve">The findings indicate that most vegetable and fruit retailers recognize the environmental and public health impacts of food loss and waste (FLW), particularly pollution and hygiene-related risks, consistent with global evidence (Bi et al., 2023). Awareness of FLW’s contribution to climate change is moderate, reflecting </w:t>
      </w:r>
      <w:r w:rsidR="00C05DE1" w:rsidRPr="00246AD2">
        <w:rPr>
          <w:rFonts w:ascii="Calibri" w:hAnsi="Calibri" w:cs="Calibri"/>
        </w:rPr>
        <w:t xml:space="preserve">a </w:t>
      </w:r>
      <w:r w:rsidRPr="00246AD2">
        <w:rPr>
          <w:rFonts w:ascii="Calibri" w:hAnsi="Calibri" w:cs="Calibri"/>
        </w:rPr>
        <w:t>limited understanding of indirect greenhouse gas emissions from waste disposal. While retailers largely accept responsibility and acknowledge the importance of FLW reduction, low recognition of awareness-driven behavioral change highlights a gap between concern and practice. Similar trends are reported in South Asia, where economic considerations often outweigh environmental priorities (</w:t>
      </w:r>
      <w:proofErr w:type="spellStart"/>
      <w:r w:rsidRPr="00246AD2">
        <w:rPr>
          <w:rFonts w:ascii="Calibri" w:hAnsi="Calibri" w:cs="Calibri"/>
        </w:rPr>
        <w:t>Srisathan</w:t>
      </w:r>
      <w:proofErr w:type="spellEnd"/>
      <w:r w:rsidRPr="00246AD2">
        <w:rPr>
          <w:rFonts w:ascii="Calibri" w:hAnsi="Calibri" w:cs="Calibri"/>
        </w:rPr>
        <w:t xml:space="preserve"> et al., 2024). Pressure on water resources was less recognized, indicating limited awareness of the indirect environmental costs of FLW across supply chains.</w:t>
      </w:r>
    </w:p>
    <w:p w14:paraId="1980FF6D" w14:textId="77777777" w:rsidR="00EA60F0" w:rsidRDefault="00EA60F0" w:rsidP="00066F93">
      <w:pPr>
        <w:spacing w:after="0" w:line="240" w:lineRule="auto"/>
        <w:rPr>
          <w:rFonts w:ascii="Calibri" w:hAnsi="Calibri" w:cs="Calibri"/>
          <w:b/>
          <w:shd w:val="clear" w:color="auto" w:fill="FFFFFF"/>
        </w:rPr>
      </w:pPr>
    </w:p>
    <w:p w14:paraId="2116D3E1" w14:textId="4F08DB03" w:rsidR="00B21D21" w:rsidRPr="004035FE" w:rsidRDefault="00EA60F0" w:rsidP="004035FE">
      <w:pPr>
        <w:spacing w:after="0" w:line="240" w:lineRule="auto"/>
        <w:jc w:val="both"/>
        <w:rPr>
          <w:rFonts w:ascii="Calibri" w:hAnsi="Calibri" w:cs="Calibri"/>
        </w:rPr>
      </w:pPr>
      <w:r w:rsidRPr="004035FE">
        <w:rPr>
          <w:rFonts w:ascii="Calibri" w:hAnsi="Calibri" w:cs="Calibri"/>
          <w:b/>
          <w:shd w:val="clear" w:color="auto" w:fill="FFFFFF"/>
        </w:rPr>
        <w:t>3.5 Trader and market actors' perception of the environmental impacts of FLW in rural markets</w:t>
      </w:r>
    </w:p>
    <w:p w14:paraId="7BEC2CD1" w14:textId="6D78A1AB" w:rsidR="00EA60F0" w:rsidRPr="004035FE" w:rsidRDefault="00EA60F0" w:rsidP="004035FE">
      <w:pPr>
        <w:spacing w:after="0" w:line="240" w:lineRule="auto"/>
        <w:jc w:val="both"/>
        <w:rPr>
          <w:rFonts w:ascii="Calibri" w:hAnsi="Calibri" w:cs="Calibri"/>
        </w:rPr>
      </w:pPr>
      <w:r w:rsidRPr="004035FE">
        <w:rPr>
          <w:rFonts w:ascii="Calibri" w:hAnsi="Calibri" w:cs="Calibri"/>
        </w:rPr>
        <w:t>The study conducted the focus group discussion and key informant interview. The findings reveal that traders perceive food loss and waste (FLW) as a significant contributor to environmental degradation in rural market settings. Participants frequently reported that the accumulation of spoiled fruits and vegetables generates foul odors, attracts pests, and contributes to water contamination through improper disposal practices. These conditions were also associated with increased public health risks for both traders and consumers. In addition, respondents acknowledged that FLW places pressure on already limited land and water resources, particularly when unsold produce is discarded indiscriminately. Some traders also demonstrated awareness of the broader environmental implications, including the contribution of decomposing organic waste to greenhouse gas emissions. Although financial loss remains their immediate concern, many participants indicated that growing awareness and informal knowledge sharing have encouraged improved waste management practices. Overall, traders expressed a sense of shared responsibility to maintain cleaner market environments and to minimize the negative environmental impacts associated with FLW.</w:t>
      </w:r>
    </w:p>
    <w:p w14:paraId="56AEE92A" w14:textId="77777777" w:rsidR="004035FE" w:rsidRDefault="004035FE" w:rsidP="00066F93">
      <w:pPr>
        <w:spacing w:after="0" w:line="240" w:lineRule="auto"/>
        <w:jc w:val="both"/>
        <w:rPr>
          <w:rFonts w:ascii="Calibri" w:hAnsi="Calibri" w:cs="Calibri"/>
          <w:b/>
        </w:rPr>
      </w:pPr>
    </w:p>
    <w:p w14:paraId="03CB27A6" w14:textId="23503285" w:rsidR="00714E0C" w:rsidRPr="00246AD2" w:rsidRDefault="00E350C6" w:rsidP="00066F93">
      <w:pPr>
        <w:spacing w:after="0" w:line="240" w:lineRule="auto"/>
        <w:jc w:val="both"/>
        <w:rPr>
          <w:rFonts w:ascii="Calibri" w:hAnsi="Calibri" w:cs="Calibri"/>
          <w:b/>
        </w:rPr>
      </w:pPr>
      <w:r w:rsidRPr="00246AD2">
        <w:rPr>
          <w:rFonts w:ascii="Calibri" w:hAnsi="Calibri" w:cs="Calibri"/>
          <w:b/>
        </w:rPr>
        <w:t xml:space="preserve">4. </w:t>
      </w:r>
      <w:r w:rsidR="00714E0C" w:rsidRPr="00246AD2">
        <w:rPr>
          <w:rFonts w:ascii="Calibri" w:hAnsi="Calibri" w:cs="Calibri"/>
          <w:b/>
        </w:rPr>
        <w:t>CONCLUSION</w:t>
      </w:r>
    </w:p>
    <w:p w14:paraId="23BCB4AB" w14:textId="6E50F70F" w:rsidR="00714E0C" w:rsidRDefault="00714E0C" w:rsidP="00157DB9">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The study highlights </w:t>
      </w:r>
      <w:r w:rsidR="00157DB9" w:rsidRPr="00246AD2">
        <w:rPr>
          <w:rFonts w:ascii="Calibri" w:eastAsia="Times New Roman" w:hAnsi="Calibri" w:cs="Calibri"/>
          <w:kern w:val="0"/>
          <w14:ligatures w14:val="none"/>
        </w:rPr>
        <w:t>important</w:t>
      </w:r>
      <w:r w:rsidRPr="00246AD2">
        <w:rPr>
          <w:rFonts w:ascii="Calibri" w:eastAsia="Times New Roman" w:hAnsi="Calibri" w:cs="Calibri"/>
          <w:kern w:val="0"/>
          <w14:ligatures w14:val="none"/>
        </w:rPr>
        <w:t xml:space="preserve"> insights into the demographic, business, and environmental awareness profiles of vegetable and fruit retailers in rural markets. The findings reveal a predominantly young, male workforce with moderate levels of education and experience, suggesting that interventions focused on capacity building and food loss and waste (FLW) management could be highly impactful. Retailers' relatively high awareness of the drivers of FLW, such as poor transportation, selling delays, and over-purchasing, indicates a foundational understanding of the issue. However, gaps in infrastructure, such as limited cold storage, and in practical waste management, such as waste separation practices, need </w:t>
      </w:r>
      <w:r w:rsidR="000F7E47" w:rsidRPr="00246AD2">
        <w:rPr>
          <w:rFonts w:ascii="Calibri" w:eastAsia="Times New Roman" w:hAnsi="Calibri" w:cs="Calibri"/>
          <w:kern w:val="0"/>
          <w14:ligatures w14:val="none"/>
        </w:rPr>
        <w:t>to be addressed</w:t>
      </w:r>
      <w:r w:rsidRPr="00246AD2">
        <w:rPr>
          <w:rFonts w:ascii="Calibri" w:eastAsia="Times New Roman" w:hAnsi="Calibri" w:cs="Calibri"/>
          <w:kern w:val="0"/>
          <w14:ligatures w14:val="none"/>
        </w:rPr>
        <w:t>.</w:t>
      </w:r>
      <w:r w:rsidR="00E60C9B" w:rsidRPr="00246AD2">
        <w:rPr>
          <w:rFonts w:ascii="Calibri" w:eastAsia="Times New Roman" w:hAnsi="Calibri" w:cs="Calibri"/>
          <w:kern w:val="0"/>
          <w14:ligatures w14:val="none"/>
        </w:rPr>
        <w:t xml:space="preserve"> </w:t>
      </w:r>
      <w:r w:rsidRPr="00246AD2">
        <w:rPr>
          <w:rFonts w:ascii="Calibri" w:eastAsia="Times New Roman" w:hAnsi="Calibri" w:cs="Calibri"/>
          <w:kern w:val="0"/>
          <w14:ligatures w14:val="none"/>
        </w:rPr>
        <w:t>Despite a strong awareness of FLW's environmental and public health impacts, there is limited recognition of its contribution to c</w:t>
      </w:r>
      <w:r w:rsidR="0070202D" w:rsidRPr="00246AD2">
        <w:rPr>
          <w:rFonts w:ascii="Calibri" w:eastAsia="Times New Roman" w:hAnsi="Calibri" w:cs="Calibri"/>
          <w:kern w:val="0"/>
          <w14:ligatures w14:val="none"/>
        </w:rPr>
        <w:t xml:space="preserve">limate change. This indicates </w:t>
      </w:r>
      <w:r w:rsidR="00DE22B4" w:rsidRPr="00246AD2">
        <w:rPr>
          <w:rFonts w:ascii="Calibri" w:eastAsia="Times New Roman" w:hAnsi="Calibri" w:cs="Calibri"/>
          <w:kern w:val="0"/>
          <w14:ligatures w14:val="none"/>
        </w:rPr>
        <w:t xml:space="preserve">a </w:t>
      </w:r>
      <w:r w:rsidRPr="00246AD2">
        <w:rPr>
          <w:rFonts w:ascii="Calibri" w:eastAsia="Times New Roman" w:hAnsi="Calibri" w:cs="Calibri"/>
          <w:kern w:val="0"/>
          <w14:ligatures w14:val="none"/>
        </w:rPr>
        <w:t xml:space="preserve">disconnect between concern and behavior change, with retailers more focused on the immediate practicalities of food waste rather than its broader environmental consequences. While most </w:t>
      </w:r>
      <w:proofErr w:type="gramStart"/>
      <w:r w:rsidR="00157DB9">
        <w:rPr>
          <w:rFonts w:ascii="Calibri" w:eastAsia="Times New Roman" w:hAnsi="Calibri" w:cs="Calibri"/>
          <w:kern w:val="0"/>
          <w14:ligatures w14:val="none"/>
        </w:rPr>
        <w:t>retailers</w:t>
      </w:r>
      <w:proofErr w:type="gramEnd"/>
      <w:r w:rsidRPr="00246AD2">
        <w:rPr>
          <w:rFonts w:ascii="Calibri" w:eastAsia="Times New Roman" w:hAnsi="Calibri" w:cs="Calibri"/>
          <w:kern w:val="0"/>
          <w14:ligatures w14:val="none"/>
        </w:rPr>
        <w:t xml:space="preserve"> express willingness to adopt improved waste reduction practices, this necessitates targeted </w:t>
      </w:r>
      <w:r w:rsidRPr="00246AD2">
        <w:rPr>
          <w:rFonts w:ascii="Calibri" w:eastAsia="Times New Roman" w:hAnsi="Calibri" w:cs="Calibri"/>
          <w:kern w:val="0"/>
          <w14:ligatures w14:val="none"/>
        </w:rPr>
        <w:lastRenderedPageBreak/>
        <w:t>interventions combining behavior-based strategies with infrastructure investments.</w:t>
      </w:r>
      <w:r w:rsidR="00E60C9B" w:rsidRPr="00246AD2">
        <w:rPr>
          <w:rFonts w:ascii="Calibri" w:eastAsia="Times New Roman" w:hAnsi="Calibri" w:cs="Calibri"/>
          <w:kern w:val="0"/>
          <w14:ligatures w14:val="none"/>
        </w:rPr>
        <w:t xml:space="preserve"> Regarding business characteristics, most retailers reported moderate daily sales, with a relatively low proportion of </w:t>
      </w:r>
      <w:r w:rsidR="00E60C9B" w:rsidRPr="00157DB9">
        <w:rPr>
          <w:rFonts w:ascii="Calibri" w:eastAsia="Times New Roman" w:hAnsi="Calibri" w:cs="Calibri"/>
          <w:kern w:val="0"/>
          <w14:ligatures w14:val="none"/>
        </w:rPr>
        <w:t xml:space="preserve">unsold food. However, </w:t>
      </w:r>
      <w:r w:rsidR="00157DB9" w:rsidRPr="00157DB9">
        <w:rPr>
          <w:rFonts w:ascii="Calibri" w:eastAsia="Times New Roman" w:hAnsi="Calibri" w:cs="Calibri"/>
          <w:kern w:val="0"/>
          <w14:ligatures w14:val="none"/>
        </w:rPr>
        <w:t>r</w:t>
      </w:r>
      <w:r w:rsidR="00E60C9B" w:rsidRPr="00157DB9">
        <w:rPr>
          <w:rFonts w:ascii="Calibri" w:eastAsia="Times New Roman" w:hAnsi="Calibri" w:cs="Calibri"/>
          <w:kern w:val="0"/>
          <w14:ligatures w14:val="none"/>
        </w:rPr>
        <w:t xml:space="preserve">etailers’ high </w:t>
      </w:r>
      <w:r w:rsidR="00E60C9B" w:rsidRPr="00246AD2">
        <w:rPr>
          <w:rFonts w:ascii="Calibri" w:eastAsia="Times New Roman" w:hAnsi="Calibri" w:cs="Calibri"/>
          <w:kern w:val="0"/>
          <w14:ligatures w14:val="none"/>
        </w:rPr>
        <w:t xml:space="preserve">awareness of food loss drivers such as poor transportation, selling delays, and over-purchasing reflects a recognition of systemic issues in rural markets. This awareness creates a strong foundation for addressing these challenges through targeted strategies and better food management practices. </w:t>
      </w:r>
      <w:r w:rsidR="00842CF7" w:rsidRPr="00842CF7">
        <w:rPr>
          <w:rFonts w:ascii="Calibri" w:eastAsia="Times New Roman" w:hAnsi="Calibri" w:cs="Calibri"/>
          <w:kern w:val="0"/>
          <w14:ligatures w14:val="none"/>
        </w:rPr>
        <w:t xml:space="preserve">Regarding environmental awareness, the study reveals that most retailers recognize the public health and environmental implications of FLW. </w:t>
      </w:r>
      <w:r w:rsidR="00E60C9B" w:rsidRPr="00246AD2">
        <w:rPr>
          <w:rFonts w:ascii="Calibri" w:eastAsia="Times New Roman" w:hAnsi="Calibri" w:cs="Calibri"/>
          <w:kern w:val="0"/>
          <w14:ligatures w14:val="none"/>
        </w:rPr>
        <w:t xml:space="preserve">This suggests that while retailers are concerned about FLW, the focus remains primarily on its immediate, visible effects, rather than its contribution to environmental challenges. </w:t>
      </w:r>
      <w:r w:rsidR="00157DB9" w:rsidRPr="00157DB9">
        <w:rPr>
          <w:rFonts w:ascii="Calibri" w:eastAsia="Times New Roman" w:hAnsi="Calibri" w:cs="Calibri"/>
          <w:kern w:val="0"/>
          <w14:ligatures w14:val="none"/>
        </w:rPr>
        <w:t>The study findings highlight the need for integrated solutions that address both awareness gaps and infrastructural deficiencies to reduce FLW, improve business practices, and mitigate environmental impacts in rural markets.</w:t>
      </w:r>
    </w:p>
    <w:p w14:paraId="196BC1CA" w14:textId="77777777" w:rsidR="00157DB9" w:rsidRPr="00246AD2" w:rsidRDefault="00157DB9" w:rsidP="00157DB9">
      <w:pPr>
        <w:spacing w:after="0" w:line="240" w:lineRule="auto"/>
        <w:jc w:val="both"/>
        <w:rPr>
          <w:rFonts w:ascii="Calibri" w:hAnsi="Calibri" w:cs="Calibri"/>
        </w:rPr>
      </w:pPr>
    </w:p>
    <w:p w14:paraId="55F628AA" w14:textId="77777777" w:rsidR="00737EE1" w:rsidRPr="00246AD2" w:rsidRDefault="00E350C6" w:rsidP="00737EE1">
      <w:pPr>
        <w:spacing w:after="0" w:line="240" w:lineRule="auto"/>
        <w:jc w:val="both"/>
        <w:outlineLvl w:val="1"/>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5. RECOMMENDATIONS</w:t>
      </w:r>
    </w:p>
    <w:p w14:paraId="5F82EA22" w14:textId="77777777" w:rsidR="00737EE1" w:rsidRPr="00246AD2" w:rsidRDefault="00737EE1" w:rsidP="00737EE1">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Based on the findings, the study proposes the following recommendations to reduce food loss and waste (FLW) and enhance environmental sustainability in rural markets:</w:t>
      </w:r>
    </w:p>
    <w:p w14:paraId="3C5CF52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Strengthen retailer capacity and promote behavioral change among vegetable and fruit retailers by emphasizing practical FLW reduction techniques, including demand forecasting and first-in–first-out (FIFO) selling practices.</w:t>
      </w:r>
    </w:p>
    <w:p w14:paraId="55362BC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 xml:space="preserve">Improve market infrastructure through low-cost cold storage, shaded selling areas, and improved drainage systems, supported by public–private partnerships </w:t>
      </w:r>
      <w:r w:rsidR="00157DB9">
        <w:rPr>
          <w:rFonts w:cs="Calibri"/>
          <w:szCs w:val="22"/>
        </w:rPr>
        <w:t xml:space="preserve">for market </w:t>
      </w:r>
      <w:r w:rsidRPr="00246AD2">
        <w:rPr>
          <w:rFonts w:cs="Calibri"/>
          <w:szCs w:val="22"/>
        </w:rPr>
        <w:t>retailers.</w:t>
      </w:r>
    </w:p>
    <w:p w14:paraId="1A3AD4EE"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Promote waste segregation and sustainable waste management by introducing designated organic waste bins and encouraging composting, animal feed, or bio-fertilizer production.</w:t>
      </w:r>
    </w:p>
    <w:p w14:paraId="5E075B31"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Integrate FLW reduction strategies into local rural market management policies, with clear guidelines, training programs, and stronger market committee oversight to ensure long-term sustainability.</w:t>
      </w:r>
    </w:p>
    <w:p w14:paraId="5B42517F" w14:textId="77777777" w:rsidR="00737EE1" w:rsidRPr="00246AD2" w:rsidRDefault="00737EE1" w:rsidP="00066F93">
      <w:pPr>
        <w:spacing w:after="0" w:line="240" w:lineRule="auto"/>
        <w:rPr>
          <w:rFonts w:ascii="Calibri" w:hAnsi="Calibri" w:cs="Calibri"/>
          <w:b/>
        </w:rPr>
      </w:pPr>
    </w:p>
    <w:p w14:paraId="1A3D6827" w14:textId="77777777" w:rsidR="00F61F97" w:rsidRPr="00246AD2" w:rsidRDefault="00F61F97" w:rsidP="00F61F97">
      <w:pPr>
        <w:spacing w:after="0" w:line="240" w:lineRule="auto"/>
        <w:jc w:val="both"/>
        <w:outlineLvl w:val="3"/>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LIMITATIONS</w:t>
      </w:r>
    </w:p>
    <w:p w14:paraId="40D1730A" w14:textId="77777777" w:rsidR="00F61F97" w:rsidRPr="00246AD2" w:rsidRDefault="00F61F97" w:rsidP="00F61F97">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Data collection relied on self-reported information, which may be subject to recall and social desirability bias. The study was conducted in </w:t>
      </w:r>
      <w:r w:rsidR="00CE17F7" w:rsidRPr="00246AD2">
        <w:rPr>
          <w:rFonts w:ascii="Calibri" w:eastAsia="Times New Roman" w:hAnsi="Calibri" w:cs="Calibri"/>
          <w:kern w:val="0"/>
          <w14:ligatures w14:val="none"/>
        </w:rPr>
        <w:t xml:space="preserve">four </w:t>
      </w:r>
      <w:r w:rsidR="00D5667E" w:rsidRPr="00246AD2">
        <w:rPr>
          <w:rFonts w:ascii="Calibri" w:eastAsia="Times New Roman" w:hAnsi="Calibri" w:cs="Calibri"/>
          <w:kern w:val="0"/>
          <w14:ligatures w14:val="none"/>
        </w:rPr>
        <w:t>Upazilas</w:t>
      </w:r>
      <w:r w:rsidRPr="00246AD2">
        <w:rPr>
          <w:rFonts w:ascii="Calibri" w:eastAsia="Times New Roman" w:hAnsi="Calibri" w:cs="Calibri"/>
          <w:kern w:val="0"/>
          <w14:ligatures w14:val="none"/>
        </w:rPr>
        <w:t xml:space="preserve"> of </w:t>
      </w:r>
      <w:r w:rsidR="00CE17F7" w:rsidRPr="00246AD2">
        <w:rPr>
          <w:rFonts w:ascii="Calibri" w:eastAsia="Times New Roman" w:hAnsi="Calibri" w:cs="Calibri"/>
          <w:kern w:val="0"/>
          <w14:ligatures w14:val="none"/>
        </w:rPr>
        <w:t xml:space="preserve">Faridpur </w:t>
      </w:r>
      <w:r w:rsidRPr="00246AD2">
        <w:rPr>
          <w:rFonts w:ascii="Calibri" w:eastAsia="Times New Roman" w:hAnsi="Calibri" w:cs="Calibri"/>
          <w:kern w:val="0"/>
          <w14:ligatures w14:val="none"/>
        </w:rPr>
        <w:t>district, limiting the generalizability of the findings to other coastal regions of Bangladesh. Additionally, time, resource, and accessibility constraints restricted the sample size and the inclusion of remote island communities.</w:t>
      </w:r>
    </w:p>
    <w:p w14:paraId="3E371C6D" w14:textId="77777777" w:rsidR="00F61F97" w:rsidRPr="00246AD2" w:rsidRDefault="00F61F97" w:rsidP="00F61F97">
      <w:pPr>
        <w:pStyle w:val="Default"/>
        <w:jc w:val="both"/>
        <w:rPr>
          <w:rFonts w:ascii="Calibri" w:hAnsi="Calibri" w:cs="Calibri"/>
          <w:b/>
          <w:bCs/>
          <w:color w:val="auto"/>
          <w:sz w:val="22"/>
          <w:szCs w:val="22"/>
        </w:rPr>
      </w:pPr>
    </w:p>
    <w:p w14:paraId="623922E2" w14:textId="77777777" w:rsidR="002F1502" w:rsidRPr="002F1502" w:rsidRDefault="002F1502" w:rsidP="00F87BE8">
      <w:pPr>
        <w:pStyle w:val="NormalWeb"/>
        <w:spacing w:before="0" w:beforeAutospacing="0" w:after="0" w:afterAutospacing="0"/>
        <w:jc w:val="both"/>
        <w:rPr>
          <w:rFonts w:ascii="Calibri" w:hAnsi="Calibri" w:cs="Calibri"/>
          <w:b/>
          <w:sz w:val="22"/>
          <w:szCs w:val="22"/>
        </w:rPr>
      </w:pPr>
      <w:r w:rsidRPr="002F1502">
        <w:rPr>
          <w:rFonts w:ascii="Calibri" w:hAnsi="Calibri" w:cs="Calibri"/>
          <w:b/>
          <w:sz w:val="22"/>
          <w:szCs w:val="22"/>
        </w:rPr>
        <w:t xml:space="preserve">Consent: </w:t>
      </w:r>
    </w:p>
    <w:p w14:paraId="36830AC8" w14:textId="1A91B0D2" w:rsidR="00F87BE8" w:rsidRPr="00246AD2" w:rsidRDefault="00F87BE8" w:rsidP="00F87BE8">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Ethical </w:t>
      </w:r>
      <w:r w:rsidR="00AF0A1C">
        <w:rPr>
          <w:rFonts w:ascii="Calibri" w:hAnsi="Calibri" w:cs="Calibri"/>
          <w:sz w:val="22"/>
          <w:szCs w:val="22"/>
        </w:rPr>
        <w:t>considerations</w:t>
      </w:r>
      <w:r w:rsidRPr="00246AD2">
        <w:rPr>
          <w:rFonts w:ascii="Calibri" w:hAnsi="Calibri" w:cs="Calibri"/>
          <w:sz w:val="22"/>
          <w:szCs w:val="22"/>
        </w:rPr>
        <w:t xml:space="preserve"> will be strictly followed throughout the study. Informed consent will be obtained from all participants before data collection. Participation will be voluntary, and respondents will have the right to withdraw at any time. Confidentiality and anonymity will be ensured by removing personal identifiers from the dataset.</w:t>
      </w:r>
    </w:p>
    <w:p w14:paraId="5C417B03" w14:textId="77777777" w:rsidR="00F87BE8" w:rsidRPr="00246AD2" w:rsidRDefault="00F87BE8" w:rsidP="00F87BE8">
      <w:pPr>
        <w:spacing w:after="0" w:line="240" w:lineRule="auto"/>
        <w:jc w:val="both"/>
        <w:outlineLvl w:val="1"/>
        <w:rPr>
          <w:rFonts w:ascii="Calibri" w:eastAsia="Times New Roman" w:hAnsi="Calibri" w:cs="Calibri"/>
          <w:b/>
          <w:bCs/>
          <w:kern w:val="0"/>
          <w14:ligatures w14:val="none"/>
        </w:rPr>
      </w:pPr>
    </w:p>
    <w:p w14:paraId="5719128E"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 xml:space="preserve">DISCLAIMER (ARTIFICIAL INTELLIGENCE) </w:t>
      </w:r>
    </w:p>
    <w:p w14:paraId="77E9C413" w14:textId="44FC139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The author (s) hereby declare that generative AI technologies, such as Large Language Models, have been used during the editing of the manuscript. This explanation will include the name, version, model, and source of the generative AI technology, as well as all input prompts provided to the generative AI technology</w:t>
      </w:r>
      <w:r w:rsidR="004022A2" w:rsidRPr="00246AD2">
        <w:rPr>
          <w:rFonts w:ascii="Calibri" w:hAnsi="Calibri" w:cs="Calibri"/>
          <w:color w:val="auto"/>
          <w:sz w:val="22"/>
          <w:szCs w:val="22"/>
        </w:rPr>
        <w:t>.</w:t>
      </w:r>
    </w:p>
    <w:p w14:paraId="5E13FBB8" w14:textId="77777777" w:rsidR="00F61F97" w:rsidRPr="00246AD2" w:rsidRDefault="00F61F97" w:rsidP="00F61F97">
      <w:pPr>
        <w:pStyle w:val="Default"/>
        <w:jc w:val="both"/>
        <w:rPr>
          <w:rFonts w:ascii="Calibri" w:hAnsi="Calibri" w:cs="Calibri"/>
          <w:b/>
          <w:bCs/>
          <w:color w:val="auto"/>
          <w:sz w:val="22"/>
          <w:szCs w:val="22"/>
        </w:rPr>
      </w:pPr>
    </w:p>
    <w:p w14:paraId="3FACB48F" w14:textId="77777777" w:rsidR="00F61F97" w:rsidRPr="00246AD2" w:rsidRDefault="00E350C6"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DETAILS OF THE AI USAGE ARE G</w:t>
      </w:r>
      <w:bookmarkStart w:id="0" w:name="_GoBack"/>
      <w:bookmarkEnd w:id="0"/>
      <w:r w:rsidRPr="00246AD2">
        <w:rPr>
          <w:rFonts w:ascii="Calibri" w:hAnsi="Calibri" w:cs="Calibri"/>
          <w:b/>
          <w:bCs/>
          <w:color w:val="auto"/>
          <w:sz w:val="22"/>
          <w:szCs w:val="22"/>
        </w:rPr>
        <w:t>IVEN BELOW:</w:t>
      </w:r>
    </w:p>
    <w:p w14:paraId="5F97AF4F"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 xml:space="preserve">This article benefited from grammar correction and language refinement using the free version of ChatGPT, an artificial intelligence tool. </w:t>
      </w:r>
    </w:p>
    <w:p w14:paraId="592D4FFA" w14:textId="77777777" w:rsidR="00F61F97" w:rsidRPr="00246AD2" w:rsidRDefault="00F61F97" w:rsidP="00F61F97">
      <w:pPr>
        <w:spacing w:after="0" w:line="240" w:lineRule="auto"/>
        <w:jc w:val="both"/>
        <w:rPr>
          <w:rFonts w:ascii="Calibri" w:hAnsi="Calibri" w:cs="Calibri"/>
          <w:b/>
        </w:rPr>
      </w:pPr>
    </w:p>
    <w:p w14:paraId="2246D5FB" w14:textId="1E38BEC2" w:rsidR="00066F93" w:rsidRDefault="00066F93" w:rsidP="00066F93">
      <w:pPr>
        <w:spacing w:after="0" w:line="240" w:lineRule="auto"/>
        <w:rPr>
          <w:rFonts w:ascii="Calibri" w:hAnsi="Calibri" w:cs="Calibri"/>
          <w:b/>
          <w:color w:val="0070C0"/>
        </w:rPr>
      </w:pPr>
    </w:p>
    <w:p w14:paraId="01FAD21A" w14:textId="0E5AD6B6" w:rsidR="00876502" w:rsidRDefault="00876502" w:rsidP="00066F93">
      <w:pPr>
        <w:spacing w:after="0" w:line="240" w:lineRule="auto"/>
        <w:rPr>
          <w:rFonts w:ascii="Calibri" w:hAnsi="Calibri" w:cs="Calibri"/>
          <w:b/>
          <w:color w:val="0070C0"/>
        </w:rPr>
      </w:pPr>
    </w:p>
    <w:p w14:paraId="4DEBBE7D" w14:textId="67F79EFE" w:rsidR="00876502" w:rsidRDefault="00876502" w:rsidP="00066F93">
      <w:pPr>
        <w:spacing w:after="0" w:line="240" w:lineRule="auto"/>
        <w:rPr>
          <w:rFonts w:ascii="Calibri" w:hAnsi="Calibri" w:cs="Calibri"/>
          <w:b/>
          <w:color w:val="0070C0"/>
        </w:rPr>
      </w:pPr>
    </w:p>
    <w:p w14:paraId="219B7175" w14:textId="635C60A8" w:rsidR="00876502" w:rsidRDefault="00876502" w:rsidP="00066F93">
      <w:pPr>
        <w:spacing w:after="0" w:line="240" w:lineRule="auto"/>
        <w:rPr>
          <w:rFonts w:ascii="Calibri" w:hAnsi="Calibri" w:cs="Calibri"/>
          <w:b/>
          <w:color w:val="0070C0"/>
        </w:rPr>
      </w:pPr>
    </w:p>
    <w:p w14:paraId="69F4EDFC" w14:textId="77777777" w:rsidR="00876502" w:rsidRPr="00D05C9F" w:rsidRDefault="00876502" w:rsidP="00066F93">
      <w:pPr>
        <w:spacing w:after="0" w:line="240" w:lineRule="auto"/>
        <w:rPr>
          <w:rFonts w:ascii="Calibri" w:hAnsi="Calibri" w:cs="Calibri"/>
          <w:b/>
          <w:color w:val="0070C0"/>
        </w:rPr>
      </w:pPr>
    </w:p>
    <w:p w14:paraId="128BB376" w14:textId="77777777" w:rsidR="005C050A" w:rsidRPr="00842CF7" w:rsidRDefault="00E350C6" w:rsidP="00066F93">
      <w:pPr>
        <w:spacing w:after="0" w:line="240" w:lineRule="auto"/>
        <w:rPr>
          <w:rFonts w:ascii="Calibri" w:hAnsi="Calibri" w:cs="Calibri"/>
          <w:b/>
        </w:rPr>
      </w:pPr>
      <w:r w:rsidRPr="00842CF7">
        <w:rPr>
          <w:rFonts w:ascii="Calibri" w:hAnsi="Calibri" w:cs="Calibri"/>
          <w:b/>
        </w:rPr>
        <w:t>REFERENCES</w:t>
      </w:r>
    </w:p>
    <w:p w14:paraId="14706EF7"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Abbas, H., Zhao, L., Gong, X., Jiang, M. and Faiz, T., 2024. Environmental and economic influences of postharvest losses across the fish-food products supply chain in the developing regions. </w:t>
      </w:r>
      <w:r w:rsidRPr="00F87BE8">
        <w:rPr>
          <w:rFonts w:cs="Calibri"/>
          <w:i/>
          <w:iCs/>
          <w:szCs w:val="22"/>
          <w:shd w:val="clear" w:color="auto" w:fill="FFFFFF"/>
        </w:rPr>
        <w:t>Environment, Development and Sustainability</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(11), pp.28335-28366. </w:t>
      </w:r>
      <w:hyperlink r:id="rId8" w:history="1">
        <w:r w:rsidR="00F87BE8" w:rsidRPr="001E0273">
          <w:rPr>
            <w:rStyle w:val="Hyperlink"/>
            <w:rFonts w:cs="Calibri"/>
            <w:szCs w:val="22"/>
            <w:shd w:val="clear" w:color="auto" w:fill="FFFFFF"/>
          </w:rPr>
          <w:t>https://doi.org/10.1007/s10668-023-03814-9</w:t>
        </w:r>
      </w:hyperlink>
    </w:p>
    <w:p w14:paraId="385DBCF1"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proofErr w:type="spellStart"/>
      <w:r w:rsidRPr="00F87BE8">
        <w:rPr>
          <w:rFonts w:ascii="Calibri" w:hAnsi="Calibri" w:cs="Calibri"/>
          <w:sz w:val="22"/>
          <w:szCs w:val="22"/>
          <w:shd w:val="clear" w:color="auto" w:fill="FFFFFF"/>
        </w:rPr>
        <w:t>Adelodun</w:t>
      </w:r>
      <w:proofErr w:type="spellEnd"/>
      <w:r w:rsidRPr="00F87BE8">
        <w:rPr>
          <w:rFonts w:ascii="Calibri" w:hAnsi="Calibri" w:cs="Calibri"/>
          <w:sz w:val="22"/>
          <w:szCs w:val="22"/>
          <w:shd w:val="clear" w:color="auto" w:fill="FFFFFF"/>
        </w:rPr>
        <w:t xml:space="preserve">, B., </w:t>
      </w:r>
      <w:proofErr w:type="spellStart"/>
      <w:r w:rsidRPr="00F87BE8">
        <w:rPr>
          <w:rFonts w:ascii="Calibri" w:hAnsi="Calibri" w:cs="Calibri"/>
          <w:sz w:val="22"/>
          <w:szCs w:val="22"/>
          <w:shd w:val="clear" w:color="auto" w:fill="FFFFFF"/>
        </w:rPr>
        <w:t>Agbelusi</w:t>
      </w:r>
      <w:proofErr w:type="spellEnd"/>
      <w:r w:rsidRPr="00F87BE8">
        <w:rPr>
          <w:rFonts w:ascii="Calibri" w:hAnsi="Calibri" w:cs="Calibri"/>
          <w:sz w:val="22"/>
          <w:szCs w:val="22"/>
          <w:shd w:val="clear" w:color="auto" w:fill="FFFFFF"/>
        </w:rPr>
        <w:t xml:space="preserve">, O.O., Soma, T., Odey, G., Adeyi, Q., Kumar, P., </w:t>
      </w:r>
      <w:proofErr w:type="spellStart"/>
      <w:r w:rsidRPr="00F87BE8">
        <w:rPr>
          <w:rFonts w:ascii="Calibri" w:hAnsi="Calibri" w:cs="Calibri"/>
          <w:sz w:val="22"/>
          <w:szCs w:val="22"/>
          <w:shd w:val="clear" w:color="auto" w:fill="FFFFFF"/>
        </w:rPr>
        <w:t>Ajibade</w:t>
      </w:r>
      <w:proofErr w:type="spellEnd"/>
      <w:r w:rsidRPr="00F87BE8">
        <w:rPr>
          <w:rFonts w:ascii="Calibri" w:hAnsi="Calibri" w:cs="Calibri"/>
          <w:sz w:val="22"/>
          <w:szCs w:val="22"/>
          <w:shd w:val="clear" w:color="auto" w:fill="FFFFFF"/>
        </w:rPr>
        <w:t xml:space="preserve">, F.O., </w:t>
      </w:r>
      <w:proofErr w:type="spellStart"/>
      <w:r w:rsidRPr="00F87BE8">
        <w:rPr>
          <w:rFonts w:ascii="Calibri" w:hAnsi="Calibri" w:cs="Calibri"/>
          <w:sz w:val="22"/>
          <w:szCs w:val="22"/>
          <w:shd w:val="clear" w:color="auto" w:fill="FFFFFF"/>
        </w:rPr>
        <w:t>Goala</w:t>
      </w:r>
      <w:proofErr w:type="spellEnd"/>
      <w:r w:rsidRPr="00F87BE8">
        <w:rPr>
          <w:rFonts w:ascii="Calibri" w:hAnsi="Calibri" w:cs="Calibri"/>
          <w:sz w:val="22"/>
          <w:szCs w:val="22"/>
          <w:shd w:val="clear" w:color="auto" w:fill="FFFFFF"/>
        </w:rPr>
        <w:t>, M., Silva, L.F.O., Mostafa, Y.S. and Singh, R., 2025. Rethinking food loss and waste to promote sustainable resource use and climate change mitigation in agri-food systems: A review. </w:t>
      </w:r>
      <w:r w:rsidRPr="00F87BE8">
        <w:rPr>
          <w:rFonts w:ascii="Calibri" w:hAnsi="Calibri" w:cs="Calibri"/>
          <w:i/>
          <w:iCs/>
          <w:sz w:val="22"/>
          <w:szCs w:val="22"/>
          <w:shd w:val="clear" w:color="auto" w:fill="FFFFFF"/>
        </w:rPr>
        <w:t>Waste Management &amp; Research</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43</w:t>
      </w:r>
      <w:r w:rsidRPr="00F87BE8">
        <w:rPr>
          <w:rFonts w:ascii="Calibri" w:hAnsi="Calibri" w:cs="Calibri"/>
          <w:sz w:val="22"/>
          <w:szCs w:val="22"/>
          <w:shd w:val="clear" w:color="auto" w:fill="FFFFFF"/>
        </w:rPr>
        <w:t>(4), pp.490-506.</w:t>
      </w:r>
      <w:r w:rsidR="00F87BE8">
        <w:rPr>
          <w:rFonts w:ascii="Calibri" w:hAnsi="Calibri" w:cs="Calibri"/>
          <w:sz w:val="22"/>
          <w:szCs w:val="22"/>
          <w:shd w:val="clear" w:color="auto" w:fill="FFFFFF"/>
        </w:rPr>
        <w:t xml:space="preserve"> </w:t>
      </w:r>
      <w:hyperlink r:id="rId9" w:history="1">
        <w:r w:rsidR="00F87BE8" w:rsidRPr="001E0273">
          <w:rPr>
            <w:rStyle w:val="Hyperlink"/>
            <w:rFonts w:ascii="Calibri" w:hAnsi="Calibri" w:cs="Calibri"/>
            <w:sz w:val="22"/>
            <w:szCs w:val="22"/>
            <w:shd w:val="clear" w:color="auto" w:fill="FFFFFF"/>
          </w:rPr>
          <w:t>https://doi.org/10.1177/0734242X241257655</w:t>
        </w:r>
      </w:hyperlink>
    </w:p>
    <w:p w14:paraId="7F2640C4"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Afrin, S., Alam, M.K., Ahmed, M.W., Parven, A., Jubayer, M.F., Megharaj, M., </w:t>
      </w:r>
      <w:proofErr w:type="spellStart"/>
      <w:r w:rsidRPr="00F87BE8">
        <w:rPr>
          <w:rFonts w:cs="Calibri"/>
          <w:szCs w:val="22"/>
          <w:shd w:val="clear" w:color="auto" w:fill="FFFFFF"/>
        </w:rPr>
        <w:t>Meftaul</w:t>
      </w:r>
      <w:proofErr w:type="spellEnd"/>
      <w:r w:rsidRPr="00F87BE8">
        <w:rPr>
          <w:rFonts w:cs="Calibri"/>
          <w:szCs w:val="22"/>
          <w:shd w:val="clear" w:color="auto" w:fill="FFFFFF"/>
        </w:rPr>
        <w:t>, I.M. and Khan, M.S.I., 2024. Determination and probabilistic health risk assessment of heavy metals in widely consumed market basket fruits from Dhaka city Bangladesh. </w:t>
      </w:r>
      <w:r w:rsidRPr="00F87BE8">
        <w:rPr>
          <w:rFonts w:cs="Calibri"/>
          <w:i/>
          <w:iCs/>
          <w:szCs w:val="22"/>
          <w:shd w:val="clear" w:color="auto" w:fill="FFFFFF"/>
        </w:rPr>
        <w:t>International Journal of Environmental Analytical Chemistry</w:t>
      </w:r>
      <w:r w:rsidRPr="00F87BE8">
        <w:rPr>
          <w:rFonts w:cs="Calibri"/>
          <w:szCs w:val="22"/>
          <w:shd w:val="clear" w:color="auto" w:fill="FFFFFF"/>
        </w:rPr>
        <w:t>, </w:t>
      </w:r>
      <w:r w:rsidRPr="00F87BE8">
        <w:rPr>
          <w:rFonts w:cs="Calibri"/>
          <w:i/>
          <w:iCs/>
          <w:szCs w:val="22"/>
          <w:shd w:val="clear" w:color="auto" w:fill="FFFFFF"/>
        </w:rPr>
        <w:t>104</w:t>
      </w:r>
      <w:r w:rsidRPr="00F87BE8">
        <w:rPr>
          <w:rFonts w:cs="Calibri"/>
          <w:szCs w:val="22"/>
          <w:shd w:val="clear" w:color="auto" w:fill="FFFFFF"/>
        </w:rPr>
        <w:t>(1), pp.215-230.</w:t>
      </w:r>
      <w:r w:rsidR="00F87BE8">
        <w:rPr>
          <w:rFonts w:cs="Calibri"/>
          <w:szCs w:val="22"/>
          <w:shd w:val="clear" w:color="auto" w:fill="FFFFFF"/>
        </w:rPr>
        <w:t xml:space="preserve"> </w:t>
      </w:r>
      <w:hyperlink r:id="rId10" w:history="1">
        <w:r w:rsidR="00F87BE8" w:rsidRPr="001E0273">
          <w:rPr>
            <w:rStyle w:val="Hyperlink"/>
            <w:rFonts w:cs="Calibri"/>
            <w:szCs w:val="22"/>
            <w:shd w:val="clear" w:color="auto" w:fill="FFFFFF"/>
          </w:rPr>
          <w:t>https://doi.org/10.1080/03067319.2021.2018578</w:t>
        </w:r>
      </w:hyperlink>
    </w:p>
    <w:p w14:paraId="798F8986"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shd w:val="clear" w:color="auto" w:fill="FFFFFF"/>
        </w:rPr>
        <w:t>Ahmed, A., Mahmud, M.N. and Muniza, N.T., 2025. Post-harvest technology and food processing innovations: Prospects and challenges in Bangladesh. </w:t>
      </w:r>
      <w:r w:rsidRPr="00F87BE8">
        <w:rPr>
          <w:rFonts w:ascii="Calibri" w:hAnsi="Calibri" w:cs="Calibri"/>
          <w:i/>
          <w:iCs/>
          <w:sz w:val="22"/>
          <w:szCs w:val="22"/>
          <w:shd w:val="clear" w:color="auto" w:fill="FFFFFF"/>
        </w:rPr>
        <w:t>IJCS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(2), pp.93-103.</w:t>
      </w:r>
      <w:r w:rsidR="00F87BE8">
        <w:rPr>
          <w:rFonts w:ascii="Calibri" w:hAnsi="Calibri" w:cs="Calibri"/>
          <w:sz w:val="22"/>
          <w:szCs w:val="22"/>
          <w:shd w:val="clear" w:color="auto" w:fill="FFFFFF"/>
        </w:rPr>
        <w:t xml:space="preserve"> </w:t>
      </w:r>
      <w:hyperlink r:id="rId11" w:history="1">
        <w:r w:rsidR="00F87BE8" w:rsidRPr="001E0273">
          <w:rPr>
            <w:rStyle w:val="Hyperlink"/>
            <w:rFonts w:ascii="Calibri" w:hAnsi="Calibri" w:cs="Calibri"/>
            <w:sz w:val="22"/>
            <w:szCs w:val="22"/>
            <w:shd w:val="clear" w:color="auto" w:fill="FFFFFF"/>
          </w:rPr>
          <w:t>https://www.doi.org/10.22271/chemi.2025.v13.i1b.12506</w:t>
        </w:r>
      </w:hyperlink>
    </w:p>
    <w:p w14:paraId="129BD04B"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Akter, S., Rahman, M. S., &amp; Islam, M. A. (2022). Post-harvest losses of vegetables in Bangladesh: Causes and policy implications. </w:t>
      </w:r>
      <w:r w:rsidRPr="00F87BE8">
        <w:rPr>
          <w:rStyle w:val="Emphasis"/>
          <w:rFonts w:ascii="Calibri" w:eastAsia="SimSun" w:hAnsi="Calibri" w:cs="Calibri"/>
          <w:sz w:val="22"/>
          <w:szCs w:val="22"/>
        </w:rPr>
        <w:t>Journal of Agriculture and Food Research, 9</w:t>
      </w:r>
      <w:r w:rsidRPr="00F87BE8">
        <w:rPr>
          <w:rFonts w:ascii="Calibri" w:hAnsi="Calibri" w:cs="Calibri"/>
          <w:sz w:val="22"/>
          <w:szCs w:val="22"/>
        </w:rPr>
        <w:t xml:space="preserve">, 100330. </w:t>
      </w:r>
      <w:hyperlink r:id="rId12" w:history="1">
        <w:r w:rsidR="00F87BE8" w:rsidRPr="001E0273">
          <w:rPr>
            <w:rStyle w:val="Hyperlink"/>
            <w:rFonts w:ascii="Calibri" w:hAnsi="Calibri" w:cs="Calibri"/>
            <w:sz w:val="22"/>
            <w:szCs w:val="22"/>
          </w:rPr>
          <w:t>https://doi.org/10.1016/j.jafr.2022.100330</w:t>
        </w:r>
      </w:hyperlink>
    </w:p>
    <w:p w14:paraId="7E9295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Al Banna, M.H., Disu, T.R., Kundu, S., Ahinkorah, B.O., Brazendale, K., Seidu, A.A., Okyere, J., Rahman, N., Mondal, S., </w:t>
      </w:r>
      <w:proofErr w:type="spellStart"/>
      <w:r w:rsidRPr="00F87BE8">
        <w:rPr>
          <w:rFonts w:cs="Calibri"/>
          <w:szCs w:val="22"/>
          <w:shd w:val="clear" w:color="auto" w:fill="FFFFFF"/>
        </w:rPr>
        <w:t>Matubber</w:t>
      </w:r>
      <w:proofErr w:type="spellEnd"/>
      <w:r w:rsidRPr="00F87BE8">
        <w:rPr>
          <w:rFonts w:cs="Calibri"/>
          <w:szCs w:val="22"/>
          <w:shd w:val="clear" w:color="auto" w:fill="FFFFFF"/>
        </w:rPr>
        <w:t>, B. and Khan, M.S.I., 2021. Factors associated with food safety knowledge and practices among meat handlers in Bangladesh: a cross-sectional study. </w:t>
      </w:r>
      <w:r w:rsidRPr="00F87BE8">
        <w:rPr>
          <w:rFonts w:cs="Calibri"/>
          <w:i/>
          <w:iCs/>
          <w:szCs w:val="22"/>
          <w:shd w:val="clear" w:color="auto" w:fill="FFFFFF"/>
        </w:rPr>
        <w:t>Environmental Health and Preventive Medicine</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 p.84. </w:t>
      </w:r>
      <w:hyperlink r:id="rId13" w:history="1">
        <w:r w:rsidR="00F87BE8" w:rsidRPr="001E0273">
          <w:rPr>
            <w:rStyle w:val="Hyperlink"/>
            <w:rFonts w:cs="Calibri"/>
            <w:szCs w:val="22"/>
            <w:shd w:val="clear" w:color="auto" w:fill="FFFFFF"/>
          </w:rPr>
          <w:t>https://doi.org/10.1186/s12199-021-01004-5</w:t>
        </w:r>
      </w:hyperlink>
    </w:p>
    <w:p w14:paraId="587A672F"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r w:rsidRPr="00F87BE8">
        <w:rPr>
          <w:rFonts w:ascii="Calibri" w:hAnsi="Calibri" w:cs="Calibri"/>
          <w:sz w:val="22"/>
          <w:szCs w:val="22"/>
          <w:shd w:val="clear" w:color="auto" w:fill="FFFFFF"/>
        </w:rPr>
        <w:t xml:space="preserve">Alam, S.S., Haque, I.S., </w:t>
      </w:r>
      <w:proofErr w:type="spellStart"/>
      <w:r w:rsidRPr="00F87BE8">
        <w:rPr>
          <w:rFonts w:ascii="Calibri" w:hAnsi="Calibri" w:cs="Calibri"/>
          <w:sz w:val="22"/>
          <w:szCs w:val="22"/>
          <w:shd w:val="clear" w:color="auto" w:fill="FFFFFF"/>
        </w:rPr>
        <w:t>Kokash</w:t>
      </w:r>
      <w:proofErr w:type="spellEnd"/>
      <w:r w:rsidRPr="00F87BE8">
        <w:rPr>
          <w:rFonts w:ascii="Calibri" w:hAnsi="Calibri" w:cs="Calibri"/>
          <w:sz w:val="22"/>
          <w:szCs w:val="22"/>
          <w:shd w:val="clear" w:color="auto" w:fill="FFFFFF"/>
        </w:rPr>
        <w:t>, H.A., Ahmed, S. and Ahsan, M.N., 2025. Drivers of Waste Separation Behavior in Urban Bangladesh: Leveraging Social Norms and Environmental Awareness for Circular Economy Success. </w:t>
      </w:r>
      <w:r w:rsidRPr="00F87BE8">
        <w:rPr>
          <w:rFonts w:ascii="Calibri" w:hAnsi="Calibri" w:cs="Calibri"/>
          <w:i/>
          <w:iCs/>
          <w:sz w:val="22"/>
          <w:szCs w:val="22"/>
          <w:shd w:val="clear" w:color="auto" w:fill="FFFFFF"/>
        </w:rPr>
        <w:t>Circular Economy and Sustainability</w:t>
      </w:r>
      <w:r w:rsidRPr="00F87BE8">
        <w:rPr>
          <w:rFonts w:ascii="Calibri" w:hAnsi="Calibri" w:cs="Calibri"/>
          <w:sz w:val="22"/>
          <w:szCs w:val="22"/>
          <w:shd w:val="clear" w:color="auto" w:fill="FFFFFF"/>
        </w:rPr>
        <w:t>, pp.1-33.</w:t>
      </w:r>
      <w:r w:rsidR="00F87BE8">
        <w:rPr>
          <w:rFonts w:ascii="Calibri" w:hAnsi="Calibri" w:cs="Calibri"/>
          <w:sz w:val="22"/>
          <w:szCs w:val="22"/>
          <w:shd w:val="clear" w:color="auto" w:fill="FFFFFF"/>
        </w:rPr>
        <w:t xml:space="preserve"> </w:t>
      </w:r>
      <w:hyperlink r:id="rId14" w:history="1">
        <w:r w:rsidR="00F87BE8" w:rsidRPr="001E0273">
          <w:rPr>
            <w:rStyle w:val="Hyperlink"/>
            <w:rFonts w:ascii="Calibri" w:hAnsi="Calibri" w:cs="Calibri"/>
            <w:sz w:val="22"/>
            <w:szCs w:val="22"/>
            <w:shd w:val="clear" w:color="auto" w:fill="FFFFFF"/>
          </w:rPr>
          <w:t>https://doi.org/10.1007/s43615-025-00526-2</w:t>
        </w:r>
      </w:hyperlink>
    </w:p>
    <w:p w14:paraId="6AD55D1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proofErr w:type="spellStart"/>
      <w:r w:rsidRPr="00F87BE8">
        <w:rPr>
          <w:rFonts w:ascii="Calibri" w:hAnsi="Calibri" w:cs="Calibri"/>
          <w:sz w:val="22"/>
          <w:szCs w:val="22"/>
        </w:rPr>
        <w:t>Aschemann‐Witzel</w:t>
      </w:r>
      <w:proofErr w:type="spellEnd"/>
      <w:r w:rsidRPr="00F87BE8">
        <w:rPr>
          <w:rFonts w:ascii="Calibri" w:hAnsi="Calibri" w:cs="Calibri"/>
          <w:sz w:val="22"/>
          <w:szCs w:val="22"/>
        </w:rPr>
        <w:t xml:space="preserve">, J., Randers, L. and Pedersen, S., 2023. Retail or consumer responsibility? —reflections on food waste and food prices among deal‐prone consumers and market actors. Business Strategy and the Environment, 32(4), pp.1513-1528. </w:t>
      </w:r>
      <w:hyperlink r:id="rId15" w:history="1">
        <w:r w:rsidR="00F87BE8" w:rsidRPr="001E0273">
          <w:rPr>
            <w:rStyle w:val="Hyperlink"/>
            <w:rFonts w:ascii="Calibri" w:hAnsi="Calibri" w:cs="Calibri"/>
            <w:sz w:val="22"/>
            <w:szCs w:val="22"/>
          </w:rPr>
          <w:t>https://doi.org/10.1002/bse.3202</w:t>
        </w:r>
      </w:hyperlink>
    </w:p>
    <w:p w14:paraId="16617EE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Aslam, J., </w:t>
      </w:r>
      <w:proofErr w:type="spellStart"/>
      <w:r w:rsidRPr="00F87BE8">
        <w:rPr>
          <w:rFonts w:ascii="Calibri" w:hAnsi="Calibri" w:cs="Calibri"/>
          <w:sz w:val="22"/>
          <w:szCs w:val="22"/>
          <w:shd w:val="clear" w:color="auto" w:fill="FFFFFF"/>
        </w:rPr>
        <w:t>Parray</w:t>
      </w:r>
      <w:proofErr w:type="spellEnd"/>
      <w:r w:rsidRPr="00F87BE8">
        <w:rPr>
          <w:rFonts w:ascii="Calibri" w:hAnsi="Calibri" w:cs="Calibri"/>
          <w:sz w:val="22"/>
          <w:szCs w:val="22"/>
          <w:shd w:val="clear" w:color="auto" w:fill="FFFFFF"/>
        </w:rPr>
        <w:t>, H.A., Aslam, A. and Aslam, R., 2024. Food waste environmental impact assessment. In </w:t>
      </w:r>
      <w:r w:rsidRPr="00F87BE8">
        <w:rPr>
          <w:rFonts w:ascii="Calibri" w:hAnsi="Calibri" w:cs="Calibri"/>
          <w:i/>
          <w:iCs/>
          <w:sz w:val="22"/>
          <w:szCs w:val="22"/>
          <w:shd w:val="clear" w:color="auto" w:fill="FFFFFF"/>
        </w:rPr>
        <w:t>Sustainable Food Waste Management: Anti-corrosion Applications</w:t>
      </w:r>
      <w:r w:rsidRPr="00F87BE8">
        <w:rPr>
          <w:rFonts w:ascii="Calibri" w:hAnsi="Calibri" w:cs="Calibri"/>
          <w:sz w:val="22"/>
          <w:szCs w:val="22"/>
          <w:shd w:val="clear" w:color="auto" w:fill="FFFFFF"/>
        </w:rPr>
        <w:t xml:space="preserve"> (pp. 87-105). Singapore: Springer Nature Singapore. </w:t>
      </w:r>
      <w:hyperlink r:id="rId16" w:history="1">
        <w:r w:rsidR="00F87BE8" w:rsidRPr="001E0273">
          <w:rPr>
            <w:rStyle w:val="Hyperlink"/>
            <w:rFonts w:ascii="Calibri" w:hAnsi="Calibri" w:cs="Calibri"/>
            <w:sz w:val="22"/>
            <w:szCs w:val="22"/>
            <w:shd w:val="clear" w:color="auto" w:fill="FFFFFF"/>
          </w:rPr>
          <w:t>https://doi.org/10.1007/978-981-97-1160-4_5</w:t>
        </w:r>
      </w:hyperlink>
    </w:p>
    <w:p w14:paraId="354EDA82" w14:textId="77777777" w:rsidR="00EC6BBB"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Balan, I. M., </w:t>
      </w:r>
      <w:proofErr w:type="spellStart"/>
      <w:r w:rsidRPr="00F87BE8">
        <w:rPr>
          <w:rFonts w:eastAsia="Times New Roman" w:cs="Calibri"/>
          <w:szCs w:val="22"/>
        </w:rPr>
        <w:t>Trasca</w:t>
      </w:r>
      <w:proofErr w:type="spellEnd"/>
      <w:r w:rsidRPr="00F87BE8">
        <w:rPr>
          <w:rFonts w:eastAsia="Times New Roman" w:cs="Calibri"/>
          <w:szCs w:val="22"/>
        </w:rPr>
        <w:t xml:space="preserve">, T. I., Brad, I., </w:t>
      </w:r>
      <w:proofErr w:type="spellStart"/>
      <w:r w:rsidRPr="00F87BE8">
        <w:rPr>
          <w:rFonts w:eastAsia="Times New Roman" w:cs="Calibri"/>
          <w:szCs w:val="22"/>
        </w:rPr>
        <w:t>Belc</w:t>
      </w:r>
      <w:proofErr w:type="spellEnd"/>
      <w:r w:rsidRPr="00F87BE8">
        <w:rPr>
          <w:rFonts w:eastAsia="Times New Roman" w:cs="Calibri"/>
          <w:szCs w:val="22"/>
        </w:rPr>
        <w:t xml:space="preserve">, N., </w:t>
      </w:r>
      <w:proofErr w:type="spellStart"/>
      <w:r w:rsidRPr="00F87BE8">
        <w:rPr>
          <w:rFonts w:eastAsia="Times New Roman" w:cs="Calibri"/>
          <w:szCs w:val="22"/>
        </w:rPr>
        <w:t>Tulcan</w:t>
      </w:r>
      <w:proofErr w:type="spellEnd"/>
      <w:r w:rsidRPr="00F87BE8">
        <w:rPr>
          <w:rFonts w:eastAsia="Times New Roman" w:cs="Calibri"/>
          <w:szCs w:val="22"/>
        </w:rPr>
        <w:t xml:space="preserve">, C., Radoi, B. P., </w:t>
      </w:r>
      <w:proofErr w:type="spellStart"/>
      <w:r w:rsidRPr="00F87BE8">
        <w:rPr>
          <w:rFonts w:eastAsia="Times New Roman" w:cs="Calibri"/>
          <w:szCs w:val="22"/>
        </w:rPr>
        <w:t>Rinovets</w:t>
      </w:r>
      <w:proofErr w:type="spellEnd"/>
      <w:r w:rsidRPr="00F87BE8">
        <w:rPr>
          <w:rFonts w:eastAsia="Times New Roman" w:cs="Calibri"/>
          <w:szCs w:val="22"/>
        </w:rPr>
        <w:t xml:space="preserve">, A., &amp; Kiba, D. (2023). </w:t>
      </w:r>
      <w:r w:rsidRPr="00F87BE8">
        <w:rPr>
          <w:rFonts w:eastAsia="Times New Roman" w:cs="Calibri"/>
          <w:i/>
          <w:iCs/>
          <w:szCs w:val="22"/>
        </w:rPr>
        <w:t>Approaches to limiting food loss and food waste</w:t>
      </w:r>
      <w:r w:rsidRPr="00F87BE8">
        <w:rPr>
          <w:rFonts w:eastAsia="Times New Roman" w:cs="Calibri"/>
          <w:szCs w:val="22"/>
        </w:rPr>
        <w:t xml:space="preserve">. In </w:t>
      </w:r>
      <w:r w:rsidRPr="00F87BE8">
        <w:rPr>
          <w:rFonts w:eastAsia="Times New Roman" w:cs="Calibri"/>
          <w:bCs/>
          <w:szCs w:val="22"/>
        </w:rPr>
        <w:t>Transitioning to zero hunger</w:t>
      </w:r>
      <w:r w:rsidRPr="00F87BE8">
        <w:rPr>
          <w:rFonts w:eastAsia="Times New Roman" w:cs="Calibri"/>
          <w:szCs w:val="22"/>
        </w:rPr>
        <w:t xml:space="preserve"> (pp. 215–244). MDPI. </w:t>
      </w:r>
      <w:hyperlink r:id="rId17" w:history="1">
        <w:r w:rsidR="00F87BE8" w:rsidRPr="001E0273">
          <w:rPr>
            <w:rStyle w:val="Hyperlink"/>
            <w:rFonts w:eastAsia="Times New Roman" w:cs="Calibri"/>
            <w:szCs w:val="22"/>
          </w:rPr>
          <w:t>https://doi.org/10.3390/books978-3-0365-XXXX-X</w:t>
        </w:r>
      </w:hyperlink>
    </w:p>
    <w:p w14:paraId="2D217E9A"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Bi, A.Z., Gupta, I., Mahida, D., </w:t>
      </w:r>
      <w:proofErr w:type="spellStart"/>
      <w:r w:rsidRPr="00F87BE8">
        <w:rPr>
          <w:rFonts w:ascii="Calibri" w:hAnsi="Calibri" w:cs="Calibri"/>
          <w:sz w:val="22"/>
          <w:szCs w:val="22"/>
          <w:shd w:val="clear" w:color="auto" w:fill="FFFFFF"/>
        </w:rPr>
        <w:t>Isanovic</w:t>
      </w:r>
      <w:proofErr w:type="spellEnd"/>
      <w:r w:rsidRPr="00F87BE8">
        <w:rPr>
          <w:rFonts w:ascii="Calibri" w:hAnsi="Calibri" w:cs="Calibri"/>
          <w:sz w:val="22"/>
          <w:szCs w:val="22"/>
          <w:shd w:val="clear" w:color="auto" w:fill="FFFFFF"/>
        </w:rPr>
        <w:t xml:space="preserve">, S., </w:t>
      </w:r>
      <w:proofErr w:type="spellStart"/>
      <w:r w:rsidRPr="00F87BE8">
        <w:rPr>
          <w:rFonts w:ascii="Calibri" w:hAnsi="Calibri" w:cs="Calibri"/>
          <w:sz w:val="22"/>
          <w:szCs w:val="22"/>
          <w:shd w:val="clear" w:color="auto" w:fill="FFFFFF"/>
        </w:rPr>
        <w:t>Boncyk</w:t>
      </w:r>
      <w:proofErr w:type="spellEnd"/>
      <w:r w:rsidRPr="00F87BE8">
        <w:rPr>
          <w:rFonts w:ascii="Calibri" w:hAnsi="Calibri" w:cs="Calibri"/>
          <w:sz w:val="22"/>
          <w:szCs w:val="22"/>
          <w:shd w:val="clear" w:color="auto" w:fill="FFFFFF"/>
        </w:rPr>
        <w:t xml:space="preserve">, M., Kabir, A.N.M., Choudhury, S. and </w:t>
      </w:r>
      <w:proofErr w:type="spellStart"/>
      <w:r w:rsidRPr="00F87BE8">
        <w:rPr>
          <w:rFonts w:ascii="Calibri" w:hAnsi="Calibri" w:cs="Calibri"/>
          <w:sz w:val="22"/>
          <w:szCs w:val="22"/>
          <w:shd w:val="clear" w:color="auto" w:fill="FFFFFF"/>
        </w:rPr>
        <w:t>Veettil</w:t>
      </w:r>
      <w:proofErr w:type="spellEnd"/>
      <w:r w:rsidRPr="00F87BE8">
        <w:rPr>
          <w:rFonts w:ascii="Calibri" w:hAnsi="Calibri" w:cs="Calibri"/>
          <w:sz w:val="22"/>
          <w:szCs w:val="22"/>
          <w:shd w:val="clear" w:color="auto" w:fill="FFFFFF"/>
        </w:rPr>
        <w:t xml:space="preserve">, P.C., 2023. Food markets in Rangpur, Bangladesh: Retail shop characteristics. </w:t>
      </w:r>
      <w:hyperlink r:id="rId18" w:history="1">
        <w:r w:rsidR="00F87BE8" w:rsidRPr="001E0273">
          <w:rPr>
            <w:rStyle w:val="Hyperlink"/>
            <w:rFonts w:ascii="Calibri" w:hAnsi="Calibri" w:cs="Calibri"/>
            <w:sz w:val="22"/>
            <w:szCs w:val="22"/>
            <w:shd w:val="clear" w:color="auto" w:fill="FFFFFF"/>
          </w:rPr>
          <w:t>https://hdl.handle.net/10568/138789</w:t>
        </w:r>
      </w:hyperlink>
    </w:p>
    <w:p w14:paraId="79029775"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proofErr w:type="spellStart"/>
      <w:r w:rsidRPr="00F87BE8">
        <w:rPr>
          <w:rFonts w:ascii="Calibri" w:hAnsi="Calibri" w:cs="Calibri"/>
          <w:sz w:val="22"/>
          <w:szCs w:val="22"/>
        </w:rPr>
        <w:t>Boliko</w:t>
      </w:r>
      <w:proofErr w:type="spellEnd"/>
      <w:r w:rsidRPr="00F87BE8">
        <w:rPr>
          <w:rFonts w:ascii="Calibri" w:hAnsi="Calibri" w:cs="Calibri"/>
          <w:sz w:val="22"/>
          <w:szCs w:val="22"/>
        </w:rPr>
        <w:t xml:space="preserve">, M.C., 2019. FAO and the situation of food security and nutrition in the world. Journal of nutritional science and </w:t>
      </w:r>
      <w:proofErr w:type="spellStart"/>
      <w:r w:rsidRPr="00F87BE8">
        <w:rPr>
          <w:rFonts w:ascii="Calibri" w:hAnsi="Calibri" w:cs="Calibri"/>
          <w:sz w:val="22"/>
          <w:szCs w:val="22"/>
        </w:rPr>
        <w:t>vitaminology</w:t>
      </w:r>
      <w:proofErr w:type="spellEnd"/>
      <w:r w:rsidRPr="00F87BE8">
        <w:rPr>
          <w:rFonts w:ascii="Calibri" w:hAnsi="Calibri" w:cs="Calibri"/>
          <w:sz w:val="22"/>
          <w:szCs w:val="22"/>
        </w:rPr>
        <w:t xml:space="preserve">, 65(Supplement), </w:t>
      </w:r>
      <w:proofErr w:type="gramStart"/>
      <w:r w:rsidRPr="00F87BE8">
        <w:rPr>
          <w:rFonts w:ascii="Calibri" w:hAnsi="Calibri" w:cs="Calibri"/>
          <w:sz w:val="22"/>
          <w:szCs w:val="22"/>
        </w:rPr>
        <w:t>pp.S</w:t>
      </w:r>
      <w:proofErr w:type="gramEnd"/>
      <w:r w:rsidRPr="00F87BE8">
        <w:rPr>
          <w:rFonts w:ascii="Calibri" w:hAnsi="Calibri" w:cs="Calibri"/>
          <w:sz w:val="22"/>
          <w:szCs w:val="22"/>
        </w:rPr>
        <w:t>4-S8.</w:t>
      </w:r>
      <w:r w:rsidR="00F87BE8">
        <w:rPr>
          <w:rFonts w:ascii="Calibri" w:hAnsi="Calibri" w:cs="Calibri"/>
          <w:sz w:val="22"/>
          <w:szCs w:val="22"/>
        </w:rPr>
        <w:t xml:space="preserve"> </w:t>
      </w:r>
      <w:hyperlink r:id="rId19" w:history="1">
        <w:r w:rsidR="00F87BE8" w:rsidRPr="001E0273">
          <w:rPr>
            <w:rStyle w:val="Hyperlink"/>
            <w:rFonts w:ascii="Calibri" w:hAnsi="Calibri" w:cs="Calibri"/>
            <w:sz w:val="22"/>
            <w:szCs w:val="22"/>
          </w:rPr>
          <w:t>https://doi.org/10.3177/jnsv.65.S4</w:t>
        </w:r>
      </w:hyperlink>
    </w:p>
    <w:p w14:paraId="73796893" w14:textId="77777777" w:rsidR="00EC6BBB" w:rsidRPr="00F87BE8" w:rsidRDefault="00EC6BBB" w:rsidP="00F87BE8">
      <w:pPr>
        <w:pStyle w:val="ListParagraph"/>
        <w:numPr>
          <w:ilvl w:val="0"/>
          <w:numId w:val="1"/>
        </w:numPr>
        <w:spacing w:after="0" w:line="240" w:lineRule="auto"/>
        <w:rPr>
          <w:rFonts w:eastAsia="Times New Roman" w:cs="Calibri"/>
          <w:szCs w:val="22"/>
        </w:rPr>
      </w:pPr>
      <w:bookmarkStart w:id="1" w:name="_Hlk223276818"/>
      <w:r w:rsidRPr="00F87BE8">
        <w:rPr>
          <w:rFonts w:cs="Calibri"/>
          <w:szCs w:val="22"/>
          <w:shd w:val="clear" w:color="auto" w:fill="FFFFFF"/>
        </w:rPr>
        <w:t>Carvalho</w:t>
      </w:r>
      <w:bookmarkEnd w:id="1"/>
      <w:r w:rsidRPr="00F87BE8">
        <w:rPr>
          <w:rFonts w:cs="Calibri"/>
          <w:szCs w:val="22"/>
          <w:shd w:val="clear" w:color="auto" w:fill="FFFFFF"/>
        </w:rPr>
        <w:t>, R., Lucas, M.R. and Marta-Costa, A., 2025. Food waste reduction: A systematic literature review on integrating policies, consumer behavior, and innovation.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17</w:t>
      </w:r>
      <w:r w:rsidRPr="00F87BE8">
        <w:rPr>
          <w:rFonts w:cs="Calibri"/>
          <w:szCs w:val="22"/>
          <w:shd w:val="clear" w:color="auto" w:fill="FFFFFF"/>
        </w:rPr>
        <w:t xml:space="preserve">(7), p.3236. </w:t>
      </w:r>
      <w:hyperlink r:id="rId20" w:history="1">
        <w:r w:rsidR="00F87BE8" w:rsidRPr="001E0273">
          <w:rPr>
            <w:rStyle w:val="Hyperlink"/>
            <w:rFonts w:cs="Calibri"/>
            <w:szCs w:val="22"/>
            <w:shd w:val="clear" w:color="auto" w:fill="FFFFFF"/>
          </w:rPr>
          <w:t>https://doi.org/10.3390/su17073236</w:t>
        </w:r>
      </w:hyperlink>
    </w:p>
    <w:p w14:paraId="13ADC006"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bookmarkStart w:id="2" w:name="_Hlk223279691"/>
      <w:r w:rsidRPr="00F87BE8">
        <w:rPr>
          <w:rFonts w:ascii="Calibri" w:hAnsi="Calibri" w:cs="Calibri"/>
          <w:sz w:val="22"/>
          <w:szCs w:val="22"/>
          <w:shd w:val="clear" w:color="auto" w:fill="FFFFFF"/>
        </w:rPr>
        <w:lastRenderedPageBreak/>
        <w:t>Choudhury</w:t>
      </w:r>
      <w:bookmarkEnd w:id="2"/>
      <w:r w:rsidRPr="00F87BE8">
        <w:rPr>
          <w:rFonts w:ascii="Calibri" w:hAnsi="Calibri" w:cs="Calibri"/>
          <w:sz w:val="22"/>
          <w:szCs w:val="22"/>
          <w:shd w:val="clear" w:color="auto" w:fill="FFFFFF"/>
        </w:rPr>
        <w:t>, D.K., Cooper, G.S., Rich, K.M., Shankar, B., Sadek, S., Ratna, N.N., Kadiyala, S. and Alam, M.J., 2024. Identifying value chain trade-offs from fruit and vegetable aggregation services in Bangladesh using a system dynamics approach.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19</w:t>
      </w:r>
      <w:r w:rsidRPr="00F87BE8">
        <w:rPr>
          <w:rFonts w:ascii="Calibri" w:hAnsi="Calibri" w:cs="Calibri"/>
          <w:sz w:val="22"/>
          <w:szCs w:val="22"/>
          <w:shd w:val="clear" w:color="auto" w:fill="FFFFFF"/>
        </w:rPr>
        <w:t xml:space="preserve">(1),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 xml:space="preserve">0297509. </w:t>
      </w:r>
      <w:hyperlink r:id="rId21" w:history="1">
        <w:r w:rsidR="00F87BE8" w:rsidRPr="001E0273">
          <w:rPr>
            <w:rStyle w:val="Hyperlink"/>
            <w:rFonts w:ascii="Calibri" w:hAnsi="Calibri" w:cs="Calibri"/>
            <w:sz w:val="22"/>
            <w:szCs w:val="22"/>
            <w:shd w:val="clear" w:color="auto" w:fill="FFFFFF"/>
          </w:rPr>
          <w:t>https://doi.org/10.1371/journal.pone.0297509</w:t>
        </w:r>
      </w:hyperlink>
    </w:p>
    <w:p w14:paraId="0BAC59F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Chowdhury, M. A., Hossain, M. I., &amp; Begum, S. (2021). Food loss and waste in vegetable value chains of Bangladesh. </w:t>
      </w:r>
      <w:r w:rsidRPr="00F87BE8">
        <w:rPr>
          <w:rStyle w:val="Emphasis"/>
          <w:rFonts w:ascii="Calibri" w:eastAsia="SimSun" w:hAnsi="Calibri" w:cs="Calibri"/>
          <w:sz w:val="22"/>
          <w:szCs w:val="22"/>
        </w:rPr>
        <w:t>Sustainability, 13</w:t>
      </w:r>
      <w:r w:rsidRPr="00F87BE8">
        <w:rPr>
          <w:rFonts w:ascii="Calibri" w:hAnsi="Calibri" w:cs="Calibri"/>
          <w:sz w:val="22"/>
          <w:szCs w:val="22"/>
        </w:rPr>
        <w:t>(4), 2347.</w:t>
      </w:r>
      <w:r w:rsidR="00F87BE8">
        <w:rPr>
          <w:rFonts w:ascii="Calibri" w:hAnsi="Calibri" w:cs="Calibri"/>
          <w:sz w:val="22"/>
          <w:szCs w:val="22"/>
        </w:rPr>
        <w:t xml:space="preserve"> </w:t>
      </w:r>
      <w:hyperlink r:id="rId22" w:history="1">
        <w:r w:rsidR="00F87BE8" w:rsidRPr="001E0273">
          <w:rPr>
            <w:rStyle w:val="Hyperlink"/>
            <w:rFonts w:ascii="Calibri" w:hAnsi="Calibri" w:cs="Calibri"/>
            <w:sz w:val="22"/>
            <w:szCs w:val="22"/>
          </w:rPr>
          <w:t>https://doi.org/10.3390/su13042347</w:t>
        </w:r>
      </w:hyperlink>
    </w:p>
    <w:p w14:paraId="6E03D32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Food and Agriculture Organization (FAO). (2020). </w:t>
      </w:r>
      <w:r w:rsidRPr="00F87BE8">
        <w:rPr>
          <w:rFonts w:eastAsia="Times New Roman" w:cs="Calibri"/>
          <w:i/>
          <w:iCs/>
          <w:szCs w:val="22"/>
        </w:rPr>
        <w:t>Food Loss Prevention in Perishable Crops.</w:t>
      </w:r>
      <w:r w:rsidRPr="00F87BE8">
        <w:rPr>
          <w:rFonts w:eastAsia="Times New Roman" w:cs="Calibri"/>
          <w:szCs w:val="22"/>
        </w:rPr>
        <w:t xml:space="preserve"> FAO.</w:t>
      </w:r>
      <w:r w:rsidR="00F87BE8">
        <w:rPr>
          <w:rFonts w:eastAsia="Times New Roman" w:cs="Calibri"/>
          <w:szCs w:val="22"/>
        </w:rPr>
        <w:t xml:space="preserve"> </w:t>
      </w:r>
      <w:hyperlink r:id="rId23" w:history="1">
        <w:r w:rsidR="00F87BE8" w:rsidRPr="001E0273">
          <w:rPr>
            <w:rStyle w:val="Hyperlink"/>
            <w:rFonts w:eastAsia="Times New Roman" w:cs="Calibri"/>
            <w:szCs w:val="22"/>
          </w:rPr>
          <w:t>http://www.fao.org/4/s8620e/s8620e06.htm</w:t>
        </w:r>
      </w:hyperlink>
    </w:p>
    <w:p w14:paraId="23C9A15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Galford, G.L., Peña, O., Sullivan, A.K., Nash, J., </w:t>
      </w:r>
      <w:proofErr w:type="spellStart"/>
      <w:r w:rsidRPr="00F87BE8">
        <w:rPr>
          <w:rFonts w:ascii="Calibri" w:hAnsi="Calibri" w:cs="Calibri"/>
          <w:sz w:val="22"/>
          <w:szCs w:val="22"/>
          <w:shd w:val="clear" w:color="auto" w:fill="FFFFFF"/>
        </w:rPr>
        <w:t>Gurwick</w:t>
      </w:r>
      <w:proofErr w:type="spellEnd"/>
      <w:r w:rsidRPr="00F87BE8">
        <w:rPr>
          <w:rFonts w:ascii="Calibri" w:hAnsi="Calibri" w:cs="Calibri"/>
          <w:sz w:val="22"/>
          <w:szCs w:val="22"/>
          <w:shd w:val="clear" w:color="auto" w:fill="FFFFFF"/>
        </w:rPr>
        <w:t>, N., Pirolli, G., Richards, M., White, J. and Wollenberg, E., 2020. Agricultural development addresses food loss and waste while reducing greenhouse gas emissions. </w:t>
      </w:r>
      <w:r w:rsidRPr="00F87BE8">
        <w:rPr>
          <w:rFonts w:ascii="Calibri" w:hAnsi="Calibri" w:cs="Calibri"/>
          <w:i/>
          <w:iCs/>
          <w:sz w:val="22"/>
          <w:szCs w:val="22"/>
          <w:shd w:val="clear" w:color="auto" w:fill="FFFFFF"/>
        </w:rPr>
        <w:t>Science of the Total Environment</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699</w:t>
      </w:r>
      <w:r w:rsidRPr="00F87BE8">
        <w:rPr>
          <w:rFonts w:ascii="Calibri" w:hAnsi="Calibri" w:cs="Calibri"/>
          <w:sz w:val="22"/>
          <w:szCs w:val="22"/>
          <w:shd w:val="clear" w:color="auto" w:fill="FFFFFF"/>
        </w:rPr>
        <w:t>, p.134318.</w:t>
      </w:r>
      <w:r w:rsidR="00F87BE8">
        <w:rPr>
          <w:rFonts w:ascii="Calibri" w:hAnsi="Calibri" w:cs="Calibri"/>
          <w:sz w:val="22"/>
          <w:szCs w:val="22"/>
          <w:shd w:val="clear" w:color="auto" w:fill="FFFFFF"/>
        </w:rPr>
        <w:t xml:space="preserve"> </w:t>
      </w:r>
      <w:hyperlink r:id="rId24" w:history="1">
        <w:r w:rsidR="00F87BE8" w:rsidRPr="001E0273">
          <w:rPr>
            <w:rStyle w:val="Hyperlink"/>
            <w:rFonts w:ascii="Calibri" w:hAnsi="Calibri" w:cs="Calibri"/>
            <w:sz w:val="22"/>
            <w:szCs w:val="22"/>
            <w:shd w:val="clear" w:color="auto" w:fill="FFFFFF"/>
          </w:rPr>
          <w:t>https://doi.org/10.1016/j.scitotenv.2019.134318</w:t>
        </w:r>
      </w:hyperlink>
    </w:p>
    <w:p w14:paraId="093F7CC5"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Guarnieri, P., de Aguiar, R.C., Thomé, K.M. and Watanabe, E.A.D.M., 2021. The role of logistics in food waste reduction in wholesalers and small retailers of fruits and vegetables: A multiple case study. </w:t>
      </w:r>
      <w:r w:rsidRPr="00F87BE8">
        <w:rPr>
          <w:rFonts w:ascii="Calibri" w:hAnsi="Calibri" w:cs="Calibri"/>
          <w:i/>
          <w:iCs/>
          <w:sz w:val="22"/>
          <w:szCs w:val="22"/>
          <w:shd w:val="clear" w:color="auto" w:fill="FFFFFF"/>
        </w:rPr>
        <w:t>Logistics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w:t>
      </w:r>
      <w:r w:rsidRPr="00F87BE8">
        <w:rPr>
          <w:rFonts w:ascii="Calibri" w:hAnsi="Calibri" w:cs="Calibri"/>
          <w:sz w:val="22"/>
          <w:szCs w:val="22"/>
          <w:shd w:val="clear" w:color="auto" w:fill="FFFFFF"/>
        </w:rPr>
        <w:t>(4), p.77.</w:t>
      </w:r>
      <w:r w:rsidR="00F87BE8">
        <w:rPr>
          <w:rFonts w:ascii="Calibri" w:hAnsi="Calibri" w:cs="Calibri"/>
          <w:sz w:val="22"/>
          <w:szCs w:val="22"/>
          <w:shd w:val="clear" w:color="auto" w:fill="FFFFFF"/>
        </w:rPr>
        <w:t xml:space="preserve"> </w:t>
      </w:r>
      <w:hyperlink r:id="rId25" w:history="1">
        <w:r w:rsidR="00F87BE8" w:rsidRPr="001E0273">
          <w:rPr>
            <w:rStyle w:val="Hyperlink"/>
            <w:rFonts w:ascii="Calibri" w:hAnsi="Calibri" w:cs="Calibri"/>
            <w:sz w:val="22"/>
            <w:szCs w:val="22"/>
            <w:shd w:val="clear" w:color="auto" w:fill="FFFFFF"/>
          </w:rPr>
          <w:t>https://doi.org/10.3390/logistics5040077</w:t>
        </w:r>
      </w:hyperlink>
    </w:p>
    <w:p w14:paraId="63A25633"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Guo, X., </w:t>
      </w:r>
      <w:proofErr w:type="spellStart"/>
      <w:r w:rsidRPr="00F87BE8">
        <w:rPr>
          <w:rFonts w:ascii="Calibri" w:hAnsi="Calibri" w:cs="Calibri"/>
          <w:sz w:val="22"/>
          <w:szCs w:val="22"/>
          <w:shd w:val="clear" w:color="auto" w:fill="FFFFFF"/>
        </w:rPr>
        <w:t>Broeze</w:t>
      </w:r>
      <w:proofErr w:type="spellEnd"/>
      <w:r w:rsidRPr="00F87BE8">
        <w:rPr>
          <w:rFonts w:ascii="Calibri" w:hAnsi="Calibri" w:cs="Calibri"/>
          <w:sz w:val="22"/>
          <w:szCs w:val="22"/>
          <w:shd w:val="clear" w:color="auto" w:fill="FFFFFF"/>
        </w:rPr>
        <w:t xml:space="preserve">, J., Groot, J.J., Axmann, H. and </w:t>
      </w:r>
      <w:proofErr w:type="spellStart"/>
      <w:r w:rsidRPr="00F87BE8">
        <w:rPr>
          <w:rFonts w:ascii="Calibri" w:hAnsi="Calibri" w:cs="Calibri"/>
          <w:sz w:val="22"/>
          <w:szCs w:val="22"/>
          <w:shd w:val="clear" w:color="auto" w:fill="FFFFFF"/>
        </w:rPr>
        <w:t>Vollebregt</w:t>
      </w:r>
      <w:proofErr w:type="spellEnd"/>
      <w:r w:rsidRPr="00F87BE8">
        <w:rPr>
          <w:rFonts w:ascii="Calibri" w:hAnsi="Calibri" w:cs="Calibri"/>
          <w:sz w:val="22"/>
          <w:szCs w:val="22"/>
          <w:shd w:val="clear" w:color="auto" w:fill="FFFFFF"/>
        </w:rPr>
        <w:t>, M., 2020. A worldwide hotspot analysis on food loss and waste, associated greenhouse gas emissions, and protein losses.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(18), p.7488.</w:t>
      </w:r>
      <w:r w:rsidR="00F87BE8">
        <w:rPr>
          <w:rFonts w:ascii="Calibri" w:hAnsi="Calibri" w:cs="Calibri"/>
          <w:sz w:val="22"/>
          <w:szCs w:val="22"/>
          <w:shd w:val="clear" w:color="auto" w:fill="FFFFFF"/>
        </w:rPr>
        <w:t xml:space="preserve"> </w:t>
      </w:r>
      <w:hyperlink r:id="rId26" w:history="1">
        <w:r w:rsidR="00F87BE8" w:rsidRPr="001E0273">
          <w:rPr>
            <w:rStyle w:val="Hyperlink"/>
            <w:rFonts w:ascii="Calibri" w:hAnsi="Calibri" w:cs="Calibri"/>
            <w:sz w:val="22"/>
            <w:szCs w:val="22"/>
            <w:shd w:val="clear" w:color="auto" w:fill="FFFFFF"/>
          </w:rPr>
          <w:t>https://doi.org/10.3390/su12187488</w:t>
        </w:r>
      </w:hyperlink>
    </w:p>
    <w:p w14:paraId="65D1CB0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Haque, M.L., </w:t>
      </w:r>
      <w:proofErr w:type="spellStart"/>
      <w:r w:rsidRPr="00F87BE8">
        <w:rPr>
          <w:rFonts w:ascii="Calibri" w:hAnsi="Calibri" w:cs="Calibri"/>
          <w:sz w:val="22"/>
          <w:szCs w:val="22"/>
          <w:shd w:val="clear" w:color="auto" w:fill="FFFFFF"/>
        </w:rPr>
        <w:t>Oosterveer</w:t>
      </w:r>
      <w:proofErr w:type="spellEnd"/>
      <w:r w:rsidRPr="00F87BE8">
        <w:rPr>
          <w:rFonts w:ascii="Calibri" w:hAnsi="Calibri" w:cs="Calibri"/>
          <w:sz w:val="22"/>
          <w:szCs w:val="22"/>
          <w:shd w:val="clear" w:color="auto" w:fill="FFFFFF"/>
        </w:rPr>
        <w:t>, P., Reynolds, C. and Vignola, R., 2025. Does food safety governance in Bangladesh include the urban poor? An analysis of government strategies and policies for the retail food environment in Bangladesh, 2013–2022. </w:t>
      </w:r>
      <w:r w:rsidRPr="00F87BE8">
        <w:rPr>
          <w:rFonts w:ascii="Calibri" w:hAnsi="Calibri" w:cs="Calibri"/>
          <w:i/>
          <w:iCs/>
          <w:sz w:val="22"/>
          <w:szCs w:val="22"/>
          <w:shd w:val="clear" w:color="auto" w:fill="FFFFFF"/>
        </w:rPr>
        <w:t>Habitat International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159</w:t>
      </w:r>
      <w:r w:rsidRPr="00F87BE8">
        <w:rPr>
          <w:rFonts w:ascii="Calibri" w:hAnsi="Calibri" w:cs="Calibri"/>
          <w:sz w:val="22"/>
          <w:szCs w:val="22"/>
          <w:shd w:val="clear" w:color="auto" w:fill="FFFFFF"/>
        </w:rPr>
        <w:t>, p.103372.</w:t>
      </w:r>
      <w:r w:rsidR="00F87BE8">
        <w:rPr>
          <w:rFonts w:ascii="Calibri" w:hAnsi="Calibri" w:cs="Calibri"/>
          <w:sz w:val="22"/>
          <w:szCs w:val="22"/>
          <w:shd w:val="clear" w:color="auto" w:fill="FFFFFF"/>
        </w:rPr>
        <w:t xml:space="preserve"> </w:t>
      </w:r>
      <w:hyperlink r:id="rId27" w:history="1">
        <w:r w:rsidR="00F87BE8" w:rsidRPr="001E0273">
          <w:rPr>
            <w:rStyle w:val="Hyperlink"/>
            <w:rFonts w:ascii="Calibri" w:hAnsi="Calibri" w:cs="Calibri"/>
            <w:sz w:val="22"/>
            <w:szCs w:val="22"/>
            <w:shd w:val="clear" w:color="auto" w:fill="FFFFFF"/>
          </w:rPr>
          <w:t>https://doi.org/10.1016/j.habitatint.2025.103372</w:t>
        </w:r>
      </w:hyperlink>
    </w:p>
    <w:p w14:paraId="3C679A7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Heydari, M., 2024. Cultivating sustainable global food supply chains: A multifaceted approach to mitigating food loss and waste for climate resilience. </w:t>
      </w:r>
      <w:r w:rsidRPr="00F87BE8">
        <w:rPr>
          <w:rFonts w:ascii="Calibri" w:hAnsi="Calibri" w:cs="Calibri"/>
          <w:i/>
          <w:iCs/>
          <w:sz w:val="22"/>
          <w:szCs w:val="22"/>
          <w:shd w:val="clear" w:color="auto" w:fill="FFFFFF"/>
        </w:rPr>
        <w:t>Journal of Cleaner Production</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442</w:t>
      </w:r>
      <w:r w:rsidRPr="00F87BE8">
        <w:rPr>
          <w:rFonts w:ascii="Calibri" w:hAnsi="Calibri" w:cs="Calibri"/>
          <w:sz w:val="22"/>
          <w:szCs w:val="22"/>
          <w:shd w:val="clear" w:color="auto" w:fill="FFFFFF"/>
        </w:rPr>
        <w:t xml:space="preserve">, p.141037. </w:t>
      </w:r>
      <w:hyperlink r:id="rId28" w:history="1">
        <w:r w:rsidR="00F87BE8" w:rsidRPr="001E0273">
          <w:rPr>
            <w:rStyle w:val="Hyperlink"/>
            <w:rFonts w:ascii="Calibri" w:hAnsi="Calibri" w:cs="Calibri"/>
            <w:sz w:val="22"/>
            <w:szCs w:val="22"/>
            <w:shd w:val="clear" w:color="auto" w:fill="FFFFFF"/>
          </w:rPr>
          <w:t>https://doi.org/10.1016/j.jclepro.2024.141037</w:t>
        </w:r>
      </w:hyperlink>
    </w:p>
    <w:p w14:paraId="6D9DEB3F"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Hossain, M.N., Islam, M.S., Abdullah, S.M., Alam, S.M. and Huque, R., 2023. Vegetables and fruits retailers in two urban areas of Bangladesh: Disruption due to COVID–19 and implications for NCDs.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18</w:t>
      </w:r>
      <w:r w:rsidRPr="00F87BE8">
        <w:rPr>
          <w:rFonts w:ascii="Calibri" w:hAnsi="Calibri" w:cs="Calibri"/>
          <w:sz w:val="22"/>
          <w:szCs w:val="22"/>
          <w:shd w:val="clear" w:color="auto" w:fill="FFFFFF"/>
        </w:rPr>
        <w:t xml:space="preserve">(1),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0280188.</w:t>
      </w:r>
      <w:r w:rsidR="00F87BE8">
        <w:rPr>
          <w:rFonts w:ascii="Calibri" w:hAnsi="Calibri" w:cs="Calibri"/>
          <w:sz w:val="22"/>
          <w:szCs w:val="22"/>
          <w:shd w:val="clear" w:color="auto" w:fill="FFFFFF"/>
        </w:rPr>
        <w:t xml:space="preserve"> </w:t>
      </w:r>
      <w:hyperlink r:id="rId29" w:history="1">
        <w:r w:rsidR="00F87BE8" w:rsidRPr="001E0273">
          <w:rPr>
            <w:rStyle w:val="Hyperlink"/>
            <w:rFonts w:ascii="Calibri" w:hAnsi="Calibri" w:cs="Calibri"/>
            <w:sz w:val="22"/>
            <w:szCs w:val="22"/>
            <w:shd w:val="clear" w:color="auto" w:fill="FFFFFF"/>
          </w:rPr>
          <w:t>https://doi.org/10.1371/journal.pone.0280188</w:t>
        </w:r>
      </w:hyperlink>
    </w:p>
    <w:p w14:paraId="5E56C12D"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Islam, M.N., Roy, N., Amin, M.B., Madilo, F.K., Karmakar, K., Hossain, E.,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M.S. and Airin, N.J., 2023. Food safety knowledge and handling practices among household food handlers in Bangladesh: A cross-sectional study. </w:t>
      </w:r>
      <w:r w:rsidRPr="00F87BE8">
        <w:rPr>
          <w:rFonts w:cs="Calibri"/>
          <w:i/>
          <w:iCs/>
          <w:szCs w:val="22"/>
          <w:shd w:val="clear" w:color="auto" w:fill="FFFFFF"/>
        </w:rPr>
        <w:t>Food Control</w:t>
      </w:r>
      <w:r w:rsidRPr="00F87BE8">
        <w:rPr>
          <w:rFonts w:cs="Calibri"/>
          <w:szCs w:val="22"/>
          <w:shd w:val="clear" w:color="auto" w:fill="FFFFFF"/>
        </w:rPr>
        <w:t>, </w:t>
      </w:r>
      <w:r w:rsidRPr="00F87BE8">
        <w:rPr>
          <w:rFonts w:cs="Calibri"/>
          <w:i/>
          <w:iCs/>
          <w:szCs w:val="22"/>
          <w:shd w:val="clear" w:color="auto" w:fill="FFFFFF"/>
        </w:rPr>
        <w:t>147</w:t>
      </w:r>
      <w:r w:rsidRPr="00F87BE8">
        <w:rPr>
          <w:rFonts w:cs="Calibri"/>
          <w:szCs w:val="22"/>
          <w:shd w:val="clear" w:color="auto" w:fill="FFFFFF"/>
        </w:rPr>
        <w:t xml:space="preserve">, p.109578. </w:t>
      </w:r>
      <w:hyperlink r:id="rId30" w:history="1">
        <w:r w:rsidR="00F87BE8" w:rsidRPr="001E0273">
          <w:rPr>
            <w:rStyle w:val="Hyperlink"/>
            <w:rFonts w:cs="Calibri"/>
            <w:szCs w:val="22"/>
            <w:shd w:val="clear" w:color="auto" w:fill="FFFFFF"/>
          </w:rPr>
          <w:t>https://doi.org/10.1016/j.foodcont.2022.109578</w:t>
        </w:r>
      </w:hyperlink>
    </w:p>
    <w:p w14:paraId="413DCDC3" w14:textId="77777777" w:rsidR="00F87BE8"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Jahan, S.M., 2023. </w:t>
      </w:r>
      <w:r w:rsidRPr="00F87BE8">
        <w:rPr>
          <w:rFonts w:ascii="Calibri" w:hAnsi="Calibri" w:cs="Calibri"/>
          <w:i/>
          <w:iCs/>
          <w:sz w:val="22"/>
          <w:szCs w:val="22"/>
          <w:shd w:val="clear" w:color="auto" w:fill="FFFFFF"/>
        </w:rPr>
        <w:t>Food loss in international trade in the Asia-Pacific Region: country case study on Bangladesh</w:t>
      </w:r>
      <w:r w:rsidRPr="00F87BE8">
        <w:rPr>
          <w:rFonts w:ascii="Calibri" w:hAnsi="Calibri" w:cs="Calibri"/>
          <w:sz w:val="22"/>
          <w:szCs w:val="22"/>
          <w:shd w:val="clear" w:color="auto" w:fill="FFFFFF"/>
        </w:rPr>
        <w:t xml:space="preserve"> (No. 226). </w:t>
      </w:r>
      <w:proofErr w:type="spellStart"/>
      <w:r w:rsidRPr="00F87BE8">
        <w:rPr>
          <w:rFonts w:ascii="Calibri" w:hAnsi="Calibri" w:cs="Calibri"/>
          <w:sz w:val="22"/>
          <w:szCs w:val="22"/>
          <w:shd w:val="clear" w:color="auto" w:fill="FFFFFF"/>
        </w:rPr>
        <w:t>ARTNeT</w:t>
      </w:r>
      <w:proofErr w:type="spellEnd"/>
      <w:r w:rsidRPr="00F87BE8">
        <w:rPr>
          <w:rFonts w:ascii="Calibri" w:hAnsi="Calibri" w:cs="Calibri"/>
          <w:sz w:val="22"/>
          <w:szCs w:val="22"/>
          <w:shd w:val="clear" w:color="auto" w:fill="FFFFFF"/>
        </w:rPr>
        <w:t xml:space="preserve"> Working Paper Series.</w:t>
      </w:r>
      <w:r w:rsidR="00F87BE8">
        <w:rPr>
          <w:rFonts w:ascii="Calibri" w:hAnsi="Calibri" w:cs="Calibri"/>
          <w:sz w:val="22"/>
          <w:szCs w:val="22"/>
          <w:shd w:val="clear" w:color="auto" w:fill="FFFFFF"/>
        </w:rPr>
        <w:t xml:space="preserve"> </w:t>
      </w:r>
      <w:hyperlink r:id="rId31" w:history="1">
        <w:r w:rsidR="00F87BE8" w:rsidRPr="001E0273">
          <w:rPr>
            <w:rStyle w:val="Hyperlink"/>
            <w:rFonts w:ascii="Calibri" w:hAnsi="Calibri" w:cs="Calibri"/>
            <w:sz w:val="22"/>
            <w:szCs w:val="22"/>
            <w:shd w:val="clear" w:color="auto" w:fill="FFFFFF"/>
          </w:rPr>
          <w:t>https://hdl.handle.net/10419/273545</w:t>
        </w:r>
      </w:hyperlink>
    </w:p>
    <w:p w14:paraId="7B0B99B0"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Joshi, D., Schulze, P., Amin, M.N., Gallant, B., </w:t>
      </w:r>
      <w:proofErr w:type="spellStart"/>
      <w:r w:rsidRPr="00F87BE8">
        <w:rPr>
          <w:rFonts w:ascii="Calibri" w:hAnsi="Calibri" w:cs="Calibri"/>
          <w:sz w:val="22"/>
          <w:szCs w:val="22"/>
          <w:shd w:val="clear" w:color="auto" w:fill="FFFFFF"/>
        </w:rPr>
        <w:t>Aheeyar</w:t>
      </w:r>
      <w:proofErr w:type="spellEnd"/>
      <w:r w:rsidRPr="00F87BE8">
        <w:rPr>
          <w:rFonts w:ascii="Calibri" w:hAnsi="Calibri" w:cs="Calibri"/>
          <w:sz w:val="22"/>
          <w:szCs w:val="22"/>
          <w:shd w:val="clear" w:color="auto" w:fill="FFFFFF"/>
        </w:rPr>
        <w:t>, M., Rahman, M., Garrett, J. and Sarker, M.R., 2025. Agri-Food System Governance in Bangladesh’s Coastal Regions: Why the Socio-Ecological Systems Approach Needs to Be Politicized. </w:t>
      </w:r>
      <w:r w:rsidRPr="00F87BE8">
        <w:rPr>
          <w:rFonts w:ascii="Calibri" w:hAnsi="Calibri" w:cs="Calibri"/>
          <w:i/>
          <w:iCs/>
          <w:sz w:val="22"/>
          <w:szCs w:val="22"/>
          <w:shd w:val="clear" w:color="auto" w:fill="FFFFFF"/>
        </w:rPr>
        <w:t>International Journal of Water Governance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 xml:space="preserve">. </w:t>
      </w:r>
      <w:hyperlink r:id="rId32" w:history="1">
        <w:r w:rsidR="00F87BE8" w:rsidRPr="001E0273">
          <w:rPr>
            <w:rStyle w:val="Hyperlink"/>
            <w:rFonts w:ascii="Calibri" w:hAnsi="Calibri" w:cs="Calibri"/>
            <w:sz w:val="22"/>
            <w:szCs w:val="22"/>
            <w:shd w:val="clear" w:color="auto" w:fill="FFFFFF"/>
          </w:rPr>
          <w:t>https://doi.org/10.59490/ijwg.12.2025.7772</w:t>
        </w:r>
      </w:hyperlink>
    </w:p>
    <w:p w14:paraId="0713EBB4"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Khanam, S., Sultana, T. and Ferdous, Z., 2021. Retail Food Waste: Existing Research and Research Gap. </w:t>
      </w:r>
      <w:r w:rsidRPr="00F87BE8">
        <w:rPr>
          <w:rFonts w:ascii="Calibri" w:hAnsi="Calibri" w:cs="Calibri"/>
          <w:i/>
          <w:iCs/>
          <w:sz w:val="22"/>
          <w:szCs w:val="22"/>
          <w:shd w:val="clear" w:color="auto" w:fill="FFFFFF"/>
        </w:rPr>
        <w:t>Stud</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w:t>
      </w:r>
      <w:r w:rsidRPr="00F87BE8">
        <w:rPr>
          <w:rFonts w:ascii="Calibri" w:hAnsi="Calibri" w:cs="Calibri"/>
          <w:sz w:val="22"/>
          <w:szCs w:val="22"/>
          <w:shd w:val="clear" w:color="auto" w:fill="FFFFFF"/>
        </w:rPr>
        <w:t xml:space="preserve">(5), p.555696.  </w:t>
      </w:r>
      <w:hyperlink r:id="rId33" w:history="1">
        <w:r w:rsidR="00F87BE8" w:rsidRPr="001E0273">
          <w:rPr>
            <w:rStyle w:val="Hyperlink"/>
            <w:rFonts w:ascii="Calibri" w:hAnsi="Calibri" w:cs="Calibri"/>
            <w:sz w:val="22"/>
            <w:szCs w:val="22"/>
            <w:shd w:val="clear" w:color="auto" w:fill="FFFFFF"/>
          </w:rPr>
          <w:t>https://doi.org/10.19080/ASM.2021.06.555696</w:t>
        </w:r>
      </w:hyperlink>
    </w:p>
    <w:p w14:paraId="2246081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Kohli, K., Prajapati, R., Shah, R., Das, M. and Sharma, B.K., 2024. Food waste: environmental impact and possible solutions. </w:t>
      </w:r>
      <w:r w:rsidRPr="00F87BE8">
        <w:rPr>
          <w:rFonts w:cs="Calibri"/>
          <w:i/>
          <w:iCs/>
          <w:szCs w:val="22"/>
          <w:shd w:val="clear" w:color="auto" w:fill="FFFFFF"/>
        </w:rPr>
        <w:t>Sustainable Food Technology</w:t>
      </w:r>
      <w:r w:rsidRPr="00F87BE8">
        <w:rPr>
          <w:rFonts w:cs="Calibri"/>
          <w:szCs w:val="22"/>
          <w:shd w:val="clear" w:color="auto" w:fill="FFFFFF"/>
        </w:rPr>
        <w:t>, </w:t>
      </w:r>
      <w:r w:rsidRPr="00F87BE8">
        <w:rPr>
          <w:rFonts w:cs="Calibri"/>
          <w:i/>
          <w:iCs/>
          <w:szCs w:val="22"/>
          <w:shd w:val="clear" w:color="auto" w:fill="FFFFFF"/>
        </w:rPr>
        <w:t>2</w:t>
      </w:r>
      <w:r w:rsidRPr="00F87BE8">
        <w:rPr>
          <w:rFonts w:cs="Calibri"/>
          <w:szCs w:val="22"/>
          <w:shd w:val="clear" w:color="auto" w:fill="FFFFFF"/>
        </w:rPr>
        <w:t>(1), pp.70-80.</w:t>
      </w:r>
      <w:r w:rsidR="00F87BE8">
        <w:rPr>
          <w:rFonts w:cs="Calibri"/>
          <w:szCs w:val="22"/>
          <w:shd w:val="clear" w:color="auto" w:fill="FFFFFF"/>
        </w:rPr>
        <w:t xml:space="preserve"> </w:t>
      </w:r>
      <w:hyperlink r:id="rId34" w:history="1">
        <w:r w:rsidR="00F87BE8" w:rsidRPr="001E0273">
          <w:rPr>
            <w:rStyle w:val="Hyperlink"/>
            <w:rFonts w:cs="Calibri"/>
            <w:szCs w:val="22"/>
            <w:shd w:val="clear" w:color="auto" w:fill="FFFFFF"/>
          </w:rPr>
          <w:t>https://doi.org/10.1039/D3FB00141E</w:t>
        </w:r>
      </w:hyperlink>
    </w:p>
    <w:p w14:paraId="73B25BC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Kunwar, A., Bist, D.R., Khatri, L., Dhami, R. and Joshi, G.R., 2024. Optimizing post-harvest handling practices to reduce losses and enhance quality of fruits and vegetables. </w:t>
      </w:r>
      <w:r w:rsidRPr="00F87BE8">
        <w:rPr>
          <w:rFonts w:ascii="Calibri" w:hAnsi="Calibri" w:cs="Calibri"/>
          <w:i/>
          <w:iCs/>
          <w:sz w:val="22"/>
          <w:szCs w:val="22"/>
          <w:shd w:val="clear" w:color="auto" w:fill="FFFFFF"/>
        </w:rPr>
        <w:t>Food and Agri Economics Review</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w:t>
      </w:r>
      <w:r w:rsidRPr="00F87BE8">
        <w:rPr>
          <w:rFonts w:ascii="Calibri" w:hAnsi="Calibri" w:cs="Calibri"/>
          <w:sz w:val="22"/>
          <w:szCs w:val="22"/>
          <w:shd w:val="clear" w:color="auto" w:fill="FFFFFF"/>
        </w:rPr>
        <w:t>, pp.54-58.</w:t>
      </w:r>
      <w:r w:rsidR="00F87BE8">
        <w:rPr>
          <w:rFonts w:ascii="Calibri" w:hAnsi="Calibri" w:cs="Calibri"/>
          <w:sz w:val="22"/>
          <w:szCs w:val="22"/>
          <w:shd w:val="clear" w:color="auto" w:fill="FFFFFF"/>
        </w:rPr>
        <w:t xml:space="preserve"> </w:t>
      </w:r>
      <w:hyperlink r:id="rId35" w:history="1">
        <w:r w:rsidR="00F87BE8" w:rsidRPr="001E0273">
          <w:rPr>
            <w:rStyle w:val="Hyperlink"/>
            <w:rFonts w:ascii="Calibri" w:hAnsi="Calibri" w:cs="Calibri"/>
            <w:sz w:val="22"/>
            <w:szCs w:val="22"/>
            <w:shd w:val="clear" w:color="auto" w:fill="FFFFFF"/>
          </w:rPr>
          <w:t>http://doi.org/10.26480/faer.02.2024.78.82</w:t>
        </w:r>
      </w:hyperlink>
    </w:p>
    <w:p w14:paraId="1C7815A6"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proofErr w:type="spellStart"/>
      <w:r w:rsidRPr="00F87BE8">
        <w:rPr>
          <w:rFonts w:cs="Calibri"/>
          <w:szCs w:val="22"/>
          <w:shd w:val="clear" w:color="auto" w:fill="FFFFFF"/>
        </w:rPr>
        <w:t>Kushitor</w:t>
      </w:r>
      <w:proofErr w:type="spellEnd"/>
      <w:r w:rsidRPr="00F87BE8">
        <w:rPr>
          <w:rFonts w:cs="Calibri"/>
          <w:szCs w:val="22"/>
          <w:shd w:val="clear" w:color="auto" w:fill="FFFFFF"/>
        </w:rPr>
        <w:t xml:space="preserve">, S.B., Badu, M., </w:t>
      </w:r>
      <w:proofErr w:type="spellStart"/>
      <w:r w:rsidRPr="00F87BE8">
        <w:rPr>
          <w:rFonts w:cs="Calibri"/>
          <w:szCs w:val="22"/>
          <w:shd w:val="clear" w:color="auto" w:fill="FFFFFF"/>
        </w:rPr>
        <w:t>Kushitor</w:t>
      </w:r>
      <w:proofErr w:type="spellEnd"/>
      <w:r w:rsidRPr="00F87BE8">
        <w:rPr>
          <w:rFonts w:cs="Calibri"/>
          <w:szCs w:val="22"/>
          <w:shd w:val="clear" w:color="auto" w:fill="FFFFFF"/>
        </w:rPr>
        <w:t>, M.K. and Currie, P., 2022. “Working with little:” Access to market infrastructure and its effect on food handling and food safety among vegetable traders in an African city. </w:t>
      </w:r>
      <w:r w:rsidRPr="00F87BE8">
        <w:rPr>
          <w:rFonts w:cs="Calibri"/>
          <w:i/>
          <w:iCs/>
          <w:szCs w:val="22"/>
          <w:shd w:val="clear" w:color="auto" w:fill="FFFFFF"/>
        </w:rPr>
        <w:t>Frontiers in Sustainable Food Systems</w:t>
      </w:r>
      <w:r w:rsidRPr="00F87BE8">
        <w:rPr>
          <w:rFonts w:cs="Calibri"/>
          <w:szCs w:val="22"/>
          <w:shd w:val="clear" w:color="auto" w:fill="FFFFFF"/>
        </w:rPr>
        <w:t>, </w:t>
      </w:r>
      <w:r w:rsidRPr="00F87BE8">
        <w:rPr>
          <w:rFonts w:cs="Calibri"/>
          <w:i/>
          <w:iCs/>
          <w:szCs w:val="22"/>
          <w:shd w:val="clear" w:color="auto" w:fill="FFFFFF"/>
        </w:rPr>
        <w:t>6</w:t>
      </w:r>
      <w:r w:rsidRPr="00F87BE8">
        <w:rPr>
          <w:rFonts w:cs="Calibri"/>
          <w:szCs w:val="22"/>
          <w:shd w:val="clear" w:color="auto" w:fill="FFFFFF"/>
        </w:rPr>
        <w:t>, p.724190.</w:t>
      </w:r>
      <w:r w:rsidR="00F87BE8">
        <w:rPr>
          <w:rFonts w:cs="Calibri"/>
          <w:szCs w:val="22"/>
          <w:shd w:val="clear" w:color="auto" w:fill="FFFFFF"/>
        </w:rPr>
        <w:t xml:space="preserve"> </w:t>
      </w:r>
      <w:hyperlink r:id="rId36" w:history="1">
        <w:r w:rsidR="00F87BE8" w:rsidRPr="001E0273">
          <w:rPr>
            <w:rStyle w:val="Hyperlink"/>
            <w:rFonts w:cs="Calibri"/>
            <w:szCs w:val="22"/>
            <w:shd w:val="clear" w:color="auto" w:fill="FFFFFF"/>
          </w:rPr>
          <w:t>https://doi.org/10.3389/fsufs.2022.724190</w:t>
        </w:r>
      </w:hyperlink>
    </w:p>
    <w:p w14:paraId="45E33CDF"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lastRenderedPageBreak/>
        <w:t>Makule</w:t>
      </w:r>
      <w:proofErr w:type="spellEnd"/>
      <w:r w:rsidRPr="00F87BE8">
        <w:rPr>
          <w:rFonts w:cs="Calibri"/>
          <w:szCs w:val="22"/>
          <w:shd w:val="clear" w:color="auto" w:fill="FFFFFF"/>
        </w:rPr>
        <w:t xml:space="preserve">, E., </w:t>
      </w:r>
      <w:proofErr w:type="spellStart"/>
      <w:r w:rsidRPr="00F87BE8">
        <w:rPr>
          <w:rFonts w:cs="Calibri"/>
          <w:szCs w:val="22"/>
          <w:shd w:val="clear" w:color="auto" w:fill="FFFFFF"/>
        </w:rPr>
        <w:t>Dimoso</w:t>
      </w:r>
      <w:proofErr w:type="spellEnd"/>
      <w:r w:rsidRPr="00F87BE8">
        <w:rPr>
          <w:rFonts w:cs="Calibri"/>
          <w:szCs w:val="22"/>
          <w:shd w:val="clear" w:color="auto" w:fill="FFFFFF"/>
        </w:rPr>
        <w:t>, N. and Tassou, S.A., 2022. Precooling and cold storage methods for fruits and vegetables in Sub-Saharan Africa—A review. </w:t>
      </w:r>
      <w:proofErr w:type="spellStart"/>
      <w:r w:rsidRPr="00F87BE8">
        <w:rPr>
          <w:rFonts w:cs="Calibri"/>
          <w:i/>
          <w:iCs/>
          <w:szCs w:val="22"/>
          <w:shd w:val="clear" w:color="auto" w:fill="FFFFFF"/>
        </w:rPr>
        <w:t>Horticulturae</w:t>
      </w:r>
      <w:proofErr w:type="spellEnd"/>
      <w:r w:rsidRPr="00F87BE8">
        <w:rPr>
          <w:rFonts w:cs="Calibri"/>
          <w:szCs w:val="22"/>
          <w:shd w:val="clear" w:color="auto" w:fill="FFFFFF"/>
        </w:rPr>
        <w:t>, </w:t>
      </w:r>
      <w:r w:rsidRPr="00F87BE8">
        <w:rPr>
          <w:rFonts w:cs="Calibri"/>
          <w:i/>
          <w:iCs/>
          <w:szCs w:val="22"/>
          <w:shd w:val="clear" w:color="auto" w:fill="FFFFFF"/>
        </w:rPr>
        <w:t>8</w:t>
      </w:r>
      <w:r w:rsidRPr="00F87BE8">
        <w:rPr>
          <w:rFonts w:cs="Calibri"/>
          <w:szCs w:val="22"/>
          <w:shd w:val="clear" w:color="auto" w:fill="FFFFFF"/>
        </w:rPr>
        <w:t>(9), p.776.</w:t>
      </w:r>
      <w:r w:rsidR="00F87BE8">
        <w:rPr>
          <w:rFonts w:cs="Calibri"/>
          <w:szCs w:val="22"/>
          <w:shd w:val="clear" w:color="auto" w:fill="FFFFFF"/>
        </w:rPr>
        <w:t xml:space="preserve"> </w:t>
      </w:r>
      <w:hyperlink r:id="rId37" w:history="1">
        <w:r w:rsidR="00F87BE8" w:rsidRPr="001E0273">
          <w:rPr>
            <w:rStyle w:val="Hyperlink"/>
            <w:rFonts w:cs="Calibri"/>
            <w:szCs w:val="22"/>
            <w:shd w:val="clear" w:color="auto" w:fill="FFFFFF"/>
          </w:rPr>
          <w:t>https://doi.org/10.3390/horticulturae8090776</w:t>
        </w:r>
      </w:hyperlink>
    </w:p>
    <w:p w14:paraId="39A3205D"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Hasan, M.M., Rahman, N., Islam, M.M., Ahmed, H.S., Mondal, S., Afroz, F. and Noman, M.A.A., 2025. Food safety practice and its associated factors among household food handlers in Patuakhali, Bangladesh: A cross-sectional study. </w:t>
      </w:r>
      <w:proofErr w:type="spellStart"/>
      <w:r w:rsidRPr="00F87BE8">
        <w:rPr>
          <w:rFonts w:cs="Calibri"/>
          <w:i/>
          <w:iCs/>
          <w:szCs w:val="22"/>
          <w:shd w:val="clear" w:color="auto" w:fill="FFFFFF"/>
        </w:rPr>
        <w:t>Plos</w:t>
      </w:r>
      <w:proofErr w:type="spellEnd"/>
      <w:r w:rsidRPr="00F87BE8">
        <w:rPr>
          <w:rFonts w:cs="Calibri"/>
          <w:i/>
          <w:iCs/>
          <w:szCs w:val="22"/>
          <w:shd w:val="clear" w:color="auto" w:fill="FFFFFF"/>
        </w:rPr>
        <w:t xml:space="preserve"> one</w:t>
      </w:r>
      <w:r w:rsidRPr="00F87BE8">
        <w:rPr>
          <w:rFonts w:cs="Calibri"/>
          <w:szCs w:val="22"/>
          <w:shd w:val="clear" w:color="auto" w:fill="FFFFFF"/>
        </w:rPr>
        <w:t>, </w:t>
      </w:r>
      <w:r w:rsidRPr="00F87BE8">
        <w:rPr>
          <w:rFonts w:cs="Calibri"/>
          <w:i/>
          <w:iCs/>
          <w:szCs w:val="22"/>
          <w:shd w:val="clear" w:color="auto" w:fill="FFFFFF"/>
        </w:rPr>
        <w:t>20</w:t>
      </w:r>
      <w:r w:rsidRPr="00F87BE8">
        <w:rPr>
          <w:rFonts w:cs="Calibri"/>
          <w:szCs w:val="22"/>
          <w:shd w:val="clear" w:color="auto" w:fill="FFFFFF"/>
        </w:rPr>
        <w:t xml:space="preserve">(6), </w:t>
      </w:r>
      <w:proofErr w:type="gramStart"/>
      <w:r w:rsidRPr="00F87BE8">
        <w:rPr>
          <w:rFonts w:cs="Calibri"/>
          <w:szCs w:val="22"/>
          <w:shd w:val="clear" w:color="auto" w:fill="FFFFFF"/>
        </w:rPr>
        <w:t>p.e</w:t>
      </w:r>
      <w:proofErr w:type="gramEnd"/>
      <w:r w:rsidRPr="00F87BE8">
        <w:rPr>
          <w:rFonts w:cs="Calibri"/>
          <w:szCs w:val="22"/>
          <w:shd w:val="clear" w:color="auto" w:fill="FFFFFF"/>
        </w:rPr>
        <w:t>0326595.</w:t>
      </w:r>
      <w:r w:rsidR="00F87BE8">
        <w:rPr>
          <w:rFonts w:cs="Calibri"/>
          <w:szCs w:val="22"/>
          <w:shd w:val="clear" w:color="auto" w:fill="FFFFFF"/>
        </w:rPr>
        <w:t xml:space="preserve"> </w:t>
      </w:r>
      <w:hyperlink r:id="rId38" w:history="1">
        <w:r w:rsidR="00F87BE8" w:rsidRPr="001E0273">
          <w:rPr>
            <w:rStyle w:val="Hyperlink"/>
            <w:rFonts w:cs="Calibri"/>
            <w:szCs w:val="22"/>
            <w:shd w:val="clear" w:color="auto" w:fill="FFFFFF"/>
          </w:rPr>
          <w:t>https://doi.org/10.1371/journal.pone.0326595</w:t>
        </w:r>
      </w:hyperlink>
    </w:p>
    <w:p w14:paraId="421D5219"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Chakma, S., </w:t>
      </w:r>
      <w:proofErr w:type="spellStart"/>
      <w:r w:rsidRPr="00F87BE8">
        <w:rPr>
          <w:rFonts w:cs="Calibri"/>
          <w:szCs w:val="22"/>
          <w:shd w:val="clear" w:color="auto" w:fill="FFFFFF"/>
        </w:rPr>
        <w:t>Ridaya</w:t>
      </w:r>
      <w:proofErr w:type="spellEnd"/>
      <w:r w:rsidRPr="00F87BE8">
        <w:rPr>
          <w:rFonts w:cs="Calibri"/>
          <w:szCs w:val="22"/>
          <w:shd w:val="clear" w:color="auto" w:fill="FFFFFF"/>
        </w:rPr>
        <w:t>, B.R., Debnath, S., Rahman, M.A., Hoque, M.S. and Roy, N., 2026. Food Safety and Hygiene Knowledge, Attitudes, and Practices among the Wet Fish, Dried Fish, and Semi-fermented Fish Handlers in Bangladesh. </w:t>
      </w:r>
      <w:r w:rsidRPr="00F87BE8">
        <w:rPr>
          <w:rFonts w:cs="Calibri"/>
          <w:i/>
          <w:iCs/>
          <w:szCs w:val="22"/>
          <w:shd w:val="clear" w:color="auto" w:fill="FFFFFF"/>
        </w:rPr>
        <w:t>Food Ethics</w:t>
      </w:r>
      <w:r w:rsidRPr="00F87BE8">
        <w:rPr>
          <w:rFonts w:cs="Calibri"/>
          <w:szCs w:val="22"/>
          <w:shd w:val="clear" w:color="auto" w:fill="FFFFFF"/>
        </w:rPr>
        <w:t>, </w:t>
      </w:r>
      <w:r w:rsidRPr="00F87BE8">
        <w:rPr>
          <w:rFonts w:cs="Calibri"/>
          <w:i/>
          <w:iCs/>
          <w:szCs w:val="22"/>
          <w:shd w:val="clear" w:color="auto" w:fill="FFFFFF"/>
        </w:rPr>
        <w:t>11</w:t>
      </w:r>
      <w:r w:rsidRPr="00F87BE8">
        <w:rPr>
          <w:rFonts w:cs="Calibri"/>
          <w:szCs w:val="22"/>
          <w:shd w:val="clear" w:color="auto" w:fill="FFFFFF"/>
        </w:rPr>
        <w:t>(1), pp.1-29.</w:t>
      </w:r>
      <w:r w:rsidR="00F87BE8">
        <w:rPr>
          <w:rFonts w:cs="Calibri"/>
          <w:szCs w:val="22"/>
          <w:shd w:val="clear" w:color="auto" w:fill="FFFFFF"/>
        </w:rPr>
        <w:t xml:space="preserve"> </w:t>
      </w:r>
      <w:hyperlink r:id="rId39" w:history="1">
        <w:r w:rsidR="00F87BE8" w:rsidRPr="001E0273">
          <w:rPr>
            <w:rStyle w:val="Hyperlink"/>
            <w:rFonts w:cs="Calibri"/>
            <w:szCs w:val="22"/>
            <w:shd w:val="clear" w:color="auto" w:fill="FFFFFF"/>
          </w:rPr>
          <w:t>https://doi.org/10.1007/s41055-025-00183-z</w:t>
        </w:r>
      </w:hyperlink>
    </w:p>
    <w:p w14:paraId="79E35967"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Naser, N., 2020. Food safety and environmental awareness of street food vendors of the Dhaka University campus, Bangladesh. </w:t>
      </w:r>
      <w:r w:rsidRPr="00F87BE8">
        <w:rPr>
          <w:rFonts w:ascii="Calibri" w:hAnsi="Calibri" w:cs="Calibri"/>
          <w:i/>
          <w:iCs/>
          <w:sz w:val="22"/>
          <w:szCs w:val="22"/>
          <w:shd w:val="clear" w:color="auto" w:fill="FFFFFF"/>
        </w:rPr>
        <w:t>Bangladesh Journal of Zoology</w:t>
      </w:r>
      <w:r w:rsidRPr="00F87BE8">
        <w:rPr>
          <w:rFonts w:ascii="Calibri" w:hAnsi="Calibri" w:cs="Calibri"/>
          <w:sz w:val="22"/>
          <w:szCs w:val="22"/>
          <w:shd w:val="clear" w:color="auto" w:fill="FFFFFF"/>
        </w:rPr>
        <w:t xml:space="preserve">. </w:t>
      </w:r>
      <w:hyperlink r:id="rId40" w:history="1">
        <w:r w:rsidR="00F87BE8" w:rsidRPr="001E0273">
          <w:rPr>
            <w:rStyle w:val="Hyperlink"/>
            <w:rFonts w:ascii="Calibri" w:hAnsi="Calibri" w:cs="Calibri"/>
            <w:sz w:val="22"/>
            <w:szCs w:val="22"/>
            <w:shd w:val="clear" w:color="auto" w:fill="FFFFFF"/>
          </w:rPr>
          <w:t>https://doi.org/10.3329/bjz.v48i1.47886</w:t>
        </w:r>
      </w:hyperlink>
    </w:p>
    <w:p w14:paraId="21E9B9D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Owino, W., </w:t>
      </w:r>
      <w:proofErr w:type="spellStart"/>
      <w:r w:rsidRPr="00F87BE8">
        <w:rPr>
          <w:rFonts w:ascii="Calibri" w:hAnsi="Calibri" w:cs="Calibri"/>
          <w:sz w:val="22"/>
          <w:szCs w:val="22"/>
          <w:shd w:val="clear" w:color="auto" w:fill="FFFFFF"/>
        </w:rPr>
        <w:t>Kahenya</w:t>
      </w:r>
      <w:proofErr w:type="spellEnd"/>
      <w:r w:rsidRPr="00F87BE8">
        <w:rPr>
          <w:rFonts w:ascii="Calibri" w:hAnsi="Calibri" w:cs="Calibri"/>
          <w:sz w:val="22"/>
          <w:szCs w:val="22"/>
          <w:shd w:val="clear" w:color="auto" w:fill="FFFFFF"/>
        </w:rPr>
        <w:t>, P., Wafula, E. and Otieno, G., 2025. Food Loss and Waste Reduction in Specific Fruit and Vegetable Value Chains in Eastern Africa. Foods, 14(22), p.3938.</w:t>
      </w:r>
      <w:r w:rsidR="00F87BE8">
        <w:rPr>
          <w:rFonts w:ascii="Calibri" w:hAnsi="Calibri" w:cs="Calibri"/>
          <w:sz w:val="22"/>
          <w:szCs w:val="22"/>
          <w:shd w:val="clear" w:color="auto" w:fill="FFFFFF"/>
        </w:rPr>
        <w:t xml:space="preserve"> </w:t>
      </w:r>
      <w:hyperlink r:id="rId41" w:history="1">
        <w:r w:rsidR="00F87BE8" w:rsidRPr="001E0273">
          <w:rPr>
            <w:rStyle w:val="Hyperlink"/>
            <w:rFonts w:ascii="Calibri" w:hAnsi="Calibri" w:cs="Calibri"/>
            <w:sz w:val="22"/>
            <w:szCs w:val="22"/>
            <w:shd w:val="clear" w:color="auto" w:fill="FFFFFF"/>
          </w:rPr>
          <w:t>https://doi.org/10.3390/foods14223938</w:t>
        </w:r>
      </w:hyperlink>
    </w:p>
    <w:p w14:paraId="1E8AEC22"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Pedrotti, M., </w:t>
      </w:r>
      <w:proofErr w:type="spellStart"/>
      <w:r w:rsidRPr="00F87BE8">
        <w:rPr>
          <w:rFonts w:ascii="Calibri" w:hAnsi="Calibri" w:cs="Calibri"/>
          <w:sz w:val="22"/>
          <w:szCs w:val="22"/>
          <w:shd w:val="clear" w:color="auto" w:fill="FFFFFF"/>
        </w:rPr>
        <w:t>Fattibene</w:t>
      </w:r>
      <w:proofErr w:type="spellEnd"/>
      <w:r w:rsidRPr="00F87BE8">
        <w:rPr>
          <w:rFonts w:ascii="Calibri" w:hAnsi="Calibri" w:cs="Calibri"/>
          <w:sz w:val="22"/>
          <w:szCs w:val="22"/>
          <w:shd w:val="clear" w:color="auto" w:fill="FFFFFF"/>
        </w:rPr>
        <w:t>, D., Antonelli, M. and Castelein, B., 2023. Approaching urban food waste in low-and middle-income countries: a framework and evidence from case studies in Kibera (Nairobi) and Dhaka.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w:t>
      </w:r>
      <w:r w:rsidRPr="00F87BE8">
        <w:rPr>
          <w:rFonts w:ascii="Calibri" w:hAnsi="Calibri" w:cs="Calibri"/>
          <w:sz w:val="22"/>
          <w:szCs w:val="22"/>
          <w:shd w:val="clear" w:color="auto" w:fill="FFFFFF"/>
        </w:rPr>
        <w:t>(4), p.3293.</w:t>
      </w:r>
      <w:r w:rsidR="00F87BE8">
        <w:rPr>
          <w:rFonts w:ascii="Calibri" w:hAnsi="Calibri" w:cs="Calibri"/>
          <w:sz w:val="22"/>
          <w:szCs w:val="22"/>
          <w:shd w:val="clear" w:color="auto" w:fill="FFFFFF"/>
        </w:rPr>
        <w:t xml:space="preserve"> </w:t>
      </w:r>
      <w:hyperlink r:id="rId42" w:history="1">
        <w:r w:rsidR="00F87BE8" w:rsidRPr="001E0273">
          <w:rPr>
            <w:rStyle w:val="Hyperlink"/>
            <w:rFonts w:ascii="Calibri" w:hAnsi="Calibri" w:cs="Calibri"/>
            <w:sz w:val="22"/>
            <w:szCs w:val="22"/>
            <w:shd w:val="clear" w:color="auto" w:fill="FFFFFF"/>
          </w:rPr>
          <w:t>https://doi.org/10.3390/su15043293</w:t>
        </w:r>
      </w:hyperlink>
    </w:p>
    <w:p w14:paraId="5291A054"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shd w:val="clear" w:color="auto" w:fill="FFFFFF"/>
        </w:rPr>
      </w:pPr>
      <w:r w:rsidRPr="00F87BE8">
        <w:rPr>
          <w:rFonts w:ascii="Calibri" w:hAnsi="Calibri" w:cs="Calibri"/>
          <w:sz w:val="22"/>
          <w:szCs w:val="22"/>
          <w:shd w:val="clear" w:color="auto" w:fill="FFFFFF"/>
        </w:rPr>
        <w:t>Rahman, M.A. and Saha, M.K., 2023. Analyzing the existing value chains of fruits and vegetables in selected upazilas of Bangladesh. </w:t>
      </w:r>
      <w:r w:rsidRPr="00F87BE8">
        <w:rPr>
          <w:rFonts w:ascii="Calibri" w:hAnsi="Calibri" w:cs="Calibri"/>
          <w:i/>
          <w:iCs/>
          <w:sz w:val="22"/>
          <w:szCs w:val="22"/>
          <w:shd w:val="clear" w:color="auto" w:fill="FFFFFF"/>
        </w:rPr>
        <w:t>International Journal of Agricultural Research, Innovation and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 pp.123-130.</w:t>
      </w:r>
      <w:r w:rsidR="00F87BE8">
        <w:rPr>
          <w:rFonts w:ascii="Calibri" w:hAnsi="Calibri" w:cs="Calibri"/>
          <w:sz w:val="22"/>
          <w:szCs w:val="22"/>
          <w:shd w:val="clear" w:color="auto" w:fill="FFFFFF"/>
        </w:rPr>
        <w:t xml:space="preserve"> </w:t>
      </w:r>
      <w:hyperlink r:id="rId43" w:history="1">
        <w:r w:rsidR="00F87BE8" w:rsidRPr="001E0273">
          <w:rPr>
            <w:rStyle w:val="Hyperlink"/>
            <w:rFonts w:ascii="Calibri" w:hAnsi="Calibri" w:cs="Calibri"/>
            <w:sz w:val="22"/>
            <w:szCs w:val="22"/>
            <w:shd w:val="clear" w:color="auto" w:fill="FFFFFF"/>
          </w:rPr>
          <w:t>https://doi.org/10.3329/ijarit.v13i1.68069</w:t>
        </w:r>
      </w:hyperlink>
    </w:p>
    <w:p w14:paraId="37C097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M.S., Hossain, M.S. and </w:t>
      </w:r>
      <w:proofErr w:type="spellStart"/>
      <w:r w:rsidRPr="00F87BE8">
        <w:rPr>
          <w:rFonts w:cs="Calibri"/>
          <w:szCs w:val="22"/>
          <w:shd w:val="clear" w:color="auto" w:fill="FFFFFF"/>
        </w:rPr>
        <w:t>Pulok</w:t>
      </w:r>
      <w:proofErr w:type="spellEnd"/>
      <w:r w:rsidRPr="00F87BE8">
        <w:rPr>
          <w:rFonts w:cs="Calibri"/>
          <w:szCs w:val="22"/>
          <w:shd w:val="clear" w:color="auto" w:fill="FFFFFF"/>
        </w:rPr>
        <w:t>, M.F.H., 2025. Analysis of Food Safety Knowledge and Practices Among Food Handlers in Restaurants and Street Food Markets in Dhaka, Bangladesh: A Cross‐Sectional Study. </w:t>
      </w:r>
      <w:r w:rsidRPr="00F87BE8">
        <w:rPr>
          <w:rFonts w:cs="Calibri"/>
          <w:i/>
          <w:iCs/>
          <w:szCs w:val="22"/>
          <w:shd w:val="clear" w:color="auto" w:fill="FFFFFF"/>
        </w:rPr>
        <w:t>International Journal of Food Science</w:t>
      </w:r>
      <w:r w:rsidRPr="00F87BE8">
        <w:rPr>
          <w:rFonts w:cs="Calibri"/>
          <w:szCs w:val="22"/>
          <w:shd w:val="clear" w:color="auto" w:fill="FFFFFF"/>
        </w:rPr>
        <w:t>, </w:t>
      </w:r>
      <w:r w:rsidRPr="00F87BE8">
        <w:rPr>
          <w:rFonts w:cs="Calibri"/>
          <w:i/>
          <w:iCs/>
          <w:szCs w:val="22"/>
          <w:shd w:val="clear" w:color="auto" w:fill="FFFFFF"/>
        </w:rPr>
        <w:t>2025</w:t>
      </w:r>
      <w:r w:rsidRPr="00F87BE8">
        <w:rPr>
          <w:rFonts w:cs="Calibri"/>
          <w:szCs w:val="22"/>
          <w:shd w:val="clear" w:color="auto" w:fill="FFFFFF"/>
        </w:rPr>
        <w:t>(1), p.5369920.</w:t>
      </w:r>
      <w:r w:rsidR="00F87BE8">
        <w:rPr>
          <w:rFonts w:cs="Calibri"/>
          <w:szCs w:val="22"/>
          <w:shd w:val="clear" w:color="auto" w:fill="FFFFFF"/>
        </w:rPr>
        <w:t xml:space="preserve"> </w:t>
      </w:r>
      <w:hyperlink r:id="rId44" w:history="1">
        <w:r w:rsidR="00F87BE8" w:rsidRPr="001E0273">
          <w:rPr>
            <w:rStyle w:val="Hyperlink"/>
            <w:rFonts w:cs="Calibri"/>
            <w:szCs w:val="22"/>
            <w:shd w:val="clear" w:color="auto" w:fill="FFFFFF"/>
          </w:rPr>
          <w:t>https://doi.org/10.1155/ijfo/5369920</w:t>
        </w:r>
      </w:hyperlink>
    </w:p>
    <w:p w14:paraId="727CF892"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T., </w:t>
      </w:r>
      <w:proofErr w:type="spellStart"/>
      <w:r w:rsidRPr="00F87BE8">
        <w:rPr>
          <w:rFonts w:cs="Calibri"/>
          <w:szCs w:val="22"/>
          <w:shd w:val="clear" w:color="auto" w:fill="FFFFFF"/>
        </w:rPr>
        <w:t>Alam</w:t>
      </w:r>
      <w:proofErr w:type="spellEnd"/>
      <w:r w:rsidRPr="00F87BE8">
        <w:rPr>
          <w:rFonts w:cs="Calibri"/>
          <w:szCs w:val="22"/>
          <w:shd w:val="clear" w:color="auto" w:fill="FFFFFF"/>
        </w:rPr>
        <w:t xml:space="preserve">, M.Z., </w:t>
      </w:r>
      <w:proofErr w:type="spellStart"/>
      <w:r w:rsidRPr="00F87BE8">
        <w:rPr>
          <w:rFonts w:cs="Calibri"/>
          <w:szCs w:val="22"/>
          <w:shd w:val="clear" w:color="auto" w:fill="FFFFFF"/>
        </w:rPr>
        <w:t>Moniruzzaman</w:t>
      </w:r>
      <w:proofErr w:type="spellEnd"/>
      <w:r w:rsidRPr="00F87BE8">
        <w:rPr>
          <w:rFonts w:cs="Calibri"/>
          <w:szCs w:val="22"/>
          <w:shd w:val="clear" w:color="auto" w:fill="FFFFFF"/>
        </w:rPr>
        <w:t xml:space="preserve">, M., Miah, M.S., </w:t>
      </w:r>
      <w:proofErr w:type="spellStart"/>
      <w:r w:rsidRPr="00F87BE8">
        <w:rPr>
          <w:rFonts w:cs="Calibri"/>
          <w:szCs w:val="22"/>
          <w:shd w:val="clear" w:color="auto" w:fill="FFFFFF"/>
        </w:rPr>
        <w:t>Horaira</w:t>
      </w:r>
      <w:proofErr w:type="spellEnd"/>
      <w:r w:rsidRPr="00F87BE8">
        <w:rPr>
          <w:rFonts w:cs="Calibri"/>
          <w:szCs w:val="22"/>
          <w:shd w:val="clear" w:color="auto" w:fill="FFFFFF"/>
        </w:rPr>
        <w:t>, M.A. and Kamal, R., 2024. Navigating the contemporary landscape of food waste management in developing countries: A comprehensive overview and prospective analysis.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 xml:space="preserve">(12). </w:t>
      </w:r>
      <w:hyperlink r:id="rId45" w:history="1">
        <w:r w:rsidR="00F87BE8" w:rsidRPr="001E0273">
          <w:rPr>
            <w:rStyle w:val="Hyperlink"/>
            <w:rFonts w:cs="Calibri"/>
            <w:szCs w:val="22"/>
            <w:shd w:val="clear" w:color="auto" w:fill="FFFFFF"/>
          </w:rPr>
          <w:t>https://doi.org/10.1016/j.heliyon.2024.e33218</w:t>
        </w:r>
      </w:hyperlink>
    </w:p>
    <w:p w14:paraId="3F58F50C"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Rifat, M.A., Talukdar, I.H., Lamichhane, N., </w:t>
      </w:r>
      <w:proofErr w:type="spellStart"/>
      <w:r w:rsidRPr="00F87BE8">
        <w:rPr>
          <w:rFonts w:ascii="Calibri" w:hAnsi="Calibri" w:cs="Calibri"/>
          <w:sz w:val="22"/>
          <w:szCs w:val="22"/>
          <w:shd w:val="clear" w:color="auto" w:fill="FFFFFF"/>
        </w:rPr>
        <w:t>Atarodi</w:t>
      </w:r>
      <w:proofErr w:type="spellEnd"/>
      <w:r w:rsidRPr="00F87BE8">
        <w:rPr>
          <w:rFonts w:ascii="Calibri" w:hAnsi="Calibri" w:cs="Calibri"/>
          <w:sz w:val="22"/>
          <w:szCs w:val="22"/>
          <w:shd w:val="clear" w:color="auto" w:fill="FFFFFF"/>
        </w:rPr>
        <w:t>, V. and Alam, S.S., 2022. Food safety knowledge and practices among food handlers in Bangladesh: A systematic review. </w:t>
      </w:r>
      <w:r w:rsidRPr="00F87BE8">
        <w:rPr>
          <w:rFonts w:ascii="Calibri" w:hAnsi="Calibri" w:cs="Calibri"/>
          <w:i/>
          <w:iCs/>
          <w:sz w:val="22"/>
          <w:szCs w:val="22"/>
          <w:shd w:val="clear" w:color="auto" w:fill="FFFFFF"/>
        </w:rPr>
        <w:t>Food Control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142</w:t>
      </w:r>
      <w:r w:rsidRPr="00F87BE8">
        <w:rPr>
          <w:rFonts w:ascii="Calibri" w:hAnsi="Calibri" w:cs="Calibri"/>
          <w:sz w:val="22"/>
          <w:szCs w:val="22"/>
          <w:shd w:val="clear" w:color="auto" w:fill="FFFFFF"/>
        </w:rPr>
        <w:t xml:space="preserve">, p.109262. </w:t>
      </w:r>
      <w:hyperlink r:id="rId46" w:history="1">
        <w:r w:rsidR="00F87BE8" w:rsidRPr="001E0273">
          <w:rPr>
            <w:rStyle w:val="Hyperlink"/>
            <w:rFonts w:ascii="Calibri" w:hAnsi="Calibri" w:cs="Calibri"/>
            <w:sz w:val="22"/>
            <w:szCs w:val="22"/>
            <w:shd w:val="clear" w:color="auto" w:fill="FFFFFF"/>
          </w:rPr>
          <w:t>https://doi.org/10.1016/j.foodcont.2022.109262</w:t>
        </w:r>
      </w:hyperlink>
    </w:p>
    <w:p w14:paraId="52BD9883"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Roy, H., Alam, S.R., Bin-Masud, R., Prantika, T.R., Pervez, M.N., Islam, M.S. and Naddeo, V., 2022. A review on characteristics, techniques, and waste-to-energy aspects of municipal solid waste management: Bangladesh perspective.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 xml:space="preserve">(16), p.10265. </w:t>
      </w:r>
      <w:hyperlink r:id="rId47" w:history="1">
        <w:r w:rsidR="00F87BE8" w:rsidRPr="001E0273">
          <w:rPr>
            <w:rStyle w:val="Hyperlink"/>
            <w:rFonts w:cs="Calibri"/>
            <w:szCs w:val="22"/>
            <w:shd w:val="clear" w:color="auto" w:fill="FFFFFF"/>
          </w:rPr>
          <w:t>https://doi.org/10.3390/su141610265</w:t>
        </w:r>
      </w:hyperlink>
    </w:p>
    <w:p w14:paraId="4E90BA8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Sarangi, P.K., Pal, P., Singh, A.K., Sahoo, U.K. and Prus, P., 2024. Food waste to food security: Transition from bioresources to sustainability. </w:t>
      </w:r>
      <w:r w:rsidRPr="00F87BE8">
        <w:rPr>
          <w:rFonts w:ascii="Calibri" w:hAnsi="Calibri" w:cs="Calibri"/>
          <w:i/>
          <w:iCs/>
          <w:sz w:val="22"/>
          <w:szCs w:val="22"/>
          <w:shd w:val="clear" w:color="auto" w:fill="FFFFFF"/>
        </w:rPr>
        <w:t>Resources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(12), p.164.</w:t>
      </w:r>
      <w:r w:rsidR="00F87BE8">
        <w:rPr>
          <w:rFonts w:ascii="Calibri" w:hAnsi="Calibri" w:cs="Calibri"/>
          <w:sz w:val="22"/>
          <w:szCs w:val="22"/>
          <w:shd w:val="clear" w:color="auto" w:fill="FFFFFF"/>
        </w:rPr>
        <w:t xml:space="preserve"> </w:t>
      </w:r>
      <w:hyperlink r:id="rId48" w:history="1">
        <w:r w:rsidR="00F87BE8" w:rsidRPr="001E0273">
          <w:rPr>
            <w:rStyle w:val="Hyperlink"/>
            <w:rFonts w:ascii="Calibri" w:hAnsi="Calibri" w:cs="Calibri"/>
            <w:sz w:val="22"/>
            <w:szCs w:val="22"/>
            <w:shd w:val="clear" w:color="auto" w:fill="FFFFFF"/>
          </w:rPr>
          <w:t>https://doi.org/10.3390/resources13120164</w:t>
        </w:r>
      </w:hyperlink>
    </w:p>
    <w:p w14:paraId="21516859"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Sarker, A., Ghosh, M.K., Islam, T., Bilal, M., Nandi, R., Raihan, M.L., Hossain, M.N., Rana, J., Barman, S.K. and Kim, J.E., 2022. </w:t>
      </w:r>
      <w:bookmarkStart w:id="3" w:name="_Hlk223277552"/>
      <w:r w:rsidRPr="00F87BE8">
        <w:rPr>
          <w:rFonts w:cs="Calibri"/>
          <w:szCs w:val="22"/>
          <w:shd w:val="clear" w:color="auto" w:fill="FFFFFF"/>
        </w:rPr>
        <w:t>Sustainable food waste recycling for the circular economy in developing countries,</w:t>
      </w:r>
      <w:bookmarkEnd w:id="3"/>
      <w:r w:rsidRPr="00F87BE8">
        <w:rPr>
          <w:rFonts w:cs="Calibri"/>
          <w:szCs w:val="22"/>
          <w:shd w:val="clear" w:color="auto" w:fill="FFFFFF"/>
        </w:rPr>
        <w:t xml:space="preserve"> with special reference to Bangladesh.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(19), p.12035.</w:t>
      </w:r>
      <w:r w:rsidR="00F87BE8">
        <w:rPr>
          <w:rFonts w:cs="Calibri"/>
          <w:szCs w:val="22"/>
          <w:shd w:val="clear" w:color="auto" w:fill="FFFFFF"/>
        </w:rPr>
        <w:t xml:space="preserve"> </w:t>
      </w:r>
      <w:hyperlink r:id="rId49" w:history="1">
        <w:r w:rsidR="00F87BE8" w:rsidRPr="001E0273">
          <w:rPr>
            <w:rStyle w:val="Hyperlink"/>
            <w:rFonts w:cs="Calibri"/>
            <w:szCs w:val="22"/>
            <w:shd w:val="clear" w:color="auto" w:fill="FFFFFF"/>
          </w:rPr>
          <w:t>https://doi.org/10.3390/su141912035</w:t>
        </w:r>
      </w:hyperlink>
    </w:p>
    <w:p w14:paraId="4B1CEFDB"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Shakil </w:t>
      </w:r>
      <w:proofErr w:type="spellStart"/>
      <w:r w:rsidRPr="00F87BE8">
        <w:rPr>
          <w:rFonts w:ascii="Calibri" w:hAnsi="Calibri" w:cs="Calibri"/>
          <w:sz w:val="22"/>
          <w:szCs w:val="22"/>
          <w:shd w:val="clear" w:color="auto" w:fill="FFFFFF"/>
        </w:rPr>
        <w:t>Ar</w:t>
      </w:r>
      <w:proofErr w:type="spellEnd"/>
      <w:r w:rsidRPr="00F87BE8">
        <w:rPr>
          <w:rFonts w:ascii="Calibri" w:hAnsi="Calibri" w:cs="Calibri"/>
          <w:sz w:val="22"/>
          <w:szCs w:val="22"/>
          <w:shd w:val="clear" w:color="auto" w:fill="FFFFFF"/>
        </w:rPr>
        <w:t xml:space="preserve"> </w:t>
      </w:r>
      <w:proofErr w:type="spellStart"/>
      <w:r w:rsidRPr="00F87BE8">
        <w:rPr>
          <w:rFonts w:ascii="Calibri" w:hAnsi="Calibri" w:cs="Calibri"/>
          <w:sz w:val="22"/>
          <w:szCs w:val="22"/>
          <w:shd w:val="clear" w:color="auto" w:fill="FFFFFF"/>
        </w:rPr>
        <w:t>Salan</w:t>
      </w:r>
      <w:proofErr w:type="spellEnd"/>
      <w:r w:rsidRPr="00F87BE8">
        <w:rPr>
          <w:rFonts w:ascii="Calibri" w:hAnsi="Calibri" w:cs="Calibri"/>
          <w:sz w:val="22"/>
          <w:szCs w:val="22"/>
          <w:shd w:val="clear" w:color="auto" w:fill="FFFFFF"/>
        </w:rPr>
        <w:t>, M. and Imran Hossain, M., 2024. Reducing and Managing Food Waste: Challenges and Way Forward. </w:t>
      </w:r>
      <w:r w:rsidRPr="00F87BE8">
        <w:rPr>
          <w:rFonts w:ascii="Calibri" w:hAnsi="Calibri" w:cs="Calibri"/>
          <w:i/>
          <w:iCs/>
          <w:sz w:val="22"/>
          <w:szCs w:val="22"/>
          <w:shd w:val="clear" w:color="auto" w:fill="FFFFFF"/>
        </w:rPr>
        <w:t>Technical Landfills and Waste Management: Volume 2: Municipal Solid Waste Management</w:t>
      </w:r>
      <w:r w:rsidRPr="00F87BE8">
        <w:rPr>
          <w:rFonts w:ascii="Calibri" w:hAnsi="Calibri" w:cs="Calibri"/>
          <w:sz w:val="22"/>
          <w:szCs w:val="22"/>
          <w:shd w:val="clear" w:color="auto" w:fill="FFFFFF"/>
        </w:rPr>
        <w:t xml:space="preserve">, pp.259-284. </w:t>
      </w:r>
      <w:hyperlink r:id="rId50" w:history="1">
        <w:r w:rsidR="00F87BE8" w:rsidRPr="001E0273">
          <w:rPr>
            <w:rStyle w:val="Hyperlink"/>
            <w:rFonts w:ascii="Calibri" w:hAnsi="Calibri" w:cs="Calibri"/>
            <w:sz w:val="22"/>
            <w:szCs w:val="22"/>
            <w:shd w:val="clear" w:color="auto" w:fill="FFFFFF"/>
          </w:rPr>
          <w:t>https://doi.org/10.1007/978-3-031-55665-4_10</w:t>
        </w:r>
      </w:hyperlink>
    </w:p>
    <w:p w14:paraId="302A7003"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t>Shee</w:t>
      </w:r>
      <w:proofErr w:type="spellEnd"/>
      <w:r w:rsidRPr="00F87BE8">
        <w:rPr>
          <w:rFonts w:cs="Calibri"/>
          <w:szCs w:val="22"/>
          <w:shd w:val="clear" w:color="auto" w:fill="FFFFFF"/>
        </w:rPr>
        <w:t>, A., Parmar, A., Raut, S., Strum, B. and Bennett, B., 2023. Assessing the measurement methods of post-harvest food loss and waste: opportunities and challenges. </w:t>
      </w:r>
      <w:r w:rsidRPr="00F87BE8">
        <w:rPr>
          <w:rFonts w:cs="Calibri"/>
          <w:i/>
          <w:iCs/>
          <w:szCs w:val="22"/>
          <w:shd w:val="clear" w:color="auto" w:fill="FFFFFF"/>
        </w:rPr>
        <w:t>Enterprise Development and Microfinance</w:t>
      </w:r>
      <w:r w:rsidRPr="00F87BE8">
        <w:rPr>
          <w:rFonts w:cs="Calibri"/>
          <w:szCs w:val="22"/>
          <w:shd w:val="clear" w:color="auto" w:fill="FFFFFF"/>
        </w:rPr>
        <w:t>, </w:t>
      </w:r>
      <w:r w:rsidRPr="00F87BE8">
        <w:rPr>
          <w:rFonts w:cs="Calibri"/>
          <w:i/>
          <w:iCs/>
          <w:szCs w:val="22"/>
          <w:shd w:val="clear" w:color="auto" w:fill="FFFFFF"/>
        </w:rPr>
        <w:t>33</w:t>
      </w:r>
      <w:r w:rsidRPr="00F87BE8">
        <w:rPr>
          <w:rFonts w:cs="Calibri"/>
          <w:szCs w:val="22"/>
          <w:shd w:val="clear" w:color="auto" w:fill="FFFFFF"/>
        </w:rPr>
        <w:t xml:space="preserve">(4), pp.1-16. </w:t>
      </w:r>
      <w:hyperlink r:id="rId51" w:history="1">
        <w:r w:rsidR="00F87BE8" w:rsidRPr="001E0273">
          <w:rPr>
            <w:rStyle w:val="Hyperlink"/>
            <w:rFonts w:cs="Calibri"/>
            <w:szCs w:val="22"/>
            <w:shd w:val="clear" w:color="auto" w:fill="FFFFFF"/>
          </w:rPr>
          <w:t>https://doi.org/10.3362/1755-1986.22-00062</w:t>
        </w:r>
      </w:hyperlink>
    </w:p>
    <w:p w14:paraId="6717F98E"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lastRenderedPageBreak/>
        <w:t xml:space="preserve">Siddiky, A., Mollick, K.,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F., Mamun, M.A. and Roy, N., 2024. Determinants of food safety knowledge and practices among food handlers in Bangladesh: An institution-based cross-sectional study.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(4).</w:t>
      </w:r>
      <w:r w:rsidR="00F87BE8">
        <w:rPr>
          <w:rFonts w:cs="Calibri"/>
          <w:szCs w:val="22"/>
          <w:shd w:val="clear" w:color="auto" w:fill="FFFFFF"/>
        </w:rPr>
        <w:t xml:space="preserve"> </w:t>
      </w:r>
      <w:hyperlink r:id="rId52" w:history="1">
        <w:r w:rsidR="00F87BE8" w:rsidRPr="001E0273">
          <w:rPr>
            <w:rStyle w:val="Hyperlink"/>
            <w:rFonts w:cs="Calibri"/>
            <w:szCs w:val="22"/>
            <w:shd w:val="clear" w:color="auto" w:fill="FFFFFF"/>
          </w:rPr>
          <w:t>https://doi.org/10.1016/j.heliyon.2024.e25970</w:t>
        </w:r>
      </w:hyperlink>
    </w:p>
    <w:p w14:paraId="1DCDADF4"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Srisathan</w:t>
      </w:r>
      <w:proofErr w:type="spellEnd"/>
      <w:r w:rsidRPr="00F87BE8">
        <w:rPr>
          <w:rFonts w:ascii="Calibri" w:hAnsi="Calibri" w:cs="Calibri"/>
          <w:sz w:val="22"/>
          <w:szCs w:val="22"/>
          <w:shd w:val="clear" w:color="auto" w:fill="FFFFFF"/>
        </w:rPr>
        <w:t xml:space="preserve">, W.A., </w:t>
      </w:r>
      <w:proofErr w:type="spellStart"/>
      <w:r w:rsidRPr="00F87BE8">
        <w:rPr>
          <w:rFonts w:ascii="Calibri" w:hAnsi="Calibri" w:cs="Calibri"/>
          <w:sz w:val="22"/>
          <w:szCs w:val="22"/>
          <w:shd w:val="clear" w:color="auto" w:fill="FFFFFF"/>
        </w:rPr>
        <w:t>Malai</w:t>
      </w:r>
      <w:proofErr w:type="spellEnd"/>
      <w:r w:rsidRPr="00F87BE8">
        <w:rPr>
          <w:rFonts w:ascii="Calibri" w:hAnsi="Calibri" w:cs="Calibri"/>
          <w:sz w:val="22"/>
          <w:szCs w:val="22"/>
          <w:shd w:val="clear" w:color="auto" w:fill="FFFFFF"/>
        </w:rPr>
        <w:t xml:space="preserve">, K., </w:t>
      </w:r>
      <w:proofErr w:type="spellStart"/>
      <w:r w:rsidRPr="00F87BE8">
        <w:rPr>
          <w:rFonts w:ascii="Calibri" w:hAnsi="Calibri" w:cs="Calibri"/>
          <w:sz w:val="22"/>
          <w:szCs w:val="22"/>
          <w:shd w:val="clear" w:color="auto" w:fill="FFFFFF"/>
        </w:rPr>
        <w:t>Narathawaranan</w:t>
      </w:r>
      <w:proofErr w:type="spellEnd"/>
      <w:r w:rsidRPr="00F87BE8">
        <w:rPr>
          <w:rFonts w:ascii="Calibri" w:hAnsi="Calibri" w:cs="Calibri"/>
          <w:sz w:val="22"/>
          <w:szCs w:val="22"/>
          <w:shd w:val="clear" w:color="auto" w:fill="FFFFFF"/>
        </w:rPr>
        <w:t xml:space="preserve">, N., </w:t>
      </w:r>
      <w:proofErr w:type="spellStart"/>
      <w:r w:rsidRPr="00F87BE8">
        <w:rPr>
          <w:rFonts w:ascii="Calibri" w:hAnsi="Calibri" w:cs="Calibri"/>
          <w:sz w:val="22"/>
          <w:szCs w:val="22"/>
          <w:shd w:val="clear" w:color="auto" w:fill="FFFFFF"/>
        </w:rPr>
        <w:t>Coochampoo</w:t>
      </w:r>
      <w:proofErr w:type="spellEnd"/>
      <w:r w:rsidRPr="00F87BE8">
        <w:rPr>
          <w:rFonts w:ascii="Calibri" w:hAnsi="Calibri" w:cs="Calibri"/>
          <w:sz w:val="22"/>
          <w:szCs w:val="22"/>
          <w:shd w:val="clear" w:color="auto" w:fill="FFFFFF"/>
        </w:rPr>
        <w:t xml:space="preserve">, K. and </w:t>
      </w:r>
      <w:proofErr w:type="spellStart"/>
      <w:r w:rsidRPr="00F87BE8">
        <w:rPr>
          <w:rFonts w:ascii="Calibri" w:hAnsi="Calibri" w:cs="Calibri"/>
          <w:sz w:val="22"/>
          <w:szCs w:val="22"/>
          <w:shd w:val="clear" w:color="auto" w:fill="FFFFFF"/>
        </w:rPr>
        <w:t>Naruetharadhol</w:t>
      </w:r>
      <w:proofErr w:type="spellEnd"/>
      <w:r w:rsidRPr="00F87BE8">
        <w:rPr>
          <w:rFonts w:ascii="Calibri" w:hAnsi="Calibri" w:cs="Calibri"/>
          <w:sz w:val="22"/>
          <w:szCs w:val="22"/>
          <w:shd w:val="clear" w:color="auto" w:fill="FFFFFF"/>
        </w:rPr>
        <w:t xml:space="preserve">, P., 2024. The impact of citizen science on environmental attitudes, environmental knowledge, environmental awareness to pro–environmental citizenship </w:t>
      </w:r>
      <w:proofErr w:type="spellStart"/>
      <w:r w:rsidRPr="00F87BE8">
        <w:rPr>
          <w:rFonts w:ascii="Calibri" w:hAnsi="Calibri" w:cs="Calibri"/>
          <w:sz w:val="22"/>
          <w:szCs w:val="22"/>
          <w:shd w:val="clear" w:color="auto" w:fill="FFFFFF"/>
        </w:rPr>
        <w:t>behaviour</w:t>
      </w:r>
      <w:proofErr w:type="spellEnd"/>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International Journal of Sustainable Engineering</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17</w:t>
      </w:r>
      <w:r w:rsidRPr="00F87BE8">
        <w:rPr>
          <w:rFonts w:ascii="Calibri" w:hAnsi="Calibri" w:cs="Calibri"/>
          <w:sz w:val="22"/>
          <w:szCs w:val="22"/>
          <w:shd w:val="clear" w:color="auto" w:fill="FFFFFF"/>
        </w:rPr>
        <w:t xml:space="preserve">(1), pp.360-378. </w:t>
      </w:r>
      <w:hyperlink r:id="rId53" w:history="1">
        <w:r w:rsidR="00673024" w:rsidRPr="001E0273">
          <w:rPr>
            <w:rStyle w:val="Hyperlink"/>
            <w:rFonts w:ascii="Calibri" w:hAnsi="Calibri" w:cs="Calibri"/>
            <w:sz w:val="22"/>
            <w:szCs w:val="22"/>
            <w:shd w:val="clear" w:color="auto" w:fill="FFFFFF"/>
          </w:rPr>
          <w:t>https://doi.org/10.1080/19397038.2024.2354269</w:t>
        </w:r>
      </w:hyperlink>
    </w:p>
    <w:p w14:paraId="76973CA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Tsai, J.F., Pham, H.A.T., Nguyen, P.H. and Nguyen, L.A.T., 2025. Reducing Food Waste in Vietnam's Food Service Sector: A Grey Theory-Based Analysis of Critical Factor. </w:t>
      </w:r>
      <w:r w:rsidRPr="00F87BE8">
        <w:rPr>
          <w:rFonts w:ascii="Calibri" w:hAnsi="Calibri" w:cs="Calibri"/>
          <w:i/>
          <w:iCs/>
          <w:sz w:val="22"/>
          <w:szCs w:val="22"/>
          <w:shd w:val="clear" w:color="auto" w:fill="FFFFFF"/>
        </w:rPr>
        <w:t>International Journal of Research in Industrial Engineering</w:t>
      </w:r>
      <w:r w:rsidRPr="00F87BE8">
        <w:rPr>
          <w:rFonts w:ascii="Calibri" w:hAnsi="Calibri" w:cs="Calibri"/>
          <w:sz w:val="22"/>
          <w:szCs w:val="22"/>
          <w:shd w:val="clear" w:color="auto" w:fill="FFFFFF"/>
        </w:rPr>
        <w:t xml:space="preserve">,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229621.</w:t>
      </w:r>
      <w:r w:rsidR="00673024">
        <w:rPr>
          <w:rFonts w:ascii="Calibri" w:hAnsi="Calibri" w:cs="Calibri"/>
          <w:sz w:val="22"/>
          <w:szCs w:val="22"/>
          <w:shd w:val="clear" w:color="auto" w:fill="FFFFFF"/>
        </w:rPr>
        <w:t xml:space="preserve"> </w:t>
      </w:r>
      <w:hyperlink r:id="rId54" w:history="1">
        <w:r w:rsidR="00673024" w:rsidRPr="001E0273">
          <w:rPr>
            <w:rStyle w:val="Hyperlink"/>
            <w:rFonts w:ascii="Calibri" w:hAnsi="Calibri" w:cs="Calibri"/>
            <w:sz w:val="22"/>
            <w:szCs w:val="22"/>
            <w:shd w:val="clear" w:color="auto" w:fill="FFFFFF"/>
          </w:rPr>
          <w:t>https://doi.org/10.22105/riej.2025.530815.1621</w:t>
        </w:r>
      </w:hyperlink>
    </w:p>
    <w:p w14:paraId="22FF0320" w14:textId="77777777" w:rsidR="00EC6BBB" w:rsidRPr="00673024"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rPr>
        <w:t xml:space="preserve">UNEP. (2024). </w:t>
      </w:r>
      <w:r w:rsidRPr="00F87BE8">
        <w:rPr>
          <w:rStyle w:val="Emphasis"/>
          <w:rFonts w:ascii="Calibri" w:eastAsia="SimSun" w:hAnsi="Calibri" w:cs="Calibri"/>
          <w:sz w:val="22"/>
          <w:szCs w:val="22"/>
        </w:rPr>
        <w:t>Food waste index report 2024</w:t>
      </w:r>
      <w:r w:rsidRPr="00F87BE8">
        <w:rPr>
          <w:rFonts w:ascii="Calibri" w:hAnsi="Calibri" w:cs="Calibri"/>
          <w:sz w:val="22"/>
          <w:szCs w:val="22"/>
        </w:rPr>
        <w:t xml:space="preserve">. United Nations Environment </w:t>
      </w:r>
      <w:proofErr w:type="spellStart"/>
      <w:r w:rsidRPr="00F87BE8">
        <w:rPr>
          <w:rFonts w:ascii="Calibri" w:hAnsi="Calibri" w:cs="Calibri"/>
          <w:sz w:val="22"/>
          <w:szCs w:val="22"/>
        </w:rPr>
        <w:t>Programme</w:t>
      </w:r>
      <w:proofErr w:type="spellEnd"/>
      <w:r w:rsidRPr="00F87BE8">
        <w:rPr>
          <w:rFonts w:ascii="Calibri" w:hAnsi="Calibri" w:cs="Calibri"/>
          <w:sz w:val="22"/>
          <w:szCs w:val="22"/>
        </w:rPr>
        <w:t>.</w:t>
      </w:r>
      <w:r w:rsidR="00673024">
        <w:rPr>
          <w:rFonts w:ascii="Calibri" w:hAnsi="Calibri" w:cs="Calibri"/>
          <w:sz w:val="22"/>
          <w:szCs w:val="22"/>
        </w:rPr>
        <w:t xml:space="preserve"> </w:t>
      </w:r>
      <w:hyperlink r:id="rId55" w:history="1">
        <w:r w:rsidR="00673024" w:rsidRPr="001E0273">
          <w:rPr>
            <w:rStyle w:val="Hyperlink"/>
            <w:rFonts w:ascii="Calibri" w:hAnsi="Calibri" w:cs="Calibri"/>
            <w:sz w:val="22"/>
            <w:szCs w:val="22"/>
          </w:rPr>
          <w:t>https://www.unep.org/resources/publication/food-waste-index-report-2024</w:t>
        </w:r>
      </w:hyperlink>
    </w:p>
    <w:p w14:paraId="2C27B37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Urugo</w:t>
      </w:r>
      <w:proofErr w:type="spellEnd"/>
      <w:r w:rsidRPr="00F87BE8">
        <w:rPr>
          <w:rFonts w:ascii="Calibri" w:hAnsi="Calibri" w:cs="Calibri"/>
          <w:sz w:val="22"/>
          <w:szCs w:val="22"/>
          <w:shd w:val="clear" w:color="auto" w:fill="FFFFFF"/>
        </w:rPr>
        <w:t xml:space="preserve">, M.M., </w:t>
      </w:r>
      <w:proofErr w:type="spellStart"/>
      <w:r w:rsidRPr="00F87BE8">
        <w:rPr>
          <w:rFonts w:ascii="Calibri" w:hAnsi="Calibri" w:cs="Calibri"/>
          <w:sz w:val="22"/>
          <w:szCs w:val="22"/>
          <w:shd w:val="clear" w:color="auto" w:fill="FFFFFF"/>
        </w:rPr>
        <w:t>Teka</w:t>
      </w:r>
      <w:proofErr w:type="spellEnd"/>
      <w:r w:rsidRPr="00F87BE8">
        <w:rPr>
          <w:rFonts w:ascii="Calibri" w:hAnsi="Calibri" w:cs="Calibri"/>
          <w:sz w:val="22"/>
          <w:szCs w:val="22"/>
          <w:shd w:val="clear" w:color="auto" w:fill="FFFFFF"/>
        </w:rPr>
        <w:t xml:space="preserve">, T.A., </w:t>
      </w:r>
      <w:proofErr w:type="spellStart"/>
      <w:r w:rsidRPr="00F87BE8">
        <w:rPr>
          <w:rFonts w:ascii="Calibri" w:hAnsi="Calibri" w:cs="Calibri"/>
          <w:sz w:val="22"/>
          <w:szCs w:val="22"/>
          <w:shd w:val="clear" w:color="auto" w:fill="FFFFFF"/>
        </w:rPr>
        <w:t>Gemede</w:t>
      </w:r>
      <w:proofErr w:type="spellEnd"/>
      <w:r w:rsidRPr="00F87BE8">
        <w:rPr>
          <w:rFonts w:ascii="Calibri" w:hAnsi="Calibri" w:cs="Calibri"/>
          <w:sz w:val="22"/>
          <w:szCs w:val="22"/>
          <w:shd w:val="clear" w:color="auto" w:fill="FFFFFF"/>
        </w:rPr>
        <w:t xml:space="preserve">, H.F., </w:t>
      </w:r>
      <w:proofErr w:type="spellStart"/>
      <w:r w:rsidRPr="00F87BE8">
        <w:rPr>
          <w:rFonts w:ascii="Calibri" w:hAnsi="Calibri" w:cs="Calibri"/>
          <w:sz w:val="22"/>
          <w:szCs w:val="22"/>
          <w:shd w:val="clear" w:color="auto" w:fill="FFFFFF"/>
        </w:rPr>
        <w:t>Mersha</w:t>
      </w:r>
      <w:proofErr w:type="spellEnd"/>
      <w:r w:rsidRPr="00F87BE8">
        <w:rPr>
          <w:rFonts w:ascii="Calibri" w:hAnsi="Calibri" w:cs="Calibri"/>
          <w:sz w:val="22"/>
          <w:szCs w:val="22"/>
          <w:shd w:val="clear" w:color="auto" w:fill="FFFFFF"/>
        </w:rPr>
        <w:t>, S., Tessema, A., Woldemariam, H.W. and Admassu, H., 2024. A comprehensive review of current approaches on food waste reduction strategies. </w:t>
      </w:r>
      <w:r w:rsidRPr="00F87BE8">
        <w:rPr>
          <w:rFonts w:ascii="Calibri" w:hAnsi="Calibri" w:cs="Calibri"/>
          <w:i/>
          <w:iCs/>
          <w:sz w:val="22"/>
          <w:szCs w:val="22"/>
          <w:shd w:val="clear" w:color="auto" w:fill="FFFFFF"/>
        </w:rPr>
        <w:t>Comprehensive Reviews in Food Science and Food Safety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23</w:t>
      </w:r>
      <w:r w:rsidRPr="00F87BE8">
        <w:rPr>
          <w:rFonts w:ascii="Calibri" w:hAnsi="Calibri" w:cs="Calibri"/>
          <w:sz w:val="22"/>
          <w:szCs w:val="22"/>
          <w:shd w:val="clear" w:color="auto" w:fill="FFFFFF"/>
        </w:rPr>
        <w:t xml:space="preserve">(5),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70011.</w:t>
      </w:r>
      <w:r w:rsidR="00673024">
        <w:rPr>
          <w:rFonts w:ascii="Calibri" w:hAnsi="Calibri" w:cs="Calibri"/>
          <w:sz w:val="22"/>
          <w:szCs w:val="22"/>
          <w:shd w:val="clear" w:color="auto" w:fill="FFFFFF"/>
        </w:rPr>
        <w:t xml:space="preserve"> </w:t>
      </w:r>
      <w:hyperlink r:id="rId56" w:history="1">
        <w:r w:rsidR="00673024" w:rsidRPr="001E0273">
          <w:rPr>
            <w:rStyle w:val="Hyperlink"/>
            <w:rFonts w:ascii="Calibri" w:hAnsi="Calibri" w:cs="Calibri"/>
            <w:sz w:val="22"/>
            <w:szCs w:val="22"/>
            <w:shd w:val="clear" w:color="auto" w:fill="FFFFFF"/>
          </w:rPr>
          <w:t>https://doi.org/10.1111/1541-4337.70011</w:t>
        </w:r>
      </w:hyperlink>
    </w:p>
    <w:p w14:paraId="0A1D026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Von Braun, J., Sorondo, M.S. and Steiner, R., 2023. Reduction of food loss and waste: the challenges and conclusions for actions. </w:t>
      </w:r>
      <w:r w:rsidRPr="00F87BE8">
        <w:rPr>
          <w:rFonts w:ascii="Calibri" w:hAnsi="Calibri" w:cs="Calibri"/>
          <w:i/>
          <w:iCs/>
          <w:sz w:val="22"/>
          <w:szCs w:val="22"/>
          <w:shd w:val="clear" w:color="auto" w:fill="FFFFFF"/>
        </w:rPr>
        <w:t>Science and innovations for food systems transformation</w:t>
      </w:r>
      <w:r w:rsidRPr="00F87BE8">
        <w:rPr>
          <w:rFonts w:ascii="Calibri" w:hAnsi="Calibri" w:cs="Calibri"/>
          <w:sz w:val="22"/>
          <w:szCs w:val="22"/>
          <w:shd w:val="clear" w:color="auto" w:fill="FFFFFF"/>
        </w:rPr>
        <w:t>, pp.569-578. Springer.</w:t>
      </w:r>
      <w:r w:rsidR="00673024">
        <w:rPr>
          <w:rFonts w:ascii="Calibri" w:hAnsi="Calibri" w:cs="Calibri"/>
          <w:sz w:val="22"/>
          <w:szCs w:val="22"/>
          <w:shd w:val="clear" w:color="auto" w:fill="FFFFFF"/>
        </w:rPr>
        <w:t xml:space="preserve"> </w:t>
      </w:r>
      <w:hyperlink r:id="rId57" w:history="1">
        <w:r w:rsidR="00673024" w:rsidRPr="001E0273">
          <w:rPr>
            <w:rStyle w:val="Hyperlink"/>
            <w:rFonts w:ascii="Calibri" w:hAnsi="Calibri" w:cs="Calibri"/>
            <w:sz w:val="22"/>
            <w:szCs w:val="22"/>
            <w:shd w:val="clear" w:color="auto" w:fill="FFFFFF"/>
          </w:rPr>
          <w:t>https://doi.org/10.1007/978-3-031-15703-5_31</w:t>
        </w:r>
      </w:hyperlink>
    </w:p>
    <w:p w14:paraId="15F2BE6E" w14:textId="77777777" w:rsidR="00673024" w:rsidRDefault="00EC6BBB" w:rsidP="00673024">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Waris, A., 2022. Local Food Systems and Farmers’ Markets-an Exploratory Study. Asian Journal of Agricultural Extension, Economics &amp; Sociology.</w:t>
      </w:r>
      <w:r w:rsidR="00673024">
        <w:rPr>
          <w:rFonts w:ascii="Calibri" w:hAnsi="Calibri" w:cs="Calibri"/>
          <w:sz w:val="22"/>
          <w:szCs w:val="22"/>
        </w:rPr>
        <w:t xml:space="preserve"> </w:t>
      </w:r>
      <w:hyperlink r:id="rId58" w:history="1">
        <w:r w:rsidR="00673024" w:rsidRPr="001E0273">
          <w:rPr>
            <w:rStyle w:val="Hyperlink"/>
            <w:rFonts w:ascii="Calibri" w:hAnsi="Calibri" w:cs="Calibri"/>
            <w:sz w:val="22"/>
            <w:szCs w:val="22"/>
          </w:rPr>
          <w:t>https://doi.org/10.9734/AJAEES/2022/v40i121765</w:t>
        </w:r>
      </w:hyperlink>
    </w:p>
    <w:p w14:paraId="1C80499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Xue, L., Song, G. and Liu, G., 2024. Wasted food, wasted resources? A critical review of environmental impact analysis of food loss and waste generation and treatment. </w:t>
      </w:r>
      <w:r w:rsidRPr="00F87BE8">
        <w:rPr>
          <w:rFonts w:ascii="Calibri" w:hAnsi="Calibri" w:cs="Calibri"/>
          <w:i/>
          <w:iCs/>
          <w:sz w:val="22"/>
          <w:szCs w:val="22"/>
          <w:shd w:val="clear" w:color="auto" w:fill="FFFFFF"/>
        </w:rPr>
        <w:t>Environmental Science &amp;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58</w:t>
      </w:r>
      <w:r w:rsidRPr="00F87BE8">
        <w:rPr>
          <w:rFonts w:ascii="Calibri" w:hAnsi="Calibri" w:cs="Calibri"/>
          <w:sz w:val="22"/>
          <w:szCs w:val="22"/>
          <w:shd w:val="clear" w:color="auto" w:fill="FFFFFF"/>
        </w:rPr>
        <w:t>(17), pp.7240-7255.</w:t>
      </w:r>
      <w:r w:rsidR="00673024">
        <w:rPr>
          <w:rFonts w:ascii="Calibri" w:hAnsi="Calibri" w:cs="Calibri"/>
          <w:sz w:val="22"/>
          <w:szCs w:val="22"/>
          <w:shd w:val="clear" w:color="auto" w:fill="FFFFFF"/>
        </w:rPr>
        <w:t xml:space="preserve"> </w:t>
      </w:r>
      <w:hyperlink r:id="rId59" w:history="1">
        <w:r w:rsidR="00673024" w:rsidRPr="001E0273">
          <w:rPr>
            <w:rStyle w:val="Hyperlink"/>
            <w:rFonts w:ascii="Calibri" w:hAnsi="Calibri" w:cs="Calibri"/>
            <w:sz w:val="22"/>
            <w:szCs w:val="22"/>
            <w:shd w:val="clear" w:color="auto" w:fill="FFFFFF"/>
          </w:rPr>
          <w:t>https://doi.org/10.1021/acs.est.3c08426</w:t>
        </w:r>
      </w:hyperlink>
    </w:p>
    <w:p w14:paraId="00941893" w14:textId="77777777" w:rsidR="006A6F7E" w:rsidRPr="00D05C9F" w:rsidRDefault="006A6F7E" w:rsidP="00066F93">
      <w:pPr>
        <w:spacing w:after="0" w:line="240" w:lineRule="auto"/>
        <w:rPr>
          <w:rFonts w:ascii="Calibri" w:hAnsi="Calibri" w:cs="Calibri"/>
        </w:rPr>
      </w:pPr>
    </w:p>
    <w:p w14:paraId="4C7F7666" w14:textId="77777777" w:rsidR="006A6F7E" w:rsidRPr="00D05C9F" w:rsidRDefault="006A6F7E" w:rsidP="00066F93">
      <w:pPr>
        <w:spacing w:after="0" w:line="240" w:lineRule="auto"/>
        <w:rPr>
          <w:rFonts w:ascii="Calibri" w:hAnsi="Calibri" w:cs="Calibri"/>
        </w:rPr>
      </w:pPr>
    </w:p>
    <w:sectPr w:rsidR="006A6F7E" w:rsidRPr="00D05C9F" w:rsidSect="007D756B">
      <w:headerReference w:type="even" r:id="rId60"/>
      <w:headerReference w:type="default" r:id="rId61"/>
      <w:footerReference w:type="even" r:id="rId62"/>
      <w:footerReference w:type="default" r:id="rId63"/>
      <w:headerReference w:type="first" r:id="rId64"/>
      <w:footerReference w:type="first" r:id="rId6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7B51" w14:textId="77777777" w:rsidR="007C2904" w:rsidRDefault="007C2904" w:rsidP="00951A85">
      <w:pPr>
        <w:spacing w:after="0" w:line="240" w:lineRule="auto"/>
      </w:pPr>
      <w:r>
        <w:separator/>
      </w:r>
    </w:p>
  </w:endnote>
  <w:endnote w:type="continuationSeparator" w:id="0">
    <w:p w14:paraId="2632AA21" w14:textId="77777777" w:rsidR="007C2904" w:rsidRDefault="007C2904" w:rsidP="0095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46D5" w14:textId="77777777" w:rsidR="00CE43A0" w:rsidRDefault="00CE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0AC8" w14:textId="77777777" w:rsidR="00CE43A0" w:rsidRDefault="00CE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59A7" w14:textId="77777777" w:rsidR="00CE43A0" w:rsidRDefault="00CE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4B60" w14:textId="77777777" w:rsidR="007C2904" w:rsidRDefault="007C2904" w:rsidP="00951A85">
      <w:pPr>
        <w:spacing w:after="0" w:line="240" w:lineRule="auto"/>
      </w:pPr>
      <w:r>
        <w:separator/>
      </w:r>
    </w:p>
  </w:footnote>
  <w:footnote w:type="continuationSeparator" w:id="0">
    <w:p w14:paraId="0679992F" w14:textId="77777777" w:rsidR="007C2904" w:rsidRDefault="007C2904" w:rsidP="0095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5D35" w14:textId="3C7A4C78" w:rsidR="00CE43A0" w:rsidRDefault="007C2904">
    <w:pPr>
      <w:pStyle w:val="Header"/>
    </w:pPr>
    <w:r>
      <w:rPr>
        <w:noProof/>
      </w:rPr>
      <w:pict w14:anchorId="529F1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8"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5183" w14:textId="7871DC41" w:rsidR="00CE43A0" w:rsidRDefault="007C2904">
    <w:pPr>
      <w:pStyle w:val="Header"/>
    </w:pPr>
    <w:r>
      <w:rPr>
        <w:noProof/>
      </w:rPr>
      <w:pict w14:anchorId="6A0C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9"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284A" w14:textId="7AF36668" w:rsidR="00CE43A0" w:rsidRDefault="007C2904">
    <w:pPr>
      <w:pStyle w:val="Header"/>
    </w:pPr>
    <w:r>
      <w:rPr>
        <w:noProof/>
      </w:rPr>
      <w:pict w14:anchorId="627D4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7"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831E3"/>
    <w:multiLevelType w:val="hybridMultilevel"/>
    <w:tmpl w:val="126AC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C32098"/>
    <w:multiLevelType w:val="hybridMultilevel"/>
    <w:tmpl w:val="2E0E55CE"/>
    <w:lvl w:ilvl="0" w:tplc="0396ED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F0B53"/>
    <w:multiLevelType w:val="hybridMultilevel"/>
    <w:tmpl w:val="E73A1D0E"/>
    <w:lvl w:ilvl="0" w:tplc="04090001">
      <w:start w:val="1"/>
      <w:numFmt w:val="bullet"/>
      <w:lvlText w:val=""/>
      <w:lvlJc w:val="left"/>
      <w:pPr>
        <w:ind w:left="360" w:hanging="360"/>
      </w:pPr>
      <w:rPr>
        <w:rFonts w:ascii="Symbol" w:hAnsi="Symbol" w:hint="default"/>
        <w:b w:val="0"/>
        <w:i w:val="0"/>
        <w:sz w:val="22"/>
      </w:rPr>
    </w:lvl>
    <w:lvl w:ilvl="1" w:tplc="EF72B22C">
      <w:start w:val="7"/>
      <w:numFmt w:val="bullet"/>
      <w:lvlText w:val="•"/>
      <w:lvlJc w:val="left"/>
      <w:pPr>
        <w:ind w:left="1080" w:hanging="36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1B20C3"/>
    <w:multiLevelType w:val="hybridMultilevel"/>
    <w:tmpl w:val="4694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77E38"/>
    <w:multiLevelType w:val="hybridMultilevel"/>
    <w:tmpl w:val="E91EA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NTc3MjYxMDczN7JU0lEKTi0uzszPAykwqQUACmnYwCwAAAA="/>
  </w:docVars>
  <w:rsids>
    <w:rsidRoot w:val="00B167E9"/>
    <w:rsid w:val="000230CA"/>
    <w:rsid w:val="00066F93"/>
    <w:rsid w:val="000A33A9"/>
    <w:rsid w:val="000C213B"/>
    <w:rsid w:val="000F7E47"/>
    <w:rsid w:val="00157DB9"/>
    <w:rsid w:val="00210C72"/>
    <w:rsid w:val="00241580"/>
    <w:rsid w:val="0024502B"/>
    <w:rsid w:val="00246AD2"/>
    <w:rsid w:val="00282979"/>
    <w:rsid w:val="002F1502"/>
    <w:rsid w:val="00354F27"/>
    <w:rsid w:val="003A5DFC"/>
    <w:rsid w:val="003E504F"/>
    <w:rsid w:val="004022A2"/>
    <w:rsid w:val="004035FE"/>
    <w:rsid w:val="004D7589"/>
    <w:rsid w:val="004F3787"/>
    <w:rsid w:val="0058206F"/>
    <w:rsid w:val="005C050A"/>
    <w:rsid w:val="005E0959"/>
    <w:rsid w:val="006202EA"/>
    <w:rsid w:val="006325B6"/>
    <w:rsid w:val="00670801"/>
    <w:rsid w:val="00673024"/>
    <w:rsid w:val="006A6F7E"/>
    <w:rsid w:val="0070202D"/>
    <w:rsid w:val="00714E0C"/>
    <w:rsid w:val="00734BF6"/>
    <w:rsid w:val="00737EE1"/>
    <w:rsid w:val="00744B3B"/>
    <w:rsid w:val="007666CE"/>
    <w:rsid w:val="00773739"/>
    <w:rsid w:val="00787C8E"/>
    <w:rsid w:val="00797F99"/>
    <w:rsid w:val="007C2904"/>
    <w:rsid w:val="007D756B"/>
    <w:rsid w:val="007F2F44"/>
    <w:rsid w:val="00842CF7"/>
    <w:rsid w:val="00876502"/>
    <w:rsid w:val="00896DE8"/>
    <w:rsid w:val="00951A85"/>
    <w:rsid w:val="009D5F75"/>
    <w:rsid w:val="009D6D69"/>
    <w:rsid w:val="00A526A2"/>
    <w:rsid w:val="00A5665B"/>
    <w:rsid w:val="00AB60A9"/>
    <w:rsid w:val="00AE1AEA"/>
    <w:rsid w:val="00AF0A1C"/>
    <w:rsid w:val="00B167E9"/>
    <w:rsid w:val="00B21D21"/>
    <w:rsid w:val="00BB0D93"/>
    <w:rsid w:val="00BB5478"/>
    <w:rsid w:val="00C05DE1"/>
    <w:rsid w:val="00C36452"/>
    <w:rsid w:val="00C379EB"/>
    <w:rsid w:val="00CB6BC4"/>
    <w:rsid w:val="00CE17F7"/>
    <w:rsid w:val="00CE43A0"/>
    <w:rsid w:val="00D05C9F"/>
    <w:rsid w:val="00D5667E"/>
    <w:rsid w:val="00DD6F32"/>
    <w:rsid w:val="00DE22B4"/>
    <w:rsid w:val="00E350C6"/>
    <w:rsid w:val="00E60C9B"/>
    <w:rsid w:val="00EA60F0"/>
    <w:rsid w:val="00EC0F28"/>
    <w:rsid w:val="00EC6BBB"/>
    <w:rsid w:val="00F24B63"/>
    <w:rsid w:val="00F61F97"/>
    <w:rsid w:val="00F8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67300"/>
  <w15:chartTrackingRefBased/>
  <w15:docId w15:val="{19B87330-4C33-43AE-BFA8-C1DBB56D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DB9"/>
  </w:style>
  <w:style w:type="paragraph" w:styleId="Heading2">
    <w:name w:val="heading 2"/>
    <w:basedOn w:val="Normal"/>
    <w:next w:val="Normal"/>
    <w:link w:val="Heading2Char"/>
    <w:uiPriority w:val="9"/>
    <w:semiHidden/>
    <w:unhideWhenUsed/>
    <w:qFormat/>
    <w:rsid w:val="00B21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D756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56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D75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7D756B"/>
    <w:pPr>
      <w:spacing w:after="120" w:line="276" w:lineRule="auto"/>
      <w:ind w:left="720"/>
      <w:contextualSpacing/>
      <w:jc w:val="both"/>
    </w:pPr>
    <w:rPr>
      <w:rFonts w:ascii="Calibri" w:eastAsia="SimSun" w:hAnsi="Calibri" w:cs="Times New Roman"/>
      <w:kern w:val="0"/>
      <w:szCs w:val="24"/>
      <w14:ligatures w14:val="none"/>
    </w:rPr>
  </w:style>
  <w:style w:type="character" w:customStyle="1" w:styleId="ListParagraphChar">
    <w:name w:val="List Paragraph Char"/>
    <w:basedOn w:val="DefaultParagraphFont"/>
    <w:link w:val="ListParagraph"/>
    <w:uiPriority w:val="34"/>
    <w:rsid w:val="007D756B"/>
    <w:rPr>
      <w:rFonts w:ascii="Calibri" w:eastAsia="SimSun" w:hAnsi="Calibri" w:cs="Times New Roman"/>
      <w:kern w:val="0"/>
      <w:szCs w:val="24"/>
      <w14:ligatures w14:val="none"/>
    </w:rPr>
  </w:style>
  <w:style w:type="paragraph" w:styleId="Caption">
    <w:name w:val="caption"/>
    <w:basedOn w:val="Normal"/>
    <w:next w:val="Normal"/>
    <w:uiPriority w:val="35"/>
    <w:unhideWhenUsed/>
    <w:qFormat/>
    <w:rsid w:val="007D756B"/>
    <w:pPr>
      <w:spacing w:after="200" w:line="240" w:lineRule="auto"/>
      <w:jc w:val="both"/>
    </w:pPr>
    <w:rPr>
      <w:rFonts w:ascii="Calibri" w:eastAsia="SimSun" w:hAnsi="Calibri" w:cs="Times New Roman"/>
      <w:i/>
      <w:iCs/>
      <w:color w:val="44546A" w:themeColor="text2"/>
      <w:kern w:val="0"/>
      <w:sz w:val="18"/>
      <w:szCs w:val="18"/>
      <w14:ligatures w14:val="none"/>
    </w:rPr>
  </w:style>
  <w:style w:type="character" w:customStyle="1" w:styleId="Heading2Char">
    <w:name w:val="Heading 2 Char"/>
    <w:basedOn w:val="DefaultParagraphFont"/>
    <w:link w:val="Heading2"/>
    <w:uiPriority w:val="9"/>
    <w:semiHidden/>
    <w:rsid w:val="00B21D2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21D21"/>
    <w:rPr>
      <w:b/>
      <w:bCs/>
    </w:rPr>
  </w:style>
  <w:style w:type="character" w:styleId="Hyperlink">
    <w:name w:val="Hyperlink"/>
    <w:basedOn w:val="DefaultParagraphFont"/>
    <w:uiPriority w:val="99"/>
    <w:unhideWhenUsed/>
    <w:rsid w:val="005C050A"/>
    <w:rPr>
      <w:color w:val="0563C1" w:themeColor="hyperlink"/>
      <w:u w:val="single"/>
    </w:rPr>
  </w:style>
  <w:style w:type="character" w:styleId="Emphasis">
    <w:name w:val="Emphasis"/>
    <w:basedOn w:val="DefaultParagraphFont"/>
    <w:uiPriority w:val="20"/>
    <w:qFormat/>
    <w:rsid w:val="005C050A"/>
    <w:rPr>
      <w:i/>
      <w:iCs/>
    </w:rPr>
  </w:style>
  <w:style w:type="paragraph" w:customStyle="1" w:styleId="SSEAUTHORS">
    <w:name w:val="SSE AUTHORS"/>
    <w:basedOn w:val="Normal"/>
    <w:link w:val="SSEAUTHORSChar"/>
    <w:qFormat/>
    <w:rsid w:val="005C050A"/>
    <w:pPr>
      <w:spacing w:after="0" w:line="240" w:lineRule="auto"/>
      <w:jc w:val="center"/>
    </w:pPr>
    <w:rPr>
      <w:rFonts w:ascii="Calibri" w:eastAsia="SimSun" w:hAnsi="Calibri" w:cs="Times New Roman"/>
      <w:b/>
      <w:kern w:val="0"/>
      <w:szCs w:val="24"/>
      <w14:ligatures w14:val="none"/>
    </w:rPr>
  </w:style>
  <w:style w:type="character" w:customStyle="1" w:styleId="SSEAUTHORSChar">
    <w:name w:val="SSE AUTHORS Char"/>
    <w:basedOn w:val="DefaultParagraphFont"/>
    <w:link w:val="SSEAUTHORS"/>
    <w:rsid w:val="005C050A"/>
    <w:rPr>
      <w:rFonts w:ascii="Calibri" w:eastAsia="SimSun" w:hAnsi="Calibri" w:cs="Times New Roman"/>
      <w:b/>
      <w:kern w:val="0"/>
      <w:szCs w:val="24"/>
      <w14:ligatures w14:val="none"/>
    </w:rPr>
  </w:style>
  <w:style w:type="paragraph" w:customStyle="1" w:styleId="SSEEMAILS">
    <w:name w:val="SSE EMAILS"/>
    <w:basedOn w:val="Normal"/>
    <w:link w:val="SSEEMAILSChar"/>
    <w:qFormat/>
    <w:rsid w:val="005C050A"/>
    <w:pPr>
      <w:spacing w:after="0" w:line="240" w:lineRule="auto"/>
      <w:jc w:val="center"/>
    </w:pPr>
    <w:rPr>
      <w:rFonts w:ascii="Calibri" w:eastAsia="SimSun" w:hAnsi="Calibri" w:cs="Times New Roman"/>
      <w:color w:val="44546A" w:themeColor="text2"/>
      <w:kern w:val="0"/>
      <w:szCs w:val="24"/>
      <w14:ligatures w14:val="none"/>
    </w:rPr>
  </w:style>
  <w:style w:type="character" w:customStyle="1" w:styleId="SSEEMAILSChar">
    <w:name w:val="SSE EMAILS Char"/>
    <w:basedOn w:val="DefaultParagraphFont"/>
    <w:link w:val="SSEEMAILS"/>
    <w:rsid w:val="005C050A"/>
    <w:rPr>
      <w:rFonts w:ascii="Calibri" w:eastAsia="SimSun" w:hAnsi="Calibri" w:cs="Times New Roman"/>
      <w:color w:val="44546A" w:themeColor="text2"/>
      <w:kern w:val="0"/>
      <w:szCs w:val="24"/>
      <w14:ligatures w14:val="none"/>
    </w:rPr>
  </w:style>
  <w:style w:type="paragraph" w:customStyle="1" w:styleId="Default">
    <w:name w:val="Default"/>
    <w:rsid w:val="00F61F97"/>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0C213B"/>
    <w:rPr>
      <w:color w:val="605E5C"/>
      <w:shd w:val="clear" w:color="auto" w:fill="E1DFDD"/>
    </w:rPr>
  </w:style>
  <w:style w:type="paragraph" w:styleId="Header">
    <w:name w:val="header"/>
    <w:basedOn w:val="Normal"/>
    <w:link w:val="HeaderChar"/>
    <w:uiPriority w:val="99"/>
    <w:unhideWhenUsed/>
    <w:rsid w:val="0095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85"/>
  </w:style>
  <w:style w:type="paragraph" w:styleId="Footer">
    <w:name w:val="footer"/>
    <w:basedOn w:val="Normal"/>
    <w:link w:val="FooterChar"/>
    <w:uiPriority w:val="99"/>
    <w:unhideWhenUsed/>
    <w:rsid w:val="0095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85"/>
  </w:style>
  <w:style w:type="paragraph" w:styleId="BalloonText">
    <w:name w:val="Balloon Text"/>
    <w:basedOn w:val="Normal"/>
    <w:link w:val="BalloonTextChar"/>
    <w:uiPriority w:val="99"/>
    <w:semiHidden/>
    <w:unhideWhenUsed/>
    <w:rsid w:val="00403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76577">
      <w:bodyDiv w:val="1"/>
      <w:marLeft w:val="0"/>
      <w:marRight w:val="0"/>
      <w:marTop w:val="0"/>
      <w:marBottom w:val="0"/>
      <w:divBdr>
        <w:top w:val="none" w:sz="0" w:space="0" w:color="auto"/>
        <w:left w:val="none" w:sz="0" w:space="0" w:color="auto"/>
        <w:bottom w:val="none" w:sz="0" w:space="0" w:color="auto"/>
        <w:right w:val="none" w:sz="0" w:space="0" w:color="auto"/>
      </w:divBdr>
    </w:div>
    <w:div w:id="10077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2187488" TargetMode="External"/><Relationship Id="rId21" Type="http://schemas.openxmlformats.org/officeDocument/2006/relationships/hyperlink" Target="https://doi.org/10.1371/journal.pone.0297509" TargetMode="External"/><Relationship Id="rId34" Type="http://schemas.openxmlformats.org/officeDocument/2006/relationships/hyperlink" Target="https://doi.org/10.1039/D3FB00141E" TargetMode="External"/><Relationship Id="rId42" Type="http://schemas.openxmlformats.org/officeDocument/2006/relationships/hyperlink" Target="https://doi.org/10.3390/su15043293" TargetMode="External"/><Relationship Id="rId47" Type="http://schemas.openxmlformats.org/officeDocument/2006/relationships/hyperlink" Target="https://doi.org/10.3390/su141610265" TargetMode="External"/><Relationship Id="rId50" Type="http://schemas.openxmlformats.org/officeDocument/2006/relationships/hyperlink" Target="https://doi.org/10.1007/978-3-031-55665-4_10" TargetMode="External"/><Relationship Id="rId55" Type="http://schemas.openxmlformats.org/officeDocument/2006/relationships/hyperlink" Target="https://www.unep.org/resources/publication/food-waste-index-report-2024"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7/978-981-97-1160-4_5" TargetMode="External"/><Relationship Id="rId29" Type="http://schemas.openxmlformats.org/officeDocument/2006/relationships/hyperlink" Target="https://doi.org/10.1371/journal.pone.0280188" TargetMode="External"/><Relationship Id="rId11" Type="http://schemas.openxmlformats.org/officeDocument/2006/relationships/hyperlink" Target="https://www.doi.org/10.22271/chemi.2025.v13.i1b.12506" TargetMode="External"/><Relationship Id="rId24" Type="http://schemas.openxmlformats.org/officeDocument/2006/relationships/hyperlink" Target="https://doi.org/10.1016/j.scitotenv.2019.134318" TargetMode="External"/><Relationship Id="rId32" Type="http://schemas.openxmlformats.org/officeDocument/2006/relationships/hyperlink" Target="https://doi.org/10.59490/ijwg.12.2025.7772" TargetMode="External"/><Relationship Id="rId37" Type="http://schemas.openxmlformats.org/officeDocument/2006/relationships/hyperlink" Target="https://doi.org/10.3390/horticulturae8090776" TargetMode="External"/><Relationship Id="rId40" Type="http://schemas.openxmlformats.org/officeDocument/2006/relationships/hyperlink" Target="https://doi.org/10.3329/bjz.v48i1.47886" TargetMode="External"/><Relationship Id="rId45" Type="http://schemas.openxmlformats.org/officeDocument/2006/relationships/hyperlink" Target="https://doi.org/10.1016/j.heliyon.2024.e33218" TargetMode="External"/><Relationship Id="rId53" Type="http://schemas.openxmlformats.org/officeDocument/2006/relationships/hyperlink" Target="https://doi.org/10.1080/19397038.2024.2354269" TargetMode="External"/><Relationship Id="rId58" Type="http://schemas.openxmlformats.org/officeDocument/2006/relationships/hyperlink" Target="https://doi.org/10.9734/AJAEES/2022/v40i121765"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3177/jnsv.65.S4" TargetMode="External"/><Relationship Id="rId14" Type="http://schemas.openxmlformats.org/officeDocument/2006/relationships/hyperlink" Target="https://doi.org/10.1007/s43615-025-00526-2" TargetMode="External"/><Relationship Id="rId22" Type="http://schemas.openxmlformats.org/officeDocument/2006/relationships/hyperlink" Target="https://doi.org/10.3390/su13042347" TargetMode="External"/><Relationship Id="rId27" Type="http://schemas.openxmlformats.org/officeDocument/2006/relationships/hyperlink" Target="https://doi.org/10.1016/j.habitatint.2025.103372" TargetMode="External"/><Relationship Id="rId30" Type="http://schemas.openxmlformats.org/officeDocument/2006/relationships/hyperlink" Target="https://doi.org/10.1016/j.foodcont.2022.109578" TargetMode="External"/><Relationship Id="rId35" Type="http://schemas.openxmlformats.org/officeDocument/2006/relationships/hyperlink" Target="http://doi.org/10.26480/faer.02.2024.78.82" TargetMode="External"/><Relationship Id="rId43" Type="http://schemas.openxmlformats.org/officeDocument/2006/relationships/hyperlink" Target="https://doi.org/10.3329/ijarit.v13i1.68069" TargetMode="External"/><Relationship Id="rId48" Type="http://schemas.openxmlformats.org/officeDocument/2006/relationships/hyperlink" Target="https://doi.org/10.3390/resources13120164" TargetMode="External"/><Relationship Id="rId56" Type="http://schemas.openxmlformats.org/officeDocument/2006/relationships/hyperlink" Target="https://doi.org/10.1111/1541-4337.70011" TargetMode="External"/><Relationship Id="rId64" Type="http://schemas.openxmlformats.org/officeDocument/2006/relationships/header" Target="header3.xml"/><Relationship Id="rId8" Type="http://schemas.openxmlformats.org/officeDocument/2006/relationships/hyperlink" Target="https://doi.org/10.1007/s10668-023-03814-9" TargetMode="External"/><Relationship Id="rId51" Type="http://schemas.openxmlformats.org/officeDocument/2006/relationships/hyperlink" Target="https://doi.org/10.3362/1755-1986.22-00062" TargetMode="External"/><Relationship Id="rId3" Type="http://schemas.openxmlformats.org/officeDocument/2006/relationships/settings" Target="settings.xml"/><Relationship Id="rId12" Type="http://schemas.openxmlformats.org/officeDocument/2006/relationships/hyperlink" Target="https://doi.org/10.1016/j.jafr.2022.100330" TargetMode="External"/><Relationship Id="rId17" Type="http://schemas.openxmlformats.org/officeDocument/2006/relationships/hyperlink" Target="https://doi.org/10.3390/books978-3-0365-XXXX-X" TargetMode="External"/><Relationship Id="rId25" Type="http://schemas.openxmlformats.org/officeDocument/2006/relationships/hyperlink" Target="https://doi.org/10.3390/logistics5040077" TargetMode="External"/><Relationship Id="rId33" Type="http://schemas.openxmlformats.org/officeDocument/2006/relationships/hyperlink" Target="https://doi.org/10.19080/ASM.2021.06.555696" TargetMode="External"/><Relationship Id="rId38" Type="http://schemas.openxmlformats.org/officeDocument/2006/relationships/hyperlink" Target="https://doi.org/10.1371/journal.pone.0326595" TargetMode="External"/><Relationship Id="rId46" Type="http://schemas.openxmlformats.org/officeDocument/2006/relationships/hyperlink" Target="https://doi.org/10.1016/j.foodcont.2022.109262" TargetMode="External"/><Relationship Id="rId59" Type="http://schemas.openxmlformats.org/officeDocument/2006/relationships/hyperlink" Target="https://doi.org/10.1021/acs.est.3c08426" TargetMode="External"/><Relationship Id="rId67" Type="http://schemas.openxmlformats.org/officeDocument/2006/relationships/theme" Target="theme/theme1.xml"/><Relationship Id="rId20" Type="http://schemas.openxmlformats.org/officeDocument/2006/relationships/hyperlink" Target="https://doi.org/10.3390/su17073236" TargetMode="External"/><Relationship Id="rId41" Type="http://schemas.openxmlformats.org/officeDocument/2006/relationships/hyperlink" Target="https://doi.org/10.3390/foods14223938" TargetMode="External"/><Relationship Id="rId54" Type="http://schemas.openxmlformats.org/officeDocument/2006/relationships/hyperlink" Target="https://doi.org/10.22105/riej.2025.530815.1621"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bse.3202" TargetMode="External"/><Relationship Id="rId23" Type="http://schemas.openxmlformats.org/officeDocument/2006/relationships/hyperlink" Target="http://www.fao.org/4/s8620e/s8620e06.htm" TargetMode="External"/><Relationship Id="rId28" Type="http://schemas.openxmlformats.org/officeDocument/2006/relationships/hyperlink" Target="https://doi.org/10.1016/j.jclepro.2024.141037" TargetMode="External"/><Relationship Id="rId36" Type="http://schemas.openxmlformats.org/officeDocument/2006/relationships/hyperlink" Target="https://doi.org/10.3389/fsufs.2022.724190" TargetMode="External"/><Relationship Id="rId49" Type="http://schemas.openxmlformats.org/officeDocument/2006/relationships/hyperlink" Target="https://doi.org/10.3390/su141912035" TargetMode="External"/><Relationship Id="rId57" Type="http://schemas.openxmlformats.org/officeDocument/2006/relationships/hyperlink" Target="https://doi.org/10.1007/978-3-031-15703-5_31" TargetMode="External"/><Relationship Id="rId10" Type="http://schemas.openxmlformats.org/officeDocument/2006/relationships/hyperlink" Target="https://doi.org/10.1080/03067319.2021.2018578" TargetMode="External"/><Relationship Id="rId31" Type="http://schemas.openxmlformats.org/officeDocument/2006/relationships/hyperlink" Target="https://hdl.handle.net/10419/273545" TargetMode="External"/><Relationship Id="rId44" Type="http://schemas.openxmlformats.org/officeDocument/2006/relationships/hyperlink" Target="https://doi.org/10.1155/ijfo/5369920" TargetMode="External"/><Relationship Id="rId52" Type="http://schemas.openxmlformats.org/officeDocument/2006/relationships/hyperlink" Target="https://doi.org/10.1016/j.heliyon.2024.e2597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77/0734242X241257655" TargetMode="External"/><Relationship Id="rId13" Type="http://schemas.openxmlformats.org/officeDocument/2006/relationships/hyperlink" Target="https://doi.org/10.1186/s12199-021-01004-5" TargetMode="External"/><Relationship Id="rId18" Type="http://schemas.openxmlformats.org/officeDocument/2006/relationships/hyperlink" Target="https://hdl.handle.net/10568/138789" TargetMode="External"/><Relationship Id="rId39" Type="http://schemas.openxmlformats.org/officeDocument/2006/relationships/hyperlink" Target="https://doi.org/10.1007/s41055-025-00183-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12</Pages>
  <Words>7126</Words>
  <Characters>40623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40</cp:revision>
  <dcterms:created xsi:type="dcterms:W3CDTF">2025-12-24T13:12:00Z</dcterms:created>
  <dcterms:modified xsi:type="dcterms:W3CDTF">2026-03-19T06:53:00Z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ffa9e87f-bcc6-4e4d-a452-86e8ed07d2e7</vt:lpwstr>
  </property>
</Properties>
</file>