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1C63E" w14:textId="48DC1B6B" w:rsidR="00AD4B0F" w:rsidRDefault="00AD4B0F" w:rsidP="007328C4">
      <w:pPr>
        <w:jc w:val="both"/>
        <w:rPr>
          <w:rFonts w:ascii="Times New Roman" w:hAnsi="Times New Roman" w:cs="Times New Roman"/>
          <w:b/>
          <w:bCs/>
        </w:rPr>
      </w:pPr>
      <w:r w:rsidRPr="00AD4B0F">
        <w:rPr>
          <w:rFonts w:ascii="Times New Roman" w:hAnsi="Times New Roman" w:cs="Times New Roman"/>
          <w:b/>
          <w:bCs/>
        </w:rPr>
        <w:t>Optimization of Drum-Kiln Pyrolysis for Woody and Agricultural Biomass: Influence of Temperature and Residence Time on Biochar Yield and Ash Content</w:t>
      </w:r>
    </w:p>
    <w:p w14:paraId="023EFEE3" w14:textId="77777777" w:rsidR="00AD4B0F" w:rsidRPr="00AD4B0F" w:rsidRDefault="00AD4B0F" w:rsidP="007328C4">
      <w:pPr>
        <w:jc w:val="both"/>
        <w:rPr>
          <w:rFonts w:ascii="Times New Roman" w:hAnsi="Times New Roman" w:cs="Times New Roman"/>
          <w:b/>
          <w:bCs/>
        </w:rPr>
      </w:pPr>
      <w:r w:rsidRPr="00AD4B0F">
        <w:rPr>
          <w:rFonts w:ascii="Times New Roman" w:hAnsi="Times New Roman" w:cs="Times New Roman"/>
          <w:b/>
          <w:bCs/>
        </w:rPr>
        <w:t>Abstract</w:t>
      </w:r>
    </w:p>
    <w:p w14:paraId="53868BD9" w14:textId="51EC6DE2" w:rsidR="00510607" w:rsidRDefault="00461C2B" w:rsidP="00461C2B">
      <w:pPr>
        <w:jc w:val="both"/>
        <w:rPr>
          <w:rStyle w:val="bzpyqfadein"/>
        </w:rPr>
      </w:pPr>
      <w:r w:rsidRPr="00461C2B">
        <w:rPr>
          <w:rFonts w:ascii="Times New Roman" w:hAnsi="Times New Roman" w:cs="Times New Roman"/>
        </w:rPr>
        <w:t>The thermochemical conversion of lignocellulosic biomass into biochar represents an effective strategy for the sustainable management of agricultural residues and the production of stable carbon-rich materials for soil improvement. Low-cost drum-kiln systems provide a practical and decentralized approach for biochar production, particularly in rural agricultural settings. However, the influence of operational parameters on biochar yield and composition requires further evaluation. In this study, the effects of pyrolysis temperature (350–550 °C) and residence time (30–120 min) on biochar yield and ash formation were investigated using a factorial experimental design. Six biomass feedstocks</w:t>
      </w:r>
      <w:r>
        <w:rPr>
          <w:rFonts w:ascii="Times New Roman" w:hAnsi="Times New Roman" w:cs="Times New Roman"/>
        </w:rPr>
        <w:t>-</w:t>
      </w:r>
      <w:proofErr w:type="spellStart"/>
      <w:r w:rsidRPr="00461C2B">
        <w:rPr>
          <w:rFonts w:ascii="Times New Roman" w:hAnsi="Times New Roman" w:cs="Times New Roman"/>
          <w:i/>
          <w:iCs/>
        </w:rPr>
        <w:t>Conocarpus</w:t>
      </w:r>
      <w:proofErr w:type="spellEnd"/>
      <w:r w:rsidRPr="00461C2B">
        <w:rPr>
          <w:rFonts w:ascii="Times New Roman" w:hAnsi="Times New Roman" w:cs="Times New Roman"/>
          <w:i/>
          <w:iCs/>
        </w:rPr>
        <w:t xml:space="preserve"> erectus</w:t>
      </w:r>
      <w:r w:rsidRPr="00461C2B">
        <w:rPr>
          <w:rFonts w:ascii="Times New Roman" w:hAnsi="Times New Roman" w:cs="Times New Roman"/>
        </w:rPr>
        <w:t>, eucalyptus branches, acacia pruning residues, rice straw, wheat straw, and pigeon-pea stalks</w:t>
      </w:r>
      <w:r>
        <w:rPr>
          <w:rFonts w:ascii="Times New Roman" w:hAnsi="Times New Roman" w:cs="Times New Roman"/>
        </w:rPr>
        <w:t>-</w:t>
      </w:r>
      <w:r w:rsidRPr="00461C2B">
        <w:rPr>
          <w:rFonts w:ascii="Times New Roman" w:hAnsi="Times New Roman" w:cs="Times New Roman"/>
        </w:rPr>
        <w:t xml:space="preserve">were characterized through proximate analysis to assess feedstock variability. Optimization experiments were conducted using </w:t>
      </w:r>
      <w:proofErr w:type="spellStart"/>
      <w:r w:rsidRPr="00461C2B">
        <w:rPr>
          <w:rFonts w:ascii="Times New Roman" w:hAnsi="Times New Roman" w:cs="Times New Roman"/>
          <w:i/>
          <w:iCs/>
        </w:rPr>
        <w:t>Conocarpus</w:t>
      </w:r>
      <w:proofErr w:type="spellEnd"/>
      <w:r w:rsidRPr="00461C2B">
        <w:rPr>
          <w:rFonts w:ascii="Times New Roman" w:hAnsi="Times New Roman" w:cs="Times New Roman"/>
          <w:i/>
          <w:iCs/>
        </w:rPr>
        <w:t xml:space="preserve"> erectus</w:t>
      </w:r>
      <w:r w:rsidRPr="00461C2B">
        <w:rPr>
          <w:rFonts w:ascii="Times New Roman" w:hAnsi="Times New Roman" w:cs="Times New Roman"/>
        </w:rPr>
        <w:t xml:space="preserve"> as a representative woody biomass under controlled drum-kiln pyrolysis conditions. The results showed that biochar yield decreased from 39.8 % at 350 °C and 30 min to 21.0 % at 550 °C and 120 min, while ash content increased from 3.2 % to 11.8 % with increasing pyrolysis severity. The reduction in biochar yield was attributed to enhanced volatilization of organic components at higher temperatures, whereas the increase in ash content resulted from the concentration of inorganic mineral constituents within the char matrix. Optimal operating conditions were identified at 375–400 °C with residence times of 45–60 min,</w:t>
      </w:r>
      <w:r w:rsidR="00510607" w:rsidRPr="00510607">
        <w:t xml:space="preserve"> </w:t>
      </w:r>
      <w:r w:rsidR="00510607" w:rsidRPr="00510607">
        <w:rPr>
          <w:rFonts w:ascii="Times New Roman" w:hAnsi="Times New Roman" w:cs="Times New Roman"/>
        </w:rPr>
        <w:t>which provided a favorable balance between bi</w:t>
      </w:r>
      <w:r w:rsidR="00510607">
        <w:rPr>
          <w:rFonts w:ascii="Times New Roman" w:hAnsi="Times New Roman" w:cs="Times New Roman"/>
        </w:rPr>
        <w:t>ochar yield and ash content</w:t>
      </w:r>
      <w:r w:rsidRPr="00461C2B">
        <w:rPr>
          <w:rFonts w:ascii="Times New Roman" w:hAnsi="Times New Roman" w:cs="Times New Roman"/>
        </w:rPr>
        <w:t xml:space="preserve"> which provided a favorable balance between biochar yield and physicochemical stability. </w:t>
      </w:r>
      <w:r w:rsidR="00510607" w:rsidRPr="00510607">
        <w:rPr>
          <w:rStyle w:val="bzpyqfadein"/>
          <w:rFonts w:ascii="Times New Roman" w:hAnsi="Times New Roman" w:cs="Times New Roman"/>
        </w:rPr>
        <w:t>Overall, the study demonstrates that optimized drum-kiln pyrolysis can produce efficient and stable biochar, offering a cost-effective and sustainable approach for agricultural residue management and decentralized biomass valorization</w:t>
      </w:r>
      <w:r w:rsidR="00510607" w:rsidRPr="00510607">
        <w:rPr>
          <w:rStyle w:val="bzpyqfadein"/>
          <w:rFonts w:ascii="Times New Roman" w:hAnsi="Times New Roman" w:cs="Times New Roman"/>
          <w:sz w:val="24"/>
          <w:szCs w:val="24"/>
        </w:rPr>
        <w:t>.</w:t>
      </w:r>
    </w:p>
    <w:p w14:paraId="087F5508" w14:textId="6BAFF8A5" w:rsidR="00461C2B" w:rsidRPr="00461C2B" w:rsidRDefault="00461C2B" w:rsidP="00461C2B">
      <w:pPr>
        <w:jc w:val="both"/>
        <w:rPr>
          <w:rFonts w:ascii="Times New Roman" w:hAnsi="Times New Roman" w:cs="Times New Roman"/>
          <w:b/>
          <w:bCs/>
        </w:rPr>
      </w:pPr>
      <w:r w:rsidRPr="00461C2B">
        <w:rPr>
          <w:rFonts w:ascii="Times New Roman" w:hAnsi="Times New Roman" w:cs="Times New Roman"/>
          <w:b/>
          <w:bCs/>
        </w:rPr>
        <w:t>Keywords</w:t>
      </w:r>
    </w:p>
    <w:p w14:paraId="0E07AD4C" w14:textId="345105A9" w:rsidR="00461C2B" w:rsidRPr="00AD4B0F" w:rsidRDefault="00461C2B" w:rsidP="007328C4">
      <w:pPr>
        <w:jc w:val="both"/>
        <w:rPr>
          <w:rFonts w:ascii="Times New Roman" w:hAnsi="Times New Roman" w:cs="Times New Roman"/>
        </w:rPr>
      </w:pPr>
      <w:r w:rsidRPr="00461C2B">
        <w:rPr>
          <w:rFonts w:ascii="Times New Roman" w:hAnsi="Times New Roman" w:cs="Times New Roman"/>
        </w:rPr>
        <w:t>Biochar production; Slow pyrolysis; Lignocellulosic biomass; Drum-kiln pyrolysis; Agricultural residues; Pyrolysis temperature; Residence time</w:t>
      </w:r>
    </w:p>
    <w:p w14:paraId="4CE6E1B3" w14:textId="77777777" w:rsidR="00AD4B0F" w:rsidRPr="00AD4B0F" w:rsidRDefault="00AD4B0F" w:rsidP="007328C4">
      <w:pPr>
        <w:jc w:val="both"/>
        <w:rPr>
          <w:rFonts w:ascii="Times New Roman" w:hAnsi="Times New Roman" w:cs="Times New Roman"/>
          <w:b/>
          <w:bCs/>
        </w:rPr>
      </w:pPr>
      <w:r w:rsidRPr="00AD4B0F">
        <w:rPr>
          <w:rFonts w:ascii="Times New Roman" w:hAnsi="Times New Roman" w:cs="Times New Roman"/>
          <w:b/>
          <w:bCs/>
        </w:rPr>
        <w:t>1. Introduction</w:t>
      </w:r>
    </w:p>
    <w:p w14:paraId="1FE7546B" w14:textId="5709664D" w:rsidR="000D4E9D" w:rsidRPr="00EE3051" w:rsidRDefault="004F4E10" w:rsidP="007328C4">
      <w:pPr>
        <w:jc w:val="both"/>
        <w:rPr>
          <w:rFonts w:ascii="Times New Roman" w:hAnsi="Times New Roman" w:cs="Times New Roman"/>
        </w:rPr>
      </w:pPr>
      <w:r w:rsidRPr="004F4E10">
        <w:rPr>
          <w:rFonts w:ascii="Times New Roman" w:hAnsi="Times New Roman" w:cs="Times New Roman"/>
        </w:rPr>
        <w:t xml:space="preserve">Biochar is a carbon-rich material produced through the thermochemical conversion of biomass under oxygen-limited conditions. It has attracted considerable attention due to its potential to improve soil fertility, enhance soil water retention, mitigate greenhouse gas emissions, and contribute to long-term carbon sequestration in agricultural systems (Lehmann &amp; Joseph, 2015; Chen et al., 2022; </w:t>
      </w:r>
      <w:proofErr w:type="spellStart"/>
      <w:r w:rsidRPr="004F4E10">
        <w:rPr>
          <w:rFonts w:ascii="Times New Roman" w:hAnsi="Times New Roman" w:cs="Times New Roman"/>
        </w:rPr>
        <w:t>Yaashikaa</w:t>
      </w:r>
      <w:proofErr w:type="spellEnd"/>
      <w:r w:rsidRPr="004F4E10">
        <w:rPr>
          <w:rFonts w:ascii="Times New Roman" w:hAnsi="Times New Roman" w:cs="Times New Roman"/>
        </w:rPr>
        <w:t xml:space="preserve"> et al., 2020). In addition to soil improvement, biochar production represents an effective strategy for valorizing lignocellulosic biomass residues while reducing environmental impacts associated with conventional waste disposal practices (</w:t>
      </w:r>
      <w:proofErr w:type="spellStart"/>
      <w:r w:rsidRPr="004F4E10">
        <w:rPr>
          <w:rFonts w:ascii="Times New Roman" w:hAnsi="Times New Roman" w:cs="Times New Roman"/>
        </w:rPr>
        <w:t>Leng</w:t>
      </w:r>
      <w:proofErr w:type="spellEnd"/>
      <w:r w:rsidRPr="004F4E10">
        <w:rPr>
          <w:rFonts w:ascii="Times New Roman" w:hAnsi="Times New Roman" w:cs="Times New Roman"/>
        </w:rPr>
        <w:t xml:space="preserve"> et al., 2021; </w:t>
      </w:r>
      <w:proofErr w:type="spellStart"/>
      <w:r w:rsidRPr="004F4E10">
        <w:rPr>
          <w:rFonts w:ascii="Times New Roman" w:hAnsi="Times New Roman" w:cs="Times New Roman"/>
        </w:rPr>
        <w:t>Tomczyk</w:t>
      </w:r>
      <w:proofErr w:type="spellEnd"/>
      <w:r w:rsidRPr="004F4E10">
        <w:rPr>
          <w:rFonts w:ascii="Times New Roman" w:hAnsi="Times New Roman" w:cs="Times New Roman"/>
        </w:rPr>
        <w:t xml:space="preserve"> et al., 2020).</w:t>
      </w:r>
      <w:r>
        <w:rPr>
          <w:rFonts w:ascii="Times New Roman" w:hAnsi="Times New Roman" w:cs="Times New Roman"/>
        </w:rPr>
        <w:t xml:space="preserve"> </w:t>
      </w:r>
      <w:r w:rsidRPr="004F4E10">
        <w:rPr>
          <w:rFonts w:ascii="Times New Roman" w:hAnsi="Times New Roman" w:cs="Times New Roman"/>
        </w:rPr>
        <w:t>Agricultural and forestry residues constitute abundant renewable biomass resources that can be converted into biochar through pyrolysis. Globally, large quantities of crop residues are generated each year, many of which are burned in open fields, leading to significant air pollution and nutrient losses (Jain et al., 2014; Panwar et al., 20</w:t>
      </w:r>
      <w:r w:rsidR="00A67773">
        <w:rPr>
          <w:rFonts w:ascii="Times New Roman" w:hAnsi="Times New Roman" w:cs="Times New Roman"/>
        </w:rPr>
        <w:t>22</w:t>
      </w:r>
      <w:r w:rsidRPr="004F4E10">
        <w:rPr>
          <w:rFonts w:ascii="Times New Roman" w:hAnsi="Times New Roman" w:cs="Times New Roman"/>
        </w:rPr>
        <w:t xml:space="preserve">). </w:t>
      </w:r>
      <w:r w:rsidR="004C49BE" w:rsidRPr="004C49BE">
        <w:rPr>
          <w:rFonts w:ascii="Times New Roman" w:hAnsi="Times New Roman" w:cs="Times New Roman"/>
        </w:rPr>
        <w:t>In India, agricultural activities generate more than 500</w:t>
      </w:r>
      <w:r w:rsidR="004C49BE">
        <w:rPr>
          <w:rFonts w:ascii="Times New Roman" w:hAnsi="Times New Roman" w:cs="Times New Roman"/>
        </w:rPr>
        <w:t>-</w:t>
      </w:r>
      <w:r w:rsidR="004C49BE" w:rsidRPr="004C49BE">
        <w:rPr>
          <w:rFonts w:ascii="Times New Roman" w:hAnsi="Times New Roman" w:cs="Times New Roman"/>
        </w:rPr>
        <w:t>1</w:t>
      </w:r>
      <w:r w:rsidR="004C49BE">
        <w:rPr>
          <w:rFonts w:ascii="Times New Roman" w:hAnsi="Times New Roman" w:cs="Times New Roman"/>
        </w:rPr>
        <w:t>053</w:t>
      </w:r>
      <w:r w:rsidR="004C49BE" w:rsidRPr="004C49BE">
        <w:rPr>
          <w:rFonts w:ascii="Times New Roman" w:hAnsi="Times New Roman" w:cs="Times New Roman"/>
        </w:rPr>
        <w:t xml:space="preserve"> million </w:t>
      </w:r>
      <w:proofErr w:type="spellStart"/>
      <w:r w:rsidR="004C49BE" w:rsidRPr="004C49BE">
        <w:rPr>
          <w:rFonts w:ascii="Times New Roman" w:hAnsi="Times New Roman" w:cs="Times New Roman"/>
        </w:rPr>
        <w:t>tonnes</w:t>
      </w:r>
      <w:proofErr w:type="spellEnd"/>
      <w:r w:rsidR="004C49BE" w:rsidRPr="004C49BE">
        <w:rPr>
          <w:rFonts w:ascii="Times New Roman" w:hAnsi="Times New Roman" w:cs="Times New Roman"/>
        </w:rPr>
        <w:t xml:space="preserve"> of crop residues annually, and a considerable portion of these residues is disposed of through open-field burning, contributing significantly to particulate emissions and greenhouse gas release (Chauhan et al., 2022; Kumar &amp; Singh, </w:t>
      </w:r>
      <w:r w:rsidR="004C49BE" w:rsidRPr="004C49BE">
        <w:rPr>
          <w:rFonts w:ascii="Times New Roman" w:hAnsi="Times New Roman" w:cs="Times New Roman"/>
        </w:rPr>
        <w:lastRenderedPageBreak/>
        <w:t>2021).</w:t>
      </w:r>
      <w:r w:rsidR="004C49BE">
        <w:rPr>
          <w:rFonts w:ascii="Times New Roman" w:hAnsi="Times New Roman" w:cs="Times New Roman"/>
          <w:b/>
          <w:bCs/>
        </w:rPr>
        <w:t xml:space="preserve"> </w:t>
      </w:r>
      <w:r w:rsidRPr="004F4E10">
        <w:rPr>
          <w:rFonts w:ascii="Times New Roman" w:hAnsi="Times New Roman" w:cs="Times New Roman"/>
        </w:rPr>
        <w:t>Conversion of these residues into biochar provides a sustainable alternative to residue burning while simultaneously producing a stable carbon-rich material suitable for soil amendment (Lehmann &amp; Joseph, 2015; Chen et al., 2022).</w:t>
      </w:r>
      <w:r>
        <w:rPr>
          <w:rFonts w:ascii="Times New Roman" w:hAnsi="Times New Roman" w:cs="Times New Roman"/>
        </w:rPr>
        <w:t xml:space="preserve"> </w:t>
      </w:r>
      <w:r w:rsidRPr="004F4E10">
        <w:rPr>
          <w:rFonts w:ascii="Times New Roman" w:hAnsi="Times New Roman" w:cs="Times New Roman"/>
        </w:rPr>
        <w:t>The characteristics of biochar are strongly influenced by the chemical composition of the biomass feedstock. Lignocellulosic biomass primarily consists of cellulose, hemicellulose, lignin, and inorganic mineral components, and the relative abundance of these constituents determines the thermal degradation pathways during pyrolysis (</w:t>
      </w:r>
      <w:proofErr w:type="spellStart"/>
      <w:r w:rsidRPr="004F4E10">
        <w:rPr>
          <w:rFonts w:ascii="Times New Roman" w:hAnsi="Times New Roman" w:cs="Times New Roman"/>
        </w:rPr>
        <w:t>Tomczyk</w:t>
      </w:r>
      <w:proofErr w:type="spellEnd"/>
      <w:r w:rsidRPr="004F4E10">
        <w:rPr>
          <w:rFonts w:ascii="Times New Roman" w:hAnsi="Times New Roman" w:cs="Times New Roman"/>
        </w:rPr>
        <w:t xml:space="preserve"> et al., 2020). Woody biomass typically contains higher lignin content and lower ash levels compared with herbaceous residues, which often results in </w:t>
      </w:r>
      <w:proofErr w:type="spellStart"/>
      <w:r w:rsidRPr="004F4E10">
        <w:rPr>
          <w:rFonts w:ascii="Times New Roman" w:hAnsi="Times New Roman" w:cs="Times New Roman"/>
        </w:rPr>
        <w:t>biochars</w:t>
      </w:r>
      <w:proofErr w:type="spellEnd"/>
      <w:r w:rsidRPr="004F4E10">
        <w:rPr>
          <w:rFonts w:ascii="Times New Roman" w:hAnsi="Times New Roman" w:cs="Times New Roman"/>
        </w:rPr>
        <w:t xml:space="preserve"> with higher fixed carbon content and greater structural stability (</w:t>
      </w:r>
      <w:proofErr w:type="spellStart"/>
      <w:r w:rsidRPr="004F4E10">
        <w:rPr>
          <w:rFonts w:ascii="Times New Roman" w:hAnsi="Times New Roman" w:cs="Times New Roman"/>
        </w:rPr>
        <w:t>Ronsse</w:t>
      </w:r>
      <w:proofErr w:type="spellEnd"/>
      <w:r w:rsidRPr="004F4E10">
        <w:rPr>
          <w:rFonts w:ascii="Times New Roman" w:hAnsi="Times New Roman" w:cs="Times New Roman"/>
        </w:rPr>
        <w:t xml:space="preserve"> et al., 2013; </w:t>
      </w:r>
      <w:proofErr w:type="spellStart"/>
      <w:r w:rsidRPr="004F4E10">
        <w:rPr>
          <w:rFonts w:ascii="Times New Roman" w:hAnsi="Times New Roman" w:cs="Times New Roman"/>
        </w:rPr>
        <w:t>Leng</w:t>
      </w:r>
      <w:proofErr w:type="spellEnd"/>
      <w:r w:rsidRPr="004F4E10">
        <w:rPr>
          <w:rFonts w:ascii="Times New Roman" w:hAnsi="Times New Roman" w:cs="Times New Roman"/>
        </w:rPr>
        <w:t xml:space="preserve"> et al., 2021).</w:t>
      </w:r>
      <w:r>
        <w:rPr>
          <w:rFonts w:ascii="Times New Roman" w:hAnsi="Times New Roman" w:cs="Times New Roman"/>
        </w:rPr>
        <w:t xml:space="preserve"> </w:t>
      </w:r>
      <w:r w:rsidRPr="004F4E10">
        <w:rPr>
          <w:rFonts w:ascii="Times New Roman" w:hAnsi="Times New Roman" w:cs="Times New Roman"/>
        </w:rPr>
        <w:t>Among the various thermochemical conversion technologies, slow pyrolysis is widely employed for biochar production because it maximizes solid char yield. Slow pyrolysis generally occurs at temperatures between 300 and 600 °C, with relatively long solid and vapor residence times that favor carbonization reactions and the formation of stable aromatic carbon structures (</w:t>
      </w:r>
      <w:proofErr w:type="spellStart"/>
      <w:r w:rsidRPr="004F4E10">
        <w:rPr>
          <w:rFonts w:ascii="Times New Roman" w:hAnsi="Times New Roman" w:cs="Times New Roman"/>
        </w:rPr>
        <w:t>Yaashikaa</w:t>
      </w:r>
      <w:proofErr w:type="spellEnd"/>
      <w:r w:rsidRPr="004F4E10">
        <w:rPr>
          <w:rFonts w:ascii="Times New Roman" w:hAnsi="Times New Roman" w:cs="Times New Roman"/>
        </w:rPr>
        <w:t xml:space="preserve"> et al., 2020; Panwar et al., 2019). During pyrolysis, biomass undergoes complex thermal decomposition reactions including depolymerization of cellulose and hemicellulose, cleavage of functional groups, and progressive condensation of lignin-derived structures, ultimately leading to the formation of a carbon-rich solid matrix (</w:t>
      </w:r>
      <w:proofErr w:type="spellStart"/>
      <w:r w:rsidRPr="004F4E10">
        <w:rPr>
          <w:rFonts w:ascii="Times New Roman" w:hAnsi="Times New Roman" w:cs="Times New Roman"/>
        </w:rPr>
        <w:t>Leng</w:t>
      </w:r>
      <w:proofErr w:type="spellEnd"/>
      <w:r w:rsidRPr="004F4E10">
        <w:rPr>
          <w:rFonts w:ascii="Times New Roman" w:hAnsi="Times New Roman" w:cs="Times New Roman"/>
        </w:rPr>
        <w:t xml:space="preserve"> et al., 2021).</w:t>
      </w:r>
      <w:r>
        <w:rPr>
          <w:rFonts w:ascii="Times New Roman" w:hAnsi="Times New Roman" w:cs="Times New Roman"/>
        </w:rPr>
        <w:t xml:space="preserve"> </w:t>
      </w:r>
      <w:r w:rsidRPr="004F4E10">
        <w:rPr>
          <w:rFonts w:ascii="Times New Roman" w:hAnsi="Times New Roman" w:cs="Times New Roman"/>
        </w:rPr>
        <w:t>Among the operational parameters governing pyrolysis, temperature and residence time are considered the most influential factors affecting biochar yield and physicochemical properties. Increasing pyrolysis temperature generally promotes devolatilization and secondary cracking reactions, which decrease biochar yield but increase aromatic carbon formation and mineral concentration in the resulting char (Sun et al., 2017; Zhao et al., 2018). Conversely, lower temperatures typically result in higher char yields due to incomplete volatilization of organic components (</w:t>
      </w:r>
      <w:proofErr w:type="spellStart"/>
      <w:r w:rsidRPr="004F4E10">
        <w:rPr>
          <w:rFonts w:ascii="Times New Roman" w:hAnsi="Times New Roman" w:cs="Times New Roman"/>
        </w:rPr>
        <w:t>Tomczyk</w:t>
      </w:r>
      <w:proofErr w:type="spellEnd"/>
      <w:r w:rsidRPr="004F4E10">
        <w:rPr>
          <w:rFonts w:ascii="Times New Roman" w:hAnsi="Times New Roman" w:cs="Times New Roman"/>
        </w:rPr>
        <w:t xml:space="preserve"> et al., 2020). Residence time also significantly influences biochar characteristics by controlling the duration of thermal exposure and the extent of secondary reactions between vapors and the solid matrix (Solar et al., 2016; Zhao et al., 2018). Extended residence times can enhance devolatilization and structural rearrangement within the char matrix, thereby affecting ash concentration, surface area, and carbon stability (Sun et al., 2017).</w:t>
      </w:r>
      <w:r>
        <w:rPr>
          <w:rFonts w:ascii="Times New Roman" w:hAnsi="Times New Roman" w:cs="Times New Roman"/>
        </w:rPr>
        <w:t xml:space="preserve"> </w:t>
      </w:r>
      <w:r w:rsidRPr="004F4E10">
        <w:rPr>
          <w:rFonts w:ascii="Times New Roman" w:hAnsi="Times New Roman" w:cs="Times New Roman"/>
        </w:rPr>
        <w:t xml:space="preserve">Although laboratory-scale pyrolysis reactors provide precise control over process parameters, decentralized biochar production in agricultural regions often relies on low-cost kiln technologies, particularly drum kilns. </w:t>
      </w:r>
      <w:r w:rsidR="00C12E16" w:rsidRPr="00C12E16">
        <w:rPr>
          <w:rFonts w:ascii="Times New Roman" w:hAnsi="Times New Roman" w:cs="Times New Roman"/>
        </w:rPr>
        <w:t xml:space="preserve">Drum-based pyrolysis systems are simple, low-cost technologies that are widely used for decentralized and small-scale biomass conversion, particularly in rural and on-farm biochar production systems (Mitra et al., 2025; </w:t>
      </w:r>
      <w:proofErr w:type="spellStart"/>
      <w:r w:rsidR="00C12E16" w:rsidRPr="00C12E16">
        <w:rPr>
          <w:rFonts w:ascii="Times New Roman" w:hAnsi="Times New Roman" w:cs="Times New Roman"/>
        </w:rPr>
        <w:t>Samsudin</w:t>
      </w:r>
      <w:proofErr w:type="spellEnd"/>
      <w:r w:rsidR="00C12E16" w:rsidRPr="00C12E16">
        <w:rPr>
          <w:rFonts w:ascii="Times New Roman" w:hAnsi="Times New Roman" w:cs="Times New Roman"/>
        </w:rPr>
        <w:t xml:space="preserve"> et al., 2025; John et al., 2024).</w:t>
      </w:r>
      <w:r w:rsidRPr="004F4E10">
        <w:rPr>
          <w:rFonts w:ascii="Times New Roman" w:hAnsi="Times New Roman" w:cs="Times New Roman"/>
        </w:rPr>
        <w:t xml:space="preserve"> </w:t>
      </w:r>
      <w:r w:rsidR="00C12E16" w:rsidRPr="00C12E16">
        <w:rPr>
          <w:rFonts w:ascii="Times New Roman" w:hAnsi="Times New Roman" w:cs="Times New Roman"/>
        </w:rPr>
        <w:t xml:space="preserve">Previous studies have demonstrated that small-scale kiln systems, including drum and retort kilns, can efficiently convert agricultural residues and woody biomass into biochar with promising applications in soil amendment and environmental management (John et al., 2024; Pokharel et al., 2025; </w:t>
      </w:r>
      <w:proofErr w:type="spellStart"/>
      <w:r w:rsidR="00C12E16" w:rsidRPr="00C12E16">
        <w:rPr>
          <w:rFonts w:ascii="Times New Roman" w:hAnsi="Times New Roman" w:cs="Times New Roman"/>
        </w:rPr>
        <w:t>Unsomsri</w:t>
      </w:r>
      <w:proofErr w:type="spellEnd"/>
      <w:r w:rsidR="00C12E16" w:rsidRPr="00C12E16">
        <w:rPr>
          <w:rFonts w:ascii="Times New Roman" w:hAnsi="Times New Roman" w:cs="Times New Roman"/>
        </w:rPr>
        <w:t xml:space="preserve"> et al., 2025). However, the efficiency and physicochemical characteristics of biochar produced in kiln-based systems are strongly influenced by operational parameters, particularly pyrolysis temperature and residence time, which regulate biomass decomposition, carbonization processes, and mineral concentration in the resulting biochar (</w:t>
      </w:r>
      <w:proofErr w:type="spellStart"/>
      <w:r w:rsidR="00C12E16" w:rsidRPr="00C12E16">
        <w:rPr>
          <w:rFonts w:ascii="Times New Roman" w:hAnsi="Times New Roman" w:cs="Times New Roman"/>
        </w:rPr>
        <w:t>Ungureanu</w:t>
      </w:r>
      <w:proofErr w:type="spellEnd"/>
      <w:r w:rsidR="00C12E16" w:rsidRPr="00C12E16">
        <w:rPr>
          <w:rFonts w:ascii="Times New Roman" w:hAnsi="Times New Roman" w:cs="Times New Roman"/>
        </w:rPr>
        <w:t xml:space="preserve"> et al., 2025; </w:t>
      </w:r>
      <w:proofErr w:type="spellStart"/>
      <w:r w:rsidR="00C12E16" w:rsidRPr="00C12E16">
        <w:rPr>
          <w:rFonts w:ascii="Times New Roman" w:hAnsi="Times New Roman" w:cs="Times New Roman"/>
        </w:rPr>
        <w:t>Parvari</w:t>
      </w:r>
      <w:proofErr w:type="spellEnd"/>
      <w:r w:rsidR="00C12E16" w:rsidRPr="00C12E16">
        <w:rPr>
          <w:rFonts w:ascii="Times New Roman" w:hAnsi="Times New Roman" w:cs="Times New Roman"/>
        </w:rPr>
        <w:t xml:space="preserve"> et al., 2025; </w:t>
      </w:r>
      <w:proofErr w:type="spellStart"/>
      <w:r w:rsidR="00C12E16" w:rsidRPr="00C12E16">
        <w:rPr>
          <w:rFonts w:ascii="Times New Roman" w:hAnsi="Times New Roman" w:cs="Times New Roman"/>
        </w:rPr>
        <w:t>Atinafu</w:t>
      </w:r>
      <w:proofErr w:type="spellEnd"/>
      <w:r w:rsidR="00C12E16" w:rsidRPr="00C12E16">
        <w:rPr>
          <w:rFonts w:ascii="Times New Roman" w:hAnsi="Times New Roman" w:cs="Times New Roman"/>
        </w:rPr>
        <w:t xml:space="preserve"> et al., 2025).</w:t>
      </w:r>
      <w:r w:rsidR="00C12E16">
        <w:rPr>
          <w:rFonts w:ascii="Times New Roman" w:hAnsi="Times New Roman" w:cs="Times New Roman"/>
        </w:rPr>
        <w:t xml:space="preserve"> </w:t>
      </w:r>
      <w:r w:rsidR="004E31F7" w:rsidRPr="004E31F7">
        <w:rPr>
          <w:rFonts w:ascii="Times New Roman" w:hAnsi="Times New Roman" w:cs="Times New Roman"/>
        </w:rPr>
        <w:t xml:space="preserve">Recent studies have highlighted the importance of optimizing pyrolysis parameters such as temperature and residence time to improve biochar yield and physicochemical properties (Ahmed et al., 2024; Marin et al., 2025; </w:t>
      </w:r>
      <w:proofErr w:type="spellStart"/>
      <w:r w:rsidR="004E31F7" w:rsidRPr="004E31F7">
        <w:rPr>
          <w:rFonts w:ascii="Times New Roman" w:hAnsi="Times New Roman" w:cs="Times New Roman"/>
        </w:rPr>
        <w:t>Ungureanu</w:t>
      </w:r>
      <w:proofErr w:type="spellEnd"/>
      <w:r w:rsidR="004E31F7" w:rsidRPr="004E31F7">
        <w:rPr>
          <w:rFonts w:ascii="Times New Roman" w:hAnsi="Times New Roman" w:cs="Times New Roman"/>
        </w:rPr>
        <w:t xml:space="preserve"> et al., 2025).</w:t>
      </w:r>
      <w:r w:rsidR="004E31F7">
        <w:rPr>
          <w:rFonts w:ascii="Times New Roman" w:hAnsi="Times New Roman" w:cs="Times New Roman"/>
        </w:rPr>
        <w:t xml:space="preserve"> </w:t>
      </w:r>
      <w:r w:rsidRPr="004F4E10">
        <w:rPr>
          <w:rFonts w:ascii="Times New Roman" w:hAnsi="Times New Roman" w:cs="Times New Roman"/>
        </w:rPr>
        <w:t>Despite the increasing use of drum kilns for decentralized biochar production, systematic studies evaluating the combined effects of pyrolysis temperature and residence time on biochar yield and ash content remain limited. A clearer understanding of these parameters is essential for optimizing drum-kiln operation and improving the efficiency of biochar production from agricultural residues.</w:t>
      </w:r>
      <w:r w:rsidR="004E31F7" w:rsidRPr="004E31F7">
        <w:t xml:space="preserve"> </w:t>
      </w:r>
    </w:p>
    <w:p w14:paraId="3459AA41" w14:textId="21C1B91D" w:rsidR="00AD4B0F" w:rsidRPr="00AD4B0F" w:rsidRDefault="00AD4B0F" w:rsidP="007328C4">
      <w:pPr>
        <w:jc w:val="both"/>
        <w:rPr>
          <w:rFonts w:ascii="Times New Roman" w:hAnsi="Times New Roman" w:cs="Times New Roman"/>
          <w:b/>
          <w:bCs/>
        </w:rPr>
      </w:pPr>
      <w:r w:rsidRPr="00AD4B0F">
        <w:rPr>
          <w:rFonts w:ascii="Times New Roman" w:hAnsi="Times New Roman" w:cs="Times New Roman"/>
          <w:b/>
          <w:bCs/>
        </w:rPr>
        <w:lastRenderedPageBreak/>
        <w:t>2. Materials and Methods</w:t>
      </w:r>
    </w:p>
    <w:p w14:paraId="6EE560B8" w14:textId="77777777" w:rsidR="00AD4B0F" w:rsidRPr="00AD4B0F" w:rsidRDefault="00AD4B0F" w:rsidP="007328C4">
      <w:pPr>
        <w:jc w:val="both"/>
        <w:rPr>
          <w:rFonts w:ascii="Times New Roman" w:hAnsi="Times New Roman" w:cs="Times New Roman"/>
          <w:b/>
          <w:bCs/>
        </w:rPr>
      </w:pPr>
      <w:r w:rsidRPr="00AD4B0F">
        <w:rPr>
          <w:rFonts w:ascii="Times New Roman" w:hAnsi="Times New Roman" w:cs="Times New Roman"/>
          <w:b/>
          <w:bCs/>
        </w:rPr>
        <w:t>2.1 Biomass feedstocks</w:t>
      </w:r>
    </w:p>
    <w:p w14:paraId="29C0D8BB" w14:textId="35825689" w:rsidR="00CF4B28" w:rsidRPr="00CF4B28" w:rsidRDefault="00011563" w:rsidP="00CF4B28">
      <w:pPr>
        <w:jc w:val="both"/>
        <w:rPr>
          <w:rFonts w:ascii="Times New Roman" w:hAnsi="Times New Roman" w:cs="Times New Roman"/>
        </w:rPr>
      </w:pPr>
      <w:r w:rsidRPr="00011563">
        <w:rPr>
          <w:rFonts w:ascii="Times New Roman" w:hAnsi="Times New Roman" w:cs="Times New Roman"/>
        </w:rPr>
        <w:t xml:space="preserve">Various biomass feedstocks representing both woody and agricultural residues were selected for characterization and pyrolysis experiments. Woody biomass included </w:t>
      </w:r>
      <w:proofErr w:type="spellStart"/>
      <w:r w:rsidRPr="00011563">
        <w:rPr>
          <w:rFonts w:ascii="Times New Roman" w:hAnsi="Times New Roman" w:cs="Times New Roman"/>
          <w:i/>
          <w:iCs/>
        </w:rPr>
        <w:t>Conocarpus</w:t>
      </w:r>
      <w:proofErr w:type="spellEnd"/>
      <w:r w:rsidRPr="00011563">
        <w:rPr>
          <w:rFonts w:ascii="Times New Roman" w:hAnsi="Times New Roman" w:cs="Times New Roman"/>
          <w:i/>
          <w:iCs/>
        </w:rPr>
        <w:t xml:space="preserve"> erectus</w:t>
      </w:r>
      <w:r w:rsidRPr="00011563">
        <w:rPr>
          <w:rFonts w:ascii="Times New Roman" w:hAnsi="Times New Roman" w:cs="Times New Roman"/>
        </w:rPr>
        <w:t>, eucalyptus branches, and acacia pruning residues, whereas agricultural residues consisted of rice straw, wheat straw, and pigeon-pea stalks. These feedstocks were selected because lignocellulosic residues are widely available in agricultural production systems and represent significant sources of underutilized biomass suitable for thermochemical conversion processes such as pyrolysis and biochar production (El-</w:t>
      </w:r>
      <w:proofErr w:type="spellStart"/>
      <w:r w:rsidRPr="00011563">
        <w:rPr>
          <w:rFonts w:ascii="Times New Roman" w:hAnsi="Times New Roman" w:cs="Times New Roman"/>
        </w:rPr>
        <w:t>Fawal</w:t>
      </w:r>
      <w:proofErr w:type="spellEnd"/>
      <w:r w:rsidRPr="00011563">
        <w:rPr>
          <w:rFonts w:ascii="Times New Roman" w:hAnsi="Times New Roman" w:cs="Times New Roman"/>
        </w:rPr>
        <w:t xml:space="preserve"> et al., 2025; Saldarriaga &amp; L</w:t>
      </w:r>
      <w:r>
        <w:rPr>
          <w:rFonts w:ascii="Times New Roman" w:hAnsi="Times New Roman" w:cs="Times New Roman"/>
        </w:rPr>
        <w:t>o</w:t>
      </w:r>
      <w:r w:rsidRPr="00011563">
        <w:rPr>
          <w:rFonts w:ascii="Times New Roman" w:hAnsi="Times New Roman" w:cs="Times New Roman"/>
        </w:rPr>
        <w:t>pez, 2025; Fang et al., 2025).</w:t>
      </w:r>
      <w:r>
        <w:rPr>
          <w:rFonts w:ascii="Times New Roman" w:hAnsi="Times New Roman" w:cs="Times New Roman"/>
        </w:rPr>
        <w:t xml:space="preserve"> </w:t>
      </w:r>
      <w:r w:rsidR="00CF4B28" w:rsidRPr="00CF4B28">
        <w:rPr>
          <w:rFonts w:ascii="Times New Roman" w:hAnsi="Times New Roman" w:cs="Times New Roman"/>
        </w:rPr>
        <w:t xml:space="preserve">Woody biomass residues were collected from pruning operations within the Forest College and Research Institute (FCRI), </w:t>
      </w:r>
      <w:proofErr w:type="spellStart"/>
      <w:r w:rsidR="00CF4B28" w:rsidRPr="00CF4B28">
        <w:rPr>
          <w:rFonts w:ascii="Times New Roman" w:hAnsi="Times New Roman" w:cs="Times New Roman"/>
        </w:rPr>
        <w:t>Mulugu</w:t>
      </w:r>
      <w:proofErr w:type="spellEnd"/>
      <w:r w:rsidR="00CF4B28" w:rsidRPr="00CF4B28">
        <w:rPr>
          <w:rFonts w:ascii="Times New Roman" w:hAnsi="Times New Roman" w:cs="Times New Roman"/>
        </w:rPr>
        <w:t xml:space="preserve">, while agricultural residues were obtained from farmers’ fields in </w:t>
      </w:r>
      <w:proofErr w:type="spellStart"/>
      <w:r w:rsidR="00CF4B28" w:rsidRPr="00CF4B28">
        <w:rPr>
          <w:rFonts w:ascii="Times New Roman" w:hAnsi="Times New Roman" w:cs="Times New Roman"/>
        </w:rPr>
        <w:t>Mulugu</w:t>
      </w:r>
      <w:proofErr w:type="spellEnd"/>
      <w:r w:rsidR="00CF4B28" w:rsidRPr="00CF4B28">
        <w:rPr>
          <w:rFonts w:ascii="Times New Roman" w:hAnsi="Times New Roman" w:cs="Times New Roman"/>
        </w:rPr>
        <w:t xml:space="preserve"> village, Telangana, India. These materials represent commonly available biomass resources in the region and are typically generated as by-products of forestry management and agricultural activities.</w:t>
      </w:r>
      <w:r w:rsidR="00CF4B28">
        <w:rPr>
          <w:rFonts w:ascii="Times New Roman" w:hAnsi="Times New Roman" w:cs="Times New Roman"/>
        </w:rPr>
        <w:t xml:space="preserve"> </w:t>
      </w:r>
      <w:r w:rsidR="00CF4B28" w:rsidRPr="00CF4B28">
        <w:rPr>
          <w:rFonts w:ascii="Times New Roman" w:hAnsi="Times New Roman" w:cs="Times New Roman"/>
        </w:rPr>
        <w:t>All collected biomass materials were air-dried under ambient conditions to reduce initial moisture content and subsequently chopped into smaller pieces to facilitate handling and ensure uniform pyrolysis. Prior to the experiments, the feedstocks were further dried to achieve a moisture content of approximately 8–10%, which helps ensure stable thermal conversion and reproducible pyrolysis performance.</w:t>
      </w:r>
      <w:r w:rsidR="00CF4B28">
        <w:rPr>
          <w:rFonts w:ascii="Times New Roman" w:hAnsi="Times New Roman" w:cs="Times New Roman"/>
        </w:rPr>
        <w:t xml:space="preserve"> </w:t>
      </w:r>
      <w:r w:rsidRPr="00011563">
        <w:rPr>
          <w:rFonts w:ascii="Times New Roman" w:hAnsi="Times New Roman" w:cs="Times New Roman"/>
        </w:rPr>
        <w:t xml:space="preserve">Representative samples of each feedstock were analyzed to determine proximate properties, including moisture content, volatile matter, fixed carbon, and ash content, using standard biomass characterization procedures. These parameters are widely used to evaluate the thermochemical behavior and suitability of biomass feedstocks for biochar production (Borges et al., 2025; Wang et al., 2025; </w:t>
      </w:r>
      <w:proofErr w:type="spellStart"/>
      <w:r w:rsidRPr="00011563">
        <w:rPr>
          <w:rFonts w:ascii="Times New Roman" w:hAnsi="Times New Roman" w:cs="Times New Roman"/>
        </w:rPr>
        <w:t>Oyebamiji</w:t>
      </w:r>
      <w:proofErr w:type="spellEnd"/>
      <w:r w:rsidRPr="00011563">
        <w:rPr>
          <w:rFonts w:ascii="Times New Roman" w:hAnsi="Times New Roman" w:cs="Times New Roman"/>
        </w:rPr>
        <w:t xml:space="preserve"> et al., 2025). The proximate characteristics of the selected feedstocks are presented in Table 1.</w:t>
      </w:r>
      <w:r>
        <w:rPr>
          <w:rFonts w:ascii="Times New Roman" w:hAnsi="Times New Roman" w:cs="Times New Roman"/>
        </w:rPr>
        <w:t xml:space="preserve"> </w:t>
      </w:r>
    </w:p>
    <w:p w14:paraId="50121901" w14:textId="77777777" w:rsidR="00AD4B0F" w:rsidRDefault="00AD4B0F" w:rsidP="007328C4">
      <w:pPr>
        <w:jc w:val="both"/>
        <w:rPr>
          <w:rFonts w:ascii="Times New Roman" w:hAnsi="Times New Roman" w:cs="Times New Roman"/>
          <w:b/>
          <w:bCs/>
        </w:rPr>
      </w:pPr>
      <w:r w:rsidRPr="00AD4B0F">
        <w:rPr>
          <w:rFonts w:ascii="Times New Roman" w:hAnsi="Times New Roman" w:cs="Times New Roman"/>
          <w:b/>
          <w:bCs/>
        </w:rPr>
        <w:t>2.2 Drum kiln pyrolysis system</w:t>
      </w:r>
    </w:p>
    <w:p w14:paraId="16522A3B" w14:textId="362CCDC6" w:rsidR="00CF4B28" w:rsidRPr="00CF4B28" w:rsidRDefault="00CF4B28" w:rsidP="00CF4B28">
      <w:pPr>
        <w:jc w:val="both"/>
        <w:rPr>
          <w:rFonts w:ascii="Times New Roman" w:hAnsi="Times New Roman" w:cs="Times New Roman"/>
        </w:rPr>
      </w:pPr>
      <w:r w:rsidRPr="00CF4B28">
        <w:rPr>
          <w:rFonts w:ascii="Times New Roman" w:hAnsi="Times New Roman" w:cs="Times New Roman"/>
        </w:rPr>
        <w:t>Pyrolysis experiments were conducted using a 200-L cylindrical steel drum kiln fabricated at the Forest College and Research Institute (FCRI)</w:t>
      </w:r>
      <w:r>
        <w:rPr>
          <w:rFonts w:ascii="Times New Roman" w:hAnsi="Times New Roman" w:cs="Times New Roman"/>
        </w:rPr>
        <w:t xml:space="preserve">, </w:t>
      </w:r>
      <w:proofErr w:type="spellStart"/>
      <w:r>
        <w:rPr>
          <w:rFonts w:ascii="Times New Roman" w:hAnsi="Times New Roman" w:cs="Times New Roman"/>
        </w:rPr>
        <w:t>Mulugu</w:t>
      </w:r>
      <w:proofErr w:type="spellEnd"/>
      <w:r>
        <w:rPr>
          <w:rFonts w:ascii="Times New Roman" w:hAnsi="Times New Roman" w:cs="Times New Roman"/>
        </w:rPr>
        <w:t xml:space="preserve">, </w:t>
      </w:r>
      <w:proofErr w:type="spellStart"/>
      <w:r>
        <w:rPr>
          <w:rFonts w:ascii="Times New Roman" w:hAnsi="Times New Roman" w:cs="Times New Roman"/>
        </w:rPr>
        <w:t>Siddipet</w:t>
      </w:r>
      <w:proofErr w:type="spellEnd"/>
      <w:r w:rsidR="005142CF">
        <w:rPr>
          <w:rFonts w:ascii="Times New Roman" w:hAnsi="Times New Roman" w:cs="Times New Roman"/>
        </w:rPr>
        <w:t xml:space="preserve">, </w:t>
      </w:r>
      <w:r w:rsidRPr="00CF4B28">
        <w:rPr>
          <w:rFonts w:ascii="Times New Roman" w:hAnsi="Times New Roman" w:cs="Times New Roman"/>
        </w:rPr>
        <w:t>based on the low-cost drum kiln design developed by the Central Research Institute for Dryland Agriculture (CRIDA), India</w:t>
      </w:r>
      <w:r w:rsidR="005142CF" w:rsidRPr="005142CF">
        <w:rPr>
          <w:rFonts w:ascii="Times New Roman" w:hAnsi="Times New Roman" w:cs="Times New Roman"/>
        </w:rPr>
        <w:t xml:space="preserve"> </w:t>
      </w:r>
      <w:r w:rsidR="005142CF">
        <w:rPr>
          <w:rFonts w:ascii="Times New Roman" w:hAnsi="Times New Roman" w:cs="Times New Roman"/>
        </w:rPr>
        <w:t>(Fig 1</w:t>
      </w:r>
      <w:r w:rsidR="007A08BC">
        <w:rPr>
          <w:rFonts w:ascii="Times New Roman" w:hAnsi="Times New Roman" w:cs="Times New Roman"/>
        </w:rPr>
        <w:t>a &amp; 1b</w:t>
      </w:r>
      <w:r w:rsidR="005142CF">
        <w:rPr>
          <w:rFonts w:ascii="Times New Roman" w:hAnsi="Times New Roman" w:cs="Times New Roman"/>
        </w:rPr>
        <w:t>).</w:t>
      </w:r>
      <w:r w:rsidR="005142CF" w:rsidRPr="00CF4B28">
        <w:rPr>
          <w:rFonts w:ascii="Times New Roman" w:hAnsi="Times New Roman" w:cs="Times New Roman"/>
        </w:rPr>
        <w:t xml:space="preserve"> </w:t>
      </w:r>
      <w:r w:rsidRPr="00CF4B28">
        <w:rPr>
          <w:rFonts w:ascii="Times New Roman" w:hAnsi="Times New Roman" w:cs="Times New Roman"/>
        </w:rPr>
        <w:t xml:space="preserve"> The kiln was designed to enable decentralized biochar production from lignocellulosic biomass under field conditions.</w:t>
      </w:r>
      <w:r>
        <w:rPr>
          <w:rFonts w:ascii="Times New Roman" w:hAnsi="Times New Roman" w:cs="Times New Roman"/>
        </w:rPr>
        <w:t xml:space="preserve"> </w:t>
      </w:r>
      <w:r w:rsidRPr="00CF4B28">
        <w:rPr>
          <w:rFonts w:ascii="Times New Roman" w:hAnsi="Times New Roman" w:cs="Times New Roman"/>
        </w:rPr>
        <w:t>The drum was equipped with several perforations at the base to facilitate controlled primary air entry during the ignition and initial combustion stages. A square opening (approximately 16 × 16 cm) was provided at the top of the drum to allow biomass loading and ignition. During operation, the drum was elevated above the ground using three supporting bricks, creating a gap beneath the base to promote airflow and improve combustion efficiency during the start-up phase.</w:t>
      </w:r>
      <w:r>
        <w:rPr>
          <w:rFonts w:ascii="Times New Roman" w:hAnsi="Times New Roman" w:cs="Times New Roman"/>
        </w:rPr>
        <w:t xml:space="preserve"> </w:t>
      </w:r>
      <w:r w:rsidRPr="00CF4B28">
        <w:rPr>
          <w:rFonts w:ascii="Times New Roman" w:hAnsi="Times New Roman" w:cs="Times New Roman"/>
        </w:rPr>
        <w:t>The top opening was fitted with a removable metal lid, which could be sealed using a clay–soil mixture to restrict oxygen supply during the pyrolysis stage. Limiting oxygen availability allowed the biomass to undergo oxygen-limited thermochemical conversion, thereby promoting carbonization rather than complete combustion. This configuration facilitated gradual thermal decomposition of biomass and the formation of stable biochar.</w:t>
      </w:r>
      <w:r>
        <w:rPr>
          <w:rFonts w:ascii="Times New Roman" w:hAnsi="Times New Roman" w:cs="Times New Roman"/>
        </w:rPr>
        <w:t xml:space="preserve"> </w:t>
      </w:r>
      <w:r w:rsidRPr="00CF4B28">
        <w:rPr>
          <w:rFonts w:ascii="Times New Roman" w:hAnsi="Times New Roman" w:cs="Times New Roman"/>
        </w:rPr>
        <w:t>The kiln components were fabricated using locally available materials, enabling a simple and low-cost system suitable for small-scale and on-farm biochar production.</w:t>
      </w:r>
    </w:p>
    <w:p w14:paraId="09EBF208" w14:textId="77777777" w:rsidR="00E91C55" w:rsidRPr="00E91C55" w:rsidRDefault="00E91C55" w:rsidP="007328C4">
      <w:pPr>
        <w:jc w:val="both"/>
        <w:rPr>
          <w:rFonts w:ascii="Times New Roman" w:hAnsi="Times New Roman" w:cs="Times New Roman"/>
          <w:b/>
          <w:bCs/>
        </w:rPr>
      </w:pPr>
      <w:r w:rsidRPr="00E91C55">
        <w:rPr>
          <w:rFonts w:ascii="Times New Roman" w:hAnsi="Times New Roman" w:cs="Times New Roman"/>
          <w:b/>
          <w:bCs/>
        </w:rPr>
        <w:t>2.4 Feedstock loading and ignition</w:t>
      </w:r>
    </w:p>
    <w:p w14:paraId="3DD8F925" w14:textId="0A75F57B" w:rsidR="003B34D0" w:rsidRPr="003B34D0" w:rsidRDefault="003B34D0" w:rsidP="007328C4">
      <w:pPr>
        <w:jc w:val="both"/>
        <w:rPr>
          <w:rFonts w:ascii="Times New Roman" w:hAnsi="Times New Roman" w:cs="Times New Roman"/>
        </w:rPr>
      </w:pPr>
      <w:r w:rsidRPr="003B34D0">
        <w:rPr>
          <w:rFonts w:ascii="Times New Roman" w:hAnsi="Times New Roman" w:cs="Times New Roman"/>
        </w:rPr>
        <w:lastRenderedPageBreak/>
        <w:t>The prepared biomass feedstocks were loosely loaded into the reactor drum to maintain sufficient inter-particle porosity and ensure effective internal gas circulation during thermal conversion. Avoidance of excessive compaction facilitated the movement of evolving pyrolysis vapors and minimized the development of localized oxygen-deficient zones within the biomass matrix.</w:t>
      </w:r>
      <w:r>
        <w:rPr>
          <w:rFonts w:ascii="Times New Roman" w:hAnsi="Times New Roman" w:cs="Times New Roman"/>
        </w:rPr>
        <w:t xml:space="preserve"> </w:t>
      </w:r>
      <w:r w:rsidRPr="003B34D0">
        <w:rPr>
          <w:rFonts w:ascii="Times New Roman" w:hAnsi="Times New Roman" w:cs="Times New Roman"/>
        </w:rPr>
        <w:t>Ignition was initiated by placing a small quantity of dry combustible material at the upper loading port and applying an external flame source. This procedure generated an initial combustion zone at the surface layer of the biomass bed, which subsequently propagated downward through the feedstock column as a counter-current combustion front. The progressive migration of this thermal front induced sequential heating and devolatilization of the underlying biomass layers.</w:t>
      </w:r>
      <w:r>
        <w:rPr>
          <w:rFonts w:ascii="Times New Roman" w:hAnsi="Times New Roman" w:cs="Times New Roman"/>
        </w:rPr>
        <w:t xml:space="preserve"> </w:t>
      </w:r>
      <w:r w:rsidRPr="003B34D0">
        <w:rPr>
          <w:rFonts w:ascii="Times New Roman" w:hAnsi="Times New Roman" w:cs="Times New Roman"/>
        </w:rPr>
        <w:t>During the initial stage of operation, dense white smoke was observed due to moisture evaporation and the release of primary volatile compounds. As thermal decomposition progressed, the smoke gradually transitioned to a thin bluish vapor, indicating enhanced volatilization of organic compounds and the establishment of active pyrolytic reactions. At this stage, the reactor lid was partially closed to restrict oxygen ingress, thereby suppressing complete oxidation and promoting oxygen-limited thermochemical conversion of the biomass into biochar.</w:t>
      </w:r>
      <w:r>
        <w:rPr>
          <w:rFonts w:ascii="Times New Roman" w:hAnsi="Times New Roman" w:cs="Times New Roman"/>
        </w:rPr>
        <w:t xml:space="preserve"> </w:t>
      </w:r>
      <w:r w:rsidRPr="003B34D0">
        <w:rPr>
          <w:rFonts w:ascii="Times New Roman" w:hAnsi="Times New Roman" w:cs="Times New Roman"/>
        </w:rPr>
        <w:t>This operational configuration enabled the development of a controlled pyrolysis environment within the drum kiln, allowing gradual carbonization of diverse lignocellulosic feedstocks while minimizing combustion losses and ensuring stable biochar formation.</w:t>
      </w:r>
    </w:p>
    <w:p w14:paraId="2ADBA6C8" w14:textId="77777777" w:rsidR="00E91C55" w:rsidRPr="00E91C55" w:rsidRDefault="00E91C55" w:rsidP="007328C4">
      <w:pPr>
        <w:jc w:val="both"/>
        <w:rPr>
          <w:rFonts w:ascii="Times New Roman" w:hAnsi="Times New Roman" w:cs="Times New Roman"/>
          <w:b/>
          <w:bCs/>
        </w:rPr>
      </w:pPr>
      <w:r w:rsidRPr="00E91C55">
        <w:rPr>
          <w:rFonts w:ascii="Times New Roman" w:hAnsi="Times New Roman" w:cs="Times New Roman"/>
          <w:b/>
          <w:bCs/>
        </w:rPr>
        <w:t>2.5 Pyrolysis operation and cooling</w:t>
      </w:r>
    </w:p>
    <w:p w14:paraId="7CD53137" w14:textId="1DD8F79A" w:rsidR="00E91C55" w:rsidRPr="00E91C55" w:rsidRDefault="002172EE" w:rsidP="007328C4">
      <w:pPr>
        <w:jc w:val="both"/>
        <w:rPr>
          <w:rFonts w:ascii="Times New Roman" w:hAnsi="Times New Roman" w:cs="Times New Roman"/>
        </w:rPr>
      </w:pPr>
      <w:r w:rsidRPr="002172EE">
        <w:rPr>
          <w:rFonts w:ascii="Times New Roman" w:hAnsi="Times New Roman" w:cs="Times New Roman"/>
        </w:rPr>
        <w:t>Pyrolysis experiments were conducted at five target temperatures (350, 400, 450, 500, and 550 °C) combined with four residence times (30, 60, 90, and 120 min) to evaluate the influence of thermal conditions on biochar yield and ash formation. For each experimental run, the biomass feedstock was subjected to slow pyrolysis in the drum kiln under oxygen-limited conditions.</w:t>
      </w:r>
      <w:r>
        <w:rPr>
          <w:rFonts w:ascii="Times New Roman" w:hAnsi="Times New Roman" w:cs="Times New Roman"/>
        </w:rPr>
        <w:t xml:space="preserve"> </w:t>
      </w:r>
      <w:r w:rsidRPr="002172EE">
        <w:rPr>
          <w:rFonts w:ascii="Times New Roman" w:hAnsi="Times New Roman" w:cs="Times New Roman"/>
        </w:rPr>
        <w:t>The reactor temperature was monitored using thermocouples inserted through side ports when available. In the absence of instrumentation, the progression of thermal conversion was assessed from combustion characteristics, including the intensity and color of emitted smoke, which are commonly used indicators of devolatilization stages in kiln-based pyrolysis systems.</w:t>
      </w:r>
      <w:r>
        <w:rPr>
          <w:rFonts w:ascii="Times New Roman" w:hAnsi="Times New Roman" w:cs="Times New Roman"/>
        </w:rPr>
        <w:t xml:space="preserve"> </w:t>
      </w:r>
      <w:r w:rsidRPr="002172EE">
        <w:rPr>
          <w:rFonts w:ascii="Times New Roman" w:hAnsi="Times New Roman" w:cs="Times New Roman"/>
        </w:rPr>
        <w:t>As pyrolysis progressed, smoke emissions gradually decreased, indicating a reduction in volatile release and the completion of the primary devolatilization phase. Upon reaching the desired temperature–residence time combination, the top opening and any auxiliary vents were sealed using a clay–soil mixture to terminate oxygen ingress and prevent further oxidation of the char.</w:t>
      </w:r>
      <w:r>
        <w:rPr>
          <w:rFonts w:ascii="Times New Roman" w:hAnsi="Times New Roman" w:cs="Times New Roman"/>
        </w:rPr>
        <w:t xml:space="preserve"> </w:t>
      </w:r>
      <w:r w:rsidRPr="002172EE">
        <w:rPr>
          <w:rFonts w:ascii="Times New Roman" w:hAnsi="Times New Roman" w:cs="Times New Roman"/>
        </w:rPr>
        <w:t>Following sealing, the kiln was allowed to cool passively to ambient temperature under oxygen-limited conditions. weighed to determine yield, and stored in airtight containers to minimize moisture uptake prior to physicochemical characterization.</w:t>
      </w:r>
    </w:p>
    <w:p w14:paraId="2758751E" w14:textId="305D9840" w:rsidR="00E87372" w:rsidRPr="00E91C55" w:rsidRDefault="00E87372" w:rsidP="007328C4">
      <w:pPr>
        <w:jc w:val="both"/>
        <w:rPr>
          <w:rFonts w:ascii="Times New Roman" w:hAnsi="Times New Roman" w:cs="Times New Roman"/>
          <w:b/>
          <w:bCs/>
        </w:rPr>
      </w:pPr>
      <w:r w:rsidRPr="00E91C55">
        <w:rPr>
          <w:rFonts w:ascii="Times New Roman" w:hAnsi="Times New Roman" w:cs="Times New Roman"/>
          <w:b/>
          <w:bCs/>
        </w:rPr>
        <w:t>2.</w:t>
      </w:r>
      <w:r w:rsidR="00E81C45">
        <w:rPr>
          <w:rFonts w:ascii="Times New Roman" w:hAnsi="Times New Roman" w:cs="Times New Roman"/>
          <w:b/>
          <w:bCs/>
        </w:rPr>
        <w:t>6</w:t>
      </w:r>
      <w:r w:rsidRPr="00E91C55">
        <w:rPr>
          <w:rFonts w:ascii="Times New Roman" w:hAnsi="Times New Roman" w:cs="Times New Roman"/>
          <w:b/>
          <w:bCs/>
        </w:rPr>
        <w:t xml:space="preserve"> Biochar yield</w:t>
      </w:r>
    </w:p>
    <w:p w14:paraId="0791D7DE" w14:textId="77777777" w:rsidR="00E87372" w:rsidRPr="00E91C55" w:rsidRDefault="00E87372" w:rsidP="007328C4">
      <w:pPr>
        <w:jc w:val="both"/>
        <w:rPr>
          <w:rFonts w:ascii="Times New Roman" w:hAnsi="Times New Roman" w:cs="Times New Roman"/>
        </w:rPr>
      </w:pPr>
      <w:r w:rsidRPr="00E91C55">
        <w:rPr>
          <w:rFonts w:ascii="Times New Roman" w:hAnsi="Times New Roman" w:cs="Times New Roman"/>
        </w:rPr>
        <w:t>Biochar yield was calculated on a dry mass basis using:</w:t>
      </w:r>
    </w:p>
    <w:p w14:paraId="01131C92" w14:textId="77777777" w:rsidR="00E87372" w:rsidRPr="00E87372" w:rsidRDefault="00E87372" w:rsidP="007328C4">
      <w:pPr>
        <w:jc w:val="both"/>
        <w:rPr>
          <w:rFonts w:ascii="Tikmes" w:hAnsi="Tikmes" w:cs="Times New Roman"/>
        </w:rPr>
      </w:pPr>
      <m:oMathPara>
        <m:oMath>
          <m:r>
            <w:rPr>
              <w:rFonts w:ascii="Cambria Math" w:hAnsi="Cambria Math" w:cs="Times New Roman"/>
            </w:rPr>
            <m:t>Yield(</m:t>
          </m:r>
          <m:r>
            <m:rPr>
              <m:sty m:val="p"/>
            </m:rPr>
            <w:rPr>
              <w:rFonts w:ascii="Cambria Math" w:hAnsi="Cambria Math" w:cs="Times New Roman"/>
            </w:rPr>
            <m:t>%</m:t>
          </m:r>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biochar</m:t>
                  </m:r>
                </m:sub>
              </m:sSub>
            </m:num>
            <m:den>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dry</m:t>
                  </m:r>
                  <m:r>
                    <m:rPr>
                      <m:nor/>
                    </m:rPr>
                    <w:rPr>
                      <w:rFonts w:ascii="Tikmes" w:hAnsi="Tikmes" w:cs="Times New Roman"/>
                    </w:rPr>
                    <m:t> </m:t>
                  </m:r>
                  <m:r>
                    <w:rPr>
                      <w:rFonts w:ascii="Cambria Math" w:hAnsi="Cambria Math" w:cs="Times New Roman"/>
                    </w:rPr>
                    <m:t>biomass</m:t>
                  </m:r>
                </m:sub>
              </m:sSub>
            </m:den>
          </m:f>
          <m:r>
            <w:rPr>
              <w:rFonts w:ascii="Cambria Math" w:hAnsi="Cambria Math" w:cs="Times New Roman"/>
            </w:rPr>
            <m:t>×100</m:t>
          </m:r>
          <m:r>
            <m:rPr>
              <m:sty m:val="p"/>
            </m:rPr>
            <w:rPr>
              <w:rFonts w:ascii="Cambria Math" w:hAnsi="Cambria Math" w:cs="Times New Roman"/>
            </w:rPr>
            <w:br/>
          </m:r>
        </m:oMath>
      </m:oMathPara>
    </w:p>
    <w:p w14:paraId="553BB400" w14:textId="2EAC6F29" w:rsidR="00E87372" w:rsidRPr="00E91C55" w:rsidRDefault="00E87372" w:rsidP="007328C4">
      <w:pPr>
        <w:jc w:val="both"/>
        <w:rPr>
          <w:rFonts w:ascii="Times New Roman" w:hAnsi="Times New Roman" w:cs="Times New Roman"/>
        </w:rPr>
      </w:pPr>
      <w:r w:rsidRPr="00E91C55">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biochar</m:t>
            </m:r>
          </m:sub>
        </m:sSub>
      </m:oMath>
      <w:r w:rsidRPr="00E91C55">
        <w:rPr>
          <w:rFonts w:ascii="Times New Roman" w:hAnsi="Times New Roman" w:cs="Times New Roman"/>
        </w:rPr>
        <w:t xml:space="preserve">is the mass of recovered biochar and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dry</m:t>
            </m:r>
            <m:r>
              <m:rPr>
                <m:nor/>
              </m:rPr>
              <w:rPr>
                <w:rFonts w:ascii="Times New Roman" w:hAnsi="Times New Roman" w:cs="Times New Roman"/>
              </w:rPr>
              <m:t> </m:t>
            </m:r>
            <m:r>
              <w:rPr>
                <w:rFonts w:ascii="Cambria Math" w:hAnsi="Cambria Math" w:cs="Times New Roman"/>
              </w:rPr>
              <m:t>biomass</m:t>
            </m:r>
          </m:sub>
        </m:sSub>
      </m:oMath>
      <w:r w:rsidRPr="00E91C55">
        <w:rPr>
          <w:rFonts w:ascii="Times New Roman" w:hAnsi="Times New Roman" w:cs="Times New Roman"/>
        </w:rPr>
        <w:t xml:space="preserve">is the initial dry mass of biomass feedstock. </w:t>
      </w:r>
    </w:p>
    <w:p w14:paraId="79F1B094" w14:textId="3D171E0D" w:rsidR="000F389E" w:rsidRPr="000F389E" w:rsidRDefault="000F389E" w:rsidP="007328C4">
      <w:pPr>
        <w:jc w:val="both"/>
        <w:rPr>
          <w:rFonts w:ascii="Times New Roman" w:hAnsi="Times New Roman" w:cs="Times New Roman"/>
          <w:b/>
          <w:bCs/>
        </w:rPr>
      </w:pPr>
      <w:r>
        <w:rPr>
          <w:rFonts w:ascii="Times New Roman" w:hAnsi="Times New Roman" w:cs="Times New Roman"/>
          <w:b/>
          <w:bCs/>
        </w:rPr>
        <w:lastRenderedPageBreak/>
        <w:t>2.</w:t>
      </w:r>
      <w:r w:rsidR="00E81C45">
        <w:rPr>
          <w:rFonts w:ascii="Times New Roman" w:hAnsi="Times New Roman" w:cs="Times New Roman"/>
          <w:b/>
          <w:bCs/>
        </w:rPr>
        <w:t>7</w:t>
      </w:r>
      <w:r>
        <w:rPr>
          <w:rFonts w:ascii="Times New Roman" w:hAnsi="Times New Roman" w:cs="Times New Roman"/>
          <w:b/>
          <w:bCs/>
        </w:rPr>
        <w:t xml:space="preserve"> </w:t>
      </w:r>
      <w:r w:rsidRPr="000F389E">
        <w:rPr>
          <w:rFonts w:ascii="Times New Roman" w:hAnsi="Times New Roman" w:cs="Times New Roman"/>
          <w:b/>
          <w:bCs/>
        </w:rPr>
        <w:t>Biomass proximate analysis</w:t>
      </w:r>
    </w:p>
    <w:p w14:paraId="0E6BC34F" w14:textId="77777777" w:rsidR="000F389E" w:rsidRDefault="000F389E" w:rsidP="007328C4">
      <w:pPr>
        <w:jc w:val="both"/>
        <w:rPr>
          <w:rFonts w:ascii="Times New Roman" w:hAnsi="Times New Roman" w:cs="Times New Roman"/>
        </w:rPr>
      </w:pPr>
      <w:r w:rsidRPr="000F389E">
        <w:rPr>
          <w:rFonts w:ascii="Times New Roman" w:hAnsi="Times New Roman" w:cs="Times New Roman"/>
        </w:rPr>
        <w:t>The proximate composition of the biomass feedstocks, including moisture content, volatile matter, ash content, and fixed carbon, was determined using standard biomass characterization methods. All analyses were performed in triplicate and results are reported on a dry weight basis.</w:t>
      </w:r>
      <w:r>
        <w:rPr>
          <w:rFonts w:ascii="Times New Roman" w:hAnsi="Times New Roman" w:cs="Times New Roman"/>
        </w:rPr>
        <w:t xml:space="preserve"> </w:t>
      </w:r>
      <w:r w:rsidRPr="000F389E">
        <w:rPr>
          <w:rFonts w:ascii="Times New Roman" w:hAnsi="Times New Roman" w:cs="Times New Roman"/>
        </w:rPr>
        <w:t xml:space="preserve">Moisture content of the biomass samples was determined by oven drying approximately 5 g of sample at 105 °C until constant weight following the ASTM E871-82 standard method. The moisture percentage was calculated based on the weight loss after drying. </w:t>
      </w:r>
      <w:r>
        <w:rPr>
          <w:rFonts w:ascii="Times New Roman" w:hAnsi="Times New Roman" w:cs="Times New Roman"/>
        </w:rPr>
        <w:t>(</w:t>
      </w:r>
      <w:r w:rsidRPr="000F389E">
        <w:rPr>
          <w:rFonts w:ascii="Times New Roman" w:hAnsi="Times New Roman" w:cs="Times New Roman"/>
        </w:rPr>
        <w:t>Enders et al., 2012</w:t>
      </w:r>
      <w:r>
        <w:rPr>
          <w:rFonts w:ascii="Times New Roman" w:hAnsi="Times New Roman" w:cs="Times New Roman"/>
        </w:rPr>
        <w:t xml:space="preserve">) </w:t>
      </w:r>
      <w:r w:rsidRPr="000F389E">
        <w:rPr>
          <w:rFonts w:ascii="Times New Roman" w:hAnsi="Times New Roman" w:cs="Times New Roman"/>
        </w:rPr>
        <w:t>Volatile matter was determined according to ASTM E872-82. Approximately 1 g of oven-dried sample was placed in a covered crucible and heated in a muffle furnace at 950 °C for 7 min under oxygen-limited conditions. The weight loss during heating was considered as volatile matter.</w:t>
      </w:r>
      <w:r>
        <w:rPr>
          <w:rFonts w:ascii="Times New Roman" w:hAnsi="Times New Roman" w:cs="Times New Roman"/>
        </w:rPr>
        <w:t xml:space="preserve"> (</w:t>
      </w:r>
      <w:proofErr w:type="spellStart"/>
      <w:r w:rsidRPr="000F389E">
        <w:rPr>
          <w:rFonts w:ascii="Times New Roman" w:hAnsi="Times New Roman" w:cs="Times New Roman"/>
        </w:rPr>
        <w:t>Ronsse</w:t>
      </w:r>
      <w:proofErr w:type="spellEnd"/>
      <w:r w:rsidRPr="000F389E">
        <w:rPr>
          <w:rFonts w:ascii="Times New Roman" w:hAnsi="Times New Roman" w:cs="Times New Roman"/>
        </w:rPr>
        <w:t xml:space="preserve"> et al., 2013; </w:t>
      </w:r>
      <w:proofErr w:type="spellStart"/>
      <w:r w:rsidRPr="000F389E">
        <w:rPr>
          <w:rFonts w:ascii="Times New Roman" w:hAnsi="Times New Roman" w:cs="Times New Roman"/>
        </w:rPr>
        <w:t>Tomczyk</w:t>
      </w:r>
      <w:proofErr w:type="spellEnd"/>
      <w:r w:rsidRPr="000F389E">
        <w:rPr>
          <w:rFonts w:ascii="Times New Roman" w:hAnsi="Times New Roman" w:cs="Times New Roman"/>
        </w:rPr>
        <w:t xml:space="preserve"> et al., 2020</w:t>
      </w:r>
      <w:r>
        <w:rPr>
          <w:rFonts w:ascii="Times New Roman" w:hAnsi="Times New Roman" w:cs="Times New Roman"/>
        </w:rPr>
        <w:t xml:space="preserve">). </w:t>
      </w:r>
      <w:r w:rsidRPr="000F389E">
        <w:rPr>
          <w:rFonts w:ascii="Times New Roman" w:hAnsi="Times New Roman" w:cs="Times New Roman"/>
        </w:rPr>
        <w:t>Ash content was determined using the ASTM D1102-84 standard method. About 2 g of oven-dried biomass sample was combusted in a muffle furnace at 750 °C for 6 h until constant weight was achieved. The remaining inorganic residue represented the ash fraction.</w:t>
      </w:r>
      <w:r>
        <w:rPr>
          <w:rFonts w:ascii="Times New Roman" w:hAnsi="Times New Roman" w:cs="Times New Roman"/>
        </w:rPr>
        <w:t xml:space="preserve"> (</w:t>
      </w:r>
      <w:r w:rsidRPr="000F389E">
        <w:rPr>
          <w:rFonts w:ascii="Times New Roman" w:hAnsi="Times New Roman" w:cs="Times New Roman"/>
        </w:rPr>
        <w:t xml:space="preserve">Enders et al., 2012; </w:t>
      </w:r>
      <w:proofErr w:type="spellStart"/>
      <w:r w:rsidRPr="000F389E">
        <w:rPr>
          <w:rFonts w:ascii="Times New Roman" w:hAnsi="Times New Roman" w:cs="Times New Roman"/>
        </w:rPr>
        <w:t>Leng</w:t>
      </w:r>
      <w:proofErr w:type="spellEnd"/>
      <w:r w:rsidRPr="000F389E">
        <w:rPr>
          <w:rFonts w:ascii="Times New Roman" w:hAnsi="Times New Roman" w:cs="Times New Roman"/>
        </w:rPr>
        <w:t xml:space="preserve"> et al., 2021</w:t>
      </w:r>
      <w:r>
        <w:rPr>
          <w:rFonts w:ascii="Times New Roman" w:hAnsi="Times New Roman" w:cs="Times New Roman"/>
        </w:rPr>
        <w:t xml:space="preserve">). </w:t>
      </w:r>
      <w:r w:rsidRPr="000F389E">
        <w:rPr>
          <w:rFonts w:ascii="Times New Roman" w:hAnsi="Times New Roman" w:cs="Times New Roman"/>
        </w:rPr>
        <w:t>Fixed carbon content was calculated by difference from the measured proximate parameters using the following equation:</w:t>
      </w:r>
    </w:p>
    <w:p w14:paraId="08A61AA0" w14:textId="77777777" w:rsidR="000A33A7" w:rsidRDefault="000A33A7" w:rsidP="007328C4">
      <w:pPr>
        <w:jc w:val="both"/>
        <w:rPr>
          <w:rFonts w:ascii="Times New Roman" w:hAnsi="Times New Roman" w:cs="Times New Roman"/>
        </w:rPr>
      </w:pPr>
    </w:p>
    <w:p w14:paraId="0B77827F" w14:textId="58D0ECB9" w:rsidR="000F389E" w:rsidRPr="000F389E" w:rsidRDefault="000A33A7" w:rsidP="007328C4">
      <w:pPr>
        <w:jc w:val="both"/>
        <w:rPr>
          <w:rFonts w:ascii="Times New Roman" w:hAnsi="Times New Roman" w:cs="Times New Roman"/>
        </w:rPr>
      </w:pPr>
      <m:oMathPara>
        <m:oMath>
          <m:r>
            <w:rPr>
              <w:rFonts w:ascii="Cambria Math" w:hAnsi="Cambria Math" w:cs="Times New Roman"/>
            </w:rPr>
            <m:t>Fixed Carbon</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m:t>
          </m:r>
          <m:r>
            <m:rPr>
              <m:sty m:val="p"/>
            </m:rPr>
            <w:rPr>
              <w:rFonts w:ascii="Cambria Math" w:hAnsi="Cambria Math" w:cs="Times New Roman"/>
            </w:rPr>
            <m:t>1</m:t>
          </m:r>
          <m:r>
            <w:rPr>
              <w:rFonts w:ascii="Cambria Math" w:hAnsi="Cambria Math" w:cs="Times New Roman"/>
            </w:rPr>
            <m:t>00-(Moisture+Volatile matter+Ash)</m:t>
          </m:r>
          <m:r>
            <m:rPr>
              <m:sty m:val="p"/>
            </m:rPr>
            <w:rPr>
              <w:rFonts w:ascii="Cambria Math" w:hAnsi="Cambria Math" w:cs="Times New Roman"/>
            </w:rPr>
            <w:br/>
          </m:r>
        </m:oMath>
      </m:oMathPara>
    </w:p>
    <w:p w14:paraId="0C450DEB" w14:textId="6216648C" w:rsidR="00E81C45" w:rsidRDefault="000F389E" w:rsidP="007328C4">
      <w:pPr>
        <w:jc w:val="both"/>
        <w:rPr>
          <w:rFonts w:ascii="Times New Roman" w:hAnsi="Times New Roman" w:cs="Times New Roman"/>
        </w:rPr>
      </w:pPr>
      <w:r w:rsidRPr="000F389E">
        <w:rPr>
          <w:rFonts w:ascii="Times New Roman" w:hAnsi="Times New Roman" w:cs="Times New Roman"/>
        </w:rPr>
        <w:t>Fixed carbon represents the solid carbon fraction remaining after removal of moisture and volatile components and is an indicator of the carbonization potential of the biomass.</w:t>
      </w:r>
      <w:r>
        <w:rPr>
          <w:rFonts w:ascii="Times New Roman" w:hAnsi="Times New Roman" w:cs="Times New Roman"/>
        </w:rPr>
        <w:t xml:space="preserve"> (</w:t>
      </w:r>
      <w:proofErr w:type="spellStart"/>
      <w:r w:rsidRPr="000F389E">
        <w:rPr>
          <w:rFonts w:ascii="Times New Roman" w:hAnsi="Times New Roman" w:cs="Times New Roman"/>
        </w:rPr>
        <w:t>Ronsse</w:t>
      </w:r>
      <w:proofErr w:type="spellEnd"/>
      <w:r w:rsidRPr="000F389E">
        <w:rPr>
          <w:rFonts w:ascii="Times New Roman" w:hAnsi="Times New Roman" w:cs="Times New Roman"/>
        </w:rPr>
        <w:t xml:space="preserve"> et al., 2013</w:t>
      </w:r>
      <w:r>
        <w:rPr>
          <w:rFonts w:ascii="Times New Roman" w:hAnsi="Times New Roman" w:cs="Times New Roman"/>
        </w:rPr>
        <w:t>)</w:t>
      </w:r>
    </w:p>
    <w:p w14:paraId="16E240EF" w14:textId="35DD32FD" w:rsidR="00C367BB" w:rsidRPr="00C367BB" w:rsidRDefault="00C367BB" w:rsidP="007328C4">
      <w:pPr>
        <w:jc w:val="both"/>
        <w:rPr>
          <w:rFonts w:ascii="Times New Roman" w:hAnsi="Times New Roman" w:cs="Times New Roman"/>
          <w:b/>
          <w:bCs/>
        </w:rPr>
      </w:pPr>
      <w:r w:rsidRPr="00C367BB">
        <w:rPr>
          <w:rFonts w:ascii="Times New Roman" w:hAnsi="Times New Roman" w:cs="Times New Roman"/>
          <w:b/>
          <w:bCs/>
        </w:rPr>
        <w:t>2.8 Statistical Analysis</w:t>
      </w:r>
    </w:p>
    <w:p w14:paraId="7964727F" w14:textId="7CB8836F" w:rsidR="00C367BB" w:rsidRPr="00C367BB" w:rsidRDefault="00C367BB" w:rsidP="007328C4">
      <w:pPr>
        <w:jc w:val="both"/>
        <w:rPr>
          <w:rFonts w:ascii="Times New Roman" w:hAnsi="Times New Roman" w:cs="Times New Roman"/>
        </w:rPr>
      </w:pPr>
      <w:r w:rsidRPr="00C367BB">
        <w:rPr>
          <w:rFonts w:ascii="Times New Roman" w:hAnsi="Times New Roman" w:cs="Times New Roman"/>
        </w:rPr>
        <w:t>All experiments were conducted using a factorial experimental design to evaluate the</w:t>
      </w:r>
      <w:r w:rsidR="005C7C25">
        <w:rPr>
          <w:rFonts w:ascii="Times New Roman" w:hAnsi="Times New Roman" w:cs="Times New Roman"/>
        </w:rPr>
        <w:t xml:space="preserve"> different feedstocks. </w:t>
      </w:r>
      <w:r w:rsidR="005C7C25" w:rsidRPr="005C7C25">
        <w:rPr>
          <w:rFonts w:ascii="Times New Roman" w:hAnsi="Times New Roman" w:cs="Times New Roman"/>
        </w:rPr>
        <w:t>Two-way ANOVA indicated that pyrolysis temperature and residence time significantly influenced biochar yield and ash content (p &lt; 0.05), with temperature showing the strongest effect on both response variables</w:t>
      </w:r>
    </w:p>
    <w:p w14:paraId="65885E84" w14:textId="3AE8B3C3" w:rsidR="00AD4B0F" w:rsidRDefault="00AD4B0F" w:rsidP="007328C4">
      <w:pPr>
        <w:jc w:val="both"/>
        <w:rPr>
          <w:rFonts w:ascii="Times New Roman" w:hAnsi="Times New Roman" w:cs="Times New Roman"/>
          <w:b/>
          <w:bCs/>
        </w:rPr>
      </w:pPr>
      <w:r w:rsidRPr="00AD4B0F">
        <w:rPr>
          <w:rFonts w:ascii="Times New Roman" w:hAnsi="Times New Roman" w:cs="Times New Roman"/>
          <w:b/>
          <w:bCs/>
        </w:rPr>
        <w:t xml:space="preserve">3. </w:t>
      </w:r>
      <w:bookmarkStart w:id="0" w:name="_GoBack"/>
      <w:r w:rsidRPr="00AD4B0F">
        <w:rPr>
          <w:rFonts w:ascii="Times New Roman" w:hAnsi="Times New Roman" w:cs="Times New Roman"/>
          <w:b/>
          <w:bCs/>
        </w:rPr>
        <w:t>Result</w:t>
      </w:r>
      <w:bookmarkEnd w:id="0"/>
      <w:r w:rsidRPr="00AD4B0F">
        <w:rPr>
          <w:rFonts w:ascii="Times New Roman" w:hAnsi="Times New Roman" w:cs="Times New Roman"/>
          <w:b/>
          <w:bCs/>
        </w:rPr>
        <w:t>s and Discussion</w:t>
      </w:r>
    </w:p>
    <w:p w14:paraId="5B547049" w14:textId="36AC57D1" w:rsidR="004E7CA1" w:rsidRPr="004E7CA1" w:rsidRDefault="004E7CA1" w:rsidP="004E7CA1">
      <w:pPr>
        <w:jc w:val="both"/>
        <w:rPr>
          <w:rFonts w:ascii="Times New Roman" w:hAnsi="Times New Roman" w:cs="Times New Roman"/>
          <w:b/>
          <w:bCs/>
        </w:rPr>
      </w:pPr>
      <w:r>
        <w:rPr>
          <w:rFonts w:ascii="Times New Roman" w:hAnsi="Times New Roman" w:cs="Times New Roman"/>
          <w:b/>
          <w:bCs/>
        </w:rPr>
        <w:t xml:space="preserve">3.1 </w:t>
      </w:r>
      <w:r w:rsidRPr="004E7CA1">
        <w:rPr>
          <w:rFonts w:ascii="Times New Roman" w:hAnsi="Times New Roman" w:cs="Times New Roman"/>
          <w:b/>
          <w:bCs/>
        </w:rPr>
        <w:t>Proximate characteristics of biomass feedstocks</w:t>
      </w:r>
    </w:p>
    <w:p w14:paraId="41AFC680" w14:textId="43B0A68F" w:rsidR="004E7CA1" w:rsidRPr="004E7CA1" w:rsidRDefault="004E7CA1" w:rsidP="004E7CA1">
      <w:pPr>
        <w:jc w:val="both"/>
        <w:rPr>
          <w:rFonts w:ascii="Times New Roman" w:hAnsi="Times New Roman" w:cs="Times New Roman"/>
        </w:rPr>
      </w:pPr>
      <w:r w:rsidRPr="004E7CA1">
        <w:rPr>
          <w:rFonts w:ascii="Times New Roman" w:hAnsi="Times New Roman" w:cs="Times New Roman"/>
        </w:rPr>
        <w:t>The proximate characteristics of the selected lignocellulosic feedstocks are summarized in Table 1. The results reveal substantial compositional heterogeneity among woody and herbaceous biomass resources, which plays a critical role in governing their thermochemical conversion pathways during pyrolysis.</w:t>
      </w:r>
      <w:r>
        <w:rPr>
          <w:rFonts w:ascii="Times New Roman" w:hAnsi="Times New Roman" w:cs="Times New Roman"/>
        </w:rPr>
        <w:t xml:space="preserve"> </w:t>
      </w:r>
      <w:r w:rsidRPr="004E7CA1">
        <w:rPr>
          <w:rFonts w:ascii="Times New Roman" w:hAnsi="Times New Roman" w:cs="Times New Roman"/>
        </w:rPr>
        <w:t>Moisture content of the investigated feedstocks ranged from 8.4 to 9.5 %, indicating that the biomass was adequately conditioned prior to pyrolysis experiments. Maintaining relatively low moisture levels is essential for efficient thermochemical conversion because excessive water content can absorb substantial thermal energy during evaporation, thereby reducing the effective energy available for biomass depolymerization and carbonization processes. Previous studies have consistently reported that biomass with moisture contents below 10–12 % facilitates improved pyrolysis efficiency and enhanced biochar formation (</w:t>
      </w:r>
      <w:proofErr w:type="spellStart"/>
      <w:r w:rsidRPr="004E7CA1">
        <w:rPr>
          <w:rFonts w:ascii="Times New Roman" w:hAnsi="Times New Roman" w:cs="Times New Roman"/>
        </w:rPr>
        <w:t>Tomczyk</w:t>
      </w:r>
      <w:proofErr w:type="spellEnd"/>
      <w:r w:rsidRPr="004E7CA1">
        <w:rPr>
          <w:rFonts w:ascii="Times New Roman" w:hAnsi="Times New Roman" w:cs="Times New Roman"/>
        </w:rPr>
        <w:t xml:space="preserve"> et al., 2020; Wang et al., 2024; Ahmed et al., 2024; Saldarriaga &amp; L</w:t>
      </w:r>
      <w:r w:rsidR="00D14DC9">
        <w:rPr>
          <w:rFonts w:ascii="Times New Roman" w:hAnsi="Times New Roman" w:cs="Times New Roman"/>
        </w:rPr>
        <w:t>o</w:t>
      </w:r>
      <w:r w:rsidRPr="004E7CA1">
        <w:rPr>
          <w:rFonts w:ascii="Times New Roman" w:hAnsi="Times New Roman" w:cs="Times New Roman"/>
        </w:rPr>
        <w:t>pez, 2025; Marin et al., 2025).</w:t>
      </w:r>
      <w:r w:rsidR="00CE52C6">
        <w:rPr>
          <w:rFonts w:ascii="Times New Roman" w:hAnsi="Times New Roman" w:cs="Times New Roman"/>
        </w:rPr>
        <w:t xml:space="preserve"> </w:t>
      </w:r>
      <w:r w:rsidRPr="004E7CA1">
        <w:rPr>
          <w:rFonts w:ascii="Times New Roman" w:hAnsi="Times New Roman" w:cs="Times New Roman"/>
        </w:rPr>
        <w:t xml:space="preserve">Volatile matter represented the dominant fraction of the biomass samples, ranging from 68.3 % to 74.5 %. This high volatile content is characteristic of lignocellulosic materials and reflects </w:t>
      </w:r>
      <w:r w:rsidRPr="004E7CA1">
        <w:rPr>
          <w:rFonts w:ascii="Times New Roman" w:hAnsi="Times New Roman" w:cs="Times New Roman"/>
        </w:rPr>
        <w:lastRenderedPageBreak/>
        <w:t>the abundance of thermally labile polymers such as cellulose and hemicellulose. During pyrolysis, these polysaccharide components undergo rapid depolymerization, dehydration, and fragmentation reactions, generating volatile gases and condensable vapors that significantly influence the distribution of pyrolysis products (</w:t>
      </w:r>
      <w:proofErr w:type="spellStart"/>
      <w:r w:rsidRPr="004E7CA1">
        <w:rPr>
          <w:rFonts w:ascii="Times New Roman" w:hAnsi="Times New Roman" w:cs="Times New Roman"/>
        </w:rPr>
        <w:t>Ronsse</w:t>
      </w:r>
      <w:proofErr w:type="spellEnd"/>
      <w:r w:rsidRPr="004E7CA1">
        <w:rPr>
          <w:rFonts w:ascii="Times New Roman" w:hAnsi="Times New Roman" w:cs="Times New Roman"/>
        </w:rPr>
        <w:t xml:space="preserve"> et al., 2013; </w:t>
      </w:r>
      <w:proofErr w:type="spellStart"/>
      <w:r w:rsidRPr="004E7CA1">
        <w:rPr>
          <w:rFonts w:ascii="Times New Roman" w:hAnsi="Times New Roman" w:cs="Times New Roman"/>
        </w:rPr>
        <w:t>Leng</w:t>
      </w:r>
      <w:proofErr w:type="spellEnd"/>
      <w:r w:rsidRPr="004E7CA1">
        <w:rPr>
          <w:rFonts w:ascii="Times New Roman" w:hAnsi="Times New Roman" w:cs="Times New Roman"/>
        </w:rPr>
        <w:t xml:space="preserve"> et al., 2021; Wang et al., 2024; </w:t>
      </w:r>
      <w:proofErr w:type="spellStart"/>
      <w:r w:rsidRPr="004E7CA1">
        <w:rPr>
          <w:rFonts w:ascii="Times New Roman" w:hAnsi="Times New Roman" w:cs="Times New Roman"/>
        </w:rPr>
        <w:t>Ungureanu</w:t>
      </w:r>
      <w:proofErr w:type="spellEnd"/>
      <w:r w:rsidRPr="004E7CA1">
        <w:rPr>
          <w:rFonts w:ascii="Times New Roman" w:hAnsi="Times New Roman" w:cs="Times New Roman"/>
        </w:rPr>
        <w:t xml:space="preserve"> et al., 2025; Junior et al., 2025). Woody feedstocks such as </w:t>
      </w:r>
      <w:proofErr w:type="spellStart"/>
      <w:r w:rsidRPr="004E7CA1">
        <w:rPr>
          <w:rFonts w:ascii="Times New Roman" w:hAnsi="Times New Roman" w:cs="Times New Roman"/>
          <w:i/>
          <w:iCs/>
        </w:rPr>
        <w:t>Conocarpus</w:t>
      </w:r>
      <w:proofErr w:type="spellEnd"/>
      <w:r w:rsidRPr="004E7CA1">
        <w:rPr>
          <w:rFonts w:ascii="Times New Roman" w:hAnsi="Times New Roman" w:cs="Times New Roman"/>
          <w:i/>
          <w:iCs/>
        </w:rPr>
        <w:t xml:space="preserve"> erectus</w:t>
      </w:r>
      <w:r w:rsidRPr="004E7CA1">
        <w:rPr>
          <w:rFonts w:ascii="Times New Roman" w:hAnsi="Times New Roman" w:cs="Times New Roman"/>
        </w:rPr>
        <w:t>, eucalyptus branches, and acacia pruning residues exhibited relatively higher volatile matter content compared with agricultural residues, suggesting greater potential for thermal decomposition and gas formation during pyrolysis.</w:t>
      </w:r>
      <w:r w:rsidR="00CE52C6">
        <w:rPr>
          <w:rFonts w:ascii="Times New Roman" w:hAnsi="Times New Roman" w:cs="Times New Roman"/>
        </w:rPr>
        <w:t xml:space="preserve"> </w:t>
      </w:r>
      <w:r w:rsidRPr="004E7CA1">
        <w:rPr>
          <w:rFonts w:ascii="Times New Roman" w:hAnsi="Times New Roman" w:cs="Times New Roman"/>
        </w:rPr>
        <w:t>The fixed carbon content of the feedstocks varied from 14.6 % to 22.8 %, with woody biomass exhibiting comparatively higher values than agricultural residues. Elevated fixed carbon levels are typically associated with higher lignin concentrations within woody biomass. Lignin possesses a highly cross-linked aromatic structure that exhibits greater thermal stability relative to cellulose and hemicellulose. Consequently, lignin-rich feedstocks tend to generate biochar with higher carbon retention and enhanced structural recalcitrance during pyrolysis (</w:t>
      </w:r>
      <w:proofErr w:type="spellStart"/>
      <w:r w:rsidRPr="004E7CA1">
        <w:rPr>
          <w:rFonts w:ascii="Times New Roman" w:hAnsi="Times New Roman" w:cs="Times New Roman"/>
        </w:rPr>
        <w:t>Ronsse</w:t>
      </w:r>
      <w:proofErr w:type="spellEnd"/>
      <w:r w:rsidRPr="004E7CA1">
        <w:rPr>
          <w:rFonts w:ascii="Times New Roman" w:hAnsi="Times New Roman" w:cs="Times New Roman"/>
        </w:rPr>
        <w:t xml:space="preserve"> et al., 2013; </w:t>
      </w:r>
      <w:proofErr w:type="spellStart"/>
      <w:r w:rsidRPr="004E7CA1">
        <w:rPr>
          <w:rFonts w:ascii="Times New Roman" w:hAnsi="Times New Roman" w:cs="Times New Roman"/>
        </w:rPr>
        <w:t>Syguła</w:t>
      </w:r>
      <w:proofErr w:type="spellEnd"/>
      <w:r w:rsidRPr="004E7CA1">
        <w:rPr>
          <w:rFonts w:ascii="Times New Roman" w:hAnsi="Times New Roman" w:cs="Times New Roman"/>
        </w:rPr>
        <w:t xml:space="preserve"> et al., 2024; Ahmed et al., 2024; Song et al., 2025). The higher fixed carbon fraction observed in acacia pruning residues therefore indicates a greater potential for generating structurally stable biochar with improved carbon sequestration capacity.</w:t>
      </w:r>
      <w:r w:rsidR="00CE52C6">
        <w:rPr>
          <w:rFonts w:ascii="Times New Roman" w:hAnsi="Times New Roman" w:cs="Times New Roman"/>
        </w:rPr>
        <w:t xml:space="preserve"> </w:t>
      </w:r>
      <w:r w:rsidRPr="004E7CA1">
        <w:rPr>
          <w:rFonts w:ascii="Times New Roman" w:hAnsi="Times New Roman" w:cs="Times New Roman"/>
        </w:rPr>
        <w:t>Substantial differences were also observed in ash content between woody biomass and agricultural residues. Woody feedstocks exhibited relatively low ash contents (5.2–5.6 %), whereas crop residues such as rice straw and wheat straw contained significantly higher ash levels (17.1 % and 14.6 %, respectively). Elevated ash concentrations in agricultural residues are largely attributed to the accumulation of mineral elements such as silica, potassium, calcium, and magnesium absorbed from the soil during plant growth (</w:t>
      </w:r>
      <w:proofErr w:type="spellStart"/>
      <w:r w:rsidRPr="004E7CA1">
        <w:rPr>
          <w:rFonts w:ascii="Times New Roman" w:hAnsi="Times New Roman" w:cs="Times New Roman"/>
        </w:rPr>
        <w:t>Yargicoglu</w:t>
      </w:r>
      <w:proofErr w:type="spellEnd"/>
      <w:r w:rsidRPr="004E7CA1">
        <w:rPr>
          <w:rFonts w:ascii="Times New Roman" w:hAnsi="Times New Roman" w:cs="Times New Roman"/>
        </w:rPr>
        <w:t xml:space="preserve"> et al., 2015; </w:t>
      </w:r>
      <w:proofErr w:type="spellStart"/>
      <w:r w:rsidRPr="004E7CA1">
        <w:rPr>
          <w:rFonts w:ascii="Times New Roman" w:hAnsi="Times New Roman" w:cs="Times New Roman"/>
        </w:rPr>
        <w:t>Jerzak</w:t>
      </w:r>
      <w:proofErr w:type="spellEnd"/>
      <w:r w:rsidRPr="004E7CA1">
        <w:rPr>
          <w:rFonts w:ascii="Times New Roman" w:hAnsi="Times New Roman" w:cs="Times New Roman"/>
        </w:rPr>
        <w:t xml:space="preserve"> et al., 2024; El-</w:t>
      </w:r>
      <w:proofErr w:type="spellStart"/>
      <w:r w:rsidRPr="004E7CA1">
        <w:rPr>
          <w:rFonts w:ascii="Times New Roman" w:hAnsi="Times New Roman" w:cs="Times New Roman"/>
        </w:rPr>
        <w:t>Fawal</w:t>
      </w:r>
      <w:proofErr w:type="spellEnd"/>
      <w:r w:rsidRPr="004E7CA1">
        <w:rPr>
          <w:rFonts w:ascii="Times New Roman" w:hAnsi="Times New Roman" w:cs="Times New Roman"/>
        </w:rPr>
        <w:t xml:space="preserve"> et al., 2025</w:t>
      </w:r>
      <w:r w:rsidR="00D14DC9">
        <w:rPr>
          <w:rFonts w:ascii="Times New Roman" w:hAnsi="Times New Roman" w:cs="Times New Roman"/>
        </w:rPr>
        <w:t xml:space="preserve">). </w:t>
      </w:r>
      <w:r w:rsidRPr="004E7CA1">
        <w:rPr>
          <w:rFonts w:ascii="Times New Roman" w:hAnsi="Times New Roman" w:cs="Times New Roman"/>
        </w:rPr>
        <w:t>These inorganic constituents can strongly influence pyrolysis reactions by acting as catalysts during biomass decomposition and altering the distribution of gaseous and solid products (Junior et al., 2025)</w:t>
      </w:r>
      <w:r w:rsidR="005443DD">
        <w:rPr>
          <w:rFonts w:ascii="Times New Roman" w:hAnsi="Times New Roman" w:cs="Times New Roman"/>
        </w:rPr>
        <w:t xml:space="preserve"> </w:t>
      </w:r>
      <w:r w:rsidRPr="004E7CA1">
        <w:rPr>
          <w:rFonts w:ascii="Times New Roman" w:hAnsi="Times New Roman" w:cs="Times New Roman"/>
        </w:rPr>
        <w:t>.From a thermochemical conversion perspective, feedstocks with lower ash content and higher fixed carbon fractions are generally considered more suitable for producing high-quality biochar with improved carbon stability and structural integrity (Lehmann &amp; Joseph, 2015; Ahmed et al., 2024; Marin et al., 2025). Therefore, the relatively favorable proximate composition of woody biomass in the present study suggests greater suitability for biochar production compared with herbaceous agricultural residues.</w:t>
      </w:r>
    </w:p>
    <w:p w14:paraId="0F5EFD29" w14:textId="77777777" w:rsidR="004E7CA1" w:rsidRPr="004E7CA1" w:rsidRDefault="004E7CA1" w:rsidP="004E7CA1">
      <w:pPr>
        <w:jc w:val="both"/>
        <w:rPr>
          <w:rFonts w:ascii="Times New Roman" w:hAnsi="Times New Roman" w:cs="Times New Roman"/>
          <w:b/>
          <w:bCs/>
        </w:rPr>
      </w:pPr>
      <w:r w:rsidRPr="004E7CA1">
        <w:rPr>
          <w:rFonts w:ascii="Times New Roman" w:hAnsi="Times New Roman" w:cs="Times New Roman"/>
          <w:b/>
          <w:bCs/>
        </w:rPr>
        <w:t>3.2 Effect of pyrolysis temperature and residence time on biochar yield</w:t>
      </w:r>
    </w:p>
    <w:p w14:paraId="33D1B38C" w14:textId="5A861F06" w:rsidR="004E7CA1" w:rsidRPr="004E7CA1" w:rsidRDefault="004E7CA1" w:rsidP="004E7CA1">
      <w:pPr>
        <w:jc w:val="both"/>
        <w:rPr>
          <w:rFonts w:ascii="Times New Roman" w:hAnsi="Times New Roman" w:cs="Times New Roman"/>
        </w:rPr>
      </w:pPr>
      <w:r w:rsidRPr="004E7CA1">
        <w:rPr>
          <w:rFonts w:ascii="Times New Roman" w:hAnsi="Times New Roman" w:cs="Times New Roman"/>
        </w:rPr>
        <w:t>The influence of pyrolysis temperature and residence time on biochar yield is presented in Table 2. The results indicate a pronounced inverse relationship between thermal severity and biochar yield, with yield progressively decreasing as both temperature and residence time increased.</w:t>
      </w:r>
      <w:r w:rsidR="00CE52C6">
        <w:rPr>
          <w:rFonts w:ascii="Times New Roman" w:hAnsi="Times New Roman" w:cs="Times New Roman"/>
        </w:rPr>
        <w:t xml:space="preserve"> </w:t>
      </w:r>
      <w:r w:rsidRPr="004E7CA1">
        <w:rPr>
          <w:rFonts w:ascii="Times New Roman" w:hAnsi="Times New Roman" w:cs="Times New Roman"/>
        </w:rPr>
        <w:t>At the lowest operational condition (350 °C and 30 min), the maximum biochar yield of 39.8 % was obtained. In contrast, increasing the pyrolysis temperature to 550 °C combined with a residence time of 120 min reduced the yield to 21.0 %. This decline in biochar yield with increasing temperature is primarily attributed to enhanced devolatilization of organic compounds and intensified secondary cracking reactions during pyrolysis.</w:t>
      </w:r>
      <w:r w:rsidR="00CE52C6">
        <w:rPr>
          <w:rFonts w:ascii="Times New Roman" w:hAnsi="Times New Roman" w:cs="Times New Roman"/>
        </w:rPr>
        <w:t xml:space="preserve"> </w:t>
      </w:r>
      <w:r w:rsidRPr="004E7CA1">
        <w:rPr>
          <w:rFonts w:ascii="Times New Roman" w:hAnsi="Times New Roman" w:cs="Times New Roman"/>
        </w:rPr>
        <w:t xml:space="preserve">Lignocellulosic biomass undergoes complex thermochemical transformations during pyrolysis, involving the sequential decomposition of hemicellulose (200–350 °C), cellulose (300–400 °C), and lignin (250–600 °C). As temperature increases, these components undergo extensive depolymerization and fragmentation reactions, producing volatile gases and condensable organic vapors that escape from the biomass matrix, thereby reducing the residual char fraction (Tripathi et al., 2016; Sun et al., 2017; Zhao et al., 2018; Ahmed et al., 2024; Song et al., 2025). Higher temperatures also promote secondary cracking of tar compounds into permanent gases such as CO, CO₂, CH₄, and H₂, which further contributes </w:t>
      </w:r>
      <w:r w:rsidRPr="004E7CA1">
        <w:rPr>
          <w:rFonts w:ascii="Times New Roman" w:hAnsi="Times New Roman" w:cs="Times New Roman"/>
        </w:rPr>
        <w:lastRenderedPageBreak/>
        <w:t>to mass loss and reduced biochar yield (</w:t>
      </w:r>
      <w:proofErr w:type="spellStart"/>
      <w:r w:rsidRPr="004E7CA1">
        <w:rPr>
          <w:rFonts w:ascii="Times New Roman" w:hAnsi="Times New Roman" w:cs="Times New Roman"/>
        </w:rPr>
        <w:t>Ungureanu</w:t>
      </w:r>
      <w:proofErr w:type="spellEnd"/>
      <w:r w:rsidRPr="004E7CA1">
        <w:rPr>
          <w:rFonts w:ascii="Times New Roman" w:hAnsi="Times New Roman" w:cs="Times New Roman"/>
        </w:rPr>
        <w:t xml:space="preserve"> et al., 2025; Junior et al., 2025).</w:t>
      </w:r>
      <w:r w:rsidR="00CE52C6">
        <w:rPr>
          <w:rFonts w:ascii="Times New Roman" w:hAnsi="Times New Roman" w:cs="Times New Roman"/>
        </w:rPr>
        <w:t xml:space="preserve"> </w:t>
      </w:r>
      <w:r w:rsidRPr="004E7CA1">
        <w:rPr>
          <w:rFonts w:ascii="Times New Roman" w:hAnsi="Times New Roman" w:cs="Times New Roman"/>
        </w:rPr>
        <w:t>Residence time also exerted a measurable influence on char production. For example, at 400 °C, biochar yield decreased from 36.1 % at 30 min to 31.4 % at 120 min. Extended residence time prolongs the exposure of biomass particles to elevated temperatures, allowing additional devolatilization and structural rearrangement of the carbon matrix to occur. These processes enhance the conversion of intermediate char structures into gaseous products, thereby decreasing the amount of solid char remaining after pyrolysis (Panwar, 2024; Wang et al., 2024; Chen et al., 2026).</w:t>
      </w:r>
      <w:r w:rsidR="00CE52C6">
        <w:rPr>
          <w:rFonts w:ascii="Times New Roman" w:hAnsi="Times New Roman" w:cs="Times New Roman"/>
        </w:rPr>
        <w:t xml:space="preserve"> </w:t>
      </w:r>
      <w:r w:rsidRPr="004E7CA1">
        <w:rPr>
          <w:rFonts w:ascii="Times New Roman" w:hAnsi="Times New Roman" w:cs="Times New Roman"/>
        </w:rPr>
        <w:t xml:space="preserve">Although higher temperatures reduce biochar yield, they also promote the formation of more condensed aromatic carbon structures within the char matrix. Such structural transformations increase the chemical stability, surface area, and resistance to microbial degradation of biochar in soil environments (Lehmann &amp; Joseph, 2015; </w:t>
      </w:r>
      <w:proofErr w:type="spellStart"/>
      <w:r w:rsidRPr="004E7CA1">
        <w:rPr>
          <w:rFonts w:ascii="Times New Roman" w:hAnsi="Times New Roman" w:cs="Times New Roman"/>
        </w:rPr>
        <w:t>Leng</w:t>
      </w:r>
      <w:proofErr w:type="spellEnd"/>
      <w:r w:rsidRPr="004E7CA1">
        <w:rPr>
          <w:rFonts w:ascii="Times New Roman" w:hAnsi="Times New Roman" w:cs="Times New Roman"/>
        </w:rPr>
        <w:t xml:space="preserve"> et al., 2021; Ahmed et al., 2024). Therefore, optimizing pyrolysis conditions requires balancing biochar yield with desired physicochemical properties depending on the intended application.</w:t>
      </w:r>
      <w:r w:rsidR="00CE52C6">
        <w:rPr>
          <w:rFonts w:ascii="Times New Roman" w:hAnsi="Times New Roman" w:cs="Times New Roman"/>
        </w:rPr>
        <w:t xml:space="preserve"> </w:t>
      </w:r>
      <w:r w:rsidRPr="004E7CA1">
        <w:rPr>
          <w:rFonts w:ascii="Times New Roman" w:hAnsi="Times New Roman" w:cs="Times New Roman"/>
        </w:rPr>
        <w:t>The present findings suggest that moderate pyrolysis temperatures between 350 and 400 °C with residence times of 30–60 min provide optimal conditions for maximizing biochar yield in drum-kiln systems. Similar optimal temperature ranges for maximizing char yield from lignocellulosic biomass have been reported in several recent studies (</w:t>
      </w:r>
      <w:proofErr w:type="spellStart"/>
      <w:r w:rsidRPr="004E7CA1">
        <w:rPr>
          <w:rFonts w:ascii="Times New Roman" w:hAnsi="Times New Roman" w:cs="Times New Roman"/>
        </w:rPr>
        <w:t>Tomczyk</w:t>
      </w:r>
      <w:proofErr w:type="spellEnd"/>
      <w:r w:rsidRPr="004E7CA1">
        <w:rPr>
          <w:rFonts w:ascii="Times New Roman" w:hAnsi="Times New Roman" w:cs="Times New Roman"/>
        </w:rPr>
        <w:t xml:space="preserve"> et al., 2020; Wang et al., 2024; Ahmed et al., 2024; Junior et al., 2025; Marin et al., 2025).</w:t>
      </w:r>
    </w:p>
    <w:p w14:paraId="0EE1C8BF" w14:textId="77777777" w:rsidR="004E7CA1" w:rsidRPr="004E7CA1" w:rsidRDefault="004E7CA1" w:rsidP="004E7CA1">
      <w:pPr>
        <w:jc w:val="both"/>
        <w:rPr>
          <w:rFonts w:ascii="Times New Roman" w:hAnsi="Times New Roman" w:cs="Times New Roman"/>
          <w:b/>
          <w:bCs/>
        </w:rPr>
      </w:pPr>
      <w:r w:rsidRPr="004E7CA1">
        <w:rPr>
          <w:rFonts w:ascii="Times New Roman" w:hAnsi="Times New Roman" w:cs="Times New Roman"/>
          <w:b/>
          <w:bCs/>
        </w:rPr>
        <w:t>3.3 Influence of pyrolysis temperature on ash content of biochar</w:t>
      </w:r>
    </w:p>
    <w:p w14:paraId="644A163E" w14:textId="60419A30" w:rsidR="004E7CA1" w:rsidRPr="009D70CE" w:rsidRDefault="004E7CA1" w:rsidP="007328C4">
      <w:pPr>
        <w:jc w:val="both"/>
        <w:rPr>
          <w:rFonts w:ascii="Times New Roman" w:hAnsi="Times New Roman" w:cs="Times New Roman"/>
        </w:rPr>
      </w:pPr>
      <w:r w:rsidRPr="004E7CA1">
        <w:rPr>
          <w:rFonts w:ascii="Times New Roman" w:hAnsi="Times New Roman" w:cs="Times New Roman"/>
        </w:rPr>
        <w:t>Ash content of the produced biochar increased substantially with increasing pyrolysis temperature (Table 3). At 350 °C, ash levels ranged from 3.2 to 3.5 %, whereas at 550 °C ash concentrations increased to approximately 11.2–11.6 %. This increase reflects the progressive concentration of inorganic mineral constituents within the residual char during pyrolysis.</w:t>
      </w:r>
      <w:r w:rsidR="00CE52C6">
        <w:rPr>
          <w:rFonts w:ascii="Times New Roman" w:hAnsi="Times New Roman" w:cs="Times New Roman"/>
        </w:rPr>
        <w:t xml:space="preserve"> </w:t>
      </w:r>
      <w:r w:rsidRPr="004E7CA1">
        <w:rPr>
          <w:rFonts w:ascii="Times New Roman" w:hAnsi="Times New Roman" w:cs="Times New Roman"/>
        </w:rPr>
        <w:t xml:space="preserve">During thermochemical conversion, organic components of biomass are gradually decomposed and volatilized as gases and vapors, while inorganic minerals remain largely non-volatile under typical pyrolysis conditions. Consequently, as the organic fraction decreases, the relative proportion of mineral constituents within the residual biochar increases (Enders et al., 2012; </w:t>
      </w:r>
      <w:proofErr w:type="spellStart"/>
      <w:r w:rsidRPr="004E7CA1">
        <w:rPr>
          <w:rFonts w:ascii="Times New Roman" w:hAnsi="Times New Roman" w:cs="Times New Roman"/>
        </w:rPr>
        <w:t>Leng</w:t>
      </w:r>
      <w:proofErr w:type="spellEnd"/>
      <w:r w:rsidRPr="004E7CA1">
        <w:rPr>
          <w:rFonts w:ascii="Times New Roman" w:hAnsi="Times New Roman" w:cs="Times New Roman"/>
        </w:rPr>
        <w:t xml:space="preserve"> et al., 2021; </w:t>
      </w:r>
      <w:proofErr w:type="spellStart"/>
      <w:r w:rsidRPr="004E7CA1">
        <w:rPr>
          <w:rFonts w:ascii="Times New Roman" w:hAnsi="Times New Roman" w:cs="Times New Roman"/>
        </w:rPr>
        <w:t>Jerzak</w:t>
      </w:r>
      <w:proofErr w:type="spellEnd"/>
      <w:r w:rsidRPr="004E7CA1">
        <w:rPr>
          <w:rFonts w:ascii="Times New Roman" w:hAnsi="Times New Roman" w:cs="Times New Roman"/>
        </w:rPr>
        <w:t xml:space="preserve"> et al., 2024; El-</w:t>
      </w:r>
      <w:proofErr w:type="spellStart"/>
      <w:r w:rsidRPr="004E7CA1">
        <w:rPr>
          <w:rFonts w:ascii="Times New Roman" w:hAnsi="Times New Roman" w:cs="Times New Roman"/>
        </w:rPr>
        <w:t>Fawal</w:t>
      </w:r>
      <w:proofErr w:type="spellEnd"/>
      <w:r w:rsidRPr="004E7CA1">
        <w:rPr>
          <w:rFonts w:ascii="Times New Roman" w:hAnsi="Times New Roman" w:cs="Times New Roman"/>
        </w:rPr>
        <w:t xml:space="preserve"> et al., 2025).</w:t>
      </w:r>
      <w:r w:rsidR="00CE52C6">
        <w:rPr>
          <w:rFonts w:ascii="Times New Roman" w:hAnsi="Times New Roman" w:cs="Times New Roman"/>
        </w:rPr>
        <w:t xml:space="preserve"> </w:t>
      </w:r>
      <w:r w:rsidRPr="004E7CA1">
        <w:rPr>
          <w:rFonts w:ascii="Times New Roman" w:hAnsi="Times New Roman" w:cs="Times New Roman"/>
        </w:rPr>
        <w:t>Elevated pyrolysis temperatures accelerate this mineral enrichment process by promoting more extensive degradation of cellulose, hemicellulose, and lignin. Higher temperatures also facilitate the transformation of mineral species into thermodynamically stable oxides and carbonates, which further increases the ash fraction in the resulting biochar (</w:t>
      </w:r>
      <w:proofErr w:type="spellStart"/>
      <w:r w:rsidRPr="004E7CA1">
        <w:rPr>
          <w:rFonts w:ascii="Times New Roman" w:hAnsi="Times New Roman" w:cs="Times New Roman"/>
        </w:rPr>
        <w:t>Syguła</w:t>
      </w:r>
      <w:proofErr w:type="spellEnd"/>
      <w:r w:rsidRPr="004E7CA1">
        <w:rPr>
          <w:rFonts w:ascii="Times New Roman" w:hAnsi="Times New Roman" w:cs="Times New Roman"/>
        </w:rPr>
        <w:t xml:space="preserve"> et al., 2024; Song et al., 2025). Similar temperature-dependent increases in ash content have been widely reported for biochar derived from various lignocellulosic feedstocks (</w:t>
      </w:r>
      <w:proofErr w:type="spellStart"/>
      <w:r w:rsidRPr="004E7CA1">
        <w:rPr>
          <w:rFonts w:ascii="Times New Roman" w:hAnsi="Times New Roman" w:cs="Times New Roman"/>
        </w:rPr>
        <w:t>Ronsse</w:t>
      </w:r>
      <w:proofErr w:type="spellEnd"/>
      <w:r w:rsidRPr="004E7CA1">
        <w:rPr>
          <w:rFonts w:ascii="Times New Roman" w:hAnsi="Times New Roman" w:cs="Times New Roman"/>
        </w:rPr>
        <w:t xml:space="preserve"> et al., 2013; </w:t>
      </w:r>
      <w:proofErr w:type="spellStart"/>
      <w:r w:rsidRPr="004E7CA1">
        <w:rPr>
          <w:rFonts w:ascii="Times New Roman" w:hAnsi="Times New Roman" w:cs="Times New Roman"/>
        </w:rPr>
        <w:t>Tomczyk</w:t>
      </w:r>
      <w:proofErr w:type="spellEnd"/>
      <w:r w:rsidRPr="004E7CA1">
        <w:rPr>
          <w:rFonts w:ascii="Times New Roman" w:hAnsi="Times New Roman" w:cs="Times New Roman"/>
        </w:rPr>
        <w:t xml:space="preserve"> et al., 2020; Ahmed et al., 2024; Marin et al., 2025).</w:t>
      </w:r>
      <w:r w:rsidR="00CE52C6">
        <w:rPr>
          <w:rFonts w:ascii="Times New Roman" w:hAnsi="Times New Roman" w:cs="Times New Roman"/>
        </w:rPr>
        <w:t xml:space="preserve"> </w:t>
      </w:r>
      <w:r w:rsidRPr="004E7CA1">
        <w:rPr>
          <w:rFonts w:ascii="Times New Roman" w:hAnsi="Times New Roman" w:cs="Times New Roman"/>
        </w:rPr>
        <w:t>Residence time exhibited a comparatively smaller influence on ash accumulation compared with temperature. However, slight increases in ash content were observed with prolonged residence time, reflecting the continued volatilization of residual organic matter during extended thermal exposure (Junior et al., 2025; Chen et al., 2026).</w:t>
      </w:r>
      <w:r w:rsidR="00CE52C6">
        <w:rPr>
          <w:rFonts w:ascii="Times New Roman" w:hAnsi="Times New Roman" w:cs="Times New Roman"/>
        </w:rPr>
        <w:t xml:space="preserve"> </w:t>
      </w:r>
      <w:r w:rsidRPr="004E7CA1">
        <w:rPr>
          <w:rFonts w:ascii="Times New Roman" w:hAnsi="Times New Roman" w:cs="Times New Roman"/>
        </w:rPr>
        <w:t>From an agronomic perspective, the mineral fraction of biochar may provide beneficial effects when applied to soil systems. Ash components frequently contain essential plant nutrients such as potassium, calcium, and magnesium, which can contribute to improved soil fertility, enhanced cation exchange capacity, and increased soil pH (Lehmann &amp; Joseph, 2015; Ahmed et al., 2024; Zaidi et al., 2025). Nevertheless, excessive ash accumulation may reduce the relative carbon content of biochar and potentially diminish its long-term carbon sequestration potential.</w:t>
      </w:r>
      <w:r w:rsidR="00CE52C6">
        <w:rPr>
          <w:rFonts w:ascii="Times New Roman" w:hAnsi="Times New Roman" w:cs="Times New Roman"/>
        </w:rPr>
        <w:t xml:space="preserve"> </w:t>
      </w:r>
      <w:r w:rsidRPr="004E7CA1">
        <w:rPr>
          <w:rFonts w:ascii="Times New Roman" w:hAnsi="Times New Roman" w:cs="Times New Roman"/>
        </w:rPr>
        <w:t xml:space="preserve">Overall, the results demonstrate that pyrolysis temperature exerts a dominant influence on ash accumulation in biochar produced through drum-kiln pyrolysis. Increasing thermal severity leads to progressive mineral enrichment in the char </w:t>
      </w:r>
      <w:r w:rsidRPr="004E7CA1">
        <w:rPr>
          <w:rFonts w:ascii="Times New Roman" w:hAnsi="Times New Roman" w:cs="Times New Roman"/>
        </w:rPr>
        <w:lastRenderedPageBreak/>
        <w:t>matrix, thereby significantly influencing the physicochemical composition and functional properties of the resulting biochar.</w:t>
      </w:r>
    </w:p>
    <w:p w14:paraId="38A4325D" w14:textId="77777777" w:rsidR="00F32736" w:rsidRDefault="00F32736" w:rsidP="007328C4">
      <w:pPr>
        <w:jc w:val="both"/>
        <w:rPr>
          <w:rFonts w:ascii="Times New Roman" w:hAnsi="Times New Roman" w:cs="Times New Roman"/>
          <w:b/>
          <w:bCs/>
        </w:rPr>
      </w:pPr>
    </w:p>
    <w:p w14:paraId="2DB271B8" w14:textId="28AED223" w:rsidR="00E87372" w:rsidRDefault="00F32736" w:rsidP="007328C4">
      <w:pPr>
        <w:jc w:val="both"/>
        <w:rPr>
          <w:rFonts w:ascii="Times New Roman" w:hAnsi="Times New Roman" w:cs="Times New Roman"/>
          <w:b/>
          <w:bCs/>
        </w:rPr>
      </w:pPr>
      <w:r>
        <w:rPr>
          <w:rFonts w:ascii="Times New Roman" w:hAnsi="Times New Roman" w:cs="Times New Roman"/>
          <w:b/>
          <w:bCs/>
        </w:rPr>
        <w:t xml:space="preserve">Table </w:t>
      </w:r>
      <w:r w:rsidR="00AD4B0F" w:rsidRPr="00AD4B0F">
        <w:rPr>
          <w:rFonts w:ascii="Times New Roman" w:hAnsi="Times New Roman" w:cs="Times New Roman"/>
          <w:b/>
          <w:bCs/>
        </w:rPr>
        <w:t>1 Proximate characteristics of biomass feedstocks</w:t>
      </w:r>
    </w:p>
    <w:tbl>
      <w:tblPr>
        <w:tblStyle w:val="TableGrid"/>
        <w:tblW w:w="0" w:type="auto"/>
        <w:tblLook w:val="04A0" w:firstRow="1" w:lastRow="0" w:firstColumn="1" w:lastColumn="0" w:noHBand="0" w:noVBand="1"/>
      </w:tblPr>
      <w:tblGrid>
        <w:gridCol w:w="1835"/>
        <w:gridCol w:w="1835"/>
        <w:gridCol w:w="1835"/>
        <w:gridCol w:w="1835"/>
        <w:gridCol w:w="1836"/>
      </w:tblGrid>
      <w:tr w:rsidR="00E87372" w:rsidRPr="00E87372" w14:paraId="523C915D" w14:textId="77777777" w:rsidTr="000F389E">
        <w:trPr>
          <w:trHeight w:val="561"/>
        </w:trPr>
        <w:tc>
          <w:tcPr>
            <w:tcW w:w="1835" w:type="dxa"/>
          </w:tcPr>
          <w:p w14:paraId="78505958" w14:textId="733B2491"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b/>
                <w:bCs/>
                <w:sz w:val="24"/>
                <w:szCs w:val="24"/>
              </w:rPr>
              <w:t>Feedstock</w:t>
            </w:r>
          </w:p>
        </w:tc>
        <w:tc>
          <w:tcPr>
            <w:tcW w:w="1835" w:type="dxa"/>
          </w:tcPr>
          <w:p w14:paraId="3D808EFD" w14:textId="3EF6BC12"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b/>
                <w:bCs/>
                <w:sz w:val="24"/>
                <w:szCs w:val="24"/>
              </w:rPr>
              <w:t>Moisture (%)</w:t>
            </w:r>
          </w:p>
        </w:tc>
        <w:tc>
          <w:tcPr>
            <w:tcW w:w="1835" w:type="dxa"/>
          </w:tcPr>
          <w:p w14:paraId="07FA49DE" w14:textId="1A99DFE0"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b/>
                <w:bCs/>
                <w:sz w:val="24"/>
                <w:szCs w:val="24"/>
              </w:rPr>
              <w:t>Volatile Matter (%)</w:t>
            </w:r>
          </w:p>
        </w:tc>
        <w:tc>
          <w:tcPr>
            <w:tcW w:w="1835" w:type="dxa"/>
          </w:tcPr>
          <w:p w14:paraId="27F087D7" w14:textId="1C2E45FB"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b/>
                <w:bCs/>
                <w:sz w:val="24"/>
                <w:szCs w:val="24"/>
              </w:rPr>
              <w:t>Fixed Carbon (%)</w:t>
            </w:r>
          </w:p>
        </w:tc>
        <w:tc>
          <w:tcPr>
            <w:tcW w:w="1836" w:type="dxa"/>
          </w:tcPr>
          <w:p w14:paraId="519813CD" w14:textId="363F6B1A"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b/>
                <w:bCs/>
                <w:sz w:val="24"/>
                <w:szCs w:val="24"/>
              </w:rPr>
              <w:t>Ash (%)</w:t>
            </w:r>
          </w:p>
        </w:tc>
      </w:tr>
      <w:tr w:rsidR="00E87372" w:rsidRPr="00E87372" w14:paraId="7879730B" w14:textId="77777777" w:rsidTr="00DD27A1">
        <w:trPr>
          <w:trHeight w:val="561"/>
        </w:trPr>
        <w:tc>
          <w:tcPr>
            <w:tcW w:w="1835" w:type="dxa"/>
          </w:tcPr>
          <w:p w14:paraId="78A17A38" w14:textId="79D8F318" w:rsidR="00E87372" w:rsidRPr="00E87372" w:rsidRDefault="00E87372" w:rsidP="007328C4">
            <w:pPr>
              <w:jc w:val="both"/>
              <w:rPr>
                <w:rFonts w:ascii="Times New Roman" w:hAnsi="Times New Roman" w:cs="Times New Roman"/>
                <w:b/>
                <w:bCs/>
                <w:i/>
                <w:iCs/>
                <w:sz w:val="24"/>
                <w:szCs w:val="24"/>
              </w:rPr>
            </w:pPr>
            <w:proofErr w:type="spellStart"/>
            <w:r w:rsidRPr="00E87372">
              <w:rPr>
                <w:rFonts w:ascii="Times New Roman" w:hAnsi="Times New Roman" w:cs="Times New Roman"/>
                <w:i/>
                <w:iCs/>
                <w:sz w:val="24"/>
                <w:szCs w:val="24"/>
              </w:rPr>
              <w:t>Conocarpus</w:t>
            </w:r>
            <w:proofErr w:type="spellEnd"/>
            <w:r w:rsidRPr="00E87372">
              <w:rPr>
                <w:rFonts w:ascii="Times New Roman" w:hAnsi="Times New Roman" w:cs="Times New Roman"/>
                <w:i/>
                <w:iCs/>
                <w:sz w:val="24"/>
                <w:szCs w:val="24"/>
              </w:rPr>
              <w:t xml:space="preserve"> erectus</w:t>
            </w:r>
          </w:p>
        </w:tc>
        <w:tc>
          <w:tcPr>
            <w:tcW w:w="1835" w:type="dxa"/>
            <w:vAlign w:val="center"/>
          </w:tcPr>
          <w:p w14:paraId="65DAA396" w14:textId="1A43F583" w:rsidR="00E87372" w:rsidRPr="00E87372" w:rsidRDefault="00195441" w:rsidP="00DD27A1">
            <w:pPr>
              <w:jc w:val="center"/>
              <w:rPr>
                <w:rFonts w:ascii="Times New Roman" w:hAnsi="Times New Roman" w:cs="Times New Roman"/>
                <w:b/>
                <w:bCs/>
                <w:sz w:val="24"/>
                <w:szCs w:val="24"/>
              </w:rPr>
            </w:pPr>
            <w:r>
              <w:rPr>
                <w:rFonts w:ascii="Times New Roman" w:hAnsi="Times New Roman" w:cs="Times New Roman"/>
                <w:sz w:val="24"/>
                <w:szCs w:val="24"/>
              </w:rPr>
              <w:t>5.27</w:t>
            </w:r>
            <w:r w:rsidR="00E87372" w:rsidRPr="00E87372">
              <w:rPr>
                <w:rFonts w:ascii="Times New Roman" w:hAnsi="Times New Roman" w:cs="Times New Roman"/>
                <w:sz w:val="24"/>
                <w:szCs w:val="24"/>
              </w:rPr>
              <w:t xml:space="preserve"> ±0.</w:t>
            </w:r>
            <w:r>
              <w:rPr>
                <w:rFonts w:ascii="Times New Roman" w:hAnsi="Times New Roman" w:cs="Times New Roman"/>
                <w:sz w:val="24"/>
                <w:szCs w:val="24"/>
              </w:rPr>
              <w:t>25</w:t>
            </w:r>
          </w:p>
        </w:tc>
        <w:tc>
          <w:tcPr>
            <w:tcW w:w="1835" w:type="dxa"/>
            <w:vAlign w:val="center"/>
          </w:tcPr>
          <w:p w14:paraId="0FC2AB67" w14:textId="0A76D335"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74.5 ±0.8</w:t>
            </w:r>
          </w:p>
        </w:tc>
        <w:tc>
          <w:tcPr>
            <w:tcW w:w="1835" w:type="dxa"/>
            <w:vAlign w:val="center"/>
          </w:tcPr>
          <w:p w14:paraId="3A365633" w14:textId="2BEA46F5" w:rsidR="00E87372" w:rsidRPr="00E87372" w:rsidRDefault="000D4E9D" w:rsidP="00DD27A1">
            <w:pPr>
              <w:jc w:val="center"/>
              <w:rPr>
                <w:rFonts w:ascii="Times New Roman" w:hAnsi="Times New Roman" w:cs="Times New Roman"/>
                <w:b/>
                <w:bCs/>
                <w:sz w:val="24"/>
                <w:szCs w:val="24"/>
              </w:rPr>
            </w:pPr>
            <w:r>
              <w:rPr>
                <w:rFonts w:ascii="Times New Roman" w:hAnsi="Times New Roman" w:cs="Times New Roman"/>
                <w:sz w:val="24"/>
                <w:szCs w:val="24"/>
              </w:rPr>
              <w:t>15.17</w:t>
            </w:r>
            <w:r w:rsidR="00E87372" w:rsidRPr="00E87372">
              <w:rPr>
                <w:rFonts w:ascii="Times New Roman" w:hAnsi="Times New Roman" w:cs="Times New Roman"/>
                <w:sz w:val="24"/>
                <w:szCs w:val="24"/>
              </w:rPr>
              <w:t xml:space="preserve"> ±0.</w:t>
            </w:r>
            <w:r>
              <w:rPr>
                <w:rFonts w:ascii="Times New Roman" w:hAnsi="Times New Roman" w:cs="Times New Roman"/>
                <w:sz w:val="24"/>
                <w:szCs w:val="24"/>
              </w:rPr>
              <w:t>6</w:t>
            </w:r>
          </w:p>
        </w:tc>
        <w:tc>
          <w:tcPr>
            <w:tcW w:w="1836" w:type="dxa"/>
            <w:vAlign w:val="center"/>
          </w:tcPr>
          <w:p w14:paraId="5195BCD1" w14:textId="43237BAE"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5.</w:t>
            </w:r>
            <w:r w:rsidR="00195441">
              <w:rPr>
                <w:rFonts w:ascii="Times New Roman" w:hAnsi="Times New Roman" w:cs="Times New Roman"/>
                <w:sz w:val="24"/>
                <w:szCs w:val="24"/>
              </w:rPr>
              <w:t>06</w:t>
            </w:r>
            <w:r w:rsidRPr="00E87372">
              <w:rPr>
                <w:rFonts w:ascii="Times New Roman" w:hAnsi="Times New Roman" w:cs="Times New Roman"/>
                <w:sz w:val="24"/>
                <w:szCs w:val="24"/>
              </w:rPr>
              <w:t xml:space="preserve"> ±0.</w:t>
            </w:r>
            <w:r w:rsidR="00195441">
              <w:rPr>
                <w:rFonts w:ascii="Times New Roman" w:hAnsi="Times New Roman" w:cs="Times New Roman"/>
                <w:sz w:val="24"/>
                <w:szCs w:val="24"/>
              </w:rPr>
              <w:t>7</w:t>
            </w:r>
          </w:p>
        </w:tc>
      </w:tr>
      <w:tr w:rsidR="00E87372" w:rsidRPr="00E87372" w14:paraId="46588806" w14:textId="77777777" w:rsidTr="00DD27A1">
        <w:trPr>
          <w:trHeight w:val="561"/>
        </w:trPr>
        <w:tc>
          <w:tcPr>
            <w:tcW w:w="1835" w:type="dxa"/>
          </w:tcPr>
          <w:p w14:paraId="663F5405" w14:textId="49A97DEE"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sz w:val="24"/>
                <w:szCs w:val="24"/>
              </w:rPr>
              <w:t>Eucalyptus branches</w:t>
            </w:r>
          </w:p>
        </w:tc>
        <w:tc>
          <w:tcPr>
            <w:tcW w:w="1835" w:type="dxa"/>
            <w:vAlign w:val="center"/>
          </w:tcPr>
          <w:p w14:paraId="26873ABB" w14:textId="0650F2B3"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8.7 ±0.4</w:t>
            </w:r>
          </w:p>
        </w:tc>
        <w:tc>
          <w:tcPr>
            <w:tcW w:w="1835" w:type="dxa"/>
            <w:vAlign w:val="center"/>
          </w:tcPr>
          <w:p w14:paraId="2CE4D587" w14:textId="6A7B6B55"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72.8 ±0.7</w:t>
            </w:r>
          </w:p>
        </w:tc>
        <w:tc>
          <w:tcPr>
            <w:tcW w:w="1835" w:type="dxa"/>
            <w:vAlign w:val="center"/>
          </w:tcPr>
          <w:p w14:paraId="61E05B5B" w14:textId="3961F139" w:rsidR="00E87372" w:rsidRPr="00E87372" w:rsidRDefault="000D4E9D" w:rsidP="00DD27A1">
            <w:pPr>
              <w:jc w:val="center"/>
              <w:rPr>
                <w:rFonts w:ascii="Times New Roman" w:hAnsi="Times New Roman" w:cs="Times New Roman"/>
                <w:b/>
                <w:bCs/>
                <w:sz w:val="24"/>
                <w:szCs w:val="24"/>
              </w:rPr>
            </w:pPr>
            <w:r>
              <w:rPr>
                <w:rFonts w:ascii="Times New Roman" w:hAnsi="Times New Roman" w:cs="Times New Roman"/>
                <w:sz w:val="24"/>
                <w:szCs w:val="24"/>
              </w:rPr>
              <w:t>13.20</w:t>
            </w:r>
            <w:r w:rsidR="00E87372" w:rsidRPr="00E87372">
              <w:rPr>
                <w:rFonts w:ascii="Times New Roman" w:hAnsi="Times New Roman" w:cs="Times New Roman"/>
                <w:sz w:val="24"/>
                <w:szCs w:val="24"/>
              </w:rPr>
              <w:t xml:space="preserve"> ±0.6</w:t>
            </w:r>
          </w:p>
        </w:tc>
        <w:tc>
          <w:tcPr>
            <w:tcW w:w="1836" w:type="dxa"/>
            <w:vAlign w:val="center"/>
          </w:tcPr>
          <w:p w14:paraId="771D9E8D" w14:textId="4F1394B4"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5.3 ±0.4</w:t>
            </w:r>
          </w:p>
        </w:tc>
      </w:tr>
      <w:tr w:rsidR="00E87372" w:rsidRPr="00E87372" w14:paraId="512E1608" w14:textId="77777777" w:rsidTr="00DD27A1">
        <w:trPr>
          <w:trHeight w:val="561"/>
        </w:trPr>
        <w:tc>
          <w:tcPr>
            <w:tcW w:w="1835" w:type="dxa"/>
          </w:tcPr>
          <w:p w14:paraId="4D67314F" w14:textId="3D3C9821"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sz w:val="24"/>
                <w:szCs w:val="24"/>
              </w:rPr>
              <w:t>Acacia pruning residues</w:t>
            </w:r>
          </w:p>
        </w:tc>
        <w:tc>
          <w:tcPr>
            <w:tcW w:w="1835" w:type="dxa"/>
            <w:vAlign w:val="center"/>
          </w:tcPr>
          <w:p w14:paraId="0ADB8975" w14:textId="58A5028D"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9.1 ±0.5</w:t>
            </w:r>
          </w:p>
        </w:tc>
        <w:tc>
          <w:tcPr>
            <w:tcW w:w="1835" w:type="dxa"/>
            <w:vAlign w:val="center"/>
          </w:tcPr>
          <w:p w14:paraId="2334F43E" w14:textId="4D5FCFE3"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71.6 ±0.9</w:t>
            </w:r>
          </w:p>
        </w:tc>
        <w:tc>
          <w:tcPr>
            <w:tcW w:w="1835" w:type="dxa"/>
            <w:vAlign w:val="center"/>
          </w:tcPr>
          <w:p w14:paraId="418AC4D7" w14:textId="67F30E32" w:rsidR="00E87372" w:rsidRPr="00E87372" w:rsidRDefault="000D4E9D" w:rsidP="00DD27A1">
            <w:pPr>
              <w:jc w:val="center"/>
              <w:rPr>
                <w:rFonts w:ascii="Times New Roman" w:hAnsi="Times New Roman" w:cs="Times New Roman"/>
                <w:b/>
                <w:bCs/>
                <w:sz w:val="24"/>
                <w:szCs w:val="24"/>
              </w:rPr>
            </w:pPr>
            <w:r>
              <w:rPr>
                <w:rFonts w:ascii="Times New Roman" w:hAnsi="Times New Roman" w:cs="Times New Roman"/>
                <w:sz w:val="24"/>
                <w:szCs w:val="24"/>
              </w:rPr>
              <w:t>13.70</w:t>
            </w:r>
            <w:r w:rsidR="00E87372" w:rsidRPr="00E87372">
              <w:rPr>
                <w:rFonts w:ascii="Times New Roman" w:hAnsi="Times New Roman" w:cs="Times New Roman"/>
                <w:sz w:val="24"/>
                <w:szCs w:val="24"/>
              </w:rPr>
              <w:t xml:space="preserve"> ±0.7</w:t>
            </w:r>
          </w:p>
        </w:tc>
        <w:tc>
          <w:tcPr>
            <w:tcW w:w="1836" w:type="dxa"/>
            <w:vAlign w:val="center"/>
          </w:tcPr>
          <w:p w14:paraId="03AE4F8A" w14:textId="5C0E9B4B"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5.6 ±0.4</w:t>
            </w:r>
          </w:p>
        </w:tc>
      </w:tr>
      <w:tr w:rsidR="00E87372" w:rsidRPr="00E87372" w14:paraId="31ADCE3B" w14:textId="77777777" w:rsidTr="00DD27A1">
        <w:trPr>
          <w:trHeight w:val="280"/>
        </w:trPr>
        <w:tc>
          <w:tcPr>
            <w:tcW w:w="1835" w:type="dxa"/>
          </w:tcPr>
          <w:p w14:paraId="701013E2" w14:textId="37686D94"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sz w:val="24"/>
                <w:szCs w:val="24"/>
              </w:rPr>
              <w:t>Rice straw</w:t>
            </w:r>
          </w:p>
        </w:tc>
        <w:tc>
          <w:tcPr>
            <w:tcW w:w="1835" w:type="dxa"/>
            <w:vAlign w:val="center"/>
          </w:tcPr>
          <w:p w14:paraId="33D7C348" w14:textId="3C409EBB"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9.5 ±0.4</w:t>
            </w:r>
          </w:p>
        </w:tc>
        <w:tc>
          <w:tcPr>
            <w:tcW w:w="1835" w:type="dxa"/>
            <w:vAlign w:val="center"/>
          </w:tcPr>
          <w:p w14:paraId="776B767F" w14:textId="16164F37"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68.3 ±0.8</w:t>
            </w:r>
          </w:p>
        </w:tc>
        <w:tc>
          <w:tcPr>
            <w:tcW w:w="1835" w:type="dxa"/>
            <w:vAlign w:val="center"/>
          </w:tcPr>
          <w:p w14:paraId="70ADE211" w14:textId="484F9D79" w:rsidR="00E87372" w:rsidRPr="00E87372" w:rsidRDefault="000D4E9D" w:rsidP="00DD27A1">
            <w:pPr>
              <w:jc w:val="center"/>
              <w:rPr>
                <w:rFonts w:ascii="Times New Roman" w:hAnsi="Times New Roman" w:cs="Times New Roman"/>
                <w:b/>
                <w:bCs/>
                <w:sz w:val="24"/>
                <w:szCs w:val="24"/>
              </w:rPr>
            </w:pPr>
            <w:r>
              <w:rPr>
                <w:rFonts w:ascii="Times New Roman" w:hAnsi="Times New Roman" w:cs="Times New Roman"/>
                <w:sz w:val="24"/>
                <w:szCs w:val="24"/>
              </w:rPr>
              <w:t>5.10</w:t>
            </w:r>
            <w:r w:rsidR="00E87372" w:rsidRPr="00E87372">
              <w:rPr>
                <w:rFonts w:ascii="Times New Roman" w:hAnsi="Times New Roman" w:cs="Times New Roman"/>
                <w:sz w:val="24"/>
                <w:szCs w:val="24"/>
              </w:rPr>
              <w:t xml:space="preserve"> ±0.5</w:t>
            </w:r>
          </w:p>
        </w:tc>
        <w:tc>
          <w:tcPr>
            <w:tcW w:w="1836" w:type="dxa"/>
            <w:vAlign w:val="center"/>
          </w:tcPr>
          <w:p w14:paraId="59C690CC" w14:textId="5236A18F"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17.1 ±0.6</w:t>
            </w:r>
          </w:p>
        </w:tc>
      </w:tr>
      <w:tr w:rsidR="00E87372" w:rsidRPr="00E87372" w14:paraId="4AD248DE" w14:textId="77777777" w:rsidTr="00DD27A1">
        <w:trPr>
          <w:trHeight w:val="280"/>
        </w:trPr>
        <w:tc>
          <w:tcPr>
            <w:tcW w:w="1835" w:type="dxa"/>
          </w:tcPr>
          <w:p w14:paraId="73CD8B64" w14:textId="14E0C218"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sz w:val="24"/>
                <w:szCs w:val="24"/>
              </w:rPr>
              <w:t>Wheat straw</w:t>
            </w:r>
          </w:p>
        </w:tc>
        <w:tc>
          <w:tcPr>
            <w:tcW w:w="1835" w:type="dxa"/>
            <w:vAlign w:val="center"/>
          </w:tcPr>
          <w:p w14:paraId="2F6972FD" w14:textId="0D82CFB7"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9.2 ±0.3</w:t>
            </w:r>
          </w:p>
        </w:tc>
        <w:tc>
          <w:tcPr>
            <w:tcW w:w="1835" w:type="dxa"/>
            <w:vAlign w:val="center"/>
          </w:tcPr>
          <w:p w14:paraId="7B6D30E5" w14:textId="6E674D69"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69.1 ±0.7</w:t>
            </w:r>
          </w:p>
        </w:tc>
        <w:tc>
          <w:tcPr>
            <w:tcW w:w="1835" w:type="dxa"/>
            <w:vAlign w:val="center"/>
          </w:tcPr>
          <w:p w14:paraId="26F9AAFE" w14:textId="23408274" w:rsidR="00E87372" w:rsidRPr="00E87372" w:rsidRDefault="000D4E9D" w:rsidP="00DD27A1">
            <w:pPr>
              <w:jc w:val="center"/>
              <w:rPr>
                <w:rFonts w:ascii="Times New Roman" w:hAnsi="Times New Roman" w:cs="Times New Roman"/>
                <w:b/>
                <w:bCs/>
                <w:sz w:val="24"/>
                <w:szCs w:val="24"/>
              </w:rPr>
            </w:pPr>
            <w:r>
              <w:rPr>
                <w:rFonts w:ascii="Times New Roman" w:hAnsi="Times New Roman" w:cs="Times New Roman"/>
                <w:sz w:val="24"/>
                <w:szCs w:val="24"/>
              </w:rPr>
              <w:t>7.10</w:t>
            </w:r>
            <w:r w:rsidR="00E87372" w:rsidRPr="00E87372">
              <w:rPr>
                <w:rFonts w:ascii="Times New Roman" w:hAnsi="Times New Roman" w:cs="Times New Roman"/>
                <w:sz w:val="24"/>
                <w:szCs w:val="24"/>
              </w:rPr>
              <w:t xml:space="preserve"> ±0.6</w:t>
            </w:r>
          </w:p>
        </w:tc>
        <w:tc>
          <w:tcPr>
            <w:tcW w:w="1836" w:type="dxa"/>
            <w:vAlign w:val="center"/>
          </w:tcPr>
          <w:p w14:paraId="53219808" w14:textId="1AA3F455"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14.6 ±0.5</w:t>
            </w:r>
          </w:p>
        </w:tc>
      </w:tr>
      <w:tr w:rsidR="00E87372" w:rsidRPr="00E87372" w14:paraId="05BF41DB" w14:textId="77777777" w:rsidTr="00DD27A1">
        <w:trPr>
          <w:trHeight w:val="289"/>
        </w:trPr>
        <w:tc>
          <w:tcPr>
            <w:tcW w:w="1835" w:type="dxa"/>
          </w:tcPr>
          <w:p w14:paraId="74635514" w14:textId="1EE11362"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sz w:val="24"/>
                <w:szCs w:val="24"/>
              </w:rPr>
              <w:t>Pigeon-pea stalks</w:t>
            </w:r>
          </w:p>
        </w:tc>
        <w:tc>
          <w:tcPr>
            <w:tcW w:w="1835" w:type="dxa"/>
            <w:vAlign w:val="center"/>
          </w:tcPr>
          <w:p w14:paraId="21C3DD79" w14:textId="3BB15A6A"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8.9 ±0.4</w:t>
            </w:r>
          </w:p>
        </w:tc>
        <w:tc>
          <w:tcPr>
            <w:tcW w:w="1835" w:type="dxa"/>
            <w:vAlign w:val="center"/>
          </w:tcPr>
          <w:p w14:paraId="72143283" w14:textId="1DE656BF"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70.4 ±0.8</w:t>
            </w:r>
          </w:p>
        </w:tc>
        <w:tc>
          <w:tcPr>
            <w:tcW w:w="1835" w:type="dxa"/>
            <w:vAlign w:val="center"/>
          </w:tcPr>
          <w:p w14:paraId="0BE2B757" w14:textId="7CDF5B1F" w:rsidR="00E87372" w:rsidRPr="00E87372" w:rsidRDefault="000D4E9D" w:rsidP="00DD27A1">
            <w:pPr>
              <w:jc w:val="center"/>
              <w:rPr>
                <w:rFonts w:ascii="Times New Roman" w:hAnsi="Times New Roman" w:cs="Times New Roman"/>
                <w:b/>
                <w:bCs/>
                <w:sz w:val="24"/>
                <w:szCs w:val="24"/>
              </w:rPr>
            </w:pPr>
            <w:r>
              <w:rPr>
                <w:rFonts w:ascii="Times New Roman" w:hAnsi="Times New Roman" w:cs="Times New Roman"/>
                <w:sz w:val="24"/>
                <w:szCs w:val="24"/>
              </w:rPr>
              <w:t>9.80</w:t>
            </w:r>
            <w:r w:rsidR="00E87372" w:rsidRPr="00E87372">
              <w:rPr>
                <w:rFonts w:ascii="Times New Roman" w:hAnsi="Times New Roman" w:cs="Times New Roman"/>
                <w:sz w:val="24"/>
                <w:szCs w:val="24"/>
              </w:rPr>
              <w:t xml:space="preserve"> ±0.6</w:t>
            </w:r>
          </w:p>
        </w:tc>
        <w:tc>
          <w:tcPr>
            <w:tcW w:w="1836" w:type="dxa"/>
            <w:vAlign w:val="center"/>
          </w:tcPr>
          <w:p w14:paraId="13A03FE0" w14:textId="4FFB9A31"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10.9 ±0.4</w:t>
            </w:r>
          </w:p>
        </w:tc>
      </w:tr>
    </w:tbl>
    <w:p w14:paraId="65A57469" w14:textId="30787EDE" w:rsidR="00E87372" w:rsidRPr="00E87372" w:rsidRDefault="00E87372" w:rsidP="007328C4">
      <w:pPr>
        <w:jc w:val="both"/>
        <w:rPr>
          <w:rFonts w:ascii="Times New Roman" w:hAnsi="Times New Roman" w:cs="Times New Roman"/>
        </w:rPr>
      </w:pPr>
      <w:r w:rsidRPr="00E87372">
        <w:rPr>
          <w:rFonts w:ascii="Times New Roman" w:hAnsi="Times New Roman" w:cs="Times New Roman"/>
        </w:rPr>
        <w:t>Values are expressed as mean ± standard deviation (n = 3).</w:t>
      </w:r>
    </w:p>
    <w:p w14:paraId="5FBE3E94" w14:textId="3353627F" w:rsidR="00AD4B0F" w:rsidRPr="00AD4B0F" w:rsidRDefault="00F32736" w:rsidP="007328C4">
      <w:pPr>
        <w:jc w:val="both"/>
        <w:rPr>
          <w:rFonts w:ascii="Times New Roman" w:hAnsi="Times New Roman" w:cs="Times New Roman"/>
          <w:b/>
          <w:bCs/>
        </w:rPr>
      </w:pPr>
      <w:r>
        <w:rPr>
          <w:rFonts w:ascii="Times New Roman" w:hAnsi="Times New Roman" w:cs="Times New Roman"/>
          <w:b/>
          <w:bCs/>
        </w:rPr>
        <w:t xml:space="preserve">Table </w:t>
      </w:r>
      <w:r w:rsidR="006D2F52">
        <w:rPr>
          <w:rFonts w:ascii="Times New Roman" w:hAnsi="Times New Roman" w:cs="Times New Roman"/>
          <w:b/>
          <w:bCs/>
        </w:rPr>
        <w:t xml:space="preserve">2 </w:t>
      </w:r>
      <w:r w:rsidR="006D2F52" w:rsidRPr="006D2F52">
        <w:rPr>
          <w:rFonts w:ascii="Times New Roman" w:hAnsi="Times New Roman" w:cs="Times New Roman"/>
          <w:b/>
          <w:bCs/>
        </w:rPr>
        <w:t>Effect of pyrolysis temperature and residence time on biochar yield (%) obtained from drum-kiln pyrolysis.</w:t>
      </w:r>
    </w:p>
    <w:tbl>
      <w:tblPr>
        <w:tblStyle w:val="TableGrid"/>
        <w:tblW w:w="0" w:type="auto"/>
        <w:tblLook w:val="04A0" w:firstRow="1" w:lastRow="0" w:firstColumn="1" w:lastColumn="0" w:noHBand="0" w:noVBand="1"/>
      </w:tblPr>
      <w:tblGrid>
        <w:gridCol w:w="1899"/>
        <w:gridCol w:w="1899"/>
        <w:gridCol w:w="1899"/>
        <w:gridCol w:w="1899"/>
        <w:gridCol w:w="1900"/>
      </w:tblGrid>
      <w:tr w:rsidR="006D2F52" w14:paraId="48860D15" w14:textId="77777777" w:rsidTr="00E81C45">
        <w:trPr>
          <w:trHeight w:val="502"/>
        </w:trPr>
        <w:tc>
          <w:tcPr>
            <w:tcW w:w="1899" w:type="dxa"/>
            <w:vAlign w:val="center"/>
          </w:tcPr>
          <w:p w14:paraId="6C1BC0FA" w14:textId="20E38AB0" w:rsidR="006D2F52" w:rsidRDefault="006D2F52" w:rsidP="007328C4">
            <w:pPr>
              <w:jc w:val="both"/>
              <w:rPr>
                <w:rFonts w:ascii="Times New Roman" w:hAnsi="Times New Roman" w:cs="Times New Roman"/>
                <w:b/>
                <w:bCs/>
              </w:rPr>
            </w:pPr>
            <w:r w:rsidRPr="00AD4B0F">
              <w:rPr>
                <w:rFonts w:ascii="Times New Roman" w:hAnsi="Times New Roman" w:cs="Times New Roman"/>
                <w:b/>
                <w:bCs/>
              </w:rPr>
              <w:t>Temperature (°C)</w:t>
            </w:r>
          </w:p>
        </w:tc>
        <w:tc>
          <w:tcPr>
            <w:tcW w:w="1899" w:type="dxa"/>
            <w:vAlign w:val="center"/>
          </w:tcPr>
          <w:p w14:paraId="7FC72DBA" w14:textId="2D7F5BBF" w:rsidR="006D2F52" w:rsidRDefault="00E62A43" w:rsidP="00E62A43">
            <w:pPr>
              <w:rPr>
                <w:rFonts w:ascii="Times New Roman" w:hAnsi="Times New Roman" w:cs="Times New Roman"/>
                <w:b/>
                <w:bCs/>
              </w:rPr>
            </w:pPr>
            <w:r>
              <w:rPr>
                <w:rFonts w:ascii="Times New Roman" w:hAnsi="Times New Roman" w:cs="Times New Roman"/>
                <w:b/>
                <w:bCs/>
              </w:rPr>
              <w:t xml:space="preserve">Residence time </w:t>
            </w:r>
            <w:r w:rsidR="006D2F52" w:rsidRPr="00AD4B0F">
              <w:rPr>
                <w:rFonts w:ascii="Times New Roman" w:hAnsi="Times New Roman" w:cs="Times New Roman"/>
                <w:b/>
                <w:bCs/>
              </w:rPr>
              <w:t>30 min</w:t>
            </w:r>
          </w:p>
        </w:tc>
        <w:tc>
          <w:tcPr>
            <w:tcW w:w="1899" w:type="dxa"/>
            <w:vAlign w:val="center"/>
          </w:tcPr>
          <w:p w14:paraId="173242F7" w14:textId="0EBA865E" w:rsidR="006D2F52" w:rsidRDefault="006D2F52" w:rsidP="00E81C45">
            <w:pPr>
              <w:jc w:val="center"/>
              <w:rPr>
                <w:rFonts w:ascii="Times New Roman" w:hAnsi="Times New Roman" w:cs="Times New Roman"/>
                <w:b/>
                <w:bCs/>
              </w:rPr>
            </w:pPr>
            <w:r w:rsidRPr="00AD4B0F">
              <w:rPr>
                <w:rFonts w:ascii="Times New Roman" w:hAnsi="Times New Roman" w:cs="Times New Roman"/>
                <w:b/>
                <w:bCs/>
              </w:rPr>
              <w:t>60 min</w:t>
            </w:r>
          </w:p>
        </w:tc>
        <w:tc>
          <w:tcPr>
            <w:tcW w:w="1899" w:type="dxa"/>
            <w:vAlign w:val="center"/>
          </w:tcPr>
          <w:p w14:paraId="7E3FC416" w14:textId="24C17B86" w:rsidR="006D2F52" w:rsidRDefault="006D2F52" w:rsidP="00E81C45">
            <w:pPr>
              <w:jc w:val="center"/>
              <w:rPr>
                <w:rFonts w:ascii="Times New Roman" w:hAnsi="Times New Roman" w:cs="Times New Roman"/>
                <w:b/>
                <w:bCs/>
              </w:rPr>
            </w:pPr>
            <w:r w:rsidRPr="00AD4B0F">
              <w:rPr>
                <w:rFonts w:ascii="Times New Roman" w:hAnsi="Times New Roman" w:cs="Times New Roman"/>
                <w:b/>
                <w:bCs/>
              </w:rPr>
              <w:t>90 min</w:t>
            </w:r>
          </w:p>
        </w:tc>
        <w:tc>
          <w:tcPr>
            <w:tcW w:w="1900" w:type="dxa"/>
            <w:vAlign w:val="center"/>
          </w:tcPr>
          <w:p w14:paraId="6F526F55" w14:textId="2DAC8013" w:rsidR="006D2F52" w:rsidRDefault="006D2F52" w:rsidP="00E81C45">
            <w:pPr>
              <w:jc w:val="center"/>
              <w:rPr>
                <w:rFonts w:ascii="Times New Roman" w:hAnsi="Times New Roman" w:cs="Times New Roman"/>
                <w:b/>
                <w:bCs/>
              </w:rPr>
            </w:pPr>
            <w:r w:rsidRPr="00AD4B0F">
              <w:rPr>
                <w:rFonts w:ascii="Times New Roman" w:hAnsi="Times New Roman" w:cs="Times New Roman"/>
                <w:b/>
                <w:bCs/>
              </w:rPr>
              <w:t>120 min</w:t>
            </w:r>
          </w:p>
        </w:tc>
      </w:tr>
      <w:tr w:rsidR="006D2F52" w14:paraId="405350EA" w14:textId="77777777" w:rsidTr="00E81C45">
        <w:trPr>
          <w:trHeight w:val="502"/>
        </w:trPr>
        <w:tc>
          <w:tcPr>
            <w:tcW w:w="1899" w:type="dxa"/>
            <w:vAlign w:val="center"/>
          </w:tcPr>
          <w:p w14:paraId="59B0CC8C" w14:textId="12E1B91B" w:rsidR="006D2F52" w:rsidRDefault="006D2F52" w:rsidP="00E81C45">
            <w:pPr>
              <w:jc w:val="center"/>
              <w:rPr>
                <w:rFonts w:ascii="Times New Roman" w:hAnsi="Times New Roman" w:cs="Times New Roman"/>
                <w:b/>
                <w:bCs/>
              </w:rPr>
            </w:pPr>
            <w:r w:rsidRPr="00AD4B0F">
              <w:rPr>
                <w:rFonts w:ascii="Times New Roman" w:hAnsi="Times New Roman" w:cs="Times New Roman"/>
              </w:rPr>
              <w:t>350</w:t>
            </w:r>
          </w:p>
        </w:tc>
        <w:tc>
          <w:tcPr>
            <w:tcW w:w="1899" w:type="dxa"/>
            <w:vAlign w:val="center"/>
          </w:tcPr>
          <w:p w14:paraId="6EA4029B" w14:textId="78870B22" w:rsidR="006D2F52" w:rsidRDefault="006D2F52" w:rsidP="00E81C45">
            <w:pPr>
              <w:jc w:val="center"/>
              <w:rPr>
                <w:rFonts w:ascii="Times New Roman" w:hAnsi="Times New Roman" w:cs="Times New Roman"/>
                <w:b/>
                <w:bCs/>
              </w:rPr>
            </w:pPr>
            <w:r w:rsidRPr="00AD4B0F">
              <w:rPr>
                <w:rFonts w:ascii="Times New Roman" w:hAnsi="Times New Roman" w:cs="Times New Roman"/>
              </w:rPr>
              <w:t>39.8 ±0.6</w:t>
            </w:r>
          </w:p>
        </w:tc>
        <w:tc>
          <w:tcPr>
            <w:tcW w:w="1899" w:type="dxa"/>
            <w:vAlign w:val="center"/>
          </w:tcPr>
          <w:p w14:paraId="2504D5CB" w14:textId="6FC31EBF" w:rsidR="006D2F52" w:rsidRDefault="006D2F52" w:rsidP="00E81C45">
            <w:pPr>
              <w:jc w:val="center"/>
              <w:rPr>
                <w:rFonts w:ascii="Times New Roman" w:hAnsi="Times New Roman" w:cs="Times New Roman"/>
                <w:b/>
                <w:bCs/>
              </w:rPr>
            </w:pPr>
            <w:r w:rsidRPr="00AD4B0F">
              <w:rPr>
                <w:rFonts w:ascii="Times New Roman" w:hAnsi="Times New Roman" w:cs="Times New Roman"/>
              </w:rPr>
              <w:t>37.9 ±0.5</w:t>
            </w:r>
          </w:p>
        </w:tc>
        <w:tc>
          <w:tcPr>
            <w:tcW w:w="1899" w:type="dxa"/>
            <w:vAlign w:val="center"/>
          </w:tcPr>
          <w:p w14:paraId="458A8C5C" w14:textId="2B7F67EB" w:rsidR="006D2F52" w:rsidRDefault="006D2F52" w:rsidP="00E81C45">
            <w:pPr>
              <w:jc w:val="center"/>
              <w:rPr>
                <w:rFonts w:ascii="Times New Roman" w:hAnsi="Times New Roman" w:cs="Times New Roman"/>
                <w:b/>
                <w:bCs/>
              </w:rPr>
            </w:pPr>
            <w:r w:rsidRPr="00AD4B0F">
              <w:rPr>
                <w:rFonts w:ascii="Times New Roman" w:hAnsi="Times New Roman" w:cs="Times New Roman"/>
              </w:rPr>
              <w:t>36.2 ±0.7</w:t>
            </w:r>
          </w:p>
        </w:tc>
        <w:tc>
          <w:tcPr>
            <w:tcW w:w="1900" w:type="dxa"/>
            <w:vAlign w:val="center"/>
          </w:tcPr>
          <w:p w14:paraId="6F37876D" w14:textId="51C276D1" w:rsidR="006D2F52" w:rsidRDefault="006D2F52" w:rsidP="00E81C45">
            <w:pPr>
              <w:jc w:val="center"/>
              <w:rPr>
                <w:rFonts w:ascii="Times New Roman" w:hAnsi="Times New Roman" w:cs="Times New Roman"/>
                <w:b/>
                <w:bCs/>
              </w:rPr>
            </w:pPr>
            <w:r w:rsidRPr="00AD4B0F">
              <w:rPr>
                <w:rFonts w:ascii="Times New Roman" w:hAnsi="Times New Roman" w:cs="Times New Roman"/>
              </w:rPr>
              <w:t>34.7 ±0.8</w:t>
            </w:r>
          </w:p>
        </w:tc>
      </w:tr>
      <w:tr w:rsidR="006D2F52" w14:paraId="34562E81" w14:textId="77777777" w:rsidTr="00E81C45">
        <w:trPr>
          <w:trHeight w:val="502"/>
        </w:trPr>
        <w:tc>
          <w:tcPr>
            <w:tcW w:w="1899" w:type="dxa"/>
            <w:vAlign w:val="center"/>
          </w:tcPr>
          <w:p w14:paraId="575405A3" w14:textId="2C54FE9A" w:rsidR="006D2F52" w:rsidRDefault="006D2F52" w:rsidP="00E81C45">
            <w:pPr>
              <w:jc w:val="center"/>
              <w:rPr>
                <w:rFonts w:ascii="Times New Roman" w:hAnsi="Times New Roman" w:cs="Times New Roman"/>
                <w:b/>
                <w:bCs/>
              </w:rPr>
            </w:pPr>
            <w:r w:rsidRPr="00AD4B0F">
              <w:rPr>
                <w:rFonts w:ascii="Times New Roman" w:hAnsi="Times New Roman" w:cs="Times New Roman"/>
              </w:rPr>
              <w:t>400</w:t>
            </w:r>
          </w:p>
        </w:tc>
        <w:tc>
          <w:tcPr>
            <w:tcW w:w="1899" w:type="dxa"/>
            <w:vAlign w:val="center"/>
          </w:tcPr>
          <w:p w14:paraId="4D6915E1" w14:textId="53B82925" w:rsidR="006D2F52" w:rsidRDefault="006D2F52" w:rsidP="00E81C45">
            <w:pPr>
              <w:jc w:val="center"/>
              <w:rPr>
                <w:rFonts w:ascii="Times New Roman" w:hAnsi="Times New Roman" w:cs="Times New Roman"/>
                <w:b/>
                <w:bCs/>
              </w:rPr>
            </w:pPr>
            <w:r w:rsidRPr="00AD4B0F">
              <w:rPr>
                <w:rFonts w:ascii="Times New Roman" w:hAnsi="Times New Roman" w:cs="Times New Roman"/>
              </w:rPr>
              <w:t>36.1 ±0.7</w:t>
            </w:r>
          </w:p>
        </w:tc>
        <w:tc>
          <w:tcPr>
            <w:tcW w:w="1899" w:type="dxa"/>
            <w:vAlign w:val="center"/>
          </w:tcPr>
          <w:p w14:paraId="53794682" w14:textId="5B0F4A0E" w:rsidR="006D2F52" w:rsidRDefault="006D2F52" w:rsidP="00E81C45">
            <w:pPr>
              <w:jc w:val="center"/>
              <w:rPr>
                <w:rFonts w:ascii="Times New Roman" w:hAnsi="Times New Roman" w:cs="Times New Roman"/>
                <w:b/>
                <w:bCs/>
              </w:rPr>
            </w:pPr>
            <w:r w:rsidRPr="00AD4B0F">
              <w:rPr>
                <w:rFonts w:ascii="Times New Roman" w:hAnsi="Times New Roman" w:cs="Times New Roman"/>
              </w:rPr>
              <w:t>34.5 ±0.6</w:t>
            </w:r>
          </w:p>
        </w:tc>
        <w:tc>
          <w:tcPr>
            <w:tcW w:w="1899" w:type="dxa"/>
            <w:vAlign w:val="center"/>
          </w:tcPr>
          <w:p w14:paraId="6E92C709" w14:textId="7498DE37" w:rsidR="006D2F52" w:rsidRDefault="006D2F52" w:rsidP="00E81C45">
            <w:pPr>
              <w:jc w:val="center"/>
              <w:rPr>
                <w:rFonts w:ascii="Times New Roman" w:hAnsi="Times New Roman" w:cs="Times New Roman"/>
                <w:b/>
                <w:bCs/>
              </w:rPr>
            </w:pPr>
            <w:r w:rsidRPr="00AD4B0F">
              <w:rPr>
                <w:rFonts w:ascii="Times New Roman" w:hAnsi="Times New Roman" w:cs="Times New Roman"/>
              </w:rPr>
              <w:t>33.0 ±0.6</w:t>
            </w:r>
          </w:p>
        </w:tc>
        <w:tc>
          <w:tcPr>
            <w:tcW w:w="1900" w:type="dxa"/>
            <w:vAlign w:val="center"/>
          </w:tcPr>
          <w:p w14:paraId="0FEA8DFF" w14:textId="2791C9BC" w:rsidR="006D2F52" w:rsidRDefault="006D2F52" w:rsidP="00E81C45">
            <w:pPr>
              <w:jc w:val="center"/>
              <w:rPr>
                <w:rFonts w:ascii="Times New Roman" w:hAnsi="Times New Roman" w:cs="Times New Roman"/>
                <w:b/>
                <w:bCs/>
              </w:rPr>
            </w:pPr>
            <w:r w:rsidRPr="00AD4B0F">
              <w:rPr>
                <w:rFonts w:ascii="Times New Roman" w:hAnsi="Times New Roman" w:cs="Times New Roman"/>
              </w:rPr>
              <w:t>31.4 ±0.7</w:t>
            </w:r>
          </w:p>
        </w:tc>
      </w:tr>
      <w:tr w:rsidR="006D2F52" w14:paraId="33271D8E" w14:textId="77777777" w:rsidTr="00E81C45">
        <w:trPr>
          <w:trHeight w:val="518"/>
        </w:trPr>
        <w:tc>
          <w:tcPr>
            <w:tcW w:w="1899" w:type="dxa"/>
            <w:vAlign w:val="center"/>
          </w:tcPr>
          <w:p w14:paraId="6942CD8C" w14:textId="1EF4FE8D" w:rsidR="006D2F52" w:rsidRDefault="006D2F52" w:rsidP="00E81C45">
            <w:pPr>
              <w:jc w:val="center"/>
              <w:rPr>
                <w:rFonts w:ascii="Times New Roman" w:hAnsi="Times New Roman" w:cs="Times New Roman"/>
                <w:b/>
                <w:bCs/>
              </w:rPr>
            </w:pPr>
            <w:r w:rsidRPr="00AD4B0F">
              <w:rPr>
                <w:rFonts w:ascii="Times New Roman" w:hAnsi="Times New Roman" w:cs="Times New Roman"/>
              </w:rPr>
              <w:t>450</w:t>
            </w:r>
          </w:p>
        </w:tc>
        <w:tc>
          <w:tcPr>
            <w:tcW w:w="1899" w:type="dxa"/>
            <w:vAlign w:val="center"/>
          </w:tcPr>
          <w:p w14:paraId="42D46706" w14:textId="37D6251D" w:rsidR="006D2F52" w:rsidRDefault="006D2F52" w:rsidP="00E81C45">
            <w:pPr>
              <w:jc w:val="center"/>
              <w:rPr>
                <w:rFonts w:ascii="Times New Roman" w:hAnsi="Times New Roman" w:cs="Times New Roman"/>
                <w:b/>
                <w:bCs/>
              </w:rPr>
            </w:pPr>
            <w:r w:rsidRPr="00AD4B0F">
              <w:rPr>
                <w:rFonts w:ascii="Times New Roman" w:hAnsi="Times New Roman" w:cs="Times New Roman"/>
              </w:rPr>
              <w:t>32.4 ±0.8</w:t>
            </w:r>
          </w:p>
        </w:tc>
        <w:tc>
          <w:tcPr>
            <w:tcW w:w="1899" w:type="dxa"/>
            <w:vAlign w:val="center"/>
          </w:tcPr>
          <w:p w14:paraId="698131FC" w14:textId="2D5AA4B9" w:rsidR="006D2F52" w:rsidRDefault="006D2F52" w:rsidP="00E81C45">
            <w:pPr>
              <w:jc w:val="center"/>
              <w:rPr>
                <w:rFonts w:ascii="Times New Roman" w:hAnsi="Times New Roman" w:cs="Times New Roman"/>
                <w:b/>
                <w:bCs/>
              </w:rPr>
            </w:pPr>
            <w:r w:rsidRPr="00AD4B0F">
              <w:rPr>
                <w:rFonts w:ascii="Times New Roman" w:hAnsi="Times New Roman" w:cs="Times New Roman"/>
              </w:rPr>
              <w:t>30.8 ±0.7</w:t>
            </w:r>
          </w:p>
        </w:tc>
        <w:tc>
          <w:tcPr>
            <w:tcW w:w="1899" w:type="dxa"/>
            <w:vAlign w:val="center"/>
          </w:tcPr>
          <w:p w14:paraId="1C678477" w14:textId="096E2939" w:rsidR="006D2F52" w:rsidRDefault="006D2F52" w:rsidP="00E81C45">
            <w:pPr>
              <w:jc w:val="center"/>
              <w:rPr>
                <w:rFonts w:ascii="Times New Roman" w:hAnsi="Times New Roman" w:cs="Times New Roman"/>
                <w:b/>
                <w:bCs/>
              </w:rPr>
            </w:pPr>
            <w:r w:rsidRPr="00AD4B0F">
              <w:rPr>
                <w:rFonts w:ascii="Times New Roman" w:hAnsi="Times New Roman" w:cs="Times New Roman"/>
              </w:rPr>
              <w:t>29.3 ±0.6</w:t>
            </w:r>
          </w:p>
        </w:tc>
        <w:tc>
          <w:tcPr>
            <w:tcW w:w="1900" w:type="dxa"/>
            <w:vAlign w:val="center"/>
          </w:tcPr>
          <w:p w14:paraId="4A517CA2" w14:textId="62302547" w:rsidR="006D2F52" w:rsidRDefault="006D2F52" w:rsidP="00E81C45">
            <w:pPr>
              <w:jc w:val="center"/>
              <w:rPr>
                <w:rFonts w:ascii="Times New Roman" w:hAnsi="Times New Roman" w:cs="Times New Roman"/>
                <w:b/>
                <w:bCs/>
              </w:rPr>
            </w:pPr>
            <w:r w:rsidRPr="00AD4B0F">
              <w:rPr>
                <w:rFonts w:ascii="Times New Roman" w:hAnsi="Times New Roman" w:cs="Times New Roman"/>
              </w:rPr>
              <w:t>27.9 ±0.7</w:t>
            </w:r>
          </w:p>
        </w:tc>
      </w:tr>
      <w:tr w:rsidR="006D2F52" w14:paraId="27DDA65A" w14:textId="77777777" w:rsidTr="00E81C45">
        <w:trPr>
          <w:trHeight w:val="502"/>
        </w:trPr>
        <w:tc>
          <w:tcPr>
            <w:tcW w:w="1899" w:type="dxa"/>
            <w:vAlign w:val="center"/>
          </w:tcPr>
          <w:p w14:paraId="7EA5AE18" w14:textId="44641BED" w:rsidR="006D2F52" w:rsidRDefault="006D2F52" w:rsidP="00E81C45">
            <w:pPr>
              <w:jc w:val="center"/>
              <w:rPr>
                <w:rFonts w:ascii="Times New Roman" w:hAnsi="Times New Roman" w:cs="Times New Roman"/>
                <w:b/>
                <w:bCs/>
              </w:rPr>
            </w:pPr>
            <w:r w:rsidRPr="00AD4B0F">
              <w:rPr>
                <w:rFonts w:ascii="Times New Roman" w:hAnsi="Times New Roman" w:cs="Times New Roman"/>
              </w:rPr>
              <w:t>500</w:t>
            </w:r>
          </w:p>
        </w:tc>
        <w:tc>
          <w:tcPr>
            <w:tcW w:w="1899" w:type="dxa"/>
            <w:vAlign w:val="center"/>
          </w:tcPr>
          <w:p w14:paraId="3514C2EF" w14:textId="4F9038ED" w:rsidR="006D2F52" w:rsidRDefault="006D2F52" w:rsidP="00E81C45">
            <w:pPr>
              <w:jc w:val="center"/>
              <w:rPr>
                <w:rFonts w:ascii="Times New Roman" w:hAnsi="Times New Roman" w:cs="Times New Roman"/>
                <w:b/>
                <w:bCs/>
              </w:rPr>
            </w:pPr>
            <w:r w:rsidRPr="00AD4B0F">
              <w:rPr>
                <w:rFonts w:ascii="Times New Roman" w:hAnsi="Times New Roman" w:cs="Times New Roman"/>
              </w:rPr>
              <w:t>28.7 ±0.6</w:t>
            </w:r>
          </w:p>
        </w:tc>
        <w:tc>
          <w:tcPr>
            <w:tcW w:w="1899" w:type="dxa"/>
            <w:vAlign w:val="center"/>
          </w:tcPr>
          <w:p w14:paraId="78871A2C" w14:textId="6AE4B02A" w:rsidR="006D2F52" w:rsidRDefault="006D2F52" w:rsidP="00E81C45">
            <w:pPr>
              <w:jc w:val="center"/>
              <w:rPr>
                <w:rFonts w:ascii="Times New Roman" w:hAnsi="Times New Roman" w:cs="Times New Roman"/>
                <w:b/>
                <w:bCs/>
              </w:rPr>
            </w:pPr>
            <w:r w:rsidRPr="00AD4B0F">
              <w:rPr>
                <w:rFonts w:ascii="Times New Roman" w:hAnsi="Times New Roman" w:cs="Times New Roman"/>
              </w:rPr>
              <w:t>27.2 ±0.5</w:t>
            </w:r>
          </w:p>
        </w:tc>
        <w:tc>
          <w:tcPr>
            <w:tcW w:w="1899" w:type="dxa"/>
            <w:vAlign w:val="center"/>
          </w:tcPr>
          <w:p w14:paraId="7203F188" w14:textId="624733D1" w:rsidR="006D2F52" w:rsidRDefault="006D2F52" w:rsidP="00E81C45">
            <w:pPr>
              <w:jc w:val="center"/>
              <w:rPr>
                <w:rFonts w:ascii="Times New Roman" w:hAnsi="Times New Roman" w:cs="Times New Roman"/>
                <w:b/>
                <w:bCs/>
              </w:rPr>
            </w:pPr>
            <w:r w:rsidRPr="00AD4B0F">
              <w:rPr>
                <w:rFonts w:ascii="Times New Roman" w:hAnsi="Times New Roman" w:cs="Times New Roman"/>
              </w:rPr>
              <w:t>25.8 ±0.7</w:t>
            </w:r>
          </w:p>
        </w:tc>
        <w:tc>
          <w:tcPr>
            <w:tcW w:w="1900" w:type="dxa"/>
            <w:vAlign w:val="center"/>
          </w:tcPr>
          <w:p w14:paraId="1C55EFCF" w14:textId="609BBCCE" w:rsidR="006D2F52" w:rsidRDefault="006D2F52" w:rsidP="00E81C45">
            <w:pPr>
              <w:jc w:val="center"/>
              <w:rPr>
                <w:rFonts w:ascii="Times New Roman" w:hAnsi="Times New Roman" w:cs="Times New Roman"/>
                <w:b/>
                <w:bCs/>
              </w:rPr>
            </w:pPr>
            <w:r w:rsidRPr="00AD4B0F">
              <w:rPr>
                <w:rFonts w:ascii="Times New Roman" w:hAnsi="Times New Roman" w:cs="Times New Roman"/>
              </w:rPr>
              <w:t>24.5 ±0.6</w:t>
            </w:r>
          </w:p>
        </w:tc>
      </w:tr>
      <w:tr w:rsidR="006D2F52" w14:paraId="14799948" w14:textId="77777777" w:rsidTr="00E81C45">
        <w:trPr>
          <w:trHeight w:val="502"/>
        </w:trPr>
        <w:tc>
          <w:tcPr>
            <w:tcW w:w="1899" w:type="dxa"/>
            <w:vAlign w:val="center"/>
          </w:tcPr>
          <w:p w14:paraId="655CBF35" w14:textId="51A7098B" w:rsidR="006D2F52" w:rsidRDefault="006D2F52" w:rsidP="00E81C45">
            <w:pPr>
              <w:jc w:val="center"/>
              <w:rPr>
                <w:rFonts w:ascii="Times New Roman" w:hAnsi="Times New Roman" w:cs="Times New Roman"/>
                <w:b/>
                <w:bCs/>
              </w:rPr>
            </w:pPr>
            <w:r w:rsidRPr="00AD4B0F">
              <w:rPr>
                <w:rFonts w:ascii="Times New Roman" w:hAnsi="Times New Roman" w:cs="Times New Roman"/>
              </w:rPr>
              <w:t>550</w:t>
            </w:r>
          </w:p>
        </w:tc>
        <w:tc>
          <w:tcPr>
            <w:tcW w:w="1899" w:type="dxa"/>
            <w:vAlign w:val="center"/>
          </w:tcPr>
          <w:p w14:paraId="322040FA" w14:textId="10260A1E" w:rsidR="006D2F52" w:rsidRDefault="006D2F52" w:rsidP="00E81C45">
            <w:pPr>
              <w:jc w:val="center"/>
              <w:rPr>
                <w:rFonts w:ascii="Times New Roman" w:hAnsi="Times New Roman" w:cs="Times New Roman"/>
                <w:b/>
                <w:bCs/>
              </w:rPr>
            </w:pPr>
            <w:r w:rsidRPr="00AD4B0F">
              <w:rPr>
                <w:rFonts w:ascii="Times New Roman" w:hAnsi="Times New Roman" w:cs="Times New Roman"/>
              </w:rPr>
              <w:t>25.0 ±0.7</w:t>
            </w:r>
          </w:p>
        </w:tc>
        <w:tc>
          <w:tcPr>
            <w:tcW w:w="1899" w:type="dxa"/>
            <w:vAlign w:val="center"/>
          </w:tcPr>
          <w:p w14:paraId="1A697FCE" w14:textId="1E5ED49A" w:rsidR="006D2F52" w:rsidRDefault="006D2F52" w:rsidP="00E81C45">
            <w:pPr>
              <w:jc w:val="center"/>
              <w:rPr>
                <w:rFonts w:ascii="Times New Roman" w:hAnsi="Times New Roman" w:cs="Times New Roman"/>
                <w:b/>
                <w:bCs/>
              </w:rPr>
            </w:pPr>
            <w:r w:rsidRPr="00AD4B0F">
              <w:rPr>
                <w:rFonts w:ascii="Times New Roman" w:hAnsi="Times New Roman" w:cs="Times New Roman"/>
              </w:rPr>
              <w:t>23.6 ±0.6</w:t>
            </w:r>
          </w:p>
        </w:tc>
        <w:tc>
          <w:tcPr>
            <w:tcW w:w="1899" w:type="dxa"/>
            <w:vAlign w:val="center"/>
          </w:tcPr>
          <w:p w14:paraId="5C58B22A" w14:textId="370ED829" w:rsidR="006D2F52" w:rsidRDefault="006D2F52" w:rsidP="00E81C45">
            <w:pPr>
              <w:jc w:val="center"/>
              <w:rPr>
                <w:rFonts w:ascii="Times New Roman" w:hAnsi="Times New Roman" w:cs="Times New Roman"/>
                <w:b/>
                <w:bCs/>
              </w:rPr>
            </w:pPr>
            <w:r w:rsidRPr="00AD4B0F">
              <w:rPr>
                <w:rFonts w:ascii="Times New Roman" w:hAnsi="Times New Roman" w:cs="Times New Roman"/>
              </w:rPr>
              <w:t>22.2 ±0.7</w:t>
            </w:r>
          </w:p>
        </w:tc>
        <w:tc>
          <w:tcPr>
            <w:tcW w:w="1900" w:type="dxa"/>
            <w:vAlign w:val="center"/>
          </w:tcPr>
          <w:p w14:paraId="51B7D52A" w14:textId="4F8769EC" w:rsidR="006D2F52" w:rsidRDefault="006D2F52" w:rsidP="00E81C45">
            <w:pPr>
              <w:jc w:val="center"/>
              <w:rPr>
                <w:rFonts w:ascii="Times New Roman" w:hAnsi="Times New Roman" w:cs="Times New Roman"/>
                <w:b/>
                <w:bCs/>
              </w:rPr>
            </w:pPr>
            <w:r w:rsidRPr="00AD4B0F">
              <w:rPr>
                <w:rFonts w:ascii="Times New Roman" w:hAnsi="Times New Roman" w:cs="Times New Roman"/>
              </w:rPr>
              <w:t>21.0 ±0.6</w:t>
            </w:r>
          </w:p>
        </w:tc>
      </w:tr>
    </w:tbl>
    <w:p w14:paraId="1E9D2435" w14:textId="77777777" w:rsidR="00B14122" w:rsidRDefault="00B14122" w:rsidP="007328C4">
      <w:pPr>
        <w:jc w:val="both"/>
        <w:rPr>
          <w:rFonts w:ascii="Times New Roman" w:hAnsi="Times New Roman" w:cs="Times New Roman"/>
        </w:rPr>
      </w:pPr>
      <w:r w:rsidRPr="00B14122">
        <w:rPr>
          <w:rFonts w:ascii="Times New Roman" w:hAnsi="Times New Roman" w:cs="Times New Roman"/>
        </w:rPr>
        <w:t>The experiment followed a completely randomized factorial design consisting of five pyrolysis temperatures and four residence times with three replications. Data were subjected to two-way analysis of variance (ANOVA) to evaluate the effects of temperature, residence time, and their interaction on biochar yield and ash content. Statistical significance was determined at p &lt; 0.05.</w:t>
      </w:r>
    </w:p>
    <w:p w14:paraId="5678B02D" w14:textId="77777777" w:rsidR="00B14122" w:rsidRDefault="00B14122" w:rsidP="007328C4">
      <w:pPr>
        <w:jc w:val="both"/>
        <w:rPr>
          <w:rFonts w:ascii="Times New Roman" w:hAnsi="Times New Roman" w:cs="Times New Roman"/>
          <w:b/>
          <w:bCs/>
        </w:rPr>
      </w:pPr>
    </w:p>
    <w:p w14:paraId="28210EDD" w14:textId="77777777" w:rsidR="00B14122" w:rsidRDefault="00B14122" w:rsidP="007328C4">
      <w:pPr>
        <w:jc w:val="both"/>
        <w:rPr>
          <w:rFonts w:ascii="Times New Roman" w:hAnsi="Times New Roman" w:cs="Times New Roman"/>
          <w:b/>
          <w:bCs/>
        </w:rPr>
      </w:pPr>
    </w:p>
    <w:p w14:paraId="23BA2E88" w14:textId="77777777" w:rsidR="00B14122" w:rsidRDefault="00B14122" w:rsidP="007328C4">
      <w:pPr>
        <w:jc w:val="both"/>
        <w:rPr>
          <w:rFonts w:ascii="Times New Roman" w:hAnsi="Times New Roman" w:cs="Times New Roman"/>
          <w:b/>
          <w:bCs/>
        </w:rPr>
      </w:pPr>
    </w:p>
    <w:p w14:paraId="12FF0BF3" w14:textId="77777777" w:rsidR="008B4613" w:rsidRDefault="008B4613" w:rsidP="007328C4">
      <w:pPr>
        <w:jc w:val="both"/>
        <w:rPr>
          <w:rFonts w:ascii="Times New Roman" w:hAnsi="Times New Roman" w:cs="Times New Roman"/>
          <w:b/>
          <w:bCs/>
        </w:rPr>
      </w:pPr>
    </w:p>
    <w:p w14:paraId="3F796F1B" w14:textId="1DEFC902" w:rsidR="00AD4B0F" w:rsidRPr="00F32736" w:rsidRDefault="00AD4B0F" w:rsidP="007328C4">
      <w:pPr>
        <w:jc w:val="both"/>
        <w:rPr>
          <w:rFonts w:ascii="Times New Roman" w:hAnsi="Times New Roman" w:cs="Times New Roman"/>
        </w:rPr>
      </w:pPr>
      <w:r w:rsidRPr="00AD4B0F">
        <w:rPr>
          <w:rFonts w:ascii="Times New Roman" w:hAnsi="Times New Roman" w:cs="Times New Roman"/>
          <w:b/>
          <w:bCs/>
        </w:rPr>
        <w:lastRenderedPageBreak/>
        <w:t>Table 3. Ash content (%) of produced biochar</w:t>
      </w:r>
    </w:p>
    <w:tbl>
      <w:tblPr>
        <w:tblStyle w:val="TableGrid"/>
        <w:tblW w:w="9640" w:type="dxa"/>
        <w:tblLook w:val="04A0" w:firstRow="1" w:lastRow="0" w:firstColumn="1" w:lastColumn="0" w:noHBand="0" w:noVBand="1"/>
      </w:tblPr>
      <w:tblGrid>
        <w:gridCol w:w="2410"/>
        <w:gridCol w:w="2410"/>
        <w:gridCol w:w="2410"/>
        <w:gridCol w:w="2410"/>
      </w:tblGrid>
      <w:tr w:rsidR="006D2F52" w14:paraId="619FA5EB" w14:textId="77777777" w:rsidTr="00757032">
        <w:trPr>
          <w:trHeight w:val="297"/>
        </w:trPr>
        <w:tc>
          <w:tcPr>
            <w:tcW w:w="2410" w:type="dxa"/>
            <w:vAlign w:val="center"/>
          </w:tcPr>
          <w:p w14:paraId="0A480D5C" w14:textId="63F413D5" w:rsidR="006D2F52" w:rsidRDefault="006D2F52" w:rsidP="00E81C45">
            <w:pPr>
              <w:jc w:val="center"/>
              <w:rPr>
                <w:rFonts w:ascii="Times New Roman" w:hAnsi="Times New Roman" w:cs="Times New Roman"/>
                <w:b/>
                <w:bCs/>
              </w:rPr>
            </w:pPr>
            <w:r w:rsidRPr="00AD4B0F">
              <w:rPr>
                <w:rFonts w:ascii="Times New Roman" w:hAnsi="Times New Roman" w:cs="Times New Roman"/>
                <w:b/>
                <w:bCs/>
              </w:rPr>
              <w:t>Temperature (°C)</w:t>
            </w:r>
          </w:p>
        </w:tc>
        <w:tc>
          <w:tcPr>
            <w:tcW w:w="2410" w:type="dxa"/>
            <w:vAlign w:val="center"/>
          </w:tcPr>
          <w:p w14:paraId="093546C3" w14:textId="25A9CDCA" w:rsidR="006D2F52" w:rsidRDefault="006D2F52" w:rsidP="00E81C45">
            <w:pPr>
              <w:jc w:val="center"/>
              <w:rPr>
                <w:rFonts w:ascii="Times New Roman" w:hAnsi="Times New Roman" w:cs="Times New Roman"/>
                <w:b/>
                <w:bCs/>
              </w:rPr>
            </w:pPr>
            <w:r w:rsidRPr="00AD4B0F">
              <w:rPr>
                <w:rFonts w:ascii="Times New Roman" w:hAnsi="Times New Roman" w:cs="Times New Roman"/>
                <w:b/>
                <w:bCs/>
              </w:rPr>
              <w:t>30 min</w:t>
            </w:r>
          </w:p>
        </w:tc>
        <w:tc>
          <w:tcPr>
            <w:tcW w:w="2410" w:type="dxa"/>
            <w:vAlign w:val="center"/>
          </w:tcPr>
          <w:p w14:paraId="5BE8641F" w14:textId="7E487813" w:rsidR="006D2F52" w:rsidRDefault="006D2F52" w:rsidP="00E81C45">
            <w:pPr>
              <w:jc w:val="center"/>
              <w:rPr>
                <w:rFonts w:ascii="Times New Roman" w:hAnsi="Times New Roman" w:cs="Times New Roman"/>
                <w:b/>
                <w:bCs/>
              </w:rPr>
            </w:pPr>
            <w:r w:rsidRPr="00AD4B0F">
              <w:rPr>
                <w:rFonts w:ascii="Times New Roman" w:hAnsi="Times New Roman" w:cs="Times New Roman"/>
                <w:b/>
                <w:bCs/>
              </w:rPr>
              <w:t>60 min</w:t>
            </w:r>
          </w:p>
        </w:tc>
        <w:tc>
          <w:tcPr>
            <w:tcW w:w="2410" w:type="dxa"/>
            <w:vAlign w:val="center"/>
          </w:tcPr>
          <w:p w14:paraId="7D55DA2B" w14:textId="3D336BDC" w:rsidR="006D2F52" w:rsidRDefault="006D2F52" w:rsidP="00E81C45">
            <w:pPr>
              <w:jc w:val="center"/>
              <w:rPr>
                <w:rFonts w:ascii="Times New Roman" w:hAnsi="Times New Roman" w:cs="Times New Roman"/>
                <w:b/>
                <w:bCs/>
              </w:rPr>
            </w:pPr>
            <w:r w:rsidRPr="00AD4B0F">
              <w:rPr>
                <w:rFonts w:ascii="Times New Roman" w:hAnsi="Times New Roman" w:cs="Times New Roman"/>
                <w:b/>
                <w:bCs/>
              </w:rPr>
              <w:t>90 min</w:t>
            </w:r>
          </w:p>
        </w:tc>
      </w:tr>
      <w:tr w:rsidR="006D2F52" w14:paraId="58AFBC18" w14:textId="77777777" w:rsidTr="00757032">
        <w:trPr>
          <w:trHeight w:val="288"/>
        </w:trPr>
        <w:tc>
          <w:tcPr>
            <w:tcW w:w="2410" w:type="dxa"/>
            <w:vAlign w:val="center"/>
          </w:tcPr>
          <w:p w14:paraId="44AD23C7" w14:textId="16EE386D" w:rsidR="006D2F52" w:rsidRDefault="006D2F52" w:rsidP="00E81C45">
            <w:pPr>
              <w:jc w:val="center"/>
              <w:rPr>
                <w:rFonts w:ascii="Times New Roman" w:hAnsi="Times New Roman" w:cs="Times New Roman"/>
                <w:b/>
                <w:bCs/>
              </w:rPr>
            </w:pPr>
            <w:r w:rsidRPr="00AD4B0F">
              <w:rPr>
                <w:rFonts w:ascii="Times New Roman" w:hAnsi="Times New Roman" w:cs="Times New Roman"/>
              </w:rPr>
              <w:t>350</w:t>
            </w:r>
          </w:p>
        </w:tc>
        <w:tc>
          <w:tcPr>
            <w:tcW w:w="2410" w:type="dxa"/>
            <w:vAlign w:val="center"/>
          </w:tcPr>
          <w:p w14:paraId="4142695A" w14:textId="4BF76F89" w:rsidR="006D2F52" w:rsidRDefault="006D2F52" w:rsidP="00E81C45">
            <w:pPr>
              <w:jc w:val="center"/>
              <w:rPr>
                <w:rFonts w:ascii="Times New Roman" w:hAnsi="Times New Roman" w:cs="Times New Roman"/>
                <w:b/>
                <w:bCs/>
              </w:rPr>
            </w:pPr>
            <w:r w:rsidRPr="00AD4B0F">
              <w:rPr>
                <w:rFonts w:ascii="Times New Roman" w:hAnsi="Times New Roman" w:cs="Times New Roman"/>
              </w:rPr>
              <w:t>3.2 ±0.2</w:t>
            </w:r>
          </w:p>
        </w:tc>
        <w:tc>
          <w:tcPr>
            <w:tcW w:w="2410" w:type="dxa"/>
            <w:vAlign w:val="center"/>
          </w:tcPr>
          <w:p w14:paraId="2BD0764A" w14:textId="6E7EAE9D" w:rsidR="006D2F52" w:rsidRDefault="006D2F52" w:rsidP="00E81C45">
            <w:pPr>
              <w:jc w:val="center"/>
              <w:rPr>
                <w:rFonts w:ascii="Times New Roman" w:hAnsi="Times New Roman" w:cs="Times New Roman"/>
                <w:b/>
                <w:bCs/>
              </w:rPr>
            </w:pPr>
            <w:r w:rsidRPr="00AD4B0F">
              <w:rPr>
                <w:rFonts w:ascii="Times New Roman" w:hAnsi="Times New Roman" w:cs="Times New Roman"/>
              </w:rPr>
              <w:t>3.4 ±0.3</w:t>
            </w:r>
          </w:p>
        </w:tc>
        <w:tc>
          <w:tcPr>
            <w:tcW w:w="2410" w:type="dxa"/>
            <w:vAlign w:val="center"/>
          </w:tcPr>
          <w:p w14:paraId="7756D17E" w14:textId="0CFDA0B1" w:rsidR="006D2F52" w:rsidRDefault="006D2F52" w:rsidP="00E81C45">
            <w:pPr>
              <w:jc w:val="center"/>
              <w:rPr>
                <w:rFonts w:ascii="Times New Roman" w:hAnsi="Times New Roman" w:cs="Times New Roman"/>
                <w:b/>
                <w:bCs/>
              </w:rPr>
            </w:pPr>
            <w:r w:rsidRPr="00AD4B0F">
              <w:rPr>
                <w:rFonts w:ascii="Times New Roman" w:hAnsi="Times New Roman" w:cs="Times New Roman"/>
              </w:rPr>
              <w:t>3.5 ±0.2</w:t>
            </w:r>
          </w:p>
        </w:tc>
      </w:tr>
      <w:tr w:rsidR="006D2F52" w14:paraId="7E012564" w14:textId="77777777" w:rsidTr="00757032">
        <w:trPr>
          <w:trHeight w:val="297"/>
        </w:trPr>
        <w:tc>
          <w:tcPr>
            <w:tcW w:w="2410" w:type="dxa"/>
            <w:vAlign w:val="center"/>
          </w:tcPr>
          <w:p w14:paraId="68CFBF28" w14:textId="790A7040" w:rsidR="006D2F52" w:rsidRDefault="006D2F52" w:rsidP="00E81C45">
            <w:pPr>
              <w:jc w:val="center"/>
              <w:rPr>
                <w:rFonts w:ascii="Times New Roman" w:hAnsi="Times New Roman" w:cs="Times New Roman"/>
                <w:b/>
                <w:bCs/>
              </w:rPr>
            </w:pPr>
            <w:r w:rsidRPr="00AD4B0F">
              <w:rPr>
                <w:rFonts w:ascii="Times New Roman" w:hAnsi="Times New Roman" w:cs="Times New Roman"/>
              </w:rPr>
              <w:t>400</w:t>
            </w:r>
          </w:p>
        </w:tc>
        <w:tc>
          <w:tcPr>
            <w:tcW w:w="2410" w:type="dxa"/>
            <w:vAlign w:val="center"/>
          </w:tcPr>
          <w:p w14:paraId="04E54497" w14:textId="2081522B" w:rsidR="006D2F52" w:rsidRDefault="006D2F52" w:rsidP="00E81C45">
            <w:pPr>
              <w:jc w:val="center"/>
              <w:rPr>
                <w:rFonts w:ascii="Times New Roman" w:hAnsi="Times New Roman" w:cs="Times New Roman"/>
                <w:b/>
                <w:bCs/>
              </w:rPr>
            </w:pPr>
            <w:r w:rsidRPr="00AD4B0F">
              <w:rPr>
                <w:rFonts w:ascii="Times New Roman" w:hAnsi="Times New Roman" w:cs="Times New Roman"/>
              </w:rPr>
              <w:t>5.1 ±0.4</w:t>
            </w:r>
          </w:p>
        </w:tc>
        <w:tc>
          <w:tcPr>
            <w:tcW w:w="2410" w:type="dxa"/>
            <w:vAlign w:val="center"/>
          </w:tcPr>
          <w:p w14:paraId="6A850D46" w14:textId="1C3A0C79" w:rsidR="006D2F52" w:rsidRDefault="006D2F52" w:rsidP="00E81C45">
            <w:pPr>
              <w:jc w:val="center"/>
              <w:rPr>
                <w:rFonts w:ascii="Times New Roman" w:hAnsi="Times New Roman" w:cs="Times New Roman"/>
                <w:b/>
                <w:bCs/>
              </w:rPr>
            </w:pPr>
            <w:r w:rsidRPr="00AD4B0F">
              <w:rPr>
                <w:rFonts w:ascii="Times New Roman" w:hAnsi="Times New Roman" w:cs="Times New Roman"/>
              </w:rPr>
              <w:t>5.3 ±0.3</w:t>
            </w:r>
          </w:p>
        </w:tc>
        <w:tc>
          <w:tcPr>
            <w:tcW w:w="2410" w:type="dxa"/>
            <w:vAlign w:val="center"/>
          </w:tcPr>
          <w:p w14:paraId="0D5B2E05" w14:textId="79FD310E" w:rsidR="006D2F52" w:rsidRDefault="006D2F52" w:rsidP="00E81C45">
            <w:pPr>
              <w:jc w:val="center"/>
              <w:rPr>
                <w:rFonts w:ascii="Times New Roman" w:hAnsi="Times New Roman" w:cs="Times New Roman"/>
                <w:b/>
                <w:bCs/>
              </w:rPr>
            </w:pPr>
            <w:r w:rsidRPr="00AD4B0F">
              <w:rPr>
                <w:rFonts w:ascii="Times New Roman" w:hAnsi="Times New Roman" w:cs="Times New Roman"/>
              </w:rPr>
              <w:t>5.5 ±0.3</w:t>
            </w:r>
          </w:p>
        </w:tc>
      </w:tr>
      <w:tr w:rsidR="006D2F52" w14:paraId="4C950C73" w14:textId="77777777" w:rsidTr="00757032">
        <w:trPr>
          <w:trHeight w:val="288"/>
        </w:trPr>
        <w:tc>
          <w:tcPr>
            <w:tcW w:w="2410" w:type="dxa"/>
            <w:vAlign w:val="center"/>
          </w:tcPr>
          <w:p w14:paraId="0D047AA5" w14:textId="014FE1A6" w:rsidR="006D2F52" w:rsidRDefault="006D2F52" w:rsidP="00E81C45">
            <w:pPr>
              <w:jc w:val="center"/>
              <w:rPr>
                <w:rFonts w:ascii="Times New Roman" w:hAnsi="Times New Roman" w:cs="Times New Roman"/>
                <w:b/>
                <w:bCs/>
              </w:rPr>
            </w:pPr>
            <w:r w:rsidRPr="00AD4B0F">
              <w:rPr>
                <w:rFonts w:ascii="Times New Roman" w:hAnsi="Times New Roman" w:cs="Times New Roman"/>
              </w:rPr>
              <w:t>450</w:t>
            </w:r>
          </w:p>
        </w:tc>
        <w:tc>
          <w:tcPr>
            <w:tcW w:w="2410" w:type="dxa"/>
            <w:vAlign w:val="center"/>
          </w:tcPr>
          <w:p w14:paraId="7FE1D598" w14:textId="70903EA5" w:rsidR="006D2F52" w:rsidRDefault="006D2F52" w:rsidP="00E81C45">
            <w:pPr>
              <w:jc w:val="center"/>
              <w:rPr>
                <w:rFonts w:ascii="Times New Roman" w:hAnsi="Times New Roman" w:cs="Times New Roman"/>
                <w:b/>
                <w:bCs/>
              </w:rPr>
            </w:pPr>
            <w:r w:rsidRPr="00AD4B0F">
              <w:rPr>
                <w:rFonts w:ascii="Times New Roman" w:hAnsi="Times New Roman" w:cs="Times New Roman"/>
              </w:rPr>
              <w:t>7.0 ±0.4</w:t>
            </w:r>
          </w:p>
        </w:tc>
        <w:tc>
          <w:tcPr>
            <w:tcW w:w="2410" w:type="dxa"/>
            <w:vAlign w:val="center"/>
          </w:tcPr>
          <w:p w14:paraId="15CC1744" w14:textId="68C039A0" w:rsidR="006D2F52" w:rsidRDefault="006D2F52" w:rsidP="00E81C45">
            <w:pPr>
              <w:jc w:val="center"/>
              <w:rPr>
                <w:rFonts w:ascii="Times New Roman" w:hAnsi="Times New Roman" w:cs="Times New Roman"/>
                <w:b/>
                <w:bCs/>
              </w:rPr>
            </w:pPr>
            <w:r w:rsidRPr="00AD4B0F">
              <w:rPr>
                <w:rFonts w:ascii="Times New Roman" w:hAnsi="Times New Roman" w:cs="Times New Roman"/>
              </w:rPr>
              <w:t>7.2 ±0.3</w:t>
            </w:r>
          </w:p>
        </w:tc>
        <w:tc>
          <w:tcPr>
            <w:tcW w:w="2410" w:type="dxa"/>
            <w:vAlign w:val="center"/>
          </w:tcPr>
          <w:p w14:paraId="51A546AC" w14:textId="316F93E8" w:rsidR="006D2F52" w:rsidRDefault="006D2F52" w:rsidP="00E81C45">
            <w:pPr>
              <w:jc w:val="center"/>
              <w:rPr>
                <w:rFonts w:ascii="Times New Roman" w:hAnsi="Times New Roman" w:cs="Times New Roman"/>
                <w:b/>
                <w:bCs/>
              </w:rPr>
            </w:pPr>
            <w:r w:rsidRPr="00AD4B0F">
              <w:rPr>
                <w:rFonts w:ascii="Times New Roman" w:hAnsi="Times New Roman" w:cs="Times New Roman"/>
              </w:rPr>
              <w:t>7.4 ±0.4</w:t>
            </w:r>
          </w:p>
        </w:tc>
      </w:tr>
      <w:tr w:rsidR="006D2F52" w14:paraId="774CA32E" w14:textId="77777777" w:rsidTr="00757032">
        <w:trPr>
          <w:trHeight w:val="297"/>
        </w:trPr>
        <w:tc>
          <w:tcPr>
            <w:tcW w:w="2410" w:type="dxa"/>
            <w:vAlign w:val="center"/>
          </w:tcPr>
          <w:p w14:paraId="0D0B7B10" w14:textId="2089EA86" w:rsidR="006D2F52" w:rsidRDefault="006D2F52" w:rsidP="00E81C45">
            <w:pPr>
              <w:jc w:val="center"/>
              <w:rPr>
                <w:rFonts w:ascii="Times New Roman" w:hAnsi="Times New Roman" w:cs="Times New Roman"/>
                <w:b/>
                <w:bCs/>
              </w:rPr>
            </w:pPr>
            <w:r w:rsidRPr="00AD4B0F">
              <w:rPr>
                <w:rFonts w:ascii="Times New Roman" w:hAnsi="Times New Roman" w:cs="Times New Roman"/>
              </w:rPr>
              <w:t>500</w:t>
            </w:r>
          </w:p>
        </w:tc>
        <w:tc>
          <w:tcPr>
            <w:tcW w:w="2410" w:type="dxa"/>
            <w:vAlign w:val="center"/>
          </w:tcPr>
          <w:p w14:paraId="0C7CBBC7" w14:textId="65F6D5D8" w:rsidR="006D2F52" w:rsidRDefault="006D2F52" w:rsidP="00E81C45">
            <w:pPr>
              <w:jc w:val="center"/>
              <w:rPr>
                <w:rFonts w:ascii="Times New Roman" w:hAnsi="Times New Roman" w:cs="Times New Roman"/>
                <w:b/>
                <w:bCs/>
              </w:rPr>
            </w:pPr>
            <w:r w:rsidRPr="00AD4B0F">
              <w:rPr>
                <w:rFonts w:ascii="Times New Roman" w:hAnsi="Times New Roman" w:cs="Times New Roman"/>
              </w:rPr>
              <w:t>9.1 ±0.5</w:t>
            </w:r>
          </w:p>
        </w:tc>
        <w:tc>
          <w:tcPr>
            <w:tcW w:w="2410" w:type="dxa"/>
            <w:vAlign w:val="center"/>
          </w:tcPr>
          <w:p w14:paraId="283C8627" w14:textId="49769E07" w:rsidR="006D2F52" w:rsidRDefault="006D2F52" w:rsidP="00E81C45">
            <w:pPr>
              <w:jc w:val="center"/>
              <w:rPr>
                <w:rFonts w:ascii="Times New Roman" w:hAnsi="Times New Roman" w:cs="Times New Roman"/>
                <w:b/>
                <w:bCs/>
              </w:rPr>
            </w:pPr>
            <w:r w:rsidRPr="00AD4B0F">
              <w:rPr>
                <w:rFonts w:ascii="Times New Roman" w:hAnsi="Times New Roman" w:cs="Times New Roman"/>
              </w:rPr>
              <w:t>9.3 ±0.4</w:t>
            </w:r>
          </w:p>
        </w:tc>
        <w:tc>
          <w:tcPr>
            <w:tcW w:w="2410" w:type="dxa"/>
            <w:vAlign w:val="center"/>
          </w:tcPr>
          <w:p w14:paraId="34F35D3C" w14:textId="66995539" w:rsidR="006D2F52" w:rsidRDefault="006D2F52" w:rsidP="00E81C45">
            <w:pPr>
              <w:jc w:val="center"/>
              <w:rPr>
                <w:rFonts w:ascii="Times New Roman" w:hAnsi="Times New Roman" w:cs="Times New Roman"/>
                <w:b/>
                <w:bCs/>
              </w:rPr>
            </w:pPr>
            <w:r w:rsidRPr="00AD4B0F">
              <w:rPr>
                <w:rFonts w:ascii="Times New Roman" w:hAnsi="Times New Roman" w:cs="Times New Roman"/>
              </w:rPr>
              <w:t>9.5 ±0.4</w:t>
            </w:r>
          </w:p>
        </w:tc>
      </w:tr>
      <w:tr w:rsidR="006D2F52" w14:paraId="44A342BA" w14:textId="77777777" w:rsidTr="00757032">
        <w:trPr>
          <w:trHeight w:val="47"/>
        </w:trPr>
        <w:tc>
          <w:tcPr>
            <w:tcW w:w="2410" w:type="dxa"/>
            <w:vAlign w:val="center"/>
          </w:tcPr>
          <w:p w14:paraId="521D1A7D" w14:textId="23674E04" w:rsidR="006D2F52" w:rsidRDefault="006D2F52" w:rsidP="00E81C45">
            <w:pPr>
              <w:jc w:val="center"/>
              <w:rPr>
                <w:rFonts w:ascii="Times New Roman" w:hAnsi="Times New Roman" w:cs="Times New Roman"/>
                <w:b/>
                <w:bCs/>
              </w:rPr>
            </w:pPr>
            <w:r w:rsidRPr="00AD4B0F">
              <w:rPr>
                <w:rFonts w:ascii="Times New Roman" w:hAnsi="Times New Roman" w:cs="Times New Roman"/>
              </w:rPr>
              <w:t>550</w:t>
            </w:r>
          </w:p>
        </w:tc>
        <w:tc>
          <w:tcPr>
            <w:tcW w:w="2410" w:type="dxa"/>
            <w:vAlign w:val="center"/>
          </w:tcPr>
          <w:p w14:paraId="418E1423" w14:textId="4D28AEEB" w:rsidR="006D2F52" w:rsidRDefault="006D2F52" w:rsidP="00E81C45">
            <w:pPr>
              <w:jc w:val="center"/>
              <w:rPr>
                <w:rFonts w:ascii="Times New Roman" w:hAnsi="Times New Roman" w:cs="Times New Roman"/>
                <w:b/>
                <w:bCs/>
              </w:rPr>
            </w:pPr>
            <w:r w:rsidRPr="00AD4B0F">
              <w:rPr>
                <w:rFonts w:ascii="Times New Roman" w:hAnsi="Times New Roman" w:cs="Times New Roman"/>
              </w:rPr>
              <w:t>11.2 ±0.6</w:t>
            </w:r>
          </w:p>
        </w:tc>
        <w:tc>
          <w:tcPr>
            <w:tcW w:w="2410" w:type="dxa"/>
            <w:vAlign w:val="center"/>
          </w:tcPr>
          <w:p w14:paraId="02A75DAF" w14:textId="2CCB4171" w:rsidR="006D2F52" w:rsidRDefault="006D2F52" w:rsidP="00E81C45">
            <w:pPr>
              <w:jc w:val="center"/>
              <w:rPr>
                <w:rFonts w:ascii="Times New Roman" w:hAnsi="Times New Roman" w:cs="Times New Roman"/>
                <w:b/>
                <w:bCs/>
              </w:rPr>
            </w:pPr>
            <w:r w:rsidRPr="00AD4B0F">
              <w:rPr>
                <w:rFonts w:ascii="Times New Roman" w:hAnsi="Times New Roman" w:cs="Times New Roman"/>
              </w:rPr>
              <w:t>11.4 ±0.5</w:t>
            </w:r>
          </w:p>
        </w:tc>
        <w:tc>
          <w:tcPr>
            <w:tcW w:w="2410" w:type="dxa"/>
            <w:vAlign w:val="center"/>
          </w:tcPr>
          <w:p w14:paraId="69C1A351" w14:textId="0C9A5E40" w:rsidR="006D2F52" w:rsidRDefault="006D2F52" w:rsidP="00E81C45">
            <w:pPr>
              <w:jc w:val="center"/>
              <w:rPr>
                <w:rFonts w:ascii="Times New Roman" w:hAnsi="Times New Roman" w:cs="Times New Roman"/>
                <w:b/>
                <w:bCs/>
              </w:rPr>
            </w:pPr>
            <w:r w:rsidRPr="00AD4B0F">
              <w:rPr>
                <w:rFonts w:ascii="Times New Roman" w:hAnsi="Times New Roman" w:cs="Times New Roman"/>
              </w:rPr>
              <w:t>11.6 ±0.6</w:t>
            </w:r>
          </w:p>
        </w:tc>
      </w:tr>
    </w:tbl>
    <w:p w14:paraId="6D5268E1" w14:textId="3363055C" w:rsidR="00AD4B0F" w:rsidRPr="00AD4B0F" w:rsidRDefault="00B14122" w:rsidP="007328C4">
      <w:pPr>
        <w:jc w:val="both"/>
        <w:rPr>
          <w:rFonts w:ascii="Times New Roman" w:hAnsi="Times New Roman" w:cs="Times New Roman"/>
        </w:rPr>
      </w:pPr>
      <w:r w:rsidRPr="00B14122">
        <w:rPr>
          <w:rFonts w:ascii="Times New Roman" w:hAnsi="Times New Roman" w:cs="Times New Roman"/>
        </w:rPr>
        <w:t>The experiment followed a completely randomized factorial design consisting of five pyrolysis temperatures and four residence times with three replications. Data were subjected to two-way analysis of variance (ANOVA) to evaluate the effects of temperature, residence time, and their interaction on biochar yield and ash content. Statistical significance was determined at p &lt; 0.05.</w:t>
      </w:r>
    </w:p>
    <w:p w14:paraId="0D8E7FCB" w14:textId="77777777" w:rsidR="00AD4B0F" w:rsidRPr="00AD4B0F" w:rsidRDefault="00AD4B0F" w:rsidP="007328C4">
      <w:pPr>
        <w:jc w:val="both"/>
        <w:rPr>
          <w:rFonts w:ascii="Times New Roman" w:hAnsi="Times New Roman" w:cs="Times New Roman"/>
          <w:b/>
          <w:bCs/>
        </w:rPr>
      </w:pPr>
      <w:r w:rsidRPr="00AD4B0F">
        <w:rPr>
          <w:rFonts w:ascii="Times New Roman" w:hAnsi="Times New Roman" w:cs="Times New Roman"/>
          <w:b/>
          <w:bCs/>
        </w:rPr>
        <w:t>4. Conclusions</w:t>
      </w:r>
    </w:p>
    <w:p w14:paraId="733FF605" w14:textId="6315C1F9" w:rsidR="000D4E9D" w:rsidRDefault="00F40C39" w:rsidP="007328C4">
      <w:pPr>
        <w:jc w:val="both"/>
        <w:rPr>
          <w:rFonts w:ascii="Times New Roman" w:hAnsi="Times New Roman" w:cs="Times New Roman"/>
        </w:rPr>
      </w:pPr>
      <w:r w:rsidRPr="00F40C39">
        <w:rPr>
          <w:rFonts w:ascii="Times New Roman" w:hAnsi="Times New Roman" w:cs="Times New Roman"/>
        </w:rPr>
        <w:t>This study systematically investigated the proximate characteristics of selected lignocellulosic biomass feedstocks and evaluated the influence of pyrolysis temperature and residence time on biochar yield and ash content using a drum-kiln pyrolysis system. The findings provide valuable insights into the thermochemical behavior of woody and agricultural biomass residues and their suitability for sustainable biochar production.</w:t>
      </w:r>
      <w:r>
        <w:rPr>
          <w:rFonts w:ascii="Times New Roman" w:hAnsi="Times New Roman" w:cs="Times New Roman"/>
        </w:rPr>
        <w:t xml:space="preserve"> </w:t>
      </w:r>
      <w:r w:rsidRPr="00F40C39">
        <w:rPr>
          <w:rFonts w:ascii="Times New Roman" w:hAnsi="Times New Roman" w:cs="Times New Roman"/>
        </w:rPr>
        <w:t xml:space="preserve">The proximate analysis revealed substantial compositional variability among the evaluated feedstocks. Woody biomass materials, including </w:t>
      </w:r>
      <w:proofErr w:type="spellStart"/>
      <w:r w:rsidRPr="00F40C39">
        <w:rPr>
          <w:rFonts w:ascii="Times New Roman" w:hAnsi="Times New Roman" w:cs="Times New Roman"/>
          <w:i/>
          <w:iCs/>
        </w:rPr>
        <w:t>Conocarpus</w:t>
      </w:r>
      <w:proofErr w:type="spellEnd"/>
      <w:r w:rsidRPr="00F40C39">
        <w:rPr>
          <w:rFonts w:ascii="Times New Roman" w:hAnsi="Times New Roman" w:cs="Times New Roman"/>
          <w:i/>
          <w:iCs/>
        </w:rPr>
        <w:t xml:space="preserve"> erectus</w:t>
      </w:r>
      <w:r w:rsidRPr="00F40C39">
        <w:rPr>
          <w:rFonts w:ascii="Times New Roman" w:hAnsi="Times New Roman" w:cs="Times New Roman"/>
        </w:rPr>
        <w:t>, eucalyptus branches, and acacia pruning residues, exhibited comparatively higher fixed carbon content and lower ash concentrations than agricultural residues such as rice straw and wheat straw. These compositional attributes indicate a greater carbonization potential and enhanced structural stability of biochar derived from woody feedstocks. Conversely, the elevated ash content observed in agricultural residues reflects a higher concentration of inorganic mineral constituents, which may influence pyrolysis reactions and the physicochemical characteristics of the resulting biochar.</w:t>
      </w:r>
      <w:r>
        <w:rPr>
          <w:rFonts w:ascii="Times New Roman" w:hAnsi="Times New Roman" w:cs="Times New Roman"/>
        </w:rPr>
        <w:t xml:space="preserve"> </w:t>
      </w:r>
      <w:r w:rsidRPr="00F40C39">
        <w:rPr>
          <w:rFonts w:ascii="Times New Roman" w:hAnsi="Times New Roman" w:cs="Times New Roman"/>
        </w:rPr>
        <w:t>Pyrolysis temperature and residence time were identified as critical parameters governing biochar yield. The experimental results demonstrated a clear inverse relationship between thermal severity and biochar production, with the highest yield (39.8 %) obtained at 350 °C with a residence time of 30 min, while the lowest yield (21.0 %) occurred at 550 °C and 120 min. Increasing pyrolysis temperature promoted intensified devolatilization of cellulose and hemicellulose fractions and enhanced secondary cracking reactions of intermediate organic vapors, resulting in significant mass loss and reduced char formation. Similarly, extended residence time facilitated prolonged thermal exposure of biomass particles, thereby promoting further devolatilization and carbon restructuring within the char matrix.</w:t>
      </w:r>
      <w:r>
        <w:rPr>
          <w:rFonts w:ascii="Times New Roman" w:hAnsi="Times New Roman" w:cs="Times New Roman"/>
        </w:rPr>
        <w:t xml:space="preserve"> </w:t>
      </w:r>
      <w:r w:rsidRPr="00F40C39">
        <w:rPr>
          <w:rFonts w:ascii="Times New Roman" w:hAnsi="Times New Roman" w:cs="Times New Roman"/>
        </w:rPr>
        <w:t>In addition to yield variations, pyrolysis temperature significantly influenced the mineral composition of the produced biochar. Ash content increased progressively with increasing temperature, reflecting the concentration of non-volatile inorganic constituents as organic components were thermally decomposed and volatilized. Although moderate ash levels may contribute beneficial nutrients and liming capacity when biochar is applied to soil systems, excessively high ash content may reduce carbon concentration and structural stability.</w:t>
      </w:r>
      <w:r>
        <w:rPr>
          <w:rFonts w:ascii="Times New Roman" w:hAnsi="Times New Roman" w:cs="Times New Roman"/>
        </w:rPr>
        <w:t xml:space="preserve"> </w:t>
      </w:r>
      <w:r w:rsidRPr="00F40C39">
        <w:rPr>
          <w:rFonts w:ascii="Times New Roman" w:hAnsi="Times New Roman" w:cs="Times New Roman"/>
        </w:rPr>
        <w:t>Overall, the results indicate that moderate pyrolysis conditions (350</w:t>
      </w:r>
      <w:r w:rsidR="00F05861">
        <w:rPr>
          <w:rFonts w:ascii="Times New Roman" w:hAnsi="Times New Roman" w:cs="Times New Roman"/>
        </w:rPr>
        <w:t>-</w:t>
      </w:r>
      <w:r>
        <w:rPr>
          <w:rFonts w:ascii="Times New Roman" w:hAnsi="Times New Roman" w:cs="Times New Roman"/>
        </w:rPr>
        <w:t>550</w:t>
      </w:r>
      <w:r w:rsidRPr="00F40C39">
        <w:rPr>
          <w:rFonts w:ascii="Times New Roman" w:hAnsi="Times New Roman" w:cs="Times New Roman"/>
        </w:rPr>
        <w:t xml:space="preserve"> °C) with shorter residence times (30–60 min) provide optimal operational parameters for maximizing biochar yield while maintaining favorable physicochemical characteristics. The drum-kiln pyrolysis system demonstrated promising potential for the conversion of lignocellulosic biomass residues into value-added biochar products.</w:t>
      </w:r>
      <w:r>
        <w:rPr>
          <w:rFonts w:ascii="Times New Roman" w:hAnsi="Times New Roman" w:cs="Times New Roman"/>
        </w:rPr>
        <w:t xml:space="preserve"> </w:t>
      </w:r>
      <w:r w:rsidRPr="00F40C39">
        <w:rPr>
          <w:rFonts w:ascii="Times New Roman" w:hAnsi="Times New Roman" w:cs="Times New Roman"/>
        </w:rPr>
        <w:t xml:space="preserve">From a broader sustainability perspective, the conversion of agricultural and woody biomass residues into biochar </w:t>
      </w:r>
      <w:r w:rsidRPr="00F40C39">
        <w:rPr>
          <w:rFonts w:ascii="Times New Roman" w:hAnsi="Times New Roman" w:cs="Times New Roman"/>
        </w:rPr>
        <w:lastRenderedPageBreak/>
        <w:t>through controlled pyrolysis offers a viable strategy for waste valorization, renewable energy generation, and long-term carbon sequestration. Future research should focus on detailed physicochemical characterization of the produced biochar, optimization of reactor design and process parameters, and evaluation of the agronomic performance and environmental benefits of biochar application in soil systems.</w:t>
      </w:r>
    </w:p>
    <w:p w14:paraId="54BF663E" w14:textId="4DC22ADE" w:rsidR="004C0579" w:rsidRDefault="004C0579" w:rsidP="007328C4">
      <w:pPr>
        <w:jc w:val="both"/>
        <w:rPr>
          <w:rFonts w:ascii="Times New Roman" w:hAnsi="Times New Roman" w:cs="Times New Roman"/>
        </w:rPr>
      </w:pPr>
    </w:p>
    <w:p w14:paraId="0F35A719" w14:textId="77777777" w:rsidR="004C0579" w:rsidRPr="007A08BC" w:rsidRDefault="004C0579" w:rsidP="004C0579">
      <w:pPr>
        <w:pStyle w:val="NoSpacing"/>
        <w:rPr>
          <w:rFonts w:ascii="Arial" w:hAnsi="Arial" w:cs="Arial"/>
          <w:b/>
          <w:highlight w:val="yellow"/>
        </w:rPr>
      </w:pPr>
      <w:bookmarkStart w:id="1" w:name="_Hlk198031404"/>
      <w:r w:rsidRPr="007A08BC">
        <w:rPr>
          <w:rFonts w:ascii="Arial" w:hAnsi="Arial" w:cs="Arial"/>
          <w:b/>
          <w:highlight w:val="yellow"/>
        </w:rPr>
        <w:t>Disclaimer (Artificial intelligence)</w:t>
      </w:r>
    </w:p>
    <w:p w14:paraId="18583038" w14:textId="77777777" w:rsidR="004C0579" w:rsidRPr="00005ED1" w:rsidRDefault="004C0579" w:rsidP="004C0579">
      <w:pPr>
        <w:pStyle w:val="NoSpacing"/>
        <w:rPr>
          <w:rFonts w:ascii="Arial" w:hAnsi="Arial" w:cs="Arial"/>
          <w:highlight w:val="yellow"/>
        </w:rPr>
      </w:pPr>
    </w:p>
    <w:p w14:paraId="0A3E886C" w14:textId="77777777" w:rsidR="004C0579" w:rsidRPr="00005ED1" w:rsidRDefault="004C0579" w:rsidP="004C057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1C0453EE" w14:textId="77777777" w:rsidR="004C0579" w:rsidRDefault="004C0579" w:rsidP="004C0579">
      <w:pPr>
        <w:pStyle w:val="NoSpacing"/>
        <w:rPr>
          <w:rFonts w:ascii="Arial" w:hAnsi="Arial" w:cs="Arial"/>
        </w:rPr>
      </w:pPr>
    </w:p>
    <w:p w14:paraId="6D1489E1" w14:textId="77777777" w:rsidR="004C0579" w:rsidRDefault="004C0579" w:rsidP="004C0579">
      <w:pPr>
        <w:pStyle w:val="NoSpacing"/>
        <w:rPr>
          <w:rFonts w:ascii="Arial" w:hAnsi="Arial" w:cs="Arial"/>
        </w:rPr>
      </w:pPr>
    </w:p>
    <w:p w14:paraId="47FA7453" w14:textId="77777777" w:rsidR="004C0579" w:rsidRDefault="004C0579" w:rsidP="004C0579">
      <w:pPr>
        <w:pStyle w:val="NoSpacing"/>
        <w:rPr>
          <w:rFonts w:ascii="Arial" w:hAnsi="Arial" w:cs="Arial"/>
        </w:rPr>
      </w:pPr>
    </w:p>
    <w:p w14:paraId="6E4D6A18" w14:textId="77777777" w:rsidR="004C0579" w:rsidRPr="00005ED1" w:rsidRDefault="004C0579" w:rsidP="004C0579">
      <w:pPr>
        <w:pStyle w:val="NoSpacing"/>
        <w:rPr>
          <w:rFonts w:ascii="Arial" w:hAnsi="Arial" w:cs="Arial"/>
        </w:rPr>
      </w:pPr>
    </w:p>
    <w:p w14:paraId="2CF37864" w14:textId="77777777" w:rsidR="004C0579" w:rsidRPr="00614623" w:rsidRDefault="004C0579" w:rsidP="007328C4">
      <w:pPr>
        <w:jc w:val="both"/>
        <w:rPr>
          <w:rFonts w:ascii="Times New Roman" w:hAnsi="Times New Roman" w:cs="Times New Roman"/>
        </w:rPr>
      </w:pPr>
    </w:p>
    <w:p w14:paraId="54417F33" w14:textId="2566C929" w:rsidR="004F4E10" w:rsidRDefault="004F4E10" w:rsidP="007328C4">
      <w:pPr>
        <w:jc w:val="both"/>
        <w:rPr>
          <w:rFonts w:ascii="Times New Roman" w:hAnsi="Times New Roman" w:cs="Times New Roman"/>
          <w:b/>
          <w:bCs/>
        </w:rPr>
      </w:pPr>
      <w:r w:rsidRPr="004F4E10">
        <w:rPr>
          <w:rFonts w:ascii="Times New Roman" w:hAnsi="Times New Roman" w:cs="Times New Roman"/>
          <w:b/>
          <w:bCs/>
        </w:rPr>
        <w:t xml:space="preserve">References </w:t>
      </w:r>
    </w:p>
    <w:p w14:paraId="78254C6E" w14:textId="77777777" w:rsidR="00735163" w:rsidRDefault="00735163" w:rsidP="00735163">
      <w:pPr>
        <w:ind w:left="1440" w:hanging="1440"/>
        <w:rPr>
          <w:rFonts w:ascii="Times New Roman" w:hAnsi="Times New Roman" w:cs="Times New Roman"/>
        </w:rPr>
      </w:pPr>
      <w:r w:rsidRPr="003D5C5E">
        <w:rPr>
          <w:rFonts w:ascii="Times New Roman" w:hAnsi="Times New Roman" w:cs="Times New Roman"/>
        </w:rPr>
        <w:t xml:space="preserve">Ahmed, S. F., </w:t>
      </w:r>
      <w:proofErr w:type="spellStart"/>
      <w:r w:rsidRPr="003D5C5E">
        <w:rPr>
          <w:rFonts w:ascii="Times New Roman" w:hAnsi="Times New Roman" w:cs="Times New Roman"/>
        </w:rPr>
        <w:t>Mehejabin</w:t>
      </w:r>
      <w:proofErr w:type="spellEnd"/>
      <w:r w:rsidRPr="003D5C5E">
        <w:rPr>
          <w:rFonts w:ascii="Times New Roman" w:hAnsi="Times New Roman" w:cs="Times New Roman"/>
        </w:rPr>
        <w:t xml:space="preserve">, F., Chowdhury, A. A., </w:t>
      </w:r>
      <w:proofErr w:type="spellStart"/>
      <w:r w:rsidRPr="003D5C5E">
        <w:rPr>
          <w:rFonts w:ascii="Times New Roman" w:hAnsi="Times New Roman" w:cs="Times New Roman"/>
        </w:rPr>
        <w:t>Almomani</w:t>
      </w:r>
      <w:proofErr w:type="spellEnd"/>
      <w:r w:rsidRPr="003D5C5E">
        <w:rPr>
          <w:rFonts w:ascii="Times New Roman" w:hAnsi="Times New Roman" w:cs="Times New Roman"/>
        </w:rPr>
        <w:t xml:space="preserve">, F., Khan, N. A., Badruddin, I. A., &amp; </w:t>
      </w:r>
      <w:proofErr w:type="spellStart"/>
      <w:r w:rsidRPr="003D5C5E">
        <w:rPr>
          <w:rFonts w:ascii="Times New Roman" w:hAnsi="Times New Roman" w:cs="Times New Roman"/>
        </w:rPr>
        <w:t>Kamangar</w:t>
      </w:r>
      <w:proofErr w:type="spellEnd"/>
      <w:r w:rsidRPr="003D5C5E">
        <w:rPr>
          <w:rFonts w:ascii="Times New Roman" w:hAnsi="Times New Roman" w:cs="Times New Roman"/>
        </w:rPr>
        <w:t>, S. (2024). Biochar produced from waste‐based feedstocks: Mechanisms, affecting factors, economy, utilization, challenges, and prospects. </w:t>
      </w:r>
      <w:r w:rsidRPr="003D5C5E">
        <w:rPr>
          <w:rFonts w:ascii="Times New Roman" w:hAnsi="Times New Roman" w:cs="Times New Roman"/>
          <w:i/>
          <w:iCs/>
        </w:rPr>
        <w:t>GCB Bioenergy</w:t>
      </w:r>
      <w:r w:rsidRPr="003D5C5E">
        <w:rPr>
          <w:rFonts w:ascii="Times New Roman" w:hAnsi="Times New Roman" w:cs="Times New Roman"/>
        </w:rPr>
        <w:t>, </w:t>
      </w:r>
      <w:r w:rsidRPr="003D5C5E">
        <w:rPr>
          <w:rFonts w:ascii="Times New Roman" w:hAnsi="Times New Roman" w:cs="Times New Roman"/>
          <w:i/>
          <w:iCs/>
        </w:rPr>
        <w:t>16</w:t>
      </w:r>
      <w:r w:rsidRPr="003D5C5E">
        <w:rPr>
          <w:rFonts w:ascii="Times New Roman" w:hAnsi="Times New Roman" w:cs="Times New Roman"/>
        </w:rPr>
        <w:t>(8), e13175.</w:t>
      </w:r>
    </w:p>
    <w:p w14:paraId="49F2202E" w14:textId="77777777" w:rsidR="00735163" w:rsidRDefault="00735163" w:rsidP="00735163">
      <w:pPr>
        <w:ind w:left="1440" w:hanging="1440"/>
        <w:rPr>
          <w:rFonts w:ascii="Times New Roman" w:hAnsi="Times New Roman" w:cs="Times New Roman"/>
        </w:rPr>
      </w:pPr>
      <w:proofErr w:type="spellStart"/>
      <w:r w:rsidRPr="00D01CE4">
        <w:rPr>
          <w:rFonts w:ascii="Times New Roman" w:hAnsi="Times New Roman" w:cs="Times New Roman"/>
        </w:rPr>
        <w:t>Atinafu</w:t>
      </w:r>
      <w:proofErr w:type="spellEnd"/>
      <w:r w:rsidRPr="00D01CE4">
        <w:rPr>
          <w:rFonts w:ascii="Times New Roman" w:hAnsi="Times New Roman" w:cs="Times New Roman"/>
        </w:rPr>
        <w:t>, D. G., Choi, J. Y., Nam, J., Kang, Y., &amp; Kim, S. (2025). Insights into the effects of biomass feedstock and pyrolysis conditions on the energy storage capacity and durability of standard biochar-based phase-change composites. </w:t>
      </w:r>
      <w:r w:rsidRPr="00D01CE4">
        <w:rPr>
          <w:rFonts w:ascii="Times New Roman" w:hAnsi="Times New Roman" w:cs="Times New Roman"/>
          <w:i/>
          <w:iCs/>
        </w:rPr>
        <w:t>Biochar</w:t>
      </w:r>
      <w:r w:rsidRPr="00D01CE4">
        <w:rPr>
          <w:rFonts w:ascii="Times New Roman" w:hAnsi="Times New Roman" w:cs="Times New Roman"/>
        </w:rPr>
        <w:t>, </w:t>
      </w:r>
      <w:r w:rsidRPr="00D01CE4">
        <w:rPr>
          <w:rFonts w:ascii="Times New Roman" w:hAnsi="Times New Roman" w:cs="Times New Roman"/>
          <w:i/>
          <w:iCs/>
        </w:rPr>
        <w:t>7</w:t>
      </w:r>
      <w:r w:rsidRPr="00D01CE4">
        <w:rPr>
          <w:rFonts w:ascii="Times New Roman" w:hAnsi="Times New Roman" w:cs="Times New Roman"/>
        </w:rPr>
        <w:t>(1), 18.</w:t>
      </w:r>
    </w:p>
    <w:p w14:paraId="68C9673D" w14:textId="77777777" w:rsidR="00735163" w:rsidRDefault="00735163" w:rsidP="00735163">
      <w:pPr>
        <w:ind w:left="1440" w:hanging="1440"/>
        <w:rPr>
          <w:rFonts w:ascii="Times New Roman" w:hAnsi="Times New Roman" w:cs="Times New Roman"/>
        </w:rPr>
      </w:pPr>
      <w:r w:rsidRPr="00D01CE4">
        <w:rPr>
          <w:rFonts w:ascii="Times New Roman" w:hAnsi="Times New Roman" w:cs="Times New Roman"/>
        </w:rPr>
        <w:t xml:space="preserve">Borges, A. D., Cardoso, M., &amp; Oliveira, M. (2025). Thermochemical evaluation of </w:t>
      </w:r>
      <w:proofErr w:type="spellStart"/>
      <w:r w:rsidRPr="00D01CE4">
        <w:rPr>
          <w:rFonts w:ascii="Times New Roman" w:hAnsi="Times New Roman" w:cs="Times New Roman"/>
        </w:rPr>
        <w:t>biochars</w:t>
      </w:r>
      <w:proofErr w:type="spellEnd"/>
      <w:r w:rsidRPr="00D01CE4">
        <w:rPr>
          <w:rFonts w:ascii="Times New Roman" w:hAnsi="Times New Roman" w:cs="Times New Roman"/>
        </w:rPr>
        <w:t xml:space="preserve"> properties from Portuguese agro-forestry residues for solid fuel applications. </w:t>
      </w:r>
      <w:r w:rsidRPr="00D01CE4">
        <w:rPr>
          <w:rFonts w:ascii="Times New Roman" w:hAnsi="Times New Roman" w:cs="Times New Roman"/>
          <w:i/>
          <w:iCs/>
        </w:rPr>
        <w:t>Scientific Reports</w:t>
      </w:r>
      <w:r w:rsidRPr="00D01CE4">
        <w:rPr>
          <w:rFonts w:ascii="Times New Roman" w:hAnsi="Times New Roman" w:cs="Times New Roman"/>
        </w:rPr>
        <w:t>.</w:t>
      </w:r>
    </w:p>
    <w:p w14:paraId="118A89E5" w14:textId="4E60A9A9" w:rsidR="00735163" w:rsidRDefault="00735163" w:rsidP="00735163">
      <w:pPr>
        <w:ind w:left="1440" w:hanging="1440"/>
        <w:rPr>
          <w:rFonts w:ascii="Times New Roman" w:hAnsi="Times New Roman" w:cs="Times New Roman"/>
        </w:rPr>
      </w:pPr>
      <w:r w:rsidRPr="005F5B97">
        <w:rPr>
          <w:rFonts w:ascii="Times New Roman" w:hAnsi="Times New Roman" w:cs="Times New Roman"/>
        </w:rPr>
        <w:t xml:space="preserve">Chauhan, A., Upadhyay, S., Saini, G., &amp; </w:t>
      </w:r>
      <w:proofErr w:type="spellStart"/>
      <w:r w:rsidRPr="005F5B97">
        <w:rPr>
          <w:rFonts w:ascii="Times New Roman" w:hAnsi="Times New Roman" w:cs="Times New Roman"/>
        </w:rPr>
        <w:t>Senthilkumar</w:t>
      </w:r>
      <w:proofErr w:type="spellEnd"/>
      <w:r w:rsidRPr="005F5B97">
        <w:rPr>
          <w:rFonts w:ascii="Times New Roman" w:hAnsi="Times New Roman" w:cs="Times New Roman"/>
        </w:rPr>
        <w:t xml:space="preserve">, N. (2022). Agricultural crop </w:t>
      </w:r>
      <w:r w:rsidR="00F05861" w:rsidRPr="005F5B97">
        <w:rPr>
          <w:rFonts w:ascii="Times New Roman" w:hAnsi="Times New Roman" w:cs="Times New Roman"/>
        </w:rPr>
        <w:t>residue-based</w:t>
      </w:r>
      <w:r w:rsidRPr="005F5B97">
        <w:rPr>
          <w:rFonts w:ascii="Times New Roman" w:hAnsi="Times New Roman" w:cs="Times New Roman"/>
        </w:rPr>
        <w:t xml:space="preserve"> biomass in India: Potential assessment, methodology and key issues. </w:t>
      </w:r>
      <w:r w:rsidRPr="005F5B97">
        <w:rPr>
          <w:rFonts w:ascii="Times New Roman" w:hAnsi="Times New Roman" w:cs="Times New Roman"/>
          <w:i/>
          <w:iCs/>
        </w:rPr>
        <w:t>Sustainable Energy Technologies and Assessments</w:t>
      </w:r>
      <w:r w:rsidRPr="005F5B97">
        <w:rPr>
          <w:rFonts w:ascii="Times New Roman" w:hAnsi="Times New Roman" w:cs="Times New Roman"/>
        </w:rPr>
        <w:t>, </w:t>
      </w:r>
      <w:r w:rsidRPr="005F5B97">
        <w:rPr>
          <w:rFonts w:ascii="Times New Roman" w:hAnsi="Times New Roman" w:cs="Times New Roman"/>
          <w:i/>
          <w:iCs/>
        </w:rPr>
        <w:t>53</w:t>
      </w:r>
      <w:r w:rsidRPr="005F5B97">
        <w:rPr>
          <w:rFonts w:ascii="Times New Roman" w:hAnsi="Times New Roman" w:cs="Times New Roman"/>
        </w:rPr>
        <w:t>, 102552.</w:t>
      </w:r>
    </w:p>
    <w:p w14:paraId="0AD8DDE7" w14:textId="77777777" w:rsidR="00735163" w:rsidRDefault="00735163" w:rsidP="00735163">
      <w:pPr>
        <w:ind w:left="1440" w:hanging="1440"/>
        <w:rPr>
          <w:rFonts w:ascii="Times New Roman" w:hAnsi="Times New Roman" w:cs="Times New Roman"/>
        </w:rPr>
      </w:pPr>
      <w:r w:rsidRPr="004B05B3">
        <w:rPr>
          <w:rFonts w:ascii="Times New Roman" w:hAnsi="Times New Roman" w:cs="Times New Roman"/>
        </w:rPr>
        <w:t>Chen, H., Gu, Y., Yang, S., Zhong, X., Jia, M., Cai, W., ... &amp; Zhang, W. (2026). Co-applying mild alternate wetting and drying with biochar synergistically improves rice yield and quality. </w:t>
      </w:r>
      <w:r w:rsidRPr="004B05B3">
        <w:rPr>
          <w:rFonts w:ascii="Times New Roman" w:hAnsi="Times New Roman" w:cs="Times New Roman"/>
          <w:i/>
          <w:iCs/>
        </w:rPr>
        <w:t>Journal of Integrative Agriculture</w:t>
      </w:r>
      <w:r w:rsidRPr="004B05B3">
        <w:rPr>
          <w:rFonts w:ascii="Times New Roman" w:hAnsi="Times New Roman" w:cs="Times New Roman"/>
        </w:rPr>
        <w:t>.</w:t>
      </w:r>
    </w:p>
    <w:p w14:paraId="3CC593E0" w14:textId="77777777" w:rsidR="00735163" w:rsidRDefault="00735163" w:rsidP="00735163">
      <w:pPr>
        <w:ind w:left="1440" w:hanging="1440"/>
        <w:rPr>
          <w:rFonts w:ascii="Times New Roman" w:hAnsi="Times New Roman" w:cs="Times New Roman"/>
        </w:rPr>
      </w:pPr>
      <w:r w:rsidRPr="005F5B97">
        <w:rPr>
          <w:rFonts w:ascii="Times New Roman" w:hAnsi="Times New Roman" w:cs="Times New Roman"/>
        </w:rPr>
        <w:t xml:space="preserve">Chen, L., Zhang, Y., Wang, L., </w:t>
      </w:r>
      <w:proofErr w:type="spellStart"/>
      <w:r w:rsidRPr="005F5B97">
        <w:rPr>
          <w:rFonts w:ascii="Times New Roman" w:hAnsi="Times New Roman" w:cs="Times New Roman"/>
        </w:rPr>
        <w:t>Ruan</w:t>
      </w:r>
      <w:proofErr w:type="spellEnd"/>
      <w:r w:rsidRPr="005F5B97">
        <w:rPr>
          <w:rFonts w:ascii="Times New Roman" w:hAnsi="Times New Roman" w:cs="Times New Roman"/>
        </w:rPr>
        <w:t>, S., Chen, J., Li, H., ... &amp; Tsang, D. C. (2022). Biochar-augmented carbon-negative concrete. </w:t>
      </w:r>
      <w:r w:rsidRPr="005F5B97">
        <w:rPr>
          <w:rFonts w:ascii="Times New Roman" w:hAnsi="Times New Roman" w:cs="Times New Roman"/>
          <w:i/>
          <w:iCs/>
        </w:rPr>
        <w:t>Chemical Engineering Journal</w:t>
      </w:r>
      <w:r w:rsidRPr="005F5B97">
        <w:rPr>
          <w:rFonts w:ascii="Times New Roman" w:hAnsi="Times New Roman" w:cs="Times New Roman"/>
        </w:rPr>
        <w:t>, </w:t>
      </w:r>
      <w:r w:rsidRPr="005F5B97">
        <w:rPr>
          <w:rFonts w:ascii="Times New Roman" w:hAnsi="Times New Roman" w:cs="Times New Roman"/>
          <w:i/>
          <w:iCs/>
        </w:rPr>
        <w:t>431</w:t>
      </w:r>
      <w:r w:rsidRPr="005F5B97">
        <w:rPr>
          <w:rFonts w:ascii="Times New Roman" w:hAnsi="Times New Roman" w:cs="Times New Roman"/>
        </w:rPr>
        <w:t>, 133946.</w:t>
      </w:r>
    </w:p>
    <w:p w14:paraId="02C6D19E" w14:textId="77777777" w:rsidR="00735163" w:rsidRPr="00E85AF0" w:rsidRDefault="00735163" w:rsidP="00735163">
      <w:pPr>
        <w:ind w:left="1440" w:hanging="1440"/>
        <w:rPr>
          <w:rFonts w:ascii="Times New Roman" w:hAnsi="Times New Roman" w:cs="Times New Roman"/>
          <w:lang w:val="es-US"/>
        </w:rPr>
      </w:pPr>
      <w:r w:rsidRPr="00D01CE4">
        <w:rPr>
          <w:rFonts w:ascii="Times New Roman" w:hAnsi="Times New Roman" w:cs="Times New Roman"/>
        </w:rPr>
        <w:t>El-</w:t>
      </w:r>
      <w:proofErr w:type="spellStart"/>
      <w:r w:rsidRPr="00D01CE4">
        <w:rPr>
          <w:rFonts w:ascii="Times New Roman" w:hAnsi="Times New Roman" w:cs="Times New Roman"/>
        </w:rPr>
        <w:t>Fawal</w:t>
      </w:r>
      <w:proofErr w:type="spellEnd"/>
      <w:r w:rsidRPr="00D01CE4">
        <w:rPr>
          <w:rFonts w:ascii="Times New Roman" w:hAnsi="Times New Roman" w:cs="Times New Roman"/>
        </w:rPr>
        <w:t>, E. M., El Naggar, A. M., El-</w:t>
      </w:r>
      <w:proofErr w:type="spellStart"/>
      <w:r w:rsidRPr="00D01CE4">
        <w:rPr>
          <w:rFonts w:ascii="Times New Roman" w:hAnsi="Times New Roman" w:cs="Times New Roman"/>
        </w:rPr>
        <w:t>Zahhar</w:t>
      </w:r>
      <w:proofErr w:type="spellEnd"/>
      <w:r w:rsidRPr="00D01CE4">
        <w:rPr>
          <w:rFonts w:ascii="Times New Roman" w:hAnsi="Times New Roman" w:cs="Times New Roman"/>
        </w:rPr>
        <w:t xml:space="preserve">, A. A., </w:t>
      </w:r>
      <w:proofErr w:type="spellStart"/>
      <w:r w:rsidRPr="00D01CE4">
        <w:rPr>
          <w:rFonts w:ascii="Times New Roman" w:hAnsi="Times New Roman" w:cs="Times New Roman"/>
        </w:rPr>
        <w:t>Alghandi</w:t>
      </w:r>
      <w:proofErr w:type="spellEnd"/>
      <w:r w:rsidRPr="00D01CE4">
        <w:rPr>
          <w:rFonts w:ascii="Times New Roman" w:hAnsi="Times New Roman" w:cs="Times New Roman"/>
        </w:rPr>
        <w:t xml:space="preserve">, M. M., </w:t>
      </w:r>
      <w:proofErr w:type="spellStart"/>
      <w:r w:rsidRPr="00D01CE4">
        <w:rPr>
          <w:rFonts w:ascii="Times New Roman" w:hAnsi="Times New Roman" w:cs="Times New Roman"/>
        </w:rPr>
        <w:t>Morshedy</w:t>
      </w:r>
      <w:proofErr w:type="spellEnd"/>
      <w:r w:rsidRPr="00D01CE4">
        <w:rPr>
          <w:rFonts w:ascii="Times New Roman" w:hAnsi="Times New Roman" w:cs="Times New Roman"/>
        </w:rPr>
        <w:t>, A. S., &amp; El Sayed, H. A. (2025). Biofuel production from waste residuals: comprehensive insights into biomass conversion technologies and engineered biochar applications. </w:t>
      </w:r>
      <w:r w:rsidRPr="00E85AF0">
        <w:rPr>
          <w:rFonts w:ascii="Times New Roman" w:hAnsi="Times New Roman" w:cs="Times New Roman"/>
          <w:i/>
          <w:iCs/>
          <w:lang w:val="es-US"/>
        </w:rPr>
        <w:t xml:space="preserve">RSC </w:t>
      </w:r>
      <w:proofErr w:type="spellStart"/>
      <w:r w:rsidRPr="00E85AF0">
        <w:rPr>
          <w:rFonts w:ascii="Times New Roman" w:hAnsi="Times New Roman" w:cs="Times New Roman"/>
          <w:i/>
          <w:iCs/>
          <w:lang w:val="es-US"/>
        </w:rPr>
        <w:t>advances</w:t>
      </w:r>
      <w:proofErr w:type="spellEnd"/>
      <w:r w:rsidRPr="00E85AF0">
        <w:rPr>
          <w:rFonts w:ascii="Times New Roman" w:hAnsi="Times New Roman" w:cs="Times New Roman"/>
          <w:lang w:val="es-US"/>
        </w:rPr>
        <w:t>, </w:t>
      </w:r>
      <w:r w:rsidRPr="00E85AF0">
        <w:rPr>
          <w:rFonts w:ascii="Times New Roman" w:hAnsi="Times New Roman" w:cs="Times New Roman"/>
          <w:i/>
          <w:iCs/>
          <w:lang w:val="es-US"/>
        </w:rPr>
        <w:t>15</w:t>
      </w:r>
      <w:r w:rsidRPr="00E85AF0">
        <w:rPr>
          <w:rFonts w:ascii="Times New Roman" w:hAnsi="Times New Roman" w:cs="Times New Roman"/>
          <w:lang w:val="es-US"/>
        </w:rPr>
        <w:t>(15), 11942-11974.</w:t>
      </w:r>
    </w:p>
    <w:p w14:paraId="20645AB0" w14:textId="77777777" w:rsidR="00735163" w:rsidRDefault="00735163" w:rsidP="00735163">
      <w:pPr>
        <w:ind w:left="1440" w:hanging="1440"/>
        <w:rPr>
          <w:rFonts w:ascii="Times New Roman" w:hAnsi="Times New Roman" w:cs="Times New Roman"/>
        </w:rPr>
      </w:pPr>
      <w:r w:rsidRPr="00E85AF0">
        <w:rPr>
          <w:rFonts w:ascii="Times New Roman" w:hAnsi="Times New Roman" w:cs="Times New Roman"/>
          <w:lang w:val="es-US"/>
        </w:rPr>
        <w:lastRenderedPageBreak/>
        <w:t>El-</w:t>
      </w:r>
      <w:proofErr w:type="spellStart"/>
      <w:r w:rsidRPr="00E85AF0">
        <w:rPr>
          <w:rFonts w:ascii="Times New Roman" w:hAnsi="Times New Roman" w:cs="Times New Roman"/>
          <w:lang w:val="es-US"/>
        </w:rPr>
        <w:t>Fawal</w:t>
      </w:r>
      <w:proofErr w:type="spellEnd"/>
      <w:r w:rsidRPr="00E85AF0">
        <w:rPr>
          <w:rFonts w:ascii="Times New Roman" w:hAnsi="Times New Roman" w:cs="Times New Roman"/>
          <w:lang w:val="es-US"/>
        </w:rPr>
        <w:t xml:space="preserve">, E. M., El </w:t>
      </w:r>
      <w:proofErr w:type="spellStart"/>
      <w:r w:rsidRPr="00E85AF0">
        <w:rPr>
          <w:rFonts w:ascii="Times New Roman" w:hAnsi="Times New Roman" w:cs="Times New Roman"/>
          <w:lang w:val="es-US"/>
        </w:rPr>
        <w:t>Naggar</w:t>
      </w:r>
      <w:proofErr w:type="spellEnd"/>
      <w:r w:rsidRPr="00E85AF0">
        <w:rPr>
          <w:rFonts w:ascii="Times New Roman" w:hAnsi="Times New Roman" w:cs="Times New Roman"/>
          <w:lang w:val="es-US"/>
        </w:rPr>
        <w:t>, A. M., El-</w:t>
      </w:r>
      <w:proofErr w:type="spellStart"/>
      <w:r w:rsidRPr="00E85AF0">
        <w:rPr>
          <w:rFonts w:ascii="Times New Roman" w:hAnsi="Times New Roman" w:cs="Times New Roman"/>
          <w:lang w:val="es-US"/>
        </w:rPr>
        <w:t>Zahhar</w:t>
      </w:r>
      <w:proofErr w:type="spellEnd"/>
      <w:r w:rsidRPr="00E85AF0">
        <w:rPr>
          <w:rFonts w:ascii="Times New Roman" w:hAnsi="Times New Roman" w:cs="Times New Roman"/>
          <w:lang w:val="es-US"/>
        </w:rPr>
        <w:t xml:space="preserve">, A. A., </w:t>
      </w:r>
      <w:proofErr w:type="spellStart"/>
      <w:r w:rsidRPr="00E85AF0">
        <w:rPr>
          <w:rFonts w:ascii="Times New Roman" w:hAnsi="Times New Roman" w:cs="Times New Roman"/>
          <w:lang w:val="es-US"/>
        </w:rPr>
        <w:t>Alghandi</w:t>
      </w:r>
      <w:proofErr w:type="spellEnd"/>
      <w:r w:rsidRPr="00E85AF0">
        <w:rPr>
          <w:rFonts w:ascii="Times New Roman" w:hAnsi="Times New Roman" w:cs="Times New Roman"/>
          <w:lang w:val="es-US"/>
        </w:rPr>
        <w:t xml:space="preserve">, M. M., </w:t>
      </w:r>
      <w:proofErr w:type="spellStart"/>
      <w:r w:rsidRPr="00E85AF0">
        <w:rPr>
          <w:rFonts w:ascii="Times New Roman" w:hAnsi="Times New Roman" w:cs="Times New Roman"/>
          <w:lang w:val="es-US"/>
        </w:rPr>
        <w:t>Morshedy</w:t>
      </w:r>
      <w:proofErr w:type="spellEnd"/>
      <w:r w:rsidRPr="00E85AF0">
        <w:rPr>
          <w:rFonts w:ascii="Times New Roman" w:hAnsi="Times New Roman" w:cs="Times New Roman"/>
          <w:lang w:val="es-US"/>
        </w:rPr>
        <w:t xml:space="preserve">, A. S., &amp; El </w:t>
      </w:r>
      <w:proofErr w:type="spellStart"/>
      <w:r w:rsidRPr="00E85AF0">
        <w:rPr>
          <w:rFonts w:ascii="Times New Roman" w:hAnsi="Times New Roman" w:cs="Times New Roman"/>
          <w:lang w:val="es-US"/>
        </w:rPr>
        <w:t>Sayed</w:t>
      </w:r>
      <w:proofErr w:type="spellEnd"/>
      <w:r w:rsidRPr="00E85AF0">
        <w:rPr>
          <w:rFonts w:ascii="Times New Roman" w:hAnsi="Times New Roman" w:cs="Times New Roman"/>
          <w:lang w:val="es-US"/>
        </w:rPr>
        <w:t xml:space="preserve">, H. A. (2025). </w:t>
      </w:r>
      <w:r w:rsidRPr="003D5C5E">
        <w:rPr>
          <w:rFonts w:ascii="Times New Roman" w:hAnsi="Times New Roman" w:cs="Times New Roman"/>
        </w:rPr>
        <w:t>Biofuel production from waste residuals: comprehensive insights into biomass conversion technologies and engineered biochar applications. </w:t>
      </w:r>
      <w:r w:rsidRPr="003D5C5E">
        <w:rPr>
          <w:rFonts w:ascii="Times New Roman" w:hAnsi="Times New Roman" w:cs="Times New Roman"/>
          <w:i/>
          <w:iCs/>
        </w:rPr>
        <w:t>RSC advances</w:t>
      </w:r>
      <w:r w:rsidRPr="003D5C5E">
        <w:rPr>
          <w:rFonts w:ascii="Times New Roman" w:hAnsi="Times New Roman" w:cs="Times New Roman"/>
        </w:rPr>
        <w:t>, </w:t>
      </w:r>
      <w:r w:rsidRPr="003D5C5E">
        <w:rPr>
          <w:rFonts w:ascii="Times New Roman" w:hAnsi="Times New Roman" w:cs="Times New Roman"/>
          <w:i/>
          <w:iCs/>
        </w:rPr>
        <w:t>15</w:t>
      </w:r>
      <w:r w:rsidRPr="003D5C5E">
        <w:rPr>
          <w:rFonts w:ascii="Times New Roman" w:hAnsi="Times New Roman" w:cs="Times New Roman"/>
        </w:rPr>
        <w:t>(15), 11942-11974.</w:t>
      </w:r>
    </w:p>
    <w:p w14:paraId="44F7E5EF" w14:textId="77777777" w:rsidR="00735163" w:rsidRDefault="00735163" w:rsidP="00735163">
      <w:pPr>
        <w:ind w:left="1440" w:hanging="1440"/>
        <w:rPr>
          <w:rFonts w:ascii="Times New Roman" w:hAnsi="Times New Roman" w:cs="Times New Roman"/>
        </w:rPr>
      </w:pPr>
      <w:r w:rsidRPr="00D01CE4">
        <w:rPr>
          <w:rFonts w:ascii="Times New Roman" w:hAnsi="Times New Roman" w:cs="Times New Roman"/>
        </w:rPr>
        <w:t xml:space="preserve">Enders, A., Hanley, K., Whitman, T., Joseph, S., &amp; Lehmann, J. (2012). Characterization of </w:t>
      </w:r>
      <w:proofErr w:type="spellStart"/>
      <w:r w:rsidRPr="00D01CE4">
        <w:rPr>
          <w:rFonts w:ascii="Times New Roman" w:hAnsi="Times New Roman" w:cs="Times New Roman"/>
        </w:rPr>
        <w:t>biochars</w:t>
      </w:r>
      <w:proofErr w:type="spellEnd"/>
      <w:r w:rsidRPr="00D01CE4">
        <w:rPr>
          <w:rFonts w:ascii="Times New Roman" w:hAnsi="Times New Roman" w:cs="Times New Roman"/>
        </w:rPr>
        <w:t xml:space="preserve"> to evaluate recalcitrance and agronomic performance. </w:t>
      </w:r>
      <w:r w:rsidRPr="00D01CE4">
        <w:rPr>
          <w:rFonts w:ascii="Times New Roman" w:hAnsi="Times New Roman" w:cs="Times New Roman"/>
          <w:i/>
          <w:iCs/>
        </w:rPr>
        <w:t>Bioresource technology</w:t>
      </w:r>
      <w:r w:rsidRPr="00D01CE4">
        <w:rPr>
          <w:rFonts w:ascii="Times New Roman" w:hAnsi="Times New Roman" w:cs="Times New Roman"/>
        </w:rPr>
        <w:t>, </w:t>
      </w:r>
      <w:r w:rsidRPr="00D01CE4">
        <w:rPr>
          <w:rFonts w:ascii="Times New Roman" w:hAnsi="Times New Roman" w:cs="Times New Roman"/>
          <w:i/>
          <w:iCs/>
        </w:rPr>
        <w:t>114</w:t>
      </w:r>
      <w:r w:rsidRPr="00D01CE4">
        <w:rPr>
          <w:rFonts w:ascii="Times New Roman" w:hAnsi="Times New Roman" w:cs="Times New Roman"/>
        </w:rPr>
        <w:t>, 644-653.</w:t>
      </w:r>
    </w:p>
    <w:p w14:paraId="753CE40D" w14:textId="77777777" w:rsidR="00735163" w:rsidRDefault="00735163" w:rsidP="00735163">
      <w:pPr>
        <w:ind w:left="1440" w:hanging="1440"/>
        <w:rPr>
          <w:rFonts w:ascii="Times New Roman" w:hAnsi="Times New Roman" w:cs="Times New Roman"/>
        </w:rPr>
      </w:pPr>
      <w:r w:rsidRPr="00D01CE4">
        <w:rPr>
          <w:rFonts w:ascii="Times New Roman" w:hAnsi="Times New Roman" w:cs="Times New Roman"/>
        </w:rPr>
        <w:t xml:space="preserve">Fang, Y., Wen, Y., Li, X., Yang, L., Li, Y., </w:t>
      </w:r>
      <w:proofErr w:type="spellStart"/>
      <w:r w:rsidRPr="00D01CE4">
        <w:rPr>
          <w:rFonts w:ascii="Times New Roman" w:hAnsi="Times New Roman" w:cs="Times New Roman"/>
        </w:rPr>
        <w:t>Bkangmo</w:t>
      </w:r>
      <w:proofErr w:type="spellEnd"/>
      <w:r w:rsidRPr="00D01CE4">
        <w:rPr>
          <w:rFonts w:ascii="Times New Roman" w:hAnsi="Times New Roman" w:cs="Times New Roman"/>
        </w:rPr>
        <w:t xml:space="preserve"> </w:t>
      </w:r>
      <w:proofErr w:type="spellStart"/>
      <w:r w:rsidRPr="00D01CE4">
        <w:rPr>
          <w:rFonts w:ascii="Times New Roman" w:hAnsi="Times New Roman" w:cs="Times New Roman"/>
        </w:rPr>
        <w:t>Kontchouo</w:t>
      </w:r>
      <w:proofErr w:type="spellEnd"/>
      <w:r w:rsidRPr="00D01CE4">
        <w:rPr>
          <w:rFonts w:ascii="Times New Roman" w:hAnsi="Times New Roman" w:cs="Times New Roman"/>
        </w:rPr>
        <w:t>, F. M., ... &amp; Li, W. (2025). Enhancing the agricultural circular system through thermochemical conversion techniques. </w:t>
      </w:r>
      <w:r w:rsidRPr="00D01CE4">
        <w:rPr>
          <w:rFonts w:ascii="Times New Roman" w:hAnsi="Times New Roman" w:cs="Times New Roman"/>
          <w:i/>
          <w:iCs/>
        </w:rPr>
        <w:t>Innovation Energy</w:t>
      </w:r>
      <w:r w:rsidRPr="00D01CE4">
        <w:rPr>
          <w:rFonts w:ascii="Times New Roman" w:hAnsi="Times New Roman" w:cs="Times New Roman"/>
        </w:rPr>
        <w:t>.</w:t>
      </w:r>
    </w:p>
    <w:p w14:paraId="3C05CBF2" w14:textId="77777777" w:rsidR="00735163" w:rsidRDefault="00735163" w:rsidP="00735163">
      <w:pPr>
        <w:ind w:left="1440" w:hanging="1440"/>
        <w:rPr>
          <w:rFonts w:ascii="Times New Roman" w:hAnsi="Times New Roman" w:cs="Times New Roman"/>
        </w:rPr>
      </w:pPr>
      <w:r w:rsidRPr="005F5B97">
        <w:rPr>
          <w:rFonts w:ascii="Times New Roman" w:hAnsi="Times New Roman" w:cs="Times New Roman"/>
        </w:rPr>
        <w:t xml:space="preserve">Jain, S., Baruah, B. P., &amp; </w:t>
      </w:r>
      <w:proofErr w:type="spellStart"/>
      <w:r w:rsidRPr="005F5B97">
        <w:rPr>
          <w:rFonts w:ascii="Times New Roman" w:hAnsi="Times New Roman" w:cs="Times New Roman"/>
        </w:rPr>
        <w:t>Khare</w:t>
      </w:r>
      <w:proofErr w:type="spellEnd"/>
      <w:r w:rsidRPr="005F5B97">
        <w:rPr>
          <w:rFonts w:ascii="Times New Roman" w:hAnsi="Times New Roman" w:cs="Times New Roman"/>
        </w:rPr>
        <w:t xml:space="preserve">, P. (2014). Kinetic leaching of high </w:t>
      </w:r>
      <w:proofErr w:type="spellStart"/>
      <w:r w:rsidRPr="005F5B97">
        <w:rPr>
          <w:rFonts w:ascii="Times New Roman" w:hAnsi="Times New Roman" w:cs="Times New Roman"/>
        </w:rPr>
        <w:t>sulphur</w:t>
      </w:r>
      <w:proofErr w:type="spellEnd"/>
      <w:r w:rsidRPr="005F5B97">
        <w:rPr>
          <w:rFonts w:ascii="Times New Roman" w:hAnsi="Times New Roman" w:cs="Times New Roman"/>
        </w:rPr>
        <w:t xml:space="preserve"> mine rejects amended with biochar: buffering implication. </w:t>
      </w:r>
      <w:r w:rsidRPr="005F5B97">
        <w:rPr>
          <w:rFonts w:ascii="Times New Roman" w:hAnsi="Times New Roman" w:cs="Times New Roman"/>
          <w:i/>
          <w:iCs/>
        </w:rPr>
        <w:t>Ecological engineering</w:t>
      </w:r>
      <w:r w:rsidRPr="005F5B97">
        <w:rPr>
          <w:rFonts w:ascii="Times New Roman" w:hAnsi="Times New Roman" w:cs="Times New Roman"/>
        </w:rPr>
        <w:t>, </w:t>
      </w:r>
      <w:r w:rsidRPr="005F5B97">
        <w:rPr>
          <w:rFonts w:ascii="Times New Roman" w:hAnsi="Times New Roman" w:cs="Times New Roman"/>
          <w:i/>
          <w:iCs/>
        </w:rPr>
        <w:t>71</w:t>
      </w:r>
      <w:r w:rsidRPr="005F5B97">
        <w:rPr>
          <w:rFonts w:ascii="Times New Roman" w:hAnsi="Times New Roman" w:cs="Times New Roman"/>
        </w:rPr>
        <w:t>, 703-709.</w:t>
      </w:r>
    </w:p>
    <w:p w14:paraId="456DDB41" w14:textId="77777777" w:rsidR="00735163" w:rsidRDefault="00735163" w:rsidP="00735163">
      <w:pPr>
        <w:ind w:left="1440" w:hanging="1440"/>
        <w:rPr>
          <w:rFonts w:ascii="Times New Roman" w:hAnsi="Times New Roman" w:cs="Times New Roman"/>
        </w:rPr>
      </w:pPr>
      <w:r w:rsidRPr="001921B7">
        <w:rPr>
          <w:rFonts w:ascii="Times New Roman" w:hAnsi="Times New Roman" w:cs="Times New Roman"/>
        </w:rPr>
        <w:t xml:space="preserve">John, V., Braga, A. R. D. O., </w:t>
      </w:r>
      <w:proofErr w:type="spellStart"/>
      <w:r w:rsidRPr="001921B7">
        <w:rPr>
          <w:rFonts w:ascii="Times New Roman" w:hAnsi="Times New Roman" w:cs="Times New Roman"/>
        </w:rPr>
        <w:t>Danielli</w:t>
      </w:r>
      <w:proofErr w:type="spellEnd"/>
      <w:r w:rsidRPr="001921B7">
        <w:rPr>
          <w:rFonts w:ascii="Times New Roman" w:hAnsi="Times New Roman" w:cs="Times New Roman"/>
        </w:rPr>
        <w:t xml:space="preserve">, C. K. A. D. O., Sousa, H. M., </w:t>
      </w:r>
      <w:proofErr w:type="spellStart"/>
      <w:r w:rsidRPr="001921B7">
        <w:rPr>
          <w:rFonts w:ascii="Times New Roman" w:hAnsi="Times New Roman" w:cs="Times New Roman"/>
        </w:rPr>
        <w:t>Danielli</w:t>
      </w:r>
      <w:proofErr w:type="spellEnd"/>
      <w:r w:rsidRPr="001921B7">
        <w:rPr>
          <w:rFonts w:ascii="Times New Roman" w:hAnsi="Times New Roman" w:cs="Times New Roman"/>
        </w:rPr>
        <w:t>, F. E., de Araujo, R. O., ... &amp; Guerra, J. F. C. (2024). Characterization of biochar produced in a mobile handmade kiln from small-sized waste biomass for agronomic and climate change benefits. </w:t>
      </w:r>
      <w:r w:rsidRPr="001921B7">
        <w:rPr>
          <w:rFonts w:ascii="Times New Roman" w:hAnsi="Times New Roman" w:cs="Times New Roman"/>
          <w:i/>
          <w:iCs/>
        </w:rPr>
        <w:t>Agronomy</w:t>
      </w:r>
      <w:r w:rsidRPr="001921B7">
        <w:rPr>
          <w:rFonts w:ascii="Times New Roman" w:hAnsi="Times New Roman" w:cs="Times New Roman"/>
        </w:rPr>
        <w:t>, </w:t>
      </w:r>
      <w:r w:rsidRPr="001921B7">
        <w:rPr>
          <w:rFonts w:ascii="Times New Roman" w:hAnsi="Times New Roman" w:cs="Times New Roman"/>
          <w:i/>
          <w:iCs/>
        </w:rPr>
        <w:t>14</w:t>
      </w:r>
      <w:r w:rsidRPr="001921B7">
        <w:rPr>
          <w:rFonts w:ascii="Times New Roman" w:hAnsi="Times New Roman" w:cs="Times New Roman"/>
        </w:rPr>
        <w:t>(8), 1861.</w:t>
      </w:r>
    </w:p>
    <w:p w14:paraId="22812C60" w14:textId="77777777" w:rsidR="00735163" w:rsidRDefault="00735163" w:rsidP="00735163">
      <w:pPr>
        <w:ind w:left="1440" w:hanging="1440"/>
        <w:rPr>
          <w:rFonts w:ascii="Times New Roman" w:hAnsi="Times New Roman" w:cs="Times New Roman"/>
        </w:rPr>
      </w:pPr>
      <w:r w:rsidRPr="003D5C5E">
        <w:rPr>
          <w:rFonts w:ascii="Times New Roman" w:hAnsi="Times New Roman" w:cs="Times New Roman"/>
        </w:rPr>
        <w:t xml:space="preserve">Junior, I. J. T., Alves, J. L. F., </w:t>
      </w:r>
      <w:proofErr w:type="spellStart"/>
      <w:r w:rsidRPr="003D5C5E">
        <w:rPr>
          <w:rFonts w:ascii="Times New Roman" w:hAnsi="Times New Roman" w:cs="Times New Roman"/>
        </w:rPr>
        <w:t>Brusamarello</w:t>
      </w:r>
      <w:proofErr w:type="spellEnd"/>
      <w:r w:rsidRPr="003D5C5E">
        <w:rPr>
          <w:rFonts w:ascii="Times New Roman" w:hAnsi="Times New Roman" w:cs="Times New Roman"/>
        </w:rPr>
        <w:t>, C. Z., &amp; Di Domenico, M. (2025). Impact of operational parameters on the yield of biochar, bio-oil, and pyrolytic gas in lignocellulosic biomass pyrolysis: A systematic review. </w:t>
      </w:r>
      <w:r w:rsidRPr="003D5C5E">
        <w:rPr>
          <w:rFonts w:ascii="Times New Roman" w:hAnsi="Times New Roman" w:cs="Times New Roman"/>
          <w:i/>
          <w:iCs/>
        </w:rPr>
        <w:t>Bioresource Technology Reports</w:t>
      </w:r>
      <w:r w:rsidRPr="003D5C5E">
        <w:rPr>
          <w:rFonts w:ascii="Times New Roman" w:hAnsi="Times New Roman" w:cs="Times New Roman"/>
        </w:rPr>
        <w:t>, </w:t>
      </w:r>
      <w:r w:rsidRPr="003D5C5E">
        <w:rPr>
          <w:rFonts w:ascii="Times New Roman" w:hAnsi="Times New Roman" w:cs="Times New Roman"/>
          <w:i/>
          <w:iCs/>
        </w:rPr>
        <w:t>30</w:t>
      </w:r>
      <w:r w:rsidRPr="003D5C5E">
        <w:rPr>
          <w:rFonts w:ascii="Times New Roman" w:hAnsi="Times New Roman" w:cs="Times New Roman"/>
        </w:rPr>
        <w:t>, 102155.</w:t>
      </w:r>
    </w:p>
    <w:p w14:paraId="50901798" w14:textId="77777777" w:rsidR="00735163" w:rsidRDefault="00735163" w:rsidP="00735163">
      <w:pPr>
        <w:ind w:left="1440" w:hanging="1440"/>
        <w:rPr>
          <w:rFonts w:ascii="Times New Roman" w:hAnsi="Times New Roman" w:cs="Times New Roman"/>
        </w:rPr>
      </w:pPr>
      <w:r w:rsidRPr="005F5B97">
        <w:rPr>
          <w:rFonts w:ascii="Times New Roman" w:hAnsi="Times New Roman" w:cs="Times New Roman"/>
        </w:rPr>
        <w:t>Kumar, P., &amp; Singh, R. K. (2021). Selection of sustainable solutions for crop residue burning: an environmental issue in northwestern states of India. </w:t>
      </w:r>
      <w:r w:rsidRPr="005F5B97">
        <w:rPr>
          <w:rFonts w:ascii="Times New Roman" w:hAnsi="Times New Roman" w:cs="Times New Roman"/>
          <w:i/>
          <w:iCs/>
        </w:rPr>
        <w:t>Environment, Development and Sustainability</w:t>
      </w:r>
      <w:r w:rsidRPr="005F5B97">
        <w:rPr>
          <w:rFonts w:ascii="Times New Roman" w:hAnsi="Times New Roman" w:cs="Times New Roman"/>
        </w:rPr>
        <w:t>, </w:t>
      </w:r>
      <w:r w:rsidRPr="005F5B97">
        <w:rPr>
          <w:rFonts w:ascii="Times New Roman" w:hAnsi="Times New Roman" w:cs="Times New Roman"/>
          <w:i/>
          <w:iCs/>
        </w:rPr>
        <w:t>23</w:t>
      </w:r>
      <w:r w:rsidRPr="005F5B97">
        <w:rPr>
          <w:rFonts w:ascii="Times New Roman" w:hAnsi="Times New Roman" w:cs="Times New Roman"/>
        </w:rPr>
        <w:t>(3), 3696-3730.</w:t>
      </w:r>
    </w:p>
    <w:p w14:paraId="42E60F51" w14:textId="77777777" w:rsidR="00735163" w:rsidRDefault="00735163" w:rsidP="00735163">
      <w:pPr>
        <w:ind w:left="1440" w:hanging="1440"/>
        <w:rPr>
          <w:rFonts w:ascii="Times New Roman" w:hAnsi="Times New Roman" w:cs="Times New Roman"/>
        </w:rPr>
      </w:pPr>
      <w:r w:rsidRPr="005F5B97">
        <w:rPr>
          <w:rFonts w:ascii="Times New Roman" w:hAnsi="Times New Roman" w:cs="Times New Roman"/>
        </w:rPr>
        <w:t>Lehmann, J., &amp; Joseph, S. (2015). Biochar for environmental management: an introduction. In </w:t>
      </w:r>
      <w:r w:rsidRPr="005F5B97">
        <w:rPr>
          <w:rFonts w:ascii="Times New Roman" w:hAnsi="Times New Roman" w:cs="Times New Roman"/>
          <w:i/>
          <w:iCs/>
        </w:rPr>
        <w:t>Biochar for environmental management</w:t>
      </w:r>
      <w:r w:rsidRPr="005F5B97">
        <w:rPr>
          <w:rFonts w:ascii="Times New Roman" w:hAnsi="Times New Roman" w:cs="Times New Roman"/>
        </w:rPr>
        <w:t> (pp. 1-13). Routledge.</w:t>
      </w:r>
    </w:p>
    <w:p w14:paraId="0EE65BE3" w14:textId="77777777" w:rsidR="00735163" w:rsidRDefault="00735163" w:rsidP="00735163">
      <w:pPr>
        <w:ind w:left="1440" w:hanging="1440"/>
        <w:rPr>
          <w:rFonts w:ascii="Times New Roman" w:hAnsi="Times New Roman" w:cs="Times New Roman"/>
        </w:rPr>
      </w:pPr>
      <w:proofErr w:type="spellStart"/>
      <w:r w:rsidRPr="005F5B97">
        <w:rPr>
          <w:rFonts w:ascii="Times New Roman" w:hAnsi="Times New Roman" w:cs="Times New Roman"/>
        </w:rPr>
        <w:t>Leng</w:t>
      </w:r>
      <w:proofErr w:type="spellEnd"/>
      <w:r w:rsidRPr="005F5B97">
        <w:rPr>
          <w:rFonts w:ascii="Times New Roman" w:hAnsi="Times New Roman" w:cs="Times New Roman"/>
        </w:rPr>
        <w:t xml:space="preserve">, L., </w:t>
      </w:r>
      <w:proofErr w:type="spellStart"/>
      <w:r w:rsidRPr="005F5B97">
        <w:rPr>
          <w:rFonts w:ascii="Times New Roman" w:hAnsi="Times New Roman" w:cs="Times New Roman"/>
        </w:rPr>
        <w:t>Xiong</w:t>
      </w:r>
      <w:proofErr w:type="spellEnd"/>
      <w:r w:rsidRPr="005F5B97">
        <w:rPr>
          <w:rFonts w:ascii="Times New Roman" w:hAnsi="Times New Roman" w:cs="Times New Roman"/>
        </w:rPr>
        <w:t>, Q., Yang, L., Li, H., Zhou, Y., Zhang, W., ... &amp; Huang, H. (2021). An overview on engineering the surface area and porosity of biochar. </w:t>
      </w:r>
      <w:r w:rsidRPr="005F5B97">
        <w:rPr>
          <w:rFonts w:ascii="Times New Roman" w:hAnsi="Times New Roman" w:cs="Times New Roman"/>
          <w:i/>
          <w:iCs/>
        </w:rPr>
        <w:t>Science of the total Environment</w:t>
      </w:r>
      <w:r w:rsidRPr="005F5B97">
        <w:rPr>
          <w:rFonts w:ascii="Times New Roman" w:hAnsi="Times New Roman" w:cs="Times New Roman"/>
        </w:rPr>
        <w:t>, </w:t>
      </w:r>
      <w:r w:rsidRPr="005F5B97">
        <w:rPr>
          <w:rFonts w:ascii="Times New Roman" w:hAnsi="Times New Roman" w:cs="Times New Roman"/>
          <w:i/>
          <w:iCs/>
        </w:rPr>
        <w:t>763</w:t>
      </w:r>
      <w:r w:rsidRPr="005F5B97">
        <w:rPr>
          <w:rFonts w:ascii="Times New Roman" w:hAnsi="Times New Roman" w:cs="Times New Roman"/>
        </w:rPr>
        <w:t>, 144204.</w:t>
      </w:r>
    </w:p>
    <w:p w14:paraId="365FD58D" w14:textId="77777777" w:rsidR="00735163" w:rsidRPr="00E85AF0" w:rsidRDefault="00735163" w:rsidP="00735163">
      <w:pPr>
        <w:ind w:left="1440" w:hanging="1440"/>
        <w:rPr>
          <w:rFonts w:ascii="Times New Roman" w:hAnsi="Times New Roman" w:cs="Times New Roman"/>
          <w:lang w:val="es-US"/>
        </w:rPr>
      </w:pPr>
      <w:r w:rsidRPr="003D5C5E">
        <w:rPr>
          <w:rFonts w:ascii="Times New Roman" w:hAnsi="Times New Roman" w:cs="Times New Roman"/>
        </w:rPr>
        <w:t xml:space="preserve">Marin, F., </w:t>
      </w:r>
      <w:proofErr w:type="spellStart"/>
      <w:r w:rsidRPr="003D5C5E">
        <w:rPr>
          <w:rFonts w:ascii="Times New Roman" w:hAnsi="Times New Roman" w:cs="Times New Roman"/>
        </w:rPr>
        <w:t>Tanislav</w:t>
      </w:r>
      <w:proofErr w:type="spellEnd"/>
      <w:r w:rsidRPr="003D5C5E">
        <w:rPr>
          <w:rFonts w:ascii="Times New Roman" w:hAnsi="Times New Roman" w:cs="Times New Roman"/>
        </w:rPr>
        <w:t xml:space="preserve">, O. M., Constantinescu, M., Roman, A., </w:t>
      </w:r>
      <w:proofErr w:type="spellStart"/>
      <w:r w:rsidRPr="003D5C5E">
        <w:rPr>
          <w:rFonts w:ascii="Times New Roman" w:hAnsi="Times New Roman" w:cs="Times New Roman"/>
        </w:rPr>
        <w:t>Bucura</w:t>
      </w:r>
      <w:proofErr w:type="spellEnd"/>
      <w:r w:rsidRPr="003D5C5E">
        <w:rPr>
          <w:rFonts w:ascii="Times New Roman" w:hAnsi="Times New Roman" w:cs="Times New Roman"/>
        </w:rPr>
        <w:t xml:space="preserve">, F., </w:t>
      </w:r>
      <w:proofErr w:type="spellStart"/>
      <w:r w:rsidRPr="003D5C5E">
        <w:rPr>
          <w:rFonts w:ascii="Times New Roman" w:hAnsi="Times New Roman" w:cs="Times New Roman"/>
        </w:rPr>
        <w:t>Oancea</w:t>
      </w:r>
      <w:proofErr w:type="spellEnd"/>
      <w:r w:rsidRPr="003D5C5E">
        <w:rPr>
          <w:rFonts w:ascii="Times New Roman" w:hAnsi="Times New Roman" w:cs="Times New Roman"/>
        </w:rPr>
        <w:t xml:space="preserve">, S., &amp; </w:t>
      </w:r>
      <w:proofErr w:type="spellStart"/>
      <w:r w:rsidRPr="003D5C5E">
        <w:rPr>
          <w:rFonts w:ascii="Times New Roman" w:hAnsi="Times New Roman" w:cs="Times New Roman"/>
        </w:rPr>
        <w:t>Zaharioiu</w:t>
      </w:r>
      <w:proofErr w:type="spellEnd"/>
      <w:r w:rsidRPr="003D5C5E">
        <w:rPr>
          <w:rFonts w:ascii="Times New Roman" w:hAnsi="Times New Roman" w:cs="Times New Roman"/>
        </w:rPr>
        <w:t>, A. M. (2025). Biochar for Soil Fertility and Climate Mitigation: Review on Feedstocks, Pyrolysis Conditions, Functional Properties, and Applications with Emerging AI Integration. </w:t>
      </w:r>
      <w:proofErr w:type="spellStart"/>
      <w:r w:rsidRPr="00E85AF0">
        <w:rPr>
          <w:rFonts w:ascii="Times New Roman" w:hAnsi="Times New Roman" w:cs="Times New Roman"/>
          <w:i/>
          <w:iCs/>
          <w:lang w:val="es-US"/>
        </w:rPr>
        <w:t>Agriculture</w:t>
      </w:r>
      <w:proofErr w:type="spellEnd"/>
      <w:r w:rsidRPr="00E85AF0">
        <w:rPr>
          <w:rFonts w:ascii="Times New Roman" w:hAnsi="Times New Roman" w:cs="Times New Roman"/>
          <w:lang w:val="es-US"/>
        </w:rPr>
        <w:t>, </w:t>
      </w:r>
      <w:r w:rsidRPr="00E85AF0">
        <w:rPr>
          <w:rFonts w:ascii="Times New Roman" w:hAnsi="Times New Roman" w:cs="Times New Roman"/>
          <w:i/>
          <w:iCs/>
          <w:lang w:val="es-US"/>
        </w:rPr>
        <w:t>15</w:t>
      </w:r>
      <w:r w:rsidRPr="00E85AF0">
        <w:rPr>
          <w:rFonts w:ascii="Times New Roman" w:hAnsi="Times New Roman" w:cs="Times New Roman"/>
          <w:lang w:val="es-US"/>
        </w:rPr>
        <w:t>(22), 2345.</w:t>
      </w:r>
    </w:p>
    <w:p w14:paraId="15906402" w14:textId="77777777" w:rsidR="00735163" w:rsidRDefault="00735163" w:rsidP="00735163">
      <w:pPr>
        <w:ind w:left="1440" w:hanging="1440"/>
        <w:rPr>
          <w:rFonts w:ascii="Times New Roman" w:hAnsi="Times New Roman" w:cs="Times New Roman"/>
        </w:rPr>
      </w:pPr>
      <w:r w:rsidRPr="00E85AF0">
        <w:rPr>
          <w:rFonts w:ascii="Times New Roman" w:hAnsi="Times New Roman" w:cs="Times New Roman"/>
          <w:lang w:val="es-US"/>
        </w:rPr>
        <w:t xml:space="preserve">Mitra, S., </w:t>
      </w:r>
      <w:proofErr w:type="spellStart"/>
      <w:r w:rsidRPr="00E85AF0">
        <w:rPr>
          <w:rFonts w:ascii="Times New Roman" w:hAnsi="Times New Roman" w:cs="Times New Roman"/>
          <w:lang w:val="es-US"/>
        </w:rPr>
        <w:t>Chourasia</w:t>
      </w:r>
      <w:proofErr w:type="spellEnd"/>
      <w:r w:rsidRPr="00E85AF0">
        <w:rPr>
          <w:rFonts w:ascii="Times New Roman" w:hAnsi="Times New Roman" w:cs="Times New Roman"/>
          <w:lang w:val="es-US"/>
        </w:rPr>
        <w:t xml:space="preserve">, A., Das, A., </w:t>
      </w:r>
      <w:proofErr w:type="spellStart"/>
      <w:r w:rsidRPr="00E85AF0">
        <w:rPr>
          <w:rFonts w:ascii="Times New Roman" w:hAnsi="Times New Roman" w:cs="Times New Roman"/>
          <w:lang w:val="es-US"/>
        </w:rPr>
        <w:t>Gujre</w:t>
      </w:r>
      <w:proofErr w:type="spellEnd"/>
      <w:r w:rsidRPr="00E85AF0">
        <w:rPr>
          <w:rFonts w:ascii="Times New Roman" w:hAnsi="Times New Roman" w:cs="Times New Roman"/>
          <w:lang w:val="es-US"/>
        </w:rPr>
        <w:t xml:space="preserve">, N., &amp; </w:t>
      </w:r>
      <w:proofErr w:type="spellStart"/>
      <w:r w:rsidRPr="00E85AF0">
        <w:rPr>
          <w:rFonts w:ascii="Times New Roman" w:hAnsi="Times New Roman" w:cs="Times New Roman"/>
          <w:lang w:val="es-US"/>
        </w:rPr>
        <w:t>Soni</w:t>
      </w:r>
      <w:proofErr w:type="spellEnd"/>
      <w:r w:rsidRPr="00E85AF0">
        <w:rPr>
          <w:rFonts w:ascii="Times New Roman" w:hAnsi="Times New Roman" w:cs="Times New Roman"/>
          <w:lang w:val="es-US"/>
        </w:rPr>
        <w:t xml:space="preserve">, A. (2025). </w:t>
      </w:r>
      <w:r w:rsidRPr="001921B7">
        <w:rPr>
          <w:rFonts w:ascii="Times New Roman" w:hAnsi="Times New Roman" w:cs="Times New Roman"/>
        </w:rPr>
        <w:t>Areca nut husk biochar prepared through a low-cost kiln for the adsorptive elimination of nickel and manganese from water: a farmer-friendly approach for agro-residue management. </w:t>
      </w:r>
      <w:r w:rsidRPr="001921B7">
        <w:rPr>
          <w:rFonts w:ascii="Times New Roman" w:hAnsi="Times New Roman" w:cs="Times New Roman"/>
          <w:i/>
          <w:iCs/>
        </w:rPr>
        <w:t>Biomass Conversion and Biorefinery</w:t>
      </w:r>
      <w:r w:rsidRPr="001921B7">
        <w:rPr>
          <w:rFonts w:ascii="Times New Roman" w:hAnsi="Times New Roman" w:cs="Times New Roman"/>
        </w:rPr>
        <w:t>, </w:t>
      </w:r>
      <w:r w:rsidRPr="001921B7">
        <w:rPr>
          <w:rFonts w:ascii="Times New Roman" w:hAnsi="Times New Roman" w:cs="Times New Roman"/>
          <w:i/>
          <w:iCs/>
        </w:rPr>
        <w:t>15</w:t>
      </w:r>
      <w:r w:rsidRPr="001921B7">
        <w:rPr>
          <w:rFonts w:ascii="Times New Roman" w:hAnsi="Times New Roman" w:cs="Times New Roman"/>
        </w:rPr>
        <w:t>(22), 29093-29105.</w:t>
      </w:r>
    </w:p>
    <w:p w14:paraId="5F5955C6" w14:textId="77777777" w:rsidR="00735163" w:rsidRDefault="00735163" w:rsidP="00735163">
      <w:pPr>
        <w:ind w:left="1440" w:hanging="1440"/>
        <w:rPr>
          <w:rFonts w:ascii="Times New Roman" w:hAnsi="Times New Roman" w:cs="Times New Roman"/>
        </w:rPr>
      </w:pPr>
      <w:proofErr w:type="spellStart"/>
      <w:r w:rsidRPr="00D01CE4">
        <w:rPr>
          <w:rFonts w:ascii="Times New Roman" w:hAnsi="Times New Roman" w:cs="Times New Roman"/>
        </w:rPr>
        <w:lastRenderedPageBreak/>
        <w:t>Oyebamiji</w:t>
      </w:r>
      <w:proofErr w:type="spellEnd"/>
      <w:r w:rsidRPr="00D01CE4">
        <w:rPr>
          <w:rFonts w:ascii="Times New Roman" w:hAnsi="Times New Roman" w:cs="Times New Roman"/>
        </w:rPr>
        <w:t xml:space="preserve">, O. O., </w:t>
      </w:r>
      <w:proofErr w:type="spellStart"/>
      <w:r w:rsidRPr="00D01CE4">
        <w:rPr>
          <w:rFonts w:ascii="Times New Roman" w:hAnsi="Times New Roman" w:cs="Times New Roman"/>
        </w:rPr>
        <w:t>Olaleru</w:t>
      </w:r>
      <w:proofErr w:type="spellEnd"/>
      <w:r w:rsidRPr="00D01CE4">
        <w:rPr>
          <w:rFonts w:ascii="Times New Roman" w:hAnsi="Times New Roman" w:cs="Times New Roman"/>
        </w:rPr>
        <w:t xml:space="preserve">, A. S., </w:t>
      </w:r>
      <w:proofErr w:type="spellStart"/>
      <w:r w:rsidRPr="00D01CE4">
        <w:rPr>
          <w:rFonts w:ascii="Times New Roman" w:hAnsi="Times New Roman" w:cs="Times New Roman"/>
        </w:rPr>
        <w:t>Oyeleke</w:t>
      </w:r>
      <w:proofErr w:type="spellEnd"/>
      <w:r w:rsidRPr="00D01CE4">
        <w:rPr>
          <w:rFonts w:ascii="Times New Roman" w:hAnsi="Times New Roman" w:cs="Times New Roman"/>
        </w:rPr>
        <w:t xml:space="preserve">, R. B., &amp; </w:t>
      </w:r>
      <w:proofErr w:type="spellStart"/>
      <w:r w:rsidRPr="00D01CE4">
        <w:rPr>
          <w:rFonts w:ascii="Times New Roman" w:hAnsi="Times New Roman" w:cs="Times New Roman"/>
        </w:rPr>
        <w:t>Ofodile</w:t>
      </w:r>
      <w:proofErr w:type="spellEnd"/>
      <w:r w:rsidRPr="00D01CE4">
        <w:rPr>
          <w:rFonts w:ascii="Times New Roman" w:hAnsi="Times New Roman" w:cs="Times New Roman"/>
        </w:rPr>
        <w:t>, L. N. (2025). Evaluation and characterization of biochar and briquettes from agricultural wastes for sustainable energy production. </w:t>
      </w:r>
      <w:r w:rsidRPr="00D01CE4">
        <w:rPr>
          <w:rFonts w:ascii="Times New Roman" w:hAnsi="Times New Roman" w:cs="Times New Roman"/>
          <w:i/>
          <w:iCs/>
        </w:rPr>
        <w:t>Waste Management Bulletin</w:t>
      </w:r>
      <w:r w:rsidRPr="00D01CE4">
        <w:rPr>
          <w:rFonts w:ascii="Times New Roman" w:hAnsi="Times New Roman" w:cs="Times New Roman"/>
        </w:rPr>
        <w:t>, </w:t>
      </w:r>
      <w:r w:rsidRPr="00D01CE4">
        <w:rPr>
          <w:rFonts w:ascii="Times New Roman" w:hAnsi="Times New Roman" w:cs="Times New Roman"/>
          <w:i/>
          <w:iCs/>
        </w:rPr>
        <w:t>3</w:t>
      </w:r>
      <w:r w:rsidRPr="00D01CE4">
        <w:rPr>
          <w:rFonts w:ascii="Times New Roman" w:hAnsi="Times New Roman" w:cs="Times New Roman"/>
        </w:rPr>
        <w:t>(3), 100198.</w:t>
      </w:r>
    </w:p>
    <w:p w14:paraId="013C7DDA" w14:textId="77777777" w:rsidR="00735163" w:rsidRDefault="00735163" w:rsidP="00735163">
      <w:pPr>
        <w:ind w:left="1440" w:hanging="1440"/>
        <w:rPr>
          <w:rFonts w:ascii="Times New Roman" w:hAnsi="Times New Roman" w:cs="Times New Roman"/>
        </w:rPr>
      </w:pPr>
      <w:r w:rsidRPr="004B05B3">
        <w:rPr>
          <w:rFonts w:ascii="Times New Roman" w:hAnsi="Times New Roman" w:cs="Times New Roman"/>
        </w:rPr>
        <w:t>Panwar, N. L. (2024). Pyrolysis technologies for biochar production in waste management: a review. </w:t>
      </w:r>
      <w:r w:rsidRPr="004B05B3">
        <w:rPr>
          <w:rFonts w:ascii="Times New Roman" w:hAnsi="Times New Roman" w:cs="Times New Roman"/>
          <w:i/>
          <w:iCs/>
        </w:rPr>
        <w:t>Clean Energy</w:t>
      </w:r>
      <w:r w:rsidRPr="004B05B3">
        <w:rPr>
          <w:rFonts w:ascii="Times New Roman" w:hAnsi="Times New Roman" w:cs="Times New Roman"/>
        </w:rPr>
        <w:t>, </w:t>
      </w:r>
      <w:r w:rsidRPr="004B05B3">
        <w:rPr>
          <w:rFonts w:ascii="Times New Roman" w:hAnsi="Times New Roman" w:cs="Times New Roman"/>
          <w:i/>
          <w:iCs/>
        </w:rPr>
        <w:t>8</w:t>
      </w:r>
      <w:r w:rsidRPr="004B05B3">
        <w:rPr>
          <w:rFonts w:ascii="Times New Roman" w:hAnsi="Times New Roman" w:cs="Times New Roman"/>
        </w:rPr>
        <w:t>(4), 61-78.</w:t>
      </w:r>
    </w:p>
    <w:p w14:paraId="08B4BD69" w14:textId="77777777" w:rsidR="00735163" w:rsidRDefault="00735163" w:rsidP="00735163">
      <w:pPr>
        <w:ind w:left="1440" w:hanging="1440"/>
        <w:rPr>
          <w:rFonts w:ascii="Times New Roman" w:hAnsi="Times New Roman" w:cs="Times New Roman"/>
        </w:rPr>
      </w:pPr>
      <w:r w:rsidRPr="005F5B97">
        <w:rPr>
          <w:rFonts w:ascii="Times New Roman" w:hAnsi="Times New Roman" w:cs="Times New Roman"/>
        </w:rPr>
        <w:t xml:space="preserve">Panwar, N. L., &amp; </w:t>
      </w:r>
      <w:proofErr w:type="spellStart"/>
      <w:r w:rsidRPr="005F5B97">
        <w:rPr>
          <w:rFonts w:ascii="Times New Roman" w:hAnsi="Times New Roman" w:cs="Times New Roman"/>
        </w:rPr>
        <w:t>Pawar</w:t>
      </w:r>
      <w:proofErr w:type="spellEnd"/>
      <w:r w:rsidRPr="005F5B97">
        <w:rPr>
          <w:rFonts w:ascii="Times New Roman" w:hAnsi="Times New Roman" w:cs="Times New Roman"/>
        </w:rPr>
        <w:t>, A. (2022). Influence of activation conditions on the physicochemical properties of activated biochar: a review. </w:t>
      </w:r>
      <w:r w:rsidRPr="005F5B97">
        <w:rPr>
          <w:rFonts w:ascii="Times New Roman" w:hAnsi="Times New Roman" w:cs="Times New Roman"/>
          <w:i/>
          <w:iCs/>
        </w:rPr>
        <w:t>Biomass Conversion and Biorefinery</w:t>
      </w:r>
      <w:r w:rsidRPr="005F5B97">
        <w:rPr>
          <w:rFonts w:ascii="Times New Roman" w:hAnsi="Times New Roman" w:cs="Times New Roman"/>
        </w:rPr>
        <w:t>, </w:t>
      </w:r>
      <w:r w:rsidRPr="005F5B97">
        <w:rPr>
          <w:rFonts w:ascii="Times New Roman" w:hAnsi="Times New Roman" w:cs="Times New Roman"/>
          <w:i/>
          <w:iCs/>
        </w:rPr>
        <w:t>12</w:t>
      </w:r>
      <w:r w:rsidRPr="005F5B97">
        <w:rPr>
          <w:rFonts w:ascii="Times New Roman" w:hAnsi="Times New Roman" w:cs="Times New Roman"/>
        </w:rPr>
        <w:t>(3), 925-947.</w:t>
      </w:r>
    </w:p>
    <w:p w14:paraId="18D314E1" w14:textId="77777777" w:rsidR="00735163" w:rsidRDefault="00735163" w:rsidP="00735163">
      <w:pPr>
        <w:ind w:left="1440" w:hanging="1440"/>
        <w:rPr>
          <w:rFonts w:ascii="Times New Roman" w:hAnsi="Times New Roman" w:cs="Times New Roman"/>
        </w:rPr>
      </w:pPr>
      <w:proofErr w:type="spellStart"/>
      <w:r w:rsidRPr="00D01CE4">
        <w:rPr>
          <w:rFonts w:ascii="Times New Roman" w:hAnsi="Times New Roman" w:cs="Times New Roman"/>
        </w:rPr>
        <w:t>Parvari</w:t>
      </w:r>
      <w:proofErr w:type="spellEnd"/>
      <w:r w:rsidRPr="00D01CE4">
        <w:rPr>
          <w:rFonts w:ascii="Times New Roman" w:hAnsi="Times New Roman" w:cs="Times New Roman"/>
        </w:rPr>
        <w:t>, E., Mahajan, D., &amp; Hewitt, E. L. (2025). A review of biomass pyrolysis for production of fuels: Chemistry, processing, and techno-economic analysis. </w:t>
      </w:r>
      <w:r w:rsidRPr="00D01CE4">
        <w:rPr>
          <w:rFonts w:ascii="Times New Roman" w:hAnsi="Times New Roman" w:cs="Times New Roman"/>
          <w:i/>
          <w:iCs/>
        </w:rPr>
        <w:t>Biomass</w:t>
      </w:r>
      <w:r w:rsidRPr="00D01CE4">
        <w:rPr>
          <w:rFonts w:ascii="Times New Roman" w:hAnsi="Times New Roman" w:cs="Times New Roman"/>
        </w:rPr>
        <w:t>, </w:t>
      </w:r>
      <w:r w:rsidRPr="00D01CE4">
        <w:rPr>
          <w:rFonts w:ascii="Times New Roman" w:hAnsi="Times New Roman" w:cs="Times New Roman"/>
          <w:i/>
          <w:iCs/>
        </w:rPr>
        <w:t>5</w:t>
      </w:r>
      <w:r w:rsidRPr="00D01CE4">
        <w:rPr>
          <w:rFonts w:ascii="Times New Roman" w:hAnsi="Times New Roman" w:cs="Times New Roman"/>
        </w:rPr>
        <w:t>(3), 54.</w:t>
      </w:r>
    </w:p>
    <w:p w14:paraId="74D4AF66" w14:textId="77777777" w:rsidR="00735163" w:rsidRDefault="00735163" w:rsidP="00735163">
      <w:pPr>
        <w:ind w:left="1440" w:hanging="1440"/>
        <w:rPr>
          <w:rFonts w:ascii="Times New Roman" w:hAnsi="Times New Roman" w:cs="Times New Roman"/>
        </w:rPr>
      </w:pPr>
      <w:r w:rsidRPr="001921B7">
        <w:rPr>
          <w:rFonts w:ascii="Times New Roman" w:hAnsi="Times New Roman" w:cs="Times New Roman"/>
        </w:rPr>
        <w:t xml:space="preserve">Pokharel, U., </w:t>
      </w:r>
      <w:proofErr w:type="spellStart"/>
      <w:r w:rsidRPr="001921B7">
        <w:rPr>
          <w:rFonts w:ascii="Times New Roman" w:hAnsi="Times New Roman" w:cs="Times New Roman"/>
        </w:rPr>
        <w:t>Neelgund</w:t>
      </w:r>
      <w:proofErr w:type="spellEnd"/>
      <w:r w:rsidRPr="001921B7">
        <w:rPr>
          <w:rFonts w:ascii="Times New Roman" w:hAnsi="Times New Roman" w:cs="Times New Roman"/>
        </w:rPr>
        <w:t>, G., Ray, R. L., Balan, V., &amp; Kumar, S. (2025). Biochar for soil amendment: Applications, benefits, and environmental impacts. </w:t>
      </w:r>
      <w:r w:rsidRPr="001921B7">
        <w:rPr>
          <w:rFonts w:ascii="Times New Roman" w:hAnsi="Times New Roman" w:cs="Times New Roman"/>
          <w:i/>
          <w:iCs/>
        </w:rPr>
        <w:t>Bioengineering</w:t>
      </w:r>
      <w:r w:rsidRPr="001921B7">
        <w:rPr>
          <w:rFonts w:ascii="Times New Roman" w:hAnsi="Times New Roman" w:cs="Times New Roman"/>
        </w:rPr>
        <w:t>, </w:t>
      </w:r>
      <w:r w:rsidRPr="001921B7">
        <w:rPr>
          <w:rFonts w:ascii="Times New Roman" w:hAnsi="Times New Roman" w:cs="Times New Roman"/>
          <w:i/>
          <w:iCs/>
        </w:rPr>
        <w:t>12</w:t>
      </w:r>
      <w:r w:rsidRPr="001921B7">
        <w:rPr>
          <w:rFonts w:ascii="Times New Roman" w:hAnsi="Times New Roman" w:cs="Times New Roman"/>
        </w:rPr>
        <w:t>(11), 1137.</w:t>
      </w:r>
    </w:p>
    <w:p w14:paraId="1E59D255" w14:textId="77777777" w:rsidR="00735163" w:rsidRDefault="00735163" w:rsidP="00735163">
      <w:pPr>
        <w:ind w:left="1440" w:hanging="1440"/>
        <w:rPr>
          <w:rFonts w:ascii="Times New Roman" w:hAnsi="Times New Roman" w:cs="Times New Roman"/>
        </w:rPr>
      </w:pPr>
      <w:proofErr w:type="spellStart"/>
      <w:r w:rsidRPr="005F5B97">
        <w:rPr>
          <w:rFonts w:ascii="Times New Roman" w:hAnsi="Times New Roman" w:cs="Times New Roman"/>
        </w:rPr>
        <w:t>Ronsse</w:t>
      </w:r>
      <w:proofErr w:type="spellEnd"/>
      <w:r w:rsidRPr="005F5B97">
        <w:rPr>
          <w:rFonts w:ascii="Times New Roman" w:hAnsi="Times New Roman" w:cs="Times New Roman"/>
        </w:rPr>
        <w:t xml:space="preserve">, F., Van Hecke, S., Dickinson, D., &amp; </w:t>
      </w:r>
      <w:proofErr w:type="spellStart"/>
      <w:r w:rsidRPr="005F5B97">
        <w:rPr>
          <w:rFonts w:ascii="Times New Roman" w:hAnsi="Times New Roman" w:cs="Times New Roman"/>
        </w:rPr>
        <w:t>Prins</w:t>
      </w:r>
      <w:proofErr w:type="spellEnd"/>
      <w:r w:rsidRPr="005F5B97">
        <w:rPr>
          <w:rFonts w:ascii="Times New Roman" w:hAnsi="Times New Roman" w:cs="Times New Roman"/>
        </w:rPr>
        <w:t>, W. (2013). Production and characterization of slow pyrolysis biochar: influence of feedstock type and pyrolysis conditions. </w:t>
      </w:r>
      <w:proofErr w:type="spellStart"/>
      <w:r w:rsidRPr="005F5B97">
        <w:rPr>
          <w:rFonts w:ascii="Times New Roman" w:hAnsi="Times New Roman" w:cs="Times New Roman"/>
          <w:i/>
          <w:iCs/>
        </w:rPr>
        <w:t>Gcb</w:t>
      </w:r>
      <w:proofErr w:type="spellEnd"/>
      <w:r w:rsidRPr="005F5B97">
        <w:rPr>
          <w:rFonts w:ascii="Times New Roman" w:hAnsi="Times New Roman" w:cs="Times New Roman"/>
          <w:i/>
          <w:iCs/>
        </w:rPr>
        <w:t xml:space="preserve"> Bioenergy</w:t>
      </w:r>
      <w:r w:rsidRPr="005F5B97">
        <w:rPr>
          <w:rFonts w:ascii="Times New Roman" w:hAnsi="Times New Roman" w:cs="Times New Roman"/>
        </w:rPr>
        <w:t>, </w:t>
      </w:r>
      <w:r w:rsidRPr="005F5B97">
        <w:rPr>
          <w:rFonts w:ascii="Times New Roman" w:hAnsi="Times New Roman" w:cs="Times New Roman"/>
          <w:i/>
          <w:iCs/>
        </w:rPr>
        <w:t>5</w:t>
      </w:r>
      <w:r w:rsidRPr="005F5B97">
        <w:rPr>
          <w:rFonts w:ascii="Times New Roman" w:hAnsi="Times New Roman" w:cs="Times New Roman"/>
        </w:rPr>
        <w:t>(2), 104-115.</w:t>
      </w:r>
    </w:p>
    <w:p w14:paraId="76E6C2E5" w14:textId="77777777" w:rsidR="00735163" w:rsidRDefault="00735163" w:rsidP="00735163">
      <w:pPr>
        <w:ind w:left="1440" w:hanging="1440"/>
        <w:rPr>
          <w:rFonts w:ascii="Times New Roman" w:hAnsi="Times New Roman" w:cs="Times New Roman"/>
        </w:rPr>
      </w:pPr>
      <w:proofErr w:type="spellStart"/>
      <w:r w:rsidRPr="003D5C5E">
        <w:rPr>
          <w:rFonts w:ascii="Times New Roman" w:hAnsi="Times New Roman" w:cs="Times New Roman"/>
        </w:rPr>
        <w:t>Ronsse</w:t>
      </w:r>
      <w:proofErr w:type="spellEnd"/>
      <w:r w:rsidRPr="003D5C5E">
        <w:rPr>
          <w:rFonts w:ascii="Times New Roman" w:hAnsi="Times New Roman" w:cs="Times New Roman"/>
        </w:rPr>
        <w:t xml:space="preserve">, F., Van Hecke, S., Dickinson, D., &amp; </w:t>
      </w:r>
      <w:proofErr w:type="spellStart"/>
      <w:r w:rsidRPr="003D5C5E">
        <w:rPr>
          <w:rFonts w:ascii="Times New Roman" w:hAnsi="Times New Roman" w:cs="Times New Roman"/>
        </w:rPr>
        <w:t>Prins</w:t>
      </w:r>
      <w:proofErr w:type="spellEnd"/>
      <w:r w:rsidRPr="003D5C5E">
        <w:rPr>
          <w:rFonts w:ascii="Times New Roman" w:hAnsi="Times New Roman" w:cs="Times New Roman"/>
        </w:rPr>
        <w:t>, W. (2013). Production and characterization of slow pyrolysis biochar: influence of feedstock type and pyrolysis conditions. </w:t>
      </w:r>
      <w:proofErr w:type="spellStart"/>
      <w:r w:rsidRPr="003D5C5E">
        <w:rPr>
          <w:rFonts w:ascii="Times New Roman" w:hAnsi="Times New Roman" w:cs="Times New Roman"/>
          <w:i/>
          <w:iCs/>
        </w:rPr>
        <w:t>Gcb</w:t>
      </w:r>
      <w:proofErr w:type="spellEnd"/>
      <w:r w:rsidRPr="003D5C5E">
        <w:rPr>
          <w:rFonts w:ascii="Times New Roman" w:hAnsi="Times New Roman" w:cs="Times New Roman"/>
          <w:i/>
          <w:iCs/>
        </w:rPr>
        <w:t xml:space="preserve"> Bioenergy</w:t>
      </w:r>
      <w:r w:rsidRPr="003D5C5E">
        <w:rPr>
          <w:rFonts w:ascii="Times New Roman" w:hAnsi="Times New Roman" w:cs="Times New Roman"/>
        </w:rPr>
        <w:t>, </w:t>
      </w:r>
      <w:r w:rsidRPr="003D5C5E">
        <w:rPr>
          <w:rFonts w:ascii="Times New Roman" w:hAnsi="Times New Roman" w:cs="Times New Roman"/>
          <w:i/>
          <w:iCs/>
        </w:rPr>
        <w:t>5</w:t>
      </w:r>
      <w:r w:rsidRPr="003D5C5E">
        <w:rPr>
          <w:rFonts w:ascii="Times New Roman" w:hAnsi="Times New Roman" w:cs="Times New Roman"/>
        </w:rPr>
        <w:t>(2), 104-115.</w:t>
      </w:r>
    </w:p>
    <w:p w14:paraId="0DCFB7FE" w14:textId="77777777" w:rsidR="00735163" w:rsidRDefault="00735163" w:rsidP="00735163">
      <w:pPr>
        <w:ind w:left="1440" w:hanging="1440"/>
        <w:rPr>
          <w:rFonts w:ascii="Times New Roman" w:hAnsi="Times New Roman" w:cs="Times New Roman"/>
        </w:rPr>
      </w:pPr>
      <w:r w:rsidRPr="00D01CE4">
        <w:rPr>
          <w:rFonts w:ascii="Times New Roman" w:hAnsi="Times New Roman" w:cs="Times New Roman"/>
        </w:rPr>
        <w:t>Saldarriaga, J. F., &amp; López, J. E. (2025). Biochar as a Bridge Between Biomass Energy Technologies and Sustainable Agriculture: Opportunities, Challenges, and Future Directions. </w:t>
      </w:r>
      <w:r w:rsidRPr="00D01CE4">
        <w:rPr>
          <w:rFonts w:ascii="Times New Roman" w:hAnsi="Times New Roman" w:cs="Times New Roman"/>
          <w:i/>
          <w:iCs/>
        </w:rPr>
        <w:t>Sustainability</w:t>
      </w:r>
      <w:r w:rsidRPr="00D01CE4">
        <w:rPr>
          <w:rFonts w:ascii="Times New Roman" w:hAnsi="Times New Roman" w:cs="Times New Roman"/>
        </w:rPr>
        <w:t>, </w:t>
      </w:r>
      <w:r w:rsidRPr="00D01CE4">
        <w:rPr>
          <w:rFonts w:ascii="Times New Roman" w:hAnsi="Times New Roman" w:cs="Times New Roman"/>
          <w:i/>
          <w:iCs/>
        </w:rPr>
        <w:t>17</w:t>
      </w:r>
      <w:r w:rsidRPr="00D01CE4">
        <w:rPr>
          <w:rFonts w:ascii="Times New Roman" w:hAnsi="Times New Roman" w:cs="Times New Roman"/>
        </w:rPr>
        <w:t>(24), 11285.</w:t>
      </w:r>
    </w:p>
    <w:p w14:paraId="74D234DB" w14:textId="77777777" w:rsidR="00735163" w:rsidRDefault="00735163" w:rsidP="00735163">
      <w:pPr>
        <w:ind w:left="1440" w:hanging="1440"/>
        <w:rPr>
          <w:rFonts w:ascii="Times New Roman" w:hAnsi="Times New Roman" w:cs="Times New Roman"/>
        </w:rPr>
      </w:pPr>
      <w:r w:rsidRPr="003D5C5E">
        <w:rPr>
          <w:rFonts w:ascii="Times New Roman" w:hAnsi="Times New Roman" w:cs="Times New Roman"/>
        </w:rPr>
        <w:t>Saldarriaga, J. F., &amp; López, J. E. (2025). Biochar as a Bridge Between Biomass Energy Technologies and Sustainable Agriculture: Opportunities, Challenges, and Future Directions. </w:t>
      </w:r>
      <w:r w:rsidRPr="003D5C5E">
        <w:rPr>
          <w:rFonts w:ascii="Times New Roman" w:hAnsi="Times New Roman" w:cs="Times New Roman"/>
          <w:i/>
          <w:iCs/>
        </w:rPr>
        <w:t>Sustainability</w:t>
      </w:r>
      <w:r w:rsidRPr="003D5C5E">
        <w:rPr>
          <w:rFonts w:ascii="Times New Roman" w:hAnsi="Times New Roman" w:cs="Times New Roman"/>
        </w:rPr>
        <w:t>, </w:t>
      </w:r>
      <w:r w:rsidRPr="003D5C5E">
        <w:rPr>
          <w:rFonts w:ascii="Times New Roman" w:hAnsi="Times New Roman" w:cs="Times New Roman"/>
          <w:i/>
          <w:iCs/>
        </w:rPr>
        <w:t>17</w:t>
      </w:r>
      <w:r w:rsidRPr="003D5C5E">
        <w:rPr>
          <w:rFonts w:ascii="Times New Roman" w:hAnsi="Times New Roman" w:cs="Times New Roman"/>
        </w:rPr>
        <w:t>(24), 11285.</w:t>
      </w:r>
    </w:p>
    <w:p w14:paraId="3F42AE7E" w14:textId="77777777" w:rsidR="00735163" w:rsidRPr="00E85AF0" w:rsidRDefault="00735163" w:rsidP="00735163">
      <w:pPr>
        <w:ind w:left="1440" w:hanging="1440"/>
        <w:rPr>
          <w:rFonts w:ascii="Times New Roman" w:hAnsi="Times New Roman" w:cs="Times New Roman"/>
          <w:lang w:val="es-US"/>
        </w:rPr>
      </w:pPr>
      <w:proofErr w:type="spellStart"/>
      <w:r w:rsidRPr="001921B7">
        <w:rPr>
          <w:rFonts w:ascii="Times New Roman" w:hAnsi="Times New Roman" w:cs="Times New Roman"/>
        </w:rPr>
        <w:t>Samsudin</w:t>
      </w:r>
      <w:proofErr w:type="spellEnd"/>
      <w:r w:rsidRPr="001921B7">
        <w:rPr>
          <w:rFonts w:ascii="Times New Roman" w:hAnsi="Times New Roman" w:cs="Times New Roman"/>
        </w:rPr>
        <w:t xml:space="preserve">, M. H., </w:t>
      </w:r>
      <w:proofErr w:type="spellStart"/>
      <w:r w:rsidRPr="001921B7">
        <w:rPr>
          <w:rFonts w:ascii="Times New Roman" w:hAnsi="Times New Roman" w:cs="Times New Roman"/>
        </w:rPr>
        <w:t>Mohd</w:t>
      </w:r>
      <w:proofErr w:type="spellEnd"/>
      <w:r w:rsidRPr="001921B7">
        <w:rPr>
          <w:rFonts w:ascii="Times New Roman" w:hAnsi="Times New Roman" w:cs="Times New Roman"/>
        </w:rPr>
        <w:t xml:space="preserve"> </w:t>
      </w:r>
      <w:proofErr w:type="spellStart"/>
      <w:r w:rsidRPr="001921B7">
        <w:rPr>
          <w:rFonts w:ascii="Times New Roman" w:hAnsi="Times New Roman" w:cs="Times New Roman"/>
        </w:rPr>
        <w:t>Yusoff</w:t>
      </w:r>
      <w:proofErr w:type="spellEnd"/>
      <w:r w:rsidRPr="001921B7">
        <w:rPr>
          <w:rFonts w:ascii="Times New Roman" w:hAnsi="Times New Roman" w:cs="Times New Roman"/>
        </w:rPr>
        <w:t xml:space="preserve">, M. Z., </w:t>
      </w:r>
      <w:proofErr w:type="spellStart"/>
      <w:r w:rsidRPr="001921B7">
        <w:rPr>
          <w:rFonts w:ascii="Times New Roman" w:hAnsi="Times New Roman" w:cs="Times New Roman"/>
        </w:rPr>
        <w:t>Roslan</w:t>
      </w:r>
      <w:proofErr w:type="spellEnd"/>
      <w:r w:rsidRPr="001921B7">
        <w:rPr>
          <w:rFonts w:ascii="Times New Roman" w:hAnsi="Times New Roman" w:cs="Times New Roman"/>
        </w:rPr>
        <w:t>, A. M., Hassan, M. A., Idris, J., Ahmad Farid, M. A., &amp; Yoshihito, S. (2025). Economic evaluation of woodchip-derived bio-adsorbent production: a case study using a self-sustained pilot-scale pool-type carbonization reactor. </w:t>
      </w:r>
      <w:proofErr w:type="spellStart"/>
      <w:r w:rsidRPr="00E85AF0">
        <w:rPr>
          <w:rFonts w:ascii="Times New Roman" w:hAnsi="Times New Roman" w:cs="Times New Roman"/>
          <w:i/>
          <w:iCs/>
          <w:lang w:val="es-US"/>
        </w:rPr>
        <w:t>Environmental</w:t>
      </w:r>
      <w:proofErr w:type="spellEnd"/>
      <w:r w:rsidRPr="00E85AF0">
        <w:rPr>
          <w:rFonts w:ascii="Times New Roman" w:hAnsi="Times New Roman" w:cs="Times New Roman"/>
          <w:i/>
          <w:iCs/>
          <w:lang w:val="es-US"/>
        </w:rPr>
        <w:t xml:space="preserve"> </w:t>
      </w:r>
      <w:proofErr w:type="spellStart"/>
      <w:r w:rsidRPr="00E85AF0">
        <w:rPr>
          <w:rFonts w:ascii="Times New Roman" w:hAnsi="Times New Roman" w:cs="Times New Roman"/>
          <w:i/>
          <w:iCs/>
          <w:lang w:val="es-US"/>
        </w:rPr>
        <w:t>Science</w:t>
      </w:r>
      <w:proofErr w:type="spellEnd"/>
      <w:r w:rsidRPr="00E85AF0">
        <w:rPr>
          <w:rFonts w:ascii="Times New Roman" w:hAnsi="Times New Roman" w:cs="Times New Roman"/>
          <w:i/>
          <w:iCs/>
          <w:lang w:val="es-US"/>
        </w:rPr>
        <w:t xml:space="preserve"> and </w:t>
      </w:r>
      <w:proofErr w:type="spellStart"/>
      <w:r w:rsidRPr="00E85AF0">
        <w:rPr>
          <w:rFonts w:ascii="Times New Roman" w:hAnsi="Times New Roman" w:cs="Times New Roman"/>
          <w:i/>
          <w:iCs/>
          <w:lang w:val="es-US"/>
        </w:rPr>
        <w:t>Pollution</w:t>
      </w:r>
      <w:proofErr w:type="spellEnd"/>
      <w:r w:rsidRPr="00E85AF0">
        <w:rPr>
          <w:rFonts w:ascii="Times New Roman" w:hAnsi="Times New Roman" w:cs="Times New Roman"/>
          <w:i/>
          <w:iCs/>
          <w:lang w:val="es-US"/>
        </w:rPr>
        <w:t xml:space="preserve"> </w:t>
      </w:r>
      <w:proofErr w:type="spellStart"/>
      <w:r w:rsidRPr="00E85AF0">
        <w:rPr>
          <w:rFonts w:ascii="Times New Roman" w:hAnsi="Times New Roman" w:cs="Times New Roman"/>
          <w:i/>
          <w:iCs/>
          <w:lang w:val="es-US"/>
        </w:rPr>
        <w:t>Research</w:t>
      </w:r>
      <w:proofErr w:type="spellEnd"/>
      <w:r w:rsidRPr="00E85AF0">
        <w:rPr>
          <w:rFonts w:ascii="Times New Roman" w:hAnsi="Times New Roman" w:cs="Times New Roman"/>
          <w:lang w:val="es-US"/>
        </w:rPr>
        <w:t>, </w:t>
      </w:r>
      <w:r w:rsidRPr="00E85AF0">
        <w:rPr>
          <w:rFonts w:ascii="Times New Roman" w:hAnsi="Times New Roman" w:cs="Times New Roman"/>
          <w:i/>
          <w:iCs/>
          <w:lang w:val="es-US"/>
        </w:rPr>
        <w:t>32</w:t>
      </w:r>
      <w:r w:rsidRPr="00E85AF0">
        <w:rPr>
          <w:rFonts w:ascii="Times New Roman" w:hAnsi="Times New Roman" w:cs="Times New Roman"/>
          <w:lang w:val="es-US"/>
        </w:rPr>
        <w:t>(34), 20414-20426.</w:t>
      </w:r>
    </w:p>
    <w:p w14:paraId="7C2CF834" w14:textId="77777777" w:rsidR="00735163" w:rsidRDefault="00735163" w:rsidP="00735163">
      <w:pPr>
        <w:ind w:left="1440" w:hanging="1440"/>
        <w:rPr>
          <w:rFonts w:ascii="Times New Roman" w:hAnsi="Times New Roman" w:cs="Times New Roman"/>
        </w:rPr>
      </w:pPr>
      <w:r w:rsidRPr="00E85AF0">
        <w:rPr>
          <w:rFonts w:ascii="Times New Roman" w:hAnsi="Times New Roman" w:cs="Times New Roman"/>
          <w:lang w:val="es-US"/>
        </w:rPr>
        <w:t xml:space="preserve">Solar, J., De Marco, I., Caballero, B. M., </w:t>
      </w:r>
      <w:proofErr w:type="spellStart"/>
      <w:r w:rsidRPr="00E85AF0">
        <w:rPr>
          <w:rFonts w:ascii="Times New Roman" w:hAnsi="Times New Roman" w:cs="Times New Roman"/>
          <w:lang w:val="es-US"/>
        </w:rPr>
        <w:t>Lopez-Urionabarrenechea</w:t>
      </w:r>
      <w:proofErr w:type="spellEnd"/>
      <w:r w:rsidRPr="00E85AF0">
        <w:rPr>
          <w:rFonts w:ascii="Times New Roman" w:hAnsi="Times New Roman" w:cs="Times New Roman"/>
          <w:lang w:val="es-US"/>
        </w:rPr>
        <w:t xml:space="preserve">, A., </w:t>
      </w:r>
      <w:proofErr w:type="spellStart"/>
      <w:r w:rsidRPr="00E85AF0">
        <w:rPr>
          <w:rFonts w:ascii="Times New Roman" w:hAnsi="Times New Roman" w:cs="Times New Roman"/>
          <w:lang w:val="es-US"/>
        </w:rPr>
        <w:t>Rodriguez</w:t>
      </w:r>
      <w:proofErr w:type="spellEnd"/>
      <w:r w:rsidRPr="00E85AF0">
        <w:rPr>
          <w:rFonts w:ascii="Times New Roman" w:hAnsi="Times New Roman" w:cs="Times New Roman"/>
          <w:lang w:val="es-US"/>
        </w:rPr>
        <w:t xml:space="preserve">, N., Agirre, I., &amp; Adrados, A. (2016). </w:t>
      </w:r>
      <w:r w:rsidRPr="005F5B97">
        <w:rPr>
          <w:rFonts w:ascii="Times New Roman" w:hAnsi="Times New Roman" w:cs="Times New Roman"/>
        </w:rPr>
        <w:t>Influence of temperature and residence time in the pyrolysis of woody biomass waste in a continuous screw reactor. </w:t>
      </w:r>
      <w:r w:rsidRPr="005F5B97">
        <w:rPr>
          <w:rFonts w:ascii="Times New Roman" w:hAnsi="Times New Roman" w:cs="Times New Roman"/>
          <w:i/>
          <w:iCs/>
        </w:rPr>
        <w:t>Biomass and bioenergy</w:t>
      </w:r>
      <w:r w:rsidRPr="005F5B97">
        <w:rPr>
          <w:rFonts w:ascii="Times New Roman" w:hAnsi="Times New Roman" w:cs="Times New Roman"/>
        </w:rPr>
        <w:t>, </w:t>
      </w:r>
      <w:r w:rsidRPr="005F5B97">
        <w:rPr>
          <w:rFonts w:ascii="Times New Roman" w:hAnsi="Times New Roman" w:cs="Times New Roman"/>
          <w:i/>
          <w:iCs/>
        </w:rPr>
        <w:t>95</w:t>
      </w:r>
      <w:r w:rsidRPr="005F5B97">
        <w:rPr>
          <w:rFonts w:ascii="Times New Roman" w:hAnsi="Times New Roman" w:cs="Times New Roman"/>
        </w:rPr>
        <w:t>, 416-423.</w:t>
      </w:r>
    </w:p>
    <w:p w14:paraId="643ADA53" w14:textId="77777777" w:rsidR="00735163" w:rsidRDefault="00735163" w:rsidP="00735163">
      <w:pPr>
        <w:ind w:left="1440" w:hanging="1440"/>
        <w:rPr>
          <w:rFonts w:ascii="Times New Roman" w:hAnsi="Times New Roman" w:cs="Times New Roman"/>
        </w:rPr>
      </w:pPr>
      <w:r w:rsidRPr="004B05B3">
        <w:rPr>
          <w:rFonts w:ascii="Times New Roman" w:hAnsi="Times New Roman" w:cs="Times New Roman"/>
        </w:rPr>
        <w:t xml:space="preserve">Song, B., Shen, Z., Wang, Z., Zhou, G., Peng, Q., Fan, H., &amp; Liu, J. (2025). Resource utilization of red mud with biochar to prepare high-efficiency </w:t>
      </w:r>
      <w:proofErr w:type="spellStart"/>
      <w:r w:rsidRPr="004B05B3">
        <w:rPr>
          <w:rFonts w:ascii="Times New Roman" w:hAnsi="Times New Roman" w:cs="Times New Roman"/>
        </w:rPr>
        <w:t>denitration</w:t>
      </w:r>
      <w:proofErr w:type="spellEnd"/>
      <w:r w:rsidRPr="004B05B3">
        <w:rPr>
          <w:rFonts w:ascii="Times New Roman" w:hAnsi="Times New Roman" w:cs="Times New Roman"/>
        </w:rPr>
        <w:t xml:space="preserve"> catalysts. </w:t>
      </w:r>
      <w:r w:rsidRPr="004B05B3">
        <w:rPr>
          <w:rFonts w:ascii="Times New Roman" w:hAnsi="Times New Roman" w:cs="Times New Roman"/>
          <w:i/>
          <w:iCs/>
        </w:rPr>
        <w:t>Journal of Cleaner Production</w:t>
      </w:r>
      <w:r w:rsidRPr="004B05B3">
        <w:rPr>
          <w:rFonts w:ascii="Times New Roman" w:hAnsi="Times New Roman" w:cs="Times New Roman"/>
        </w:rPr>
        <w:t>, </w:t>
      </w:r>
      <w:r w:rsidRPr="004B05B3">
        <w:rPr>
          <w:rFonts w:ascii="Times New Roman" w:hAnsi="Times New Roman" w:cs="Times New Roman"/>
          <w:i/>
          <w:iCs/>
        </w:rPr>
        <w:t>502</w:t>
      </w:r>
      <w:r w:rsidRPr="004B05B3">
        <w:rPr>
          <w:rFonts w:ascii="Times New Roman" w:hAnsi="Times New Roman" w:cs="Times New Roman"/>
        </w:rPr>
        <w:t>, 145386.</w:t>
      </w:r>
    </w:p>
    <w:p w14:paraId="40D690AC" w14:textId="77777777" w:rsidR="00735163" w:rsidRDefault="00735163" w:rsidP="00735163">
      <w:pPr>
        <w:ind w:left="1440" w:hanging="1440"/>
        <w:rPr>
          <w:rFonts w:ascii="Times New Roman" w:hAnsi="Times New Roman" w:cs="Times New Roman"/>
        </w:rPr>
      </w:pPr>
      <w:r w:rsidRPr="005F5B97">
        <w:rPr>
          <w:rFonts w:ascii="Times New Roman" w:hAnsi="Times New Roman" w:cs="Times New Roman"/>
        </w:rPr>
        <w:lastRenderedPageBreak/>
        <w:t>Sun, H., Lu, H., Chu, L., Shao, H., &amp; Shi, W. (2017). Biochar applied with appropriate rates can reduce N leaching, keep N retention and not increase NH3 volatilization in a coastal saline soil. </w:t>
      </w:r>
      <w:r w:rsidRPr="005F5B97">
        <w:rPr>
          <w:rFonts w:ascii="Times New Roman" w:hAnsi="Times New Roman" w:cs="Times New Roman"/>
          <w:i/>
          <w:iCs/>
        </w:rPr>
        <w:t>Science of the Total Environment</w:t>
      </w:r>
      <w:r w:rsidRPr="005F5B97">
        <w:rPr>
          <w:rFonts w:ascii="Times New Roman" w:hAnsi="Times New Roman" w:cs="Times New Roman"/>
        </w:rPr>
        <w:t>, </w:t>
      </w:r>
      <w:r w:rsidRPr="005F5B97">
        <w:rPr>
          <w:rFonts w:ascii="Times New Roman" w:hAnsi="Times New Roman" w:cs="Times New Roman"/>
          <w:i/>
          <w:iCs/>
        </w:rPr>
        <w:t>575</w:t>
      </w:r>
      <w:r w:rsidRPr="005F5B97">
        <w:rPr>
          <w:rFonts w:ascii="Times New Roman" w:hAnsi="Times New Roman" w:cs="Times New Roman"/>
        </w:rPr>
        <w:t>, 820-825.</w:t>
      </w:r>
    </w:p>
    <w:p w14:paraId="0278ED41" w14:textId="77777777" w:rsidR="00735163" w:rsidRDefault="00735163" w:rsidP="00735163">
      <w:pPr>
        <w:ind w:left="1440" w:hanging="1440"/>
        <w:rPr>
          <w:rFonts w:ascii="Times New Roman" w:hAnsi="Times New Roman" w:cs="Times New Roman"/>
        </w:rPr>
      </w:pPr>
      <w:proofErr w:type="spellStart"/>
      <w:r w:rsidRPr="005F5B97">
        <w:rPr>
          <w:rFonts w:ascii="Times New Roman" w:hAnsi="Times New Roman" w:cs="Times New Roman"/>
        </w:rPr>
        <w:t>Tomczyk</w:t>
      </w:r>
      <w:proofErr w:type="spellEnd"/>
      <w:r w:rsidRPr="005F5B97">
        <w:rPr>
          <w:rFonts w:ascii="Times New Roman" w:hAnsi="Times New Roman" w:cs="Times New Roman"/>
        </w:rPr>
        <w:t xml:space="preserve">, A., </w:t>
      </w:r>
      <w:proofErr w:type="spellStart"/>
      <w:r w:rsidRPr="005F5B97">
        <w:rPr>
          <w:rFonts w:ascii="Times New Roman" w:hAnsi="Times New Roman" w:cs="Times New Roman"/>
        </w:rPr>
        <w:t>Sokołowska</w:t>
      </w:r>
      <w:proofErr w:type="spellEnd"/>
      <w:r w:rsidRPr="005F5B97">
        <w:rPr>
          <w:rFonts w:ascii="Times New Roman" w:hAnsi="Times New Roman" w:cs="Times New Roman"/>
        </w:rPr>
        <w:t xml:space="preserve">, Z., &amp; </w:t>
      </w:r>
      <w:proofErr w:type="spellStart"/>
      <w:r w:rsidRPr="005F5B97">
        <w:rPr>
          <w:rFonts w:ascii="Times New Roman" w:hAnsi="Times New Roman" w:cs="Times New Roman"/>
        </w:rPr>
        <w:t>Boguta</w:t>
      </w:r>
      <w:proofErr w:type="spellEnd"/>
      <w:r w:rsidRPr="005F5B97">
        <w:rPr>
          <w:rFonts w:ascii="Times New Roman" w:hAnsi="Times New Roman" w:cs="Times New Roman"/>
        </w:rPr>
        <w:t>, P. (2020). Biomass type effect on biochar surface characteristic and adsorption capacity relative to silver and copper. </w:t>
      </w:r>
      <w:r w:rsidRPr="005F5B97">
        <w:rPr>
          <w:rFonts w:ascii="Times New Roman" w:hAnsi="Times New Roman" w:cs="Times New Roman"/>
          <w:i/>
          <w:iCs/>
        </w:rPr>
        <w:t>Fuel</w:t>
      </w:r>
      <w:r w:rsidRPr="005F5B97">
        <w:rPr>
          <w:rFonts w:ascii="Times New Roman" w:hAnsi="Times New Roman" w:cs="Times New Roman"/>
        </w:rPr>
        <w:t>, </w:t>
      </w:r>
      <w:r w:rsidRPr="005F5B97">
        <w:rPr>
          <w:rFonts w:ascii="Times New Roman" w:hAnsi="Times New Roman" w:cs="Times New Roman"/>
          <w:i/>
          <w:iCs/>
        </w:rPr>
        <w:t>278</w:t>
      </w:r>
      <w:r w:rsidRPr="005F5B97">
        <w:rPr>
          <w:rFonts w:ascii="Times New Roman" w:hAnsi="Times New Roman" w:cs="Times New Roman"/>
        </w:rPr>
        <w:t>, 118168.</w:t>
      </w:r>
    </w:p>
    <w:p w14:paraId="74329720" w14:textId="77777777" w:rsidR="00735163" w:rsidRDefault="00735163" w:rsidP="00735163">
      <w:pPr>
        <w:ind w:left="1440" w:hanging="1440"/>
        <w:rPr>
          <w:rFonts w:ascii="Times New Roman" w:hAnsi="Times New Roman" w:cs="Times New Roman"/>
        </w:rPr>
      </w:pPr>
      <w:r w:rsidRPr="004B05B3">
        <w:rPr>
          <w:rFonts w:ascii="Times New Roman" w:hAnsi="Times New Roman" w:cs="Times New Roman"/>
        </w:rPr>
        <w:t xml:space="preserve">Tripathi, M., </w:t>
      </w:r>
      <w:proofErr w:type="spellStart"/>
      <w:r w:rsidRPr="004B05B3">
        <w:rPr>
          <w:rFonts w:ascii="Times New Roman" w:hAnsi="Times New Roman" w:cs="Times New Roman"/>
        </w:rPr>
        <w:t>Sahu</w:t>
      </w:r>
      <w:proofErr w:type="spellEnd"/>
      <w:r w:rsidRPr="004B05B3">
        <w:rPr>
          <w:rFonts w:ascii="Times New Roman" w:hAnsi="Times New Roman" w:cs="Times New Roman"/>
        </w:rPr>
        <w:t>, J. N., &amp; Ganesan, P. (2016). Effect of process parameters on production of biochar from biomass waste through pyrolysis: A review. </w:t>
      </w:r>
      <w:r w:rsidRPr="004B05B3">
        <w:rPr>
          <w:rFonts w:ascii="Times New Roman" w:hAnsi="Times New Roman" w:cs="Times New Roman"/>
          <w:i/>
          <w:iCs/>
        </w:rPr>
        <w:t>Renewable and sustainable energy reviews</w:t>
      </w:r>
      <w:r w:rsidRPr="004B05B3">
        <w:rPr>
          <w:rFonts w:ascii="Times New Roman" w:hAnsi="Times New Roman" w:cs="Times New Roman"/>
        </w:rPr>
        <w:t>, </w:t>
      </w:r>
      <w:r w:rsidRPr="004B05B3">
        <w:rPr>
          <w:rFonts w:ascii="Times New Roman" w:hAnsi="Times New Roman" w:cs="Times New Roman"/>
          <w:i/>
          <w:iCs/>
        </w:rPr>
        <w:t>55</w:t>
      </w:r>
      <w:r w:rsidRPr="004B05B3">
        <w:rPr>
          <w:rFonts w:ascii="Times New Roman" w:hAnsi="Times New Roman" w:cs="Times New Roman"/>
        </w:rPr>
        <w:t>, 467-481.</w:t>
      </w:r>
    </w:p>
    <w:p w14:paraId="53DC8F87" w14:textId="77777777" w:rsidR="00735163" w:rsidRDefault="00735163" w:rsidP="00735163">
      <w:pPr>
        <w:ind w:left="1440" w:hanging="1440"/>
        <w:rPr>
          <w:rFonts w:ascii="Times New Roman" w:hAnsi="Times New Roman" w:cs="Times New Roman"/>
        </w:rPr>
      </w:pPr>
      <w:proofErr w:type="spellStart"/>
      <w:r w:rsidRPr="001921B7">
        <w:rPr>
          <w:rFonts w:ascii="Times New Roman" w:hAnsi="Times New Roman" w:cs="Times New Roman"/>
        </w:rPr>
        <w:t>Ungureanu</w:t>
      </w:r>
      <w:proofErr w:type="spellEnd"/>
      <w:r w:rsidRPr="001921B7">
        <w:rPr>
          <w:rFonts w:ascii="Times New Roman" w:hAnsi="Times New Roman" w:cs="Times New Roman"/>
        </w:rPr>
        <w:t xml:space="preserve">, N., </w:t>
      </w:r>
      <w:proofErr w:type="spellStart"/>
      <w:r w:rsidRPr="001921B7">
        <w:rPr>
          <w:rFonts w:ascii="Times New Roman" w:hAnsi="Times New Roman" w:cs="Times New Roman"/>
        </w:rPr>
        <w:t>Vlăduț</w:t>
      </w:r>
      <w:proofErr w:type="spellEnd"/>
      <w:r w:rsidRPr="001921B7">
        <w:rPr>
          <w:rFonts w:ascii="Times New Roman" w:hAnsi="Times New Roman" w:cs="Times New Roman"/>
        </w:rPr>
        <w:t xml:space="preserve">, N. V., </w:t>
      </w:r>
      <w:proofErr w:type="spellStart"/>
      <w:r w:rsidRPr="001921B7">
        <w:rPr>
          <w:rFonts w:ascii="Times New Roman" w:hAnsi="Times New Roman" w:cs="Times New Roman"/>
        </w:rPr>
        <w:t>Biriș</w:t>
      </w:r>
      <w:proofErr w:type="spellEnd"/>
      <w:r w:rsidRPr="001921B7">
        <w:rPr>
          <w:rFonts w:ascii="Times New Roman" w:hAnsi="Times New Roman" w:cs="Times New Roman"/>
        </w:rPr>
        <w:t xml:space="preserve">, S. Ș., </w:t>
      </w:r>
      <w:proofErr w:type="spellStart"/>
      <w:r w:rsidRPr="001921B7">
        <w:rPr>
          <w:rFonts w:ascii="Times New Roman" w:hAnsi="Times New Roman" w:cs="Times New Roman"/>
        </w:rPr>
        <w:t>Gheorghiță</w:t>
      </w:r>
      <w:proofErr w:type="spellEnd"/>
      <w:r w:rsidRPr="001921B7">
        <w:rPr>
          <w:rFonts w:ascii="Times New Roman" w:hAnsi="Times New Roman" w:cs="Times New Roman"/>
        </w:rPr>
        <w:t>, N. E., &amp; Ionescu, M. (2025). Biomass pyrolysis pathways for renewable energy and sustainable resource recovery: a critical review of processes, parameters, and product valorization. </w:t>
      </w:r>
      <w:r w:rsidRPr="001921B7">
        <w:rPr>
          <w:rFonts w:ascii="Times New Roman" w:hAnsi="Times New Roman" w:cs="Times New Roman"/>
          <w:i/>
          <w:iCs/>
        </w:rPr>
        <w:t>Sustainability</w:t>
      </w:r>
      <w:r w:rsidRPr="001921B7">
        <w:rPr>
          <w:rFonts w:ascii="Times New Roman" w:hAnsi="Times New Roman" w:cs="Times New Roman"/>
        </w:rPr>
        <w:t>, </w:t>
      </w:r>
      <w:r w:rsidRPr="001921B7">
        <w:rPr>
          <w:rFonts w:ascii="Times New Roman" w:hAnsi="Times New Roman" w:cs="Times New Roman"/>
          <w:i/>
          <w:iCs/>
        </w:rPr>
        <w:t>17</w:t>
      </w:r>
      <w:r w:rsidRPr="001921B7">
        <w:rPr>
          <w:rFonts w:ascii="Times New Roman" w:hAnsi="Times New Roman" w:cs="Times New Roman"/>
        </w:rPr>
        <w:t>(17), 7806.</w:t>
      </w:r>
    </w:p>
    <w:p w14:paraId="4F7B03FC" w14:textId="77777777" w:rsidR="00735163" w:rsidRDefault="00735163" w:rsidP="00735163">
      <w:pPr>
        <w:ind w:left="1440" w:hanging="1440"/>
        <w:rPr>
          <w:rFonts w:ascii="Times New Roman" w:hAnsi="Times New Roman" w:cs="Times New Roman"/>
        </w:rPr>
      </w:pPr>
      <w:proofErr w:type="spellStart"/>
      <w:r w:rsidRPr="001921B7">
        <w:rPr>
          <w:rFonts w:ascii="Times New Roman" w:hAnsi="Times New Roman" w:cs="Times New Roman"/>
        </w:rPr>
        <w:t>Unsomsri</w:t>
      </w:r>
      <w:proofErr w:type="spellEnd"/>
      <w:r w:rsidRPr="001921B7">
        <w:rPr>
          <w:rFonts w:ascii="Times New Roman" w:hAnsi="Times New Roman" w:cs="Times New Roman"/>
        </w:rPr>
        <w:t xml:space="preserve">, N., </w:t>
      </w:r>
      <w:proofErr w:type="spellStart"/>
      <w:r w:rsidRPr="001921B7">
        <w:rPr>
          <w:rFonts w:ascii="Times New Roman" w:hAnsi="Times New Roman" w:cs="Times New Roman"/>
        </w:rPr>
        <w:t>Sriwilai</w:t>
      </w:r>
      <w:proofErr w:type="spellEnd"/>
      <w:r w:rsidRPr="001921B7">
        <w:rPr>
          <w:rFonts w:ascii="Times New Roman" w:hAnsi="Times New Roman" w:cs="Times New Roman"/>
        </w:rPr>
        <w:t xml:space="preserve">, W., </w:t>
      </w:r>
      <w:proofErr w:type="spellStart"/>
      <w:r w:rsidRPr="001921B7">
        <w:rPr>
          <w:rFonts w:ascii="Times New Roman" w:hAnsi="Times New Roman" w:cs="Times New Roman"/>
        </w:rPr>
        <w:t>Wiriyasart</w:t>
      </w:r>
      <w:proofErr w:type="spellEnd"/>
      <w:r w:rsidRPr="001921B7">
        <w:rPr>
          <w:rFonts w:ascii="Times New Roman" w:hAnsi="Times New Roman" w:cs="Times New Roman"/>
        </w:rPr>
        <w:t xml:space="preserve">, S., </w:t>
      </w:r>
      <w:proofErr w:type="spellStart"/>
      <w:r w:rsidRPr="001921B7">
        <w:rPr>
          <w:rFonts w:ascii="Times New Roman" w:hAnsi="Times New Roman" w:cs="Times New Roman"/>
        </w:rPr>
        <w:t>Sriromreun</w:t>
      </w:r>
      <w:proofErr w:type="spellEnd"/>
      <w:r w:rsidRPr="001921B7">
        <w:rPr>
          <w:rFonts w:ascii="Times New Roman" w:hAnsi="Times New Roman" w:cs="Times New Roman"/>
        </w:rPr>
        <w:t xml:space="preserve">, P., &amp; </w:t>
      </w:r>
      <w:proofErr w:type="spellStart"/>
      <w:r w:rsidRPr="001921B7">
        <w:rPr>
          <w:rFonts w:ascii="Times New Roman" w:hAnsi="Times New Roman" w:cs="Times New Roman"/>
        </w:rPr>
        <w:t>Kaewluan</w:t>
      </w:r>
      <w:proofErr w:type="spellEnd"/>
      <w:r w:rsidRPr="001921B7">
        <w:rPr>
          <w:rFonts w:ascii="Times New Roman" w:hAnsi="Times New Roman" w:cs="Times New Roman"/>
        </w:rPr>
        <w:t>, S. (2025). Impact of kiln capacity on environment friendly biochar yield and biochar characteristics from rubberwood scrap using a modified cross draft biomass gasifier and burner as heat source. </w:t>
      </w:r>
      <w:r w:rsidRPr="001921B7">
        <w:rPr>
          <w:rFonts w:ascii="Times New Roman" w:hAnsi="Times New Roman" w:cs="Times New Roman"/>
          <w:i/>
          <w:iCs/>
        </w:rPr>
        <w:t>Case Studies in Chemical and Environmental Engineering</w:t>
      </w:r>
      <w:r w:rsidRPr="001921B7">
        <w:rPr>
          <w:rFonts w:ascii="Times New Roman" w:hAnsi="Times New Roman" w:cs="Times New Roman"/>
        </w:rPr>
        <w:t>, </w:t>
      </w:r>
      <w:r w:rsidRPr="001921B7">
        <w:rPr>
          <w:rFonts w:ascii="Times New Roman" w:hAnsi="Times New Roman" w:cs="Times New Roman"/>
          <w:i/>
          <w:iCs/>
        </w:rPr>
        <w:t>11</w:t>
      </w:r>
      <w:r w:rsidRPr="001921B7">
        <w:rPr>
          <w:rFonts w:ascii="Times New Roman" w:hAnsi="Times New Roman" w:cs="Times New Roman"/>
        </w:rPr>
        <w:t>, 101178.</w:t>
      </w:r>
    </w:p>
    <w:p w14:paraId="3D54C180" w14:textId="77777777" w:rsidR="00735163" w:rsidRPr="00E85AF0" w:rsidRDefault="00735163" w:rsidP="00735163">
      <w:pPr>
        <w:ind w:left="1440" w:hanging="1440"/>
        <w:rPr>
          <w:rFonts w:ascii="Times New Roman" w:hAnsi="Times New Roman" w:cs="Times New Roman"/>
          <w:lang w:val="es-US"/>
        </w:rPr>
      </w:pPr>
      <w:r w:rsidRPr="00D01CE4">
        <w:rPr>
          <w:rFonts w:ascii="Times New Roman" w:hAnsi="Times New Roman" w:cs="Times New Roman"/>
        </w:rPr>
        <w:t>Wang, H., Zhou, P., &amp; Zhao, X. (2025). Applications of biochar in fuel and feedstock substitution: a review. </w:t>
      </w:r>
      <w:proofErr w:type="spellStart"/>
      <w:r w:rsidRPr="00E85AF0">
        <w:rPr>
          <w:rFonts w:ascii="Times New Roman" w:hAnsi="Times New Roman" w:cs="Times New Roman"/>
          <w:i/>
          <w:iCs/>
          <w:lang w:val="es-US"/>
        </w:rPr>
        <w:t>Energies</w:t>
      </w:r>
      <w:proofErr w:type="spellEnd"/>
      <w:r w:rsidRPr="00E85AF0">
        <w:rPr>
          <w:rFonts w:ascii="Times New Roman" w:hAnsi="Times New Roman" w:cs="Times New Roman"/>
          <w:lang w:val="es-US"/>
        </w:rPr>
        <w:t>, </w:t>
      </w:r>
      <w:r w:rsidRPr="00E85AF0">
        <w:rPr>
          <w:rFonts w:ascii="Times New Roman" w:hAnsi="Times New Roman" w:cs="Times New Roman"/>
          <w:i/>
          <w:iCs/>
          <w:lang w:val="es-US"/>
        </w:rPr>
        <w:t>18</w:t>
      </w:r>
      <w:r w:rsidRPr="00E85AF0">
        <w:rPr>
          <w:rFonts w:ascii="Times New Roman" w:hAnsi="Times New Roman" w:cs="Times New Roman"/>
          <w:lang w:val="es-US"/>
        </w:rPr>
        <w:t>(17), 4511.</w:t>
      </w:r>
    </w:p>
    <w:p w14:paraId="77901500" w14:textId="77777777" w:rsidR="00735163" w:rsidRDefault="00735163" w:rsidP="00735163">
      <w:pPr>
        <w:ind w:left="1440" w:hanging="1440"/>
        <w:rPr>
          <w:rFonts w:ascii="Times New Roman" w:hAnsi="Times New Roman" w:cs="Times New Roman"/>
        </w:rPr>
      </w:pPr>
      <w:proofErr w:type="spellStart"/>
      <w:r w:rsidRPr="00E85AF0">
        <w:rPr>
          <w:rFonts w:ascii="Times New Roman" w:hAnsi="Times New Roman" w:cs="Times New Roman"/>
          <w:lang w:val="es-US"/>
        </w:rPr>
        <w:t>Yaashikaa</w:t>
      </w:r>
      <w:proofErr w:type="spellEnd"/>
      <w:r w:rsidRPr="00E85AF0">
        <w:rPr>
          <w:rFonts w:ascii="Times New Roman" w:hAnsi="Times New Roman" w:cs="Times New Roman"/>
          <w:lang w:val="es-US"/>
        </w:rPr>
        <w:t xml:space="preserve">, P. R., Kumar, P. S., </w:t>
      </w:r>
      <w:proofErr w:type="spellStart"/>
      <w:r w:rsidRPr="00E85AF0">
        <w:rPr>
          <w:rFonts w:ascii="Times New Roman" w:hAnsi="Times New Roman" w:cs="Times New Roman"/>
          <w:lang w:val="es-US"/>
        </w:rPr>
        <w:t>Varjani</w:t>
      </w:r>
      <w:proofErr w:type="spellEnd"/>
      <w:r w:rsidRPr="00E85AF0">
        <w:rPr>
          <w:rFonts w:ascii="Times New Roman" w:hAnsi="Times New Roman" w:cs="Times New Roman"/>
          <w:lang w:val="es-US"/>
        </w:rPr>
        <w:t xml:space="preserve">, S., &amp; </w:t>
      </w:r>
      <w:proofErr w:type="spellStart"/>
      <w:r w:rsidRPr="00E85AF0">
        <w:rPr>
          <w:rFonts w:ascii="Times New Roman" w:hAnsi="Times New Roman" w:cs="Times New Roman"/>
          <w:lang w:val="es-US"/>
        </w:rPr>
        <w:t>Saravanan</w:t>
      </w:r>
      <w:proofErr w:type="spellEnd"/>
      <w:r w:rsidRPr="00E85AF0">
        <w:rPr>
          <w:rFonts w:ascii="Times New Roman" w:hAnsi="Times New Roman" w:cs="Times New Roman"/>
          <w:lang w:val="es-US"/>
        </w:rPr>
        <w:t xml:space="preserve">, A. J. B. R. (2020). </w:t>
      </w:r>
      <w:r w:rsidRPr="005F5B97">
        <w:rPr>
          <w:rFonts w:ascii="Times New Roman" w:hAnsi="Times New Roman" w:cs="Times New Roman"/>
        </w:rPr>
        <w:t xml:space="preserve">A critical review on the biochar production techniques, characterization, stability and applications for circular </w:t>
      </w:r>
      <w:proofErr w:type="spellStart"/>
      <w:r w:rsidRPr="005F5B97">
        <w:rPr>
          <w:rFonts w:ascii="Times New Roman" w:hAnsi="Times New Roman" w:cs="Times New Roman"/>
        </w:rPr>
        <w:t>bioeconomy</w:t>
      </w:r>
      <w:proofErr w:type="spellEnd"/>
      <w:r w:rsidRPr="005F5B97">
        <w:rPr>
          <w:rFonts w:ascii="Times New Roman" w:hAnsi="Times New Roman" w:cs="Times New Roman"/>
        </w:rPr>
        <w:t>. </w:t>
      </w:r>
      <w:r w:rsidRPr="005F5B97">
        <w:rPr>
          <w:rFonts w:ascii="Times New Roman" w:hAnsi="Times New Roman" w:cs="Times New Roman"/>
          <w:i/>
          <w:iCs/>
        </w:rPr>
        <w:t>Biotechnology reports</w:t>
      </w:r>
      <w:r w:rsidRPr="005F5B97">
        <w:rPr>
          <w:rFonts w:ascii="Times New Roman" w:hAnsi="Times New Roman" w:cs="Times New Roman"/>
        </w:rPr>
        <w:t>, </w:t>
      </w:r>
      <w:r w:rsidRPr="005F5B97">
        <w:rPr>
          <w:rFonts w:ascii="Times New Roman" w:hAnsi="Times New Roman" w:cs="Times New Roman"/>
          <w:i/>
          <w:iCs/>
        </w:rPr>
        <w:t>28</w:t>
      </w:r>
      <w:r w:rsidRPr="005F5B97">
        <w:rPr>
          <w:rFonts w:ascii="Times New Roman" w:hAnsi="Times New Roman" w:cs="Times New Roman"/>
        </w:rPr>
        <w:t>, e00570.</w:t>
      </w:r>
    </w:p>
    <w:p w14:paraId="6D82A878" w14:textId="77777777" w:rsidR="00735163" w:rsidRDefault="00735163" w:rsidP="00735163">
      <w:pPr>
        <w:ind w:left="1440" w:hanging="1440"/>
        <w:rPr>
          <w:rFonts w:ascii="Times New Roman" w:hAnsi="Times New Roman" w:cs="Times New Roman"/>
        </w:rPr>
      </w:pPr>
      <w:r w:rsidRPr="005F5B97">
        <w:rPr>
          <w:rFonts w:ascii="Times New Roman" w:hAnsi="Times New Roman" w:cs="Times New Roman"/>
        </w:rPr>
        <w:t>Zhao, B., O'Connor, D., Zhang, J., Peng, T., Shen, Z., Tsang, D. C., &amp; Hou, D. (2018). Effect of pyrolysis temperature, heating rate, and residence time on rapeseed stem derived biochar. </w:t>
      </w:r>
      <w:r w:rsidRPr="005F5B97">
        <w:rPr>
          <w:rFonts w:ascii="Times New Roman" w:hAnsi="Times New Roman" w:cs="Times New Roman"/>
          <w:i/>
          <w:iCs/>
        </w:rPr>
        <w:t>Journal of Cleaner Production</w:t>
      </w:r>
      <w:r w:rsidRPr="005F5B97">
        <w:rPr>
          <w:rFonts w:ascii="Times New Roman" w:hAnsi="Times New Roman" w:cs="Times New Roman"/>
        </w:rPr>
        <w:t>, </w:t>
      </w:r>
      <w:r w:rsidRPr="005F5B97">
        <w:rPr>
          <w:rFonts w:ascii="Times New Roman" w:hAnsi="Times New Roman" w:cs="Times New Roman"/>
          <w:i/>
          <w:iCs/>
        </w:rPr>
        <w:t>174</w:t>
      </w:r>
      <w:r w:rsidRPr="005F5B97">
        <w:rPr>
          <w:rFonts w:ascii="Times New Roman" w:hAnsi="Times New Roman" w:cs="Times New Roman"/>
        </w:rPr>
        <w:t>, 977-987.</w:t>
      </w:r>
    </w:p>
    <w:p w14:paraId="56E5B8F3" w14:textId="77777777" w:rsidR="005443DD" w:rsidRDefault="005443DD" w:rsidP="005443DD">
      <w:pPr>
        <w:ind w:left="720" w:hanging="720"/>
        <w:rPr>
          <w:rFonts w:ascii="Times New Roman" w:hAnsi="Times New Roman" w:cs="Times New Roman"/>
        </w:rPr>
      </w:pPr>
    </w:p>
    <w:p w14:paraId="45F5313F" w14:textId="5DD0044A" w:rsidR="005443DD" w:rsidRDefault="00F270D2" w:rsidP="005443DD">
      <w:pPr>
        <w:ind w:left="720" w:hanging="720"/>
        <w:rPr>
          <w:rFonts w:ascii="Times New Roman" w:hAnsi="Times New Roman" w:cs="Times New Roman"/>
        </w:rPr>
      </w:pPr>
      <w:r>
        <w:rPr>
          <w:noProof/>
        </w:rPr>
        <w:drawing>
          <wp:inline distT="0" distB="0" distL="0" distR="0" wp14:anchorId="354F853D" wp14:editId="0BA076A3">
            <wp:extent cx="1595249" cy="1812202"/>
            <wp:effectExtent l="0" t="0" r="5080" b="0"/>
            <wp:docPr id="8645729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0196" b="4616"/>
                    <a:stretch>
                      <a:fillRect/>
                    </a:stretch>
                  </pic:blipFill>
                  <pic:spPr bwMode="auto">
                    <a:xfrm>
                      <a:off x="0" y="0"/>
                      <a:ext cx="1616027" cy="1835806"/>
                    </a:xfrm>
                    <a:prstGeom prst="rect">
                      <a:avLst/>
                    </a:prstGeom>
                    <a:noFill/>
                    <a:ln>
                      <a:noFill/>
                    </a:ln>
                    <a:extLst>
                      <a:ext uri="{53640926-AAD7-44D8-BBD7-CCE9431645EC}">
                        <a14:shadowObscured xmlns:a14="http://schemas.microsoft.com/office/drawing/2010/main"/>
                      </a:ext>
                    </a:extLst>
                  </pic:spPr>
                </pic:pic>
              </a:graphicData>
            </a:graphic>
          </wp:inline>
        </w:drawing>
      </w:r>
    </w:p>
    <w:p w14:paraId="6A6F1819" w14:textId="6D66AD9E" w:rsidR="005443DD" w:rsidRDefault="007A08BC" w:rsidP="005443DD">
      <w:pPr>
        <w:ind w:left="720" w:hanging="720"/>
        <w:rPr>
          <w:rFonts w:ascii="Times New Roman" w:hAnsi="Times New Roman" w:cs="Times New Roman"/>
        </w:rPr>
      </w:pPr>
      <w:r>
        <w:rPr>
          <w:rFonts w:ascii="Times New Roman" w:hAnsi="Times New Roman" w:cs="Times New Roman"/>
        </w:rPr>
        <w:t>a</w:t>
      </w:r>
    </w:p>
    <w:p w14:paraId="42FC6B98" w14:textId="77777777" w:rsidR="005443DD" w:rsidRDefault="005443DD" w:rsidP="005443DD">
      <w:pPr>
        <w:ind w:left="720" w:hanging="720"/>
        <w:rPr>
          <w:rFonts w:ascii="Times New Roman" w:hAnsi="Times New Roman" w:cs="Times New Roman"/>
        </w:rPr>
      </w:pPr>
    </w:p>
    <w:p w14:paraId="68B8915D" w14:textId="10576CF1" w:rsidR="005443DD" w:rsidRDefault="00F270D2" w:rsidP="005443DD">
      <w:pPr>
        <w:ind w:left="720" w:hanging="720"/>
        <w:rPr>
          <w:rFonts w:ascii="Times New Roman" w:hAnsi="Times New Roman" w:cs="Times New Roman"/>
        </w:rPr>
      </w:pPr>
      <w:r>
        <w:rPr>
          <w:rFonts w:ascii="Times New Roman" w:hAnsi="Times New Roman" w:cs="Times New Roman"/>
          <w:noProof/>
        </w:rPr>
        <w:lastRenderedPageBreak/>
        <w:drawing>
          <wp:inline distT="0" distB="0" distL="0" distR="0" wp14:anchorId="04FB1293" wp14:editId="60B48ACB">
            <wp:extent cx="2113595" cy="2193503"/>
            <wp:effectExtent l="0" t="0" r="1270" b="0"/>
            <wp:docPr id="3434578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57825" name="Picture 343457825"/>
                    <pic:cNvPicPr/>
                  </pic:nvPicPr>
                  <pic:blipFill rotWithShape="1">
                    <a:blip r:embed="rId7" cstate="print">
                      <a:extLst>
                        <a:ext uri="{28A0092B-C50C-407E-A947-70E740481C1C}">
                          <a14:useLocalDpi xmlns:a14="http://schemas.microsoft.com/office/drawing/2010/main" val="0"/>
                        </a:ext>
                      </a:extLst>
                    </a:blip>
                    <a:srcRect t="11543" b="11173"/>
                    <a:stretch>
                      <a:fillRect/>
                    </a:stretch>
                  </pic:blipFill>
                  <pic:spPr bwMode="auto">
                    <a:xfrm>
                      <a:off x="0" y="0"/>
                      <a:ext cx="2127360" cy="2207789"/>
                    </a:xfrm>
                    <a:prstGeom prst="rect">
                      <a:avLst/>
                    </a:prstGeom>
                    <a:ln>
                      <a:noFill/>
                    </a:ln>
                    <a:extLst>
                      <a:ext uri="{53640926-AAD7-44D8-BBD7-CCE9431645EC}">
                        <a14:shadowObscured xmlns:a14="http://schemas.microsoft.com/office/drawing/2010/main"/>
                      </a:ext>
                    </a:extLst>
                  </pic:spPr>
                </pic:pic>
              </a:graphicData>
            </a:graphic>
          </wp:inline>
        </w:drawing>
      </w:r>
    </w:p>
    <w:p w14:paraId="0BAD9340" w14:textId="7DB7BC71" w:rsidR="005443DD" w:rsidRPr="005F5B97" w:rsidRDefault="007A08BC" w:rsidP="005443DD">
      <w:pPr>
        <w:ind w:left="720" w:hanging="720"/>
        <w:rPr>
          <w:rFonts w:ascii="Times New Roman" w:hAnsi="Times New Roman" w:cs="Times New Roman"/>
        </w:rPr>
      </w:pPr>
      <w:r>
        <w:rPr>
          <w:rFonts w:ascii="Times New Roman" w:hAnsi="Times New Roman" w:cs="Times New Roman"/>
        </w:rPr>
        <w:t>b</w:t>
      </w:r>
      <w:r w:rsidR="00DE177E">
        <w:rPr>
          <w:rFonts w:ascii="Times New Roman" w:hAnsi="Times New Roman" w:cs="Times New Roman"/>
        </w:rPr>
        <w:t xml:space="preserve"> </w:t>
      </w:r>
    </w:p>
    <w:p w14:paraId="20116ED9" w14:textId="0A2752C4" w:rsidR="005443DD" w:rsidRDefault="00E85AF0" w:rsidP="007328C4">
      <w:pPr>
        <w:jc w:val="both"/>
        <w:rPr>
          <w:rFonts w:ascii="Times New Roman" w:hAnsi="Times New Roman" w:cs="Times New Roman"/>
          <w:b/>
          <w:bCs/>
        </w:rPr>
      </w:pPr>
      <w:r>
        <w:rPr>
          <w:rFonts w:ascii="Times New Roman" w:hAnsi="Times New Roman" w:cs="Times New Roman"/>
          <w:b/>
          <w:bCs/>
        </w:rPr>
        <w:t>Fig 1</w:t>
      </w:r>
      <w:r w:rsidR="007A08BC">
        <w:rPr>
          <w:rFonts w:ascii="Times New Roman" w:hAnsi="Times New Roman" w:cs="Times New Roman"/>
          <w:b/>
          <w:bCs/>
        </w:rPr>
        <w:t>(</w:t>
      </w:r>
      <w:proofErr w:type="spellStart"/>
      <w:r w:rsidR="007A08BC">
        <w:rPr>
          <w:rFonts w:ascii="Times New Roman" w:hAnsi="Times New Roman" w:cs="Times New Roman"/>
          <w:b/>
          <w:bCs/>
        </w:rPr>
        <w:t>a&amp;b</w:t>
      </w:r>
      <w:proofErr w:type="spellEnd"/>
      <w:r w:rsidR="007A08BC">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T</w:t>
      </w:r>
      <w:r w:rsidRPr="00CF4B28">
        <w:rPr>
          <w:rFonts w:ascii="Times New Roman" w:hAnsi="Times New Roman" w:cs="Times New Roman"/>
        </w:rPr>
        <w:t>he low-cost drum kiln design developed by the Central Research Institute for Dryland Agriculture (CRIDA), India</w:t>
      </w:r>
      <w:r w:rsidRPr="005142CF">
        <w:rPr>
          <w:rFonts w:ascii="Times New Roman" w:hAnsi="Times New Roman" w:cs="Times New Roman"/>
        </w:rPr>
        <w:t xml:space="preserve"> </w:t>
      </w:r>
    </w:p>
    <w:p w14:paraId="5DC46DE0" w14:textId="77777777" w:rsidR="00A67773" w:rsidRPr="004F4E10" w:rsidRDefault="00A67773" w:rsidP="007328C4">
      <w:pPr>
        <w:jc w:val="both"/>
        <w:rPr>
          <w:rFonts w:ascii="Times New Roman" w:hAnsi="Times New Roman" w:cs="Times New Roman"/>
          <w:b/>
          <w:bCs/>
        </w:rPr>
      </w:pPr>
    </w:p>
    <w:p w14:paraId="62C76548" w14:textId="77777777" w:rsidR="004F4E10" w:rsidRPr="005443DD" w:rsidRDefault="004F4E10" w:rsidP="007328C4">
      <w:pPr>
        <w:jc w:val="both"/>
        <w:rPr>
          <w:rFonts w:ascii="Times New Roman" w:hAnsi="Times New Roman" w:cs="Times New Roman"/>
        </w:rPr>
      </w:pPr>
    </w:p>
    <w:sectPr w:rsidR="004F4E10" w:rsidRPr="005443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364AB" w14:textId="77777777" w:rsidR="0050521D" w:rsidRDefault="0050521D" w:rsidP="000F1E39">
      <w:pPr>
        <w:spacing w:after="0" w:line="240" w:lineRule="auto"/>
      </w:pPr>
      <w:r>
        <w:separator/>
      </w:r>
    </w:p>
  </w:endnote>
  <w:endnote w:type="continuationSeparator" w:id="0">
    <w:p w14:paraId="72A0DD7D" w14:textId="77777777" w:rsidR="0050521D" w:rsidRDefault="0050521D" w:rsidP="000F1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kmes">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AF364" w14:textId="77777777" w:rsidR="000F1E39" w:rsidRDefault="000F1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B7D8D" w14:textId="77777777" w:rsidR="000F1E39" w:rsidRDefault="000F1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414E3" w14:textId="77777777" w:rsidR="000F1E39" w:rsidRDefault="000F1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300FA" w14:textId="77777777" w:rsidR="0050521D" w:rsidRDefault="0050521D" w:rsidP="000F1E39">
      <w:pPr>
        <w:spacing w:after="0" w:line="240" w:lineRule="auto"/>
      </w:pPr>
      <w:r>
        <w:separator/>
      </w:r>
    </w:p>
  </w:footnote>
  <w:footnote w:type="continuationSeparator" w:id="0">
    <w:p w14:paraId="2338967E" w14:textId="77777777" w:rsidR="0050521D" w:rsidRDefault="0050521D" w:rsidP="000F1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B7522" w14:textId="1A55289D" w:rsidR="000F1E39" w:rsidRDefault="0050521D">
    <w:pPr>
      <w:pStyle w:val="Header"/>
    </w:pPr>
    <w:r>
      <w:rPr>
        <w:noProof/>
      </w:rPr>
      <w:pict w14:anchorId="27E1B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758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3C2C" w14:textId="487CBB17" w:rsidR="000F1E39" w:rsidRDefault="0050521D">
    <w:pPr>
      <w:pStyle w:val="Header"/>
    </w:pPr>
    <w:r>
      <w:rPr>
        <w:noProof/>
      </w:rPr>
      <w:pict w14:anchorId="20787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758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C1C8E" w14:textId="13AC0EE8" w:rsidR="000F1E39" w:rsidRDefault="0050521D">
    <w:pPr>
      <w:pStyle w:val="Header"/>
    </w:pPr>
    <w:r>
      <w:rPr>
        <w:noProof/>
      </w:rPr>
      <w:pict w14:anchorId="77C31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758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3NzUxsjQxMLcwMrRQ0lEKTi0uzszPAykwrAUArwInoCwAAAA="/>
  </w:docVars>
  <w:rsids>
    <w:rsidRoot w:val="00101E10"/>
    <w:rsid w:val="00011563"/>
    <w:rsid w:val="000759F2"/>
    <w:rsid w:val="000A33A7"/>
    <w:rsid w:val="000D4E9D"/>
    <w:rsid w:val="000F1E39"/>
    <w:rsid w:val="000F389E"/>
    <w:rsid w:val="00101E10"/>
    <w:rsid w:val="00195441"/>
    <w:rsid w:val="001C06B8"/>
    <w:rsid w:val="002172EE"/>
    <w:rsid w:val="00287ADB"/>
    <w:rsid w:val="00334495"/>
    <w:rsid w:val="00364DA8"/>
    <w:rsid w:val="003B34D0"/>
    <w:rsid w:val="003D39EA"/>
    <w:rsid w:val="00461C2B"/>
    <w:rsid w:val="004774C0"/>
    <w:rsid w:val="004C0579"/>
    <w:rsid w:val="004C49BE"/>
    <w:rsid w:val="004E31F7"/>
    <w:rsid w:val="004E7CA1"/>
    <w:rsid w:val="004F4E10"/>
    <w:rsid w:val="0050521D"/>
    <w:rsid w:val="00510607"/>
    <w:rsid w:val="005142CF"/>
    <w:rsid w:val="005368EC"/>
    <w:rsid w:val="005443DD"/>
    <w:rsid w:val="005C7C25"/>
    <w:rsid w:val="005E24B7"/>
    <w:rsid w:val="00614623"/>
    <w:rsid w:val="00647289"/>
    <w:rsid w:val="006D2F52"/>
    <w:rsid w:val="007328C4"/>
    <w:rsid w:val="00735163"/>
    <w:rsid w:val="00757032"/>
    <w:rsid w:val="007A08BC"/>
    <w:rsid w:val="00843EFD"/>
    <w:rsid w:val="00856D7D"/>
    <w:rsid w:val="008B4613"/>
    <w:rsid w:val="008C4837"/>
    <w:rsid w:val="009D70CE"/>
    <w:rsid w:val="00A67773"/>
    <w:rsid w:val="00AD4B0F"/>
    <w:rsid w:val="00B14122"/>
    <w:rsid w:val="00B26472"/>
    <w:rsid w:val="00B74BFB"/>
    <w:rsid w:val="00BC1291"/>
    <w:rsid w:val="00BE3717"/>
    <w:rsid w:val="00C12E16"/>
    <w:rsid w:val="00C367BB"/>
    <w:rsid w:val="00CA50CC"/>
    <w:rsid w:val="00CE52C6"/>
    <w:rsid w:val="00CF4B28"/>
    <w:rsid w:val="00D14DC9"/>
    <w:rsid w:val="00DB3071"/>
    <w:rsid w:val="00DD27A1"/>
    <w:rsid w:val="00DD339F"/>
    <w:rsid w:val="00DE177E"/>
    <w:rsid w:val="00E62A43"/>
    <w:rsid w:val="00E81C45"/>
    <w:rsid w:val="00E85AF0"/>
    <w:rsid w:val="00E87372"/>
    <w:rsid w:val="00E91C55"/>
    <w:rsid w:val="00EE3051"/>
    <w:rsid w:val="00F05861"/>
    <w:rsid w:val="00F270D2"/>
    <w:rsid w:val="00F32736"/>
    <w:rsid w:val="00F40C39"/>
    <w:rsid w:val="00F83890"/>
    <w:rsid w:val="00FC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61347C"/>
  <w15:docId w15:val="{D6F2331A-65B8-4936-80A1-7C2DBE9D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E1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01E1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1E1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01E1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01E1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01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E1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01E1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01E1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01E1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01E1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01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E10"/>
    <w:rPr>
      <w:rFonts w:eastAsiaTheme="majorEastAsia" w:cstheme="majorBidi"/>
      <w:color w:val="272727" w:themeColor="text1" w:themeTint="D8"/>
    </w:rPr>
  </w:style>
  <w:style w:type="paragraph" w:styleId="Title">
    <w:name w:val="Title"/>
    <w:basedOn w:val="Normal"/>
    <w:next w:val="Normal"/>
    <w:link w:val="TitleChar"/>
    <w:uiPriority w:val="10"/>
    <w:qFormat/>
    <w:rsid w:val="00101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E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E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1E10"/>
    <w:rPr>
      <w:i/>
      <w:iCs/>
      <w:color w:val="404040" w:themeColor="text1" w:themeTint="BF"/>
    </w:rPr>
  </w:style>
  <w:style w:type="paragraph" w:styleId="ListParagraph">
    <w:name w:val="List Paragraph"/>
    <w:basedOn w:val="Normal"/>
    <w:uiPriority w:val="34"/>
    <w:qFormat/>
    <w:rsid w:val="00101E10"/>
    <w:pPr>
      <w:ind w:left="720"/>
      <w:contextualSpacing/>
    </w:pPr>
  </w:style>
  <w:style w:type="character" w:styleId="IntenseEmphasis">
    <w:name w:val="Intense Emphasis"/>
    <w:basedOn w:val="DefaultParagraphFont"/>
    <w:uiPriority w:val="21"/>
    <w:qFormat/>
    <w:rsid w:val="00101E10"/>
    <w:rPr>
      <w:i/>
      <w:iCs/>
      <w:color w:val="365F91" w:themeColor="accent1" w:themeShade="BF"/>
    </w:rPr>
  </w:style>
  <w:style w:type="paragraph" w:styleId="IntenseQuote">
    <w:name w:val="Intense Quote"/>
    <w:basedOn w:val="Normal"/>
    <w:next w:val="Normal"/>
    <w:link w:val="IntenseQuoteChar"/>
    <w:uiPriority w:val="30"/>
    <w:qFormat/>
    <w:rsid w:val="00101E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01E10"/>
    <w:rPr>
      <w:i/>
      <w:iCs/>
      <w:color w:val="365F91" w:themeColor="accent1" w:themeShade="BF"/>
    </w:rPr>
  </w:style>
  <w:style w:type="character" w:styleId="IntenseReference">
    <w:name w:val="Intense Reference"/>
    <w:basedOn w:val="DefaultParagraphFont"/>
    <w:uiPriority w:val="32"/>
    <w:qFormat/>
    <w:rsid w:val="00101E10"/>
    <w:rPr>
      <w:b/>
      <w:bCs/>
      <w:smallCaps/>
      <w:color w:val="365F91" w:themeColor="accent1" w:themeShade="BF"/>
      <w:spacing w:val="5"/>
    </w:rPr>
  </w:style>
  <w:style w:type="character" w:styleId="Hyperlink">
    <w:name w:val="Hyperlink"/>
    <w:basedOn w:val="DefaultParagraphFont"/>
    <w:uiPriority w:val="99"/>
    <w:unhideWhenUsed/>
    <w:rsid w:val="004F4E10"/>
    <w:rPr>
      <w:color w:val="0000FF" w:themeColor="hyperlink"/>
      <w:u w:val="single"/>
    </w:rPr>
  </w:style>
  <w:style w:type="character" w:customStyle="1" w:styleId="UnresolvedMention1">
    <w:name w:val="Unresolved Mention1"/>
    <w:basedOn w:val="DefaultParagraphFont"/>
    <w:uiPriority w:val="99"/>
    <w:semiHidden/>
    <w:unhideWhenUsed/>
    <w:rsid w:val="004F4E10"/>
    <w:rPr>
      <w:color w:val="605E5C"/>
      <w:shd w:val="clear" w:color="auto" w:fill="E1DFDD"/>
    </w:rPr>
  </w:style>
  <w:style w:type="character" w:styleId="CommentReference">
    <w:name w:val="annotation reference"/>
    <w:basedOn w:val="DefaultParagraphFont"/>
    <w:uiPriority w:val="99"/>
    <w:semiHidden/>
    <w:unhideWhenUsed/>
    <w:rsid w:val="004F4E10"/>
    <w:rPr>
      <w:sz w:val="16"/>
      <w:szCs w:val="16"/>
    </w:rPr>
  </w:style>
  <w:style w:type="paragraph" w:styleId="CommentText">
    <w:name w:val="annotation text"/>
    <w:basedOn w:val="Normal"/>
    <w:link w:val="CommentTextChar"/>
    <w:uiPriority w:val="99"/>
    <w:semiHidden/>
    <w:unhideWhenUsed/>
    <w:rsid w:val="004F4E10"/>
    <w:pPr>
      <w:spacing w:line="240" w:lineRule="auto"/>
    </w:pPr>
    <w:rPr>
      <w:sz w:val="20"/>
      <w:szCs w:val="20"/>
    </w:rPr>
  </w:style>
  <w:style w:type="character" w:customStyle="1" w:styleId="CommentTextChar">
    <w:name w:val="Comment Text Char"/>
    <w:basedOn w:val="DefaultParagraphFont"/>
    <w:link w:val="CommentText"/>
    <w:uiPriority w:val="99"/>
    <w:semiHidden/>
    <w:rsid w:val="004F4E10"/>
    <w:rPr>
      <w:sz w:val="20"/>
      <w:szCs w:val="20"/>
    </w:rPr>
  </w:style>
  <w:style w:type="paragraph" w:styleId="CommentSubject">
    <w:name w:val="annotation subject"/>
    <w:basedOn w:val="CommentText"/>
    <w:next w:val="CommentText"/>
    <w:link w:val="CommentSubjectChar"/>
    <w:uiPriority w:val="99"/>
    <w:semiHidden/>
    <w:unhideWhenUsed/>
    <w:rsid w:val="004F4E10"/>
    <w:rPr>
      <w:b/>
      <w:bCs/>
    </w:rPr>
  </w:style>
  <w:style w:type="character" w:customStyle="1" w:styleId="CommentSubjectChar">
    <w:name w:val="Comment Subject Char"/>
    <w:basedOn w:val="CommentTextChar"/>
    <w:link w:val="CommentSubject"/>
    <w:uiPriority w:val="99"/>
    <w:semiHidden/>
    <w:rsid w:val="004F4E10"/>
    <w:rPr>
      <w:b/>
      <w:bCs/>
      <w:sz w:val="20"/>
      <w:szCs w:val="20"/>
    </w:rPr>
  </w:style>
  <w:style w:type="table" w:styleId="TableGrid">
    <w:name w:val="Table Grid"/>
    <w:basedOn w:val="TableNormal"/>
    <w:uiPriority w:val="59"/>
    <w:rsid w:val="00E8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D339F"/>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customStyle="1" w:styleId="NormalWebChar">
    <w:name w:val="Normal (Web) Char"/>
    <w:basedOn w:val="DefaultParagraphFont"/>
    <w:link w:val="NormalWeb"/>
    <w:uiPriority w:val="99"/>
    <w:rsid w:val="00DD339F"/>
    <w:rPr>
      <w:rFonts w:ascii="Times New Roman" w:eastAsia="Times New Roman" w:hAnsi="Times New Roman" w:cs="Times New Roman"/>
      <w:kern w:val="0"/>
      <w:sz w:val="24"/>
      <w:szCs w:val="24"/>
      <w:lang w:val="en-IN" w:eastAsia="en-IN"/>
      <w14:ligatures w14:val="none"/>
    </w:rPr>
  </w:style>
  <w:style w:type="paragraph" w:styleId="Header">
    <w:name w:val="header"/>
    <w:basedOn w:val="Normal"/>
    <w:link w:val="HeaderChar"/>
    <w:uiPriority w:val="99"/>
    <w:unhideWhenUsed/>
    <w:rsid w:val="000F1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E39"/>
  </w:style>
  <w:style w:type="paragraph" w:styleId="Footer">
    <w:name w:val="footer"/>
    <w:basedOn w:val="Normal"/>
    <w:link w:val="FooterChar"/>
    <w:uiPriority w:val="99"/>
    <w:unhideWhenUsed/>
    <w:rsid w:val="000F1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E39"/>
  </w:style>
  <w:style w:type="paragraph" w:styleId="NoSpacing">
    <w:name w:val="No Spacing"/>
    <w:uiPriority w:val="1"/>
    <w:qFormat/>
    <w:rsid w:val="004C0579"/>
    <w:pPr>
      <w:spacing w:after="0" w:line="240" w:lineRule="auto"/>
    </w:pPr>
  </w:style>
  <w:style w:type="character" w:customStyle="1" w:styleId="bzpyqfadein">
    <w:name w:val="bz_pyq_fadein"/>
    <w:basedOn w:val="DefaultParagraphFont"/>
    <w:rsid w:val="00510607"/>
  </w:style>
  <w:style w:type="paragraph" w:styleId="BalloonText">
    <w:name w:val="Balloon Text"/>
    <w:basedOn w:val="Normal"/>
    <w:link w:val="BalloonTextChar"/>
    <w:uiPriority w:val="99"/>
    <w:semiHidden/>
    <w:unhideWhenUsed/>
    <w:rsid w:val="00EE3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0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14</Pages>
  <Words>6170</Words>
  <Characters>35172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SAIDEEP THALLAPALLY</dc:creator>
  <cp:keywords/>
  <dc:description/>
  <cp:lastModifiedBy>Editor-1183</cp:lastModifiedBy>
  <cp:revision>44</cp:revision>
  <dcterms:created xsi:type="dcterms:W3CDTF">2026-03-10T16:49:00Z</dcterms:created>
  <dcterms:modified xsi:type="dcterms:W3CDTF">2026-03-20T06:18:00Z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62be9c3b-62ac-4e60-8cb0-e34cb5da24fd</vt:lpwstr>
  </property>
</Properties>
</file>