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587217" w14:textId="77777777" w:rsidR="00216DEB" w:rsidRDefault="00216DEB" w:rsidP="00F538A0">
      <w:pPr>
        <w:pStyle w:val="MdHeading1"/>
        <w:jc w:val="right"/>
        <w:rPr>
          <w:rFonts w:ascii="Arial" w:hAnsi="Arial" w:cs="Arial"/>
          <w:sz w:val="32"/>
          <w:szCs w:val="32"/>
        </w:rPr>
      </w:pPr>
      <w:r w:rsidRPr="00216DEB">
        <w:rPr>
          <w:rFonts w:ascii="Arial" w:hAnsi="Arial" w:cs="Arial"/>
          <w:sz w:val="32"/>
          <w:szCs w:val="32"/>
        </w:rPr>
        <w:t>Review Article</w:t>
      </w:r>
    </w:p>
    <w:p w14:paraId="4E17AE0A" w14:textId="77777777" w:rsidR="00216DEB" w:rsidRDefault="00216DEB" w:rsidP="00F538A0">
      <w:pPr>
        <w:pStyle w:val="MdHeading1"/>
        <w:jc w:val="right"/>
        <w:rPr>
          <w:rFonts w:ascii="Arial" w:hAnsi="Arial" w:cs="Arial"/>
          <w:sz w:val="32"/>
          <w:szCs w:val="32"/>
        </w:rPr>
      </w:pPr>
    </w:p>
    <w:p w14:paraId="18383E83" w14:textId="2A1DA38A" w:rsidR="004E5A45" w:rsidRPr="004D0947" w:rsidRDefault="003E1ABA" w:rsidP="00F538A0">
      <w:pPr>
        <w:pStyle w:val="MdHeading1"/>
        <w:jc w:val="right"/>
        <w:rPr>
          <w:rFonts w:ascii="Arial" w:hAnsi="Arial" w:cs="Arial"/>
          <w:sz w:val="32"/>
          <w:szCs w:val="32"/>
        </w:rPr>
      </w:pPr>
      <w:r w:rsidRPr="004D0947">
        <w:rPr>
          <w:rFonts w:ascii="Arial" w:hAnsi="Arial" w:cs="Arial"/>
          <w:sz w:val="32"/>
          <w:szCs w:val="32"/>
        </w:rPr>
        <w:t xml:space="preserve">Economic Valuation of Blue Carbon Ecosystems: Methods, </w:t>
      </w:r>
      <w:bookmarkStart w:id="0" w:name="_Hlk224121659"/>
      <w:r w:rsidRPr="004D0947">
        <w:rPr>
          <w:rFonts w:ascii="Arial" w:hAnsi="Arial" w:cs="Arial"/>
          <w:sz w:val="32"/>
          <w:szCs w:val="32"/>
        </w:rPr>
        <w:t>Challenges, and Policy Implications</w:t>
      </w:r>
    </w:p>
    <w:bookmarkEnd w:id="0"/>
    <w:p w14:paraId="63DF3D39" w14:textId="77777777" w:rsidR="00216DEB" w:rsidRDefault="00216DEB" w:rsidP="007870CC">
      <w:pPr>
        <w:pStyle w:val="MdHeading1"/>
        <w:jc w:val="right"/>
        <w:rPr>
          <w:sz w:val="24"/>
          <w:szCs w:val="24"/>
        </w:rPr>
      </w:pPr>
    </w:p>
    <w:tbl>
      <w:tblPr>
        <w:tblStyle w:val="TableGrid"/>
        <w:tblW w:w="9121" w:type="dxa"/>
        <w:tblLook w:val="04A0" w:firstRow="1" w:lastRow="0" w:firstColumn="1" w:lastColumn="0" w:noHBand="0" w:noVBand="1"/>
      </w:tblPr>
      <w:tblGrid>
        <w:gridCol w:w="9121"/>
      </w:tblGrid>
      <w:tr w:rsidR="007870CC" w:rsidRPr="008523D8" w14:paraId="0EBE8DA5" w14:textId="77777777" w:rsidTr="00AD5A35">
        <w:trPr>
          <w:trHeight w:val="7482"/>
        </w:trPr>
        <w:tc>
          <w:tcPr>
            <w:tcW w:w="9121" w:type="dxa"/>
          </w:tcPr>
          <w:p w14:paraId="6CED170F" w14:textId="77777777" w:rsidR="007870CC" w:rsidRDefault="007870CC" w:rsidP="00AD5A35">
            <w:pPr>
              <w:jc w:val="both"/>
              <w:rPr>
                <w:rFonts w:ascii="Arial" w:hAnsi="Arial" w:cs="Arial"/>
                <w:b/>
              </w:rPr>
            </w:pPr>
            <w:r w:rsidRPr="008523D8">
              <w:rPr>
                <w:rFonts w:ascii="Arial" w:hAnsi="Arial" w:cs="Arial"/>
                <w:b/>
              </w:rPr>
              <w:t>ABSTRACT</w:t>
            </w:r>
          </w:p>
          <w:p w14:paraId="5E9A8C6A" w14:textId="346DA65F" w:rsidR="007870CC" w:rsidRPr="008A347E" w:rsidRDefault="007870CC" w:rsidP="00AD5A35">
            <w:pPr>
              <w:jc w:val="both"/>
              <w:rPr>
                <w:rFonts w:ascii="Arial" w:hAnsi="Arial" w:cs="Arial"/>
                <w:b/>
              </w:rPr>
            </w:pPr>
            <w:r w:rsidRPr="008A347E">
              <w:rPr>
                <w:rFonts w:ascii="Arial" w:hAnsi="Arial" w:cs="Arial"/>
                <w:sz w:val="24"/>
                <w:szCs w:val="24"/>
              </w:rPr>
              <w:t>Blue carbon ecosystems—mangroves, sea grass meadows, and salt marshes—are exciting nature-based solutions for climate change mitigation and adaptation that offer substantial carbon sequestration potential as well multiple co-benefits. But, because their full value often goes unrecognized in policy and economic decisions, they will continue to degrade. This review</w:t>
            </w:r>
            <w:r w:rsidR="00342CB2">
              <w:rPr>
                <w:rFonts w:ascii="Arial" w:hAnsi="Arial" w:cs="Arial"/>
                <w:sz w:val="24"/>
                <w:szCs w:val="24"/>
              </w:rPr>
              <w:t xml:space="preserve"> synthesizes,</w:t>
            </w:r>
            <w:r w:rsidRPr="008A347E">
              <w:rPr>
                <w:rFonts w:ascii="Arial" w:hAnsi="Arial" w:cs="Arial"/>
                <w:sz w:val="24"/>
                <w:szCs w:val="24"/>
              </w:rPr>
              <w:t xml:space="preserve"> evidence on the economic valuation of blue carbon ecosystems in terms of methods used, challenges to valuation and implications for policy. This paper summarizes market-based and non-market valuation approaches (carbon markets, direct use values and revealed as well as stated preferen</w:t>
            </w:r>
            <w:r w:rsidR="004D0947">
              <w:rPr>
                <w:rFonts w:ascii="Arial" w:hAnsi="Arial" w:cs="Arial"/>
                <w:sz w:val="24"/>
                <w:szCs w:val="24"/>
              </w:rPr>
              <w:t xml:space="preserve">ce methods) through a </w:t>
            </w:r>
            <w:r w:rsidR="004D0947" w:rsidRPr="008A347E">
              <w:rPr>
                <w:rFonts w:ascii="Arial" w:hAnsi="Arial" w:cs="Arial"/>
                <w:sz w:val="24"/>
                <w:szCs w:val="24"/>
              </w:rPr>
              <w:t>literature</w:t>
            </w:r>
            <w:r w:rsidRPr="008A347E">
              <w:rPr>
                <w:rFonts w:ascii="Arial" w:hAnsi="Arial" w:cs="Arial"/>
                <w:sz w:val="24"/>
                <w:szCs w:val="24"/>
              </w:rPr>
              <w:t xml:space="preserve"> review. The analysis underscores the immense economic worth of examining these ecosystems, which goes beyond their ability to sequester carbon and includes coastal protection, fisheries enhancement and biodiversity conservation. A set of known valuation challenges is highlighted: the scientific uncertainties surrounding carbon accounting, the complexities involved in monetizing non-market values and various market and financial concerns including price volatility and high transaction costs. The review then de</w:t>
            </w:r>
            <w:r w:rsidR="00122BA0">
              <w:rPr>
                <w:rFonts w:ascii="Arial" w:hAnsi="Arial" w:cs="Arial"/>
                <w:sz w:val="24"/>
                <w:szCs w:val="24"/>
              </w:rPr>
              <w:t xml:space="preserve">lves into the </w:t>
            </w:r>
            <w:r w:rsidR="00122BA0" w:rsidRPr="00122BA0">
              <w:rPr>
                <w:rFonts w:ascii="Arial" w:hAnsi="Arial" w:cs="Arial"/>
                <w:sz w:val="24"/>
                <w:szCs w:val="24"/>
              </w:rPr>
              <w:t xml:space="preserve">institutional obstacles </w:t>
            </w:r>
            <w:r w:rsidR="00122BA0">
              <w:rPr>
                <w:rFonts w:ascii="Arial" w:hAnsi="Arial" w:cs="Arial"/>
                <w:sz w:val="24"/>
                <w:szCs w:val="24"/>
              </w:rPr>
              <w:t>that</w:t>
            </w:r>
            <w:r w:rsidRPr="008A347E">
              <w:rPr>
                <w:rFonts w:ascii="Arial" w:hAnsi="Arial" w:cs="Arial"/>
                <w:sz w:val="24"/>
                <w:szCs w:val="24"/>
              </w:rPr>
              <w:t xml:space="preserve"> includes fragmented policies and insecure tenure rights that can stand in the way of successful blue carbon initiatives. Following up on this analysis, the paper ends with recommendations for moving forward and calls to action — including our collective need to include blue carbon in national and international policy frameworks, harmonize financial mechanisms through new and innovative instruments such as blue bonds and debt-for-nature swaps, and advance governance strategies that are inclusive of stakeholder voices. This review highlights the pressing need to move towards a more holistic, integrated and practical approach for valuation and management of blue carbon ecosystems in order to maximize their potential contributions to sustainable development and climate action</w:t>
            </w:r>
            <w:r w:rsidRPr="00917D0A">
              <w:rPr>
                <w:sz w:val="24"/>
                <w:szCs w:val="24"/>
              </w:rPr>
              <w:t>.</w:t>
            </w:r>
          </w:p>
          <w:p w14:paraId="6A09A2FC" w14:textId="77777777" w:rsidR="007870CC" w:rsidRPr="008523D8" w:rsidRDefault="007870CC" w:rsidP="00AD5A35">
            <w:pPr>
              <w:spacing w:before="100" w:beforeAutospacing="1" w:after="100" w:afterAutospacing="1"/>
              <w:jc w:val="center"/>
              <w:rPr>
                <w:rFonts w:ascii="Arial" w:hAnsi="Arial" w:cs="Arial"/>
              </w:rPr>
            </w:pPr>
          </w:p>
        </w:tc>
      </w:tr>
    </w:tbl>
    <w:p w14:paraId="3F4C9C3A" w14:textId="77777777" w:rsidR="005B6555" w:rsidRDefault="005B6555" w:rsidP="005B6555">
      <w:pPr>
        <w:spacing w:before="100" w:beforeAutospacing="1" w:after="100" w:afterAutospacing="1"/>
        <w:outlineLvl w:val="1"/>
        <w:rPr>
          <w:b/>
          <w:bCs/>
        </w:rPr>
      </w:pPr>
      <w:r w:rsidRPr="00917D0A">
        <w:rPr>
          <w:b/>
          <w:bCs/>
        </w:rPr>
        <w:t>Keywords</w:t>
      </w:r>
    </w:p>
    <w:p w14:paraId="79123A21" w14:textId="77777777" w:rsidR="007870CC" w:rsidRPr="00DB7E41" w:rsidRDefault="007870CC" w:rsidP="00DB7E41">
      <w:pPr>
        <w:spacing w:before="100" w:beforeAutospacing="1" w:after="100" w:afterAutospacing="1"/>
        <w:jc w:val="both"/>
        <w:outlineLvl w:val="1"/>
        <w:rPr>
          <w:rFonts w:ascii="Arial" w:hAnsi="Arial" w:cs="Arial"/>
          <w:b/>
          <w:bCs/>
          <w:sz w:val="20"/>
          <w:szCs w:val="20"/>
        </w:rPr>
      </w:pPr>
      <w:r w:rsidRPr="00DB7E41">
        <w:rPr>
          <w:rFonts w:ascii="Arial" w:hAnsi="Arial" w:cs="Arial"/>
          <w:b/>
          <w:bCs/>
          <w:sz w:val="20"/>
          <w:szCs w:val="20"/>
        </w:rPr>
        <w:t>Blue Carbon, Carbon Finance, Climate Change Mitigation, Economic Valuation, Ecosystem Services, Mangroves, Nature-Based Solutions, Policy Implications, Salt Marshes, Seagrass</w:t>
      </w:r>
    </w:p>
    <w:p w14:paraId="4B4CF4C1"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lastRenderedPageBreak/>
        <w:t>1. INTRODUCTION</w:t>
      </w:r>
    </w:p>
    <w:p w14:paraId="62567830" w14:textId="77777777" w:rsidR="004E5A45" w:rsidRPr="004D0947" w:rsidRDefault="003E1ABA" w:rsidP="001948CF">
      <w:pPr>
        <w:pStyle w:val="MdHeading3"/>
        <w:jc w:val="both"/>
        <w:rPr>
          <w:rFonts w:ascii="Arial" w:hAnsi="Arial" w:cs="Arial"/>
          <w:sz w:val="24"/>
          <w:szCs w:val="24"/>
        </w:rPr>
      </w:pPr>
      <w:r w:rsidRPr="004D0947">
        <w:rPr>
          <w:rFonts w:ascii="Arial" w:hAnsi="Arial" w:cs="Arial"/>
          <w:sz w:val="24"/>
          <w:szCs w:val="24"/>
        </w:rPr>
        <w:t>1.1. The Significance of Blue Carbon Ecosystems</w:t>
      </w:r>
    </w:p>
    <w:p w14:paraId="2A4DAEBE" w14:textId="3ACB0DDE" w:rsidR="004E5A45" w:rsidRPr="00917D0A" w:rsidRDefault="00100E67" w:rsidP="00100E67">
      <w:pPr>
        <w:pStyle w:val="MdSpace"/>
        <w:spacing w:after="60" w:line="360" w:lineRule="auto"/>
        <w:ind w:firstLine="720"/>
        <w:jc w:val="both"/>
        <w:rPr>
          <w:sz w:val="24"/>
          <w:szCs w:val="24"/>
        </w:rPr>
      </w:pPr>
      <w:r w:rsidRPr="00917D0A">
        <w:rPr>
          <w:sz w:val="24"/>
          <w:szCs w:val="24"/>
        </w:rPr>
        <w:t xml:space="preserve">Coastal and marine ecosystems–notably mangroves, seagrass meadows, and salt marshes–are critical components of the global carbon cycle due to their remarkable capacity as carbon sinks (McLeod et al., 2011; Howard et al., 2017). These “blue carbon” habitats, though covering small geographic areas, simultaneously sequester and store considerable amounts of organic carbon in their biomass and sediments at rates often exceeding those of terrestrial forests (Adame et al., 2024). These ecosystems' towering capacity for carbon sequestration has been widely recognized and presented as an important nature-based solution to climate change (Macreadie et al., 2021). The capacity of such carbon to be stored over long-time scales (often for thousands of years) in these coastal habitats is reflected in its role in regulating the global climate system, and thus their utility </w:t>
      </w:r>
      <w:r w:rsidR="006C1CB0" w:rsidRPr="00917D0A">
        <w:rPr>
          <w:sz w:val="24"/>
          <w:szCs w:val="24"/>
        </w:rPr>
        <w:t>in terms</w:t>
      </w:r>
      <w:r w:rsidRPr="00917D0A">
        <w:rPr>
          <w:sz w:val="24"/>
          <w:szCs w:val="24"/>
        </w:rPr>
        <w:t xml:space="preserve"> of contributing towards Paris </w:t>
      </w:r>
      <w:r w:rsidR="003B1A04" w:rsidRPr="00917D0A">
        <w:rPr>
          <w:sz w:val="24"/>
          <w:szCs w:val="24"/>
        </w:rPr>
        <w:t>Agreement</w:t>
      </w:r>
      <w:r w:rsidR="003B1A04">
        <w:rPr>
          <w:sz w:val="24"/>
          <w:szCs w:val="24"/>
        </w:rPr>
        <w:t xml:space="preserve"> (2015)</w:t>
      </w:r>
      <w:r w:rsidRPr="00917D0A">
        <w:rPr>
          <w:sz w:val="24"/>
          <w:szCs w:val="24"/>
        </w:rPr>
        <w:t xml:space="preserve"> objectives (Dahl et al., 2025; Duarte et al., 2013). Even the term “blue carbon,” coined in 2009 with a UNEP report, has been instrumental in creating a whole new field of research and policy dedicated to climate benefits from coastal and marine ecosystems (Macreadie et al. 2019).</w:t>
      </w:r>
    </w:p>
    <w:p w14:paraId="013578AF" w14:textId="77777777" w:rsidR="00C21EAD" w:rsidRPr="00917D0A" w:rsidRDefault="00C21EAD" w:rsidP="00893A45">
      <w:pPr>
        <w:pStyle w:val="MdSpace"/>
        <w:spacing w:after="60" w:line="360" w:lineRule="auto"/>
        <w:jc w:val="both"/>
        <w:rPr>
          <w:sz w:val="24"/>
          <w:szCs w:val="24"/>
        </w:rPr>
      </w:pPr>
    </w:p>
    <w:p w14:paraId="7B6373E3" w14:textId="77777777" w:rsidR="00C21EAD" w:rsidRPr="00917D0A" w:rsidRDefault="00C21EAD" w:rsidP="00893A45">
      <w:pPr>
        <w:pStyle w:val="MdSpace"/>
        <w:spacing w:after="60" w:line="360" w:lineRule="auto"/>
        <w:jc w:val="both"/>
        <w:rPr>
          <w:sz w:val="24"/>
          <w:szCs w:val="24"/>
        </w:rPr>
      </w:pPr>
    </w:p>
    <w:p w14:paraId="3161D303" w14:textId="77777777" w:rsidR="00295202" w:rsidRDefault="00C21EAD" w:rsidP="00295202">
      <w:pPr>
        <w:pStyle w:val="MdSpace"/>
        <w:spacing w:after="60" w:line="360" w:lineRule="auto"/>
        <w:jc w:val="center"/>
        <w:rPr>
          <w:sz w:val="24"/>
          <w:szCs w:val="24"/>
        </w:rPr>
      </w:pPr>
      <w:r w:rsidRPr="00917D0A">
        <w:rPr>
          <w:noProof/>
          <w:sz w:val="24"/>
          <w:szCs w:val="24"/>
        </w:rPr>
        <w:drawing>
          <wp:inline distT="0" distB="0" distL="0" distR="0" wp14:anchorId="087F392D" wp14:editId="13C12E18">
            <wp:extent cx="4768165" cy="3009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165" cy="3013056"/>
                    </a:xfrm>
                    <a:prstGeom prst="rect">
                      <a:avLst/>
                    </a:prstGeom>
                    <a:noFill/>
                  </pic:spPr>
                </pic:pic>
              </a:graphicData>
            </a:graphic>
          </wp:inline>
        </w:drawing>
      </w:r>
    </w:p>
    <w:p w14:paraId="10E8EFBC" w14:textId="77777777" w:rsidR="00415660" w:rsidRPr="00917D0A" w:rsidRDefault="00415660" w:rsidP="00295202">
      <w:pPr>
        <w:pStyle w:val="MdSpace"/>
        <w:spacing w:after="60" w:line="360" w:lineRule="auto"/>
        <w:jc w:val="center"/>
        <w:rPr>
          <w:sz w:val="24"/>
          <w:szCs w:val="24"/>
        </w:rPr>
      </w:pPr>
      <w:r w:rsidRPr="00917D0A">
        <w:rPr>
          <w:sz w:val="24"/>
          <w:szCs w:val="24"/>
        </w:rPr>
        <w:t>Figure 1: The Multi-Faceted Value of Blue Carbon Ecosystems</w:t>
      </w:r>
    </w:p>
    <w:p w14:paraId="5341CA60" w14:textId="77777777" w:rsidR="00917D0A" w:rsidRPr="004D0947" w:rsidRDefault="003E1ABA" w:rsidP="001948CF">
      <w:pPr>
        <w:pStyle w:val="MdHeading3"/>
        <w:jc w:val="both"/>
        <w:rPr>
          <w:rFonts w:ascii="Arial" w:hAnsi="Arial" w:cs="Arial"/>
        </w:rPr>
      </w:pPr>
      <w:r w:rsidRPr="004D0947">
        <w:rPr>
          <w:rFonts w:ascii="Arial" w:hAnsi="Arial" w:cs="Arial"/>
          <w:sz w:val="24"/>
          <w:szCs w:val="24"/>
        </w:rPr>
        <w:lastRenderedPageBreak/>
        <w:t>1.2. The Imperative for Economic Valuation</w:t>
      </w:r>
      <w:r w:rsidR="00917D0A" w:rsidRPr="004D0947">
        <w:rPr>
          <w:rFonts w:ascii="Arial" w:hAnsi="Arial" w:cs="Arial"/>
        </w:rPr>
        <w:t xml:space="preserve"> </w:t>
      </w:r>
    </w:p>
    <w:p w14:paraId="1DFD9EDE" w14:textId="15068EFE" w:rsidR="004E5A45" w:rsidRPr="00917D0A" w:rsidRDefault="00917D0A" w:rsidP="00917D0A">
      <w:pPr>
        <w:pStyle w:val="MdHeading3"/>
        <w:spacing w:line="360" w:lineRule="auto"/>
        <w:ind w:firstLine="720"/>
        <w:jc w:val="both"/>
        <w:rPr>
          <w:b w:val="0"/>
          <w:sz w:val="24"/>
          <w:szCs w:val="24"/>
        </w:rPr>
      </w:pPr>
      <w:r w:rsidRPr="00917D0A">
        <w:rPr>
          <w:b w:val="0"/>
          <w:sz w:val="24"/>
          <w:szCs w:val="24"/>
        </w:rPr>
        <w:t>The conservation and restoration of blue carbon ecosystems for climate change mitigation and adaptation, is increasingly recognized as a cost-effective strategy. Yet, because the value of these ecosystems is largely hidden or invisible in traditional economic accounts, they continue to be degraded and lost (Pendleton et al., 2012). The economic valuation is a useful method to present different blue carbon ecosystems services in terms recognized by policy-makers, investors and the general public ( Friess et al., 2022</w:t>
      </w:r>
      <w:r w:rsidR="006C1CB0">
        <w:rPr>
          <w:b w:val="0"/>
          <w:sz w:val="24"/>
          <w:szCs w:val="24"/>
        </w:rPr>
        <w:t>;</w:t>
      </w:r>
      <w:r w:rsidRPr="00917D0A">
        <w:rPr>
          <w:b w:val="0"/>
          <w:sz w:val="24"/>
          <w:szCs w:val="24"/>
        </w:rPr>
        <w:t xml:space="preserve"> Bertram et al., 2021). Valuation studies of nature can build a strong economic rationale for their conservation and sustainable use, by ascribing monetary values to the wide variety of ecosystem services they provide—such as carbon capture, coastal protection or support for fisheries. This can have positive ripple effects as it may also </w:t>
      </w:r>
      <w:r w:rsidR="002741B3">
        <w:rPr>
          <w:b w:val="0"/>
          <w:sz w:val="24"/>
          <w:szCs w:val="24"/>
        </w:rPr>
        <w:t>help unlock</w:t>
      </w:r>
      <w:r w:rsidRPr="00917D0A">
        <w:rPr>
          <w:b w:val="0"/>
          <w:sz w:val="24"/>
          <w:szCs w:val="24"/>
        </w:rPr>
        <w:t xml:space="preserve"> financial capital, shaping the policy design process, and stimulating private sector involvement in blue carbon (Lovelock &amp; Duarte, 2025 Friess et al., 2022; Barbier et al., 2011). </w:t>
      </w:r>
      <w:r w:rsidR="003B1A04" w:rsidRPr="003B1A04">
        <w:rPr>
          <w:b w:val="0"/>
          <w:sz w:val="24"/>
          <w:szCs w:val="24"/>
        </w:rPr>
        <w:t>These valuations are already being translated into practice in emerging Green Markets such as high-integrity blue carbon credits (for example: Baltic Sea Blue Carbon Project; India’s Blue Economy Framework) and the issuance of Blue Bonds, unleashing private sector capital for large scale coastal restoration</w:t>
      </w:r>
      <w:r w:rsidR="003B1A04">
        <w:rPr>
          <w:b w:val="0"/>
          <w:sz w:val="24"/>
          <w:szCs w:val="24"/>
        </w:rPr>
        <w:t>.</w:t>
      </w:r>
      <w:r w:rsidR="003B1A04" w:rsidRPr="00917D0A">
        <w:rPr>
          <w:b w:val="0"/>
          <w:sz w:val="24"/>
          <w:szCs w:val="24"/>
        </w:rPr>
        <w:t xml:space="preserve"> Additionally</w:t>
      </w:r>
      <w:r w:rsidRPr="00917D0A">
        <w:rPr>
          <w:b w:val="0"/>
          <w:sz w:val="24"/>
          <w:szCs w:val="24"/>
        </w:rPr>
        <w:t>, financial viability for blue carbon investment increases with the cosmopolitan nature of co-benefits generated by these ecosystems including biodiversity efficiency, water quality enhancement or local livelihoods all possessing their own intrinsic and economic value (</w:t>
      </w:r>
      <w:r w:rsidR="00563A17" w:rsidRPr="00563A17">
        <w:rPr>
          <w:b w:val="0"/>
          <w:sz w:val="24"/>
          <w:szCs w:val="24"/>
        </w:rPr>
        <w:t>Dahl</w:t>
      </w:r>
      <w:r w:rsidR="00563A17">
        <w:rPr>
          <w:b w:val="0"/>
          <w:sz w:val="24"/>
          <w:szCs w:val="24"/>
        </w:rPr>
        <w:t xml:space="preserve"> et al., 2025; </w:t>
      </w:r>
      <w:r w:rsidRPr="00917D0A">
        <w:rPr>
          <w:b w:val="0"/>
          <w:sz w:val="24"/>
          <w:szCs w:val="24"/>
        </w:rPr>
        <w:t>Kerns et al. 2025</w:t>
      </w:r>
      <w:r w:rsidR="00563A17">
        <w:rPr>
          <w:b w:val="0"/>
          <w:sz w:val="24"/>
          <w:szCs w:val="24"/>
        </w:rPr>
        <w:t>:</w:t>
      </w:r>
      <w:r w:rsidR="00563A17" w:rsidRPr="00563A17">
        <w:t xml:space="preserve"> </w:t>
      </w:r>
      <w:r w:rsidR="00563A17" w:rsidRPr="00563A17">
        <w:rPr>
          <w:b w:val="0"/>
          <w:sz w:val="24"/>
          <w:szCs w:val="24"/>
        </w:rPr>
        <w:t>NITI Aayog</w:t>
      </w:r>
      <w:r w:rsidR="00563A17">
        <w:rPr>
          <w:b w:val="0"/>
          <w:sz w:val="24"/>
          <w:szCs w:val="24"/>
        </w:rPr>
        <w:t>,2025</w:t>
      </w:r>
      <w:r w:rsidRPr="00917D0A">
        <w:rPr>
          <w:b w:val="0"/>
          <w:sz w:val="24"/>
          <w:szCs w:val="24"/>
        </w:rPr>
        <w:t>).</w:t>
      </w:r>
    </w:p>
    <w:p w14:paraId="25C463E5" w14:textId="3BBC464E" w:rsidR="004E5A45" w:rsidRPr="004D0947" w:rsidRDefault="003E1ABA" w:rsidP="00917D0A">
      <w:pPr>
        <w:pStyle w:val="MdHeading3"/>
        <w:spacing w:line="360" w:lineRule="auto"/>
        <w:jc w:val="both"/>
        <w:rPr>
          <w:rFonts w:ascii="Arial" w:hAnsi="Arial" w:cs="Arial"/>
          <w:sz w:val="24"/>
          <w:szCs w:val="24"/>
        </w:rPr>
      </w:pPr>
      <w:r w:rsidRPr="004D0947">
        <w:rPr>
          <w:rFonts w:ascii="Arial" w:hAnsi="Arial" w:cs="Arial"/>
          <w:sz w:val="24"/>
          <w:szCs w:val="24"/>
        </w:rPr>
        <w:t>1.3. Scope and Objectives of the Review</w:t>
      </w:r>
      <w:r w:rsidR="00C02957">
        <w:rPr>
          <w:rFonts w:ascii="Arial" w:hAnsi="Arial" w:cs="Arial"/>
          <w:sz w:val="24"/>
          <w:szCs w:val="24"/>
        </w:rPr>
        <w:t xml:space="preserve">   </w:t>
      </w:r>
    </w:p>
    <w:p w14:paraId="7A391956" w14:textId="77777777" w:rsidR="00917D0A" w:rsidRDefault="00917D0A" w:rsidP="00917D0A">
      <w:pPr>
        <w:pStyle w:val="MdParagraph"/>
        <w:spacing w:line="360" w:lineRule="auto"/>
        <w:ind w:firstLine="720"/>
        <w:jc w:val="both"/>
        <w:rPr>
          <w:b/>
        </w:rPr>
      </w:pPr>
      <w:r w:rsidRPr="00917D0A">
        <w:t xml:space="preserve">The present review offers a synthesis of current knowledge regarding the economic valuation of blue carbon ecosystems. It integrates the existing literature on approaches for valuing carbon and non-carbon benefits of these ecosystems, the array of challenges that hinder accurate valuation and implementation of blue carbon projects, alongside crucial policy insights to unlock their full potential. The main aim is to provide researchers, practitioners and policy-makers working towards the conservation and sustainable use of coastal and marine systems an accessible overview that draws on available evidence. The review is framed to take the reader on a logical journey from the principles of blue carbon and economic valuation, through practical challenges and policies for combating them, towards a final section extrapolating prospects for future research relevant to blue carbon science and policy. It focuses on the link between scientific understanding of blue carbon ecosystems and the strength of </w:t>
      </w:r>
      <w:r w:rsidRPr="00917D0A">
        <w:lastRenderedPageBreak/>
        <w:t>economic and policy frameworks that will underpin on-the-ground conservation and restoration efforts</w:t>
      </w:r>
      <w:r w:rsidRPr="00917D0A">
        <w:rPr>
          <w:b/>
        </w:rPr>
        <w:t>.</w:t>
      </w:r>
    </w:p>
    <w:p w14:paraId="7B8DED94" w14:textId="77777777" w:rsidR="001948CF" w:rsidRPr="004D0947" w:rsidRDefault="004D0947" w:rsidP="001948CF">
      <w:pPr>
        <w:pStyle w:val="MdParagraph"/>
        <w:jc w:val="both"/>
        <w:rPr>
          <w:rFonts w:ascii="Arial" w:hAnsi="Arial" w:cs="Arial"/>
          <w:b/>
        </w:rPr>
      </w:pPr>
      <w:r w:rsidRPr="004D0947">
        <w:rPr>
          <w:rFonts w:ascii="Arial" w:hAnsi="Arial" w:cs="Arial"/>
          <w:b/>
        </w:rPr>
        <w:t>2. METHODOLOGY</w:t>
      </w:r>
    </w:p>
    <w:p w14:paraId="0EE031FE" w14:textId="77777777" w:rsidR="001948CF" w:rsidRPr="00917D0A" w:rsidRDefault="006C1CB0" w:rsidP="00917D0A">
      <w:pPr>
        <w:pStyle w:val="MdParagraph"/>
        <w:spacing w:line="360" w:lineRule="auto"/>
        <w:ind w:firstLine="720"/>
        <w:jc w:val="both"/>
      </w:pPr>
      <w:r>
        <w:t xml:space="preserve">This paper provides a </w:t>
      </w:r>
      <w:r w:rsidRPr="00917D0A">
        <w:t>literature</w:t>
      </w:r>
      <w:r w:rsidR="00917D0A" w:rsidRPr="00917D0A">
        <w:t xml:space="preserve"> review, synthesizing the current state of knowledge around the economic benefits associated with blue carbon ecosystems. The methodology was intended to be systematic and reproducible, providing a fair assessment of the totality of evidence. The process followed three core steps in conducting systematic reviews: (1) literature search and screening, (2) data extraction and analysis, and (3) narrative synthesis.</w:t>
      </w:r>
    </w:p>
    <w:p w14:paraId="49EA8E0D"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2.1 </w:t>
      </w:r>
      <w:r w:rsidR="001948CF" w:rsidRPr="004D0947">
        <w:rPr>
          <w:rFonts w:ascii="Arial" w:hAnsi="Arial" w:cs="Arial"/>
          <w:b/>
        </w:rPr>
        <w:t>Literature Search and Screening</w:t>
      </w:r>
    </w:p>
    <w:p w14:paraId="46586C14" w14:textId="2CCFAC4D" w:rsidR="00917D0A" w:rsidRDefault="00917D0A" w:rsidP="00917D0A">
      <w:pPr>
        <w:pStyle w:val="MdParagraph"/>
        <w:spacing w:line="360" w:lineRule="auto"/>
        <w:ind w:firstLine="720"/>
        <w:jc w:val="both"/>
      </w:pPr>
      <w:r>
        <w:t>A full search of the academic and grey literature was undertaken to identify relevant publications. A search was conducted across several primary electronic databases such as WEB of Science, SCOPUS, and Google Scholar. We used a search strategy combining terms connected to blue carbon, economic valuation and coastal ecosystems. Search terms typically included (but were not limited to): “blue carbon”, “economic valuation”, “ecosystem services”, “mangrove”, “</w:t>
      </w:r>
      <w:proofErr w:type="spellStart"/>
      <w:r>
        <w:t>seagrass</w:t>
      </w:r>
      <w:proofErr w:type="spellEnd"/>
      <w:r>
        <w:t>”,</w:t>
      </w:r>
      <w:r w:rsidR="002B0B93">
        <w:t xml:space="preserve"> “seaweed”</w:t>
      </w:r>
      <w:r>
        <w:t xml:space="preserve"> “salt marsh”, “carbon finance”, "carbon markets" and "coastal restoration". The search was limited the English language publications.</w:t>
      </w:r>
    </w:p>
    <w:p w14:paraId="49370F8F" w14:textId="77777777" w:rsidR="001948CF" w:rsidRPr="00917D0A" w:rsidRDefault="00917D0A" w:rsidP="00917D0A">
      <w:pPr>
        <w:pStyle w:val="MdParagraph"/>
        <w:spacing w:line="360" w:lineRule="auto"/>
        <w:ind w:firstLine="720"/>
        <w:jc w:val="both"/>
      </w:pPr>
      <w:r>
        <w:t>Preliminary searching revealed a significant number of publications, subsequently reviewed for relevance based on title and abstract. The screening was performed according to predefined inclusion and exclusion criteria. Publications were included if they: (1) focused explicitly on the economic valuation of blue carbon ecosystems (mangroves, seagrasses or salt marshes); (2) discussed methods, challenges or policy implications of blue carbon valuation and; (3) were published in a peer-reviewed journal, a reputable report or book chapter. Publications were excluded if: (1) they were published in a language other than English; (2) were not directly relevant to the economic valuation of blue carbon; or (3) had purely technical outcomes without implications for broader policy or economics.</w:t>
      </w:r>
    </w:p>
    <w:p w14:paraId="605CC80D"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2.2 </w:t>
      </w:r>
      <w:r w:rsidR="001948CF" w:rsidRPr="004D0947">
        <w:rPr>
          <w:rFonts w:ascii="Arial" w:hAnsi="Arial" w:cs="Arial"/>
          <w:b/>
        </w:rPr>
        <w:t>Data Extraction and Analysis</w:t>
      </w:r>
    </w:p>
    <w:p w14:paraId="6273722A" w14:textId="77777777" w:rsidR="007F5727" w:rsidRPr="007F5727" w:rsidRDefault="007F5727" w:rsidP="007F5727">
      <w:pPr>
        <w:pStyle w:val="MdParagraph"/>
        <w:spacing w:line="360" w:lineRule="auto"/>
        <w:ind w:firstLine="720"/>
        <w:jc w:val="both"/>
      </w:pPr>
      <w:r w:rsidRPr="007F5727">
        <w:t xml:space="preserve">After the selection process, the full text articles of the publications were retrieved to review in depth. A data extraction form was created to standardize the collection of relevant information from all included publications. The following information was extracted from each publication using a data extraction form: (1) author(s) and year of publication; (2) title and journal/publisher; (3) geographic focus of the study; (4) type of blue carbon ecosystem studied; (5) methods of economic valuation used to value the ecosystem service(s); (6) key findings and </w:t>
      </w:r>
      <w:r w:rsidRPr="007F5727">
        <w:lastRenderedPageBreak/>
        <w:t>conclusions taken from each article including estimated monetary values/costs associated with managing or restoring blue carbon ecosystems, where relevant, and reported limitations/challenges in valuing or managing the ecosystems considered here; as well as r</w:t>
      </w:r>
      <w:r>
        <w:t>elevant policy recommendations.</w:t>
      </w:r>
    </w:p>
    <w:p w14:paraId="01EF8E20" w14:textId="77777777" w:rsidR="007F5727" w:rsidRPr="007F5727" w:rsidRDefault="007F5727" w:rsidP="007F5727">
      <w:pPr>
        <w:pStyle w:val="MdParagraph"/>
        <w:spacing w:line="360" w:lineRule="auto"/>
        <w:ind w:firstLine="720"/>
        <w:jc w:val="both"/>
      </w:pPr>
      <w:r w:rsidRPr="007F5727">
        <w:t xml:space="preserve">The extracted data were </w:t>
      </w:r>
      <w:proofErr w:type="spellStart"/>
      <w:r w:rsidRPr="007F5727">
        <w:t>analyzed</w:t>
      </w:r>
      <w:proofErr w:type="spellEnd"/>
      <w:r w:rsidRPr="007F5727">
        <w:t xml:space="preserve"> to extract the common themes, trends and gaps in literature. The review synthesized the various economic valuation methods applied to blue carbon ecosystems, major difficulties faced in such valuation studies, and lessons learned &amp; policy implications drawn from them. The analysis also aimed to identify the most commonly cited co-benefits of blue carbon ecosystems and the key governance and financial barriers to implementation of blue carbon projects.</w:t>
      </w:r>
    </w:p>
    <w:p w14:paraId="5E2C256F" w14:textId="77777777" w:rsidR="001948CF" w:rsidRPr="004D0947" w:rsidRDefault="00670021" w:rsidP="00670021">
      <w:pPr>
        <w:pStyle w:val="MdParagraph"/>
        <w:spacing w:line="360" w:lineRule="auto"/>
        <w:jc w:val="both"/>
        <w:rPr>
          <w:rFonts w:ascii="Arial" w:hAnsi="Arial" w:cs="Arial"/>
          <w:b/>
        </w:rPr>
      </w:pPr>
      <w:r w:rsidRPr="004D0947">
        <w:rPr>
          <w:rFonts w:ascii="Arial" w:hAnsi="Arial" w:cs="Arial"/>
          <w:b/>
        </w:rPr>
        <w:t xml:space="preserve">2.3 </w:t>
      </w:r>
      <w:r w:rsidR="001948CF" w:rsidRPr="004D0947">
        <w:rPr>
          <w:rFonts w:ascii="Arial" w:hAnsi="Arial" w:cs="Arial"/>
          <w:b/>
        </w:rPr>
        <w:t>Narrative Synthesis</w:t>
      </w:r>
    </w:p>
    <w:p w14:paraId="5EA4FBED" w14:textId="77777777" w:rsidR="004E5A45" w:rsidRPr="00917D0A" w:rsidRDefault="007F5727" w:rsidP="007F5727">
      <w:pPr>
        <w:pStyle w:val="MdSpace"/>
        <w:spacing w:after="60" w:line="360" w:lineRule="auto"/>
        <w:ind w:firstLine="720"/>
        <w:jc w:val="both"/>
        <w:rPr>
          <w:sz w:val="24"/>
          <w:szCs w:val="24"/>
        </w:rPr>
      </w:pPr>
      <w:r w:rsidRPr="007F5727">
        <w:rPr>
          <w:sz w:val="24"/>
          <w:szCs w:val="24"/>
        </w:rPr>
        <w:t>The last step of the methodology comprised the narrative synthesis of literature review findings. The synthesis was developed according to main themes identified during data analysis and intended to give a lucid understanding of the state-of-the-art in blue carbon ecosystems economic valuation. The synthesis is written in a style that will be accessible to a wide audience of researchers, practitioners and policy-makers. The synthesis was also framed based on the more general literature about ecosystem services valuation and climate change policy, to provide a broad context for findings from this review.</w:t>
      </w:r>
    </w:p>
    <w:p w14:paraId="7A619374"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3. ECONOMIC VALUATION METHODS FOR BLUE CARBON ECOSYSTEMS</w:t>
      </w:r>
    </w:p>
    <w:p w14:paraId="0C62B99D" w14:textId="77777777" w:rsidR="004E5A45" w:rsidRPr="00917D0A" w:rsidRDefault="007F5727" w:rsidP="007F5727">
      <w:pPr>
        <w:pStyle w:val="MdSpace"/>
        <w:spacing w:after="60" w:line="360" w:lineRule="auto"/>
        <w:ind w:firstLine="720"/>
        <w:jc w:val="both"/>
        <w:rPr>
          <w:sz w:val="24"/>
          <w:szCs w:val="24"/>
        </w:rPr>
      </w:pPr>
      <w:r w:rsidRPr="007F5727">
        <w:rPr>
          <w:sz w:val="24"/>
          <w:szCs w:val="24"/>
        </w:rPr>
        <w:t>Blue carbon ecosystems also must be valued economically, but this requires diversification. Such methods can ultimately be classified into two main types: (</w:t>
      </w:r>
      <w:proofErr w:type="spellStart"/>
      <w:r w:rsidRPr="007F5727">
        <w:rPr>
          <w:sz w:val="24"/>
          <w:szCs w:val="24"/>
        </w:rPr>
        <w:t>i</w:t>
      </w:r>
      <w:proofErr w:type="spellEnd"/>
      <w:r w:rsidRPr="007F5727">
        <w:rPr>
          <w:sz w:val="24"/>
          <w:szCs w:val="24"/>
        </w:rPr>
        <w:t>) market-based [which derive from existing prices at the market]; and (ii) non-market valuation techniques [for those goods and services that do not have a market price]. It is also important to make sure that a more complete valuation framework includes the many other co-benefits of these ecosystems beyond carbon sequestration. The choice of which valuation method to use must take into account the specific ecosystem service being valued, as well as data availability and policy context. The full economic value of blue carbon ecosystems requires a combination of approaches (Sánchez Bardales et al., 2025; Doolan, &amp; Hynes, 2023; Hilmi et al., 2023)</w:t>
      </w:r>
    </w:p>
    <w:p w14:paraId="427761E0" w14:textId="77777777" w:rsidR="004E5A45" w:rsidRPr="004D0947" w:rsidRDefault="007F5727" w:rsidP="001948CF">
      <w:pPr>
        <w:pStyle w:val="MdHeading3"/>
        <w:jc w:val="both"/>
        <w:rPr>
          <w:rFonts w:ascii="Arial" w:hAnsi="Arial" w:cs="Arial"/>
          <w:sz w:val="24"/>
          <w:szCs w:val="24"/>
        </w:rPr>
      </w:pPr>
      <w:r w:rsidRPr="004D0947">
        <w:rPr>
          <w:rFonts w:ascii="Arial" w:hAnsi="Arial" w:cs="Arial"/>
          <w:sz w:val="24"/>
          <w:szCs w:val="24"/>
        </w:rPr>
        <w:lastRenderedPageBreak/>
        <w:t>3</w:t>
      </w:r>
      <w:r w:rsidR="003E1ABA" w:rsidRPr="004D0947">
        <w:rPr>
          <w:rFonts w:ascii="Arial" w:hAnsi="Arial" w:cs="Arial"/>
          <w:sz w:val="24"/>
          <w:szCs w:val="24"/>
        </w:rPr>
        <w:t>.1. Market-Based Valuation Approaches</w:t>
      </w:r>
    </w:p>
    <w:p w14:paraId="78F29DCC" w14:textId="77777777" w:rsidR="007F5727" w:rsidRPr="007F5727" w:rsidRDefault="007F5727" w:rsidP="007F5727">
      <w:pPr>
        <w:pStyle w:val="MdHeading3"/>
        <w:spacing w:line="360" w:lineRule="auto"/>
        <w:ind w:firstLine="720"/>
        <w:jc w:val="both"/>
        <w:rPr>
          <w:b w:val="0"/>
          <w:sz w:val="24"/>
          <w:szCs w:val="24"/>
        </w:rPr>
      </w:pPr>
      <w:r w:rsidRPr="007F5727">
        <w:rPr>
          <w:b w:val="0"/>
          <w:sz w:val="24"/>
          <w:szCs w:val="24"/>
        </w:rPr>
        <w:t>The most direct approach to assess the economic value of ecosystem services is market-based valuation methods (Laurans et al., 2013). For blue carbon systems, these approaches are mainly concerned with the emerging carbon markets and direct use values of constituent resources. Policymakers often prefer these approaches to their counterparts based on theoretical rational behaviour, as they are grounded in what has been observed to happen in the marketplace and therefore credibly seen as more objective (Perera et al., 2025; Doolan &amp; Hynes,2023).</w:t>
      </w:r>
    </w:p>
    <w:p w14:paraId="0E9C89A2"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.1.1. Carbon Markets</w:t>
      </w:r>
    </w:p>
    <w:p w14:paraId="0ABC0693" w14:textId="0AD06323" w:rsidR="000F1104" w:rsidRDefault="003F04A5" w:rsidP="000653EF">
      <w:pPr>
        <w:pStyle w:val="MdHeading4"/>
        <w:spacing w:line="360" w:lineRule="auto"/>
        <w:ind w:firstLine="720"/>
        <w:jc w:val="both"/>
        <w:rPr>
          <w:b w:val="0"/>
          <w:sz w:val="24"/>
          <w:szCs w:val="24"/>
        </w:rPr>
      </w:pPr>
      <w:r w:rsidRPr="003F04A5">
        <w:rPr>
          <w:b w:val="0"/>
          <w:sz w:val="24"/>
          <w:szCs w:val="24"/>
        </w:rPr>
        <w:t>Perhaps the most visible market measure used to estimate the value of the carbon sequestration service provided by blue carbon ecosystems is the carbon market. Voluntary and compliance carbon markets both provide a mechanism to convert the climate mitigation benefits of these ecosystems into tradeable carbon credits (Farahmand et al., 2025). The voluntary carbon market has rapidly expanded to meet this demand for blue carbon credits, spurred by corporate social responsibility commitments and private sector Net-Zero Pledges (Perera et al., 2025; Farahmand et al., 2025).</w:t>
      </w:r>
      <w:r w:rsidR="000F1104" w:rsidRPr="000F1104">
        <w:t xml:space="preserve"> </w:t>
      </w:r>
      <w:r w:rsidR="000F1104" w:rsidRPr="000F1104">
        <w:rPr>
          <w:b w:val="0"/>
          <w:sz w:val="24"/>
          <w:szCs w:val="24"/>
        </w:rPr>
        <w:t xml:space="preserve">Two main certifications under the Voluntary Carbon Market (VCM) provide vital funding for protecting and restoring blue carbon ecosystems. The largest of these, </w:t>
      </w:r>
      <w:proofErr w:type="spellStart"/>
      <w:r w:rsidR="000F1104" w:rsidRPr="000F1104">
        <w:rPr>
          <w:b w:val="0"/>
          <w:sz w:val="24"/>
          <w:szCs w:val="24"/>
        </w:rPr>
        <w:t>Verra</w:t>
      </w:r>
      <w:proofErr w:type="spellEnd"/>
      <w:r w:rsidR="000F1104" w:rsidRPr="000F1104">
        <w:rPr>
          <w:b w:val="0"/>
          <w:sz w:val="24"/>
          <w:szCs w:val="24"/>
        </w:rPr>
        <w:t xml:space="preserve"> , a US-based non-profit that manages the Verified Carbon Standard (VCS), uses a public registry to track Verified Carbon Units (VCUs); each unit corresponds to one metric tonne of $CO_2$ removed from the atmosphere. The second major standard is the Gold Standard, launched in 2003 by WWF and other NGOs to guarantee the projects actually benefit the environment and local communities. Projects, under its Gold Standard for the Global Goals (GS4GG) framework, must not only reduce emissions but also show they contribute to at least two UN Sustainable Development Goals (SDGs), such as improving local livelihoods or water quality</w:t>
      </w:r>
      <w:r w:rsidR="000F1104" w:rsidRPr="000F1104">
        <w:t xml:space="preserve"> </w:t>
      </w:r>
      <w:r w:rsidR="000F1104" w:rsidRPr="000F1104">
        <w:rPr>
          <w:b w:val="0"/>
          <w:sz w:val="24"/>
          <w:szCs w:val="24"/>
        </w:rPr>
        <w:t>(Forest Trends</w:t>
      </w:r>
      <w:r w:rsidR="000F1104">
        <w:rPr>
          <w:b w:val="0"/>
          <w:sz w:val="24"/>
          <w:szCs w:val="24"/>
        </w:rPr>
        <w:t>' Ecosystem Marketplace, 2025;</w:t>
      </w:r>
      <w:r w:rsidR="000F1104" w:rsidRPr="000F1104">
        <w:t xml:space="preserve"> </w:t>
      </w:r>
      <w:proofErr w:type="spellStart"/>
      <w:r w:rsidR="000F1104" w:rsidRPr="000F1104">
        <w:rPr>
          <w:b w:val="0"/>
          <w:sz w:val="24"/>
          <w:szCs w:val="24"/>
        </w:rPr>
        <w:t>Verra</w:t>
      </w:r>
      <w:proofErr w:type="spellEnd"/>
      <w:r w:rsidR="000F1104" w:rsidRPr="000F1104">
        <w:rPr>
          <w:b w:val="0"/>
          <w:sz w:val="24"/>
          <w:szCs w:val="24"/>
        </w:rPr>
        <w:t>, 2024</w:t>
      </w:r>
      <w:r w:rsidR="000F1104">
        <w:rPr>
          <w:b w:val="0"/>
          <w:sz w:val="24"/>
          <w:szCs w:val="24"/>
        </w:rPr>
        <w:t>;</w:t>
      </w:r>
      <w:r w:rsidR="000F1104" w:rsidRPr="000F1104">
        <w:t xml:space="preserve"> </w:t>
      </w:r>
      <w:r w:rsidR="00C62F4D" w:rsidRPr="00C62F4D">
        <w:rPr>
          <w:b w:val="0"/>
        </w:rPr>
        <w:t>Gold Standard Foundation, 2024</w:t>
      </w:r>
      <w:r w:rsidR="00C62F4D">
        <w:rPr>
          <w:b w:val="0"/>
        </w:rPr>
        <w:t xml:space="preserve">; </w:t>
      </w:r>
      <w:bookmarkStart w:id="1" w:name="_GoBack"/>
      <w:bookmarkEnd w:id="1"/>
      <w:r w:rsidR="000F1104" w:rsidRPr="000F1104">
        <w:rPr>
          <w:b w:val="0"/>
          <w:sz w:val="24"/>
          <w:szCs w:val="24"/>
        </w:rPr>
        <w:t>Hamrick &amp; Gallant, 2017)</w:t>
      </w:r>
    </w:p>
    <w:p w14:paraId="2658BC55" w14:textId="6A54F431" w:rsidR="003F04A5" w:rsidRPr="000653EF" w:rsidRDefault="003F04A5" w:rsidP="000653EF">
      <w:pPr>
        <w:pStyle w:val="MdHeading4"/>
        <w:spacing w:line="360" w:lineRule="auto"/>
        <w:ind w:firstLine="720"/>
        <w:jc w:val="both"/>
        <w:rPr>
          <w:b w:val="0"/>
          <w:sz w:val="24"/>
          <w:szCs w:val="24"/>
        </w:rPr>
      </w:pPr>
      <w:r w:rsidRPr="003F04A5">
        <w:rPr>
          <w:b w:val="0"/>
          <w:sz w:val="24"/>
          <w:szCs w:val="24"/>
        </w:rPr>
        <w:t xml:space="preserve"> Conversely, the compliance market (that is, a market supported by enforced emissions reduction nationally and internationally under political frameworks) has much to gain in importance as a financial enabler of conservation and restoration for coastal ecosystems (</w:t>
      </w:r>
      <w:proofErr w:type="spellStart"/>
      <w:r w:rsidRPr="003F04A5">
        <w:rPr>
          <w:b w:val="0"/>
          <w:sz w:val="24"/>
          <w:szCs w:val="24"/>
        </w:rPr>
        <w:t>Vanderklift</w:t>
      </w:r>
      <w:proofErr w:type="spellEnd"/>
      <w:r w:rsidRPr="003F04A5">
        <w:rPr>
          <w:b w:val="0"/>
          <w:sz w:val="24"/>
          <w:szCs w:val="24"/>
        </w:rPr>
        <w:t xml:space="preserve"> et al., 2019; Sapkota &amp; White, 2020). Projects that can prove their additionality, permanence and protect for leakage are rewarded with carbon credits (Wylie et al., 2016; Friess </w:t>
      </w:r>
      <w:r w:rsidRPr="003F04A5">
        <w:rPr>
          <w:b w:val="0"/>
          <w:sz w:val="24"/>
          <w:szCs w:val="24"/>
        </w:rPr>
        <w:lastRenderedPageBreak/>
        <w:t>et al., 2022) that they can sell to individuals, corporates or governments wishing to neutralise their emissions. In 2023, the mean price of mangrove restoration credits on the voluntary carbon market was $26.03 per tCO₂e,</w:t>
      </w:r>
      <w:r w:rsidRPr="003F04A5">
        <w:t xml:space="preserve"> </w:t>
      </w:r>
      <w:r>
        <w:t>(</w:t>
      </w:r>
      <w:r>
        <w:rPr>
          <w:b w:val="0"/>
          <w:sz w:val="24"/>
          <w:szCs w:val="24"/>
        </w:rPr>
        <w:t>T</w:t>
      </w:r>
      <w:r w:rsidRPr="003F04A5">
        <w:rPr>
          <w:b w:val="0"/>
          <w:sz w:val="24"/>
          <w:szCs w:val="24"/>
        </w:rPr>
        <w:t>onnes of carbon dioxide equivalent</w:t>
      </w:r>
      <w:r>
        <w:rPr>
          <w:b w:val="0"/>
          <w:sz w:val="24"/>
          <w:szCs w:val="24"/>
        </w:rPr>
        <w:t>)</w:t>
      </w:r>
      <w:r w:rsidRPr="003F04A5">
        <w:rPr>
          <w:b w:val="0"/>
          <w:sz w:val="24"/>
          <w:szCs w:val="24"/>
        </w:rPr>
        <w:t xml:space="preserve"> relative to an overall </w:t>
      </w:r>
      <w:r w:rsidR="006C1CB0" w:rsidRPr="006C1CB0">
        <w:rPr>
          <w:b w:val="0"/>
          <w:sz w:val="24"/>
          <w:szCs w:val="24"/>
        </w:rPr>
        <w:t>Voluntary Carbon Market</w:t>
      </w:r>
      <w:r w:rsidR="006C1CB0">
        <w:rPr>
          <w:b w:val="0"/>
          <w:sz w:val="24"/>
          <w:szCs w:val="24"/>
        </w:rPr>
        <w:t xml:space="preserve"> (</w:t>
      </w:r>
      <w:r w:rsidRPr="003F04A5">
        <w:rPr>
          <w:b w:val="0"/>
          <w:sz w:val="24"/>
          <w:szCs w:val="24"/>
        </w:rPr>
        <w:t>VCM</w:t>
      </w:r>
      <w:r w:rsidR="006C1CB0">
        <w:rPr>
          <w:b w:val="0"/>
          <w:sz w:val="24"/>
          <w:szCs w:val="24"/>
        </w:rPr>
        <w:t>)</w:t>
      </w:r>
      <w:r w:rsidRPr="003F04A5">
        <w:rPr>
          <w:b w:val="0"/>
          <w:sz w:val="24"/>
          <w:szCs w:val="24"/>
        </w:rPr>
        <w:t xml:space="preserve"> average of $6.63 per tCO₂e; this premium is likely due to blue carbon projects' co-benefits (Simpson et al., 2025).</w:t>
      </w:r>
    </w:p>
    <w:p w14:paraId="353DD05D"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.1.2. Direct Use Values</w:t>
      </w:r>
    </w:p>
    <w:p w14:paraId="1F6F3E34" w14:textId="77777777" w:rsidR="00C21EAD" w:rsidRPr="00917D0A" w:rsidRDefault="00DD6F05" w:rsidP="00DD6F05">
      <w:pPr>
        <w:pStyle w:val="MdParagraph"/>
        <w:spacing w:line="360" w:lineRule="auto"/>
        <w:ind w:firstLine="720"/>
        <w:jc w:val="both"/>
      </w:pPr>
      <w:r w:rsidRPr="00DD6F05">
        <w:t>Blue carbon ecosystems also produce a range of products that are directly harvested and sold in markets. Market prices can be used to estimate these direct use values. Mangroves, for example, provide timber and fuel</w:t>
      </w:r>
      <w:r>
        <w:t xml:space="preserve"> </w:t>
      </w:r>
      <w:r w:rsidR="00EA2E2F">
        <w:t xml:space="preserve">   </w:t>
      </w:r>
      <w:r w:rsidRPr="00DD6F05">
        <w:t>wood as well as critical habitats for commercially important fish and shellfish species. The intrinsic value of these products can be captured by valuing their market prices and the role of the ecosystem in producing it. For example, the value of a fishery that is dependent on mangroves might be estimated by multiplying the fish catch times their market price and attributing part of that value to the mangrove habitat (Hamza et al., 2024; Barbier, 2016). This, however, necessitates the availability of fine-grained data on the ecological connections between the ecosystem in question and the marketed good.</w:t>
      </w:r>
    </w:p>
    <w:p w14:paraId="09B21022" w14:textId="77777777" w:rsidR="00C21EAD" w:rsidRPr="00917D0A" w:rsidRDefault="00415660" w:rsidP="00415660">
      <w:pPr>
        <w:pStyle w:val="MdParagraph"/>
      </w:pPr>
      <w:r w:rsidRPr="00917D0A">
        <w:rPr>
          <w:noProof/>
        </w:rPr>
        <w:drawing>
          <wp:inline distT="0" distB="0" distL="0" distR="0" wp14:anchorId="751211C7" wp14:editId="5140EEEF">
            <wp:extent cx="5731510" cy="3123565"/>
            <wp:effectExtent l="0" t="0" r="2540" b="635"/>
            <wp:docPr id="1" name="Picture 1" descr="C:\Users\Acer\Downloads\Economic_evaluation_methods_no_hea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Economic_evaluation_methods_no_headin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123565"/>
                    </a:xfrm>
                    <a:prstGeom prst="rect">
                      <a:avLst/>
                    </a:prstGeom>
                    <a:noFill/>
                    <a:ln>
                      <a:noFill/>
                    </a:ln>
                  </pic:spPr>
                </pic:pic>
              </a:graphicData>
            </a:graphic>
          </wp:inline>
        </w:drawing>
      </w:r>
      <w:r w:rsidR="00D60CAF" w:rsidRPr="00917D0A">
        <w:t xml:space="preserve"> </w:t>
      </w:r>
    </w:p>
    <w:p w14:paraId="0F21A785" w14:textId="77777777" w:rsidR="00415660" w:rsidRPr="00917D0A" w:rsidRDefault="00415660" w:rsidP="00415660">
      <w:pPr>
        <w:pStyle w:val="MdParagraph"/>
        <w:jc w:val="center"/>
      </w:pPr>
      <w:r w:rsidRPr="00917D0A">
        <w:t>Figure 2: Economic Valuation Methods for Blue Carbon</w:t>
      </w:r>
    </w:p>
    <w:p w14:paraId="19245184" w14:textId="77777777" w:rsidR="004E5A45" w:rsidRPr="004D0947" w:rsidRDefault="007F5727" w:rsidP="001948CF">
      <w:pPr>
        <w:pStyle w:val="MdHeading3"/>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.2. Non-Market Valuation Techniques</w:t>
      </w:r>
    </w:p>
    <w:p w14:paraId="2157F146" w14:textId="77777777" w:rsidR="004E5A45" w:rsidRPr="00917D0A" w:rsidRDefault="003E1ABA" w:rsidP="001F0C7E">
      <w:pPr>
        <w:pStyle w:val="MdParagraph"/>
        <w:spacing w:line="360" w:lineRule="auto"/>
        <w:ind w:firstLine="720"/>
        <w:jc w:val="both"/>
      </w:pPr>
      <w:r w:rsidRPr="00917D0A">
        <w:t>.</w:t>
      </w:r>
      <w:r w:rsidR="001F0C7E" w:rsidRPr="001F0C7E">
        <w:t xml:space="preserve"> These ecosystem services — from coastal protection and biodiversity to carbon storage — are similar in that most of them are not traded in markets, which means they have no visible price. These services do not have market prices available but can be valued using </w:t>
      </w:r>
      <w:r w:rsidR="001F0C7E" w:rsidRPr="001F0C7E">
        <w:lastRenderedPageBreak/>
        <w:t>non-market techniques. These methodologies can be classified into two categories, revealed prepared a</w:t>
      </w:r>
      <w:r w:rsidR="001F0C7E">
        <w:t xml:space="preserve">nd </w:t>
      </w:r>
      <w:r w:rsidR="001F0C7E" w:rsidRPr="001F0C7E">
        <w:t>stated preference methods</w:t>
      </w:r>
    </w:p>
    <w:p w14:paraId="45CFC65F" w14:textId="77777777" w:rsidR="004E5A45" w:rsidRPr="004D0947" w:rsidRDefault="007F5727" w:rsidP="001948CF">
      <w:pPr>
        <w:pStyle w:val="MdHeading4"/>
        <w:jc w:val="both"/>
        <w:rPr>
          <w:rFonts w:ascii="Arial" w:hAnsi="Arial" w:cs="Arial"/>
          <w:sz w:val="24"/>
          <w:szCs w:val="24"/>
        </w:rPr>
      </w:pPr>
      <w:r w:rsidRPr="004D0947">
        <w:rPr>
          <w:rFonts w:ascii="Arial" w:hAnsi="Arial" w:cs="Arial"/>
          <w:sz w:val="24"/>
          <w:szCs w:val="24"/>
        </w:rPr>
        <w:t>3</w:t>
      </w:r>
      <w:r w:rsidR="003E1ABA" w:rsidRPr="004D0947">
        <w:rPr>
          <w:rFonts w:ascii="Arial" w:hAnsi="Arial" w:cs="Arial"/>
          <w:sz w:val="24"/>
          <w:szCs w:val="24"/>
        </w:rPr>
        <w:t>.2.1. Revealed Preference Methods</w:t>
      </w:r>
    </w:p>
    <w:p w14:paraId="4EFA1057" w14:textId="3D8A819D" w:rsidR="00B205A0" w:rsidRPr="00295202" w:rsidRDefault="001F0C7E" w:rsidP="00295202">
      <w:pPr>
        <w:pStyle w:val="MdHeading4"/>
        <w:spacing w:line="360" w:lineRule="auto"/>
        <w:ind w:firstLine="720"/>
        <w:jc w:val="both"/>
        <w:rPr>
          <w:b w:val="0"/>
          <w:sz w:val="24"/>
          <w:szCs w:val="24"/>
        </w:rPr>
      </w:pPr>
      <w:r w:rsidRPr="001F0C7E">
        <w:rPr>
          <w:b w:val="0"/>
          <w:sz w:val="24"/>
          <w:szCs w:val="24"/>
        </w:rPr>
        <w:t>Revealed preference approaches estimate the value of environmental goods and services based on individuals’ behaviour in complementary</w:t>
      </w:r>
      <w:r w:rsidR="002741B3">
        <w:rPr>
          <w:b w:val="0"/>
          <w:sz w:val="24"/>
          <w:szCs w:val="24"/>
        </w:rPr>
        <w:t xml:space="preserve"> markets. The so-called hedon</w:t>
      </w:r>
      <w:r w:rsidRPr="001F0C7E">
        <w:rPr>
          <w:b w:val="0"/>
          <w:sz w:val="24"/>
          <w:szCs w:val="24"/>
        </w:rPr>
        <w:t>ic price method, for instance, could be applied to estimate the value of coastal protection services by studying how property values depend on distance from healthy mangrove forests or salt marshes. Recent studies have revealed that the relative amount of salt marsh located near a residential property can have a statistically significant positive impact on its value, especially if the marshland is under conservation protection (Gardner 2021). This approach has largely been employed to estimate the amenity and protective values of coastal ecosystems, but it is restricted to the cases where property values are sensitively affected by the environmental good of interest (Himes-Cornell et al., 2018). Likewise, one could estimate the ecosystems service by examining how much time and money people spend visiting blue carbon ecosystems with the travel cost method. This method is detailed in the following two paragraphs, but has its uses primarily for valuing tourism and recreation at coastal sites (General Valuation Office, 2020), and it may be more difficult to implement in developing countries that are typically limited by travel cost data availability (Himes-Cornell et al., 2018).</w:t>
      </w:r>
    </w:p>
    <w:p w14:paraId="6A51ADAC" w14:textId="77777777" w:rsidR="00DD7D23" w:rsidRPr="00917D0A" w:rsidRDefault="001F0C7E" w:rsidP="00DD7D23">
      <w:pPr>
        <w:pStyle w:val="MdParagraph"/>
        <w:jc w:val="center"/>
        <w:rPr>
          <w:b/>
        </w:rPr>
      </w:pPr>
      <w:r>
        <w:rPr>
          <w:b/>
        </w:rPr>
        <w:t>Table 1</w:t>
      </w:r>
      <w:r w:rsidR="00DD7D23" w:rsidRPr="00917D0A">
        <w:rPr>
          <w:b/>
        </w:rPr>
        <w:t>: Comparison of Economic Valuation Methods for Blue Carbon Ecosystems</w:t>
      </w:r>
    </w:p>
    <w:tbl>
      <w:tblPr>
        <w:tblW w:w="5000" w:type="pct"/>
        <w:tblInd w:w="-10" w:type="dxa"/>
        <w:tblBorders>
          <w:top w:val="single" w:sz="4" w:space="0" w:color="auto"/>
          <w:bottom w:val="single" w:sz="4" w:space="0" w:color="E1E4E8"/>
          <w:insideH w:val="single" w:sz="2" w:space="0" w:color="E1E4E8"/>
          <w:insideV w:val="single" w:sz="2" w:space="0" w:color="F6F8FA"/>
        </w:tblBorders>
        <w:tblCellMar>
          <w:left w:w="10" w:type="dxa"/>
          <w:right w:w="10" w:type="dxa"/>
        </w:tblCellMar>
        <w:tblLook w:val="04A0" w:firstRow="1" w:lastRow="0" w:firstColumn="1" w:lastColumn="0" w:noHBand="0" w:noVBand="1"/>
      </w:tblPr>
      <w:tblGrid>
        <w:gridCol w:w="1285"/>
        <w:gridCol w:w="1149"/>
        <w:gridCol w:w="1275"/>
        <w:gridCol w:w="1453"/>
        <w:gridCol w:w="1682"/>
        <w:gridCol w:w="1936"/>
        <w:gridCol w:w="246"/>
      </w:tblGrid>
      <w:tr w:rsidR="00DD7D23" w:rsidRPr="00295202" w14:paraId="1E2410E9" w14:textId="77777777" w:rsidTr="00166B26">
        <w:trPr>
          <w:cantSplit/>
          <w:trHeight w:val="720"/>
          <w:tblHeader/>
        </w:trPr>
        <w:tc>
          <w:tcPr>
            <w:tcW w:w="0" w:type="auto"/>
            <w:tcBorders>
              <w:top w:val="single" w:sz="4" w:space="0" w:color="auto"/>
              <w:bottom w:val="single" w:sz="4" w:space="0" w:color="auto"/>
            </w:tcBorders>
            <w:tcMar>
              <w:top w:w="100" w:type="dxa"/>
              <w:left w:w="120" w:type="dxa"/>
              <w:bottom w:w="100" w:type="dxa"/>
              <w:right w:w="120" w:type="dxa"/>
            </w:tcMar>
            <w:vAlign w:val="center"/>
          </w:tcPr>
          <w:p w14:paraId="5A80980B" w14:textId="77777777" w:rsidR="00DD7D23" w:rsidRPr="00295202" w:rsidRDefault="00DD7D23" w:rsidP="00166B26">
            <w:pPr>
              <w:pStyle w:val="MdTableHeader"/>
              <w:rPr>
                <w:sz w:val="20"/>
                <w:szCs w:val="20"/>
              </w:rPr>
            </w:pPr>
            <w:r w:rsidRPr="00295202">
              <w:rPr>
                <w:sz w:val="20"/>
                <w:szCs w:val="20"/>
              </w:rPr>
              <w:t>Method</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1255C1CE" w14:textId="77777777" w:rsidR="00DD7D23" w:rsidRPr="00295202" w:rsidRDefault="00DD7D23" w:rsidP="00166B26">
            <w:pPr>
              <w:pStyle w:val="MdTableHeader"/>
              <w:rPr>
                <w:sz w:val="20"/>
                <w:szCs w:val="20"/>
              </w:rPr>
            </w:pPr>
            <w:r w:rsidRPr="00295202">
              <w:rPr>
                <w:sz w:val="20"/>
                <w:szCs w:val="20"/>
              </w:rPr>
              <w:t>Category</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EF8AD36" w14:textId="77777777" w:rsidR="00DD7D23" w:rsidRPr="00295202" w:rsidRDefault="00DD7D23" w:rsidP="00166B26">
            <w:pPr>
              <w:pStyle w:val="MdTableHeader"/>
              <w:rPr>
                <w:sz w:val="20"/>
                <w:szCs w:val="20"/>
              </w:rPr>
            </w:pPr>
            <w:r w:rsidRPr="00295202">
              <w:rPr>
                <w:sz w:val="20"/>
                <w:szCs w:val="20"/>
              </w:rPr>
              <w:t>Service</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2519E55C" w14:textId="77777777" w:rsidR="00DD7D23" w:rsidRPr="00295202" w:rsidRDefault="00DD7D23" w:rsidP="00166B26">
            <w:pPr>
              <w:pStyle w:val="MdTableHeader"/>
              <w:rPr>
                <w:sz w:val="20"/>
                <w:szCs w:val="20"/>
              </w:rPr>
            </w:pPr>
            <w:r w:rsidRPr="00295202">
              <w:rPr>
                <w:sz w:val="20"/>
                <w:szCs w:val="20"/>
              </w:rPr>
              <w:t>Data Needs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6D80ADE5" w14:textId="77777777" w:rsidR="00DD7D23" w:rsidRPr="00295202" w:rsidRDefault="00DD7D23" w:rsidP="00166B26">
            <w:pPr>
              <w:pStyle w:val="MdTableHeader"/>
              <w:rPr>
                <w:sz w:val="20"/>
                <w:szCs w:val="20"/>
              </w:rPr>
            </w:pPr>
            <w:r w:rsidRPr="00295202">
              <w:rPr>
                <w:sz w:val="20"/>
                <w:szCs w:val="20"/>
              </w:rPr>
              <w:t>Pros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7C9C2239" w14:textId="77777777" w:rsidR="00DD7D23" w:rsidRPr="00295202" w:rsidRDefault="00DD7D23" w:rsidP="00166B26">
            <w:pPr>
              <w:pStyle w:val="MdTableHeader"/>
              <w:rPr>
                <w:sz w:val="20"/>
                <w:szCs w:val="20"/>
              </w:rPr>
            </w:pPr>
            <w:r w:rsidRPr="00295202">
              <w:rPr>
                <w:sz w:val="20"/>
                <w:szCs w:val="20"/>
              </w:rPr>
              <w:t>Cons</w:t>
            </w:r>
          </w:p>
        </w:tc>
        <w:tc>
          <w:tcPr>
            <w:tcW w:w="0" w:type="auto"/>
            <w:tcBorders>
              <w:top w:val="single" w:sz="4" w:space="0" w:color="auto"/>
              <w:bottom w:val="single" w:sz="4" w:space="0" w:color="auto"/>
            </w:tcBorders>
            <w:tcMar>
              <w:top w:w="100" w:type="dxa"/>
              <w:left w:w="120" w:type="dxa"/>
              <w:bottom w:w="100" w:type="dxa"/>
              <w:right w:w="120" w:type="dxa"/>
            </w:tcMar>
            <w:vAlign w:val="center"/>
          </w:tcPr>
          <w:p w14:paraId="0CD9E49D" w14:textId="77777777" w:rsidR="00DD7D23" w:rsidRPr="00295202" w:rsidRDefault="00DD7D23" w:rsidP="00166B26">
            <w:pPr>
              <w:pStyle w:val="MdTableHeader"/>
              <w:rPr>
                <w:sz w:val="20"/>
                <w:szCs w:val="20"/>
              </w:rPr>
            </w:pPr>
          </w:p>
        </w:tc>
      </w:tr>
      <w:tr w:rsidR="00DD7D23" w:rsidRPr="00295202" w14:paraId="1FADD9FF"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8A9851F" w14:textId="77777777" w:rsidR="00DD7D23" w:rsidRPr="00295202" w:rsidRDefault="00DD7D23" w:rsidP="00166B26">
            <w:pPr>
              <w:pStyle w:val="MdTableCell"/>
            </w:pPr>
            <w:r w:rsidRPr="00295202">
              <w:t>Carbon Markets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A64E53B" w14:textId="77777777" w:rsidR="00DD7D23" w:rsidRPr="00295202" w:rsidRDefault="00DD7D23" w:rsidP="00166B26">
            <w:pPr>
              <w:pStyle w:val="MdTableCell"/>
            </w:pPr>
            <w:r w:rsidRPr="00295202">
              <w:t>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BBAE2A6" w14:textId="77777777" w:rsidR="00DD7D23" w:rsidRPr="00295202" w:rsidRDefault="00DD7D23" w:rsidP="00166B26">
            <w:pPr>
              <w:pStyle w:val="MdTableCell"/>
            </w:pPr>
            <w:r w:rsidRPr="00295202">
              <w:t>Carbon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B95C874" w14:textId="77777777" w:rsidR="00DD7D23" w:rsidRPr="00295202" w:rsidRDefault="00DD7D23" w:rsidP="00166B26">
            <w:pPr>
              <w:pStyle w:val="MdTableCell"/>
            </w:pPr>
            <w:r w:rsidRPr="00295202">
              <w:t>Baselines, C-stock, costs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C37F549" w14:textId="77777777" w:rsidR="00DD7D23" w:rsidRPr="00295202" w:rsidRDefault="00DD7D23" w:rsidP="00166B26">
            <w:pPr>
              <w:pStyle w:val="MdTableCell"/>
            </w:pPr>
            <w:r w:rsidRPr="00295202">
              <w:t>Price signal, private investment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C9E822" w14:textId="77777777" w:rsidR="00DD7D23" w:rsidRPr="00295202" w:rsidRDefault="00DD7D23" w:rsidP="00166B26">
            <w:pPr>
              <w:pStyle w:val="MdTableCell"/>
            </w:pPr>
            <w:r w:rsidRPr="00295202">
              <w:t>High costs, risks, volatility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1DB2883" w14:textId="77777777" w:rsidR="00DD7D23" w:rsidRPr="00295202" w:rsidRDefault="00DD7D23" w:rsidP="00166B26">
            <w:pPr>
              <w:pStyle w:val="MdTableCell"/>
            </w:pPr>
          </w:p>
        </w:tc>
      </w:tr>
      <w:tr w:rsidR="00DD7D23" w:rsidRPr="00295202" w14:paraId="0FF15668"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6B90CC26" w14:textId="77777777" w:rsidR="00DD7D23" w:rsidRPr="00295202" w:rsidRDefault="00DD7D23" w:rsidP="00166B26">
            <w:pPr>
              <w:pStyle w:val="MdTableCell"/>
            </w:pPr>
            <w:r w:rsidRPr="00295202">
              <w:t>Direct Use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CF4B6B5" w14:textId="77777777" w:rsidR="00DD7D23" w:rsidRPr="00295202" w:rsidRDefault="00DD7D23" w:rsidP="00166B26">
            <w:pPr>
              <w:pStyle w:val="MdTableCell"/>
            </w:pPr>
            <w:r w:rsidRPr="00295202">
              <w:t>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311FC9E" w14:textId="77777777" w:rsidR="00DD7D23" w:rsidRPr="00295202" w:rsidRDefault="00DD7D23" w:rsidP="00166B26">
            <w:pPr>
              <w:pStyle w:val="MdTableCell"/>
            </w:pPr>
            <w:r w:rsidRPr="00295202">
              <w:t>Fisheries, Timber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4152273" w14:textId="77777777" w:rsidR="00DD7D23" w:rsidRPr="00295202" w:rsidRDefault="00DD7D23" w:rsidP="00166B26">
            <w:pPr>
              <w:pStyle w:val="MdTableCell"/>
            </w:pPr>
            <w:r w:rsidRPr="00295202">
              <w:t>Prices, production data</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9D76294" w14:textId="77777777" w:rsidR="00DD7D23" w:rsidRPr="00295202" w:rsidRDefault="00DD7D23" w:rsidP="00166B26">
            <w:pPr>
              <w:pStyle w:val="MdTableCell"/>
            </w:pPr>
            <w:r w:rsidRPr="00295202">
              <w:t>Observable, simple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6EDA893" w14:textId="77777777" w:rsidR="00DD7D23" w:rsidRPr="00295202" w:rsidRDefault="00DD7D23" w:rsidP="00166B26">
            <w:pPr>
              <w:pStyle w:val="MdTableCell"/>
            </w:pPr>
            <w:r w:rsidRPr="00295202">
              <w:t>Hard to isolate eco. contribution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668DCF4" w14:textId="77777777" w:rsidR="00DD7D23" w:rsidRPr="00295202" w:rsidRDefault="00DD7D23" w:rsidP="00166B26">
            <w:pPr>
              <w:pStyle w:val="MdTableCell"/>
            </w:pPr>
          </w:p>
        </w:tc>
      </w:tr>
      <w:tr w:rsidR="00DD7D23" w:rsidRPr="00295202" w14:paraId="733009FB"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388C9E7C" w14:textId="77777777" w:rsidR="00DD7D23" w:rsidRPr="00295202" w:rsidRDefault="00DD7D23" w:rsidP="00166B26">
            <w:pPr>
              <w:pStyle w:val="MdTableCell"/>
            </w:pPr>
            <w:r w:rsidRPr="00295202">
              <w:t>Hedonic Pricing</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5A8D890" w14:textId="77777777" w:rsidR="00DD7D23" w:rsidRPr="00295202" w:rsidRDefault="00DD7D23" w:rsidP="00166B26">
            <w:pPr>
              <w:pStyle w:val="MdTableCell"/>
            </w:pPr>
            <w:r w:rsidRPr="00295202">
              <w:t>Revealed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988B3CD" w14:textId="77777777" w:rsidR="00DD7D23" w:rsidRPr="00295202" w:rsidRDefault="00DD7D23" w:rsidP="00166B26">
            <w:pPr>
              <w:pStyle w:val="MdTableCell"/>
            </w:pPr>
            <w:r w:rsidRPr="00295202">
              <w:t>Coast Protect.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C668EBF" w14:textId="77777777" w:rsidR="00DD7D23" w:rsidRPr="00295202" w:rsidRDefault="00DD7D23" w:rsidP="00166B26">
            <w:pPr>
              <w:pStyle w:val="MdTableCell"/>
            </w:pPr>
            <w:r w:rsidRPr="00295202">
              <w:t>Property data, proximity</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57F15F9" w14:textId="77777777" w:rsidR="00DD7D23" w:rsidRPr="00295202" w:rsidRDefault="00DD7D23" w:rsidP="00166B26">
            <w:pPr>
              <w:pStyle w:val="MdTableCell"/>
            </w:pPr>
            <w:r w:rsidRPr="00295202">
              <w:t>Market-based, captures value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7AAA1A" w14:textId="77777777" w:rsidR="00DD7D23" w:rsidRPr="00295202" w:rsidRDefault="00DD7D23" w:rsidP="00166B26">
            <w:pPr>
              <w:pStyle w:val="MdTableCell"/>
            </w:pPr>
            <w:r w:rsidRPr="00295202">
              <w:t>Property markets only, complex</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DC8D93" w14:textId="77777777" w:rsidR="00DD7D23" w:rsidRPr="00295202" w:rsidRDefault="00DD7D23" w:rsidP="00166B26">
            <w:pPr>
              <w:pStyle w:val="MdTableCell"/>
            </w:pPr>
          </w:p>
        </w:tc>
      </w:tr>
      <w:tr w:rsidR="00DD7D23" w:rsidRPr="00295202" w14:paraId="6B538B71"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14FBCA43" w14:textId="77777777" w:rsidR="00DD7D23" w:rsidRPr="00295202" w:rsidRDefault="00DD7D23" w:rsidP="00166B26">
            <w:pPr>
              <w:pStyle w:val="MdTableCell"/>
            </w:pPr>
            <w:r w:rsidRPr="00295202">
              <w:t>Travel Cost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A8B2B5B" w14:textId="77777777" w:rsidR="00DD7D23" w:rsidRPr="00295202" w:rsidRDefault="00DD7D23" w:rsidP="00166B26">
            <w:pPr>
              <w:pStyle w:val="MdTableCell"/>
            </w:pPr>
            <w:r w:rsidRPr="00295202">
              <w:t>Revealed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680B12AE" w14:textId="77777777" w:rsidR="00DD7D23" w:rsidRPr="00295202" w:rsidRDefault="00DD7D23" w:rsidP="00166B26">
            <w:pPr>
              <w:pStyle w:val="MdTableCell"/>
            </w:pPr>
            <w:r w:rsidRPr="00295202">
              <w:t>Recreation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D88823" w14:textId="77777777" w:rsidR="00DD7D23" w:rsidRPr="00295202" w:rsidRDefault="00DD7D23" w:rsidP="00166B26">
            <w:pPr>
              <w:pStyle w:val="MdTableCell"/>
            </w:pPr>
            <w:r w:rsidRPr="00295202">
              <w:t>Travel costs, visitation</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CEB61E9" w14:textId="77777777" w:rsidR="00DD7D23" w:rsidRPr="00295202" w:rsidRDefault="00DD7D23" w:rsidP="00166B26">
            <w:pPr>
              <w:pStyle w:val="MdTableCell"/>
            </w:pPr>
            <w:proofErr w:type="spellStart"/>
            <w:r w:rsidRPr="00295202">
              <w:t>Behavior</w:t>
            </w:r>
            <w:proofErr w:type="spellEnd"/>
            <w:r w:rsidRPr="00295202">
              <w:t>-based, captures value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D17EE27" w14:textId="77777777" w:rsidR="00DD7D23" w:rsidRPr="00295202" w:rsidRDefault="00DD7D23" w:rsidP="00166B26">
            <w:pPr>
              <w:pStyle w:val="MdTableCell"/>
            </w:pPr>
            <w:r w:rsidRPr="00295202">
              <w:t>Data-intensive, non-use blind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5A182515" w14:textId="77777777" w:rsidR="00DD7D23" w:rsidRPr="00295202" w:rsidRDefault="00DD7D23" w:rsidP="00166B26">
            <w:pPr>
              <w:pStyle w:val="MdTableCell"/>
            </w:pPr>
          </w:p>
        </w:tc>
      </w:tr>
      <w:tr w:rsidR="00DD7D23" w:rsidRPr="00295202" w14:paraId="7754AA53"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7F194EB4" w14:textId="77777777" w:rsidR="00DD7D23" w:rsidRPr="00295202" w:rsidRDefault="00DD7D23" w:rsidP="00166B26">
            <w:pPr>
              <w:pStyle w:val="MdTableCell"/>
            </w:pPr>
            <w:r w:rsidRPr="00295202">
              <w:t>Contingent Val.</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8ED5BE3" w14:textId="77777777" w:rsidR="00DD7D23" w:rsidRPr="00295202" w:rsidRDefault="00DD7D23" w:rsidP="00166B26">
            <w:pPr>
              <w:pStyle w:val="MdTableCell"/>
            </w:pPr>
            <w:r w:rsidRPr="00295202">
              <w:t>Stated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4EAB6C2" w14:textId="77777777" w:rsidR="00DD7D23" w:rsidRPr="00295202" w:rsidRDefault="00DD7D23" w:rsidP="00166B26">
            <w:pPr>
              <w:pStyle w:val="MdTableCell"/>
            </w:pPr>
            <w:r w:rsidRPr="00295202">
              <w:t>All (Non-use)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B71F929" w14:textId="77777777" w:rsidR="00DD7D23" w:rsidRPr="00295202" w:rsidRDefault="00DD7D23" w:rsidP="00166B26">
            <w:pPr>
              <w:pStyle w:val="MdTableCell"/>
            </w:pPr>
            <w:r w:rsidRPr="00295202">
              <w:t>Survey (WTP)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E7054B7" w14:textId="77777777" w:rsidR="00DD7D23" w:rsidRPr="00295202" w:rsidRDefault="00DD7D23" w:rsidP="00166B26">
            <w:pPr>
              <w:pStyle w:val="MdTableCell"/>
            </w:pPr>
            <w:r w:rsidRPr="00295202">
              <w:t>Captures non-use, flexible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66EBA83" w14:textId="77777777" w:rsidR="00DD7D23" w:rsidRPr="00295202" w:rsidRDefault="00DD7D23" w:rsidP="00166B26">
            <w:pPr>
              <w:pStyle w:val="MdTableCell"/>
            </w:pPr>
            <w:r w:rsidRPr="00295202">
              <w:t>Hypothetical bias, expensive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0F5F8C1" w14:textId="77777777" w:rsidR="00DD7D23" w:rsidRPr="00295202" w:rsidRDefault="00DD7D23" w:rsidP="00166B26">
            <w:pPr>
              <w:pStyle w:val="MdTableCell"/>
            </w:pPr>
          </w:p>
        </w:tc>
      </w:tr>
      <w:tr w:rsidR="00DD7D23" w:rsidRPr="00295202" w14:paraId="425A6851"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0617246C" w14:textId="77777777" w:rsidR="00DD7D23" w:rsidRPr="00295202" w:rsidRDefault="00DD7D23" w:rsidP="00166B26">
            <w:pPr>
              <w:pStyle w:val="MdTableCell"/>
            </w:pPr>
            <w:r w:rsidRPr="00295202">
              <w:lastRenderedPageBreak/>
              <w:t>Choice Exp.</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0DD0266" w14:textId="77777777" w:rsidR="00DD7D23" w:rsidRPr="00295202" w:rsidRDefault="00DD7D23" w:rsidP="00166B26">
            <w:pPr>
              <w:pStyle w:val="MdTableCell"/>
            </w:pPr>
            <w:r w:rsidRPr="00295202">
              <w:t>Stated Pref.</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B1E19C" w14:textId="77777777" w:rsidR="00DD7D23" w:rsidRPr="00295202" w:rsidRDefault="00DD7D23" w:rsidP="00166B26">
            <w:pPr>
              <w:pStyle w:val="MdTableCell"/>
            </w:pPr>
            <w:r w:rsidRPr="00295202">
              <w:t>Multiple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82926B7" w14:textId="77777777" w:rsidR="00DD7D23" w:rsidRPr="00295202" w:rsidRDefault="00DD7D23" w:rsidP="00166B26">
            <w:pPr>
              <w:pStyle w:val="MdTableCell"/>
            </w:pPr>
            <w:r w:rsidRPr="00295202">
              <w:t>Survey (choices)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DBF1CDD" w14:textId="77777777" w:rsidR="00DD7D23" w:rsidRPr="00295202" w:rsidRDefault="00DD7D23" w:rsidP="00166B26">
            <w:pPr>
              <w:pStyle w:val="MdTableCell"/>
            </w:pPr>
            <w:r w:rsidRPr="00295202">
              <w:t>Multi-attribute, less bias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47C310B8" w14:textId="77777777" w:rsidR="00DD7D23" w:rsidRPr="00295202" w:rsidRDefault="00DD7D23" w:rsidP="00166B26">
            <w:pPr>
              <w:pStyle w:val="MdTableCell"/>
            </w:pPr>
            <w:r w:rsidRPr="00295202">
              <w:t>Complex design, expensive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216532CB" w14:textId="77777777" w:rsidR="00DD7D23" w:rsidRPr="00295202" w:rsidRDefault="00DD7D23" w:rsidP="00166B26">
            <w:pPr>
              <w:pStyle w:val="MdTableCell"/>
            </w:pPr>
          </w:p>
        </w:tc>
      </w:tr>
      <w:tr w:rsidR="00DD7D23" w:rsidRPr="00295202" w14:paraId="1F4AD944" w14:textId="77777777" w:rsidTr="00166B26">
        <w:trPr>
          <w:cantSplit/>
          <w:trHeight w:val="576"/>
        </w:trPr>
        <w:tc>
          <w:tcPr>
            <w:tcW w:w="0" w:type="auto"/>
            <w:tcBorders>
              <w:top w:val="single" w:sz="4" w:space="0" w:color="auto"/>
              <w:bottom w:val="single" w:sz="4" w:space="0" w:color="auto"/>
            </w:tcBorders>
            <w:tcMar>
              <w:top w:w="80" w:type="dxa"/>
              <w:left w:w="120" w:type="dxa"/>
              <w:bottom w:w="80" w:type="dxa"/>
              <w:right w:w="120" w:type="dxa"/>
            </w:tcMar>
            <w:vAlign w:val="center"/>
          </w:tcPr>
          <w:p w14:paraId="2160CBB6" w14:textId="77777777" w:rsidR="00DD7D23" w:rsidRPr="00295202" w:rsidRDefault="00DD7D23" w:rsidP="00166B26">
            <w:pPr>
              <w:pStyle w:val="MdTableCell"/>
            </w:pPr>
            <w:r w:rsidRPr="00295202">
              <w:t>Benefits Transfer</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973C841" w14:textId="77777777" w:rsidR="00DD7D23" w:rsidRPr="00295202" w:rsidRDefault="00DD7D23" w:rsidP="00166B26">
            <w:pPr>
              <w:pStyle w:val="MdTableCell"/>
            </w:pPr>
            <w:r w:rsidRPr="00295202">
              <w:t>Non-Market</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09D635DD" w14:textId="77777777" w:rsidR="00DD7D23" w:rsidRPr="00295202" w:rsidRDefault="00DD7D23" w:rsidP="00166B26">
            <w:pPr>
              <w:pStyle w:val="MdTableCell"/>
            </w:pPr>
            <w:r w:rsidRPr="00295202">
              <w:t>Multiple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9DD275D" w14:textId="77777777" w:rsidR="00DD7D23" w:rsidRPr="00295202" w:rsidRDefault="00DD7D23" w:rsidP="00166B26">
            <w:pPr>
              <w:pStyle w:val="MdTableCell"/>
            </w:pPr>
            <w:r w:rsidRPr="00295202">
              <w:t>Data from similar sites</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343C10F3" w14:textId="77777777" w:rsidR="00DD7D23" w:rsidRPr="00295202" w:rsidRDefault="00DD7D23" w:rsidP="00166B26">
            <w:pPr>
              <w:pStyle w:val="MdTableCell"/>
            </w:pPr>
            <w:r w:rsidRPr="00295202">
              <w:t>Cost-effective, rapid</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7F62FEFC" w14:textId="77777777" w:rsidR="00DD7D23" w:rsidRPr="00295202" w:rsidRDefault="00DD7D23" w:rsidP="00166B26">
            <w:pPr>
              <w:pStyle w:val="MdTableCell"/>
            </w:pPr>
            <w:r w:rsidRPr="00295202">
              <w:t>Transferability issues, less accurate</w:t>
            </w:r>
          </w:p>
        </w:tc>
        <w:tc>
          <w:tcPr>
            <w:tcW w:w="0" w:type="auto"/>
            <w:tcBorders>
              <w:top w:val="single" w:sz="4" w:space="0" w:color="auto"/>
              <w:bottom w:val="single" w:sz="4" w:space="0" w:color="auto"/>
            </w:tcBorders>
            <w:tcMar>
              <w:top w:w="80" w:type="dxa"/>
              <w:left w:w="120" w:type="dxa"/>
              <w:bottom w:w="80" w:type="dxa"/>
              <w:right w:w="120" w:type="dxa"/>
            </w:tcMar>
            <w:vAlign w:val="center"/>
          </w:tcPr>
          <w:p w14:paraId="13DCF90B" w14:textId="77777777" w:rsidR="00DD7D23" w:rsidRPr="00295202" w:rsidRDefault="00DD7D23" w:rsidP="00166B26">
            <w:pPr>
              <w:pStyle w:val="MdTableCell"/>
            </w:pPr>
          </w:p>
        </w:tc>
      </w:tr>
    </w:tbl>
    <w:p w14:paraId="157DB702" w14:textId="7DBC0AAC" w:rsidR="004E5A45" w:rsidRPr="00C11DF7" w:rsidRDefault="00DD7D23" w:rsidP="00C11DF7">
      <w:pPr>
        <w:pStyle w:val="MdListItem"/>
        <w:ind w:left="0" w:firstLine="0"/>
        <w:rPr>
          <w:b/>
          <w:sz w:val="16"/>
          <w:szCs w:val="16"/>
        </w:rPr>
      </w:pPr>
      <w:r w:rsidRPr="00C11DF7">
        <w:rPr>
          <w:rStyle w:val="MdStrong"/>
          <w:b w:val="0"/>
          <w:sz w:val="16"/>
          <w:szCs w:val="16"/>
        </w:rPr>
        <w:t>WTP:</w:t>
      </w:r>
      <w:r w:rsidRPr="00C11DF7">
        <w:rPr>
          <w:b/>
          <w:sz w:val="16"/>
          <w:szCs w:val="16"/>
        </w:rPr>
        <w:t xml:space="preserve"> Willingness-to-Pay </w:t>
      </w:r>
      <w:r w:rsidRPr="00C11DF7">
        <w:rPr>
          <w:rStyle w:val="MdStrong"/>
          <w:b w:val="0"/>
          <w:sz w:val="16"/>
          <w:szCs w:val="16"/>
        </w:rPr>
        <w:t>C-stock:</w:t>
      </w:r>
      <w:r w:rsidRPr="00C11DF7">
        <w:rPr>
          <w:b/>
          <w:sz w:val="16"/>
          <w:szCs w:val="16"/>
        </w:rPr>
        <w:t xml:space="preserve"> Carbon Stock </w:t>
      </w:r>
      <w:r w:rsidR="003E1ABA" w:rsidRPr="00C11DF7">
        <w:rPr>
          <w:b/>
          <w:sz w:val="16"/>
          <w:szCs w:val="16"/>
        </w:rPr>
        <w:t>2.2.2. Stated Preference Methods</w:t>
      </w:r>
      <w:r w:rsidR="00C11DF7" w:rsidRPr="00C11DF7">
        <w:rPr>
          <w:sz w:val="16"/>
          <w:szCs w:val="16"/>
        </w:rPr>
        <w:t xml:space="preserve"> </w:t>
      </w:r>
      <w:r w:rsidR="00C11DF7" w:rsidRPr="00C11DF7">
        <w:rPr>
          <w:b/>
          <w:sz w:val="16"/>
          <w:szCs w:val="16"/>
        </w:rPr>
        <w:t xml:space="preserve">Ref- </w:t>
      </w:r>
      <w:proofErr w:type="spellStart"/>
      <w:r w:rsidR="00C11DF7" w:rsidRPr="00C11DF7">
        <w:rPr>
          <w:b/>
          <w:sz w:val="16"/>
          <w:szCs w:val="16"/>
        </w:rPr>
        <w:t>Perera</w:t>
      </w:r>
      <w:proofErr w:type="spellEnd"/>
      <w:r w:rsidR="00C11DF7" w:rsidRPr="00C11DF7">
        <w:rPr>
          <w:b/>
          <w:sz w:val="16"/>
          <w:szCs w:val="16"/>
        </w:rPr>
        <w:t xml:space="preserve"> et al., 2025; Farahmand et al., 2025; Hamza et al., 2024; Gardner 2021 Carson, 2012</w:t>
      </w:r>
    </w:p>
    <w:p w14:paraId="12E28F23" w14:textId="77777777" w:rsidR="001F0C7E" w:rsidRDefault="001F0C7E" w:rsidP="00DD7D23">
      <w:pPr>
        <w:pStyle w:val="MdListItem"/>
        <w:ind w:left="0" w:firstLine="0"/>
        <w:jc w:val="both"/>
        <w:rPr>
          <w:b/>
        </w:rPr>
      </w:pPr>
    </w:p>
    <w:p w14:paraId="1899E92A" w14:textId="77777777" w:rsidR="00315A5C" w:rsidRPr="004D0947" w:rsidRDefault="001F0C7E" w:rsidP="00DD7D23">
      <w:pPr>
        <w:pStyle w:val="MdListItem"/>
        <w:ind w:left="0" w:firstLine="0"/>
        <w:jc w:val="both"/>
        <w:rPr>
          <w:rFonts w:ascii="Arial" w:hAnsi="Arial" w:cs="Arial"/>
          <w:b/>
        </w:rPr>
      </w:pPr>
      <w:r w:rsidRPr="004D0947">
        <w:rPr>
          <w:rFonts w:ascii="Arial" w:hAnsi="Arial" w:cs="Arial"/>
          <w:b/>
        </w:rPr>
        <w:t>3.2.2 Stated preference methods</w:t>
      </w:r>
    </w:p>
    <w:p w14:paraId="6392B39E" w14:textId="77777777" w:rsidR="001F0C7E" w:rsidRPr="004D0947" w:rsidRDefault="001F0C7E" w:rsidP="00DD7D23">
      <w:pPr>
        <w:pStyle w:val="MdListItem"/>
        <w:ind w:left="0" w:firstLine="0"/>
        <w:jc w:val="both"/>
        <w:rPr>
          <w:rFonts w:ascii="Arial" w:hAnsi="Arial" w:cs="Arial"/>
          <w:b/>
        </w:rPr>
      </w:pPr>
    </w:p>
    <w:p w14:paraId="0E01998E" w14:textId="1D7AAFE4" w:rsidR="001F0C7E" w:rsidRDefault="001F0C7E" w:rsidP="001F0C7E">
      <w:pPr>
        <w:pStyle w:val="MdListItem"/>
        <w:spacing w:line="360" w:lineRule="auto"/>
        <w:ind w:left="0" w:firstLine="720"/>
        <w:jc w:val="both"/>
      </w:pPr>
      <w:r w:rsidRPr="001F0C7E">
        <w:t>Stated preference methods are based on surveys asking people directly how much they would be willing to pay for environmental goods and services.</w:t>
      </w:r>
      <w:r w:rsidR="002741B3" w:rsidRPr="002741B3">
        <w:t xml:space="preserve"> The Contingent Valuation Method (CVM) presents people with a hypothetical situation. They are then asked how much money they would be willing to pay to preserve or restore a blue carbon ecosystem.</w:t>
      </w:r>
      <w:r w:rsidRPr="001F0C7E">
        <w:t xml:space="preserve"> (Carson, 2012). Choice experiment, a more advanced stated preference method, takes respondents through a series of alternative management scenarios with different attributes and cost and asks them which option they would prefer (Owuor et al., 2019). These approaches are particularly relevant for estimating non-use values of blue carbon ecosystems including existence value (the value society places on the ecosystem existing even if they never visit it) or bequest value (the benefit people derive from preserving an ecosystem for future generations) (Doolan &amp; Hynes, 2023). However, these approaches are often criticized on the basis of being hypothetical and subject to biases such as hypothetical bias or strategic bias (Hausman, 2012)</w:t>
      </w:r>
    </w:p>
    <w:p w14:paraId="6E6C984D" w14:textId="77777777" w:rsidR="004E5A45" w:rsidRPr="004D0947" w:rsidRDefault="007F5727" w:rsidP="00315A5C">
      <w:pPr>
        <w:pStyle w:val="MdListItem"/>
        <w:spacing w:line="360" w:lineRule="auto"/>
        <w:ind w:left="0" w:firstLine="0"/>
        <w:jc w:val="both"/>
        <w:rPr>
          <w:rFonts w:ascii="Arial" w:hAnsi="Arial" w:cs="Arial"/>
          <w:b/>
        </w:rPr>
      </w:pPr>
      <w:r w:rsidRPr="004D0947">
        <w:rPr>
          <w:rFonts w:ascii="Arial" w:hAnsi="Arial" w:cs="Arial"/>
          <w:b/>
        </w:rPr>
        <w:t>3</w:t>
      </w:r>
      <w:r w:rsidR="003E1ABA" w:rsidRPr="004D0947">
        <w:rPr>
          <w:rFonts w:ascii="Arial" w:hAnsi="Arial" w:cs="Arial"/>
          <w:b/>
        </w:rPr>
        <w:t>.3. Valuing the Co-Benefits</w:t>
      </w:r>
    </w:p>
    <w:p w14:paraId="571BB942" w14:textId="77777777" w:rsidR="004E5A45" w:rsidRPr="00917D0A" w:rsidRDefault="002C6635" w:rsidP="002C6635">
      <w:pPr>
        <w:pStyle w:val="MdSpace"/>
        <w:spacing w:after="60" w:line="360" w:lineRule="auto"/>
        <w:ind w:firstLine="360"/>
        <w:jc w:val="both"/>
        <w:rPr>
          <w:sz w:val="24"/>
          <w:szCs w:val="24"/>
        </w:rPr>
      </w:pPr>
      <w:r w:rsidRPr="002C6635">
        <w:rPr>
          <w:sz w:val="24"/>
          <w:szCs w:val="24"/>
        </w:rPr>
        <w:t>True economic valuation of blue carbon ecosystems that goes beyond carbon sequestration alone to include the entire array of co-benefits they offer. These co-benefits are sometimes the primary incentive for local communities to undertake conservation and restoration activities. This would surely matter for the valuation of these co-benefits, because establishing a comprehensive economic value of blue carbon ecosystems will help us build a stronger case for their conservation. Key co-benefits include:</w:t>
      </w:r>
    </w:p>
    <w:p w14:paraId="5D9EF968" w14:textId="77777777" w:rsidR="004E5A45" w:rsidRPr="00917D0A" w:rsidRDefault="003E1ABA" w:rsidP="0032433E">
      <w:pPr>
        <w:pStyle w:val="MdListItem"/>
        <w:numPr>
          <w:ilvl w:val="0"/>
          <w:numId w:val="2"/>
        </w:numPr>
        <w:spacing w:line="360" w:lineRule="auto"/>
        <w:jc w:val="both"/>
      </w:pPr>
      <w:r w:rsidRPr="00917D0A">
        <w:rPr>
          <w:rStyle w:val="MdStrong"/>
        </w:rPr>
        <w:t>Coastal Protection:</w:t>
      </w:r>
      <w:r w:rsidRPr="00917D0A">
        <w:t xml:space="preserve"> Mangroves, salt marshes, and seagrass beds act as natural barriers that dissipate wave energy and reduce the impacts of storm surges and coastal erosion, thereby protecting coastal communities and in</w:t>
      </w:r>
      <w:r w:rsidR="00315A5C" w:rsidRPr="00917D0A">
        <w:t>frastructure (</w:t>
      </w:r>
      <w:r w:rsidR="0032433E" w:rsidRPr="00917D0A">
        <w:t>Jayson-</w:t>
      </w:r>
      <w:proofErr w:type="spellStart"/>
      <w:r w:rsidR="0032433E" w:rsidRPr="00917D0A">
        <w:t>Quashigah</w:t>
      </w:r>
      <w:proofErr w:type="spellEnd"/>
      <w:r w:rsidR="0032433E" w:rsidRPr="00917D0A">
        <w:t xml:space="preserve"> </w:t>
      </w:r>
      <w:proofErr w:type="spellStart"/>
      <w:r w:rsidR="0032433E" w:rsidRPr="00917D0A">
        <w:t>etal</w:t>
      </w:r>
      <w:proofErr w:type="spellEnd"/>
      <w:r w:rsidR="0032433E" w:rsidRPr="00917D0A">
        <w:t xml:space="preserve">., 2025; </w:t>
      </w:r>
      <w:r w:rsidR="00315A5C" w:rsidRPr="00917D0A">
        <w:t>Temmerman et al., 2013</w:t>
      </w:r>
      <w:r w:rsidRPr="00917D0A">
        <w:t>).</w:t>
      </w:r>
    </w:p>
    <w:p w14:paraId="36D30238" w14:textId="77777777" w:rsidR="004E5A45" w:rsidRPr="00917D0A" w:rsidRDefault="003E1ABA" w:rsidP="0032433E">
      <w:pPr>
        <w:pStyle w:val="MdListItem"/>
        <w:numPr>
          <w:ilvl w:val="0"/>
          <w:numId w:val="2"/>
        </w:numPr>
        <w:spacing w:line="360" w:lineRule="auto"/>
        <w:jc w:val="both"/>
      </w:pPr>
      <w:r w:rsidRPr="00917D0A">
        <w:rPr>
          <w:rStyle w:val="MdStrong"/>
        </w:rPr>
        <w:lastRenderedPageBreak/>
        <w:t>Biodiversity Conservation:</w:t>
      </w:r>
      <w:r w:rsidRPr="00917D0A">
        <w:t xml:space="preserve"> These ecosystems provide critical habitats for a wide array of marine and terrestrial species, many of which are endangered or commercially im</w:t>
      </w:r>
      <w:r w:rsidR="00315A5C" w:rsidRPr="00917D0A">
        <w:t>portant (</w:t>
      </w:r>
      <w:r w:rsidR="0032433E" w:rsidRPr="00917D0A">
        <w:t>Lovelock &amp; Duarte 2025; Macreadie et al., 2021</w:t>
      </w:r>
      <w:r w:rsidRPr="00917D0A">
        <w:t>).</w:t>
      </w:r>
    </w:p>
    <w:p w14:paraId="5808E659" w14:textId="77777777" w:rsidR="004E5A45" w:rsidRPr="00917D0A" w:rsidRDefault="003E1ABA" w:rsidP="0032433E">
      <w:pPr>
        <w:pStyle w:val="MdListItem"/>
        <w:numPr>
          <w:ilvl w:val="0"/>
          <w:numId w:val="2"/>
        </w:numPr>
        <w:spacing w:line="360" w:lineRule="auto"/>
        <w:jc w:val="both"/>
      </w:pPr>
      <w:r w:rsidRPr="00917D0A">
        <w:rPr>
          <w:rStyle w:val="MdStrong"/>
        </w:rPr>
        <w:t>Fisheries Enhancement:</w:t>
      </w:r>
      <w:r w:rsidRPr="00917D0A">
        <w:t xml:space="preserve"> Blue carbon ecosystems serve as vital nursery and breeding grounds for numerous fish and invertebrate species, supporting both commercial and subsistence fisheri</w:t>
      </w:r>
      <w:r w:rsidR="0032433E" w:rsidRPr="00917D0A">
        <w:t>es (Heimhuber et al., 2024</w:t>
      </w:r>
      <w:r w:rsidRPr="00917D0A">
        <w:t>).</w:t>
      </w:r>
    </w:p>
    <w:p w14:paraId="6879D386" w14:textId="77777777" w:rsidR="004E5A45" w:rsidRPr="004D0947" w:rsidRDefault="003E1ABA" w:rsidP="0032433E">
      <w:pPr>
        <w:pStyle w:val="MdListItem"/>
        <w:numPr>
          <w:ilvl w:val="0"/>
          <w:numId w:val="2"/>
        </w:numPr>
        <w:spacing w:line="360" w:lineRule="auto"/>
        <w:jc w:val="both"/>
      </w:pPr>
      <w:r w:rsidRPr="00917D0A">
        <w:rPr>
          <w:rStyle w:val="MdStrong"/>
        </w:rPr>
        <w:t>Water Quality Improvement:</w:t>
      </w:r>
      <w:r w:rsidRPr="00917D0A">
        <w:t xml:space="preserve"> They play a crucial role in filtering pollutants, trapping sediments, and cycling nutrients, thereby maintaining</w:t>
      </w:r>
      <w:r w:rsidR="0032433E" w:rsidRPr="00917D0A">
        <w:t xml:space="preserve"> water quality in coastal zones (Pacifico et al., 2024)</w:t>
      </w:r>
    </w:p>
    <w:p w14:paraId="24B4AACD"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4. CHALLENGES IN THE ECONOMIC VALUATION OF BLUE CARBON</w:t>
      </w:r>
    </w:p>
    <w:p w14:paraId="42093C43" w14:textId="77777777" w:rsidR="00D40E11" w:rsidRPr="00D40E11" w:rsidRDefault="00D40E11" w:rsidP="00D40E11">
      <w:pPr>
        <w:pStyle w:val="MdHeading2"/>
        <w:spacing w:line="360" w:lineRule="auto"/>
        <w:ind w:firstLine="720"/>
        <w:jc w:val="both"/>
        <w:rPr>
          <w:b w:val="0"/>
          <w:sz w:val="24"/>
          <w:szCs w:val="24"/>
        </w:rPr>
      </w:pPr>
      <w:r w:rsidRPr="00D40E11">
        <w:rPr>
          <w:b w:val="0"/>
          <w:sz w:val="24"/>
          <w:szCs w:val="24"/>
        </w:rPr>
        <w:t>While their significant role in climate mitigation is becoming more appreciated, monetizing blue carbon ecosystems faces many challenges. Such challenges are scientific, methodological, market, and governance related and must be addressed to harness the full potential of blue carbon financing/conservation. Many blue carbon challenges need to be well understood when designing impactful policies and for establishing high-integrity and credible blue carbon projects.</w:t>
      </w:r>
    </w:p>
    <w:p w14:paraId="77599C3F"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.1. Scientific and Methodological Hurdles</w:t>
      </w:r>
    </w:p>
    <w:p w14:paraId="43CC08C9" w14:textId="77777777" w:rsidR="00D40E11" w:rsidRDefault="00D40E11" w:rsidP="00D40E11">
      <w:pPr>
        <w:pStyle w:val="MdSpace"/>
        <w:spacing w:after="60" w:line="360" w:lineRule="auto"/>
        <w:ind w:firstLine="720"/>
        <w:jc w:val="both"/>
        <w:rPr>
          <w:sz w:val="24"/>
          <w:szCs w:val="24"/>
        </w:rPr>
      </w:pPr>
      <w:r w:rsidRPr="00D40E11">
        <w:rPr>
          <w:sz w:val="24"/>
          <w:szCs w:val="24"/>
        </w:rPr>
        <w:t xml:space="preserve">The foremost of these challenges lies with the scientific and methodological difficulties associated with valuing complex and dynamic coastal ecosystems. The kind of environmental data needed to derive accurate and credible estimates of blue carbon ecosystems' economic value is difficult to obtain; this uncertainty can undermine investor and </w:t>
      </w:r>
      <w:r w:rsidR="00E179F0" w:rsidRPr="00D40E11">
        <w:rPr>
          <w:sz w:val="24"/>
          <w:szCs w:val="24"/>
        </w:rPr>
        <w:t>policymaker’s</w:t>
      </w:r>
      <w:r w:rsidRPr="00D40E11">
        <w:rPr>
          <w:sz w:val="24"/>
          <w:szCs w:val="24"/>
        </w:rPr>
        <w:t xml:space="preserve"> confidence.</w:t>
      </w:r>
    </w:p>
    <w:p w14:paraId="0579D014" w14:textId="77777777" w:rsidR="00D40E11" w:rsidRDefault="00D40E11" w:rsidP="00114534">
      <w:pPr>
        <w:pStyle w:val="MdSpace"/>
        <w:spacing w:after="60"/>
        <w:jc w:val="center"/>
        <w:rPr>
          <w:sz w:val="24"/>
          <w:szCs w:val="24"/>
        </w:rPr>
      </w:pPr>
    </w:p>
    <w:p w14:paraId="2D304690" w14:textId="77777777" w:rsidR="00114534" w:rsidRPr="00917D0A" w:rsidRDefault="00114534" w:rsidP="00114534">
      <w:pPr>
        <w:pStyle w:val="MdSpace"/>
        <w:spacing w:after="60"/>
        <w:jc w:val="center"/>
        <w:rPr>
          <w:sz w:val="24"/>
          <w:szCs w:val="24"/>
        </w:rPr>
      </w:pPr>
      <w:r w:rsidRPr="00917D0A">
        <w:rPr>
          <w:sz w:val="24"/>
          <w:szCs w:val="24"/>
        </w:rPr>
        <w:t>T</w:t>
      </w:r>
      <w:r w:rsidR="00AE6E55" w:rsidRPr="00917D0A">
        <w:rPr>
          <w:sz w:val="24"/>
          <w:szCs w:val="24"/>
        </w:rPr>
        <w:t xml:space="preserve">able </w:t>
      </w:r>
      <w:proofErr w:type="gramStart"/>
      <w:r w:rsidR="00AE6E55" w:rsidRPr="00917D0A">
        <w:rPr>
          <w:sz w:val="24"/>
          <w:szCs w:val="24"/>
        </w:rPr>
        <w:t xml:space="preserve">2 </w:t>
      </w:r>
      <w:r w:rsidRPr="00917D0A">
        <w:rPr>
          <w:sz w:val="24"/>
          <w:szCs w:val="24"/>
        </w:rPr>
        <w:t>:</w:t>
      </w:r>
      <w:proofErr w:type="gramEnd"/>
      <w:r w:rsidRPr="00917D0A">
        <w:rPr>
          <w:sz w:val="24"/>
          <w:szCs w:val="24"/>
        </w:rPr>
        <w:t xml:space="preserve"> Global Blue Carbon Ecosystem Characteristics and Valuation Data</w:t>
      </w:r>
    </w:p>
    <w:tbl>
      <w:tblPr>
        <w:tblW w:w="5006" w:type="pct"/>
        <w:tblInd w:w="-10" w:type="dxa"/>
        <w:tblBorders>
          <w:top w:val="single" w:sz="4" w:space="0" w:color="E1E4E8"/>
          <w:bottom w:val="single" w:sz="4" w:space="0" w:color="E1E4E8"/>
          <w:insideH w:val="single" w:sz="2" w:space="0" w:color="E1E4E8"/>
          <w:insideV w:val="single" w:sz="2" w:space="0" w:color="F6F8FA"/>
        </w:tblBorders>
        <w:tblLayout w:type="fixed"/>
        <w:tblCellMar>
          <w:left w:w="10" w:type="dxa"/>
          <w:right w:w="10" w:type="dxa"/>
        </w:tblCellMar>
        <w:tblLook w:val="04A0" w:firstRow="1" w:lastRow="0" w:firstColumn="1" w:lastColumn="0" w:noHBand="0" w:noVBand="1"/>
      </w:tblPr>
      <w:tblGrid>
        <w:gridCol w:w="1307"/>
        <w:gridCol w:w="971"/>
        <w:gridCol w:w="863"/>
        <w:gridCol w:w="555"/>
        <w:gridCol w:w="709"/>
        <w:gridCol w:w="1134"/>
        <w:gridCol w:w="1275"/>
        <w:gridCol w:w="993"/>
        <w:gridCol w:w="1230"/>
      </w:tblGrid>
      <w:tr w:rsidR="00114534" w:rsidRPr="001F0C7E" w14:paraId="14CA91F9" w14:textId="77777777" w:rsidTr="001F0C7E">
        <w:trPr>
          <w:cantSplit/>
          <w:trHeight w:val="720"/>
          <w:tblHeader/>
        </w:trPr>
        <w:tc>
          <w:tcPr>
            <w:tcW w:w="1307" w:type="dxa"/>
            <w:tcBorders>
              <w:top w:val="single" w:sz="4" w:space="0" w:color="auto"/>
              <w:bottom w:val="single" w:sz="4" w:space="0" w:color="auto"/>
            </w:tcBorders>
            <w:tcMar>
              <w:top w:w="100" w:type="dxa"/>
              <w:left w:w="120" w:type="dxa"/>
              <w:bottom w:w="100" w:type="dxa"/>
              <w:right w:w="120" w:type="dxa"/>
            </w:tcMar>
            <w:vAlign w:val="center"/>
          </w:tcPr>
          <w:p w14:paraId="300FDE1A" w14:textId="77777777" w:rsidR="00114534" w:rsidRPr="001F0C7E" w:rsidRDefault="00114534" w:rsidP="00166B26">
            <w:pPr>
              <w:pStyle w:val="MdTableHeader"/>
              <w:rPr>
                <w:sz w:val="20"/>
                <w:szCs w:val="20"/>
              </w:rPr>
            </w:pPr>
            <w:r w:rsidRPr="001F0C7E">
              <w:rPr>
                <w:sz w:val="20"/>
                <w:szCs w:val="20"/>
              </w:rPr>
              <w:t>Ecosystem</w:t>
            </w:r>
          </w:p>
        </w:tc>
        <w:tc>
          <w:tcPr>
            <w:tcW w:w="971" w:type="dxa"/>
            <w:tcBorders>
              <w:top w:val="single" w:sz="4" w:space="0" w:color="auto"/>
              <w:bottom w:val="single" w:sz="4" w:space="0" w:color="auto"/>
            </w:tcBorders>
            <w:tcMar>
              <w:top w:w="100" w:type="dxa"/>
              <w:left w:w="120" w:type="dxa"/>
              <w:bottom w:w="100" w:type="dxa"/>
              <w:right w:w="120" w:type="dxa"/>
            </w:tcMar>
            <w:vAlign w:val="center"/>
          </w:tcPr>
          <w:p w14:paraId="6BC8527A" w14:textId="77777777" w:rsidR="00114534" w:rsidRPr="001F0C7E" w:rsidRDefault="00114534" w:rsidP="00166B26">
            <w:pPr>
              <w:pStyle w:val="MdTableHeader"/>
              <w:rPr>
                <w:sz w:val="20"/>
                <w:szCs w:val="20"/>
              </w:rPr>
            </w:pPr>
            <w:r w:rsidRPr="001F0C7E">
              <w:rPr>
                <w:sz w:val="20"/>
                <w:szCs w:val="20"/>
              </w:rPr>
              <w:t>Area (</w:t>
            </w:r>
            <w:proofErr w:type="spellStart"/>
            <w:r w:rsidRPr="001F0C7E">
              <w:rPr>
                <w:sz w:val="20"/>
                <w:szCs w:val="20"/>
              </w:rPr>
              <w:t>Mha</w:t>
            </w:r>
            <w:proofErr w:type="spellEnd"/>
            <w:r w:rsidRPr="001F0C7E">
              <w:rPr>
                <w:sz w:val="20"/>
                <w:szCs w:val="20"/>
              </w:rPr>
              <w:t>)</w:t>
            </w:r>
          </w:p>
        </w:tc>
        <w:tc>
          <w:tcPr>
            <w:tcW w:w="1418" w:type="dxa"/>
            <w:gridSpan w:val="2"/>
            <w:tcBorders>
              <w:top w:val="single" w:sz="4" w:space="0" w:color="auto"/>
              <w:bottom w:val="single" w:sz="4" w:space="0" w:color="auto"/>
            </w:tcBorders>
            <w:tcMar>
              <w:top w:w="100" w:type="dxa"/>
              <w:left w:w="120" w:type="dxa"/>
              <w:bottom w:w="100" w:type="dxa"/>
              <w:right w:w="120" w:type="dxa"/>
            </w:tcMar>
            <w:vAlign w:val="center"/>
          </w:tcPr>
          <w:p w14:paraId="7F10F3A6" w14:textId="77777777" w:rsidR="00114534" w:rsidRPr="001F0C7E" w:rsidRDefault="00114534" w:rsidP="00166B26">
            <w:pPr>
              <w:pStyle w:val="MdTableHeader"/>
              <w:rPr>
                <w:sz w:val="20"/>
                <w:szCs w:val="20"/>
              </w:rPr>
            </w:pPr>
            <w:r w:rsidRPr="001F0C7E">
              <w:rPr>
                <w:sz w:val="20"/>
                <w:szCs w:val="20"/>
              </w:rPr>
              <w:t>C-Rate (gCm⁻² yr⁻¹)</w:t>
            </w:r>
          </w:p>
        </w:tc>
        <w:tc>
          <w:tcPr>
            <w:tcW w:w="709" w:type="dxa"/>
            <w:tcBorders>
              <w:top w:val="single" w:sz="4" w:space="0" w:color="auto"/>
              <w:bottom w:val="single" w:sz="4" w:space="0" w:color="auto"/>
            </w:tcBorders>
            <w:tcMar>
              <w:top w:w="100" w:type="dxa"/>
              <w:left w:w="120" w:type="dxa"/>
              <w:bottom w:w="100" w:type="dxa"/>
              <w:right w:w="120" w:type="dxa"/>
            </w:tcMar>
            <w:vAlign w:val="center"/>
          </w:tcPr>
          <w:p w14:paraId="486025B5" w14:textId="77777777" w:rsidR="00114534" w:rsidRPr="001F0C7E" w:rsidRDefault="00114534" w:rsidP="00166B26">
            <w:pPr>
              <w:pStyle w:val="MdTableHeader"/>
              <w:rPr>
                <w:sz w:val="20"/>
                <w:szCs w:val="20"/>
              </w:rPr>
            </w:pPr>
            <w:r w:rsidRPr="001F0C7E">
              <w:rPr>
                <w:sz w:val="20"/>
                <w:szCs w:val="20"/>
              </w:rPr>
              <w:t>C-</w:t>
            </w:r>
            <w:proofErr w:type="spellStart"/>
            <w:r w:rsidRPr="001F0C7E">
              <w:rPr>
                <w:sz w:val="20"/>
                <w:szCs w:val="20"/>
              </w:rPr>
              <w:t>Seq</w:t>
            </w:r>
            <w:proofErr w:type="spellEnd"/>
            <w:r w:rsidRPr="001F0C7E">
              <w:rPr>
                <w:sz w:val="20"/>
                <w:szCs w:val="20"/>
              </w:rPr>
              <w:t xml:space="preserve"> (</w:t>
            </w:r>
            <w:proofErr w:type="spellStart"/>
            <w:r w:rsidRPr="001F0C7E">
              <w:rPr>
                <w:sz w:val="20"/>
                <w:szCs w:val="20"/>
              </w:rPr>
              <w:t>MtC</w:t>
            </w:r>
            <w:proofErr w:type="spellEnd"/>
            <w:r w:rsidRPr="001F0C7E">
              <w:rPr>
                <w:sz w:val="20"/>
                <w:szCs w:val="20"/>
              </w:rPr>
              <w:t xml:space="preserve"> yr⁻¹)</w:t>
            </w:r>
          </w:p>
        </w:tc>
        <w:tc>
          <w:tcPr>
            <w:tcW w:w="1134" w:type="dxa"/>
            <w:tcBorders>
              <w:top w:val="single" w:sz="4" w:space="0" w:color="auto"/>
              <w:bottom w:val="single" w:sz="4" w:space="0" w:color="auto"/>
            </w:tcBorders>
            <w:tcMar>
              <w:top w:w="100" w:type="dxa"/>
              <w:left w:w="120" w:type="dxa"/>
              <w:bottom w:w="100" w:type="dxa"/>
              <w:right w:w="120" w:type="dxa"/>
            </w:tcMar>
            <w:vAlign w:val="center"/>
          </w:tcPr>
          <w:p w14:paraId="2B937B14" w14:textId="77777777" w:rsidR="00114534" w:rsidRPr="001F0C7E" w:rsidRDefault="00114534" w:rsidP="00166B26">
            <w:pPr>
              <w:pStyle w:val="MdTableHeader"/>
              <w:rPr>
                <w:sz w:val="20"/>
                <w:szCs w:val="20"/>
              </w:rPr>
            </w:pPr>
            <w:r w:rsidRPr="001F0C7E">
              <w:rPr>
                <w:sz w:val="20"/>
                <w:szCs w:val="20"/>
              </w:rPr>
              <w:t>Price (USD)</w:t>
            </w:r>
          </w:p>
        </w:tc>
        <w:tc>
          <w:tcPr>
            <w:tcW w:w="1275" w:type="dxa"/>
            <w:tcBorders>
              <w:top w:val="single" w:sz="4" w:space="0" w:color="auto"/>
              <w:bottom w:val="single" w:sz="4" w:space="0" w:color="auto"/>
            </w:tcBorders>
            <w:tcMar>
              <w:top w:w="100" w:type="dxa"/>
              <w:left w:w="120" w:type="dxa"/>
              <w:bottom w:w="100" w:type="dxa"/>
              <w:right w:w="120" w:type="dxa"/>
            </w:tcMar>
            <w:vAlign w:val="center"/>
          </w:tcPr>
          <w:p w14:paraId="53E57E70" w14:textId="77777777" w:rsidR="00114534" w:rsidRPr="001F0C7E" w:rsidRDefault="00114534" w:rsidP="00166B26">
            <w:pPr>
              <w:pStyle w:val="MdTableHeader"/>
              <w:rPr>
                <w:sz w:val="20"/>
                <w:szCs w:val="20"/>
              </w:rPr>
            </w:pPr>
            <w:r w:rsidRPr="001F0C7E">
              <w:rPr>
                <w:sz w:val="20"/>
                <w:szCs w:val="20"/>
              </w:rPr>
              <w:t>Value (USD/ha)</w:t>
            </w:r>
          </w:p>
        </w:tc>
        <w:tc>
          <w:tcPr>
            <w:tcW w:w="993" w:type="dxa"/>
            <w:tcBorders>
              <w:top w:val="single" w:sz="4" w:space="0" w:color="auto"/>
              <w:bottom w:val="single" w:sz="4" w:space="0" w:color="auto"/>
            </w:tcBorders>
            <w:tcMar>
              <w:top w:w="100" w:type="dxa"/>
              <w:left w:w="120" w:type="dxa"/>
              <w:bottom w:w="100" w:type="dxa"/>
              <w:right w:w="120" w:type="dxa"/>
            </w:tcMar>
            <w:vAlign w:val="center"/>
          </w:tcPr>
          <w:p w14:paraId="2630762A" w14:textId="77777777" w:rsidR="00114534" w:rsidRPr="001F0C7E" w:rsidRDefault="00114534" w:rsidP="00166B26">
            <w:pPr>
              <w:pStyle w:val="MdTableHeader"/>
              <w:rPr>
                <w:sz w:val="20"/>
                <w:szCs w:val="20"/>
              </w:rPr>
            </w:pPr>
            <w:r w:rsidRPr="001F0C7E">
              <w:rPr>
                <w:sz w:val="20"/>
                <w:szCs w:val="20"/>
              </w:rPr>
              <w:t>Methods</w:t>
            </w:r>
          </w:p>
        </w:tc>
        <w:tc>
          <w:tcPr>
            <w:tcW w:w="1230" w:type="dxa"/>
            <w:tcBorders>
              <w:top w:val="single" w:sz="4" w:space="0" w:color="auto"/>
              <w:bottom w:val="single" w:sz="4" w:space="0" w:color="auto"/>
            </w:tcBorders>
            <w:tcMar>
              <w:top w:w="100" w:type="dxa"/>
              <w:left w:w="120" w:type="dxa"/>
              <w:bottom w:w="100" w:type="dxa"/>
              <w:right w:w="120" w:type="dxa"/>
            </w:tcMar>
            <w:vAlign w:val="center"/>
          </w:tcPr>
          <w:p w14:paraId="2C31FD2E" w14:textId="77777777" w:rsidR="00114534" w:rsidRPr="001F0C7E" w:rsidRDefault="00114534" w:rsidP="00166B26">
            <w:pPr>
              <w:pStyle w:val="MdTableHeader"/>
              <w:rPr>
                <w:sz w:val="20"/>
                <w:szCs w:val="20"/>
              </w:rPr>
            </w:pPr>
            <w:r w:rsidRPr="001F0C7E">
              <w:rPr>
                <w:sz w:val="20"/>
                <w:szCs w:val="20"/>
              </w:rPr>
              <w:t>Region</w:t>
            </w:r>
          </w:p>
        </w:tc>
      </w:tr>
      <w:tr w:rsidR="00114534" w:rsidRPr="001F0C7E" w14:paraId="1316D39C"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3A4EC324" w14:textId="77777777" w:rsidR="00114534" w:rsidRPr="001F0C7E" w:rsidRDefault="00114534" w:rsidP="00166B26">
            <w:pPr>
              <w:pStyle w:val="MdTableCell"/>
            </w:pPr>
            <w:r w:rsidRPr="001F0C7E">
              <w:t>Mangroves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7AA11311" w14:textId="77777777" w:rsidR="00114534" w:rsidRPr="001F0C7E" w:rsidRDefault="00114534" w:rsidP="00166B26">
            <w:pPr>
              <w:pStyle w:val="MdTableCell"/>
            </w:pPr>
            <w:r w:rsidRPr="001F0C7E">
              <w:t>13.7</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10656EF6" w14:textId="77777777" w:rsidR="00114534" w:rsidRPr="001F0C7E" w:rsidRDefault="00114534" w:rsidP="00166B26">
            <w:pPr>
              <w:pStyle w:val="MdTableCell"/>
            </w:pPr>
            <w:r w:rsidRPr="001F0C7E">
              <w:t>226±45</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1E5E898B" w14:textId="77777777" w:rsidR="00114534" w:rsidRPr="001F0C7E" w:rsidRDefault="00114534" w:rsidP="00166B26">
            <w:pPr>
              <w:pStyle w:val="MdTableCell"/>
            </w:pPr>
            <w:r w:rsidRPr="001F0C7E">
              <w:t>24.0±3.2</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2BCF597D" w14:textId="77777777" w:rsidR="00114534" w:rsidRPr="001F0C7E" w:rsidRDefault="00114534" w:rsidP="00166B26">
            <w:pPr>
              <w:pStyle w:val="MdTableCell"/>
            </w:pPr>
            <w:r w:rsidRPr="001F0C7E">
              <w:t>$13–$35</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4CA8C888" w14:textId="77777777" w:rsidR="00114534" w:rsidRPr="001F0C7E" w:rsidRDefault="00114534" w:rsidP="00166B26">
            <w:pPr>
              <w:pStyle w:val="MdTableCell"/>
            </w:pPr>
            <w:r w:rsidRPr="001F0C7E">
              <w:t>$1.5–$3.0k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221E51F" w14:textId="77777777" w:rsidR="00114534" w:rsidRPr="001F0C7E" w:rsidRDefault="00114534" w:rsidP="00166B26">
            <w:pPr>
              <w:pStyle w:val="MdTableCell"/>
            </w:pPr>
            <w:r w:rsidRPr="001F0C7E">
              <w:t>CM, DUV, CV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695F9653" w14:textId="77777777" w:rsidR="00114534" w:rsidRPr="001F0C7E" w:rsidRDefault="00114534" w:rsidP="00166B26">
            <w:pPr>
              <w:pStyle w:val="MdTableCell"/>
            </w:pPr>
            <w:r w:rsidRPr="001F0C7E">
              <w:t>Trop./</w:t>
            </w:r>
            <w:proofErr w:type="spellStart"/>
            <w:r w:rsidRPr="001F0C7E">
              <w:t>Subtrop</w:t>
            </w:r>
            <w:proofErr w:type="spellEnd"/>
            <w:r w:rsidRPr="001F0C7E">
              <w:t>.</w:t>
            </w:r>
          </w:p>
        </w:tc>
      </w:tr>
      <w:tr w:rsidR="00114534" w:rsidRPr="001F0C7E" w14:paraId="21399C37"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6DC0CFE6" w14:textId="77777777" w:rsidR="00114534" w:rsidRPr="001F0C7E" w:rsidRDefault="00114534" w:rsidP="00166B26">
            <w:pPr>
              <w:pStyle w:val="MdTableCell"/>
            </w:pPr>
            <w:r w:rsidRPr="001F0C7E">
              <w:t>Seagrass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8F4AEA8" w14:textId="77777777" w:rsidR="00114534" w:rsidRPr="001F0C7E" w:rsidRDefault="00114534" w:rsidP="00166B26">
            <w:pPr>
              <w:pStyle w:val="MdTableCell"/>
            </w:pPr>
            <w:r w:rsidRPr="001F0C7E">
              <w:t>32.2</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7DDD1F7F" w14:textId="77777777" w:rsidR="00114534" w:rsidRPr="001F0C7E" w:rsidRDefault="00114534" w:rsidP="00166B26">
            <w:pPr>
              <w:pStyle w:val="MdTableCell"/>
            </w:pPr>
            <w:r w:rsidRPr="001F0C7E">
              <w:t>138±28</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270E3B62" w14:textId="77777777" w:rsidR="00114534" w:rsidRPr="001F0C7E" w:rsidRDefault="00114534" w:rsidP="00166B26">
            <w:pPr>
              <w:pStyle w:val="MdTableCell"/>
            </w:pPr>
            <w:r w:rsidRPr="001F0C7E">
              <w:t>13.4±1.4</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6808D5F9" w14:textId="77777777" w:rsidR="00114534" w:rsidRPr="001F0C7E" w:rsidRDefault="00114534" w:rsidP="00166B26">
            <w:pPr>
              <w:pStyle w:val="MdTableCell"/>
            </w:pPr>
            <w:r w:rsidRPr="001F0C7E">
              <w:t>$15–$30</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36059437" w14:textId="77777777" w:rsidR="00114534" w:rsidRPr="001F0C7E" w:rsidRDefault="00114534" w:rsidP="00166B26">
            <w:pPr>
              <w:pStyle w:val="MdTableCell"/>
            </w:pPr>
            <w:r w:rsidRPr="001F0C7E">
              <w:t>$1.2–$2.5k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F13C4E5" w14:textId="77777777" w:rsidR="00114534" w:rsidRPr="001F0C7E" w:rsidRDefault="00114534" w:rsidP="00166B26">
            <w:pPr>
              <w:pStyle w:val="MdTableCell"/>
            </w:pPr>
            <w:r w:rsidRPr="001F0C7E">
              <w:t>CM, HP, CE</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475408A" w14:textId="77777777" w:rsidR="00114534" w:rsidRPr="001F0C7E" w:rsidRDefault="00114534" w:rsidP="00166B26">
            <w:pPr>
              <w:pStyle w:val="MdTableCell"/>
            </w:pPr>
            <w:r w:rsidRPr="001F0C7E">
              <w:t>Temp./Trop.</w:t>
            </w:r>
          </w:p>
        </w:tc>
      </w:tr>
      <w:tr w:rsidR="00114534" w:rsidRPr="001F0C7E" w14:paraId="6C195B9E"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3A2AB8A8" w14:textId="77777777" w:rsidR="00114534" w:rsidRPr="001F0C7E" w:rsidRDefault="00114534" w:rsidP="00166B26">
            <w:pPr>
              <w:pStyle w:val="MdTableCell"/>
            </w:pPr>
            <w:r w:rsidRPr="001F0C7E">
              <w:lastRenderedPageBreak/>
              <w:t>Salt Marsh</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3FAD43C" w14:textId="77777777" w:rsidR="00114534" w:rsidRPr="001F0C7E" w:rsidRDefault="00114534" w:rsidP="00166B26">
            <w:pPr>
              <w:pStyle w:val="MdTableCell"/>
            </w:pPr>
            <w:r w:rsidRPr="001F0C7E">
              <w:t>5.5</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18ACB50D" w14:textId="77777777" w:rsidR="00114534" w:rsidRPr="001F0C7E" w:rsidRDefault="00114534" w:rsidP="00166B26">
            <w:pPr>
              <w:pStyle w:val="MdTableCell"/>
            </w:pPr>
            <w:r w:rsidRPr="001F0C7E">
              <w:t>218±32</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34AA707E" w14:textId="77777777" w:rsidR="00114534" w:rsidRPr="001F0C7E" w:rsidRDefault="00114534" w:rsidP="00166B26">
            <w:pPr>
              <w:pStyle w:val="MdTableCell"/>
            </w:pPr>
            <w:r w:rsidRPr="001F0C7E">
              <w:t>5.1±0.6</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09AA512B" w14:textId="77777777" w:rsidR="00114534" w:rsidRPr="001F0C7E" w:rsidRDefault="00114534" w:rsidP="00166B26">
            <w:pPr>
              <w:pStyle w:val="MdTableCell"/>
            </w:pPr>
            <w:r w:rsidRPr="001F0C7E">
              <w:t>$18–$32</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65F8855B" w14:textId="77777777" w:rsidR="00114534" w:rsidRPr="001F0C7E" w:rsidRDefault="00114534" w:rsidP="00166B26">
            <w:pPr>
              <w:pStyle w:val="MdTableCell"/>
            </w:pPr>
            <w:r w:rsidRPr="001F0C7E">
              <w:t>$1.9–$4.4k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A20F0BE" w14:textId="77777777" w:rsidR="00114534" w:rsidRPr="001F0C7E" w:rsidRDefault="00114534" w:rsidP="00166B26">
            <w:pPr>
              <w:pStyle w:val="MdTableCell"/>
            </w:pPr>
            <w:r w:rsidRPr="001F0C7E">
              <w:t>CM, HP, TCM</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2CC06617" w14:textId="77777777" w:rsidR="00114534" w:rsidRPr="001F0C7E" w:rsidRDefault="00114534" w:rsidP="00166B26">
            <w:pPr>
              <w:pStyle w:val="MdTableCell"/>
            </w:pPr>
            <w:r w:rsidRPr="001F0C7E">
              <w:t>Temperate</w:t>
            </w:r>
          </w:p>
        </w:tc>
      </w:tr>
      <w:tr w:rsidR="00114534" w:rsidRPr="001F0C7E" w14:paraId="0E5952F1"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23DC9F61" w14:textId="77777777" w:rsidR="00114534" w:rsidRPr="001F0C7E" w:rsidRDefault="00114534" w:rsidP="00166B26">
            <w:pPr>
              <w:pStyle w:val="MdTableCell"/>
            </w:pPr>
            <w:r w:rsidRPr="001F0C7E">
              <w:t>Kelp Forest</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61DB2421" w14:textId="77777777" w:rsidR="00114534" w:rsidRPr="001F0C7E" w:rsidRDefault="00114534" w:rsidP="00166B26">
            <w:pPr>
              <w:pStyle w:val="MdTableCell"/>
            </w:pPr>
            <w:r w:rsidRPr="001F0C7E">
              <w:t>3.2</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2F05E24D" w14:textId="77777777" w:rsidR="00114534" w:rsidRPr="001F0C7E" w:rsidRDefault="00114534" w:rsidP="00166B26">
            <w:pPr>
              <w:pStyle w:val="MdTableCell"/>
            </w:pPr>
            <w:r w:rsidRPr="001F0C7E">
              <w:t>180±40</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0FC7756C" w14:textId="77777777" w:rsidR="00114534" w:rsidRPr="001F0C7E" w:rsidRDefault="00114534" w:rsidP="00166B26">
            <w:pPr>
              <w:pStyle w:val="MdTableCell"/>
            </w:pPr>
            <w:r w:rsidRPr="001F0C7E">
              <w:t>5.8±1.2</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71F074B7" w14:textId="77777777" w:rsidR="00114534" w:rsidRPr="001F0C7E" w:rsidRDefault="00114534" w:rsidP="00166B26">
            <w:pPr>
              <w:pStyle w:val="MdTableCell"/>
            </w:pPr>
            <w:r w:rsidRPr="001F0C7E">
              <w:t>$12–$28</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30BA916F" w14:textId="77777777" w:rsidR="00114534" w:rsidRPr="001F0C7E" w:rsidRDefault="00114534" w:rsidP="00166B26">
            <w:pPr>
              <w:pStyle w:val="MdTableCell"/>
            </w:pPr>
            <w:r w:rsidRPr="001F0C7E">
              <w:t>$0.8–$2.0k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006A1A08" w14:textId="77777777" w:rsidR="00114534" w:rsidRPr="001F0C7E" w:rsidRDefault="00114534" w:rsidP="00166B26">
            <w:pPr>
              <w:pStyle w:val="MdTableCell"/>
            </w:pPr>
            <w:r w:rsidRPr="001F0C7E">
              <w:t>CM, CV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1755C0F" w14:textId="77777777" w:rsidR="00114534" w:rsidRPr="001F0C7E" w:rsidRDefault="00114534" w:rsidP="00166B26">
            <w:pPr>
              <w:pStyle w:val="MdTableCell"/>
            </w:pPr>
            <w:r w:rsidRPr="001F0C7E">
              <w:t>Cold Temp.</w:t>
            </w:r>
          </w:p>
        </w:tc>
      </w:tr>
      <w:tr w:rsidR="00114534" w:rsidRPr="001F0C7E" w14:paraId="76449938"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13CF9BF7" w14:textId="77777777" w:rsidR="00114534" w:rsidRPr="001F0C7E" w:rsidRDefault="00114534" w:rsidP="00166B26">
            <w:pPr>
              <w:pStyle w:val="MdTableCell"/>
            </w:pPr>
            <w:r w:rsidRPr="001F0C7E">
              <w:t>Tidal Flats</w:t>
            </w:r>
          </w:p>
        </w:tc>
        <w:tc>
          <w:tcPr>
            <w:tcW w:w="971" w:type="dxa"/>
            <w:tcBorders>
              <w:top w:val="single" w:sz="4" w:space="0" w:color="auto"/>
              <w:bottom w:val="single" w:sz="4" w:space="0" w:color="auto"/>
            </w:tcBorders>
            <w:tcMar>
              <w:top w:w="80" w:type="dxa"/>
              <w:left w:w="120" w:type="dxa"/>
              <w:bottom w:w="80" w:type="dxa"/>
              <w:right w:w="120" w:type="dxa"/>
            </w:tcMar>
            <w:vAlign w:val="center"/>
          </w:tcPr>
          <w:p w14:paraId="1E9F0499" w14:textId="77777777" w:rsidR="00114534" w:rsidRPr="001F0C7E" w:rsidRDefault="00114534" w:rsidP="00166B26">
            <w:pPr>
              <w:pStyle w:val="MdTableCell"/>
            </w:pPr>
            <w:r w:rsidRPr="001F0C7E">
              <w:t>8.4</w:t>
            </w:r>
          </w:p>
        </w:tc>
        <w:tc>
          <w:tcPr>
            <w:tcW w:w="863" w:type="dxa"/>
            <w:tcBorders>
              <w:top w:val="single" w:sz="4" w:space="0" w:color="auto"/>
              <w:bottom w:val="single" w:sz="4" w:space="0" w:color="auto"/>
            </w:tcBorders>
            <w:tcMar>
              <w:top w:w="80" w:type="dxa"/>
              <w:left w:w="120" w:type="dxa"/>
              <w:bottom w:w="80" w:type="dxa"/>
              <w:right w:w="120" w:type="dxa"/>
            </w:tcMar>
            <w:vAlign w:val="center"/>
          </w:tcPr>
          <w:p w14:paraId="558023B5" w14:textId="77777777" w:rsidR="00114534" w:rsidRPr="001F0C7E" w:rsidRDefault="00114534" w:rsidP="00166B26">
            <w:pPr>
              <w:pStyle w:val="MdTableCell"/>
            </w:pPr>
            <w:r w:rsidRPr="001F0C7E">
              <w:t>95±25</w:t>
            </w: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2FE6A8D7" w14:textId="77777777" w:rsidR="00114534" w:rsidRPr="001F0C7E" w:rsidRDefault="00114534" w:rsidP="00166B26">
            <w:pPr>
              <w:pStyle w:val="MdTableCell"/>
            </w:pPr>
            <w:r w:rsidRPr="001F0C7E">
              <w:t>8.0±2.1</w:t>
            </w: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3EE8063D" w14:textId="77777777" w:rsidR="00114534" w:rsidRPr="001F0C7E" w:rsidRDefault="00114534" w:rsidP="00166B26">
            <w:pPr>
              <w:pStyle w:val="MdTableCell"/>
            </w:pPr>
            <w:r w:rsidRPr="001F0C7E">
              <w:t>$10–$20</w:t>
            </w: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66442C99" w14:textId="77777777" w:rsidR="00114534" w:rsidRPr="001F0C7E" w:rsidRDefault="00114534" w:rsidP="00166B26">
            <w:pPr>
              <w:pStyle w:val="MdTableCell"/>
            </w:pPr>
            <w:r w:rsidRPr="001F0C7E">
              <w:t>$0.6–$1.5k</w:t>
            </w:r>
          </w:p>
        </w:tc>
        <w:tc>
          <w:tcPr>
            <w:tcW w:w="993" w:type="dxa"/>
            <w:tcBorders>
              <w:top w:val="single" w:sz="4" w:space="0" w:color="auto"/>
              <w:bottom w:val="single" w:sz="4" w:space="0" w:color="auto"/>
            </w:tcBorders>
            <w:tcMar>
              <w:top w:w="80" w:type="dxa"/>
              <w:left w:w="120" w:type="dxa"/>
              <w:bottom w:w="80" w:type="dxa"/>
              <w:right w:w="120" w:type="dxa"/>
            </w:tcMar>
            <w:vAlign w:val="center"/>
          </w:tcPr>
          <w:p w14:paraId="606FCCA3" w14:textId="77777777" w:rsidR="00114534" w:rsidRPr="001F0C7E" w:rsidRDefault="00114534" w:rsidP="00166B26">
            <w:pPr>
              <w:pStyle w:val="MdTableCell"/>
            </w:pPr>
            <w:r w:rsidRPr="001F0C7E">
              <w:t>CM, DUV</w:t>
            </w: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3C0A6800" w14:textId="77777777" w:rsidR="00114534" w:rsidRPr="001F0C7E" w:rsidRDefault="00114534" w:rsidP="00166B26">
            <w:pPr>
              <w:pStyle w:val="MdTableCell"/>
            </w:pPr>
            <w:r w:rsidRPr="001F0C7E">
              <w:t>Global</w:t>
            </w:r>
          </w:p>
        </w:tc>
      </w:tr>
      <w:tr w:rsidR="001F0C7E" w:rsidRPr="001F0C7E" w14:paraId="1188D4E9" w14:textId="77777777" w:rsidTr="001F0C7E">
        <w:trPr>
          <w:cantSplit/>
          <w:trHeight w:val="576"/>
        </w:trPr>
        <w:tc>
          <w:tcPr>
            <w:tcW w:w="1307" w:type="dxa"/>
            <w:tcBorders>
              <w:top w:val="single" w:sz="4" w:space="0" w:color="auto"/>
              <w:bottom w:val="single" w:sz="4" w:space="0" w:color="auto"/>
            </w:tcBorders>
            <w:tcMar>
              <w:top w:w="80" w:type="dxa"/>
              <w:left w:w="120" w:type="dxa"/>
              <w:bottom w:w="80" w:type="dxa"/>
              <w:right w:w="120" w:type="dxa"/>
            </w:tcMar>
            <w:vAlign w:val="center"/>
          </w:tcPr>
          <w:p w14:paraId="40B6F5A6" w14:textId="77777777" w:rsidR="001F0C7E" w:rsidRPr="001F0C7E" w:rsidRDefault="001F0C7E" w:rsidP="00166B26">
            <w:pPr>
              <w:pStyle w:val="MdTableCell"/>
            </w:pPr>
          </w:p>
        </w:tc>
        <w:tc>
          <w:tcPr>
            <w:tcW w:w="971" w:type="dxa"/>
            <w:tcBorders>
              <w:top w:val="single" w:sz="4" w:space="0" w:color="auto"/>
              <w:bottom w:val="single" w:sz="4" w:space="0" w:color="auto"/>
            </w:tcBorders>
            <w:tcMar>
              <w:top w:w="80" w:type="dxa"/>
              <w:left w:w="120" w:type="dxa"/>
              <w:bottom w:w="80" w:type="dxa"/>
              <w:right w:w="120" w:type="dxa"/>
            </w:tcMar>
            <w:vAlign w:val="center"/>
          </w:tcPr>
          <w:p w14:paraId="45FAC855" w14:textId="77777777" w:rsidR="001F0C7E" w:rsidRPr="001F0C7E" w:rsidRDefault="001F0C7E" w:rsidP="00166B26">
            <w:pPr>
              <w:pStyle w:val="MdTableCell"/>
            </w:pPr>
          </w:p>
        </w:tc>
        <w:tc>
          <w:tcPr>
            <w:tcW w:w="863" w:type="dxa"/>
            <w:tcBorders>
              <w:top w:val="single" w:sz="4" w:space="0" w:color="auto"/>
              <w:bottom w:val="single" w:sz="4" w:space="0" w:color="auto"/>
            </w:tcBorders>
            <w:tcMar>
              <w:top w:w="80" w:type="dxa"/>
              <w:left w:w="120" w:type="dxa"/>
              <w:bottom w:w="80" w:type="dxa"/>
              <w:right w:w="120" w:type="dxa"/>
            </w:tcMar>
            <w:vAlign w:val="center"/>
          </w:tcPr>
          <w:p w14:paraId="40E4355A" w14:textId="77777777" w:rsidR="001F0C7E" w:rsidRPr="001F0C7E" w:rsidRDefault="001F0C7E" w:rsidP="00166B26">
            <w:pPr>
              <w:pStyle w:val="MdTableCell"/>
            </w:pPr>
          </w:p>
        </w:tc>
        <w:tc>
          <w:tcPr>
            <w:tcW w:w="1264" w:type="dxa"/>
            <w:gridSpan w:val="2"/>
            <w:tcBorders>
              <w:top w:val="single" w:sz="4" w:space="0" w:color="auto"/>
              <w:bottom w:val="single" w:sz="4" w:space="0" w:color="auto"/>
            </w:tcBorders>
            <w:tcMar>
              <w:top w:w="80" w:type="dxa"/>
              <w:left w:w="120" w:type="dxa"/>
              <w:bottom w:w="80" w:type="dxa"/>
              <w:right w:w="120" w:type="dxa"/>
            </w:tcMar>
            <w:vAlign w:val="center"/>
          </w:tcPr>
          <w:p w14:paraId="0DDF9AAF" w14:textId="77777777" w:rsidR="001F0C7E" w:rsidRPr="001F0C7E" w:rsidRDefault="001F0C7E" w:rsidP="00166B26">
            <w:pPr>
              <w:pStyle w:val="MdTableCell"/>
            </w:pPr>
          </w:p>
        </w:tc>
        <w:tc>
          <w:tcPr>
            <w:tcW w:w="1134" w:type="dxa"/>
            <w:tcBorders>
              <w:top w:val="single" w:sz="4" w:space="0" w:color="auto"/>
              <w:bottom w:val="single" w:sz="4" w:space="0" w:color="auto"/>
            </w:tcBorders>
            <w:tcMar>
              <w:top w:w="80" w:type="dxa"/>
              <w:left w:w="120" w:type="dxa"/>
              <w:bottom w:w="80" w:type="dxa"/>
              <w:right w:w="120" w:type="dxa"/>
            </w:tcMar>
            <w:vAlign w:val="center"/>
          </w:tcPr>
          <w:p w14:paraId="563DEF02" w14:textId="77777777" w:rsidR="001F0C7E" w:rsidRPr="001F0C7E" w:rsidRDefault="001F0C7E" w:rsidP="00166B26">
            <w:pPr>
              <w:pStyle w:val="MdTableCell"/>
            </w:pPr>
          </w:p>
        </w:tc>
        <w:tc>
          <w:tcPr>
            <w:tcW w:w="1275" w:type="dxa"/>
            <w:tcBorders>
              <w:top w:val="single" w:sz="4" w:space="0" w:color="auto"/>
              <w:bottom w:val="single" w:sz="4" w:space="0" w:color="auto"/>
            </w:tcBorders>
            <w:tcMar>
              <w:top w:w="80" w:type="dxa"/>
              <w:left w:w="120" w:type="dxa"/>
              <w:bottom w:w="80" w:type="dxa"/>
              <w:right w:w="120" w:type="dxa"/>
            </w:tcMar>
            <w:vAlign w:val="center"/>
          </w:tcPr>
          <w:p w14:paraId="21070BDA" w14:textId="77777777" w:rsidR="001F0C7E" w:rsidRPr="001F0C7E" w:rsidRDefault="001F0C7E" w:rsidP="00166B26">
            <w:pPr>
              <w:pStyle w:val="MdTableCell"/>
            </w:pPr>
          </w:p>
        </w:tc>
        <w:tc>
          <w:tcPr>
            <w:tcW w:w="993" w:type="dxa"/>
            <w:tcBorders>
              <w:top w:val="single" w:sz="4" w:space="0" w:color="auto"/>
              <w:bottom w:val="single" w:sz="4" w:space="0" w:color="auto"/>
            </w:tcBorders>
            <w:tcMar>
              <w:top w:w="80" w:type="dxa"/>
              <w:left w:w="120" w:type="dxa"/>
              <w:bottom w:w="80" w:type="dxa"/>
              <w:right w:w="120" w:type="dxa"/>
            </w:tcMar>
            <w:vAlign w:val="center"/>
          </w:tcPr>
          <w:p w14:paraId="265E61CB" w14:textId="77777777" w:rsidR="001F0C7E" w:rsidRPr="001F0C7E" w:rsidRDefault="001F0C7E" w:rsidP="00166B26">
            <w:pPr>
              <w:pStyle w:val="MdTableCell"/>
            </w:pPr>
          </w:p>
        </w:tc>
        <w:tc>
          <w:tcPr>
            <w:tcW w:w="1230" w:type="dxa"/>
            <w:tcBorders>
              <w:top w:val="single" w:sz="4" w:space="0" w:color="auto"/>
              <w:bottom w:val="single" w:sz="4" w:space="0" w:color="auto"/>
            </w:tcBorders>
            <w:tcMar>
              <w:top w:w="80" w:type="dxa"/>
              <w:left w:w="120" w:type="dxa"/>
              <w:bottom w:w="80" w:type="dxa"/>
              <w:right w:w="120" w:type="dxa"/>
            </w:tcMar>
            <w:vAlign w:val="center"/>
          </w:tcPr>
          <w:p w14:paraId="0DDA7A0C" w14:textId="77777777" w:rsidR="001F0C7E" w:rsidRPr="001F0C7E" w:rsidRDefault="001F0C7E" w:rsidP="00166B26">
            <w:pPr>
              <w:pStyle w:val="MdTableCell"/>
            </w:pPr>
          </w:p>
        </w:tc>
      </w:tr>
    </w:tbl>
    <w:p w14:paraId="495CAB1D" w14:textId="77777777" w:rsidR="00114534" w:rsidRPr="001F0C7E" w:rsidRDefault="00114534" w:rsidP="00DD7D23">
      <w:pPr>
        <w:pStyle w:val="MdParagraph"/>
        <w:jc w:val="both"/>
        <w:rPr>
          <w:sz w:val="20"/>
          <w:szCs w:val="20"/>
        </w:rPr>
      </w:pPr>
      <w:r w:rsidRPr="001F0C7E">
        <w:rPr>
          <w:rStyle w:val="MdStrong"/>
          <w:sz w:val="20"/>
          <w:szCs w:val="20"/>
        </w:rPr>
        <w:t>Abbreviations:</w:t>
      </w:r>
      <w:r w:rsidRPr="001F0C7E">
        <w:rPr>
          <w:sz w:val="20"/>
          <w:szCs w:val="20"/>
        </w:rPr>
        <w:t xml:space="preserve"> </w:t>
      </w:r>
      <w:r w:rsidRPr="001F0C7E">
        <w:rPr>
          <w:rStyle w:val="MdStrong"/>
          <w:sz w:val="20"/>
          <w:szCs w:val="20"/>
        </w:rPr>
        <w:t>Area: Global area in million hectares (</w:t>
      </w:r>
      <w:proofErr w:type="spellStart"/>
      <w:r w:rsidRPr="001F0C7E">
        <w:rPr>
          <w:rStyle w:val="MdStrong"/>
          <w:sz w:val="20"/>
          <w:szCs w:val="20"/>
        </w:rPr>
        <w:t>Mha</w:t>
      </w:r>
      <w:proofErr w:type="spellEnd"/>
      <w:r w:rsidRPr="001F0C7E">
        <w:rPr>
          <w:rStyle w:val="MdStrong"/>
          <w:sz w:val="20"/>
          <w:szCs w:val="20"/>
        </w:rPr>
        <w:t>)</w:t>
      </w:r>
      <w:r w:rsidRPr="001F0C7E">
        <w:rPr>
          <w:sz w:val="20"/>
          <w:szCs w:val="20"/>
        </w:rPr>
        <w:t>,</w:t>
      </w:r>
      <w:r w:rsidRPr="001F0C7E">
        <w:rPr>
          <w:rStyle w:val="MdStrong"/>
          <w:sz w:val="20"/>
          <w:szCs w:val="20"/>
        </w:rPr>
        <w:tab/>
        <w:t>C-Rate: Carbon sequestration rate (gCm⁻² yr⁻¹)</w:t>
      </w:r>
      <w:r w:rsidRPr="001F0C7E">
        <w:rPr>
          <w:sz w:val="20"/>
          <w:szCs w:val="20"/>
        </w:rPr>
        <w:t xml:space="preserve"> </w:t>
      </w:r>
      <w:r w:rsidRPr="001F0C7E">
        <w:rPr>
          <w:rStyle w:val="MdStrong"/>
          <w:sz w:val="20"/>
          <w:szCs w:val="20"/>
        </w:rPr>
        <w:t>, C-</w:t>
      </w:r>
      <w:proofErr w:type="spellStart"/>
      <w:r w:rsidRPr="001F0C7E">
        <w:rPr>
          <w:rStyle w:val="MdStrong"/>
          <w:sz w:val="20"/>
          <w:szCs w:val="20"/>
        </w:rPr>
        <w:t>Seq</w:t>
      </w:r>
      <w:proofErr w:type="spellEnd"/>
      <w:r w:rsidRPr="001F0C7E">
        <w:rPr>
          <w:rStyle w:val="MdStrong"/>
          <w:sz w:val="20"/>
          <w:szCs w:val="20"/>
        </w:rPr>
        <w:t>: Annual carbon sequestration (</w:t>
      </w:r>
      <w:proofErr w:type="spellStart"/>
      <w:r w:rsidRPr="001F0C7E">
        <w:rPr>
          <w:rStyle w:val="MdStrong"/>
          <w:sz w:val="20"/>
          <w:szCs w:val="20"/>
        </w:rPr>
        <w:t>MtC</w:t>
      </w:r>
      <w:proofErr w:type="spellEnd"/>
      <w:r w:rsidRPr="001F0C7E">
        <w:rPr>
          <w:rStyle w:val="MdStrong"/>
          <w:sz w:val="20"/>
          <w:szCs w:val="20"/>
        </w:rPr>
        <w:t xml:space="preserve"> yr⁻¹),</w:t>
      </w:r>
      <w:r w:rsidRPr="001F0C7E">
        <w:rPr>
          <w:sz w:val="20"/>
          <w:szCs w:val="20"/>
        </w:rPr>
        <w:t xml:space="preserve"> </w:t>
      </w:r>
      <w:r w:rsidRPr="001F0C7E">
        <w:rPr>
          <w:rStyle w:val="MdStrong"/>
          <w:sz w:val="20"/>
          <w:szCs w:val="20"/>
        </w:rPr>
        <w:t>Price: Carbon credit price range (USD/credit),</w:t>
      </w:r>
      <w:r w:rsidRPr="001F0C7E">
        <w:rPr>
          <w:sz w:val="20"/>
          <w:szCs w:val="20"/>
        </w:rPr>
        <w:t xml:space="preserve"> </w:t>
      </w:r>
      <w:r w:rsidRPr="001F0C7E">
        <w:rPr>
          <w:rStyle w:val="MdStrong"/>
          <w:sz w:val="20"/>
          <w:szCs w:val="20"/>
        </w:rPr>
        <w:t>Value: Annual ecosystem service value (USD/ha), k = thousand</w:t>
      </w:r>
      <w:r w:rsidRPr="001F0C7E">
        <w:rPr>
          <w:sz w:val="20"/>
          <w:szCs w:val="20"/>
        </w:rPr>
        <w:t xml:space="preserve"> </w:t>
      </w:r>
      <w:r w:rsidRPr="001F0C7E">
        <w:rPr>
          <w:rStyle w:val="MdStrong"/>
          <w:sz w:val="20"/>
          <w:szCs w:val="20"/>
        </w:rPr>
        <w:t>,CM: Carbon Markets; DUV: Direct Use Values; CV: Contingent Valuation; HP: Hedonic Pricing; CE: Choice Experiments; TCM: Travel Cost Method</w:t>
      </w:r>
      <w:r w:rsidRPr="001F0C7E">
        <w:rPr>
          <w:sz w:val="20"/>
          <w:szCs w:val="20"/>
        </w:rPr>
        <w:t xml:space="preserve">, </w:t>
      </w:r>
      <w:r w:rsidRPr="001F0C7E">
        <w:rPr>
          <w:rStyle w:val="MdStrong"/>
          <w:sz w:val="20"/>
          <w:szCs w:val="20"/>
        </w:rPr>
        <w:t>Data Sources:</w:t>
      </w:r>
      <w:r w:rsidRPr="001F0C7E">
        <w:rPr>
          <w:sz w:val="20"/>
          <w:szCs w:val="20"/>
        </w:rPr>
        <w:t xml:space="preserve"> Bertram et al. (2021); Choudhary et al. (2024); Lovelock &amp; Duarte (2025); Mazzocco et al. (2022); Simpson et al. (2025).</w:t>
      </w:r>
    </w:p>
    <w:p w14:paraId="031D416B"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.1.1. Uncertainty in Carbon Accounting</w:t>
      </w:r>
    </w:p>
    <w:p w14:paraId="14635D19" w14:textId="77777777" w:rsidR="00D40E11" w:rsidRPr="00D40E11" w:rsidRDefault="00D40E11" w:rsidP="00D40E11">
      <w:pPr>
        <w:pStyle w:val="MdHeading4"/>
        <w:spacing w:line="360" w:lineRule="auto"/>
        <w:ind w:firstLine="720"/>
        <w:jc w:val="both"/>
        <w:rPr>
          <w:b w:val="0"/>
          <w:sz w:val="24"/>
          <w:szCs w:val="24"/>
        </w:rPr>
      </w:pPr>
      <w:r w:rsidRPr="00D40E11">
        <w:rPr>
          <w:b w:val="0"/>
          <w:sz w:val="24"/>
          <w:szCs w:val="24"/>
        </w:rPr>
        <w:t xml:space="preserve">Measuring the amount of carbon that blue carbon ecosystems store and absorb is not a straightforward task. The potential carbon stocks can differ significantly based on the plant species present, the location of the ecosystem and local processes like tidal range and temperature which complicates establishing reliable baselines to detect changes over time (Dahl et al., 2025). An example of this is that carbon storage rates can vary between different mangrove species and between mangroves established at different tidal elevations (Adame et al., 2024). These differences can render estimates of carbon or storage ten times different depending on which methods are applied and bring into question the reliability of blue carbon projects (Dahl et al., 2025). </w:t>
      </w:r>
      <w:r w:rsidR="00E179F0" w:rsidRPr="00E179F0">
        <w:rPr>
          <w:b w:val="0"/>
          <w:sz w:val="24"/>
          <w:szCs w:val="24"/>
        </w:rPr>
        <w:t>Monitoring</w:t>
      </w:r>
      <w:r w:rsidR="00E179F0">
        <w:rPr>
          <w:b w:val="0"/>
          <w:sz w:val="24"/>
          <w:szCs w:val="24"/>
        </w:rPr>
        <w:t>, Reporting verification (</w:t>
      </w:r>
      <w:r w:rsidRPr="00D40E11">
        <w:rPr>
          <w:b w:val="0"/>
          <w:sz w:val="24"/>
          <w:szCs w:val="24"/>
        </w:rPr>
        <w:t>MRV</w:t>
      </w:r>
      <w:r w:rsidR="00D562E1">
        <w:rPr>
          <w:b w:val="0"/>
          <w:sz w:val="24"/>
          <w:szCs w:val="24"/>
        </w:rPr>
        <w:t>) —</w:t>
      </w:r>
      <w:r w:rsidRPr="00D40E11">
        <w:rPr>
          <w:b w:val="0"/>
          <w:sz w:val="24"/>
          <w:szCs w:val="24"/>
        </w:rPr>
        <w:t xml:space="preserve"> essential for credibility of blue carbon projects and consistency in data. Please note that, even though satellite and drone-based tools are rapidly improving (Araya-Lopez et al., 2023; Dutta Roy et al., 2024), they still require validation against expensive and time-consuming field measures.</w:t>
      </w:r>
    </w:p>
    <w:p w14:paraId="42F7368A" w14:textId="77777777" w:rsidR="00D40E11" w:rsidRPr="004D0947" w:rsidRDefault="00D40E11" w:rsidP="00832CA3">
      <w:pPr>
        <w:pStyle w:val="MdSpace"/>
        <w:spacing w:after="60"/>
        <w:jc w:val="both"/>
        <w:rPr>
          <w:rFonts w:ascii="Arial" w:hAnsi="Arial" w:cs="Arial"/>
          <w:b/>
          <w:sz w:val="24"/>
          <w:szCs w:val="24"/>
        </w:rPr>
      </w:pPr>
      <w:r w:rsidRPr="004D0947">
        <w:rPr>
          <w:rFonts w:ascii="Arial" w:hAnsi="Arial" w:cs="Arial"/>
          <w:b/>
          <w:sz w:val="24"/>
          <w:szCs w:val="24"/>
        </w:rPr>
        <w:t>4</w:t>
      </w:r>
      <w:r w:rsidR="003E1ABA" w:rsidRPr="004D0947">
        <w:rPr>
          <w:rFonts w:ascii="Arial" w:hAnsi="Arial" w:cs="Arial"/>
          <w:b/>
          <w:sz w:val="24"/>
          <w:szCs w:val="24"/>
        </w:rPr>
        <w:t>.1.2. Monetizing Non-Market Values</w:t>
      </w:r>
    </w:p>
    <w:p w14:paraId="20F42E4B" w14:textId="77777777" w:rsidR="00D40E11" w:rsidRDefault="00D40E11" w:rsidP="00832CA3">
      <w:pPr>
        <w:pStyle w:val="MdSpace"/>
        <w:spacing w:after="60"/>
        <w:jc w:val="both"/>
        <w:rPr>
          <w:b/>
          <w:sz w:val="24"/>
          <w:szCs w:val="24"/>
        </w:rPr>
      </w:pPr>
    </w:p>
    <w:p w14:paraId="52A0A4C6" w14:textId="77777777" w:rsidR="00D40E11" w:rsidRPr="00D40E11" w:rsidRDefault="00D40E11" w:rsidP="00D40E11">
      <w:pPr>
        <w:pStyle w:val="MdSpace"/>
        <w:spacing w:after="60" w:line="360" w:lineRule="auto"/>
        <w:ind w:firstLine="720"/>
        <w:jc w:val="both"/>
        <w:rPr>
          <w:sz w:val="24"/>
          <w:szCs w:val="24"/>
        </w:rPr>
      </w:pPr>
      <w:r w:rsidRPr="00D40E11">
        <w:rPr>
          <w:sz w:val="24"/>
          <w:szCs w:val="24"/>
        </w:rPr>
        <w:t xml:space="preserve">Although methods do exist to approximate the non-market values of blue carbon systems, they come with their own shortfalls. For example, stated preference methods may be afflicted by hypothetical bias in which respondents express a greater willingness-to-pay than their real-world willingness-to-pay (Hausman, 2012). The values they produce can also be very </w:t>
      </w:r>
      <w:r w:rsidRPr="00D40E11">
        <w:rPr>
          <w:sz w:val="24"/>
          <w:szCs w:val="24"/>
        </w:rPr>
        <w:lastRenderedPageBreak/>
        <w:t>sensitive to the survey design and socioeconomic characteristics of the respondents. The complex and often intangible nature of benefits, such as biodiversity support, cultural heritage and spiritual value, all contribute to the difficulties in monetising these values, which leaves many of them among the least studied and most under-represented aspects in blue carbon ecosystem valuation (</w:t>
      </w:r>
      <w:proofErr w:type="spellStart"/>
      <w:r w:rsidRPr="00D40E11">
        <w:rPr>
          <w:sz w:val="24"/>
          <w:szCs w:val="24"/>
        </w:rPr>
        <w:t>Quevedo</w:t>
      </w:r>
      <w:proofErr w:type="spellEnd"/>
      <w:r w:rsidRPr="00D40E11">
        <w:rPr>
          <w:sz w:val="24"/>
          <w:szCs w:val="24"/>
        </w:rPr>
        <w:t xml:space="preserve"> &amp; </w:t>
      </w:r>
      <w:proofErr w:type="spellStart"/>
      <w:r w:rsidRPr="00D40E11">
        <w:rPr>
          <w:sz w:val="24"/>
          <w:szCs w:val="24"/>
        </w:rPr>
        <w:t>Kohsaka</w:t>
      </w:r>
      <w:proofErr w:type="spellEnd"/>
      <w:r w:rsidRPr="00D40E11">
        <w:rPr>
          <w:sz w:val="24"/>
          <w:szCs w:val="24"/>
        </w:rPr>
        <w:t>, 2024). This failing is especially problematic for these co-benefits, as attaining these benefits often provides the dominant push for local communities to engage in and support conservation effort; a lack of thorough capture in economic assessment leaves risk they are undervalued altogether or that full contributions of these ecosystems to human well-being go unaccounted (Himes-Cornell et al., 2018)</w:t>
      </w:r>
    </w:p>
    <w:p w14:paraId="77DE1C3D" w14:textId="77777777" w:rsidR="00D40E11" w:rsidRPr="00D40E11" w:rsidRDefault="00D40E11" w:rsidP="00D40E11">
      <w:pPr>
        <w:pStyle w:val="MdSpace"/>
        <w:spacing w:after="60" w:line="360" w:lineRule="auto"/>
        <w:jc w:val="both"/>
        <w:rPr>
          <w:sz w:val="24"/>
          <w:szCs w:val="24"/>
        </w:rPr>
      </w:pPr>
    </w:p>
    <w:p w14:paraId="1EEE47F9" w14:textId="77777777" w:rsidR="00D40E11" w:rsidRDefault="00D40E11" w:rsidP="00832CA3">
      <w:pPr>
        <w:pStyle w:val="MdSpace"/>
        <w:spacing w:after="60"/>
        <w:jc w:val="both"/>
        <w:rPr>
          <w:b/>
          <w:sz w:val="24"/>
          <w:szCs w:val="24"/>
        </w:rPr>
      </w:pPr>
    </w:p>
    <w:p w14:paraId="364BE004" w14:textId="77777777" w:rsidR="00D40E11" w:rsidRDefault="00D40E11" w:rsidP="00832CA3">
      <w:pPr>
        <w:pStyle w:val="MdSpace"/>
        <w:spacing w:after="60"/>
        <w:jc w:val="both"/>
        <w:rPr>
          <w:b/>
          <w:sz w:val="24"/>
          <w:szCs w:val="24"/>
        </w:rPr>
      </w:pPr>
    </w:p>
    <w:p w14:paraId="17DDDB03" w14:textId="77777777" w:rsidR="00D40E11" w:rsidRDefault="00D40E11" w:rsidP="00832CA3">
      <w:pPr>
        <w:pStyle w:val="MdSpace"/>
        <w:spacing w:after="60"/>
        <w:jc w:val="both"/>
        <w:rPr>
          <w:b/>
          <w:sz w:val="24"/>
          <w:szCs w:val="24"/>
        </w:rPr>
      </w:pPr>
    </w:p>
    <w:p w14:paraId="3527C899" w14:textId="77777777" w:rsidR="00D40E11" w:rsidRPr="00917D0A" w:rsidRDefault="00D40E11" w:rsidP="00832CA3">
      <w:pPr>
        <w:pStyle w:val="MdSpace"/>
        <w:spacing w:after="60"/>
        <w:jc w:val="both"/>
        <w:rPr>
          <w:b/>
          <w:sz w:val="24"/>
          <w:szCs w:val="24"/>
        </w:rPr>
      </w:pPr>
    </w:p>
    <w:p w14:paraId="52476C80" w14:textId="77777777" w:rsidR="00C469A7" w:rsidRPr="00917D0A" w:rsidRDefault="00C469A7" w:rsidP="00EE7136">
      <w:pPr>
        <w:pStyle w:val="MdSpace"/>
        <w:spacing w:after="60" w:line="360" w:lineRule="auto"/>
        <w:rPr>
          <w:b/>
          <w:sz w:val="24"/>
          <w:szCs w:val="24"/>
        </w:rPr>
      </w:pPr>
      <w:r w:rsidRPr="00917D0A">
        <w:rPr>
          <w:b/>
          <w:noProof/>
          <w:sz w:val="24"/>
          <w:szCs w:val="24"/>
        </w:rPr>
        <w:drawing>
          <wp:inline distT="0" distB="0" distL="0" distR="0" wp14:anchorId="431B398A" wp14:editId="067B407F">
            <wp:extent cx="6007100" cy="3121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7100" cy="3121660"/>
                    </a:xfrm>
                    <a:prstGeom prst="rect">
                      <a:avLst/>
                    </a:prstGeom>
                    <a:noFill/>
                  </pic:spPr>
                </pic:pic>
              </a:graphicData>
            </a:graphic>
          </wp:inline>
        </w:drawing>
      </w:r>
    </w:p>
    <w:p w14:paraId="191A38F4" w14:textId="77777777" w:rsidR="00C469A7" w:rsidRPr="00917D0A" w:rsidRDefault="00C469A7" w:rsidP="00C469A7">
      <w:pPr>
        <w:pStyle w:val="MdSpace"/>
        <w:spacing w:after="60" w:line="360" w:lineRule="auto"/>
        <w:ind w:firstLine="720"/>
        <w:jc w:val="center"/>
        <w:rPr>
          <w:b/>
          <w:sz w:val="24"/>
          <w:szCs w:val="24"/>
        </w:rPr>
      </w:pPr>
      <w:r w:rsidRPr="00917D0A">
        <w:rPr>
          <w:b/>
          <w:sz w:val="24"/>
          <w:szCs w:val="24"/>
        </w:rPr>
        <w:t>Figure 3: Challenges and Barriers to Blue Carbon</w:t>
      </w:r>
    </w:p>
    <w:p w14:paraId="1E07A2F0" w14:textId="77777777" w:rsidR="003E1ABA" w:rsidRPr="00917D0A" w:rsidRDefault="003E1ABA" w:rsidP="001948CF">
      <w:pPr>
        <w:pStyle w:val="MdHeading3"/>
        <w:jc w:val="both"/>
        <w:rPr>
          <w:sz w:val="24"/>
          <w:szCs w:val="24"/>
        </w:rPr>
      </w:pPr>
    </w:p>
    <w:p w14:paraId="260290CE"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.2. Market and Financial Barriers</w:t>
      </w:r>
    </w:p>
    <w:p w14:paraId="4B79EA7A" w14:textId="77777777" w:rsidR="004E5A45" w:rsidRPr="00917D0A" w:rsidRDefault="003E1ABA" w:rsidP="00983F43">
      <w:pPr>
        <w:pStyle w:val="MdParagraph"/>
        <w:spacing w:line="360" w:lineRule="auto"/>
        <w:jc w:val="both"/>
      </w:pPr>
      <w:r w:rsidRPr="00917D0A">
        <w:t>The development of robust markets for blue carbon is hindered by several financial and market-related barriers. These barriers can make it difficult for project developers to attract the necessary investment to get their projects off the ground.</w:t>
      </w:r>
      <w:r w:rsidR="009C51D6" w:rsidRPr="00917D0A">
        <w:t xml:space="preserve">  </w:t>
      </w:r>
    </w:p>
    <w:p w14:paraId="1F253AA4"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lastRenderedPageBreak/>
        <w:t>4</w:t>
      </w:r>
      <w:r w:rsidR="003E1ABA" w:rsidRPr="004D0947">
        <w:rPr>
          <w:rFonts w:ascii="Arial" w:hAnsi="Arial" w:cs="Arial"/>
          <w:sz w:val="24"/>
          <w:szCs w:val="24"/>
        </w:rPr>
        <w:t xml:space="preserve">.2.1. Permanence, </w:t>
      </w:r>
      <w:r w:rsidR="004C14F9" w:rsidRPr="004D0947">
        <w:rPr>
          <w:rFonts w:ascii="Arial" w:hAnsi="Arial" w:cs="Arial"/>
          <w:sz w:val="24"/>
          <w:szCs w:val="24"/>
        </w:rPr>
        <w:t>Additionally</w:t>
      </w:r>
      <w:r w:rsidR="003E1ABA" w:rsidRPr="004D0947">
        <w:rPr>
          <w:rFonts w:ascii="Arial" w:hAnsi="Arial" w:cs="Arial"/>
          <w:sz w:val="24"/>
          <w:szCs w:val="24"/>
        </w:rPr>
        <w:t>, and Leakage</w:t>
      </w:r>
    </w:p>
    <w:p w14:paraId="724763C4" w14:textId="77777777" w:rsidR="004E5A45" w:rsidRPr="00917D0A" w:rsidRDefault="004C14F9" w:rsidP="004C14F9">
      <w:pPr>
        <w:pStyle w:val="MdSpace"/>
        <w:spacing w:after="60" w:line="360" w:lineRule="auto"/>
        <w:ind w:firstLine="720"/>
        <w:jc w:val="both"/>
        <w:rPr>
          <w:sz w:val="24"/>
          <w:szCs w:val="24"/>
        </w:rPr>
      </w:pPr>
      <w:r w:rsidRPr="00917D0A">
        <w:rPr>
          <w:sz w:val="24"/>
          <w:szCs w:val="24"/>
        </w:rPr>
        <w:t>Despite growing interest in blue carbon markets, the three foundational principles of permanence, additionality, and leakage each present serious unresolved challenges to the credibility of blue carbon credits. Buffer pools — the primary mechanism used to guarantee permanence — have been shown to be insufficient to cover carbon losses from climate-driven disturbances such as storms and sea-level rise, raising questions about whether promised permanence can be reliably delivered (Anderegg et al., 2025). Additionality is equally difficult to establish, as analyses of nature-based conservation projects have consistently found that carbon credits are issued against inflated baseline scenarios that overestimate the threat of deforestation, meaning many credits may not represent genuine additional emissions reductions (West et al., 2023). Accurate quantification is further complicated by the inherent variability of natural carbon fluxes in coastal ecosystems, which makes it difficult to define reliable baselines and attribute changes unambiguously to project activities — a problem that also creates conditions under which leakage goes undetected and unaccounted for (Mengis et al., 2023).</w:t>
      </w:r>
    </w:p>
    <w:p w14:paraId="37CB4D44"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.2.2. Price Volatility and Transaction Costs</w:t>
      </w:r>
    </w:p>
    <w:p w14:paraId="0D5FF54F" w14:textId="77777777" w:rsidR="004E5A45" w:rsidRPr="00917D0A" w:rsidRDefault="009C51D6" w:rsidP="00C06382">
      <w:pPr>
        <w:pStyle w:val="MdSpace"/>
        <w:spacing w:after="60" w:line="360" w:lineRule="auto"/>
        <w:jc w:val="both"/>
        <w:rPr>
          <w:sz w:val="24"/>
          <w:szCs w:val="24"/>
        </w:rPr>
      </w:pPr>
      <w:r w:rsidRPr="00917D0A">
        <w:rPr>
          <w:sz w:val="24"/>
          <w:szCs w:val="24"/>
        </w:rPr>
        <w:t>Carbon markets are marked by price volatility, which makes planning difficult for project developers and investors. Credit prices can change sharply depending on government policy, economic conditions, and public opinion (Uddin et al., 2025; Wang et al., 2025). This unpredictability makes it hard for developers to secure the long-term funding they need to carry out their projects. Getting a blue carbon project started is also expensive. Developers must pay for site surveys, community consultations, and the process of getting credits officially certified and verified before any income can be earned (Friess et al., 2022). These costs are a major obstacle for small-scale projects and local communities, for whom the expenses of entering the market can easily outweigh the potential financial returns (Li et al., 2025).</w:t>
      </w:r>
    </w:p>
    <w:p w14:paraId="355295BE"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 Governance and Institutional Obstacles</w:t>
      </w:r>
    </w:p>
    <w:p w14:paraId="3C475CC9" w14:textId="77777777" w:rsidR="004E5A45" w:rsidRPr="00917D0A" w:rsidRDefault="00D40E11" w:rsidP="00D40E11">
      <w:pPr>
        <w:pStyle w:val="MdSpace"/>
        <w:spacing w:after="60" w:line="360" w:lineRule="auto"/>
        <w:ind w:firstLine="720"/>
        <w:jc w:val="both"/>
        <w:rPr>
          <w:sz w:val="24"/>
          <w:szCs w:val="24"/>
        </w:rPr>
      </w:pPr>
      <w:r w:rsidRPr="00D40E11">
        <w:rPr>
          <w:sz w:val="24"/>
          <w:szCs w:val="24"/>
        </w:rPr>
        <w:t>There are several financial and market barriers preventing strong markets for blue carbon from emerging. Such barriers can hinder project developers’ ability to raise the capital they need to bring their projects to fruition.</w:t>
      </w:r>
    </w:p>
    <w:p w14:paraId="18BF5ECB" w14:textId="77777777" w:rsidR="004E5A45" w:rsidRPr="004D0947" w:rsidRDefault="00D40E11" w:rsidP="001948CF">
      <w:pPr>
        <w:pStyle w:val="MdHeading4"/>
        <w:jc w:val="both"/>
        <w:rPr>
          <w:rFonts w:ascii="Arial" w:hAnsi="Arial" w:cs="Arial"/>
          <w:sz w:val="24"/>
          <w:szCs w:val="24"/>
        </w:rPr>
      </w:pPr>
      <w:r w:rsidRPr="004D0947">
        <w:rPr>
          <w:rFonts w:ascii="Arial" w:hAnsi="Arial" w:cs="Arial"/>
          <w:sz w:val="24"/>
          <w:szCs w:val="24"/>
        </w:rPr>
        <w:lastRenderedPageBreak/>
        <w:t>4</w:t>
      </w:r>
      <w:r w:rsidR="003E1ABA" w:rsidRPr="004D0947">
        <w:rPr>
          <w:rFonts w:ascii="Arial" w:hAnsi="Arial" w:cs="Arial"/>
          <w:sz w:val="24"/>
          <w:szCs w:val="24"/>
        </w:rPr>
        <w:t>.3.1. Tenure and Property Rights</w:t>
      </w:r>
    </w:p>
    <w:p w14:paraId="00A44813" w14:textId="77777777" w:rsidR="004E5A45" w:rsidRPr="00917D0A" w:rsidRDefault="003E1ABA" w:rsidP="00EE7136">
      <w:pPr>
        <w:pStyle w:val="MdParagraph"/>
        <w:spacing w:line="360" w:lineRule="auto"/>
        <w:ind w:firstLine="720"/>
        <w:jc w:val="both"/>
      </w:pPr>
      <w:r w:rsidRPr="00917D0A">
        <w:t>.</w:t>
      </w:r>
      <w:r w:rsidR="00C06382" w:rsidRPr="00917D0A">
        <w:t xml:space="preserve"> </w:t>
      </w:r>
      <w:r w:rsidR="00D40E11" w:rsidRPr="00D40E11">
        <w:t>In many coastal regions, land and sea tenure is complex and contested. Uncertainty about legal or secure property rights over land and resources can therefore create uncertainty around who has the right to benefit from blue carbon projects, leading to conflict and undermining community buy-in for conservation efforts (Bell-James et al., 2023). In many developing countries, for instance, coastal communities may hold customary rights to access and manage coastal resources but lack any legal recognition of those rights by the state. This makes designing clear and equitable benefit-sharing arrangements for blue carbon projects hard (</w:t>
      </w:r>
      <w:proofErr w:type="spellStart"/>
      <w:r w:rsidR="00D40E11" w:rsidRPr="00D40E11">
        <w:t>Dencer</w:t>
      </w:r>
      <w:proofErr w:type="spellEnd"/>
      <w:r w:rsidR="00D40E11" w:rsidRPr="00D40E11">
        <w:t>-Brown et al., 2022).</w:t>
      </w:r>
    </w:p>
    <w:p w14:paraId="396DA877" w14:textId="77777777" w:rsidR="00D40E11" w:rsidRPr="004D0947" w:rsidRDefault="00D40E11" w:rsidP="001948CF">
      <w:pPr>
        <w:pStyle w:val="MdHeading4"/>
        <w:jc w:val="both"/>
        <w:rPr>
          <w:rFonts w:ascii="Arial" w:hAnsi="Arial" w:cs="Arial"/>
          <w:sz w:val="24"/>
          <w:szCs w:val="24"/>
        </w:rPr>
      </w:pPr>
      <w:r w:rsidRPr="004D0947">
        <w:rPr>
          <w:rFonts w:ascii="Arial" w:hAnsi="Arial" w:cs="Arial"/>
          <w:sz w:val="24"/>
          <w:szCs w:val="24"/>
        </w:rPr>
        <w:t>4</w:t>
      </w:r>
      <w:r w:rsidR="003E1ABA" w:rsidRPr="004D0947">
        <w:rPr>
          <w:rFonts w:ascii="Arial" w:hAnsi="Arial" w:cs="Arial"/>
          <w:sz w:val="24"/>
          <w:szCs w:val="24"/>
        </w:rPr>
        <w:t>.3.2. Lack of Integrated Policy Frameworks</w:t>
      </w:r>
    </w:p>
    <w:p w14:paraId="3EE4B379" w14:textId="77777777" w:rsidR="004E5A45" w:rsidRPr="00D40E11" w:rsidRDefault="00D40E11" w:rsidP="00D40E11">
      <w:pPr>
        <w:pStyle w:val="MdHeading4"/>
        <w:spacing w:line="360" w:lineRule="auto"/>
        <w:jc w:val="both"/>
        <w:rPr>
          <w:b w:val="0"/>
          <w:sz w:val="24"/>
          <w:szCs w:val="24"/>
        </w:rPr>
      </w:pPr>
      <w:r w:rsidRPr="00D40E11">
        <w:rPr>
          <w:b w:val="0"/>
        </w:rPr>
        <w:t xml:space="preserve"> </w:t>
      </w:r>
      <w:r>
        <w:rPr>
          <w:b w:val="0"/>
        </w:rPr>
        <w:tab/>
      </w:r>
      <w:r w:rsidRPr="00D40E11">
        <w:rPr>
          <w:b w:val="0"/>
          <w:sz w:val="24"/>
          <w:szCs w:val="24"/>
        </w:rPr>
        <w:t>However, policies are still fragmented and there has been little coordination among the many government agencies who manage coastal resources in many countries (Atchison et al., 2024). This may result in competing agendas and prevented the formation of a coherent and strategic approach to blue carbon management. For instance, an agency that is responsible for promoting aquaculture development may be acting at cross-purposes to an agency that is responsible for protecting mangrove forests (</w:t>
      </w:r>
      <w:proofErr w:type="spellStart"/>
      <w:r w:rsidRPr="00D40E11">
        <w:rPr>
          <w:b w:val="0"/>
          <w:sz w:val="24"/>
          <w:szCs w:val="24"/>
        </w:rPr>
        <w:t>Sidik</w:t>
      </w:r>
      <w:proofErr w:type="spellEnd"/>
      <w:r w:rsidRPr="00D40E11">
        <w:rPr>
          <w:b w:val="0"/>
          <w:sz w:val="24"/>
          <w:szCs w:val="24"/>
        </w:rPr>
        <w:t xml:space="preserve"> et al., 2023). Such inconsistencies in policy can lead to uncertainty for investors which could threaten the implementation of blue carbon projects (</w:t>
      </w:r>
      <w:proofErr w:type="spellStart"/>
      <w:r w:rsidRPr="00D40E11">
        <w:rPr>
          <w:b w:val="0"/>
          <w:sz w:val="24"/>
          <w:szCs w:val="24"/>
        </w:rPr>
        <w:t>Purushotham</w:t>
      </w:r>
      <w:proofErr w:type="spellEnd"/>
      <w:r w:rsidRPr="00D40E11">
        <w:rPr>
          <w:b w:val="0"/>
          <w:sz w:val="24"/>
          <w:szCs w:val="24"/>
        </w:rPr>
        <w:t xml:space="preserve"> &amp; Thompson, 2025).</w:t>
      </w:r>
    </w:p>
    <w:p w14:paraId="66C610E1" w14:textId="77777777" w:rsidR="004E5A45" w:rsidRPr="004D0947" w:rsidRDefault="004D0947" w:rsidP="001948CF">
      <w:pPr>
        <w:pStyle w:val="MdHeading2"/>
        <w:jc w:val="both"/>
        <w:rPr>
          <w:rFonts w:ascii="Arial" w:hAnsi="Arial" w:cs="Arial"/>
          <w:sz w:val="24"/>
          <w:szCs w:val="24"/>
        </w:rPr>
      </w:pPr>
      <w:r w:rsidRPr="004D0947">
        <w:rPr>
          <w:rFonts w:ascii="Arial" w:hAnsi="Arial" w:cs="Arial"/>
          <w:sz w:val="24"/>
          <w:szCs w:val="24"/>
        </w:rPr>
        <w:t>5. POLICY IMPLICATIONS AND A PATH FORWARD</w:t>
      </w:r>
    </w:p>
    <w:p w14:paraId="57828578" w14:textId="77777777" w:rsidR="004E5A45" w:rsidRPr="00917D0A" w:rsidRDefault="00D40E11" w:rsidP="00D40E11">
      <w:pPr>
        <w:pStyle w:val="MdSpace"/>
        <w:spacing w:after="60" w:line="360" w:lineRule="auto"/>
        <w:ind w:firstLine="720"/>
        <w:jc w:val="both"/>
        <w:rPr>
          <w:sz w:val="24"/>
          <w:szCs w:val="24"/>
        </w:rPr>
      </w:pPr>
      <w:r w:rsidRPr="00D40E11">
        <w:rPr>
          <w:sz w:val="24"/>
          <w:szCs w:val="24"/>
        </w:rPr>
        <w:t>Thus, overcoming challenges associated with blue carbon valuation and realizing the full potential of these ecosystems can only be achieved through developing and implementing enabling policy frameworks. This section sets forth some of the most important policy implications and recommends a path forward for integrating blue carbon into climate and conservation agendas, enhancing financial mechanisms, and improving governance stakeholder engagement. Blue carbon projects require a proactive and integrated policy approach that enables them to function effectively as coastal environmental solutions, providing co-benefits at their fullest extent.</w:t>
      </w:r>
    </w:p>
    <w:p w14:paraId="45471E7E" w14:textId="77777777" w:rsidR="00EF6CE1" w:rsidRPr="00917D0A" w:rsidRDefault="00EF6CE1" w:rsidP="001948CF">
      <w:pPr>
        <w:pStyle w:val="MdHeading3"/>
        <w:jc w:val="both"/>
        <w:rPr>
          <w:sz w:val="24"/>
          <w:szCs w:val="24"/>
        </w:rPr>
      </w:pPr>
      <w:r w:rsidRPr="00917D0A">
        <w:rPr>
          <w:noProof/>
          <w:sz w:val="24"/>
          <w:szCs w:val="24"/>
        </w:rPr>
        <w:lastRenderedPageBreak/>
        <w:drawing>
          <wp:inline distT="0" distB="0" distL="0" distR="0" wp14:anchorId="4166080D" wp14:editId="024FB23E">
            <wp:extent cx="5730875" cy="31216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3121660"/>
                    </a:xfrm>
                    <a:prstGeom prst="rect">
                      <a:avLst/>
                    </a:prstGeom>
                    <a:noFill/>
                  </pic:spPr>
                </pic:pic>
              </a:graphicData>
            </a:graphic>
          </wp:inline>
        </w:drawing>
      </w:r>
    </w:p>
    <w:p w14:paraId="54698FB4" w14:textId="77777777" w:rsidR="00EF6CE1" w:rsidRPr="00917D0A" w:rsidRDefault="00EF6CE1" w:rsidP="00EF6CE1">
      <w:pPr>
        <w:pStyle w:val="MdHeading3"/>
        <w:jc w:val="center"/>
        <w:rPr>
          <w:sz w:val="24"/>
          <w:szCs w:val="24"/>
        </w:rPr>
      </w:pPr>
      <w:r w:rsidRPr="00917D0A">
        <w:rPr>
          <w:sz w:val="24"/>
          <w:szCs w:val="24"/>
        </w:rPr>
        <w:t>Figure 4: Path Forward: An Integrated Approach for Blue Carbon Mainstreaming</w:t>
      </w:r>
    </w:p>
    <w:p w14:paraId="70BAD49D" w14:textId="77777777" w:rsidR="004E5A45" w:rsidRPr="004D0947" w:rsidRDefault="00D40E11" w:rsidP="001948CF">
      <w:pPr>
        <w:pStyle w:val="MdHeading3"/>
        <w:jc w:val="both"/>
        <w:rPr>
          <w:rFonts w:ascii="Arial" w:hAnsi="Arial" w:cs="Arial"/>
          <w:sz w:val="24"/>
          <w:szCs w:val="24"/>
        </w:rPr>
      </w:pPr>
      <w:r w:rsidRPr="004D0947">
        <w:rPr>
          <w:rFonts w:ascii="Arial" w:hAnsi="Arial" w:cs="Arial"/>
          <w:sz w:val="24"/>
          <w:szCs w:val="24"/>
        </w:rPr>
        <w:t>5</w:t>
      </w:r>
      <w:r w:rsidR="003E1ABA" w:rsidRPr="004D0947">
        <w:rPr>
          <w:rFonts w:ascii="Arial" w:hAnsi="Arial" w:cs="Arial"/>
          <w:sz w:val="24"/>
          <w:szCs w:val="24"/>
        </w:rPr>
        <w:t>.1. Mainstreaming Blue Carbon in Climate and Conservation Policy</w:t>
      </w:r>
    </w:p>
    <w:p w14:paraId="4A7B7E46" w14:textId="77777777" w:rsidR="004E5A45" w:rsidRPr="00917D0A" w:rsidRDefault="00D40E11" w:rsidP="00D40E11">
      <w:pPr>
        <w:pStyle w:val="MdSpace"/>
        <w:spacing w:after="60" w:line="360" w:lineRule="auto"/>
        <w:ind w:firstLine="360"/>
        <w:jc w:val="both"/>
        <w:rPr>
          <w:sz w:val="24"/>
          <w:szCs w:val="24"/>
        </w:rPr>
      </w:pPr>
      <w:r w:rsidRPr="00D40E11">
        <w:rPr>
          <w:sz w:val="24"/>
          <w:szCs w:val="24"/>
        </w:rPr>
        <w:t>Formalization of blue carbon within national and international policy systems is a vital step for unlocking its potential benefits. This entails utilizing existing international frameworks as well as creating cohesive national policies. Embedding blue carbon within these frameworks allows governments to provide clarity on their engagement with this natural-based solution, and towards building a predictable and bankable environment for investment.</w:t>
      </w:r>
    </w:p>
    <w:p w14:paraId="7EA82B5A" w14:textId="77777777" w:rsidR="00B81F19" w:rsidRPr="00917D0A" w:rsidRDefault="003E1ABA" w:rsidP="00435709">
      <w:pPr>
        <w:pStyle w:val="MdListItem"/>
        <w:numPr>
          <w:ilvl w:val="0"/>
          <w:numId w:val="2"/>
        </w:numPr>
        <w:spacing w:line="360" w:lineRule="auto"/>
        <w:jc w:val="both"/>
        <w:rPr>
          <w:b/>
        </w:rPr>
      </w:pPr>
      <w:r w:rsidRPr="00917D0A">
        <w:rPr>
          <w:rStyle w:val="MdStrong"/>
        </w:rPr>
        <w:t>Nationally Determined Contributions (NDCs):</w:t>
      </w:r>
      <w:r w:rsidR="00B81F19" w:rsidRPr="00917D0A">
        <w:t xml:space="preserve"> </w:t>
      </w:r>
      <w:r w:rsidR="00435709" w:rsidRPr="00435709">
        <w:t>The Paris Agreements offer a powerful guide for integrating blue carbon in to national climate change mitigation and adaptation action. Countries can include specific targets for the conservation and restoration of blue carbon ecosystems in their NDCs, thus demonstrating their commitment to deployi</w:t>
      </w:r>
      <w:r w:rsidR="007667F3">
        <w:t>ng these nature-based solutions</w:t>
      </w:r>
      <w:r w:rsidR="00435709" w:rsidRPr="00435709">
        <w:t xml:space="preserve"> (Hamilton et al., 2023). Indonesia, for instance, has included mangrove blue carbon in its NDC, pledging to restore mangroves at a wide scale that would potentially mitigate 8% of the country’s forestry sector targets of its 2030 NDC (</w:t>
      </w:r>
      <w:proofErr w:type="spellStart"/>
      <w:r w:rsidR="00435709" w:rsidRPr="00435709">
        <w:t>Arifanti</w:t>
      </w:r>
      <w:proofErr w:type="spellEnd"/>
      <w:r w:rsidR="00435709" w:rsidRPr="00435709">
        <w:t xml:space="preserve"> et al., 2022; </w:t>
      </w:r>
      <w:proofErr w:type="spellStart"/>
      <w:r w:rsidR="00435709" w:rsidRPr="00435709">
        <w:t>Sidik</w:t>
      </w:r>
      <w:proofErr w:type="spellEnd"/>
      <w:r w:rsidR="00435709" w:rsidRPr="00435709">
        <w:t xml:space="preserve"> et al., 2023). Likewise, Belize created his evidence-based NDC targets for mangrove protection (12,000 ha) and restoration (4,000 ha) by 2030 based on quantified carbon and co-benefit analyses (Arkema et al., 2023). This was not only seen as a contribution to global climate goals, but also served as a strong policy signal for investors looking into blue carbon projects (</w:t>
      </w:r>
      <w:proofErr w:type="spellStart"/>
      <w:r w:rsidR="00435709" w:rsidRPr="00435709">
        <w:t>Purushotham</w:t>
      </w:r>
      <w:proofErr w:type="spellEnd"/>
      <w:r w:rsidR="00435709" w:rsidRPr="00435709">
        <w:t xml:space="preserve"> &amp; Thompson, 2025).</w:t>
      </w:r>
    </w:p>
    <w:p w14:paraId="10A03CA6" w14:textId="2F33FF70" w:rsidR="00435709" w:rsidRDefault="003E1ABA" w:rsidP="00C62F4D">
      <w:pPr>
        <w:pStyle w:val="MdListItem"/>
        <w:numPr>
          <w:ilvl w:val="0"/>
          <w:numId w:val="2"/>
        </w:numPr>
        <w:spacing w:line="360" w:lineRule="auto"/>
        <w:jc w:val="both"/>
      </w:pPr>
      <w:r w:rsidRPr="00917D0A">
        <w:rPr>
          <w:rStyle w:val="MdStrong"/>
        </w:rPr>
        <w:lastRenderedPageBreak/>
        <w:t>International Conventions:</w:t>
      </w:r>
      <w:r w:rsidR="00435709">
        <w:t xml:space="preserve"> </w:t>
      </w:r>
      <w:r w:rsidR="00435709" w:rsidRPr="00435709">
        <w:t xml:space="preserve">In addition to the </w:t>
      </w:r>
      <w:r w:rsidR="007667F3" w:rsidRPr="007667F3">
        <w:t>United Nations Framewo</w:t>
      </w:r>
      <w:r w:rsidR="007667F3">
        <w:t>rk Convention on Climate Change (</w:t>
      </w:r>
      <w:r w:rsidR="00435709" w:rsidRPr="00435709">
        <w:t>UNFCCC</w:t>
      </w:r>
      <w:r w:rsidR="007667F3">
        <w:t>)</w:t>
      </w:r>
      <w:r w:rsidR="00435709" w:rsidRPr="00435709">
        <w:t>, other international conventions present opportunities for advancing the blue carbon agenda. Blue carbon ecosystems pose co-benefits for biodiversity conservation and sustainable use, which the Convention on Biological Diversity (CBD) is able to address in part (</w:t>
      </w:r>
      <w:proofErr w:type="spellStart"/>
      <w:r w:rsidR="00435709" w:rsidRPr="00435709">
        <w:t>Mayencamp</w:t>
      </w:r>
      <w:proofErr w:type="spellEnd"/>
      <w:r w:rsidR="00435709" w:rsidRPr="00435709">
        <w:t xml:space="preserve"> et al., 2020 reference; Macreadie et al., 2021). The Kunming-Montreal Global Biodiversity Framework (KM-GBF), adopted in 2022 and including targets to restore degraded ecosystems and cover the world's ocean and land areas with protection by at least 30% by the year 2030, is directly relevant to blue carbon ecosystems (Fu et al., 2024). 1° by 2030, meeting targets could provide 2.8% of all reductions needed to achieve these goals but funding needs greatly exceed current pledges (Fu et al., 2024). The Ramsar Convention on Wetlands also is an important framework for promoting the wise use of coastal wetlands, including mangroves and salt marshes (Adame et al., 2024). Lastly, the Sustainable Development Goals (SDGs), especially SDG 13 on Climate Action and SDG14 on Life </w:t>
      </w:r>
      <w:proofErr w:type="gramStart"/>
      <w:r w:rsidR="00435709" w:rsidRPr="00435709">
        <w:t>Below</w:t>
      </w:r>
      <w:proofErr w:type="gramEnd"/>
      <w:r w:rsidR="00435709" w:rsidRPr="00435709">
        <w:t xml:space="preserve"> Water, provide additional policy motivation for investing in blue carbon conservation and restoration (Schindler Murray et al., 2023).</w:t>
      </w:r>
    </w:p>
    <w:p w14:paraId="6E435BCF" w14:textId="77777777" w:rsidR="00435709" w:rsidRDefault="00435709" w:rsidP="00435709">
      <w:pPr>
        <w:pStyle w:val="MdListItem"/>
        <w:spacing w:line="360" w:lineRule="auto"/>
        <w:ind w:left="360" w:firstLine="0"/>
        <w:jc w:val="both"/>
      </w:pPr>
    </w:p>
    <w:p w14:paraId="2925F42F" w14:textId="77777777" w:rsidR="004E5A45" w:rsidRPr="004D0947" w:rsidRDefault="00D40E11" w:rsidP="00435709">
      <w:pPr>
        <w:pStyle w:val="MdListItem"/>
        <w:spacing w:line="360" w:lineRule="auto"/>
        <w:ind w:left="360" w:firstLine="0"/>
        <w:jc w:val="both"/>
        <w:rPr>
          <w:rFonts w:ascii="Arial" w:hAnsi="Arial" w:cs="Arial"/>
          <w:b/>
        </w:rPr>
      </w:pPr>
      <w:r w:rsidRPr="004D0947">
        <w:rPr>
          <w:rFonts w:ascii="Arial" w:hAnsi="Arial" w:cs="Arial"/>
        </w:rPr>
        <w:t>5</w:t>
      </w:r>
      <w:r w:rsidR="003E1ABA" w:rsidRPr="004D0947">
        <w:rPr>
          <w:rFonts w:ascii="Arial" w:hAnsi="Arial" w:cs="Arial"/>
        </w:rPr>
        <w:t xml:space="preserve">.2. </w:t>
      </w:r>
      <w:r w:rsidR="003E1ABA" w:rsidRPr="004D0947">
        <w:rPr>
          <w:rFonts w:ascii="Arial" w:hAnsi="Arial" w:cs="Arial"/>
          <w:b/>
        </w:rPr>
        <w:t>Strengthening Financial Mechanisms and Markets</w:t>
      </w:r>
    </w:p>
    <w:p w14:paraId="30157CC7" w14:textId="77777777" w:rsidR="00435709" w:rsidRPr="00435709" w:rsidRDefault="00435709" w:rsidP="00435709">
      <w:pPr>
        <w:pStyle w:val="MdListItem"/>
        <w:spacing w:line="360" w:lineRule="auto"/>
        <w:ind w:left="360" w:firstLine="360"/>
        <w:jc w:val="both"/>
      </w:pPr>
      <w:r w:rsidRPr="00435709">
        <w:t>New private and public financial mechanisms are needed to enable large-scale investments in blue carbon conservation and restoration. Achieving this requires scaling up existing market-based instruments and the search for new sources of finance. It is estimated that hundreds of billions of dollars will be needed to restore mangrove, seagrass and tidal marsh habitats, which cannot be met with public funding alone (Lovelock &amp; Duarte, 2025).</w:t>
      </w:r>
    </w:p>
    <w:p w14:paraId="43609FA1" w14:textId="77777777" w:rsidR="004E5A45" w:rsidRPr="00917D0A" w:rsidRDefault="004E5A45" w:rsidP="001948CF">
      <w:pPr>
        <w:pStyle w:val="MdSpace"/>
        <w:spacing w:after="60"/>
        <w:jc w:val="both"/>
        <w:rPr>
          <w:sz w:val="24"/>
          <w:szCs w:val="24"/>
        </w:rPr>
      </w:pPr>
    </w:p>
    <w:p w14:paraId="6CD8CC50" w14:textId="77777777" w:rsidR="004E5A45" w:rsidRPr="00917D0A" w:rsidRDefault="003E1ABA" w:rsidP="00435709">
      <w:pPr>
        <w:pStyle w:val="MdListItem"/>
        <w:numPr>
          <w:ilvl w:val="0"/>
          <w:numId w:val="2"/>
        </w:numPr>
        <w:spacing w:line="360" w:lineRule="auto"/>
        <w:jc w:val="both"/>
        <w:rPr>
          <w:b/>
        </w:rPr>
      </w:pPr>
      <w:r w:rsidRPr="00917D0A">
        <w:rPr>
          <w:rStyle w:val="MdStrong"/>
        </w:rPr>
        <w:t>Enhancing Carbon Markets:</w:t>
      </w:r>
      <w:r w:rsidR="00670D30" w:rsidRPr="00917D0A">
        <w:t xml:space="preserve"> </w:t>
      </w:r>
      <w:r w:rsidR="00435709" w:rsidRPr="00435709">
        <w:t xml:space="preserve">Finally, we must strengthen the integrity and transparency of carbon markets to build credibility in blue carbon credits. This also encompasses the ongoing advancement of rigorous carbon accounting methodologies based on solid science, alongside the introduction of stringent monitoring, reporting, and verification systems (Dahl et al., 2025). The introduction of new technologies such as remote sensing and artificial intelligence can contribute significantly to more accurate MRV (Pham et al., 2023; Araya-Lopez et al., 2023) while potentially making it also more cost-effective (Dutta Roy et al., 2024). Additionally, as we are witnessing the rapid growth of blue carbon credits (over 6.96 million credits issued globally in </w:t>
      </w:r>
      <w:r w:rsidR="00435709" w:rsidRPr="00435709">
        <w:lastRenderedPageBreak/>
        <w:t>2025) worldwide (Farahmand et al., 2025; Macreadie et al., 2022; Simpson et al., 2025), efforts to create standing-ready solutions that standardize carbon credit certification and thus create an even playing field for project developers are vital.</w:t>
      </w:r>
    </w:p>
    <w:p w14:paraId="5422F752" w14:textId="77777777" w:rsidR="00435709" w:rsidRPr="00435709" w:rsidRDefault="003E1ABA" w:rsidP="00435709">
      <w:pPr>
        <w:pStyle w:val="MdListItem"/>
        <w:numPr>
          <w:ilvl w:val="0"/>
          <w:numId w:val="2"/>
        </w:numPr>
        <w:spacing w:line="360" w:lineRule="auto"/>
        <w:jc w:val="both"/>
        <w:rPr>
          <w:rStyle w:val="MdStrong"/>
          <w:b w:val="0"/>
          <w:bCs w:val="0"/>
        </w:rPr>
      </w:pPr>
      <w:r w:rsidRPr="00917D0A">
        <w:rPr>
          <w:rStyle w:val="MdStrong"/>
        </w:rPr>
        <w:t xml:space="preserve">Innovative </w:t>
      </w:r>
      <w:r w:rsidR="007667F3" w:rsidRPr="00917D0A">
        <w:rPr>
          <w:rStyle w:val="MdStrong"/>
        </w:rPr>
        <w:t>Financing:</w:t>
      </w:r>
      <w:r w:rsidR="007667F3" w:rsidRPr="00435709">
        <w:rPr>
          <w:rStyle w:val="MdStrong"/>
          <w:b w:val="0"/>
        </w:rPr>
        <w:t xml:space="preserve"> Beyond</w:t>
      </w:r>
      <w:r w:rsidR="00435709" w:rsidRPr="00435709">
        <w:rPr>
          <w:rStyle w:val="MdStrong"/>
          <w:b w:val="0"/>
        </w:rPr>
        <w:t xml:space="preserve"> carbon markets, a diverse range of innovative financing instruments can facilitate mobilization of investments in blue carbon projects. When the funds raised are used directly for beneficial marine and coastal projects, such bonds assume the name of Blue bonds (Bosmans &amp; de Mariz, 2023). Seychelles produced the world’s first sovereign blue bond in 2018, raising $15 million worth of capital to expand the country’s marine protected areas (Li et al., 2025). Debt-for-nature swaps allow developing countries to spend payments on debt on conservation instead. Belize was also the first country to undertake such a swap in 2021 when it raised $364 million for marine conservation, which constituted the largest debt refinancing for ocean conservation ever (Fontana-Raina &amp; Grund, 2024). PES schemes directly link the beneficiaries of ecosystem services to communities that protect these natural resources, thus creating a sustainable source of funding for conservation (Le et al., 2024)</w:t>
      </w:r>
      <w:r w:rsidR="000653EF">
        <w:rPr>
          <w:rStyle w:val="MdStrong"/>
          <w:b w:val="0"/>
        </w:rPr>
        <w:t xml:space="preserve">. </w:t>
      </w:r>
      <w:r w:rsidR="00435709" w:rsidRPr="00435709">
        <w:rPr>
          <w:rStyle w:val="MdStrong"/>
          <w:b w:val="0"/>
        </w:rPr>
        <w:t xml:space="preserve"> For example, a water utility might compensate coastal communities for protecting a mangrove forest that maintains water quality.</w:t>
      </w:r>
    </w:p>
    <w:p w14:paraId="5C76F21C" w14:textId="77777777" w:rsidR="004E5A45" w:rsidRPr="004D0947" w:rsidRDefault="00D40E11" w:rsidP="00435709">
      <w:pPr>
        <w:pStyle w:val="MdListItem"/>
        <w:spacing w:line="360" w:lineRule="auto"/>
        <w:ind w:left="360" w:firstLine="0"/>
        <w:jc w:val="both"/>
        <w:rPr>
          <w:rFonts w:ascii="Arial" w:hAnsi="Arial" w:cs="Arial"/>
          <w:b/>
        </w:rPr>
      </w:pPr>
      <w:r w:rsidRPr="004D0947">
        <w:rPr>
          <w:rFonts w:ascii="Arial" w:hAnsi="Arial" w:cs="Arial"/>
          <w:b/>
        </w:rPr>
        <w:t>5</w:t>
      </w:r>
      <w:r w:rsidR="003E1ABA" w:rsidRPr="004D0947">
        <w:rPr>
          <w:rFonts w:ascii="Arial" w:hAnsi="Arial" w:cs="Arial"/>
          <w:b/>
        </w:rPr>
        <w:t>.3. Advancing Governance and Stakeholder Engagement</w:t>
      </w:r>
    </w:p>
    <w:p w14:paraId="5A32F689" w14:textId="77777777" w:rsidR="004E5A45" w:rsidRPr="00917D0A" w:rsidRDefault="000653EF" w:rsidP="000653EF">
      <w:pPr>
        <w:pStyle w:val="MdSpace"/>
        <w:spacing w:after="60" w:line="360" w:lineRule="auto"/>
        <w:ind w:firstLine="360"/>
        <w:jc w:val="both"/>
        <w:rPr>
          <w:sz w:val="24"/>
          <w:szCs w:val="24"/>
        </w:rPr>
      </w:pPr>
      <w:r w:rsidRPr="000653EF">
        <w:rPr>
          <w:sz w:val="24"/>
          <w:szCs w:val="24"/>
        </w:rPr>
        <w:t>Good governance and inclusive stakeholder engagement are critical components to blue carbon project success and sustainability. This entails moving away from top-down, centralized models of management towards more inclusive and participatory forms of governance</w:t>
      </w:r>
    </w:p>
    <w:p w14:paraId="7028C1DB" w14:textId="77777777" w:rsidR="009B6E99" w:rsidRPr="00917D0A" w:rsidRDefault="003E1ABA" w:rsidP="000653EF">
      <w:pPr>
        <w:pStyle w:val="ListParagraph"/>
        <w:numPr>
          <w:ilvl w:val="0"/>
          <w:numId w:val="2"/>
        </w:numPr>
        <w:spacing w:line="360" w:lineRule="auto"/>
        <w:jc w:val="both"/>
      </w:pPr>
      <w:r w:rsidRPr="00917D0A">
        <w:rPr>
          <w:rStyle w:val="MdStrong"/>
        </w:rPr>
        <w:t>Integrated Coastal and Marine Spatial Planning (CMSP):</w:t>
      </w:r>
      <w:r w:rsidRPr="00917D0A">
        <w:t xml:space="preserve"> </w:t>
      </w:r>
      <w:r w:rsidR="000653EF" w:rsidRPr="000653EF">
        <w:t>Integrated Coastal and Marine Spatial Planning (CMSP) is an inclusive and science-based process to allocate marine and coastal areas among competing uses. This approach emphasizes bringing together all relevant stakeholders such as government agencies, the private sector, civil society, and local communities to resolve potential conflicts among uses (i.e., the blue carbon projects) and identify priority areas for conservation and restoration as well as ensure benefits are equitably shared from these blue carbon initiatives (Lin et al. 2026; Wedding et al. 2026). Additionally, the establishment of a robust CMSP rendering HSIs more attractive to investors (Queirós et al., 2025).</w:t>
      </w:r>
    </w:p>
    <w:p w14:paraId="66A1D176" w14:textId="77777777" w:rsidR="000653EF" w:rsidRDefault="003E1ABA" w:rsidP="000653EF">
      <w:pPr>
        <w:pStyle w:val="MdListItem"/>
        <w:numPr>
          <w:ilvl w:val="0"/>
          <w:numId w:val="2"/>
        </w:numPr>
        <w:spacing w:line="360" w:lineRule="auto"/>
        <w:jc w:val="both"/>
      </w:pPr>
      <w:r w:rsidRPr="00917D0A">
        <w:rPr>
          <w:rStyle w:val="MdStrong"/>
        </w:rPr>
        <w:t>Community-Based Management and Indigenous Knowledge:</w:t>
      </w:r>
      <w:r w:rsidRPr="00917D0A">
        <w:t xml:space="preserve"> </w:t>
      </w:r>
      <w:r w:rsidR="000653EF" w:rsidRPr="000653EF">
        <w:t xml:space="preserve">The long-term viability of blue carbon projects relies on the engagement of local communities and their traditional rights being recognized. Community-based management strategies </w:t>
      </w:r>
      <w:r w:rsidR="000653EF" w:rsidRPr="000653EF">
        <w:lastRenderedPageBreak/>
        <w:t>involve empowering local communities to be the primary stewards of coastal resources, aligning conservation initiatives with social and economic development goals (</w:t>
      </w:r>
      <w:proofErr w:type="spellStart"/>
      <w:r w:rsidR="000653EF" w:rsidRPr="000653EF">
        <w:t>Dencer</w:t>
      </w:r>
      <w:proofErr w:type="spellEnd"/>
      <w:r w:rsidR="000653EF" w:rsidRPr="000653EF">
        <w:t>-Brown et al., 2022). Incorporating indigenous and local knowledge in project design facilitates more equitable and sustainable blue carbon projects, with traditional ecological knowledge offering unique perspectives on past distributions of these ecosystems as well as drivers of degradation (Costa et al., 2026). Therefore, any benefit-sharing mechanisms must be designed in an equitable manner so that a fair share of revenues generated from blue carbon projects reach the local communities (Karpowicz et al., 2024; Atchison et al., 2024) and there is transparent, accessible community engagement throughout the project development stages.</w:t>
      </w:r>
    </w:p>
    <w:p w14:paraId="68ED9313" w14:textId="77777777" w:rsidR="004E5A45" w:rsidRPr="004D0947" w:rsidRDefault="004D0947" w:rsidP="000653EF">
      <w:pPr>
        <w:pStyle w:val="MdListItem"/>
        <w:spacing w:line="360" w:lineRule="auto"/>
        <w:jc w:val="both"/>
        <w:rPr>
          <w:rFonts w:ascii="Arial" w:hAnsi="Arial" w:cs="Arial"/>
          <w:b/>
        </w:rPr>
      </w:pPr>
      <w:r w:rsidRPr="004D0947">
        <w:rPr>
          <w:rFonts w:ascii="Arial" w:hAnsi="Arial" w:cs="Arial"/>
          <w:b/>
        </w:rPr>
        <w:t>6. CONCLUSION</w:t>
      </w:r>
    </w:p>
    <w:p w14:paraId="7D303FBA"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Blue carbon ecosystem economic valuation is a key frontier in the transition towards sustainable, climate-resilient development. This review has collated the current knowledge on the methods, challenges and policy implications for valuing these important coastal habitats. Increasing importance and the co-benefits of mangroves, seagrass meadows and salt marshes as powerful carbon sinks are clear; these coastal habitats not only help slow climate change but also underpin the well-being of communities and planet. Value those ecosystems, therefore does not a theoretical task for accounting but an opportunity of informed decision making.</w:t>
      </w:r>
    </w:p>
    <w:p w14:paraId="3F09BE21" w14:textId="77777777" w:rsidR="000653EF" w:rsidRPr="000653EF" w:rsidRDefault="000653EF" w:rsidP="000653EF">
      <w:pPr>
        <w:pStyle w:val="MdSpace"/>
        <w:spacing w:after="60" w:line="360" w:lineRule="auto"/>
        <w:jc w:val="both"/>
        <w:rPr>
          <w:sz w:val="24"/>
          <w:szCs w:val="24"/>
        </w:rPr>
      </w:pPr>
    </w:p>
    <w:p w14:paraId="73CFBFB1"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Valuation methods for blue carbon ecosystems are varied and still developing, including market-based approaches utilizing the growing carbon markets as well as non-market methods attempting to elicit the more intangible values these ecosystems provide. Now we’ve made considerable progress within this field, but there are still several challenges left. The development of a comprehensive and standardized valuation framework remains hampered by scientific and methodological challenges, such as uncertainty in carbon accounting and the challenge to monetize non-market benefits. Financial and market barriers, including non-permanence risk and the high costs of projects for more efficient transactions, are stalling upscaling in blue carbon finance. Additionally, governance and institutional barriers such as insecure tenure and fragmented policy frameworks inhibit the effective and equitable implementation of blue carbon projects.</w:t>
      </w:r>
    </w:p>
    <w:p w14:paraId="03F9E2FD" w14:textId="77777777" w:rsidR="000653EF" w:rsidRPr="000653EF" w:rsidRDefault="000653EF" w:rsidP="000653EF">
      <w:pPr>
        <w:pStyle w:val="MdSpace"/>
        <w:spacing w:after="60" w:line="360" w:lineRule="auto"/>
        <w:jc w:val="both"/>
        <w:rPr>
          <w:sz w:val="24"/>
          <w:szCs w:val="24"/>
        </w:rPr>
      </w:pPr>
    </w:p>
    <w:p w14:paraId="2485B6CA" w14:textId="77777777" w:rsidR="000653EF" w:rsidRPr="000653EF" w:rsidRDefault="000653EF" w:rsidP="000653EF">
      <w:pPr>
        <w:pStyle w:val="MdSpace"/>
        <w:spacing w:after="60" w:line="360" w:lineRule="auto"/>
        <w:ind w:firstLine="360"/>
        <w:jc w:val="both"/>
        <w:rPr>
          <w:sz w:val="24"/>
          <w:szCs w:val="24"/>
        </w:rPr>
      </w:pPr>
      <w:r w:rsidRPr="000653EF">
        <w:rPr>
          <w:sz w:val="24"/>
          <w:szCs w:val="24"/>
        </w:rPr>
        <w:t xml:space="preserve">It will take all concerned working together to overcome these challenges. Moving forward requires the mainstreaming of blue carbon in national and international climate and </w:t>
      </w:r>
      <w:r w:rsidRPr="000653EF">
        <w:rPr>
          <w:sz w:val="24"/>
          <w:szCs w:val="24"/>
        </w:rPr>
        <w:lastRenderedPageBreak/>
        <w:t>conservation policies, leveraging financial mechanisms and markets to mobilize such investment, and strengthening governance frameworks and stakeholder engagement for sustainable success of blue carbon initiatives. Advancing this will take interdisciplinary research, technological innovation and the incorporation of native, local knowledge.</w:t>
      </w:r>
    </w:p>
    <w:p w14:paraId="38C223AC" w14:textId="77777777" w:rsidR="000653EF" w:rsidRPr="000653EF" w:rsidRDefault="000653EF" w:rsidP="000653EF">
      <w:pPr>
        <w:pStyle w:val="MdSpace"/>
        <w:spacing w:after="60" w:line="360" w:lineRule="auto"/>
        <w:jc w:val="both"/>
        <w:rPr>
          <w:sz w:val="24"/>
          <w:szCs w:val="24"/>
        </w:rPr>
      </w:pPr>
    </w:p>
    <w:p w14:paraId="0ADF517C" w14:textId="77777777" w:rsidR="004E5A45" w:rsidRDefault="000653EF" w:rsidP="000653EF">
      <w:pPr>
        <w:pStyle w:val="MdSpace"/>
        <w:spacing w:after="60" w:line="360" w:lineRule="auto"/>
        <w:ind w:firstLine="360"/>
        <w:jc w:val="both"/>
        <w:rPr>
          <w:sz w:val="24"/>
          <w:szCs w:val="24"/>
        </w:rPr>
      </w:pPr>
      <w:r w:rsidRPr="000653EF">
        <w:rPr>
          <w:sz w:val="24"/>
          <w:szCs w:val="24"/>
        </w:rPr>
        <w:t>The economic valuation of blue carbon ecosystems hence presents a strong route towards a more sustainable and climate-resilient world. We then need to put the full value of these ecosystems on display and make a compelling case for their conservation and restoration, unlocking the huge potential they hold to mitigate climate change, enhance biodiversity and support the livelihoods of millions around the world. The time to act is now. The future of this planet may hinge on it.</w:t>
      </w:r>
    </w:p>
    <w:p w14:paraId="3445A6EA" w14:textId="77777777" w:rsidR="00DB7E41" w:rsidRPr="004D0947" w:rsidRDefault="00DB7E41" w:rsidP="00DB7E41">
      <w:pPr>
        <w:pStyle w:val="MdSpace"/>
        <w:spacing w:after="60" w:line="360" w:lineRule="auto"/>
        <w:jc w:val="both"/>
        <w:rPr>
          <w:rFonts w:ascii="Arial" w:hAnsi="Arial" w:cs="Arial"/>
          <w:b/>
          <w:sz w:val="24"/>
          <w:szCs w:val="24"/>
        </w:rPr>
      </w:pPr>
      <w:r w:rsidRPr="004D0947">
        <w:rPr>
          <w:rFonts w:ascii="Arial" w:hAnsi="Arial" w:cs="Arial"/>
          <w:b/>
          <w:sz w:val="24"/>
          <w:szCs w:val="24"/>
        </w:rPr>
        <w:t>DISCLAIMER (ARTIFICIAL INTELLIGENCE)</w:t>
      </w:r>
    </w:p>
    <w:p w14:paraId="6F212091" w14:textId="77777777" w:rsidR="00DB7E41" w:rsidRDefault="00DB7E41" w:rsidP="00DB7E41">
      <w:pPr>
        <w:pStyle w:val="MdSpace"/>
        <w:spacing w:after="60" w:line="360" w:lineRule="auto"/>
        <w:ind w:firstLine="360"/>
        <w:jc w:val="both"/>
        <w:rPr>
          <w:sz w:val="24"/>
          <w:szCs w:val="24"/>
        </w:rPr>
      </w:pPr>
      <w:r w:rsidRPr="00DB7E41">
        <w:rPr>
          <w:sz w:val="24"/>
          <w:szCs w:val="24"/>
        </w:rPr>
        <w:t xml:space="preserve">Author(s) hereby declare that NO generative AI technologies such as </w:t>
      </w:r>
      <w:proofErr w:type="spellStart"/>
      <w:r w:rsidRPr="00DB7E41">
        <w:rPr>
          <w:sz w:val="24"/>
          <w:szCs w:val="24"/>
        </w:rPr>
        <w:t>LargeLanguage</w:t>
      </w:r>
      <w:proofErr w:type="spellEnd"/>
      <w:r w:rsidRPr="00DB7E41">
        <w:rPr>
          <w:sz w:val="24"/>
          <w:szCs w:val="24"/>
        </w:rPr>
        <w:t xml:space="preserve"> Models (</w:t>
      </w:r>
      <w:proofErr w:type="spellStart"/>
      <w:r w:rsidRPr="00DB7E41">
        <w:rPr>
          <w:sz w:val="24"/>
          <w:szCs w:val="24"/>
        </w:rPr>
        <w:t>ChatGPT</w:t>
      </w:r>
      <w:proofErr w:type="spellEnd"/>
      <w:r w:rsidRPr="00DB7E41">
        <w:rPr>
          <w:sz w:val="24"/>
          <w:szCs w:val="24"/>
        </w:rPr>
        <w:t xml:space="preserve">, COPILOT, etc.) and text-to-image generators have </w:t>
      </w:r>
      <w:proofErr w:type="spellStart"/>
      <w:r w:rsidRPr="00DB7E41">
        <w:rPr>
          <w:sz w:val="24"/>
          <w:szCs w:val="24"/>
        </w:rPr>
        <w:t>beenused</w:t>
      </w:r>
      <w:proofErr w:type="spellEnd"/>
      <w:r w:rsidRPr="00DB7E41">
        <w:rPr>
          <w:sz w:val="24"/>
          <w:szCs w:val="24"/>
        </w:rPr>
        <w:t xml:space="preserve"> during the writing or editing of this manuscript.</w:t>
      </w:r>
    </w:p>
    <w:p w14:paraId="64EB5867" w14:textId="77777777" w:rsidR="004D0947" w:rsidRPr="004D0947" w:rsidRDefault="004D0947" w:rsidP="004D0947">
      <w:pPr>
        <w:pStyle w:val="MdSpace"/>
        <w:spacing w:after="60" w:line="360" w:lineRule="auto"/>
        <w:jc w:val="both"/>
        <w:rPr>
          <w:rFonts w:ascii="Arial" w:hAnsi="Arial" w:cs="Arial"/>
          <w:b/>
          <w:sz w:val="24"/>
          <w:szCs w:val="24"/>
        </w:rPr>
      </w:pPr>
      <w:r w:rsidRPr="004D0947">
        <w:rPr>
          <w:rFonts w:ascii="Arial" w:hAnsi="Arial" w:cs="Arial"/>
          <w:b/>
          <w:sz w:val="24"/>
          <w:szCs w:val="24"/>
        </w:rPr>
        <w:t>COMPETING INTERESTS</w:t>
      </w:r>
    </w:p>
    <w:p w14:paraId="33AB5FD4" w14:textId="77777777" w:rsidR="004D0947" w:rsidRPr="00917D0A" w:rsidRDefault="004D0947" w:rsidP="004D0947">
      <w:pPr>
        <w:pStyle w:val="MdSpace"/>
        <w:spacing w:after="60" w:line="360" w:lineRule="auto"/>
        <w:jc w:val="both"/>
        <w:rPr>
          <w:sz w:val="24"/>
          <w:szCs w:val="24"/>
        </w:rPr>
      </w:pPr>
      <w:r w:rsidRPr="004D0947">
        <w:rPr>
          <w:sz w:val="24"/>
          <w:szCs w:val="24"/>
        </w:rPr>
        <w:t>Author(s) have declared that no competing interests exist</w:t>
      </w:r>
    </w:p>
    <w:p w14:paraId="50881DE2" w14:textId="77777777" w:rsidR="003C0B65" w:rsidRPr="00917D0A" w:rsidRDefault="00E14096" w:rsidP="003C0B65">
      <w:pPr>
        <w:pStyle w:val="MdHeading2"/>
        <w:jc w:val="both"/>
        <w:rPr>
          <w:sz w:val="24"/>
          <w:szCs w:val="24"/>
        </w:rPr>
      </w:pPr>
      <w:r w:rsidRPr="00917D0A">
        <w:rPr>
          <w:sz w:val="24"/>
          <w:szCs w:val="24"/>
        </w:rPr>
        <w:t>REFERENCES</w:t>
      </w:r>
    </w:p>
    <w:p w14:paraId="10EF4717" w14:textId="77777777" w:rsidR="00D33984" w:rsidRPr="00917D0A" w:rsidRDefault="00D33984" w:rsidP="001948CF">
      <w:pPr>
        <w:pStyle w:val="MdParagraph"/>
        <w:jc w:val="both"/>
      </w:pPr>
    </w:p>
    <w:p w14:paraId="4686E49E" w14:textId="77777777" w:rsidR="00E14096" w:rsidRDefault="00E14096" w:rsidP="00E14096">
      <w:pPr>
        <w:ind w:left="720" w:hanging="720"/>
        <w:jc w:val="both"/>
      </w:pPr>
      <w:r>
        <w:t xml:space="preserve">Adame, M. F., Connolly, R. M., Turschwell, M. P., Lovelock, C. E., </w:t>
      </w:r>
      <w:proofErr w:type="spellStart"/>
      <w:r>
        <w:t>Fatoyinbo</w:t>
      </w:r>
      <w:proofErr w:type="spellEnd"/>
      <w:r>
        <w:t xml:space="preserve">, T., Lagomasino, D., Goldberg, L. A., Holdorf, J., Friess, D. A., </w:t>
      </w:r>
      <w:proofErr w:type="spellStart"/>
      <w:r>
        <w:t>Sasmito</w:t>
      </w:r>
      <w:proofErr w:type="spellEnd"/>
      <w:r>
        <w:t>, S. D., &amp; Troxler, T. (2024). Deconstructing the mangrove carbon cycle: Gains, transformation, and losses. Ecosphere, 15(3), Article e4806. https://doi.org/10.1002/ecs2.4806</w:t>
      </w:r>
    </w:p>
    <w:p w14:paraId="3FFD6222" w14:textId="77777777" w:rsidR="00E14096" w:rsidRDefault="00E14096" w:rsidP="00E14096">
      <w:pPr>
        <w:ind w:left="720" w:hanging="720"/>
        <w:jc w:val="both"/>
      </w:pPr>
      <w:r>
        <w:t xml:space="preserve">Adame, M. F., </w:t>
      </w:r>
      <w:proofErr w:type="spellStart"/>
      <w:r>
        <w:t>Kelleway</w:t>
      </w:r>
      <w:proofErr w:type="spellEnd"/>
      <w:r>
        <w:t xml:space="preserve">, J., Krauss, K. W., Lovelock, C. E., Adams, J. B., Trevathan-Tackett, S. M., Noe, G., Jeffrey, L., Ronan, M., Zann, M., Carnell, P. E., Iram, N., Maher, D. T., </w:t>
      </w:r>
      <w:proofErr w:type="spellStart"/>
      <w:r>
        <w:t>Murdiyarso</w:t>
      </w:r>
      <w:proofErr w:type="spellEnd"/>
      <w:r>
        <w:t xml:space="preserve">, D., </w:t>
      </w:r>
      <w:proofErr w:type="spellStart"/>
      <w:r>
        <w:t>Sasmito</w:t>
      </w:r>
      <w:proofErr w:type="spellEnd"/>
      <w:r>
        <w:t xml:space="preserve">, S., Tran, D. B., </w:t>
      </w:r>
      <w:proofErr w:type="spellStart"/>
      <w:r>
        <w:t>Dargusch</w:t>
      </w:r>
      <w:proofErr w:type="spellEnd"/>
      <w:r>
        <w:t xml:space="preserve">, P., Kauffman, J. B., &amp; Brophy, L. (2024). All tidal wetlands are blue carbon ecosystems. </w:t>
      </w:r>
      <w:proofErr w:type="spellStart"/>
      <w:r>
        <w:t>BioScience</w:t>
      </w:r>
      <w:proofErr w:type="spellEnd"/>
      <w:r>
        <w:t>, 74(4), 253–268. https://doi.org/10.1093/biosci/biae007</w:t>
      </w:r>
    </w:p>
    <w:p w14:paraId="76AA78EE" w14:textId="77777777" w:rsidR="00E14096" w:rsidRDefault="00E14096" w:rsidP="00E14096">
      <w:pPr>
        <w:ind w:left="720" w:hanging="720"/>
        <w:jc w:val="both"/>
      </w:pPr>
      <w:r>
        <w:t xml:space="preserve">Anderegg, W. R. L., </w:t>
      </w:r>
      <w:proofErr w:type="spellStart"/>
      <w:r>
        <w:t>Trugman</w:t>
      </w:r>
      <w:proofErr w:type="spellEnd"/>
      <w:r>
        <w:t>, A. T., Vargas G., G., Wu, C., &amp; Yang, L. (2025). Current forest carbon offset buffer pool contributions do not adequately insure against disturbance-driven carbon losses. Global Change Biology, 31, Article e70251. https://doi.org/10.1111/gcb.70251</w:t>
      </w:r>
    </w:p>
    <w:p w14:paraId="04EE46B7" w14:textId="77777777" w:rsidR="00E14096" w:rsidRDefault="00E14096" w:rsidP="00E14096">
      <w:pPr>
        <w:ind w:left="720" w:hanging="720"/>
        <w:jc w:val="both"/>
      </w:pPr>
      <w:r>
        <w:t>Araya-Lopez, R., de Paula Costa, M. D., Wartman, M., &amp; Macreadie, P. I. (2023). Trends in the application of remote sensing in blue carbon science. Ecology and Evolution, 13(9), Article e10559. https://doi.org/10.1002/ece3.10559</w:t>
      </w:r>
    </w:p>
    <w:p w14:paraId="441B7E85" w14:textId="77777777" w:rsidR="00E14096" w:rsidRDefault="00E14096" w:rsidP="00E14096">
      <w:pPr>
        <w:ind w:left="720" w:hanging="720"/>
        <w:jc w:val="both"/>
      </w:pPr>
      <w:proofErr w:type="spellStart"/>
      <w:r>
        <w:t>Arifanti</w:t>
      </w:r>
      <w:proofErr w:type="spellEnd"/>
      <w:r>
        <w:t xml:space="preserve">, V. B., Kauffman, J. B., </w:t>
      </w:r>
      <w:proofErr w:type="spellStart"/>
      <w:r>
        <w:t>Subarno</w:t>
      </w:r>
      <w:proofErr w:type="spellEnd"/>
      <w:r>
        <w:t xml:space="preserve">, </w:t>
      </w:r>
      <w:proofErr w:type="spellStart"/>
      <w:r>
        <w:t>Ilman</w:t>
      </w:r>
      <w:proofErr w:type="spellEnd"/>
      <w:r>
        <w:t xml:space="preserve">, M., Tosiani, A., &amp; Novita, N. (2022). Contributions of mangrove conservation and restoration to climate change mitigation </w:t>
      </w:r>
      <w:r>
        <w:lastRenderedPageBreak/>
        <w:t>in Indonesia. Global Change Biology, 28(15), 4523–4538. https://doi.org/10.1111/gcb.16216</w:t>
      </w:r>
    </w:p>
    <w:p w14:paraId="6DD19C50" w14:textId="77777777" w:rsidR="00E14096" w:rsidRDefault="00E14096" w:rsidP="00E14096">
      <w:pPr>
        <w:ind w:left="720" w:hanging="720"/>
        <w:jc w:val="both"/>
      </w:pPr>
      <w:r>
        <w:t xml:space="preserve">Arkema, K. K., </w:t>
      </w:r>
      <w:proofErr w:type="spellStart"/>
      <w:r>
        <w:t>Delevaux</w:t>
      </w:r>
      <w:proofErr w:type="spellEnd"/>
      <w:r>
        <w:t>, J. M. S., Silver, J. M., Winder, S. G., Schile-Beers, L. M., Bood, N., Crooks, S., Douthwaite, K., Durham, C., Hawthorne, P. L., Hickey, T., Mattis, C., Rosado, A., Ruckelshaus, M., von Unger, M., &amp; Young, A. (2023). Evidence-based target setting informs blue carbon strategies for nationally determined contributions. Nature Ecology &amp; Evolution, 7(7), 1045–1059. https://doi.org/10.1038/s41559-023-02081-1</w:t>
      </w:r>
    </w:p>
    <w:p w14:paraId="1D66ADC3" w14:textId="77777777" w:rsidR="00E14096" w:rsidRDefault="00E14096" w:rsidP="00E14096">
      <w:pPr>
        <w:ind w:left="720" w:hanging="720"/>
        <w:jc w:val="both"/>
      </w:pPr>
      <w:r>
        <w:t>Atchison, J., James, H., &amp; Kerins, S. (2024). Blue carbon as just transition? A structured literature review. Global Sustainability, 7, Article e27. https://doi.org/10.1017/sus.2024.24</w:t>
      </w:r>
    </w:p>
    <w:p w14:paraId="0724DFB2" w14:textId="77777777" w:rsidR="00E14096" w:rsidRDefault="00E14096" w:rsidP="00E14096">
      <w:pPr>
        <w:ind w:left="720" w:hanging="720"/>
        <w:jc w:val="both"/>
      </w:pPr>
      <w:r>
        <w:t>Barbier, E. B. (2016). The protective service of mangrove ecosystems: A review of valuation methods. Marine Pollution Bulletin, 109(2), 676–681. https://doi.org/10.1016/j.marpolbul.2016.01.033</w:t>
      </w:r>
    </w:p>
    <w:p w14:paraId="2CA65894" w14:textId="77777777" w:rsidR="00E14096" w:rsidRDefault="00E14096" w:rsidP="00E14096">
      <w:pPr>
        <w:ind w:left="720" w:hanging="720"/>
        <w:jc w:val="both"/>
      </w:pPr>
      <w:r>
        <w:t>Barbier, E. B., Hacker, S. D., Kennedy, C., Koch, E. W., Stier, A. C., &amp; Silliman, B. R. (2011). The value of estuarine and coastal ecosystem services. Ecological Monographs, 81(2), 169–193. https://doi.org/10.1890/10-1510.1</w:t>
      </w:r>
    </w:p>
    <w:p w14:paraId="04A0DFFD" w14:textId="77777777" w:rsidR="00E14096" w:rsidRDefault="00E14096" w:rsidP="00E14096">
      <w:pPr>
        <w:ind w:left="720" w:hanging="720"/>
        <w:jc w:val="both"/>
      </w:pPr>
      <w:r>
        <w:t>Bell-James, J., Fitzsimons, J. A., &amp; Lovelock, C. E. (2023). Land tenure, ownership and use as barriers to coastal wetland restoration projects in Australia: Recommendations and solutions. Environmental Management, 72(1), 179–189. https://doi.org/10.1007/s00267-023-01817-w</w:t>
      </w:r>
    </w:p>
    <w:p w14:paraId="2ABDA58F" w14:textId="77777777" w:rsidR="00E14096" w:rsidRDefault="00E14096" w:rsidP="00E14096">
      <w:pPr>
        <w:ind w:left="720" w:hanging="720"/>
        <w:jc w:val="both"/>
      </w:pPr>
      <w:r>
        <w:t xml:space="preserve">Bertram, C., Quaas, M., Reusch, T. B. H., </w:t>
      </w:r>
      <w:proofErr w:type="spellStart"/>
      <w:r>
        <w:t>Vafeidis</w:t>
      </w:r>
      <w:proofErr w:type="spellEnd"/>
      <w:r>
        <w:t>, A. T., Wolff, C., &amp; Rickels, W. (2021). The blue carbon wealth of nations. Nature Climate Change, 11(8), 704–710. https://doi.org/10.1038/s41558-021-01089-4</w:t>
      </w:r>
    </w:p>
    <w:p w14:paraId="48851EB7" w14:textId="77777777" w:rsidR="00E14096" w:rsidRDefault="00E14096" w:rsidP="00E14096">
      <w:pPr>
        <w:ind w:left="720" w:hanging="720"/>
        <w:jc w:val="both"/>
      </w:pPr>
      <w:r>
        <w:t xml:space="preserve">Boettcher, M., Winkler, M., &amp; </w:t>
      </w:r>
      <w:proofErr w:type="spellStart"/>
      <w:r>
        <w:t>Michaelowa</w:t>
      </w:r>
      <w:proofErr w:type="spellEnd"/>
      <w:r>
        <w:t>, A. (2025). Accounting and monitoring challenges for blue carbon enhancement in national climate policy targets and international carbon markets. Carbon Management, 16(1), Article 2585895. https://doi.org/10.1080/17583004.2025.2585895</w:t>
      </w:r>
    </w:p>
    <w:p w14:paraId="35F81C10" w14:textId="77777777" w:rsidR="00E14096" w:rsidRDefault="00E14096" w:rsidP="00E14096">
      <w:pPr>
        <w:ind w:left="720" w:hanging="720"/>
        <w:jc w:val="both"/>
      </w:pPr>
      <w:r>
        <w:t>Bosmans, P., &amp; de Mariz, F. (2023). The blue bond market: A catalyst for ocean and water financing. Journal of Risk and Financial Management, 16(3), Article 184. https://doi.org/10.3390/jrfm16030184</w:t>
      </w:r>
    </w:p>
    <w:p w14:paraId="0A595387" w14:textId="77777777" w:rsidR="00E14096" w:rsidRDefault="00E14096" w:rsidP="00E14096">
      <w:pPr>
        <w:ind w:left="720" w:hanging="720"/>
        <w:jc w:val="both"/>
      </w:pPr>
      <w:r>
        <w:t>Carson, R. T. (2012). Contingent valuation: A practical alternative when prices aren't available. Journal of Economic Perspectives, 26(4), 27–42. https://doi.org/10.1257/jep.26.4.27</w:t>
      </w:r>
    </w:p>
    <w:p w14:paraId="1FE620FC" w14:textId="77777777" w:rsidR="00E14096" w:rsidRDefault="00E14096" w:rsidP="00E14096">
      <w:pPr>
        <w:ind w:left="720" w:hanging="720"/>
        <w:jc w:val="both"/>
      </w:pPr>
      <w:r>
        <w:t xml:space="preserve">Choudhary, B., Dhar, V., &amp; </w:t>
      </w:r>
      <w:proofErr w:type="spellStart"/>
      <w:r>
        <w:t>Pawase</w:t>
      </w:r>
      <w:proofErr w:type="spellEnd"/>
      <w:r>
        <w:t>, A. S. (2024). Blue carbon and the role of mangroves in carbon sequestration: Its mechanisms, estimation, human impacts and conservation strategies for economic incentives. Journal of Sea Research, 199, Article 102504. https://doi.org/10.1016/j.seares.2024.102504</w:t>
      </w:r>
    </w:p>
    <w:p w14:paraId="5A8C2D33" w14:textId="77777777" w:rsidR="00E14096" w:rsidRDefault="00E14096" w:rsidP="00E14096">
      <w:pPr>
        <w:ind w:left="720" w:hanging="720"/>
        <w:jc w:val="both"/>
      </w:pPr>
      <w:r>
        <w:t>Costa, M. D. P., Singleton, G., Williams, A., Malone, T., Smith, J., &amp; Macreadie, P. I. (2026). Indigenous stewardship and co-management in action: a case study on blue carbon from a mangrove ecosystem on the Great Barrier Reef. Ocean &amp; Coastal Management, 265, Article 107971. https://doi.org/10.1016/j.ocecoaman.2025.107971</w:t>
      </w:r>
    </w:p>
    <w:p w14:paraId="4EAEEC92" w14:textId="77777777" w:rsidR="00E14096" w:rsidRDefault="00E14096" w:rsidP="00E14096">
      <w:pPr>
        <w:ind w:left="720" w:hanging="720"/>
        <w:jc w:val="both"/>
      </w:pPr>
      <w:r>
        <w:t xml:space="preserve">Dahl, M., Lavery, P. S., </w:t>
      </w:r>
      <w:proofErr w:type="spellStart"/>
      <w:r>
        <w:t>Mazarrasa</w:t>
      </w:r>
      <w:proofErr w:type="spellEnd"/>
      <w:r>
        <w:t xml:space="preserve">, I., Samper-Villarreal, J., Adame, M. F., Crooks, S., Duarte, C. M., Friess, D. A., Krause-Jensen, D., Leiva-Dueñas, C., Lovelock, C. E., Macreadie, P. I., </w:t>
      </w:r>
      <w:proofErr w:type="spellStart"/>
      <w:r>
        <w:t>Masqué</w:t>
      </w:r>
      <w:proofErr w:type="spellEnd"/>
      <w:r>
        <w:t>, P., Mateo, M. A., &amp; Serrano, O. (2025). Recommendations for strengthening blue carbon science. One Earth, 8(3), Article 101175. https://doi.org/10.1016/j.oneear.2025.101175</w:t>
      </w:r>
    </w:p>
    <w:p w14:paraId="27B67E39" w14:textId="77777777" w:rsidR="00E14096" w:rsidRDefault="00E14096" w:rsidP="00E14096">
      <w:pPr>
        <w:ind w:left="720" w:hanging="720"/>
        <w:jc w:val="both"/>
      </w:pPr>
      <w:proofErr w:type="spellStart"/>
      <w:r>
        <w:t>Dencer</w:t>
      </w:r>
      <w:proofErr w:type="spellEnd"/>
      <w:r>
        <w:t xml:space="preserve">-Brown, A. M., </w:t>
      </w:r>
      <w:proofErr w:type="spellStart"/>
      <w:r>
        <w:t>Shilland</w:t>
      </w:r>
      <w:proofErr w:type="spellEnd"/>
      <w:r>
        <w:t xml:space="preserve">, R., Friess, D., Herr, D., Benson, L., Berry, N. J., Cifuentes-Jara, M., Colas, P., Damayanti, E., López García, E., </w:t>
      </w:r>
      <w:proofErr w:type="spellStart"/>
      <w:r>
        <w:t>Gavaldão</w:t>
      </w:r>
      <w:proofErr w:type="spellEnd"/>
      <w:r>
        <w:t xml:space="preserve">, M., </w:t>
      </w:r>
      <w:proofErr w:type="spellStart"/>
      <w:r>
        <w:t>Grimsditch</w:t>
      </w:r>
      <w:proofErr w:type="spellEnd"/>
      <w:r>
        <w:t xml:space="preserve">, G., Hejnowicz, A. P., Howard, J., Islam, S. T., Kennedy, H., </w:t>
      </w:r>
      <w:proofErr w:type="spellStart"/>
      <w:r>
        <w:t>Kivugo</w:t>
      </w:r>
      <w:proofErr w:type="spellEnd"/>
      <w:r>
        <w:t xml:space="preserve">, R. R., </w:t>
      </w:r>
      <w:proofErr w:type="spellStart"/>
      <w:r>
        <w:t>Lang'at</w:t>
      </w:r>
      <w:proofErr w:type="spellEnd"/>
      <w:r>
        <w:t xml:space="preserve">, J. K. S., Lovelock, C., . . . Huxham, M. (2022). Integrating blue: How do we make nationally </w:t>
      </w:r>
      <w:r>
        <w:lastRenderedPageBreak/>
        <w:t xml:space="preserve">determined contributions work for both blue carbon and local coastal communities? </w:t>
      </w:r>
      <w:proofErr w:type="spellStart"/>
      <w:r>
        <w:t>Ambio</w:t>
      </w:r>
      <w:proofErr w:type="spellEnd"/>
      <w:r>
        <w:t>, 51(9), 1978–1993. https://doi.org/10.1007/s13280-022-01723-1</w:t>
      </w:r>
    </w:p>
    <w:p w14:paraId="1F151ABD" w14:textId="77777777" w:rsidR="00E14096" w:rsidRDefault="00E14096" w:rsidP="00E14096">
      <w:pPr>
        <w:ind w:left="720" w:hanging="720"/>
        <w:jc w:val="both"/>
      </w:pPr>
      <w:r>
        <w:t>Doolan, G., &amp; Hynes, S. (2023). Ecosystem service valuation of blue carbon habitats: A review for saltmarshes and seagrasses. Journal of Ocean and Coastal Economics, 10(1), Article 2. https://doi.org/10.15351/2373-8456.1174</w:t>
      </w:r>
    </w:p>
    <w:p w14:paraId="07AF89D3" w14:textId="77777777" w:rsidR="00E14096" w:rsidRDefault="00E14096" w:rsidP="00E14096">
      <w:pPr>
        <w:ind w:left="720" w:hanging="720"/>
        <w:jc w:val="both"/>
      </w:pPr>
      <w:r>
        <w:t xml:space="preserve">Duarte, C. M., Losada, I. J., Hendriks, I. E., </w:t>
      </w:r>
      <w:proofErr w:type="spellStart"/>
      <w:r>
        <w:t>Mazarrasa</w:t>
      </w:r>
      <w:proofErr w:type="spellEnd"/>
      <w:r>
        <w:t xml:space="preserve">, I., &amp; </w:t>
      </w:r>
      <w:proofErr w:type="spellStart"/>
      <w:r>
        <w:t>Marbà</w:t>
      </w:r>
      <w:proofErr w:type="spellEnd"/>
      <w:r>
        <w:t>, N. (2013). The role of coastal plant communities for climate change mitigation and adaptation. Nature Climate Change, 3(11), 961–968. https://doi.org/10.1038/nclimate1970</w:t>
      </w:r>
    </w:p>
    <w:p w14:paraId="744709DD" w14:textId="77777777" w:rsidR="00E14096" w:rsidRDefault="00E14096" w:rsidP="00E14096">
      <w:pPr>
        <w:ind w:left="720" w:hanging="720"/>
        <w:jc w:val="both"/>
      </w:pPr>
      <w:r>
        <w:t xml:space="preserve">Dutta Roy, A., </w:t>
      </w:r>
      <w:proofErr w:type="spellStart"/>
      <w:r>
        <w:t>Pitumpe</w:t>
      </w:r>
      <w:proofErr w:type="spellEnd"/>
      <w:r>
        <w:t xml:space="preserve"> </w:t>
      </w:r>
      <w:proofErr w:type="spellStart"/>
      <w:r>
        <w:t>Arachchige</w:t>
      </w:r>
      <w:proofErr w:type="spellEnd"/>
      <w:r>
        <w:t xml:space="preserve">, P. S., Watt, M. S., Kale, A., Davies, M., Heng, J. E., Daniel, R., </w:t>
      </w:r>
      <w:proofErr w:type="spellStart"/>
      <w:r>
        <w:t>Galgamuwa</w:t>
      </w:r>
      <w:proofErr w:type="spellEnd"/>
      <w:r>
        <w:t>, G. A. P., Moussa, L. G., Timsina, K., Ewane, E. B., Rogers, K., &amp; Mohan, M. (2024). Remote sensing-based mangrove blue carbon assessment in the Asia-Pacific: A systematic review. Science of the Total Environment, 938, Article 173270. https://doi.org/10.1016/j.scitotenv.2024.173270</w:t>
      </w:r>
    </w:p>
    <w:p w14:paraId="6452558D" w14:textId="77777777" w:rsidR="00E14096" w:rsidRDefault="00E14096" w:rsidP="00E14096">
      <w:pPr>
        <w:ind w:left="720" w:hanging="720"/>
        <w:jc w:val="both"/>
      </w:pPr>
      <w:r>
        <w:t xml:space="preserve">Farahmand, S., Hilmi, N., &amp; Duarte, C. M. (2025). The rise and flows of blue carbon credits advance global climate and biodiversity goals. </w:t>
      </w:r>
      <w:proofErr w:type="spellStart"/>
      <w:r>
        <w:t>npj</w:t>
      </w:r>
      <w:proofErr w:type="spellEnd"/>
      <w:r>
        <w:t xml:space="preserve"> Ocean Sustainability, 4, Article 39. https://doi.org/10.1038/s44183-025-00141-6</w:t>
      </w:r>
    </w:p>
    <w:p w14:paraId="79DC0BD4" w14:textId="72A9551E" w:rsidR="00046CB7" w:rsidRDefault="00E14096" w:rsidP="00E14096">
      <w:pPr>
        <w:ind w:left="720" w:hanging="720"/>
        <w:jc w:val="both"/>
      </w:pPr>
      <w:r>
        <w:t xml:space="preserve">Fontana-Raina, S., &amp; Grund, S. (2024). Debt-for-nature swaps: The Belize 2021 deal and the future of green sovereign finance. Capital Markets Law Journal, 19(2), 128–151. </w:t>
      </w:r>
      <w:hyperlink r:id="rId12" w:history="1">
        <w:r w:rsidR="00046CB7" w:rsidRPr="0046173C">
          <w:rPr>
            <w:rStyle w:val="Hyperlink"/>
          </w:rPr>
          <w:t>https://doi.org/10.1093/cmlj/kmad024</w:t>
        </w:r>
      </w:hyperlink>
      <w:r w:rsidR="00046CB7" w:rsidRPr="00046CB7">
        <w:t xml:space="preserve"> </w:t>
      </w:r>
    </w:p>
    <w:p w14:paraId="45A8DC36" w14:textId="7D512A54" w:rsidR="00E14096" w:rsidRDefault="00046CB7" w:rsidP="00E14096">
      <w:pPr>
        <w:ind w:left="720" w:hanging="720"/>
        <w:jc w:val="both"/>
      </w:pPr>
      <w:r w:rsidRPr="00046CB7">
        <w:t xml:space="preserve">Forest Trends' Ecosystem Marketplace. (2025). State of the voluntary carbon market 2025: Meeting the moment — </w:t>
      </w:r>
      <w:proofErr w:type="gramStart"/>
      <w:r w:rsidRPr="00046CB7">
        <w:t>Renewing</w:t>
      </w:r>
      <w:proofErr w:type="gramEnd"/>
      <w:r w:rsidRPr="00046CB7">
        <w:t xml:space="preserve"> trust in carbon finance. Forest Trends Association. https:/</w:t>
      </w:r>
      <w:r>
        <w:t>/3298623.fs1.hubspotusercontent</w:t>
      </w:r>
      <w:r w:rsidRPr="00046CB7">
        <w:t>na1.net/hubfs/3298623/SOVCM%202025/Ecosystem%20Marketplace%20State%20of%20the%20Voluntary%20Carbon%20Market%202025.pdf</w:t>
      </w:r>
    </w:p>
    <w:p w14:paraId="7A14E339" w14:textId="77777777" w:rsidR="00E14096" w:rsidRDefault="00E14096" w:rsidP="00E14096">
      <w:pPr>
        <w:ind w:left="720" w:hanging="720"/>
        <w:jc w:val="both"/>
      </w:pPr>
      <w:proofErr w:type="spellStart"/>
      <w:r>
        <w:t>Friess</w:t>
      </w:r>
      <w:proofErr w:type="spellEnd"/>
      <w:r>
        <w:t xml:space="preserve">, D. A., Howard, J., </w:t>
      </w:r>
      <w:proofErr w:type="spellStart"/>
      <w:r>
        <w:t>Huxham</w:t>
      </w:r>
      <w:proofErr w:type="spellEnd"/>
      <w:r>
        <w:t>, M., &amp; Macreadie, P. I. (2022). Capitalizing on the global financial interest in blue carbon. PLOS Climate, 1(8), Article e0000061. https://doi.org/10.1371/journal.pclm.0000061</w:t>
      </w:r>
    </w:p>
    <w:p w14:paraId="0E5DF939" w14:textId="77777777" w:rsidR="00E14096" w:rsidRDefault="00E14096" w:rsidP="00E14096">
      <w:pPr>
        <w:ind w:left="720" w:hanging="720"/>
        <w:jc w:val="both"/>
      </w:pPr>
      <w:r>
        <w:t>Fu, C., Steckbauer, A., Mann, H., &amp; Duarte, C. M. (2024). Achieving the Kunming-Montreal global biodiversity targets for blue carbon ecosystems. Nature Reviews Earth &amp; Environment, 5(7), 538–552. https://doi.org/10.1038/s43017-024-00566-6</w:t>
      </w:r>
    </w:p>
    <w:p w14:paraId="14184FA9" w14:textId="266229A3" w:rsidR="00C62F4D" w:rsidRDefault="00E14096" w:rsidP="00E14096">
      <w:pPr>
        <w:ind w:left="720" w:hanging="720"/>
        <w:jc w:val="both"/>
      </w:pPr>
      <w:r>
        <w:t xml:space="preserve">Gardner, G. (2021). The effect of salt marsh on residential property values. Coastal Management, 49(3), 1–20. </w:t>
      </w:r>
      <w:hyperlink r:id="rId13" w:history="1">
        <w:r w:rsidR="00C62F4D" w:rsidRPr="0046173C">
          <w:rPr>
            <w:rStyle w:val="Hyperlink"/>
          </w:rPr>
          <w:t>https://doi.org/10.1080/08920753.2021.1967564</w:t>
        </w:r>
      </w:hyperlink>
      <w:r w:rsidR="00C62F4D" w:rsidRPr="00C62F4D">
        <w:t xml:space="preserve"> </w:t>
      </w:r>
    </w:p>
    <w:p w14:paraId="462EA865" w14:textId="03B4C796" w:rsidR="00E14096" w:rsidRDefault="00C62F4D" w:rsidP="00E14096">
      <w:pPr>
        <w:ind w:left="720" w:hanging="720"/>
        <w:jc w:val="both"/>
      </w:pPr>
      <w:r w:rsidRPr="00C62F4D">
        <w:t>Gold Standard Foundation. (2024). Gold Standard for the Global Goals (GS4GG). https://www.goldstandard.org/our-work/gold-standard-global-goals</w:t>
      </w:r>
    </w:p>
    <w:p w14:paraId="14FADE10" w14:textId="77777777" w:rsidR="00046CB7" w:rsidRDefault="00E14096" w:rsidP="00E14096">
      <w:pPr>
        <w:ind w:left="720" w:hanging="720"/>
        <w:jc w:val="both"/>
      </w:pPr>
      <w:r>
        <w:t xml:space="preserve">Hamilton, J., Kasprzyk, K., Cifuentes-Jara, M., </w:t>
      </w:r>
      <w:proofErr w:type="spellStart"/>
      <w:r>
        <w:t>Granziera</w:t>
      </w:r>
      <w:proofErr w:type="spellEnd"/>
      <w:r>
        <w:t>, B., Gil, L., Wolf, S., Starling, G., Zimmer, A., &amp; Hickey, T. (2023). Blue carbon and nationally determined contributions (2nd ed.). The Blue Carbon Initiative. https://www.thebluecarboninitiative.org/policy-guidance</w:t>
      </w:r>
      <w:r w:rsidR="00046CB7" w:rsidRPr="00046CB7">
        <w:t xml:space="preserve"> </w:t>
      </w:r>
    </w:p>
    <w:p w14:paraId="06FEF65F" w14:textId="7725D7F0" w:rsidR="00E14096" w:rsidRDefault="00046CB7" w:rsidP="00E14096">
      <w:pPr>
        <w:ind w:left="720" w:hanging="720"/>
        <w:jc w:val="both"/>
      </w:pPr>
      <w:r w:rsidRPr="00046CB7">
        <w:t>Hamrick, K., &amp; Gallant, M. (2017). Unlocking potential: State of the voluntary carbon markets 2017. Forest Trends' Ecosystem Marketplace. https://www.forest-trends.org/publications/unlocking-potential/</w:t>
      </w:r>
    </w:p>
    <w:p w14:paraId="7E3E5F84" w14:textId="77777777" w:rsidR="00E14096" w:rsidRDefault="00E14096" w:rsidP="00E14096">
      <w:pPr>
        <w:ind w:left="720" w:hanging="720"/>
        <w:jc w:val="both"/>
      </w:pPr>
      <w:r>
        <w:t>Hamza, A. J., Esteves, L. S., Cvitanović, M., &amp; Kairo, J. G. (2024). Global patterns of mangrove resource utilization: A systematic review. Frontiers in Sustainable Resource Management, 3, Article 1395724. https://doi.org/10.3389/fsrma.2024.1395724</w:t>
      </w:r>
    </w:p>
    <w:p w14:paraId="39E35652" w14:textId="77777777" w:rsidR="00E14096" w:rsidRDefault="00E14096" w:rsidP="00E14096">
      <w:pPr>
        <w:ind w:left="720" w:hanging="720"/>
        <w:jc w:val="both"/>
      </w:pPr>
      <w:r>
        <w:t>Hausman, J. (2012). Contingent valuation: From dubious to hopeless. Journal of Economic Perspectives, 26(4), 43–56. https://doi.org/10.1257/jep.26.4.43</w:t>
      </w:r>
    </w:p>
    <w:p w14:paraId="61735BEF" w14:textId="77777777" w:rsidR="00E14096" w:rsidRDefault="00E14096" w:rsidP="00E14096">
      <w:pPr>
        <w:ind w:left="720" w:hanging="720"/>
        <w:jc w:val="both"/>
      </w:pPr>
      <w:proofErr w:type="spellStart"/>
      <w:r>
        <w:t>Heimhuber</w:t>
      </w:r>
      <w:proofErr w:type="spellEnd"/>
      <w:r>
        <w:t xml:space="preserve">, V., Raoult, V., </w:t>
      </w:r>
      <w:proofErr w:type="spellStart"/>
      <w:r>
        <w:t>Glamore</w:t>
      </w:r>
      <w:proofErr w:type="spellEnd"/>
      <w:r>
        <w:t>, W. C., Taylor, M. D., &amp; Gaston, T. F. (2024). Restoring blue carbon ecosystems unlocks fisheries' potential. Restoration Ecology, 32(1), Article e14052. https://doi.org/10.1111/rec.14052</w:t>
      </w:r>
    </w:p>
    <w:p w14:paraId="219AB8FE" w14:textId="77777777" w:rsidR="00E14096" w:rsidRDefault="00E14096" w:rsidP="00E14096">
      <w:pPr>
        <w:ind w:left="720" w:hanging="720"/>
        <w:jc w:val="both"/>
      </w:pPr>
      <w:r>
        <w:lastRenderedPageBreak/>
        <w:t xml:space="preserve">Hilmi, N., Benitez Carranco, M. B., Broussard, D., Mathew, M., </w:t>
      </w:r>
      <w:proofErr w:type="spellStart"/>
      <w:r>
        <w:t>Djoundourian</w:t>
      </w:r>
      <w:proofErr w:type="spellEnd"/>
      <w:r>
        <w:t xml:space="preserve">, S., </w:t>
      </w:r>
      <w:proofErr w:type="spellStart"/>
      <w:r>
        <w:t>Cassotta</w:t>
      </w:r>
      <w:proofErr w:type="spellEnd"/>
      <w:r>
        <w:t xml:space="preserve">, S., Safa, A., Maliki, S., </w:t>
      </w:r>
      <w:proofErr w:type="spellStart"/>
      <w:r>
        <w:t>Descroix-Comanducci</w:t>
      </w:r>
      <w:proofErr w:type="spellEnd"/>
      <w:r>
        <w:t xml:space="preserve">, F., Allemand, D., </w:t>
      </w:r>
      <w:proofErr w:type="spellStart"/>
      <w:r>
        <w:t>Berthomieu</w:t>
      </w:r>
      <w:proofErr w:type="spellEnd"/>
      <w:r>
        <w:t>, C., Hall-Spencer, J. M., &amp; Ferrier-</w:t>
      </w:r>
      <w:proofErr w:type="spellStart"/>
      <w:r>
        <w:t>Pagès</w:t>
      </w:r>
      <w:proofErr w:type="spellEnd"/>
      <w:r>
        <w:t>, C. (2023). Tropical blue carbon: Solutions and perspectives for valuations of carbon sequestration. Frontiers in Climate, 5, 1169663. https://doi.org/10.3389/fclim.2023.1169663</w:t>
      </w:r>
    </w:p>
    <w:p w14:paraId="47B7A198" w14:textId="77777777" w:rsidR="00E14096" w:rsidRDefault="00E14096" w:rsidP="00E14096">
      <w:pPr>
        <w:ind w:left="720" w:hanging="720"/>
        <w:jc w:val="both"/>
      </w:pPr>
      <w:r>
        <w:t>Himes-Cornell, A., Grose, S. O., &amp; Pendleton, L. (2018). Mangrove ecosystem service values and methodological approaches to valuation: Where do we stand? Frontiers in Marine Science, 5, Article 376. https://doi.org/10.3389/fmars.2018.00376</w:t>
      </w:r>
    </w:p>
    <w:p w14:paraId="6ABF1C55" w14:textId="77777777" w:rsidR="00E14096" w:rsidRDefault="00E14096" w:rsidP="00E14096">
      <w:pPr>
        <w:ind w:left="720" w:hanging="720"/>
        <w:jc w:val="both"/>
      </w:pPr>
      <w:r>
        <w:t>Howard, J., Sutton-Grier, A., Herr, D., Kleypas, J., Landis, E., McLeod, E., Pidgeon, E., &amp; Simpson, S. (2017). Clarifying the role of coastal and marine systems in climate mitigation. Frontiers in Ecology and the Environment, 15(1), 42–50. https://doi.org/10.1002/fee.1451</w:t>
      </w:r>
    </w:p>
    <w:p w14:paraId="40AEDA19" w14:textId="77777777" w:rsidR="00E14096" w:rsidRDefault="00E14096" w:rsidP="00E14096">
      <w:pPr>
        <w:ind w:left="720" w:hanging="720"/>
        <w:jc w:val="both"/>
      </w:pPr>
      <w:r>
        <w:t xml:space="preserve">J. M. D., &amp; </w:t>
      </w:r>
      <w:proofErr w:type="spellStart"/>
      <w:r>
        <w:t>Kohsaka</w:t>
      </w:r>
      <w:proofErr w:type="spellEnd"/>
      <w:r>
        <w:t>, R. (2024). A systematic review of cultural ecosystem services of blue carbon ecosystems: Trends, gaps, and challenges in Asia and beyond. Marine Policy, 159, Article 105898. https://doi.org/10.1016/j.marpol.2023.105898</w:t>
      </w:r>
    </w:p>
    <w:p w14:paraId="0EF1B62B" w14:textId="77777777" w:rsidR="00E14096" w:rsidRDefault="00E14096" w:rsidP="00E14096">
      <w:pPr>
        <w:ind w:left="720" w:hanging="720"/>
        <w:jc w:val="both"/>
      </w:pPr>
      <w:r>
        <w:t>Jayson-</w:t>
      </w:r>
      <w:proofErr w:type="spellStart"/>
      <w:r>
        <w:t>Quashigah</w:t>
      </w:r>
      <w:proofErr w:type="spellEnd"/>
      <w:r>
        <w:t xml:space="preserve">, P.-N., </w:t>
      </w:r>
      <w:proofErr w:type="spellStart"/>
      <w:r>
        <w:t>Staneva</w:t>
      </w:r>
      <w:proofErr w:type="spellEnd"/>
      <w:r>
        <w:t xml:space="preserve">, J., Chen, W., </w:t>
      </w:r>
      <w:proofErr w:type="spellStart"/>
      <w:r>
        <w:t>Djath</w:t>
      </w:r>
      <w:proofErr w:type="spellEnd"/>
      <w:r>
        <w:t xml:space="preserve">, B., Mahu, E., &amp; </w:t>
      </w:r>
      <w:proofErr w:type="spellStart"/>
      <w:r>
        <w:t>Appeaning</w:t>
      </w:r>
      <w:proofErr w:type="spellEnd"/>
      <w:r>
        <w:t xml:space="preserve"> </w:t>
      </w:r>
      <w:proofErr w:type="spellStart"/>
      <w:r>
        <w:t>Addo</w:t>
      </w:r>
      <w:proofErr w:type="spellEnd"/>
      <w:r>
        <w:t>, K. (2025). Evaluating mangroves as nature-based solutions for coastal protection under current and future sea level rise scenarios. Frontiers in Marine Science, 12, Article 1526082. https://doi.org/10.3389/fmars.2025.1526082</w:t>
      </w:r>
    </w:p>
    <w:p w14:paraId="69E6553A" w14:textId="77777777" w:rsidR="00E14096" w:rsidRDefault="00E14096" w:rsidP="00E14096">
      <w:pPr>
        <w:ind w:left="720" w:hanging="720"/>
        <w:jc w:val="both"/>
      </w:pPr>
      <w:r>
        <w:t>Karpowicz, D. A., Mohan, M., Watt, M. S., Montenegro, J. F., King, S. A. L., Selvam, P. P., Nithyanandan, M., Robyn, B., Ali, T., &amp; Ewane, E. B. (2024). Mangrove-based carbon market projects: 15 considerations for engaging and supporting local communities. Diversity, 16(9), Article 574. https://doi.org/10.3390/d16090574</w:t>
      </w:r>
    </w:p>
    <w:p w14:paraId="44608875" w14:textId="77777777" w:rsidR="00E14096" w:rsidRDefault="00E14096" w:rsidP="00E14096">
      <w:pPr>
        <w:ind w:left="720" w:hanging="720"/>
        <w:jc w:val="both"/>
      </w:pPr>
      <w:r>
        <w:t>Kerns, K., White, M., Camacho, M., McGlathery, K., &amp; Patrick, C. (2025). Valuation of blue carbon and ecological co-benefits in temperate seagrass meadows in the Atlantic Virginia Coast Reserve. Ecosystem Services, 71, Article 101683.https://doi.org/10.1016/j.ecoser.2025.101779</w:t>
      </w:r>
    </w:p>
    <w:p w14:paraId="465FCA0B" w14:textId="77777777" w:rsidR="00E14096" w:rsidRDefault="00E14096" w:rsidP="00E14096">
      <w:pPr>
        <w:ind w:left="720" w:hanging="720"/>
        <w:jc w:val="both"/>
      </w:pPr>
      <w:r>
        <w:t xml:space="preserve">Laurans, Y., </w:t>
      </w:r>
      <w:proofErr w:type="spellStart"/>
      <w:r>
        <w:t>Rankovic</w:t>
      </w:r>
      <w:proofErr w:type="spellEnd"/>
      <w:r>
        <w:t xml:space="preserve">, A., </w:t>
      </w:r>
      <w:proofErr w:type="spellStart"/>
      <w:r>
        <w:t>Billé</w:t>
      </w:r>
      <w:proofErr w:type="spellEnd"/>
      <w:r>
        <w:t xml:space="preserve">, R., </w:t>
      </w:r>
      <w:proofErr w:type="spellStart"/>
      <w:r>
        <w:t>Pirard</w:t>
      </w:r>
      <w:proofErr w:type="spellEnd"/>
      <w:r>
        <w:t xml:space="preserve">, R., &amp; </w:t>
      </w:r>
      <w:proofErr w:type="spellStart"/>
      <w:r>
        <w:t>Mermet</w:t>
      </w:r>
      <w:proofErr w:type="spellEnd"/>
      <w:r>
        <w:t xml:space="preserve">, L. (2013). Use of ecosystem services economic valuation for decision making: Questioning a literature </w:t>
      </w:r>
      <w:proofErr w:type="spellStart"/>
      <w:r>
        <w:t>blindspot</w:t>
      </w:r>
      <w:proofErr w:type="spellEnd"/>
      <w:r>
        <w:t>. Journal of Environmental Management, 119, 208–219. https://doi.org/10.1016/j.jenvman.2013.01.008</w:t>
      </w:r>
    </w:p>
    <w:p w14:paraId="63D6E428" w14:textId="77777777" w:rsidR="00E14096" w:rsidRDefault="00E14096" w:rsidP="00E14096">
      <w:pPr>
        <w:ind w:left="720" w:hanging="720"/>
        <w:jc w:val="both"/>
      </w:pPr>
      <w:r>
        <w:t xml:space="preserve">Le, T.-A. T., Vodden, K., Wu, J., Bullock, R., &amp; Sabau, G. (2024). Payments for ecosystem services programs: A global review of contributions towards sustainability. </w:t>
      </w:r>
      <w:proofErr w:type="spellStart"/>
      <w:r>
        <w:t>Heliyon</w:t>
      </w:r>
      <w:proofErr w:type="spellEnd"/>
      <w:r>
        <w:t>, 10(1), Article e22361. https://doi.org/10.1016/j.heliyon.2023.e22361</w:t>
      </w:r>
    </w:p>
    <w:p w14:paraId="45FBBC68" w14:textId="77777777" w:rsidR="00E14096" w:rsidRDefault="00E14096" w:rsidP="00E14096">
      <w:pPr>
        <w:ind w:left="720" w:hanging="720"/>
        <w:jc w:val="both"/>
      </w:pPr>
      <w:r>
        <w:t>Li, P., Liu, C., &amp; Liu, D. (2025). Overcoming the financing barrier in blue carbon projects: An evolutionary game perspective on government-firm-financial institution coordination. Marine Development, 3, Article 18. https://doi.org/10.1007/s44312-025-00062-5</w:t>
      </w:r>
    </w:p>
    <w:p w14:paraId="6577AE82" w14:textId="77777777" w:rsidR="00E14096" w:rsidRDefault="00E14096" w:rsidP="00E14096">
      <w:pPr>
        <w:ind w:left="720" w:hanging="720"/>
        <w:jc w:val="both"/>
      </w:pPr>
      <w:r>
        <w:t>Lin, Y., Lin, J., Huang, F., Tao, Y., Liao, J., Wang, K., Qiu, G., &amp; Liu, W. (2026). The evolving role of coastal and marine spatial planning in enhancing blue carbon ecosystems governance: A bibliometric analysis. Diversity, 18(2), Article 115. https://doi.org/10.3390/d18020115</w:t>
      </w:r>
    </w:p>
    <w:p w14:paraId="3B6E8B11" w14:textId="77777777" w:rsidR="00E14096" w:rsidRDefault="00E14096" w:rsidP="00E14096">
      <w:pPr>
        <w:ind w:left="720" w:hanging="720"/>
        <w:jc w:val="both"/>
      </w:pPr>
      <w:r>
        <w:t>Lovelock, C. E., &amp; Duarte, C. M. (2025). Out of the blue carbon box: toward investable blue natural capital. Biology letters, 21(4), 20240648. https://doi.org/10.1098/rsbl.2024.0648</w:t>
      </w:r>
    </w:p>
    <w:p w14:paraId="1AD9DCDA" w14:textId="77777777" w:rsidR="00E14096" w:rsidRDefault="00E14096" w:rsidP="00E14096">
      <w:pPr>
        <w:ind w:left="720" w:hanging="720"/>
        <w:jc w:val="both"/>
      </w:pPr>
      <w:r>
        <w:t xml:space="preserve">Macreadie, P. I., Anton, A., Raven, J. A., Beaumont, N., Connolly, R. M., Friess, D. A., </w:t>
      </w:r>
      <w:proofErr w:type="spellStart"/>
      <w:r>
        <w:t>Kelleway</w:t>
      </w:r>
      <w:proofErr w:type="spellEnd"/>
      <w:r>
        <w:t xml:space="preserve">, J. J., Kennedy, H., </w:t>
      </w:r>
      <w:proofErr w:type="spellStart"/>
      <w:r>
        <w:t>Kuwae</w:t>
      </w:r>
      <w:proofErr w:type="spellEnd"/>
      <w:r>
        <w:t xml:space="preserve">, T., Lavery, P. S., Lovelock, C. E., Smale, D. A., </w:t>
      </w:r>
      <w:proofErr w:type="spellStart"/>
      <w:r>
        <w:t>Apostolaki</w:t>
      </w:r>
      <w:proofErr w:type="spellEnd"/>
      <w:r>
        <w:t>, E. T., Atwood, T. B., Baldock, J., Bianchi, T. S., Chmura, G. L., Eyre, B. D., Fourqurean, J. W., … Duarte, C. M. (2019). The future of blue carbon science. Nature Communications, 10(1), Article 3998. https://doi.org/10.1038/s41467-019-11693-w</w:t>
      </w:r>
    </w:p>
    <w:p w14:paraId="32FA4A39" w14:textId="77777777" w:rsidR="00E14096" w:rsidRDefault="00E14096" w:rsidP="00E14096">
      <w:pPr>
        <w:ind w:left="720" w:hanging="720"/>
        <w:jc w:val="both"/>
      </w:pPr>
      <w:r>
        <w:lastRenderedPageBreak/>
        <w:t xml:space="preserve">Macreadie, P. I., Costa, M. D. P., Atwood, T. B., Friess, D. A., </w:t>
      </w:r>
      <w:proofErr w:type="spellStart"/>
      <w:r>
        <w:t>Kelleway</w:t>
      </w:r>
      <w:proofErr w:type="spellEnd"/>
      <w:r>
        <w:t>, J. J., Kennedy, H., Lovelock, C. E., Serrano, O., &amp; Duarte, C. M. (2021). Blue carbon as a natural climate solution. Nature Reviews Earth &amp; Environment, 2(12), 826–839. https://doi.org/10.1038/s43017-021-00224-1</w:t>
      </w:r>
    </w:p>
    <w:p w14:paraId="46FE3AEF" w14:textId="77777777" w:rsidR="00E14096" w:rsidRDefault="00E14096" w:rsidP="00E14096">
      <w:pPr>
        <w:ind w:left="720" w:hanging="720"/>
        <w:jc w:val="both"/>
      </w:pPr>
      <w:r>
        <w:t>Mazzocco, V., Hasan, T., Trandafir, S., &amp; Uchida, E. (2022). Economic value of salt marshes under uncertainty of sea level rise: A case study of the Narragansett Bay. Coastal Management, 50(4), 306–324. https://doi.org/10.1080/08920753.2022.2078174</w:t>
      </w:r>
    </w:p>
    <w:p w14:paraId="2227AE94" w14:textId="77777777" w:rsidR="00E14096" w:rsidRDefault="00E14096" w:rsidP="00E14096">
      <w:pPr>
        <w:ind w:left="720" w:hanging="720"/>
        <w:jc w:val="both"/>
      </w:pPr>
      <w:r>
        <w:t>McLeod, E., Chmura, G. L., Bouillon, S., Salm, R., Björk, M., Duarte, C. M., Lovelock, C. E., Schlesinger, W. H., &amp; Silliman, B. R. (2011). A blueprint for blue carbon: Toward an improved understanding of the role of vegetated coastal habitats in sequestering CO₂. Frontiers in Ecology and the Environment, 9(10), 552–560. https://doi.org/10.1890/110004</w:t>
      </w:r>
    </w:p>
    <w:p w14:paraId="7FD459C3" w14:textId="7E4E7D55" w:rsidR="00563A17" w:rsidRDefault="00E14096" w:rsidP="00E14096">
      <w:pPr>
        <w:ind w:left="720" w:hanging="720"/>
        <w:jc w:val="both"/>
      </w:pPr>
      <w:r>
        <w:t xml:space="preserve">Mengis, N., Paul, A., &amp; Fernández-Méndez, M. (2023). Counting (on) blue carbon — Challenges and ways forward for carbon accounting of ecosystem-based carbon removal in marine environments. PLOS Climate, 2(8), Article e0000148. </w:t>
      </w:r>
      <w:hyperlink r:id="rId14" w:history="1">
        <w:r w:rsidR="00563A17" w:rsidRPr="0046173C">
          <w:rPr>
            <w:rStyle w:val="Hyperlink"/>
          </w:rPr>
          <w:t>https://doi.org/10.1371/journal.pclm.0000148</w:t>
        </w:r>
      </w:hyperlink>
    </w:p>
    <w:p w14:paraId="67612FBE" w14:textId="1084874D" w:rsidR="00E14096" w:rsidRDefault="00563A17" w:rsidP="00E14096">
      <w:pPr>
        <w:ind w:left="720" w:hanging="720"/>
        <w:jc w:val="both"/>
      </w:pPr>
      <w:r w:rsidRPr="00563A17">
        <w:t xml:space="preserve">NITI </w:t>
      </w:r>
      <w:proofErr w:type="spellStart"/>
      <w:r w:rsidRPr="00563A17">
        <w:t>Aayog</w:t>
      </w:r>
      <w:proofErr w:type="spellEnd"/>
      <w:r w:rsidRPr="00563A17">
        <w:t>. (2025, October). India's blue economy: Strategy for harnessing deep-sea and offshore fisheries. Government of India. https://niti.gov.in/sites/default/files/2025-10/Indias-Blue-Economy-Strategy-For-Harnessing-Deep-Sea-And-Offshore-Fisheries.pdf</w:t>
      </w:r>
    </w:p>
    <w:p w14:paraId="16716CE9" w14:textId="77777777" w:rsidR="00E14096" w:rsidRDefault="00E14096" w:rsidP="00E14096">
      <w:pPr>
        <w:ind w:left="720" w:hanging="720"/>
        <w:jc w:val="both"/>
      </w:pPr>
      <w:r>
        <w:t xml:space="preserve">Owuor, M. A., Debrot, A. O., Ahtiainen, H., Alban, F., Belhassen, M., Charbonnel, E., Claudet, J., Falco, C., </w:t>
      </w:r>
      <w:proofErr w:type="spellStart"/>
      <w:r>
        <w:t>Fontalba-Navas</w:t>
      </w:r>
      <w:proofErr w:type="spellEnd"/>
      <w:r>
        <w:t xml:space="preserve">, A., Furlan, E., </w:t>
      </w:r>
      <w:proofErr w:type="spellStart"/>
      <w:r>
        <w:t>Mačić</w:t>
      </w:r>
      <w:proofErr w:type="spellEnd"/>
      <w:r>
        <w:t xml:space="preserve">, V., Markantonatou, V., Munda, C., Rouillard, J., </w:t>
      </w:r>
      <w:proofErr w:type="spellStart"/>
      <w:r>
        <w:t>Trégarot</w:t>
      </w:r>
      <w:proofErr w:type="spellEnd"/>
      <w:r>
        <w:t xml:space="preserve">, G., &amp; </w:t>
      </w:r>
      <w:proofErr w:type="spellStart"/>
      <w:r>
        <w:t>Turbelin</w:t>
      </w:r>
      <w:proofErr w:type="spellEnd"/>
      <w:r>
        <w:t>, A. J. (2019). Valuing mangrove biodiversity and ecosystem services: A deliberative choice experiment in Mida Creek, Kenya. Ecosystem Services, 40, Article 101040. https://doi.org/10.1016/j.ecoser.2019.101040</w:t>
      </w:r>
    </w:p>
    <w:p w14:paraId="186BD4CE" w14:textId="77777777" w:rsidR="00E14096" w:rsidRDefault="00E14096" w:rsidP="00E14096">
      <w:pPr>
        <w:ind w:left="720" w:hanging="720"/>
        <w:jc w:val="both"/>
      </w:pPr>
      <w:r>
        <w:t xml:space="preserve">Pacifico, A. M., Mulazzani, L., &amp; </w:t>
      </w:r>
      <w:proofErr w:type="spellStart"/>
      <w:r>
        <w:t>Malorgio</w:t>
      </w:r>
      <w:proofErr w:type="spellEnd"/>
      <w:r>
        <w:t>, G. (2024). Are the economic valuations of marine and coastal ecosystem services supporting policymakers? A systematic review and remaining gaps and challenges. Frontiers in Marine Science, 11, Article 1501812. https://doi.org/10.3389/fmars.2024.1501812</w:t>
      </w:r>
    </w:p>
    <w:p w14:paraId="7BCF921D" w14:textId="77777777" w:rsidR="00E14096" w:rsidRDefault="00E14096" w:rsidP="00E14096">
      <w:pPr>
        <w:ind w:left="720" w:hanging="720"/>
        <w:jc w:val="both"/>
      </w:pPr>
      <w:r>
        <w:t xml:space="preserve">Pendleton, L., Donato, D. C., Murray, B. C., Crooks, S., Jenkins, W. A., </w:t>
      </w:r>
      <w:proofErr w:type="spellStart"/>
      <w:r>
        <w:t>Sifleet</w:t>
      </w:r>
      <w:proofErr w:type="spellEnd"/>
      <w:r>
        <w:t xml:space="preserve">, S., Craft, C., Fourqurean, J. W., Kauffman, J. B., </w:t>
      </w:r>
      <w:proofErr w:type="spellStart"/>
      <w:r>
        <w:t>Marbà</w:t>
      </w:r>
      <w:proofErr w:type="spellEnd"/>
      <w:r>
        <w:t xml:space="preserve">, N., </w:t>
      </w:r>
      <w:proofErr w:type="spellStart"/>
      <w:r>
        <w:t>Megonigal</w:t>
      </w:r>
      <w:proofErr w:type="spellEnd"/>
      <w:r>
        <w:t>, P., Pidgeon, E., Herr, D., Gordon, D., &amp; Baldera, A. (2012). Estimating global "blue carbon" emissions from conversion and degradation of vegetated coastal ecosystems. PLOS ONE, 7(9), Article e43542. https://doi.org/10.1371/journal.pone.0043542</w:t>
      </w:r>
    </w:p>
    <w:p w14:paraId="652553FA" w14:textId="77777777" w:rsidR="00E14096" w:rsidRDefault="00E14096" w:rsidP="00E14096">
      <w:pPr>
        <w:ind w:left="720" w:hanging="720"/>
        <w:jc w:val="both"/>
      </w:pPr>
      <w:r>
        <w:t>Perera, S., Agostini, V., &amp; Sattler, C. (2025). Trends in market-based blue carbon projects. Sustainable Development, 33(2), 1245–1263. https://doi.org/10.1002/sd.3293</w:t>
      </w:r>
    </w:p>
    <w:p w14:paraId="641377F5" w14:textId="77777777" w:rsidR="00E14096" w:rsidRDefault="00E14096" w:rsidP="00E14096">
      <w:pPr>
        <w:ind w:left="720" w:hanging="720"/>
        <w:jc w:val="both"/>
      </w:pPr>
      <w:r>
        <w:t>Pham, T. D., Ha, N. T., Saintilan, N., Skidmore, A., Phan, D. C., Le, N. N., Viet, H. L., Takeuchi, W., &amp; Friess, D. A. (2023). Advances in Earth observation and machine learning for quantifying blue carbon. Earth-Science Reviews, 243, Article 104501. https://doi.org/10.1016/j.earscirev.2023.104501</w:t>
      </w:r>
    </w:p>
    <w:p w14:paraId="59EDDF8C" w14:textId="77777777" w:rsidR="00E14096" w:rsidRDefault="00E14096" w:rsidP="00E14096">
      <w:pPr>
        <w:ind w:left="720" w:hanging="720"/>
        <w:jc w:val="both"/>
      </w:pPr>
      <w:proofErr w:type="spellStart"/>
      <w:r>
        <w:t>Purushotham</w:t>
      </w:r>
      <w:proofErr w:type="spellEnd"/>
      <w:r>
        <w:t>, M. K., &amp; Thompson, B. S. (2025). Incorporating blue carbon into climate change mitigation policies: Multi-level governance challenges for carbon credits and NDCs. Ecological Economics, 233, Article 108800. https://doi.org/10.1016/j.ecolecon.2025.108800</w:t>
      </w:r>
    </w:p>
    <w:p w14:paraId="15A5ED21" w14:textId="77777777" w:rsidR="00E14096" w:rsidRDefault="00E14096" w:rsidP="00E14096">
      <w:pPr>
        <w:ind w:left="720" w:hanging="720"/>
        <w:jc w:val="both"/>
      </w:pPr>
      <w:r>
        <w:t xml:space="preserve">Queirós, A. M., ten Brink, T., Bas, M., Sweeting, C. J., McGuinness, S., Edwards, H., Talbot, E., </w:t>
      </w:r>
      <w:proofErr w:type="spellStart"/>
      <w:r>
        <w:t>Sørdahl</w:t>
      </w:r>
      <w:proofErr w:type="spellEnd"/>
      <w:r>
        <w:t xml:space="preserve">, P. B., Lønborg, C., Deecker-Simon, S. R., Elliott, M., Sardá, R., Fernandes-Salvador, J. A., Pretty, C., </w:t>
      </w:r>
      <w:proofErr w:type="spellStart"/>
      <w:r>
        <w:t>Varjopuro</w:t>
      </w:r>
      <w:proofErr w:type="spellEnd"/>
      <w:r>
        <w:t xml:space="preserve">, R., Virtanen, E. A., </w:t>
      </w:r>
      <w:proofErr w:type="spellStart"/>
      <w:r>
        <w:t>Gissi</w:t>
      </w:r>
      <w:proofErr w:type="spellEnd"/>
      <w:r>
        <w:t xml:space="preserve">, E., Yates, K., Morf, A., Frazão-Santos, C., </w:t>
      </w:r>
      <w:proofErr w:type="spellStart"/>
      <w:r>
        <w:t>Withouck</w:t>
      </w:r>
      <w:proofErr w:type="spellEnd"/>
      <w:r>
        <w:t xml:space="preserve">, I., Frost, M., Coll, M., Gee, K., &amp; Nic Aonghusa, C. (2025). The opportunity for climate action through climate-smart marine spatial </w:t>
      </w:r>
      <w:r>
        <w:lastRenderedPageBreak/>
        <w:t xml:space="preserve">planning. </w:t>
      </w:r>
      <w:proofErr w:type="spellStart"/>
      <w:r>
        <w:t>npj</w:t>
      </w:r>
      <w:proofErr w:type="spellEnd"/>
      <w:r>
        <w:t xml:space="preserve"> Ocean Sustainability, 4, Article 26. https://doi.org/10.1038/s44183-025-00129-2</w:t>
      </w:r>
    </w:p>
    <w:p w14:paraId="1986DAB7" w14:textId="77777777" w:rsidR="00E14096" w:rsidRDefault="00E14096" w:rsidP="00E14096">
      <w:pPr>
        <w:ind w:left="720" w:hanging="720"/>
        <w:jc w:val="both"/>
      </w:pPr>
      <w:r>
        <w:t>Sánchez Bardales, E., García Rosero, L. M., Arellanos Carrion, E. S., Bravo Campos, E., &amp; Cruz Caro, O. (2025). The synergy between the travel cost method and other valuation techniques for ecosystem services: A systematic review. Environments, 13(1), 18. https://doi.org/10.3390/environments13010018</w:t>
      </w:r>
    </w:p>
    <w:p w14:paraId="65815C25" w14:textId="77777777" w:rsidR="00E14096" w:rsidRDefault="00E14096" w:rsidP="00E14096">
      <w:pPr>
        <w:ind w:left="720" w:hanging="720"/>
        <w:jc w:val="both"/>
      </w:pPr>
      <w:r>
        <w:t>Sapkota, Y., &amp; White, J. R. (2020). Carbon offset market methodologies applicable for coastal wetland restoration and conservation in the United States: A review. Science of the Total Environment, 701, Article 134497. https://doi.org/10.1016/j.scitotenv.2019.134497</w:t>
      </w:r>
    </w:p>
    <w:p w14:paraId="2EB8E417" w14:textId="77777777" w:rsidR="00E14096" w:rsidRDefault="00E14096" w:rsidP="00E14096">
      <w:pPr>
        <w:ind w:left="720" w:hanging="720"/>
        <w:jc w:val="both"/>
      </w:pPr>
      <w:r>
        <w:t xml:space="preserve">Schindler Murray, L., Milligan, B., Ashford, O. S., </w:t>
      </w:r>
      <w:proofErr w:type="spellStart"/>
      <w:r>
        <w:t>Bonotto</w:t>
      </w:r>
      <w:proofErr w:type="spellEnd"/>
      <w:r>
        <w:t xml:space="preserve">, E., Cifuentes-Jara, M., Glass, L., Howard, J., Landis, E., Northrop, E., Roth, N., Thiele, T., Aigrette, L., Gil, L., Hamilton, J., Herr, D., Loureiro, T. G., Millington-Drake, M., Neilson, C., </w:t>
      </w:r>
      <w:proofErr w:type="spellStart"/>
      <w:r>
        <w:t>Pessarrodona</w:t>
      </w:r>
      <w:proofErr w:type="spellEnd"/>
      <w:r>
        <w:t>, A., &amp; von Unger, M. (2023). The blue carbon handbook: Blue carbon as a nature-based solution for climate action and sustainable development. High Level Panel for a Sustainable Ocean Economy. https://oceanpanel.org/w</w:t>
      </w:r>
    </w:p>
    <w:p w14:paraId="0613085F" w14:textId="77777777" w:rsidR="00E14096" w:rsidRDefault="00E14096" w:rsidP="00E14096">
      <w:pPr>
        <w:ind w:left="720" w:hanging="720"/>
        <w:jc w:val="both"/>
      </w:pPr>
      <w:proofErr w:type="spellStart"/>
      <w:r>
        <w:t>Sidik</w:t>
      </w:r>
      <w:proofErr w:type="spellEnd"/>
      <w:r>
        <w:t>, F., Lawrence, A., Wagey, T., Zamzani, F., &amp; Lovelock, C. E. (2023). Blue carbon: A new paradigm of mangrove conservation and management in Indonesia. Marine Policy, 147, Article 105388. https://doi.org/10.1016/j.marpol.2022.105388</w:t>
      </w:r>
    </w:p>
    <w:p w14:paraId="2334D8F7" w14:textId="77777777" w:rsidR="00E14096" w:rsidRDefault="00E14096" w:rsidP="00E14096">
      <w:pPr>
        <w:ind w:left="720" w:hanging="720"/>
        <w:jc w:val="both"/>
      </w:pPr>
      <w:r>
        <w:t>Simpson, S., Smart, L. S., Landis, E., Van Laere, S., Kibria, A. S. M. G., Albot, O., Beeston, M., Lovelock, C. E., McDonald, R. I., Moyer, R. P., Worthington, T. A., Maxwell, T. L., Stewart-Sinclair, P., &amp; Spalding, M. (2025). The Blue Carbon Cost Tool — understanding market potential and investment requirements for high-quality coastal wetland projects. Frontiers in Marine Science, 12, Article 1622255. https://doi.org/10.3389/fmars.2025.1622255</w:t>
      </w:r>
    </w:p>
    <w:p w14:paraId="3D7434E7" w14:textId="77777777" w:rsidR="00E14096" w:rsidRDefault="00E14096" w:rsidP="00E14096">
      <w:pPr>
        <w:ind w:left="720" w:hanging="720"/>
        <w:jc w:val="both"/>
      </w:pPr>
      <w:r>
        <w:t xml:space="preserve">Temmerman, S., </w:t>
      </w:r>
      <w:proofErr w:type="spellStart"/>
      <w:r>
        <w:t>Meire</w:t>
      </w:r>
      <w:proofErr w:type="spellEnd"/>
      <w:r>
        <w:t xml:space="preserve">, P., Bouma, T. J., Herman, P. M. J., </w:t>
      </w:r>
      <w:proofErr w:type="spellStart"/>
      <w:r>
        <w:t>Ysebaert</w:t>
      </w:r>
      <w:proofErr w:type="spellEnd"/>
      <w:r>
        <w:t xml:space="preserve">, T., &amp; De </w:t>
      </w:r>
      <w:proofErr w:type="spellStart"/>
      <w:r>
        <w:t>Vriend</w:t>
      </w:r>
      <w:proofErr w:type="spellEnd"/>
      <w:r>
        <w:t>, H. J. (2013). Ecosystem-based coastal defence in the face of global change. Nature, 504(7478), 79–83. https://doi.org/10.1038/nature12859</w:t>
      </w:r>
    </w:p>
    <w:p w14:paraId="2E1E4C19" w14:textId="77777777" w:rsidR="00E14096" w:rsidRDefault="00E14096" w:rsidP="00E14096">
      <w:pPr>
        <w:ind w:left="720" w:hanging="720"/>
        <w:jc w:val="both"/>
      </w:pPr>
      <w:r>
        <w:t xml:space="preserve">Uddin, M. A., Chang, B. H., </w:t>
      </w:r>
      <w:proofErr w:type="spellStart"/>
      <w:r>
        <w:t>Aldawsari</w:t>
      </w:r>
      <w:proofErr w:type="spellEnd"/>
      <w:r>
        <w:t>, S. H., &amp; Li, R. (2025). The interplay between green finance, policy uncertainty and carbon market volatility: A time frequency approach. Sustainability, 17(3), Article 1198. https://doi.org/10.3390/su17031198</w:t>
      </w:r>
    </w:p>
    <w:p w14:paraId="44269F1B" w14:textId="77777777" w:rsidR="000F1104" w:rsidRDefault="00E14096" w:rsidP="00E14096">
      <w:pPr>
        <w:ind w:left="720" w:hanging="720"/>
        <w:jc w:val="both"/>
      </w:pPr>
      <w:proofErr w:type="spellStart"/>
      <w:r>
        <w:t>Vanderklift</w:t>
      </w:r>
      <w:proofErr w:type="spellEnd"/>
      <w:r>
        <w:t xml:space="preserve">, M. A., Marcos-Martinez, R., Butler, J. R. A., Coleman, M., Lawrence, A., </w:t>
      </w:r>
      <w:proofErr w:type="spellStart"/>
      <w:r>
        <w:t>Prislan</w:t>
      </w:r>
      <w:proofErr w:type="spellEnd"/>
      <w:r>
        <w:t>, H., Steven, A. D. L., &amp; Thomas, S. (2019). Constraints and opportunities for market-based finance for the restoration and protection of blue carbon ecosystems. Marine Policy, 107, Article 103429. https://doi.org/10.1016/j.marpol.2019.02.001</w:t>
      </w:r>
    </w:p>
    <w:p w14:paraId="5B5A2E2D" w14:textId="18B2B23E" w:rsidR="00E14096" w:rsidRDefault="000F1104" w:rsidP="00E14096">
      <w:pPr>
        <w:ind w:left="720" w:hanging="720"/>
        <w:jc w:val="both"/>
      </w:pPr>
      <w:r w:rsidRPr="000F1104">
        <w:t xml:space="preserve"> </w:t>
      </w:r>
      <w:proofErr w:type="spellStart"/>
      <w:r w:rsidRPr="000F1104">
        <w:t>Verra</w:t>
      </w:r>
      <w:proofErr w:type="spellEnd"/>
      <w:r w:rsidRPr="000F1104">
        <w:t>. (2024). Verified Carbon Standard program. https://verra.org/programs/verified-carbon-standard</w:t>
      </w:r>
    </w:p>
    <w:p w14:paraId="2DAA5F0C" w14:textId="77777777" w:rsidR="00E14096" w:rsidRDefault="00E14096" w:rsidP="00E14096">
      <w:pPr>
        <w:ind w:left="720" w:hanging="720"/>
        <w:jc w:val="both"/>
      </w:pPr>
      <w:r>
        <w:t>Wang, X., Sun, T., Oprean-Stan, C., &amp; Chang, T. (2025). Volatility in carbon futures amid uncertainties: Considering geopolitical and economic policy factors. Journal of Futures Markets, 45(3), 214–234. https://doi.org/10.1002/fut.22565</w:t>
      </w:r>
    </w:p>
    <w:p w14:paraId="7C0D1C02" w14:textId="77777777" w:rsidR="00E14096" w:rsidRDefault="00E14096" w:rsidP="00E14096">
      <w:pPr>
        <w:ind w:left="720" w:hanging="720"/>
        <w:jc w:val="both"/>
      </w:pPr>
      <w:r>
        <w:t xml:space="preserve">Wedding, L. M., Frazão Santos, C., </w:t>
      </w:r>
      <w:proofErr w:type="spellStart"/>
      <w:r>
        <w:t>Agardy</w:t>
      </w:r>
      <w:proofErr w:type="spellEnd"/>
      <w:r>
        <w:t xml:space="preserve">, T., et al. (2026). Aligning climate-smart marine spatial planning and </w:t>
      </w:r>
      <w:proofErr w:type="spellStart"/>
      <w:r>
        <w:t>ecoscape</w:t>
      </w:r>
      <w:proofErr w:type="spellEnd"/>
      <w:r>
        <w:t xml:space="preserve"> restoration for global biodiversity recovery. Nature Reviews Biodiversity, 2, 127–137. https://doi.org/10.1038/s44358-025-00116</w:t>
      </w:r>
    </w:p>
    <w:p w14:paraId="1DF871F7" w14:textId="77777777" w:rsidR="00E14096" w:rsidRDefault="00E14096" w:rsidP="00E14096">
      <w:pPr>
        <w:ind w:left="720" w:hanging="720"/>
        <w:jc w:val="both"/>
      </w:pPr>
      <w:r>
        <w:t xml:space="preserve">West, T. A. P., Wunder, S., Sills, E. O., Börner, J., Rifai, S. W., </w:t>
      </w:r>
      <w:proofErr w:type="spellStart"/>
      <w:r>
        <w:t>Neidermeier</w:t>
      </w:r>
      <w:proofErr w:type="spellEnd"/>
      <w:r>
        <w:t xml:space="preserve">, A. N., Frey, G., &amp; </w:t>
      </w:r>
      <w:proofErr w:type="spellStart"/>
      <w:r>
        <w:t>Kontoleon</w:t>
      </w:r>
      <w:proofErr w:type="spellEnd"/>
      <w:r>
        <w:t>, A. (2023). Action needed to make carbon offsets from forest conservation work for climate change mitigation. Science, 381(6660), 873–877. https://doi.org/10.1126/science.ade3535</w:t>
      </w:r>
    </w:p>
    <w:p w14:paraId="5F38C04F" w14:textId="77777777" w:rsidR="00E14096" w:rsidRDefault="00E14096" w:rsidP="00E14096">
      <w:pPr>
        <w:ind w:left="720" w:hanging="720"/>
        <w:jc w:val="both"/>
      </w:pPr>
      <w:r>
        <w:t>Wylie, L., Sutton-Grier, A. E., &amp; Moore, A. (2016). Keys to successful blue carbon projects: Lessons learned from global case studies. Marine Policy, 65, 76–84. https://doi.org/10.1016/j.marpol.2015.12.020</w:t>
      </w:r>
    </w:p>
    <w:p w14:paraId="1F367DA7" w14:textId="77777777" w:rsidR="00D33984" w:rsidRPr="00917D0A" w:rsidRDefault="00D33984" w:rsidP="003C0B65">
      <w:pPr>
        <w:pStyle w:val="MdParagraph"/>
        <w:jc w:val="both"/>
      </w:pPr>
    </w:p>
    <w:sectPr w:rsidR="00D33984" w:rsidRPr="00917D0A">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0C937" w14:textId="77777777" w:rsidR="00A46DE4" w:rsidRDefault="00A46DE4" w:rsidP="00407275">
      <w:r>
        <w:separator/>
      </w:r>
    </w:p>
  </w:endnote>
  <w:endnote w:type="continuationSeparator" w:id="0">
    <w:p w14:paraId="0A71C3AC" w14:textId="77777777" w:rsidR="00A46DE4" w:rsidRDefault="00A46DE4" w:rsidP="0040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4F458" w14:textId="77777777" w:rsidR="00407275" w:rsidRDefault="0040727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CFEAC" w14:textId="77777777" w:rsidR="00407275" w:rsidRDefault="004072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6C8413" w14:textId="77777777" w:rsidR="00407275" w:rsidRDefault="004072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8212C" w14:textId="77777777" w:rsidR="00A46DE4" w:rsidRDefault="00A46DE4" w:rsidP="00407275">
      <w:r>
        <w:separator/>
      </w:r>
    </w:p>
  </w:footnote>
  <w:footnote w:type="continuationSeparator" w:id="0">
    <w:p w14:paraId="41CCCCC0" w14:textId="77777777" w:rsidR="00A46DE4" w:rsidRDefault="00A46DE4" w:rsidP="004072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8F903" w14:textId="3196D256" w:rsidR="00407275" w:rsidRDefault="00A46DE4">
    <w:pPr>
      <w:pStyle w:val="Header"/>
    </w:pPr>
    <w:r>
      <w:rPr>
        <w:noProof/>
      </w:rPr>
      <w:pict w14:anchorId="2077D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6"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A2ACBC" w14:textId="56A330F2" w:rsidR="00407275" w:rsidRDefault="00A46DE4">
    <w:pPr>
      <w:pStyle w:val="Header"/>
    </w:pPr>
    <w:r>
      <w:rPr>
        <w:noProof/>
      </w:rPr>
      <w:pict w14:anchorId="25696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7"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3039D" w14:textId="79666E1D" w:rsidR="00407275" w:rsidRDefault="00A46DE4">
    <w:pPr>
      <w:pStyle w:val="Header"/>
    </w:pPr>
    <w:r>
      <w:rPr>
        <w:noProof/>
      </w:rPr>
      <w:pict w14:anchorId="32FB9A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7264735"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1660DE"/>
    <w:multiLevelType w:val="hybridMultilevel"/>
    <w:tmpl w:val="DC740868"/>
    <w:lvl w:ilvl="0" w:tplc="E39C5AA4">
      <w:start w:val="1"/>
      <w:numFmt w:val="bullet"/>
      <w:lvlText w:val="●"/>
      <w:lvlJc w:val="left"/>
      <w:pPr>
        <w:ind w:left="720" w:hanging="360"/>
      </w:pPr>
    </w:lvl>
    <w:lvl w:ilvl="1" w:tplc="B762A02E">
      <w:start w:val="1"/>
      <w:numFmt w:val="bullet"/>
      <w:lvlText w:val="○"/>
      <w:lvlJc w:val="left"/>
      <w:pPr>
        <w:ind w:left="1440" w:hanging="360"/>
      </w:pPr>
    </w:lvl>
    <w:lvl w:ilvl="2" w:tplc="6B0ADCEA">
      <w:start w:val="1"/>
      <w:numFmt w:val="bullet"/>
      <w:lvlText w:val="■"/>
      <w:lvlJc w:val="left"/>
      <w:pPr>
        <w:ind w:left="2160" w:hanging="360"/>
      </w:pPr>
    </w:lvl>
    <w:lvl w:ilvl="3" w:tplc="B338F886">
      <w:start w:val="1"/>
      <w:numFmt w:val="bullet"/>
      <w:lvlText w:val="●"/>
      <w:lvlJc w:val="left"/>
      <w:pPr>
        <w:ind w:left="2880" w:hanging="360"/>
      </w:pPr>
    </w:lvl>
    <w:lvl w:ilvl="4" w:tplc="EB907D30">
      <w:start w:val="1"/>
      <w:numFmt w:val="bullet"/>
      <w:lvlText w:val="○"/>
      <w:lvlJc w:val="left"/>
      <w:pPr>
        <w:ind w:left="3600" w:hanging="360"/>
      </w:pPr>
    </w:lvl>
    <w:lvl w:ilvl="5" w:tplc="271005BE">
      <w:start w:val="1"/>
      <w:numFmt w:val="bullet"/>
      <w:lvlText w:val="■"/>
      <w:lvlJc w:val="left"/>
      <w:pPr>
        <w:ind w:left="4320" w:hanging="360"/>
      </w:pPr>
    </w:lvl>
    <w:lvl w:ilvl="6" w:tplc="973E9630">
      <w:start w:val="1"/>
      <w:numFmt w:val="bullet"/>
      <w:lvlText w:val="●"/>
      <w:lvlJc w:val="left"/>
      <w:pPr>
        <w:ind w:left="5040" w:hanging="360"/>
      </w:pPr>
    </w:lvl>
    <w:lvl w:ilvl="7" w:tplc="4B349E56">
      <w:start w:val="1"/>
      <w:numFmt w:val="bullet"/>
      <w:lvlText w:val="●"/>
      <w:lvlJc w:val="left"/>
      <w:pPr>
        <w:ind w:left="5760" w:hanging="360"/>
      </w:pPr>
    </w:lvl>
    <w:lvl w:ilvl="8" w:tplc="B7FE0BB8">
      <w:start w:val="1"/>
      <w:numFmt w:val="bullet"/>
      <w:lvlText w:val="●"/>
      <w:lvlJc w:val="left"/>
      <w:pPr>
        <w:ind w:left="6480" w:hanging="360"/>
      </w:pPr>
    </w:lvl>
  </w:abstractNum>
  <w:abstractNum w:abstractNumId="1">
    <w:nsid w:val="4E9157F4"/>
    <w:multiLevelType w:val="hybridMultilevel"/>
    <w:tmpl w:val="E27EC01E"/>
    <w:lvl w:ilvl="0" w:tplc="E1EE17A2">
      <w:start w:val="1"/>
      <w:numFmt w:val="bullet"/>
      <w:lvlText w:val="•"/>
      <w:lvlJc w:val="left"/>
      <w:pPr>
        <w:ind w:left="720" w:hanging="360"/>
      </w:pPr>
    </w:lvl>
    <w:lvl w:ilvl="1" w:tplc="1668FC40">
      <w:start w:val="1"/>
      <w:numFmt w:val="bullet"/>
      <w:lvlText w:val="◦"/>
      <w:lvlJc w:val="left"/>
      <w:pPr>
        <w:ind w:left="1440" w:hanging="360"/>
      </w:pPr>
    </w:lvl>
    <w:lvl w:ilvl="2" w:tplc="E90C1B92">
      <w:start w:val="1"/>
      <w:numFmt w:val="bullet"/>
      <w:lvlText w:val="•"/>
      <w:lvlJc w:val="left"/>
      <w:pPr>
        <w:ind w:left="2160" w:hanging="360"/>
      </w:pPr>
    </w:lvl>
    <w:lvl w:ilvl="3" w:tplc="0DFCC3DC">
      <w:start w:val="1"/>
      <w:numFmt w:val="bullet"/>
      <w:lvlText w:val="◦"/>
      <w:lvlJc w:val="left"/>
      <w:pPr>
        <w:ind w:left="2880" w:hanging="360"/>
      </w:pPr>
    </w:lvl>
    <w:lvl w:ilvl="4" w:tplc="7062F224">
      <w:start w:val="1"/>
      <w:numFmt w:val="bullet"/>
      <w:lvlText w:val="•"/>
      <w:lvlJc w:val="left"/>
      <w:pPr>
        <w:ind w:left="3600" w:hanging="360"/>
      </w:pPr>
    </w:lvl>
    <w:lvl w:ilvl="5" w:tplc="F104C2FE">
      <w:start w:val="1"/>
      <w:numFmt w:val="bullet"/>
      <w:lvlText w:val="◦"/>
      <w:lvlJc w:val="left"/>
      <w:pPr>
        <w:ind w:left="4320" w:hanging="360"/>
      </w:pPr>
    </w:lvl>
    <w:lvl w:ilvl="6" w:tplc="3E9AE4FC">
      <w:start w:val="1"/>
      <w:numFmt w:val="bullet"/>
      <w:lvlText w:val="•"/>
      <w:lvlJc w:val="left"/>
      <w:pPr>
        <w:ind w:left="5040" w:hanging="360"/>
      </w:pPr>
    </w:lvl>
    <w:lvl w:ilvl="7" w:tplc="3F9C8D78">
      <w:numFmt w:val="decimal"/>
      <w:lvlText w:val=""/>
      <w:lvlJc w:val="left"/>
    </w:lvl>
    <w:lvl w:ilvl="8" w:tplc="BD445E24">
      <w:numFmt w:val="decimal"/>
      <w:lvlText w:val=""/>
      <w:lvlJc w:val="left"/>
    </w:lvl>
  </w:abstractNum>
  <w:abstractNum w:abstractNumId="2">
    <w:nsid w:val="68B40F67"/>
    <w:multiLevelType w:val="multilevel"/>
    <w:tmpl w:val="BB8A571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lvlOverride w:ilvl="0">
      <w:startOverride w:val="1"/>
    </w:lvlOverride>
  </w:num>
  <w:num w:numId="2">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A45"/>
    <w:rsid w:val="00046CB7"/>
    <w:rsid w:val="00047840"/>
    <w:rsid w:val="000653EF"/>
    <w:rsid w:val="000D3803"/>
    <w:rsid w:val="000F1104"/>
    <w:rsid w:val="00100E67"/>
    <w:rsid w:val="00114534"/>
    <w:rsid w:val="0011666A"/>
    <w:rsid w:val="00122BA0"/>
    <w:rsid w:val="00127345"/>
    <w:rsid w:val="00151945"/>
    <w:rsid w:val="0015485D"/>
    <w:rsid w:val="001948CF"/>
    <w:rsid w:val="001A4D05"/>
    <w:rsid w:val="001F0C7E"/>
    <w:rsid w:val="00216DEB"/>
    <w:rsid w:val="002741B3"/>
    <w:rsid w:val="00295202"/>
    <w:rsid w:val="002B0B93"/>
    <w:rsid w:val="002C5E8E"/>
    <w:rsid w:val="002C6635"/>
    <w:rsid w:val="00315A5C"/>
    <w:rsid w:val="0032433E"/>
    <w:rsid w:val="003337FD"/>
    <w:rsid w:val="00342CB2"/>
    <w:rsid w:val="003704D0"/>
    <w:rsid w:val="003B1A04"/>
    <w:rsid w:val="003C0B65"/>
    <w:rsid w:val="003C3002"/>
    <w:rsid w:val="003E1ABA"/>
    <w:rsid w:val="003F04A5"/>
    <w:rsid w:val="00407275"/>
    <w:rsid w:val="00415660"/>
    <w:rsid w:val="00435709"/>
    <w:rsid w:val="00463384"/>
    <w:rsid w:val="004975AD"/>
    <w:rsid w:val="004C14F9"/>
    <w:rsid w:val="004D0947"/>
    <w:rsid w:val="004E5A45"/>
    <w:rsid w:val="005273D2"/>
    <w:rsid w:val="00563A17"/>
    <w:rsid w:val="005972AC"/>
    <w:rsid w:val="005B15E4"/>
    <w:rsid w:val="005B6555"/>
    <w:rsid w:val="005C0861"/>
    <w:rsid w:val="006661DE"/>
    <w:rsid w:val="00670021"/>
    <w:rsid w:val="00670D30"/>
    <w:rsid w:val="006C1003"/>
    <w:rsid w:val="006C1CB0"/>
    <w:rsid w:val="007667F3"/>
    <w:rsid w:val="007870CC"/>
    <w:rsid w:val="007B2B69"/>
    <w:rsid w:val="007F5727"/>
    <w:rsid w:val="008117F0"/>
    <w:rsid w:val="00832CA3"/>
    <w:rsid w:val="00873AA4"/>
    <w:rsid w:val="008779A8"/>
    <w:rsid w:val="00893A45"/>
    <w:rsid w:val="00917D0A"/>
    <w:rsid w:val="00920AAD"/>
    <w:rsid w:val="0095291C"/>
    <w:rsid w:val="009552EC"/>
    <w:rsid w:val="00983F43"/>
    <w:rsid w:val="009B1F40"/>
    <w:rsid w:val="009B6E99"/>
    <w:rsid w:val="009C51D6"/>
    <w:rsid w:val="00A46DE4"/>
    <w:rsid w:val="00A8039A"/>
    <w:rsid w:val="00AE6E55"/>
    <w:rsid w:val="00B205A0"/>
    <w:rsid w:val="00B81F19"/>
    <w:rsid w:val="00C02957"/>
    <w:rsid w:val="00C06382"/>
    <w:rsid w:val="00C11DF7"/>
    <w:rsid w:val="00C21EAD"/>
    <w:rsid w:val="00C26AFD"/>
    <w:rsid w:val="00C469A7"/>
    <w:rsid w:val="00C62F4D"/>
    <w:rsid w:val="00CD166F"/>
    <w:rsid w:val="00CD539F"/>
    <w:rsid w:val="00CE53CA"/>
    <w:rsid w:val="00D33984"/>
    <w:rsid w:val="00D40E11"/>
    <w:rsid w:val="00D562E1"/>
    <w:rsid w:val="00D60CAF"/>
    <w:rsid w:val="00DB7E41"/>
    <w:rsid w:val="00DD6F05"/>
    <w:rsid w:val="00DD7D23"/>
    <w:rsid w:val="00E14096"/>
    <w:rsid w:val="00E179F0"/>
    <w:rsid w:val="00E81104"/>
    <w:rsid w:val="00E83E19"/>
    <w:rsid w:val="00EA2E2F"/>
    <w:rsid w:val="00EB2B93"/>
    <w:rsid w:val="00EC75E6"/>
    <w:rsid w:val="00EE7136"/>
    <w:rsid w:val="00EF6CE1"/>
    <w:rsid w:val="00F538A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050C1F"/>
  <w15:docId w15:val="{C883F40D-80FA-47D2-B363-43370016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color="0563C1"/>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customStyle="1" w:styleId="MdSpace">
    <w:name w:val="MdSpace"/>
    <w:qFormat/>
    <w:rPr>
      <w:sz w:val="12"/>
      <w:szCs w:val="12"/>
    </w:rPr>
  </w:style>
  <w:style w:type="paragraph" w:customStyle="1" w:styleId="MdCode">
    <w:name w:val="MdCode"/>
    <w:qFormat/>
    <w:pPr>
      <w:pBdr>
        <w:top w:val="single" w:sz="1" w:space="8" w:color="A5A5A5"/>
        <w:left w:val="single" w:sz="1" w:space="8" w:color="A5A5A5"/>
        <w:bottom w:val="single" w:sz="1" w:space="8" w:color="A5A5A5"/>
        <w:right w:val="single" w:sz="1" w:space="8" w:color="A5A5A5"/>
      </w:pBdr>
      <w:spacing w:before="200" w:after="200"/>
    </w:pPr>
    <w:rPr>
      <w:rFonts w:ascii="Courier New" w:eastAsia="Courier New" w:hAnsi="Courier New" w:cs="Courier New"/>
      <w:color w:val="70AD47"/>
      <w:sz w:val="22"/>
      <w:szCs w:val="22"/>
    </w:rPr>
  </w:style>
  <w:style w:type="paragraph" w:customStyle="1" w:styleId="MdHr">
    <w:name w:val="MdHr"/>
    <w:qFormat/>
    <w:pPr>
      <w:pBdr>
        <w:bottom w:val="single" w:sz="1" w:space="1" w:color="A5A5A5"/>
      </w:pBdr>
      <w:spacing w:before="240" w:after="240"/>
    </w:pPr>
  </w:style>
  <w:style w:type="paragraph" w:customStyle="1" w:styleId="MdBlockquote">
    <w:name w:val="MdBlockquote"/>
    <w:qFormat/>
    <w:pPr>
      <w:pBdr>
        <w:left w:val="single" w:sz="20" w:space="12" w:color="A5A5A5"/>
      </w:pBdr>
      <w:spacing w:before="200" w:after="200"/>
      <w:ind w:left="360"/>
    </w:pPr>
    <w:rPr>
      <w:i/>
      <w:iCs/>
      <w:color w:val="666666"/>
    </w:rPr>
  </w:style>
  <w:style w:type="paragraph" w:customStyle="1" w:styleId="MdHtml">
    <w:name w:val="MdHtml"/>
    <w:qFormat/>
    <w:rPr>
      <w:rFonts w:ascii="Courier New" w:eastAsia="Courier New" w:hAnsi="Courier New" w:cs="Courier New"/>
      <w:color w:val="ED7D31"/>
    </w:rPr>
  </w:style>
  <w:style w:type="paragraph" w:customStyle="1" w:styleId="MdDef">
    <w:name w:val="MdDef"/>
    <w:qFormat/>
    <w:pPr>
      <w:ind w:left="720" w:hanging="360"/>
    </w:pPr>
  </w:style>
  <w:style w:type="paragraph" w:customStyle="1" w:styleId="MdParagraph">
    <w:name w:val="MdParagraph"/>
    <w:qFormat/>
    <w:pPr>
      <w:spacing w:before="120" w:after="120"/>
    </w:pPr>
  </w:style>
  <w:style w:type="paragraph" w:customStyle="1" w:styleId="MdText">
    <w:name w:val="MdText"/>
    <w:qFormat/>
  </w:style>
  <w:style w:type="paragraph" w:customStyle="1" w:styleId="MdFootnote">
    <w:name w:val="MdFootnote"/>
    <w:qFormat/>
    <w:rPr>
      <w:vertAlign w:val="superscript"/>
    </w:rPr>
  </w:style>
  <w:style w:type="paragraph" w:customStyle="1" w:styleId="MdListItem">
    <w:name w:val="MdListItem"/>
    <w:qFormat/>
    <w:pPr>
      <w:spacing w:before="60" w:after="60"/>
      <w:ind w:left="720" w:hanging="360"/>
    </w:pPr>
  </w:style>
  <w:style w:type="paragraph" w:customStyle="1" w:styleId="MdTable">
    <w:name w:val="MdTable"/>
    <w:qFormat/>
    <w:pPr>
      <w:spacing w:before="60" w:after="60"/>
    </w:pPr>
  </w:style>
  <w:style w:type="paragraph" w:customStyle="1" w:styleId="MdTableHeader">
    <w:name w:val="MdTableHeader"/>
    <w:qFormat/>
    <w:pPr>
      <w:spacing w:before="60" w:after="60"/>
    </w:pPr>
    <w:rPr>
      <w:b/>
      <w:bCs/>
      <w:sz w:val="22"/>
      <w:szCs w:val="22"/>
    </w:rPr>
  </w:style>
  <w:style w:type="paragraph" w:customStyle="1" w:styleId="MdTableCell">
    <w:name w:val="MdTableCell"/>
    <w:qFormat/>
    <w:pPr>
      <w:spacing w:before="40" w:after="40"/>
    </w:pPr>
    <w:rPr>
      <w:sz w:val="20"/>
      <w:szCs w:val="20"/>
    </w:rPr>
  </w:style>
  <w:style w:type="paragraph" w:customStyle="1" w:styleId="MdHeading1">
    <w:name w:val="MdHeading1"/>
    <w:qFormat/>
    <w:pPr>
      <w:keepNext/>
      <w:spacing w:before="480" w:after="240"/>
      <w:outlineLvl w:val="0"/>
    </w:pPr>
    <w:rPr>
      <w:b/>
      <w:bCs/>
      <w:sz w:val="36"/>
      <w:szCs w:val="36"/>
    </w:rPr>
  </w:style>
  <w:style w:type="paragraph" w:customStyle="1" w:styleId="MdHeading2">
    <w:name w:val="MdHeading2"/>
    <w:qFormat/>
    <w:pPr>
      <w:keepNext/>
      <w:spacing w:before="400" w:after="200"/>
      <w:outlineLvl w:val="1"/>
    </w:pPr>
    <w:rPr>
      <w:b/>
      <w:bCs/>
      <w:sz w:val="32"/>
      <w:szCs w:val="32"/>
    </w:rPr>
  </w:style>
  <w:style w:type="paragraph" w:customStyle="1" w:styleId="MdHeading3">
    <w:name w:val="MdHeading3"/>
    <w:qFormat/>
    <w:pPr>
      <w:keepNext/>
      <w:spacing w:before="320" w:after="160"/>
      <w:outlineLvl w:val="2"/>
    </w:pPr>
    <w:rPr>
      <w:b/>
      <w:bCs/>
      <w:sz w:val="28"/>
      <w:szCs w:val="28"/>
    </w:rPr>
  </w:style>
  <w:style w:type="paragraph" w:customStyle="1" w:styleId="MdHeading4">
    <w:name w:val="MdHeading4"/>
    <w:qFormat/>
    <w:pPr>
      <w:keepNext/>
      <w:spacing w:before="280" w:after="140"/>
      <w:outlineLvl w:val="3"/>
    </w:pPr>
    <w:rPr>
      <w:b/>
      <w:bCs/>
      <w:sz w:val="26"/>
      <w:szCs w:val="26"/>
    </w:rPr>
  </w:style>
  <w:style w:type="paragraph" w:customStyle="1" w:styleId="MdHeading5">
    <w:name w:val="MdHeading5"/>
    <w:qFormat/>
    <w:pPr>
      <w:keepNext/>
      <w:spacing w:before="240" w:after="120"/>
      <w:outlineLvl w:val="4"/>
    </w:pPr>
    <w:rPr>
      <w:b/>
      <w:bCs/>
      <w:i/>
      <w:iCs/>
    </w:rPr>
  </w:style>
  <w:style w:type="paragraph" w:customStyle="1" w:styleId="MdHeading6">
    <w:name w:val="MdHeading6"/>
    <w:qFormat/>
    <w:pPr>
      <w:keepNext/>
      <w:spacing w:before="240" w:after="120"/>
      <w:outlineLvl w:val="5"/>
    </w:pPr>
    <w:rPr>
      <w:i/>
      <w:iCs/>
    </w:rPr>
  </w:style>
  <w:style w:type="character" w:customStyle="1" w:styleId="MdTag">
    <w:name w:val="MdTag"/>
    <w:uiPriority w:val="99"/>
    <w:unhideWhenUsed/>
    <w:qFormat/>
    <w:rPr>
      <w:rFonts w:ascii="Courier New" w:eastAsia="Courier New" w:hAnsi="Courier New" w:cs="Courier New"/>
      <w:color w:val="ED7D31"/>
    </w:rPr>
  </w:style>
  <w:style w:type="character" w:customStyle="1" w:styleId="MdLink">
    <w:name w:val="MdLink"/>
    <w:uiPriority w:val="99"/>
    <w:unhideWhenUsed/>
    <w:qFormat/>
    <w:rPr>
      <w:color w:val="0563C1"/>
      <w:u w:val="single"/>
    </w:rPr>
  </w:style>
  <w:style w:type="character" w:customStyle="1" w:styleId="MdStrong">
    <w:name w:val="MdStrong"/>
    <w:uiPriority w:val="99"/>
    <w:unhideWhenUsed/>
    <w:qFormat/>
    <w:rPr>
      <w:b/>
      <w:bCs/>
    </w:rPr>
  </w:style>
  <w:style w:type="character" w:customStyle="1" w:styleId="MdEm">
    <w:name w:val="MdEm"/>
    <w:uiPriority w:val="99"/>
    <w:unhideWhenUsed/>
    <w:qFormat/>
    <w:rPr>
      <w:i/>
      <w:iCs/>
    </w:rPr>
  </w:style>
  <w:style w:type="character" w:customStyle="1" w:styleId="MdCodespan">
    <w:name w:val="MdCodespan"/>
    <w:uiPriority w:val="99"/>
    <w:unhideWhenUsed/>
    <w:qFormat/>
    <w:rPr>
      <w:rFonts w:ascii="Courier New" w:eastAsia="Courier New" w:hAnsi="Courier New" w:cs="Courier New"/>
      <w:color w:val="70AD47"/>
    </w:rPr>
  </w:style>
  <w:style w:type="character" w:customStyle="1" w:styleId="MdDel">
    <w:name w:val="MdDel"/>
    <w:uiPriority w:val="99"/>
    <w:unhideWhenUsed/>
    <w:qFormat/>
    <w:rPr>
      <w:strike/>
    </w:rPr>
  </w:style>
  <w:style w:type="character" w:customStyle="1" w:styleId="MdBr">
    <w:name w:val="MdBr"/>
    <w:uiPriority w:val="99"/>
    <w:unhideWhenUsed/>
    <w:qFormat/>
  </w:style>
  <w:style w:type="table" w:styleId="TableGrid">
    <w:name w:val="Table Grid"/>
    <w:basedOn w:val="TableNormal"/>
    <w:uiPriority w:val="59"/>
    <w:rsid w:val="007870CC"/>
    <w:rPr>
      <w:rFonts w:asciiTheme="minorHAnsi" w:eastAsiaTheme="minorEastAsia"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216DEB"/>
    <w:rPr>
      <w:color w:val="605E5C"/>
      <w:shd w:val="clear" w:color="auto" w:fill="E1DFDD"/>
    </w:rPr>
  </w:style>
  <w:style w:type="paragraph" w:styleId="Header">
    <w:name w:val="header"/>
    <w:basedOn w:val="Normal"/>
    <w:link w:val="HeaderChar"/>
    <w:uiPriority w:val="99"/>
    <w:unhideWhenUsed/>
    <w:rsid w:val="00407275"/>
    <w:pPr>
      <w:tabs>
        <w:tab w:val="center" w:pos="4680"/>
        <w:tab w:val="right" w:pos="9360"/>
      </w:tabs>
    </w:pPr>
  </w:style>
  <w:style w:type="character" w:customStyle="1" w:styleId="HeaderChar">
    <w:name w:val="Header Char"/>
    <w:basedOn w:val="DefaultParagraphFont"/>
    <w:link w:val="Header"/>
    <w:uiPriority w:val="99"/>
    <w:rsid w:val="00407275"/>
  </w:style>
  <w:style w:type="paragraph" w:styleId="Footer">
    <w:name w:val="footer"/>
    <w:basedOn w:val="Normal"/>
    <w:link w:val="FooterChar"/>
    <w:uiPriority w:val="99"/>
    <w:unhideWhenUsed/>
    <w:rsid w:val="00407275"/>
    <w:pPr>
      <w:tabs>
        <w:tab w:val="center" w:pos="4680"/>
        <w:tab w:val="right" w:pos="9360"/>
      </w:tabs>
    </w:pPr>
  </w:style>
  <w:style w:type="character" w:customStyle="1" w:styleId="FooterChar">
    <w:name w:val="Footer Char"/>
    <w:basedOn w:val="DefaultParagraphFont"/>
    <w:link w:val="Footer"/>
    <w:uiPriority w:val="99"/>
    <w:rsid w:val="00407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299799">
      <w:bodyDiv w:val="1"/>
      <w:marLeft w:val="0"/>
      <w:marRight w:val="0"/>
      <w:marTop w:val="0"/>
      <w:marBottom w:val="0"/>
      <w:divBdr>
        <w:top w:val="none" w:sz="0" w:space="0" w:color="auto"/>
        <w:left w:val="none" w:sz="0" w:space="0" w:color="auto"/>
        <w:bottom w:val="none" w:sz="0" w:space="0" w:color="auto"/>
        <w:right w:val="none" w:sz="0" w:space="0" w:color="auto"/>
      </w:divBdr>
      <w:divsChild>
        <w:div w:id="308561373">
          <w:marLeft w:val="0"/>
          <w:marRight w:val="0"/>
          <w:marTop w:val="0"/>
          <w:marBottom w:val="0"/>
          <w:divBdr>
            <w:top w:val="none" w:sz="0" w:space="0" w:color="auto"/>
            <w:left w:val="none" w:sz="0" w:space="0" w:color="auto"/>
            <w:bottom w:val="none" w:sz="0" w:space="0" w:color="auto"/>
            <w:right w:val="none" w:sz="0" w:space="0" w:color="auto"/>
          </w:divBdr>
          <w:divsChild>
            <w:div w:id="696931468">
              <w:marLeft w:val="0"/>
              <w:marRight w:val="0"/>
              <w:marTop w:val="0"/>
              <w:marBottom w:val="0"/>
              <w:divBdr>
                <w:top w:val="none" w:sz="0" w:space="0" w:color="auto"/>
                <w:left w:val="none" w:sz="0" w:space="0" w:color="auto"/>
                <w:bottom w:val="none" w:sz="0" w:space="0" w:color="auto"/>
                <w:right w:val="none" w:sz="0" w:space="0" w:color="auto"/>
              </w:divBdr>
            </w:div>
          </w:divsChild>
        </w:div>
        <w:div w:id="1335497984">
          <w:marLeft w:val="0"/>
          <w:marRight w:val="0"/>
          <w:marTop w:val="0"/>
          <w:marBottom w:val="0"/>
          <w:divBdr>
            <w:top w:val="none" w:sz="0" w:space="0" w:color="auto"/>
            <w:left w:val="none" w:sz="0" w:space="0" w:color="auto"/>
            <w:bottom w:val="none" w:sz="0" w:space="0" w:color="auto"/>
            <w:right w:val="none" w:sz="0" w:space="0" w:color="auto"/>
          </w:divBdr>
        </w:div>
        <w:div w:id="1649747068">
          <w:marLeft w:val="0"/>
          <w:marRight w:val="0"/>
          <w:marTop w:val="0"/>
          <w:marBottom w:val="0"/>
          <w:divBdr>
            <w:top w:val="none" w:sz="0" w:space="0" w:color="auto"/>
            <w:left w:val="none" w:sz="0" w:space="0" w:color="auto"/>
            <w:bottom w:val="none" w:sz="0" w:space="0" w:color="auto"/>
            <w:right w:val="none" w:sz="0" w:space="0" w:color="auto"/>
          </w:divBdr>
          <w:divsChild>
            <w:div w:id="1040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80/08920753.2021.196756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i.org/10.1093/cmlj/kmad02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371/journal.pclm.0000148"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CB384A-B935-4541-AFBF-B89AF7C9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25</Pages>
  <Words>9044</Words>
  <Characters>51551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Converted Document</vt:lpstr>
    </vt:vector>
  </TitlesOfParts>
  <Company/>
  <LinksUpToDate>false</LinksUpToDate>
  <CharactersWithSpaces>60475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Converted Document</dc:title>
  <dc:creator>md2docx converter</dc:creator>
  <dc:description>Converted from Markdown</dc:description>
  <cp:lastModifiedBy>Acer</cp:lastModifiedBy>
  <cp:revision>10</cp:revision>
  <dcterms:created xsi:type="dcterms:W3CDTF">2026-03-14T06:24:00Z</dcterms:created>
  <dcterms:modified xsi:type="dcterms:W3CDTF">2026-03-14T08:48:00Z</dcterms:modified>
</cp:coreProperties>
</file>