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BB929" w14:textId="77777777" w:rsidR="004D65C7" w:rsidRDefault="004D65C7" w:rsidP="00441B6F">
      <w:pPr>
        <w:pStyle w:val="Title"/>
        <w:spacing w:after="0"/>
        <w:jc w:val="both"/>
        <w:rPr>
          <w:rFonts w:ascii="Arial" w:hAnsi="Arial" w:cs="Arial"/>
          <w:sz w:val="22"/>
          <w:szCs w:val="22"/>
        </w:rPr>
      </w:pPr>
    </w:p>
    <w:p w14:paraId="109B371D" w14:textId="77777777" w:rsidR="004D65C7" w:rsidRPr="00A90B91" w:rsidRDefault="004D65C7" w:rsidP="00441B6F">
      <w:pPr>
        <w:pStyle w:val="Title"/>
        <w:spacing w:after="0"/>
        <w:jc w:val="both"/>
        <w:rPr>
          <w:rFonts w:ascii="Arial" w:hAnsi="Arial" w:cs="Arial"/>
          <w:sz w:val="22"/>
          <w:szCs w:val="22"/>
        </w:rPr>
      </w:pPr>
    </w:p>
    <w:p w14:paraId="6F8EB270" w14:textId="77777777" w:rsidR="00A90B91" w:rsidRDefault="00A90B91" w:rsidP="00A90B91">
      <w:pPr>
        <w:jc w:val="center"/>
        <w:rPr>
          <w:rFonts w:ascii="Arial" w:hAnsi="Arial" w:cs="Arial"/>
          <w:b/>
          <w:bCs/>
          <w:sz w:val="22"/>
          <w:szCs w:val="22"/>
        </w:rPr>
      </w:pPr>
      <w:r w:rsidRPr="00A90B91">
        <w:rPr>
          <w:rFonts w:ascii="Arial" w:hAnsi="Arial" w:cs="Arial"/>
          <w:b/>
          <w:bCs/>
          <w:sz w:val="22"/>
          <w:szCs w:val="22"/>
        </w:rPr>
        <w:t>Physiological and Biochemical Responses of Mulberry (</w:t>
      </w:r>
      <w:r w:rsidRPr="00A90B91">
        <w:rPr>
          <w:rFonts w:ascii="Arial" w:hAnsi="Arial" w:cs="Arial"/>
          <w:b/>
          <w:bCs/>
          <w:i/>
          <w:iCs/>
          <w:sz w:val="22"/>
          <w:szCs w:val="22"/>
        </w:rPr>
        <w:t>Morus alba</w:t>
      </w:r>
      <w:r w:rsidRPr="00A90B91">
        <w:rPr>
          <w:rFonts w:ascii="Arial" w:hAnsi="Arial" w:cs="Arial"/>
          <w:b/>
          <w:bCs/>
          <w:sz w:val="22"/>
          <w:szCs w:val="22"/>
        </w:rPr>
        <w:t xml:space="preserve"> L.) to Elevated CO</w:t>
      </w:r>
      <w:r w:rsidRPr="00A90B91">
        <w:rPr>
          <w:rFonts w:ascii="Cambria Math" w:hAnsi="Cambria Math" w:cs="Cambria Math"/>
          <w:b/>
          <w:bCs/>
          <w:sz w:val="22"/>
          <w:szCs w:val="22"/>
        </w:rPr>
        <w:t>₂</w:t>
      </w:r>
      <w:r w:rsidRPr="00A90B91">
        <w:rPr>
          <w:rFonts w:ascii="Arial" w:hAnsi="Arial" w:cs="Arial"/>
          <w:b/>
          <w:bCs/>
          <w:sz w:val="22"/>
          <w:szCs w:val="22"/>
        </w:rPr>
        <w:t xml:space="preserve"> and Temperature and their Consequences on Silkworm (</w:t>
      </w:r>
      <w:r w:rsidRPr="00A90B91">
        <w:rPr>
          <w:rFonts w:ascii="Arial" w:hAnsi="Arial" w:cs="Arial"/>
          <w:b/>
          <w:bCs/>
          <w:i/>
          <w:iCs/>
          <w:sz w:val="22"/>
          <w:szCs w:val="22"/>
        </w:rPr>
        <w:t>Bombyx mori</w:t>
      </w:r>
      <w:r w:rsidRPr="00A90B91">
        <w:rPr>
          <w:rFonts w:ascii="Arial" w:hAnsi="Arial" w:cs="Arial"/>
          <w:b/>
          <w:bCs/>
          <w:sz w:val="22"/>
          <w:szCs w:val="22"/>
        </w:rPr>
        <w:t xml:space="preserve"> L.) Performance</w:t>
      </w:r>
    </w:p>
    <w:p w14:paraId="2F61789D" w14:textId="77777777" w:rsidR="004D65C7" w:rsidRPr="00A90B91" w:rsidRDefault="004D65C7" w:rsidP="00A90B91">
      <w:pPr>
        <w:jc w:val="center"/>
        <w:rPr>
          <w:rFonts w:ascii="Arial" w:hAnsi="Arial" w:cs="Arial"/>
          <w:b/>
          <w:bCs/>
          <w:sz w:val="22"/>
          <w:szCs w:val="22"/>
        </w:rPr>
      </w:pPr>
    </w:p>
    <w:p w14:paraId="12CC9F4C" w14:textId="77777777" w:rsidR="0053002C" w:rsidRDefault="0053002C" w:rsidP="0053002C">
      <w:pPr>
        <w:jc w:val="center"/>
        <w:rPr>
          <w:rFonts w:ascii="Arial" w:hAnsi="Arial" w:cs="Arial"/>
          <w:sz w:val="22"/>
          <w:szCs w:val="22"/>
        </w:rPr>
      </w:pPr>
    </w:p>
    <w:p w14:paraId="3B136040" w14:textId="77777777" w:rsidR="00795DCA" w:rsidRDefault="00795DCA" w:rsidP="002D1F21">
      <w:pPr>
        <w:jc w:val="center"/>
        <w:rPr>
          <w:rFonts w:ascii="Arial" w:hAnsi="Arial" w:cs="Arial"/>
          <w:sz w:val="22"/>
          <w:szCs w:val="22"/>
        </w:rPr>
      </w:pPr>
    </w:p>
    <w:p w14:paraId="6E81FB36" w14:textId="77777777" w:rsidR="00795DCA" w:rsidRPr="00A90B91" w:rsidRDefault="00795DCA" w:rsidP="002D1F21">
      <w:pPr>
        <w:jc w:val="center"/>
        <w:rPr>
          <w:rFonts w:ascii="Arial" w:hAnsi="Arial" w:cs="Arial"/>
          <w:sz w:val="22"/>
          <w:szCs w:val="22"/>
        </w:rPr>
      </w:pPr>
    </w:p>
    <w:p w14:paraId="1864AC2E" w14:textId="77777777" w:rsidR="002C57D2" w:rsidRPr="00A90B91" w:rsidRDefault="002C57D2" w:rsidP="00441B6F">
      <w:pPr>
        <w:pStyle w:val="Affiliation"/>
        <w:spacing w:after="0" w:line="240" w:lineRule="auto"/>
        <w:jc w:val="both"/>
        <w:rPr>
          <w:rFonts w:ascii="Arial" w:hAnsi="Arial" w:cs="Arial"/>
          <w:sz w:val="22"/>
          <w:szCs w:val="22"/>
        </w:rPr>
      </w:pPr>
    </w:p>
    <w:p w14:paraId="692E2BC9" w14:textId="4BECFAD8" w:rsidR="00B01FCD" w:rsidRPr="00A90B91" w:rsidRDefault="00B52F54" w:rsidP="00441B6F">
      <w:pPr>
        <w:pStyle w:val="Copyright"/>
        <w:spacing w:after="0" w:line="240" w:lineRule="auto"/>
        <w:jc w:val="both"/>
        <w:rPr>
          <w:rFonts w:ascii="Arial" w:hAnsi="Arial" w:cs="Arial"/>
          <w:sz w:val="22"/>
          <w:szCs w:val="22"/>
        </w:rPr>
        <w:sectPr w:rsidR="00B01FCD" w:rsidRPr="00A90B91" w:rsidSect="002175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90B91">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3D8C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90B91">
        <w:rPr>
          <w:rFonts w:ascii="Arial" w:hAnsi="Arial" w:cs="Arial"/>
          <w:sz w:val="22"/>
          <w:szCs w:val="22"/>
        </w:rPr>
        <w:t>.</w:t>
      </w:r>
    </w:p>
    <w:p w14:paraId="2B52BE60" w14:textId="2957F77A" w:rsidR="00B01FCD" w:rsidRPr="00A90B91" w:rsidRDefault="00B01FCD" w:rsidP="00441B6F">
      <w:pPr>
        <w:pStyle w:val="AbstHead"/>
        <w:spacing w:after="0"/>
        <w:jc w:val="both"/>
        <w:rPr>
          <w:rFonts w:ascii="Arial" w:hAnsi="Arial" w:cs="Arial"/>
          <w:szCs w:val="22"/>
        </w:rPr>
      </w:pPr>
      <w:r w:rsidRPr="00A90B91">
        <w:rPr>
          <w:rFonts w:ascii="Arial" w:hAnsi="Arial" w:cs="Arial"/>
          <w:szCs w:val="22"/>
        </w:rPr>
        <w:t>ABSTRACT</w:t>
      </w:r>
      <w:r w:rsidR="0066510A" w:rsidRPr="00A90B91">
        <w:rPr>
          <w:rFonts w:ascii="Arial" w:hAnsi="Arial" w:cs="Arial"/>
          <w:szCs w:val="22"/>
        </w:rPr>
        <w:t xml:space="preserve"> </w:t>
      </w:r>
    </w:p>
    <w:p w14:paraId="205E221F" w14:textId="77777777" w:rsidR="00790ADA" w:rsidRPr="00A90B91"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90B91" w14:paraId="12F4D5A4" w14:textId="77777777" w:rsidTr="001E44FE">
        <w:tc>
          <w:tcPr>
            <w:tcW w:w="9576" w:type="dxa"/>
            <w:shd w:val="clear" w:color="auto" w:fill="F2F2F2"/>
          </w:tcPr>
          <w:p w14:paraId="243EA962" w14:textId="6CCD620D" w:rsidR="00505F06"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Rising atmospheric carbon dioxide concentration and temperature are key components of ongoing climate change and are expected to exert significant influences on mulberry-based sericulture systems. Mulberry (</w:t>
            </w:r>
            <w:r w:rsidRPr="00A90B91">
              <w:rPr>
                <w:rFonts w:ascii="Arial" w:hAnsi="Arial" w:cs="Arial"/>
                <w:i/>
                <w:iCs/>
                <w:sz w:val="22"/>
                <w:szCs w:val="22"/>
              </w:rPr>
              <w:t>Morus alba</w:t>
            </w:r>
            <w:r w:rsidRPr="00A90B91">
              <w:rPr>
                <w:rFonts w:ascii="Arial" w:hAnsi="Arial" w:cs="Arial"/>
                <w:sz w:val="22"/>
                <w:szCs w:val="22"/>
              </w:rPr>
              <w:t xml:space="preserve"> L.), a C</w:t>
            </w:r>
            <w:r w:rsidRPr="00A90B91">
              <w:rPr>
                <w:rFonts w:ascii="Cambria Math" w:hAnsi="Cambria Math" w:cs="Cambria Math"/>
                <w:sz w:val="22"/>
                <w:szCs w:val="22"/>
              </w:rPr>
              <w:t>₃</w:t>
            </w:r>
            <w:r w:rsidRPr="00A90B91">
              <w:rPr>
                <w:rFonts w:ascii="Arial" w:hAnsi="Arial" w:cs="Arial"/>
                <w:sz w:val="22"/>
                <w:szCs w:val="22"/>
              </w:rPr>
              <w:t xml:space="preserve"> plant and the sole food source for the silkworm (</w:t>
            </w:r>
            <w:r w:rsidRPr="00A90B91">
              <w:rPr>
                <w:rFonts w:ascii="Arial" w:hAnsi="Arial" w:cs="Arial"/>
                <w:i/>
                <w:iCs/>
                <w:sz w:val="22"/>
                <w:szCs w:val="22"/>
              </w:rPr>
              <w:t>Bombyx mori</w:t>
            </w:r>
            <w:r w:rsidRPr="00A90B91">
              <w:rPr>
                <w:rFonts w:ascii="Arial" w:hAnsi="Arial" w:cs="Arial"/>
                <w:sz w:val="22"/>
                <w:szCs w:val="22"/>
              </w:rPr>
              <w:t xml:space="preserve"> L.), responds strongly to elevated CO</w:t>
            </w:r>
            <w:r w:rsidRPr="00A90B91">
              <w:rPr>
                <w:rFonts w:ascii="Cambria Math" w:hAnsi="Cambria Math" w:cs="Cambria Math"/>
                <w:sz w:val="22"/>
                <w:szCs w:val="22"/>
              </w:rPr>
              <w:t>₂</w:t>
            </w:r>
            <w:r w:rsidRPr="00A90B91">
              <w:rPr>
                <w:rFonts w:ascii="Arial" w:hAnsi="Arial" w:cs="Arial"/>
                <w:sz w:val="22"/>
                <w:szCs w:val="22"/>
              </w:rPr>
              <w:t xml:space="preserve"> through enhanced photosynthesis, increased leaf area development, and higher leaf biomass production. However, these quantitative gains are often accompanied by qualitative changes in leaf biochemistry, particularly under combined elevated CO</w:t>
            </w:r>
            <w:r w:rsidRPr="00A90B91">
              <w:rPr>
                <w:rFonts w:ascii="Cambria Math" w:hAnsi="Cambria Math" w:cs="Cambria Math"/>
                <w:sz w:val="22"/>
                <w:szCs w:val="22"/>
              </w:rPr>
              <w:t>₂</w:t>
            </w:r>
            <w:r w:rsidRPr="00A90B91">
              <w:rPr>
                <w:rFonts w:ascii="Arial" w:hAnsi="Arial" w:cs="Arial"/>
                <w:sz w:val="22"/>
                <w:szCs w:val="22"/>
              </w:rPr>
              <w:t xml:space="preserve"> and temperature conditions. Open Top Chamber (OTC) studies conducted under tropical environments, including the Raichur experiment, demonstrate that elevated CO</w:t>
            </w:r>
            <w:r w:rsidRPr="00A90B91">
              <w:rPr>
                <w:rFonts w:ascii="Cambria Math" w:hAnsi="Cambria Math" w:cs="Cambria Math"/>
                <w:sz w:val="22"/>
                <w:szCs w:val="22"/>
              </w:rPr>
              <w:t>₂</w:t>
            </w:r>
            <w:r w:rsidRPr="00A90B91">
              <w:rPr>
                <w:rFonts w:ascii="Arial" w:hAnsi="Arial" w:cs="Arial"/>
                <w:sz w:val="22"/>
                <w:szCs w:val="22"/>
              </w:rPr>
              <w:t xml:space="preserve"> and CO</w:t>
            </w:r>
            <w:r w:rsidRPr="00A90B91">
              <w:rPr>
                <w:rFonts w:ascii="Cambria Math" w:hAnsi="Cambria Math" w:cs="Cambria Math"/>
                <w:sz w:val="22"/>
                <w:szCs w:val="22"/>
              </w:rPr>
              <w:t>₂</w:t>
            </w:r>
            <w:r w:rsidRPr="00A90B91">
              <w:rPr>
                <w:rFonts w:ascii="Arial" w:hAnsi="Arial" w:cs="Arial"/>
                <w:sz w:val="22"/>
                <w:szCs w:val="22"/>
              </w:rPr>
              <w:t xml:space="preserve"> + temperature treatments increase leaf sugars, total carbohydrates, phenols, and tannins, while reducing leaf nitrogen and protein content and increasing the C:N ratio. These biochemical shifts indicate a dilution of nutritional quality despite increased leaf yield. Such changes have important consequences for silkworm nutrition and physiology, as silk protein synthesis depends critically on dietary nitrogen and balanced amino acid supply. Reduced leaf protein and increased secondary metabolites are biologically expected to lower nutritional efficiency, constrain silk gland protein deposition, and induce digestive or oxidative stress, even when larval growth appears unaffected. Warming further intensifies these effects by imposing direct physiological stress on silkworms and indirectly degrading leaf functional quality. Overall, the combined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reveal a growing decoupling between mulberry leaf quantity and quality, highlighting the need for integrated evaluation of mulberry–silkworm interactions and adaptive </w:t>
            </w:r>
            <w:r w:rsidRPr="00A90B91">
              <w:rPr>
                <w:rFonts w:ascii="Arial" w:hAnsi="Arial" w:cs="Arial"/>
                <w:sz w:val="22"/>
                <w:szCs w:val="22"/>
              </w:rPr>
              <w:lastRenderedPageBreak/>
              <w:t>management strategies to sustain sericulture productivity under future climate scenarios.</w:t>
            </w:r>
          </w:p>
        </w:tc>
      </w:tr>
    </w:tbl>
    <w:p w14:paraId="55B4C187" w14:textId="77777777" w:rsidR="00636EB2" w:rsidRPr="00A90B91" w:rsidRDefault="00636EB2" w:rsidP="00441B6F">
      <w:pPr>
        <w:pStyle w:val="Body"/>
        <w:spacing w:after="0"/>
        <w:rPr>
          <w:rFonts w:ascii="Arial" w:hAnsi="Arial" w:cs="Arial"/>
          <w:i/>
          <w:sz w:val="22"/>
          <w:szCs w:val="22"/>
        </w:rPr>
      </w:pPr>
    </w:p>
    <w:p w14:paraId="505AAE28" w14:textId="7C2FEA34" w:rsidR="00B52896" w:rsidRPr="00A90B91" w:rsidRDefault="00A24E7E" w:rsidP="001A6ED4">
      <w:pPr>
        <w:pStyle w:val="Body"/>
        <w:spacing w:after="0"/>
        <w:rPr>
          <w:rFonts w:ascii="Arial" w:hAnsi="Arial" w:cs="Arial"/>
          <w:i/>
          <w:sz w:val="22"/>
          <w:szCs w:val="22"/>
        </w:rPr>
      </w:pPr>
      <w:r w:rsidRPr="00A90B91">
        <w:rPr>
          <w:rFonts w:ascii="Arial" w:hAnsi="Arial" w:cs="Arial"/>
          <w:i/>
          <w:sz w:val="22"/>
          <w:szCs w:val="22"/>
        </w:rPr>
        <w:t xml:space="preserve">Keywords: </w:t>
      </w:r>
      <w:r w:rsidR="00A90B91" w:rsidRPr="00A90B91">
        <w:rPr>
          <w:rFonts w:ascii="Arial" w:hAnsi="Arial" w:cs="Arial"/>
          <w:i/>
          <w:sz w:val="22"/>
          <w:szCs w:val="22"/>
        </w:rPr>
        <w:t>Climate change, Elevated CO</w:t>
      </w:r>
      <w:r w:rsidR="00A90B91" w:rsidRPr="00A90B91">
        <w:rPr>
          <w:rFonts w:ascii="Cambria Math" w:hAnsi="Cambria Math" w:cs="Cambria Math"/>
          <w:i/>
          <w:sz w:val="22"/>
          <w:szCs w:val="22"/>
        </w:rPr>
        <w:t>₂</w:t>
      </w:r>
      <w:r w:rsidR="00A90B91" w:rsidRPr="00A90B91">
        <w:rPr>
          <w:rFonts w:ascii="Arial" w:hAnsi="Arial" w:cs="Arial"/>
          <w:i/>
          <w:sz w:val="22"/>
          <w:szCs w:val="22"/>
        </w:rPr>
        <w:t>, Temperature rise, Mulberry (</w:t>
      </w:r>
      <w:r w:rsidR="00A90B91" w:rsidRPr="00A90B91">
        <w:rPr>
          <w:rFonts w:ascii="Arial" w:hAnsi="Arial" w:cs="Arial"/>
          <w:i/>
          <w:iCs/>
          <w:sz w:val="22"/>
          <w:szCs w:val="22"/>
        </w:rPr>
        <w:t>Morus alba</w:t>
      </w:r>
      <w:r w:rsidR="00A90B91" w:rsidRPr="00A90B91">
        <w:rPr>
          <w:rFonts w:ascii="Arial" w:hAnsi="Arial" w:cs="Arial"/>
          <w:i/>
          <w:sz w:val="22"/>
          <w:szCs w:val="22"/>
        </w:rPr>
        <w:t xml:space="preserve"> L.), Silkworm (</w:t>
      </w:r>
      <w:r w:rsidR="00A90B91" w:rsidRPr="00A90B91">
        <w:rPr>
          <w:rFonts w:ascii="Arial" w:hAnsi="Arial" w:cs="Arial"/>
          <w:i/>
          <w:iCs/>
          <w:sz w:val="22"/>
          <w:szCs w:val="22"/>
        </w:rPr>
        <w:t>Bombyx mori</w:t>
      </w:r>
      <w:r w:rsidR="00A90B91" w:rsidRPr="00A90B91">
        <w:rPr>
          <w:rFonts w:ascii="Arial" w:hAnsi="Arial" w:cs="Arial"/>
          <w:i/>
          <w:sz w:val="22"/>
          <w:szCs w:val="22"/>
        </w:rPr>
        <w:t xml:space="preserve"> L.), Open Top Chamber (OTC), Leaf biochemical composition, Carbon–nitrogen ratio (</w:t>
      </w:r>
      <w:proofErr w:type="gramStart"/>
      <w:r w:rsidR="00A90B91" w:rsidRPr="00A90B91">
        <w:rPr>
          <w:rFonts w:ascii="Arial" w:hAnsi="Arial" w:cs="Arial"/>
          <w:i/>
          <w:sz w:val="22"/>
          <w:szCs w:val="22"/>
        </w:rPr>
        <w:t>C:N</w:t>
      </w:r>
      <w:proofErr w:type="gramEnd"/>
      <w:r w:rsidR="00A90B91" w:rsidRPr="00A90B91">
        <w:rPr>
          <w:rFonts w:ascii="Arial" w:hAnsi="Arial" w:cs="Arial"/>
          <w:i/>
          <w:sz w:val="22"/>
          <w:szCs w:val="22"/>
        </w:rPr>
        <w:t>)</w:t>
      </w:r>
    </w:p>
    <w:p w14:paraId="1775B227" w14:textId="2065C76D" w:rsidR="00505F06" w:rsidRPr="00A90B91" w:rsidRDefault="001A6ED4" w:rsidP="001A6ED4">
      <w:pPr>
        <w:pStyle w:val="Body"/>
        <w:tabs>
          <w:tab w:val="left" w:pos="5940"/>
        </w:tabs>
        <w:spacing w:after="0"/>
        <w:rPr>
          <w:rFonts w:ascii="Arial" w:hAnsi="Arial" w:cs="Arial"/>
          <w:i/>
          <w:sz w:val="22"/>
          <w:szCs w:val="22"/>
        </w:rPr>
      </w:pPr>
      <w:r w:rsidRPr="00A90B91">
        <w:rPr>
          <w:rFonts w:ascii="Arial" w:hAnsi="Arial" w:cs="Arial"/>
          <w:i/>
          <w:sz w:val="22"/>
          <w:szCs w:val="22"/>
        </w:rPr>
        <w:tab/>
      </w:r>
    </w:p>
    <w:p w14:paraId="19404C46" w14:textId="4B51E91B" w:rsidR="007F7B32" w:rsidRPr="00A90B91" w:rsidRDefault="00902823" w:rsidP="00441B6F">
      <w:pPr>
        <w:pStyle w:val="AbstHead"/>
        <w:spacing w:after="0"/>
        <w:jc w:val="both"/>
        <w:rPr>
          <w:rFonts w:ascii="Arial" w:hAnsi="Arial" w:cs="Arial"/>
          <w:szCs w:val="22"/>
        </w:rPr>
      </w:pPr>
      <w:r w:rsidRPr="00A90B91">
        <w:rPr>
          <w:rFonts w:ascii="Arial" w:hAnsi="Arial" w:cs="Arial"/>
          <w:szCs w:val="22"/>
        </w:rPr>
        <w:t xml:space="preserve">1. </w:t>
      </w:r>
      <w:r w:rsidR="00B01FCD" w:rsidRPr="00A90B91">
        <w:rPr>
          <w:rFonts w:ascii="Arial" w:hAnsi="Arial" w:cs="Arial"/>
          <w:szCs w:val="22"/>
        </w:rPr>
        <w:t>INTRODUCTION</w:t>
      </w:r>
      <w:r w:rsidR="007F7B32" w:rsidRPr="00A90B91">
        <w:rPr>
          <w:rFonts w:ascii="Arial" w:hAnsi="Arial" w:cs="Arial"/>
          <w:szCs w:val="22"/>
        </w:rPr>
        <w:t xml:space="preserve"> </w:t>
      </w:r>
    </w:p>
    <w:p w14:paraId="52BAE58E" w14:textId="77777777" w:rsidR="00790ADA" w:rsidRPr="00A90B91" w:rsidRDefault="00790ADA" w:rsidP="00441B6F">
      <w:pPr>
        <w:pStyle w:val="AbstHead"/>
        <w:spacing w:after="0"/>
        <w:jc w:val="both"/>
        <w:rPr>
          <w:rFonts w:ascii="Arial" w:hAnsi="Arial" w:cs="Arial"/>
          <w:szCs w:val="22"/>
        </w:rPr>
      </w:pPr>
    </w:p>
    <w:p w14:paraId="49807E2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 represents a highly specialized plant–insect production system in which the performance of the silkworm (</w:t>
      </w:r>
      <w:r w:rsidRPr="00A90B91">
        <w:rPr>
          <w:rFonts w:ascii="Arial" w:hAnsi="Arial" w:cs="Arial"/>
          <w:i/>
          <w:iCs/>
          <w:sz w:val="22"/>
          <w:szCs w:val="22"/>
        </w:rPr>
        <w:t>Bombyx mori</w:t>
      </w:r>
      <w:r w:rsidRPr="00A90B91">
        <w:rPr>
          <w:rFonts w:ascii="Arial" w:hAnsi="Arial" w:cs="Arial"/>
          <w:sz w:val="22"/>
          <w:szCs w:val="22"/>
        </w:rPr>
        <w:t xml:space="preserve"> L.) is completely dependent on the physiological and biochemical quality of its sole food plant, mulberry (</w:t>
      </w:r>
      <w:r w:rsidRPr="00A90B91">
        <w:rPr>
          <w:rFonts w:ascii="Arial" w:hAnsi="Arial" w:cs="Arial"/>
          <w:i/>
          <w:iCs/>
          <w:sz w:val="22"/>
          <w:szCs w:val="22"/>
        </w:rPr>
        <w:t>Morus alba</w:t>
      </w:r>
      <w:r w:rsidRPr="00A90B91">
        <w:rPr>
          <w:rFonts w:ascii="Arial" w:hAnsi="Arial" w:cs="Arial"/>
          <w:sz w:val="22"/>
          <w:szCs w:val="22"/>
        </w:rPr>
        <w:t xml:space="preserve"> L.). Unlike polyphagous insects, the monophagous feeding habit of </w:t>
      </w:r>
      <w:r w:rsidRPr="00A90B91">
        <w:rPr>
          <w:rFonts w:ascii="Arial" w:hAnsi="Arial" w:cs="Arial"/>
          <w:i/>
          <w:iCs/>
          <w:sz w:val="22"/>
          <w:szCs w:val="22"/>
        </w:rPr>
        <w:t>B. mori</w:t>
      </w:r>
      <w:r w:rsidRPr="00A90B91">
        <w:rPr>
          <w:rFonts w:ascii="Arial" w:hAnsi="Arial" w:cs="Arial"/>
          <w:sz w:val="22"/>
          <w:szCs w:val="22"/>
        </w:rPr>
        <w:t xml:space="preserve"> creates a tightly coupled trophic relationship in which even small variations in leaf nutrition, moisture content and secondary metabolites are directly reflected in larval growth, immunity, silk gland development and cocoon traits (Sarkar, 2012; Ramesha </w:t>
      </w:r>
      <w:r w:rsidRPr="00A90B91">
        <w:rPr>
          <w:rFonts w:ascii="Arial" w:hAnsi="Arial" w:cs="Arial"/>
          <w:i/>
          <w:iCs/>
          <w:sz w:val="22"/>
          <w:szCs w:val="22"/>
        </w:rPr>
        <w:t>et al.,</w:t>
      </w:r>
      <w:r w:rsidRPr="00A90B91">
        <w:rPr>
          <w:rFonts w:ascii="Arial" w:hAnsi="Arial" w:cs="Arial"/>
          <w:sz w:val="22"/>
          <w:szCs w:val="22"/>
        </w:rPr>
        <w:t xml:space="preserve"> 2010). Consequently, mulberry leaf quality is widely recognized as the primary determinant of cocoon yield and silk quality in commercial sericulture (Datta, 2000; </w:t>
      </w:r>
      <w:proofErr w:type="spellStart"/>
      <w:r w:rsidRPr="00A90B91">
        <w:rPr>
          <w:rFonts w:ascii="Arial" w:hAnsi="Arial" w:cs="Arial"/>
          <w:sz w:val="22"/>
          <w:szCs w:val="22"/>
        </w:rPr>
        <w:t>Bongale</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1997).</w:t>
      </w:r>
    </w:p>
    <w:p w14:paraId="61740CB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Under the current scenario of climate change, two major drivers—elevated atmospheric carbon dioxide (CO</w:t>
      </w:r>
      <w:r w:rsidRPr="00A90B91">
        <w:rPr>
          <w:rFonts w:ascii="Cambria Math" w:hAnsi="Cambria Math" w:cs="Cambria Math"/>
          <w:sz w:val="22"/>
          <w:szCs w:val="22"/>
        </w:rPr>
        <w:t>₂</w:t>
      </w:r>
      <w:r w:rsidRPr="00A90B91">
        <w:rPr>
          <w:rFonts w:ascii="Arial" w:hAnsi="Arial" w:cs="Arial"/>
          <w:sz w:val="22"/>
          <w:szCs w:val="22"/>
        </w:rPr>
        <w:t>) and increasing temperature—are expected to exert profound influences on plant metabolism and insect performance. Atmospheric CO</w:t>
      </w:r>
      <w:r w:rsidRPr="00A90B91">
        <w:rPr>
          <w:rFonts w:ascii="Cambria Math" w:hAnsi="Cambria Math" w:cs="Cambria Math"/>
          <w:sz w:val="22"/>
          <w:szCs w:val="22"/>
        </w:rPr>
        <w:t>₂</w:t>
      </w:r>
      <w:r w:rsidRPr="00A90B91">
        <w:rPr>
          <w:rFonts w:ascii="Arial" w:hAnsi="Arial" w:cs="Arial"/>
          <w:sz w:val="22"/>
          <w:szCs w:val="22"/>
        </w:rPr>
        <w:t xml:space="preserve"> concentration has already surpassed 420 ppm and is projected to reach 550–600 ppm by mid-century, accompanied by a global temperature rise of 1.5–2.5 °C (IPCC, 2021). These factors directly regulate photosynthesis, respiration, carbon assimilation, nitrogen allocation and secondary metabolite synthesis in plants (Ainsworth and Long, 2005; Taub and Wang, 2008).</w:t>
      </w:r>
    </w:p>
    <w:p w14:paraId="3C186F9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being a C</w:t>
      </w:r>
      <w:r w:rsidRPr="00A90B91">
        <w:rPr>
          <w:rFonts w:ascii="Cambria Math" w:hAnsi="Cambria Math" w:cs="Cambria Math"/>
          <w:sz w:val="22"/>
          <w:szCs w:val="22"/>
        </w:rPr>
        <w:t>₃</w:t>
      </w:r>
      <w:r w:rsidRPr="00A90B91">
        <w:rPr>
          <w:rFonts w:ascii="Arial" w:hAnsi="Arial" w:cs="Arial"/>
          <w:sz w:val="22"/>
          <w:szCs w:val="22"/>
        </w:rPr>
        <w:t xml:space="preserve"> plant, is particularly responsive to CO</w:t>
      </w:r>
      <w:r w:rsidRPr="00A90B91">
        <w:rPr>
          <w:rFonts w:ascii="Cambria Math" w:hAnsi="Cambria Math" w:cs="Cambria Math"/>
          <w:sz w:val="22"/>
          <w:szCs w:val="22"/>
        </w:rPr>
        <w:t>₂</w:t>
      </w:r>
      <w:r w:rsidRPr="00A90B91">
        <w:rPr>
          <w:rFonts w:ascii="Arial" w:hAnsi="Arial" w:cs="Arial"/>
          <w:sz w:val="22"/>
          <w:szCs w:val="22"/>
        </w:rPr>
        <w:t xml:space="preserve"> enrichment. Several studies have reported increased photosynthetic rate, leaf area, biomass accumulation and leaf yield under elevated CO</w:t>
      </w:r>
      <w:r w:rsidRPr="00A90B91">
        <w:rPr>
          <w:rFonts w:ascii="Cambria Math" w:hAnsi="Cambria Math" w:cs="Cambria Math"/>
          <w:sz w:val="22"/>
          <w:szCs w:val="22"/>
        </w:rPr>
        <w:t>₂</w:t>
      </w:r>
      <w:r w:rsidRPr="00A90B91">
        <w:rPr>
          <w:rFonts w:ascii="Arial" w:hAnsi="Arial" w:cs="Arial"/>
          <w:sz w:val="22"/>
          <w:szCs w:val="22"/>
        </w:rPr>
        <w:t xml:space="preserve"> conditions (Lavanya </w:t>
      </w:r>
      <w:r w:rsidRPr="00A90B91">
        <w:rPr>
          <w:rFonts w:ascii="Arial" w:hAnsi="Arial" w:cs="Arial"/>
          <w:i/>
          <w:iCs/>
          <w:sz w:val="22"/>
          <w:szCs w:val="22"/>
        </w:rPr>
        <w:t>et al</w:t>
      </w:r>
      <w:r w:rsidRPr="00A90B91">
        <w:rPr>
          <w:rFonts w:ascii="Arial" w:hAnsi="Arial" w:cs="Arial"/>
          <w:sz w:val="22"/>
          <w:szCs w:val="22"/>
        </w:rPr>
        <w:t xml:space="preserve">., 2017; Shi </w:t>
      </w:r>
      <w:r w:rsidRPr="00A90B91">
        <w:rPr>
          <w:rFonts w:ascii="Arial" w:hAnsi="Arial" w:cs="Arial"/>
          <w:i/>
          <w:iCs/>
          <w:sz w:val="22"/>
          <w:szCs w:val="22"/>
        </w:rPr>
        <w:t>et al.,</w:t>
      </w:r>
      <w:r w:rsidRPr="00A90B91">
        <w:rPr>
          <w:rFonts w:ascii="Arial" w:hAnsi="Arial" w:cs="Arial"/>
          <w:sz w:val="22"/>
          <w:szCs w:val="22"/>
        </w:rPr>
        <w:t xml:space="preserve"> 2021). However, these growth benefits are often accompanied by biochemical dilution effects, notably reduced nitrogen and protein concentration, increased total carbohydrates and elevated carbon-to-nitrogen (</w:t>
      </w:r>
      <w:proofErr w:type="gramStart"/>
      <w:r w:rsidRPr="00A90B91">
        <w:rPr>
          <w:rFonts w:ascii="Arial" w:hAnsi="Arial" w:cs="Arial"/>
          <w:sz w:val="22"/>
          <w:szCs w:val="22"/>
        </w:rPr>
        <w:t>C:N</w:t>
      </w:r>
      <w:proofErr w:type="gramEnd"/>
      <w:r w:rsidRPr="00A90B91">
        <w:rPr>
          <w:rFonts w:ascii="Arial" w:hAnsi="Arial" w:cs="Arial"/>
          <w:sz w:val="22"/>
          <w:szCs w:val="22"/>
        </w:rPr>
        <w:t xml:space="preserve">) ratio in leaves (Taub </w:t>
      </w:r>
      <w:r w:rsidRPr="00A90B91">
        <w:rPr>
          <w:rFonts w:ascii="Arial" w:hAnsi="Arial" w:cs="Arial"/>
          <w:i/>
          <w:iCs/>
          <w:sz w:val="22"/>
          <w:szCs w:val="22"/>
        </w:rPr>
        <w:t>et al.,</w:t>
      </w:r>
      <w:r w:rsidRPr="00A90B91">
        <w:rPr>
          <w:rFonts w:ascii="Arial" w:hAnsi="Arial" w:cs="Arial"/>
          <w:sz w:val="22"/>
          <w:szCs w:val="22"/>
        </w:rPr>
        <w:t xml:space="preserve"> 2008; Lavanya </w:t>
      </w:r>
      <w:r w:rsidRPr="00A90B91">
        <w:rPr>
          <w:rFonts w:ascii="Arial" w:hAnsi="Arial" w:cs="Arial"/>
          <w:i/>
          <w:iCs/>
          <w:sz w:val="22"/>
          <w:szCs w:val="22"/>
        </w:rPr>
        <w:t>et al</w:t>
      </w:r>
      <w:r w:rsidRPr="00A90B91">
        <w:rPr>
          <w:rFonts w:ascii="Arial" w:hAnsi="Arial" w:cs="Arial"/>
          <w:sz w:val="22"/>
          <w:szCs w:val="22"/>
        </w:rPr>
        <w:t>., 2017). In addition, elevated CO</w:t>
      </w:r>
      <w:r w:rsidRPr="00A90B91">
        <w:rPr>
          <w:rFonts w:ascii="Cambria Math" w:hAnsi="Cambria Math" w:cs="Cambria Math"/>
          <w:sz w:val="22"/>
          <w:szCs w:val="22"/>
        </w:rPr>
        <w:t>₂</w:t>
      </w:r>
      <w:r w:rsidRPr="00A90B91">
        <w:rPr>
          <w:rFonts w:ascii="Arial" w:hAnsi="Arial" w:cs="Arial"/>
          <w:sz w:val="22"/>
          <w:szCs w:val="22"/>
        </w:rPr>
        <w:t xml:space="preserve"> can alter the synthesis of </w:t>
      </w:r>
      <w:r w:rsidRPr="00A90B91">
        <w:rPr>
          <w:rFonts w:ascii="Arial" w:hAnsi="Arial" w:cs="Arial"/>
          <w:sz w:val="22"/>
          <w:szCs w:val="22"/>
        </w:rPr>
        <w:lastRenderedPageBreak/>
        <w:t xml:space="preserve">secondary metabolites such as phenolics and tannins, which play important roles in plant defense and leaf palatability (Lavanya </w:t>
      </w:r>
      <w:r w:rsidRPr="00A90B91">
        <w:rPr>
          <w:rFonts w:ascii="Arial" w:hAnsi="Arial" w:cs="Arial"/>
          <w:i/>
          <w:iCs/>
          <w:sz w:val="22"/>
          <w:szCs w:val="22"/>
        </w:rPr>
        <w:t>et al</w:t>
      </w:r>
      <w:r w:rsidRPr="00A90B91">
        <w:rPr>
          <w:rFonts w:ascii="Arial" w:hAnsi="Arial" w:cs="Arial"/>
          <w:sz w:val="22"/>
          <w:szCs w:val="22"/>
        </w:rPr>
        <w:t>., 2017; Lindroth, 2010).</w:t>
      </w:r>
    </w:p>
    <w:p w14:paraId="107DED0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Such biochemical reprogramming of mulberry leaves has critical nutritional implications for </w:t>
      </w:r>
      <w:r w:rsidRPr="00A90B91">
        <w:rPr>
          <w:rFonts w:ascii="Arial" w:hAnsi="Arial" w:cs="Arial"/>
          <w:i/>
          <w:iCs/>
          <w:sz w:val="22"/>
          <w:szCs w:val="22"/>
        </w:rPr>
        <w:t>B. mori</w:t>
      </w:r>
      <w:r w:rsidRPr="00A90B91">
        <w:rPr>
          <w:rFonts w:ascii="Arial" w:hAnsi="Arial" w:cs="Arial"/>
          <w:sz w:val="22"/>
          <w:szCs w:val="22"/>
        </w:rPr>
        <w:t>. Silk production depends heavily on the availability of dietary protein and amino acids required for fibroin and sericin synthesis in the silk glands. A decline in leaf nitrogen or protein content can reduce food conversion efficiency, prolong larval duration, and negatively affect cocoon shell weight and filament quality (</w:t>
      </w:r>
      <w:proofErr w:type="spellStart"/>
      <w:r w:rsidRPr="00A90B91">
        <w:rPr>
          <w:rFonts w:ascii="Arial" w:hAnsi="Arial" w:cs="Arial"/>
          <w:sz w:val="22"/>
          <w:szCs w:val="22"/>
        </w:rPr>
        <w:t>Bongale</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xml:space="preserve"> 1997; Ramesha </w:t>
      </w:r>
      <w:r w:rsidRPr="00A90B91">
        <w:rPr>
          <w:rFonts w:ascii="Arial" w:hAnsi="Arial" w:cs="Arial"/>
          <w:i/>
          <w:iCs/>
          <w:sz w:val="22"/>
          <w:szCs w:val="22"/>
        </w:rPr>
        <w:t>et al</w:t>
      </w:r>
      <w:r w:rsidRPr="00A90B91">
        <w:rPr>
          <w:rFonts w:ascii="Arial" w:hAnsi="Arial" w:cs="Arial"/>
          <w:sz w:val="22"/>
          <w:szCs w:val="22"/>
        </w:rPr>
        <w:t xml:space="preserve">., 2010). Furthermore, increased phenolic and tannin concentrations may lower digestibility, interfere with midgut enzyme activity, and induce physiological stress in larvae (Lindroth, 2010; Peng </w:t>
      </w:r>
      <w:r w:rsidRPr="00A90B91">
        <w:rPr>
          <w:rFonts w:ascii="Arial" w:hAnsi="Arial" w:cs="Arial"/>
          <w:i/>
          <w:iCs/>
          <w:sz w:val="22"/>
          <w:szCs w:val="22"/>
        </w:rPr>
        <w:t>et al</w:t>
      </w:r>
      <w:r w:rsidRPr="00A90B91">
        <w:rPr>
          <w:rFonts w:ascii="Arial" w:hAnsi="Arial" w:cs="Arial"/>
          <w:sz w:val="22"/>
          <w:szCs w:val="22"/>
        </w:rPr>
        <w:t>., 2023).</w:t>
      </w:r>
    </w:p>
    <w:p w14:paraId="49FA814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Rising temperature adds another layer of complexity. Temperature strongly governs photosynthesis, respiration, enzyme kinetics and phenological development in mulberry. Moderate warming may accelerate growth, but sustained heat stress can impair chlorophyll stability, enhance respiration losses and modify carbohydrate and nitrogen metabolism (Wahid </w:t>
      </w:r>
      <w:r w:rsidRPr="00A90B91">
        <w:rPr>
          <w:rFonts w:ascii="Arial" w:hAnsi="Arial" w:cs="Arial"/>
          <w:i/>
          <w:iCs/>
          <w:sz w:val="22"/>
          <w:szCs w:val="22"/>
        </w:rPr>
        <w:t>et al</w:t>
      </w:r>
      <w:r w:rsidRPr="00A90B91">
        <w:rPr>
          <w:rFonts w:ascii="Arial" w:hAnsi="Arial" w:cs="Arial"/>
          <w:sz w:val="22"/>
          <w:szCs w:val="22"/>
        </w:rPr>
        <w:t xml:space="preserve">., 2007; Li </w:t>
      </w:r>
      <w:r w:rsidRPr="00A90B91">
        <w:rPr>
          <w:rFonts w:ascii="Arial" w:hAnsi="Arial" w:cs="Arial"/>
          <w:i/>
          <w:iCs/>
          <w:sz w:val="22"/>
          <w:szCs w:val="22"/>
        </w:rPr>
        <w:t>et al</w:t>
      </w:r>
      <w:r w:rsidRPr="00A90B91">
        <w:rPr>
          <w:rFonts w:ascii="Arial" w:hAnsi="Arial" w:cs="Arial"/>
          <w:sz w:val="22"/>
          <w:szCs w:val="22"/>
        </w:rPr>
        <w:t>., 2019). When elevated temperature interacts with CO</w:t>
      </w:r>
      <w:r w:rsidRPr="00A90B91">
        <w:rPr>
          <w:rFonts w:ascii="Cambria Math" w:hAnsi="Cambria Math" w:cs="Cambria Math"/>
          <w:sz w:val="22"/>
          <w:szCs w:val="22"/>
        </w:rPr>
        <w:t>₂</w:t>
      </w:r>
      <w:r w:rsidRPr="00A90B91">
        <w:rPr>
          <w:rFonts w:ascii="Arial" w:hAnsi="Arial" w:cs="Arial"/>
          <w:sz w:val="22"/>
          <w:szCs w:val="22"/>
        </w:rPr>
        <w:t xml:space="preserve"> enrichment, the combined effects are often non-additive, leading to pronounced shifts in leaf biochemical composition, including higher C:N ratios, altered sugar–protein balance and modified secondary metabolite profiles (Lavanya </w:t>
      </w:r>
      <w:r w:rsidRPr="00A90B91">
        <w:rPr>
          <w:rFonts w:ascii="Arial" w:hAnsi="Arial" w:cs="Arial"/>
          <w:i/>
          <w:iCs/>
          <w:sz w:val="22"/>
          <w:szCs w:val="22"/>
        </w:rPr>
        <w:t>et al.,</w:t>
      </w:r>
      <w:r w:rsidRPr="00A90B91">
        <w:rPr>
          <w:rFonts w:ascii="Arial" w:hAnsi="Arial" w:cs="Arial"/>
          <w:sz w:val="22"/>
          <w:szCs w:val="22"/>
        </w:rPr>
        <w:t xml:space="preserve"> 2017; Li </w:t>
      </w:r>
      <w:r w:rsidRPr="00A90B91">
        <w:rPr>
          <w:rFonts w:ascii="Arial" w:hAnsi="Arial" w:cs="Arial"/>
          <w:i/>
          <w:iCs/>
          <w:sz w:val="22"/>
          <w:szCs w:val="22"/>
        </w:rPr>
        <w:t>et al.,</w:t>
      </w:r>
      <w:r w:rsidRPr="00A90B91">
        <w:rPr>
          <w:rFonts w:ascii="Arial" w:hAnsi="Arial" w:cs="Arial"/>
          <w:sz w:val="22"/>
          <w:szCs w:val="22"/>
        </w:rPr>
        <w:t xml:space="preserve"> 2019).</w:t>
      </w:r>
    </w:p>
    <w:p w14:paraId="2A3E5DE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From the insect perspective, </w:t>
      </w:r>
      <w:r w:rsidRPr="00A90B91">
        <w:rPr>
          <w:rFonts w:ascii="Arial" w:hAnsi="Arial" w:cs="Arial"/>
          <w:i/>
          <w:iCs/>
          <w:sz w:val="22"/>
          <w:szCs w:val="22"/>
        </w:rPr>
        <w:t>Bombyx mori</w:t>
      </w:r>
      <w:r w:rsidRPr="00A90B91">
        <w:rPr>
          <w:rFonts w:ascii="Arial" w:hAnsi="Arial" w:cs="Arial"/>
          <w:sz w:val="22"/>
          <w:szCs w:val="22"/>
        </w:rPr>
        <w:t xml:space="preserve"> is extremely sensitive to both direct thermal stress and diet-mediated nutritional stress. Elevated rearing temperatures influence larval metabolism, endocrine regulation, immunity and silk gland activity, often resulting in reduced survival, inferior cocoon traits and poor silk quality (Sarkar, 2012; Rahmathulla, 2012). When such physiological stress is compounded by feeding on nutritionally altered mulberry leaves with reduced protein or increased phenolics, the negative impacts on effective rate of rearing (ERR), cocoon weight and shell ratio become more pronounced (Datta, 2000; Peng </w:t>
      </w:r>
      <w:r w:rsidRPr="00A90B91">
        <w:rPr>
          <w:rFonts w:ascii="Arial" w:hAnsi="Arial" w:cs="Arial"/>
          <w:i/>
          <w:iCs/>
          <w:sz w:val="22"/>
          <w:szCs w:val="22"/>
        </w:rPr>
        <w:t>et al</w:t>
      </w:r>
      <w:r w:rsidRPr="00A90B91">
        <w:rPr>
          <w:rFonts w:ascii="Arial" w:hAnsi="Arial" w:cs="Arial"/>
          <w:sz w:val="22"/>
          <w:szCs w:val="22"/>
        </w:rPr>
        <w:t>., 2023).</w:t>
      </w:r>
    </w:p>
    <w:p w14:paraId="35A644D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Despite increasing research on plant responses to elevated CO</w:t>
      </w:r>
      <w:r w:rsidRPr="00A90B91">
        <w:rPr>
          <w:rFonts w:ascii="Cambria Math" w:hAnsi="Cambria Math" w:cs="Cambria Math"/>
          <w:sz w:val="22"/>
          <w:szCs w:val="22"/>
        </w:rPr>
        <w:t>₂</w:t>
      </w:r>
      <w:r w:rsidRPr="00A90B91">
        <w:rPr>
          <w:rFonts w:ascii="Arial" w:hAnsi="Arial" w:cs="Arial"/>
          <w:sz w:val="22"/>
          <w:szCs w:val="22"/>
        </w:rPr>
        <w:t xml:space="preserve"> and warming, studies that integrate mulberry physiological responses, leaf biochemical alterations and subsequent silkworm performance remain limited and fragmented. Most investigations focus either on mulberry growth under climate stress or on the direct effects of temperature on silkworms, without explicitly linking plant biochemical </w:t>
      </w:r>
      <w:r w:rsidRPr="00A90B91">
        <w:rPr>
          <w:rFonts w:ascii="Arial" w:hAnsi="Arial" w:cs="Arial"/>
          <w:sz w:val="22"/>
          <w:szCs w:val="22"/>
        </w:rPr>
        <w:lastRenderedPageBreak/>
        <w:t xml:space="preserve">changes to larval nutrition, immunity and silk production (Lavanya </w:t>
      </w:r>
      <w:r w:rsidRPr="00A90B91">
        <w:rPr>
          <w:rFonts w:ascii="Arial" w:hAnsi="Arial" w:cs="Arial"/>
          <w:i/>
          <w:iCs/>
          <w:sz w:val="22"/>
          <w:szCs w:val="22"/>
        </w:rPr>
        <w:t>et al</w:t>
      </w:r>
      <w:r w:rsidRPr="00A90B91">
        <w:rPr>
          <w:rFonts w:ascii="Arial" w:hAnsi="Arial" w:cs="Arial"/>
          <w:sz w:val="22"/>
          <w:szCs w:val="22"/>
        </w:rPr>
        <w:t>., 2017; Sarkar, 2012). This knowledge gap restricts the development of climate-resilient sericulture strategies.</w:t>
      </w:r>
    </w:p>
    <w:p w14:paraId="46AB834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a comprehensive synthesis is required to (</w:t>
      </w:r>
      <w:proofErr w:type="spellStart"/>
      <w:r w:rsidRPr="00A90B91">
        <w:rPr>
          <w:rFonts w:ascii="Arial" w:hAnsi="Arial" w:cs="Arial"/>
          <w:sz w:val="22"/>
          <w:szCs w:val="22"/>
        </w:rPr>
        <w:t>i</w:t>
      </w:r>
      <w:proofErr w:type="spellEnd"/>
      <w:r w:rsidRPr="00A90B91">
        <w:rPr>
          <w:rFonts w:ascii="Arial" w:hAnsi="Arial" w:cs="Arial"/>
          <w:sz w:val="22"/>
          <w:szCs w:val="22"/>
        </w:rPr>
        <w:t>) elucidate the physiological and biochemical responses of mulberry to elevated CO</w:t>
      </w:r>
      <w:r w:rsidRPr="00A90B91">
        <w:rPr>
          <w:rFonts w:ascii="Cambria Math" w:hAnsi="Cambria Math" w:cs="Cambria Math"/>
          <w:sz w:val="22"/>
          <w:szCs w:val="22"/>
        </w:rPr>
        <w:t>₂</w:t>
      </w:r>
      <w:r w:rsidRPr="00A90B91">
        <w:rPr>
          <w:rFonts w:ascii="Arial" w:hAnsi="Arial" w:cs="Arial"/>
          <w:sz w:val="22"/>
          <w:szCs w:val="22"/>
        </w:rPr>
        <w:t xml:space="preserve"> and temperature, (ii) evaluate how these changes influence silkworm growth, health and cocoon traits, and (iii) identify adaptive strategies for sustaining sericulture under future climate scenarios. The present review addresses this need by integrating available evidence on plant–insect interactions within the mulberry–silkworm system.</w:t>
      </w:r>
    </w:p>
    <w:p w14:paraId="28FBB881" w14:textId="77777777" w:rsidR="00790ADA" w:rsidRPr="00A90B91" w:rsidRDefault="00790ADA" w:rsidP="00441B6F">
      <w:pPr>
        <w:pStyle w:val="Body"/>
        <w:spacing w:after="0"/>
        <w:rPr>
          <w:rFonts w:ascii="Arial" w:hAnsi="Arial" w:cs="Arial"/>
          <w:sz w:val="22"/>
          <w:szCs w:val="22"/>
        </w:rPr>
      </w:pPr>
    </w:p>
    <w:p w14:paraId="7DC5F4D2"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 Climate Drivers and Experimental Approaches Used in Mulberry Studies</w:t>
      </w:r>
    </w:p>
    <w:p w14:paraId="2E4E0890"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2.1 Elevated CO</w:t>
      </w:r>
      <w:r w:rsidRPr="00A90B91">
        <w:rPr>
          <w:rFonts w:ascii="Cambria Math" w:hAnsi="Cambria Math" w:cs="Cambria Math"/>
          <w:b/>
          <w:bCs/>
          <w:sz w:val="22"/>
          <w:szCs w:val="22"/>
        </w:rPr>
        <w:t>₂</w:t>
      </w:r>
      <w:r w:rsidRPr="00A90B91">
        <w:rPr>
          <w:rFonts w:ascii="Arial" w:hAnsi="Arial" w:cs="Arial"/>
          <w:b/>
          <w:bCs/>
          <w:sz w:val="22"/>
          <w:szCs w:val="22"/>
        </w:rPr>
        <w:t xml:space="preserve"> Scenarios Commonly Tested</w:t>
      </w:r>
    </w:p>
    <w:p w14:paraId="02AB41E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w:t>
      </w:r>
      <w:r w:rsidRPr="00A90B91">
        <w:rPr>
          <w:rFonts w:ascii="Arial" w:hAnsi="Arial" w:cs="Arial"/>
          <w:i/>
          <w:iCs/>
          <w:sz w:val="22"/>
          <w:szCs w:val="22"/>
        </w:rPr>
        <w:t>Morus alba</w:t>
      </w:r>
      <w:r w:rsidRPr="00A90B91">
        <w:rPr>
          <w:rFonts w:ascii="Arial" w:hAnsi="Arial" w:cs="Arial"/>
          <w:sz w:val="22"/>
          <w:szCs w:val="22"/>
        </w:rPr>
        <w:t xml:space="preserve"> L.), being a C</w:t>
      </w:r>
      <w:r w:rsidRPr="00A90B91">
        <w:rPr>
          <w:rFonts w:ascii="Cambria Math" w:hAnsi="Cambria Math" w:cs="Cambria Math"/>
          <w:sz w:val="22"/>
          <w:szCs w:val="22"/>
        </w:rPr>
        <w:t>₃</w:t>
      </w:r>
      <w:r w:rsidRPr="00A90B91">
        <w:rPr>
          <w:rFonts w:ascii="Arial" w:hAnsi="Arial" w:cs="Arial"/>
          <w:sz w:val="22"/>
          <w:szCs w:val="22"/>
        </w:rPr>
        <w:t xml:space="preserve"> plant, is highly responsive to atmospheric CO</w:t>
      </w:r>
      <w:r w:rsidRPr="00A90B91">
        <w:rPr>
          <w:rFonts w:ascii="Cambria Math" w:hAnsi="Cambria Math" w:cs="Cambria Math"/>
          <w:sz w:val="22"/>
          <w:szCs w:val="22"/>
        </w:rPr>
        <w:t>₂</w:t>
      </w:r>
      <w:r w:rsidRPr="00A90B91">
        <w:rPr>
          <w:rFonts w:ascii="Arial" w:hAnsi="Arial" w:cs="Arial"/>
          <w:sz w:val="22"/>
          <w:szCs w:val="22"/>
        </w:rPr>
        <w:t xml:space="preserve"> enrichment, and therefore most climate-oriented mulberry experiments simulate future CO</w:t>
      </w:r>
      <w:r w:rsidRPr="00A90B91">
        <w:rPr>
          <w:rFonts w:ascii="Cambria Math" w:hAnsi="Cambria Math" w:cs="Cambria Math"/>
          <w:sz w:val="22"/>
          <w:szCs w:val="22"/>
        </w:rPr>
        <w:t>₂</w:t>
      </w:r>
      <w:r w:rsidRPr="00A90B91">
        <w:rPr>
          <w:rFonts w:ascii="Arial" w:hAnsi="Arial" w:cs="Arial"/>
          <w:sz w:val="22"/>
          <w:szCs w:val="22"/>
        </w:rPr>
        <w:t xml:space="preserve"> concentrations predicted under mid-century climate scenarios. Many studies have adopted ~550 ppm CO</w:t>
      </w:r>
      <w:r w:rsidRPr="00A90B91">
        <w:rPr>
          <w:rFonts w:ascii="Cambria Math" w:hAnsi="Cambria Math" w:cs="Cambria Math"/>
          <w:sz w:val="22"/>
          <w:szCs w:val="22"/>
        </w:rPr>
        <w:t>₂</w:t>
      </w:r>
      <w:r w:rsidRPr="00A90B91">
        <w:rPr>
          <w:rFonts w:ascii="Arial" w:hAnsi="Arial" w:cs="Arial"/>
          <w:sz w:val="22"/>
          <w:szCs w:val="22"/>
        </w:rPr>
        <w:t xml:space="preserve"> (often maintained as 550 ± 25 ppm) as the standard “elevated CO</w:t>
      </w:r>
      <w:r w:rsidRPr="00A90B91">
        <w:rPr>
          <w:rFonts w:ascii="Cambria Math" w:hAnsi="Cambria Math" w:cs="Cambria Math"/>
          <w:sz w:val="22"/>
          <w:szCs w:val="22"/>
        </w:rPr>
        <w:t>₂</w:t>
      </w:r>
      <w:r w:rsidRPr="00A90B91">
        <w:rPr>
          <w:rFonts w:ascii="Arial" w:hAnsi="Arial" w:cs="Arial"/>
          <w:sz w:val="22"/>
          <w:szCs w:val="22"/>
        </w:rPr>
        <w:t xml:space="preserve">” treatment, as this level is widely used in plant-response experiments and approximates projected atmospheric concentrations for the coming decades (Ainsworth and Long, 2005; Taub </w:t>
      </w:r>
      <w:r w:rsidRPr="00A90B91">
        <w:rPr>
          <w:rFonts w:ascii="Arial" w:hAnsi="Arial" w:cs="Arial"/>
          <w:i/>
          <w:iCs/>
          <w:sz w:val="22"/>
          <w:szCs w:val="22"/>
        </w:rPr>
        <w:t>et al.,</w:t>
      </w:r>
      <w:r w:rsidRPr="00A90B91">
        <w:rPr>
          <w:rFonts w:ascii="Arial" w:hAnsi="Arial" w:cs="Arial"/>
          <w:sz w:val="22"/>
          <w:szCs w:val="22"/>
        </w:rPr>
        <w:t xml:space="preserve"> 2008).</w:t>
      </w:r>
    </w:p>
    <w:p w14:paraId="7F0CCAC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 controlled open-top chamber (OTC) experiment conducted at UAS, Raichur, mulberry plants were exposed to elevated CO</w:t>
      </w:r>
      <w:r w:rsidRPr="00A90B91">
        <w:rPr>
          <w:rFonts w:ascii="Cambria Math" w:hAnsi="Cambria Math" w:cs="Cambria Math"/>
          <w:sz w:val="22"/>
          <w:szCs w:val="22"/>
        </w:rPr>
        <w:t>₂</w:t>
      </w:r>
      <w:r w:rsidRPr="00A90B91">
        <w:rPr>
          <w:rFonts w:ascii="Arial" w:hAnsi="Arial" w:cs="Arial"/>
          <w:sz w:val="22"/>
          <w:szCs w:val="22"/>
        </w:rPr>
        <w:t xml:space="preserve"> (~550 ppm) and elevated temperature, and the authors reported significant increases in growth, leaf yield and carbohydrate content, accompanied by reductions in nitrogen and protein concentration (Lavanya </w:t>
      </w:r>
      <w:r w:rsidRPr="00A90B91">
        <w:rPr>
          <w:rFonts w:ascii="Arial" w:hAnsi="Arial" w:cs="Arial"/>
          <w:i/>
          <w:iCs/>
          <w:sz w:val="22"/>
          <w:szCs w:val="22"/>
        </w:rPr>
        <w:t>et al</w:t>
      </w:r>
      <w:r w:rsidRPr="00A90B91">
        <w:rPr>
          <w:rFonts w:ascii="Arial" w:hAnsi="Arial" w:cs="Arial"/>
          <w:sz w:val="22"/>
          <w:szCs w:val="22"/>
        </w:rPr>
        <w:t>., 2017). This study has become a benchmark for mulberry–climate interaction research in sericulture because it explicitly linked CO</w:t>
      </w:r>
      <w:r w:rsidRPr="00A90B91">
        <w:rPr>
          <w:rFonts w:ascii="Cambria Math" w:hAnsi="Cambria Math" w:cs="Cambria Math"/>
          <w:sz w:val="22"/>
          <w:szCs w:val="22"/>
        </w:rPr>
        <w:t>₂</w:t>
      </w:r>
      <w:r w:rsidRPr="00A90B91">
        <w:rPr>
          <w:rFonts w:ascii="Arial" w:hAnsi="Arial" w:cs="Arial"/>
          <w:sz w:val="22"/>
          <w:szCs w:val="22"/>
        </w:rPr>
        <w:t xml:space="preserve"> enrichment to changes in leaf biochemical quality relevant to silkworm nutrition.</w:t>
      </w:r>
    </w:p>
    <w:p w14:paraId="28CB4E0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Beyond constant CO</w:t>
      </w:r>
      <w:r w:rsidRPr="00A90B91">
        <w:rPr>
          <w:rFonts w:ascii="Cambria Math" w:hAnsi="Cambria Math" w:cs="Cambria Math"/>
          <w:sz w:val="22"/>
          <w:szCs w:val="22"/>
        </w:rPr>
        <w:t>₂</w:t>
      </w:r>
      <w:r w:rsidRPr="00A90B91">
        <w:rPr>
          <w:rFonts w:ascii="Arial" w:hAnsi="Arial" w:cs="Arial"/>
          <w:sz w:val="22"/>
          <w:szCs w:val="22"/>
        </w:rPr>
        <w:t xml:space="preserve"> enrichment, some studies have explored diurnal (day vs night) CO</w:t>
      </w:r>
      <w:r w:rsidRPr="00A90B91">
        <w:rPr>
          <w:rFonts w:ascii="Cambria Math" w:hAnsi="Cambria Math" w:cs="Cambria Math"/>
          <w:sz w:val="22"/>
          <w:szCs w:val="22"/>
        </w:rPr>
        <w:t>₂</w:t>
      </w:r>
      <w:r w:rsidRPr="00A90B91">
        <w:rPr>
          <w:rFonts w:ascii="Arial" w:hAnsi="Arial" w:cs="Arial"/>
          <w:sz w:val="22"/>
          <w:szCs w:val="22"/>
        </w:rPr>
        <w:t xml:space="preserve"> regimes to understand whether CO</w:t>
      </w:r>
      <w:r w:rsidRPr="00A90B91">
        <w:rPr>
          <w:rFonts w:ascii="Cambria Math" w:hAnsi="Cambria Math" w:cs="Cambria Math"/>
          <w:sz w:val="22"/>
          <w:szCs w:val="22"/>
        </w:rPr>
        <w:t>₂</w:t>
      </w:r>
      <w:r w:rsidRPr="00A90B91">
        <w:rPr>
          <w:rFonts w:ascii="Arial" w:hAnsi="Arial" w:cs="Arial"/>
          <w:sz w:val="22"/>
          <w:szCs w:val="22"/>
        </w:rPr>
        <w:t xml:space="preserve"> enrichment during photosynthetically active periods produces different responses compared with enrichment during respiration-dominant nighttime periods. Using environmentally controlled growth chambers, Shi et al. (2021) applied ambient CO</w:t>
      </w:r>
      <w:r w:rsidRPr="00A90B91">
        <w:rPr>
          <w:rFonts w:ascii="Cambria Math" w:hAnsi="Cambria Math" w:cs="Cambria Math"/>
          <w:sz w:val="22"/>
          <w:szCs w:val="22"/>
        </w:rPr>
        <w:t>₂</w:t>
      </w:r>
      <w:r w:rsidRPr="00A90B91">
        <w:rPr>
          <w:rFonts w:ascii="Arial" w:hAnsi="Arial" w:cs="Arial"/>
          <w:sz w:val="22"/>
          <w:szCs w:val="22"/>
        </w:rPr>
        <w:t xml:space="preserve"> (~410 ppm) and elevated CO</w:t>
      </w:r>
      <w:r w:rsidRPr="00A90B91">
        <w:rPr>
          <w:rFonts w:ascii="Cambria Math" w:hAnsi="Cambria Math" w:cs="Cambria Math"/>
          <w:sz w:val="22"/>
          <w:szCs w:val="22"/>
        </w:rPr>
        <w:t>₂</w:t>
      </w:r>
      <w:r w:rsidRPr="00A90B91">
        <w:rPr>
          <w:rFonts w:ascii="Arial" w:hAnsi="Arial" w:cs="Arial"/>
          <w:sz w:val="22"/>
          <w:szCs w:val="22"/>
        </w:rPr>
        <w:t xml:space="preserve"> treatments (≈710 </w:t>
      </w:r>
      <w:proofErr w:type="spellStart"/>
      <w:r w:rsidRPr="00A90B91">
        <w:rPr>
          <w:rFonts w:ascii="Arial" w:hAnsi="Arial" w:cs="Arial"/>
          <w:sz w:val="22"/>
          <w:szCs w:val="22"/>
        </w:rPr>
        <w:t>μmol</w:t>
      </w:r>
      <w:proofErr w:type="spellEnd"/>
      <w:r w:rsidRPr="00A90B91">
        <w:rPr>
          <w:rFonts w:ascii="Arial" w:hAnsi="Arial" w:cs="Arial"/>
          <w:sz w:val="22"/>
          <w:szCs w:val="22"/>
        </w:rPr>
        <w:t xml:space="preserve"> mol</w:t>
      </w:r>
      <w:r w:rsidRPr="00A90B91">
        <w:rPr>
          <w:rFonts w:ascii="Cambria Math" w:hAnsi="Cambria Math" w:cs="Cambria Math"/>
          <w:sz w:val="22"/>
          <w:szCs w:val="22"/>
        </w:rPr>
        <w:t>⁻</w:t>
      </w:r>
      <w:r w:rsidRPr="00A90B91">
        <w:rPr>
          <w:rFonts w:ascii="Arial" w:hAnsi="Arial" w:cs="Arial"/>
          <w:sz w:val="22"/>
          <w:szCs w:val="22"/>
        </w:rPr>
        <w:t xml:space="preserve">¹ during daytime and ≈760 </w:t>
      </w:r>
      <w:proofErr w:type="spellStart"/>
      <w:r w:rsidRPr="00A90B91">
        <w:rPr>
          <w:rFonts w:ascii="Arial" w:hAnsi="Arial" w:cs="Arial"/>
          <w:sz w:val="22"/>
          <w:szCs w:val="22"/>
        </w:rPr>
        <w:t>μmol</w:t>
      </w:r>
      <w:proofErr w:type="spellEnd"/>
      <w:r w:rsidRPr="00A90B91">
        <w:rPr>
          <w:rFonts w:ascii="Arial" w:hAnsi="Arial" w:cs="Arial"/>
          <w:sz w:val="22"/>
          <w:szCs w:val="22"/>
        </w:rPr>
        <w:t xml:space="preserve"> mol</w:t>
      </w:r>
      <w:r w:rsidRPr="00A90B91">
        <w:rPr>
          <w:rFonts w:ascii="Cambria Math" w:hAnsi="Cambria Math" w:cs="Cambria Math"/>
          <w:sz w:val="22"/>
          <w:szCs w:val="22"/>
        </w:rPr>
        <w:t>⁻</w:t>
      </w:r>
      <w:r w:rsidRPr="00A90B91">
        <w:rPr>
          <w:rFonts w:ascii="Arial" w:hAnsi="Arial" w:cs="Arial"/>
          <w:sz w:val="22"/>
          <w:szCs w:val="22"/>
        </w:rPr>
        <w:t>¹ during nighttime) and demonstrated that daytime CO</w:t>
      </w:r>
      <w:r w:rsidRPr="00A90B91">
        <w:rPr>
          <w:rFonts w:ascii="Cambria Math" w:hAnsi="Cambria Math" w:cs="Cambria Math"/>
          <w:sz w:val="22"/>
          <w:szCs w:val="22"/>
        </w:rPr>
        <w:t>₂</w:t>
      </w:r>
      <w:r w:rsidRPr="00A90B91">
        <w:rPr>
          <w:rFonts w:ascii="Arial" w:hAnsi="Arial" w:cs="Arial"/>
          <w:sz w:val="22"/>
          <w:szCs w:val="22"/>
        </w:rPr>
        <w:t xml:space="preserve"> enrichment significantly </w:t>
      </w:r>
      <w:r w:rsidRPr="00A90B91">
        <w:rPr>
          <w:rFonts w:ascii="Arial" w:hAnsi="Arial" w:cs="Arial"/>
          <w:sz w:val="22"/>
          <w:szCs w:val="22"/>
        </w:rPr>
        <w:lastRenderedPageBreak/>
        <w:t>enhanced mulberry growth and leaf quality, whereas nighttime enrichment alone had weaker effects.</w:t>
      </w:r>
    </w:p>
    <w:p w14:paraId="1A7CE29F"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Several experiments also combine CO</w:t>
      </w:r>
      <w:r w:rsidRPr="00A90B91">
        <w:rPr>
          <w:rFonts w:ascii="Cambria Math" w:hAnsi="Cambria Math" w:cs="Cambria Math"/>
          <w:sz w:val="22"/>
          <w:szCs w:val="22"/>
        </w:rPr>
        <w:t>₂</w:t>
      </w:r>
      <w:r w:rsidRPr="00A90B91">
        <w:rPr>
          <w:rFonts w:ascii="Arial" w:hAnsi="Arial" w:cs="Arial"/>
          <w:sz w:val="22"/>
          <w:szCs w:val="22"/>
        </w:rPr>
        <w:t xml:space="preserve"> enrichment with moderate warming, commonly implemented as ambient +2 °C, to mimic projected temperature rise under climate change. For instance, Li et al. (2019) exposed </w:t>
      </w:r>
      <w:r w:rsidRPr="00A90B91">
        <w:rPr>
          <w:rFonts w:ascii="Arial" w:hAnsi="Arial" w:cs="Arial"/>
          <w:i/>
          <w:iCs/>
          <w:sz w:val="22"/>
          <w:szCs w:val="22"/>
        </w:rPr>
        <w:t>M. alba</w:t>
      </w:r>
      <w:r w:rsidRPr="00A90B91">
        <w:rPr>
          <w:rFonts w:ascii="Arial" w:hAnsi="Arial" w:cs="Arial"/>
          <w:sz w:val="22"/>
          <w:szCs w:val="22"/>
        </w:rPr>
        <w:t xml:space="preserve"> saplings to factorial combinations of ambient vs. ambient + 2 °C and ambient vs. ambient + 380 ppm CO</w:t>
      </w:r>
      <w:r w:rsidRPr="00A90B91">
        <w:rPr>
          <w:rFonts w:ascii="Cambria Math" w:hAnsi="Cambria Math" w:cs="Cambria Math"/>
          <w:sz w:val="22"/>
          <w:szCs w:val="22"/>
        </w:rPr>
        <w:t>₂</w:t>
      </w:r>
      <w:r w:rsidRPr="00A90B91">
        <w:rPr>
          <w:rFonts w:ascii="Arial" w:hAnsi="Arial" w:cs="Arial"/>
          <w:sz w:val="22"/>
          <w:szCs w:val="22"/>
        </w:rPr>
        <w:t>, showing that interactive effects of CO</w:t>
      </w:r>
      <w:r w:rsidRPr="00A90B91">
        <w:rPr>
          <w:rFonts w:ascii="Cambria Math" w:hAnsi="Cambria Math" w:cs="Cambria Math"/>
          <w:sz w:val="22"/>
          <w:szCs w:val="22"/>
        </w:rPr>
        <w:t>₂</w:t>
      </w:r>
      <w:r w:rsidRPr="00A90B91">
        <w:rPr>
          <w:rFonts w:ascii="Arial" w:hAnsi="Arial" w:cs="Arial"/>
          <w:sz w:val="22"/>
          <w:szCs w:val="22"/>
        </w:rPr>
        <w:t xml:space="preserve"> and temperature significantly altered carbon–nitrogen metabolism and reproductive development. These findings highlight that mulberry responses to climate change are often non-additive, with combined CO</w:t>
      </w:r>
      <w:r w:rsidRPr="00A90B91">
        <w:rPr>
          <w:rFonts w:ascii="Cambria Math" w:hAnsi="Cambria Math" w:cs="Cambria Math"/>
          <w:sz w:val="22"/>
          <w:szCs w:val="22"/>
        </w:rPr>
        <w:t>₂</w:t>
      </w:r>
      <w:r w:rsidRPr="00A90B91">
        <w:rPr>
          <w:rFonts w:ascii="Arial" w:hAnsi="Arial" w:cs="Arial"/>
          <w:sz w:val="22"/>
          <w:szCs w:val="22"/>
        </w:rPr>
        <w:t xml:space="preserve"> and temperature treatments producing stronger biochemical shifts than either factor alone (Lavanya </w:t>
      </w:r>
      <w:r w:rsidRPr="00A90B91">
        <w:rPr>
          <w:rFonts w:ascii="Arial" w:hAnsi="Arial" w:cs="Arial"/>
          <w:i/>
          <w:iCs/>
          <w:sz w:val="22"/>
          <w:szCs w:val="22"/>
        </w:rPr>
        <w:t>et al</w:t>
      </w:r>
      <w:r w:rsidRPr="00A90B91">
        <w:rPr>
          <w:rFonts w:ascii="Arial" w:hAnsi="Arial" w:cs="Arial"/>
          <w:sz w:val="22"/>
          <w:szCs w:val="22"/>
        </w:rPr>
        <w:t xml:space="preserve">., 2017; Li </w:t>
      </w:r>
      <w:r w:rsidRPr="00A90B91">
        <w:rPr>
          <w:rFonts w:ascii="Arial" w:hAnsi="Arial" w:cs="Arial"/>
          <w:i/>
          <w:iCs/>
          <w:sz w:val="22"/>
          <w:szCs w:val="22"/>
        </w:rPr>
        <w:t>et al</w:t>
      </w:r>
      <w:r w:rsidRPr="00A90B91">
        <w:rPr>
          <w:rFonts w:ascii="Arial" w:hAnsi="Arial" w:cs="Arial"/>
          <w:sz w:val="22"/>
          <w:szCs w:val="22"/>
        </w:rPr>
        <w:t>., 2019).</w:t>
      </w:r>
    </w:p>
    <w:p w14:paraId="440EA83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Thus, most mulberry climate studies use CO</w:t>
      </w:r>
      <w:r w:rsidRPr="00A90B91">
        <w:rPr>
          <w:rFonts w:ascii="Cambria Math" w:hAnsi="Cambria Math" w:cs="Cambria Math"/>
          <w:sz w:val="22"/>
          <w:szCs w:val="22"/>
        </w:rPr>
        <w:t>₂</w:t>
      </w:r>
      <w:r w:rsidRPr="00A90B91">
        <w:rPr>
          <w:rFonts w:ascii="Arial" w:hAnsi="Arial" w:cs="Arial"/>
          <w:sz w:val="22"/>
          <w:szCs w:val="22"/>
        </w:rPr>
        <w:t xml:space="preserve"> concentrations around ~550 ppm, sometimes extended to higher levels in growth chambers for mechanistic analysis, and frequently integrate a warming treatment of approximately +2 °C to reflect future climatic conditions (Ainsworth and Long, 2005; Shi </w:t>
      </w:r>
      <w:r w:rsidRPr="00A90B91">
        <w:rPr>
          <w:rFonts w:ascii="Arial" w:hAnsi="Arial" w:cs="Arial"/>
          <w:i/>
          <w:iCs/>
          <w:sz w:val="22"/>
          <w:szCs w:val="22"/>
        </w:rPr>
        <w:t>et al.,</w:t>
      </w:r>
      <w:r w:rsidRPr="00A90B91">
        <w:rPr>
          <w:rFonts w:ascii="Arial" w:hAnsi="Arial" w:cs="Arial"/>
          <w:sz w:val="22"/>
          <w:szCs w:val="22"/>
        </w:rPr>
        <w:t xml:space="preserve"> 2021; Li </w:t>
      </w:r>
      <w:r w:rsidRPr="00A90B91">
        <w:rPr>
          <w:rFonts w:ascii="Arial" w:hAnsi="Arial" w:cs="Arial"/>
          <w:i/>
          <w:iCs/>
          <w:sz w:val="22"/>
          <w:szCs w:val="22"/>
        </w:rPr>
        <w:t>et al.,</w:t>
      </w:r>
      <w:r w:rsidRPr="00A90B91">
        <w:rPr>
          <w:rFonts w:ascii="Arial" w:hAnsi="Arial" w:cs="Arial"/>
          <w:sz w:val="22"/>
          <w:szCs w:val="22"/>
        </w:rPr>
        <w:t xml:space="preserve"> 2019).</w:t>
      </w:r>
    </w:p>
    <w:p w14:paraId="0157C6CF"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2.2 Methods</w:t>
      </w:r>
    </w:p>
    <w:p w14:paraId="1F72A69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A) Open-Top Chambers (OTCs)</w:t>
      </w:r>
    </w:p>
    <w:p w14:paraId="0C6E2CA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Open-top chambers (OTCs) are the most widely employed experimental system in mulberry climate-response research because they allow plants to be grown under near-field conditions while maintaining a controlled CO</w:t>
      </w:r>
      <w:r w:rsidRPr="00A90B91">
        <w:rPr>
          <w:rFonts w:ascii="Cambria Math" w:hAnsi="Cambria Math" w:cs="Cambria Math"/>
          <w:sz w:val="22"/>
          <w:szCs w:val="22"/>
        </w:rPr>
        <w:t>₂</w:t>
      </w:r>
      <w:r w:rsidRPr="00A90B91">
        <w:rPr>
          <w:rFonts w:ascii="Arial" w:hAnsi="Arial" w:cs="Arial"/>
          <w:sz w:val="22"/>
          <w:szCs w:val="22"/>
        </w:rPr>
        <w:t xml:space="preserve"> atmosphere. OTCs permit exposure to natural solar radiation and diurnal cycles while enabling precise regulation of CO</w:t>
      </w:r>
      <w:r w:rsidRPr="00A90B91">
        <w:rPr>
          <w:rFonts w:ascii="Cambria Math" w:hAnsi="Cambria Math" w:cs="Cambria Math"/>
          <w:sz w:val="22"/>
          <w:szCs w:val="22"/>
        </w:rPr>
        <w:t>₂</w:t>
      </w:r>
      <w:r w:rsidRPr="00A90B91">
        <w:rPr>
          <w:rFonts w:ascii="Arial" w:hAnsi="Arial" w:cs="Arial"/>
          <w:sz w:val="22"/>
          <w:szCs w:val="22"/>
        </w:rPr>
        <w:t xml:space="preserve"> concentration and, in some designs, air temperature (Ainsworth and Long, 2005).</w:t>
      </w:r>
    </w:p>
    <w:p w14:paraId="79B3C55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sericulture research, OTCs have been extensively used to evaluate the effects of elevated CO</w:t>
      </w:r>
      <w:r w:rsidRPr="00A90B91">
        <w:rPr>
          <w:rFonts w:ascii="Cambria Math" w:hAnsi="Cambria Math" w:cs="Cambria Math"/>
          <w:sz w:val="22"/>
          <w:szCs w:val="22"/>
        </w:rPr>
        <w:t>₂</w:t>
      </w:r>
      <w:r w:rsidRPr="00A90B91">
        <w:rPr>
          <w:rFonts w:ascii="Arial" w:hAnsi="Arial" w:cs="Arial"/>
          <w:sz w:val="22"/>
          <w:szCs w:val="22"/>
        </w:rPr>
        <w:t xml:space="preserve"> and warming on mulberry growth, yield and biochemical composition. Lavanya et al. (2017) cultivated mulberry in cement pots inside OTCs at UAS, Raichur, under ambient and elevated CO</w:t>
      </w:r>
      <w:r w:rsidRPr="00A90B91">
        <w:rPr>
          <w:rFonts w:ascii="Cambria Math" w:hAnsi="Cambria Math" w:cs="Cambria Math"/>
          <w:sz w:val="22"/>
          <w:szCs w:val="22"/>
        </w:rPr>
        <w:t>₂</w:t>
      </w:r>
      <w:r w:rsidRPr="00A90B91">
        <w:rPr>
          <w:rFonts w:ascii="Arial" w:hAnsi="Arial" w:cs="Arial"/>
          <w:sz w:val="22"/>
          <w:szCs w:val="22"/>
        </w:rPr>
        <w:t xml:space="preserve"> conditions, and recorded significant increases in leaf biomass and carbohydrate content, along with reduced nitrogen, protein and altered phenolic profiles under elevated CO</w:t>
      </w:r>
      <w:r w:rsidRPr="00A90B91">
        <w:rPr>
          <w:rFonts w:ascii="Cambria Math" w:hAnsi="Cambria Math" w:cs="Cambria Math"/>
          <w:sz w:val="22"/>
          <w:szCs w:val="22"/>
        </w:rPr>
        <w:t>₂</w:t>
      </w:r>
      <w:r w:rsidRPr="00A90B91">
        <w:rPr>
          <w:rFonts w:ascii="Arial" w:hAnsi="Arial" w:cs="Arial"/>
          <w:sz w:val="22"/>
          <w:szCs w:val="22"/>
        </w:rPr>
        <w:t xml:space="preserve"> and temperature. This OTC-based approach enabled the authors to simulate future climate conditions while retaining realistic field light and growth environments.</w:t>
      </w:r>
    </w:p>
    <w:p w14:paraId="00A590E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OTC experiments typically quantify both morphological traits (plant height, number of leaves, leaf area index, leaf yield) and biochemical parameters (total sugars, carbohydrates, phenols, tannins, nitrogen, protein and C:N ratio), which are directly relevant for evaluating mulberry leaf quality for silkworm feeding (Lavanya </w:t>
      </w:r>
      <w:r w:rsidRPr="00A90B91">
        <w:rPr>
          <w:rFonts w:ascii="Arial" w:hAnsi="Arial" w:cs="Arial"/>
          <w:i/>
          <w:iCs/>
          <w:sz w:val="22"/>
          <w:szCs w:val="22"/>
        </w:rPr>
        <w:t>et al</w:t>
      </w:r>
      <w:r w:rsidRPr="00A90B91">
        <w:rPr>
          <w:rFonts w:ascii="Arial" w:hAnsi="Arial" w:cs="Arial"/>
          <w:sz w:val="22"/>
          <w:szCs w:val="22"/>
        </w:rPr>
        <w:t>., 2017). However, because OTCs can slightly modify microclimate (e.g., reduced wind speed, marginally higher temperature and humidity), studies generally include ambient open-plot controls to ensure robust comparisons (Ainsworth and Long, 2005).</w:t>
      </w:r>
    </w:p>
    <w:p w14:paraId="6AB5A3E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B) Growth Chambers / Controlled-Environment Systems</w:t>
      </w:r>
    </w:p>
    <w:p w14:paraId="555D733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Growth chambers provide precise control over CO</w:t>
      </w:r>
      <w:r w:rsidRPr="00A90B91">
        <w:rPr>
          <w:rFonts w:ascii="Cambria Math" w:hAnsi="Cambria Math" w:cs="Cambria Math"/>
          <w:sz w:val="22"/>
          <w:szCs w:val="22"/>
        </w:rPr>
        <w:t>₂</w:t>
      </w:r>
      <w:r w:rsidRPr="00A90B91">
        <w:rPr>
          <w:rFonts w:ascii="Arial" w:hAnsi="Arial" w:cs="Arial"/>
          <w:sz w:val="22"/>
          <w:szCs w:val="22"/>
        </w:rPr>
        <w:t xml:space="preserve"> concentration, temperature, humidity and photoperiod, allowing researchers to isolate the independent and interactive effects of climate variables on mulberry physiology and biochemistry. These systems are particularly useful for mechanistic studies that require stable environmental conditions or specific CO</w:t>
      </w:r>
      <w:r w:rsidRPr="00A90B91">
        <w:rPr>
          <w:rFonts w:ascii="Cambria Math" w:hAnsi="Cambria Math" w:cs="Cambria Math"/>
          <w:sz w:val="22"/>
          <w:szCs w:val="22"/>
        </w:rPr>
        <w:t>₂</w:t>
      </w:r>
      <w:r w:rsidRPr="00A90B91">
        <w:rPr>
          <w:rFonts w:ascii="Arial" w:hAnsi="Arial" w:cs="Arial"/>
          <w:sz w:val="22"/>
          <w:szCs w:val="22"/>
        </w:rPr>
        <w:t>–temperature combinations that are difficult to maintain in open systems.</w:t>
      </w:r>
    </w:p>
    <w:p w14:paraId="7D18EC6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Using controlled growth chambers, Shi et al. (2021) imposed four CO</w:t>
      </w:r>
      <w:r w:rsidRPr="00A90B91">
        <w:rPr>
          <w:rFonts w:ascii="Cambria Math" w:hAnsi="Cambria Math" w:cs="Cambria Math"/>
          <w:sz w:val="22"/>
          <w:szCs w:val="22"/>
        </w:rPr>
        <w:t>₂</w:t>
      </w:r>
      <w:r w:rsidRPr="00A90B91">
        <w:rPr>
          <w:rFonts w:ascii="Arial" w:hAnsi="Arial" w:cs="Arial"/>
          <w:sz w:val="22"/>
          <w:szCs w:val="22"/>
        </w:rPr>
        <w:t xml:space="preserve"> regimes—ambient, daytime-elevated, nighttime-elevated and continuously elevated CO</w:t>
      </w:r>
      <w:r w:rsidRPr="00A90B91">
        <w:rPr>
          <w:rFonts w:ascii="Cambria Math" w:hAnsi="Cambria Math" w:cs="Cambria Math"/>
          <w:sz w:val="22"/>
          <w:szCs w:val="22"/>
        </w:rPr>
        <w:t>₂</w:t>
      </w:r>
      <w:r w:rsidRPr="00A90B91">
        <w:rPr>
          <w:rFonts w:ascii="Arial" w:hAnsi="Arial" w:cs="Arial"/>
          <w:sz w:val="22"/>
          <w:szCs w:val="22"/>
        </w:rPr>
        <w:t>—and demonstrated that daytime CO</w:t>
      </w:r>
      <w:r w:rsidRPr="00A90B91">
        <w:rPr>
          <w:rFonts w:ascii="Cambria Math" w:hAnsi="Cambria Math" w:cs="Cambria Math"/>
          <w:sz w:val="22"/>
          <w:szCs w:val="22"/>
        </w:rPr>
        <w:t>₂</w:t>
      </w:r>
      <w:r w:rsidRPr="00A90B91">
        <w:rPr>
          <w:rFonts w:ascii="Arial" w:hAnsi="Arial" w:cs="Arial"/>
          <w:sz w:val="22"/>
          <w:szCs w:val="22"/>
        </w:rPr>
        <w:t xml:space="preserve"> enrichment significantly improved plant growth and leaf nutrient quality, whereas nighttime enrichment had limited effects. This experiment clearly showed that the timing of CO</w:t>
      </w:r>
      <w:r w:rsidRPr="00A90B91">
        <w:rPr>
          <w:rFonts w:ascii="Cambria Math" w:hAnsi="Cambria Math" w:cs="Cambria Math"/>
          <w:sz w:val="22"/>
          <w:szCs w:val="22"/>
        </w:rPr>
        <w:t>₂</w:t>
      </w:r>
      <w:r w:rsidRPr="00A90B91">
        <w:rPr>
          <w:rFonts w:ascii="Arial" w:hAnsi="Arial" w:cs="Arial"/>
          <w:sz w:val="22"/>
          <w:szCs w:val="22"/>
        </w:rPr>
        <w:t xml:space="preserve"> exposure influences mulberry physiological responses and leaf biochemical composition.</w:t>
      </w:r>
    </w:p>
    <w:p w14:paraId="4032F25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Similarly, Li et al. (2019) used growth chambers to expose mulberry saplings to ambient vs. ambient + 2 °C and ambient vs. ambient + 380 ppm CO</w:t>
      </w:r>
      <w:r w:rsidRPr="00A90B91">
        <w:rPr>
          <w:rFonts w:ascii="Cambria Math" w:hAnsi="Cambria Math" w:cs="Cambria Math"/>
          <w:sz w:val="22"/>
          <w:szCs w:val="22"/>
        </w:rPr>
        <w:t>₂</w:t>
      </w:r>
      <w:r w:rsidRPr="00A90B91">
        <w:rPr>
          <w:rFonts w:ascii="Arial" w:hAnsi="Arial" w:cs="Arial"/>
          <w:sz w:val="22"/>
          <w:szCs w:val="22"/>
        </w:rPr>
        <w:t xml:space="preserve"> in a factorial design, enabling precise evaluation of CO</w:t>
      </w:r>
      <w:r w:rsidRPr="00A90B91">
        <w:rPr>
          <w:rFonts w:ascii="Cambria Math" w:hAnsi="Cambria Math" w:cs="Cambria Math"/>
          <w:sz w:val="22"/>
          <w:szCs w:val="22"/>
        </w:rPr>
        <w:t>₂</w:t>
      </w:r>
      <w:r w:rsidRPr="00A90B91">
        <w:rPr>
          <w:rFonts w:ascii="Arial" w:hAnsi="Arial" w:cs="Arial"/>
          <w:sz w:val="22"/>
          <w:szCs w:val="22"/>
        </w:rPr>
        <w:t xml:space="preserve"> × temperature interactions on carbon–nitrogen metabolism and developmental traits. Such controlled-environment studies provide strong mechanistic insights into how future climatic conditions may reprogram mulberry physiology and leaf quality, which is essential for understanding downstream effects on silkworm nutrition and performance.</w:t>
      </w:r>
    </w:p>
    <w:p w14:paraId="7D876D8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Nevertheless, growth chambers may not fully replicate field conditions, as they limit natural wind, light variability and soil–plant–microbe interactions. Therefore, results from chamber studies are most informative when interpreted alongside OTC or field-based experiments (Ainsworth and Long, 2005; Lavanya </w:t>
      </w:r>
      <w:r w:rsidRPr="00A90B91">
        <w:rPr>
          <w:rFonts w:ascii="Arial" w:hAnsi="Arial" w:cs="Arial"/>
          <w:i/>
          <w:iCs/>
          <w:sz w:val="22"/>
          <w:szCs w:val="22"/>
        </w:rPr>
        <w:t>et al</w:t>
      </w:r>
      <w:r w:rsidRPr="00A90B91">
        <w:rPr>
          <w:rFonts w:ascii="Arial" w:hAnsi="Arial" w:cs="Arial"/>
          <w:sz w:val="22"/>
          <w:szCs w:val="22"/>
        </w:rPr>
        <w:t>., 2017).</w:t>
      </w:r>
    </w:p>
    <w:p w14:paraId="4F82059F"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lastRenderedPageBreak/>
        <w:t>3. Mulberry physiological responses to elevated CO</w:t>
      </w:r>
      <w:r w:rsidRPr="00A90B91">
        <w:rPr>
          <w:rFonts w:ascii="Cambria Math" w:hAnsi="Cambria Math" w:cs="Cambria Math"/>
          <w:b/>
          <w:bCs/>
          <w:sz w:val="22"/>
          <w:szCs w:val="22"/>
        </w:rPr>
        <w:t>₂</w:t>
      </w:r>
    </w:p>
    <w:p w14:paraId="4A1E917B"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3.1 CO</w:t>
      </w:r>
      <w:r w:rsidRPr="00A90B91">
        <w:rPr>
          <w:rFonts w:ascii="Cambria Math" w:hAnsi="Cambria Math" w:cs="Cambria Math"/>
          <w:b/>
          <w:bCs/>
          <w:sz w:val="22"/>
          <w:szCs w:val="22"/>
        </w:rPr>
        <w:t>₂</w:t>
      </w:r>
      <w:r w:rsidRPr="00A90B91">
        <w:rPr>
          <w:rFonts w:ascii="Arial" w:hAnsi="Arial" w:cs="Arial"/>
          <w:b/>
          <w:bCs/>
          <w:sz w:val="22"/>
          <w:szCs w:val="22"/>
        </w:rPr>
        <w:t xml:space="preserve"> fertilization effects on growth and leaf yield</w:t>
      </w:r>
    </w:p>
    <w:p w14:paraId="11C00B0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Mulberry (</w:t>
      </w:r>
      <w:r w:rsidRPr="00A90B91">
        <w:rPr>
          <w:rFonts w:ascii="Arial" w:hAnsi="Arial" w:cs="Arial"/>
          <w:i/>
          <w:iCs/>
          <w:sz w:val="22"/>
          <w:szCs w:val="22"/>
        </w:rPr>
        <w:t>Morus</w:t>
      </w:r>
      <w:r w:rsidRPr="00A90B91">
        <w:rPr>
          <w:rFonts w:ascii="Arial" w:hAnsi="Arial" w:cs="Arial"/>
          <w:sz w:val="22"/>
          <w:szCs w:val="22"/>
        </w:rPr>
        <w:t xml:space="preserve"> spp.), being a typical C</w:t>
      </w:r>
      <w:r w:rsidRPr="00A90B91">
        <w:rPr>
          <w:rFonts w:ascii="Cambria Math" w:hAnsi="Cambria Math" w:cs="Cambria Math"/>
          <w:sz w:val="22"/>
          <w:szCs w:val="22"/>
        </w:rPr>
        <w:t>₃</w:t>
      </w:r>
      <w:r w:rsidRPr="00A90B91">
        <w:rPr>
          <w:rFonts w:ascii="Arial" w:hAnsi="Arial" w:cs="Arial"/>
          <w:sz w:val="22"/>
          <w:szCs w:val="22"/>
        </w:rPr>
        <w:t xml:space="preserve"> plant, exhibits a strong physiological response to elevated atmospheric CO</w:t>
      </w:r>
      <w:r w:rsidRPr="00A90B91">
        <w:rPr>
          <w:rFonts w:ascii="Cambria Math" w:hAnsi="Cambria Math" w:cs="Cambria Math"/>
          <w:sz w:val="22"/>
          <w:szCs w:val="22"/>
        </w:rPr>
        <w:t>₂</w:t>
      </w:r>
      <w:r w:rsidRPr="00A90B91">
        <w:rPr>
          <w:rFonts w:ascii="Arial" w:hAnsi="Arial" w:cs="Arial"/>
          <w:sz w:val="22"/>
          <w:szCs w:val="22"/>
        </w:rPr>
        <w:t xml:space="preserve"> concentration, primarily through the CO</w:t>
      </w:r>
      <w:r w:rsidRPr="00A90B91">
        <w:rPr>
          <w:rFonts w:ascii="Cambria Math" w:hAnsi="Cambria Math" w:cs="Cambria Math"/>
          <w:sz w:val="22"/>
          <w:szCs w:val="22"/>
        </w:rPr>
        <w:t>₂</w:t>
      </w:r>
      <w:r w:rsidRPr="00A90B91">
        <w:rPr>
          <w:rFonts w:ascii="Arial" w:hAnsi="Arial" w:cs="Arial"/>
          <w:sz w:val="22"/>
          <w:szCs w:val="22"/>
        </w:rPr>
        <w:t xml:space="preserve"> fertilization effect. In C</w:t>
      </w:r>
      <w:r w:rsidRPr="00A90B91">
        <w:rPr>
          <w:rFonts w:ascii="Cambria Math" w:hAnsi="Cambria Math" w:cs="Cambria Math"/>
          <w:sz w:val="22"/>
          <w:szCs w:val="22"/>
        </w:rPr>
        <w:t>₃</w:t>
      </w:r>
      <w:r w:rsidRPr="00A90B91">
        <w:rPr>
          <w:rFonts w:ascii="Arial" w:hAnsi="Arial" w:cs="Arial"/>
          <w:sz w:val="22"/>
          <w:szCs w:val="22"/>
        </w:rPr>
        <w:t xml:space="preserve"> species, photosynthesis under ambient conditions is often limited by CO</w:t>
      </w:r>
      <w:r w:rsidRPr="00A90B91">
        <w:rPr>
          <w:rFonts w:ascii="Cambria Math" w:hAnsi="Cambria Math" w:cs="Cambria Math"/>
          <w:sz w:val="22"/>
          <w:szCs w:val="22"/>
        </w:rPr>
        <w:t>₂</w:t>
      </w:r>
      <w:r w:rsidRPr="00A90B91">
        <w:rPr>
          <w:rFonts w:ascii="Arial" w:hAnsi="Arial" w:cs="Arial"/>
          <w:sz w:val="22"/>
          <w:szCs w:val="22"/>
        </w:rPr>
        <w:t xml:space="preserve"> availability at the Rubisco carboxylation site. Elevated CO</w:t>
      </w:r>
      <w:r w:rsidRPr="00A90B91">
        <w:rPr>
          <w:rFonts w:ascii="Cambria Math" w:hAnsi="Cambria Math" w:cs="Cambria Math"/>
          <w:sz w:val="22"/>
          <w:szCs w:val="22"/>
        </w:rPr>
        <w:t>₂</w:t>
      </w:r>
      <w:r w:rsidRPr="00A90B91">
        <w:rPr>
          <w:rFonts w:ascii="Arial" w:hAnsi="Arial" w:cs="Arial"/>
          <w:sz w:val="22"/>
          <w:szCs w:val="22"/>
        </w:rPr>
        <w:t xml:space="preserve"> alleviates this limitation by increasing the carboxylation efficiency of Rubisco and suppressing photorespiration, resulting in enhanced net photosynthetic rates (Ainsworth &amp; Rogers, 2007).</w:t>
      </w:r>
    </w:p>
    <w:p w14:paraId="0F73E23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Several controlled and semi-controlled experiments have demonstrated that elevated CO</w:t>
      </w:r>
      <w:r w:rsidRPr="00A90B91">
        <w:rPr>
          <w:rFonts w:ascii="Cambria Math" w:hAnsi="Cambria Math" w:cs="Cambria Math"/>
          <w:sz w:val="22"/>
          <w:szCs w:val="22"/>
        </w:rPr>
        <w:t>₂</w:t>
      </w:r>
      <w:r w:rsidRPr="00A90B91">
        <w:rPr>
          <w:rFonts w:ascii="Arial" w:hAnsi="Arial" w:cs="Arial"/>
          <w:sz w:val="22"/>
          <w:szCs w:val="22"/>
        </w:rPr>
        <w:t xml:space="preserve"> concentrations (generally in the range of 500–600 ppm) significantly enhance vegetative growth parameters in mulberry. These responses include increases in plant height, number of leaves per plant, leaf area index (LAI), internodal length, total leaf biomass, and overall dry matter accumulation. Such morphological enhancements directly translate into higher leaf yield, which is a critical determinant of productivity in sericulture systems (Choudhury et al., 2012; Sarkar et al., 2018).</w:t>
      </w:r>
    </w:p>
    <w:p w14:paraId="6BBAF7B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Open Top Chamber (OTC) experiments conducted under tropical and subtropical Indian conditions provide strong empirical evidence for these responses. An OTC study conducted in the Raichur region of Karnataka reported that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(~550 ppm) exhibited significantly greater plant height, increased number of leaves per plant, higher LAI, and enhanced fresh and dry leaf yield compared with plants grown under ambient CO</w:t>
      </w:r>
      <w:r w:rsidRPr="00A90B91">
        <w:rPr>
          <w:rFonts w:ascii="Cambria Math" w:hAnsi="Cambria Math" w:cs="Cambria Math"/>
          <w:sz w:val="22"/>
          <w:szCs w:val="22"/>
        </w:rPr>
        <w:t>₂</w:t>
      </w:r>
      <w:r w:rsidRPr="00A90B91">
        <w:rPr>
          <w:rFonts w:ascii="Arial" w:hAnsi="Arial" w:cs="Arial"/>
          <w:sz w:val="22"/>
          <w:szCs w:val="22"/>
        </w:rPr>
        <w:t xml:space="preserve"> concentrations (~380–400 ppm). The increase in biomass was attributed to accelerated canopy development and prolonged photosynthetically active leaf area duration (Ramesh </w:t>
      </w:r>
      <w:r w:rsidRPr="00A90B91">
        <w:rPr>
          <w:rFonts w:ascii="Arial" w:hAnsi="Arial" w:cs="Arial"/>
          <w:i/>
          <w:iCs/>
          <w:sz w:val="22"/>
          <w:szCs w:val="22"/>
        </w:rPr>
        <w:t>et al</w:t>
      </w:r>
      <w:r w:rsidRPr="00A90B91">
        <w:rPr>
          <w:rFonts w:ascii="Arial" w:hAnsi="Arial" w:cs="Arial"/>
          <w:sz w:val="22"/>
          <w:szCs w:val="22"/>
        </w:rPr>
        <w:t>., 2019).</w:t>
      </w:r>
    </w:p>
    <w:p w14:paraId="7EBDA168"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Enhanced CO</w:t>
      </w:r>
      <w:r w:rsidRPr="00A90B91">
        <w:rPr>
          <w:rFonts w:ascii="Cambria Math" w:hAnsi="Cambria Math" w:cs="Cambria Math"/>
          <w:sz w:val="22"/>
          <w:szCs w:val="22"/>
        </w:rPr>
        <w:t>₂</w:t>
      </w:r>
      <w:r w:rsidRPr="00A90B91">
        <w:rPr>
          <w:rFonts w:ascii="Arial" w:hAnsi="Arial" w:cs="Arial"/>
          <w:sz w:val="22"/>
          <w:szCs w:val="22"/>
        </w:rPr>
        <w:t xml:space="preserve"> availability also promotes greater carbon assimilation and partitioning towards structural and storage tissues. In mulberry, this results in increased stem girth, improved shoot vigor, and higher </w:t>
      </w:r>
      <w:proofErr w:type="spellStart"/>
      <w:r w:rsidRPr="00A90B91">
        <w:rPr>
          <w:rFonts w:ascii="Arial" w:hAnsi="Arial" w:cs="Arial"/>
          <w:sz w:val="22"/>
          <w:szCs w:val="22"/>
        </w:rPr>
        <w:t>leaf:stem</w:t>
      </w:r>
      <w:proofErr w:type="spellEnd"/>
      <w:r w:rsidRPr="00A90B91">
        <w:rPr>
          <w:rFonts w:ascii="Arial" w:hAnsi="Arial" w:cs="Arial"/>
          <w:sz w:val="22"/>
          <w:szCs w:val="22"/>
        </w:rPr>
        <w:t xml:space="preserve"> ratio, all of which are agronomically desirable traits for sustained leaf harvest. Long-term exposure studies further suggest that CO</w:t>
      </w:r>
      <w:r w:rsidRPr="00A90B91">
        <w:rPr>
          <w:rFonts w:ascii="Cambria Math" w:hAnsi="Cambria Math" w:cs="Cambria Math"/>
          <w:sz w:val="22"/>
          <w:szCs w:val="22"/>
        </w:rPr>
        <w:t>₂</w:t>
      </w:r>
      <w:r w:rsidRPr="00A90B91">
        <w:rPr>
          <w:rFonts w:ascii="Arial" w:hAnsi="Arial" w:cs="Arial"/>
          <w:sz w:val="22"/>
          <w:szCs w:val="22"/>
        </w:rPr>
        <w:t>-induced growth stimulation in mulberry can be maintained over multiple crop cycles, provided that nutrients and water are not limiting (Kimball, 2016).</w:t>
      </w:r>
    </w:p>
    <w:p w14:paraId="4BE61E1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However, the magnitude of CO</w:t>
      </w:r>
      <w:r w:rsidRPr="00A90B91">
        <w:rPr>
          <w:rFonts w:ascii="Cambria Math" w:hAnsi="Cambria Math" w:cs="Cambria Math"/>
          <w:sz w:val="22"/>
          <w:szCs w:val="22"/>
        </w:rPr>
        <w:t>₂</w:t>
      </w:r>
      <w:r w:rsidRPr="00A90B91">
        <w:rPr>
          <w:rFonts w:ascii="Arial" w:hAnsi="Arial" w:cs="Arial"/>
          <w:sz w:val="22"/>
          <w:szCs w:val="22"/>
        </w:rPr>
        <w:t xml:space="preserve"> fertilization effects varies with cultivar, age of the plant, nutrient availability, and environmental conditions such as temperature and light intensity. Under nutrient-limited conditions, especially nitrogen deficiency, the positive effects of elevated CO</w:t>
      </w:r>
      <w:r w:rsidRPr="00A90B91">
        <w:rPr>
          <w:rFonts w:ascii="Cambria Math" w:hAnsi="Cambria Math" w:cs="Cambria Math"/>
          <w:sz w:val="22"/>
          <w:szCs w:val="22"/>
        </w:rPr>
        <w:t>₂</w:t>
      </w:r>
      <w:r w:rsidRPr="00A90B91">
        <w:rPr>
          <w:rFonts w:ascii="Arial" w:hAnsi="Arial" w:cs="Arial"/>
          <w:sz w:val="22"/>
          <w:szCs w:val="22"/>
        </w:rPr>
        <w:t xml:space="preserve"> on growth may be partially constrained due to dilution of leaf nitrogen and reduced sink strength (Taub &amp; Wang, 2008).</w:t>
      </w:r>
    </w:p>
    <w:p w14:paraId="561C8C27"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3.2 Photosynthesis and water relations</w:t>
      </w:r>
    </w:p>
    <w:p w14:paraId="2039986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atmospheric CO</w:t>
      </w:r>
      <w:r w:rsidRPr="00A90B91">
        <w:rPr>
          <w:rFonts w:ascii="Cambria Math" w:hAnsi="Cambria Math" w:cs="Cambria Math"/>
          <w:sz w:val="22"/>
          <w:szCs w:val="22"/>
        </w:rPr>
        <w:t>₂</w:t>
      </w:r>
      <w:r w:rsidRPr="00A90B91">
        <w:rPr>
          <w:rFonts w:ascii="Arial" w:hAnsi="Arial" w:cs="Arial"/>
          <w:sz w:val="22"/>
          <w:szCs w:val="22"/>
        </w:rPr>
        <w:t xml:space="preserve"> concentration enhances photosynthetic performance in C</w:t>
      </w:r>
      <w:r w:rsidRPr="00A90B91">
        <w:rPr>
          <w:rFonts w:ascii="Cambria Math" w:hAnsi="Cambria Math" w:cs="Cambria Math"/>
          <w:sz w:val="22"/>
          <w:szCs w:val="22"/>
        </w:rPr>
        <w:t>₃</w:t>
      </w:r>
      <w:r w:rsidRPr="00A90B91">
        <w:rPr>
          <w:rFonts w:ascii="Arial" w:hAnsi="Arial" w:cs="Arial"/>
          <w:sz w:val="22"/>
          <w:szCs w:val="22"/>
        </w:rPr>
        <w:t xml:space="preserve"> plants primarily by increasing intercellular CO</w:t>
      </w:r>
      <w:r w:rsidRPr="00A90B91">
        <w:rPr>
          <w:rFonts w:ascii="Cambria Math" w:hAnsi="Cambria Math" w:cs="Cambria Math"/>
          <w:sz w:val="22"/>
          <w:szCs w:val="22"/>
        </w:rPr>
        <w:t>₂</w:t>
      </w:r>
      <w:r w:rsidRPr="00A90B91">
        <w:rPr>
          <w:rFonts w:ascii="Arial" w:hAnsi="Arial" w:cs="Arial"/>
          <w:sz w:val="22"/>
          <w:szCs w:val="22"/>
        </w:rPr>
        <w:t xml:space="preserve"> concentration (Ci), which favors Rubisco carboxylation over oxygenation. In mulberry, elevated CO</w:t>
      </w:r>
      <w:r w:rsidRPr="00A90B91">
        <w:rPr>
          <w:rFonts w:ascii="Cambria Math" w:hAnsi="Cambria Math" w:cs="Cambria Math"/>
          <w:sz w:val="22"/>
          <w:szCs w:val="22"/>
        </w:rPr>
        <w:t>₂</w:t>
      </w:r>
      <w:r w:rsidRPr="00A90B91">
        <w:rPr>
          <w:rFonts w:ascii="Arial" w:hAnsi="Arial" w:cs="Arial"/>
          <w:sz w:val="22"/>
          <w:szCs w:val="22"/>
        </w:rPr>
        <w:t xml:space="preserve"> exposure has been shown to significantly increase net photosynthetic rate, apparent quantum efficiency, and carbohydrate accumulation in leaves (Chaudhuri &amp; Ghosh, 2014).</w:t>
      </w:r>
    </w:p>
    <w:p w14:paraId="5C99426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addition to stimulating photosynthesis, elevated CO</w:t>
      </w:r>
      <w:r w:rsidRPr="00A90B91">
        <w:rPr>
          <w:rFonts w:ascii="Cambria Math" w:hAnsi="Cambria Math" w:cs="Cambria Math"/>
          <w:sz w:val="22"/>
          <w:szCs w:val="22"/>
        </w:rPr>
        <w:t>₂</w:t>
      </w:r>
      <w:r w:rsidRPr="00A90B91">
        <w:rPr>
          <w:rFonts w:ascii="Arial" w:hAnsi="Arial" w:cs="Arial"/>
          <w:sz w:val="22"/>
          <w:szCs w:val="22"/>
        </w:rPr>
        <w:t xml:space="preserve"> induces partial stomatal closure, leading to reduced stomatal conductance and transpiration rate. This physiological adjustment improves intrinsic and whole-plant water-use efficiency (WUE), defined as the ratio of carbon gained through photosynthesis to water lost via transpiration. Improved WUE is particularly advantageous for mulberry cultivation under semi-arid and water-limited environments, which are increasingly common under climate change scenarios (Leakey et al., 2009).</w:t>
      </w:r>
    </w:p>
    <w:p w14:paraId="7E96053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Experimental studies on mulberry grown under elevated CO</w:t>
      </w:r>
      <w:r w:rsidRPr="00A90B91">
        <w:rPr>
          <w:rFonts w:ascii="Cambria Math" w:hAnsi="Cambria Math" w:cs="Cambria Math"/>
          <w:sz w:val="22"/>
          <w:szCs w:val="22"/>
        </w:rPr>
        <w:t>₂</w:t>
      </w:r>
      <w:r w:rsidRPr="00A90B91">
        <w:rPr>
          <w:rFonts w:ascii="Arial" w:hAnsi="Arial" w:cs="Arial"/>
          <w:sz w:val="22"/>
          <w:szCs w:val="22"/>
        </w:rPr>
        <w:t xml:space="preserve"> conditions have reported reduced transpiration losses without compromising carbon assimilation, resulting in higher biomass accumulation per unit of water consumed. Improved leaf water status, higher relative water content (RWC), and better maintenance of turgor pressure have also been observed, contributing to sustained leaf expansion and delayed senescence (Sarkar et al., 2018).</w:t>
      </w:r>
    </w:p>
    <w:p w14:paraId="5C541D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Daytime exposure to elevated CO</w:t>
      </w:r>
      <w:r w:rsidRPr="00A90B91">
        <w:rPr>
          <w:rFonts w:ascii="Cambria Math" w:hAnsi="Cambria Math" w:cs="Cambria Math"/>
          <w:sz w:val="22"/>
          <w:szCs w:val="22"/>
        </w:rPr>
        <w:t>₂</w:t>
      </w:r>
      <w:r w:rsidRPr="00A90B91">
        <w:rPr>
          <w:rFonts w:ascii="Arial" w:hAnsi="Arial" w:cs="Arial"/>
          <w:sz w:val="22"/>
          <w:szCs w:val="22"/>
        </w:rPr>
        <w:t xml:space="preserve"> has been reported to improve certain aspects of “leaf quality” in mulberry, such as increased total soluble carbohydrates, starch accumulation, and leaf thickness. These changes reflect enhanced assimilate production and storage capacity. However, such improvements in growth and photosynthetic efficiency do not automatically guarantee enhanced nutritional suitability of leaves for silkworm feeding (</w:t>
      </w:r>
      <w:r w:rsidRPr="00A90B91">
        <w:rPr>
          <w:rFonts w:ascii="Arial" w:hAnsi="Arial" w:cs="Arial"/>
          <w:i/>
          <w:iCs/>
          <w:sz w:val="22"/>
          <w:szCs w:val="22"/>
        </w:rPr>
        <w:t>Bombyx mori</w:t>
      </w:r>
      <w:r w:rsidRPr="00A90B91">
        <w:rPr>
          <w:rFonts w:ascii="Arial" w:hAnsi="Arial" w:cs="Arial"/>
          <w:sz w:val="22"/>
          <w:szCs w:val="22"/>
        </w:rPr>
        <w:t xml:space="preserve"> L.).</w:t>
      </w:r>
    </w:p>
    <w:p w14:paraId="2208FCB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An important physiological and nutritional nuance is that elevated CO</w:t>
      </w:r>
      <w:r w:rsidRPr="00A90B91">
        <w:rPr>
          <w:rFonts w:ascii="Cambria Math" w:hAnsi="Cambria Math" w:cs="Cambria Math"/>
          <w:sz w:val="22"/>
          <w:szCs w:val="22"/>
        </w:rPr>
        <w:t>₂</w:t>
      </w:r>
      <w:r w:rsidRPr="00A90B91">
        <w:rPr>
          <w:rFonts w:ascii="Arial" w:hAnsi="Arial" w:cs="Arial"/>
          <w:sz w:val="22"/>
          <w:szCs w:val="22"/>
        </w:rPr>
        <w:t xml:space="preserve"> often leads to a dilution effect, whereby increased carbohydrate accumulation is not proportionately matched by nitrogen uptake, resulting in reduced leaf nitrogen and protein concentration. Since silkworm growth and cocoon quality are highly sensitive to leaf protein content, amino acid composition, and secondary metabolites, the positive effects of elevated CO</w:t>
      </w:r>
      <w:r w:rsidRPr="00A90B91">
        <w:rPr>
          <w:rFonts w:ascii="Cambria Math" w:hAnsi="Cambria Math" w:cs="Cambria Math"/>
          <w:sz w:val="22"/>
          <w:szCs w:val="22"/>
        </w:rPr>
        <w:t>₂</w:t>
      </w:r>
      <w:r w:rsidRPr="00A90B91">
        <w:rPr>
          <w:rFonts w:ascii="Arial" w:hAnsi="Arial" w:cs="Arial"/>
          <w:sz w:val="22"/>
          <w:szCs w:val="22"/>
        </w:rPr>
        <w:t xml:space="preserve"> on mulberry growth must be evaluated alongside detailed biochemical assessments of leaf quality (</w:t>
      </w:r>
      <w:proofErr w:type="spellStart"/>
      <w:r w:rsidRPr="00A90B91">
        <w:rPr>
          <w:rFonts w:ascii="Arial" w:hAnsi="Arial" w:cs="Arial"/>
          <w:sz w:val="22"/>
          <w:szCs w:val="22"/>
        </w:rPr>
        <w:t>Bezemer</w:t>
      </w:r>
      <w:proofErr w:type="spellEnd"/>
      <w:r w:rsidRPr="00A90B91">
        <w:rPr>
          <w:rFonts w:ascii="Arial" w:hAnsi="Arial" w:cs="Arial"/>
          <w:sz w:val="22"/>
          <w:szCs w:val="22"/>
        </w:rPr>
        <w:t xml:space="preserve"> &amp; Jones, 1998; Taub </w:t>
      </w:r>
      <w:r w:rsidRPr="00A90B91">
        <w:rPr>
          <w:rFonts w:ascii="Arial" w:hAnsi="Arial" w:cs="Arial"/>
          <w:i/>
          <w:iCs/>
          <w:sz w:val="22"/>
          <w:szCs w:val="22"/>
        </w:rPr>
        <w:t>et al</w:t>
      </w:r>
      <w:r w:rsidRPr="00A90B91">
        <w:rPr>
          <w:rFonts w:ascii="Arial" w:hAnsi="Arial" w:cs="Arial"/>
          <w:sz w:val="22"/>
          <w:szCs w:val="22"/>
        </w:rPr>
        <w:t>., 2008).</w:t>
      </w:r>
    </w:p>
    <w:p w14:paraId="4DD318B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while elevated CO</w:t>
      </w:r>
      <w:r w:rsidRPr="00A90B91">
        <w:rPr>
          <w:rFonts w:ascii="Cambria Math" w:hAnsi="Cambria Math" w:cs="Cambria Math"/>
          <w:sz w:val="22"/>
          <w:szCs w:val="22"/>
        </w:rPr>
        <w:t>₂</w:t>
      </w:r>
      <w:r w:rsidRPr="00A90B91">
        <w:rPr>
          <w:rFonts w:ascii="Arial" w:hAnsi="Arial" w:cs="Arial"/>
          <w:sz w:val="22"/>
          <w:szCs w:val="22"/>
        </w:rPr>
        <w:t xml:space="preserve"> clearly enhances photosynthesis, water-use efficiency, and vegetative growth in mulberry, its implications for sericulture productivity depend on the balance between increased leaf quantity and potential changes in leaf nutritional composition, which is addressed in the subsequent section.</w:t>
      </w:r>
    </w:p>
    <w:p w14:paraId="366845C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 Mulberry biochemical responses to elevated CO</w:t>
      </w:r>
      <w:r w:rsidRPr="00A90B91">
        <w:rPr>
          <w:rFonts w:ascii="Cambria Math" w:hAnsi="Cambria Math" w:cs="Cambria Math"/>
          <w:b/>
          <w:bCs/>
          <w:sz w:val="22"/>
          <w:szCs w:val="22"/>
        </w:rPr>
        <w:t>₂</w:t>
      </w:r>
      <w:r w:rsidRPr="00A90B91">
        <w:rPr>
          <w:rFonts w:ascii="Arial" w:hAnsi="Arial" w:cs="Arial"/>
          <w:b/>
          <w:bCs/>
          <w:sz w:val="22"/>
          <w:szCs w:val="22"/>
        </w:rPr>
        <w:t xml:space="preserve"> (leaf “quality” changes)</w:t>
      </w:r>
    </w:p>
    <w:p w14:paraId="594AA61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4.1 Carbon–nitrogen balance and C:N ratio (key driver for silkworm nutrition)</w:t>
      </w:r>
    </w:p>
    <w:p w14:paraId="1FD260F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One of the most consistent biochemical responses of C</w:t>
      </w:r>
      <w:r w:rsidRPr="00A90B91">
        <w:rPr>
          <w:rFonts w:ascii="Cambria Math" w:hAnsi="Cambria Math" w:cs="Cambria Math"/>
          <w:sz w:val="22"/>
          <w:szCs w:val="22"/>
        </w:rPr>
        <w:t>₃</w:t>
      </w:r>
      <w:r w:rsidRPr="00A90B91">
        <w:rPr>
          <w:rFonts w:ascii="Arial" w:hAnsi="Arial" w:cs="Arial"/>
          <w:sz w:val="22"/>
          <w:szCs w:val="22"/>
        </w:rPr>
        <w:t xml:space="preserve"> plants to elevated atmospheric CO</w:t>
      </w:r>
      <w:r w:rsidRPr="00A90B91">
        <w:rPr>
          <w:rFonts w:ascii="Cambria Math" w:hAnsi="Cambria Math" w:cs="Cambria Math"/>
          <w:sz w:val="22"/>
          <w:szCs w:val="22"/>
        </w:rPr>
        <w:t>₂</w:t>
      </w:r>
      <w:r w:rsidRPr="00A90B91">
        <w:rPr>
          <w:rFonts w:ascii="Arial" w:hAnsi="Arial" w:cs="Arial"/>
          <w:sz w:val="22"/>
          <w:szCs w:val="22"/>
        </w:rPr>
        <w:t xml:space="preserve"> is an alteration in the carbon–nitrogen (C–N) balance of leaves. Elevated CO</w:t>
      </w:r>
      <w:r w:rsidRPr="00A90B91">
        <w:rPr>
          <w:rFonts w:ascii="Cambria Math" w:hAnsi="Cambria Math" w:cs="Cambria Math"/>
          <w:sz w:val="22"/>
          <w:szCs w:val="22"/>
        </w:rPr>
        <w:t>₂</w:t>
      </w:r>
      <w:r w:rsidRPr="00A90B91">
        <w:rPr>
          <w:rFonts w:ascii="Arial" w:hAnsi="Arial" w:cs="Arial"/>
          <w:sz w:val="22"/>
          <w:szCs w:val="22"/>
        </w:rPr>
        <w:t xml:space="preserve"> enhances carbon assimilation through increased photosynthetic rates, leading to greater accumulation of carbon-rich compounds such as sugars, starch, cellulose, and lignin. However, this increase in carbon fixation is frequently not accompanied by a proportional increase in nitrogen uptake or assimilation, resulting in reduced leaf nitrogen concentration and crude protein content (Ainsworth &amp; Long, 2005; Taub &amp; Wang, 2008).</w:t>
      </w:r>
    </w:p>
    <w:p w14:paraId="64DE24A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this phenomenon manifests as a clear increase in leaf carbon content and a concomitant decline in leaf nitrogen and protein levels under elevated CO</w:t>
      </w:r>
      <w:r w:rsidRPr="00A90B91">
        <w:rPr>
          <w:rFonts w:ascii="Cambria Math" w:hAnsi="Cambria Math" w:cs="Cambria Math"/>
          <w:sz w:val="22"/>
          <w:szCs w:val="22"/>
        </w:rPr>
        <w:t>₂</w:t>
      </w:r>
      <w:r w:rsidRPr="00A90B91">
        <w:rPr>
          <w:rFonts w:ascii="Arial" w:hAnsi="Arial" w:cs="Arial"/>
          <w:sz w:val="22"/>
          <w:szCs w:val="22"/>
        </w:rPr>
        <w:t xml:space="preserve"> exposure. Consequently, the C:N ratio increases significantly, a response commonly referred to as the “quality dilution effect.” The Raichur Open Top Chamber (OTC) study reported that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(~550 ppm) exhibited higher total leaf carbon and significantly elevated C:N ratios compared with ambient CO</w:t>
      </w:r>
      <w:r w:rsidRPr="00A90B91">
        <w:rPr>
          <w:rFonts w:ascii="Cambria Math" w:hAnsi="Cambria Math" w:cs="Cambria Math"/>
          <w:sz w:val="22"/>
          <w:szCs w:val="22"/>
        </w:rPr>
        <w:t>₂</w:t>
      </w:r>
      <w:r w:rsidRPr="00A90B91">
        <w:rPr>
          <w:rFonts w:ascii="Arial" w:hAnsi="Arial" w:cs="Arial"/>
          <w:sz w:val="22"/>
          <w:szCs w:val="22"/>
        </w:rPr>
        <w:t xml:space="preserve"> treatments, while leaf nitrogen and protein contents were consistently lower. Similar trends have been documented in mulberry and other perennial leaf crops under controlled and field-based CO</w:t>
      </w:r>
      <w:r w:rsidRPr="00A90B91">
        <w:rPr>
          <w:rFonts w:ascii="Cambria Math" w:hAnsi="Cambria Math" w:cs="Cambria Math"/>
          <w:sz w:val="22"/>
          <w:szCs w:val="22"/>
        </w:rPr>
        <w:t>₂</w:t>
      </w:r>
      <w:r w:rsidRPr="00A90B91">
        <w:rPr>
          <w:rFonts w:ascii="Arial" w:hAnsi="Arial" w:cs="Arial"/>
          <w:sz w:val="22"/>
          <w:szCs w:val="22"/>
        </w:rPr>
        <w:t xml:space="preserve"> enrichment studies (Sarkar et al., 2018; Ramesh </w:t>
      </w:r>
      <w:r w:rsidRPr="00A90B91">
        <w:rPr>
          <w:rFonts w:ascii="Arial" w:hAnsi="Arial" w:cs="Arial"/>
          <w:i/>
          <w:iCs/>
          <w:sz w:val="22"/>
          <w:szCs w:val="22"/>
        </w:rPr>
        <w:t>et al</w:t>
      </w:r>
      <w:r w:rsidRPr="00A90B91">
        <w:rPr>
          <w:rFonts w:ascii="Arial" w:hAnsi="Arial" w:cs="Arial"/>
          <w:sz w:val="22"/>
          <w:szCs w:val="22"/>
        </w:rPr>
        <w:t>., 2019).</w:t>
      </w:r>
    </w:p>
    <w:p w14:paraId="393083AA"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This shift in </w:t>
      </w:r>
      <w:proofErr w:type="gramStart"/>
      <w:r w:rsidRPr="00A90B91">
        <w:rPr>
          <w:rFonts w:ascii="Arial" w:hAnsi="Arial" w:cs="Arial"/>
          <w:sz w:val="22"/>
          <w:szCs w:val="22"/>
        </w:rPr>
        <w:t>C:N</w:t>
      </w:r>
      <w:proofErr w:type="gramEnd"/>
      <w:r w:rsidRPr="00A90B91">
        <w:rPr>
          <w:rFonts w:ascii="Arial" w:hAnsi="Arial" w:cs="Arial"/>
          <w:sz w:val="22"/>
          <w:szCs w:val="22"/>
        </w:rPr>
        <w:t xml:space="preserve"> balance has direct implications for sericulture. Silkworms (</w:t>
      </w:r>
      <w:r w:rsidRPr="00A90B91">
        <w:rPr>
          <w:rFonts w:ascii="Arial" w:hAnsi="Arial" w:cs="Arial"/>
          <w:i/>
          <w:iCs/>
          <w:sz w:val="22"/>
          <w:szCs w:val="22"/>
        </w:rPr>
        <w:t>Bombyx mori</w:t>
      </w:r>
      <w:r w:rsidRPr="00A90B91">
        <w:rPr>
          <w:rFonts w:ascii="Arial" w:hAnsi="Arial" w:cs="Arial"/>
          <w:sz w:val="22"/>
          <w:szCs w:val="22"/>
        </w:rPr>
        <w:t xml:space="preserve"> L.) depend heavily on mulberry leaf protein as their primary source of nitrogen and essential amino acids required for growth, development, and silk protein synthesis. Fibroin and sericin, the two major silk proteins, are rich in amino acids such as glycine, alanine, serine, and tyrosine, all of which must be derived from dietary nitrogen. A reduction in leaf nitrogen and protein concentration under elevated CO</w:t>
      </w:r>
      <w:r w:rsidRPr="00A90B91">
        <w:rPr>
          <w:rFonts w:ascii="Cambria Math" w:hAnsi="Cambria Math" w:cs="Cambria Math"/>
          <w:sz w:val="22"/>
          <w:szCs w:val="22"/>
        </w:rPr>
        <w:t>₂</w:t>
      </w:r>
      <w:r w:rsidRPr="00A90B91">
        <w:rPr>
          <w:rFonts w:ascii="Arial" w:hAnsi="Arial" w:cs="Arial"/>
          <w:sz w:val="22"/>
          <w:szCs w:val="22"/>
        </w:rPr>
        <w:t xml:space="preserve"> can therefore decrease the efficiency with which ingested leaf biomass is converted into larval biomass and silk, forcing larvae to consume larger quantities of leaves to satisfy their nitrogen requirements (Mattson, 1980; Slansky &amp; Scriber, 1985).</w:t>
      </w:r>
    </w:p>
    <w:p w14:paraId="1537F3A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Such compensatory feeding may partially offset nitrogen deficiency but often results in reduced food conversion efficiency, prolonged larval duration, and potential declines in cocoon weight and shell ratio, particularly when protein dilution is substantial. Thus, although elevated CO</w:t>
      </w:r>
      <w:r w:rsidRPr="00A90B91">
        <w:rPr>
          <w:rFonts w:ascii="Cambria Math" w:hAnsi="Cambria Math" w:cs="Cambria Math"/>
          <w:sz w:val="22"/>
          <w:szCs w:val="22"/>
        </w:rPr>
        <w:t>₂</w:t>
      </w:r>
      <w:r w:rsidRPr="00A90B91">
        <w:rPr>
          <w:rFonts w:ascii="Arial" w:hAnsi="Arial" w:cs="Arial"/>
          <w:sz w:val="22"/>
          <w:szCs w:val="22"/>
        </w:rPr>
        <w:t xml:space="preserve"> increases leaf yield, the nutritional adequacy of the leaves for silkworms may decline unless balanced by improved nitrogen management.</w:t>
      </w:r>
    </w:p>
    <w:p w14:paraId="1E8B919C" w14:textId="77777777" w:rsidR="00A90B91" w:rsidRPr="00A90B91" w:rsidRDefault="00A90B91" w:rsidP="00A90B91">
      <w:pPr>
        <w:spacing w:line="360" w:lineRule="auto"/>
        <w:jc w:val="both"/>
        <w:rPr>
          <w:rFonts w:ascii="Arial" w:hAnsi="Arial" w:cs="Arial"/>
          <w:sz w:val="22"/>
          <w:szCs w:val="22"/>
        </w:rPr>
      </w:pPr>
      <w:r w:rsidRPr="00A90B91">
        <w:rPr>
          <w:rFonts w:ascii="Arial" w:hAnsi="Arial" w:cs="Arial"/>
          <w:b/>
          <w:bCs/>
          <w:sz w:val="22"/>
          <w:szCs w:val="22"/>
        </w:rPr>
        <w:t>4.2 Carbohydrates and sugars</w:t>
      </w:r>
    </w:p>
    <w:p w14:paraId="6B5DC0C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generally leads to enhanced accumulation of non-structural carbohydrates in plant tissues due to increased photosynthetic carbon gain and reduced photorespiratory losses. In mulberry leaves, elevated CO</w:t>
      </w:r>
      <w:r w:rsidRPr="00A90B91">
        <w:rPr>
          <w:rFonts w:ascii="Cambria Math" w:hAnsi="Cambria Math" w:cs="Cambria Math"/>
          <w:sz w:val="22"/>
          <w:szCs w:val="22"/>
        </w:rPr>
        <w:t>₂</w:t>
      </w:r>
      <w:r w:rsidRPr="00A90B91">
        <w:rPr>
          <w:rFonts w:ascii="Arial" w:hAnsi="Arial" w:cs="Arial"/>
          <w:sz w:val="22"/>
          <w:szCs w:val="22"/>
        </w:rPr>
        <w:t xml:space="preserve"> exposure has been shown to increase total soluble sugars, reducing sugars, and starch content, reflecting enhanced carbon assimilation and storage capacity (Chaudhuri &amp; Ghosh, 2014; Leakey </w:t>
      </w:r>
      <w:r w:rsidRPr="00A90B91">
        <w:rPr>
          <w:rFonts w:ascii="Arial" w:hAnsi="Arial" w:cs="Arial"/>
          <w:i/>
          <w:iCs/>
          <w:sz w:val="22"/>
          <w:szCs w:val="22"/>
        </w:rPr>
        <w:t>et al.,</w:t>
      </w:r>
      <w:r w:rsidRPr="00A90B91">
        <w:rPr>
          <w:rFonts w:ascii="Arial" w:hAnsi="Arial" w:cs="Arial"/>
          <w:sz w:val="22"/>
          <w:szCs w:val="22"/>
        </w:rPr>
        <w:t xml:space="preserve"> 2009).</w:t>
      </w:r>
    </w:p>
    <w:p w14:paraId="06B9412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the Raichur OTC study, mulberry plants grown under elevated CO</w:t>
      </w:r>
      <w:r w:rsidRPr="00A90B91">
        <w:rPr>
          <w:rFonts w:ascii="Cambria Math" w:hAnsi="Cambria Math" w:cs="Cambria Math"/>
          <w:sz w:val="22"/>
          <w:szCs w:val="22"/>
        </w:rPr>
        <w:t>₂</w:t>
      </w:r>
      <w:r w:rsidRPr="00A90B91">
        <w:rPr>
          <w:rFonts w:ascii="Arial" w:hAnsi="Arial" w:cs="Arial"/>
          <w:sz w:val="22"/>
          <w:szCs w:val="22"/>
        </w:rPr>
        <w:t xml:space="preserve"> conditions recorded significantly higher total sugars and total carbohydrate content compared with ambient controls. This increase was attributed to both enhanced photosynthetic activity and reduced translocation of assimilates during early growth stages, leading to carbohydrate accumulation in leaves.</w:t>
      </w:r>
    </w:p>
    <w:p w14:paraId="0C04305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From a silkworm nutrition perspective, higher sugar and carbohydrate content can positively support larval energy requirements, as carbohydrates serve as an immediate energy source for metabolism, movement, and basic physiological processes. However, when carbohydrate enrichment is accompanied by a decline in leaf nitrogen and protein, the nutritional balance of the leaf shifts towards an “energy-</w:t>
      </w:r>
      <w:r w:rsidRPr="00A90B91">
        <w:rPr>
          <w:rFonts w:ascii="Arial" w:hAnsi="Arial" w:cs="Arial"/>
          <w:sz w:val="22"/>
          <w:szCs w:val="22"/>
        </w:rPr>
        <w:lastRenderedPageBreak/>
        <w:t xml:space="preserve">rich but nitrogen-poor” diet. Such an imbalance can reduce the efficiency of silk protein synthesis per unit of leaf consumed, as energy alone cannot compensate for insufficient amino acid supply (Bernays &amp; Simpson, 1990; Taub </w:t>
      </w:r>
      <w:r w:rsidRPr="00A90B91">
        <w:rPr>
          <w:rFonts w:ascii="Arial" w:hAnsi="Arial" w:cs="Arial"/>
          <w:i/>
          <w:iCs/>
          <w:sz w:val="22"/>
          <w:szCs w:val="22"/>
        </w:rPr>
        <w:t>et al</w:t>
      </w:r>
      <w:r w:rsidRPr="00A90B91">
        <w:rPr>
          <w:rFonts w:ascii="Arial" w:hAnsi="Arial" w:cs="Arial"/>
          <w:sz w:val="22"/>
          <w:szCs w:val="22"/>
        </w:rPr>
        <w:t>., 2008).</w:t>
      </w:r>
    </w:p>
    <w:p w14:paraId="17BF003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while elevated CO</w:t>
      </w:r>
      <w:r w:rsidRPr="00A90B91">
        <w:rPr>
          <w:rFonts w:ascii="Cambria Math" w:hAnsi="Cambria Math" w:cs="Cambria Math"/>
          <w:sz w:val="22"/>
          <w:szCs w:val="22"/>
        </w:rPr>
        <w:t>₂</w:t>
      </w:r>
      <w:r w:rsidRPr="00A90B91">
        <w:rPr>
          <w:rFonts w:ascii="Arial" w:hAnsi="Arial" w:cs="Arial"/>
          <w:sz w:val="22"/>
          <w:szCs w:val="22"/>
        </w:rPr>
        <w:t>-induced increases in leaf carbohydrates may support larval survival and feeding activity, they do not necessarily translate into proportional gains in silk yield or quality unless nitrogen availability is simultaneously optimized.</w:t>
      </w:r>
    </w:p>
    <w:p w14:paraId="15777DC5"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4.3 Chlorophyll, flavonoids, phenolics, and tannins (secondary metabolism)</w:t>
      </w:r>
    </w:p>
    <w:p w14:paraId="2420AED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not only affects primary metabolites but also alters secondary metabolic pathways, particularly those involved in the synthesis of carbon-based defensive compounds. According to the carbon–nutrient balance and growth–differentiation balance hypotheses, increased carbon availability under elevated CO</w:t>
      </w:r>
      <w:r w:rsidRPr="00A90B91">
        <w:rPr>
          <w:rFonts w:ascii="Cambria Math" w:hAnsi="Cambria Math" w:cs="Cambria Math"/>
          <w:sz w:val="22"/>
          <w:szCs w:val="22"/>
        </w:rPr>
        <w:t>₂</w:t>
      </w:r>
      <w:r w:rsidRPr="00A90B91">
        <w:rPr>
          <w:rFonts w:ascii="Arial" w:hAnsi="Arial" w:cs="Arial"/>
          <w:sz w:val="22"/>
          <w:szCs w:val="22"/>
        </w:rPr>
        <w:t xml:space="preserve"> can favor the production of secondary metabolites such as phenolics, tannins, and certain flavonoids, especially when nitrogen availability is relatively low (Bryant </w:t>
      </w:r>
      <w:r w:rsidRPr="00A90B91">
        <w:rPr>
          <w:rFonts w:ascii="Arial" w:hAnsi="Arial" w:cs="Arial"/>
          <w:i/>
          <w:iCs/>
          <w:sz w:val="22"/>
          <w:szCs w:val="22"/>
        </w:rPr>
        <w:t>et al</w:t>
      </w:r>
      <w:r w:rsidRPr="00A90B91">
        <w:rPr>
          <w:rFonts w:ascii="Arial" w:hAnsi="Arial" w:cs="Arial"/>
          <w:sz w:val="22"/>
          <w:szCs w:val="22"/>
        </w:rPr>
        <w:t>., 1983; Herms &amp; Mattson, 1992).</w:t>
      </w:r>
    </w:p>
    <w:p w14:paraId="14E0DB8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exposure to elevated CO</w:t>
      </w:r>
      <w:r w:rsidRPr="00A90B91">
        <w:rPr>
          <w:rFonts w:ascii="Cambria Math" w:hAnsi="Cambria Math" w:cs="Cambria Math"/>
          <w:sz w:val="22"/>
          <w:szCs w:val="22"/>
        </w:rPr>
        <w:t>₂</w:t>
      </w:r>
      <w:r w:rsidRPr="00A90B91">
        <w:rPr>
          <w:rFonts w:ascii="Arial" w:hAnsi="Arial" w:cs="Arial"/>
          <w:sz w:val="22"/>
          <w:szCs w:val="22"/>
        </w:rPr>
        <w:t xml:space="preserve"> and combined elevated CO</w:t>
      </w:r>
      <w:r w:rsidRPr="00A90B91">
        <w:rPr>
          <w:rFonts w:ascii="Cambria Math" w:hAnsi="Cambria Math" w:cs="Cambria Math"/>
          <w:sz w:val="22"/>
          <w:szCs w:val="22"/>
        </w:rPr>
        <w:t>₂</w:t>
      </w:r>
      <w:r w:rsidRPr="00A90B91">
        <w:rPr>
          <w:rFonts w:ascii="Arial" w:hAnsi="Arial" w:cs="Arial"/>
          <w:sz w:val="22"/>
          <w:szCs w:val="22"/>
        </w:rPr>
        <w:t xml:space="preserve"> + warming treatments has been reported to increase total phenolic and tannin contents in leaves. The Raichur OTC study observed higher concentrations of phenols and tannins in mulberry leaves under elevated CO</w:t>
      </w:r>
      <w:r w:rsidRPr="00A90B91">
        <w:rPr>
          <w:rFonts w:ascii="Cambria Math" w:hAnsi="Cambria Math" w:cs="Cambria Math"/>
          <w:sz w:val="22"/>
          <w:szCs w:val="22"/>
        </w:rPr>
        <w:t>₂</w:t>
      </w:r>
      <w:r w:rsidRPr="00A90B91">
        <w:rPr>
          <w:rFonts w:ascii="Arial" w:hAnsi="Arial" w:cs="Arial"/>
          <w:sz w:val="22"/>
          <w:szCs w:val="22"/>
        </w:rPr>
        <w:t xml:space="preserve"> compared with ambient conditions, indicating a shift towards greater allocation of carbon to defensive compounds.</w:t>
      </w:r>
    </w:p>
    <w:p w14:paraId="1153A1D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However, responses of specific compounds such as flavonoids and chlorophyll are not always uniform. In the same study, flavonoid content was reported to be higher in the reference (ambient) plot than in elevated CO</w:t>
      </w:r>
      <w:r w:rsidRPr="00A90B91">
        <w:rPr>
          <w:rFonts w:ascii="Cambria Math" w:hAnsi="Cambria Math" w:cs="Cambria Math"/>
          <w:sz w:val="22"/>
          <w:szCs w:val="22"/>
        </w:rPr>
        <w:t>₂</w:t>
      </w:r>
      <w:r w:rsidRPr="00A90B91">
        <w:rPr>
          <w:rFonts w:ascii="Arial" w:hAnsi="Arial" w:cs="Arial"/>
          <w:sz w:val="22"/>
          <w:szCs w:val="22"/>
        </w:rPr>
        <w:t xml:space="preserve"> treatments, suggesting that individual secondary metabolites may respond differently depending on environmental context, CO</w:t>
      </w:r>
      <w:r w:rsidRPr="00A90B91">
        <w:rPr>
          <w:rFonts w:ascii="Cambria Math" w:hAnsi="Cambria Math" w:cs="Cambria Math"/>
          <w:sz w:val="22"/>
          <w:szCs w:val="22"/>
        </w:rPr>
        <w:t>₂</w:t>
      </w:r>
      <w:r w:rsidRPr="00A90B91">
        <w:rPr>
          <w:rFonts w:ascii="Arial" w:hAnsi="Arial" w:cs="Arial"/>
          <w:sz w:val="22"/>
          <w:szCs w:val="22"/>
        </w:rPr>
        <w:t xml:space="preserve"> exposure pattern, and developmental stage of the leaf.</w:t>
      </w:r>
    </w:p>
    <w:p w14:paraId="5073907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These biochemical changes are particularly relevant for </w:t>
      </w:r>
      <w:r w:rsidRPr="00A90B91">
        <w:rPr>
          <w:rFonts w:ascii="Arial" w:hAnsi="Arial" w:cs="Arial"/>
          <w:i/>
          <w:iCs/>
          <w:sz w:val="22"/>
          <w:szCs w:val="22"/>
        </w:rPr>
        <w:t>Bombyx mori</w:t>
      </w:r>
      <w:r w:rsidRPr="00A90B91">
        <w:rPr>
          <w:rFonts w:ascii="Arial" w:hAnsi="Arial" w:cs="Arial"/>
          <w:sz w:val="22"/>
          <w:szCs w:val="22"/>
        </w:rPr>
        <w:t xml:space="preserve">. Phenolics and tannins can reduce leaf digestibility by binding dietary proteins and inhibiting digestive enzymes in the insect gut. They may also influence feeding behavior, assimilation efficiency, and gut oxidative balance. While modest increases in phenolics may not cause severe adverse effects, substantial shifts in secondary </w:t>
      </w:r>
      <w:r w:rsidRPr="00A90B91">
        <w:rPr>
          <w:rFonts w:ascii="Arial" w:hAnsi="Arial" w:cs="Arial"/>
          <w:sz w:val="22"/>
          <w:szCs w:val="22"/>
        </w:rPr>
        <w:lastRenderedPageBreak/>
        <w:t>metabolite profiles can alter larval performance, cocoon characteristics, and susceptibility to stress (</w:t>
      </w:r>
      <w:proofErr w:type="spellStart"/>
      <w:r w:rsidRPr="00A90B91">
        <w:rPr>
          <w:rFonts w:ascii="Arial" w:hAnsi="Arial" w:cs="Arial"/>
          <w:sz w:val="22"/>
          <w:szCs w:val="22"/>
        </w:rPr>
        <w:t>Barbehenn</w:t>
      </w:r>
      <w:proofErr w:type="spellEnd"/>
      <w:r w:rsidRPr="00A90B91">
        <w:rPr>
          <w:rFonts w:ascii="Arial" w:hAnsi="Arial" w:cs="Arial"/>
          <w:sz w:val="22"/>
          <w:szCs w:val="22"/>
        </w:rPr>
        <w:t xml:space="preserve"> &amp; </w:t>
      </w:r>
      <w:proofErr w:type="spellStart"/>
      <w:r w:rsidRPr="00A90B91">
        <w:rPr>
          <w:rFonts w:ascii="Arial" w:hAnsi="Arial" w:cs="Arial"/>
          <w:sz w:val="22"/>
          <w:szCs w:val="22"/>
        </w:rPr>
        <w:t>Constabel</w:t>
      </w:r>
      <w:proofErr w:type="spellEnd"/>
      <w:r w:rsidRPr="00A90B91">
        <w:rPr>
          <w:rFonts w:ascii="Arial" w:hAnsi="Arial" w:cs="Arial"/>
          <w:sz w:val="22"/>
          <w:szCs w:val="22"/>
        </w:rPr>
        <w:t>, 2011).</w:t>
      </w:r>
    </w:p>
    <w:p w14:paraId="7C7AE2C6"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4.4 Mineral nutrition under elevated CO</w:t>
      </w:r>
      <w:r w:rsidRPr="00A90B91">
        <w:rPr>
          <w:rFonts w:ascii="Cambria Math" w:hAnsi="Cambria Math" w:cs="Cambria Math"/>
          <w:b/>
          <w:bCs/>
          <w:sz w:val="22"/>
          <w:szCs w:val="22"/>
        </w:rPr>
        <w:t>₂</w:t>
      </w:r>
    </w:p>
    <w:p w14:paraId="115ABE3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can also influence the mineral nutrient composition of mulberry leaves by altering root growth, nutrient uptake kinetics, transpiration-driven mass flow, and internal nutrient allocation. Numerous studies have reported changes in macro- and micro-nutrient concentrations under elevated CO</w:t>
      </w:r>
      <w:r w:rsidRPr="00A90B91">
        <w:rPr>
          <w:rFonts w:ascii="Cambria Math" w:hAnsi="Cambria Math" w:cs="Cambria Math"/>
          <w:sz w:val="22"/>
          <w:szCs w:val="22"/>
        </w:rPr>
        <w:t>₂</w:t>
      </w:r>
      <w:r w:rsidRPr="00A90B91">
        <w:rPr>
          <w:rFonts w:ascii="Arial" w:hAnsi="Arial" w:cs="Arial"/>
          <w:sz w:val="22"/>
          <w:szCs w:val="22"/>
        </w:rPr>
        <w:t>, often characterized by reduced concentrations of nitrogen and, in some cases, phosphorus and micronutrients, largely due to dilution effects associated with increased biomass production (Loladze, 2014).</w:t>
      </w:r>
    </w:p>
    <w:p w14:paraId="613F25C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A study reported in </w:t>
      </w:r>
      <w:r w:rsidRPr="00A90B91">
        <w:rPr>
          <w:rFonts w:ascii="Arial" w:hAnsi="Arial" w:cs="Arial"/>
          <w:i/>
          <w:iCs/>
          <w:sz w:val="22"/>
          <w:szCs w:val="22"/>
        </w:rPr>
        <w:t>Frontiers in Plant Science</w:t>
      </w:r>
      <w:r w:rsidRPr="00A90B91">
        <w:rPr>
          <w:rFonts w:ascii="Arial" w:hAnsi="Arial" w:cs="Arial"/>
          <w:sz w:val="22"/>
          <w:szCs w:val="22"/>
        </w:rPr>
        <w:t xml:space="preserve"> demonstrated that different elevated CO</w:t>
      </w:r>
      <w:r w:rsidRPr="00A90B91">
        <w:rPr>
          <w:rFonts w:ascii="Cambria Math" w:hAnsi="Cambria Math" w:cs="Cambria Math"/>
          <w:sz w:val="22"/>
          <w:szCs w:val="22"/>
        </w:rPr>
        <w:t>₂</w:t>
      </w:r>
      <w:r w:rsidRPr="00A90B91">
        <w:rPr>
          <w:rFonts w:ascii="Arial" w:hAnsi="Arial" w:cs="Arial"/>
          <w:sz w:val="22"/>
          <w:szCs w:val="22"/>
        </w:rPr>
        <w:t xml:space="preserve"> exposure regimes (daytime versus nighttime enrichment) significantly influenced mineral nutrient composition in mulberry leaves. Certain elements showed increased accumulation under specific CO</w:t>
      </w:r>
      <w:r w:rsidRPr="00A90B91">
        <w:rPr>
          <w:rFonts w:ascii="Cambria Math" w:hAnsi="Cambria Math" w:cs="Cambria Math"/>
          <w:sz w:val="22"/>
          <w:szCs w:val="22"/>
        </w:rPr>
        <w:t>₂</w:t>
      </w:r>
      <w:r w:rsidRPr="00A90B91">
        <w:rPr>
          <w:rFonts w:ascii="Arial" w:hAnsi="Arial" w:cs="Arial"/>
          <w:sz w:val="22"/>
          <w:szCs w:val="22"/>
        </w:rPr>
        <w:t xml:space="preserve"> treatments, suggesting that CO</w:t>
      </w:r>
      <w:r w:rsidRPr="00A90B91">
        <w:rPr>
          <w:rFonts w:ascii="Cambria Math" w:hAnsi="Cambria Math" w:cs="Cambria Math"/>
          <w:sz w:val="22"/>
          <w:szCs w:val="22"/>
        </w:rPr>
        <w:t>₂</w:t>
      </w:r>
      <w:r w:rsidRPr="00A90B91">
        <w:rPr>
          <w:rFonts w:ascii="Arial" w:hAnsi="Arial" w:cs="Arial"/>
          <w:sz w:val="22"/>
          <w:szCs w:val="22"/>
        </w:rPr>
        <w:t xml:space="preserve"> exposure timing and plant physiological rhythms play an important role in determining nutrient profiles (Zhang </w:t>
      </w:r>
      <w:r w:rsidRPr="00A90B91">
        <w:rPr>
          <w:rFonts w:ascii="Arial" w:hAnsi="Arial" w:cs="Arial"/>
          <w:i/>
          <w:iCs/>
          <w:sz w:val="22"/>
          <w:szCs w:val="22"/>
        </w:rPr>
        <w:t>et al</w:t>
      </w:r>
      <w:r w:rsidRPr="00A90B91">
        <w:rPr>
          <w:rFonts w:ascii="Arial" w:hAnsi="Arial" w:cs="Arial"/>
          <w:sz w:val="22"/>
          <w:szCs w:val="22"/>
        </w:rPr>
        <w:t>., 2020).</w:t>
      </w:r>
    </w:p>
    <w:p w14:paraId="4E9A3F0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For sericulture, changes in mineral nutrition are important because elements such as potassium, calcium, magnesium, iron, zinc, and copper are essential for silkworm enzyme function, metabolism, and cocoon formation. Alterations in leaf mineral balance under elevated CO</w:t>
      </w:r>
      <w:r w:rsidRPr="00A90B91">
        <w:rPr>
          <w:rFonts w:ascii="Cambria Math" w:hAnsi="Cambria Math" w:cs="Cambria Math"/>
          <w:sz w:val="22"/>
          <w:szCs w:val="22"/>
        </w:rPr>
        <w:t>₂</w:t>
      </w:r>
      <w:r w:rsidRPr="00A90B91">
        <w:rPr>
          <w:rFonts w:ascii="Arial" w:hAnsi="Arial" w:cs="Arial"/>
          <w:sz w:val="22"/>
          <w:szCs w:val="22"/>
        </w:rPr>
        <w:t xml:space="preserve"> may therefore indirectly influence silkworm health and silk productivity, reinforcing the need for integrated nutrient management strategies under future climate scenarios.</w:t>
      </w:r>
    </w:p>
    <w:p w14:paraId="0E70DEA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 Mulberry responses to elevated temperature (warming)</w:t>
      </w:r>
    </w:p>
    <w:p w14:paraId="1B1AE18C"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5.1 Temperature stress and photosynthetic metabolism</w:t>
      </w:r>
    </w:p>
    <w:p w14:paraId="714B7DC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Temperature is a major regulator of plant metabolic activity, and rising temperatures associated with climate change exert complex effects on mulberry physiology. Moderate increases in temperature can initially accelerate leaf emergence, shoot elongation, and enzymatic activity, leading to faster canopy development. However, when temperatures exceed the optimum range for mulberry (generally ~28–32 °C), heat stress effects begin to dominate, adversely affecting photosynthetic metabolism and growth (Hatfield &amp; </w:t>
      </w:r>
      <w:proofErr w:type="spellStart"/>
      <w:r w:rsidRPr="00A90B91">
        <w:rPr>
          <w:rFonts w:ascii="Arial" w:hAnsi="Arial" w:cs="Arial"/>
          <w:sz w:val="22"/>
          <w:szCs w:val="22"/>
        </w:rPr>
        <w:t>Prueger</w:t>
      </w:r>
      <w:proofErr w:type="spellEnd"/>
      <w:r w:rsidRPr="00A90B91">
        <w:rPr>
          <w:rFonts w:ascii="Arial" w:hAnsi="Arial" w:cs="Arial"/>
          <w:sz w:val="22"/>
          <w:szCs w:val="22"/>
        </w:rPr>
        <w:t>, 2015).</w:t>
      </w:r>
    </w:p>
    <w:p w14:paraId="7824B41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 xml:space="preserve">High temperature stress increases dark respiration rates, resulting in greater carbon loss and reduced net carbon gain. At the same time, elevated temperatures can destabilize the photosynthetic apparatus, particularly photosystem II (PSII), leading to reduced photochemical efficiency, impaired electron transport, and decreased Rubisco activity. Thermal damage to thylakoid membranes and increased photorespiration further </w:t>
      </w:r>
      <w:proofErr w:type="gramStart"/>
      <w:r w:rsidRPr="00A90B91">
        <w:rPr>
          <w:rFonts w:ascii="Arial" w:hAnsi="Arial" w:cs="Arial"/>
          <w:sz w:val="22"/>
          <w:szCs w:val="22"/>
        </w:rPr>
        <w:t>constrain</w:t>
      </w:r>
      <w:proofErr w:type="gramEnd"/>
      <w:r w:rsidRPr="00A90B91">
        <w:rPr>
          <w:rFonts w:ascii="Arial" w:hAnsi="Arial" w:cs="Arial"/>
          <w:sz w:val="22"/>
          <w:szCs w:val="22"/>
        </w:rPr>
        <w:t xml:space="preserve"> photosynthetic performance under heat stress (</w:t>
      </w:r>
      <w:proofErr w:type="spellStart"/>
      <w:r w:rsidRPr="00A90B91">
        <w:rPr>
          <w:rFonts w:ascii="Arial" w:hAnsi="Arial" w:cs="Arial"/>
          <w:sz w:val="22"/>
          <w:szCs w:val="22"/>
        </w:rPr>
        <w:t>Allakhverdiev</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2008).</w:t>
      </w:r>
    </w:p>
    <w:p w14:paraId="331E128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controlled environment and OTC-type experiments have shown that elevated temperature alters key physiological parameters such as net photosynthetic rate, stomatal conductance, chlorophyll fluorescence (</w:t>
      </w:r>
      <w:proofErr w:type="spellStart"/>
      <w:r w:rsidRPr="00A90B91">
        <w:rPr>
          <w:rFonts w:ascii="Arial" w:hAnsi="Arial" w:cs="Arial"/>
          <w:sz w:val="22"/>
          <w:szCs w:val="22"/>
        </w:rPr>
        <w:t>Fv</w:t>
      </w:r>
      <w:proofErr w:type="spellEnd"/>
      <w:r w:rsidRPr="00A90B91">
        <w:rPr>
          <w:rFonts w:ascii="Arial" w:hAnsi="Arial" w:cs="Arial"/>
          <w:sz w:val="22"/>
          <w:szCs w:val="22"/>
        </w:rPr>
        <w:t>/</w:t>
      </w:r>
      <w:proofErr w:type="spellStart"/>
      <w:r w:rsidRPr="00A90B91">
        <w:rPr>
          <w:rFonts w:ascii="Arial" w:hAnsi="Arial" w:cs="Arial"/>
          <w:sz w:val="22"/>
          <w:szCs w:val="22"/>
        </w:rPr>
        <w:t>Fm</w:t>
      </w:r>
      <w:proofErr w:type="spellEnd"/>
      <w:r w:rsidRPr="00A90B91">
        <w:rPr>
          <w:rFonts w:ascii="Arial" w:hAnsi="Arial" w:cs="Arial"/>
          <w:sz w:val="22"/>
          <w:szCs w:val="22"/>
        </w:rPr>
        <w:t xml:space="preserve">), membrane stability index, and antioxidant enzyme activity. These parameters are increasingly used to classify mulberry genotypes as heat-tolerant or heat-susceptible. Recent genotype screening studies under simulated warming conditions have demonstrated substantial variability among mulberry varieties, with tolerant genotypes maintaining higher photosynthetic efficiency, better membrane integrity, and lower oxidative damage under heat stress (Sarkar </w:t>
      </w:r>
      <w:r w:rsidRPr="00A90B91">
        <w:rPr>
          <w:rFonts w:ascii="Arial" w:hAnsi="Arial" w:cs="Arial"/>
          <w:i/>
          <w:iCs/>
          <w:sz w:val="22"/>
          <w:szCs w:val="22"/>
        </w:rPr>
        <w:t>et al</w:t>
      </w:r>
      <w:r w:rsidRPr="00A90B91">
        <w:rPr>
          <w:rFonts w:ascii="Arial" w:hAnsi="Arial" w:cs="Arial"/>
          <w:sz w:val="22"/>
          <w:szCs w:val="22"/>
        </w:rPr>
        <w:t xml:space="preserve">., 2017; Ramesh </w:t>
      </w:r>
      <w:r w:rsidRPr="00A90B91">
        <w:rPr>
          <w:rFonts w:ascii="Arial" w:hAnsi="Arial" w:cs="Arial"/>
          <w:i/>
          <w:iCs/>
          <w:sz w:val="22"/>
          <w:szCs w:val="22"/>
        </w:rPr>
        <w:t>et al</w:t>
      </w:r>
      <w:r w:rsidRPr="00A90B91">
        <w:rPr>
          <w:rFonts w:ascii="Arial" w:hAnsi="Arial" w:cs="Arial"/>
          <w:sz w:val="22"/>
          <w:szCs w:val="22"/>
        </w:rPr>
        <w:t>., 2020).</w:t>
      </w:r>
    </w:p>
    <w:p w14:paraId="23B8963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Elevated temperature also shifts carbon allocation patterns within the plant. Under warming, a greater proportion of assimilated carbon may be diverted towards maintenance respiration, stress protection mechanisms, and structural components rather than leaf expansion and storage compounds. This reallocation can reduce leaf biomass accumulation and modify metabolite profiles, even when total photosynthesis is not immediately suppressed (Wahid </w:t>
      </w:r>
      <w:r w:rsidRPr="00A90B91">
        <w:rPr>
          <w:rFonts w:ascii="Arial" w:hAnsi="Arial" w:cs="Arial"/>
          <w:i/>
          <w:iCs/>
          <w:sz w:val="22"/>
          <w:szCs w:val="22"/>
        </w:rPr>
        <w:t>et al.,</w:t>
      </w:r>
      <w:r w:rsidRPr="00A90B91">
        <w:rPr>
          <w:rFonts w:ascii="Arial" w:hAnsi="Arial" w:cs="Arial"/>
          <w:sz w:val="22"/>
          <w:szCs w:val="22"/>
        </w:rPr>
        <w:t xml:space="preserve"> 2007).</w:t>
      </w:r>
    </w:p>
    <w:p w14:paraId="7B685E8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5.2 Leaf quality under warming</w:t>
      </w:r>
    </w:p>
    <w:p w14:paraId="6E00307F"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Beyond effects on growth and photosynthesis, elevated temperature has important implications for mulberry leaf “functional quality,” which determines its suitability as silkworm feed. One commonly reported response to warming is an increase in leaf structural components such as </w:t>
      </w:r>
      <w:proofErr w:type="spellStart"/>
      <w:r w:rsidRPr="00A90B91">
        <w:rPr>
          <w:rFonts w:ascii="Arial" w:hAnsi="Arial" w:cs="Arial"/>
          <w:sz w:val="22"/>
          <w:szCs w:val="22"/>
        </w:rPr>
        <w:t>fibre</w:t>
      </w:r>
      <w:proofErr w:type="spellEnd"/>
      <w:r w:rsidRPr="00A90B91">
        <w:rPr>
          <w:rFonts w:ascii="Arial" w:hAnsi="Arial" w:cs="Arial"/>
          <w:sz w:val="22"/>
          <w:szCs w:val="22"/>
        </w:rPr>
        <w:t>, lignin, and cuticular thickness. These changes enhance leaf toughness and mechanical resistance, which may reduce palatability and digestibility for silkworm larvae (Zvereva &amp; Kozlov, 2006).</w:t>
      </w:r>
    </w:p>
    <w:p w14:paraId="185159E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High temperature stress is also closely associated with increased production of reactive oxygen species (ROS), leading to oxidative stress in plant tissues. In </w:t>
      </w:r>
      <w:r w:rsidRPr="00A90B91">
        <w:rPr>
          <w:rFonts w:ascii="Arial" w:hAnsi="Arial" w:cs="Arial"/>
          <w:sz w:val="22"/>
          <w:szCs w:val="22"/>
        </w:rPr>
        <w:lastRenderedPageBreak/>
        <w:t>mulberry leaves, elevated temperatures have been shown to increase oxidative stress markers such as malondialdehyde (MDA) and hydrogen peroxide (H</w:t>
      </w:r>
      <w:r w:rsidRPr="00A90B91">
        <w:rPr>
          <w:rFonts w:ascii="Cambria Math" w:hAnsi="Cambria Math" w:cs="Cambria Math"/>
          <w:sz w:val="22"/>
          <w:szCs w:val="22"/>
        </w:rPr>
        <w:t>₂</w:t>
      </w:r>
      <w:r w:rsidRPr="00A90B91">
        <w:rPr>
          <w:rFonts w:ascii="Arial" w:hAnsi="Arial" w:cs="Arial"/>
          <w:sz w:val="22"/>
          <w:szCs w:val="22"/>
        </w:rPr>
        <w:t>O</w:t>
      </w:r>
      <w:r w:rsidRPr="00A90B91">
        <w:rPr>
          <w:rFonts w:ascii="Cambria Math" w:hAnsi="Cambria Math" w:cs="Cambria Math"/>
          <w:sz w:val="22"/>
          <w:szCs w:val="22"/>
        </w:rPr>
        <w:t>₂</w:t>
      </w:r>
      <w:r w:rsidRPr="00A90B91">
        <w:rPr>
          <w:rFonts w:ascii="Arial" w:hAnsi="Arial" w:cs="Arial"/>
          <w:sz w:val="22"/>
          <w:szCs w:val="22"/>
        </w:rPr>
        <w:t>), while inducing antioxidant defense systems including superoxide dismutase, catalase, and peroxidase. Persistent oxidative stress can impair cellular metabolism, accelerate leaf senescence, and reduce overall leaf quality (</w:t>
      </w:r>
      <w:proofErr w:type="spellStart"/>
      <w:r w:rsidRPr="00A90B91">
        <w:rPr>
          <w:rFonts w:ascii="Arial" w:hAnsi="Arial" w:cs="Arial"/>
          <w:sz w:val="22"/>
          <w:szCs w:val="22"/>
        </w:rPr>
        <w:t>Hasanuzzaman</w:t>
      </w:r>
      <w:proofErr w:type="spellEnd"/>
      <w:r w:rsidRPr="00A90B91">
        <w:rPr>
          <w:rFonts w:ascii="Arial" w:hAnsi="Arial" w:cs="Arial"/>
          <w:sz w:val="22"/>
          <w:szCs w:val="22"/>
        </w:rPr>
        <w:t xml:space="preserve"> </w:t>
      </w:r>
      <w:r w:rsidRPr="00A90B91">
        <w:rPr>
          <w:rFonts w:ascii="Arial" w:hAnsi="Arial" w:cs="Arial"/>
          <w:i/>
          <w:iCs/>
          <w:sz w:val="22"/>
          <w:szCs w:val="22"/>
        </w:rPr>
        <w:t>et al</w:t>
      </w:r>
      <w:r w:rsidRPr="00A90B91">
        <w:rPr>
          <w:rFonts w:ascii="Arial" w:hAnsi="Arial" w:cs="Arial"/>
          <w:sz w:val="22"/>
          <w:szCs w:val="22"/>
        </w:rPr>
        <w:t>., 2013).</w:t>
      </w:r>
    </w:p>
    <w:p w14:paraId="03F367D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Protein metabolism is particularly sensitive to heat stress. Elevated temperatures can reduce protein stability by enhancing denaturation and proteolysis, while also altering amino acid synthesis and allocation. Under combined heat and drought stress, which frequently co-occur under climate change scenarios, reductions in total soluble protein and shifts in amino acid pools have been reported in mulberry and other perennial leaf crops. Such changes directly affect the nutritional value of leaves for silkworms, as amino acids form the biochemical foundation for silk protein synthesis (Rao </w:t>
      </w:r>
      <w:r w:rsidRPr="00A90B91">
        <w:rPr>
          <w:rFonts w:ascii="Arial" w:hAnsi="Arial" w:cs="Arial"/>
          <w:i/>
          <w:iCs/>
          <w:sz w:val="22"/>
          <w:szCs w:val="22"/>
        </w:rPr>
        <w:t>et al</w:t>
      </w:r>
      <w:r w:rsidRPr="00A90B91">
        <w:rPr>
          <w:rFonts w:ascii="Arial" w:hAnsi="Arial" w:cs="Arial"/>
          <w:sz w:val="22"/>
          <w:szCs w:val="22"/>
        </w:rPr>
        <w:t xml:space="preserve">., 2016; Sharma </w:t>
      </w:r>
      <w:r w:rsidRPr="00A90B91">
        <w:rPr>
          <w:rFonts w:ascii="Arial" w:hAnsi="Arial" w:cs="Arial"/>
          <w:i/>
          <w:iCs/>
          <w:sz w:val="22"/>
          <w:szCs w:val="22"/>
        </w:rPr>
        <w:t>et al.</w:t>
      </w:r>
      <w:r w:rsidRPr="00A90B91">
        <w:rPr>
          <w:rFonts w:ascii="Arial" w:hAnsi="Arial" w:cs="Arial"/>
          <w:sz w:val="22"/>
          <w:szCs w:val="22"/>
        </w:rPr>
        <w:t>, 2019).</w:t>
      </w:r>
    </w:p>
    <w:p w14:paraId="2BE4347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Sericulture-focused climate change reviews consistently highlight that warming trends are associated with declines in mulberry leaf nutritional quality, increased physiological stress, and greater variability in leaf production. These effects are often exacerbated under rainfed or low-input conditions, where plants have limited capacity to buffer heat stress through adequate water and nutrient supply (Choudhury &amp; Roy, 2014).</w:t>
      </w:r>
    </w:p>
    <w:p w14:paraId="6CBCC4D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Although responses to warming vary depending on cultivar, agro-management, and local microclimate, the overall evidence suggests that rising temperatures pose a significant challenge to sustaining high-quality mulberry leaf production. Identifying heat-tolerant genotypes, optimizing irrigation and nutrient management, and integrating shade or microclimate modification strategies are therefore considered essential adaptation measures for climate-resilient sericulture.</w:t>
      </w:r>
    </w:p>
    <w:p w14:paraId="20D94F1E"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 Interactive effects: Elevated CO</w:t>
      </w:r>
      <w:r w:rsidRPr="00A90B91">
        <w:rPr>
          <w:rFonts w:ascii="Cambria Math" w:hAnsi="Cambria Math" w:cs="Cambria Math"/>
          <w:b/>
          <w:bCs/>
          <w:sz w:val="22"/>
          <w:szCs w:val="22"/>
        </w:rPr>
        <w:t>₂</w:t>
      </w:r>
      <w:r w:rsidRPr="00A90B91">
        <w:rPr>
          <w:rFonts w:ascii="Arial" w:hAnsi="Arial" w:cs="Arial"/>
          <w:b/>
          <w:bCs/>
          <w:sz w:val="22"/>
          <w:szCs w:val="22"/>
        </w:rPr>
        <w:t xml:space="preserve"> × Elevated temperature</w:t>
      </w:r>
    </w:p>
    <w:p w14:paraId="4BBCFD0D"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6.1 Why CO</w:t>
      </w:r>
      <w:r w:rsidRPr="00A90B91">
        <w:rPr>
          <w:rFonts w:ascii="Cambria Math" w:hAnsi="Cambria Math" w:cs="Cambria Math"/>
          <w:b/>
          <w:bCs/>
          <w:sz w:val="22"/>
          <w:szCs w:val="22"/>
        </w:rPr>
        <w:t>₂</w:t>
      </w:r>
      <w:r w:rsidRPr="00A90B91">
        <w:rPr>
          <w:rFonts w:ascii="Arial" w:hAnsi="Arial" w:cs="Arial"/>
          <w:b/>
          <w:bCs/>
          <w:sz w:val="22"/>
          <w:szCs w:val="22"/>
        </w:rPr>
        <w:t xml:space="preserve"> × temperature interactions are not simply additive</w:t>
      </w:r>
    </w:p>
    <w:p w14:paraId="2C44BCA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Plant responses to elevated atmospheric CO</w:t>
      </w:r>
      <w:r w:rsidRPr="00A90B91">
        <w:rPr>
          <w:rFonts w:ascii="Cambria Math" w:hAnsi="Cambria Math" w:cs="Cambria Math"/>
          <w:sz w:val="22"/>
          <w:szCs w:val="22"/>
        </w:rPr>
        <w:t>₂</w:t>
      </w:r>
      <w:r w:rsidRPr="00A90B91">
        <w:rPr>
          <w:rFonts w:ascii="Arial" w:hAnsi="Arial" w:cs="Arial"/>
          <w:sz w:val="22"/>
          <w:szCs w:val="22"/>
        </w:rPr>
        <w:t xml:space="preserve"> and elevated temperature do not operate independently; instead, they interact in complex, non-linear ways. Elevated CO</w:t>
      </w:r>
      <w:r w:rsidRPr="00A90B91">
        <w:rPr>
          <w:rFonts w:ascii="Cambria Math" w:hAnsi="Cambria Math" w:cs="Cambria Math"/>
          <w:sz w:val="22"/>
          <w:szCs w:val="22"/>
        </w:rPr>
        <w:t>₂</w:t>
      </w:r>
      <w:r w:rsidRPr="00A90B91">
        <w:rPr>
          <w:rFonts w:ascii="Arial" w:hAnsi="Arial" w:cs="Arial"/>
          <w:sz w:val="22"/>
          <w:szCs w:val="22"/>
        </w:rPr>
        <w:t xml:space="preserve"> primarily acts as a </w:t>
      </w:r>
      <w:r w:rsidRPr="00A90B91">
        <w:rPr>
          <w:rFonts w:ascii="Arial" w:hAnsi="Arial" w:cs="Arial"/>
          <w:i/>
          <w:iCs/>
          <w:sz w:val="22"/>
          <w:szCs w:val="22"/>
        </w:rPr>
        <w:t>substrate driver</w:t>
      </w:r>
      <w:r w:rsidRPr="00A90B91">
        <w:rPr>
          <w:rFonts w:ascii="Arial" w:hAnsi="Arial" w:cs="Arial"/>
          <w:sz w:val="22"/>
          <w:szCs w:val="22"/>
        </w:rPr>
        <w:t>, enhancing carbon assimilation and reducing photorespiration in C</w:t>
      </w:r>
      <w:r w:rsidRPr="00A90B91">
        <w:rPr>
          <w:rFonts w:ascii="Cambria Math" w:hAnsi="Cambria Math" w:cs="Cambria Math"/>
          <w:sz w:val="22"/>
          <w:szCs w:val="22"/>
        </w:rPr>
        <w:t>₃</w:t>
      </w:r>
      <w:r w:rsidRPr="00A90B91">
        <w:rPr>
          <w:rFonts w:ascii="Arial" w:hAnsi="Arial" w:cs="Arial"/>
          <w:sz w:val="22"/>
          <w:szCs w:val="22"/>
        </w:rPr>
        <w:t xml:space="preserve"> plants, whereas elevated temperature functions as a </w:t>
      </w:r>
      <w:r w:rsidRPr="00A90B91">
        <w:rPr>
          <w:rFonts w:ascii="Arial" w:hAnsi="Arial" w:cs="Arial"/>
          <w:i/>
          <w:iCs/>
          <w:sz w:val="22"/>
          <w:szCs w:val="22"/>
        </w:rPr>
        <w:t>metabolic regulator</w:t>
      </w:r>
      <w:r w:rsidRPr="00A90B91">
        <w:rPr>
          <w:rFonts w:ascii="Arial" w:hAnsi="Arial" w:cs="Arial"/>
          <w:sz w:val="22"/>
          <w:szCs w:val="22"/>
        </w:rPr>
        <w:t xml:space="preserve">, accelerating enzymatic reactions up to an optimum but causing </w:t>
      </w:r>
      <w:r w:rsidRPr="00A90B91">
        <w:rPr>
          <w:rFonts w:ascii="Arial" w:hAnsi="Arial" w:cs="Arial"/>
          <w:sz w:val="22"/>
          <w:szCs w:val="22"/>
        </w:rPr>
        <w:lastRenderedPageBreak/>
        <w:t>physiological disruption beyond that threshold. When both factors occur simultaneously, the net response reflects the balance between CO</w:t>
      </w:r>
      <w:r w:rsidRPr="00A90B91">
        <w:rPr>
          <w:rFonts w:ascii="Cambria Math" w:hAnsi="Cambria Math" w:cs="Cambria Math"/>
          <w:sz w:val="22"/>
          <w:szCs w:val="22"/>
        </w:rPr>
        <w:t>₂</w:t>
      </w:r>
      <w:r w:rsidRPr="00A90B91">
        <w:rPr>
          <w:rFonts w:ascii="Arial" w:hAnsi="Arial" w:cs="Arial"/>
          <w:sz w:val="22"/>
          <w:szCs w:val="22"/>
        </w:rPr>
        <w:t xml:space="preserve">-induced stimulation and heat-induced stress (Long </w:t>
      </w:r>
      <w:r w:rsidRPr="00A90B91">
        <w:rPr>
          <w:rFonts w:ascii="Arial" w:hAnsi="Arial" w:cs="Arial"/>
          <w:i/>
          <w:iCs/>
          <w:sz w:val="22"/>
          <w:szCs w:val="22"/>
        </w:rPr>
        <w:t>et al</w:t>
      </w:r>
      <w:r w:rsidRPr="00A90B91">
        <w:rPr>
          <w:rFonts w:ascii="Arial" w:hAnsi="Arial" w:cs="Arial"/>
          <w:sz w:val="22"/>
          <w:szCs w:val="22"/>
        </w:rPr>
        <w:t xml:space="preserve">., 2006; Ruiz-Vera </w:t>
      </w:r>
      <w:r w:rsidRPr="00A90B91">
        <w:rPr>
          <w:rFonts w:ascii="Arial" w:hAnsi="Arial" w:cs="Arial"/>
          <w:i/>
          <w:iCs/>
          <w:sz w:val="22"/>
          <w:szCs w:val="22"/>
        </w:rPr>
        <w:t>et al</w:t>
      </w:r>
      <w:r w:rsidRPr="00A90B91">
        <w:rPr>
          <w:rFonts w:ascii="Arial" w:hAnsi="Arial" w:cs="Arial"/>
          <w:sz w:val="22"/>
          <w:szCs w:val="22"/>
        </w:rPr>
        <w:t>., 2013).</w:t>
      </w:r>
    </w:p>
    <w:p w14:paraId="64073AB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mulberry, combined exposure to elevated CO</w:t>
      </w:r>
      <w:r w:rsidRPr="00A90B91">
        <w:rPr>
          <w:rFonts w:ascii="Cambria Math" w:hAnsi="Cambria Math" w:cs="Cambria Math"/>
          <w:sz w:val="22"/>
          <w:szCs w:val="22"/>
        </w:rPr>
        <w:t>₂</w:t>
      </w:r>
      <w:r w:rsidRPr="00A90B91">
        <w:rPr>
          <w:rFonts w:ascii="Arial" w:hAnsi="Arial" w:cs="Arial"/>
          <w:sz w:val="22"/>
          <w:szCs w:val="22"/>
        </w:rPr>
        <w:t xml:space="preserve"> and elevated temperature modifies photosynthesis, respiration, carbon partitioning, and secondary metabolism in ways that cannot be predicted from single-factor responses alone. While elevated CO</w:t>
      </w:r>
      <w:r w:rsidRPr="00A90B91">
        <w:rPr>
          <w:rFonts w:ascii="Cambria Math" w:hAnsi="Cambria Math" w:cs="Cambria Math"/>
          <w:sz w:val="22"/>
          <w:szCs w:val="22"/>
        </w:rPr>
        <w:t>₂</w:t>
      </w:r>
      <w:r w:rsidRPr="00A90B91">
        <w:rPr>
          <w:rFonts w:ascii="Arial" w:hAnsi="Arial" w:cs="Arial"/>
          <w:sz w:val="22"/>
          <w:szCs w:val="22"/>
        </w:rPr>
        <w:t xml:space="preserve"> may partially compensate for heat-induced increases in photorespiration, warming simultaneously increases respiratory carbon losses and destabilizes photosynthetic machinery, limiting the extent to which CO</w:t>
      </w:r>
      <w:r w:rsidRPr="00A90B91">
        <w:rPr>
          <w:rFonts w:ascii="Cambria Math" w:hAnsi="Cambria Math" w:cs="Cambria Math"/>
          <w:sz w:val="22"/>
          <w:szCs w:val="22"/>
        </w:rPr>
        <w:t>₂</w:t>
      </w:r>
      <w:r w:rsidRPr="00A90B91">
        <w:rPr>
          <w:rFonts w:ascii="Arial" w:hAnsi="Arial" w:cs="Arial"/>
          <w:sz w:val="22"/>
          <w:szCs w:val="22"/>
        </w:rPr>
        <w:t xml:space="preserve"> fertilization can be translated into productive growth (Sage &amp; Kubien, 2007).</w:t>
      </w:r>
    </w:p>
    <w:p w14:paraId="0463B68E"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 xml:space="preserve">6.2 Physiological and biochemical outcomes under combined </w:t>
      </w:r>
      <w:proofErr w:type="spellStart"/>
      <w:r w:rsidRPr="00A90B91">
        <w:rPr>
          <w:rFonts w:ascii="Arial" w:hAnsi="Arial" w:cs="Arial"/>
          <w:b/>
          <w:bCs/>
          <w:sz w:val="22"/>
          <w:szCs w:val="22"/>
        </w:rPr>
        <w:t>eCO</w:t>
      </w:r>
      <w:proofErr w:type="spellEnd"/>
      <w:r w:rsidRPr="00A90B91">
        <w:rPr>
          <w:rFonts w:ascii="Cambria Math" w:hAnsi="Cambria Math" w:cs="Cambria Math"/>
          <w:b/>
          <w:bCs/>
          <w:sz w:val="22"/>
          <w:szCs w:val="22"/>
        </w:rPr>
        <w:t>₂</w:t>
      </w:r>
      <w:r w:rsidRPr="00A90B91">
        <w:rPr>
          <w:rFonts w:ascii="Arial" w:hAnsi="Arial" w:cs="Arial"/>
          <w:b/>
          <w:bCs/>
          <w:sz w:val="22"/>
          <w:szCs w:val="22"/>
        </w:rPr>
        <w:t xml:space="preserve"> + warming</w:t>
      </w:r>
    </w:p>
    <w:p w14:paraId="005F0AAE"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 Raichur Open Top Chamber (OTC) study provides a clear example of such interaction effects in mulberry. Under combined elevated CO</w:t>
      </w:r>
      <w:r w:rsidRPr="00A90B91">
        <w:rPr>
          <w:rFonts w:ascii="Cambria Math" w:hAnsi="Cambria Math" w:cs="Cambria Math"/>
          <w:sz w:val="22"/>
          <w:szCs w:val="22"/>
        </w:rPr>
        <w:t>₂</w:t>
      </w:r>
      <w:r w:rsidRPr="00A90B91">
        <w:rPr>
          <w:rFonts w:ascii="Arial" w:hAnsi="Arial" w:cs="Arial"/>
          <w:sz w:val="22"/>
          <w:szCs w:val="22"/>
        </w:rPr>
        <w:t xml:space="preserve"> (~550 ppm) and elevated temperature conditions, mulberry leaves showed:</w:t>
      </w:r>
    </w:p>
    <w:p w14:paraId="59296550"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High total leaf carbon content</w:t>
      </w:r>
      <w:r w:rsidRPr="00A90B91">
        <w:rPr>
          <w:rFonts w:ascii="Arial" w:hAnsi="Arial" w:cs="Arial"/>
          <w:sz w:val="22"/>
          <w:szCs w:val="22"/>
        </w:rPr>
        <w:t>, reflecting sustained or enhanced carbon assimilation under CO</w:t>
      </w:r>
      <w:r w:rsidRPr="00A90B91">
        <w:rPr>
          <w:rFonts w:ascii="Cambria Math" w:hAnsi="Cambria Math" w:cs="Cambria Math"/>
          <w:sz w:val="22"/>
          <w:szCs w:val="22"/>
        </w:rPr>
        <w:t>₂</w:t>
      </w:r>
      <w:r w:rsidRPr="00A90B91">
        <w:rPr>
          <w:rFonts w:ascii="Arial" w:hAnsi="Arial" w:cs="Arial"/>
          <w:sz w:val="22"/>
          <w:szCs w:val="22"/>
        </w:rPr>
        <w:t xml:space="preserve"> enrichment</w:t>
      </w:r>
    </w:p>
    <w:p w14:paraId="24209F6F"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Marked increases in C:N ratio</w:t>
      </w:r>
      <w:r w:rsidRPr="00A90B91">
        <w:rPr>
          <w:rFonts w:ascii="Arial" w:hAnsi="Arial" w:cs="Arial"/>
          <w:sz w:val="22"/>
          <w:szCs w:val="22"/>
        </w:rPr>
        <w:t>, exceeding those observed under elevated CO</w:t>
      </w:r>
      <w:r w:rsidRPr="00A90B91">
        <w:rPr>
          <w:rFonts w:ascii="Cambria Math" w:hAnsi="Cambria Math" w:cs="Cambria Math"/>
          <w:sz w:val="22"/>
          <w:szCs w:val="22"/>
        </w:rPr>
        <w:t>₂</w:t>
      </w:r>
      <w:r w:rsidRPr="00A90B91">
        <w:rPr>
          <w:rFonts w:ascii="Arial" w:hAnsi="Arial" w:cs="Arial"/>
          <w:sz w:val="22"/>
          <w:szCs w:val="22"/>
        </w:rPr>
        <w:t xml:space="preserve"> alone</w:t>
      </w:r>
    </w:p>
    <w:p w14:paraId="1291205F"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Lower leaf nitrogen and protein concentration</w:t>
      </w:r>
      <w:r w:rsidRPr="00A90B91">
        <w:rPr>
          <w:rFonts w:ascii="Arial" w:hAnsi="Arial" w:cs="Arial"/>
          <w:sz w:val="22"/>
          <w:szCs w:val="22"/>
        </w:rPr>
        <w:t xml:space="preserve"> compared with ambient treatments</w:t>
      </w:r>
    </w:p>
    <w:p w14:paraId="64939515"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Altered carbohydrate profiles</w:t>
      </w:r>
      <w:r w:rsidRPr="00A90B91">
        <w:rPr>
          <w:rFonts w:ascii="Arial" w:hAnsi="Arial" w:cs="Arial"/>
          <w:sz w:val="22"/>
          <w:szCs w:val="22"/>
        </w:rPr>
        <w:t>, with elevated sugars and non-structural carbohydrates</w:t>
      </w:r>
    </w:p>
    <w:p w14:paraId="0CCB25CB" w14:textId="77777777" w:rsidR="00A90B91" w:rsidRPr="00A90B91" w:rsidRDefault="00A90B91" w:rsidP="00A90B91">
      <w:pPr>
        <w:numPr>
          <w:ilvl w:val="0"/>
          <w:numId w:val="31"/>
        </w:numPr>
        <w:spacing w:after="160" w:line="360" w:lineRule="auto"/>
        <w:jc w:val="both"/>
        <w:rPr>
          <w:rFonts w:ascii="Arial" w:hAnsi="Arial" w:cs="Arial"/>
          <w:sz w:val="22"/>
          <w:szCs w:val="22"/>
        </w:rPr>
      </w:pPr>
      <w:r w:rsidRPr="00A90B91">
        <w:rPr>
          <w:rFonts w:ascii="Arial" w:hAnsi="Arial" w:cs="Arial"/>
          <w:b/>
          <w:bCs/>
          <w:sz w:val="22"/>
          <w:szCs w:val="22"/>
        </w:rPr>
        <w:t>Changes in secondary metabolites</w:t>
      </w:r>
      <w:r w:rsidRPr="00A90B91">
        <w:rPr>
          <w:rFonts w:ascii="Arial" w:hAnsi="Arial" w:cs="Arial"/>
          <w:sz w:val="22"/>
          <w:szCs w:val="22"/>
        </w:rPr>
        <w:t>, including increased tannins and phenols</w:t>
      </w:r>
    </w:p>
    <w:p w14:paraId="6875841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These results indicate that elevated temperature intensified the biochemical shifts initiated by elevated CO</w:t>
      </w:r>
      <w:r w:rsidRPr="00A90B91">
        <w:rPr>
          <w:rFonts w:ascii="Cambria Math" w:hAnsi="Cambria Math" w:cs="Cambria Math"/>
          <w:sz w:val="22"/>
          <w:szCs w:val="22"/>
        </w:rPr>
        <w:t>₂</w:t>
      </w:r>
      <w:r w:rsidRPr="00A90B91">
        <w:rPr>
          <w:rFonts w:ascii="Arial" w:hAnsi="Arial" w:cs="Arial"/>
          <w:sz w:val="22"/>
          <w:szCs w:val="22"/>
        </w:rPr>
        <w:t>. While CO</w:t>
      </w:r>
      <w:r w:rsidRPr="00A90B91">
        <w:rPr>
          <w:rFonts w:ascii="Cambria Math" w:hAnsi="Cambria Math" w:cs="Cambria Math"/>
          <w:sz w:val="22"/>
          <w:szCs w:val="22"/>
        </w:rPr>
        <w:t>₂</w:t>
      </w:r>
      <w:r w:rsidRPr="00A90B91">
        <w:rPr>
          <w:rFonts w:ascii="Arial" w:hAnsi="Arial" w:cs="Arial"/>
          <w:sz w:val="22"/>
          <w:szCs w:val="22"/>
        </w:rPr>
        <w:t xml:space="preserve"> increased carbon inputs, warming constrained nitrogen assimilation, protein stability, and metabolic balance, thereby widening the carbon–nitrogen imbalance in leaves.</w:t>
      </w:r>
    </w:p>
    <w:p w14:paraId="7F59015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Mechanistically, warming enhances nitrogen dilution under elevated CO</w:t>
      </w:r>
      <w:r w:rsidRPr="00A90B91">
        <w:rPr>
          <w:rFonts w:ascii="Cambria Math" w:hAnsi="Cambria Math" w:cs="Cambria Math"/>
          <w:sz w:val="22"/>
          <w:szCs w:val="22"/>
        </w:rPr>
        <w:t>₂</w:t>
      </w:r>
      <w:r w:rsidRPr="00A90B91">
        <w:rPr>
          <w:rFonts w:ascii="Arial" w:hAnsi="Arial" w:cs="Arial"/>
          <w:sz w:val="22"/>
          <w:szCs w:val="22"/>
        </w:rPr>
        <w:t xml:space="preserve"> through several pathways: increased respiration, reduced nitrate reductase activity, </w:t>
      </w:r>
      <w:r w:rsidRPr="00A90B91">
        <w:rPr>
          <w:rFonts w:ascii="Arial" w:hAnsi="Arial" w:cs="Arial"/>
          <w:sz w:val="22"/>
          <w:szCs w:val="22"/>
        </w:rPr>
        <w:lastRenderedPageBreak/>
        <w:t xml:space="preserve">altered root uptake kinetics, and accelerated leaf maturation and senescence. As a result, nitrogen fails to keep pace with carbon accumulation, leading to disproportionately high C:N ratios and reduced protein availability (Taub </w:t>
      </w:r>
      <w:r w:rsidRPr="00A90B91">
        <w:rPr>
          <w:rFonts w:ascii="Arial" w:hAnsi="Arial" w:cs="Arial"/>
          <w:i/>
          <w:iCs/>
          <w:sz w:val="22"/>
          <w:szCs w:val="22"/>
        </w:rPr>
        <w:t>et al</w:t>
      </w:r>
      <w:r w:rsidRPr="00A90B91">
        <w:rPr>
          <w:rFonts w:ascii="Arial" w:hAnsi="Arial" w:cs="Arial"/>
          <w:sz w:val="22"/>
          <w:szCs w:val="22"/>
        </w:rPr>
        <w:t xml:space="preserve">., 2008; Reich </w:t>
      </w:r>
      <w:r w:rsidRPr="00A90B91">
        <w:rPr>
          <w:rFonts w:ascii="Arial" w:hAnsi="Arial" w:cs="Arial"/>
          <w:i/>
          <w:iCs/>
          <w:sz w:val="22"/>
          <w:szCs w:val="22"/>
        </w:rPr>
        <w:t>et al</w:t>
      </w:r>
      <w:r w:rsidRPr="00A90B91">
        <w:rPr>
          <w:rFonts w:ascii="Arial" w:hAnsi="Arial" w:cs="Arial"/>
          <w:sz w:val="22"/>
          <w:szCs w:val="22"/>
        </w:rPr>
        <w:t>., 2018).</w:t>
      </w:r>
    </w:p>
    <w:p w14:paraId="1494DC58"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6.3 Secondary metabolites and stress signaling under combined stress</w:t>
      </w:r>
    </w:p>
    <w:p w14:paraId="2DD5D3F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 combined influence of elevated CO</w:t>
      </w:r>
      <w:r w:rsidRPr="00A90B91">
        <w:rPr>
          <w:rFonts w:ascii="Cambria Math" w:hAnsi="Cambria Math" w:cs="Cambria Math"/>
          <w:sz w:val="22"/>
          <w:szCs w:val="22"/>
        </w:rPr>
        <w:t>₂</w:t>
      </w:r>
      <w:r w:rsidRPr="00A90B91">
        <w:rPr>
          <w:rFonts w:ascii="Arial" w:hAnsi="Arial" w:cs="Arial"/>
          <w:sz w:val="22"/>
          <w:szCs w:val="22"/>
        </w:rPr>
        <w:t xml:space="preserve"> and warming also affects secondary metabolic pathways. Elevated CO</w:t>
      </w:r>
      <w:r w:rsidRPr="00A90B91">
        <w:rPr>
          <w:rFonts w:ascii="Cambria Math" w:hAnsi="Cambria Math" w:cs="Cambria Math"/>
          <w:sz w:val="22"/>
          <w:szCs w:val="22"/>
        </w:rPr>
        <w:t>₂</w:t>
      </w:r>
      <w:r w:rsidRPr="00A90B91">
        <w:rPr>
          <w:rFonts w:ascii="Arial" w:hAnsi="Arial" w:cs="Arial"/>
          <w:sz w:val="22"/>
          <w:szCs w:val="22"/>
        </w:rPr>
        <w:t xml:space="preserve"> favors carbon-based secondary compound synthesis, while elevated temperature enhances oxidative stress signaling. Together, these factors often result in increased accumulation of phenolics and tannins, as observed in the Raichur OTC experiment.</w:t>
      </w:r>
    </w:p>
    <w:p w14:paraId="7F30925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Such compounds play protective roles in plants by scavenging reactive oxygen species and strengthening stress tolerance. However, their accumulation also reflects a shift in carbon allocation away from growth- and nutrition-related metabolites toward defense and stress mitigation (Herms &amp; Mattson, 1992). This trade-off becomes more pronounced under combined CO</w:t>
      </w:r>
      <w:r w:rsidRPr="00A90B91">
        <w:rPr>
          <w:rFonts w:ascii="Cambria Math" w:hAnsi="Cambria Math" w:cs="Cambria Math"/>
          <w:sz w:val="22"/>
          <w:szCs w:val="22"/>
        </w:rPr>
        <w:t>₂</w:t>
      </w:r>
      <w:r w:rsidRPr="00A90B91">
        <w:rPr>
          <w:rFonts w:ascii="Arial" w:hAnsi="Arial" w:cs="Arial"/>
          <w:sz w:val="22"/>
          <w:szCs w:val="22"/>
        </w:rPr>
        <w:t xml:space="preserve"> and heat stress, even when total biomass production appears high.</w:t>
      </w:r>
    </w:p>
    <w:p w14:paraId="056A68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Sugars, which were also elevated under combined treatments, act both as energy reserves and signaling molecules. Under warming, sugar accumulation may increase due to impaired translocation or sink limitation, further contributing to an energy-rich but nitrogen-poor leaf biochemical profile.</w:t>
      </w:r>
    </w:p>
    <w:p w14:paraId="5E442511"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6.4 Interpretation and implications for sericulture</w:t>
      </w:r>
    </w:p>
    <w:p w14:paraId="774EE2C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From a sericulture perspective, the combined effects of elevated CO</w:t>
      </w:r>
      <w:r w:rsidRPr="00A90B91">
        <w:rPr>
          <w:rFonts w:ascii="Cambria Math" w:hAnsi="Cambria Math" w:cs="Cambria Math"/>
          <w:sz w:val="22"/>
          <w:szCs w:val="22"/>
        </w:rPr>
        <w:t>₂</w:t>
      </w:r>
      <w:r w:rsidRPr="00A90B91">
        <w:rPr>
          <w:rFonts w:ascii="Arial" w:hAnsi="Arial" w:cs="Arial"/>
          <w:sz w:val="22"/>
          <w:szCs w:val="22"/>
        </w:rPr>
        <w:t xml:space="preserve"> and elevated temperature highlight a critical decoupling between leaf quantity and leaf functional quality.</w:t>
      </w:r>
    </w:p>
    <w:p w14:paraId="285ED1D3"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Elevated CO</w:t>
      </w:r>
      <w:r w:rsidRPr="00A90B91">
        <w:rPr>
          <w:rFonts w:ascii="Cambria Math" w:hAnsi="Cambria Math" w:cs="Cambria Math"/>
          <w:sz w:val="22"/>
          <w:szCs w:val="22"/>
        </w:rPr>
        <w:t>₂</w:t>
      </w:r>
      <w:r w:rsidRPr="00A90B91">
        <w:rPr>
          <w:rFonts w:ascii="Arial" w:hAnsi="Arial" w:cs="Arial"/>
          <w:sz w:val="22"/>
          <w:szCs w:val="22"/>
        </w:rPr>
        <w:t xml:space="preserve"> alone can substantially increase mulberry leaf yield, offering apparent advantages for leaf availability. However, when warming is superimposed, physiological stress intensifies and biochemical composition shifts further toward high carbon, high sugars, high C:N ratio, and lower protein content. This widening gap between yield and quality is particularly problematic for </w:t>
      </w:r>
      <w:r w:rsidRPr="00A90B91">
        <w:rPr>
          <w:rFonts w:ascii="Arial" w:hAnsi="Arial" w:cs="Arial"/>
          <w:i/>
          <w:iCs/>
          <w:sz w:val="22"/>
          <w:szCs w:val="22"/>
        </w:rPr>
        <w:t>Bombyx mori</w:t>
      </w:r>
      <w:r w:rsidRPr="00A90B91">
        <w:rPr>
          <w:rFonts w:ascii="Arial" w:hAnsi="Arial" w:cs="Arial"/>
          <w:sz w:val="22"/>
          <w:szCs w:val="22"/>
        </w:rPr>
        <w:t>, whose growth efficiency and silk protein synthesis depend strongly on adequate nitrogen and balanced amino acid supply.</w:t>
      </w:r>
    </w:p>
    <w:p w14:paraId="58A443E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lastRenderedPageBreak/>
        <w:t>Under such conditions, silkworm larvae may exhibit compensatory feeding to meet nitrogen demands, but increased intake does not necessarily translate into improved silk yield or quality. Instead, reduced food conversion efficiency, altered cocoon traits, and increased metabolic stress may occur, especially under prolonged exposure to poor-quality leaves (Mattson, 1980; Slansky &amp; Scriber, 1985).</w:t>
      </w:r>
    </w:p>
    <w:p w14:paraId="30CE9E6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Sericulture-oriented climate studies therefore emphasize that CO</w:t>
      </w:r>
      <w:r w:rsidRPr="00A90B91">
        <w:rPr>
          <w:rFonts w:ascii="Cambria Math" w:hAnsi="Cambria Math" w:cs="Cambria Math"/>
          <w:sz w:val="22"/>
          <w:szCs w:val="22"/>
        </w:rPr>
        <w:t>₂</w:t>
      </w:r>
      <w:r w:rsidRPr="00A90B91">
        <w:rPr>
          <w:rFonts w:ascii="Arial" w:hAnsi="Arial" w:cs="Arial"/>
          <w:sz w:val="22"/>
          <w:szCs w:val="22"/>
        </w:rPr>
        <w:t>-driven gains in mulberry productivity cannot be evaluated in isolation. When coupled with rising temperatures, the nutritional adequacy of leaves may decline even as biomass increases. This underscores the importance of integrated adaptation strategies, including heat-tolerant mulberry genotypes, improved nitrogen management, irrigation support, and microclimate modification, to sustain both leaf yield and quality under future climate scenarios.</w:t>
      </w:r>
    </w:p>
    <w:p w14:paraId="019EF3CA" w14:textId="77777777" w:rsidR="00A90B91" w:rsidRPr="00A90B91" w:rsidRDefault="00A90B91" w:rsidP="00A90B91">
      <w:pPr>
        <w:spacing w:line="360" w:lineRule="auto"/>
        <w:ind w:firstLine="720"/>
        <w:jc w:val="both"/>
        <w:rPr>
          <w:rFonts w:ascii="Arial" w:hAnsi="Arial" w:cs="Arial"/>
          <w:b/>
          <w:bCs/>
          <w:sz w:val="22"/>
          <w:szCs w:val="22"/>
        </w:rPr>
      </w:pPr>
      <w:r w:rsidRPr="00A90B91">
        <w:rPr>
          <w:rFonts w:ascii="Arial" w:hAnsi="Arial" w:cs="Arial"/>
          <w:b/>
          <w:bCs/>
          <w:sz w:val="22"/>
          <w:szCs w:val="22"/>
        </w:rPr>
        <w:t>7. Consequences for silkworm health and performance (mechanisms + evidence)</w:t>
      </w:r>
    </w:p>
    <w:p w14:paraId="49FB4C39"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7.1 Nutritional physiology pathway</w:t>
      </w:r>
    </w:p>
    <w:p w14:paraId="48A7F74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(Protein/N dilution → feeding behavior → growth and silk synthesis)</w:t>
      </w:r>
    </w:p>
    <w:p w14:paraId="6EC5680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One of the most robust pathways linking elevated CO</w:t>
      </w:r>
      <w:r w:rsidRPr="00A90B91">
        <w:rPr>
          <w:rFonts w:ascii="Cambria Math" w:hAnsi="Cambria Math" w:cs="Cambria Math"/>
          <w:sz w:val="22"/>
          <w:szCs w:val="22"/>
        </w:rPr>
        <w:t>₂</w:t>
      </w:r>
      <w:r w:rsidRPr="00A90B91">
        <w:rPr>
          <w:rFonts w:ascii="Arial" w:hAnsi="Arial" w:cs="Arial"/>
          <w:sz w:val="22"/>
          <w:szCs w:val="22"/>
        </w:rPr>
        <w:t>–induced changes in mulberry to silkworm performance is the protein–nitrogen dilution mechanism. Elevated CO</w:t>
      </w:r>
      <w:r w:rsidRPr="00A90B91">
        <w:rPr>
          <w:rFonts w:ascii="Cambria Math" w:hAnsi="Cambria Math" w:cs="Cambria Math"/>
          <w:sz w:val="22"/>
          <w:szCs w:val="22"/>
        </w:rPr>
        <w:t>₂</w:t>
      </w:r>
      <w:r w:rsidRPr="00A90B91">
        <w:rPr>
          <w:rFonts w:ascii="Arial" w:hAnsi="Arial" w:cs="Arial"/>
          <w:sz w:val="22"/>
          <w:szCs w:val="22"/>
        </w:rPr>
        <w:t xml:space="preserve"> typically increases leaf carbon content and C:N ratio while reducing nitrogen and protein concentration. For silkworm larvae, whose diet consists exclusively of mulberry leaves, this shift directly alters the nutritional landscape.</w:t>
      </w:r>
    </w:p>
    <w:p w14:paraId="2634D892"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When leaf protein and nitrogen decline, silkworm larvae often exhibit compensatory feeding behavior, increasing leaf intake to meet their nitrogen and amino acid requirements. However, increased consumption does not necessarily translate into proportional gains in larval biomass or silk yield. Numerous insect nutritional studies show that when dietary nitrogen is limiting, the efficiency of conversion of ingested food (ECI) and efficiency of conversion of digested food (ECD) decline, because excess carbohydrates cannot substitute for amino acids in protein synthesis (Slansky &amp; Scriber, 1985; Mattson, 1980).</w:t>
      </w:r>
    </w:p>
    <w:p w14:paraId="54650E9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In </w:t>
      </w:r>
      <w:r w:rsidRPr="00A90B91">
        <w:rPr>
          <w:rFonts w:ascii="Arial" w:hAnsi="Arial" w:cs="Arial"/>
          <w:i/>
          <w:iCs/>
          <w:sz w:val="22"/>
          <w:szCs w:val="22"/>
        </w:rPr>
        <w:t>Bombyx mori</w:t>
      </w:r>
      <w:r w:rsidRPr="00A90B91">
        <w:rPr>
          <w:rFonts w:ascii="Arial" w:hAnsi="Arial" w:cs="Arial"/>
          <w:sz w:val="22"/>
          <w:szCs w:val="22"/>
        </w:rPr>
        <w:t xml:space="preserve">, silk production is particularly sensitive to nitrogen supply because fibroin and sericin synthesis in the silk gland depends on a continuous and adequate flow of amino acids derived from dietary protein. Reduced leaf protein under </w:t>
      </w:r>
      <w:r w:rsidRPr="00A90B91">
        <w:rPr>
          <w:rFonts w:ascii="Arial" w:hAnsi="Arial" w:cs="Arial"/>
          <w:sz w:val="22"/>
          <w:szCs w:val="22"/>
        </w:rPr>
        <w:lastRenderedPageBreak/>
        <w:t>elevated CO</w:t>
      </w:r>
      <w:r w:rsidRPr="00A90B91">
        <w:rPr>
          <w:rFonts w:ascii="Cambria Math" w:hAnsi="Cambria Math" w:cs="Cambria Math"/>
          <w:sz w:val="22"/>
          <w:szCs w:val="22"/>
        </w:rPr>
        <w:t>₂</w:t>
      </w:r>
      <w:r w:rsidRPr="00A90B91">
        <w:rPr>
          <w:rFonts w:ascii="Arial" w:hAnsi="Arial" w:cs="Arial"/>
          <w:sz w:val="22"/>
          <w:szCs w:val="22"/>
        </w:rPr>
        <w:t xml:space="preserve"> can constrain silk gland protein synthesis even when larvae consume more leaves. As a result, larval weight gain may appear only moderately affected, while cocoon weight, shell weight, and shell ratio show clearer declines or increased variability (Datta, 2000; Rao </w:t>
      </w:r>
      <w:r w:rsidRPr="00A90B91">
        <w:rPr>
          <w:rFonts w:ascii="Arial" w:hAnsi="Arial" w:cs="Arial"/>
          <w:i/>
          <w:iCs/>
          <w:sz w:val="22"/>
          <w:szCs w:val="22"/>
        </w:rPr>
        <w:t>et al</w:t>
      </w:r>
      <w:r w:rsidRPr="00A90B91">
        <w:rPr>
          <w:rFonts w:ascii="Arial" w:hAnsi="Arial" w:cs="Arial"/>
          <w:sz w:val="22"/>
          <w:szCs w:val="22"/>
        </w:rPr>
        <w:t>., 2016).</w:t>
      </w:r>
    </w:p>
    <w:p w14:paraId="43EE720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This mismatch between feeding rate and performance explains why elevated CO</w:t>
      </w:r>
      <w:r w:rsidRPr="00A90B91">
        <w:rPr>
          <w:rFonts w:ascii="Cambria Math" w:hAnsi="Cambria Math" w:cs="Cambria Math"/>
          <w:sz w:val="22"/>
          <w:szCs w:val="22"/>
        </w:rPr>
        <w:t>₂</w:t>
      </w:r>
      <w:r w:rsidRPr="00A90B91">
        <w:rPr>
          <w:rFonts w:ascii="Arial" w:hAnsi="Arial" w:cs="Arial"/>
          <w:sz w:val="22"/>
          <w:szCs w:val="22"/>
        </w:rPr>
        <w:t xml:space="preserve"> often produces mixed or neutral outcomes in plant–herbivore systems: leaf quantity increases, but leaf nutritional efficiency decreases. Similar responses have been widely reported across Lepidopteran herbivores fed on CO</w:t>
      </w:r>
      <w:r w:rsidRPr="00A90B91">
        <w:rPr>
          <w:rFonts w:ascii="Cambria Math" w:hAnsi="Cambria Math" w:cs="Cambria Math"/>
          <w:sz w:val="22"/>
          <w:szCs w:val="22"/>
        </w:rPr>
        <w:t>₂</w:t>
      </w:r>
      <w:r w:rsidRPr="00A90B91">
        <w:rPr>
          <w:rFonts w:ascii="Arial" w:hAnsi="Arial" w:cs="Arial"/>
          <w:sz w:val="22"/>
          <w:szCs w:val="22"/>
        </w:rPr>
        <w:t>-enriched host plants, reinforcing the generality of this pathway (</w:t>
      </w:r>
      <w:proofErr w:type="spellStart"/>
      <w:r w:rsidRPr="00A90B91">
        <w:rPr>
          <w:rFonts w:ascii="Arial" w:hAnsi="Arial" w:cs="Arial"/>
          <w:sz w:val="22"/>
          <w:szCs w:val="22"/>
        </w:rPr>
        <w:t>Bezemer</w:t>
      </w:r>
      <w:proofErr w:type="spellEnd"/>
      <w:r w:rsidRPr="00A90B91">
        <w:rPr>
          <w:rFonts w:ascii="Arial" w:hAnsi="Arial" w:cs="Arial"/>
          <w:sz w:val="22"/>
          <w:szCs w:val="22"/>
        </w:rPr>
        <w:t xml:space="preserve"> &amp; Jones, 1998; Taub </w:t>
      </w:r>
      <w:r w:rsidRPr="00A90B91">
        <w:rPr>
          <w:rFonts w:ascii="Arial" w:hAnsi="Arial" w:cs="Arial"/>
          <w:i/>
          <w:iCs/>
          <w:sz w:val="22"/>
          <w:szCs w:val="22"/>
        </w:rPr>
        <w:t>et al</w:t>
      </w:r>
      <w:r w:rsidRPr="00A90B91">
        <w:rPr>
          <w:rFonts w:ascii="Arial" w:hAnsi="Arial" w:cs="Arial"/>
          <w:sz w:val="22"/>
          <w:szCs w:val="22"/>
        </w:rPr>
        <w:t>., 2008).</w:t>
      </w:r>
    </w:p>
    <w:p w14:paraId="2D986974"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7.2 Secondary metabolites pathway</w:t>
      </w:r>
    </w:p>
    <w:p w14:paraId="4B125FDB"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(Phenolics/tannins → digestion, gut physiology, and oxidative balance)</w:t>
      </w:r>
    </w:p>
    <w:p w14:paraId="1AF430C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addition to altering primary nutrients, elevated CO</w:t>
      </w:r>
      <w:r w:rsidRPr="00A90B91">
        <w:rPr>
          <w:rFonts w:ascii="Cambria Math" w:hAnsi="Cambria Math" w:cs="Cambria Math"/>
          <w:sz w:val="22"/>
          <w:szCs w:val="22"/>
        </w:rPr>
        <w:t>₂</w:t>
      </w:r>
      <w:r w:rsidRPr="00A90B91">
        <w:rPr>
          <w:rFonts w:ascii="Arial" w:hAnsi="Arial" w:cs="Arial"/>
          <w:sz w:val="22"/>
          <w:szCs w:val="22"/>
        </w:rPr>
        <w:t xml:space="preserve"> frequently increases the concentration of carbon-based secondary metabolites, particularly phenolics and tannins. In mulberry, elevated CO</w:t>
      </w:r>
      <w:r w:rsidRPr="00A90B91">
        <w:rPr>
          <w:rFonts w:ascii="Cambria Math" w:hAnsi="Cambria Math" w:cs="Cambria Math"/>
          <w:sz w:val="22"/>
          <w:szCs w:val="22"/>
        </w:rPr>
        <w:t>₂</w:t>
      </w:r>
      <w:r w:rsidRPr="00A90B91">
        <w:rPr>
          <w:rFonts w:ascii="Arial" w:hAnsi="Arial" w:cs="Arial"/>
          <w:sz w:val="22"/>
          <w:szCs w:val="22"/>
        </w:rPr>
        <w:t xml:space="preserve"> and combined CO</w:t>
      </w:r>
      <w:r w:rsidRPr="00A90B91">
        <w:rPr>
          <w:rFonts w:ascii="Cambria Math" w:hAnsi="Cambria Math" w:cs="Cambria Math"/>
          <w:sz w:val="22"/>
          <w:szCs w:val="22"/>
        </w:rPr>
        <w:t>₂</w:t>
      </w:r>
      <w:r w:rsidRPr="00A90B91">
        <w:rPr>
          <w:rFonts w:ascii="Arial" w:hAnsi="Arial" w:cs="Arial"/>
          <w:sz w:val="22"/>
          <w:szCs w:val="22"/>
        </w:rPr>
        <w:t xml:space="preserve"> × temperature treatments have been reported to increase total phenols and tannins, reflecting enhanced carbon allocation to defensive and stress-related compounds.</w:t>
      </w:r>
    </w:p>
    <w:p w14:paraId="2500CC9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For silkworms, these compounds influence performance through several physiological routes:</w:t>
      </w:r>
    </w:p>
    <w:p w14:paraId="2AB58576"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Palatability and feeding regulation:</w:t>
      </w:r>
      <w:r w:rsidRPr="00A90B91">
        <w:rPr>
          <w:rFonts w:ascii="Arial" w:hAnsi="Arial" w:cs="Arial"/>
          <w:sz w:val="22"/>
          <w:szCs w:val="22"/>
        </w:rPr>
        <w:t xml:space="preserve"> Increased phenolic content can reduce leaf palatability, subtly modifying feeding behavior even when total consumption appears unchanged.</w:t>
      </w:r>
    </w:p>
    <w:p w14:paraId="10CDDA16"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Digestive interference:</w:t>
      </w:r>
      <w:r w:rsidRPr="00A90B91">
        <w:rPr>
          <w:rFonts w:ascii="Arial" w:hAnsi="Arial" w:cs="Arial"/>
          <w:sz w:val="22"/>
          <w:szCs w:val="22"/>
        </w:rPr>
        <w:t xml:space="preserve"> Tannins can bind dietary proteins and digestive enzymes, reducing protein digestibility and amino acid availability in the gut.</w:t>
      </w:r>
    </w:p>
    <w:p w14:paraId="443425C7" w14:textId="77777777" w:rsidR="00A90B91" w:rsidRPr="00A90B91" w:rsidRDefault="00A90B91" w:rsidP="00A90B91">
      <w:pPr>
        <w:numPr>
          <w:ilvl w:val="0"/>
          <w:numId w:val="32"/>
        </w:numPr>
        <w:spacing w:after="160" w:line="360" w:lineRule="auto"/>
        <w:jc w:val="both"/>
        <w:rPr>
          <w:rFonts w:ascii="Arial" w:hAnsi="Arial" w:cs="Arial"/>
          <w:sz w:val="22"/>
          <w:szCs w:val="22"/>
        </w:rPr>
      </w:pPr>
      <w:r w:rsidRPr="00A90B91">
        <w:rPr>
          <w:rFonts w:ascii="Arial" w:hAnsi="Arial" w:cs="Arial"/>
          <w:b/>
          <w:bCs/>
          <w:sz w:val="22"/>
          <w:szCs w:val="22"/>
        </w:rPr>
        <w:t>Gut oxidative balance:</w:t>
      </w:r>
      <w:r w:rsidRPr="00A90B91">
        <w:rPr>
          <w:rFonts w:ascii="Arial" w:hAnsi="Arial" w:cs="Arial"/>
          <w:sz w:val="22"/>
          <w:szCs w:val="22"/>
        </w:rPr>
        <w:t xml:space="preserve"> Phenolics and related compounds can alter antioxidant inputs from leaves, influencing redox balance in the silkworm midgut and hemolymph.</w:t>
      </w:r>
    </w:p>
    <w:p w14:paraId="1F9A2E7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Experimental and review studies on insect–plant interactions demonstrate that elevated phenolics and tannins often reduce nutrient assimilation efficiency rather than causing outright feeding deterrence, leading to “hidden” physiological stress that </w:t>
      </w:r>
      <w:r w:rsidRPr="00A90B91">
        <w:rPr>
          <w:rFonts w:ascii="Arial" w:hAnsi="Arial" w:cs="Arial"/>
          <w:sz w:val="22"/>
          <w:szCs w:val="22"/>
        </w:rPr>
        <w:lastRenderedPageBreak/>
        <w:t>may not be captured by simple growth measurements (</w:t>
      </w:r>
      <w:proofErr w:type="spellStart"/>
      <w:r w:rsidRPr="00A90B91">
        <w:rPr>
          <w:rFonts w:ascii="Arial" w:hAnsi="Arial" w:cs="Arial"/>
          <w:sz w:val="22"/>
          <w:szCs w:val="22"/>
        </w:rPr>
        <w:t>Barbehenn</w:t>
      </w:r>
      <w:proofErr w:type="spellEnd"/>
      <w:r w:rsidRPr="00A90B91">
        <w:rPr>
          <w:rFonts w:ascii="Arial" w:hAnsi="Arial" w:cs="Arial"/>
          <w:sz w:val="22"/>
          <w:szCs w:val="22"/>
        </w:rPr>
        <w:t xml:space="preserve"> &amp; </w:t>
      </w:r>
      <w:proofErr w:type="spellStart"/>
      <w:r w:rsidRPr="00A90B91">
        <w:rPr>
          <w:rFonts w:ascii="Arial" w:hAnsi="Arial" w:cs="Arial"/>
          <w:sz w:val="22"/>
          <w:szCs w:val="22"/>
        </w:rPr>
        <w:t>Constabel</w:t>
      </w:r>
      <w:proofErr w:type="spellEnd"/>
      <w:r w:rsidRPr="00A90B91">
        <w:rPr>
          <w:rFonts w:ascii="Arial" w:hAnsi="Arial" w:cs="Arial"/>
          <w:sz w:val="22"/>
          <w:szCs w:val="22"/>
        </w:rPr>
        <w:t>, 2011; Felton &amp; Summers, 1995).</w:t>
      </w:r>
    </w:p>
    <w:p w14:paraId="78F47525"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A strong supporting example—although not CO</w:t>
      </w:r>
      <w:r w:rsidRPr="00A90B91">
        <w:rPr>
          <w:rFonts w:ascii="Cambria Math" w:hAnsi="Cambria Math" w:cs="Cambria Math"/>
          <w:sz w:val="22"/>
          <w:szCs w:val="22"/>
        </w:rPr>
        <w:t>₂</w:t>
      </w:r>
      <w:r w:rsidRPr="00A90B91">
        <w:rPr>
          <w:rFonts w:ascii="Arial" w:hAnsi="Arial" w:cs="Arial"/>
          <w:sz w:val="22"/>
          <w:szCs w:val="22"/>
        </w:rPr>
        <w:t>-based—comes from studies on cold-stored mulberry leaves. Such leaves exhibit altered nutrient profiles and reduced antioxidant capacity. Silkworms fed cold-stored leaves showed increased oxidative stress markers, reduced protein synthesis in silk glands, and compromised physiological health, even when larval weight gain was not dramatically affected. These findings clearly demonstrate that leaf biochemical shifts can manifest more strongly in health and metabolic indicators than in gross growth traits, underscoring the importance of biochemical quality over mere leaf availability (</w:t>
      </w:r>
      <w:proofErr w:type="spellStart"/>
      <w:r w:rsidRPr="00A90B91">
        <w:rPr>
          <w:rFonts w:ascii="Arial" w:hAnsi="Arial" w:cs="Arial"/>
          <w:sz w:val="22"/>
          <w:szCs w:val="22"/>
        </w:rPr>
        <w:t>Nataraju</w:t>
      </w:r>
      <w:proofErr w:type="spellEnd"/>
      <w:r w:rsidRPr="00A90B91">
        <w:rPr>
          <w:rFonts w:ascii="Arial" w:hAnsi="Arial" w:cs="Arial"/>
          <w:sz w:val="22"/>
          <w:szCs w:val="22"/>
        </w:rPr>
        <w:t xml:space="preserve"> et al., 2011; Suresh Kumar </w:t>
      </w:r>
      <w:r w:rsidRPr="00A90B91">
        <w:rPr>
          <w:rFonts w:ascii="Arial" w:hAnsi="Arial" w:cs="Arial"/>
          <w:i/>
          <w:iCs/>
          <w:sz w:val="22"/>
          <w:szCs w:val="22"/>
        </w:rPr>
        <w:t>et al</w:t>
      </w:r>
      <w:r w:rsidRPr="00A90B91">
        <w:rPr>
          <w:rFonts w:ascii="Arial" w:hAnsi="Arial" w:cs="Arial"/>
          <w:sz w:val="22"/>
          <w:szCs w:val="22"/>
        </w:rPr>
        <w:t>., 2013).</w:t>
      </w:r>
    </w:p>
    <w:p w14:paraId="553F1350"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Thus, elevated CO</w:t>
      </w:r>
      <w:r w:rsidRPr="00A90B91">
        <w:rPr>
          <w:rFonts w:ascii="Cambria Math" w:hAnsi="Cambria Math" w:cs="Cambria Math"/>
          <w:sz w:val="22"/>
          <w:szCs w:val="22"/>
        </w:rPr>
        <w:t>₂</w:t>
      </w:r>
      <w:r w:rsidRPr="00A90B91">
        <w:rPr>
          <w:rFonts w:ascii="Arial" w:hAnsi="Arial" w:cs="Arial"/>
          <w:sz w:val="22"/>
          <w:szCs w:val="22"/>
        </w:rPr>
        <w:t>–induced changes in mulberry secondary chemistry can subtly but significantly affect digestion, metabolism, and silk synthesis efficiency in silkworms.</w:t>
      </w:r>
    </w:p>
    <w:p w14:paraId="6FD4BC1A"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7.3 Heat stress pathway</w:t>
      </w:r>
    </w:p>
    <w:p w14:paraId="4F411BB1"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i/>
          <w:iCs/>
          <w:sz w:val="22"/>
          <w:szCs w:val="22"/>
        </w:rPr>
        <w:t>(Temperature → direct silkworm stress + indirect leaf-mediated effects)</w:t>
      </w:r>
    </w:p>
    <w:p w14:paraId="0FD04506"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Silkworms are highly sensitive to environmental temperature, with optimal growth typically occurring around 25–28 °C. Exposure to elevated temperatures disrupts multiple physiological processes, including metabolism, enzyme activity, immune function, and hormonal regulation. Heat stress has been shown to reduce larval survival, prolong or disrupt instar duration, suppress immunity, and reduce cocoon quality and shell ratio (Krishnaswami, 1978; </w:t>
      </w:r>
      <w:proofErr w:type="spellStart"/>
      <w:r w:rsidRPr="00A90B91">
        <w:rPr>
          <w:rFonts w:ascii="Arial" w:hAnsi="Arial" w:cs="Arial"/>
          <w:sz w:val="22"/>
          <w:szCs w:val="22"/>
        </w:rPr>
        <w:t>Benchamin</w:t>
      </w:r>
      <w:proofErr w:type="spellEnd"/>
      <w:r w:rsidRPr="00A90B91">
        <w:rPr>
          <w:rFonts w:ascii="Arial" w:hAnsi="Arial" w:cs="Arial"/>
          <w:sz w:val="22"/>
          <w:szCs w:val="22"/>
        </w:rPr>
        <w:t xml:space="preserve"> &amp; Jolly, 1986).</w:t>
      </w:r>
    </w:p>
    <w:p w14:paraId="43F4A3FD"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At the cellular level, high temperatures increase metabolic demand and oxidative stress while destabilizing proteins and membranes. In </w:t>
      </w:r>
      <w:r w:rsidRPr="00A90B91">
        <w:rPr>
          <w:rFonts w:ascii="Arial" w:hAnsi="Arial" w:cs="Arial"/>
          <w:i/>
          <w:iCs/>
          <w:sz w:val="22"/>
          <w:szCs w:val="22"/>
        </w:rPr>
        <w:t>Bombyx mori</w:t>
      </w:r>
      <w:r w:rsidRPr="00A90B91">
        <w:rPr>
          <w:rFonts w:ascii="Arial" w:hAnsi="Arial" w:cs="Arial"/>
          <w:sz w:val="22"/>
          <w:szCs w:val="22"/>
        </w:rPr>
        <w:t>, heat stress has been associated with reduced hemolymph protein levels, impaired silk gland development, and altered expression of heat shock proteins, all of which negatively influence silk production efficiency (Rahmathulla, 2012).</w:t>
      </w:r>
    </w:p>
    <w:p w14:paraId="1B43EC3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Crucially, warming affects silkworms both directly and indirectly. Direct effects arise from thermal stress on larvae, while indirect effects operate through temperature-induced deterioration of mulberry leaf quality, including reduced protein stability, altered amino acid composition, increased </w:t>
      </w:r>
      <w:proofErr w:type="spellStart"/>
      <w:r w:rsidRPr="00A90B91">
        <w:rPr>
          <w:rFonts w:ascii="Arial" w:hAnsi="Arial" w:cs="Arial"/>
          <w:sz w:val="22"/>
          <w:szCs w:val="22"/>
        </w:rPr>
        <w:t>fibre</w:t>
      </w:r>
      <w:proofErr w:type="spellEnd"/>
      <w:r w:rsidRPr="00A90B91">
        <w:rPr>
          <w:rFonts w:ascii="Arial" w:hAnsi="Arial" w:cs="Arial"/>
          <w:sz w:val="22"/>
          <w:szCs w:val="22"/>
        </w:rPr>
        <w:t xml:space="preserve"> content, and elevated secondary metabolites. When elevated temperature coincides with elevated CO</w:t>
      </w:r>
      <w:r w:rsidRPr="00A90B91">
        <w:rPr>
          <w:rFonts w:ascii="Cambria Math" w:hAnsi="Cambria Math" w:cs="Cambria Math"/>
          <w:sz w:val="22"/>
          <w:szCs w:val="22"/>
        </w:rPr>
        <w:t>₂</w:t>
      </w:r>
      <w:r w:rsidRPr="00A90B91">
        <w:rPr>
          <w:rFonts w:ascii="Arial" w:hAnsi="Arial" w:cs="Arial"/>
          <w:sz w:val="22"/>
          <w:szCs w:val="22"/>
        </w:rPr>
        <w:t xml:space="preserve">, </w:t>
      </w:r>
      <w:r w:rsidRPr="00A90B91">
        <w:rPr>
          <w:rFonts w:ascii="Arial" w:hAnsi="Arial" w:cs="Arial"/>
          <w:sz w:val="22"/>
          <w:szCs w:val="22"/>
        </w:rPr>
        <w:lastRenderedPageBreak/>
        <w:t>these indirect effects can amplify the nutritional imbalance initiated by CO</w:t>
      </w:r>
      <w:r w:rsidRPr="00A90B91">
        <w:rPr>
          <w:rFonts w:ascii="Cambria Math" w:hAnsi="Cambria Math" w:cs="Cambria Math"/>
          <w:sz w:val="22"/>
          <w:szCs w:val="22"/>
        </w:rPr>
        <w:t>₂</w:t>
      </w:r>
      <w:r w:rsidRPr="00A90B91">
        <w:rPr>
          <w:rFonts w:ascii="Arial" w:hAnsi="Arial" w:cs="Arial"/>
          <w:sz w:val="22"/>
          <w:szCs w:val="22"/>
        </w:rPr>
        <w:t xml:space="preserve"> enrichment.</w:t>
      </w:r>
    </w:p>
    <w:p w14:paraId="17C9C28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Therefore, the CO</w:t>
      </w:r>
      <w:r w:rsidRPr="00A90B91">
        <w:rPr>
          <w:rFonts w:ascii="Cambria Math" w:hAnsi="Cambria Math" w:cs="Cambria Math"/>
          <w:sz w:val="22"/>
          <w:szCs w:val="22"/>
        </w:rPr>
        <w:t>₂</w:t>
      </w:r>
      <w:r w:rsidRPr="00A90B91">
        <w:rPr>
          <w:rFonts w:ascii="Arial" w:hAnsi="Arial" w:cs="Arial"/>
          <w:sz w:val="22"/>
          <w:szCs w:val="22"/>
        </w:rPr>
        <w:t xml:space="preserve"> × temperature problem cannot be viewed in isolation at either the plant or insect level. It must be treated as a mulberry–silkworm continuum, where changes in plant physiology and biochemistry interact with silkworm nutritional physiology and stress sensitivity. This systems-level perspective explains why climate change impacts on sericulture are often non-linear and region-specific, and why leaf yield alone is an insufficient indicator of sustainability under future climates.</w:t>
      </w:r>
    </w:p>
    <w:p w14:paraId="3237EED6" w14:textId="77777777" w:rsidR="00A90B91" w:rsidRPr="00A90B91" w:rsidRDefault="00A90B91" w:rsidP="00A90B91">
      <w:pPr>
        <w:spacing w:line="360" w:lineRule="auto"/>
        <w:jc w:val="both"/>
        <w:rPr>
          <w:rFonts w:ascii="Arial" w:hAnsi="Arial" w:cs="Arial"/>
          <w:b/>
          <w:bCs/>
          <w:sz w:val="22"/>
          <w:szCs w:val="22"/>
        </w:rPr>
      </w:pPr>
      <w:r w:rsidRPr="00A90B91">
        <w:rPr>
          <w:rFonts w:ascii="Arial" w:hAnsi="Arial" w:cs="Arial"/>
          <w:b/>
          <w:bCs/>
          <w:sz w:val="22"/>
          <w:szCs w:val="22"/>
        </w:rPr>
        <w:t>8. What the key mulberry OTC study implies for silkworm performance</w:t>
      </w:r>
    </w:p>
    <w:p w14:paraId="26D25A04"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The Raichur Open Top Chamber (OTC) study is particularly significant because it was explicitly designed to examine not only the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on mulberry growth and leaf biochemistry, but also the “subsequent effect” of these changes on silkworm performance. The leaf biochemical responses reported in this study clearly demonstrate that under elevated CO</w:t>
      </w:r>
      <w:r w:rsidRPr="00A90B91">
        <w:rPr>
          <w:rFonts w:ascii="Cambria Math" w:hAnsi="Cambria Math" w:cs="Cambria Math"/>
          <w:sz w:val="22"/>
          <w:szCs w:val="22"/>
        </w:rPr>
        <w:t>₂</w:t>
      </w:r>
      <w:r w:rsidRPr="00A90B91">
        <w:rPr>
          <w:rFonts w:ascii="Arial" w:hAnsi="Arial" w:cs="Arial"/>
          <w:sz w:val="22"/>
          <w:szCs w:val="22"/>
        </w:rPr>
        <w:t xml:space="preserve"> and combined elevated CO</w:t>
      </w:r>
      <w:r w:rsidRPr="00A90B91">
        <w:rPr>
          <w:rFonts w:ascii="Cambria Math" w:hAnsi="Cambria Math" w:cs="Cambria Math"/>
          <w:sz w:val="22"/>
          <w:szCs w:val="22"/>
        </w:rPr>
        <w:t>₂</w:t>
      </w:r>
      <w:r w:rsidRPr="00A90B91">
        <w:rPr>
          <w:rFonts w:ascii="Arial" w:hAnsi="Arial" w:cs="Arial"/>
          <w:sz w:val="22"/>
          <w:szCs w:val="22"/>
        </w:rPr>
        <w:t xml:space="preserve"> + temperature conditions, mulberry leaves accumulated higher levels of sugars and total carbohydrates, along with increased concentrations of carbon-based secondary metabolites such as phenols and tannins. At the same time, there was a consistent decline in leaf nitrogen and protein content, resulting in a marked increase in the C:N ratio compared with ambient conditions. This pattern reflects a shift toward enhanced carbon assimilation and storage accompanied by nutritional dilution of nitrogen, a response that is widely recognized as a characteristic outcome of elevated CO</w:t>
      </w:r>
      <w:r w:rsidRPr="00A90B91">
        <w:rPr>
          <w:rFonts w:ascii="Cambria Math" w:hAnsi="Cambria Math" w:cs="Cambria Math"/>
          <w:sz w:val="22"/>
          <w:szCs w:val="22"/>
        </w:rPr>
        <w:t>₂</w:t>
      </w:r>
      <w:r w:rsidRPr="00A90B91">
        <w:rPr>
          <w:rFonts w:ascii="Arial" w:hAnsi="Arial" w:cs="Arial"/>
          <w:sz w:val="22"/>
          <w:szCs w:val="22"/>
        </w:rPr>
        <w:t xml:space="preserve"> exposure in C</w:t>
      </w:r>
      <w:r w:rsidRPr="00A90B91">
        <w:rPr>
          <w:rFonts w:ascii="Cambria Math" w:hAnsi="Cambria Math" w:cs="Cambria Math"/>
          <w:sz w:val="22"/>
          <w:szCs w:val="22"/>
        </w:rPr>
        <w:t>₃</w:t>
      </w:r>
      <w:r w:rsidRPr="00A90B91">
        <w:rPr>
          <w:rFonts w:ascii="Arial" w:hAnsi="Arial" w:cs="Arial"/>
          <w:sz w:val="22"/>
          <w:szCs w:val="22"/>
        </w:rPr>
        <w:t xml:space="preserve"> plants and that appears to be intensified when warming is superimposed.</w:t>
      </w:r>
    </w:p>
    <w:p w14:paraId="6ED40FDC"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 xml:space="preserve">From a silkworm nutritional and physiological perspective, these leaf-quality shifts have clear biological implications. Reduced leaf nitrogen and protein concentration directly limit the availability of amino acids required for silk gland development and silk protein synthesis. When dietary protein becomes limiting, silkworm larvae are expected to increase leaf consumption through compensatory feeding in an attempt to meet nitrogen demand. However, such increased intake does not necessarily translate into proportional gains in larval growth or silk production, because excess carbohydrates cannot replace protein in the synthesis of fibroin and sericin. Consequently, the efficiency of conversion of ingested and digested food is </w:t>
      </w:r>
      <w:r w:rsidRPr="00A90B91">
        <w:rPr>
          <w:rFonts w:ascii="Arial" w:hAnsi="Arial" w:cs="Arial"/>
          <w:sz w:val="22"/>
          <w:szCs w:val="22"/>
        </w:rPr>
        <w:lastRenderedPageBreak/>
        <w:t>likely to decline, leading to altered silk protein deposition even when larval body weight is not severely affected. This mechanism explains why elevated CO</w:t>
      </w:r>
      <w:r w:rsidRPr="00A90B91">
        <w:rPr>
          <w:rFonts w:ascii="Cambria Math" w:hAnsi="Cambria Math" w:cs="Cambria Math"/>
          <w:sz w:val="22"/>
          <w:szCs w:val="22"/>
        </w:rPr>
        <w:t>₂</w:t>
      </w:r>
      <w:r w:rsidRPr="00A90B91">
        <w:rPr>
          <w:rFonts w:ascii="Arial" w:hAnsi="Arial" w:cs="Arial"/>
          <w:sz w:val="22"/>
          <w:szCs w:val="22"/>
        </w:rPr>
        <w:t xml:space="preserve"> conditions often produce ambiguous or mixed effects on larval growth while exerting clearer influences on cocoon and silk traits.</w:t>
      </w:r>
    </w:p>
    <w:p w14:paraId="587164E7"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In addition to protein dilution, the increase in phenolics and tannins observed in the Raichur OTC study suggests potential digestive and physiological stress pathways in silkworms. Elevated phenolic compounds can affect leaf palatability and interfere with digestive enzyme activity, while tannins can bind dietary proteins and reduce their digestibility, further aggravating nitrogen limitation. Altered levels of these secondary metabolites may also influence the antioxidant balance in the silkworm gut, potentially inducing oxidative stress that can impair silk gland function and overall physiological health. Such effects may not always be reflected in simple growth parameters but can manifest more clearly in cocoon quality, shell weight, and filament characteristics.</w:t>
      </w:r>
    </w:p>
    <w:p w14:paraId="1138E709" w14:textId="77777777" w:rsidR="00A90B91" w:rsidRPr="00A90B91" w:rsidRDefault="00A90B91" w:rsidP="00A90B91">
      <w:pPr>
        <w:spacing w:line="360" w:lineRule="auto"/>
        <w:ind w:firstLine="720"/>
        <w:jc w:val="both"/>
        <w:rPr>
          <w:rFonts w:ascii="Arial" w:hAnsi="Arial" w:cs="Arial"/>
          <w:sz w:val="22"/>
          <w:szCs w:val="22"/>
        </w:rPr>
      </w:pPr>
      <w:r w:rsidRPr="00A90B91">
        <w:rPr>
          <w:rFonts w:ascii="Arial" w:hAnsi="Arial" w:cs="Arial"/>
          <w:sz w:val="22"/>
          <w:szCs w:val="22"/>
        </w:rPr>
        <w:t>Ultimately, the impact of these leaf biochemical changes on silkworm performance is likely to depend on whether the quantitative gains in mulberry leaf production under elevated CO</w:t>
      </w:r>
      <w:r w:rsidRPr="00A90B91">
        <w:rPr>
          <w:rFonts w:ascii="Cambria Math" w:hAnsi="Cambria Math" w:cs="Cambria Math"/>
          <w:sz w:val="22"/>
          <w:szCs w:val="22"/>
        </w:rPr>
        <w:t>₂</w:t>
      </w:r>
      <w:r w:rsidRPr="00A90B91">
        <w:rPr>
          <w:rFonts w:ascii="Arial" w:hAnsi="Arial" w:cs="Arial"/>
          <w:sz w:val="22"/>
          <w:szCs w:val="22"/>
        </w:rPr>
        <w:t xml:space="preserve"> are sufficient to offset the qualitative dilution of protein and the increase in secondary metabolites. Under favorable rearing conditions, increased leaf availability may partially compensate for reduced nutritional efficiency, whereas under stressful conditions—particularly when elevated temperature affects silkworm metabolism directly—the negative effects of leaf quality dilution are more likely to dominate. Because silkworm responses are strongly influenced by rearing temperature and humidity, leaf maturity and feeding schedule, and the genetic background of both mulberry and silkworm, the outcomes of climate-related changes cannot be reliably inferred from leaf chemistry or larval growth alone. Therefore, studies evaluating the effects of elevated CO</w:t>
      </w:r>
      <w:r w:rsidRPr="00A90B91">
        <w:rPr>
          <w:rFonts w:ascii="Cambria Math" w:hAnsi="Cambria Math" w:cs="Cambria Math"/>
          <w:sz w:val="22"/>
          <w:szCs w:val="22"/>
        </w:rPr>
        <w:t>₂</w:t>
      </w:r>
      <w:r w:rsidRPr="00A90B91">
        <w:rPr>
          <w:rFonts w:ascii="Arial" w:hAnsi="Arial" w:cs="Arial"/>
          <w:sz w:val="22"/>
          <w:szCs w:val="22"/>
        </w:rPr>
        <w:t xml:space="preserve"> and temperature on sericulture must assess a comprehensive set of indicators, including larval growth traits such as larval weight, larval duration, and effective rate of rearing, alongside cocoon and silk traits such as cocoon weight, shell weight, shell ratio, filament length, and denier. Only through such integrated assessment can the true implications of climate-driven changes in mulberry physiology for silkworm performance and silk productivity be accurately understood.</w:t>
      </w:r>
    </w:p>
    <w:p w14:paraId="7CED2929" w14:textId="77777777" w:rsidR="00B01FCD" w:rsidRPr="00A90B91" w:rsidRDefault="00000F8F" w:rsidP="00441B6F">
      <w:pPr>
        <w:pStyle w:val="ConcHead"/>
        <w:spacing w:after="0"/>
        <w:jc w:val="both"/>
        <w:rPr>
          <w:rFonts w:ascii="Arial" w:hAnsi="Arial" w:cs="Arial"/>
          <w:szCs w:val="22"/>
        </w:rPr>
      </w:pPr>
      <w:r w:rsidRPr="00A90B91">
        <w:rPr>
          <w:rFonts w:ascii="Arial" w:hAnsi="Arial" w:cs="Arial"/>
          <w:szCs w:val="22"/>
        </w:rPr>
        <w:lastRenderedPageBreak/>
        <w:t xml:space="preserve">4. </w:t>
      </w:r>
      <w:r w:rsidR="00B01FCD" w:rsidRPr="00A90B91">
        <w:rPr>
          <w:rFonts w:ascii="Arial" w:hAnsi="Arial" w:cs="Arial"/>
          <w:szCs w:val="22"/>
        </w:rPr>
        <w:t>Conclusion</w:t>
      </w:r>
    </w:p>
    <w:p w14:paraId="31511364" w14:textId="77777777" w:rsidR="00790ADA" w:rsidRPr="00A90B91" w:rsidRDefault="00790ADA" w:rsidP="00441B6F">
      <w:pPr>
        <w:pStyle w:val="ConcHead"/>
        <w:spacing w:after="0"/>
        <w:jc w:val="both"/>
        <w:rPr>
          <w:rFonts w:ascii="Arial" w:hAnsi="Arial" w:cs="Arial"/>
          <w:szCs w:val="22"/>
        </w:rPr>
      </w:pPr>
    </w:p>
    <w:p w14:paraId="426521DE" w14:textId="5FD8D859" w:rsidR="00A90B91" w:rsidRDefault="00A90B91" w:rsidP="00A90B91">
      <w:pPr>
        <w:pStyle w:val="AcknHead"/>
        <w:spacing w:after="0" w:line="360" w:lineRule="auto"/>
        <w:jc w:val="both"/>
        <w:rPr>
          <w:rFonts w:ascii="Arial" w:hAnsi="Arial" w:cs="Arial"/>
          <w:b w:val="0"/>
          <w:caps w:val="0"/>
          <w:szCs w:val="22"/>
        </w:rPr>
      </w:pPr>
      <w:r w:rsidRPr="00A90B91">
        <w:rPr>
          <w:rFonts w:ascii="Arial" w:hAnsi="Arial" w:cs="Arial"/>
          <w:b w:val="0"/>
          <w:caps w:val="0"/>
          <w:szCs w:val="22"/>
        </w:rPr>
        <w:t>Climate change factors such as elevated CO</w:t>
      </w:r>
      <w:r w:rsidRPr="00A90B91">
        <w:rPr>
          <w:rFonts w:ascii="Cambria Math" w:hAnsi="Cambria Math" w:cs="Cambria Math"/>
          <w:b w:val="0"/>
          <w:caps w:val="0"/>
          <w:szCs w:val="22"/>
        </w:rPr>
        <w:t>₂</w:t>
      </w:r>
      <w:r w:rsidRPr="00A90B91">
        <w:rPr>
          <w:rFonts w:ascii="Arial" w:hAnsi="Arial" w:cs="Arial"/>
          <w:b w:val="0"/>
          <w:caps w:val="0"/>
          <w:szCs w:val="22"/>
        </w:rPr>
        <w:t xml:space="preserve"> and increased temperature significantly influence mulberry–silkworm interactions in sericulture systems. Although elevated CO</w:t>
      </w:r>
      <w:r w:rsidRPr="00A90B91">
        <w:rPr>
          <w:rFonts w:ascii="Cambria Math" w:hAnsi="Cambria Math" w:cs="Cambria Math"/>
          <w:b w:val="0"/>
          <w:caps w:val="0"/>
          <w:szCs w:val="22"/>
        </w:rPr>
        <w:t>₂</w:t>
      </w:r>
      <w:r w:rsidRPr="00A90B91">
        <w:rPr>
          <w:rFonts w:ascii="Arial" w:hAnsi="Arial" w:cs="Arial"/>
          <w:b w:val="0"/>
          <w:caps w:val="0"/>
          <w:szCs w:val="22"/>
        </w:rPr>
        <w:t xml:space="preserve"> enhances mulberry growth and leaf biomass, it also reduces leaf nitrogen and protein content while increasing the C:N ratio and secondary metabolites, thereby lowering leaf nutritional quality. These biochemical changes negatively affect silkworm nutrition, digestion, and silk protein synthesis, ultimately influencing cocoon traits and silk productivity. Elevated temperature further intensifies these effects by imposing additional physiological stress on both mulberry and silkworm. Therefore, future sericulture sustainability requires integrated approaches including climate-resilient mulberry varieties, improved nutrient and water management, and better environmental control during silkworm rearing to maintain leaf quality and silk yield under changing climate conditions.</w:t>
      </w:r>
    </w:p>
    <w:p w14:paraId="1CF0C46C" w14:textId="5BAC20E6" w:rsidR="000C6917" w:rsidRDefault="000C6917" w:rsidP="00A90B91">
      <w:pPr>
        <w:pStyle w:val="AcknHead"/>
        <w:spacing w:after="0" w:line="360" w:lineRule="auto"/>
        <w:jc w:val="both"/>
        <w:rPr>
          <w:rFonts w:ascii="Arial" w:hAnsi="Arial" w:cs="Arial"/>
          <w:b w:val="0"/>
          <w:caps w:val="0"/>
          <w:szCs w:val="22"/>
        </w:rPr>
      </w:pPr>
    </w:p>
    <w:p w14:paraId="71E900E6" w14:textId="77777777" w:rsidR="000C6917" w:rsidRPr="00A70112" w:rsidRDefault="000C6917" w:rsidP="000C6917">
      <w:pPr>
        <w:pStyle w:val="NoSpacing"/>
        <w:rPr>
          <w:rFonts w:ascii="Arial" w:hAnsi="Arial" w:cs="Arial"/>
          <w:b/>
        </w:rPr>
      </w:pPr>
      <w:bookmarkStart w:id="0" w:name="_Hlk219284361"/>
      <w:bookmarkStart w:id="1" w:name="_Hlk198031404"/>
      <w:bookmarkStart w:id="2" w:name="_Hlk219128673"/>
      <w:r w:rsidRPr="00A70112">
        <w:rPr>
          <w:rFonts w:ascii="Arial" w:hAnsi="Arial" w:cs="Arial"/>
          <w:b/>
        </w:rPr>
        <w:t>Disclaimer (Artificial intelligence)</w:t>
      </w:r>
    </w:p>
    <w:p w14:paraId="12D478CF" w14:textId="77777777" w:rsidR="000C6917" w:rsidRPr="00C1416F" w:rsidRDefault="000C6917" w:rsidP="000C6917">
      <w:pPr>
        <w:pStyle w:val="NoSpacing"/>
        <w:rPr>
          <w:rFonts w:ascii="Arial" w:hAnsi="Arial" w:cs="Arial"/>
        </w:rPr>
      </w:pPr>
    </w:p>
    <w:p w14:paraId="7C2B5D69" w14:textId="77777777" w:rsidR="000C6917" w:rsidRPr="00C1416F" w:rsidRDefault="000C6917" w:rsidP="000C6917">
      <w:pPr>
        <w:pStyle w:val="NoSpacing"/>
        <w:rPr>
          <w:rFonts w:ascii="Arial" w:hAnsi="Arial" w:cs="Arial"/>
        </w:rPr>
      </w:pPr>
      <w:r w:rsidRPr="00C1416F">
        <w:rPr>
          <w:rFonts w:ascii="Arial" w:hAnsi="Arial" w:cs="Arial"/>
        </w:rPr>
        <w:t>Author(s) hereby declare that NO generative AI technologies such as Large Language Models (ChatGPT, COPILOT, etc.) and text-to-image generators have been used during the writing or editing of this manuscript</w:t>
      </w:r>
      <w:bookmarkEnd w:id="0"/>
      <w:r w:rsidRPr="00C1416F">
        <w:rPr>
          <w:rFonts w:ascii="Arial" w:hAnsi="Arial" w:cs="Arial"/>
        </w:rPr>
        <w:t xml:space="preserve">. </w:t>
      </w:r>
    </w:p>
    <w:bookmarkEnd w:id="1"/>
    <w:p w14:paraId="26AB7889" w14:textId="77777777" w:rsidR="000C6917" w:rsidRDefault="000C6917" w:rsidP="000C6917">
      <w:pPr>
        <w:pStyle w:val="NoSpacing"/>
        <w:rPr>
          <w:rFonts w:ascii="Arial" w:hAnsi="Arial" w:cs="Arial"/>
        </w:rPr>
      </w:pPr>
    </w:p>
    <w:bookmarkEnd w:id="2"/>
    <w:p w14:paraId="75770433" w14:textId="77777777" w:rsidR="000C6917" w:rsidRDefault="000C6917" w:rsidP="00A90B91">
      <w:pPr>
        <w:pStyle w:val="AcknHead"/>
        <w:spacing w:after="0" w:line="360" w:lineRule="auto"/>
        <w:jc w:val="both"/>
        <w:rPr>
          <w:rFonts w:ascii="Arial" w:hAnsi="Arial" w:cs="Arial"/>
          <w:b w:val="0"/>
          <w:caps w:val="0"/>
          <w:szCs w:val="22"/>
        </w:rPr>
      </w:pPr>
    </w:p>
    <w:p w14:paraId="52FC6A6E" w14:textId="77777777" w:rsidR="00A90B91" w:rsidRDefault="00A90B91" w:rsidP="00441B6F">
      <w:pPr>
        <w:pStyle w:val="AcknHead"/>
        <w:spacing w:after="0"/>
        <w:jc w:val="both"/>
        <w:rPr>
          <w:rFonts w:ascii="Arial" w:hAnsi="Arial" w:cs="Arial"/>
          <w:b w:val="0"/>
          <w:caps w:val="0"/>
          <w:szCs w:val="22"/>
        </w:rPr>
      </w:pPr>
    </w:p>
    <w:p w14:paraId="2F20771B" w14:textId="77777777" w:rsidR="005C784C" w:rsidRPr="00A90B91" w:rsidRDefault="005C784C" w:rsidP="00441B6F">
      <w:pPr>
        <w:pStyle w:val="ReferHead"/>
        <w:spacing w:after="0"/>
        <w:jc w:val="both"/>
        <w:rPr>
          <w:rFonts w:ascii="Arial" w:hAnsi="Arial" w:cs="Arial"/>
          <w:b w:val="0"/>
          <w:caps w:val="0"/>
          <w:szCs w:val="22"/>
        </w:rPr>
      </w:pPr>
    </w:p>
    <w:p w14:paraId="7BE5C4CD" w14:textId="77777777" w:rsidR="00B01FCD" w:rsidRPr="00A90B91" w:rsidRDefault="00B01FCD" w:rsidP="00441B6F">
      <w:pPr>
        <w:pStyle w:val="ReferHead"/>
        <w:spacing w:after="0"/>
        <w:jc w:val="both"/>
        <w:rPr>
          <w:rFonts w:ascii="Arial" w:hAnsi="Arial" w:cs="Arial"/>
          <w:szCs w:val="22"/>
        </w:rPr>
      </w:pPr>
      <w:r w:rsidRPr="00A90B91">
        <w:rPr>
          <w:rFonts w:ascii="Arial" w:hAnsi="Arial" w:cs="Arial"/>
          <w:szCs w:val="22"/>
        </w:rPr>
        <w:t>References</w:t>
      </w:r>
    </w:p>
    <w:p w14:paraId="163E6E69" w14:textId="77777777" w:rsidR="00790ADA" w:rsidRPr="00A90B91" w:rsidRDefault="00790ADA" w:rsidP="00441B6F">
      <w:pPr>
        <w:pStyle w:val="Body"/>
        <w:spacing w:after="0"/>
        <w:rPr>
          <w:rFonts w:ascii="Arial" w:hAnsi="Arial" w:cs="Arial"/>
          <w:sz w:val="22"/>
          <w:szCs w:val="22"/>
        </w:rPr>
      </w:pPr>
    </w:p>
    <w:p w14:paraId="0F46C5AD"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Ainsworth, E. A., &amp; Long, S. P. (2005). What have we learned from 15 years of free-air CO</w:t>
      </w:r>
      <w:r w:rsidRPr="00A70112">
        <w:rPr>
          <w:rFonts w:ascii="Cambria Math" w:hAnsi="Cambria Math" w:cs="Cambria Math"/>
          <w:sz w:val="22"/>
          <w:szCs w:val="22"/>
        </w:rPr>
        <w:t>₂</w:t>
      </w:r>
      <w:r w:rsidRPr="00A70112">
        <w:rPr>
          <w:rFonts w:ascii="Arial" w:hAnsi="Arial" w:cs="Arial"/>
          <w:sz w:val="22"/>
          <w:szCs w:val="22"/>
        </w:rPr>
        <w:t xml:space="preserve"> enrichment (FACE)? A meta-analytic review of the responses of photosynthesis, canopy properties and plant production to rising CO</w:t>
      </w:r>
      <w:r w:rsidRPr="00A70112">
        <w:rPr>
          <w:rFonts w:ascii="Cambria Math" w:hAnsi="Cambria Math" w:cs="Cambria Math"/>
          <w:sz w:val="22"/>
          <w:szCs w:val="22"/>
        </w:rPr>
        <w:t>₂</w:t>
      </w:r>
      <w:r w:rsidRPr="00A70112">
        <w:rPr>
          <w:rFonts w:ascii="Arial" w:hAnsi="Arial" w:cs="Arial"/>
          <w:sz w:val="22"/>
          <w:szCs w:val="22"/>
        </w:rPr>
        <w:t xml:space="preserve">. </w:t>
      </w:r>
      <w:r w:rsidRPr="00A70112">
        <w:rPr>
          <w:rFonts w:ascii="Arial" w:hAnsi="Arial" w:cs="Arial"/>
          <w:i/>
          <w:iCs/>
          <w:sz w:val="22"/>
          <w:szCs w:val="22"/>
        </w:rPr>
        <w:t>New Phytologist</w:t>
      </w:r>
      <w:r w:rsidRPr="00A70112">
        <w:rPr>
          <w:rFonts w:ascii="Arial" w:hAnsi="Arial" w:cs="Arial"/>
          <w:sz w:val="22"/>
          <w:szCs w:val="22"/>
        </w:rPr>
        <w:t>, 165, 351–372.</w:t>
      </w:r>
    </w:p>
    <w:p w14:paraId="291A45DB"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Ainsworth, E. A., &amp; Rogers, A. (2007). The response of photosynthesis and stomatal conductance to rising CO</w:t>
      </w:r>
      <w:r w:rsidRPr="00A70112">
        <w:rPr>
          <w:rFonts w:ascii="Cambria Math" w:hAnsi="Cambria Math" w:cs="Cambria Math"/>
          <w:sz w:val="22"/>
          <w:szCs w:val="22"/>
        </w:rPr>
        <w:t>₂</w:t>
      </w:r>
      <w:r w:rsidRPr="00A70112">
        <w:rPr>
          <w:rFonts w:ascii="Arial" w:hAnsi="Arial" w:cs="Arial"/>
          <w:sz w:val="22"/>
          <w:szCs w:val="22"/>
        </w:rPr>
        <w:t xml:space="preserve">: Mechanisms and environmental interactions. </w:t>
      </w:r>
      <w:r w:rsidRPr="00A70112">
        <w:rPr>
          <w:rFonts w:ascii="Arial" w:hAnsi="Arial" w:cs="Arial"/>
          <w:i/>
          <w:iCs/>
          <w:sz w:val="22"/>
          <w:szCs w:val="22"/>
        </w:rPr>
        <w:t>Plant, Cell &amp; Environment</w:t>
      </w:r>
      <w:r w:rsidRPr="00A70112">
        <w:rPr>
          <w:rFonts w:ascii="Arial" w:hAnsi="Arial" w:cs="Arial"/>
          <w:sz w:val="22"/>
          <w:szCs w:val="22"/>
        </w:rPr>
        <w:t>, 30, 258–270.</w:t>
      </w:r>
    </w:p>
    <w:p w14:paraId="6FF6AB63"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proofErr w:type="spellStart"/>
      <w:r w:rsidRPr="00A70112">
        <w:rPr>
          <w:rFonts w:ascii="Arial" w:hAnsi="Arial" w:cs="Arial"/>
          <w:sz w:val="22"/>
          <w:szCs w:val="22"/>
        </w:rPr>
        <w:t>Allakhverdiev</w:t>
      </w:r>
      <w:proofErr w:type="spellEnd"/>
      <w:r w:rsidRPr="00A70112">
        <w:rPr>
          <w:rFonts w:ascii="Arial" w:hAnsi="Arial" w:cs="Arial"/>
          <w:sz w:val="22"/>
          <w:szCs w:val="22"/>
        </w:rPr>
        <w:t xml:space="preserve">, S. I., </w:t>
      </w:r>
      <w:proofErr w:type="spellStart"/>
      <w:r w:rsidRPr="00A70112">
        <w:rPr>
          <w:rFonts w:ascii="Arial" w:hAnsi="Arial" w:cs="Arial"/>
          <w:sz w:val="22"/>
          <w:szCs w:val="22"/>
        </w:rPr>
        <w:t>Kreslavski</w:t>
      </w:r>
      <w:proofErr w:type="spellEnd"/>
      <w:r w:rsidRPr="00A70112">
        <w:rPr>
          <w:rFonts w:ascii="Arial" w:hAnsi="Arial" w:cs="Arial"/>
          <w:sz w:val="22"/>
          <w:szCs w:val="22"/>
        </w:rPr>
        <w:t xml:space="preserve">, V. D., Klimov, V. V., Los, D. A., Carpentier, R., &amp; Mohanty, P. (2008). Heat stress: An overview of molecular responses in photosynthesis. </w:t>
      </w:r>
      <w:r w:rsidRPr="00A70112">
        <w:rPr>
          <w:rFonts w:ascii="Arial" w:hAnsi="Arial" w:cs="Arial"/>
          <w:i/>
          <w:iCs/>
          <w:sz w:val="22"/>
          <w:szCs w:val="22"/>
        </w:rPr>
        <w:t>Photosynthesis Research</w:t>
      </w:r>
      <w:r w:rsidRPr="00A70112">
        <w:rPr>
          <w:rFonts w:ascii="Arial" w:hAnsi="Arial" w:cs="Arial"/>
          <w:sz w:val="22"/>
          <w:szCs w:val="22"/>
        </w:rPr>
        <w:t>, 98, 541–550.</w:t>
      </w:r>
    </w:p>
    <w:p w14:paraId="6519E415"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proofErr w:type="spellStart"/>
      <w:r w:rsidRPr="00A70112">
        <w:rPr>
          <w:rFonts w:ascii="Arial" w:hAnsi="Arial" w:cs="Arial"/>
          <w:sz w:val="22"/>
          <w:szCs w:val="22"/>
        </w:rPr>
        <w:lastRenderedPageBreak/>
        <w:t>Barbehenn</w:t>
      </w:r>
      <w:proofErr w:type="spellEnd"/>
      <w:r w:rsidRPr="00A70112">
        <w:rPr>
          <w:rFonts w:ascii="Arial" w:hAnsi="Arial" w:cs="Arial"/>
          <w:sz w:val="22"/>
          <w:szCs w:val="22"/>
        </w:rPr>
        <w:t xml:space="preserve">, R. V., &amp; </w:t>
      </w:r>
      <w:proofErr w:type="spellStart"/>
      <w:r w:rsidRPr="00A70112">
        <w:rPr>
          <w:rFonts w:ascii="Arial" w:hAnsi="Arial" w:cs="Arial"/>
          <w:sz w:val="22"/>
          <w:szCs w:val="22"/>
        </w:rPr>
        <w:t>Constabel</w:t>
      </w:r>
      <w:proofErr w:type="spellEnd"/>
      <w:r w:rsidRPr="00A70112">
        <w:rPr>
          <w:rFonts w:ascii="Arial" w:hAnsi="Arial" w:cs="Arial"/>
          <w:sz w:val="22"/>
          <w:szCs w:val="22"/>
        </w:rPr>
        <w:t xml:space="preserve">, C. P. (2011). Tannins in plant–herbivore interactions. </w:t>
      </w:r>
      <w:r w:rsidRPr="00A70112">
        <w:rPr>
          <w:rFonts w:ascii="Arial" w:hAnsi="Arial" w:cs="Arial"/>
          <w:i/>
          <w:iCs/>
          <w:sz w:val="22"/>
          <w:szCs w:val="22"/>
        </w:rPr>
        <w:t>Phytochemistry</w:t>
      </w:r>
      <w:r w:rsidRPr="00A70112">
        <w:rPr>
          <w:rFonts w:ascii="Arial" w:hAnsi="Arial" w:cs="Arial"/>
          <w:sz w:val="22"/>
          <w:szCs w:val="22"/>
        </w:rPr>
        <w:t>, 72, 1551–1565.</w:t>
      </w:r>
    </w:p>
    <w:p w14:paraId="2BF8991A"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Bezemer, T. M., &amp; Jones, T. H. (1998). Plant–insect herbivore interactions in elevated atmospheric CO</w:t>
      </w:r>
      <w:r w:rsidRPr="00A70112">
        <w:rPr>
          <w:rFonts w:ascii="Cambria Math" w:hAnsi="Cambria Math" w:cs="Cambria Math"/>
          <w:sz w:val="22"/>
          <w:szCs w:val="22"/>
        </w:rPr>
        <w:t>₂</w:t>
      </w:r>
      <w:r w:rsidRPr="00A70112">
        <w:rPr>
          <w:rFonts w:ascii="Arial" w:hAnsi="Arial" w:cs="Arial"/>
          <w:sz w:val="22"/>
          <w:szCs w:val="22"/>
        </w:rPr>
        <w:t xml:space="preserve">: Quantitative analyses and guild effects. </w:t>
      </w:r>
      <w:r w:rsidRPr="00A70112">
        <w:rPr>
          <w:rFonts w:ascii="Arial" w:hAnsi="Arial" w:cs="Arial"/>
          <w:i/>
          <w:iCs/>
          <w:sz w:val="22"/>
          <w:szCs w:val="22"/>
        </w:rPr>
        <w:t>Oikos</w:t>
      </w:r>
      <w:r w:rsidRPr="00A70112">
        <w:rPr>
          <w:rFonts w:ascii="Arial" w:hAnsi="Arial" w:cs="Arial"/>
          <w:sz w:val="22"/>
          <w:szCs w:val="22"/>
        </w:rPr>
        <w:t>, 82, 212–222.</w:t>
      </w:r>
    </w:p>
    <w:p w14:paraId="2039A263"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Bryant, J. P., Chapin, F. S., &amp; Klein, D. R. (1983). Carbon/nutrient balance of boreal plants in relation to vertebrate herbivory. </w:t>
      </w:r>
      <w:r w:rsidRPr="00A70112">
        <w:rPr>
          <w:rFonts w:ascii="Arial" w:hAnsi="Arial" w:cs="Arial"/>
          <w:i/>
          <w:iCs/>
          <w:sz w:val="22"/>
          <w:szCs w:val="22"/>
        </w:rPr>
        <w:t>Oikos</w:t>
      </w:r>
      <w:r w:rsidRPr="00A70112">
        <w:rPr>
          <w:rFonts w:ascii="Arial" w:hAnsi="Arial" w:cs="Arial"/>
          <w:sz w:val="22"/>
          <w:szCs w:val="22"/>
        </w:rPr>
        <w:t>, 40, 357–368.</w:t>
      </w:r>
    </w:p>
    <w:p w14:paraId="40EE5D28"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proofErr w:type="spellStart"/>
      <w:r w:rsidRPr="00A70112">
        <w:rPr>
          <w:rFonts w:ascii="Arial" w:hAnsi="Arial" w:cs="Arial"/>
          <w:sz w:val="22"/>
          <w:szCs w:val="22"/>
        </w:rPr>
        <w:t>Hasanuzzaman</w:t>
      </w:r>
      <w:proofErr w:type="spellEnd"/>
      <w:r w:rsidRPr="00A70112">
        <w:rPr>
          <w:rFonts w:ascii="Arial" w:hAnsi="Arial" w:cs="Arial"/>
          <w:sz w:val="22"/>
          <w:szCs w:val="22"/>
        </w:rPr>
        <w:t xml:space="preserve">, M., Nahar, K., Alam, M. M., Roychowdhury, R., &amp; Fujita, M. (2013). Physiological, biochemical and molecular mechanisms of heat stress tolerance in plants. </w:t>
      </w:r>
      <w:r w:rsidRPr="00A70112">
        <w:rPr>
          <w:rFonts w:ascii="Arial" w:hAnsi="Arial" w:cs="Arial"/>
          <w:i/>
          <w:iCs/>
          <w:sz w:val="22"/>
          <w:szCs w:val="22"/>
        </w:rPr>
        <w:t>International Journal of Molecular Sciences</w:t>
      </w:r>
      <w:r w:rsidRPr="00A70112">
        <w:rPr>
          <w:rFonts w:ascii="Arial" w:hAnsi="Arial" w:cs="Arial"/>
          <w:sz w:val="22"/>
          <w:szCs w:val="22"/>
        </w:rPr>
        <w:t>, 14, 9643–9684.</w:t>
      </w:r>
    </w:p>
    <w:p w14:paraId="1378AE90"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Hatfield, J. L., &amp; </w:t>
      </w:r>
      <w:proofErr w:type="spellStart"/>
      <w:r w:rsidRPr="00A70112">
        <w:rPr>
          <w:rFonts w:ascii="Arial" w:hAnsi="Arial" w:cs="Arial"/>
          <w:sz w:val="22"/>
          <w:szCs w:val="22"/>
        </w:rPr>
        <w:t>Prueger</w:t>
      </w:r>
      <w:proofErr w:type="spellEnd"/>
      <w:r w:rsidRPr="00A70112">
        <w:rPr>
          <w:rFonts w:ascii="Arial" w:hAnsi="Arial" w:cs="Arial"/>
          <w:sz w:val="22"/>
          <w:szCs w:val="22"/>
        </w:rPr>
        <w:t xml:space="preserve">, J. H. (2015). Temperature extremes: Effect on plant growth and development. </w:t>
      </w:r>
      <w:r w:rsidRPr="00A70112">
        <w:rPr>
          <w:rFonts w:ascii="Arial" w:hAnsi="Arial" w:cs="Arial"/>
          <w:i/>
          <w:iCs/>
          <w:sz w:val="22"/>
          <w:szCs w:val="22"/>
        </w:rPr>
        <w:t>Weather and Climate Extremes</w:t>
      </w:r>
      <w:r w:rsidRPr="00A70112">
        <w:rPr>
          <w:rFonts w:ascii="Arial" w:hAnsi="Arial" w:cs="Arial"/>
          <w:sz w:val="22"/>
          <w:szCs w:val="22"/>
        </w:rPr>
        <w:t>, 10, 4–10.</w:t>
      </w:r>
    </w:p>
    <w:p w14:paraId="17CD746D"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Herms, D. A., &amp; Mattson, W. J. (1992). The dilemma of plants: To grow or defend. </w:t>
      </w:r>
      <w:r w:rsidRPr="00A70112">
        <w:rPr>
          <w:rFonts w:ascii="Arial" w:hAnsi="Arial" w:cs="Arial"/>
          <w:i/>
          <w:iCs/>
          <w:sz w:val="22"/>
          <w:szCs w:val="22"/>
        </w:rPr>
        <w:t>Quarterly Review of Biology</w:t>
      </w:r>
      <w:r w:rsidRPr="00A70112">
        <w:rPr>
          <w:rFonts w:ascii="Arial" w:hAnsi="Arial" w:cs="Arial"/>
          <w:sz w:val="22"/>
          <w:szCs w:val="22"/>
        </w:rPr>
        <w:t>, 67, 283–335.</w:t>
      </w:r>
    </w:p>
    <w:p w14:paraId="2F5EBE25"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IPCC. (2021). </w:t>
      </w:r>
      <w:r w:rsidRPr="00A70112">
        <w:rPr>
          <w:rFonts w:ascii="Arial" w:hAnsi="Arial" w:cs="Arial"/>
          <w:i/>
          <w:iCs/>
          <w:sz w:val="22"/>
          <w:szCs w:val="22"/>
        </w:rPr>
        <w:t>Climate change 2021: The physical science basis</w:t>
      </w:r>
      <w:r w:rsidRPr="00A70112">
        <w:rPr>
          <w:rFonts w:ascii="Arial" w:hAnsi="Arial" w:cs="Arial"/>
          <w:sz w:val="22"/>
          <w:szCs w:val="22"/>
        </w:rPr>
        <w:t>. Cambridge: Cambridge University Press.</w:t>
      </w:r>
    </w:p>
    <w:p w14:paraId="60B15733"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Kimball, B. A. (2016). Crop responses to elevated CO</w:t>
      </w:r>
      <w:r w:rsidRPr="00A70112">
        <w:rPr>
          <w:rFonts w:ascii="Cambria Math" w:hAnsi="Cambria Math" w:cs="Cambria Math"/>
          <w:sz w:val="22"/>
          <w:szCs w:val="22"/>
        </w:rPr>
        <w:t>₂</w:t>
      </w:r>
      <w:r w:rsidRPr="00A70112">
        <w:rPr>
          <w:rFonts w:ascii="Arial" w:hAnsi="Arial" w:cs="Arial"/>
          <w:sz w:val="22"/>
          <w:szCs w:val="22"/>
        </w:rPr>
        <w:t xml:space="preserve"> and interactions with H</w:t>
      </w:r>
      <w:r w:rsidRPr="00A70112">
        <w:rPr>
          <w:rFonts w:ascii="Cambria Math" w:hAnsi="Cambria Math" w:cs="Cambria Math"/>
          <w:sz w:val="22"/>
          <w:szCs w:val="22"/>
        </w:rPr>
        <w:t>₂</w:t>
      </w:r>
      <w:r w:rsidRPr="00A70112">
        <w:rPr>
          <w:rFonts w:ascii="Arial" w:hAnsi="Arial" w:cs="Arial"/>
          <w:sz w:val="22"/>
          <w:szCs w:val="22"/>
        </w:rPr>
        <w:t xml:space="preserve">O, N, and temperature. </w:t>
      </w:r>
      <w:r w:rsidRPr="00A70112">
        <w:rPr>
          <w:rFonts w:ascii="Arial" w:hAnsi="Arial" w:cs="Arial"/>
          <w:i/>
          <w:iCs/>
          <w:sz w:val="22"/>
          <w:szCs w:val="22"/>
        </w:rPr>
        <w:t>Current Opinion in Plant Biology</w:t>
      </w:r>
      <w:r w:rsidRPr="00A70112">
        <w:rPr>
          <w:rFonts w:ascii="Arial" w:hAnsi="Arial" w:cs="Arial"/>
          <w:sz w:val="22"/>
          <w:szCs w:val="22"/>
        </w:rPr>
        <w:t>, 31, 36–43.</w:t>
      </w:r>
    </w:p>
    <w:p w14:paraId="0E6B1D7E"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Krishnaswami, S. (1978). </w:t>
      </w:r>
      <w:r w:rsidRPr="00A70112">
        <w:rPr>
          <w:rFonts w:ascii="Arial" w:hAnsi="Arial" w:cs="Arial"/>
          <w:i/>
          <w:iCs/>
          <w:sz w:val="22"/>
          <w:szCs w:val="22"/>
        </w:rPr>
        <w:t>New technology of silkworm rearing</w:t>
      </w:r>
      <w:r w:rsidRPr="00A70112">
        <w:rPr>
          <w:rFonts w:ascii="Arial" w:hAnsi="Arial" w:cs="Arial"/>
          <w:sz w:val="22"/>
          <w:szCs w:val="22"/>
        </w:rPr>
        <w:t>. Bangalore: Central Silk Board.</w:t>
      </w:r>
    </w:p>
    <w:p w14:paraId="3E5715B5"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Leakey, A. D. B., Ainsworth, E. A., Bernacchi, C. J., Rogers, A., Long, S. P., &amp; Ort, D. R. (2009). Elevated CO</w:t>
      </w:r>
      <w:r w:rsidRPr="00A70112">
        <w:rPr>
          <w:rFonts w:ascii="Cambria Math" w:hAnsi="Cambria Math" w:cs="Cambria Math"/>
          <w:sz w:val="22"/>
          <w:szCs w:val="22"/>
        </w:rPr>
        <w:t>₂</w:t>
      </w:r>
      <w:r w:rsidRPr="00A70112">
        <w:rPr>
          <w:rFonts w:ascii="Arial" w:hAnsi="Arial" w:cs="Arial"/>
          <w:sz w:val="22"/>
          <w:szCs w:val="22"/>
        </w:rPr>
        <w:t xml:space="preserve"> effects on plant carbon, nitrogen and water relations: Six important lessons from FACE. </w:t>
      </w:r>
      <w:r w:rsidRPr="00A70112">
        <w:rPr>
          <w:rFonts w:ascii="Arial" w:hAnsi="Arial" w:cs="Arial"/>
          <w:i/>
          <w:iCs/>
          <w:sz w:val="22"/>
          <w:szCs w:val="22"/>
        </w:rPr>
        <w:t>Journal of Experimental Botany</w:t>
      </w:r>
      <w:r w:rsidRPr="00A70112">
        <w:rPr>
          <w:rFonts w:ascii="Arial" w:hAnsi="Arial" w:cs="Arial"/>
          <w:sz w:val="22"/>
          <w:szCs w:val="22"/>
        </w:rPr>
        <w:t>, 60, 2859–2876.</w:t>
      </w:r>
    </w:p>
    <w:p w14:paraId="2DE89DAB"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Li, D., Liu, X., Wang, X., Zhao, S., &amp; Zhang, L. (2019). Effects of elevated temperature and CO</w:t>
      </w:r>
      <w:r w:rsidRPr="00A70112">
        <w:rPr>
          <w:rFonts w:ascii="Cambria Math" w:hAnsi="Cambria Math" w:cs="Cambria Math"/>
          <w:sz w:val="22"/>
          <w:szCs w:val="22"/>
        </w:rPr>
        <w:t>₂</w:t>
      </w:r>
      <w:r w:rsidRPr="00A70112">
        <w:rPr>
          <w:rFonts w:ascii="Arial" w:hAnsi="Arial" w:cs="Arial"/>
          <w:sz w:val="22"/>
          <w:szCs w:val="22"/>
        </w:rPr>
        <w:t xml:space="preserve"> concentration on carbon–nitrogen metabolism in mulberry (</w:t>
      </w:r>
      <w:r w:rsidRPr="00A70112">
        <w:rPr>
          <w:rFonts w:ascii="Arial" w:hAnsi="Arial" w:cs="Arial"/>
          <w:i/>
          <w:iCs/>
          <w:sz w:val="22"/>
          <w:szCs w:val="22"/>
        </w:rPr>
        <w:t>Morus alba</w:t>
      </w:r>
      <w:r w:rsidRPr="00A70112">
        <w:rPr>
          <w:rFonts w:ascii="Arial" w:hAnsi="Arial" w:cs="Arial"/>
          <w:sz w:val="22"/>
          <w:szCs w:val="22"/>
        </w:rPr>
        <w:t xml:space="preserve"> L.). </w:t>
      </w:r>
      <w:r w:rsidRPr="00A70112">
        <w:rPr>
          <w:rFonts w:ascii="Arial" w:hAnsi="Arial" w:cs="Arial"/>
          <w:i/>
          <w:iCs/>
          <w:sz w:val="22"/>
          <w:szCs w:val="22"/>
        </w:rPr>
        <w:t>Annals of Forest Science</w:t>
      </w:r>
      <w:r w:rsidRPr="00A70112">
        <w:rPr>
          <w:rFonts w:ascii="Arial" w:hAnsi="Arial" w:cs="Arial"/>
          <w:sz w:val="22"/>
          <w:szCs w:val="22"/>
        </w:rPr>
        <w:t>, 76, 65.</w:t>
      </w:r>
    </w:p>
    <w:p w14:paraId="4FF56596"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Lindroth, R. L. (2010). Impacts of elevated atmospheric CO</w:t>
      </w:r>
      <w:r w:rsidRPr="00A70112">
        <w:rPr>
          <w:rFonts w:ascii="Cambria Math" w:hAnsi="Cambria Math" w:cs="Cambria Math"/>
          <w:sz w:val="22"/>
          <w:szCs w:val="22"/>
        </w:rPr>
        <w:t>₂</w:t>
      </w:r>
      <w:r w:rsidRPr="00A70112">
        <w:rPr>
          <w:rFonts w:ascii="Arial" w:hAnsi="Arial" w:cs="Arial"/>
          <w:sz w:val="22"/>
          <w:szCs w:val="22"/>
        </w:rPr>
        <w:t xml:space="preserve"> and O</w:t>
      </w:r>
      <w:r w:rsidRPr="00A70112">
        <w:rPr>
          <w:rFonts w:ascii="Cambria Math" w:hAnsi="Cambria Math" w:cs="Cambria Math"/>
          <w:sz w:val="22"/>
          <w:szCs w:val="22"/>
        </w:rPr>
        <w:t>₃</w:t>
      </w:r>
      <w:r w:rsidRPr="00A70112">
        <w:rPr>
          <w:rFonts w:ascii="Arial" w:hAnsi="Arial" w:cs="Arial"/>
          <w:sz w:val="22"/>
          <w:szCs w:val="22"/>
        </w:rPr>
        <w:t xml:space="preserve"> on forests: Phytochemistry, trophic interactions and ecosystem dynamics. </w:t>
      </w:r>
      <w:r w:rsidRPr="00A70112">
        <w:rPr>
          <w:rFonts w:ascii="Arial" w:hAnsi="Arial" w:cs="Arial"/>
          <w:i/>
          <w:iCs/>
          <w:sz w:val="22"/>
          <w:szCs w:val="22"/>
        </w:rPr>
        <w:t>Journal of Chemical Ecology</w:t>
      </w:r>
      <w:r w:rsidRPr="00A70112">
        <w:rPr>
          <w:rFonts w:ascii="Arial" w:hAnsi="Arial" w:cs="Arial"/>
          <w:sz w:val="22"/>
          <w:szCs w:val="22"/>
        </w:rPr>
        <w:t>, 36, 2–21.</w:t>
      </w:r>
    </w:p>
    <w:p w14:paraId="14471BBD"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lastRenderedPageBreak/>
        <w:t xml:space="preserve">Loladze, I. (2014). Hidden shift of the </w:t>
      </w:r>
      <w:proofErr w:type="spellStart"/>
      <w:r w:rsidRPr="00A70112">
        <w:rPr>
          <w:rFonts w:ascii="Arial" w:hAnsi="Arial" w:cs="Arial"/>
          <w:sz w:val="22"/>
          <w:szCs w:val="22"/>
        </w:rPr>
        <w:t>ionome</w:t>
      </w:r>
      <w:proofErr w:type="spellEnd"/>
      <w:r w:rsidRPr="00A70112">
        <w:rPr>
          <w:rFonts w:ascii="Arial" w:hAnsi="Arial" w:cs="Arial"/>
          <w:sz w:val="22"/>
          <w:szCs w:val="22"/>
        </w:rPr>
        <w:t xml:space="preserve"> of plants exposed to elevated CO</w:t>
      </w:r>
      <w:r w:rsidRPr="00A70112">
        <w:rPr>
          <w:rFonts w:ascii="Cambria Math" w:hAnsi="Cambria Math" w:cs="Cambria Math"/>
          <w:sz w:val="22"/>
          <w:szCs w:val="22"/>
        </w:rPr>
        <w:t>₂</w:t>
      </w:r>
      <w:r w:rsidRPr="00A70112">
        <w:rPr>
          <w:rFonts w:ascii="Arial" w:hAnsi="Arial" w:cs="Arial"/>
          <w:sz w:val="22"/>
          <w:szCs w:val="22"/>
        </w:rPr>
        <w:t xml:space="preserve"> depletes minerals at the base of human nutrition. </w:t>
      </w:r>
      <w:proofErr w:type="spellStart"/>
      <w:r w:rsidRPr="00A70112">
        <w:rPr>
          <w:rFonts w:ascii="Arial" w:hAnsi="Arial" w:cs="Arial"/>
          <w:i/>
          <w:iCs/>
          <w:sz w:val="22"/>
          <w:szCs w:val="22"/>
        </w:rPr>
        <w:t>eLife</w:t>
      </w:r>
      <w:proofErr w:type="spellEnd"/>
      <w:r w:rsidRPr="00A70112">
        <w:rPr>
          <w:rFonts w:ascii="Arial" w:hAnsi="Arial" w:cs="Arial"/>
          <w:sz w:val="22"/>
          <w:szCs w:val="22"/>
        </w:rPr>
        <w:t>, 3, e02245.</w:t>
      </w:r>
    </w:p>
    <w:p w14:paraId="06FFD8E3"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Long, S. P., Ainsworth, E. A., Leakey, A. D. B., </w:t>
      </w:r>
      <w:proofErr w:type="spellStart"/>
      <w:r w:rsidRPr="00A70112">
        <w:rPr>
          <w:rFonts w:ascii="Arial" w:hAnsi="Arial" w:cs="Arial"/>
          <w:sz w:val="22"/>
          <w:szCs w:val="22"/>
        </w:rPr>
        <w:t>Nösberger</w:t>
      </w:r>
      <w:proofErr w:type="spellEnd"/>
      <w:r w:rsidRPr="00A70112">
        <w:rPr>
          <w:rFonts w:ascii="Arial" w:hAnsi="Arial" w:cs="Arial"/>
          <w:sz w:val="22"/>
          <w:szCs w:val="22"/>
        </w:rPr>
        <w:t>, J., &amp; Ort, D. R. (2006). Food for thought: Lower-than-expected crop yield stimulation with rising CO</w:t>
      </w:r>
      <w:r w:rsidRPr="00A70112">
        <w:rPr>
          <w:rFonts w:ascii="Cambria Math" w:hAnsi="Cambria Math" w:cs="Cambria Math"/>
          <w:sz w:val="22"/>
          <w:szCs w:val="22"/>
        </w:rPr>
        <w:t>₂</w:t>
      </w:r>
      <w:r w:rsidRPr="00A70112">
        <w:rPr>
          <w:rFonts w:ascii="Arial" w:hAnsi="Arial" w:cs="Arial"/>
          <w:sz w:val="22"/>
          <w:szCs w:val="22"/>
        </w:rPr>
        <w:t xml:space="preserve"> concentrations. </w:t>
      </w:r>
      <w:r w:rsidRPr="00A70112">
        <w:rPr>
          <w:rFonts w:ascii="Arial" w:hAnsi="Arial" w:cs="Arial"/>
          <w:i/>
          <w:iCs/>
          <w:sz w:val="22"/>
          <w:szCs w:val="22"/>
        </w:rPr>
        <w:t>Science</w:t>
      </w:r>
      <w:r w:rsidRPr="00A70112">
        <w:rPr>
          <w:rFonts w:ascii="Arial" w:hAnsi="Arial" w:cs="Arial"/>
          <w:sz w:val="22"/>
          <w:szCs w:val="22"/>
        </w:rPr>
        <w:t>, 312, 1918–1921.</w:t>
      </w:r>
    </w:p>
    <w:p w14:paraId="20302AEC"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Mattson, W. J. (1980). Herbivory in relation to plant nitrogen content. </w:t>
      </w:r>
      <w:r w:rsidRPr="00A70112">
        <w:rPr>
          <w:rFonts w:ascii="Arial" w:hAnsi="Arial" w:cs="Arial"/>
          <w:i/>
          <w:iCs/>
          <w:sz w:val="22"/>
          <w:szCs w:val="22"/>
        </w:rPr>
        <w:t>Annual Review of Ecology and Systematics</w:t>
      </w:r>
      <w:r w:rsidRPr="00A70112">
        <w:rPr>
          <w:rFonts w:ascii="Arial" w:hAnsi="Arial" w:cs="Arial"/>
          <w:sz w:val="22"/>
          <w:szCs w:val="22"/>
        </w:rPr>
        <w:t>, 11, 119–161.</w:t>
      </w:r>
    </w:p>
    <w:p w14:paraId="4C70676C"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Rahmathulla, V. K. (2012). Management of climatic factors for successful silkworm (</w:t>
      </w:r>
      <w:r w:rsidRPr="00A70112">
        <w:rPr>
          <w:rFonts w:ascii="Arial" w:hAnsi="Arial" w:cs="Arial"/>
          <w:i/>
          <w:iCs/>
          <w:sz w:val="22"/>
          <w:szCs w:val="22"/>
        </w:rPr>
        <w:t>Bombyx mori</w:t>
      </w:r>
      <w:r w:rsidRPr="00A70112">
        <w:rPr>
          <w:rFonts w:ascii="Arial" w:hAnsi="Arial" w:cs="Arial"/>
          <w:sz w:val="22"/>
          <w:szCs w:val="22"/>
        </w:rPr>
        <w:t xml:space="preserve"> L.) crop and higher silk production: A review. </w:t>
      </w:r>
      <w:r w:rsidRPr="00A70112">
        <w:rPr>
          <w:rFonts w:ascii="Arial" w:hAnsi="Arial" w:cs="Arial"/>
          <w:i/>
          <w:iCs/>
          <w:sz w:val="22"/>
          <w:szCs w:val="22"/>
        </w:rPr>
        <w:t>Psyche: A Journal of Entomology</w:t>
      </w:r>
      <w:r w:rsidRPr="00A70112">
        <w:rPr>
          <w:rFonts w:ascii="Arial" w:hAnsi="Arial" w:cs="Arial"/>
          <w:sz w:val="22"/>
          <w:szCs w:val="22"/>
        </w:rPr>
        <w:t>, 2012, 121234.</w:t>
      </w:r>
    </w:p>
    <w:p w14:paraId="5F11A459"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Ruiz-Vera, U. M., Siebers, M., Drag, D. W., Ort, D. R., &amp; Bernacchi, C. J. (2013). Canopy warming accelerates development in soybean and maize, offsetting the benefits of elevated CO</w:t>
      </w:r>
      <w:r w:rsidRPr="00A70112">
        <w:rPr>
          <w:rFonts w:ascii="Cambria Math" w:hAnsi="Cambria Math" w:cs="Cambria Math"/>
          <w:sz w:val="22"/>
          <w:szCs w:val="22"/>
        </w:rPr>
        <w:t>₂</w:t>
      </w:r>
      <w:r w:rsidRPr="00A70112">
        <w:rPr>
          <w:rFonts w:ascii="Arial" w:hAnsi="Arial" w:cs="Arial"/>
          <w:sz w:val="22"/>
          <w:szCs w:val="22"/>
        </w:rPr>
        <w:t xml:space="preserve">. </w:t>
      </w:r>
      <w:r w:rsidRPr="00A70112">
        <w:rPr>
          <w:rFonts w:ascii="Arial" w:hAnsi="Arial" w:cs="Arial"/>
          <w:i/>
          <w:iCs/>
          <w:sz w:val="22"/>
          <w:szCs w:val="22"/>
        </w:rPr>
        <w:t>Plant, Cell &amp; Environment</w:t>
      </w:r>
      <w:r w:rsidRPr="00A70112">
        <w:rPr>
          <w:rFonts w:ascii="Arial" w:hAnsi="Arial" w:cs="Arial"/>
          <w:sz w:val="22"/>
          <w:szCs w:val="22"/>
        </w:rPr>
        <w:t>, 36, 1038–1049.</w:t>
      </w:r>
    </w:p>
    <w:p w14:paraId="42DAD1CF"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Sage, R. F., &amp; </w:t>
      </w:r>
      <w:proofErr w:type="spellStart"/>
      <w:r w:rsidRPr="00A70112">
        <w:rPr>
          <w:rFonts w:ascii="Arial" w:hAnsi="Arial" w:cs="Arial"/>
          <w:sz w:val="22"/>
          <w:szCs w:val="22"/>
        </w:rPr>
        <w:t>Kubien</w:t>
      </w:r>
      <w:proofErr w:type="spellEnd"/>
      <w:r w:rsidRPr="00A70112">
        <w:rPr>
          <w:rFonts w:ascii="Arial" w:hAnsi="Arial" w:cs="Arial"/>
          <w:sz w:val="22"/>
          <w:szCs w:val="22"/>
        </w:rPr>
        <w:t>, D. S. (2007). The temperature response of C</w:t>
      </w:r>
      <w:r w:rsidRPr="00A70112">
        <w:rPr>
          <w:rFonts w:ascii="Cambria Math" w:hAnsi="Cambria Math" w:cs="Cambria Math"/>
          <w:sz w:val="22"/>
          <w:szCs w:val="22"/>
        </w:rPr>
        <w:t>₃</w:t>
      </w:r>
      <w:r w:rsidRPr="00A70112">
        <w:rPr>
          <w:rFonts w:ascii="Arial" w:hAnsi="Arial" w:cs="Arial"/>
          <w:sz w:val="22"/>
          <w:szCs w:val="22"/>
        </w:rPr>
        <w:t xml:space="preserve"> and C</w:t>
      </w:r>
      <w:r w:rsidRPr="00A70112">
        <w:rPr>
          <w:rFonts w:ascii="Cambria Math" w:hAnsi="Cambria Math" w:cs="Cambria Math"/>
          <w:sz w:val="22"/>
          <w:szCs w:val="22"/>
        </w:rPr>
        <w:t>₄</w:t>
      </w:r>
      <w:r w:rsidRPr="00A70112">
        <w:rPr>
          <w:rFonts w:ascii="Arial" w:hAnsi="Arial" w:cs="Arial"/>
          <w:sz w:val="22"/>
          <w:szCs w:val="22"/>
        </w:rPr>
        <w:t xml:space="preserve"> photosynthesis. </w:t>
      </w:r>
      <w:r w:rsidRPr="00A70112">
        <w:rPr>
          <w:rFonts w:ascii="Arial" w:hAnsi="Arial" w:cs="Arial"/>
          <w:i/>
          <w:iCs/>
          <w:sz w:val="22"/>
          <w:szCs w:val="22"/>
        </w:rPr>
        <w:t>Plant, Cell &amp; Environment</w:t>
      </w:r>
      <w:r w:rsidRPr="00A70112">
        <w:rPr>
          <w:rFonts w:ascii="Arial" w:hAnsi="Arial" w:cs="Arial"/>
          <w:sz w:val="22"/>
          <w:szCs w:val="22"/>
        </w:rPr>
        <w:t>, 30, 1086–1106.</w:t>
      </w:r>
    </w:p>
    <w:p w14:paraId="5FAFC61E"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Sarkar, A., Choudhury, R., &amp; Ghosh, S. (2017). Genotypic variability in mulberry for physiological responses under high temperature stress. </w:t>
      </w:r>
      <w:r w:rsidRPr="00A70112">
        <w:rPr>
          <w:rFonts w:ascii="Arial" w:hAnsi="Arial" w:cs="Arial"/>
          <w:i/>
          <w:iCs/>
          <w:sz w:val="22"/>
          <w:szCs w:val="22"/>
        </w:rPr>
        <w:t>Environmental and Experimental Botany</w:t>
      </w:r>
      <w:r w:rsidRPr="00A70112">
        <w:rPr>
          <w:rFonts w:ascii="Arial" w:hAnsi="Arial" w:cs="Arial"/>
          <w:sz w:val="22"/>
          <w:szCs w:val="22"/>
        </w:rPr>
        <w:t>, 138, 1–10.</w:t>
      </w:r>
    </w:p>
    <w:p w14:paraId="263A755D"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Shi, S., Qiu, Y., Wen, M., Xu, X., Dong, X., Xu, C., &amp; He, X. (2021). Daytime, not nighttime, elevated atmospheric CO</w:t>
      </w:r>
      <w:r w:rsidRPr="00A70112">
        <w:rPr>
          <w:rFonts w:ascii="Cambria Math" w:hAnsi="Cambria Math" w:cs="Cambria Math"/>
          <w:sz w:val="22"/>
          <w:szCs w:val="22"/>
        </w:rPr>
        <w:t>₂</w:t>
      </w:r>
      <w:r w:rsidRPr="00A70112">
        <w:rPr>
          <w:rFonts w:ascii="Arial" w:hAnsi="Arial" w:cs="Arial"/>
          <w:sz w:val="22"/>
          <w:szCs w:val="22"/>
        </w:rPr>
        <w:t xml:space="preserve"> exposure improves plant growth and leaf quality of mulberry (</w:t>
      </w:r>
      <w:r w:rsidRPr="00A70112">
        <w:rPr>
          <w:rFonts w:ascii="Arial" w:hAnsi="Arial" w:cs="Arial"/>
          <w:i/>
          <w:iCs/>
          <w:sz w:val="22"/>
          <w:szCs w:val="22"/>
        </w:rPr>
        <w:t>Morus alba</w:t>
      </w:r>
      <w:r w:rsidRPr="00A70112">
        <w:rPr>
          <w:rFonts w:ascii="Arial" w:hAnsi="Arial" w:cs="Arial"/>
          <w:sz w:val="22"/>
          <w:szCs w:val="22"/>
        </w:rPr>
        <w:t xml:space="preserve"> L.) seedlings. </w:t>
      </w:r>
      <w:r w:rsidRPr="00A70112">
        <w:rPr>
          <w:rFonts w:ascii="Arial" w:hAnsi="Arial" w:cs="Arial"/>
          <w:i/>
          <w:iCs/>
          <w:sz w:val="22"/>
          <w:szCs w:val="22"/>
        </w:rPr>
        <w:t>Frontiers in Plant Science</w:t>
      </w:r>
      <w:r w:rsidRPr="00A70112">
        <w:rPr>
          <w:rFonts w:ascii="Arial" w:hAnsi="Arial" w:cs="Arial"/>
          <w:sz w:val="22"/>
          <w:szCs w:val="22"/>
        </w:rPr>
        <w:t>, 11, 609031.</w:t>
      </w:r>
    </w:p>
    <w:p w14:paraId="64953273"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Taub, D. R., &amp; Wang, X. (2008). Why are nitrogen concentrations in plant tissues lower under elevated CO</w:t>
      </w:r>
      <w:r w:rsidRPr="00A70112">
        <w:rPr>
          <w:rFonts w:ascii="Cambria Math" w:hAnsi="Cambria Math" w:cs="Cambria Math"/>
          <w:sz w:val="22"/>
          <w:szCs w:val="22"/>
        </w:rPr>
        <w:t>₂</w:t>
      </w:r>
      <w:r w:rsidRPr="00A70112">
        <w:rPr>
          <w:rFonts w:ascii="Arial" w:hAnsi="Arial" w:cs="Arial"/>
          <w:sz w:val="22"/>
          <w:szCs w:val="22"/>
        </w:rPr>
        <w:t xml:space="preserve">? A critical examination of the hypotheses. </w:t>
      </w:r>
      <w:r w:rsidRPr="00A70112">
        <w:rPr>
          <w:rFonts w:ascii="Arial" w:hAnsi="Arial" w:cs="Arial"/>
          <w:i/>
          <w:iCs/>
          <w:sz w:val="22"/>
          <w:szCs w:val="22"/>
        </w:rPr>
        <w:t>Journal of Integrative Plant Biology</w:t>
      </w:r>
      <w:r w:rsidRPr="00A70112">
        <w:rPr>
          <w:rFonts w:ascii="Arial" w:hAnsi="Arial" w:cs="Arial"/>
          <w:sz w:val="22"/>
          <w:szCs w:val="22"/>
        </w:rPr>
        <w:t>, 50, 1365–1374.</w:t>
      </w:r>
    </w:p>
    <w:p w14:paraId="4ABD606F"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Taub, D. R., Miller, B., &amp; Allen, H. (2008). Effects of elevated CO</w:t>
      </w:r>
      <w:r w:rsidRPr="00A70112">
        <w:rPr>
          <w:rFonts w:ascii="Cambria Math" w:hAnsi="Cambria Math" w:cs="Cambria Math"/>
          <w:sz w:val="22"/>
          <w:szCs w:val="22"/>
        </w:rPr>
        <w:t>₂</w:t>
      </w:r>
      <w:r w:rsidRPr="00A70112">
        <w:rPr>
          <w:rFonts w:ascii="Arial" w:hAnsi="Arial" w:cs="Arial"/>
          <w:sz w:val="22"/>
          <w:szCs w:val="22"/>
        </w:rPr>
        <w:t xml:space="preserve"> on the protein concentration of food crops: A meta-analysis. </w:t>
      </w:r>
      <w:r w:rsidRPr="00A70112">
        <w:rPr>
          <w:rFonts w:ascii="Arial" w:hAnsi="Arial" w:cs="Arial"/>
          <w:i/>
          <w:iCs/>
          <w:sz w:val="22"/>
          <w:szCs w:val="22"/>
        </w:rPr>
        <w:t>Global Change Biology</w:t>
      </w:r>
      <w:r w:rsidRPr="00A70112">
        <w:rPr>
          <w:rFonts w:ascii="Arial" w:hAnsi="Arial" w:cs="Arial"/>
          <w:sz w:val="22"/>
          <w:szCs w:val="22"/>
        </w:rPr>
        <w:t>, 14, 565–575.</w:t>
      </w:r>
    </w:p>
    <w:p w14:paraId="5E29696D"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t xml:space="preserve">Wahid, A., </w:t>
      </w:r>
      <w:proofErr w:type="spellStart"/>
      <w:r w:rsidRPr="00A70112">
        <w:rPr>
          <w:rFonts w:ascii="Arial" w:hAnsi="Arial" w:cs="Arial"/>
          <w:sz w:val="22"/>
          <w:szCs w:val="22"/>
        </w:rPr>
        <w:t>Gelani</w:t>
      </w:r>
      <w:proofErr w:type="spellEnd"/>
      <w:r w:rsidRPr="00A70112">
        <w:rPr>
          <w:rFonts w:ascii="Arial" w:hAnsi="Arial" w:cs="Arial"/>
          <w:sz w:val="22"/>
          <w:szCs w:val="22"/>
        </w:rPr>
        <w:t xml:space="preserve">, S., Ashraf, M., &amp; </w:t>
      </w:r>
      <w:proofErr w:type="spellStart"/>
      <w:r w:rsidRPr="00A70112">
        <w:rPr>
          <w:rFonts w:ascii="Arial" w:hAnsi="Arial" w:cs="Arial"/>
          <w:sz w:val="22"/>
          <w:szCs w:val="22"/>
        </w:rPr>
        <w:t>Foolad</w:t>
      </w:r>
      <w:proofErr w:type="spellEnd"/>
      <w:r w:rsidRPr="00A70112">
        <w:rPr>
          <w:rFonts w:ascii="Arial" w:hAnsi="Arial" w:cs="Arial"/>
          <w:sz w:val="22"/>
          <w:szCs w:val="22"/>
        </w:rPr>
        <w:t xml:space="preserve">, M. R. (2007). Heat tolerance in plants: An overview. </w:t>
      </w:r>
      <w:r w:rsidRPr="00A70112">
        <w:rPr>
          <w:rFonts w:ascii="Arial" w:hAnsi="Arial" w:cs="Arial"/>
          <w:i/>
          <w:iCs/>
          <w:sz w:val="22"/>
          <w:szCs w:val="22"/>
        </w:rPr>
        <w:t>Environmental and Experimental Botany</w:t>
      </w:r>
      <w:r w:rsidRPr="00A70112">
        <w:rPr>
          <w:rFonts w:ascii="Arial" w:hAnsi="Arial" w:cs="Arial"/>
          <w:sz w:val="22"/>
          <w:szCs w:val="22"/>
        </w:rPr>
        <w:t>, 61, 199–223.</w:t>
      </w:r>
    </w:p>
    <w:p w14:paraId="215E2280" w14:textId="77777777" w:rsidR="0084626C" w:rsidRPr="00A70112" w:rsidRDefault="0084626C" w:rsidP="00A70112">
      <w:pPr>
        <w:pStyle w:val="ListParagraph"/>
        <w:numPr>
          <w:ilvl w:val="0"/>
          <w:numId w:val="33"/>
        </w:numPr>
        <w:spacing w:line="360" w:lineRule="auto"/>
        <w:jc w:val="both"/>
        <w:rPr>
          <w:rFonts w:ascii="Arial" w:hAnsi="Arial" w:cs="Arial"/>
          <w:sz w:val="22"/>
          <w:szCs w:val="22"/>
        </w:rPr>
      </w:pPr>
      <w:r w:rsidRPr="00A70112">
        <w:rPr>
          <w:rFonts w:ascii="Arial" w:hAnsi="Arial" w:cs="Arial"/>
          <w:sz w:val="22"/>
          <w:szCs w:val="22"/>
        </w:rPr>
        <w:lastRenderedPageBreak/>
        <w:t xml:space="preserve">Zvereva, E. L., &amp; Kozlov, M. V. (2006). Consequences of simultaneous elevation of carbon dioxide and temperature for plant–herbivore interactions. </w:t>
      </w:r>
      <w:r w:rsidRPr="00A70112">
        <w:rPr>
          <w:rFonts w:ascii="Arial" w:hAnsi="Arial" w:cs="Arial"/>
          <w:i/>
          <w:iCs/>
          <w:sz w:val="22"/>
          <w:szCs w:val="22"/>
        </w:rPr>
        <w:t>Global Change Biology</w:t>
      </w:r>
      <w:r w:rsidRPr="00A70112">
        <w:rPr>
          <w:rFonts w:ascii="Arial" w:hAnsi="Arial" w:cs="Arial"/>
          <w:sz w:val="22"/>
          <w:szCs w:val="22"/>
        </w:rPr>
        <w:t>, 12, 27–41.</w:t>
      </w:r>
    </w:p>
    <w:p w14:paraId="4F636943" w14:textId="77777777" w:rsidR="00B01FCD" w:rsidRPr="00A90B91" w:rsidRDefault="00B01FCD" w:rsidP="0084626C">
      <w:pPr>
        <w:spacing w:line="360" w:lineRule="auto"/>
        <w:ind w:left="720" w:hanging="720"/>
        <w:jc w:val="both"/>
        <w:rPr>
          <w:rFonts w:ascii="Arial" w:hAnsi="Arial" w:cs="Arial"/>
          <w:b/>
          <w:sz w:val="22"/>
          <w:szCs w:val="22"/>
        </w:rPr>
      </w:pPr>
      <w:bookmarkStart w:id="3" w:name="_GoBack"/>
      <w:bookmarkEnd w:id="3"/>
    </w:p>
    <w:sectPr w:rsidR="00B01FCD" w:rsidRPr="00A90B91" w:rsidSect="0021752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3BCA" w14:textId="77777777" w:rsidR="009E2A13" w:rsidRDefault="009E2A13" w:rsidP="00C37E61">
      <w:r>
        <w:separator/>
      </w:r>
    </w:p>
  </w:endnote>
  <w:endnote w:type="continuationSeparator" w:id="0">
    <w:p w14:paraId="13512726" w14:textId="77777777" w:rsidR="009E2A13" w:rsidRDefault="009E2A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2D19" w14:textId="77777777" w:rsidR="005078C5" w:rsidRDefault="0050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73B4" w14:textId="77777777" w:rsidR="005078C5" w:rsidRDefault="00507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4CC4D" w14:textId="77777777" w:rsidR="009E048A" w:rsidRDefault="009E048A">
    <w:pPr>
      <w:pStyle w:val="Footer"/>
      <w:rPr>
        <w:rFonts w:ascii="Arial" w:hAnsi="Arial" w:cs="Arial"/>
        <w:sz w:val="16"/>
      </w:rPr>
    </w:pPr>
  </w:p>
  <w:p w14:paraId="75DE5579" w14:textId="166613A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B68A" w14:textId="77777777" w:rsidR="009E2A13" w:rsidRDefault="009E2A13" w:rsidP="00C37E61">
      <w:r>
        <w:separator/>
      </w:r>
    </w:p>
  </w:footnote>
  <w:footnote w:type="continuationSeparator" w:id="0">
    <w:p w14:paraId="0FE596C1" w14:textId="77777777" w:rsidR="009E2A13" w:rsidRDefault="009E2A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AAD2" w14:textId="4637C9EC" w:rsidR="005078C5" w:rsidRDefault="009E2A13">
    <w:pPr>
      <w:pStyle w:val="Header"/>
    </w:pPr>
    <w:r>
      <w:rPr>
        <w:noProof/>
      </w:rPr>
      <w:pict w14:anchorId="276AC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EEC6" w14:textId="75FA0415" w:rsidR="005078C5" w:rsidRDefault="009E2A13">
    <w:pPr>
      <w:pStyle w:val="Header"/>
    </w:pPr>
    <w:r>
      <w:rPr>
        <w:noProof/>
      </w:rPr>
      <w:pict w14:anchorId="759BD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8F82" w14:textId="31929FE6" w:rsidR="00296529" w:rsidRPr="00296529" w:rsidRDefault="009E2A13" w:rsidP="00296529">
    <w:pPr>
      <w:ind w:left="2160"/>
      <w:jc w:val="center"/>
      <w:rPr>
        <w:rFonts w:ascii="Times New Roman" w:eastAsia="Calibri" w:hAnsi="Times New Roman"/>
        <w:i/>
        <w:sz w:val="18"/>
        <w:szCs w:val="22"/>
      </w:rPr>
    </w:pPr>
    <w:r>
      <w:rPr>
        <w:noProof/>
      </w:rPr>
      <w:pict w14:anchorId="52AF7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20D5" w14:textId="101666D3" w:rsidR="005078C5" w:rsidRDefault="009E2A13">
    <w:pPr>
      <w:pStyle w:val="Header"/>
    </w:pPr>
    <w:r>
      <w:rPr>
        <w:noProof/>
      </w:rPr>
      <w:pict w14:anchorId="1151F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EBBF" w14:textId="13F8613D" w:rsidR="005078C5" w:rsidRDefault="009E2A13">
    <w:pPr>
      <w:pStyle w:val="Header"/>
    </w:pPr>
    <w:r>
      <w:rPr>
        <w:noProof/>
      </w:rPr>
      <w:pict w14:anchorId="611F9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54A9" w14:textId="15DF8BBD" w:rsidR="005078C5" w:rsidRDefault="009E2A13">
    <w:pPr>
      <w:pStyle w:val="Header"/>
    </w:pPr>
    <w:r>
      <w:rPr>
        <w:noProof/>
      </w:rPr>
      <w:pict w14:anchorId="7D007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1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A70FA7"/>
    <w:multiLevelType w:val="hybridMultilevel"/>
    <w:tmpl w:val="415CE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1C73A1"/>
    <w:multiLevelType w:val="multilevel"/>
    <w:tmpl w:val="4F4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C2B59"/>
    <w:multiLevelType w:val="multilevel"/>
    <w:tmpl w:val="79D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7"/>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6917"/>
    <w:rsid w:val="000D6729"/>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D3A51"/>
    <w:rsid w:val="001E10D2"/>
    <w:rsid w:val="001E25B4"/>
    <w:rsid w:val="001E44FE"/>
    <w:rsid w:val="00200595"/>
    <w:rsid w:val="00204835"/>
    <w:rsid w:val="0021752C"/>
    <w:rsid w:val="00231920"/>
    <w:rsid w:val="0023195C"/>
    <w:rsid w:val="0024282C"/>
    <w:rsid w:val="002460DC"/>
    <w:rsid w:val="00250985"/>
    <w:rsid w:val="002556F6"/>
    <w:rsid w:val="00272C7D"/>
    <w:rsid w:val="00283105"/>
    <w:rsid w:val="00284C4C"/>
    <w:rsid w:val="00287E68"/>
    <w:rsid w:val="00296529"/>
    <w:rsid w:val="002B27FB"/>
    <w:rsid w:val="002B685A"/>
    <w:rsid w:val="002C57D2"/>
    <w:rsid w:val="002D1F2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B4B"/>
    <w:rsid w:val="004345BC"/>
    <w:rsid w:val="00440F43"/>
    <w:rsid w:val="00441B6F"/>
    <w:rsid w:val="00446221"/>
    <w:rsid w:val="00450E62"/>
    <w:rsid w:val="004539DB"/>
    <w:rsid w:val="00471A80"/>
    <w:rsid w:val="004D305E"/>
    <w:rsid w:val="004D4277"/>
    <w:rsid w:val="004D65C7"/>
    <w:rsid w:val="00502516"/>
    <w:rsid w:val="00505F06"/>
    <w:rsid w:val="00506828"/>
    <w:rsid w:val="005078C5"/>
    <w:rsid w:val="0053002C"/>
    <w:rsid w:val="0053056E"/>
    <w:rsid w:val="00554FDA"/>
    <w:rsid w:val="005661D6"/>
    <w:rsid w:val="00594C46"/>
    <w:rsid w:val="005C784C"/>
    <w:rsid w:val="005D17F6"/>
    <w:rsid w:val="005E5539"/>
    <w:rsid w:val="00602BF5"/>
    <w:rsid w:val="00604B9E"/>
    <w:rsid w:val="00617FDD"/>
    <w:rsid w:val="00633614"/>
    <w:rsid w:val="00633F68"/>
    <w:rsid w:val="00636EB2"/>
    <w:rsid w:val="006375B8"/>
    <w:rsid w:val="00660491"/>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5DCA"/>
    <w:rsid w:val="007C047B"/>
    <w:rsid w:val="007C57A2"/>
    <w:rsid w:val="007D2288"/>
    <w:rsid w:val="007E088F"/>
    <w:rsid w:val="007F7B32"/>
    <w:rsid w:val="00804BC2"/>
    <w:rsid w:val="0081431A"/>
    <w:rsid w:val="0083216F"/>
    <w:rsid w:val="0084626C"/>
    <w:rsid w:val="00860000"/>
    <w:rsid w:val="00863BD3"/>
    <w:rsid w:val="008641ED"/>
    <w:rsid w:val="00866D66"/>
    <w:rsid w:val="008671C6"/>
    <w:rsid w:val="00875803"/>
    <w:rsid w:val="008B459E"/>
    <w:rsid w:val="008E13AE"/>
    <w:rsid w:val="008E1506"/>
    <w:rsid w:val="008E710C"/>
    <w:rsid w:val="008F69D6"/>
    <w:rsid w:val="00902823"/>
    <w:rsid w:val="00915CA6"/>
    <w:rsid w:val="00921478"/>
    <w:rsid w:val="00927834"/>
    <w:rsid w:val="009500A6"/>
    <w:rsid w:val="00957C18"/>
    <w:rsid w:val="009659BA"/>
    <w:rsid w:val="00983040"/>
    <w:rsid w:val="009A71C6"/>
    <w:rsid w:val="009B3FB9"/>
    <w:rsid w:val="009C2465"/>
    <w:rsid w:val="009D35A0"/>
    <w:rsid w:val="009D7EB7"/>
    <w:rsid w:val="009E048A"/>
    <w:rsid w:val="009E08E9"/>
    <w:rsid w:val="009E2A13"/>
    <w:rsid w:val="009E3DB9"/>
    <w:rsid w:val="009E6E35"/>
    <w:rsid w:val="009F0EDA"/>
    <w:rsid w:val="00A03B96"/>
    <w:rsid w:val="00A05B19"/>
    <w:rsid w:val="00A1134E"/>
    <w:rsid w:val="00A24E7E"/>
    <w:rsid w:val="00A258C3"/>
    <w:rsid w:val="00A347C0"/>
    <w:rsid w:val="00A36462"/>
    <w:rsid w:val="00A51431"/>
    <w:rsid w:val="00A539AD"/>
    <w:rsid w:val="00A70112"/>
    <w:rsid w:val="00A90B91"/>
    <w:rsid w:val="00A94063"/>
    <w:rsid w:val="00AA6219"/>
    <w:rsid w:val="00AA74E0"/>
    <w:rsid w:val="00AB703F"/>
    <w:rsid w:val="00AC6BB8"/>
    <w:rsid w:val="00AD04EC"/>
    <w:rsid w:val="00AE008F"/>
    <w:rsid w:val="00B01FCD"/>
    <w:rsid w:val="00B0307A"/>
    <w:rsid w:val="00B1776C"/>
    <w:rsid w:val="00B52583"/>
    <w:rsid w:val="00B52896"/>
    <w:rsid w:val="00B52F54"/>
    <w:rsid w:val="00B95236"/>
    <w:rsid w:val="00B96BD9"/>
    <w:rsid w:val="00BA1B01"/>
    <w:rsid w:val="00BA2641"/>
    <w:rsid w:val="00BA5CFB"/>
    <w:rsid w:val="00BB37AA"/>
    <w:rsid w:val="00BC53A0"/>
    <w:rsid w:val="00BE62AD"/>
    <w:rsid w:val="00BF121F"/>
    <w:rsid w:val="00BF1F80"/>
    <w:rsid w:val="00C1416F"/>
    <w:rsid w:val="00C166EF"/>
    <w:rsid w:val="00C17EB0"/>
    <w:rsid w:val="00C27F5F"/>
    <w:rsid w:val="00C30A0F"/>
    <w:rsid w:val="00C37E61"/>
    <w:rsid w:val="00C70F1B"/>
    <w:rsid w:val="00C71A47"/>
    <w:rsid w:val="00C7464C"/>
    <w:rsid w:val="00C85588"/>
    <w:rsid w:val="00CA5F32"/>
    <w:rsid w:val="00CD6755"/>
    <w:rsid w:val="00CD6856"/>
    <w:rsid w:val="00CE0089"/>
    <w:rsid w:val="00CE793C"/>
    <w:rsid w:val="00CF193C"/>
    <w:rsid w:val="00D173F1"/>
    <w:rsid w:val="00D74CB0"/>
    <w:rsid w:val="00D8295D"/>
    <w:rsid w:val="00DC0398"/>
    <w:rsid w:val="00DC2A65"/>
    <w:rsid w:val="00DE15F0"/>
    <w:rsid w:val="00DE5663"/>
    <w:rsid w:val="00DE78AA"/>
    <w:rsid w:val="00E053D0"/>
    <w:rsid w:val="00E1409A"/>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CAE"/>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795DCA"/>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C6917"/>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A70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2E23-D8FE-47A1-8969-B4B84432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25</Pages>
  <Words>8082</Words>
  <Characters>46073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54047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cp:lastPrinted>1999-07-06T11:00:00Z</cp:lastPrinted>
  <dcterms:created xsi:type="dcterms:W3CDTF">2026-03-12T14:27:00Z</dcterms:created>
  <dcterms:modified xsi:type="dcterms:W3CDTF">2026-03-14T12:36:00Z</dcterms:modified>
</cp:coreProperties>
</file>