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0706E" w14:textId="77777777" w:rsidR="002D0E72" w:rsidRDefault="002D0E72" w:rsidP="0080783E">
      <w:pPr>
        <w:spacing w:before="157" w:after="157" w:line="240" w:lineRule="auto"/>
        <w:rPr>
          <w:rFonts w:ascii="Times New Roman" w:eastAsia="inter" w:hAnsi="Times New Roman" w:cs="Times New Roman"/>
          <w:b/>
          <w:color w:val="000000"/>
          <w:sz w:val="24"/>
          <w:szCs w:val="24"/>
        </w:rPr>
      </w:pPr>
    </w:p>
    <w:p w14:paraId="0B296F2B" w14:textId="710FE0EC" w:rsidR="00226B53" w:rsidRPr="00B0684A" w:rsidRDefault="0080783E" w:rsidP="002D0E72">
      <w:pPr>
        <w:spacing w:before="157" w:after="157" w:line="240" w:lineRule="auto"/>
        <w:jc w:val="center"/>
        <w:rPr>
          <w:rFonts w:ascii="Times New Roman" w:eastAsia="inter" w:hAnsi="Times New Roman" w:cs="Times New Roman"/>
          <w:b/>
          <w:color w:val="000000"/>
          <w:sz w:val="24"/>
          <w:szCs w:val="24"/>
        </w:rPr>
      </w:pPr>
      <w:r w:rsidRPr="00B0684A">
        <w:rPr>
          <w:rFonts w:ascii="Times New Roman" w:eastAsia="inter" w:hAnsi="Times New Roman" w:cs="Times New Roman"/>
          <w:b/>
          <w:color w:val="000000"/>
          <w:sz w:val="24"/>
          <w:szCs w:val="24"/>
        </w:rPr>
        <w:t>Thermodynamics and Hydrogeochemical Evolution of the Shallow Aquifer in Enugu Urban, Southeastern Nigeria</w:t>
      </w:r>
    </w:p>
    <w:p w14:paraId="0934BE3D" w14:textId="77777777" w:rsidR="002D0E72" w:rsidRPr="002D0E72" w:rsidRDefault="002D0E72" w:rsidP="002D0E72">
      <w:pPr>
        <w:spacing w:before="157" w:after="157" w:line="240" w:lineRule="auto"/>
        <w:jc w:val="center"/>
        <w:rPr>
          <w:rFonts w:ascii="Times New Roman" w:eastAsia="inter" w:hAnsi="Times New Roman" w:cs="Times New Roman"/>
          <w:b/>
          <w:color w:val="000000"/>
          <w:sz w:val="28"/>
          <w:szCs w:val="28"/>
        </w:rPr>
      </w:pPr>
    </w:p>
    <w:p w14:paraId="30FD4B53" w14:textId="0372916B" w:rsidR="0080783E"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Abstract</w:t>
      </w:r>
    </w:p>
    <w:p w14:paraId="5D415C75" w14:textId="226AEE7C" w:rsidR="004C5AFF" w:rsidRPr="002D0E72" w:rsidRDefault="004C5AFF" w:rsidP="004C5AFF">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2D0E72">
        <w:rPr>
          <w:rFonts w:ascii="Times New Roman" w:eastAsia="Times New Roman" w:hAnsi="Times New Roman" w:cs="Times New Roman"/>
          <w:sz w:val="24"/>
          <w:szCs w:val="24"/>
          <w:lang w:eastAsia="en-GB" w:bidi="ar-SA"/>
        </w:rPr>
        <w:t xml:space="preserve">The shallow aquifer system in </w:t>
      </w:r>
      <w:r w:rsidRPr="002D0E72">
        <w:rPr>
          <w:rFonts w:ascii="Times New Roman" w:eastAsia="Times New Roman" w:hAnsi="Times New Roman" w:cs="Times New Roman"/>
          <w:bCs/>
          <w:sz w:val="24"/>
          <w:szCs w:val="24"/>
          <w:lang w:eastAsia="en-GB" w:bidi="ar-SA"/>
        </w:rPr>
        <w:t>Enugu Urban</w:t>
      </w:r>
      <w:r w:rsidRPr="002D0E72">
        <w:rPr>
          <w:rFonts w:ascii="Times New Roman" w:eastAsia="Times New Roman" w:hAnsi="Times New Roman" w:cs="Times New Roman"/>
          <w:sz w:val="24"/>
          <w:szCs w:val="24"/>
          <w:lang w:eastAsia="en-GB" w:bidi="ar-SA"/>
        </w:rPr>
        <w:t xml:space="preserve">, southeastern Nigeria, represents a critical groundwater resource but is increasingly affected by </w:t>
      </w:r>
      <w:r w:rsidRPr="002D0E72">
        <w:rPr>
          <w:rFonts w:ascii="Times New Roman" w:eastAsia="Times New Roman" w:hAnsi="Times New Roman" w:cs="Times New Roman"/>
          <w:bCs/>
          <w:sz w:val="24"/>
          <w:szCs w:val="24"/>
          <w:lang w:eastAsia="en-GB" w:bidi="ar-SA"/>
        </w:rPr>
        <w:t>complex hydrogeochemical and</w:t>
      </w:r>
      <w:r w:rsidRPr="002D0E72">
        <w:rPr>
          <w:rFonts w:ascii="Times New Roman" w:eastAsia="Times New Roman" w:hAnsi="Times New Roman" w:cs="Times New Roman"/>
          <w:b/>
          <w:bCs/>
          <w:sz w:val="24"/>
          <w:szCs w:val="24"/>
          <w:lang w:eastAsia="en-GB" w:bidi="ar-SA"/>
        </w:rPr>
        <w:t xml:space="preserve"> </w:t>
      </w:r>
      <w:r w:rsidRPr="002D0E72">
        <w:rPr>
          <w:rFonts w:ascii="Times New Roman" w:eastAsia="Times New Roman" w:hAnsi="Times New Roman" w:cs="Times New Roman"/>
          <w:bCs/>
          <w:sz w:val="24"/>
          <w:szCs w:val="24"/>
          <w:lang w:eastAsia="en-GB" w:bidi="ar-SA"/>
        </w:rPr>
        <w:t>thermodynamic processes</w:t>
      </w:r>
      <w:r w:rsidRPr="002D0E72">
        <w:rPr>
          <w:rFonts w:ascii="Times New Roman" w:eastAsia="Times New Roman" w:hAnsi="Times New Roman" w:cs="Times New Roman"/>
          <w:sz w:val="24"/>
          <w:szCs w:val="24"/>
          <w:lang w:eastAsia="en-GB" w:bidi="ar-SA"/>
        </w:rPr>
        <w:t xml:space="preserve"> driven by </w:t>
      </w:r>
      <w:r w:rsidRPr="002D0E72">
        <w:rPr>
          <w:rFonts w:ascii="Times New Roman" w:eastAsia="Times New Roman" w:hAnsi="Times New Roman" w:cs="Times New Roman"/>
          <w:bCs/>
          <w:sz w:val="24"/>
          <w:szCs w:val="24"/>
          <w:lang w:eastAsia="en-GB" w:bidi="ar-SA"/>
        </w:rPr>
        <w:t>rapid urbanization</w:t>
      </w:r>
      <w:r w:rsidRPr="002D0E72">
        <w:rPr>
          <w:rFonts w:ascii="Times New Roman" w:eastAsia="Times New Roman" w:hAnsi="Times New Roman" w:cs="Times New Roman"/>
          <w:sz w:val="24"/>
          <w:szCs w:val="24"/>
          <w:lang w:eastAsia="en-GB" w:bidi="ar-SA"/>
        </w:rPr>
        <w:t xml:space="preserve">, </w:t>
      </w:r>
      <w:r w:rsidRPr="002D0E72">
        <w:rPr>
          <w:rFonts w:ascii="Times New Roman" w:eastAsia="Times New Roman" w:hAnsi="Times New Roman" w:cs="Times New Roman"/>
          <w:bCs/>
          <w:sz w:val="24"/>
          <w:szCs w:val="24"/>
          <w:lang w:eastAsia="en-GB" w:bidi="ar-SA"/>
        </w:rPr>
        <w:t>lithological heterogeneity</w:t>
      </w:r>
      <w:r w:rsidRPr="002D0E72">
        <w:rPr>
          <w:rFonts w:ascii="Times New Roman" w:eastAsia="Times New Roman" w:hAnsi="Times New Roman" w:cs="Times New Roman"/>
          <w:sz w:val="24"/>
          <w:szCs w:val="24"/>
          <w:lang w:eastAsia="en-GB" w:bidi="ar-SA"/>
        </w:rPr>
        <w:t xml:space="preserve">, and </w:t>
      </w:r>
      <w:r w:rsidRPr="002D0E72">
        <w:rPr>
          <w:rFonts w:ascii="Times New Roman" w:eastAsia="Times New Roman" w:hAnsi="Times New Roman" w:cs="Times New Roman"/>
          <w:bCs/>
          <w:sz w:val="24"/>
          <w:szCs w:val="24"/>
          <w:lang w:eastAsia="en-GB" w:bidi="ar-SA"/>
        </w:rPr>
        <w:t>climatic variability</w:t>
      </w:r>
      <w:r w:rsidRPr="002D0E72">
        <w:rPr>
          <w:rFonts w:ascii="Times New Roman" w:eastAsia="Times New Roman" w:hAnsi="Times New Roman" w:cs="Times New Roman"/>
          <w:sz w:val="24"/>
          <w:szCs w:val="24"/>
          <w:lang w:eastAsia="en-GB" w:bidi="ar-SA"/>
        </w:rPr>
        <w:t xml:space="preserve">. This study integrates </w:t>
      </w:r>
      <w:r w:rsidRPr="002D0E72">
        <w:rPr>
          <w:rFonts w:ascii="Times New Roman" w:eastAsia="Times New Roman" w:hAnsi="Times New Roman" w:cs="Times New Roman"/>
          <w:bCs/>
          <w:sz w:val="24"/>
          <w:szCs w:val="24"/>
          <w:lang w:eastAsia="en-GB" w:bidi="ar-SA"/>
        </w:rPr>
        <w:t>field-based hydrochemical investigations</w:t>
      </w:r>
      <w:r w:rsidRPr="002D0E72">
        <w:rPr>
          <w:rFonts w:ascii="Times New Roman" w:eastAsia="Times New Roman" w:hAnsi="Times New Roman" w:cs="Times New Roman"/>
          <w:sz w:val="24"/>
          <w:szCs w:val="24"/>
          <w:lang w:eastAsia="en-GB" w:bidi="ar-SA"/>
        </w:rPr>
        <w:t xml:space="preserve"> (via groundwater sampling and laboratory analysis), </w:t>
      </w:r>
      <w:r w:rsidRPr="002D0E72">
        <w:rPr>
          <w:rFonts w:ascii="Times New Roman" w:eastAsia="Times New Roman" w:hAnsi="Times New Roman" w:cs="Times New Roman"/>
          <w:bCs/>
          <w:sz w:val="24"/>
          <w:szCs w:val="24"/>
          <w:lang w:eastAsia="en-GB" w:bidi="ar-SA"/>
        </w:rPr>
        <w:t>graphical and statistical tools</w:t>
      </w:r>
      <w:r w:rsidRPr="002D0E72">
        <w:rPr>
          <w:rFonts w:ascii="Times New Roman" w:eastAsia="Times New Roman" w:hAnsi="Times New Roman" w:cs="Times New Roman"/>
          <w:sz w:val="24"/>
          <w:szCs w:val="24"/>
          <w:lang w:eastAsia="en-GB" w:bidi="ar-SA"/>
        </w:rPr>
        <w:t xml:space="preserve">, and </w:t>
      </w:r>
      <w:r w:rsidRPr="002D0E72">
        <w:rPr>
          <w:rFonts w:ascii="Times New Roman" w:eastAsia="Times New Roman" w:hAnsi="Times New Roman" w:cs="Times New Roman"/>
          <w:bCs/>
          <w:sz w:val="24"/>
          <w:szCs w:val="24"/>
          <w:lang w:eastAsia="en-GB" w:bidi="ar-SA"/>
        </w:rPr>
        <w:t>thermodynamic modeling using PHREEQC</w:t>
      </w:r>
      <w:r w:rsidRPr="002D0E72">
        <w:rPr>
          <w:rFonts w:ascii="Times New Roman" w:eastAsia="Times New Roman" w:hAnsi="Times New Roman" w:cs="Times New Roman"/>
          <w:sz w:val="24"/>
          <w:szCs w:val="24"/>
          <w:lang w:eastAsia="en-GB" w:bidi="ar-SA"/>
        </w:rPr>
        <w:t xml:space="preserve"> to elucidate the key controls on groundwater chemistry, </w:t>
      </w:r>
      <w:r w:rsidRPr="002D0E72">
        <w:rPr>
          <w:rFonts w:ascii="Times New Roman" w:eastAsia="Times New Roman" w:hAnsi="Times New Roman" w:cs="Times New Roman"/>
          <w:bCs/>
          <w:sz w:val="24"/>
          <w:szCs w:val="24"/>
          <w:lang w:eastAsia="en-GB" w:bidi="ar-SA"/>
        </w:rPr>
        <w:t>mineral stability</w:t>
      </w:r>
      <w:r w:rsidRPr="002D0E72">
        <w:rPr>
          <w:rFonts w:ascii="Times New Roman" w:eastAsia="Times New Roman" w:hAnsi="Times New Roman" w:cs="Times New Roman"/>
          <w:sz w:val="24"/>
          <w:szCs w:val="24"/>
          <w:lang w:eastAsia="en-GB" w:bidi="ar-SA"/>
        </w:rPr>
        <w:t xml:space="preserve">, and </w:t>
      </w:r>
      <w:r w:rsidRPr="002D0E72">
        <w:rPr>
          <w:rFonts w:ascii="Times New Roman" w:eastAsia="Times New Roman" w:hAnsi="Times New Roman" w:cs="Times New Roman"/>
          <w:bCs/>
          <w:sz w:val="24"/>
          <w:szCs w:val="24"/>
          <w:lang w:eastAsia="en-GB" w:bidi="ar-SA"/>
        </w:rPr>
        <w:t>water–rock interactions</w:t>
      </w:r>
      <w:r w:rsidRPr="002D0E72">
        <w:rPr>
          <w:rFonts w:ascii="Times New Roman" w:eastAsia="Times New Roman" w:hAnsi="Times New Roman" w:cs="Times New Roman"/>
          <w:sz w:val="24"/>
          <w:szCs w:val="24"/>
          <w:lang w:eastAsia="en-GB" w:bidi="ar-SA"/>
        </w:rPr>
        <w:t xml:space="preserve">. Results reveal a dominance of the </w:t>
      </w:r>
      <w:r w:rsidRPr="002D0E72">
        <w:rPr>
          <w:rFonts w:ascii="Times New Roman" w:eastAsia="Times New Roman" w:hAnsi="Times New Roman" w:cs="Times New Roman"/>
          <w:bCs/>
          <w:sz w:val="24"/>
          <w:szCs w:val="24"/>
          <w:lang w:eastAsia="en-GB" w:bidi="ar-SA"/>
        </w:rPr>
        <w:t>Na-HCO₃ water type</w:t>
      </w:r>
      <w:r w:rsidRPr="002D0E72">
        <w:rPr>
          <w:rFonts w:ascii="Times New Roman" w:eastAsia="Times New Roman" w:hAnsi="Times New Roman" w:cs="Times New Roman"/>
          <w:sz w:val="24"/>
          <w:szCs w:val="24"/>
          <w:lang w:eastAsia="en-GB" w:bidi="ar-SA"/>
        </w:rPr>
        <w:t xml:space="preserve">, coupled with active </w:t>
      </w:r>
      <w:r w:rsidRPr="002D0E72">
        <w:rPr>
          <w:rFonts w:ascii="Times New Roman" w:eastAsia="Times New Roman" w:hAnsi="Times New Roman" w:cs="Times New Roman"/>
          <w:bCs/>
          <w:sz w:val="24"/>
          <w:szCs w:val="24"/>
          <w:lang w:eastAsia="en-GB" w:bidi="ar-SA"/>
        </w:rPr>
        <w:t>cation exchange</w:t>
      </w:r>
      <w:r w:rsidRPr="002D0E72">
        <w:rPr>
          <w:rFonts w:ascii="Times New Roman" w:eastAsia="Times New Roman" w:hAnsi="Times New Roman" w:cs="Times New Roman"/>
          <w:sz w:val="24"/>
          <w:szCs w:val="24"/>
          <w:lang w:eastAsia="en-GB" w:bidi="ar-SA"/>
        </w:rPr>
        <w:t xml:space="preserve"> and extensive </w:t>
      </w:r>
      <w:r w:rsidRPr="002D0E72">
        <w:rPr>
          <w:rFonts w:ascii="Times New Roman" w:eastAsia="Times New Roman" w:hAnsi="Times New Roman" w:cs="Times New Roman"/>
          <w:bCs/>
          <w:sz w:val="24"/>
          <w:szCs w:val="24"/>
          <w:lang w:eastAsia="en-GB" w:bidi="ar-SA"/>
        </w:rPr>
        <w:t>silicate weathering</w:t>
      </w:r>
      <w:r w:rsidRPr="002D0E72">
        <w:rPr>
          <w:rFonts w:ascii="Times New Roman" w:eastAsia="Times New Roman" w:hAnsi="Times New Roman" w:cs="Times New Roman"/>
          <w:sz w:val="24"/>
          <w:szCs w:val="24"/>
          <w:lang w:eastAsia="en-GB" w:bidi="ar-SA"/>
        </w:rPr>
        <w:t xml:space="preserve">. Thermodynamic indices indicate that </w:t>
      </w:r>
      <w:r w:rsidRPr="002D0E72">
        <w:rPr>
          <w:rFonts w:ascii="Times New Roman" w:eastAsia="Times New Roman" w:hAnsi="Times New Roman" w:cs="Times New Roman"/>
          <w:bCs/>
          <w:sz w:val="24"/>
          <w:szCs w:val="24"/>
          <w:lang w:eastAsia="en-GB" w:bidi="ar-SA"/>
        </w:rPr>
        <w:t>calcite</w:t>
      </w:r>
      <w:r w:rsidRPr="002D0E72">
        <w:rPr>
          <w:rFonts w:ascii="Times New Roman" w:eastAsia="Times New Roman" w:hAnsi="Times New Roman" w:cs="Times New Roman"/>
          <w:sz w:val="24"/>
          <w:szCs w:val="24"/>
          <w:lang w:eastAsia="en-GB" w:bidi="ar-SA"/>
        </w:rPr>
        <w:t xml:space="preserve">, </w:t>
      </w:r>
      <w:r w:rsidRPr="002D0E72">
        <w:rPr>
          <w:rFonts w:ascii="Times New Roman" w:eastAsia="Times New Roman" w:hAnsi="Times New Roman" w:cs="Times New Roman"/>
          <w:bCs/>
          <w:sz w:val="24"/>
          <w:szCs w:val="24"/>
          <w:lang w:eastAsia="en-GB" w:bidi="ar-SA"/>
        </w:rPr>
        <w:t>dolomite</w:t>
      </w:r>
      <w:r w:rsidRPr="002D0E72">
        <w:rPr>
          <w:rFonts w:ascii="Times New Roman" w:eastAsia="Times New Roman" w:hAnsi="Times New Roman" w:cs="Times New Roman"/>
          <w:sz w:val="24"/>
          <w:szCs w:val="24"/>
          <w:lang w:eastAsia="en-GB" w:bidi="ar-SA"/>
        </w:rPr>
        <w:t xml:space="preserve">, and </w:t>
      </w:r>
      <w:r w:rsidRPr="002D0E72">
        <w:rPr>
          <w:rFonts w:ascii="Times New Roman" w:eastAsia="Times New Roman" w:hAnsi="Times New Roman" w:cs="Times New Roman"/>
          <w:bCs/>
          <w:sz w:val="24"/>
          <w:szCs w:val="24"/>
          <w:lang w:eastAsia="en-GB" w:bidi="ar-SA"/>
        </w:rPr>
        <w:t>gypsum</w:t>
      </w:r>
      <w:r w:rsidRPr="002D0E72">
        <w:rPr>
          <w:rFonts w:ascii="Times New Roman" w:eastAsia="Times New Roman" w:hAnsi="Times New Roman" w:cs="Times New Roman"/>
          <w:sz w:val="24"/>
          <w:szCs w:val="24"/>
          <w:lang w:eastAsia="en-GB" w:bidi="ar-SA"/>
        </w:rPr>
        <w:t xml:space="preserve"> are predominantly </w:t>
      </w:r>
      <w:r w:rsidRPr="002D0E72">
        <w:rPr>
          <w:rFonts w:ascii="Times New Roman" w:eastAsia="Times New Roman" w:hAnsi="Times New Roman" w:cs="Times New Roman"/>
          <w:bCs/>
          <w:sz w:val="24"/>
          <w:szCs w:val="24"/>
          <w:lang w:eastAsia="en-GB" w:bidi="ar-SA"/>
        </w:rPr>
        <w:t>undersaturated</w:t>
      </w:r>
      <w:r w:rsidRPr="002D0E72">
        <w:rPr>
          <w:rFonts w:ascii="Times New Roman" w:eastAsia="Times New Roman" w:hAnsi="Times New Roman" w:cs="Times New Roman"/>
          <w:sz w:val="24"/>
          <w:szCs w:val="24"/>
          <w:lang w:eastAsia="en-GB" w:bidi="ar-SA"/>
        </w:rPr>
        <w:t xml:space="preserve">, with </w:t>
      </w:r>
      <w:r w:rsidRPr="002D0E72">
        <w:rPr>
          <w:rFonts w:ascii="Times New Roman" w:eastAsia="Times New Roman" w:hAnsi="Times New Roman" w:cs="Times New Roman"/>
          <w:bCs/>
          <w:sz w:val="24"/>
          <w:szCs w:val="24"/>
          <w:lang w:eastAsia="en-GB" w:bidi="ar-SA"/>
        </w:rPr>
        <w:t>spatial and seasonal</w:t>
      </w:r>
      <w:r w:rsidRPr="002D0E72">
        <w:rPr>
          <w:rFonts w:ascii="Times New Roman" w:eastAsia="Times New Roman" w:hAnsi="Times New Roman" w:cs="Times New Roman"/>
          <w:b/>
          <w:bCs/>
          <w:sz w:val="24"/>
          <w:szCs w:val="24"/>
          <w:lang w:eastAsia="en-GB" w:bidi="ar-SA"/>
        </w:rPr>
        <w:t xml:space="preserve"> </w:t>
      </w:r>
      <w:r w:rsidRPr="002D0E72">
        <w:rPr>
          <w:rFonts w:ascii="Times New Roman" w:eastAsia="Times New Roman" w:hAnsi="Times New Roman" w:cs="Times New Roman"/>
          <w:bCs/>
          <w:sz w:val="24"/>
          <w:szCs w:val="24"/>
          <w:lang w:eastAsia="en-GB" w:bidi="ar-SA"/>
        </w:rPr>
        <w:t>variations</w:t>
      </w:r>
      <w:r w:rsidRPr="002D0E72">
        <w:rPr>
          <w:rFonts w:ascii="Times New Roman" w:eastAsia="Times New Roman" w:hAnsi="Times New Roman" w:cs="Times New Roman"/>
          <w:sz w:val="24"/>
          <w:szCs w:val="24"/>
          <w:lang w:eastAsia="en-GB" w:bidi="ar-SA"/>
        </w:rPr>
        <w:t xml:space="preserve"> reflecting the interplay between </w:t>
      </w:r>
      <w:r w:rsidRPr="002D0E72">
        <w:rPr>
          <w:rFonts w:ascii="Times New Roman" w:eastAsia="Times New Roman" w:hAnsi="Times New Roman" w:cs="Times New Roman"/>
          <w:bCs/>
          <w:sz w:val="24"/>
          <w:szCs w:val="24"/>
          <w:lang w:eastAsia="en-GB" w:bidi="ar-SA"/>
        </w:rPr>
        <w:t>geogenic factors</w:t>
      </w:r>
      <w:r w:rsidRPr="002D0E72">
        <w:rPr>
          <w:rFonts w:ascii="Times New Roman" w:eastAsia="Times New Roman" w:hAnsi="Times New Roman" w:cs="Times New Roman"/>
          <w:sz w:val="24"/>
          <w:szCs w:val="24"/>
          <w:lang w:eastAsia="en-GB" w:bidi="ar-SA"/>
        </w:rPr>
        <w:t xml:space="preserve"> and </w:t>
      </w:r>
      <w:r w:rsidRPr="002D0E72">
        <w:rPr>
          <w:rFonts w:ascii="Times New Roman" w:eastAsia="Times New Roman" w:hAnsi="Times New Roman" w:cs="Times New Roman"/>
          <w:bCs/>
          <w:sz w:val="24"/>
          <w:szCs w:val="24"/>
          <w:lang w:eastAsia="en-GB" w:bidi="ar-SA"/>
        </w:rPr>
        <w:t>anthropogenic influences</w:t>
      </w:r>
      <w:r w:rsidRPr="002D0E72">
        <w:rPr>
          <w:rFonts w:ascii="Times New Roman" w:eastAsia="Times New Roman" w:hAnsi="Times New Roman" w:cs="Times New Roman"/>
          <w:sz w:val="24"/>
          <w:szCs w:val="24"/>
          <w:lang w:eastAsia="en-GB" w:bidi="ar-SA"/>
        </w:rPr>
        <w:t xml:space="preserve">, particularly from land use changes and urban development. </w:t>
      </w:r>
      <w:r w:rsidRPr="002D0E72">
        <w:rPr>
          <w:rFonts w:ascii="Times New Roman" w:hAnsi="Times New Roman" w:cs="Times New Roman"/>
          <w:lang w:bidi="ar-SA"/>
        </w:rPr>
        <w:t xml:space="preserve">These findings underscore the aquifer’s </w:t>
      </w:r>
      <w:r w:rsidRPr="002D0E72">
        <w:rPr>
          <w:rFonts w:ascii="Times New Roman" w:hAnsi="Times New Roman" w:cs="Times New Roman"/>
          <w:bCs/>
          <w:lang w:bidi="ar-SA"/>
        </w:rPr>
        <w:t>limited buffering capacity</w:t>
      </w:r>
      <w:r w:rsidRPr="002D0E72">
        <w:rPr>
          <w:rFonts w:ascii="Times New Roman" w:hAnsi="Times New Roman" w:cs="Times New Roman"/>
          <w:lang w:bidi="ar-SA"/>
        </w:rPr>
        <w:t xml:space="preserve"> and its </w:t>
      </w:r>
      <w:r w:rsidRPr="002D0E72">
        <w:rPr>
          <w:rFonts w:ascii="Times New Roman" w:hAnsi="Times New Roman" w:cs="Times New Roman"/>
          <w:bCs/>
          <w:lang w:bidi="ar-SA"/>
        </w:rPr>
        <w:t>vulnerability to quality degradation</w:t>
      </w:r>
      <w:r w:rsidRPr="002D0E72">
        <w:rPr>
          <w:rFonts w:ascii="Times New Roman" w:hAnsi="Times New Roman" w:cs="Times New Roman"/>
          <w:lang w:bidi="ar-SA"/>
        </w:rPr>
        <w:t xml:space="preserve">, with significant implications for </w:t>
      </w:r>
      <w:r w:rsidRPr="002D0E72">
        <w:rPr>
          <w:rFonts w:ascii="Times New Roman" w:hAnsi="Times New Roman" w:cs="Times New Roman"/>
          <w:bCs/>
          <w:lang w:bidi="ar-SA"/>
        </w:rPr>
        <w:t>groundwater management</w:t>
      </w:r>
      <w:r w:rsidRPr="002D0E72">
        <w:rPr>
          <w:rFonts w:ascii="Times New Roman" w:hAnsi="Times New Roman" w:cs="Times New Roman"/>
          <w:lang w:bidi="ar-SA"/>
        </w:rPr>
        <w:t xml:space="preserve"> and </w:t>
      </w:r>
      <w:r w:rsidRPr="002D0E72">
        <w:rPr>
          <w:rFonts w:ascii="Times New Roman" w:hAnsi="Times New Roman" w:cs="Times New Roman"/>
          <w:bCs/>
          <w:lang w:bidi="ar-SA"/>
        </w:rPr>
        <w:t>aquifer sustainability</w:t>
      </w:r>
      <w:r w:rsidRPr="002D0E72">
        <w:rPr>
          <w:rFonts w:ascii="Times New Roman" w:hAnsi="Times New Roman" w:cs="Times New Roman"/>
          <w:lang w:bidi="ar-SA"/>
        </w:rPr>
        <w:t xml:space="preserve"> in rapidly urbanizing settings. The study provides a scientific basis for informed decision-making aimed at preserving groundwater quality and ensuring long-term water security in Enugu</w:t>
      </w:r>
      <w:r w:rsidR="00F41197">
        <w:rPr>
          <w:rFonts w:ascii="Times New Roman" w:hAnsi="Times New Roman" w:cs="Times New Roman"/>
          <w:lang w:bidi="ar-SA"/>
        </w:rPr>
        <w:t>.</w:t>
      </w:r>
    </w:p>
    <w:p w14:paraId="1F60767E" w14:textId="2EC819EF" w:rsidR="0080783E" w:rsidRPr="005E5F15" w:rsidRDefault="004C5AFF" w:rsidP="0080783E">
      <w:pPr>
        <w:jc w:val="both"/>
        <w:rPr>
          <w:rFonts w:ascii="Times New Roman" w:hAnsi="Times New Roman" w:cs="Times New Roman"/>
          <w:sz w:val="24"/>
          <w:szCs w:val="24"/>
          <w:lang w:val="en-US"/>
        </w:rPr>
      </w:pPr>
      <w:r>
        <w:rPr>
          <w:rFonts w:ascii="Times New Roman" w:hAnsi="Times New Roman" w:cs="Times New Roman"/>
          <w:b/>
          <w:bCs/>
          <w:sz w:val="24"/>
          <w:szCs w:val="24"/>
          <w:lang w:val="en-US"/>
        </w:rPr>
        <w:t>K</w:t>
      </w:r>
      <w:r w:rsidR="0080783E" w:rsidRPr="005E5F15">
        <w:rPr>
          <w:rFonts w:ascii="Times New Roman" w:hAnsi="Times New Roman" w:cs="Times New Roman"/>
          <w:b/>
          <w:bCs/>
          <w:sz w:val="24"/>
          <w:szCs w:val="24"/>
          <w:lang w:val="en-US"/>
        </w:rPr>
        <w:t>eywords:</w:t>
      </w:r>
      <w:r w:rsidR="0080783E" w:rsidRPr="005E5F15">
        <w:rPr>
          <w:rFonts w:ascii="Times New Roman" w:hAnsi="Times New Roman" w:cs="Times New Roman"/>
          <w:sz w:val="24"/>
          <w:szCs w:val="24"/>
          <w:lang w:val="en-US"/>
        </w:rPr>
        <w:t xml:space="preserve"> Hydrogeochemical evolution · Thermodynamics · Saturation index · Silicate weathering · Cation exchange · Enugu aquifer</w:t>
      </w:r>
    </w:p>
    <w:p w14:paraId="52AE82E9" w14:textId="77777777"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1. Introduction</w:t>
      </w:r>
    </w:p>
    <w:p w14:paraId="0BE10348" w14:textId="1782D932" w:rsidR="0080783E" w:rsidRPr="005E5F15" w:rsidRDefault="005E5F15" w:rsidP="0080783E">
      <w:pPr>
        <w:jc w:val="both"/>
        <w:rPr>
          <w:rFonts w:ascii="Times New Roman" w:hAnsi="Times New Roman" w:cs="Times New Roman"/>
          <w:sz w:val="24"/>
          <w:szCs w:val="24"/>
        </w:rPr>
      </w:pPr>
      <w:r w:rsidRPr="005E5F15">
        <w:rPr>
          <w:rFonts w:ascii="Times New Roman" w:hAnsi="Times New Roman" w:cs="Times New Roman"/>
          <w:sz w:val="24"/>
          <w:szCs w:val="24"/>
        </w:rPr>
        <w:t>The</w:t>
      </w:r>
      <w:r w:rsidRPr="005E5F15">
        <w:rPr>
          <w:rFonts w:ascii="Times New Roman" w:hAnsi="Times New Roman" w:cs="Times New Roman"/>
          <w:spacing w:val="-7"/>
          <w:sz w:val="24"/>
          <w:szCs w:val="24"/>
        </w:rPr>
        <w:t xml:space="preserve"> </w:t>
      </w:r>
      <w:r w:rsidRPr="005E5F15">
        <w:rPr>
          <w:rFonts w:ascii="Times New Roman" w:hAnsi="Times New Roman" w:cs="Times New Roman"/>
          <w:sz w:val="24"/>
          <w:szCs w:val="24"/>
        </w:rPr>
        <w:t>examination</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of</w:t>
      </w:r>
      <w:r w:rsidRPr="005E5F15">
        <w:rPr>
          <w:rFonts w:ascii="Times New Roman" w:hAnsi="Times New Roman" w:cs="Times New Roman"/>
          <w:spacing w:val="-7"/>
          <w:sz w:val="24"/>
          <w:szCs w:val="24"/>
        </w:rPr>
        <w:t xml:space="preserve"> </w:t>
      </w:r>
      <w:r w:rsidRPr="005E5F15">
        <w:rPr>
          <w:rFonts w:ascii="Times New Roman" w:hAnsi="Times New Roman" w:cs="Times New Roman"/>
          <w:sz w:val="24"/>
          <w:szCs w:val="24"/>
        </w:rPr>
        <w:t>the</w:t>
      </w:r>
      <w:r w:rsidRPr="005E5F15">
        <w:rPr>
          <w:rFonts w:ascii="Times New Roman" w:hAnsi="Times New Roman" w:cs="Times New Roman"/>
          <w:spacing w:val="-5"/>
          <w:sz w:val="24"/>
          <w:szCs w:val="24"/>
        </w:rPr>
        <w:t xml:space="preserve"> </w:t>
      </w:r>
      <w:r w:rsidRPr="005E5F15">
        <w:rPr>
          <w:rFonts w:ascii="Times New Roman" w:hAnsi="Times New Roman" w:cs="Times New Roman"/>
          <w:sz w:val="24"/>
          <w:szCs w:val="24"/>
        </w:rPr>
        <w:t>chemical</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evolution</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of</w:t>
      </w:r>
      <w:r w:rsidRPr="005E5F15">
        <w:rPr>
          <w:rFonts w:ascii="Times New Roman" w:hAnsi="Times New Roman" w:cs="Times New Roman"/>
          <w:spacing w:val="-5"/>
          <w:sz w:val="24"/>
          <w:szCs w:val="24"/>
        </w:rPr>
        <w:t xml:space="preserve"> </w:t>
      </w:r>
      <w:r w:rsidRPr="005E5F15">
        <w:rPr>
          <w:rFonts w:ascii="Times New Roman" w:hAnsi="Times New Roman" w:cs="Times New Roman"/>
          <w:sz w:val="24"/>
          <w:szCs w:val="24"/>
        </w:rPr>
        <w:t>groundwater</w:t>
      </w:r>
      <w:r w:rsidRPr="005E5F15">
        <w:rPr>
          <w:rFonts w:ascii="Times New Roman" w:hAnsi="Times New Roman" w:cs="Times New Roman"/>
          <w:spacing w:val="-7"/>
          <w:sz w:val="24"/>
          <w:szCs w:val="24"/>
        </w:rPr>
        <w:t xml:space="preserve"> </w:t>
      </w:r>
      <w:r w:rsidRPr="005E5F15">
        <w:rPr>
          <w:rFonts w:ascii="Times New Roman" w:hAnsi="Times New Roman" w:cs="Times New Roman"/>
          <w:sz w:val="24"/>
          <w:szCs w:val="24"/>
        </w:rPr>
        <w:t>serves</w:t>
      </w:r>
      <w:r w:rsidRPr="005E5F15">
        <w:rPr>
          <w:rFonts w:ascii="Times New Roman" w:hAnsi="Times New Roman" w:cs="Times New Roman"/>
          <w:spacing w:val="-3"/>
          <w:sz w:val="24"/>
          <w:szCs w:val="24"/>
        </w:rPr>
        <w:t xml:space="preserve"> </w:t>
      </w:r>
      <w:r w:rsidRPr="005E5F15">
        <w:rPr>
          <w:rFonts w:ascii="Times New Roman" w:hAnsi="Times New Roman" w:cs="Times New Roman"/>
          <w:sz w:val="24"/>
          <w:szCs w:val="24"/>
        </w:rPr>
        <w:t>as</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an</w:t>
      </w:r>
      <w:r w:rsidRPr="005E5F15">
        <w:rPr>
          <w:rFonts w:ascii="Times New Roman" w:hAnsi="Times New Roman" w:cs="Times New Roman"/>
          <w:spacing w:val="-4"/>
          <w:sz w:val="24"/>
          <w:szCs w:val="24"/>
        </w:rPr>
        <w:t xml:space="preserve"> </w:t>
      </w:r>
      <w:r w:rsidRPr="005E5F15">
        <w:rPr>
          <w:rFonts w:ascii="Times New Roman" w:hAnsi="Times New Roman" w:cs="Times New Roman"/>
          <w:sz w:val="24"/>
          <w:szCs w:val="24"/>
        </w:rPr>
        <w:t>essential</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planning</w:t>
      </w:r>
      <w:r w:rsidRPr="005E5F15">
        <w:rPr>
          <w:rFonts w:ascii="Times New Roman" w:hAnsi="Times New Roman" w:cs="Times New Roman"/>
          <w:spacing w:val="-6"/>
          <w:sz w:val="24"/>
          <w:szCs w:val="24"/>
        </w:rPr>
        <w:t xml:space="preserve"> </w:t>
      </w:r>
      <w:r w:rsidRPr="005E5F15">
        <w:rPr>
          <w:rFonts w:ascii="Times New Roman" w:hAnsi="Times New Roman" w:cs="Times New Roman"/>
          <w:sz w:val="24"/>
          <w:szCs w:val="24"/>
        </w:rPr>
        <w:t>tool</w:t>
      </w:r>
      <w:r w:rsidRPr="005E5F15">
        <w:rPr>
          <w:rFonts w:ascii="Times New Roman" w:hAnsi="Times New Roman" w:cs="Times New Roman"/>
          <w:spacing w:val="-58"/>
          <w:sz w:val="24"/>
          <w:szCs w:val="24"/>
        </w:rPr>
        <w:t xml:space="preserve"> </w:t>
      </w:r>
      <w:r w:rsidRPr="005E5F15">
        <w:rPr>
          <w:rFonts w:ascii="Times New Roman" w:hAnsi="Times New Roman" w:cs="Times New Roman"/>
          <w:sz w:val="24"/>
          <w:szCs w:val="24"/>
        </w:rPr>
        <w:t>for various sectors, including municipal, commercial, industrial, agricultural, and drinking</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water</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supplies.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Water's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chemical</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composition</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is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primarily</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influenced</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by</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its</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constituent</w:t>
      </w:r>
      <w:r w:rsidRPr="005E5F15">
        <w:rPr>
          <w:rFonts w:ascii="Times New Roman" w:hAnsi="Times New Roman" w:cs="Times New Roman"/>
          <w:spacing w:val="1"/>
          <w:sz w:val="24"/>
          <w:szCs w:val="24"/>
        </w:rPr>
        <w:t xml:space="preserve"> </w:t>
      </w:r>
      <w:r w:rsidRPr="005E5F15">
        <w:rPr>
          <w:rFonts w:ascii="Times New Roman" w:hAnsi="Times New Roman" w:cs="Times New Roman"/>
          <w:sz w:val="24"/>
          <w:szCs w:val="24"/>
        </w:rPr>
        <w:t xml:space="preserve">dissolved mineral species, often undergoing modifications through </w:t>
      </w:r>
      <w:r>
        <w:rPr>
          <w:rFonts w:ascii="Times New Roman" w:hAnsi="Times New Roman" w:cs="Times New Roman"/>
          <w:sz w:val="24"/>
          <w:szCs w:val="24"/>
        </w:rPr>
        <w:t>different</w:t>
      </w:r>
      <w:r w:rsidRPr="005E5F15">
        <w:rPr>
          <w:rFonts w:ascii="Times New Roman" w:hAnsi="Times New Roman" w:cs="Times New Roman"/>
          <w:sz w:val="24"/>
          <w:szCs w:val="24"/>
        </w:rPr>
        <w:t xml:space="preserve"> processes.</w:t>
      </w:r>
      <w:r w:rsidRPr="005E5F15">
        <w:rPr>
          <w:rFonts w:ascii="Times New Roman" w:hAnsi="Times New Roman" w:cs="Times New Roman"/>
          <w:spacing w:val="1"/>
          <w:sz w:val="24"/>
          <w:szCs w:val="24"/>
        </w:rPr>
        <w:t xml:space="preserve"> </w:t>
      </w:r>
      <w:r w:rsidR="00AD67B1" w:rsidRPr="005E5F15">
        <w:rPr>
          <w:rFonts w:ascii="Times New Roman" w:hAnsi="Times New Roman" w:cs="Times New Roman"/>
          <w:sz w:val="24"/>
          <w:szCs w:val="24"/>
        </w:rPr>
        <w:t>Shallow groundwater in Enugu Urban, southeastern Nigeria, is a vital resource for domestic and agricultural use, but its quality and sustainability are increasingly threatened by urbani</w:t>
      </w:r>
      <w:r w:rsidR="00F41197">
        <w:rPr>
          <w:rFonts w:ascii="Times New Roman" w:hAnsi="Times New Roman" w:cs="Times New Roman"/>
          <w:sz w:val="24"/>
          <w:szCs w:val="24"/>
        </w:rPr>
        <w:t>s</w:t>
      </w:r>
      <w:r w:rsidR="00AD67B1" w:rsidRPr="005E5F15">
        <w:rPr>
          <w:rFonts w:ascii="Times New Roman" w:hAnsi="Times New Roman" w:cs="Times New Roman"/>
          <w:sz w:val="24"/>
          <w:szCs w:val="24"/>
        </w:rPr>
        <w:t>ation and geogenic processes (Ezeh et al., 2017; Edet, 2021; Nwachukwu et al., 2020). Understanding the thermodynamic and hydrogeochemical evolution of th</w:t>
      </w:r>
      <w:r w:rsidR="00DE6068">
        <w:rPr>
          <w:rFonts w:ascii="Times New Roman" w:hAnsi="Times New Roman" w:cs="Times New Roman"/>
          <w:sz w:val="24"/>
          <w:szCs w:val="24"/>
        </w:rPr>
        <w:t>e</w:t>
      </w:r>
      <w:r w:rsidR="00AD67B1" w:rsidRPr="005E5F15">
        <w:rPr>
          <w:rFonts w:ascii="Times New Roman" w:hAnsi="Times New Roman" w:cs="Times New Roman"/>
          <w:sz w:val="24"/>
          <w:szCs w:val="24"/>
        </w:rPr>
        <w:t xml:space="preserve"> aquifer is essential for predicting water quality trends, mineral stability, and the impacts of anthropogenic activities (Appelo and Postma, 2005; </w:t>
      </w:r>
      <w:proofErr w:type="spellStart"/>
      <w:r w:rsidR="00AD67B1" w:rsidRPr="005E5F15">
        <w:rPr>
          <w:rFonts w:ascii="Times New Roman" w:hAnsi="Times New Roman" w:cs="Times New Roman"/>
          <w:sz w:val="24"/>
          <w:szCs w:val="24"/>
        </w:rPr>
        <w:t>Ganyecz</w:t>
      </w:r>
      <w:proofErr w:type="spellEnd"/>
      <w:r w:rsidR="00AD67B1" w:rsidRPr="005E5F15">
        <w:rPr>
          <w:rFonts w:ascii="Times New Roman" w:hAnsi="Times New Roman" w:cs="Times New Roman"/>
          <w:sz w:val="24"/>
          <w:szCs w:val="24"/>
        </w:rPr>
        <w:t xml:space="preserve"> et al., 2022). Hydrogeochemical evolution in shallow aquifers is governed by water-rock interactions, ion exchange, mineral dissolution/precipitation, and mixing, all of which are influenced by thermodynamic constraints (Gibbs, 1970; </w:t>
      </w:r>
      <w:proofErr w:type="spellStart"/>
      <w:r w:rsidR="00AD67B1" w:rsidRPr="005E5F15">
        <w:rPr>
          <w:rFonts w:ascii="Times New Roman" w:hAnsi="Times New Roman" w:cs="Times New Roman"/>
          <w:sz w:val="24"/>
          <w:szCs w:val="24"/>
        </w:rPr>
        <w:t>Stuyfzand</w:t>
      </w:r>
      <w:proofErr w:type="spellEnd"/>
      <w:r w:rsidR="00AD67B1" w:rsidRPr="005E5F15">
        <w:rPr>
          <w:rFonts w:ascii="Times New Roman" w:hAnsi="Times New Roman" w:cs="Times New Roman"/>
          <w:sz w:val="24"/>
          <w:szCs w:val="24"/>
        </w:rPr>
        <w:t xml:space="preserve">, 1993). </w:t>
      </w:r>
    </w:p>
    <w:p w14:paraId="56454DF5" w14:textId="25E6F4B0" w:rsidR="006A409B" w:rsidRPr="005E5F15" w:rsidRDefault="006A409B" w:rsidP="006A409B">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A comprehensive study in the Huainan coalfield (Anhui, China) used PHREEQC to calculate saturation </w:t>
      </w:r>
      <w:proofErr w:type="gramStart"/>
      <w:r w:rsidRPr="005E5F15">
        <w:rPr>
          <w:rFonts w:ascii="Times New Roman" w:hAnsi="Times New Roman" w:cs="Times New Roman"/>
          <w:sz w:val="24"/>
          <w:szCs w:val="24"/>
          <w:lang w:val="en-US"/>
        </w:rPr>
        <w:t>index</w:t>
      </w:r>
      <w:r w:rsidR="005E5F15">
        <w:rPr>
          <w:rFonts w:ascii="Times New Roman" w:hAnsi="Times New Roman" w:cs="Times New Roman"/>
          <w:sz w:val="24"/>
          <w:szCs w:val="24"/>
          <w:lang w:val="en-US"/>
        </w:rPr>
        <w:t>(</w:t>
      </w:r>
      <w:proofErr w:type="gramEnd"/>
      <w:r w:rsidR="005E5F15">
        <w:rPr>
          <w:rFonts w:ascii="Times New Roman" w:hAnsi="Times New Roman" w:cs="Times New Roman"/>
          <w:sz w:val="24"/>
          <w:szCs w:val="24"/>
          <w:lang w:val="en-US"/>
        </w:rPr>
        <w:t>SI)</w:t>
      </w:r>
      <w:r w:rsidR="00DE6068">
        <w:rPr>
          <w:rFonts w:ascii="Times New Roman" w:hAnsi="Times New Roman" w:cs="Times New Roman"/>
          <w:sz w:val="24"/>
          <w:szCs w:val="24"/>
          <w:lang w:val="en-US"/>
        </w:rPr>
        <w:t>,</w:t>
      </w:r>
      <w:r w:rsidRPr="005E5F15">
        <w:rPr>
          <w:rFonts w:ascii="Times New Roman" w:hAnsi="Times New Roman" w:cs="Times New Roman"/>
          <w:sz w:val="24"/>
          <w:szCs w:val="24"/>
          <w:lang w:val="en-US"/>
        </w:rPr>
        <w:t xml:space="preserve"> found calcite and dolomite to be oversaturated in shallow groundwater, indicating active dissolution at early stages. The positive S</w:t>
      </w:r>
      <w:r w:rsidR="006F4AFD">
        <w:rPr>
          <w:rFonts w:ascii="Times New Roman" w:hAnsi="Times New Roman" w:cs="Times New Roman"/>
          <w:sz w:val="24"/>
          <w:szCs w:val="24"/>
          <w:lang w:val="en-US"/>
        </w:rPr>
        <w:t>I</w:t>
      </w:r>
      <w:r w:rsidRPr="005E5F15">
        <w:rPr>
          <w:rFonts w:ascii="Times New Roman" w:hAnsi="Times New Roman" w:cs="Times New Roman"/>
          <w:sz w:val="24"/>
          <w:szCs w:val="24"/>
          <w:lang w:val="en-US"/>
        </w:rPr>
        <w:t>s in the</w:t>
      </w:r>
      <w:r w:rsidR="006F4AFD">
        <w:rPr>
          <w:rFonts w:ascii="Times New Roman" w:hAnsi="Times New Roman" w:cs="Times New Roman"/>
          <w:sz w:val="24"/>
          <w:szCs w:val="24"/>
          <w:lang w:val="en-US"/>
        </w:rPr>
        <w:t xml:space="preserve"> study</w:t>
      </w:r>
      <w:r w:rsidRPr="005E5F15">
        <w:rPr>
          <w:rFonts w:ascii="Times New Roman" w:hAnsi="Times New Roman" w:cs="Times New Roman"/>
          <w:sz w:val="24"/>
          <w:szCs w:val="24"/>
          <w:lang w:val="en-US"/>
        </w:rPr>
        <w:t xml:space="preserve"> indicate carbonate precipitation/deposition tendencies, even though fresh carbonate aquifer rock is concurrently </w:t>
      </w:r>
      <w:r w:rsidRPr="005E5F15">
        <w:rPr>
          <w:rFonts w:ascii="Times New Roman" w:hAnsi="Times New Roman" w:cs="Times New Roman"/>
          <w:sz w:val="24"/>
          <w:szCs w:val="24"/>
          <w:lang w:val="en-US"/>
        </w:rPr>
        <w:lastRenderedPageBreak/>
        <w:t>dissolving especially at early stages when groundwater is undersaturated with respect to Ca²</w:t>
      </w:r>
      <w:r w:rsidRPr="005E5F15">
        <w:rPr>
          <w:rFonts w:ascii="Cambria Math" w:hAnsi="Cambria Math" w:cs="Cambria Math"/>
          <w:sz w:val="24"/>
          <w:szCs w:val="24"/>
          <w:lang w:val="en-US"/>
        </w:rPr>
        <w:t>⁺</w:t>
      </w:r>
      <w:r w:rsidRPr="005E5F15">
        <w:rPr>
          <w:rFonts w:ascii="Times New Roman" w:hAnsi="Times New Roman" w:cs="Times New Roman"/>
          <w:sz w:val="24"/>
          <w:szCs w:val="24"/>
          <w:lang w:val="en-US"/>
        </w:rPr>
        <w:t xml:space="preserve"> and Mg²</w:t>
      </w:r>
      <w:r w:rsidRPr="005E5F15">
        <w:rPr>
          <w:rFonts w:ascii="Cambria Math" w:hAnsi="Cambria Math" w:cs="Cambria Math"/>
          <w:sz w:val="24"/>
          <w:szCs w:val="24"/>
          <w:lang w:val="en-US"/>
        </w:rPr>
        <w:t>⁺</w:t>
      </w:r>
      <w:r w:rsidRPr="005E5F15">
        <w:rPr>
          <w:rFonts w:ascii="Times New Roman" w:hAnsi="Times New Roman" w:cs="Times New Roman"/>
          <w:sz w:val="24"/>
          <w:szCs w:val="24"/>
          <w:lang w:val="en-US"/>
        </w:rPr>
        <w:t xml:space="preserve"> (</w:t>
      </w:r>
      <w:r w:rsidR="002F636E">
        <w:rPr>
          <w:rFonts w:ascii="Times New Roman" w:hAnsi="Times New Roman" w:cs="Times New Roman"/>
          <w:sz w:val="24"/>
          <w:szCs w:val="24"/>
          <w:lang w:val="en-US"/>
        </w:rPr>
        <w:t>Hasan</w:t>
      </w:r>
      <w:r w:rsidRPr="005E5F15">
        <w:rPr>
          <w:rFonts w:ascii="Times New Roman" w:hAnsi="Times New Roman" w:cs="Times New Roman"/>
          <w:sz w:val="24"/>
          <w:szCs w:val="24"/>
          <w:lang w:val="en-US"/>
        </w:rPr>
        <w:t xml:space="preserve"> et al., 2023).</w:t>
      </w:r>
    </w:p>
    <w:p w14:paraId="2F2C176F" w14:textId="6BDFE323" w:rsidR="0080423B" w:rsidRDefault="006A409B"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 Volcanic aquifers in Indonesia evolve from Ca – Mg - HCO</w:t>
      </w:r>
      <w:r w:rsidRPr="00DE6068">
        <w:rPr>
          <w:rFonts w:ascii="Times New Roman" w:hAnsi="Times New Roman" w:cs="Times New Roman"/>
          <w:sz w:val="24"/>
          <w:szCs w:val="24"/>
          <w:vertAlign w:val="subscript"/>
          <w:lang w:val="en-US"/>
        </w:rPr>
        <w:t>3</w:t>
      </w:r>
      <w:r w:rsidRPr="005E5F15">
        <w:rPr>
          <w:rFonts w:ascii="Times New Roman" w:hAnsi="Times New Roman" w:cs="Times New Roman"/>
          <w:sz w:val="24"/>
          <w:szCs w:val="24"/>
          <w:lang w:val="en-US"/>
        </w:rPr>
        <w:t xml:space="preserve"> in recharge zones to Na – Cl – SO</w:t>
      </w:r>
      <w:r w:rsidRPr="00DE6068">
        <w:rPr>
          <w:rFonts w:ascii="Times New Roman" w:hAnsi="Times New Roman" w:cs="Times New Roman"/>
          <w:sz w:val="24"/>
          <w:szCs w:val="24"/>
          <w:vertAlign w:val="subscript"/>
          <w:lang w:val="en-US"/>
        </w:rPr>
        <w:t>4</w:t>
      </w:r>
      <w:r w:rsidRPr="005E5F15">
        <w:rPr>
          <w:rFonts w:ascii="Times New Roman" w:hAnsi="Times New Roman" w:cs="Times New Roman"/>
          <w:sz w:val="24"/>
          <w:szCs w:val="24"/>
          <w:lang w:val="en-US"/>
        </w:rPr>
        <w:t xml:space="preserve"> in discharge zones driven by prolonged rock-water interaction and ion exchange (e.g., Ca/Mg uptake in exchange sites and Na/Cl release) (Razi et al., 2024). Saturation index (SI) computed via PHREEQC offer</w:t>
      </w:r>
      <w:r w:rsidR="00F41197">
        <w:rPr>
          <w:rFonts w:ascii="Times New Roman" w:hAnsi="Times New Roman" w:cs="Times New Roman"/>
          <w:sz w:val="24"/>
          <w:szCs w:val="24"/>
          <w:lang w:val="en-US"/>
        </w:rPr>
        <w:t>s</w:t>
      </w:r>
      <w:r w:rsidRPr="005E5F15">
        <w:rPr>
          <w:rFonts w:ascii="Times New Roman" w:hAnsi="Times New Roman" w:cs="Times New Roman"/>
          <w:sz w:val="24"/>
          <w:szCs w:val="24"/>
          <w:lang w:val="en-US"/>
        </w:rPr>
        <w:t xml:space="preserve"> insights into dissolution or precipitation trends in aquifers (Song and </w:t>
      </w:r>
      <w:proofErr w:type="spellStart"/>
      <w:r w:rsidRPr="005E5F15">
        <w:rPr>
          <w:rFonts w:ascii="Times New Roman" w:hAnsi="Times New Roman" w:cs="Times New Roman"/>
          <w:sz w:val="24"/>
          <w:szCs w:val="24"/>
          <w:lang w:val="en-US"/>
        </w:rPr>
        <w:t>Zhon</w:t>
      </w:r>
      <w:proofErr w:type="spellEnd"/>
      <w:r w:rsidRPr="005E5F15">
        <w:rPr>
          <w:rFonts w:ascii="Times New Roman" w:hAnsi="Times New Roman" w:cs="Times New Roman"/>
          <w:sz w:val="24"/>
          <w:szCs w:val="24"/>
          <w:lang w:val="en-US"/>
        </w:rPr>
        <w:t>, 2024). PHREEQC power lies in coupling thermodynamics with reaction pathways and flow for competitive weathering simulations and health-risk groundwater models  (</w:t>
      </w:r>
      <w:proofErr w:type="spellStart"/>
      <w:r w:rsidR="00562067">
        <w:rPr>
          <w:rFonts w:ascii="Times New Roman" w:hAnsi="Times New Roman" w:cs="Times New Roman"/>
          <w:sz w:val="24"/>
          <w:szCs w:val="24"/>
          <w:lang w:val="en-US"/>
        </w:rPr>
        <w:t>Sunkari</w:t>
      </w:r>
      <w:proofErr w:type="spellEnd"/>
      <w:r w:rsidR="00562067">
        <w:rPr>
          <w:rFonts w:ascii="Times New Roman" w:hAnsi="Times New Roman" w:cs="Times New Roman"/>
          <w:sz w:val="24"/>
          <w:szCs w:val="24"/>
          <w:lang w:val="en-US"/>
        </w:rPr>
        <w:t xml:space="preserve"> et al., 2021</w:t>
      </w:r>
      <w:r w:rsidRPr="005E5F15">
        <w:rPr>
          <w:rFonts w:ascii="Times New Roman" w:hAnsi="Times New Roman" w:cs="Times New Roman"/>
          <w:sz w:val="24"/>
          <w:szCs w:val="24"/>
          <w:lang w:val="en-US"/>
        </w:rPr>
        <w:t>). Shallow aquifers evolve via overlapping geochemical pathways, mineral dissolution/precipitation, cation-exchange, evaporation effects, recharge input and reactive transport modeling. Modern hydrochemical investigations combine SI analysis, cation exchange identification, and reactive-transport modeling using PHREEQC to reveal a nuanced picture. This allows comprehensive tracking of aquifer maturation from recharge through geochemical development to guide water management, predict contaminant interactions (e.g., fluoride, arsenic), and inform remediation design</w:t>
      </w:r>
      <w:r w:rsidR="00562067">
        <w:rPr>
          <w:rFonts w:ascii="Times New Roman" w:hAnsi="Times New Roman" w:cs="Times New Roman"/>
          <w:sz w:val="24"/>
          <w:szCs w:val="24"/>
          <w:lang w:val="en-US"/>
        </w:rPr>
        <w:t xml:space="preserve"> (Ansari and Umar, 2019)</w:t>
      </w:r>
      <w:r w:rsidRPr="005E5F15">
        <w:rPr>
          <w:rFonts w:ascii="Times New Roman" w:hAnsi="Times New Roman" w:cs="Times New Roman"/>
          <w:sz w:val="24"/>
          <w:szCs w:val="24"/>
          <w:lang w:val="en-US"/>
        </w:rPr>
        <w:t>.</w:t>
      </w:r>
      <w:r w:rsidR="006F4AFD">
        <w:rPr>
          <w:rFonts w:ascii="Times New Roman" w:hAnsi="Times New Roman" w:cs="Times New Roman"/>
          <w:sz w:val="24"/>
          <w:szCs w:val="24"/>
          <w:lang w:val="en-US"/>
        </w:rPr>
        <w:t xml:space="preserve"> </w:t>
      </w:r>
    </w:p>
    <w:p w14:paraId="5247A471" w14:textId="2AE7392B" w:rsidR="0080783E" w:rsidRDefault="0080423B" w:rsidP="0080783E">
      <w:pPr>
        <w:jc w:val="both"/>
        <w:rPr>
          <w:rFonts w:ascii="Times New Roman" w:hAnsi="Times New Roman" w:cs="Times New Roman"/>
          <w:sz w:val="24"/>
          <w:szCs w:val="24"/>
        </w:rPr>
      </w:pPr>
      <w:r w:rsidRPr="0080423B">
        <w:rPr>
          <w:rFonts w:ascii="Times New Roman" w:hAnsi="Times New Roman" w:cs="Times New Roman"/>
          <w:sz w:val="24"/>
          <w:szCs w:val="24"/>
          <w:lang w:val="en-US"/>
        </w:rPr>
        <w:t>In "Applied Hydrogeology" (Fetter, 2001), Fetter not only elucidates hydrogeological principles but also inc</w:t>
      </w:r>
      <w:r w:rsidR="00E13049">
        <w:rPr>
          <w:rFonts w:ascii="Times New Roman" w:hAnsi="Times New Roman" w:cs="Times New Roman"/>
          <w:sz w:val="24"/>
          <w:szCs w:val="24"/>
          <w:lang w:val="en-US"/>
        </w:rPr>
        <w:t>lud</w:t>
      </w:r>
      <w:r w:rsidRPr="0080423B">
        <w:rPr>
          <w:rFonts w:ascii="Times New Roman" w:hAnsi="Times New Roman" w:cs="Times New Roman"/>
          <w:sz w:val="24"/>
          <w:szCs w:val="24"/>
          <w:lang w:val="en-US"/>
        </w:rPr>
        <w:t xml:space="preserve">es a section dedicated to the chemical evolution of groundwater. </w:t>
      </w:r>
      <w:r w:rsidR="00E13049">
        <w:rPr>
          <w:rFonts w:ascii="Times New Roman" w:hAnsi="Times New Roman" w:cs="Times New Roman"/>
          <w:sz w:val="24"/>
          <w:szCs w:val="24"/>
          <w:lang w:val="en-US"/>
        </w:rPr>
        <w:t>By addressing</w:t>
      </w:r>
      <w:r w:rsidRPr="0080423B">
        <w:rPr>
          <w:rFonts w:ascii="Times New Roman" w:hAnsi="Times New Roman" w:cs="Times New Roman"/>
          <w:sz w:val="24"/>
          <w:szCs w:val="24"/>
          <w:lang w:val="en-US"/>
        </w:rPr>
        <w:t xml:space="preserve"> water-rock interactions and factors influencing groundwater quality over time, </w:t>
      </w:r>
      <w:r w:rsidR="00E13049">
        <w:rPr>
          <w:rFonts w:ascii="Times New Roman" w:hAnsi="Times New Roman" w:cs="Times New Roman"/>
          <w:sz w:val="24"/>
          <w:szCs w:val="24"/>
          <w:lang w:val="en-US"/>
        </w:rPr>
        <w:t>his</w:t>
      </w:r>
      <w:r w:rsidRPr="0080423B">
        <w:rPr>
          <w:rFonts w:ascii="Times New Roman" w:hAnsi="Times New Roman" w:cs="Times New Roman"/>
          <w:sz w:val="24"/>
          <w:szCs w:val="24"/>
          <w:lang w:val="en-US"/>
        </w:rPr>
        <w:t xml:space="preserve"> work </w:t>
      </w:r>
      <w:r w:rsidR="00E13049">
        <w:rPr>
          <w:rFonts w:ascii="Times New Roman" w:hAnsi="Times New Roman" w:cs="Times New Roman"/>
          <w:sz w:val="24"/>
          <w:szCs w:val="24"/>
          <w:lang w:val="en-US"/>
        </w:rPr>
        <w:t>enhances</w:t>
      </w:r>
      <w:r w:rsidRPr="0080423B">
        <w:rPr>
          <w:rFonts w:ascii="Times New Roman" w:hAnsi="Times New Roman" w:cs="Times New Roman"/>
          <w:sz w:val="24"/>
          <w:szCs w:val="24"/>
          <w:lang w:val="en-US"/>
        </w:rPr>
        <w:t xml:space="preserve"> the broader understanding of hydrochemical processes.</w:t>
      </w:r>
      <w:r>
        <w:rPr>
          <w:rFonts w:ascii="Times New Roman" w:hAnsi="Times New Roman" w:cs="Times New Roman"/>
          <w:sz w:val="24"/>
          <w:szCs w:val="24"/>
          <w:lang w:val="en-US"/>
        </w:rPr>
        <w:t xml:space="preserve"> </w:t>
      </w:r>
      <w:r w:rsidR="00E13049">
        <w:rPr>
          <w:rFonts w:ascii="Times New Roman" w:hAnsi="Times New Roman" w:cs="Times New Roman"/>
          <w:sz w:val="24"/>
          <w:szCs w:val="24"/>
          <w:lang w:val="en-US"/>
        </w:rPr>
        <w:t xml:space="preserve">Similarly, </w:t>
      </w:r>
      <w:r w:rsidRPr="0080423B">
        <w:rPr>
          <w:rFonts w:ascii="Times New Roman" w:hAnsi="Times New Roman" w:cs="Times New Roman"/>
          <w:sz w:val="24"/>
          <w:szCs w:val="24"/>
          <w:lang w:val="en-US"/>
        </w:rPr>
        <w:t xml:space="preserve">Bethke (2008)  in "Geochemical and Biogeochemical Reaction Modelling" </w:t>
      </w:r>
      <w:r w:rsidR="00E13049">
        <w:rPr>
          <w:rFonts w:ascii="Times New Roman" w:hAnsi="Times New Roman" w:cs="Times New Roman"/>
          <w:sz w:val="24"/>
          <w:szCs w:val="24"/>
          <w:lang w:val="en-US"/>
        </w:rPr>
        <w:t>focuse</w:t>
      </w:r>
      <w:r w:rsidRPr="0080423B">
        <w:rPr>
          <w:rFonts w:ascii="Times New Roman" w:hAnsi="Times New Roman" w:cs="Times New Roman"/>
          <w:sz w:val="24"/>
          <w:szCs w:val="24"/>
          <w:lang w:val="en-US"/>
        </w:rPr>
        <w:t xml:space="preserve">s </w:t>
      </w:r>
      <w:r w:rsidR="00E13049">
        <w:rPr>
          <w:rFonts w:ascii="Times New Roman" w:hAnsi="Times New Roman" w:cs="Times New Roman"/>
          <w:sz w:val="24"/>
          <w:szCs w:val="24"/>
          <w:lang w:val="en-US"/>
        </w:rPr>
        <w:t>on reactive transport modeling offering a</w:t>
      </w:r>
      <w:r w:rsidRPr="0080423B">
        <w:rPr>
          <w:rFonts w:ascii="Times New Roman" w:hAnsi="Times New Roman" w:cs="Times New Roman"/>
          <w:sz w:val="24"/>
          <w:szCs w:val="24"/>
          <w:lang w:val="en-US"/>
        </w:rPr>
        <w:t xml:space="preserve"> quantitative perspective on hydrochemical evolution.</w:t>
      </w:r>
      <w:r>
        <w:rPr>
          <w:rFonts w:ascii="Times New Roman" w:hAnsi="Times New Roman" w:cs="Times New Roman"/>
          <w:sz w:val="24"/>
          <w:szCs w:val="24"/>
          <w:lang w:val="en-US"/>
        </w:rPr>
        <w:t xml:space="preserve"> </w:t>
      </w:r>
      <w:r w:rsidR="006F4AFD" w:rsidRPr="005E5F15">
        <w:rPr>
          <w:rFonts w:ascii="Times New Roman" w:hAnsi="Times New Roman" w:cs="Times New Roman"/>
          <w:sz w:val="24"/>
          <w:szCs w:val="24"/>
        </w:rPr>
        <w:t>This study aims to characterize the hydrogeochemical facies, quantify thermodynamic stability (saturation indices), and elucidate the dominant geochemical processes shaping the Enugu urban aquifer.</w:t>
      </w:r>
    </w:p>
    <w:p w14:paraId="217C613D" w14:textId="1733149E"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 xml:space="preserve">2.  </w:t>
      </w:r>
      <w:r w:rsidR="005E5F15">
        <w:rPr>
          <w:rFonts w:ascii="Times New Roman" w:hAnsi="Times New Roman" w:cs="Times New Roman"/>
          <w:b/>
          <w:bCs/>
          <w:sz w:val="24"/>
          <w:szCs w:val="24"/>
          <w:lang w:val="en-US"/>
        </w:rPr>
        <w:t>T</w:t>
      </w:r>
      <w:r w:rsidRPr="005E5F15">
        <w:rPr>
          <w:rFonts w:ascii="Times New Roman" w:hAnsi="Times New Roman" w:cs="Times New Roman"/>
          <w:b/>
          <w:bCs/>
          <w:sz w:val="24"/>
          <w:szCs w:val="24"/>
          <w:lang w:val="en-US"/>
        </w:rPr>
        <w:t>he Study Area</w:t>
      </w:r>
    </w:p>
    <w:p w14:paraId="3BAB2100" w14:textId="008D0850" w:rsidR="0080783E" w:rsidRDefault="00FA3417" w:rsidP="0080783E">
      <w:pPr>
        <w:jc w:val="both"/>
        <w:rPr>
          <w:rFonts w:ascii="Times New Roman" w:hAnsi="Times New Roman" w:cs="Times New Roman"/>
          <w:sz w:val="24"/>
          <w:szCs w:val="24"/>
        </w:rPr>
      </w:pPr>
      <w:r w:rsidRPr="005E5F15">
        <w:rPr>
          <w:rFonts w:ascii="Times New Roman" w:hAnsi="Times New Roman" w:cs="Times New Roman"/>
          <w:sz w:val="24"/>
          <w:szCs w:val="24"/>
        </w:rPr>
        <w:t xml:space="preserve">Enugu Urban is the capital city of Enugu State, southeastern Nigeria. The study area lies between latitudes 6°24'N and 6°30'N and longitudes 7°27'E and 7°34'E (Fig 1), covering approximately 350 square </w:t>
      </w:r>
      <w:r w:rsidR="007D2588" w:rsidRPr="005E5F15">
        <w:rPr>
          <w:rFonts w:ascii="Times New Roman" w:hAnsi="Times New Roman" w:cs="Times New Roman"/>
          <w:sz w:val="24"/>
          <w:szCs w:val="24"/>
        </w:rPr>
        <w:t>kilometres</w:t>
      </w:r>
      <w:r w:rsidRPr="005E5F15">
        <w:rPr>
          <w:rFonts w:ascii="Times New Roman" w:hAnsi="Times New Roman" w:cs="Times New Roman"/>
          <w:sz w:val="24"/>
          <w:szCs w:val="24"/>
        </w:rPr>
        <w:t xml:space="preserve"> and encompassing districts such as Coal Camp, </w:t>
      </w:r>
      <w:proofErr w:type="spellStart"/>
      <w:r w:rsidRPr="005E5F15">
        <w:rPr>
          <w:rFonts w:ascii="Times New Roman" w:hAnsi="Times New Roman" w:cs="Times New Roman"/>
          <w:sz w:val="24"/>
          <w:szCs w:val="24"/>
        </w:rPr>
        <w:t>Uwani</w:t>
      </w:r>
      <w:proofErr w:type="spellEnd"/>
      <w:r w:rsidRPr="005E5F15">
        <w:rPr>
          <w:rFonts w:ascii="Times New Roman" w:hAnsi="Times New Roman" w:cs="Times New Roman"/>
          <w:sz w:val="24"/>
          <w:szCs w:val="24"/>
        </w:rPr>
        <w:t>, Abakpa, and Trans-</w:t>
      </w:r>
      <w:proofErr w:type="spellStart"/>
      <w:r w:rsidRPr="005E5F15">
        <w:rPr>
          <w:rFonts w:ascii="Times New Roman" w:hAnsi="Times New Roman" w:cs="Times New Roman"/>
          <w:sz w:val="24"/>
          <w:szCs w:val="24"/>
        </w:rPr>
        <w:t>Ekulu</w:t>
      </w:r>
      <w:proofErr w:type="spellEnd"/>
      <w:r w:rsidRPr="005E5F15">
        <w:rPr>
          <w:rFonts w:ascii="Times New Roman" w:hAnsi="Times New Roman" w:cs="Times New Roman"/>
          <w:sz w:val="24"/>
          <w:szCs w:val="24"/>
        </w:rPr>
        <w:t>. The city is characterized by undulating terrain, with elevations ranging from about 100 to 250 meters above sea level. The physiography is influenced by the underlying Enugu Shale, which forms low ridges and valleys, and ephemeral streams and drainage channels flowing predominantly southwest (</w:t>
      </w:r>
      <w:proofErr w:type="spellStart"/>
      <w:r w:rsidRPr="005E5F15">
        <w:rPr>
          <w:rFonts w:ascii="Times New Roman" w:hAnsi="Times New Roman" w:cs="Times New Roman"/>
          <w:sz w:val="24"/>
          <w:szCs w:val="24"/>
        </w:rPr>
        <w:t>Alichi</w:t>
      </w:r>
      <w:proofErr w:type="spellEnd"/>
      <w:r w:rsidRPr="005E5F15">
        <w:rPr>
          <w:rFonts w:ascii="Times New Roman" w:hAnsi="Times New Roman" w:cs="Times New Roman"/>
          <w:sz w:val="24"/>
          <w:szCs w:val="24"/>
        </w:rPr>
        <w:t xml:space="preserve">, 2024; </w:t>
      </w:r>
      <w:proofErr w:type="spellStart"/>
      <w:r w:rsidRPr="005E5F15">
        <w:rPr>
          <w:rFonts w:ascii="Times New Roman" w:hAnsi="Times New Roman" w:cs="Times New Roman"/>
          <w:sz w:val="24"/>
          <w:szCs w:val="24"/>
        </w:rPr>
        <w:t>Reyment</w:t>
      </w:r>
      <w:proofErr w:type="spellEnd"/>
      <w:r w:rsidRPr="005E5F15">
        <w:rPr>
          <w:rFonts w:ascii="Times New Roman" w:hAnsi="Times New Roman" w:cs="Times New Roman"/>
          <w:sz w:val="24"/>
          <w:szCs w:val="24"/>
        </w:rPr>
        <w:t xml:space="preserve">, 1965; </w:t>
      </w:r>
      <w:proofErr w:type="spellStart"/>
      <w:r w:rsidRPr="005E5F15">
        <w:rPr>
          <w:rFonts w:ascii="Times New Roman" w:hAnsi="Times New Roman" w:cs="Times New Roman"/>
          <w:sz w:val="24"/>
          <w:szCs w:val="24"/>
        </w:rPr>
        <w:t>Offodile</w:t>
      </w:r>
      <w:proofErr w:type="spellEnd"/>
      <w:r w:rsidRPr="005E5F15">
        <w:rPr>
          <w:rFonts w:ascii="Times New Roman" w:hAnsi="Times New Roman" w:cs="Times New Roman"/>
          <w:sz w:val="24"/>
          <w:szCs w:val="24"/>
        </w:rPr>
        <w:t>, 2002).</w:t>
      </w:r>
      <w:r w:rsidR="009700BF">
        <w:rPr>
          <w:rFonts w:ascii="Times New Roman" w:hAnsi="Times New Roman" w:cs="Times New Roman"/>
          <w:sz w:val="24"/>
          <w:szCs w:val="24"/>
        </w:rPr>
        <w:t xml:space="preserve"> </w:t>
      </w:r>
      <w:r w:rsidR="009700BF" w:rsidRPr="009700BF">
        <w:rPr>
          <w:rFonts w:ascii="Times New Roman" w:hAnsi="Times New Roman" w:cs="Times New Roman"/>
          <w:sz w:val="24"/>
          <w:szCs w:val="24"/>
        </w:rPr>
        <w:t>It is positioned at the eastern base of a north-south</w:t>
      </w:r>
      <w:r w:rsidR="00F41197">
        <w:rPr>
          <w:rFonts w:ascii="Times New Roman" w:hAnsi="Times New Roman" w:cs="Times New Roman"/>
          <w:sz w:val="24"/>
          <w:szCs w:val="24"/>
        </w:rPr>
        <w:t>-</w:t>
      </w:r>
      <w:r w:rsidR="009700BF" w:rsidRPr="009700BF">
        <w:rPr>
          <w:rFonts w:ascii="Times New Roman" w:hAnsi="Times New Roman" w:cs="Times New Roman"/>
          <w:sz w:val="24"/>
          <w:szCs w:val="24"/>
        </w:rPr>
        <w:t>oriented geological cuesta, which serves as a significant surface and subsurface watershed division between two major drainage basins, namely, the Cross River and the Anambra River basins, situated to the east and west of the town, respectively.</w:t>
      </w:r>
    </w:p>
    <w:p w14:paraId="064E6B56" w14:textId="3D848BBA" w:rsidR="009700BF" w:rsidRDefault="009700BF" w:rsidP="009700BF">
      <w:pPr>
        <w:jc w:val="both"/>
        <w:rPr>
          <w:rFonts w:ascii="Times New Roman" w:hAnsi="Times New Roman" w:cs="Times New Roman"/>
          <w:sz w:val="24"/>
          <w:szCs w:val="24"/>
          <w:lang w:val="en-US"/>
        </w:rPr>
      </w:pPr>
      <w:r w:rsidRPr="009700BF">
        <w:rPr>
          <w:rFonts w:ascii="Times New Roman" w:hAnsi="Times New Roman" w:cs="Times New Roman"/>
          <w:sz w:val="24"/>
          <w:szCs w:val="24"/>
          <w:lang w:val="en-US"/>
        </w:rPr>
        <w:t>As of the 2006 Nigerian census, the study area had an estimated population of 722,664 people. However, by 2015, this population had grown to nearly two million people. A 30-year population record spanning from 1952 to 1982 revealed substantial population growth in</w:t>
      </w:r>
      <w:r>
        <w:rPr>
          <w:rFonts w:ascii="Times New Roman" w:hAnsi="Times New Roman" w:cs="Times New Roman"/>
          <w:sz w:val="24"/>
          <w:szCs w:val="24"/>
          <w:lang w:val="en-US"/>
        </w:rPr>
        <w:t xml:space="preserve"> </w:t>
      </w:r>
      <w:r w:rsidRPr="009700BF">
        <w:rPr>
          <w:rFonts w:ascii="Times New Roman" w:hAnsi="Times New Roman" w:cs="Times New Roman"/>
          <w:sz w:val="24"/>
          <w:szCs w:val="24"/>
          <w:lang w:val="en-US"/>
        </w:rPr>
        <w:t xml:space="preserve">Enugu, </w:t>
      </w:r>
      <w:r w:rsidR="00F41197">
        <w:rPr>
          <w:rFonts w:ascii="Times New Roman" w:hAnsi="Times New Roman" w:cs="Times New Roman"/>
          <w:sz w:val="24"/>
          <w:szCs w:val="24"/>
          <w:lang w:val="en-US"/>
        </w:rPr>
        <w:t xml:space="preserve">a </w:t>
      </w:r>
      <w:r w:rsidR="005A0997">
        <w:rPr>
          <w:rFonts w:ascii="Times New Roman" w:hAnsi="Times New Roman" w:cs="Times New Roman"/>
          <w:sz w:val="24"/>
          <w:szCs w:val="24"/>
          <w:lang w:val="en-US"/>
        </w:rPr>
        <w:t xml:space="preserve">trend </w:t>
      </w:r>
      <w:r w:rsidRPr="009700BF">
        <w:rPr>
          <w:rFonts w:ascii="Times New Roman" w:hAnsi="Times New Roman" w:cs="Times New Roman"/>
          <w:sz w:val="24"/>
          <w:szCs w:val="24"/>
          <w:lang w:val="en-US"/>
        </w:rPr>
        <w:t>typical of many major Nigerian cities.</w:t>
      </w:r>
      <w:r>
        <w:rPr>
          <w:rFonts w:ascii="Times New Roman" w:hAnsi="Times New Roman" w:cs="Times New Roman"/>
          <w:sz w:val="24"/>
          <w:szCs w:val="24"/>
          <w:lang w:val="en-US"/>
        </w:rPr>
        <w:t xml:space="preserve"> </w:t>
      </w:r>
      <w:r w:rsidRPr="009700BF">
        <w:rPr>
          <w:rFonts w:ascii="Times New Roman" w:hAnsi="Times New Roman" w:cs="Times New Roman"/>
          <w:sz w:val="24"/>
          <w:szCs w:val="24"/>
          <w:lang w:val="en-US"/>
        </w:rPr>
        <w:t xml:space="preserve">The current sizeable population of Enugu Urban can be attributed to the presence of numerous industries and government offices, as </w:t>
      </w:r>
      <w:r w:rsidR="005A0997">
        <w:rPr>
          <w:rFonts w:ascii="Times New Roman" w:hAnsi="Times New Roman" w:cs="Times New Roman"/>
          <w:sz w:val="24"/>
          <w:szCs w:val="24"/>
          <w:lang w:val="en-US"/>
        </w:rPr>
        <w:t>the city</w:t>
      </w:r>
      <w:r w:rsidRPr="009700BF">
        <w:rPr>
          <w:rFonts w:ascii="Times New Roman" w:hAnsi="Times New Roman" w:cs="Times New Roman"/>
          <w:sz w:val="24"/>
          <w:szCs w:val="24"/>
          <w:lang w:val="en-US"/>
        </w:rPr>
        <w:t xml:space="preserve"> serves as a state capital. This has led to extensive structural development, placing considerable stress on the </w:t>
      </w:r>
      <w:r w:rsidRPr="009700BF">
        <w:rPr>
          <w:rFonts w:ascii="Times New Roman" w:hAnsi="Times New Roman" w:cs="Times New Roman"/>
          <w:sz w:val="24"/>
          <w:szCs w:val="24"/>
          <w:lang w:val="en-US"/>
        </w:rPr>
        <w:lastRenderedPageBreak/>
        <w:t>available water resources and resulting in the proliferation of hand-dug wells as an alternative water supply system.</w:t>
      </w:r>
    </w:p>
    <w:p w14:paraId="07FE81E9" w14:textId="12F0494E" w:rsidR="00CE33BB" w:rsidRPr="00CE33BB" w:rsidRDefault="00CE33BB" w:rsidP="00CE33BB">
      <w:pPr>
        <w:jc w:val="both"/>
        <w:rPr>
          <w:rFonts w:ascii="Times New Roman" w:hAnsi="Times New Roman" w:cs="Times New Roman"/>
          <w:sz w:val="24"/>
          <w:szCs w:val="24"/>
          <w:lang w:val="en-US"/>
        </w:rPr>
      </w:pPr>
      <w:r w:rsidRPr="00CE33BB">
        <w:rPr>
          <w:rFonts w:ascii="Times New Roman" w:hAnsi="Times New Roman" w:cs="Times New Roman"/>
          <w:sz w:val="24"/>
          <w:szCs w:val="24"/>
          <w:lang w:val="en-US"/>
        </w:rPr>
        <w:t>The escarpment slope rises steeply westward from Enugu Urban and reaches a maximum mean elevation of approximately 400 meters above mean sea level (</w:t>
      </w:r>
      <w:proofErr w:type="spellStart"/>
      <w:r w:rsidRPr="00CE33BB">
        <w:rPr>
          <w:rFonts w:ascii="Times New Roman" w:hAnsi="Times New Roman" w:cs="Times New Roman"/>
          <w:sz w:val="24"/>
          <w:szCs w:val="24"/>
          <w:lang w:val="en-US"/>
        </w:rPr>
        <w:t>a.m.s.l</w:t>
      </w:r>
      <w:proofErr w:type="spellEnd"/>
      <w:r w:rsidRPr="00CE33BB">
        <w:rPr>
          <w:rFonts w:ascii="Times New Roman" w:hAnsi="Times New Roman" w:cs="Times New Roman"/>
          <w:sz w:val="24"/>
          <w:szCs w:val="24"/>
          <w:lang w:val="en-US"/>
        </w:rPr>
        <w:t xml:space="preserve">.), as reported by Nwankwo et al. </w:t>
      </w:r>
      <w:r w:rsidR="005A0997">
        <w:rPr>
          <w:rFonts w:ascii="Times New Roman" w:hAnsi="Times New Roman" w:cs="Times New Roman"/>
          <w:sz w:val="24"/>
          <w:szCs w:val="24"/>
          <w:lang w:val="en-US"/>
        </w:rPr>
        <w:t>(</w:t>
      </w:r>
      <w:r w:rsidRPr="00CE33BB">
        <w:rPr>
          <w:rFonts w:ascii="Times New Roman" w:hAnsi="Times New Roman" w:cs="Times New Roman"/>
          <w:sz w:val="24"/>
          <w:szCs w:val="24"/>
          <w:lang w:val="en-US"/>
        </w:rPr>
        <w:t>1988</w:t>
      </w:r>
      <w:r w:rsidR="005A0997">
        <w:rPr>
          <w:rFonts w:ascii="Times New Roman" w:hAnsi="Times New Roman" w:cs="Times New Roman"/>
          <w:sz w:val="24"/>
          <w:szCs w:val="24"/>
          <w:lang w:val="en-US"/>
        </w:rPr>
        <w:t>)</w:t>
      </w:r>
      <w:r w:rsidRPr="00CE33BB">
        <w:rPr>
          <w:rFonts w:ascii="Times New Roman" w:hAnsi="Times New Roman" w:cs="Times New Roman"/>
          <w:sz w:val="24"/>
          <w:szCs w:val="24"/>
          <w:lang w:val="en-US"/>
        </w:rPr>
        <w:t xml:space="preserve">. At the base of the escarpment lies an extensive undulating plain underlain by the Enugu Shale and </w:t>
      </w:r>
      <w:r w:rsidR="005A0997">
        <w:rPr>
          <w:rFonts w:ascii="Times New Roman" w:hAnsi="Times New Roman" w:cs="Times New Roman"/>
          <w:sz w:val="24"/>
          <w:szCs w:val="24"/>
          <w:lang w:val="en-US"/>
        </w:rPr>
        <w:t>part</w:t>
      </w:r>
      <w:r w:rsidRPr="00CE33BB">
        <w:rPr>
          <w:rFonts w:ascii="Times New Roman" w:hAnsi="Times New Roman" w:cs="Times New Roman"/>
          <w:sz w:val="24"/>
          <w:szCs w:val="24"/>
          <w:lang w:val="en-US"/>
        </w:rPr>
        <w:t xml:space="preserve"> of the Mamu Formation. Three major river systems drain the study area: the </w:t>
      </w:r>
      <w:proofErr w:type="spellStart"/>
      <w:r w:rsidRPr="00CE33BB">
        <w:rPr>
          <w:rFonts w:ascii="Times New Roman" w:hAnsi="Times New Roman" w:cs="Times New Roman"/>
          <w:sz w:val="24"/>
          <w:szCs w:val="24"/>
          <w:lang w:val="en-US"/>
        </w:rPr>
        <w:t>Ekulu</w:t>
      </w:r>
      <w:proofErr w:type="spellEnd"/>
      <w:r w:rsidRPr="00CE33BB">
        <w:rPr>
          <w:rFonts w:ascii="Times New Roman" w:hAnsi="Times New Roman" w:cs="Times New Roman"/>
          <w:sz w:val="24"/>
          <w:szCs w:val="24"/>
          <w:lang w:val="en-US"/>
        </w:rPr>
        <w:t xml:space="preserve">, </w:t>
      </w:r>
      <w:proofErr w:type="spellStart"/>
      <w:r w:rsidRPr="00CE33BB">
        <w:rPr>
          <w:rFonts w:ascii="Times New Roman" w:hAnsi="Times New Roman" w:cs="Times New Roman"/>
          <w:sz w:val="24"/>
          <w:szCs w:val="24"/>
          <w:lang w:val="en-US"/>
        </w:rPr>
        <w:t>Ogbete-Asata</w:t>
      </w:r>
      <w:proofErr w:type="spellEnd"/>
      <w:r w:rsidRPr="00CE33BB">
        <w:rPr>
          <w:rFonts w:ascii="Times New Roman" w:hAnsi="Times New Roman" w:cs="Times New Roman"/>
          <w:sz w:val="24"/>
          <w:szCs w:val="24"/>
          <w:lang w:val="en-US"/>
        </w:rPr>
        <w:t xml:space="preserve">, and </w:t>
      </w:r>
      <w:proofErr w:type="spellStart"/>
      <w:r w:rsidRPr="00CE33BB">
        <w:rPr>
          <w:rFonts w:ascii="Times New Roman" w:hAnsi="Times New Roman" w:cs="Times New Roman"/>
          <w:sz w:val="24"/>
          <w:szCs w:val="24"/>
          <w:lang w:val="en-US"/>
        </w:rPr>
        <w:t>Nyaba</w:t>
      </w:r>
      <w:proofErr w:type="spellEnd"/>
      <w:r w:rsidR="005A0997">
        <w:rPr>
          <w:rFonts w:ascii="Times New Roman" w:hAnsi="Times New Roman" w:cs="Times New Roman"/>
          <w:sz w:val="24"/>
          <w:szCs w:val="24"/>
          <w:lang w:val="en-US"/>
        </w:rPr>
        <w:t xml:space="preserve"> Rivers</w:t>
      </w:r>
      <w:r w:rsidRPr="00CE33BB">
        <w:rPr>
          <w:rFonts w:ascii="Times New Roman" w:hAnsi="Times New Roman" w:cs="Times New Roman"/>
          <w:sz w:val="24"/>
          <w:szCs w:val="24"/>
          <w:lang w:val="en-US"/>
        </w:rPr>
        <w:t>. These rivers originate near the base of the escarpment and flow eastward into the Cross-River Basin.  The drainage pattern is dendritic, characterized by irregular branching in multiple directions. Geological exposures are commonly found along river channels and road cuts</w:t>
      </w:r>
      <w:r w:rsidR="005A0997">
        <w:rPr>
          <w:rFonts w:ascii="Times New Roman" w:hAnsi="Times New Roman" w:cs="Times New Roman"/>
          <w:sz w:val="24"/>
          <w:szCs w:val="24"/>
          <w:lang w:val="en-US"/>
        </w:rPr>
        <w:t>.</w:t>
      </w:r>
      <w:r w:rsidRPr="00CE33BB">
        <w:rPr>
          <w:rFonts w:ascii="Times New Roman" w:hAnsi="Times New Roman" w:cs="Times New Roman"/>
          <w:sz w:val="24"/>
          <w:szCs w:val="24"/>
          <w:lang w:val="en-US"/>
        </w:rPr>
        <w:t xml:space="preserve">  Rapid urbanization has led to increased groundwater abstraction, land use change</w:t>
      </w:r>
      <w:r w:rsidR="00BD6B6A">
        <w:rPr>
          <w:rFonts w:ascii="Times New Roman" w:hAnsi="Times New Roman" w:cs="Times New Roman"/>
          <w:sz w:val="24"/>
          <w:szCs w:val="24"/>
          <w:lang w:val="en-US"/>
        </w:rPr>
        <w:t>s</w:t>
      </w:r>
      <w:r w:rsidRPr="00CE33BB">
        <w:rPr>
          <w:rFonts w:ascii="Times New Roman" w:hAnsi="Times New Roman" w:cs="Times New Roman"/>
          <w:sz w:val="24"/>
          <w:szCs w:val="24"/>
          <w:lang w:val="en-US"/>
        </w:rPr>
        <w:t xml:space="preserve">, and </w:t>
      </w:r>
      <w:r w:rsidR="00BD6B6A">
        <w:rPr>
          <w:rFonts w:ascii="Times New Roman" w:hAnsi="Times New Roman" w:cs="Times New Roman"/>
          <w:sz w:val="24"/>
          <w:szCs w:val="24"/>
          <w:lang w:val="en-US"/>
        </w:rPr>
        <w:t xml:space="preserve">a heightened </w:t>
      </w:r>
      <w:r w:rsidRPr="00CE33BB">
        <w:rPr>
          <w:rFonts w:ascii="Times New Roman" w:hAnsi="Times New Roman" w:cs="Times New Roman"/>
          <w:sz w:val="24"/>
          <w:szCs w:val="24"/>
          <w:lang w:val="en-US"/>
        </w:rPr>
        <w:t xml:space="preserve">potential for anthropogenic contamination (Nwachukwu et al., 2020; </w:t>
      </w:r>
      <w:proofErr w:type="spellStart"/>
      <w:r w:rsidRPr="00CE33BB">
        <w:rPr>
          <w:rFonts w:ascii="Times New Roman" w:hAnsi="Times New Roman" w:cs="Times New Roman"/>
          <w:sz w:val="24"/>
          <w:szCs w:val="24"/>
          <w:lang w:val="en-US"/>
        </w:rPr>
        <w:t>Ocheri</w:t>
      </w:r>
      <w:proofErr w:type="spellEnd"/>
      <w:r w:rsidRPr="00CE33BB">
        <w:rPr>
          <w:rFonts w:ascii="Times New Roman" w:hAnsi="Times New Roman" w:cs="Times New Roman"/>
          <w:sz w:val="24"/>
          <w:szCs w:val="24"/>
          <w:lang w:val="en-US"/>
        </w:rPr>
        <w:t xml:space="preserve"> et al., 2014).</w:t>
      </w:r>
    </w:p>
    <w:p w14:paraId="6A5E9A4D" w14:textId="20F12DEC" w:rsidR="009700BF" w:rsidRPr="00ED4274" w:rsidRDefault="00503BA0" w:rsidP="00ED4274">
      <w:pPr>
        <w:pStyle w:val="NormalWeb"/>
        <w:jc w:val="both"/>
      </w:pPr>
      <w:r>
        <w:t xml:space="preserve">Enugu Urban experiences a tropical climate with annual rainfall ranging between 1,800 and 2,000 mm. The area has two distinct seasons: the wet season, which occurs from April to October, and the dry season, lasting from November to March. According to the Nigerian Meteorological Agency (NIMET), annual rainfall in the region ranges from approximately 1,500 to 2,500 mm. The climate is classified as humid tropical and is characterized by daytime temperatures ranging from 27°C to 32°C and </w:t>
      </w:r>
      <w:proofErr w:type="spellStart"/>
      <w:r>
        <w:t>nighttime</w:t>
      </w:r>
      <w:proofErr w:type="spellEnd"/>
      <w:r>
        <w:t xml:space="preserve"> temperatures between 17°C and 28°C.</w:t>
      </w:r>
    </w:p>
    <w:p w14:paraId="2F1DCD8D" w14:textId="77777777" w:rsidR="0080783E" w:rsidRPr="005E5F15" w:rsidRDefault="0080783E" w:rsidP="0080783E">
      <w:pPr>
        <w:spacing w:before="315" w:after="0" w:line="240" w:lineRule="auto"/>
        <w:ind w:left="-30"/>
        <w:jc w:val="both"/>
        <w:rPr>
          <w:rFonts w:ascii="Times New Roman" w:hAnsi="Times New Roman" w:cs="Times New Roman"/>
          <w:sz w:val="24"/>
          <w:szCs w:val="24"/>
        </w:rPr>
      </w:pPr>
      <w:r w:rsidRPr="005E5F15">
        <w:rPr>
          <w:rFonts w:ascii="Times New Roman" w:hAnsi="Times New Roman" w:cs="Times New Roman"/>
          <w:noProof/>
          <w:sz w:val="24"/>
          <w:szCs w:val="24"/>
        </w:rPr>
        <w:drawing>
          <wp:inline distT="0" distB="0" distL="0" distR="0" wp14:anchorId="6D932130" wp14:editId="0B685996">
            <wp:extent cx="5552180" cy="38290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hd INDEXMAP.jpg"/>
                    <pic:cNvPicPr/>
                  </pic:nvPicPr>
                  <pic:blipFill>
                    <a:blip r:embed="rId7" cstate="email">
                      <a:extLst>
                        <a:ext uri="{28A0092B-C50C-407E-A947-70E740481C1C}">
                          <a14:useLocalDpi xmlns:a14="http://schemas.microsoft.com/office/drawing/2010/main"/>
                        </a:ext>
                      </a:extLst>
                    </a:blip>
                    <a:stretch>
                      <a:fillRect/>
                    </a:stretch>
                  </pic:blipFill>
                  <pic:spPr>
                    <a:xfrm>
                      <a:off x="0" y="0"/>
                      <a:ext cx="5584817" cy="3851558"/>
                    </a:xfrm>
                    <a:prstGeom prst="rect">
                      <a:avLst/>
                    </a:prstGeom>
                  </pic:spPr>
                </pic:pic>
              </a:graphicData>
            </a:graphic>
          </wp:inline>
        </w:drawing>
      </w:r>
    </w:p>
    <w:p w14:paraId="256357D1" w14:textId="77777777" w:rsidR="0080783E" w:rsidRPr="005E5F15" w:rsidRDefault="0080783E" w:rsidP="0080783E">
      <w:pPr>
        <w:spacing w:after="105" w:line="240" w:lineRule="auto"/>
        <w:ind w:left="-30"/>
        <w:jc w:val="both"/>
        <w:rPr>
          <w:rFonts w:ascii="Times New Roman" w:hAnsi="Times New Roman" w:cs="Times New Roman"/>
          <w:bCs/>
          <w:sz w:val="24"/>
          <w:szCs w:val="24"/>
        </w:rPr>
      </w:pPr>
      <w:bookmarkStart w:id="0" w:name="_Hlk157355862"/>
      <w:bookmarkStart w:id="1" w:name="_Toc147523790"/>
      <w:r w:rsidRPr="005E5F15">
        <w:rPr>
          <w:rFonts w:ascii="Times New Roman" w:hAnsi="Times New Roman" w:cs="Times New Roman"/>
          <w:bCs/>
          <w:sz w:val="24"/>
          <w:szCs w:val="24"/>
        </w:rPr>
        <w:t xml:space="preserve">Fig. 1. </w:t>
      </w:r>
      <w:bookmarkEnd w:id="0"/>
      <w:r w:rsidRPr="005E5F15">
        <w:rPr>
          <w:rFonts w:ascii="Times New Roman" w:hAnsi="Times New Roman" w:cs="Times New Roman"/>
          <w:bCs/>
          <w:sz w:val="24"/>
          <w:szCs w:val="24"/>
        </w:rPr>
        <w:t>Location map of study area; insert: maps of Enugu State</w:t>
      </w:r>
      <w:bookmarkEnd w:id="1"/>
      <w:r w:rsidRPr="005E5F15">
        <w:rPr>
          <w:rFonts w:ascii="Times New Roman" w:hAnsi="Times New Roman" w:cs="Times New Roman"/>
          <w:bCs/>
          <w:sz w:val="24"/>
          <w:szCs w:val="24"/>
        </w:rPr>
        <w:t xml:space="preserve"> and Nigeria</w:t>
      </w:r>
    </w:p>
    <w:p w14:paraId="6F2CAC3D" w14:textId="20BE161E" w:rsidR="0080783E" w:rsidRDefault="0080783E" w:rsidP="0080783E">
      <w:pPr>
        <w:spacing w:after="0" w:line="240" w:lineRule="auto"/>
        <w:ind w:left="-30"/>
        <w:jc w:val="both"/>
        <w:rPr>
          <w:rFonts w:ascii="Times New Roman" w:hAnsi="Times New Roman" w:cs="Times New Roman"/>
          <w:b/>
          <w:sz w:val="24"/>
          <w:szCs w:val="24"/>
        </w:rPr>
      </w:pPr>
      <w:r w:rsidRPr="005E5F15">
        <w:rPr>
          <w:rFonts w:ascii="Times New Roman" w:hAnsi="Times New Roman" w:cs="Times New Roman"/>
          <w:b/>
          <w:sz w:val="24"/>
          <w:szCs w:val="24"/>
        </w:rPr>
        <w:t>2.</w:t>
      </w:r>
      <w:r w:rsidR="00CD6C37">
        <w:rPr>
          <w:rFonts w:ascii="Times New Roman" w:hAnsi="Times New Roman" w:cs="Times New Roman"/>
          <w:b/>
          <w:sz w:val="24"/>
          <w:szCs w:val="24"/>
        </w:rPr>
        <w:t>1</w:t>
      </w:r>
      <w:r w:rsidRPr="005E5F15">
        <w:rPr>
          <w:rFonts w:ascii="Times New Roman" w:hAnsi="Times New Roman" w:cs="Times New Roman"/>
          <w:b/>
          <w:sz w:val="24"/>
          <w:szCs w:val="24"/>
        </w:rPr>
        <w:t xml:space="preserve"> Geology and Hydrogeology</w:t>
      </w:r>
    </w:p>
    <w:p w14:paraId="37633A44" w14:textId="77777777" w:rsidR="00ED4274" w:rsidRPr="005E5F15" w:rsidRDefault="00ED4274" w:rsidP="0080783E">
      <w:pPr>
        <w:spacing w:after="0" w:line="240" w:lineRule="auto"/>
        <w:ind w:left="-30"/>
        <w:jc w:val="both"/>
        <w:rPr>
          <w:rFonts w:ascii="Times New Roman" w:hAnsi="Times New Roman" w:cs="Times New Roman"/>
          <w:b/>
          <w:sz w:val="24"/>
          <w:szCs w:val="24"/>
        </w:rPr>
      </w:pPr>
    </w:p>
    <w:p w14:paraId="1FD88CA9" w14:textId="3F4EEE5E" w:rsidR="0080783E" w:rsidRDefault="0080783E" w:rsidP="0080783E">
      <w:pPr>
        <w:spacing w:line="240" w:lineRule="auto"/>
        <w:ind w:left="-30"/>
        <w:jc w:val="both"/>
        <w:rPr>
          <w:rFonts w:ascii="Times New Roman" w:hAnsi="Times New Roman" w:cs="Times New Roman"/>
          <w:sz w:val="24"/>
          <w:szCs w:val="24"/>
        </w:rPr>
      </w:pPr>
      <w:r w:rsidRPr="005E5F15">
        <w:rPr>
          <w:rFonts w:ascii="Times New Roman" w:hAnsi="Times New Roman" w:cs="Times New Roman"/>
          <w:sz w:val="24"/>
          <w:szCs w:val="24"/>
        </w:rPr>
        <w:lastRenderedPageBreak/>
        <w:t xml:space="preserve">Enugu Urban is underlain by the Cretaceous Enugu Shale, </w:t>
      </w:r>
      <w:r w:rsidR="00ED4274">
        <w:rPr>
          <w:rFonts w:ascii="Times New Roman" w:hAnsi="Times New Roman" w:cs="Times New Roman"/>
          <w:sz w:val="24"/>
          <w:szCs w:val="24"/>
        </w:rPr>
        <w:t>which consists</w:t>
      </w:r>
      <w:r w:rsidRPr="005E5F15">
        <w:rPr>
          <w:rFonts w:ascii="Times New Roman" w:hAnsi="Times New Roman" w:cs="Times New Roman"/>
          <w:sz w:val="24"/>
          <w:szCs w:val="24"/>
        </w:rPr>
        <w:t xml:space="preserve"> of dark grey fissile shales interbedded</w:t>
      </w:r>
      <w:r w:rsidR="00ED4274">
        <w:rPr>
          <w:rFonts w:ascii="Times New Roman" w:hAnsi="Times New Roman" w:cs="Times New Roman"/>
          <w:sz w:val="24"/>
          <w:szCs w:val="24"/>
        </w:rPr>
        <w:t xml:space="preserve"> with</w:t>
      </w:r>
      <w:r w:rsidRPr="005E5F15">
        <w:rPr>
          <w:rFonts w:ascii="Times New Roman" w:hAnsi="Times New Roman" w:cs="Times New Roman"/>
          <w:sz w:val="24"/>
          <w:szCs w:val="24"/>
        </w:rPr>
        <w:t xml:space="preserve"> sandstones and siltstones (</w:t>
      </w:r>
      <w:proofErr w:type="spellStart"/>
      <w:r w:rsidRPr="005E5F15">
        <w:rPr>
          <w:rFonts w:ascii="Times New Roman" w:hAnsi="Times New Roman" w:cs="Times New Roman"/>
          <w:sz w:val="24"/>
          <w:szCs w:val="24"/>
        </w:rPr>
        <w:t>Alichi</w:t>
      </w:r>
      <w:proofErr w:type="spellEnd"/>
      <w:r w:rsidRPr="005E5F15">
        <w:rPr>
          <w:rFonts w:ascii="Times New Roman" w:hAnsi="Times New Roman" w:cs="Times New Roman"/>
          <w:sz w:val="24"/>
          <w:szCs w:val="24"/>
        </w:rPr>
        <w:t>, 2024</w:t>
      </w:r>
      <w:r w:rsidR="00ED4274">
        <w:rPr>
          <w:rFonts w:ascii="Times New Roman" w:hAnsi="Times New Roman" w:cs="Times New Roman"/>
          <w:sz w:val="24"/>
          <w:szCs w:val="24"/>
        </w:rPr>
        <w:t>;</w:t>
      </w:r>
      <w:r w:rsidRPr="005E5F15">
        <w:rPr>
          <w:rFonts w:ascii="Times New Roman" w:hAnsi="Times New Roman" w:cs="Times New Roman"/>
          <w:sz w:val="24"/>
          <w:szCs w:val="24"/>
        </w:rPr>
        <w:t xml:space="preserve"> </w:t>
      </w:r>
      <w:proofErr w:type="spellStart"/>
      <w:r w:rsidRPr="005E5F15">
        <w:rPr>
          <w:rFonts w:ascii="Times New Roman" w:hAnsi="Times New Roman" w:cs="Times New Roman"/>
          <w:sz w:val="24"/>
          <w:szCs w:val="24"/>
        </w:rPr>
        <w:t>Reyment</w:t>
      </w:r>
      <w:proofErr w:type="spellEnd"/>
      <w:r w:rsidRPr="005E5F15">
        <w:rPr>
          <w:rFonts w:ascii="Times New Roman" w:hAnsi="Times New Roman" w:cs="Times New Roman"/>
          <w:sz w:val="24"/>
          <w:szCs w:val="24"/>
        </w:rPr>
        <w:t xml:space="preserve">, 1965; </w:t>
      </w:r>
      <w:proofErr w:type="spellStart"/>
      <w:r w:rsidRPr="005E5F15">
        <w:rPr>
          <w:rFonts w:ascii="Times New Roman" w:hAnsi="Times New Roman" w:cs="Times New Roman"/>
          <w:sz w:val="24"/>
          <w:szCs w:val="24"/>
        </w:rPr>
        <w:t>Offodile</w:t>
      </w:r>
      <w:proofErr w:type="spellEnd"/>
      <w:r w:rsidRPr="005E5F15">
        <w:rPr>
          <w:rFonts w:ascii="Times New Roman" w:hAnsi="Times New Roman" w:cs="Times New Roman"/>
          <w:sz w:val="24"/>
          <w:szCs w:val="24"/>
        </w:rPr>
        <w:t>, 2002). The shallow aquifer</w:t>
      </w:r>
      <w:r w:rsidR="00ED4274">
        <w:rPr>
          <w:rFonts w:ascii="Times New Roman" w:hAnsi="Times New Roman" w:cs="Times New Roman"/>
          <w:sz w:val="24"/>
          <w:szCs w:val="24"/>
        </w:rPr>
        <w:t xml:space="preserve">, located at depths of </w:t>
      </w:r>
      <w:r w:rsidRPr="005E5F15">
        <w:rPr>
          <w:rFonts w:ascii="Times New Roman" w:hAnsi="Times New Roman" w:cs="Times New Roman"/>
          <w:sz w:val="24"/>
          <w:szCs w:val="24"/>
        </w:rPr>
        <w:t xml:space="preserve"> 2–18 m</w:t>
      </w:r>
      <w:r w:rsidR="00ED4274">
        <w:rPr>
          <w:rFonts w:ascii="Times New Roman" w:hAnsi="Times New Roman" w:cs="Times New Roman"/>
          <w:sz w:val="24"/>
          <w:szCs w:val="24"/>
        </w:rPr>
        <w:t>eters,</w:t>
      </w:r>
      <w:r w:rsidRPr="005E5F15">
        <w:rPr>
          <w:rFonts w:ascii="Times New Roman" w:hAnsi="Times New Roman" w:cs="Times New Roman"/>
          <w:sz w:val="24"/>
          <w:szCs w:val="24"/>
        </w:rPr>
        <w:t xml:space="preserve"> is developed </w:t>
      </w:r>
      <w:r w:rsidR="00ED4274">
        <w:rPr>
          <w:rFonts w:ascii="Times New Roman" w:hAnsi="Times New Roman" w:cs="Times New Roman"/>
          <w:sz w:val="24"/>
          <w:szCs w:val="24"/>
        </w:rPr>
        <w:t>with</w:t>
      </w:r>
      <w:r w:rsidRPr="005E5F15">
        <w:rPr>
          <w:rFonts w:ascii="Times New Roman" w:hAnsi="Times New Roman" w:cs="Times New Roman"/>
          <w:sz w:val="24"/>
          <w:szCs w:val="24"/>
        </w:rPr>
        <w:t>in</w:t>
      </w:r>
      <w:r w:rsidR="00ED4274">
        <w:rPr>
          <w:rFonts w:ascii="Times New Roman" w:hAnsi="Times New Roman" w:cs="Times New Roman"/>
          <w:sz w:val="24"/>
          <w:szCs w:val="24"/>
        </w:rPr>
        <w:t xml:space="preserve"> the</w:t>
      </w:r>
      <w:r w:rsidRPr="005E5F15">
        <w:rPr>
          <w:rFonts w:ascii="Times New Roman" w:hAnsi="Times New Roman" w:cs="Times New Roman"/>
          <w:sz w:val="24"/>
          <w:szCs w:val="24"/>
        </w:rPr>
        <w:t xml:space="preserve"> weathered and fractured shale, </w:t>
      </w:r>
      <w:r w:rsidR="00ED4274">
        <w:rPr>
          <w:rFonts w:ascii="Times New Roman" w:hAnsi="Times New Roman" w:cs="Times New Roman"/>
          <w:sz w:val="24"/>
          <w:szCs w:val="24"/>
        </w:rPr>
        <w:t>exhibiting unconfined to</w:t>
      </w:r>
      <w:r w:rsidRPr="005E5F15">
        <w:rPr>
          <w:rFonts w:ascii="Times New Roman" w:hAnsi="Times New Roman" w:cs="Times New Roman"/>
          <w:sz w:val="24"/>
          <w:szCs w:val="24"/>
        </w:rPr>
        <w:t xml:space="preserve"> semi-confined conditions (Edet, 2021; Ezeh et al., 2017). Recharge </w:t>
      </w:r>
      <w:r w:rsidR="00FA6487">
        <w:rPr>
          <w:rFonts w:ascii="Times New Roman" w:hAnsi="Times New Roman" w:cs="Times New Roman"/>
          <w:sz w:val="24"/>
          <w:szCs w:val="24"/>
        </w:rPr>
        <w:t>occurs</w:t>
      </w:r>
      <w:r w:rsidRPr="005E5F15">
        <w:rPr>
          <w:rFonts w:ascii="Times New Roman" w:hAnsi="Times New Roman" w:cs="Times New Roman"/>
          <w:sz w:val="24"/>
          <w:szCs w:val="24"/>
        </w:rPr>
        <w:t xml:space="preserve"> primarily </w:t>
      </w:r>
      <w:r w:rsidR="00FA6487">
        <w:rPr>
          <w:rFonts w:ascii="Times New Roman" w:hAnsi="Times New Roman" w:cs="Times New Roman"/>
          <w:sz w:val="24"/>
          <w:szCs w:val="24"/>
        </w:rPr>
        <w:t>through</w:t>
      </w:r>
      <w:r w:rsidRPr="005E5F15">
        <w:rPr>
          <w:rFonts w:ascii="Times New Roman" w:hAnsi="Times New Roman" w:cs="Times New Roman"/>
          <w:sz w:val="24"/>
          <w:szCs w:val="24"/>
        </w:rPr>
        <w:t xml:space="preserve"> rainfall, with groundwater flow generally </w:t>
      </w:r>
      <w:r w:rsidR="00FA6487">
        <w:rPr>
          <w:rFonts w:ascii="Times New Roman" w:hAnsi="Times New Roman" w:cs="Times New Roman"/>
          <w:sz w:val="24"/>
          <w:szCs w:val="24"/>
        </w:rPr>
        <w:t xml:space="preserve">directed </w:t>
      </w:r>
      <w:r w:rsidRPr="005E5F15">
        <w:rPr>
          <w:rFonts w:ascii="Times New Roman" w:hAnsi="Times New Roman" w:cs="Times New Roman"/>
          <w:sz w:val="24"/>
          <w:szCs w:val="24"/>
        </w:rPr>
        <w:t>from northeast to southwest (Fig. 2).</w:t>
      </w:r>
    </w:p>
    <w:p w14:paraId="5198E378" w14:textId="77777777" w:rsidR="0080783E" w:rsidRPr="005E5F15" w:rsidRDefault="0080783E" w:rsidP="0080783E">
      <w:pPr>
        <w:spacing w:after="0" w:line="240" w:lineRule="auto"/>
        <w:ind w:left="-30"/>
        <w:jc w:val="both"/>
        <w:rPr>
          <w:rFonts w:ascii="Times New Roman" w:hAnsi="Times New Roman" w:cs="Times New Roman"/>
          <w:sz w:val="24"/>
          <w:szCs w:val="24"/>
        </w:rPr>
      </w:pPr>
      <w:r w:rsidRPr="005E5F15">
        <w:rPr>
          <w:rFonts w:ascii="Times New Roman" w:hAnsi="Times New Roman" w:cs="Times New Roman"/>
          <w:noProof/>
          <w:sz w:val="24"/>
          <w:szCs w:val="24"/>
          <w:lang w:val="en-US"/>
        </w:rPr>
        <w:drawing>
          <wp:inline distT="0" distB="0" distL="0" distR="0" wp14:anchorId="35363743" wp14:editId="3A032779">
            <wp:extent cx="5711333" cy="3132000"/>
            <wp:effectExtent l="19050" t="19050" r="2286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email">
                      <a:lum contrast="40000"/>
                      <a:extLst>
                        <a:ext uri="{28A0092B-C50C-407E-A947-70E740481C1C}">
                          <a14:useLocalDpi xmlns:a14="http://schemas.microsoft.com/office/drawing/2010/main"/>
                        </a:ext>
                      </a:extLst>
                    </a:blip>
                    <a:srcRect/>
                    <a:stretch>
                      <a:fillRect/>
                    </a:stretch>
                  </pic:blipFill>
                  <pic:spPr bwMode="auto">
                    <a:xfrm>
                      <a:off x="0" y="0"/>
                      <a:ext cx="5711333" cy="3132000"/>
                    </a:xfrm>
                    <a:prstGeom prst="rect">
                      <a:avLst/>
                    </a:prstGeom>
                    <a:noFill/>
                    <a:ln w="19050">
                      <a:solidFill>
                        <a:schemeClr val="tx1"/>
                      </a:solidFill>
                    </a:ln>
                  </pic:spPr>
                </pic:pic>
              </a:graphicData>
            </a:graphic>
          </wp:inline>
        </w:drawing>
      </w:r>
    </w:p>
    <w:p w14:paraId="715B55A5" w14:textId="77777777" w:rsidR="0080783E" w:rsidRPr="005E5F15" w:rsidRDefault="0080783E" w:rsidP="0080783E">
      <w:pPr>
        <w:spacing w:line="240" w:lineRule="auto"/>
        <w:ind w:left="-30"/>
        <w:jc w:val="both"/>
        <w:rPr>
          <w:rFonts w:ascii="Times New Roman" w:hAnsi="Times New Roman" w:cs="Times New Roman"/>
          <w:sz w:val="24"/>
          <w:szCs w:val="24"/>
        </w:rPr>
      </w:pPr>
      <w:bookmarkStart w:id="2" w:name="_Toc147523961"/>
      <w:bookmarkStart w:id="3" w:name="_Toc158760244"/>
      <w:r w:rsidRPr="005E5F15">
        <w:rPr>
          <w:rFonts w:ascii="Times New Roman" w:hAnsi="Times New Roman" w:cs="Times New Roman"/>
          <w:sz w:val="24"/>
          <w:szCs w:val="24"/>
        </w:rPr>
        <w:t>Fig.2: Geologic map of Enugu Urban and its environs (insert: geologic map of Enugu State modified after Nigeria Geological Survey Agency (NGSA, 2006)</w:t>
      </w:r>
      <w:bookmarkEnd w:id="2"/>
      <w:bookmarkEnd w:id="3"/>
    </w:p>
    <w:p w14:paraId="29D6DA95" w14:textId="77777777"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3. Materials and Methods</w:t>
      </w:r>
    </w:p>
    <w:p w14:paraId="1224D1A9" w14:textId="77777777" w:rsidR="002D0E72" w:rsidRDefault="00FA3417" w:rsidP="0080783E">
      <w:pPr>
        <w:jc w:val="both"/>
        <w:rPr>
          <w:rFonts w:ascii="Times New Roman" w:hAnsi="Times New Roman" w:cs="Times New Roman"/>
          <w:sz w:val="24"/>
          <w:szCs w:val="24"/>
        </w:rPr>
      </w:pPr>
      <w:r w:rsidRPr="005E5F15">
        <w:rPr>
          <w:rFonts w:ascii="Times New Roman" w:hAnsi="Times New Roman" w:cs="Times New Roman"/>
          <w:sz w:val="24"/>
          <w:szCs w:val="24"/>
        </w:rPr>
        <w:t>A total of 122 groundwater samples were collected from hand-dug wells during wet and dry seasons.</w:t>
      </w:r>
      <w:r w:rsidR="00FA6487">
        <w:rPr>
          <w:rFonts w:ascii="Times New Roman" w:hAnsi="Times New Roman" w:cs="Times New Roman"/>
          <w:sz w:val="24"/>
          <w:szCs w:val="24"/>
        </w:rPr>
        <w:t xml:space="preserve"> The samples were </w:t>
      </w:r>
      <w:r w:rsidR="00B87D16">
        <w:rPr>
          <w:rFonts w:ascii="Times New Roman" w:hAnsi="Times New Roman" w:cs="Times New Roman"/>
          <w:sz w:val="24"/>
          <w:szCs w:val="24"/>
        </w:rPr>
        <w:t>taken</w:t>
      </w:r>
      <w:r w:rsidR="00FA6487">
        <w:rPr>
          <w:rFonts w:ascii="Times New Roman" w:hAnsi="Times New Roman" w:cs="Times New Roman"/>
          <w:sz w:val="24"/>
          <w:szCs w:val="24"/>
        </w:rPr>
        <w:t xml:space="preserve"> after </w:t>
      </w:r>
      <w:r w:rsidR="00B87D16">
        <w:rPr>
          <w:rFonts w:ascii="Times New Roman" w:hAnsi="Times New Roman" w:cs="Times New Roman"/>
          <w:sz w:val="24"/>
          <w:szCs w:val="24"/>
        </w:rPr>
        <w:t xml:space="preserve">allowing </w:t>
      </w:r>
      <w:r w:rsidR="00FA6487">
        <w:rPr>
          <w:rFonts w:ascii="Times New Roman" w:hAnsi="Times New Roman" w:cs="Times New Roman"/>
          <w:sz w:val="24"/>
          <w:szCs w:val="24"/>
        </w:rPr>
        <w:t>water to flow for some time to ensure that water directly from the aquifer was collect</w:t>
      </w:r>
      <w:r w:rsidR="00C715AE">
        <w:rPr>
          <w:rFonts w:ascii="Times New Roman" w:hAnsi="Times New Roman" w:cs="Times New Roman"/>
          <w:sz w:val="24"/>
          <w:szCs w:val="24"/>
        </w:rPr>
        <w:t>ed</w:t>
      </w:r>
      <w:r w:rsidR="00FA6487">
        <w:rPr>
          <w:rFonts w:ascii="Times New Roman" w:hAnsi="Times New Roman" w:cs="Times New Roman"/>
          <w:sz w:val="24"/>
          <w:szCs w:val="24"/>
        </w:rPr>
        <w:t xml:space="preserve">. </w:t>
      </w:r>
      <w:r w:rsidR="00B87D16">
        <w:rPr>
          <w:rFonts w:ascii="Times New Roman" w:hAnsi="Times New Roman" w:cs="Times New Roman"/>
          <w:sz w:val="24"/>
          <w:szCs w:val="24"/>
        </w:rPr>
        <w:t>Each</w:t>
      </w:r>
      <w:r w:rsidR="00FA6487">
        <w:rPr>
          <w:rFonts w:ascii="Times New Roman" w:hAnsi="Times New Roman" w:cs="Times New Roman"/>
          <w:sz w:val="24"/>
          <w:szCs w:val="24"/>
        </w:rPr>
        <w:t xml:space="preserve"> sample w</w:t>
      </w:r>
      <w:r w:rsidR="00B87D16">
        <w:rPr>
          <w:rFonts w:ascii="Times New Roman" w:hAnsi="Times New Roman" w:cs="Times New Roman"/>
          <w:sz w:val="24"/>
          <w:szCs w:val="24"/>
        </w:rPr>
        <w:t>as</w:t>
      </w:r>
      <w:r w:rsidR="00FA6487">
        <w:rPr>
          <w:rFonts w:ascii="Times New Roman" w:hAnsi="Times New Roman" w:cs="Times New Roman"/>
          <w:sz w:val="24"/>
          <w:szCs w:val="24"/>
        </w:rPr>
        <w:t xml:space="preserve"> coll</w:t>
      </w:r>
      <w:r w:rsidR="007811EC">
        <w:rPr>
          <w:rFonts w:ascii="Times New Roman" w:hAnsi="Times New Roman" w:cs="Times New Roman"/>
          <w:sz w:val="24"/>
          <w:szCs w:val="24"/>
        </w:rPr>
        <w:t xml:space="preserve">ected </w:t>
      </w:r>
      <w:r w:rsidR="00B87D16">
        <w:rPr>
          <w:rFonts w:ascii="Times New Roman" w:hAnsi="Times New Roman" w:cs="Times New Roman"/>
          <w:sz w:val="24"/>
          <w:szCs w:val="24"/>
        </w:rPr>
        <w:t>using</w:t>
      </w:r>
      <w:r w:rsidR="007811EC">
        <w:rPr>
          <w:rFonts w:ascii="Times New Roman" w:hAnsi="Times New Roman" w:cs="Times New Roman"/>
          <w:sz w:val="24"/>
          <w:szCs w:val="24"/>
        </w:rPr>
        <w:t xml:space="preserve"> a one</w:t>
      </w:r>
      <w:r w:rsidR="00B87D16">
        <w:rPr>
          <w:rFonts w:ascii="Times New Roman" w:hAnsi="Times New Roman" w:cs="Times New Roman"/>
          <w:sz w:val="24"/>
          <w:szCs w:val="24"/>
        </w:rPr>
        <w:t>-</w:t>
      </w:r>
      <w:r w:rsidR="00BA7BF1">
        <w:rPr>
          <w:rFonts w:ascii="Times New Roman" w:hAnsi="Times New Roman" w:cs="Times New Roman"/>
          <w:sz w:val="24"/>
          <w:szCs w:val="24"/>
        </w:rPr>
        <w:t>litre</w:t>
      </w:r>
      <w:r w:rsidR="007811EC">
        <w:rPr>
          <w:rFonts w:ascii="Times New Roman" w:hAnsi="Times New Roman" w:cs="Times New Roman"/>
          <w:sz w:val="24"/>
          <w:szCs w:val="24"/>
        </w:rPr>
        <w:t xml:space="preserve"> plastic container with cover</w:t>
      </w:r>
      <w:r w:rsidR="00B87D16">
        <w:rPr>
          <w:rFonts w:ascii="Times New Roman" w:hAnsi="Times New Roman" w:cs="Times New Roman"/>
          <w:sz w:val="24"/>
          <w:szCs w:val="24"/>
        </w:rPr>
        <w:t>,</w:t>
      </w:r>
      <w:r w:rsidR="007811EC">
        <w:rPr>
          <w:rFonts w:ascii="Times New Roman" w:hAnsi="Times New Roman" w:cs="Times New Roman"/>
          <w:sz w:val="24"/>
          <w:szCs w:val="24"/>
        </w:rPr>
        <w:t xml:space="preserve"> which </w:t>
      </w:r>
      <w:r w:rsidR="00B87D16">
        <w:rPr>
          <w:rFonts w:ascii="Times New Roman" w:hAnsi="Times New Roman" w:cs="Times New Roman"/>
          <w:sz w:val="24"/>
          <w:szCs w:val="24"/>
        </w:rPr>
        <w:t>had been</w:t>
      </w:r>
      <w:r w:rsidR="007811EC">
        <w:rPr>
          <w:rFonts w:ascii="Times New Roman" w:hAnsi="Times New Roman" w:cs="Times New Roman"/>
          <w:sz w:val="24"/>
          <w:szCs w:val="24"/>
        </w:rPr>
        <w:t xml:space="preserve"> pre-washed with detergent and rinsed with distilled water.</w:t>
      </w:r>
      <w:r w:rsidR="00FA6487">
        <w:rPr>
          <w:rFonts w:ascii="Times New Roman" w:hAnsi="Times New Roman" w:cs="Times New Roman"/>
          <w:sz w:val="24"/>
          <w:szCs w:val="24"/>
        </w:rPr>
        <w:t xml:space="preserve"> </w:t>
      </w:r>
      <w:r w:rsidR="007811EC">
        <w:rPr>
          <w:rFonts w:ascii="Times New Roman" w:hAnsi="Times New Roman" w:cs="Times New Roman"/>
          <w:sz w:val="24"/>
          <w:szCs w:val="24"/>
        </w:rPr>
        <w:t>At each sampl</w:t>
      </w:r>
      <w:r w:rsidR="00B87D16">
        <w:rPr>
          <w:rFonts w:ascii="Times New Roman" w:hAnsi="Times New Roman" w:cs="Times New Roman"/>
          <w:sz w:val="24"/>
          <w:szCs w:val="24"/>
        </w:rPr>
        <w:t>ing</w:t>
      </w:r>
      <w:r w:rsidR="007811EC">
        <w:rPr>
          <w:rFonts w:ascii="Times New Roman" w:hAnsi="Times New Roman" w:cs="Times New Roman"/>
          <w:sz w:val="24"/>
          <w:szCs w:val="24"/>
        </w:rPr>
        <w:t xml:space="preserve"> point</w:t>
      </w:r>
      <w:r w:rsidR="00B87D16">
        <w:rPr>
          <w:rFonts w:ascii="Times New Roman" w:hAnsi="Times New Roman" w:cs="Times New Roman"/>
          <w:sz w:val="24"/>
          <w:szCs w:val="24"/>
        </w:rPr>
        <w:t>,</w:t>
      </w:r>
      <w:r w:rsidR="007811EC">
        <w:rPr>
          <w:rFonts w:ascii="Times New Roman" w:hAnsi="Times New Roman" w:cs="Times New Roman"/>
          <w:sz w:val="24"/>
          <w:szCs w:val="24"/>
        </w:rPr>
        <w:t xml:space="preserve"> the container was rinsed with the sample</w:t>
      </w:r>
      <w:r w:rsidR="00B87D16">
        <w:rPr>
          <w:rFonts w:ascii="Times New Roman" w:hAnsi="Times New Roman" w:cs="Times New Roman"/>
          <w:sz w:val="24"/>
          <w:szCs w:val="24"/>
        </w:rPr>
        <w:t xml:space="preserve"> water</w:t>
      </w:r>
      <w:r w:rsidR="007811EC">
        <w:rPr>
          <w:rFonts w:ascii="Times New Roman" w:hAnsi="Times New Roman" w:cs="Times New Roman"/>
          <w:sz w:val="24"/>
          <w:szCs w:val="24"/>
        </w:rPr>
        <w:t xml:space="preserve"> before collection and </w:t>
      </w:r>
      <w:r w:rsidR="00B87D16">
        <w:rPr>
          <w:rFonts w:ascii="Times New Roman" w:hAnsi="Times New Roman" w:cs="Times New Roman"/>
          <w:sz w:val="24"/>
          <w:szCs w:val="24"/>
        </w:rPr>
        <w:t xml:space="preserve">then securely </w:t>
      </w:r>
      <w:r w:rsidR="007811EC">
        <w:rPr>
          <w:rFonts w:ascii="Times New Roman" w:hAnsi="Times New Roman" w:cs="Times New Roman"/>
          <w:sz w:val="24"/>
          <w:szCs w:val="24"/>
        </w:rPr>
        <w:t xml:space="preserve">covered. </w:t>
      </w:r>
      <w:r w:rsidR="00B87D16">
        <w:rPr>
          <w:rFonts w:ascii="Times New Roman" w:hAnsi="Times New Roman" w:cs="Times New Roman"/>
          <w:sz w:val="24"/>
          <w:szCs w:val="24"/>
        </w:rPr>
        <w:t>To preserve the samples for cation analysis, a few drops of nitric acid were added to adjust the pH to below 2. The sa</w:t>
      </w:r>
      <w:r w:rsidR="007811EC">
        <w:rPr>
          <w:rFonts w:ascii="Times New Roman" w:hAnsi="Times New Roman" w:cs="Times New Roman"/>
          <w:sz w:val="24"/>
          <w:szCs w:val="24"/>
        </w:rPr>
        <w:t>mple</w:t>
      </w:r>
      <w:r w:rsidR="002D0059">
        <w:rPr>
          <w:rFonts w:ascii="Times New Roman" w:hAnsi="Times New Roman" w:cs="Times New Roman"/>
          <w:sz w:val="24"/>
          <w:szCs w:val="24"/>
        </w:rPr>
        <w:t xml:space="preserve"> containers were labelled properly and</w:t>
      </w:r>
      <w:r w:rsidR="007811EC">
        <w:rPr>
          <w:rFonts w:ascii="Times New Roman" w:hAnsi="Times New Roman" w:cs="Times New Roman"/>
          <w:sz w:val="24"/>
          <w:szCs w:val="24"/>
        </w:rPr>
        <w:t xml:space="preserve"> stored in an ice</w:t>
      </w:r>
      <w:r w:rsidR="00B87D16">
        <w:rPr>
          <w:rFonts w:ascii="Times New Roman" w:hAnsi="Times New Roman" w:cs="Times New Roman"/>
          <w:sz w:val="24"/>
          <w:szCs w:val="24"/>
        </w:rPr>
        <w:t>-</w:t>
      </w:r>
      <w:r w:rsidR="007811EC">
        <w:rPr>
          <w:rFonts w:ascii="Times New Roman" w:hAnsi="Times New Roman" w:cs="Times New Roman"/>
          <w:sz w:val="24"/>
          <w:szCs w:val="24"/>
        </w:rPr>
        <w:t xml:space="preserve"> packed cooler and t</w:t>
      </w:r>
      <w:r w:rsidR="00B87D16">
        <w:rPr>
          <w:rFonts w:ascii="Times New Roman" w:hAnsi="Times New Roman" w:cs="Times New Roman"/>
          <w:sz w:val="24"/>
          <w:szCs w:val="24"/>
        </w:rPr>
        <w:t>ransported</w:t>
      </w:r>
      <w:r w:rsidR="007811EC">
        <w:rPr>
          <w:rFonts w:ascii="Times New Roman" w:hAnsi="Times New Roman" w:cs="Times New Roman"/>
          <w:sz w:val="24"/>
          <w:szCs w:val="24"/>
        </w:rPr>
        <w:t xml:space="preserve"> to the laboratory for </w:t>
      </w:r>
      <w:r w:rsidR="00B87D16">
        <w:rPr>
          <w:rFonts w:ascii="Times New Roman" w:hAnsi="Times New Roman" w:cs="Times New Roman"/>
          <w:sz w:val="24"/>
          <w:szCs w:val="24"/>
        </w:rPr>
        <w:t xml:space="preserve">further </w:t>
      </w:r>
      <w:r w:rsidR="007811EC">
        <w:rPr>
          <w:rFonts w:ascii="Times New Roman" w:hAnsi="Times New Roman" w:cs="Times New Roman"/>
          <w:sz w:val="24"/>
          <w:szCs w:val="24"/>
        </w:rPr>
        <w:t>analysis.</w:t>
      </w:r>
      <w:r w:rsidRPr="005E5F15">
        <w:rPr>
          <w:rFonts w:ascii="Times New Roman" w:hAnsi="Times New Roman" w:cs="Times New Roman"/>
          <w:sz w:val="24"/>
          <w:szCs w:val="24"/>
        </w:rPr>
        <w:t xml:space="preserve"> In-situ parameters </w:t>
      </w:r>
      <w:r w:rsidR="00B87D16">
        <w:rPr>
          <w:rFonts w:ascii="Times New Roman" w:hAnsi="Times New Roman" w:cs="Times New Roman"/>
          <w:sz w:val="24"/>
          <w:szCs w:val="24"/>
        </w:rPr>
        <w:t xml:space="preserve">such as </w:t>
      </w:r>
      <w:r w:rsidRPr="005E5F15">
        <w:rPr>
          <w:rFonts w:ascii="Times New Roman" w:hAnsi="Times New Roman" w:cs="Times New Roman"/>
          <w:sz w:val="24"/>
          <w:szCs w:val="24"/>
        </w:rPr>
        <w:t xml:space="preserve">pH, </w:t>
      </w:r>
      <w:r w:rsidR="00B87D16">
        <w:rPr>
          <w:rFonts w:ascii="Times New Roman" w:hAnsi="Times New Roman" w:cs="Times New Roman"/>
          <w:sz w:val="24"/>
          <w:szCs w:val="24"/>
        </w:rPr>
        <w:t>electrical conductivity (EC)</w:t>
      </w:r>
      <w:r w:rsidRPr="005E5F15">
        <w:rPr>
          <w:rFonts w:ascii="Times New Roman" w:hAnsi="Times New Roman" w:cs="Times New Roman"/>
          <w:sz w:val="24"/>
          <w:szCs w:val="24"/>
        </w:rPr>
        <w:t>,</w:t>
      </w:r>
      <w:r w:rsidR="00B87D16">
        <w:rPr>
          <w:rFonts w:ascii="Times New Roman" w:hAnsi="Times New Roman" w:cs="Times New Roman"/>
          <w:sz w:val="24"/>
          <w:szCs w:val="24"/>
        </w:rPr>
        <w:t xml:space="preserve"> and</w:t>
      </w:r>
      <w:r w:rsidRPr="005E5F15">
        <w:rPr>
          <w:rFonts w:ascii="Times New Roman" w:hAnsi="Times New Roman" w:cs="Times New Roman"/>
          <w:sz w:val="24"/>
          <w:szCs w:val="24"/>
        </w:rPr>
        <w:t xml:space="preserve"> temperature were measured</w:t>
      </w:r>
      <w:r w:rsidR="007811EC">
        <w:rPr>
          <w:rFonts w:ascii="Times New Roman" w:hAnsi="Times New Roman" w:cs="Times New Roman"/>
          <w:sz w:val="24"/>
          <w:szCs w:val="24"/>
        </w:rPr>
        <w:t xml:space="preserve"> in the field using a multi-</w:t>
      </w:r>
      <w:r w:rsidR="00C15F77">
        <w:rPr>
          <w:rFonts w:ascii="Times New Roman" w:hAnsi="Times New Roman" w:cs="Times New Roman"/>
          <w:sz w:val="24"/>
          <w:szCs w:val="24"/>
        </w:rPr>
        <w:t xml:space="preserve">parameter </w:t>
      </w:r>
      <w:r w:rsidR="007811EC">
        <w:rPr>
          <w:rFonts w:ascii="Times New Roman" w:hAnsi="Times New Roman" w:cs="Times New Roman"/>
          <w:sz w:val="24"/>
          <w:szCs w:val="24"/>
        </w:rPr>
        <w:t>meter</w:t>
      </w:r>
      <w:r w:rsidR="00C715AE">
        <w:rPr>
          <w:rFonts w:ascii="Times New Roman" w:hAnsi="Times New Roman" w:cs="Times New Roman"/>
          <w:sz w:val="24"/>
          <w:szCs w:val="24"/>
        </w:rPr>
        <w:t xml:space="preserve"> (Hanna Multi-meter- H198194)</w:t>
      </w:r>
      <w:r w:rsidRPr="005E5F15">
        <w:rPr>
          <w:rFonts w:ascii="Times New Roman" w:hAnsi="Times New Roman" w:cs="Times New Roman"/>
          <w:sz w:val="24"/>
          <w:szCs w:val="24"/>
        </w:rPr>
        <w:t xml:space="preserve">. Major ions and trace elements were </w:t>
      </w:r>
      <w:proofErr w:type="spellStart"/>
      <w:r w:rsidRPr="005E5F15">
        <w:rPr>
          <w:rFonts w:ascii="Times New Roman" w:hAnsi="Times New Roman" w:cs="Times New Roman"/>
          <w:sz w:val="24"/>
          <w:szCs w:val="24"/>
        </w:rPr>
        <w:t>analyzed</w:t>
      </w:r>
      <w:proofErr w:type="spellEnd"/>
      <w:r w:rsidRPr="005E5F15">
        <w:rPr>
          <w:rFonts w:ascii="Times New Roman" w:hAnsi="Times New Roman" w:cs="Times New Roman"/>
          <w:sz w:val="24"/>
          <w:szCs w:val="24"/>
        </w:rPr>
        <w:t xml:space="preserve"> using standard methods (APHA, 2017; Freeze and Cherry, 1979). </w:t>
      </w:r>
      <w:r w:rsidR="00C15F77">
        <w:rPr>
          <w:rFonts w:ascii="Times New Roman" w:hAnsi="Times New Roman" w:cs="Times New Roman"/>
          <w:sz w:val="24"/>
          <w:szCs w:val="24"/>
        </w:rPr>
        <w:t xml:space="preserve">Hydrochemical and thermodynamic assessments were carried out using </w:t>
      </w:r>
      <w:r w:rsidRPr="005E5F15">
        <w:rPr>
          <w:rFonts w:ascii="Times New Roman" w:hAnsi="Times New Roman" w:cs="Times New Roman"/>
          <w:sz w:val="24"/>
          <w:szCs w:val="24"/>
        </w:rPr>
        <w:t>Piper, Durov, Gibbs</w:t>
      </w:r>
      <w:r w:rsidR="00C15F77">
        <w:rPr>
          <w:rFonts w:ascii="Times New Roman" w:hAnsi="Times New Roman" w:cs="Times New Roman"/>
          <w:sz w:val="24"/>
          <w:szCs w:val="24"/>
        </w:rPr>
        <w:t xml:space="preserve"> diagrams</w:t>
      </w:r>
      <w:r w:rsidRPr="005E5F15">
        <w:rPr>
          <w:rFonts w:ascii="Times New Roman" w:hAnsi="Times New Roman" w:cs="Times New Roman"/>
          <w:sz w:val="24"/>
          <w:szCs w:val="24"/>
        </w:rPr>
        <w:t>, and PHREEQC modeling (Piper, 1944; Parkhurst and Appelo, 2013). Multivariate statistic</w:t>
      </w:r>
      <w:r w:rsidR="00C15F77">
        <w:rPr>
          <w:rFonts w:ascii="Times New Roman" w:hAnsi="Times New Roman" w:cs="Times New Roman"/>
          <w:sz w:val="24"/>
          <w:szCs w:val="24"/>
        </w:rPr>
        <w:t>al methods, including</w:t>
      </w:r>
      <w:r w:rsidRPr="005E5F15">
        <w:rPr>
          <w:rFonts w:ascii="Times New Roman" w:hAnsi="Times New Roman" w:cs="Times New Roman"/>
          <w:sz w:val="24"/>
          <w:szCs w:val="24"/>
        </w:rPr>
        <w:t xml:space="preserve"> correlation</w:t>
      </w:r>
      <w:r w:rsidR="00C15F77">
        <w:rPr>
          <w:rFonts w:ascii="Times New Roman" w:hAnsi="Times New Roman" w:cs="Times New Roman"/>
          <w:sz w:val="24"/>
          <w:szCs w:val="24"/>
        </w:rPr>
        <w:t xml:space="preserve"> analysis</w:t>
      </w:r>
      <w:r w:rsidRPr="005E5F15">
        <w:rPr>
          <w:rFonts w:ascii="Times New Roman" w:hAnsi="Times New Roman" w:cs="Times New Roman"/>
          <w:sz w:val="24"/>
          <w:szCs w:val="24"/>
        </w:rPr>
        <w:t>,</w:t>
      </w:r>
      <w:r w:rsidR="00C15F77">
        <w:rPr>
          <w:rFonts w:ascii="Times New Roman" w:hAnsi="Times New Roman" w:cs="Times New Roman"/>
          <w:sz w:val="24"/>
          <w:szCs w:val="24"/>
        </w:rPr>
        <w:t xml:space="preserve"> hierarchical cluster analysis (</w:t>
      </w:r>
      <w:r w:rsidRPr="005E5F15">
        <w:rPr>
          <w:rFonts w:ascii="Times New Roman" w:hAnsi="Times New Roman" w:cs="Times New Roman"/>
          <w:sz w:val="24"/>
          <w:szCs w:val="24"/>
        </w:rPr>
        <w:t>HCA</w:t>
      </w:r>
      <w:r w:rsidR="00C15F77">
        <w:rPr>
          <w:rFonts w:ascii="Times New Roman" w:hAnsi="Times New Roman" w:cs="Times New Roman"/>
          <w:sz w:val="24"/>
          <w:szCs w:val="24"/>
        </w:rPr>
        <w:t>)</w:t>
      </w:r>
      <w:r w:rsidRPr="005E5F15">
        <w:rPr>
          <w:rFonts w:ascii="Times New Roman" w:hAnsi="Times New Roman" w:cs="Times New Roman"/>
          <w:sz w:val="24"/>
          <w:szCs w:val="24"/>
        </w:rPr>
        <w:t>,</w:t>
      </w:r>
      <w:r w:rsidR="00C15F77">
        <w:rPr>
          <w:rFonts w:ascii="Times New Roman" w:hAnsi="Times New Roman" w:cs="Times New Roman"/>
          <w:sz w:val="24"/>
          <w:szCs w:val="24"/>
        </w:rPr>
        <w:t xml:space="preserve"> and principal component analysis (</w:t>
      </w:r>
      <w:r w:rsidRPr="005E5F15">
        <w:rPr>
          <w:rFonts w:ascii="Times New Roman" w:hAnsi="Times New Roman" w:cs="Times New Roman"/>
          <w:sz w:val="24"/>
          <w:szCs w:val="24"/>
        </w:rPr>
        <w:t>PCA)</w:t>
      </w:r>
      <w:r w:rsidR="00C15F77">
        <w:rPr>
          <w:rFonts w:ascii="Times New Roman" w:hAnsi="Times New Roman" w:cs="Times New Roman"/>
          <w:sz w:val="24"/>
          <w:szCs w:val="24"/>
        </w:rPr>
        <w:t>, were employed to</w:t>
      </w:r>
      <w:r w:rsidRPr="005E5F15">
        <w:rPr>
          <w:rFonts w:ascii="Times New Roman" w:hAnsi="Times New Roman" w:cs="Times New Roman"/>
          <w:sz w:val="24"/>
          <w:szCs w:val="24"/>
        </w:rPr>
        <w:t xml:space="preserve"> support interpretation </w:t>
      </w:r>
      <w:r w:rsidR="00C15F77">
        <w:rPr>
          <w:rFonts w:ascii="Times New Roman" w:hAnsi="Times New Roman" w:cs="Times New Roman"/>
          <w:sz w:val="24"/>
          <w:szCs w:val="24"/>
        </w:rPr>
        <w:t xml:space="preserve">of geochemical processes </w:t>
      </w:r>
      <w:r w:rsidRPr="005E5F15">
        <w:rPr>
          <w:rFonts w:ascii="Times New Roman" w:hAnsi="Times New Roman" w:cs="Times New Roman"/>
          <w:sz w:val="24"/>
          <w:szCs w:val="24"/>
        </w:rPr>
        <w:t>(</w:t>
      </w:r>
      <w:proofErr w:type="spellStart"/>
      <w:r w:rsidRPr="005E5F15">
        <w:rPr>
          <w:rFonts w:ascii="Times New Roman" w:hAnsi="Times New Roman" w:cs="Times New Roman"/>
          <w:sz w:val="24"/>
          <w:szCs w:val="24"/>
        </w:rPr>
        <w:t>Ganyecz</w:t>
      </w:r>
      <w:proofErr w:type="spellEnd"/>
      <w:r w:rsidRPr="005E5F15">
        <w:rPr>
          <w:rFonts w:ascii="Times New Roman" w:hAnsi="Times New Roman" w:cs="Times New Roman"/>
          <w:sz w:val="24"/>
          <w:szCs w:val="24"/>
        </w:rPr>
        <w:t xml:space="preserve"> et al., 2022; </w:t>
      </w:r>
      <w:proofErr w:type="spellStart"/>
      <w:r w:rsidRPr="005E5F15">
        <w:rPr>
          <w:rFonts w:ascii="Times New Roman" w:hAnsi="Times New Roman" w:cs="Times New Roman"/>
          <w:sz w:val="24"/>
          <w:szCs w:val="24"/>
        </w:rPr>
        <w:t>Vasanthavigar</w:t>
      </w:r>
      <w:proofErr w:type="spellEnd"/>
      <w:r w:rsidRPr="005E5F15">
        <w:rPr>
          <w:rFonts w:ascii="Times New Roman" w:hAnsi="Times New Roman" w:cs="Times New Roman"/>
          <w:sz w:val="24"/>
          <w:szCs w:val="24"/>
        </w:rPr>
        <w:t xml:space="preserve"> et al., 2010).</w:t>
      </w:r>
    </w:p>
    <w:p w14:paraId="49E3B176" w14:textId="02870DB0" w:rsidR="0080783E" w:rsidRPr="002D0E72" w:rsidRDefault="0080783E" w:rsidP="0080783E">
      <w:pPr>
        <w:jc w:val="both"/>
        <w:rPr>
          <w:rFonts w:ascii="Times New Roman" w:hAnsi="Times New Roman" w:cs="Times New Roman"/>
          <w:sz w:val="24"/>
          <w:szCs w:val="24"/>
        </w:rPr>
      </w:pPr>
      <w:r w:rsidRPr="005E5F15">
        <w:rPr>
          <w:rFonts w:ascii="Times New Roman" w:hAnsi="Times New Roman" w:cs="Times New Roman"/>
          <w:b/>
          <w:bCs/>
          <w:sz w:val="24"/>
          <w:szCs w:val="24"/>
          <w:lang w:val="en-US"/>
        </w:rPr>
        <w:lastRenderedPageBreak/>
        <w:t xml:space="preserve">4. </w:t>
      </w:r>
      <w:bookmarkStart w:id="4" w:name="_GoBack"/>
      <w:r w:rsidRPr="005E5F15">
        <w:rPr>
          <w:rFonts w:ascii="Times New Roman" w:hAnsi="Times New Roman" w:cs="Times New Roman"/>
          <w:b/>
          <w:bCs/>
          <w:sz w:val="24"/>
          <w:szCs w:val="24"/>
          <w:lang w:val="en-US"/>
        </w:rPr>
        <w:t>Result</w:t>
      </w:r>
      <w:bookmarkEnd w:id="4"/>
      <w:r w:rsidRPr="005E5F15">
        <w:rPr>
          <w:rFonts w:ascii="Times New Roman" w:hAnsi="Times New Roman" w:cs="Times New Roman"/>
          <w:b/>
          <w:bCs/>
          <w:sz w:val="24"/>
          <w:szCs w:val="24"/>
          <w:lang w:val="en-US"/>
        </w:rPr>
        <w:t>s and Discussion</w:t>
      </w:r>
    </w:p>
    <w:p w14:paraId="3F1BD974" w14:textId="6815FFD0" w:rsidR="0080783E"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4.1 Hydrogeological Framework</w:t>
      </w:r>
    </w:p>
    <w:p w14:paraId="462E45BE" w14:textId="77777777" w:rsidR="00402627" w:rsidRPr="00402627" w:rsidRDefault="00402627" w:rsidP="00402627">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402627">
        <w:rPr>
          <w:rFonts w:ascii="Times New Roman" w:eastAsia="Times New Roman" w:hAnsi="Times New Roman" w:cs="Times New Roman"/>
          <w:sz w:val="24"/>
          <w:szCs w:val="24"/>
          <w:lang w:eastAsia="en-GB" w:bidi="ar-SA"/>
        </w:rPr>
        <w:t xml:space="preserve">The groundwater flow pattern, as illustrated in </w:t>
      </w:r>
      <w:r w:rsidRPr="00402627">
        <w:rPr>
          <w:rFonts w:ascii="Times New Roman" w:eastAsia="Times New Roman" w:hAnsi="Times New Roman" w:cs="Times New Roman"/>
          <w:bCs/>
          <w:sz w:val="24"/>
          <w:szCs w:val="24"/>
          <w:lang w:eastAsia="en-GB" w:bidi="ar-SA"/>
        </w:rPr>
        <w:t>Fig. 3</w:t>
      </w:r>
      <w:r w:rsidRPr="00402627">
        <w:rPr>
          <w:rFonts w:ascii="Times New Roman" w:eastAsia="Times New Roman" w:hAnsi="Times New Roman" w:cs="Times New Roman"/>
          <w:sz w:val="24"/>
          <w:szCs w:val="24"/>
          <w:lang w:eastAsia="en-GB" w:bidi="ar-SA"/>
        </w:rPr>
        <w:t xml:space="preserve">, shows a predominant </w:t>
      </w:r>
      <w:r w:rsidRPr="00402627">
        <w:rPr>
          <w:rFonts w:ascii="Times New Roman" w:eastAsia="Times New Roman" w:hAnsi="Times New Roman" w:cs="Times New Roman"/>
          <w:bCs/>
          <w:sz w:val="24"/>
          <w:szCs w:val="24"/>
          <w:lang w:eastAsia="en-GB" w:bidi="ar-SA"/>
        </w:rPr>
        <w:t>west-to-east flow direction</w:t>
      </w:r>
      <w:r w:rsidRPr="00402627">
        <w:rPr>
          <w:rFonts w:ascii="Times New Roman" w:eastAsia="Times New Roman" w:hAnsi="Times New Roman" w:cs="Times New Roman"/>
          <w:sz w:val="24"/>
          <w:szCs w:val="24"/>
          <w:lang w:eastAsia="en-GB" w:bidi="ar-SA"/>
        </w:rPr>
        <w:t xml:space="preserve">, which aligns with the regional topographic gradient and the structural dip of the Enugu Shale Formation. This flow direction plays a critical role in shaping the </w:t>
      </w:r>
      <w:r w:rsidRPr="00402627">
        <w:rPr>
          <w:rFonts w:ascii="Times New Roman" w:eastAsia="Times New Roman" w:hAnsi="Times New Roman" w:cs="Times New Roman"/>
          <w:bCs/>
          <w:sz w:val="24"/>
          <w:szCs w:val="24"/>
          <w:lang w:eastAsia="en-GB" w:bidi="ar-SA"/>
        </w:rPr>
        <w:t>hydrogeochemical evolution</w:t>
      </w:r>
      <w:r w:rsidRPr="00402627">
        <w:rPr>
          <w:rFonts w:ascii="Times New Roman" w:eastAsia="Times New Roman" w:hAnsi="Times New Roman" w:cs="Times New Roman"/>
          <w:sz w:val="24"/>
          <w:szCs w:val="24"/>
          <w:lang w:eastAsia="en-GB" w:bidi="ar-SA"/>
        </w:rPr>
        <w:t xml:space="preserve"> of the aquifer. As groundwater migrates along this pathway, it interacts progressively with the host rock, facilitating </w:t>
      </w:r>
      <w:r w:rsidRPr="00402627">
        <w:rPr>
          <w:rFonts w:ascii="Times New Roman" w:eastAsia="Times New Roman" w:hAnsi="Times New Roman" w:cs="Times New Roman"/>
          <w:bCs/>
          <w:sz w:val="24"/>
          <w:szCs w:val="24"/>
          <w:lang w:eastAsia="en-GB" w:bidi="ar-SA"/>
        </w:rPr>
        <w:t>silicate weathering</w:t>
      </w:r>
      <w:r w:rsidRPr="00402627">
        <w:rPr>
          <w:rFonts w:ascii="Times New Roman" w:eastAsia="Times New Roman" w:hAnsi="Times New Roman" w:cs="Times New Roman"/>
          <w:sz w:val="24"/>
          <w:szCs w:val="24"/>
          <w:lang w:eastAsia="en-GB" w:bidi="ar-SA"/>
        </w:rPr>
        <w:t xml:space="preserve">, </w:t>
      </w:r>
      <w:r w:rsidRPr="00402627">
        <w:rPr>
          <w:rFonts w:ascii="Times New Roman" w:eastAsia="Times New Roman" w:hAnsi="Times New Roman" w:cs="Times New Roman"/>
          <w:bCs/>
          <w:sz w:val="24"/>
          <w:szCs w:val="24"/>
          <w:lang w:eastAsia="en-GB" w:bidi="ar-SA"/>
        </w:rPr>
        <w:t>ion exchange</w:t>
      </w:r>
      <w:r w:rsidRPr="00402627">
        <w:rPr>
          <w:rFonts w:ascii="Times New Roman" w:eastAsia="Times New Roman" w:hAnsi="Times New Roman" w:cs="Times New Roman"/>
          <w:sz w:val="24"/>
          <w:szCs w:val="24"/>
          <w:lang w:eastAsia="en-GB" w:bidi="ar-SA"/>
        </w:rPr>
        <w:t xml:space="preserve">, and the </w:t>
      </w:r>
      <w:r w:rsidRPr="00402627">
        <w:rPr>
          <w:rFonts w:ascii="Times New Roman" w:eastAsia="Times New Roman" w:hAnsi="Times New Roman" w:cs="Times New Roman"/>
          <w:bCs/>
          <w:sz w:val="24"/>
          <w:szCs w:val="24"/>
          <w:lang w:eastAsia="en-GB" w:bidi="ar-SA"/>
        </w:rPr>
        <w:t xml:space="preserve">dissolution of carbonate and </w:t>
      </w:r>
      <w:proofErr w:type="spellStart"/>
      <w:r w:rsidRPr="00402627">
        <w:rPr>
          <w:rFonts w:ascii="Times New Roman" w:eastAsia="Times New Roman" w:hAnsi="Times New Roman" w:cs="Times New Roman"/>
          <w:bCs/>
          <w:sz w:val="24"/>
          <w:szCs w:val="24"/>
          <w:lang w:eastAsia="en-GB" w:bidi="ar-SA"/>
        </w:rPr>
        <w:t>sulfate</w:t>
      </w:r>
      <w:proofErr w:type="spellEnd"/>
      <w:r w:rsidRPr="00402627">
        <w:rPr>
          <w:rFonts w:ascii="Times New Roman" w:eastAsia="Times New Roman" w:hAnsi="Times New Roman" w:cs="Times New Roman"/>
          <w:bCs/>
          <w:sz w:val="24"/>
          <w:szCs w:val="24"/>
          <w:lang w:eastAsia="en-GB" w:bidi="ar-SA"/>
        </w:rPr>
        <w:t xml:space="preserve"> minerals</w:t>
      </w:r>
      <w:r w:rsidRPr="00402627">
        <w:rPr>
          <w:rFonts w:ascii="Times New Roman" w:eastAsia="Times New Roman" w:hAnsi="Times New Roman" w:cs="Times New Roman"/>
          <w:sz w:val="24"/>
          <w:szCs w:val="24"/>
          <w:lang w:eastAsia="en-GB" w:bidi="ar-SA"/>
        </w:rPr>
        <w:t xml:space="preserve">—as evidenced by the widespread </w:t>
      </w:r>
      <w:r w:rsidRPr="00402627">
        <w:rPr>
          <w:rFonts w:ascii="Times New Roman" w:eastAsia="Times New Roman" w:hAnsi="Times New Roman" w:cs="Times New Roman"/>
          <w:bCs/>
          <w:sz w:val="24"/>
          <w:szCs w:val="24"/>
          <w:lang w:eastAsia="en-GB" w:bidi="ar-SA"/>
        </w:rPr>
        <w:t>undersaturation</w:t>
      </w:r>
      <w:r w:rsidRPr="00402627">
        <w:rPr>
          <w:rFonts w:ascii="Times New Roman" w:eastAsia="Times New Roman" w:hAnsi="Times New Roman" w:cs="Times New Roman"/>
          <w:sz w:val="24"/>
          <w:szCs w:val="24"/>
          <w:lang w:eastAsia="en-GB" w:bidi="ar-SA"/>
        </w:rPr>
        <w:t xml:space="preserve"> of calcite, dolomite, and gypsum.</w:t>
      </w:r>
    </w:p>
    <w:p w14:paraId="783658B2" w14:textId="77777777" w:rsidR="00402627" w:rsidRPr="00402627" w:rsidRDefault="00402627" w:rsidP="00402627">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402627">
        <w:rPr>
          <w:rFonts w:ascii="Times New Roman" w:hAnsi="Times New Roman" w:cs="Times New Roman"/>
          <w:sz w:val="24"/>
          <w:szCs w:val="24"/>
          <w:lang w:bidi="ar-SA"/>
        </w:rPr>
        <w:t xml:space="preserve">The directional flow pattern also helps explain the observed </w:t>
      </w:r>
      <w:r w:rsidRPr="00402627">
        <w:rPr>
          <w:rFonts w:ascii="Times New Roman" w:hAnsi="Times New Roman" w:cs="Times New Roman"/>
          <w:bCs/>
          <w:sz w:val="24"/>
          <w:szCs w:val="24"/>
          <w:lang w:bidi="ar-SA"/>
        </w:rPr>
        <w:t>spatial variation in major ion concentrations</w:t>
      </w:r>
      <w:r w:rsidRPr="00402627">
        <w:rPr>
          <w:rFonts w:ascii="Times New Roman" w:hAnsi="Times New Roman" w:cs="Times New Roman"/>
          <w:b/>
          <w:sz w:val="24"/>
          <w:szCs w:val="24"/>
          <w:lang w:bidi="ar-SA"/>
        </w:rPr>
        <w:t xml:space="preserve"> </w:t>
      </w:r>
      <w:r w:rsidRPr="00402627">
        <w:rPr>
          <w:rFonts w:ascii="Times New Roman" w:hAnsi="Times New Roman" w:cs="Times New Roman"/>
          <w:sz w:val="24"/>
          <w:szCs w:val="24"/>
          <w:lang w:bidi="ar-SA"/>
        </w:rPr>
        <w:t>and</w:t>
      </w:r>
      <w:r w:rsidRPr="00402627">
        <w:rPr>
          <w:rFonts w:ascii="Times New Roman" w:hAnsi="Times New Roman" w:cs="Times New Roman"/>
          <w:b/>
          <w:sz w:val="24"/>
          <w:szCs w:val="24"/>
          <w:lang w:bidi="ar-SA"/>
        </w:rPr>
        <w:t xml:space="preserve"> </w:t>
      </w:r>
      <w:r w:rsidRPr="00402627">
        <w:rPr>
          <w:rFonts w:ascii="Times New Roman" w:hAnsi="Times New Roman" w:cs="Times New Roman"/>
          <w:bCs/>
          <w:sz w:val="24"/>
          <w:szCs w:val="24"/>
          <w:lang w:bidi="ar-SA"/>
        </w:rPr>
        <w:t>saturation indices</w:t>
      </w:r>
      <w:r w:rsidRPr="00402627">
        <w:rPr>
          <w:rFonts w:ascii="Times New Roman" w:hAnsi="Times New Roman" w:cs="Times New Roman"/>
          <w:sz w:val="24"/>
          <w:szCs w:val="24"/>
          <w:lang w:bidi="ar-SA"/>
        </w:rPr>
        <w:t xml:space="preserve">, which tend to increase along the flow path due to longer </w:t>
      </w:r>
      <w:r w:rsidRPr="00402627">
        <w:rPr>
          <w:rFonts w:ascii="Times New Roman" w:hAnsi="Times New Roman" w:cs="Times New Roman"/>
          <w:bCs/>
          <w:sz w:val="24"/>
          <w:szCs w:val="24"/>
          <w:lang w:bidi="ar-SA"/>
        </w:rPr>
        <w:t>residence times</w:t>
      </w:r>
      <w:r w:rsidRPr="00402627">
        <w:rPr>
          <w:rFonts w:ascii="Times New Roman" w:hAnsi="Times New Roman" w:cs="Times New Roman"/>
          <w:sz w:val="24"/>
          <w:szCs w:val="24"/>
          <w:lang w:bidi="ar-SA"/>
        </w:rPr>
        <w:t xml:space="preserve"> and sustained </w:t>
      </w:r>
      <w:r w:rsidRPr="00402627">
        <w:rPr>
          <w:rFonts w:ascii="Times New Roman" w:hAnsi="Times New Roman" w:cs="Times New Roman"/>
          <w:bCs/>
          <w:sz w:val="24"/>
          <w:szCs w:val="24"/>
          <w:lang w:bidi="ar-SA"/>
        </w:rPr>
        <w:t>water–rock interaction</w:t>
      </w:r>
      <w:r w:rsidRPr="00402627">
        <w:rPr>
          <w:rFonts w:ascii="Times New Roman" w:hAnsi="Times New Roman" w:cs="Times New Roman"/>
          <w:sz w:val="24"/>
          <w:szCs w:val="24"/>
          <w:lang w:bidi="ar-SA"/>
        </w:rPr>
        <w:t xml:space="preserve">. Furthermore, this west-to-east gradient is significant in assessing the </w:t>
      </w:r>
      <w:r w:rsidRPr="00402627">
        <w:rPr>
          <w:rFonts w:ascii="Times New Roman" w:hAnsi="Times New Roman" w:cs="Times New Roman"/>
          <w:bCs/>
          <w:sz w:val="24"/>
          <w:szCs w:val="24"/>
          <w:lang w:bidi="ar-SA"/>
        </w:rPr>
        <w:t>transport of anthropogenic solutes</w:t>
      </w:r>
      <w:r w:rsidRPr="00402627">
        <w:rPr>
          <w:rFonts w:ascii="Times New Roman" w:hAnsi="Times New Roman" w:cs="Times New Roman"/>
          <w:sz w:val="24"/>
          <w:szCs w:val="24"/>
          <w:lang w:bidi="ar-SA"/>
        </w:rPr>
        <w:t xml:space="preserve"> from urban centres located in recharge zones toward more distal discharge areas. Understanding the groundwater flow dynamics is therefore essential not only for interpreting current geochemical conditions but also for predicting future </w:t>
      </w:r>
      <w:r w:rsidRPr="00402627">
        <w:rPr>
          <w:rFonts w:ascii="Times New Roman" w:hAnsi="Times New Roman" w:cs="Times New Roman"/>
          <w:bCs/>
          <w:sz w:val="24"/>
          <w:szCs w:val="24"/>
          <w:lang w:bidi="ar-SA"/>
        </w:rPr>
        <w:t>aquifer responses to land use changes</w:t>
      </w:r>
      <w:r w:rsidRPr="00402627">
        <w:rPr>
          <w:rFonts w:ascii="Times New Roman" w:hAnsi="Times New Roman" w:cs="Times New Roman"/>
          <w:sz w:val="24"/>
          <w:szCs w:val="24"/>
          <w:lang w:bidi="ar-SA"/>
        </w:rPr>
        <w:t xml:space="preserve">, potential </w:t>
      </w:r>
      <w:r w:rsidRPr="00402627">
        <w:rPr>
          <w:rFonts w:ascii="Times New Roman" w:hAnsi="Times New Roman" w:cs="Times New Roman"/>
          <w:bCs/>
          <w:sz w:val="24"/>
          <w:szCs w:val="24"/>
          <w:lang w:bidi="ar-SA"/>
        </w:rPr>
        <w:t>contaminant migration</w:t>
      </w:r>
      <w:r w:rsidRPr="00402627">
        <w:rPr>
          <w:rFonts w:ascii="Times New Roman" w:hAnsi="Times New Roman" w:cs="Times New Roman"/>
          <w:sz w:val="24"/>
          <w:szCs w:val="24"/>
          <w:lang w:bidi="ar-SA"/>
        </w:rPr>
        <w:t xml:space="preserve">, and </w:t>
      </w:r>
      <w:r w:rsidRPr="00402627">
        <w:rPr>
          <w:rFonts w:ascii="Times New Roman" w:hAnsi="Times New Roman" w:cs="Times New Roman"/>
          <w:bCs/>
          <w:sz w:val="24"/>
          <w:szCs w:val="24"/>
          <w:lang w:bidi="ar-SA"/>
        </w:rPr>
        <w:t>recharge vulnerability</w:t>
      </w:r>
      <w:r w:rsidRPr="00402627">
        <w:rPr>
          <w:rFonts w:ascii="Times New Roman" w:hAnsi="Times New Roman" w:cs="Times New Roman"/>
          <w:sz w:val="24"/>
          <w:szCs w:val="24"/>
          <w:lang w:bidi="ar-SA"/>
        </w:rPr>
        <w:t xml:space="preserve"> under increasing urban pressure.</w:t>
      </w:r>
    </w:p>
    <w:p w14:paraId="2F03B152" w14:textId="77777777" w:rsidR="00402627" w:rsidRPr="005E5F15" w:rsidRDefault="00402627" w:rsidP="0080783E">
      <w:pPr>
        <w:jc w:val="both"/>
        <w:rPr>
          <w:rFonts w:ascii="Times New Roman" w:hAnsi="Times New Roman" w:cs="Times New Roman"/>
          <w:b/>
          <w:bCs/>
          <w:sz w:val="24"/>
          <w:szCs w:val="24"/>
          <w:lang w:val="en-US"/>
        </w:rPr>
      </w:pPr>
    </w:p>
    <w:p w14:paraId="2E2E6AA1" w14:textId="77777777" w:rsidR="00613C91" w:rsidRPr="005E5F15" w:rsidRDefault="00613C91" w:rsidP="0080783E">
      <w:pPr>
        <w:jc w:val="both"/>
        <w:rPr>
          <w:rFonts w:ascii="Times New Roman" w:hAnsi="Times New Roman" w:cs="Times New Roman"/>
          <w:sz w:val="24"/>
          <w:szCs w:val="24"/>
          <w:lang w:val="en-US"/>
        </w:rPr>
      </w:pPr>
    </w:p>
    <w:p w14:paraId="7441A784" w14:textId="77777777" w:rsidR="0080783E" w:rsidRPr="005E5F15" w:rsidRDefault="0080783E" w:rsidP="0080783E">
      <w:pPr>
        <w:spacing w:after="0"/>
        <w:jc w:val="both"/>
        <w:rPr>
          <w:rFonts w:ascii="Times New Roman" w:hAnsi="Times New Roman" w:cs="Times New Roman"/>
          <w:sz w:val="24"/>
          <w:szCs w:val="24"/>
          <w:lang w:val="en-US"/>
        </w:rPr>
      </w:pPr>
      <w:r w:rsidRPr="005E5F15">
        <w:rPr>
          <w:rFonts w:ascii="Times New Roman" w:hAnsi="Times New Roman" w:cs="Times New Roman"/>
          <w:noProof/>
          <w:sz w:val="24"/>
          <w:szCs w:val="24"/>
        </w:rPr>
        <w:lastRenderedPageBreak/>
        <w:drawing>
          <wp:inline distT="0" distB="0" distL="0" distR="0" wp14:anchorId="2BCE02E6" wp14:editId="1951F72A">
            <wp:extent cx="5181600" cy="4638511"/>
            <wp:effectExtent l="19050" t="1905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enugu phd flownet swl2.jpg"/>
                    <pic:cNvPicPr/>
                  </pic:nvPicPr>
                  <pic:blipFill>
                    <a:blip r:embed="rId9" cstate="email">
                      <a:grayscl/>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5196529" cy="4651875"/>
                    </a:xfrm>
                    <a:prstGeom prst="rect">
                      <a:avLst/>
                    </a:prstGeom>
                    <a:ln>
                      <a:solidFill>
                        <a:schemeClr val="tx1"/>
                      </a:solidFill>
                    </a:ln>
                  </pic:spPr>
                </pic:pic>
              </a:graphicData>
            </a:graphic>
          </wp:inline>
        </w:drawing>
      </w:r>
    </w:p>
    <w:p w14:paraId="15C47A47" w14:textId="77777777" w:rsidR="0080783E" w:rsidRPr="005E5F15" w:rsidRDefault="0080783E" w:rsidP="0080783E">
      <w:pPr>
        <w:jc w:val="both"/>
        <w:rPr>
          <w:rFonts w:ascii="Times New Roman" w:hAnsi="Times New Roman" w:cs="Times New Roman"/>
          <w:bCs/>
          <w:sz w:val="24"/>
          <w:szCs w:val="24"/>
        </w:rPr>
      </w:pPr>
      <w:bookmarkStart w:id="5" w:name="_Toc158760246"/>
      <w:r w:rsidRPr="005E5F15">
        <w:rPr>
          <w:rFonts w:ascii="Times New Roman" w:hAnsi="Times New Roman" w:cs="Times New Roman"/>
          <w:bCs/>
          <w:sz w:val="24"/>
          <w:szCs w:val="24"/>
        </w:rPr>
        <w:t>Fig. 3. Static water level (SWL) map and groundwater flow pattern in Enugu Urban and its environs</w:t>
      </w:r>
      <w:bookmarkEnd w:id="5"/>
    </w:p>
    <w:p w14:paraId="2D93AB12" w14:textId="77777777" w:rsidR="0080783E" w:rsidRPr="005E5F15" w:rsidRDefault="0080783E" w:rsidP="00705A16">
      <w:pPr>
        <w:spacing w:after="0" w:line="240" w:lineRule="auto"/>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4.2 Hydrochemical Facies and Major Ion Chemistry</w:t>
      </w:r>
    </w:p>
    <w:p w14:paraId="15DD5575" w14:textId="7BA7390D" w:rsidR="007F1500"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The Piper diagram (</w:t>
      </w:r>
      <w:r w:rsidRPr="00402627">
        <w:rPr>
          <w:rFonts w:ascii="Times New Roman" w:hAnsi="Times New Roman" w:cs="Times New Roman"/>
          <w:bCs/>
          <w:sz w:val="24"/>
          <w:szCs w:val="24"/>
          <w:lang w:val="en-US"/>
        </w:rPr>
        <w:t>Fig</w:t>
      </w:r>
      <w:r w:rsidR="00402627" w:rsidRPr="00402627">
        <w:rPr>
          <w:rFonts w:ascii="Times New Roman" w:hAnsi="Times New Roman" w:cs="Times New Roman"/>
          <w:bCs/>
          <w:sz w:val="24"/>
          <w:szCs w:val="24"/>
          <w:lang w:val="en-US"/>
        </w:rPr>
        <w:t>.</w:t>
      </w:r>
      <w:r w:rsidRPr="00402627">
        <w:rPr>
          <w:rFonts w:ascii="Times New Roman" w:hAnsi="Times New Roman" w:cs="Times New Roman"/>
          <w:bCs/>
          <w:sz w:val="24"/>
          <w:szCs w:val="24"/>
          <w:lang w:val="en-US"/>
        </w:rPr>
        <w:t xml:space="preserve"> </w:t>
      </w:r>
      <w:r w:rsidR="00A927C5" w:rsidRPr="00402627">
        <w:rPr>
          <w:rFonts w:ascii="Times New Roman" w:hAnsi="Times New Roman" w:cs="Times New Roman"/>
          <w:bCs/>
          <w:sz w:val="24"/>
          <w:szCs w:val="24"/>
          <w:lang w:val="en-US"/>
        </w:rPr>
        <w:t>4</w:t>
      </w:r>
      <w:r w:rsidRPr="005E5F15">
        <w:rPr>
          <w:rFonts w:ascii="Times New Roman" w:hAnsi="Times New Roman" w:cs="Times New Roman"/>
          <w:sz w:val="24"/>
          <w:szCs w:val="24"/>
          <w:lang w:val="en-US"/>
        </w:rPr>
        <w:t xml:space="preserve">) </w:t>
      </w:r>
      <w:r w:rsidR="007F1500">
        <w:rPr>
          <w:rFonts w:ascii="Times New Roman" w:hAnsi="Times New Roman" w:cs="Times New Roman"/>
          <w:sz w:val="24"/>
          <w:szCs w:val="24"/>
          <w:lang w:val="en-US"/>
        </w:rPr>
        <w:t>indicates</w:t>
      </w:r>
      <w:r w:rsidRPr="005E5F15">
        <w:rPr>
          <w:rFonts w:ascii="Times New Roman" w:hAnsi="Times New Roman" w:cs="Times New Roman"/>
          <w:sz w:val="24"/>
          <w:szCs w:val="24"/>
          <w:lang w:val="en-US"/>
        </w:rPr>
        <w:t xml:space="preserve"> that Na-HCO</w:t>
      </w:r>
      <w:r w:rsidRPr="005E5F15">
        <w:rPr>
          <w:rFonts w:ascii="Cambria Math" w:hAnsi="Cambria Math" w:cs="Cambria Math"/>
          <w:sz w:val="24"/>
          <w:szCs w:val="24"/>
          <w:lang w:val="en-US"/>
        </w:rPr>
        <w:t>₃</w:t>
      </w:r>
      <w:r w:rsidRPr="005E5F15">
        <w:rPr>
          <w:rFonts w:ascii="Times New Roman" w:hAnsi="Times New Roman" w:cs="Times New Roman"/>
          <w:sz w:val="24"/>
          <w:szCs w:val="24"/>
          <w:lang w:val="en-US"/>
        </w:rPr>
        <w:t xml:space="preserve"> </w:t>
      </w:r>
      <w:r w:rsidR="007F1500">
        <w:rPr>
          <w:rFonts w:ascii="Times New Roman" w:hAnsi="Times New Roman" w:cs="Times New Roman"/>
          <w:sz w:val="24"/>
          <w:szCs w:val="24"/>
          <w:lang w:val="en-US"/>
        </w:rPr>
        <w:t>i</w:t>
      </w:r>
      <w:r w:rsidRPr="005E5F15">
        <w:rPr>
          <w:rFonts w:ascii="Times New Roman" w:hAnsi="Times New Roman" w:cs="Times New Roman"/>
          <w:sz w:val="24"/>
          <w:szCs w:val="24"/>
          <w:lang w:val="en-US"/>
        </w:rPr>
        <w:t>s</w:t>
      </w:r>
      <w:r w:rsidR="007F1500">
        <w:rPr>
          <w:rFonts w:ascii="Times New Roman" w:hAnsi="Times New Roman" w:cs="Times New Roman"/>
          <w:sz w:val="24"/>
          <w:szCs w:val="24"/>
          <w:lang w:val="en-US"/>
        </w:rPr>
        <w:t xml:space="preserve"> the</w:t>
      </w:r>
      <w:r w:rsidRPr="005E5F15">
        <w:rPr>
          <w:rFonts w:ascii="Times New Roman" w:hAnsi="Times New Roman" w:cs="Times New Roman"/>
          <w:sz w:val="24"/>
          <w:szCs w:val="24"/>
          <w:lang w:val="en-US"/>
        </w:rPr>
        <w:t xml:space="preserve"> domina</w:t>
      </w:r>
      <w:r w:rsidR="000B3F01">
        <w:rPr>
          <w:rFonts w:ascii="Times New Roman" w:hAnsi="Times New Roman" w:cs="Times New Roman"/>
          <w:sz w:val="24"/>
          <w:szCs w:val="24"/>
          <w:lang w:val="en-US"/>
        </w:rPr>
        <w:t>n</w:t>
      </w:r>
      <w:r w:rsidRPr="005E5F15">
        <w:rPr>
          <w:rFonts w:ascii="Times New Roman" w:hAnsi="Times New Roman" w:cs="Times New Roman"/>
          <w:sz w:val="24"/>
          <w:szCs w:val="24"/>
          <w:lang w:val="en-US"/>
        </w:rPr>
        <w:t>t</w:t>
      </w:r>
      <w:r w:rsidR="007F1500">
        <w:rPr>
          <w:rFonts w:ascii="Times New Roman" w:hAnsi="Times New Roman" w:cs="Times New Roman"/>
          <w:sz w:val="24"/>
          <w:szCs w:val="24"/>
          <w:lang w:val="en-US"/>
        </w:rPr>
        <w:t xml:space="preserve"> hydrochemical facies representing </w:t>
      </w:r>
      <w:r w:rsidRPr="005E5F15">
        <w:rPr>
          <w:rFonts w:ascii="Times New Roman" w:hAnsi="Times New Roman" w:cs="Times New Roman"/>
          <w:sz w:val="24"/>
          <w:szCs w:val="24"/>
          <w:lang w:val="en-US"/>
        </w:rPr>
        <w:t>52% of</w:t>
      </w:r>
      <w:r w:rsidR="007F1500">
        <w:rPr>
          <w:rFonts w:ascii="Times New Roman" w:hAnsi="Times New Roman" w:cs="Times New Roman"/>
          <w:sz w:val="24"/>
          <w:szCs w:val="24"/>
          <w:lang w:val="en-US"/>
        </w:rPr>
        <w:t xml:space="preserve"> groundwater</w:t>
      </w:r>
      <w:r w:rsidRPr="005E5F15">
        <w:rPr>
          <w:rFonts w:ascii="Times New Roman" w:hAnsi="Times New Roman" w:cs="Times New Roman"/>
          <w:sz w:val="24"/>
          <w:szCs w:val="24"/>
          <w:lang w:val="en-US"/>
        </w:rPr>
        <w:t xml:space="preserve"> samples</w:t>
      </w:r>
      <w:r w:rsidR="007F1500">
        <w:rPr>
          <w:rFonts w:ascii="Times New Roman" w:hAnsi="Times New Roman" w:cs="Times New Roman"/>
          <w:sz w:val="24"/>
          <w:szCs w:val="24"/>
          <w:lang w:val="en-US"/>
        </w:rPr>
        <w:t xml:space="preserve">. </w:t>
      </w:r>
      <w:r w:rsidRPr="005E5F15">
        <w:rPr>
          <w:rFonts w:ascii="Times New Roman" w:hAnsi="Times New Roman" w:cs="Times New Roman"/>
          <w:sz w:val="24"/>
          <w:szCs w:val="24"/>
          <w:lang w:val="en-US"/>
        </w:rPr>
        <w:t xml:space="preserve">This suggests that silicate weathering and cation exchange are the </w:t>
      </w:r>
      <w:r w:rsidR="00DA0768">
        <w:rPr>
          <w:rFonts w:ascii="Times New Roman" w:hAnsi="Times New Roman" w:cs="Times New Roman"/>
          <w:sz w:val="24"/>
          <w:szCs w:val="24"/>
          <w:lang w:val="en-US"/>
        </w:rPr>
        <w:t>primary</w:t>
      </w:r>
      <w:r w:rsidRPr="005E5F15">
        <w:rPr>
          <w:rFonts w:ascii="Times New Roman" w:hAnsi="Times New Roman" w:cs="Times New Roman"/>
          <w:sz w:val="24"/>
          <w:szCs w:val="24"/>
          <w:lang w:val="en-US"/>
        </w:rPr>
        <w:t xml:space="preserve"> </w:t>
      </w:r>
      <w:r w:rsidR="007F1500">
        <w:rPr>
          <w:rFonts w:ascii="Times New Roman" w:hAnsi="Times New Roman" w:cs="Times New Roman"/>
          <w:sz w:val="24"/>
          <w:szCs w:val="24"/>
          <w:lang w:val="en-US"/>
        </w:rPr>
        <w:t xml:space="preserve">geochemical </w:t>
      </w:r>
      <w:r w:rsidRPr="005E5F15">
        <w:rPr>
          <w:rFonts w:ascii="Times New Roman" w:hAnsi="Times New Roman" w:cs="Times New Roman"/>
          <w:sz w:val="24"/>
          <w:szCs w:val="24"/>
          <w:lang w:val="en-US"/>
        </w:rPr>
        <w:t>processes controlling groundwater chemistry</w:t>
      </w:r>
      <w:r w:rsidR="007F1500">
        <w:rPr>
          <w:rFonts w:ascii="Times New Roman" w:hAnsi="Times New Roman" w:cs="Times New Roman"/>
          <w:sz w:val="24"/>
          <w:szCs w:val="24"/>
          <w:lang w:val="en-US"/>
        </w:rPr>
        <w:t xml:space="preserve"> in the Enugu Urban area. </w:t>
      </w:r>
      <w:r w:rsidR="000B3F01">
        <w:rPr>
          <w:rFonts w:ascii="Times New Roman" w:hAnsi="Times New Roman" w:cs="Times New Roman"/>
          <w:sz w:val="24"/>
          <w:szCs w:val="24"/>
          <w:lang w:val="en-US"/>
        </w:rPr>
        <w:t>T</w:t>
      </w:r>
      <w:r w:rsidR="007F1500">
        <w:rPr>
          <w:rFonts w:ascii="Times New Roman" w:hAnsi="Times New Roman" w:cs="Times New Roman"/>
          <w:sz w:val="24"/>
          <w:szCs w:val="24"/>
          <w:lang w:val="en-US"/>
        </w:rPr>
        <w:t>he occurrence of secondary Ca-Mg-Cl and mixed facies reflects localized influences, possibly from anthropogenic sources (e.g., domestic waste, latrines) or minor carbonate weathering, consistent with shale-rich lithology.</w:t>
      </w:r>
      <w:r w:rsidRPr="005E5F15">
        <w:rPr>
          <w:rFonts w:ascii="Times New Roman" w:hAnsi="Times New Roman" w:cs="Times New Roman"/>
          <w:sz w:val="24"/>
          <w:szCs w:val="24"/>
          <w:lang w:val="en-US"/>
        </w:rPr>
        <w:t xml:space="preserve"> </w:t>
      </w:r>
    </w:p>
    <w:p w14:paraId="7DA40D39" w14:textId="77777777" w:rsidR="008C35FA" w:rsidRDefault="007F1500" w:rsidP="0080783E">
      <w:pPr>
        <w:jc w:val="both"/>
        <w:rPr>
          <w:rFonts w:ascii="Times New Roman" w:hAnsi="Times New Roman" w:cs="Times New Roman"/>
          <w:sz w:val="24"/>
          <w:szCs w:val="24"/>
          <w:lang w:val="en-US"/>
        </w:rPr>
      </w:pPr>
      <w:r>
        <w:rPr>
          <w:rFonts w:ascii="Times New Roman" w:hAnsi="Times New Roman" w:cs="Times New Roman"/>
          <w:sz w:val="24"/>
          <w:szCs w:val="24"/>
          <w:lang w:val="en-US"/>
        </w:rPr>
        <w:t>Descriptive statis</w:t>
      </w:r>
      <w:r w:rsidR="000B3F01">
        <w:rPr>
          <w:rFonts w:ascii="Times New Roman" w:hAnsi="Times New Roman" w:cs="Times New Roman"/>
          <w:sz w:val="24"/>
          <w:szCs w:val="24"/>
          <w:lang w:val="en-US"/>
        </w:rPr>
        <w:t>t</w:t>
      </w:r>
      <w:r>
        <w:rPr>
          <w:rFonts w:ascii="Times New Roman" w:hAnsi="Times New Roman" w:cs="Times New Roman"/>
          <w:sz w:val="24"/>
          <w:szCs w:val="24"/>
          <w:lang w:val="en-US"/>
        </w:rPr>
        <w:t xml:space="preserve">ics (Table 1) </w:t>
      </w:r>
      <w:r w:rsidR="001E7140">
        <w:rPr>
          <w:rFonts w:ascii="Times New Roman" w:hAnsi="Times New Roman" w:cs="Times New Roman"/>
          <w:sz w:val="24"/>
          <w:szCs w:val="24"/>
          <w:lang w:val="en-US"/>
        </w:rPr>
        <w:t xml:space="preserve">supports these interpretations with TDS values ranging from 42 to 410 mg/L, indicating </w:t>
      </w:r>
      <w:r w:rsidR="008C1E17">
        <w:rPr>
          <w:rFonts w:ascii="Times New Roman" w:hAnsi="Times New Roman" w:cs="Times New Roman"/>
          <w:sz w:val="24"/>
          <w:szCs w:val="24"/>
          <w:lang w:val="en-US"/>
        </w:rPr>
        <w:t xml:space="preserve">fresh water with low mineralization. </w:t>
      </w:r>
      <w:r w:rsidR="008C35FA">
        <w:rPr>
          <w:rFonts w:ascii="Times New Roman" w:hAnsi="Times New Roman" w:cs="Times New Roman"/>
          <w:sz w:val="24"/>
          <w:szCs w:val="24"/>
          <w:lang w:val="en-US"/>
        </w:rPr>
        <w:t xml:space="preserve">The generally high electrical conductivity (EC) TDS during the dry season reflect increased mineral dissolution, longer residence time, and reduced dilution due to low recharge, which is consistent with findings by Ezeh </w:t>
      </w:r>
      <w:r w:rsidR="008C35FA" w:rsidRPr="008C35FA">
        <w:rPr>
          <w:rFonts w:ascii="Times New Roman" w:hAnsi="Times New Roman" w:cs="Times New Roman"/>
          <w:i/>
          <w:sz w:val="24"/>
          <w:szCs w:val="24"/>
          <w:lang w:val="en-US"/>
        </w:rPr>
        <w:t>et al</w:t>
      </w:r>
      <w:r w:rsidR="008C35FA">
        <w:rPr>
          <w:rFonts w:ascii="Times New Roman" w:hAnsi="Times New Roman" w:cs="Times New Roman"/>
          <w:sz w:val="24"/>
          <w:szCs w:val="24"/>
          <w:lang w:val="en-US"/>
        </w:rPr>
        <w:t xml:space="preserve"> (2023) and </w:t>
      </w:r>
      <w:proofErr w:type="spellStart"/>
      <w:r w:rsidR="008C35FA">
        <w:rPr>
          <w:rFonts w:ascii="Times New Roman" w:hAnsi="Times New Roman" w:cs="Times New Roman"/>
          <w:sz w:val="24"/>
          <w:szCs w:val="24"/>
          <w:lang w:val="en-US"/>
        </w:rPr>
        <w:t>Egbi</w:t>
      </w:r>
      <w:proofErr w:type="spellEnd"/>
      <w:r w:rsidR="008C35FA">
        <w:rPr>
          <w:rFonts w:ascii="Times New Roman" w:hAnsi="Times New Roman" w:cs="Times New Roman"/>
          <w:sz w:val="24"/>
          <w:szCs w:val="24"/>
          <w:lang w:val="en-US"/>
        </w:rPr>
        <w:t xml:space="preserve"> and Afolabi (2023).</w:t>
      </w:r>
    </w:p>
    <w:p w14:paraId="329CB3DF" w14:textId="27AEF534" w:rsidR="00B10E1D" w:rsidRDefault="008C35FA" w:rsidP="0080783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C1E17">
        <w:rPr>
          <w:rFonts w:ascii="Times New Roman" w:hAnsi="Times New Roman" w:cs="Times New Roman"/>
          <w:sz w:val="24"/>
          <w:szCs w:val="24"/>
          <w:lang w:val="en-US"/>
        </w:rPr>
        <w:t>The pH</w:t>
      </w:r>
      <w:r w:rsidR="00B10E1D">
        <w:rPr>
          <w:rFonts w:ascii="Times New Roman" w:hAnsi="Times New Roman" w:cs="Times New Roman"/>
          <w:sz w:val="24"/>
          <w:szCs w:val="24"/>
          <w:lang w:val="en-US"/>
        </w:rPr>
        <w:t xml:space="preserve"> values indicate generally acidic to slightly alkaline groundwater in both seasons. The lower pH values observed during the rainy season may be attributed to the oxidation of </w:t>
      </w:r>
      <w:proofErr w:type="spellStart"/>
      <w:r w:rsidR="00B10E1D">
        <w:rPr>
          <w:rFonts w:ascii="Times New Roman" w:hAnsi="Times New Roman" w:cs="Times New Roman"/>
          <w:sz w:val="24"/>
          <w:szCs w:val="24"/>
          <w:lang w:val="en-US"/>
        </w:rPr>
        <w:t>sulphide</w:t>
      </w:r>
      <w:proofErr w:type="spellEnd"/>
      <w:r w:rsidR="00B10E1D">
        <w:rPr>
          <w:rFonts w:ascii="Times New Roman" w:hAnsi="Times New Roman" w:cs="Times New Roman"/>
          <w:sz w:val="24"/>
          <w:szCs w:val="24"/>
          <w:lang w:val="en-US"/>
        </w:rPr>
        <w:t xml:space="preserve"> minerals, particularly pyrite, as well as enhanced microbial activity that release organic acids into </w:t>
      </w:r>
      <w:r w:rsidR="00B10E1D">
        <w:rPr>
          <w:rFonts w:ascii="Times New Roman" w:hAnsi="Times New Roman" w:cs="Times New Roman"/>
          <w:sz w:val="24"/>
          <w:szCs w:val="24"/>
          <w:lang w:val="en-US"/>
        </w:rPr>
        <w:lastRenderedPageBreak/>
        <w:t xml:space="preserve">the aquifer system. Acid rain and leachates from surrounding waste sites may also contribute to this acidity. Similar trends have been observed in groundwater studies conducted in southeastern Nigeria (Onu </w:t>
      </w:r>
      <w:r w:rsidR="00B10E1D" w:rsidRPr="00B10E1D">
        <w:rPr>
          <w:rFonts w:ascii="Times New Roman" w:hAnsi="Times New Roman" w:cs="Times New Roman"/>
          <w:i/>
          <w:sz w:val="24"/>
          <w:szCs w:val="24"/>
          <w:lang w:val="en-US"/>
        </w:rPr>
        <w:t>et al</w:t>
      </w:r>
      <w:r w:rsidR="00B10E1D">
        <w:rPr>
          <w:rFonts w:ascii="Times New Roman" w:hAnsi="Times New Roman" w:cs="Times New Roman"/>
          <w:sz w:val="24"/>
          <w:szCs w:val="24"/>
          <w:lang w:val="en-US"/>
        </w:rPr>
        <w:t xml:space="preserve">., 2024; Nwachukwu </w:t>
      </w:r>
      <w:r w:rsidR="00B10E1D" w:rsidRPr="00B10E1D">
        <w:rPr>
          <w:rFonts w:ascii="Times New Roman" w:hAnsi="Times New Roman" w:cs="Times New Roman"/>
          <w:i/>
          <w:sz w:val="24"/>
          <w:szCs w:val="24"/>
          <w:lang w:val="en-US"/>
        </w:rPr>
        <w:t>et al</w:t>
      </w:r>
      <w:r w:rsidR="00B10E1D">
        <w:rPr>
          <w:rFonts w:ascii="Times New Roman" w:hAnsi="Times New Roman" w:cs="Times New Roman"/>
          <w:sz w:val="24"/>
          <w:szCs w:val="24"/>
          <w:lang w:val="en-US"/>
        </w:rPr>
        <w:t>., 2020).</w:t>
      </w:r>
      <w:r w:rsidR="0069099F">
        <w:rPr>
          <w:rFonts w:ascii="Times New Roman" w:hAnsi="Times New Roman" w:cs="Times New Roman"/>
          <w:sz w:val="24"/>
          <w:szCs w:val="24"/>
          <w:lang w:val="en-US"/>
        </w:rPr>
        <w:t xml:space="preserve"> The pH </w:t>
      </w:r>
      <w:r w:rsidR="008C1E17">
        <w:rPr>
          <w:rFonts w:ascii="Times New Roman" w:hAnsi="Times New Roman" w:cs="Times New Roman"/>
          <w:sz w:val="24"/>
          <w:szCs w:val="24"/>
          <w:lang w:val="en-US"/>
        </w:rPr>
        <w:t xml:space="preserve">suggests limited carbonate buffering capacity, typical of areas underlain by shale formations. </w:t>
      </w:r>
    </w:p>
    <w:p w14:paraId="169D47E2" w14:textId="5188C18F" w:rsidR="00487412" w:rsidRDefault="0069099F" w:rsidP="0080783E">
      <w:pPr>
        <w:jc w:val="both"/>
        <w:rPr>
          <w:rFonts w:ascii="Times New Roman" w:hAnsi="Times New Roman" w:cs="Times New Roman"/>
          <w:sz w:val="24"/>
          <w:szCs w:val="24"/>
        </w:rPr>
      </w:pPr>
      <w:r>
        <w:rPr>
          <w:rFonts w:ascii="Times New Roman" w:hAnsi="Times New Roman" w:cs="Times New Roman"/>
          <w:sz w:val="24"/>
          <w:szCs w:val="24"/>
          <w:lang w:val="en-US"/>
        </w:rPr>
        <w:t>The sodium (Na</w:t>
      </w:r>
      <w:r w:rsidRPr="0069099F">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concentration increased in dry season. This increase suggests enhanced silicate weathering, ion exchange, and evapoconcentration during dry season.  </w:t>
      </w:r>
      <w:r w:rsidR="008C1E17">
        <w:rPr>
          <w:rFonts w:ascii="Times New Roman" w:hAnsi="Times New Roman" w:cs="Times New Roman"/>
          <w:sz w:val="24"/>
          <w:szCs w:val="24"/>
          <w:lang w:val="en-US"/>
        </w:rPr>
        <w:t>Elevated Na</w:t>
      </w:r>
      <w:r w:rsidR="008C1E17" w:rsidRPr="008C1E17">
        <w:rPr>
          <w:rFonts w:ascii="Times New Roman" w:hAnsi="Times New Roman" w:cs="Times New Roman"/>
          <w:sz w:val="24"/>
          <w:szCs w:val="24"/>
          <w:vertAlign w:val="superscript"/>
          <w:lang w:val="en-US"/>
        </w:rPr>
        <w:t>+</w:t>
      </w:r>
      <w:r w:rsidR="008C1E17">
        <w:rPr>
          <w:rFonts w:ascii="Times New Roman" w:hAnsi="Times New Roman" w:cs="Times New Roman"/>
          <w:sz w:val="24"/>
          <w:szCs w:val="24"/>
          <w:lang w:val="en-US"/>
        </w:rPr>
        <w:t xml:space="preserve"> levels in many samples further corroborate the dominance of silicate mineral dissolution and ion exchange processes. These findings align with recent studies on shale aquifers and urban groundwater systems in similar tropical sedimentary settings (Ehirim </w:t>
      </w:r>
      <w:r w:rsidR="008C1E17" w:rsidRPr="000B3F01">
        <w:rPr>
          <w:rFonts w:ascii="Times New Roman" w:hAnsi="Times New Roman" w:cs="Times New Roman"/>
          <w:i/>
          <w:sz w:val="24"/>
          <w:szCs w:val="24"/>
          <w:lang w:val="en-US"/>
        </w:rPr>
        <w:t>et al</w:t>
      </w:r>
      <w:r w:rsidR="008C1E17">
        <w:rPr>
          <w:rFonts w:ascii="Times New Roman" w:hAnsi="Times New Roman" w:cs="Times New Roman"/>
          <w:sz w:val="24"/>
          <w:szCs w:val="24"/>
          <w:lang w:val="en-US"/>
        </w:rPr>
        <w:t>., 20</w:t>
      </w:r>
      <w:r w:rsidR="002F636E">
        <w:rPr>
          <w:rFonts w:ascii="Times New Roman" w:hAnsi="Times New Roman" w:cs="Times New Roman"/>
          <w:sz w:val="24"/>
          <w:szCs w:val="24"/>
          <w:lang w:val="en-US"/>
        </w:rPr>
        <w:t>14</w:t>
      </w:r>
      <w:r w:rsidR="008C1E17">
        <w:rPr>
          <w:rFonts w:ascii="Times New Roman" w:hAnsi="Times New Roman" w:cs="Times New Roman"/>
          <w:sz w:val="24"/>
          <w:szCs w:val="24"/>
          <w:lang w:val="en-US"/>
        </w:rPr>
        <w:t xml:space="preserve">; </w:t>
      </w:r>
      <w:proofErr w:type="spellStart"/>
      <w:r w:rsidR="008C1E17">
        <w:rPr>
          <w:rFonts w:ascii="Times New Roman" w:hAnsi="Times New Roman" w:cs="Times New Roman"/>
          <w:sz w:val="24"/>
          <w:szCs w:val="24"/>
          <w:lang w:val="en-US"/>
        </w:rPr>
        <w:t>Ocheri</w:t>
      </w:r>
      <w:proofErr w:type="spellEnd"/>
      <w:r w:rsidR="008C1E17">
        <w:rPr>
          <w:rFonts w:ascii="Times New Roman" w:hAnsi="Times New Roman" w:cs="Times New Roman"/>
          <w:sz w:val="24"/>
          <w:szCs w:val="24"/>
          <w:lang w:val="en-US"/>
        </w:rPr>
        <w:t xml:space="preserve"> et al., 2021; Tiwari and Rai, 2020). Furthermore, the observed facies evolution aligns with conceptual models proposed by A</w:t>
      </w:r>
      <w:proofErr w:type="spellStart"/>
      <w:r w:rsidR="00FA3417" w:rsidRPr="005E5F15">
        <w:rPr>
          <w:rFonts w:ascii="Times New Roman" w:hAnsi="Times New Roman" w:cs="Times New Roman"/>
          <w:sz w:val="24"/>
          <w:szCs w:val="24"/>
        </w:rPr>
        <w:t>ppelo</w:t>
      </w:r>
      <w:proofErr w:type="spellEnd"/>
      <w:r w:rsidR="00FA3417" w:rsidRPr="005E5F15">
        <w:rPr>
          <w:rFonts w:ascii="Times New Roman" w:hAnsi="Times New Roman" w:cs="Times New Roman"/>
          <w:sz w:val="24"/>
          <w:szCs w:val="24"/>
        </w:rPr>
        <w:t xml:space="preserve"> and Postma </w:t>
      </w:r>
      <w:r w:rsidR="008C1E17">
        <w:rPr>
          <w:rFonts w:ascii="Times New Roman" w:hAnsi="Times New Roman" w:cs="Times New Roman"/>
          <w:sz w:val="24"/>
          <w:szCs w:val="24"/>
        </w:rPr>
        <w:t>(</w:t>
      </w:r>
      <w:r w:rsidR="00FA3417" w:rsidRPr="005E5F15">
        <w:rPr>
          <w:rFonts w:ascii="Times New Roman" w:hAnsi="Times New Roman" w:cs="Times New Roman"/>
          <w:sz w:val="24"/>
          <w:szCs w:val="24"/>
        </w:rPr>
        <w:t>2005</w:t>
      </w:r>
      <w:r w:rsidR="008C1E17">
        <w:rPr>
          <w:rFonts w:ascii="Times New Roman" w:hAnsi="Times New Roman" w:cs="Times New Roman"/>
          <w:sz w:val="24"/>
          <w:szCs w:val="24"/>
        </w:rPr>
        <w:t>)</w:t>
      </w:r>
      <w:r w:rsidR="000B3F01">
        <w:rPr>
          <w:rFonts w:ascii="Times New Roman" w:hAnsi="Times New Roman" w:cs="Times New Roman"/>
          <w:sz w:val="24"/>
          <w:szCs w:val="24"/>
        </w:rPr>
        <w:t>;</w:t>
      </w:r>
      <w:r w:rsidR="00FA3417" w:rsidRPr="005E5F15">
        <w:rPr>
          <w:rFonts w:ascii="Times New Roman" w:hAnsi="Times New Roman" w:cs="Times New Roman"/>
          <w:sz w:val="24"/>
          <w:szCs w:val="24"/>
        </w:rPr>
        <w:t xml:space="preserve"> Ezeh </w:t>
      </w:r>
      <w:r w:rsidR="00FA3417" w:rsidRPr="000B3F01">
        <w:rPr>
          <w:rFonts w:ascii="Times New Roman" w:hAnsi="Times New Roman" w:cs="Times New Roman"/>
          <w:i/>
          <w:sz w:val="24"/>
          <w:szCs w:val="24"/>
        </w:rPr>
        <w:t>et al</w:t>
      </w:r>
      <w:r w:rsidR="00FA3417" w:rsidRPr="005E5F15">
        <w:rPr>
          <w:rFonts w:ascii="Times New Roman" w:hAnsi="Times New Roman" w:cs="Times New Roman"/>
          <w:sz w:val="24"/>
          <w:szCs w:val="24"/>
        </w:rPr>
        <w:t xml:space="preserve">., </w:t>
      </w:r>
      <w:r w:rsidR="000B3F01">
        <w:rPr>
          <w:rFonts w:ascii="Times New Roman" w:hAnsi="Times New Roman" w:cs="Times New Roman"/>
          <w:sz w:val="24"/>
          <w:szCs w:val="24"/>
        </w:rPr>
        <w:t>(</w:t>
      </w:r>
      <w:r w:rsidR="00FA3417" w:rsidRPr="005E5F15">
        <w:rPr>
          <w:rFonts w:ascii="Times New Roman" w:hAnsi="Times New Roman" w:cs="Times New Roman"/>
          <w:sz w:val="24"/>
          <w:szCs w:val="24"/>
        </w:rPr>
        <w:t>2017)</w:t>
      </w:r>
      <w:r w:rsidR="000B3F01">
        <w:rPr>
          <w:rFonts w:ascii="Times New Roman" w:hAnsi="Times New Roman" w:cs="Times New Roman"/>
          <w:sz w:val="24"/>
          <w:szCs w:val="24"/>
        </w:rPr>
        <w:t>, which attribute Na-HCO</w:t>
      </w:r>
      <w:r w:rsidR="000B3F01" w:rsidRPr="000B3F01">
        <w:rPr>
          <w:rFonts w:ascii="Times New Roman" w:hAnsi="Times New Roman" w:cs="Times New Roman"/>
          <w:sz w:val="24"/>
          <w:szCs w:val="24"/>
          <w:vertAlign w:val="subscript"/>
        </w:rPr>
        <w:t>3</w:t>
      </w:r>
      <w:r w:rsidR="000B3F01">
        <w:rPr>
          <w:rFonts w:ascii="Times New Roman" w:hAnsi="Times New Roman" w:cs="Times New Roman"/>
          <w:sz w:val="24"/>
          <w:szCs w:val="24"/>
        </w:rPr>
        <w:t xml:space="preserve"> facies to longer residence times and ion exchange in clay-rich aquifers.</w:t>
      </w:r>
      <w:r w:rsidR="0009193D">
        <w:rPr>
          <w:rFonts w:ascii="Times New Roman" w:hAnsi="Times New Roman" w:cs="Times New Roman"/>
          <w:sz w:val="24"/>
          <w:szCs w:val="24"/>
        </w:rPr>
        <w:t xml:space="preserve"> Calcium and magnesium were slightly higher in the rainy season, indicating </w:t>
      </w:r>
      <w:r w:rsidR="00F41197">
        <w:rPr>
          <w:rFonts w:ascii="Times New Roman" w:hAnsi="Times New Roman" w:cs="Times New Roman"/>
          <w:sz w:val="24"/>
          <w:szCs w:val="24"/>
        </w:rPr>
        <w:t xml:space="preserve">the </w:t>
      </w:r>
      <w:r w:rsidR="0009193D">
        <w:rPr>
          <w:rFonts w:ascii="Times New Roman" w:hAnsi="Times New Roman" w:cs="Times New Roman"/>
          <w:sz w:val="24"/>
          <w:szCs w:val="24"/>
        </w:rPr>
        <w:t>carbonate dissolution process</w:t>
      </w:r>
      <w:r w:rsidR="00A00C43">
        <w:rPr>
          <w:rFonts w:ascii="Times New Roman" w:hAnsi="Times New Roman" w:cs="Times New Roman"/>
          <w:sz w:val="24"/>
          <w:szCs w:val="24"/>
        </w:rPr>
        <w:t>. The overall dominance of Na</w:t>
      </w:r>
      <w:r w:rsidR="00A00C43" w:rsidRPr="00A00C43">
        <w:rPr>
          <w:rFonts w:ascii="Times New Roman" w:hAnsi="Times New Roman" w:cs="Times New Roman"/>
          <w:sz w:val="24"/>
          <w:szCs w:val="24"/>
          <w:vertAlign w:val="superscript"/>
        </w:rPr>
        <w:t>+</w:t>
      </w:r>
      <w:r w:rsidR="00A00C43">
        <w:rPr>
          <w:rFonts w:ascii="Times New Roman" w:hAnsi="Times New Roman" w:cs="Times New Roman"/>
          <w:sz w:val="24"/>
          <w:szCs w:val="24"/>
        </w:rPr>
        <w:t xml:space="preserve"> over Ca</w:t>
      </w:r>
      <w:r w:rsidR="00A00C43" w:rsidRPr="00A00C43">
        <w:rPr>
          <w:rFonts w:ascii="Times New Roman" w:hAnsi="Times New Roman" w:cs="Times New Roman"/>
          <w:sz w:val="24"/>
          <w:szCs w:val="24"/>
          <w:vertAlign w:val="superscript"/>
        </w:rPr>
        <w:t>2+</w:t>
      </w:r>
      <w:r w:rsidR="00A00C43">
        <w:rPr>
          <w:rFonts w:ascii="Times New Roman" w:hAnsi="Times New Roman" w:cs="Times New Roman"/>
          <w:sz w:val="24"/>
          <w:szCs w:val="24"/>
        </w:rPr>
        <w:t xml:space="preserve"> supports a Na-HCO3 water type, which aligns with the </w:t>
      </w:r>
      <w:proofErr w:type="spellStart"/>
      <w:r w:rsidR="00A00C43">
        <w:rPr>
          <w:rFonts w:ascii="Times New Roman" w:hAnsi="Times New Roman" w:cs="Times New Roman"/>
          <w:sz w:val="24"/>
          <w:szCs w:val="24"/>
        </w:rPr>
        <w:t>Durov</w:t>
      </w:r>
      <w:proofErr w:type="spellEnd"/>
      <w:r w:rsidR="00A00C43">
        <w:rPr>
          <w:rFonts w:ascii="Times New Roman" w:hAnsi="Times New Roman" w:cs="Times New Roman"/>
          <w:sz w:val="24"/>
          <w:szCs w:val="24"/>
        </w:rPr>
        <w:t xml:space="preserve"> and Piper diagrams</w:t>
      </w:r>
      <w:r w:rsidR="00F41197">
        <w:rPr>
          <w:rFonts w:ascii="Times New Roman" w:hAnsi="Times New Roman" w:cs="Times New Roman"/>
          <w:sz w:val="24"/>
          <w:szCs w:val="24"/>
        </w:rPr>
        <w:t>'</w:t>
      </w:r>
      <w:r w:rsidR="00A00C43">
        <w:rPr>
          <w:rFonts w:ascii="Times New Roman" w:hAnsi="Times New Roman" w:cs="Times New Roman"/>
          <w:sz w:val="24"/>
          <w:szCs w:val="24"/>
        </w:rPr>
        <w:t xml:space="preserve"> interpretations (Figs. 4 and 5) and confirms active cation exchange along groundwater flow paths (Ajayi </w:t>
      </w:r>
      <w:r w:rsidR="00A00C43" w:rsidRPr="00A00C43">
        <w:rPr>
          <w:rFonts w:ascii="Times New Roman" w:hAnsi="Times New Roman" w:cs="Times New Roman"/>
          <w:i/>
          <w:sz w:val="24"/>
          <w:szCs w:val="24"/>
        </w:rPr>
        <w:t>et al</w:t>
      </w:r>
      <w:r w:rsidR="00A00C43">
        <w:rPr>
          <w:rFonts w:ascii="Times New Roman" w:hAnsi="Times New Roman" w:cs="Times New Roman"/>
          <w:sz w:val="24"/>
          <w:szCs w:val="24"/>
        </w:rPr>
        <w:t>., 2022).</w:t>
      </w:r>
    </w:p>
    <w:p w14:paraId="39C909CE" w14:textId="06B3AE9F" w:rsidR="00771DBB" w:rsidRDefault="00771DBB" w:rsidP="0080783E">
      <w:pPr>
        <w:jc w:val="both"/>
        <w:rPr>
          <w:rFonts w:ascii="Times New Roman" w:hAnsi="Times New Roman" w:cs="Times New Roman"/>
          <w:sz w:val="24"/>
          <w:szCs w:val="24"/>
        </w:rPr>
      </w:pPr>
      <w:r>
        <w:rPr>
          <w:rFonts w:ascii="Times New Roman" w:hAnsi="Times New Roman" w:cs="Times New Roman"/>
          <w:sz w:val="24"/>
          <w:szCs w:val="24"/>
        </w:rPr>
        <w:t>Bicarbonate concentration w</w:t>
      </w:r>
      <w:r w:rsidR="00F41197">
        <w:rPr>
          <w:rFonts w:ascii="Times New Roman" w:hAnsi="Times New Roman" w:cs="Times New Roman"/>
          <w:sz w:val="24"/>
          <w:szCs w:val="24"/>
        </w:rPr>
        <w:t>as</w:t>
      </w:r>
      <w:r>
        <w:rPr>
          <w:rFonts w:ascii="Times New Roman" w:hAnsi="Times New Roman" w:cs="Times New Roman"/>
          <w:sz w:val="24"/>
          <w:szCs w:val="24"/>
        </w:rPr>
        <w:t xml:space="preserve"> relatively stable across seasons, suggesting continuous carbonate weathering as a primary buffering system. Chloride concentrations increased in dry season, likely due to sewage effluents, agricultural runoff, or urban leachates. Nitrate values</w:t>
      </w:r>
      <w:r w:rsidR="00F41197">
        <w:rPr>
          <w:rFonts w:ascii="Times New Roman" w:hAnsi="Times New Roman" w:cs="Times New Roman"/>
          <w:sz w:val="24"/>
          <w:szCs w:val="24"/>
        </w:rPr>
        <w:t>,</w:t>
      </w:r>
      <w:r>
        <w:rPr>
          <w:rFonts w:ascii="Times New Roman" w:hAnsi="Times New Roman" w:cs="Times New Roman"/>
          <w:sz w:val="24"/>
          <w:szCs w:val="24"/>
        </w:rPr>
        <w:t xml:space="preserve"> although slightly lower in dry season, were elevated enough in both seasons to suggest influenc</w:t>
      </w:r>
      <w:r w:rsidR="005B1FF0">
        <w:rPr>
          <w:rFonts w:ascii="Times New Roman" w:hAnsi="Times New Roman" w:cs="Times New Roman"/>
          <w:sz w:val="24"/>
          <w:szCs w:val="24"/>
        </w:rPr>
        <w:t xml:space="preserve">e from fertilizer application and organic waste, as documented in similar urban-rural studies in Nigeria (Ugwu </w:t>
      </w:r>
      <w:r w:rsidR="005B1FF0" w:rsidRPr="005B1FF0">
        <w:rPr>
          <w:rFonts w:ascii="Times New Roman" w:hAnsi="Times New Roman" w:cs="Times New Roman"/>
          <w:i/>
          <w:sz w:val="24"/>
          <w:szCs w:val="24"/>
        </w:rPr>
        <w:t>et</w:t>
      </w:r>
      <w:r w:rsidR="005B1FF0">
        <w:rPr>
          <w:rFonts w:ascii="Times New Roman" w:hAnsi="Times New Roman" w:cs="Times New Roman"/>
          <w:sz w:val="24"/>
          <w:szCs w:val="24"/>
        </w:rPr>
        <w:t xml:space="preserve"> </w:t>
      </w:r>
      <w:r w:rsidR="005B1FF0" w:rsidRPr="005B1FF0">
        <w:rPr>
          <w:rFonts w:ascii="Times New Roman" w:hAnsi="Times New Roman" w:cs="Times New Roman"/>
          <w:i/>
          <w:sz w:val="24"/>
          <w:szCs w:val="24"/>
        </w:rPr>
        <w:t>al</w:t>
      </w:r>
      <w:r w:rsidR="005B1FF0">
        <w:rPr>
          <w:rFonts w:ascii="Times New Roman" w:hAnsi="Times New Roman" w:cs="Times New Roman"/>
          <w:sz w:val="24"/>
          <w:szCs w:val="24"/>
        </w:rPr>
        <w:t>., 2023). Total hardness (CaCO3) remained relatively constant across seasons, reflecting a moderately hard water category. This indicates equilibrium in carbonate mineral dissolution</w:t>
      </w:r>
      <w:r w:rsidR="00F41197">
        <w:rPr>
          <w:rFonts w:ascii="Times New Roman" w:hAnsi="Times New Roman" w:cs="Times New Roman"/>
          <w:sz w:val="24"/>
          <w:szCs w:val="24"/>
        </w:rPr>
        <w:t>,</w:t>
      </w:r>
      <w:r w:rsidR="005B1FF0">
        <w:rPr>
          <w:rFonts w:ascii="Times New Roman" w:hAnsi="Times New Roman" w:cs="Times New Roman"/>
          <w:sz w:val="24"/>
          <w:szCs w:val="24"/>
        </w:rPr>
        <w:t xml:space="preserve"> likely controlled by calcite and dolomite buffering.</w:t>
      </w:r>
      <w:r w:rsidR="000E273E">
        <w:rPr>
          <w:rFonts w:ascii="Times New Roman" w:hAnsi="Times New Roman" w:cs="Times New Roman"/>
          <w:sz w:val="24"/>
          <w:szCs w:val="24"/>
        </w:rPr>
        <w:t xml:space="preserve"> </w:t>
      </w:r>
    </w:p>
    <w:p w14:paraId="409C0460" w14:textId="7EEA89C1" w:rsidR="000E273E" w:rsidRPr="00487412" w:rsidRDefault="000E273E" w:rsidP="000E273E">
      <w:pPr>
        <w:jc w:val="both"/>
        <w:rPr>
          <w:rFonts w:ascii="Times New Roman" w:hAnsi="Times New Roman" w:cs="Times New Roman"/>
          <w:sz w:val="24"/>
          <w:szCs w:val="24"/>
        </w:rPr>
      </w:pPr>
      <w:r>
        <w:rPr>
          <w:rFonts w:ascii="Times New Roman" w:hAnsi="Times New Roman" w:cs="Times New Roman"/>
          <w:sz w:val="24"/>
          <w:szCs w:val="24"/>
        </w:rPr>
        <w:t xml:space="preserve">Iron and manganese concentrations were significantly higher in </w:t>
      </w:r>
      <w:r w:rsidR="00F41197">
        <w:rPr>
          <w:rFonts w:ascii="Times New Roman" w:hAnsi="Times New Roman" w:cs="Times New Roman"/>
          <w:sz w:val="24"/>
          <w:szCs w:val="24"/>
        </w:rPr>
        <w:t xml:space="preserve">the </w:t>
      </w:r>
      <w:r>
        <w:rPr>
          <w:rFonts w:ascii="Times New Roman" w:hAnsi="Times New Roman" w:cs="Times New Roman"/>
          <w:sz w:val="24"/>
          <w:szCs w:val="24"/>
        </w:rPr>
        <w:t>rainy season, likely due to reducing conditions that promote the mobili</w:t>
      </w:r>
      <w:r w:rsidR="00F41197">
        <w:rPr>
          <w:rFonts w:ascii="Times New Roman" w:hAnsi="Times New Roman" w:cs="Times New Roman"/>
          <w:sz w:val="24"/>
          <w:szCs w:val="24"/>
        </w:rPr>
        <w:t>s</w:t>
      </w:r>
      <w:r>
        <w:rPr>
          <w:rFonts w:ascii="Times New Roman" w:hAnsi="Times New Roman" w:cs="Times New Roman"/>
          <w:sz w:val="24"/>
          <w:szCs w:val="24"/>
        </w:rPr>
        <w:t>ation of iron and manganese from aquifer materials. During the dry season, iron dropped to.75mg/L and manganese 0.18mg/L, reflecting oxidi</w:t>
      </w:r>
      <w:r w:rsidR="00F41197">
        <w:rPr>
          <w:rFonts w:ascii="Times New Roman" w:hAnsi="Times New Roman" w:cs="Times New Roman"/>
          <w:sz w:val="24"/>
          <w:szCs w:val="24"/>
        </w:rPr>
        <w:t>s</w:t>
      </w:r>
      <w:r>
        <w:rPr>
          <w:rFonts w:ascii="Times New Roman" w:hAnsi="Times New Roman" w:cs="Times New Roman"/>
          <w:sz w:val="24"/>
          <w:szCs w:val="24"/>
        </w:rPr>
        <w:t xml:space="preserve">ing conditions and possible precipitation of oxides. Lead levels exceeded WHO guidelines (0.01mg/L) in both seasons, especially in </w:t>
      </w:r>
      <w:r w:rsidR="00F41197">
        <w:rPr>
          <w:rFonts w:ascii="Times New Roman" w:hAnsi="Times New Roman" w:cs="Times New Roman"/>
          <w:sz w:val="24"/>
          <w:szCs w:val="24"/>
        </w:rPr>
        <w:t xml:space="preserve">the </w:t>
      </w:r>
      <w:r>
        <w:rPr>
          <w:rFonts w:ascii="Times New Roman" w:hAnsi="Times New Roman" w:cs="Times New Roman"/>
          <w:sz w:val="24"/>
          <w:szCs w:val="24"/>
        </w:rPr>
        <w:t xml:space="preserve">rainy season, suggesting industrial pollution or pipe corrosion. Zinc, chromium, and nickel remain within acceptable limits, although continuous monitoring is necessary due to urban encroachment risks. </w:t>
      </w:r>
    </w:p>
    <w:p w14:paraId="1CD1526E" w14:textId="77777777" w:rsidR="000E30C9" w:rsidRPr="005E5F15" w:rsidRDefault="000E30C9" w:rsidP="000E30C9">
      <w:pPr>
        <w:spacing w:after="0"/>
        <w:jc w:val="both"/>
        <w:rPr>
          <w:rFonts w:ascii="Times New Roman" w:hAnsi="Times New Roman" w:cs="Times New Roman"/>
          <w:sz w:val="24"/>
          <w:szCs w:val="24"/>
        </w:rPr>
      </w:pPr>
      <w:r w:rsidRPr="005E5F15">
        <w:rPr>
          <w:rFonts w:ascii="Times New Roman" w:hAnsi="Times New Roman" w:cs="Times New Roman"/>
          <w:noProof/>
          <w:sz w:val="24"/>
          <w:szCs w:val="24"/>
        </w:rPr>
        <w:lastRenderedPageBreak/>
        <w:drawing>
          <wp:inline distT="0" distB="0" distL="0" distR="0" wp14:anchorId="7883D647" wp14:editId="74C061B1">
            <wp:extent cx="6425416" cy="2966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729"/>
                    <a:stretch/>
                  </pic:blipFill>
                  <pic:spPr bwMode="auto">
                    <a:xfrm>
                      <a:off x="0" y="0"/>
                      <a:ext cx="6437783" cy="2972194"/>
                    </a:xfrm>
                    <a:prstGeom prst="rect">
                      <a:avLst/>
                    </a:prstGeom>
                    <a:noFill/>
                    <a:ln>
                      <a:noFill/>
                    </a:ln>
                    <a:extLst>
                      <a:ext uri="{53640926-AAD7-44D8-BBD7-CCE9431645EC}">
                        <a14:shadowObscured xmlns:a14="http://schemas.microsoft.com/office/drawing/2010/main"/>
                      </a:ext>
                    </a:extLst>
                  </pic:spPr>
                </pic:pic>
              </a:graphicData>
            </a:graphic>
          </wp:inline>
        </w:drawing>
      </w:r>
    </w:p>
    <w:p w14:paraId="444C55E6" w14:textId="48BC0B4F" w:rsidR="0069099F" w:rsidRDefault="000E30C9" w:rsidP="000E30C9">
      <w:pPr>
        <w:jc w:val="both"/>
        <w:rPr>
          <w:rFonts w:ascii="Times New Roman" w:hAnsi="Times New Roman" w:cs="Times New Roman"/>
          <w:bCs/>
          <w:sz w:val="24"/>
          <w:szCs w:val="24"/>
        </w:rPr>
      </w:pPr>
      <w:bookmarkStart w:id="6" w:name="_Hlk200303513"/>
      <w:r w:rsidRPr="005E5F15">
        <w:rPr>
          <w:rFonts w:ascii="Times New Roman" w:hAnsi="Times New Roman" w:cs="Times New Roman"/>
          <w:sz w:val="24"/>
          <w:szCs w:val="24"/>
        </w:rPr>
        <w:t>Fig. 4. Piper-Trilinear diagram of r</w:t>
      </w:r>
      <w:r w:rsidRPr="005E5F15">
        <w:rPr>
          <w:rFonts w:ascii="Times New Roman" w:hAnsi="Times New Roman" w:cs="Times New Roman"/>
          <w:bCs/>
          <w:sz w:val="24"/>
          <w:szCs w:val="24"/>
        </w:rPr>
        <w:t xml:space="preserve">ainy and dry seasons water </w:t>
      </w:r>
      <w:r w:rsidRPr="005E5F15">
        <w:rPr>
          <w:rFonts w:ascii="Times New Roman" w:hAnsi="Times New Roman" w:cs="Times New Roman"/>
          <w:sz w:val="24"/>
          <w:szCs w:val="24"/>
        </w:rPr>
        <w:t xml:space="preserve">samples </w:t>
      </w:r>
      <w:r w:rsidRPr="005E5F15">
        <w:rPr>
          <w:rFonts w:ascii="Times New Roman" w:hAnsi="Times New Roman" w:cs="Times New Roman"/>
          <w:bCs/>
          <w:sz w:val="24"/>
          <w:szCs w:val="24"/>
        </w:rPr>
        <w:t>(</w:t>
      </w:r>
      <w:r w:rsidRPr="005E5F15">
        <w:rPr>
          <w:rFonts w:ascii="Times New Roman" w:hAnsi="Times New Roman" w:cs="Times New Roman"/>
          <w:sz w:val="24"/>
          <w:szCs w:val="24"/>
        </w:rPr>
        <w:t>after Hill, 1940; Piper, 1944,</w:t>
      </w:r>
      <w:r w:rsidRPr="005E5F15">
        <w:rPr>
          <w:rFonts w:ascii="Times New Roman" w:hAnsi="Times New Roman" w:cs="Times New Roman"/>
          <w:bCs/>
          <w:sz w:val="24"/>
          <w:szCs w:val="24"/>
        </w:rPr>
        <w:t xml:space="preserve">). </w:t>
      </w:r>
    </w:p>
    <w:p w14:paraId="72152758" w14:textId="77777777" w:rsidR="0069099F" w:rsidRPr="005E5F15" w:rsidRDefault="0069099F" w:rsidP="000E30C9">
      <w:pPr>
        <w:jc w:val="both"/>
        <w:rPr>
          <w:rFonts w:ascii="Times New Roman" w:hAnsi="Times New Roman" w:cs="Times New Roman"/>
          <w:bCs/>
          <w:sz w:val="24"/>
          <w:szCs w:val="24"/>
        </w:rPr>
      </w:pPr>
    </w:p>
    <w:bookmarkEnd w:id="6"/>
    <w:p w14:paraId="213073E3" w14:textId="77777777" w:rsidR="00B70CA8" w:rsidRPr="005E5F15" w:rsidRDefault="00B70CA8" w:rsidP="00705A16">
      <w:pPr>
        <w:spacing w:after="0"/>
        <w:jc w:val="both"/>
        <w:rPr>
          <w:rFonts w:ascii="Times New Roman" w:hAnsi="Times New Roman" w:cs="Times New Roman"/>
          <w:sz w:val="24"/>
          <w:szCs w:val="24"/>
        </w:rPr>
      </w:pPr>
      <w:r w:rsidRPr="005E5F15">
        <w:rPr>
          <w:rFonts w:ascii="Times New Roman" w:hAnsi="Times New Roman" w:cs="Times New Roman"/>
          <w:sz w:val="24"/>
          <w:szCs w:val="24"/>
        </w:rPr>
        <w:t xml:space="preserve">Table 1: Descriptive statistics of concentration of </w:t>
      </w:r>
      <w:r w:rsidR="00A927C5" w:rsidRPr="005E5F15">
        <w:rPr>
          <w:rFonts w:ascii="Times New Roman" w:hAnsi="Times New Roman" w:cs="Times New Roman"/>
          <w:sz w:val="24"/>
          <w:szCs w:val="24"/>
        </w:rPr>
        <w:t>both seasons</w:t>
      </w:r>
      <w:r w:rsidRPr="005E5F15">
        <w:rPr>
          <w:rFonts w:ascii="Times New Roman" w:hAnsi="Times New Roman" w:cs="Times New Roman"/>
          <w:sz w:val="24"/>
          <w:szCs w:val="24"/>
        </w:rPr>
        <w:t xml:space="preserve"> hydrochemical parameters in Enugu Urban</w:t>
      </w:r>
    </w:p>
    <w:tbl>
      <w:tblPr>
        <w:tblW w:w="9762"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848"/>
        <w:gridCol w:w="892"/>
        <w:gridCol w:w="756"/>
        <w:gridCol w:w="826"/>
        <w:gridCol w:w="990"/>
        <w:gridCol w:w="636"/>
        <w:gridCol w:w="756"/>
        <w:gridCol w:w="763"/>
        <w:gridCol w:w="990"/>
      </w:tblGrid>
      <w:tr w:rsidR="000355E8" w:rsidRPr="005E5F15" w14:paraId="0F0B1EC8" w14:textId="77777777" w:rsidTr="000355E8">
        <w:trPr>
          <w:trHeight w:val="272"/>
        </w:trPr>
        <w:tc>
          <w:tcPr>
            <w:tcW w:w="2880" w:type="dxa"/>
            <w:vMerge w:val="restart"/>
            <w:tcBorders>
              <w:right w:val="single" w:sz="4" w:space="0" w:color="auto"/>
            </w:tcBorders>
            <w:noWrap/>
            <w:hideMark/>
          </w:tcPr>
          <w:p w14:paraId="5ADA9BA3"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Parameters</w:t>
            </w:r>
          </w:p>
        </w:tc>
        <w:tc>
          <w:tcPr>
            <w:tcW w:w="743" w:type="dxa"/>
            <w:tcBorders>
              <w:top w:val="single" w:sz="4" w:space="0" w:color="auto"/>
              <w:left w:val="single" w:sz="4" w:space="0" w:color="auto"/>
              <w:bottom w:val="nil"/>
            </w:tcBorders>
            <w:noWrap/>
          </w:tcPr>
          <w:p w14:paraId="0F91A3B2" w14:textId="77777777" w:rsidR="00B70CA8" w:rsidRPr="005E5F15" w:rsidRDefault="00B70CA8" w:rsidP="00B70CA8">
            <w:pPr>
              <w:spacing w:after="0" w:line="240" w:lineRule="auto"/>
              <w:jc w:val="both"/>
              <w:rPr>
                <w:rFonts w:ascii="Times New Roman" w:hAnsi="Times New Roman" w:cs="Times New Roman"/>
                <w:b/>
                <w:bCs/>
                <w:sz w:val="24"/>
                <w:szCs w:val="24"/>
              </w:rPr>
            </w:pPr>
          </w:p>
        </w:tc>
        <w:tc>
          <w:tcPr>
            <w:tcW w:w="3225" w:type="dxa"/>
            <w:gridSpan w:val="4"/>
            <w:tcBorders>
              <w:top w:val="single" w:sz="4" w:space="0" w:color="auto"/>
              <w:bottom w:val="nil"/>
              <w:right w:val="single" w:sz="4" w:space="0" w:color="auto"/>
            </w:tcBorders>
            <w:noWrap/>
          </w:tcPr>
          <w:p w14:paraId="61419138"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Rainy Season</w:t>
            </w:r>
          </w:p>
        </w:tc>
        <w:tc>
          <w:tcPr>
            <w:tcW w:w="2914" w:type="dxa"/>
            <w:gridSpan w:val="4"/>
            <w:tcBorders>
              <w:left w:val="single" w:sz="4" w:space="0" w:color="auto"/>
            </w:tcBorders>
            <w:noWrap/>
          </w:tcPr>
          <w:p w14:paraId="2B6CFBF8"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Dry Season</w:t>
            </w:r>
          </w:p>
        </w:tc>
      </w:tr>
      <w:tr w:rsidR="00B70CA8" w:rsidRPr="005E5F15" w14:paraId="5D0E4A8C" w14:textId="77777777" w:rsidTr="000355E8">
        <w:trPr>
          <w:trHeight w:val="272"/>
        </w:trPr>
        <w:tc>
          <w:tcPr>
            <w:tcW w:w="2880" w:type="dxa"/>
            <w:vMerge/>
            <w:tcBorders>
              <w:bottom w:val="single" w:sz="4" w:space="0" w:color="auto"/>
              <w:right w:val="single" w:sz="4" w:space="0" w:color="auto"/>
            </w:tcBorders>
            <w:noWrap/>
          </w:tcPr>
          <w:p w14:paraId="38A88F49" w14:textId="77777777" w:rsidR="00B70CA8" w:rsidRPr="005E5F15" w:rsidRDefault="00B70CA8" w:rsidP="00B70CA8">
            <w:pPr>
              <w:spacing w:after="0" w:line="240" w:lineRule="auto"/>
              <w:jc w:val="both"/>
              <w:rPr>
                <w:rFonts w:ascii="Times New Roman" w:hAnsi="Times New Roman" w:cs="Times New Roman"/>
                <w:b/>
                <w:bCs/>
                <w:sz w:val="24"/>
                <w:szCs w:val="24"/>
              </w:rPr>
            </w:pPr>
          </w:p>
        </w:tc>
        <w:tc>
          <w:tcPr>
            <w:tcW w:w="743" w:type="dxa"/>
            <w:tcBorders>
              <w:top w:val="nil"/>
              <w:left w:val="single" w:sz="4" w:space="0" w:color="auto"/>
              <w:bottom w:val="single" w:sz="4" w:space="0" w:color="auto"/>
            </w:tcBorders>
            <w:noWrap/>
          </w:tcPr>
          <w:p w14:paraId="358DB8F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Units</w:t>
            </w:r>
          </w:p>
        </w:tc>
        <w:tc>
          <w:tcPr>
            <w:tcW w:w="792" w:type="dxa"/>
            <w:tcBorders>
              <w:top w:val="nil"/>
              <w:bottom w:val="single" w:sz="4" w:space="0" w:color="auto"/>
            </w:tcBorders>
            <w:noWrap/>
          </w:tcPr>
          <w:p w14:paraId="18FCABB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Min</w:t>
            </w:r>
          </w:p>
        </w:tc>
        <w:tc>
          <w:tcPr>
            <w:tcW w:w="698" w:type="dxa"/>
            <w:tcBorders>
              <w:top w:val="nil"/>
              <w:bottom w:val="single" w:sz="4" w:space="0" w:color="auto"/>
            </w:tcBorders>
            <w:noWrap/>
          </w:tcPr>
          <w:p w14:paraId="3054BE8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Max</w:t>
            </w:r>
          </w:p>
        </w:tc>
        <w:tc>
          <w:tcPr>
            <w:tcW w:w="826" w:type="dxa"/>
            <w:tcBorders>
              <w:top w:val="nil"/>
              <w:bottom w:val="single" w:sz="4" w:space="0" w:color="auto"/>
            </w:tcBorders>
            <w:noWrap/>
          </w:tcPr>
          <w:p w14:paraId="3E1F526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Mean</w:t>
            </w:r>
          </w:p>
        </w:tc>
        <w:tc>
          <w:tcPr>
            <w:tcW w:w="909" w:type="dxa"/>
            <w:tcBorders>
              <w:top w:val="nil"/>
              <w:bottom w:val="single" w:sz="4" w:space="0" w:color="auto"/>
              <w:right w:val="single" w:sz="4" w:space="0" w:color="auto"/>
            </w:tcBorders>
            <w:noWrap/>
          </w:tcPr>
          <w:p w14:paraId="52AA480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STDEV</w:t>
            </w:r>
          </w:p>
        </w:tc>
        <w:tc>
          <w:tcPr>
            <w:tcW w:w="590" w:type="dxa"/>
            <w:tcBorders>
              <w:left w:val="single" w:sz="4" w:space="0" w:color="auto"/>
              <w:bottom w:val="single" w:sz="4" w:space="0" w:color="auto"/>
            </w:tcBorders>
            <w:noWrap/>
          </w:tcPr>
          <w:p w14:paraId="699A67B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Min</w:t>
            </w:r>
          </w:p>
        </w:tc>
        <w:tc>
          <w:tcPr>
            <w:tcW w:w="712" w:type="dxa"/>
            <w:tcBorders>
              <w:bottom w:val="single" w:sz="4" w:space="0" w:color="auto"/>
            </w:tcBorders>
            <w:noWrap/>
          </w:tcPr>
          <w:p w14:paraId="6388FD1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Max</w:t>
            </w:r>
          </w:p>
        </w:tc>
        <w:tc>
          <w:tcPr>
            <w:tcW w:w="703" w:type="dxa"/>
            <w:tcBorders>
              <w:bottom w:val="single" w:sz="4" w:space="0" w:color="auto"/>
            </w:tcBorders>
            <w:noWrap/>
          </w:tcPr>
          <w:p w14:paraId="19633F7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Mean</w:t>
            </w:r>
          </w:p>
        </w:tc>
        <w:tc>
          <w:tcPr>
            <w:tcW w:w="909" w:type="dxa"/>
            <w:tcBorders>
              <w:bottom w:val="single" w:sz="4" w:space="0" w:color="auto"/>
            </w:tcBorders>
            <w:noWrap/>
          </w:tcPr>
          <w:p w14:paraId="0F87853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STDEV</w:t>
            </w:r>
          </w:p>
        </w:tc>
      </w:tr>
      <w:tr w:rsidR="00B70CA8" w:rsidRPr="005E5F15" w14:paraId="1939DBD5" w14:textId="77777777" w:rsidTr="000355E8">
        <w:trPr>
          <w:trHeight w:val="272"/>
        </w:trPr>
        <w:tc>
          <w:tcPr>
            <w:tcW w:w="2880" w:type="dxa"/>
            <w:tcBorders>
              <w:top w:val="single" w:sz="4" w:space="0" w:color="auto"/>
              <w:bottom w:val="nil"/>
              <w:right w:val="single" w:sz="4" w:space="0" w:color="auto"/>
            </w:tcBorders>
            <w:noWrap/>
          </w:tcPr>
          <w:p w14:paraId="084EC636"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pH</w:t>
            </w:r>
          </w:p>
        </w:tc>
        <w:tc>
          <w:tcPr>
            <w:tcW w:w="743" w:type="dxa"/>
            <w:tcBorders>
              <w:top w:val="single" w:sz="4" w:space="0" w:color="auto"/>
              <w:left w:val="single" w:sz="4" w:space="0" w:color="auto"/>
              <w:bottom w:val="nil"/>
            </w:tcBorders>
            <w:noWrap/>
          </w:tcPr>
          <w:p w14:paraId="5116C7EE" w14:textId="77777777" w:rsidR="00B70CA8" w:rsidRPr="005E5F15" w:rsidRDefault="00B70CA8" w:rsidP="00B70CA8">
            <w:pPr>
              <w:spacing w:after="0" w:line="240" w:lineRule="auto"/>
              <w:jc w:val="both"/>
              <w:rPr>
                <w:rFonts w:ascii="Times New Roman" w:hAnsi="Times New Roman" w:cs="Times New Roman"/>
                <w:sz w:val="24"/>
                <w:szCs w:val="24"/>
              </w:rPr>
            </w:pPr>
          </w:p>
        </w:tc>
        <w:tc>
          <w:tcPr>
            <w:tcW w:w="792" w:type="dxa"/>
            <w:tcBorders>
              <w:top w:val="single" w:sz="4" w:space="0" w:color="auto"/>
              <w:bottom w:val="nil"/>
            </w:tcBorders>
            <w:noWrap/>
          </w:tcPr>
          <w:p w14:paraId="7200C5C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3.5</w:t>
            </w:r>
          </w:p>
        </w:tc>
        <w:tc>
          <w:tcPr>
            <w:tcW w:w="698" w:type="dxa"/>
            <w:tcBorders>
              <w:top w:val="single" w:sz="4" w:space="0" w:color="auto"/>
              <w:bottom w:val="nil"/>
            </w:tcBorders>
            <w:noWrap/>
          </w:tcPr>
          <w:p w14:paraId="22B07F1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8.9</w:t>
            </w:r>
          </w:p>
        </w:tc>
        <w:tc>
          <w:tcPr>
            <w:tcW w:w="826" w:type="dxa"/>
            <w:tcBorders>
              <w:top w:val="single" w:sz="4" w:space="0" w:color="auto"/>
              <w:bottom w:val="nil"/>
            </w:tcBorders>
            <w:noWrap/>
          </w:tcPr>
          <w:p w14:paraId="6807A14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w:t>
            </w:r>
          </w:p>
        </w:tc>
        <w:tc>
          <w:tcPr>
            <w:tcW w:w="909" w:type="dxa"/>
            <w:tcBorders>
              <w:top w:val="single" w:sz="4" w:space="0" w:color="auto"/>
              <w:bottom w:val="nil"/>
              <w:right w:val="single" w:sz="4" w:space="0" w:color="auto"/>
            </w:tcBorders>
            <w:noWrap/>
          </w:tcPr>
          <w:p w14:paraId="07C3863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w:t>
            </w:r>
          </w:p>
        </w:tc>
        <w:tc>
          <w:tcPr>
            <w:tcW w:w="590" w:type="dxa"/>
            <w:tcBorders>
              <w:top w:val="single" w:sz="4" w:space="0" w:color="auto"/>
              <w:left w:val="single" w:sz="4" w:space="0" w:color="auto"/>
              <w:bottom w:val="nil"/>
            </w:tcBorders>
            <w:noWrap/>
          </w:tcPr>
          <w:p w14:paraId="7301199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4.1</w:t>
            </w:r>
          </w:p>
        </w:tc>
        <w:tc>
          <w:tcPr>
            <w:tcW w:w="712" w:type="dxa"/>
            <w:tcBorders>
              <w:top w:val="single" w:sz="4" w:space="0" w:color="auto"/>
              <w:bottom w:val="nil"/>
            </w:tcBorders>
            <w:noWrap/>
          </w:tcPr>
          <w:p w14:paraId="0C3F8A6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8.2</w:t>
            </w:r>
          </w:p>
        </w:tc>
        <w:tc>
          <w:tcPr>
            <w:tcW w:w="703" w:type="dxa"/>
            <w:tcBorders>
              <w:top w:val="single" w:sz="4" w:space="0" w:color="auto"/>
              <w:bottom w:val="nil"/>
            </w:tcBorders>
            <w:noWrap/>
          </w:tcPr>
          <w:p w14:paraId="7CAC5A8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5.9</w:t>
            </w:r>
          </w:p>
        </w:tc>
        <w:tc>
          <w:tcPr>
            <w:tcW w:w="909" w:type="dxa"/>
            <w:tcBorders>
              <w:top w:val="single" w:sz="4" w:space="0" w:color="auto"/>
              <w:bottom w:val="nil"/>
            </w:tcBorders>
            <w:noWrap/>
          </w:tcPr>
          <w:p w14:paraId="7B196B6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0.8</w:t>
            </w:r>
          </w:p>
        </w:tc>
      </w:tr>
      <w:tr w:rsidR="00B70CA8" w:rsidRPr="005E5F15" w14:paraId="41A3C448" w14:textId="77777777" w:rsidTr="000355E8">
        <w:trPr>
          <w:trHeight w:val="272"/>
        </w:trPr>
        <w:tc>
          <w:tcPr>
            <w:tcW w:w="2880" w:type="dxa"/>
            <w:tcBorders>
              <w:top w:val="nil"/>
              <w:bottom w:val="nil"/>
              <w:right w:val="single" w:sz="4" w:space="0" w:color="auto"/>
            </w:tcBorders>
            <w:noWrap/>
            <w:hideMark/>
          </w:tcPr>
          <w:p w14:paraId="5BB341A2"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Electrical Conductivity (EC)</w:t>
            </w:r>
          </w:p>
        </w:tc>
        <w:tc>
          <w:tcPr>
            <w:tcW w:w="743" w:type="dxa"/>
            <w:tcBorders>
              <w:top w:val="nil"/>
              <w:left w:val="single" w:sz="4" w:space="0" w:color="auto"/>
              <w:bottom w:val="nil"/>
            </w:tcBorders>
            <w:noWrap/>
            <w:hideMark/>
          </w:tcPr>
          <w:p w14:paraId="06E9DA1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µS/cm</w:t>
            </w:r>
          </w:p>
        </w:tc>
        <w:tc>
          <w:tcPr>
            <w:tcW w:w="792" w:type="dxa"/>
            <w:tcBorders>
              <w:top w:val="nil"/>
              <w:bottom w:val="nil"/>
            </w:tcBorders>
            <w:noWrap/>
            <w:hideMark/>
          </w:tcPr>
          <w:p w14:paraId="54606FF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118.2</w:t>
            </w:r>
          </w:p>
        </w:tc>
        <w:tc>
          <w:tcPr>
            <w:tcW w:w="698" w:type="dxa"/>
            <w:tcBorders>
              <w:top w:val="nil"/>
              <w:bottom w:val="nil"/>
            </w:tcBorders>
            <w:noWrap/>
            <w:hideMark/>
          </w:tcPr>
          <w:p w14:paraId="12B3EE6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872.7</w:t>
            </w:r>
          </w:p>
        </w:tc>
        <w:tc>
          <w:tcPr>
            <w:tcW w:w="826" w:type="dxa"/>
            <w:tcBorders>
              <w:top w:val="nil"/>
              <w:bottom w:val="nil"/>
            </w:tcBorders>
            <w:noWrap/>
            <w:hideMark/>
          </w:tcPr>
          <w:p w14:paraId="1BCDF4E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389.8</w:t>
            </w:r>
          </w:p>
        </w:tc>
        <w:tc>
          <w:tcPr>
            <w:tcW w:w="909" w:type="dxa"/>
            <w:tcBorders>
              <w:top w:val="nil"/>
              <w:bottom w:val="nil"/>
              <w:right w:val="single" w:sz="4" w:space="0" w:color="auto"/>
            </w:tcBorders>
            <w:noWrap/>
            <w:hideMark/>
          </w:tcPr>
          <w:p w14:paraId="47393C0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202.0</w:t>
            </w:r>
          </w:p>
        </w:tc>
        <w:tc>
          <w:tcPr>
            <w:tcW w:w="590" w:type="dxa"/>
            <w:tcBorders>
              <w:top w:val="nil"/>
              <w:left w:val="single" w:sz="4" w:space="0" w:color="auto"/>
              <w:bottom w:val="nil"/>
            </w:tcBorders>
            <w:noWrap/>
            <w:hideMark/>
          </w:tcPr>
          <w:p w14:paraId="79C19B6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38.0</w:t>
            </w:r>
          </w:p>
        </w:tc>
        <w:tc>
          <w:tcPr>
            <w:tcW w:w="712" w:type="dxa"/>
            <w:tcBorders>
              <w:top w:val="nil"/>
              <w:bottom w:val="nil"/>
            </w:tcBorders>
            <w:noWrap/>
            <w:hideMark/>
          </w:tcPr>
          <w:p w14:paraId="1373D91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855.0</w:t>
            </w:r>
          </w:p>
        </w:tc>
        <w:tc>
          <w:tcPr>
            <w:tcW w:w="703" w:type="dxa"/>
            <w:tcBorders>
              <w:top w:val="nil"/>
              <w:bottom w:val="nil"/>
            </w:tcBorders>
            <w:noWrap/>
            <w:hideMark/>
          </w:tcPr>
          <w:p w14:paraId="5E5B5DC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416.9</w:t>
            </w:r>
          </w:p>
        </w:tc>
        <w:tc>
          <w:tcPr>
            <w:tcW w:w="909" w:type="dxa"/>
            <w:tcBorders>
              <w:top w:val="nil"/>
              <w:bottom w:val="nil"/>
            </w:tcBorders>
            <w:noWrap/>
            <w:hideMark/>
          </w:tcPr>
          <w:p w14:paraId="72299E1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230.4</w:t>
            </w:r>
          </w:p>
        </w:tc>
      </w:tr>
      <w:tr w:rsidR="00B70CA8" w:rsidRPr="005E5F15" w14:paraId="75C86484" w14:textId="77777777" w:rsidTr="000355E8">
        <w:trPr>
          <w:trHeight w:val="272"/>
        </w:trPr>
        <w:tc>
          <w:tcPr>
            <w:tcW w:w="2880" w:type="dxa"/>
            <w:tcBorders>
              <w:top w:val="nil"/>
              <w:bottom w:val="nil"/>
              <w:right w:val="single" w:sz="4" w:space="0" w:color="auto"/>
            </w:tcBorders>
            <w:noWrap/>
            <w:hideMark/>
          </w:tcPr>
          <w:p w14:paraId="42ADE0D6"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Total Dissolved Solids (TDS)</w:t>
            </w:r>
          </w:p>
        </w:tc>
        <w:tc>
          <w:tcPr>
            <w:tcW w:w="743" w:type="dxa"/>
            <w:tcBorders>
              <w:top w:val="nil"/>
              <w:left w:val="single" w:sz="4" w:space="0" w:color="auto"/>
              <w:bottom w:val="nil"/>
            </w:tcBorders>
            <w:noWrap/>
            <w:hideMark/>
          </w:tcPr>
          <w:p w14:paraId="2397540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F80362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10.5</w:t>
            </w:r>
          </w:p>
        </w:tc>
        <w:tc>
          <w:tcPr>
            <w:tcW w:w="698" w:type="dxa"/>
            <w:tcBorders>
              <w:top w:val="nil"/>
              <w:bottom w:val="nil"/>
            </w:tcBorders>
            <w:noWrap/>
            <w:hideMark/>
          </w:tcPr>
          <w:p w14:paraId="74ABA38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500.0</w:t>
            </w:r>
          </w:p>
        </w:tc>
        <w:tc>
          <w:tcPr>
            <w:tcW w:w="826" w:type="dxa"/>
            <w:tcBorders>
              <w:top w:val="nil"/>
              <w:bottom w:val="nil"/>
            </w:tcBorders>
            <w:noWrap/>
            <w:hideMark/>
          </w:tcPr>
          <w:p w14:paraId="77AC84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156.4</w:t>
            </w:r>
          </w:p>
        </w:tc>
        <w:tc>
          <w:tcPr>
            <w:tcW w:w="909" w:type="dxa"/>
            <w:tcBorders>
              <w:top w:val="nil"/>
              <w:bottom w:val="nil"/>
              <w:right w:val="single" w:sz="4" w:space="0" w:color="auto"/>
            </w:tcBorders>
            <w:noWrap/>
            <w:hideMark/>
          </w:tcPr>
          <w:p w14:paraId="3066C6D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124.4</w:t>
            </w:r>
          </w:p>
        </w:tc>
        <w:tc>
          <w:tcPr>
            <w:tcW w:w="590" w:type="dxa"/>
            <w:tcBorders>
              <w:top w:val="nil"/>
              <w:left w:val="single" w:sz="4" w:space="0" w:color="auto"/>
              <w:bottom w:val="nil"/>
            </w:tcBorders>
            <w:noWrap/>
            <w:hideMark/>
          </w:tcPr>
          <w:p w14:paraId="71E7961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80.0</w:t>
            </w:r>
          </w:p>
        </w:tc>
        <w:tc>
          <w:tcPr>
            <w:tcW w:w="712" w:type="dxa"/>
            <w:tcBorders>
              <w:top w:val="nil"/>
              <w:bottom w:val="nil"/>
            </w:tcBorders>
            <w:noWrap/>
            <w:hideMark/>
          </w:tcPr>
          <w:p w14:paraId="5C76356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480.0</w:t>
            </w:r>
          </w:p>
        </w:tc>
        <w:tc>
          <w:tcPr>
            <w:tcW w:w="703" w:type="dxa"/>
            <w:tcBorders>
              <w:top w:val="nil"/>
              <w:bottom w:val="nil"/>
            </w:tcBorders>
            <w:noWrap/>
            <w:hideMark/>
          </w:tcPr>
          <w:p w14:paraId="3DEC18E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217.6</w:t>
            </w:r>
          </w:p>
        </w:tc>
        <w:tc>
          <w:tcPr>
            <w:tcW w:w="909" w:type="dxa"/>
            <w:tcBorders>
              <w:top w:val="nil"/>
              <w:bottom w:val="nil"/>
            </w:tcBorders>
            <w:noWrap/>
            <w:hideMark/>
          </w:tcPr>
          <w:p w14:paraId="2584E16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86.0</w:t>
            </w:r>
          </w:p>
        </w:tc>
      </w:tr>
      <w:tr w:rsidR="00B70CA8" w:rsidRPr="005E5F15" w14:paraId="5C269A03" w14:textId="77777777" w:rsidTr="000355E8">
        <w:trPr>
          <w:trHeight w:val="272"/>
        </w:trPr>
        <w:tc>
          <w:tcPr>
            <w:tcW w:w="2880" w:type="dxa"/>
            <w:tcBorders>
              <w:top w:val="nil"/>
              <w:bottom w:val="nil"/>
              <w:right w:val="single" w:sz="4" w:space="0" w:color="auto"/>
            </w:tcBorders>
            <w:noWrap/>
            <w:hideMark/>
          </w:tcPr>
          <w:p w14:paraId="23C500F5"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Sodium (Na</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57C28B2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5D6109F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w:t>
            </w:r>
          </w:p>
        </w:tc>
        <w:tc>
          <w:tcPr>
            <w:tcW w:w="698" w:type="dxa"/>
            <w:tcBorders>
              <w:top w:val="nil"/>
              <w:bottom w:val="nil"/>
            </w:tcBorders>
            <w:noWrap/>
            <w:hideMark/>
          </w:tcPr>
          <w:p w14:paraId="6EC84EC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153.4</w:t>
            </w:r>
          </w:p>
        </w:tc>
        <w:tc>
          <w:tcPr>
            <w:tcW w:w="826" w:type="dxa"/>
            <w:tcBorders>
              <w:top w:val="nil"/>
              <w:bottom w:val="nil"/>
            </w:tcBorders>
            <w:noWrap/>
            <w:hideMark/>
          </w:tcPr>
          <w:p w14:paraId="1583006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45.1</w:t>
            </w:r>
          </w:p>
        </w:tc>
        <w:tc>
          <w:tcPr>
            <w:tcW w:w="909" w:type="dxa"/>
            <w:tcBorders>
              <w:top w:val="nil"/>
              <w:bottom w:val="nil"/>
              <w:right w:val="single" w:sz="4" w:space="0" w:color="auto"/>
            </w:tcBorders>
            <w:noWrap/>
            <w:hideMark/>
          </w:tcPr>
          <w:p w14:paraId="5DB386F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36.1</w:t>
            </w:r>
          </w:p>
        </w:tc>
        <w:tc>
          <w:tcPr>
            <w:tcW w:w="590" w:type="dxa"/>
            <w:tcBorders>
              <w:top w:val="nil"/>
              <w:left w:val="single" w:sz="4" w:space="0" w:color="auto"/>
              <w:bottom w:val="nil"/>
            </w:tcBorders>
            <w:noWrap/>
            <w:hideMark/>
          </w:tcPr>
          <w:p w14:paraId="4B4ED01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10.3</w:t>
            </w:r>
          </w:p>
        </w:tc>
        <w:tc>
          <w:tcPr>
            <w:tcW w:w="712" w:type="dxa"/>
            <w:tcBorders>
              <w:top w:val="nil"/>
              <w:bottom w:val="nil"/>
            </w:tcBorders>
            <w:noWrap/>
            <w:hideMark/>
          </w:tcPr>
          <w:p w14:paraId="2991A19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210.3</w:t>
            </w:r>
          </w:p>
        </w:tc>
        <w:tc>
          <w:tcPr>
            <w:tcW w:w="703" w:type="dxa"/>
            <w:tcBorders>
              <w:top w:val="nil"/>
              <w:bottom w:val="nil"/>
            </w:tcBorders>
            <w:noWrap/>
            <w:hideMark/>
          </w:tcPr>
          <w:p w14:paraId="52F160F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63.1</w:t>
            </w:r>
          </w:p>
        </w:tc>
        <w:tc>
          <w:tcPr>
            <w:tcW w:w="909" w:type="dxa"/>
            <w:tcBorders>
              <w:top w:val="nil"/>
              <w:bottom w:val="nil"/>
            </w:tcBorders>
            <w:noWrap/>
            <w:hideMark/>
          </w:tcPr>
          <w:p w14:paraId="1121E3A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36.1</w:t>
            </w:r>
          </w:p>
        </w:tc>
      </w:tr>
      <w:tr w:rsidR="00B70CA8" w:rsidRPr="005E5F15" w14:paraId="555EA80B" w14:textId="77777777" w:rsidTr="000355E8">
        <w:trPr>
          <w:trHeight w:val="272"/>
        </w:trPr>
        <w:tc>
          <w:tcPr>
            <w:tcW w:w="2880" w:type="dxa"/>
            <w:tcBorders>
              <w:top w:val="nil"/>
              <w:bottom w:val="nil"/>
              <w:right w:val="single" w:sz="4" w:space="0" w:color="auto"/>
            </w:tcBorders>
            <w:noWrap/>
            <w:hideMark/>
          </w:tcPr>
          <w:p w14:paraId="4FEF4EF6"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Potassium (K</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2AB5267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291305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0.7</w:t>
            </w:r>
          </w:p>
        </w:tc>
        <w:tc>
          <w:tcPr>
            <w:tcW w:w="698" w:type="dxa"/>
            <w:tcBorders>
              <w:top w:val="nil"/>
              <w:bottom w:val="nil"/>
            </w:tcBorders>
            <w:noWrap/>
            <w:hideMark/>
          </w:tcPr>
          <w:p w14:paraId="16F871A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54.7</w:t>
            </w:r>
          </w:p>
        </w:tc>
        <w:tc>
          <w:tcPr>
            <w:tcW w:w="826" w:type="dxa"/>
            <w:tcBorders>
              <w:top w:val="nil"/>
              <w:bottom w:val="nil"/>
            </w:tcBorders>
            <w:noWrap/>
            <w:hideMark/>
          </w:tcPr>
          <w:p w14:paraId="542C79F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11.1</w:t>
            </w:r>
          </w:p>
        </w:tc>
        <w:tc>
          <w:tcPr>
            <w:tcW w:w="909" w:type="dxa"/>
            <w:tcBorders>
              <w:top w:val="nil"/>
              <w:bottom w:val="nil"/>
              <w:right w:val="single" w:sz="4" w:space="0" w:color="auto"/>
            </w:tcBorders>
            <w:noWrap/>
            <w:hideMark/>
          </w:tcPr>
          <w:p w14:paraId="4950045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12.8</w:t>
            </w:r>
          </w:p>
        </w:tc>
        <w:tc>
          <w:tcPr>
            <w:tcW w:w="590" w:type="dxa"/>
            <w:tcBorders>
              <w:top w:val="nil"/>
              <w:left w:val="single" w:sz="4" w:space="0" w:color="auto"/>
              <w:bottom w:val="nil"/>
            </w:tcBorders>
            <w:noWrap/>
            <w:hideMark/>
          </w:tcPr>
          <w:p w14:paraId="1DC2A6D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0.9</w:t>
            </w:r>
          </w:p>
        </w:tc>
        <w:tc>
          <w:tcPr>
            <w:tcW w:w="712" w:type="dxa"/>
            <w:tcBorders>
              <w:top w:val="nil"/>
              <w:bottom w:val="nil"/>
            </w:tcBorders>
            <w:noWrap/>
            <w:hideMark/>
          </w:tcPr>
          <w:p w14:paraId="4F8752E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39.0</w:t>
            </w:r>
          </w:p>
        </w:tc>
        <w:tc>
          <w:tcPr>
            <w:tcW w:w="703" w:type="dxa"/>
            <w:tcBorders>
              <w:top w:val="nil"/>
              <w:bottom w:val="nil"/>
            </w:tcBorders>
            <w:noWrap/>
            <w:hideMark/>
          </w:tcPr>
          <w:p w14:paraId="15846F1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10.2</w:t>
            </w:r>
          </w:p>
        </w:tc>
        <w:tc>
          <w:tcPr>
            <w:tcW w:w="909" w:type="dxa"/>
            <w:tcBorders>
              <w:top w:val="nil"/>
              <w:bottom w:val="nil"/>
            </w:tcBorders>
            <w:noWrap/>
            <w:hideMark/>
          </w:tcPr>
          <w:p w14:paraId="14A692E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9.5</w:t>
            </w:r>
          </w:p>
        </w:tc>
      </w:tr>
      <w:tr w:rsidR="00B70CA8" w:rsidRPr="005E5F15" w14:paraId="4E47BC06" w14:textId="77777777" w:rsidTr="000355E8">
        <w:trPr>
          <w:trHeight w:val="272"/>
        </w:trPr>
        <w:tc>
          <w:tcPr>
            <w:tcW w:w="2880" w:type="dxa"/>
            <w:tcBorders>
              <w:top w:val="nil"/>
              <w:bottom w:val="nil"/>
              <w:right w:val="single" w:sz="4" w:space="0" w:color="auto"/>
            </w:tcBorders>
            <w:noWrap/>
            <w:hideMark/>
          </w:tcPr>
          <w:p w14:paraId="2B619F11"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Magnesium (Mg</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5B20065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69F6C0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w:t>
            </w:r>
          </w:p>
        </w:tc>
        <w:tc>
          <w:tcPr>
            <w:tcW w:w="698" w:type="dxa"/>
            <w:tcBorders>
              <w:top w:val="nil"/>
              <w:bottom w:val="nil"/>
            </w:tcBorders>
            <w:noWrap/>
            <w:hideMark/>
          </w:tcPr>
          <w:p w14:paraId="5CFF31A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26.1</w:t>
            </w:r>
          </w:p>
        </w:tc>
        <w:tc>
          <w:tcPr>
            <w:tcW w:w="826" w:type="dxa"/>
            <w:tcBorders>
              <w:top w:val="nil"/>
              <w:bottom w:val="nil"/>
            </w:tcBorders>
            <w:noWrap/>
            <w:hideMark/>
          </w:tcPr>
          <w:p w14:paraId="45201AF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5.3</w:t>
            </w:r>
          </w:p>
        </w:tc>
        <w:tc>
          <w:tcPr>
            <w:tcW w:w="909" w:type="dxa"/>
            <w:tcBorders>
              <w:top w:val="nil"/>
              <w:bottom w:val="nil"/>
              <w:right w:val="single" w:sz="4" w:space="0" w:color="auto"/>
            </w:tcBorders>
            <w:noWrap/>
            <w:hideMark/>
          </w:tcPr>
          <w:p w14:paraId="7BB6A2D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5.2</w:t>
            </w:r>
          </w:p>
        </w:tc>
        <w:tc>
          <w:tcPr>
            <w:tcW w:w="590" w:type="dxa"/>
            <w:tcBorders>
              <w:top w:val="nil"/>
              <w:left w:val="single" w:sz="4" w:space="0" w:color="auto"/>
              <w:bottom w:val="nil"/>
            </w:tcBorders>
            <w:noWrap/>
            <w:hideMark/>
          </w:tcPr>
          <w:p w14:paraId="2892AFC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0.9</w:t>
            </w:r>
          </w:p>
        </w:tc>
        <w:tc>
          <w:tcPr>
            <w:tcW w:w="712" w:type="dxa"/>
            <w:tcBorders>
              <w:top w:val="nil"/>
              <w:bottom w:val="nil"/>
            </w:tcBorders>
            <w:noWrap/>
            <w:hideMark/>
          </w:tcPr>
          <w:p w14:paraId="1E6F629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27.9</w:t>
            </w:r>
          </w:p>
        </w:tc>
        <w:tc>
          <w:tcPr>
            <w:tcW w:w="703" w:type="dxa"/>
            <w:tcBorders>
              <w:top w:val="nil"/>
              <w:bottom w:val="nil"/>
            </w:tcBorders>
            <w:noWrap/>
            <w:hideMark/>
          </w:tcPr>
          <w:p w14:paraId="322695F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4.5</w:t>
            </w:r>
          </w:p>
        </w:tc>
        <w:tc>
          <w:tcPr>
            <w:tcW w:w="909" w:type="dxa"/>
            <w:tcBorders>
              <w:top w:val="nil"/>
              <w:bottom w:val="nil"/>
            </w:tcBorders>
            <w:noWrap/>
            <w:hideMark/>
          </w:tcPr>
          <w:p w14:paraId="0D53434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4.6</w:t>
            </w:r>
          </w:p>
        </w:tc>
      </w:tr>
      <w:tr w:rsidR="00B70CA8" w:rsidRPr="005E5F15" w14:paraId="10AFDEF0" w14:textId="77777777" w:rsidTr="000355E8">
        <w:trPr>
          <w:trHeight w:val="272"/>
        </w:trPr>
        <w:tc>
          <w:tcPr>
            <w:tcW w:w="2880" w:type="dxa"/>
            <w:tcBorders>
              <w:top w:val="nil"/>
              <w:bottom w:val="nil"/>
              <w:right w:val="single" w:sz="4" w:space="0" w:color="auto"/>
            </w:tcBorders>
            <w:noWrap/>
            <w:hideMark/>
          </w:tcPr>
          <w:p w14:paraId="310520DA"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Calcium (Ca</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2CCA098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5DDCAB6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2.4</w:t>
            </w:r>
          </w:p>
        </w:tc>
        <w:tc>
          <w:tcPr>
            <w:tcW w:w="698" w:type="dxa"/>
            <w:tcBorders>
              <w:top w:val="nil"/>
              <w:bottom w:val="nil"/>
            </w:tcBorders>
            <w:noWrap/>
            <w:hideMark/>
          </w:tcPr>
          <w:p w14:paraId="75A8781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84.2</w:t>
            </w:r>
          </w:p>
        </w:tc>
        <w:tc>
          <w:tcPr>
            <w:tcW w:w="826" w:type="dxa"/>
            <w:tcBorders>
              <w:top w:val="nil"/>
              <w:bottom w:val="nil"/>
            </w:tcBorders>
            <w:noWrap/>
            <w:hideMark/>
          </w:tcPr>
          <w:p w14:paraId="5B13025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15.9</w:t>
            </w:r>
          </w:p>
        </w:tc>
        <w:tc>
          <w:tcPr>
            <w:tcW w:w="909" w:type="dxa"/>
            <w:tcBorders>
              <w:top w:val="nil"/>
              <w:bottom w:val="nil"/>
              <w:right w:val="single" w:sz="4" w:space="0" w:color="auto"/>
            </w:tcBorders>
            <w:noWrap/>
            <w:hideMark/>
          </w:tcPr>
          <w:p w14:paraId="034E69B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14.1</w:t>
            </w:r>
          </w:p>
        </w:tc>
        <w:tc>
          <w:tcPr>
            <w:tcW w:w="590" w:type="dxa"/>
            <w:tcBorders>
              <w:top w:val="nil"/>
              <w:left w:val="single" w:sz="4" w:space="0" w:color="auto"/>
              <w:bottom w:val="nil"/>
            </w:tcBorders>
            <w:noWrap/>
            <w:hideMark/>
          </w:tcPr>
          <w:p w14:paraId="7239CF8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0.9</w:t>
            </w:r>
          </w:p>
        </w:tc>
        <w:tc>
          <w:tcPr>
            <w:tcW w:w="712" w:type="dxa"/>
            <w:tcBorders>
              <w:top w:val="nil"/>
              <w:bottom w:val="nil"/>
            </w:tcBorders>
            <w:noWrap/>
            <w:hideMark/>
          </w:tcPr>
          <w:p w14:paraId="2EDBE75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68.0</w:t>
            </w:r>
          </w:p>
        </w:tc>
        <w:tc>
          <w:tcPr>
            <w:tcW w:w="703" w:type="dxa"/>
            <w:tcBorders>
              <w:top w:val="nil"/>
              <w:bottom w:val="nil"/>
            </w:tcBorders>
            <w:noWrap/>
            <w:hideMark/>
          </w:tcPr>
          <w:p w14:paraId="45467E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13.5</w:t>
            </w:r>
          </w:p>
        </w:tc>
        <w:tc>
          <w:tcPr>
            <w:tcW w:w="909" w:type="dxa"/>
            <w:tcBorders>
              <w:top w:val="nil"/>
              <w:bottom w:val="nil"/>
            </w:tcBorders>
            <w:noWrap/>
            <w:hideMark/>
          </w:tcPr>
          <w:p w14:paraId="3C7286F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12.3</w:t>
            </w:r>
          </w:p>
        </w:tc>
      </w:tr>
      <w:tr w:rsidR="00B70CA8" w:rsidRPr="005E5F15" w14:paraId="6809DA77" w14:textId="77777777" w:rsidTr="000355E8">
        <w:trPr>
          <w:trHeight w:val="272"/>
        </w:trPr>
        <w:tc>
          <w:tcPr>
            <w:tcW w:w="2880" w:type="dxa"/>
            <w:tcBorders>
              <w:top w:val="nil"/>
              <w:bottom w:val="nil"/>
              <w:right w:val="single" w:sz="4" w:space="0" w:color="auto"/>
            </w:tcBorders>
            <w:noWrap/>
            <w:hideMark/>
          </w:tcPr>
          <w:p w14:paraId="46085BAD"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Bicarbonate (HCO</w:t>
            </w:r>
            <w:r w:rsidRPr="005E5F15">
              <w:rPr>
                <w:rFonts w:ascii="Times New Roman" w:hAnsi="Times New Roman" w:cs="Times New Roman"/>
                <w:b/>
                <w:bCs/>
                <w:sz w:val="24"/>
                <w:szCs w:val="24"/>
                <w:vertAlign w:val="subscript"/>
              </w:rPr>
              <w:t>3</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49B1E86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492E324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8.2</w:t>
            </w:r>
          </w:p>
        </w:tc>
        <w:tc>
          <w:tcPr>
            <w:tcW w:w="698" w:type="dxa"/>
            <w:tcBorders>
              <w:top w:val="nil"/>
              <w:bottom w:val="nil"/>
            </w:tcBorders>
            <w:noWrap/>
            <w:hideMark/>
          </w:tcPr>
          <w:p w14:paraId="0C4BACB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291.9</w:t>
            </w:r>
          </w:p>
        </w:tc>
        <w:tc>
          <w:tcPr>
            <w:tcW w:w="826" w:type="dxa"/>
            <w:tcBorders>
              <w:top w:val="nil"/>
              <w:bottom w:val="nil"/>
            </w:tcBorders>
            <w:noWrap/>
            <w:hideMark/>
          </w:tcPr>
          <w:p w14:paraId="4E2E3AB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76.3</w:t>
            </w:r>
          </w:p>
        </w:tc>
        <w:tc>
          <w:tcPr>
            <w:tcW w:w="909" w:type="dxa"/>
            <w:tcBorders>
              <w:top w:val="nil"/>
              <w:bottom w:val="nil"/>
              <w:right w:val="single" w:sz="4" w:space="0" w:color="auto"/>
            </w:tcBorders>
            <w:noWrap/>
            <w:hideMark/>
          </w:tcPr>
          <w:p w14:paraId="5E8FE5A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60.3</w:t>
            </w:r>
          </w:p>
        </w:tc>
        <w:tc>
          <w:tcPr>
            <w:tcW w:w="590" w:type="dxa"/>
            <w:tcBorders>
              <w:top w:val="nil"/>
              <w:left w:val="single" w:sz="4" w:space="0" w:color="auto"/>
              <w:bottom w:val="nil"/>
            </w:tcBorders>
            <w:noWrap/>
            <w:hideMark/>
          </w:tcPr>
          <w:p w14:paraId="51695F8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6.2</w:t>
            </w:r>
          </w:p>
        </w:tc>
        <w:tc>
          <w:tcPr>
            <w:tcW w:w="712" w:type="dxa"/>
            <w:tcBorders>
              <w:top w:val="nil"/>
              <w:bottom w:val="nil"/>
            </w:tcBorders>
            <w:noWrap/>
            <w:hideMark/>
          </w:tcPr>
          <w:p w14:paraId="52838D0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218.3</w:t>
            </w:r>
          </w:p>
        </w:tc>
        <w:tc>
          <w:tcPr>
            <w:tcW w:w="703" w:type="dxa"/>
            <w:tcBorders>
              <w:top w:val="nil"/>
              <w:bottom w:val="nil"/>
            </w:tcBorders>
            <w:noWrap/>
            <w:hideMark/>
          </w:tcPr>
          <w:p w14:paraId="1BC6E39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75.0</w:t>
            </w:r>
          </w:p>
        </w:tc>
        <w:tc>
          <w:tcPr>
            <w:tcW w:w="909" w:type="dxa"/>
            <w:tcBorders>
              <w:top w:val="nil"/>
              <w:bottom w:val="nil"/>
            </w:tcBorders>
            <w:noWrap/>
            <w:hideMark/>
          </w:tcPr>
          <w:p w14:paraId="381711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48.5</w:t>
            </w:r>
          </w:p>
        </w:tc>
      </w:tr>
      <w:tr w:rsidR="00B70CA8" w:rsidRPr="005E5F15" w14:paraId="4ED5EABF" w14:textId="77777777" w:rsidTr="000355E8">
        <w:trPr>
          <w:trHeight w:val="272"/>
        </w:trPr>
        <w:tc>
          <w:tcPr>
            <w:tcW w:w="2880" w:type="dxa"/>
            <w:tcBorders>
              <w:top w:val="nil"/>
              <w:bottom w:val="nil"/>
              <w:right w:val="single" w:sz="4" w:space="0" w:color="auto"/>
            </w:tcBorders>
            <w:noWrap/>
            <w:hideMark/>
          </w:tcPr>
          <w:p w14:paraId="5D0EEB8F"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Sulphate (SO</w:t>
            </w:r>
            <w:r w:rsidRPr="005E5F15">
              <w:rPr>
                <w:rFonts w:ascii="Times New Roman" w:hAnsi="Times New Roman" w:cs="Times New Roman"/>
                <w:b/>
                <w:bCs/>
                <w:sz w:val="24"/>
                <w:szCs w:val="24"/>
                <w:vertAlign w:val="subscript"/>
              </w:rPr>
              <w:t>4</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206FAF1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79D76B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w:t>
            </w:r>
          </w:p>
        </w:tc>
        <w:tc>
          <w:tcPr>
            <w:tcW w:w="698" w:type="dxa"/>
            <w:tcBorders>
              <w:top w:val="nil"/>
              <w:bottom w:val="nil"/>
            </w:tcBorders>
            <w:noWrap/>
            <w:hideMark/>
          </w:tcPr>
          <w:p w14:paraId="6EDF8D5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197.8</w:t>
            </w:r>
          </w:p>
        </w:tc>
        <w:tc>
          <w:tcPr>
            <w:tcW w:w="826" w:type="dxa"/>
            <w:tcBorders>
              <w:top w:val="nil"/>
              <w:bottom w:val="nil"/>
            </w:tcBorders>
            <w:noWrap/>
            <w:hideMark/>
          </w:tcPr>
          <w:p w14:paraId="113E140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33.7</w:t>
            </w:r>
          </w:p>
        </w:tc>
        <w:tc>
          <w:tcPr>
            <w:tcW w:w="909" w:type="dxa"/>
            <w:tcBorders>
              <w:top w:val="nil"/>
              <w:bottom w:val="nil"/>
              <w:right w:val="single" w:sz="4" w:space="0" w:color="auto"/>
            </w:tcBorders>
            <w:noWrap/>
            <w:hideMark/>
          </w:tcPr>
          <w:p w14:paraId="159421A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36.3</w:t>
            </w:r>
          </w:p>
        </w:tc>
        <w:tc>
          <w:tcPr>
            <w:tcW w:w="590" w:type="dxa"/>
            <w:tcBorders>
              <w:top w:val="nil"/>
              <w:left w:val="single" w:sz="4" w:space="0" w:color="auto"/>
              <w:bottom w:val="nil"/>
            </w:tcBorders>
            <w:noWrap/>
            <w:hideMark/>
          </w:tcPr>
          <w:p w14:paraId="6EDB987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w:t>
            </w:r>
          </w:p>
        </w:tc>
        <w:tc>
          <w:tcPr>
            <w:tcW w:w="712" w:type="dxa"/>
            <w:tcBorders>
              <w:top w:val="nil"/>
              <w:bottom w:val="nil"/>
            </w:tcBorders>
            <w:noWrap/>
            <w:hideMark/>
          </w:tcPr>
          <w:p w14:paraId="79762D0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161.0</w:t>
            </w:r>
          </w:p>
        </w:tc>
        <w:tc>
          <w:tcPr>
            <w:tcW w:w="703" w:type="dxa"/>
            <w:tcBorders>
              <w:top w:val="nil"/>
              <w:bottom w:val="nil"/>
            </w:tcBorders>
            <w:noWrap/>
            <w:hideMark/>
          </w:tcPr>
          <w:p w14:paraId="45A97CB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33.3</w:t>
            </w:r>
          </w:p>
        </w:tc>
        <w:tc>
          <w:tcPr>
            <w:tcW w:w="909" w:type="dxa"/>
            <w:tcBorders>
              <w:top w:val="nil"/>
              <w:bottom w:val="nil"/>
            </w:tcBorders>
            <w:noWrap/>
            <w:hideMark/>
          </w:tcPr>
          <w:p w14:paraId="1222745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34.5</w:t>
            </w:r>
          </w:p>
        </w:tc>
      </w:tr>
      <w:tr w:rsidR="00B70CA8" w:rsidRPr="005E5F15" w14:paraId="41019FE9" w14:textId="77777777" w:rsidTr="000355E8">
        <w:trPr>
          <w:trHeight w:val="272"/>
        </w:trPr>
        <w:tc>
          <w:tcPr>
            <w:tcW w:w="2880" w:type="dxa"/>
            <w:tcBorders>
              <w:top w:val="nil"/>
              <w:bottom w:val="nil"/>
              <w:right w:val="single" w:sz="4" w:space="0" w:color="auto"/>
            </w:tcBorders>
            <w:noWrap/>
            <w:hideMark/>
          </w:tcPr>
          <w:p w14:paraId="7F9B839D"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Chloride (Cl</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0C15234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21F6735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0.4</w:t>
            </w:r>
          </w:p>
        </w:tc>
        <w:tc>
          <w:tcPr>
            <w:tcW w:w="698" w:type="dxa"/>
            <w:tcBorders>
              <w:top w:val="nil"/>
              <w:bottom w:val="nil"/>
            </w:tcBorders>
            <w:noWrap/>
            <w:hideMark/>
          </w:tcPr>
          <w:p w14:paraId="06B2CA3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86.0</w:t>
            </w:r>
          </w:p>
        </w:tc>
        <w:tc>
          <w:tcPr>
            <w:tcW w:w="826" w:type="dxa"/>
            <w:tcBorders>
              <w:top w:val="nil"/>
              <w:bottom w:val="nil"/>
            </w:tcBorders>
            <w:noWrap/>
            <w:hideMark/>
          </w:tcPr>
          <w:p w14:paraId="14034C29"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25.3</w:t>
            </w:r>
          </w:p>
        </w:tc>
        <w:tc>
          <w:tcPr>
            <w:tcW w:w="909" w:type="dxa"/>
            <w:tcBorders>
              <w:top w:val="nil"/>
              <w:bottom w:val="nil"/>
              <w:right w:val="single" w:sz="4" w:space="0" w:color="auto"/>
            </w:tcBorders>
            <w:noWrap/>
            <w:hideMark/>
          </w:tcPr>
          <w:p w14:paraId="5D8D87A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27.0</w:t>
            </w:r>
          </w:p>
        </w:tc>
        <w:tc>
          <w:tcPr>
            <w:tcW w:w="590" w:type="dxa"/>
            <w:tcBorders>
              <w:top w:val="nil"/>
              <w:left w:val="single" w:sz="4" w:space="0" w:color="auto"/>
              <w:bottom w:val="nil"/>
            </w:tcBorders>
            <w:noWrap/>
            <w:hideMark/>
          </w:tcPr>
          <w:p w14:paraId="1998F0F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1.5</w:t>
            </w:r>
          </w:p>
        </w:tc>
        <w:tc>
          <w:tcPr>
            <w:tcW w:w="712" w:type="dxa"/>
            <w:tcBorders>
              <w:top w:val="nil"/>
              <w:bottom w:val="nil"/>
            </w:tcBorders>
            <w:noWrap/>
            <w:hideMark/>
          </w:tcPr>
          <w:p w14:paraId="1B605C5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132.8</w:t>
            </w:r>
          </w:p>
        </w:tc>
        <w:tc>
          <w:tcPr>
            <w:tcW w:w="703" w:type="dxa"/>
            <w:tcBorders>
              <w:top w:val="nil"/>
              <w:bottom w:val="nil"/>
            </w:tcBorders>
            <w:noWrap/>
            <w:hideMark/>
          </w:tcPr>
          <w:p w14:paraId="5AC43D9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37.0</w:t>
            </w:r>
          </w:p>
        </w:tc>
        <w:tc>
          <w:tcPr>
            <w:tcW w:w="909" w:type="dxa"/>
            <w:tcBorders>
              <w:top w:val="nil"/>
              <w:bottom w:val="nil"/>
            </w:tcBorders>
            <w:noWrap/>
            <w:hideMark/>
          </w:tcPr>
          <w:p w14:paraId="357ABF1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31.7</w:t>
            </w:r>
          </w:p>
        </w:tc>
      </w:tr>
      <w:tr w:rsidR="00B70CA8" w:rsidRPr="005E5F15" w14:paraId="09678194" w14:textId="77777777" w:rsidTr="000355E8">
        <w:trPr>
          <w:trHeight w:val="272"/>
        </w:trPr>
        <w:tc>
          <w:tcPr>
            <w:tcW w:w="2880" w:type="dxa"/>
            <w:tcBorders>
              <w:top w:val="nil"/>
              <w:bottom w:val="nil"/>
              <w:right w:val="single" w:sz="4" w:space="0" w:color="auto"/>
            </w:tcBorders>
            <w:noWrap/>
            <w:hideMark/>
          </w:tcPr>
          <w:p w14:paraId="76607D37"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Nitrate (NO</w:t>
            </w:r>
            <w:r w:rsidRPr="005E5F15">
              <w:rPr>
                <w:rFonts w:ascii="Times New Roman" w:hAnsi="Times New Roman" w:cs="Times New Roman"/>
                <w:b/>
                <w:bCs/>
                <w:sz w:val="24"/>
                <w:szCs w:val="24"/>
                <w:vertAlign w:val="subscript"/>
              </w:rPr>
              <w:t>3</w:t>
            </w:r>
            <w:r w:rsidRPr="005E5F15">
              <w:rPr>
                <w:rFonts w:ascii="Times New Roman" w:hAnsi="Times New Roman" w:cs="Times New Roman"/>
                <w:b/>
                <w:bCs/>
                <w:sz w:val="24"/>
                <w:szCs w:val="24"/>
                <w:vertAlign w:val="superscript"/>
              </w:rPr>
              <w:t>-</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6EB0A36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97ACE4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0.4</w:t>
            </w:r>
          </w:p>
        </w:tc>
        <w:tc>
          <w:tcPr>
            <w:tcW w:w="698" w:type="dxa"/>
            <w:tcBorders>
              <w:top w:val="nil"/>
              <w:bottom w:val="nil"/>
            </w:tcBorders>
            <w:noWrap/>
            <w:hideMark/>
          </w:tcPr>
          <w:p w14:paraId="4748B53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108.0</w:t>
            </w:r>
          </w:p>
        </w:tc>
        <w:tc>
          <w:tcPr>
            <w:tcW w:w="826" w:type="dxa"/>
            <w:tcBorders>
              <w:top w:val="nil"/>
              <w:bottom w:val="nil"/>
            </w:tcBorders>
            <w:noWrap/>
            <w:hideMark/>
          </w:tcPr>
          <w:p w14:paraId="4B5BD72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22.5</w:t>
            </w:r>
          </w:p>
        </w:tc>
        <w:tc>
          <w:tcPr>
            <w:tcW w:w="909" w:type="dxa"/>
            <w:tcBorders>
              <w:top w:val="nil"/>
              <w:bottom w:val="nil"/>
              <w:right w:val="single" w:sz="4" w:space="0" w:color="auto"/>
            </w:tcBorders>
            <w:noWrap/>
            <w:hideMark/>
          </w:tcPr>
          <w:p w14:paraId="1D595EB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21.3</w:t>
            </w:r>
          </w:p>
        </w:tc>
        <w:tc>
          <w:tcPr>
            <w:tcW w:w="590" w:type="dxa"/>
            <w:tcBorders>
              <w:top w:val="nil"/>
              <w:left w:val="single" w:sz="4" w:space="0" w:color="auto"/>
              <w:bottom w:val="nil"/>
            </w:tcBorders>
            <w:noWrap/>
            <w:hideMark/>
          </w:tcPr>
          <w:p w14:paraId="089355C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1.4</w:t>
            </w:r>
          </w:p>
        </w:tc>
        <w:tc>
          <w:tcPr>
            <w:tcW w:w="712" w:type="dxa"/>
            <w:tcBorders>
              <w:top w:val="nil"/>
              <w:bottom w:val="nil"/>
            </w:tcBorders>
            <w:noWrap/>
            <w:hideMark/>
          </w:tcPr>
          <w:p w14:paraId="174E1E6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79.1</w:t>
            </w:r>
          </w:p>
        </w:tc>
        <w:tc>
          <w:tcPr>
            <w:tcW w:w="703" w:type="dxa"/>
            <w:tcBorders>
              <w:top w:val="nil"/>
              <w:bottom w:val="nil"/>
            </w:tcBorders>
            <w:noWrap/>
            <w:hideMark/>
          </w:tcPr>
          <w:p w14:paraId="2AF0A22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19.7</w:t>
            </w:r>
          </w:p>
        </w:tc>
        <w:tc>
          <w:tcPr>
            <w:tcW w:w="909" w:type="dxa"/>
            <w:tcBorders>
              <w:top w:val="nil"/>
              <w:bottom w:val="nil"/>
            </w:tcBorders>
            <w:noWrap/>
            <w:hideMark/>
          </w:tcPr>
          <w:p w14:paraId="6C8A1C2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18.5</w:t>
            </w:r>
          </w:p>
        </w:tc>
      </w:tr>
      <w:tr w:rsidR="00B70CA8" w:rsidRPr="005E5F15" w14:paraId="7A617BFC" w14:textId="77777777" w:rsidTr="000355E8">
        <w:trPr>
          <w:trHeight w:val="272"/>
        </w:trPr>
        <w:tc>
          <w:tcPr>
            <w:tcW w:w="2880" w:type="dxa"/>
            <w:tcBorders>
              <w:top w:val="nil"/>
              <w:bottom w:val="nil"/>
              <w:right w:val="single" w:sz="4" w:space="0" w:color="auto"/>
            </w:tcBorders>
            <w:noWrap/>
            <w:hideMark/>
          </w:tcPr>
          <w:p w14:paraId="62E2CA3A"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Total Hardness (CaCO</w:t>
            </w:r>
            <w:r w:rsidRPr="005E5F15">
              <w:rPr>
                <w:rFonts w:ascii="Times New Roman" w:hAnsi="Times New Roman" w:cs="Times New Roman"/>
                <w:b/>
                <w:bCs/>
                <w:sz w:val="24"/>
                <w:szCs w:val="24"/>
                <w:vertAlign w:val="subscript"/>
              </w:rPr>
              <w:t>3</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31750D8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7293E00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7.2</w:t>
            </w:r>
          </w:p>
        </w:tc>
        <w:tc>
          <w:tcPr>
            <w:tcW w:w="698" w:type="dxa"/>
            <w:tcBorders>
              <w:top w:val="nil"/>
              <w:bottom w:val="nil"/>
            </w:tcBorders>
            <w:noWrap/>
            <w:hideMark/>
          </w:tcPr>
          <w:p w14:paraId="2E07834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280.2</w:t>
            </w:r>
          </w:p>
        </w:tc>
        <w:tc>
          <w:tcPr>
            <w:tcW w:w="826" w:type="dxa"/>
            <w:tcBorders>
              <w:top w:val="nil"/>
              <w:bottom w:val="nil"/>
            </w:tcBorders>
            <w:noWrap/>
            <w:hideMark/>
          </w:tcPr>
          <w:p w14:paraId="71432C5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61.6</w:t>
            </w:r>
          </w:p>
        </w:tc>
        <w:tc>
          <w:tcPr>
            <w:tcW w:w="909" w:type="dxa"/>
            <w:tcBorders>
              <w:top w:val="nil"/>
              <w:bottom w:val="nil"/>
              <w:right w:val="single" w:sz="4" w:space="0" w:color="auto"/>
            </w:tcBorders>
            <w:noWrap/>
            <w:hideMark/>
          </w:tcPr>
          <w:p w14:paraId="39096D6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49.7</w:t>
            </w:r>
          </w:p>
        </w:tc>
        <w:tc>
          <w:tcPr>
            <w:tcW w:w="590" w:type="dxa"/>
            <w:tcBorders>
              <w:top w:val="nil"/>
              <w:left w:val="single" w:sz="4" w:space="0" w:color="auto"/>
              <w:bottom w:val="nil"/>
            </w:tcBorders>
            <w:noWrap/>
            <w:hideMark/>
          </w:tcPr>
          <w:p w14:paraId="39B8152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12.7</w:t>
            </w:r>
          </w:p>
        </w:tc>
        <w:tc>
          <w:tcPr>
            <w:tcW w:w="712" w:type="dxa"/>
            <w:tcBorders>
              <w:top w:val="nil"/>
              <w:bottom w:val="nil"/>
            </w:tcBorders>
            <w:noWrap/>
            <w:hideMark/>
          </w:tcPr>
          <w:p w14:paraId="6610BDE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233.0</w:t>
            </w:r>
          </w:p>
        </w:tc>
        <w:tc>
          <w:tcPr>
            <w:tcW w:w="703" w:type="dxa"/>
            <w:tcBorders>
              <w:top w:val="nil"/>
              <w:bottom w:val="nil"/>
            </w:tcBorders>
            <w:noWrap/>
            <w:hideMark/>
          </w:tcPr>
          <w:p w14:paraId="2B532CDA"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61.6</w:t>
            </w:r>
          </w:p>
        </w:tc>
        <w:tc>
          <w:tcPr>
            <w:tcW w:w="909" w:type="dxa"/>
            <w:tcBorders>
              <w:top w:val="nil"/>
              <w:bottom w:val="nil"/>
            </w:tcBorders>
            <w:noWrap/>
            <w:hideMark/>
          </w:tcPr>
          <w:p w14:paraId="30EC756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44.4</w:t>
            </w:r>
          </w:p>
        </w:tc>
      </w:tr>
      <w:tr w:rsidR="00B70CA8" w:rsidRPr="005E5F15" w14:paraId="7C68E266" w14:textId="77777777" w:rsidTr="000355E8">
        <w:trPr>
          <w:trHeight w:val="272"/>
        </w:trPr>
        <w:tc>
          <w:tcPr>
            <w:tcW w:w="2880" w:type="dxa"/>
            <w:tcBorders>
              <w:top w:val="nil"/>
              <w:bottom w:val="nil"/>
              <w:right w:val="single" w:sz="4" w:space="0" w:color="auto"/>
            </w:tcBorders>
            <w:noWrap/>
            <w:hideMark/>
          </w:tcPr>
          <w:p w14:paraId="08DE64E4"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Manganese (Mn</w:t>
            </w:r>
            <w:r w:rsidRPr="005E5F15">
              <w:rPr>
                <w:rFonts w:ascii="Times New Roman" w:hAnsi="Times New Roman" w:cs="Times New Roman"/>
                <w:b/>
                <w:bCs/>
                <w:sz w:val="24"/>
                <w:szCs w:val="24"/>
                <w:vertAlign w:val="superscript"/>
              </w:rPr>
              <w:t>2+</w:t>
            </w:r>
            <w:r w:rsidRPr="005E5F15">
              <w:rPr>
                <w:rFonts w:ascii="Times New Roman" w:hAnsi="Times New Roman" w:cs="Times New Roman"/>
                <w:b/>
                <w:bCs/>
                <w:sz w:val="24"/>
                <w:szCs w:val="24"/>
              </w:rPr>
              <w:t>)</w:t>
            </w:r>
          </w:p>
        </w:tc>
        <w:tc>
          <w:tcPr>
            <w:tcW w:w="743" w:type="dxa"/>
            <w:tcBorders>
              <w:top w:val="nil"/>
              <w:left w:val="single" w:sz="4" w:space="0" w:color="auto"/>
              <w:bottom w:val="nil"/>
            </w:tcBorders>
            <w:noWrap/>
            <w:hideMark/>
          </w:tcPr>
          <w:p w14:paraId="56D1397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33979F9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0.002</w:t>
            </w:r>
          </w:p>
        </w:tc>
        <w:tc>
          <w:tcPr>
            <w:tcW w:w="698" w:type="dxa"/>
            <w:tcBorders>
              <w:top w:val="nil"/>
              <w:bottom w:val="nil"/>
            </w:tcBorders>
            <w:noWrap/>
            <w:hideMark/>
          </w:tcPr>
          <w:p w14:paraId="5AD2579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3.1</w:t>
            </w:r>
          </w:p>
        </w:tc>
        <w:tc>
          <w:tcPr>
            <w:tcW w:w="826" w:type="dxa"/>
            <w:tcBorders>
              <w:top w:val="nil"/>
              <w:bottom w:val="nil"/>
            </w:tcBorders>
            <w:noWrap/>
            <w:hideMark/>
          </w:tcPr>
          <w:p w14:paraId="52783A9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0.26</w:t>
            </w:r>
          </w:p>
        </w:tc>
        <w:tc>
          <w:tcPr>
            <w:tcW w:w="909" w:type="dxa"/>
            <w:tcBorders>
              <w:top w:val="nil"/>
              <w:bottom w:val="nil"/>
              <w:right w:val="single" w:sz="4" w:space="0" w:color="auto"/>
            </w:tcBorders>
            <w:noWrap/>
            <w:hideMark/>
          </w:tcPr>
          <w:p w14:paraId="696C85C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0.56</w:t>
            </w:r>
          </w:p>
        </w:tc>
        <w:tc>
          <w:tcPr>
            <w:tcW w:w="590" w:type="dxa"/>
            <w:tcBorders>
              <w:top w:val="nil"/>
              <w:left w:val="single" w:sz="4" w:space="0" w:color="auto"/>
              <w:bottom w:val="nil"/>
            </w:tcBorders>
            <w:noWrap/>
            <w:hideMark/>
          </w:tcPr>
          <w:p w14:paraId="0355E63D"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0.13</w:t>
            </w:r>
          </w:p>
        </w:tc>
        <w:tc>
          <w:tcPr>
            <w:tcW w:w="712" w:type="dxa"/>
            <w:tcBorders>
              <w:top w:val="nil"/>
              <w:bottom w:val="nil"/>
            </w:tcBorders>
            <w:noWrap/>
            <w:hideMark/>
          </w:tcPr>
          <w:p w14:paraId="116E60B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0.27</w:t>
            </w:r>
          </w:p>
        </w:tc>
        <w:tc>
          <w:tcPr>
            <w:tcW w:w="703" w:type="dxa"/>
            <w:tcBorders>
              <w:top w:val="nil"/>
              <w:bottom w:val="nil"/>
            </w:tcBorders>
            <w:noWrap/>
            <w:hideMark/>
          </w:tcPr>
          <w:p w14:paraId="5280386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0.18</w:t>
            </w:r>
          </w:p>
        </w:tc>
        <w:tc>
          <w:tcPr>
            <w:tcW w:w="909" w:type="dxa"/>
            <w:tcBorders>
              <w:top w:val="nil"/>
              <w:bottom w:val="nil"/>
            </w:tcBorders>
            <w:noWrap/>
            <w:hideMark/>
          </w:tcPr>
          <w:p w14:paraId="1C016413"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0.03</w:t>
            </w:r>
          </w:p>
        </w:tc>
      </w:tr>
      <w:tr w:rsidR="00B70CA8" w:rsidRPr="005E5F15" w14:paraId="4DF64427" w14:textId="77777777" w:rsidTr="000355E8">
        <w:trPr>
          <w:trHeight w:val="272"/>
        </w:trPr>
        <w:tc>
          <w:tcPr>
            <w:tcW w:w="2880" w:type="dxa"/>
            <w:tcBorders>
              <w:top w:val="nil"/>
              <w:bottom w:val="nil"/>
              <w:right w:val="single" w:sz="4" w:space="0" w:color="auto"/>
            </w:tcBorders>
            <w:noWrap/>
            <w:hideMark/>
          </w:tcPr>
          <w:p w14:paraId="5EC2576B"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Iron (Fe)</w:t>
            </w:r>
          </w:p>
        </w:tc>
        <w:tc>
          <w:tcPr>
            <w:tcW w:w="743" w:type="dxa"/>
            <w:tcBorders>
              <w:top w:val="nil"/>
              <w:left w:val="single" w:sz="4" w:space="0" w:color="auto"/>
              <w:bottom w:val="nil"/>
            </w:tcBorders>
            <w:noWrap/>
            <w:hideMark/>
          </w:tcPr>
          <w:p w14:paraId="60A0812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887BAD8"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0.03</w:t>
            </w:r>
          </w:p>
        </w:tc>
        <w:tc>
          <w:tcPr>
            <w:tcW w:w="698" w:type="dxa"/>
            <w:tcBorders>
              <w:top w:val="nil"/>
              <w:bottom w:val="nil"/>
            </w:tcBorders>
            <w:noWrap/>
            <w:hideMark/>
          </w:tcPr>
          <w:p w14:paraId="5A17A5B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29.9</w:t>
            </w:r>
          </w:p>
        </w:tc>
        <w:tc>
          <w:tcPr>
            <w:tcW w:w="826" w:type="dxa"/>
            <w:tcBorders>
              <w:top w:val="nil"/>
              <w:bottom w:val="nil"/>
            </w:tcBorders>
            <w:noWrap/>
            <w:hideMark/>
          </w:tcPr>
          <w:p w14:paraId="583E497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2.92</w:t>
            </w:r>
          </w:p>
        </w:tc>
        <w:tc>
          <w:tcPr>
            <w:tcW w:w="909" w:type="dxa"/>
            <w:tcBorders>
              <w:top w:val="nil"/>
              <w:bottom w:val="nil"/>
              <w:right w:val="single" w:sz="4" w:space="0" w:color="auto"/>
            </w:tcBorders>
            <w:noWrap/>
            <w:hideMark/>
          </w:tcPr>
          <w:p w14:paraId="6895DD4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4.68</w:t>
            </w:r>
          </w:p>
        </w:tc>
        <w:tc>
          <w:tcPr>
            <w:tcW w:w="590" w:type="dxa"/>
            <w:tcBorders>
              <w:top w:val="nil"/>
              <w:left w:val="single" w:sz="4" w:space="0" w:color="auto"/>
              <w:bottom w:val="nil"/>
            </w:tcBorders>
            <w:noWrap/>
            <w:hideMark/>
          </w:tcPr>
          <w:p w14:paraId="58560431"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0.39</w:t>
            </w:r>
          </w:p>
        </w:tc>
        <w:tc>
          <w:tcPr>
            <w:tcW w:w="712" w:type="dxa"/>
            <w:tcBorders>
              <w:top w:val="nil"/>
              <w:bottom w:val="nil"/>
            </w:tcBorders>
            <w:noWrap/>
            <w:hideMark/>
          </w:tcPr>
          <w:p w14:paraId="76EBB61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1.82</w:t>
            </w:r>
          </w:p>
        </w:tc>
        <w:tc>
          <w:tcPr>
            <w:tcW w:w="703" w:type="dxa"/>
            <w:tcBorders>
              <w:top w:val="nil"/>
              <w:bottom w:val="nil"/>
            </w:tcBorders>
            <w:noWrap/>
            <w:hideMark/>
          </w:tcPr>
          <w:p w14:paraId="4BB6B9C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0.75</w:t>
            </w:r>
          </w:p>
        </w:tc>
        <w:tc>
          <w:tcPr>
            <w:tcW w:w="909" w:type="dxa"/>
            <w:tcBorders>
              <w:top w:val="nil"/>
              <w:bottom w:val="nil"/>
            </w:tcBorders>
            <w:noWrap/>
            <w:hideMark/>
          </w:tcPr>
          <w:p w14:paraId="3C02AEB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0.36</w:t>
            </w:r>
          </w:p>
        </w:tc>
      </w:tr>
      <w:tr w:rsidR="00B70CA8" w:rsidRPr="005E5F15" w14:paraId="1593DD19" w14:textId="77777777" w:rsidTr="000355E8">
        <w:trPr>
          <w:trHeight w:val="272"/>
        </w:trPr>
        <w:tc>
          <w:tcPr>
            <w:tcW w:w="2880" w:type="dxa"/>
            <w:tcBorders>
              <w:top w:val="nil"/>
              <w:bottom w:val="nil"/>
              <w:right w:val="single" w:sz="4" w:space="0" w:color="auto"/>
            </w:tcBorders>
            <w:noWrap/>
            <w:hideMark/>
          </w:tcPr>
          <w:p w14:paraId="7BA16E8C"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Lead (Pb)</w:t>
            </w:r>
          </w:p>
        </w:tc>
        <w:tc>
          <w:tcPr>
            <w:tcW w:w="743" w:type="dxa"/>
            <w:tcBorders>
              <w:top w:val="nil"/>
              <w:left w:val="single" w:sz="4" w:space="0" w:color="auto"/>
              <w:bottom w:val="nil"/>
            </w:tcBorders>
            <w:noWrap/>
            <w:hideMark/>
          </w:tcPr>
          <w:p w14:paraId="7B1ADDA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50B645F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0.05</w:t>
            </w:r>
          </w:p>
        </w:tc>
        <w:tc>
          <w:tcPr>
            <w:tcW w:w="698" w:type="dxa"/>
            <w:tcBorders>
              <w:top w:val="nil"/>
              <w:bottom w:val="nil"/>
            </w:tcBorders>
            <w:noWrap/>
            <w:hideMark/>
          </w:tcPr>
          <w:p w14:paraId="7BA780D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6.16</w:t>
            </w:r>
          </w:p>
        </w:tc>
        <w:tc>
          <w:tcPr>
            <w:tcW w:w="826" w:type="dxa"/>
            <w:tcBorders>
              <w:top w:val="nil"/>
              <w:bottom w:val="nil"/>
            </w:tcBorders>
            <w:noWrap/>
            <w:hideMark/>
          </w:tcPr>
          <w:p w14:paraId="64062C4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1.17</w:t>
            </w:r>
          </w:p>
        </w:tc>
        <w:tc>
          <w:tcPr>
            <w:tcW w:w="909" w:type="dxa"/>
            <w:tcBorders>
              <w:top w:val="nil"/>
              <w:bottom w:val="nil"/>
              <w:right w:val="single" w:sz="4" w:space="0" w:color="auto"/>
            </w:tcBorders>
            <w:noWrap/>
            <w:hideMark/>
          </w:tcPr>
          <w:p w14:paraId="5BDD123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1.62</w:t>
            </w:r>
          </w:p>
        </w:tc>
        <w:tc>
          <w:tcPr>
            <w:tcW w:w="590" w:type="dxa"/>
            <w:tcBorders>
              <w:top w:val="nil"/>
              <w:left w:val="single" w:sz="4" w:space="0" w:color="auto"/>
              <w:bottom w:val="nil"/>
            </w:tcBorders>
            <w:noWrap/>
            <w:hideMark/>
          </w:tcPr>
          <w:p w14:paraId="4B113FF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0.13</w:t>
            </w:r>
          </w:p>
        </w:tc>
        <w:tc>
          <w:tcPr>
            <w:tcW w:w="712" w:type="dxa"/>
            <w:tcBorders>
              <w:top w:val="nil"/>
              <w:bottom w:val="nil"/>
            </w:tcBorders>
            <w:noWrap/>
            <w:hideMark/>
          </w:tcPr>
          <w:p w14:paraId="6FD0D5F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0.83</w:t>
            </w:r>
          </w:p>
        </w:tc>
        <w:tc>
          <w:tcPr>
            <w:tcW w:w="703" w:type="dxa"/>
            <w:tcBorders>
              <w:top w:val="nil"/>
              <w:bottom w:val="nil"/>
            </w:tcBorders>
            <w:noWrap/>
            <w:hideMark/>
          </w:tcPr>
          <w:p w14:paraId="39ACD3F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0.50</w:t>
            </w:r>
          </w:p>
        </w:tc>
        <w:tc>
          <w:tcPr>
            <w:tcW w:w="909" w:type="dxa"/>
            <w:tcBorders>
              <w:top w:val="nil"/>
              <w:bottom w:val="nil"/>
            </w:tcBorders>
            <w:noWrap/>
            <w:hideMark/>
          </w:tcPr>
          <w:p w14:paraId="364BD0B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0.21</w:t>
            </w:r>
          </w:p>
        </w:tc>
      </w:tr>
      <w:tr w:rsidR="00B70CA8" w:rsidRPr="005E5F15" w14:paraId="39FAF729" w14:textId="77777777" w:rsidTr="000355E8">
        <w:trPr>
          <w:trHeight w:val="272"/>
        </w:trPr>
        <w:tc>
          <w:tcPr>
            <w:tcW w:w="2880" w:type="dxa"/>
            <w:tcBorders>
              <w:top w:val="nil"/>
              <w:bottom w:val="nil"/>
              <w:right w:val="single" w:sz="4" w:space="0" w:color="auto"/>
            </w:tcBorders>
            <w:noWrap/>
            <w:hideMark/>
          </w:tcPr>
          <w:p w14:paraId="6495B3EA"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Zinc (Zn)</w:t>
            </w:r>
          </w:p>
        </w:tc>
        <w:tc>
          <w:tcPr>
            <w:tcW w:w="743" w:type="dxa"/>
            <w:tcBorders>
              <w:top w:val="nil"/>
              <w:left w:val="single" w:sz="4" w:space="0" w:color="auto"/>
              <w:bottom w:val="nil"/>
            </w:tcBorders>
            <w:noWrap/>
            <w:hideMark/>
          </w:tcPr>
          <w:p w14:paraId="5E23FBD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2580324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&lt;0.002</w:t>
            </w:r>
          </w:p>
        </w:tc>
        <w:tc>
          <w:tcPr>
            <w:tcW w:w="698" w:type="dxa"/>
            <w:tcBorders>
              <w:top w:val="nil"/>
              <w:bottom w:val="nil"/>
            </w:tcBorders>
            <w:noWrap/>
            <w:hideMark/>
          </w:tcPr>
          <w:p w14:paraId="4216A8B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4.95</w:t>
            </w:r>
          </w:p>
        </w:tc>
        <w:tc>
          <w:tcPr>
            <w:tcW w:w="826" w:type="dxa"/>
            <w:tcBorders>
              <w:top w:val="nil"/>
              <w:bottom w:val="nil"/>
            </w:tcBorders>
            <w:noWrap/>
            <w:hideMark/>
          </w:tcPr>
          <w:p w14:paraId="7A5327C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0.15</w:t>
            </w:r>
          </w:p>
        </w:tc>
        <w:tc>
          <w:tcPr>
            <w:tcW w:w="909" w:type="dxa"/>
            <w:tcBorders>
              <w:top w:val="nil"/>
              <w:bottom w:val="nil"/>
              <w:right w:val="single" w:sz="4" w:space="0" w:color="auto"/>
            </w:tcBorders>
            <w:noWrap/>
            <w:hideMark/>
          </w:tcPr>
          <w:p w14:paraId="632AF3E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0.56</w:t>
            </w:r>
          </w:p>
        </w:tc>
        <w:tc>
          <w:tcPr>
            <w:tcW w:w="590" w:type="dxa"/>
            <w:tcBorders>
              <w:top w:val="nil"/>
              <w:left w:val="single" w:sz="4" w:space="0" w:color="auto"/>
              <w:bottom w:val="nil"/>
            </w:tcBorders>
            <w:noWrap/>
            <w:hideMark/>
          </w:tcPr>
          <w:p w14:paraId="01DCF97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0.24</w:t>
            </w:r>
          </w:p>
        </w:tc>
        <w:tc>
          <w:tcPr>
            <w:tcW w:w="712" w:type="dxa"/>
            <w:tcBorders>
              <w:top w:val="nil"/>
              <w:bottom w:val="nil"/>
            </w:tcBorders>
            <w:noWrap/>
            <w:hideMark/>
          </w:tcPr>
          <w:p w14:paraId="155ACAF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0.81</w:t>
            </w:r>
          </w:p>
        </w:tc>
        <w:tc>
          <w:tcPr>
            <w:tcW w:w="703" w:type="dxa"/>
            <w:tcBorders>
              <w:top w:val="nil"/>
              <w:bottom w:val="nil"/>
            </w:tcBorders>
            <w:noWrap/>
            <w:hideMark/>
          </w:tcPr>
          <w:p w14:paraId="5729D1FB"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0.67</w:t>
            </w:r>
          </w:p>
        </w:tc>
        <w:tc>
          <w:tcPr>
            <w:tcW w:w="909" w:type="dxa"/>
            <w:tcBorders>
              <w:top w:val="nil"/>
              <w:bottom w:val="nil"/>
            </w:tcBorders>
            <w:noWrap/>
            <w:hideMark/>
          </w:tcPr>
          <w:p w14:paraId="7A69700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0.13</w:t>
            </w:r>
          </w:p>
        </w:tc>
      </w:tr>
      <w:tr w:rsidR="00B70CA8" w:rsidRPr="005E5F15" w14:paraId="13AFF3EE" w14:textId="77777777" w:rsidTr="000355E8">
        <w:trPr>
          <w:trHeight w:val="272"/>
        </w:trPr>
        <w:tc>
          <w:tcPr>
            <w:tcW w:w="2880" w:type="dxa"/>
            <w:tcBorders>
              <w:top w:val="nil"/>
              <w:bottom w:val="nil"/>
              <w:right w:val="single" w:sz="4" w:space="0" w:color="auto"/>
            </w:tcBorders>
            <w:noWrap/>
            <w:hideMark/>
          </w:tcPr>
          <w:p w14:paraId="6BE8B23D"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Chromium (Cr)</w:t>
            </w:r>
          </w:p>
        </w:tc>
        <w:tc>
          <w:tcPr>
            <w:tcW w:w="743" w:type="dxa"/>
            <w:tcBorders>
              <w:top w:val="nil"/>
              <w:left w:val="single" w:sz="4" w:space="0" w:color="auto"/>
              <w:bottom w:val="nil"/>
            </w:tcBorders>
            <w:noWrap/>
            <w:hideMark/>
          </w:tcPr>
          <w:p w14:paraId="590ABFE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nil"/>
            </w:tcBorders>
            <w:noWrap/>
            <w:hideMark/>
          </w:tcPr>
          <w:p w14:paraId="0C70D0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&lt;0.003</w:t>
            </w:r>
          </w:p>
        </w:tc>
        <w:tc>
          <w:tcPr>
            <w:tcW w:w="698" w:type="dxa"/>
            <w:tcBorders>
              <w:top w:val="nil"/>
              <w:bottom w:val="nil"/>
            </w:tcBorders>
            <w:noWrap/>
            <w:hideMark/>
          </w:tcPr>
          <w:p w14:paraId="5EFE27BC"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4.95</w:t>
            </w:r>
          </w:p>
        </w:tc>
        <w:tc>
          <w:tcPr>
            <w:tcW w:w="826" w:type="dxa"/>
            <w:tcBorders>
              <w:top w:val="nil"/>
              <w:bottom w:val="nil"/>
            </w:tcBorders>
            <w:noWrap/>
            <w:hideMark/>
          </w:tcPr>
          <w:p w14:paraId="5747481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0.15</w:t>
            </w:r>
          </w:p>
        </w:tc>
        <w:tc>
          <w:tcPr>
            <w:tcW w:w="909" w:type="dxa"/>
            <w:tcBorders>
              <w:top w:val="nil"/>
              <w:bottom w:val="nil"/>
              <w:right w:val="single" w:sz="4" w:space="0" w:color="auto"/>
            </w:tcBorders>
            <w:noWrap/>
            <w:hideMark/>
          </w:tcPr>
          <w:p w14:paraId="64A475D0"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0.08</w:t>
            </w:r>
          </w:p>
        </w:tc>
        <w:tc>
          <w:tcPr>
            <w:tcW w:w="590" w:type="dxa"/>
            <w:tcBorders>
              <w:top w:val="nil"/>
              <w:left w:val="single" w:sz="4" w:space="0" w:color="auto"/>
              <w:bottom w:val="nil"/>
            </w:tcBorders>
            <w:noWrap/>
            <w:hideMark/>
          </w:tcPr>
          <w:p w14:paraId="14488AE6"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0.08</w:t>
            </w:r>
          </w:p>
        </w:tc>
        <w:tc>
          <w:tcPr>
            <w:tcW w:w="712" w:type="dxa"/>
            <w:tcBorders>
              <w:top w:val="nil"/>
              <w:bottom w:val="nil"/>
            </w:tcBorders>
            <w:noWrap/>
            <w:hideMark/>
          </w:tcPr>
          <w:p w14:paraId="3E056755"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0.12</w:t>
            </w:r>
          </w:p>
        </w:tc>
        <w:tc>
          <w:tcPr>
            <w:tcW w:w="703" w:type="dxa"/>
            <w:tcBorders>
              <w:top w:val="nil"/>
              <w:bottom w:val="nil"/>
            </w:tcBorders>
            <w:noWrap/>
            <w:hideMark/>
          </w:tcPr>
          <w:p w14:paraId="7059F02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0.10</w:t>
            </w:r>
          </w:p>
        </w:tc>
        <w:tc>
          <w:tcPr>
            <w:tcW w:w="909" w:type="dxa"/>
            <w:tcBorders>
              <w:top w:val="nil"/>
              <w:bottom w:val="nil"/>
            </w:tcBorders>
            <w:noWrap/>
            <w:hideMark/>
          </w:tcPr>
          <w:p w14:paraId="45601FC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0.01</w:t>
            </w:r>
          </w:p>
        </w:tc>
      </w:tr>
      <w:tr w:rsidR="00B70CA8" w:rsidRPr="005E5F15" w14:paraId="70BE1D91" w14:textId="77777777" w:rsidTr="000355E8">
        <w:trPr>
          <w:trHeight w:val="272"/>
        </w:trPr>
        <w:tc>
          <w:tcPr>
            <w:tcW w:w="2880" w:type="dxa"/>
            <w:tcBorders>
              <w:top w:val="nil"/>
              <w:bottom w:val="single" w:sz="4" w:space="0" w:color="auto"/>
              <w:right w:val="single" w:sz="4" w:space="0" w:color="auto"/>
            </w:tcBorders>
            <w:noWrap/>
            <w:hideMark/>
          </w:tcPr>
          <w:p w14:paraId="602DB4BF" w14:textId="77777777" w:rsidR="00B70CA8" w:rsidRPr="005E5F15" w:rsidRDefault="00B70CA8" w:rsidP="00B70CA8">
            <w:pPr>
              <w:spacing w:after="0" w:line="240" w:lineRule="auto"/>
              <w:jc w:val="both"/>
              <w:rPr>
                <w:rFonts w:ascii="Times New Roman" w:hAnsi="Times New Roman" w:cs="Times New Roman"/>
                <w:b/>
                <w:bCs/>
                <w:sz w:val="24"/>
                <w:szCs w:val="24"/>
              </w:rPr>
            </w:pPr>
            <w:r w:rsidRPr="005E5F15">
              <w:rPr>
                <w:rFonts w:ascii="Times New Roman" w:hAnsi="Times New Roman" w:cs="Times New Roman"/>
                <w:b/>
                <w:bCs/>
                <w:sz w:val="24"/>
                <w:szCs w:val="24"/>
              </w:rPr>
              <w:t>Nickel (Ni)</w:t>
            </w:r>
          </w:p>
        </w:tc>
        <w:tc>
          <w:tcPr>
            <w:tcW w:w="743" w:type="dxa"/>
            <w:tcBorders>
              <w:top w:val="nil"/>
              <w:left w:val="single" w:sz="4" w:space="0" w:color="auto"/>
              <w:bottom w:val="single" w:sz="4" w:space="0" w:color="auto"/>
            </w:tcBorders>
            <w:noWrap/>
            <w:hideMark/>
          </w:tcPr>
          <w:p w14:paraId="547BE19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mg/l</w:t>
            </w:r>
          </w:p>
        </w:tc>
        <w:tc>
          <w:tcPr>
            <w:tcW w:w="792" w:type="dxa"/>
            <w:tcBorders>
              <w:top w:val="nil"/>
              <w:bottom w:val="single" w:sz="4" w:space="0" w:color="auto"/>
            </w:tcBorders>
            <w:noWrap/>
            <w:hideMark/>
          </w:tcPr>
          <w:p w14:paraId="2F89843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&lt;0.004</w:t>
            </w:r>
          </w:p>
        </w:tc>
        <w:tc>
          <w:tcPr>
            <w:tcW w:w="698" w:type="dxa"/>
            <w:tcBorders>
              <w:top w:val="nil"/>
              <w:bottom w:val="single" w:sz="4" w:space="0" w:color="auto"/>
            </w:tcBorders>
            <w:noWrap/>
            <w:hideMark/>
          </w:tcPr>
          <w:p w14:paraId="49A30F12"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4.95</w:t>
            </w:r>
          </w:p>
        </w:tc>
        <w:tc>
          <w:tcPr>
            <w:tcW w:w="826" w:type="dxa"/>
            <w:tcBorders>
              <w:top w:val="nil"/>
              <w:bottom w:val="single" w:sz="4" w:space="0" w:color="auto"/>
            </w:tcBorders>
            <w:noWrap/>
            <w:hideMark/>
          </w:tcPr>
          <w:p w14:paraId="0F86097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0.15</w:t>
            </w:r>
          </w:p>
        </w:tc>
        <w:tc>
          <w:tcPr>
            <w:tcW w:w="909" w:type="dxa"/>
            <w:tcBorders>
              <w:top w:val="nil"/>
              <w:bottom w:val="single" w:sz="4" w:space="0" w:color="auto"/>
              <w:right w:val="single" w:sz="4" w:space="0" w:color="auto"/>
            </w:tcBorders>
            <w:noWrap/>
            <w:hideMark/>
          </w:tcPr>
          <w:p w14:paraId="24270C7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0.16</w:t>
            </w:r>
          </w:p>
        </w:tc>
        <w:tc>
          <w:tcPr>
            <w:tcW w:w="590" w:type="dxa"/>
            <w:tcBorders>
              <w:top w:val="nil"/>
              <w:left w:val="single" w:sz="4" w:space="0" w:color="auto"/>
              <w:bottom w:val="single" w:sz="4" w:space="0" w:color="auto"/>
            </w:tcBorders>
            <w:noWrap/>
            <w:hideMark/>
          </w:tcPr>
          <w:p w14:paraId="09158447"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0.19</w:t>
            </w:r>
          </w:p>
        </w:tc>
        <w:tc>
          <w:tcPr>
            <w:tcW w:w="712" w:type="dxa"/>
            <w:tcBorders>
              <w:top w:val="nil"/>
              <w:bottom w:val="single" w:sz="4" w:space="0" w:color="auto"/>
            </w:tcBorders>
            <w:noWrap/>
            <w:hideMark/>
          </w:tcPr>
          <w:p w14:paraId="19804BDF"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0.24</w:t>
            </w:r>
          </w:p>
        </w:tc>
        <w:tc>
          <w:tcPr>
            <w:tcW w:w="703" w:type="dxa"/>
            <w:tcBorders>
              <w:top w:val="nil"/>
              <w:bottom w:val="single" w:sz="4" w:space="0" w:color="auto"/>
            </w:tcBorders>
            <w:noWrap/>
            <w:hideMark/>
          </w:tcPr>
          <w:p w14:paraId="69EB66B4"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0.21</w:t>
            </w:r>
          </w:p>
        </w:tc>
        <w:tc>
          <w:tcPr>
            <w:tcW w:w="909" w:type="dxa"/>
            <w:tcBorders>
              <w:top w:val="nil"/>
              <w:bottom w:val="single" w:sz="4" w:space="0" w:color="auto"/>
            </w:tcBorders>
            <w:noWrap/>
            <w:hideMark/>
          </w:tcPr>
          <w:p w14:paraId="06CFE62E" w14:textId="77777777" w:rsidR="00B70CA8" w:rsidRPr="005E5F15" w:rsidRDefault="00B70CA8" w:rsidP="00B70CA8">
            <w:pPr>
              <w:spacing w:after="0" w:line="240" w:lineRule="auto"/>
              <w:jc w:val="both"/>
              <w:rPr>
                <w:rFonts w:ascii="Times New Roman" w:hAnsi="Times New Roman" w:cs="Times New Roman"/>
                <w:sz w:val="24"/>
                <w:szCs w:val="24"/>
              </w:rPr>
            </w:pPr>
            <w:r w:rsidRPr="005E5F15">
              <w:rPr>
                <w:rFonts w:ascii="Times New Roman" w:hAnsi="Times New Roman" w:cs="Times New Roman"/>
                <w:sz w:val="24"/>
                <w:szCs w:val="24"/>
              </w:rPr>
              <w:t>0.01</w:t>
            </w:r>
          </w:p>
        </w:tc>
      </w:tr>
    </w:tbl>
    <w:p w14:paraId="48813FFB" w14:textId="77777777" w:rsidR="000E30C9" w:rsidRPr="005E5F15" w:rsidRDefault="000E30C9" w:rsidP="000E30C9">
      <w:pPr>
        <w:jc w:val="both"/>
        <w:rPr>
          <w:rFonts w:ascii="Times New Roman" w:hAnsi="Times New Roman" w:cs="Times New Roman"/>
          <w:sz w:val="24"/>
          <w:szCs w:val="24"/>
        </w:rPr>
      </w:pPr>
    </w:p>
    <w:p w14:paraId="3CAD87B8" w14:textId="77777777" w:rsidR="00BA7BF1" w:rsidRDefault="00BA7BF1" w:rsidP="00705A16">
      <w:pPr>
        <w:spacing w:after="0"/>
        <w:jc w:val="both"/>
        <w:rPr>
          <w:rFonts w:ascii="Times New Roman" w:hAnsi="Times New Roman" w:cs="Times New Roman"/>
          <w:b/>
          <w:bCs/>
          <w:sz w:val="24"/>
          <w:szCs w:val="24"/>
          <w:lang w:val="en-US"/>
        </w:rPr>
      </w:pPr>
    </w:p>
    <w:p w14:paraId="21806736" w14:textId="45F97E4B" w:rsidR="0080783E" w:rsidRPr="005E5F15" w:rsidRDefault="00BB779E" w:rsidP="00705A16">
      <w:pPr>
        <w:spacing w:after="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80783E" w:rsidRPr="005E5F15">
        <w:rPr>
          <w:rFonts w:ascii="Times New Roman" w:hAnsi="Times New Roman" w:cs="Times New Roman"/>
          <w:b/>
          <w:bCs/>
          <w:sz w:val="24"/>
          <w:szCs w:val="24"/>
          <w:lang w:val="en-US"/>
        </w:rPr>
        <w:t>4.3 Hydrochemical Evolution and Process Interpretation</w:t>
      </w:r>
    </w:p>
    <w:p w14:paraId="016A43FC" w14:textId="35CD3143" w:rsidR="00D4010F"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The Durov diagram (Fig. </w:t>
      </w:r>
      <w:r w:rsidR="005E7903" w:rsidRPr="005E5F15">
        <w:rPr>
          <w:rFonts w:ascii="Times New Roman" w:hAnsi="Times New Roman" w:cs="Times New Roman"/>
          <w:sz w:val="24"/>
          <w:szCs w:val="24"/>
          <w:lang w:val="en-US"/>
        </w:rPr>
        <w:t>5</w:t>
      </w:r>
      <w:r w:rsidRPr="005E5F15">
        <w:rPr>
          <w:rFonts w:ascii="Times New Roman" w:hAnsi="Times New Roman" w:cs="Times New Roman"/>
          <w:sz w:val="24"/>
          <w:szCs w:val="24"/>
          <w:lang w:val="en-US"/>
        </w:rPr>
        <w:t>) and the</w:t>
      </w:r>
      <w:r w:rsidR="00E635BD">
        <w:rPr>
          <w:rFonts w:ascii="Times New Roman" w:hAnsi="Times New Roman" w:cs="Times New Roman"/>
          <w:sz w:val="24"/>
          <w:szCs w:val="24"/>
          <w:lang w:val="en-US"/>
        </w:rPr>
        <w:t xml:space="preserve"> facies</w:t>
      </w:r>
      <w:r w:rsidRPr="005E5F15">
        <w:rPr>
          <w:rFonts w:ascii="Times New Roman" w:hAnsi="Times New Roman" w:cs="Times New Roman"/>
          <w:sz w:val="24"/>
          <w:szCs w:val="24"/>
          <w:lang w:val="en-US"/>
        </w:rPr>
        <w:t xml:space="preserve"> summary (Table 2) further confirm the dominance of Na-HCO</w:t>
      </w:r>
      <w:r w:rsidRPr="005E5F15">
        <w:rPr>
          <w:rFonts w:ascii="Cambria Math" w:hAnsi="Cambria Math" w:cs="Cambria Math"/>
          <w:sz w:val="24"/>
          <w:szCs w:val="24"/>
          <w:lang w:val="en-US"/>
        </w:rPr>
        <w:t>₃</w:t>
      </w:r>
      <w:r w:rsidRPr="005E5F15">
        <w:rPr>
          <w:rFonts w:ascii="Times New Roman" w:hAnsi="Times New Roman" w:cs="Times New Roman"/>
          <w:sz w:val="24"/>
          <w:szCs w:val="24"/>
          <w:lang w:val="en-US"/>
        </w:rPr>
        <w:t xml:space="preserve"> water types, </w:t>
      </w:r>
      <w:r w:rsidR="00E635BD">
        <w:rPr>
          <w:rFonts w:ascii="Times New Roman" w:hAnsi="Times New Roman" w:cs="Times New Roman"/>
          <w:sz w:val="24"/>
          <w:szCs w:val="24"/>
          <w:lang w:val="en-US"/>
        </w:rPr>
        <w:t xml:space="preserve">particularly in quadrants associated </w:t>
      </w:r>
      <w:r w:rsidRPr="005E5F15">
        <w:rPr>
          <w:rFonts w:ascii="Times New Roman" w:hAnsi="Times New Roman" w:cs="Times New Roman"/>
          <w:sz w:val="24"/>
          <w:szCs w:val="24"/>
          <w:lang w:val="en-US"/>
        </w:rPr>
        <w:t xml:space="preserve">with </w:t>
      </w:r>
      <w:r w:rsidR="00E635BD">
        <w:rPr>
          <w:rFonts w:ascii="Times New Roman" w:hAnsi="Times New Roman" w:cs="Times New Roman"/>
          <w:sz w:val="24"/>
          <w:szCs w:val="24"/>
          <w:lang w:val="en-US"/>
        </w:rPr>
        <w:t>ion exchange</w:t>
      </w:r>
      <w:r w:rsidR="001519C9">
        <w:rPr>
          <w:rFonts w:ascii="Times New Roman" w:hAnsi="Times New Roman" w:cs="Times New Roman"/>
          <w:sz w:val="24"/>
          <w:szCs w:val="24"/>
          <w:lang w:val="en-US"/>
        </w:rPr>
        <w:t>,</w:t>
      </w:r>
      <w:r w:rsidRPr="005E5F15">
        <w:rPr>
          <w:rFonts w:ascii="Times New Roman" w:hAnsi="Times New Roman" w:cs="Times New Roman"/>
          <w:sz w:val="24"/>
          <w:szCs w:val="24"/>
          <w:lang w:val="en-US"/>
        </w:rPr>
        <w:t xml:space="preserve"> mixing </w:t>
      </w:r>
      <w:r w:rsidR="001519C9">
        <w:rPr>
          <w:rFonts w:ascii="Times New Roman" w:hAnsi="Times New Roman" w:cs="Times New Roman"/>
          <w:sz w:val="24"/>
          <w:szCs w:val="24"/>
          <w:lang w:val="en-US"/>
        </w:rPr>
        <w:t>trend</w:t>
      </w:r>
      <w:r w:rsidR="00E635BD">
        <w:rPr>
          <w:rFonts w:ascii="Times New Roman" w:hAnsi="Times New Roman" w:cs="Times New Roman"/>
          <w:sz w:val="24"/>
          <w:szCs w:val="24"/>
          <w:lang w:val="en-US"/>
        </w:rPr>
        <w:t>s</w:t>
      </w:r>
      <w:r w:rsidR="001519C9">
        <w:rPr>
          <w:rFonts w:ascii="Times New Roman" w:hAnsi="Times New Roman" w:cs="Times New Roman"/>
          <w:sz w:val="24"/>
          <w:szCs w:val="24"/>
          <w:lang w:val="en-US"/>
        </w:rPr>
        <w:t>, and progressive mineralization along flow paths</w:t>
      </w:r>
      <w:r w:rsidRPr="005E5F15">
        <w:rPr>
          <w:rFonts w:ascii="Times New Roman" w:hAnsi="Times New Roman" w:cs="Times New Roman"/>
          <w:sz w:val="24"/>
          <w:szCs w:val="24"/>
          <w:lang w:val="en-US"/>
        </w:rPr>
        <w:t>.</w:t>
      </w:r>
      <w:r w:rsidR="00E635BD">
        <w:rPr>
          <w:rFonts w:ascii="Times New Roman" w:hAnsi="Times New Roman" w:cs="Times New Roman"/>
          <w:sz w:val="24"/>
          <w:szCs w:val="24"/>
          <w:lang w:val="en-US"/>
        </w:rPr>
        <w:t xml:space="preserve"> Several samples plot in fields 5 and 9, indicating that cation exchange (e.g., Ca</w:t>
      </w:r>
      <w:r w:rsidR="00E635BD" w:rsidRPr="00E635BD">
        <w:rPr>
          <w:rFonts w:ascii="Times New Roman" w:hAnsi="Times New Roman" w:cs="Times New Roman"/>
          <w:sz w:val="24"/>
          <w:szCs w:val="24"/>
          <w:vertAlign w:val="superscript"/>
          <w:lang w:val="en-US"/>
        </w:rPr>
        <w:t>2+</w:t>
      </w:r>
      <w:r w:rsidR="00E635BD">
        <w:rPr>
          <w:rFonts w:ascii="Times New Roman" w:hAnsi="Times New Roman" w:cs="Times New Roman"/>
          <w:sz w:val="24"/>
          <w:szCs w:val="24"/>
          <w:lang w:val="en-US"/>
        </w:rPr>
        <w:t xml:space="preserve"> replaced by Na</w:t>
      </w:r>
      <w:r w:rsidR="00E635BD" w:rsidRPr="00E635BD">
        <w:rPr>
          <w:rFonts w:ascii="Times New Roman" w:hAnsi="Times New Roman" w:cs="Times New Roman"/>
          <w:sz w:val="24"/>
          <w:szCs w:val="24"/>
          <w:vertAlign w:val="superscript"/>
          <w:lang w:val="en-US"/>
        </w:rPr>
        <w:t>+</w:t>
      </w:r>
      <w:r w:rsidR="00E635BD">
        <w:rPr>
          <w:rFonts w:ascii="Times New Roman" w:hAnsi="Times New Roman" w:cs="Times New Roman"/>
          <w:sz w:val="24"/>
          <w:szCs w:val="24"/>
          <w:lang w:val="en-US"/>
        </w:rPr>
        <w:t xml:space="preserve"> from clays or feldspars) and anthropogenic mixing may be occurring along the groundwater flow paths. The presence</w:t>
      </w:r>
      <w:r w:rsidR="00D4010F">
        <w:rPr>
          <w:rFonts w:ascii="Times New Roman" w:hAnsi="Times New Roman" w:cs="Times New Roman"/>
          <w:sz w:val="24"/>
          <w:szCs w:val="24"/>
          <w:lang w:val="en-US"/>
        </w:rPr>
        <w:t xml:space="preserve"> of mixed facies highlights the influence of multiple geochemical processes, including recharge dilution, evaporation concentration, and sewage infiltration. </w:t>
      </w:r>
      <w:r w:rsidRPr="005E5F15">
        <w:rPr>
          <w:rFonts w:ascii="Times New Roman" w:hAnsi="Times New Roman" w:cs="Times New Roman"/>
          <w:sz w:val="24"/>
          <w:szCs w:val="24"/>
          <w:lang w:val="en-US"/>
        </w:rPr>
        <w:t xml:space="preserve"> </w:t>
      </w:r>
    </w:p>
    <w:p w14:paraId="7CDE73F8" w14:textId="215E8E48" w:rsidR="00C35B54"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The TDS distribution map (Fig. </w:t>
      </w:r>
      <w:r w:rsidR="000355E8" w:rsidRPr="005E5F15">
        <w:rPr>
          <w:rFonts w:ascii="Times New Roman" w:hAnsi="Times New Roman" w:cs="Times New Roman"/>
          <w:sz w:val="24"/>
          <w:szCs w:val="24"/>
          <w:lang w:val="en-US"/>
        </w:rPr>
        <w:t>6</w:t>
      </w:r>
      <w:r w:rsidRPr="005E5F15">
        <w:rPr>
          <w:rFonts w:ascii="Times New Roman" w:hAnsi="Times New Roman" w:cs="Times New Roman"/>
          <w:sz w:val="24"/>
          <w:szCs w:val="24"/>
          <w:lang w:val="en-US"/>
        </w:rPr>
        <w:t xml:space="preserve">) shows </w:t>
      </w:r>
      <w:r w:rsidR="001519C9">
        <w:rPr>
          <w:rFonts w:ascii="Times New Roman" w:hAnsi="Times New Roman" w:cs="Times New Roman"/>
          <w:sz w:val="24"/>
          <w:szCs w:val="24"/>
          <w:lang w:val="en-US"/>
        </w:rPr>
        <w:t>elevated salinity</w:t>
      </w:r>
      <w:r w:rsidR="00D4010F">
        <w:rPr>
          <w:rFonts w:ascii="Times New Roman" w:hAnsi="Times New Roman" w:cs="Times New Roman"/>
          <w:sz w:val="24"/>
          <w:szCs w:val="24"/>
          <w:lang w:val="en-US"/>
        </w:rPr>
        <w:t xml:space="preserve"> </w:t>
      </w:r>
      <w:r w:rsidR="00D36B2C">
        <w:rPr>
          <w:rFonts w:ascii="Times New Roman" w:hAnsi="Times New Roman" w:cs="Times New Roman"/>
          <w:sz w:val="24"/>
          <w:szCs w:val="24"/>
          <w:lang w:val="en-US"/>
        </w:rPr>
        <w:t xml:space="preserve">in densely populated and low-lying areas, </w:t>
      </w:r>
      <w:r w:rsidR="001519C9">
        <w:rPr>
          <w:rFonts w:ascii="Times New Roman" w:hAnsi="Times New Roman" w:cs="Times New Roman"/>
          <w:sz w:val="24"/>
          <w:szCs w:val="24"/>
          <w:lang w:val="en-US"/>
        </w:rPr>
        <w:t>indicat</w:t>
      </w:r>
      <w:r w:rsidR="00F41197">
        <w:rPr>
          <w:rFonts w:ascii="Times New Roman" w:hAnsi="Times New Roman" w:cs="Times New Roman"/>
          <w:sz w:val="24"/>
          <w:szCs w:val="24"/>
          <w:lang w:val="en-US"/>
        </w:rPr>
        <w:t>ing</w:t>
      </w:r>
      <w:r w:rsidR="001519C9">
        <w:rPr>
          <w:rFonts w:ascii="Times New Roman" w:hAnsi="Times New Roman" w:cs="Times New Roman"/>
          <w:sz w:val="24"/>
          <w:szCs w:val="24"/>
          <w:lang w:val="en-US"/>
        </w:rPr>
        <w:t xml:space="preserve"> </w:t>
      </w:r>
      <w:r w:rsidR="00D36B2C">
        <w:rPr>
          <w:rFonts w:ascii="Times New Roman" w:hAnsi="Times New Roman" w:cs="Times New Roman"/>
          <w:sz w:val="24"/>
          <w:szCs w:val="24"/>
          <w:lang w:val="en-US"/>
        </w:rPr>
        <w:t>intense</w:t>
      </w:r>
      <w:r w:rsidR="001519C9">
        <w:rPr>
          <w:rFonts w:ascii="Times New Roman" w:hAnsi="Times New Roman" w:cs="Times New Roman"/>
          <w:sz w:val="24"/>
          <w:szCs w:val="24"/>
          <w:lang w:val="en-US"/>
        </w:rPr>
        <w:t xml:space="preserve"> water-rock interaction,</w:t>
      </w:r>
      <w:r w:rsidR="00D36B2C">
        <w:rPr>
          <w:rFonts w:ascii="Times New Roman" w:hAnsi="Times New Roman" w:cs="Times New Roman"/>
          <w:sz w:val="24"/>
          <w:szCs w:val="24"/>
          <w:lang w:val="en-US"/>
        </w:rPr>
        <w:t xml:space="preserve"> land use, septic infiltration, and longer resident time, which promote greater mineral dissolution and contaminant accumulation. These zones are often associated with </w:t>
      </w:r>
      <w:r w:rsidR="00C35B54">
        <w:rPr>
          <w:rFonts w:ascii="Times New Roman" w:hAnsi="Times New Roman" w:cs="Times New Roman"/>
          <w:sz w:val="24"/>
          <w:szCs w:val="24"/>
          <w:lang w:val="en-US"/>
        </w:rPr>
        <w:t>shallow water tables, increasing vulnerability to surface contamination</w:t>
      </w:r>
      <w:r w:rsidR="001519C9">
        <w:rPr>
          <w:rFonts w:ascii="Times New Roman" w:hAnsi="Times New Roman" w:cs="Times New Roman"/>
          <w:sz w:val="24"/>
          <w:szCs w:val="24"/>
          <w:lang w:val="en-US"/>
        </w:rPr>
        <w:t xml:space="preserve">. These findings align with regional hydrogeochemical studies in southeastern Nigeria </w:t>
      </w:r>
      <w:r w:rsidR="00C35B54">
        <w:rPr>
          <w:rFonts w:ascii="Times New Roman" w:hAnsi="Times New Roman" w:cs="Times New Roman"/>
          <w:sz w:val="24"/>
          <w:szCs w:val="24"/>
          <w:lang w:val="en-US"/>
        </w:rPr>
        <w:t>(Ehirim et al., 20</w:t>
      </w:r>
      <w:r w:rsidR="002F636E">
        <w:rPr>
          <w:rFonts w:ascii="Times New Roman" w:hAnsi="Times New Roman" w:cs="Times New Roman"/>
          <w:sz w:val="24"/>
          <w:szCs w:val="24"/>
          <w:lang w:val="en-US"/>
        </w:rPr>
        <w:t>14</w:t>
      </w:r>
      <w:r w:rsidR="00C35B54">
        <w:rPr>
          <w:rFonts w:ascii="Times New Roman" w:hAnsi="Times New Roman" w:cs="Times New Roman"/>
          <w:sz w:val="24"/>
          <w:szCs w:val="24"/>
          <w:lang w:val="en-US"/>
        </w:rPr>
        <w:t>; Nwachukwu et al., 2020).</w:t>
      </w:r>
      <w:r w:rsidR="005E7903" w:rsidRPr="005E5F15">
        <w:rPr>
          <w:rFonts w:ascii="Times New Roman" w:hAnsi="Times New Roman" w:cs="Times New Roman"/>
          <w:sz w:val="24"/>
          <w:szCs w:val="24"/>
          <w:lang w:val="en-US"/>
        </w:rPr>
        <w:t xml:space="preserve"> </w:t>
      </w:r>
    </w:p>
    <w:p w14:paraId="56045317" w14:textId="43851CC6" w:rsidR="0080783E" w:rsidRDefault="0080783E" w:rsidP="0080783E">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Gibbs diagram (Fig. </w:t>
      </w:r>
      <w:r w:rsidR="000355E8" w:rsidRPr="005E5F15">
        <w:rPr>
          <w:rFonts w:ascii="Times New Roman" w:hAnsi="Times New Roman" w:cs="Times New Roman"/>
          <w:sz w:val="24"/>
          <w:szCs w:val="24"/>
          <w:lang w:val="en-US"/>
        </w:rPr>
        <w:t>7</w:t>
      </w:r>
      <w:r w:rsidRPr="005E5F15">
        <w:rPr>
          <w:rFonts w:ascii="Times New Roman" w:hAnsi="Times New Roman" w:cs="Times New Roman"/>
          <w:sz w:val="24"/>
          <w:szCs w:val="24"/>
          <w:lang w:val="en-US"/>
        </w:rPr>
        <w:t>)</w:t>
      </w:r>
      <w:r w:rsidR="001519C9">
        <w:rPr>
          <w:rFonts w:ascii="Times New Roman" w:hAnsi="Times New Roman" w:cs="Times New Roman"/>
          <w:sz w:val="24"/>
          <w:szCs w:val="24"/>
          <w:lang w:val="en-US"/>
        </w:rPr>
        <w:t xml:space="preserve"> </w:t>
      </w:r>
      <w:r w:rsidR="00A63DEF">
        <w:rPr>
          <w:rFonts w:ascii="Times New Roman" w:hAnsi="Times New Roman" w:cs="Times New Roman"/>
          <w:sz w:val="24"/>
          <w:szCs w:val="24"/>
          <w:lang w:val="en-US"/>
        </w:rPr>
        <w:t>showed that</w:t>
      </w:r>
      <w:r w:rsidRPr="005E5F15">
        <w:rPr>
          <w:rFonts w:ascii="Times New Roman" w:hAnsi="Times New Roman" w:cs="Times New Roman"/>
          <w:sz w:val="24"/>
          <w:szCs w:val="24"/>
          <w:lang w:val="en-US"/>
        </w:rPr>
        <w:t xml:space="preserve"> most</w:t>
      </w:r>
      <w:r w:rsidR="00C35B54">
        <w:rPr>
          <w:rFonts w:ascii="Times New Roman" w:hAnsi="Times New Roman" w:cs="Times New Roman"/>
          <w:sz w:val="24"/>
          <w:szCs w:val="24"/>
          <w:lang w:val="en-US"/>
        </w:rPr>
        <w:t xml:space="preserve"> </w:t>
      </w:r>
      <w:r w:rsidR="00A63DEF">
        <w:rPr>
          <w:rFonts w:ascii="Times New Roman" w:hAnsi="Times New Roman" w:cs="Times New Roman"/>
          <w:sz w:val="24"/>
          <w:szCs w:val="24"/>
          <w:lang w:val="en-US"/>
        </w:rPr>
        <w:t>samples</w:t>
      </w:r>
      <w:r w:rsidR="00C35B54">
        <w:rPr>
          <w:rFonts w:ascii="Times New Roman" w:hAnsi="Times New Roman" w:cs="Times New Roman"/>
          <w:sz w:val="24"/>
          <w:szCs w:val="24"/>
          <w:lang w:val="en-US"/>
        </w:rPr>
        <w:t xml:space="preserve"> fall within the </w:t>
      </w:r>
      <w:r w:rsidRPr="005E5F15">
        <w:rPr>
          <w:rFonts w:ascii="Times New Roman" w:hAnsi="Times New Roman" w:cs="Times New Roman"/>
          <w:sz w:val="24"/>
          <w:szCs w:val="24"/>
          <w:lang w:val="en-US"/>
        </w:rPr>
        <w:t xml:space="preserve">rock dominance field, </w:t>
      </w:r>
      <w:r w:rsidR="00C35B54">
        <w:rPr>
          <w:rFonts w:ascii="Times New Roman" w:hAnsi="Times New Roman" w:cs="Times New Roman"/>
          <w:sz w:val="24"/>
          <w:szCs w:val="24"/>
          <w:lang w:val="en-US"/>
        </w:rPr>
        <w:t>confirm</w:t>
      </w:r>
      <w:r w:rsidRPr="005E5F15">
        <w:rPr>
          <w:rFonts w:ascii="Times New Roman" w:hAnsi="Times New Roman" w:cs="Times New Roman"/>
          <w:sz w:val="24"/>
          <w:szCs w:val="24"/>
          <w:lang w:val="en-US"/>
        </w:rPr>
        <w:t xml:space="preserve">ing that </w:t>
      </w:r>
      <w:r w:rsidR="00A63DEF">
        <w:rPr>
          <w:rFonts w:ascii="Times New Roman" w:hAnsi="Times New Roman" w:cs="Times New Roman"/>
          <w:sz w:val="24"/>
          <w:szCs w:val="24"/>
          <w:lang w:val="en-US"/>
        </w:rPr>
        <w:t xml:space="preserve">rock-water interaction </w:t>
      </w:r>
      <w:r w:rsidR="00C35B54">
        <w:rPr>
          <w:rFonts w:ascii="Times New Roman" w:hAnsi="Times New Roman" w:cs="Times New Roman"/>
          <w:sz w:val="24"/>
          <w:szCs w:val="24"/>
          <w:lang w:val="en-US"/>
        </w:rPr>
        <w:t xml:space="preserve">is the </w:t>
      </w:r>
      <w:r w:rsidR="00A63DEF">
        <w:rPr>
          <w:rFonts w:ascii="Times New Roman" w:hAnsi="Times New Roman" w:cs="Times New Roman"/>
          <w:sz w:val="24"/>
          <w:szCs w:val="24"/>
          <w:lang w:val="en-US"/>
        </w:rPr>
        <w:t>major geochemical process controlling</w:t>
      </w:r>
      <w:r w:rsidR="00C35B54">
        <w:rPr>
          <w:rFonts w:ascii="Times New Roman" w:hAnsi="Times New Roman" w:cs="Times New Roman"/>
          <w:sz w:val="24"/>
          <w:szCs w:val="24"/>
          <w:lang w:val="en-US"/>
        </w:rPr>
        <w:t xml:space="preserve"> the groundwater chemistry</w:t>
      </w:r>
      <w:r w:rsidR="00A63DEF">
        <w:rPr>
          <w:rFonts w:ascii="Times New Roman" w:hAnsi="Times New Roman" w:cs="Times New Roman"/>
          <w:sz w:val="24"/>
          <w:szCs w:val="24"/>
          <w:lang w:val="en-US"/>
        </w:rPr>
        <w:t xml:space="preserve"> in the study area</w:t>
      </w:r>
      <w:r w:rsidR="00F41197">
        <w:rPr>
          <w:rFonts w:ascii="Times New Roman" w:hAnsi="Times New Roman" w:cs="Times New Roman"/>
          <w:sz w:val="24"/>
          <w:szCs w:val="24"/>
          <w:lang w:val="en-US"/>
        </w:rPr>
        <w:t>,</w:t>
      </w:r>
      <w:r w:rsidR="00A63DEF">
        <w:rPr>
          <w:rFonts w:ascii="Times New Roman" w:hAnsi="Times New Roman" w:cs="Times New Roman"/>
          <w:sz w:val="24"/>
          <w:szCs w:val="24"/>
          <w:lang w:val="en-US"/>
        </w:rPr>
        <w:t xml:space="preserve"> with minor contributions from precipitation and evaporation</w:t>
      </w:r>
      <w:r w:rsidR="00C35B54">
        <w:rPr>
          <w:rFonts w:ascii="Times New Roman" w:hAnsi="Times New Roman" w:cs="Times New Roman"/>
          <w:sz w:val="24"/>
          <w:szCs w:val="24"/>
          <w:lang w:val="en-US"/>
        </w:rPr>
        <w:t xml:space="preserve">. </w:t>
      </w:r>
      <w:r w:rsidR="00A9130D">
        <w:rPr>
          <w:rFonts w:ascii="Times New Roman" w:hAnsi="Times New Roman" w:cs="Times New Roman"/>
          <w:sz w:val="24"/>
          <w:szCs w:val="24"/>
          <w:lang w:val="en-US"/>
        </w:rPr>
        <w:t>This pattern aligns wi</w:t>
      </w:r>
      <w:r w:rsidR="00A63DEF">
        <w:rPr>
          <w:rFonts w:ascii="Times New Roman" w:hAnsi="Times New Roman" w:cs="Times New Roman"/>
          <w:sz w:val="24"/>
          <w:szCs w:val="24"/>
          <w:lang w:val="en-US"/>
        </w:rPr>
        <w:t>th</w:t>
      </w:r>
      <w:r w:rsidR="00A9130D">
        <w:rPr>
          <w:rFonts w:ascii="Times New Roman" w:hAnsi="Times New Roman" w:cs="Times New Roman"/>
          <w:sz w:val="24"/>
          <w:szCs w:val="24"/>
          <w:lang w:val="en-US"/>
        </w:rPr>
        <w:t xml:space="preserve"> previous findings in humid tropical environments, where high infiltration and mineral dissolution dominate over evaporation processes </w:t>
      </w:r>
      <w:r w:rsidR="00693C91" w:rsidRPr="005E5F15">
        <w:rPr>
          <w:rFonts w:ascii="Times New Roman" w:hAnsi="Times New Roman" w:cs="Times New Roman"/>
          <w:sz w:val="24"/>
          <w:szCs w:val="24"/>
        </w:rPr>
        <w:t>(Gibbs, 1970</w:t>
      </w:r>
      <w:r w:rsidR="00A9130D">
        <w:rPr>
          <w:rFonts w:ascii="Times New Roman" w:hAnsi="Times New Roman" w:cs="Times New Roman"/>
          <w:sz w:val="24"/>
          <w:szCs w:val="24"/>
        </w:rPr>
        <w:t xml:space="preserve">, </w:t>
      </w:r>
      <w:r w:rsidR="002F636E">
        <w:rPr>
          <w:rFonts w:ascii="Times New Roman" w:hAnsi="Times New Roman" w:cs="Times New Roman"/>
          <w:sz w:val="24"/>
          <w:szCs w:val="24"/>
        </w:rPr>
        <w:t>Kum</w:t>
      </w:r>
      <w:r w:rsidR="00A9130D">
        <w:rPr>
          <w:rFonts w:ascii="Times New Roman" w:hAnsi="Times New Roman" w:cs="Times New Roman"/>
          <w:sz w:val="24"/>
          <w:szCs w:val="24"/>
        </w:rPr>
        <w:t>ari and Rai, 2020</w:t>
      </w:r>
      <w:r w:rsidR="00A63DEF">
        <w:rPr>
          <w:rFonts w:ascii="Times New Roman" w:hAnsi="Times New Roman" w:cs="Times New Roman"/>
          <w:sz w:val="24"/>
          <w:szCs w:val="24"/>
        </w:rPr>
        <w:t xml:space="preserve">; Onu </w:t>
      </w:r>
      <w:r w:rsidR="00A63DEF" w:rsidRPr="00A63DEF">
        <w:rPr>
          <w:rFonts w:ascii="Times New Roman" w:hAnsi="Times New Roman" w:cs="Times New Roman"/>
          <w:i/>
          <w:sz w:val="24"/>
          <w:szCs w:val="24"/>
        </w:rPr>
        <w:t>et al.</w:t>
      </w:r>
      <w:r w:rsidR="00A63DEF">
        <w:rPr>
          <w:rFonts w:ascii="Times New Roman" w:hAnsi="Times New Roman" w:cs="Times New Roman"/>
          <w:sz w:val="24"/>
          <w:szCs w:val="24"/>
        </w:rPr>
        <w:t>, 2024</w:t>
      </w:r>
      <w:r w:rsidR="00A9130D">
        <w:rPr>
          <w:rFonts w:ascii="Times New Roman" w:hAnsi="Times New Roman" w:cs="Times New Roman"/>
          <w:sz w:val="24"/>
          <w:szCs w:val="24"/>
        </w:rPr>
        <w:t>)</w:t>
      </w:r>
      <w:r w:rsidRPr="005E5F15">
        <w:rPr>
          <w:rFonts w:ascii="Times New Roman" w:hAnsi="Times New Roman" w:cs="Times New Roman"/>
          <w:sz w:val="24"/>
          <w:szCs w:val="24"/>
          <w:lang w:val="en-US"/>
        </w:rPr>
        <w:t>.</w:t>
      </w:r>
    </w:p>
    <w:p w14:paraId="2BA596A3" w14:textId="1A19A44A" w:rsidR="00C35B54" w:rsidRDefault="00C35B54" w:rsidP="0080783E">
      <w:pPr>
        <w:jc w:val="both"/>
        <w:rPr>
          <w:rFonts w:ascii="Times New Roman" w:hAnsi="Times New Roman" w:cs="Times New Roman"/>
          <w:sz w:val="24"/>
          <w:szCs w:val="24"/>
          <w:lang w:val="en-US"/>
        </w:rPr>
      </w:pPr>
    </w:p>
    <w:p w14:paraId="68B740CD" w14:textId="77777777" w:rsidR="00C35B54" w:rsidRPr="005E5F15" w:rsidRDefault="00C35B54" w:rsidP="00C35B54">
      <w:pPr>
        <w:jc w:val="both"/>
        <w:rPr>
          <w:rFonts w:ascii="Times New Roman" w:hAnsi="Times New Roman" w:cs="Times New Roman"/>
          <w:sz w:val="24"/>
          <w:szCs w:val="24"/>
        </w:rPr>
      </w:pPr>
    </w:p>
    <w:p w14:paraId="64C06939" w14:textId="77777777" w:rsidR="00C35B54" w:rsidRPr="005E5F15" w:rsidRDefault="00C35B54" w:rsidP="0080783E">
      <w:pPr>
        <w:jc w:val="both"/>
        <w:rPr>
          <w:rFonts w:ascii="Times New Roman" w:hAnsi="Times New Roman" w:cs="Times New Roman"/>
          <w:sz w:val="24"/>
          <w:szCs w:val="24"/>
          <w:lang w:val="en-US"/>
        </w:rPr>
      </w:pPr>
    </w:p>
    <w:p w14:paraId="7EF47657" w14:textId="5E60FEC6" w:rsidR="005E7903" w:rsidRDefault="005E7903" w:rsidP="0080783E">
      <w:pPr>
        <w:jc w:val="both"/>
        <w:rPr>
          <w:rFonts w:ascii="Times New Roman" w:hAnsi="Times New Roman" w:cs="Times New Roman"/>
          <w:sz w:val="24"/>
          <w:szCs w:val="24"/>
        </w:rPr>
      </w:pPr>
      <w:bookmarkStart w:id="7" w:name="_Hlk200303482"/>
      <w:r w:rsidRPr="005E5F15">
        <w:rPr>
          <w:rFonts w:ascii="Times New Roman" w:hAnsi="Times New Roman" w:cs="Times New Roman"/>
          <w:noProof/>
          <w:sz w:val="24"/>
          <w:szCs w:val="24"/>
        </w:rPr>
        <w:lastRenderedPageBreak/>
        <w:drawing>
          <wp:inline distT="0" distB="0" distL="0" distR="0" wp14:anchorId="1370C5E7" wp14:editId="6864F978">
            <wp:extent cx="5943600" cy="2834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lum bright="-40000" contrast="40000"/>
                      <a:extLst>
                        <a:ext uri="{28A0092B-C50C-407E-A947-70E740481C1C}">
                          <a14:useLocalDpi xmlns:a14="http://schemas.microsoft.com/office/drawing/2010/main" val="0"/>
                        </a:ext>
                      </a:extLst>
                    </a:blip>
                    <a:srcRect t="9861" b="8967"/>
                    <a:stretch/>
                  </pic:blipFill>
                  <pic:spPr bwMode="auto">
                    <a:xfrm>
                      <a:off x="0" y="0"/>
                      <a:ext cx="5943600" cy="2834360"/>
                    </a:xfrm>
                    <a:prstGeom prst="rect">
                      <a:avLst/>
                    </a:prstGeom>
                    <a:noFill/>
                    <a:ln>
                      <a:noFill/>
                    </a:ln>
                    <a:extLst>
                      <a:ext uri="{53640926-AAD7-44D8-BBD7-CCE9431645EC}">
                        <a14:shadowObscured xmlns:a14="http://schemas.microsoft.com/office/drawing/2010/main"/>
                      </a:ext>
                    </a:extLst>
                  </pic:spPr>
                </pic:pic>
              </a:graphicData>
            </a:graphic>
          </wp:inline>
        </w:drawing>
      </w:r>
      <w:r w:rsidRPr="005E5F15">
        <w:rPr>
          <w:rFonts w:ascii="Times New Roman" w:hAnsi="Times New Roman" w:cs="Times New Roman"/>
          <w:sz w:val="24"/>
          <w:szCs w:val="24"/>
        </w:rPr>
        <w:t xml:space="preserve"> Fig. </w:t>
      </w:r>
      <w:r w:rsidR="000355E8" w:rsidRPr="005E5F15">
        <w:rPr>
          <w:rFonts w:ascii="Times New Roman" w:hAnsi="Times New Roman" w:cs="Times New Roman"/>
          <w:sz w:val="24"/>
          <w:szCs w:val="24"/>
        </w:rPr>
        <w:t>5</w:t>
      </w:r>
      <w:r w:rsidRPr="005E5F15">
        <w:rPr>
          <w:rFonts w:ascii="Times New Roman" w:hAnsi="Times New Roman" w:cs="Times New Roman"/>
          <w:sz w:val="24"/>
          <w:szCs w:val="24"/>
        </w:rPr>
        <w:t xml:space="preserve">. Durov plot depicting hydrochemical processes involved in the groundwater evolution (after Lloyd and Heathcoat, 1985; </w:t>
      </w:r>
      <w:proofErr w:type="spellStart"/>
      <w:r w:rsidRPr="005E5F15">
        <w:rPr>
          <w:rFonts w:ascii="Times New Roman" w:hAnsi="Times New Roman" w:cs="Times New Roman"/>
          <w:sz w:val="24"/>
          <w:szCs w:val="24"/>
        </w:rPr>
        <w:t>Hussien</w:t>
      </w:r>
      <w:proofErr w:type="spellEnd"/>
      <w:r w:rsidRPr="005E5F15">
        <w:rPr>
          <w:rFonts w:ascii="Times New Roman" w:hAnsi="Times New Roman" w:cs="Times New Roman"/>
          <w:sz w:val="24"/>
          <w:szCs w:val="24"/>
        </w:rPr>
        <w:t xml:space="preserve"> and </w:t>
      </w:r>
      <w:proofErr w:type="spellStart"/>
      <w:r w:rsidRPr="005E5F15">
        <w:rPr>
          <w:rFonts w:ascii="Times New Roman" w:hAnsi="Times New Roman" w:cs="Times New Roman"/>
          <w:sz w:val="24"/>
          <w:szCs w:val="24"/>
        </w:rPr>
        <w:t>Faiyad</w:t>
      </w:r>
      <w:proofErr w:type="spellEnd"/>
      <w:r w:rsidRPr="005E5F15">
        <w:rPr>
          <w:rFonts w:ascii="Times New Roman" w:hAnsi="Times New Roman" w:cs="Times New Roman"/>
          <w:sz w:val="24"/>
          <w:szCs w:val="24"/>
        </w:rPr>
        <w:t>, 2016).</w:t>
      </w:r>
    </w:p>
    <w:bookmarkEnd w:id="7"/>
    <w:p w14:paraId="036CD169" w14:textId="77777777" w:rsidR="00705A16" w:rsidRPr="005E5F15" w:rsidRDefault="00705A16" w:rsidP="007B7D8C">
      <w:pPr>
        <w:spacing w:after="0"/>
        <w:jc w:val="both"/>
        <w:rPr>
          <w:rFonts w:ascii="Times New Roman" w:hAnsi="Times New Roman" w:cs="Times New Roman"/>
          <w:sz w:val="24"/>
          <w:szCs w:val="24"/>
        </w:rPr>
      </w:pPr>
      <w:r w:rsidRPr="005E5F15">
        <w:rPr>
          <w:rFonts w:ascii="Times New Roman" w:hAnsi="Times New Roman" w:cs="Times New Roman"/>
          <w:noProof/>
          <w:sz w:val="24"/>
          <w:szCs w:val="24"/>
        </w:rPr>
        <w:drawing>
          <wp:inline distT="0" distB="0" distL="0" distR="0" wp14:anchorId="04C36689" wp14:editId="5741457F">
            <wp:extent cx="6216294" cy="3179135"/>
            <wp:effectExtent l="19050" t="1905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6219796" cy="3180926"/>
                    </a:xfrm>
                    <a:prstGeom prst="rect">
                      <a:avLst/>
                    </a:prstGeom>
                    <a:noFill/>
                    <a:ln>
                      <a:solidFill>
                        <a:schemeClr val="tx1"/>
                      </a:solidFill>
                    </a:ln>
                  </pic:spPr>
                </pic:pic>
              </a:graphicData>
            </a:graphic>
          </wp:inline>
        </w:drawing>
      </w:r>
    </w:p>
    <w:p w14:paraId="00AA488B" w14:textId="34DEFE23" w:rsidR="00705A16" w:rsidRDefault="000355E8" w:rsidP="0080783E">
      <w:pPr>
        <w:jc w:val="both"/>
        <w:rPr>
          <w:rFonts w:ascii="Times New Roman" w:hAnsi="Times New Roman" w:cs="Times New Roman"/>
          <w:sz w:val="24"/>
          <w:szCs w:val="24"/>
        </w:rPr>
      </w:pPr>
      <w:r w:rsidRPr="005E5F15">
        <w:rPr>
          <w:rFonts w:ascii="Times New Roman" w:hAnsi="Times New Roman" w:cs="Times New Roman"/>
          <w:sz w:val="24"/>
          <w:szCs w:val="24"/>
        </w:rPr>
        <w:t xml:space="preserve">Fig. 6. </w:t>
      </w:r>
      <w:r w:rsidR="00705A16" w:rsidRPr="005E5F15">
        <w:rPr>
          <w:rFonts w:ascii="Times New Roman" w:hAnsi="Times New Roman" w:cs="Times New Roman"/>
          <w:sz w:val="24"/>
          <w:szCs w:val="24"/>
        </w:rPr>
        <w:t>TDS distribution map of study area: (A) Rainy season; (B) Dry season</w:t>
      </w:r>
    </w:p>
    <w:p w14:paraId="69C8453A" w14:textId="4314AAF8" w:rsidR="00A63DEF" w:rsidRDefault="00A63DEF" w:rsidP="0080783E">
      <w:pPr>
        <w:jc w:val="both"/>
        <w:rPr>
          <w:rFonts w:ascii="Times New Roman" w:hAnsi="Times New Roman" w:cs="Times New Roman"/>
          <w:sz w:val="24"/>
          <w:szCs w:val="24"/>
        </w:rPr>
      </w:pPr>
    </w:p>
    <w:p w14:paraId="0AEFD153" w14:textId="2D3E1FD7" w:rsidR="00A63DEF" w:rsidRDefault="00A63DEF" w:rsidP="0080783E">
      <w:pPr>
        <w:jc w:val="both"/>
        <w:rPr>
          <w:rFonts w:ascii="Times New Roman" w:hAnsi="Times New Roman" w:cs="Times New Roman"/>
          <w:sz w:val="24"/>
          <w:szCs w:val="24"/>
        </w:rPr>
      </w:pPr>
    </w:p>
    <w:p w14:paraId="435847E8" w14:textId="2CCB7017" w:rsidR="00A63DEF" w:rsidRDefault="00A63DEF" w:rsidP="0080783E">
      <w:pPr>
        <w:jc w:val="both"/>
        <w:rPr>
          <w:rFonts w:ascii="Times New Roman" w:hAnsi="Times New Roman" w:cs="Times New Roman"/>
          <w:sz w:val="24"/>
          <w:szCs w:val="24"/>
        </w:rPr>
      </w:pPr>
    </w:p>
    <w:p w14:paraId="1397EFE9" w14:textId="77777777" w:rsidR="00A63DEF" w:rsidRPr="005E5F15" w:rsidRDefault="00A63DEF" w:rsidP="0080783E">
      <w:pPr>
        <w:jc w:val="both"/>
        <w:rPr>
          <w:rFonts w:ascii="Times New Roman" w:hAnsi="Times New Roman" w:cs="Times New Roman"/>
          <w:sz w:val="24"/>
          <w:szCs w:val="24"/>
        </w:rPr>
      </w:pPr>
    </w:p>
    <w:p w14:paraId="1FADB418" w14:textId="77777777" w:rsidR="007B7D8C" w:rsidRPr="005E5F15" w:rsidRDefault="007B7D8C" w:rsidP="0080783E">
      <w:pPr>
        <w:jc w:val="both"/>
        <w:rPr>
          <w:rFonts w:ascii="Times New Roman" w:hAnsi="Times New Roman" w:cs="Times New Roman"/>
          <w:sz w:val="24"/>
          <w:szCs w:val="24"/>
        </w:rPr>
      </w:pPr>
    </w:p>
    <w:p w14:paraId="65E2CE04" w14:textId="77777777" w:rsidR="000355E8" w:rsidRPr="005E5F15" w:rsidRDefault="000355E8" w:rsidP="000355E8">
      <w:pPr>
        <w:spacing w:after="0" w:line="240" w:lineRule="auto"/>
        <w:jc w:val="both"/>
        <w:rPr>
          <w:rFonts w:ascii="Times New Roman" w:hAnsi="Times New Roman" w:cs="Times New Roman"/>
          <w:bCs/>
          <w:sz w:val="24"/>
          <w:szCs w:val="24"/>
        </w:rPr>
      </w:pPr>
      <w:bookmarkStart w:id="8" w:name="_Toc155951058"/>
      <w:bookmarkStart w:id="9" w:name="_Toc158758110"/>
      <w:bookmarkStart w:id="10" w:name="_Toc168468106"/>
      <w:r w:rsidRPr="005E5F15">
        <w:rPr>
          <w:rFonts w:ascii="Times New Roman" w:hAnsi="Times New Roman" w:cs="Times New Roman"/>
          <w:sz w:val="24"/>
          <w:szCs w:val="24"/>
        </w:rPr>
        <w:lastRenderedPageBreak/>
        <w:t xml:space="preserve">Table </w:t>
      </w:r>
      <w:r w:rsidR="00A81ACF" w:rsidRPr="005E5F15">
        <w:rPr>
          <w:rFonts w:ascii="Times New Roman" w:hAnsi="Times New Roman" w:cs="Times New Roman"/>
          <w:sz w:val="24"/>
          <w:szCs w:val="24"/>
        </w:rPr>
        <w:t>2</w:t>
      </w:r>
      <w:r w:rsidRPr="005E5F15">
        <w:rPr>
          <w:rFonts w:ascii="Times New Roman" w:hAnsi="Times New Roman" w:cs="Times New Roman"/>
          <w:sz w:val="24"/>
          <w:szCs w:val="24"/>
        </w:rPr>
        <w:t xml:space="preserve">: Groundwater </w:t>
      </w:r>
      <w:r w:rsidRPr="005E5F15">
        <w:rPr>
          <w:rFonts w:ascii="Times New Roman" w:hAnsi="Times New Roman" w:cs="Times New Roman"/>
          <w:bCs/>
          <w:sz w:val="24"/>
          <w:szCs w:val="24"/>
        </w:rPr>
        <w:t>classification chart based on Durov diagram (Lloyd and Heathcoat, 1985)</w:t>
      </w:r>
      <w:bookmarkEnd w:id="8"/>
      <w:bookmarkEnd w:id="9"/>
      <w:bookmarkEnd w:id="10"/>
    </w:p>
    <w:tbl>
      <w:tblPr>
        <w:tblStyle w:val="TableGrid"/>
        <w:tblpPr w:leftFromText="180" w:rightFromText="180" w:vertAnchor="text" w:horzAnchor="margin" w:tblpY="128"/>
        <w:tblW w:w="9560" w:type="dxa"/>
        <w:tblLook w:val="04A0" w:firstRow="1" w:lastRow="0" w:firstColumn="1" w:lastColumn="0" w:noHBand="0" w:noVBand="1"/>
      </w:tblPr>
      <w:tblGrid>
        <w:gridCol w:w="570"/>
        <w:gridCol w:w="5924"/>
        <w:gridCol w:w="1030"/>
        <w:gridCol w:w="636"/>
        <w:gridCol w:w="1030"/>
        <w:gridCol w:w="636"/>
      </w:tblGrid>
      <w:tr w:rsidR="00A81ACF" w:rsidRPr="005E5F15" w14:paraId="705C4D0E" w14:textId="77777777" w:rsidTr="00A81ACF">
        <w:trPr>
          <w:trHeight w:val="192"/>
        </w:trPr>
        <w:tc>
          <w:tcPr>
            <w:tcW w:w="560" w:type="dxa"/>
            <w:noWrap/>
          </w:tcPr>
          <w:p w14:paraId="490657DE"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S/</w:t>
            </w:r>
          </w:p>
          <w:p w14:paraId="1365AABB"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No.</w:t>
            </w:r>
          </w:p>
        </w:tc>
        <w:tc>
          <w:tcPr>
            <w:tcW w:w="5924" w:type="dxa"/>
            <w:noWrap/>
          </w:tcPr>
          <w:p w14:paraId="3E537B8F"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Water Types</w:t>
            </w:r>
          </w:p>
        </w:tc>
        <w:tc>
          <w:tcPr>
            <w:tcW w:w="1544" w:type="dxa"/>
            <w:gridSpan w:val="2"/>
          </w:tcPr>
          <w:p w14:paraId="23B7FC8F"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Rainy Season</w:t>
            </w:r>
          </w:p>
        </w:tc>
        <w:tc>
          <w:tcPr>
            <w:tcW w:w="1532" w:type="dxa"/>
            <w:gridSpan w:val="2"/>
          </w:tcPr>
          <w:p w14:paraId="6460CB18"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Dry Season</w:t>
            </w:r>
          </w:p>
        </w:tc>
      </w:tr>
      <w:tr w:rsidR="00A81ACF" w:rsidRPr="005E5F15" w14:paraId="172A88D3" w14:textId="77777777" w:rsidTr="00A81ACF">
        <w:trPr>
          <w:trHeight w:val="160"/>
        </w:trPr>
        <w:tc>
          <w:tcPr>
            <w:tcW w:w="560" w:type="dxa"/>
            <w:noWrap/>
          </w:tcPr>
          <w:p w14:paraId="2004FD29" w14:textId="77777777" w:rsidR="00A81ACF" w:rsidRPr="005E5F15" w:rsidRDefault="00A81ACF" w:rsidP="00A81ACF">
            <w:pPr>
              <w:jc w:val="both"/>
              <w:rPr>
                <w:rFonts w:ascii="Times New Roman" w:hAnsi="Times New Roman" w:cs="Times New Roman"/>
                <w:b/>
                <w:sz w:val="24"/>
                <w:szCs w:val="24"/>
              </w:rPr>
            </w:pPr>
          </w:p>
        </w:tc>
        <w:tc>
          <w:tcPr>
            <w:tcW w:w="5924" w:type="dxa"/>
            <w:noWrap/>
          </w:tcPr>
          <w:p w14:paraId="7A70D719" w14:textId="77777777" w:rsidR="00A81ACF" w:rsidRPr="005E5F15" w:rsidRDefault="00A81ACF" w:rsidP="00A81ACF">
            <w:pPr>
              <w:jc w:val="both"/>
              <w:rPr>
                <w:rFonts w:ascii="Times New Roman" w:hAnsi="Times New Roman" w:cs="Times New Roman"/>
                <w:b/>
                <w:sz w:val="24"/>
                <w:szCs w:val="24"/>
              </w:rPr>
            </w:pPr>
          </w:p>
        </w:tc>
        <w:tc>
          <w:tcPr>
            <w:tcW w:w="946" w:type="dxa"/>
            <w:hideMark/>
          </w:tcPr>
          <w:p w14:paraId="55F8C5AE"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No. of samples</w:t>
            </w:r>
          </w:p>
        </w:tc>
        <w:tc>
          <w:tcPr>
            <w:tcW w:w="597" w:type="dxa"/>
            <w:hideMark/>
          </w:tcPr>
          <w:p w14:paraId="43C477C2"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w:t>
            </w:r>
          </w:p>
        </w:tc>
        <w:tc>
          <w:tcPr>
            <w:tcW w:w="935" w:type="dxa"/>
          </w:tcPr>
          <w:p w14:paraId="63331542"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No. of samples</w:t>
            </w:r>
          </w:p>
        </w:tc>
        <w:tc>
          <w:tcPr>
            <w:tcW w:w="597" w:type="dxa"/>
          </w:tcPr>
          <w:p w14:paraId="39C35F44" w14:textId="77777777" w:rsidR="00A81ACF" w:rsidRPr="005E5F15" w:rsidRDefault="00A81ACF" w:rsidP="00A81ACF">
            <w:pPr>
              <w:jc w:val="both"/>
              <w:rPr>
                <w:rFonts w:ascii="Times New Roman" w:hAnsi="Times New Roman" w:cs="Times New Roman"/>
                <w:b/>
                <w:sz w:val="24"/>
                <w:szCs w:val="24"/>
              </w:rPr>
            </w:pPr>
            <w:r w:rsidRPr="005E5F15">
              <w:rPr>
                <w:rFonts w:ascii="Times New Roman" w:hAnsi="Times New Roman" w:cs="Times New Roman"/>
                <w:b/>
                <w:sz w:val="24"/>
                <w:szCs w:val="24"/>
              </w:rPr>
              <w:t>%</w:t>
            </w:r>
          </w:p>
        </w:tc>
      </w:tr>
      <w:tr w:rsidR="00A81ACF" w:rsidRPr="005E5F15" w14:paraId="71C020A6" w14:textId="77777777" w:rsidTr="00A81ACF">
        <w:trPr>
          <w:trHeight w:val="214"/>
        </w:trPr>
        <w:tc>
          <w:tcPr>
            <w:tcW w:w="560" w:type="dxa"/>
            <w:hideMark/>
          </w:tcPr>
          <w:p w14:paraId="55CFC75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w:t>
            </w:r>
          </w:p>
        </w:tc>
        <w:tc>
          <w:tcPr>
            <w:tcW w:w="5924" w:type="dxa"/>
            <w:hideMark/>
          </w:tcPr>
          <w:p w14:paraId="1F1E3EE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Ca–HCO</w:t>
            </w:r>
            <w:r w:rsidRPr="005E5F15">
              <w:rPr>
                <w:rFonts w:ascii="Cambria Math" w:hAnsi="Cambria Math" w:cs="Cambria Math"/>
                <w:sz w:val="24"/>
                <w:szCs w:val="24"/>
              </w:rPr>
              <w:t>₃</w:t>
            </w:r>
            <w:r w:rsidRPr="005E5F15">
              <w:rPr>
                <w:rFonts w:ascii="Times New Roman" w:hAnsi="Times New Roman" w:cs="Times New Roman"/>
                <w:sz w:val="24"/>
                <w:szCs w:val="24"/>
              </w:rPr>
              <w:t>; typical of recharge in limestone/sandstone aquifers</w:t>
            </w:r>
          </w:p>
        </w:tc>
        <w:tc>
          <w:tcPr>
            <w:tcW w:w="946" w:type="dxa"/>
            <w:hideMark/>
          </w:tcPr>
          <w:p w14:paraId="665FDA8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hideMark/>
          </w:tcPr>
          <w:p w14:paraId="064FC9EF"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935" w:type="dxa"/>
          </w:tcPr>
          <w:p w14:paraId="3E029B95"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05178118"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r>
      <w:tr w:rsidR="00A81ACF" w:rsidRPr="005E5F15" w14:paraId="300FD2A5" w14:textId="77777777" w:rsidTr="00A81ACF">
        <w:trPr>
          <w:trHeight w:val="403"/>
        </w:trPr>
        <w:tc>
          <w:tcPr>
            <w:tcW w:w="560" w:type="dxa"/>
            <w:hideMark/>
          </w:tcPr>
          <w:p w14:paraId="72B1839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w:t>
            </w:r>
          </w:p>
        </w:tc>
        <w:tc>
          <w:tcPr>
            <w:tcW w:w="5924" w:type="dxa"/>
            <w:hideMark/>
          </w:tcPr>
          <w:p w14:paraId="1F11A799"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Ca–HCO</w:t>
            </w:r>
            <w:r w:rsidRPr="005E5F15">
              <w:rPr>
                <w:rFonts w:ascii="Cambria Math" w:hAnsi="Cambria Math" w:cs="Cambria Math"/>
                <w:sz w:val="24"/>
                <w:szCs w:val="24"/>
              </w:rPr>
              <w:t>₃</w:t>
            </w:r>
            <w:r w:rsidRPr="005E5F15">
              <w:rPr>
                <w:rFonts w:ascii="Times New Roman" w:hAnsi="Times New Roman" w:cs="Times New Roman"/>
                <w:sz w:val="24"/>
                <w:szCs w:val="24"/>
              </w:rPr>
              <w:t>; Mg suggests dolomite, Na suggests ion exchange</w:t>
            </w:r>
          </w:p>
        </w:tc>
        <w:tc>
          <w:tcPr>
            <w:tcW w:w="946" w:type="dxa"/>
            <w:hideMark/>
          </w:tcPr>
          <w:p w14:paraId="0357628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13</w:t>
            </w:r>
          </w:p>
        </w:tc>
        <w:tc>
          <w:tcPr>
            <w:tcW w:w="597" w:type="dxa"/>
            <w:hideMark/>
          </w:tcPr>
          <w:p w14:paraId="4A6C0653"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21.3</w:t>
            </w:r>
          </w:p>
        </w:tc>
        <w:tc>
          <w:tcPr>
            <w:tcW w:w="935" w:type="dxa"/>
          </w:tcPr>
          <w:p w14:paraId="2D3B6ED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7" w:type="dxa"/>
          </w:tcPr>
          <w:p w14:paraId="5C186CB9"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6.6</w:t>
            </w:r>
          </w:p>
        </w:tc>
      </w:tr>
      <w:tr w:rsidR="00A81ACF" w:rsidRPr="005E5F15" w14:paraId="1F5A9376" w14:textId="77777777" w:rsidTr="00A81ACF">
        <w:trPr>
          <w:trHeight w:val="368"/>
        </w:trPr>
        <w:tc>
          <w:tcPr>
            <w:tcW w:w="560" w:type="dxa"/>
            <w:hideMark/>
          </w:tcPr>
          <w:p w14:paraId="6A10CAD2"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3</w:t>
            </w:r>
          </w:p>
        </w:tc>
        <w:tc>
          <w:tcPr>
            <w:tcW w:w="5924" w:type="dxa"/>
            <w:hideMark/>
          </w:tcPr>
          <w:p w14:paraId="2141D40D"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Na–HCO</w:t>
            </w:r>
            <w:r w:rsidRPr="005E5F15">
              <w:rPr>
                <w:rFonts w:ascii="Cambria Math" w:hAnsi="Cambria Math" w:cs="Cambria Math"/>
                <w:sz w:val="24"/>
                <w:szCs w:val="24"/>
              </w:rPr>
              <w:t>₃</w:t>
            </w:r>
            <w:r w:rsidRPr="005E5F15">
              <w:rPr>
                <w:rFonts w:ascii="Times New Roman" w:hAnsi="Times New Roman" w:cs="Times New Roman"/>
                <w:sz w:val="24"/>
                <w:szCs w:val="24"/>
              </w:rPr>
              <w:t>; ion exchange or CO</w:t>
            </w:r>
            <w:r w:rsidRPr="005E5F15">
              <w:rPr>
                <w:rFonts w:ascii="Cambria Math" w:hAnsi="Cambria Math" w:cs="Cambria Math"/>
                <w:sz w:val="24"/>
                <w:szCs w:val="24"/>
              </w:rPr>
              <w:t>₂</w:t>
            </w:r>
            <w:r w:rsidRPr="005E5F15">
              <w:rPr>
                <w:rFonts w:ascii="Times New Roman" w:hAnsi="Times New Roman" w:cs="Times New Roman"/>
                <w:sz w:val="24"/>
                <w:szCs w:val="24"/>
              </w:rPr>
              <w:t>-driven HCO</w:t>
            </w:r>
            <w:r w:rsidRPr="005E5F15">
              <w:rPr>
                <w:rFonts w:ascii="Cambria Math" w:hAnsi="Cambria Math" w:cs="Cambria Math"/>
                <w:sz w:val="24"/>
                <w:szCs w:val="24"/>
              </w:rPr>
              <w:t>₃</w:t>
            </w:r>
            <w:r w:rsidRPr="005E5F15">
              <w:rPr>
                <w:rFonts w:ascii="Times New Roman" w:hAnsi="Times New Roman" w:cs="Times New Roman"/>
                <w:sz w:val="24"/>
                <w:szCs w:val="24"/>
              </w:rPr>
              <w:t xml:space="preserve"> formation</w:t>
            </w:r>
          </w:p>
        </w:tc>
        <w:tc>
          <w:tcPr>
            <w:tcW w:w="946" w:type="dxa"/>
            <w:hideMark/>
          </w:tcPr>
          <w:p w14:paraId="7570B090"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23</w:t>
            </w:r>
          </w:p>
        </w:tc>
        <w:tc>
          <w:tcPr>
            <w:tcW w:w="597" w:type="dxa"/>
            <w:hideMark/>
          </w:tcPr>
          <w:p w14:paraId="7F328D3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37.7</w:t>
            </w:r>
          </w:p>
        </w:tc>
        <w:tc>
          <w:tcPr>
            <w:tcW w:w="935" w:type="dxa"/>
          </w:tcPr>
          <w:p w14:paraId="515FFEB3"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18</w:t>
            </w:r>
          </w:p>
        </w:tc>
        <w:tc>
          <w:tcPr>
            <w:tcW w:w="597" w:type="dxa"/>
          </w:tcPr>
          <w:p w14:paraId="6ABAE7C6"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29.5</w:t>
            </w:r>
          </w:p>
        </w:tc>
      </w:tr>
      <w:tr w:rsidR="00A81ACF" w:rsidRPr="005E5F15" w14:paraId="0601F7F7" w14:textId="77777777" w:rsidTr="00A81ACF">
        <w:trPr>
          <w:trHeight w:val="368"/>
        </w:trPr>
        <w:tc>
          <w:tcPr>
            <w:tcW w:w="560" w:type="dxa"/>
            <w:hideMark/>
          </w:tcPr>
          <w:p w14:paraId="70D7EB5C"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24" w:type="dxa"/>
            <w:hideMark/>
          </w:tcPr>
          <w:p w14:paraId="266D0BEE"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Ca–SO</w:t>
            </w:r>
            <w:r w:rsidRPr="005E5F15">
              <w:rPr>
                <w:rFonts w:ascii="Cambria Math" w:hAnsi="Cambria Math" w:cs="Cambria Math"/>
                <w:sz w:val="24"/>
                <w:szCs w:val="24"/>
              </w:rPr>
              <w:t>₄</w:t>
            </w:r>
            <w:r w:rsidRPr="005E5F15">
              <w:rPr>
                <w:rFonts w:ascii="Times New Roman" w:hAnsi="Times New Roman" w:cs="Times New Roman"/>
                <w:sz w:val="24"/>
                <w:szCs w:val="24"/>
              </w:rPr>
              <w:t xml:space="preserve"> or SO</w:t>
            </w:r>
            <w:r w:rsidRPr="005E5F15">
              <w:rPr>
                <w:rFonts w:ascii="Cambria Math" w:hAnsi="Cambria Math" w:cs="Cambria Math"/>
                <w:sz w:val="24"/>
                <w:szCs w:val="24"/>
              </w:rPr>
              <w:t>₄</w:t>
            </w:r>
            <w:r w:rsidRPr="005E5F15">
              <w:rPr>
                <w:rFonts w:ascii="Times New Roman" w:hAnsi="Times New Roman" w:cs="Times New Roman"/>
                <w:sz w:val="24"/>
                <w:szCs w:val="24"/>
              </w:rPr>
              <w:t>-dominant; recharge in gypsum/lava or mixing</w:t>
            </w:r>
          </w:p>
        </w:tc>
        <w:tc>
          <w:tcPr>
            <w:tcW w:w="946" w:type="dxa"/>
            <w:noWrap/>
            <w:hideMark/>
          </w:tcPr>
          <w:p w14:paraId="406F655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w:t>
            </w:r>
          </w:p>
        </w:tc>
        <w:tc>
          <w:tcPr>
            <w:tcW w:w="597" w:type="dxa"/>
            <w:hideMark/>
          </w:tcPr>
          <w:p w14:paraId="0C8F266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1.6</w:t>
            </w:r>
          </w:p>
        </w:tc>
        <w:tc>
          <w:tcPr>
            <w:tcW w:w="935" w:type="dxa"/>
          </w:tcPr>
          <w:p w14:paraId="6AC00910"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6428A2FF"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r>
      <w:tr w:rsidR="00A81ACF" w:rsidRPr="005E5F15" w14:paraId="7D7F654F" w14:textId="77777777" w:rsidTr="00A81ACF">
        <w:trPr>
          <w:trHeight w:val="259"/>
        </w:trPr>
        <w:tc>
          <w:tcPr>
            <w:tcW w:w="560" w:type="dxa"/>
            <w:hideMark/>
          </w:tcPr>
          <w:p w14:paraId="149284B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5</w:t>
            </w:r>
          </w:p>
        </w:tc>
        <w:tc>
          <w:tcPr>
            <w:tcW w:w="5924" w:type="dxa"/>
            <w:hideMark/>
          </w:tcPr>
          <w:p w14:paraId="53FA2CF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No dominant ions; simple dissolution or mixing</w:t>
            </w:r>
          </w:p>
        </w:tc>
        <w:tc>
          <w:tcPr>
            <w:tcW w:w="946" w:type="dxa"/>
          </w:tcPr>
          <w:p w14:paraId="3F9C847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7" w:type="dxa"/>
            <w:hideMark/>
          </w:tcPr>
          <w:p w14:paraId="729340B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6.6</w:t>
            </w:r>
          </w:p>
        </w:tc>
        <w:tc>
          <w:tcPr>
            <w:tcW w:w="935" w:type="dxa"/>
          </w:tcPr>
          <w:p w14:paraId="1626AB1D"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11</w:t>
            </w:r>
          </w:p>
        </w:tc>
        <w:tc>
          <w:tcPr>
            <w:tcW w:w="597" w:type="dxa"/>
          </w:tcPr>
          <w:p w14:paraId="647F2A1C"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18.0</w:t>
            </w:r>
          </w:p>
        </w:tc>
      </w:tr>
      <w:tr w:rsidR="00A81ACF" w:rsidRPr="005E5F15" w14:paraId="6365D6A4" w14:textId="77777777" w:rsidTr="00A81ACF">
        <w:trPr>
          <w:trHeight w:val="276"/>
        </w:trPr>
        <w:tc>
          <w:tcPr>
            <w:tcW w:w="560" w:type="dxa"/>
            <w:hideMark/>
          </w:tcPr>
          <w:p w14:paraId="1B5E928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w:t>
            </w:r>
          </w:p>
        </w:tc>
        <w:tc>
          <w:tcPr>
            <w:tcW w:w="5924" w:type="dxa"/>
            <w:hideMark/>
          </w:tcPr>
          <w:p w14:paraId="1628A84E"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Na–SO</w:t>
            </w:r>
            <w:r w:rsidRPr="005E5F15">
              <w:rPr>
                <w:rFonts w:ascii="Cambria Math" w:hAnsi="Cambria Math" w:cs="Cambria Math"/>
                <w:sz w:val="24"/>
                <w:szCs w:val="24"/>
              </w:rPr>
              <w:t>₄</w:t>
            </w:r>
            <w:r w:rsidRPr="005E5F15">
              <w:rPr>
                <w:rFonts w:ascii="Times New Roman" w:hAnsi="Times New Roman" w:cs="Times New Roman"/>
                <w:sz w:val="24"/>
                <w:szCs w:val="24"/>
              </w:rPr>
              <w:t xml:space="preserve"> or SO</w:t>
            </w:r>
            <w:r w:rsidRPr="005E5F15">
              <w:rPr>
                <w:rFonts w:ascii="Cambria Math" w:hAnsi="Cambria Math" w:cs="Cambria Math"/>
                <w:sz w:val="24"/>
                <w:szCs w:val="24"/>
              </w:rPr>
              <w:t>₄</w:t>
            </w:r>
            <w:r w:rsidRPr="005E5F15">
              <w:rPr>
                <w:rFonts w:ascii="Times New Roman" w:hAnsi="Times New Roman" w:cs="Times New Roman"/>
                <w:sz w:val="24"/>
                <w:szCs w:val="24"/>
              </w:rPr>
              <w:t>-dominant; uncommon, indicates mixing/dissolution</w:t>
            </w:r>
          </w:p>
        </w:tc>
        <w:tc>
          <w:tcPr>
            <w:tcW w:w="946" w:type="dxa"/>
          </w:tcPr>
          <w:p w14:paraId="30CD689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16</w:t>
            </w:r>
          </w:p>
        </w:tc>
        <w:tc>
          <w:tcPr>
            <w:tcW w:w="597" w:type="dxa"/>
            <w:hideMark/>
          </w:tcPr>
          <w:p w14:paraId="533241C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26.2</w:t>
            </w:r>
          </w:p>
        </w:tc>
        <w:tc>
          <w:tcPr>
            <w:tcW w:w="935" w:type="dxa"/>
          </w:tcPr>
          <w:p w14:paraId="4A12F9E3"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21</w:t>
            </w:r>
          </w:p>
        </w:tc>
        <w:tc>
          <w:tcPr>
            <w:tcW w:w="597" w:type="dxa"/>
          </w:tcPr>
          <w:p w14:paraId="55095DF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34.4</w:t>
            </w:r>
          </w:p>
        </w:tc>
      </w:tr>
      <w:tr w:rsidR="00A81ACF" w:rsidRPr="005E5F15" w14:paraId="3623BFF9" w14:textId="77777777" w:rsidTr="00A81ACF">
        <w:trPr>
          <w:trHeight w:val="327"/>
        </w:trPr>
        <w:tc>
          <w:tcPr>
            <w:tcW w:w="560" w:type="dxa"/>
            <w:hideMark/>
          </w:tcPr>
          <w:p w14:paraId="54E84797"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7</w:t>
            </w:r>
          </w:p>
        </w:tc>
        <w:tc>
          <w:tcPr>
            <w:tcW w:w="5924" w:type="dxa"/>
            <w:hideMark/>
          </w:tcPr>
          <w:p w14:paraId="6E0F48EA"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Na–Cl; may suggest cement pollution or reverse ion exchange</w:t>
            </w:r>
          </w:p>
        </w:tc>
        <w:tc>
          <w:tcPr>
            <w:tcW w:w="946" w:type="dxa"/>
          </w:tcPr>
          <w:p w14:paraId="5B6D29C6"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05E87902"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935" w:type="dxa"/>
          </w:tcPr>
          <w:p w14:paraId="427700A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6A6169C6"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r>
      <w:tr w:rsidR="00A81ACF" w:rsidRPr="005E5F15" w14:paraId="366423CE" w14:textId="77777777" w:rsidTr="00A81ACF">
        <w:trPr>
          <w:trHeight w:val="346"/>
        </w:trPr>
        <w:tc>
          <w:tcPr>
            <w:tcW w:w="560" w:type="dxa"/>
            <w:hideMark/>
          </w:tcPr>
          <w:p w14:paraId="148894A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8</w:t>
            </w:r>
          </w:p>
        </w:tc>
        <w:tc>
          <w:tcPr>
            <w:tcW w:w="5924" w:type="dxa"/>
            <w:hideMark/>
          </w:tcPr>
          <w:p w14:paraId="56BB219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Na–Cl; likely reverse ion exchange</w:t>
            </w:r>
          </w:p>
        </w:tc>
        <w:tc>
          <w:tcPr>
            <w:tcW w:w="946" w:type="dxa"/>
          </w:tcPr>
          <w:p w14:paraId="640522D4"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597" w:type="dxa"/>
          </w:tcPr>
          <w:p w14:paraId="341611F5"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w:t>
            </w:r>
          </w:p>
        </w:tc>
        <w:tc>
          <w:tcPr>
            <w:tcW w:w="935" w:type="dxa"/>
          </w:tcPr>
          <w:p w14:paraId="4DBBAFE8"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w:t>
            </w:r>
          </w:p>
        </w:tc>
        <w:tc>
          <w:tcPr>
            <w:tcW w:w="597" w:type="dxa"/>
          </w:tcPr>
          <w:p w14:paraId="34583132"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1.6</w:t>
            </w:r>
          </w:p>
        </w:tc>
      </w:tr>
      <w:tr w:rsidR="00A81ACF" w:rsidRPr="005E5F15" w14:paraId="1E5E209C" w14:textId="77777777" w:rsidTr="00A81ACF">
        <w:trPr>
          <w:trHeight w:val="177"/>
        </w:trPr>
        <w:tc>
          <w:tcPr>
            <w:tcW w:w="560" w:type="dxa"/>
            <w:hideMark/>
          </w:tcPr>
          <w:p w14:paraId="3ABE6B1B"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9</w:t>
            </w:r>
          </w:p>
        </w:tc>
        <w:tc>
          <w:tcPr>
            <w:tcW w:w="5924" w:type="dxa"/>
            <w:hideMark/>
          </w:tcPr>
          <w:p w14:paraId="361FB969"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Na–Cl; end-point waters via dissolution</w:t>
            </w:r>
          </w:p>
        </w:tc>
        <w:tc>
          <w:tcPr>
            <w:tcW w:w="946" w:type="dxa"/>
            <w:hideMark/>
          </w:tcPr>
          <w:p w14:paraId="7A18B95F"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4</w:t>
            </w:r>
          </w:p>
        </w:tc>
        <w:tc>
          <w:tcPr>
            <w:tcW w:w="597" w:type="dxa"/>
            <w:hideMark/>
          </w:tcPr>
          <w:p w14:paraId="218C759D"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6.6</w:t>
            </w:r>
          </w:p>
        </w:tc>
        <w:tc>
          <w:tcPr>
            <w:tcW w:w="935" w:type="dxa"/>
          </w:tcPr>
          <w:p w14:paraId="2488C481"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6</w:t>
            </w:r>
          </w:p>
        </w:tc>
        <w:tc>
          <w:tcPr>
            <w:tcW w:w="597" w:type="dxa"/>
          </w:tcPr>
          <w:p w14:paraId="2DE752BE" w14:textId="77777777" w:rsidR="00A81ACF" w:rsidRPr="005E5F15" w:rsidRDefault="00A81ACF" w:rsidP="00A81ACF">
            <w:pPr>
              <w:rPr>
                <w:rFonts w:ascii="Times New Roman" w:hAnsi="Times New Roman" w:cs="Times New Roman"/>
                <w:sz w:val="24"/>
                <w:szCs w:val="24"/>
              </w:rPr>
            </w:pPr>
            <w:r w:rsidRPr="005E5F15">
              <w:rPr>
                <w:rFonts w:ascii="Times New Roman" w:hAnsi="Times New Roman" w:cs="Times New Roman"/>
                <w:sz w:val="24"/>
                <w:szCs w:val="24"/>
              </w:rPr>
              <w:t>9.8</w:t>
            </w:r>
          </w:p>
        </w:tc>
      </w:tr>
    </w:tbl>
    <w:p w14:paraId="1C15D57E" w14:textId="77777777" w:rsidR="00A84ABA" w:rsidRPr="005E5F15" w:rsidRDefault="00A84ABA" w:rsidP="000355E8">
      <w:pPr>
        <w:spacing w:after="0" w:line="240" w:lineRule="auto"/>
        <w:jc w:val="both"/>
        <w:rPr>
          <w:rFonts w:ascii="Times New Roman" w:hAnsi="Times New Roman" w:cs="Times New Roman"/>
          <w:bCs/>
          <w:sz w:val="24"/>
          <w:szCs w:val="24"/>
        </w:rPr>
      </w:pPr>
    </w:p>
    <w:p w14:paraId="0CAC0DEE" w14:textId="77777777" w:rsidR="000C676A" w:rsidRPr="005E5F15" w:rsidRDefault="000C676A" w:rsidP="000C676A">
      <w:pPr>
        <w:spacing w:before="240" w:after="0"/>
        <w:jc w:val="both"/>
        <w:rPr>
          <w:rFonts w:ascii="Times New Roman" w:hAnsi="Times New Roman" w:cs="Times New Roman"/>
          <w:bCs/>
          <w:sz w:val="24"/>
          <w:szCs w:val="24"/>
          <w:lang w:val="en-US"/>
        </w:rPr>
      </w:pPr>
      <w:r w:rsidRPr="005E5F15">
        <w:rPr>
          <w:rFonts w:ascii="Times New Roman" w:hAnsi="Times New Roman" w:cs="Times New Roman"/>
          <w:noProof/>
          <w:sz w:val="24"/>
          <w:szCs w:val="24"/>
        </w:rPr>
        <w:drawing>
          <wp:inline distT="0" distB="0" distL="0" distR="0" wp14:anchorId="7E140E05" wp14:editId="626AE3CE">
            <wp:extent cx="6006284" cy="34555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40091" cy="3475031"/>
                    </a:xfrm>
                    <a:prstGeom prst="rect">
                      <a:avLst/>
                    </a:prstGeom>
                    <a:noFill/>
                  </pic:spPr>
                </pic:pic>
              </a:graphicData>
            </a:graphic>
          </wp:inline>
        </w:drawing>
      </w:r>
    </w:p>
    <w:p w14:paraId="3F9F1E0E" w14:textId="0D7ED754" w:rsidR="000C676A" w:rsidRDefault="000C676A" w:rsidP="000C676A">
      <w:pPr>
        <w:jc w:val="both"/>
        <w:rPr>
          <w:rFonts w:ascii="Times New Roman" w:hAnsi="Times New Roman" w:cs="Times New Roman"/>
          <w:sz w:val="24"/>
          <w:szCs w:val="24"/>
        </w:rPr>
      </w:pPr>
      <w:bookmarkStart w:id="11" w:name="_Toc158760285"/>
      <w:r w:rsidRPr="005E5F15">
        <w:rPr>
          <w:rFonts w:ascii="Times New Roman" w:hAnsi="Times New Roman" w:cs="Times New Roman"/>
          <w:sz w:val="24"/>
          <w:szCs w:val="24"/>
        </w:rPr>
        <w:t xml:space="preserve">Fig. </w:t>
      </w:r>
      <w:r w:rsidR="00A81ACF" w:rsidRPr="005E5F15">
        <w:rPr>
          <w:rFonts w:ascii="Times New Roman" w:hAnsi="Times New Roman" w:cs="Times New Roman"/>
          <w:sz w:val="24"/>
          <w:szCs w:val="24"/>
        </w:rPr>
        <w:t>7. Gibbs</w:t>
      </w:r>
      <w:r w:rsidRPr="005E5F15">
        <w:rPr>
          <w:rFonts w:ascii="Times New Roman" w:hAnsi="Times New Roman" w:cs="Times New Roman"/>
          <w:sz w:val="24"/>
          <w:szCs w:val="24"/>
        </w:rPr>
        <w:t xml:space="preserve"> plots of TDS (mg/l) versus (</w:t>
      </w:r>
      <w:proofErr w:type="spellStart"/>
      <w:r w:rsidRPr="005E5F15">
        <w:rPr>
          <w:rFonts w:ascii="Times New Roman" w:hAnsi="Times New Roman" w:cs="Times New Roman"/>
          <w:sz w:val="24"/>
          <w:szCs w:val="24"/>
        </w:rPr>
        <w:t>Na+K</w:t>
      </w:r>
      <w:proofErr w:type="spellEnd"/>
      <w:r w:rsidRPr="005E5F15">
        <w:rPr>
          <w:rFonts w:ascii="Times New Roman" w:hAnsi="Times New Roman" w:cs="Times New Roman"/>
          <w:sz w:val="24"/>
          <w:szCs w:val="24"/>
        </w:rPr>
        <w:t>)/(</w:t>
      </w:r>
      <w:proofErr w:type="spellStart"/>
      <w:r w:rsidRPr="005E5F15">
        <w:rPr>
          <w:rFonts w:ascii="Times New Roman" w:hAnsi="Times New Roman" w:cs="Times New Roman"/>
          <w:sz w:val="24"/>
          <w:szCs w:val="24"/>
        </w:rPr>
        <w:t>Na+Ca</w:t>
      </w:r>
      <w:proofErr w:type="spellEnd"/>
      <w:r w:rsidRPr="005E5F15">
        <w:rPr>
          <w:rFonts w:ascii="Times New Roman" w:hAnsi="Times New Roman" w:cs="Times New Roman"/>
          <w:sz w:val="24"/>
          <w:szCs w:val="24"/>
        </w:rPr>
        <w:t>), and Cl/(Cl+HCO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 ratios in the study area</w:t>
      </w:r>
      <w:bookmarkEnd w:id="11"/>
    </w:p>
    <w:p w14:paraId="56175900" w14:textId="77777777" w:rsidR="00A63DEF" w:rsidRPr="005E5F15" w:rsidRDefault="00A63DEF" w:rsidP="000C676A">
      <w:pPr>
        <w:jc w:val="both"/>
        <w:rPr>
          <w:rFonts w:ascii="Times New Roman" w:hAnsi="Times New Roman" w:cs="Times New Roman"/>
          <w:sz w:val="24"/>
          <w:szCs w:val="24"/>
        </w:rPr>
      </w:pPr>
    </w:p>
    <w:p w14:paraId="5650DA93" w14:textId="77777777" w:rsidR="008966B6" w:rsidRPr="005E5F15" w:rsidRDefault="008966B6" w:rsidP="00016D1C">
      <w:pPr>
        <w:spacing w:before="240" w:after="0"/>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lastRenderedPageBreak/>
        <w:t>4.4 Ion Exchange Processes in the Enugu Urban Shallow Aquifer</w:t>
      </w:r>
    </w:p>
    <w:p w14:paraId="4279DFDC" w14:textId="77777777" w:rsidR="00093F3F" w:rsidRPr="00093F3F" w:rsidRDefault="00093F3F" w:rsidP="00093F3F">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Ion exchange is a key hydrogeochemical mechanism shaping groundwater chemistry in the Enugu Urban shallow aquifer. The prevalence of Na–HCO</w:t>
      </w:r>
      <w:r w:rsidRPr="00093F3F">
        <w:rPr>
          <w:rFonts w:ascii="Cambria Math" w:eastAsia="Times New Roman" w:hAnsi="Cambria Math" w:cs="Cambria Math"/>
          <w:sz w:val="24"/>
          <w:szCs w:val="24"/>
          <w:lang w:eastAsia="en-GB" w:bidi="ar-SA"/>
        </w:rPr>
        <w:t>₃</w:t>
      </w:r>
      <w:r w:rsidRPr="00093F3F">
        <w:rPr>
          <w:rFonts w:ascii="Times New Roman" w:eastAsia="Times New Roman" w:hAnsi="Times New Roman" w:cs="Times New Roman"/>
          <w:sz w:val="24"/>
          <w:szCs w:val="24"/>
          <w:lang w:eastAsia="en-GB" w:bidi="ar-SA"/>
        </w:rPr>
        <w:t xml:space="preserve"> facies, as illustrated by Piper and Durov diagrams (Figs. 4 and 5), reflects active cation exchange between groundwater and the clay-rich, weathered shale matrix (Appelo &amp; Postma, 2005; Ezeh et al., 2017). As groundwater flows, Ca²</w:t>
      </w:r>
      <w:r w:rsidRPr="00093F3F">
        <w:rPr>
          <w:rFonts w:ascii="Cambria Math" w:eastAsia="Times New Roman" w:hAnsi="Cambria Math" w:cs="Cambria Math"/>
          <w:sz w:val="24"/>
          <w:szCs w:val="24"/>
          <w:lang w:eastAsia="en-GB" w:bidi="ar-SA"/>
        </w:rPr>
        <w:t>⁺</w:t>
      </w:r>
      <w:r w:rsidRPr="00093F3F">
        <w:rPr>
          <w:rFonts w:ascii="Times New Roman" w:eastAsia="Times New Roman" w:hAnsi="Times New Roman" w:cs="Times New Roman"/>
          <w:sz w:val="24"/>
          <w:szCs w:val="24"/>
          <w:lang w:eastAsia="en-GB" w:bidi="ar-SA"/>
        </w:rPr>
        <w:t xml:space="preserve"> and Mg²</w:t>
      </w:r>
      <w:r w:rsidRPr="00093F3F">
        <w:rPr>
          <w:rFonts w:ascii="Cambria Math" w:eastAsia="Times New Roman" w:hAnsi="Cambria Math" w:cs="Cambria Math"/>
          <w:sz w:val="24"/>
          <w:szCs w:val="24"/>
          <w:lang w:eastAsia="en-GB" w:bidi="ar-SA"/>
        </w:rPr>
        <w:t>⁺</w:t>
      </w:r>
      <w:r w:rsidRPr="00093F3F">
        <w:rPr>
          <w:rFonts w:ascii="Times New Roman" w:eastAsia="Times New Roman" w:hAnsi="Times New Roman" w:cs="Times New Roman"/>
          <w:sz w:val="24"/>
          <w:szCs w:val="24"/>
          <w:lang w:eastAsia="en-GB" w:bidi="ar-SA"/>
        </w:rPr>
        <w:t xml:space="preserve"> ions in solution are exchanged with Na</w:t>
      </w:r>
      <w:r w:rsidRPr="00093F3F">
        <w:rPr>
          <w:rFonts w:ascii="Cambria Math" w:eastAsia="Times New Roman" w:hAnsi="Cambria Math" w:cs="Cambria Math"/>
          <w:sz w:val="24"/>
          <w:szCs w:val="24"/>
          <w:lang w:eastAsia="en-GB" w:bidi="ar-SA"/>
        </w:rPr>
        <w:t>⁺</w:t>
      </w:r>
      <w:r w:rsidRPr="00093F3F">
        <w:rPr>
          <w:rFonts w:ascii="Times New Roman" w:eastAsia="Times New Roman" w:hAnsi="Times New Roman" w:cs="Times New Roman"/>
          <w:sz w:val="24"/>
          <w:szCs w:val="24"/>
          <w:lang w:eastAsia="en-GB" w:bidi="ar-SA"/>
        </w:rPr>
        <w:t xml:space="preserve"> adsorbed on aquifer minerals, resulting in progressive sodium enrichment and the transformation from Ca–HCO</w:t>
      </w:r>
      <w:r w:rsidRPr="00093F3F">
        <w:rPr>
          <w:rFonts w:ascii="Cambria Math" w:eastAsia="Times New Roman" w:hAnsi="Cambria Math" w:cs="Cambria Math"/>
          <w:sz w:val="24"/>
          <w:szCs w:val="24"/>
          <w:lang w:eastAsia="en-GB" w:bidi="ar-SA"/>
        </w:rPr>
        <w:t>₃</w:t>
      </w:r>
      <w:r w:rsidRPr="00093F3F">
        <w:rPr>
          <w:rFonts w:ascii="Times New Roman" w:eastAsia="Times New Roman" w:hAnsi="Times New Roman" w:cs="Times New Roman"/>
          <w:sz w:val="24"/>
          <w:szCs w:val="24"/>
          <w:lang w:eastAsia="en-GB" w:bidi="ar-SA"/>
        </w:rPr>
        <w:t xml:space="preserve"> to Na–HCO</w:t>
      </w:r>
      <w:r w:rsidRPr="00093F3F">
        <w:rPr>
          <w:rFonts w:ascii="Cambria Math" w:eastAsia="Times New Roman" w:hAnsi="Cambria Math" w:cs="Cambria Math"/>
          <w:sz w:val="24"/>
          <w:szCs w:val="24"/>
          <w:lang w:eastAsia="en-GB" w:bidi="ar-SA"/>
        </w:rPr>
        <w:t>₃</w:t>
      </w:r>
      <w:r w:rsidRPr="00093F3F">
        <w:rPr>
          <w:rFonts w:ascii="Times New Roman" w:eastAsia="Times New Roman" w:hAnsi="Times New Roman" w:cs="Times New Roman"/>
          <w:sz w:val="24"/>
          <w:szCs w:val="24"/>
          <w:lang w:eastAsia="en-GB" w:bidi="ar-SA"/>
        </w:rPr>
        <w:t xml:space="preserve"> water types.</w:t>
      </w:r>
    </w:p>
    <w:p w14:paraId="588DD369" w14:textId="77777777" w:rsidR="00093F3F" w:rsidRPr="00093F3F" w:rsidRDefault="00093F3F" w:rsidP="00093F3F">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The presence of negative Chloro-Alkaline Indices (CAI) (Fig. 8) further supports this interpretation, indicating direct base-exchange reactions in which alkali metals in groundwater displace alkaline earth metals on mineral surfaces. The Gibbs diagram (Fig. 6) places most samples in the rock dominance field, reinforcing that water–rock interaction, including ion exchange, is the principal factor controlling groundwater chemistry.</w:t>
      </w:r>
    </w:p>
    <w:p w14:paraId="53F450D7" w14:textId="51AE2AFE" w:rsidR="00093F3F" w:rsidRPr="00093F3F" w:rsidRDefault="00093F3F" w:rsidP="00B81ED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Moreover, elevated sodium concentrations can affect the Sodium Adsorption Ratio (SAR)</w:t>
      </w:r>
      <w:r w:rsidR="00B81ED0">
        <w:rPr>
          <w:rFonts w:ascii="Times New Roman" w:eastAsia="Times New Roman" w:hAnsi="Times New Roman" w:cs="Times New Roman"/>
          <w:sz w:val="24"/>
          <w:szCs w:val="24"/>
          <w:lang w:eastAsia="en-GB" w:bidi="ar-SA"/>
        </w:rPr>
        <w:t xml:space="preserve">, </w:t>
      </w:r>
      <w:r w:rsidRPr="00093F3F">
        <w:rPr>
          <w:rFonts w:ascii="Times New Roman" w:eastAsia="Times New Roman" w:hAnsi="Times New Roman" w:cs="Times New Roman"/>
          <w:sz w:val="24"/>
          <w:szCs w:val="24"/>
          <w:lang w:eastAsia="en-GB" w:bidi="ar-SA"/>
        </w:rPr>
        <w:t>an important parameter for assessing groundwater's suitability for irrigation</w:t>
      </w:r>
      <w:r w:rsidR="00B81ED0">
        <w:rPr>
          <w:rFonts w:ascii="Times New Roman" w:eastAsia="Times New Roman" w:hAnsi="Times New Roman" w:cs="Times New Roman"/>
          <w:sz w:val="24"/>
          <w:szCs w:val="24"/>
          <w:lang w:eastAsia="en-GB" w:bidi="ar-SA"/>
        </w:rPr>
        <w:t xml:space="preserve">, </w:t>
      </w:r>
      <w:r w:rsidRPr="00093F3F">
        <w:rPr>
          <w:rFonts w:ascii="Times New Roman" w:eastAsia="Times New Roman" w:hAnsi="Times New Roman" w:cs="Times New Roman"/>
          <w:sz w:val="24"/>
          <w:szCs w:val="24"/>
          <w:lang w:eastAsia="en-GB" w:bidi="ar-SA"/>
        </w:rPr>
        <w:t xml:space="preserve">where excessive sodium may degrade soil structure over time (Ayers &amp; </w:t>
      </w:r>
      <w:proofErr w:type="spellStart"/>
      <w:r w:rsidRPr="00093F3F">
        <w:rPr>
          <w:rFonts w:ascii="Times New Roman" w:eastAsia="Times New Roman" w:hAnsi="Times New Roman" w:cs="Times New Roman"/>
          <w:sz w:val="24"/>
          <w:szCs w:val="24"/>
          <w:lang w:eastAsia="en-GB" w:bidi="ar-SA"/>
        </w:rPr>
        <w:t>Westcot</w:t>
      </w:r>
      <w:proofErr w:type="spellEnd"/>
      <w:r w:rsidRPr="00093F3F">
        <w:rPr>
          <w:rFonts w:ascii="Times New Roman" w:eastAsia="Times New Roman" w:hAnsi="Times New Roman" w:cs="Times New Roman"/>
          <w:sz w:val="24"/>
          <w:szCs w:val="24"/>
          <w:lang w:eastAsia="en-GB" w:bidi="ar-SA"/>
        </w:rPr>
        <w:t xml:space="preserve">, 1985; </w:t>
      </w:r>
      <w:proofErr w:type="spellStart"/>
      <w:r w:rsidRPr="00093F3F">
        <w:rPr>
          <w:rFonts w:ascii="Times New Roman" w:eastAsia="Times New Roman" w:hAnsi="Times New Roman" w:cs="Times New Roman"/>
          <w:sz w:val="24"/>
          <w:szCs w:val="24"/>
          <w:lang w:eastAsia="en-GB" w:bidi="ar-SA"/>
        </w:rPr>
        <w:t>Nwankwoala</w:t>
      </w:r>
      <w:proofErr w:type="spellEnd"/>
      <w:r w:rsidRPr="00093F3F">
        <w:rPr>
          <w:rFonts w:ascii="Times New Roman" w:eastAsia="Times New Roman" w:hAnsi="Times New Roman" w:cs="Times New Roman"/>
          <w:sz w:val="24"/>
          <w:szCs w:val="24"/>
          <w:lang w:eastAsia="en-GB" w:bidi="ar-SA"/>
        </w:rPr>
        <w:t xml:space="preserve"> &amp; </w:t>
      </w:r>
      <w:proofErr w:type="spellStart"/>
      <w:r w:rsidRPr="00093F3F">
        <w:rPr>
          <w:rFonts w:ascii="Times New Roman" w:eastAsia="Times New Roman" w:hAnsi="Times New Roman" w:cs="Times New Roman"/>
          <w:sz w:val="24"/>
          <w:szCs w:val="24"/>
          <w:lang w:eastAsia="en-GB" w:bidi="ar-SA"/>
        </w:rPr>
        <w:t>Udom</w:t>
      </w:r>
      <w:proofErr w:type="spellEnd"/>
      <w:r w:rsidRPr="00093F3F">
        <w:rPr>
          <w:rFonts w:ascii="Times New Roman" w:eastAsia="Times New Roman" w:hAnsi="Times New Roman" w:cs="Times New Roman"/>
          <w:sz w:val="24"/>
          <w:szCs w:val="24"/>
          <w:lang w:eastAsia="en-GB" w:bidi="ar-SA"/>
        </w:rPr>
        <w:t>, 2011). Such effects are particularly relevant in shale aquifers where clay minerals facilitate ion exchange and sodium retention.</w:t>
      </w:r>
    </w:p>
    <w:p w14:paraId="5ECE1EF2" w14:textId="66FC9D24" w:rsidR="00093F3F" w:rsidRPr="00093F3F" w:rsidRDefault="00093F3F" w:rsidP="00B81ED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093F3F">
        <w:rPr>
          <w:rFonts w:ascii="Times New Roman" w:eastAsia="Times New Roman" w:hAnsi="Times New Roman" w:cs="Times New Roman"/>
          <w:sz w:val="24"/>
          <w:szCs w:val="24"/>
          <w:lang w:eastAsia="en-GB" w:bidi="ar-SA"/>
        </w:rPr>
        <w:t>Recent investigations in Enugu’s regolith aquifers have confirmed the significance of ion exchange and silicate weathering, with buffering mechanisms maintaining relatively stable sodium levels despite seasonal recharging (</w:t>
      </w:r>
      <w:proofErr w:type="spellStart"/>
      <w:r w:rsidRPr="00093F3F">
        <w:rPr>
          <w:rFonts w:ascii="Times New Roman" w:eastAsia="Times New Roman" w:hAnsi="Times New Roman" w:cs="Times New Roman"/>
          <w:sz w:val="24"/>
          <w:szCs w:val="24"/>
          <w:lang w:eastAsia="en-GB" w:bidi="ar-SA"/>
        </w:rPr>
        <w:t>Ozoko</w:t>
      </w:r>
      <w:proofErr w:type="spellEnd"/>
      <w:r w:rsidRPr="00093F3F">
        <w:rPr>
          <w:rFonts w:ascii="Times New Roman" w:eastAsia="Times New Roman" w:hAnsi="Times New Roman" w:cs="Times New Roman"/>
          <w:sz w:val="24"/>
          <w:szCs w:val="24"/>
          <w:lang w:eastAsia="en-GB" w:bidi="ar-SA"/>
        </w:rPr>
        <w:t xml:space="preserve"> </w:t>
      </w:r>
      <w:r w:rsidR="00B81ED0">
        <w:rPr>
          <w:rFonts w:ascii="Times New Roman" w:eastAsia="Times New Roman" w:hAnsi="Times New Roman" w:cs="Times New Roman"/>
          <w:sz w:val="24"/>
          <w:szCs w:val="24"/>
          <w:lang w:eastAsia="en-GB" w:bidi="ar-SA"/>
        </w:rPr>
        <w:t>and</w:t>
      </w:r>
      <w:r w:rsidRPr="00093F3F">
        <w:rPr>
          <w:rFonts w:ascii="Times New Roman" w:eastAsia="Times New Roman" w:hAnsi="Times New Roman" w:cs="Times New Roman"/>
          <w:sz w:val="24"/>
          <w:szCs w:val="24"/>
          <w:lang w:eastAsia="en-GB" w:bidi="ar-SA"/>
        </w:rPr>
        <w:t xml:space="preserve"> </w:t>
      </w:r>
      <w:proofErr w:type="spellStart"/>
      <w:r w:rsidRPr="00093F3F">
        <w:rPr>
          <w:rFonts w:ascii="Times New Roman" w:eastAsia="Times New Roman" w:hAnsi="Times New Roman" w:cs="Times New Roman"/>
          <w:sz w:val="24"/>
          <w:szCs w:val="24"/>
          <w:lang w:eastAsia="en-GB" w:bidi="ar-SA"/>
        </w:rPr>
        <w:t>Ezeugwu</w:t>
      </w:r>
      <w:proofErr w:type="spellEnd"/>
      <w:r w:rsidRPr="00093F3F">
        <w:rPr>
          <w:rFonts w:ascii="Times New Roman" w:eastAsia="Times New Roman" w:hAnsi="Times New Roman" w:cs="Times New Roman"/>
          <w:sz w:val="24"/>
          <w:szCs w:val="24"/>
          <w:lang w:eastAsia="en-GB" w:bidi="ar-SA"/>
        </w:rPr>
        <w:t xml:space="preserve">, 2025; Chukwuemeka </w:t>
      </w:r>
      <w:r w:rsidR="00B81ED0">
        <w:rPr>
          <w:rFonts w:ascii="Times New Roman" w:eastAsia="Times New Roman" w:hAnsi="Times New Roman" w:cs="Times New Roman"/>
          <w:sz w:val="24"/>
          <w:szCs w:val="24"/>
          <w:lang w:eastAsia="en-GB" w:bidi="ar-SA"/>
        </w:rPr>
        <w:t>and</w:t>
      </w:r>
      <w:r w:rsidRPr="00093F3F">
        <w:rPr>
          <w:rFonts w:ascii="Times New Roman" w:eastAsia="Times New Roman" w:hAnsi="Times New Roman" w:cs="Times New Roman"/>
          <w:sz w:val="24"/>
          <w:szCs w:val="24"/>
          <w:lang w:eastAsia="en-GB" w:bidi="ar-SA"/>
        </w:rPr>
        <w:t xml:space="preserve"> </w:t>
      </w:r>
      <w:proofErr w:type="spellStart"/>
      <w:r w:rsidRPr="00093F3F">
        <w:rPr>
          <w:rFonts w:ascii="Times New Roman" w:eastAsia="Times New Roman" w:hAnsi="Times New Roman" w:cs="Times New Roman"/>
          <w:sz w:val="24"/>
          <w:szCs w:val="24"/>
          <w:lang w:eastAsia="en-GB" w:bidi="ar-SA"/>
        </w:rPr>
        <w:t>Ezeugwu</w:t>
      </w:r>
      <w:proofErr w:type="spellEnd"/>
      <w:r w:rsidRPr="00093F3F">
        <w:rPr>
          <w:rFonts w:ascii="Times New Roman" w:eastAsia="Times New Roman" w:hAnsi="Times New Roman" w:cs="Times New Roman"/>
          <w:sz w:val="24"/>
          <w:szCs w:val="24"/>
          <w:lang w:eastAsia="en-GB" w:bidi="ar-SA"/>
        </w:rPr>
        <w:t>, 2021). These studies highlight the dynamic nature of groundwater evolution in shale terrains, where redox processes, microbial activity, and hydrologic inputs interact to influence water chemistry.</w:t>
      </w:r>
    </w:p>
    <w:p w14:paraId="7405E731" w14:textId="77777777" w:rsidR="00093F3F" w:rsidRPr="005E5F15" w:rsidRDefault="00093F3F" w:rsidP="008966B6">
      <w:pPr>
        <w:spacing w:before="240"/>
        <w:jc w:val="both"/>
        <w:rPr>
          <w:rFonts w:ascii="Times New Roman" w:hAnsi="Times New Roman" w:cs="Times New Roman"/>
          <w:bCs/>
          <w:sz w:val="24"/>
          <w:szCs w:val="24"/>
          <w:lang w:val="en-US"/>
        </w:rPr>
      </w:pPr>
    </w:p>
    <w:p w14:paraId="7D92252C" w14:textId="77777777" w:rsidR="00016D1C" w:rsidRPr="005E5F15" w:rsidRDefault="00016D1C" w:rsidP="00016D1C">
      <w:pPr>
        <w:spacing w:before="240" w:after="0"/>
        <w:jc w:val="both"/>
        <w:rPr>
          <w:rFonts w:ascii="Times New Roman" w:hAnsi="Times New Roman" w:cs="Times New Roman"/>
          <w:bCs/>
          <w:sz w:val="24"/>
          <w:szCs w:val="24"/>
          <w:lang w:val="en-US"/>
        </w:rPr>
      </w:pPr>
      <w:r w:rsidRPr="005E5F15">
        <w:rPr>
          <w:rFonts w:ascii="Times New Roman" w:hAnsi="Times New Roman" w:cs="Times New Roman"/>
          <w:noProof/>
          <w:sz w:val="24"/>
          <w:szCs w:val="24"/>
        </w:rPr>
        <w:lastRenderedPageBreak/>
        <w:drawing>
          <wp:inline distT="0" distB="0" distL="0" distR="0" wp14:anchorId="39B237C5" wp14:editId="0512438E">
            <wp:extent cx="5752214" cy="5248247"/>
            <wp:effectExtent l="19050" t="1905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1116" cy="5256369"/>
                    </a:xfrm>
                    <a:prstGeom prst="rect">
                      <a:avLst/>
                    </a:prstGeom>
                    <a:noFill/>
                    <a:ln>
                      <a:solidFill>
                        <a:schemeClr val="tx1"/>
                      </a:solidFill>
                    </a:ln>
                  </pic:spPr>
                </pic:pic>
              </a:graphicData>
            </a:graphic>
          </wp:inline>
        </w:drawing>
      </w:r>
    </w:p>
    <w:p w14:paraId="6AA8FE3F" w14:textId="77777777" w:rsidR="00016D1C" w:rsidRPr="005E5F15" w:rsidRDefault="00016D1C" w:rsidP="00016D1C">
      <w:pPr>
        <w:jc w:val="both"/>
        <w:rPr>
          <w:rFonts w:ascii="Times New Roman" w:hAnsi="Times New Roman" w:cs="Times New Roman"/>
          <w:bCs/>
          <w:sz w:val="24"/>
          <w:szCs w:val="24"/>
          <w:lang w:val="en-US"/>
        </w:rPr>
      </w:pPr>
      <w:r w:rsidRPr="005E5F15">
        <w:rPr>
          <w:rFonts w:ascii="Times New Roman" w:hAnsi="Times New Roman" w:cs="Times New Roman"/>
          <w:bCs/>
          <w:sz w:val="24"/>
          <w:szCs w:val="24"/>
          <w:lang w:val="en-US"/>
        </w:rPr>
        <w:t>Fig. 8.  Chloro-Alkaline Indices 1 and 2 (CAI1 and CAI2) for groundwater in the study area</w:t>
      </w:r>
    </w:p>
    <w:p w14:paraId="46FFAF65" w14:textId="3A2173A1" w:rsidR="00244615" w:rsidRPr="00493311" w:rsidRDefault="000355E8" w:rsidP="00493311">
      <w:pPr>
        <w:spacing w:before="240"/>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4.</w:t>
      </w:r>
      <w:r w:rsidR="008966B6" w:rsidRPr="005E5F15">
        <w:rPr>
          <w:rFonts w:ascii="Times New Roman" w:hAnsi="Times New Roman" w:cs="Times New Roman"/>
          <w:b/>
          <w:bCs/>
          <w:sz w:val="24"/>
          <w:szCs w:val="24"/>
          <w:lang w:val="en-US"/>
        </w:rPr>
        <w:t>5</w:t>
      </w:r>
      <w:r w:rsidRPr="005E5F15">
        <w:rPr>
          <w:rFonts w:ascii="Times New Roman" w:hAnsi="Times New Roman" w:cs="Times New Roman"/>
          <w:b/>
          <w:bCs/>
          <w:sz w:val="24"/>
          <w:szCs w:val="24"/>
          <w:lang w:val="en-US"/>
        </w:rPr>
        <w:t xml:space="preserve"> Thermodynamic Stability and Saturation Indices</w:t>
      </w:r>
    </w:p>
    <w:p w14:paraId="743E8888" w14:textId="62B1D483" w:rsidR="00296F5D" w:rsidRDefault="00296F5D" w:rsidP="00296F5D">
      <w:pPr>
        <w:pStyle w:val="NormalWeb"/>
        <w:jc w:val="both"/>
      </w:pPr>
      <w:r>
        <w:t>PHREEQC</w:t>
      </w:r>
      <w:r>
        <w:noBreakHyphen/>
        <w:t xml:space="preserve">derived saturation indices (Fig. 9, Table 3) reveal that the majority of groundwater samples remain </w:t>
      </w:r>
      <w:r>
        <w:rPr>
          <w:rStyle w:val="Strong"/>
        </w:rPr>
        <w:t>undersaturated</w:t>
      </w:r>
      <w:r>
        <w:t xml:space="preserve"> with respect to </w:t>
      </w:r>
      <w:r>
        <w:rPr>
          <w:rStyle w:val="Strong"/>
        </w:rPr>
        <w:t>calcite</w:t>
      </w:r>
      <w:r>
        <w:t xml:space="preserve"> and </w:t>
      </w:r>
      <w:r>
        <w:rPr>
          <w:rStyle w:val="Strong"/>
        </w:rPr>
        <w:t>dolomite</w:t>
      </w:r>
      <w:r>
        <w:t xml:space="preserve">, signalling ongoing mineral dissolution and limited buffering capacity. </w:t>
      </w:r>
      <w:r>
        <w:rPr>
          <w:rStyle w:val="Strong"/>
        </w:rPr>
        <w:t>Gypsum</w:t>
      </w:r>
      <w:r>
        <w:t xml:space="preserve"> and </w:t>
      </w:r>
      <w:r>
        <w:rPr>
          <w:rStyle w:val="Strong"/>
        </w:rPr>
        <w:t>halite</w:t>
      </w:r>
      <w:r>
        <w:t xml:space="preserve"> are likewise undersaturated, suggesting negligible evaporite contribution to water chemistry (Appelo &amp; Postma, 2005; Parkhurst &amp; Appelo, 2013). The facies data (Table 2) indicate a hydrogeochemical evolution linking </w:t>
      </w:r>
      <w:r>
        <w:rPr>
          <w:rStyle w:val="Strong"/>
        </w:rPr>
        <w:t>silicate weathering</w:t>
      </w:r>
      <w:r>
        <w:t xml:space="preserve"> as the main driver, alongside limited carbonate equilibrium.</w:t>
      </w:r>
    </w:p>
    <w:p w14:paraId="1E08B6E1" w14:textId="4BCA4B88" w:rsidR="00296F5D" w:rsidRDefault="00296F5D" w:rsidP="00296F5D">
      <w:pPr>
        <w:pStyle w:val="NormalWeb"/>
        <w:jc w:val="both"/>
      </w:pPr>
      <w:r>
        <w:t xml:space="preserve">Spatial and seasonal patterns of saturation indices show </w:t>
      </w:r>
      <w:r>
        <w:rPr>
          <w:rStyle w:val="Strong"/>
        </w:rPr>
        <w:t>lower SI values</w:t>
      </w:r>
      <w:r>
        <w:t xml:space="preserve"> in recharge zones and during the </w:t>
      </w:r>
      <w:r>
        <w:rPr>
          <w:rStyle w:val="Strong"/>
        </w:rPr>
        <w:t>wet season</w:t>
      </w:r>
      <w:r>
        <w:t xml:space="preserve">, attributable to dilution of solutes, while </w:t>
      </w:r>
      <w:r>
        <w:rPr>
          <w:rStyle w:val="Strong"/>
        </w:rPr>
        <w:t>dry-season</w:t>
      </w:r>
      <w:r>
        <w:t xml:space="preserve"> samples exhibit modestly higher SI values due to solute concentration, consistent with findings by </w:t>
      </w:r>
      <w:proofErr w:type="spellStart"/>
      <w:r>
        <w:t>Ganyecz</w:t>
      </w:r>
      <w:proofErr w:type="spellEnd"/>
      <w:r>
        <w:t xml:space="preserve"> et al. (2022). Furthermore, Figure 10 illustrates a </w:t>
      </w:r>
      <w:r>
        <w:rPr>
          <w:rStyle w:val="Strong"/>
        </w:rPr>
        <w:t>positive correlation between saturation indices and total dissolved solids (TDS)</w:t>
      </w:r>
      <w:r>
        <w:t xml:space="preserve">, indicative of progressive mineral dissolution along groundwater </w:t>
      </w:r>
      <w:r>
        <w:lastRenderedPageBreak/>
        <w:t>flow paths. This suggests that as groundwater migrates through the aquifer, it acquires higher ionic concentrations, impacting both its thermodynamic stability and suitability for domestic and agricultural use.</w:t>
      </w:r>
    </w:p>
    <w:p w14:paraId="41D67FAC" w14:textId="20254752" w:rsidR="00296F5D" w:rsidRPr="00493311" w:rsidRDefault="00296F5D" w:rsidP="00493311">
      <w:pPr>
        <w:pStyle w:val="NormalWeb"/>
        <w:jc w:val="both"/>
      </w:pPr>
      <w:r>
        <w:t xml:space="preserve">These observations align with results from similar Nigerian hydrogeochemical studies. For instance, groundwater along the Lagos coastal belt was found to be variably </w:t>
      </w:r>
      <w:r>
        <w:rPr>
          <w:rStyle w:val="Strong"/>
        </w:rPr>
        <w:t>undersaturated with gypsum and halite</w:t>
      </w:r>
      <w:r>
        <w:t xml:space="preserve">, while exhibiting </w:t>
      </w:r>
      <w:r>
        <w:rPr>
          <w:rStyle w:val="Strong"/>
        </w:rPr>
        <w:t>transitioning saturation states for calcite</w:t>
      </w:r>
      <w:r>
        <w:t xml:space="preserve">, supporting the predominance of carbonate weathering and limited evaporite influence in shaping groundwater mineralogy. These patterns varied by season and residence time (Ako et al., 2012; </w:t>
      </w:r>
      <w:proofErr w:type="spellStart"/>
      <w:r>
        <w:t>Sunkari</w:t>
      </w:r>
      <w:proofErr w:type="spellEnd"/>
      <w:r>
        <w:t xml:space="preserve"> et al., 201</w:t>
      </w:r>
      <w:r w:rsidR="000542AB">
        <w:t>9</w:t>
      </w:r>
      <w:r>
        <w:t>).</w:t>
      </w:r>
    </w:p>
    <w:p w14:paraId="723767E7" w14:textId="77777777" w:rsidR="00534244" w:rsidRPr="005E5F15" w:rsidRDefault="00534244" w:rsidP="00EE3DC9">
      <w:pPr>
        <w:spacing w:after="0"/>
        <w:jc w:val="both"/>
        <w:rPr>
          <w:rFonts w:ascii="Times New Roman" w:hAnsi="Times New Roman" w:cs="Times New Roman"/>
          <w:bCs/>
          <w:sz w:val="24"/>
          <w:szCs w:val="24"/>
          <w:lang w:val="en-US"/>
        </w:rPr>
      </w:pPr>
      <w:bookmarkStart w:id="12" w:name="_Hlk200363128"/>
      <w:r w:rsidRPr="005E5F15">
        <w:rPr>
          <w:rFonts w:ascii="Times New Roman" w:hAnsi="Times New Roman" w:cs="Times New Roman"/>
          <w:noProof/>
          <w:sz w:val="24"/>
          <w:szCs w:val="24"/>
        </w:rPr>
        <w:drawing>
          <wp:inline distT="0" distB="0" distL="0" distR="0" wp14:anchorId="1F6EB3D5" wp14:editId="3F4D7F9C">
            <wp:extent cx="5775694" cy="3476625"/>
            <wp:effectExtent l="19050" t="19050" r="158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86"/>
                    <a:stretch/>
                  </pic:blipFill>
                  <pic:spPr bwMode="auto">
                    <a:xfrm>
                      <a:off x="0" y="0"/>
                      <a:ext cx="5785307" cy="34824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723576" w14:textId="17E58428" w:rsidR="00EE3DC9" w:rsidRDefault="00EE3DC9" w:rsidP="00EE3DC9">
      <w:pPr>
        <w:jc w:val="both"/>
        <w:rPr>
          <w:rFonts w:ascii="Times New Roman" w:hAnsi="Times New Roman" w:cs="Times New Roman"/>
          <w:sz w:val="24"/>
          <w:szCs w:val="24"/>
        </w:rPr>
      </w:pPr>
      <w:bookmarkStart w:id="13" w:name="_Toc158760289"/>
      <w:r w:rsidRPr="005E5F15">
        <w:rPr>
          <w:rFonts w:ascii="Times New Roman" w:hAnsi="Times New Roman" w:cs="Times New Roman"/>
          <w:sz w:val="24"/>
          <w:szCs w:val="24"/>
        </w:rPr>
        <w:t>Fig. 9. Comparative consideration of saturation indices of some ionic species in the water samples analysed: (</w:t>
      </w:r>
      <w:r w:rsidRPr="005E5F15">
        <w:rPr>
          <w:rFonts w:ascii="Times New Roman" w:hAnsi="Times New Roman" w:cs="Times New Roman"/>
          <w:b/>
          <w:sz w:val="24"/>
          <w:szCs w:val="24"/>
        </w:rPr>
        <w:t>a</w:t>
      </w:r>
      <w:r w:rsidRPr="005E5F15">
        <w:rPr>
          <w:rFonts w:ascii="Times New Roman" w:hAnsi="Times New Roman" w:cs="Times New Roman"/>
          <w:sz w:val="24"/>
          <w:szCs w:val="24"/>
        </w:rPr>
        <w:t>) SI calcite versus HCO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vertAlign w:val="superscript"/>
        </w:rPr>
        <w:noBreakHyphen/>
      </w:r>
      <w:r w:rsidRPr="005E5F15">
        <w:rPr>
          <w:rFonts w:ascii="Times New Roman" w:hAnsi="Times New Roman" w:cs="Times New Roman"/>
          <w:sz w:val="24"/>
          <w:szCs w:val="24"/>
        </w:rPr>
        <w:t>; (</w:t>
      </w:r>
      <w:r w:rsidRPr="005E5F15">
        <w:rPr>
          <w:rFonts w:ascii="Times New Roman" w:hAnsi="Times New Roman" w:cs="Times New Roman"/>
          <w:b/>
          <w:sz w:val="24"/>
          <w:szCs w:val="24"/>
        </w:rPr>
        <w:t>b</w:t>
      </w:r>
      <w:r w:rsidRPr="005E5F15">
        <w:rPr>
          <w:rFonts w:ascii="Times New Roman" w:hAnsi="Times New Roman" w:cs="Times New Roman"/>
          <w:sz w:val="24"/>
          <w:szCs w:val="24"/>
        </w:rPr>
        <w:t>) SI dolomite versus HCO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vertAlign w:val="superscript"/>
        </w:rPr>
        <w:noBreakHyphen/>
      </w:r>
      <w:r w:rsidRPr="005E5F15">
        <w:rPr>
          <w:rFonts w:ascii="Times New Roman" w:hAnsi="Times New Roman" w:cs="Times New Roman"/>
          <w:sz w:val="24"/>
          <w:szCs w:val="24"/>
        </w:rPr>
        <w:t>; (</w:t>
      </w:r>
      <w:r w:rsidRPr="005E5F15">
        <w:rPr>
          <w:rFonts w:ascii="Times New Roman" w:hAnsi="Times New Roman" w:cs="Times New Roman"/>
          <w:b/>
          <w:sz w:val="24"/>
          <w:szCs w:val="24"/>
        </w:rPr>
        <w:t>c</w:t>
      </w:r>
      <w:r w:rsidRPr="005E5F15">
        <w:rPr>
          <w:rFonts w:ascii="Times New Roman" w:hAnsi="Times New Roman" w:cs="Times New Roman"/>
          <w:sz w:val="24"/>
          <w:szCs w:val="24"/>
        </w:rPr>
        <w:t>) SI gypsum versus SO</w:t>
      </w:r>
      <w:r w:rsidRPr="005E5F15">
        <w:rPr>
          <w:rFonts w:ascii="Times New Roman" w:hAnsi="Times New Roman" w:cs="Times New Roman"/>
          <w:sz w:val="24"/>
          <w:szCs w:val="24"/>
          <w:vertAlign w:val="subscript"/>
        </w:rPr>
        <w:t>4</w:t>
      </w:r>
      <w:r w:rsidRPr="005E5F15">
        <w:rPr>
          <w:rFonts w:ascii="Times New Roman" w:hAnsi="Times New Roman" w:cs="Times New Roman"/>
          <w:sz w:val="24"/>
          <w:szCs w:val="24"/>
          <w:vertAlign w:val="superscript"/>
        </w:rPr>
        <w:t>2-</w:t>
      </w:r>
      <w:r w:rsidRPr="005E5F15">
        <w:rPr>
          <w:rFonts w:ascii="Times New Roman" w:hAnsi="Times New Roman" w:cs="Times New Roman"/>
          <w:sz w:val="24"/>
          <w:szCs w:val="24"/>
        </w:rPr>
        <w:t>; (</w:t>
      </w:r>
      <w:r w:rsidRPr="005E5F15">
        <w:rPr>
          <w:rFonts w:ascii="Times New Roman" w:hAnsi="Times New Roman" w:cs="Times New Roman"/>
          <w:b/>
          <w:sz w:val="24"/>
          <w:szCs w:val="24"/>
        </w:rPr>
        <w:t>d</w:t>
      </w:r>
      <w:r w:rsidRPr="005E5F15">
        <w:rPr>
          <w:rFonts w:ascii="Times New Roman" w:hAnsi="Times New Roman" w:cs="Times New Roman"/>
          <w:sz w:val="24"/>
          <w:szCs w:val="24"/>
        </w:rPr>
        <w:t>) SI halite versus Cl</w:t>
      </w:r>
      <w:r w:rsidRPr="005E5F15">
        <w:rPr>
          <w:rFonts w:ascii="Times New Roman" w:hAnsi="Times New Roman" w:cs="Times New Roman"/>
          <w:sz w:val="24"/>
          <w:szCs w:val="24"/>
          <w:vertAlign w:val="superscript"/>
        </w:rPr>
        <w:noBreakHyphen/>
      </w:r>
      <w:r w:rsidRPr="005E5F15">
        <w:rPr>
          <w:rFonts w:ascii="Times New Roman" w:hAnsi="Times New Roman" w:cs="Times New Roman"/>
          <w:sz w:val="24"/>
          <w:szCs w:val="24"/>
        </w:rPr>
        <w:t>.</w:t>
      </w:r>
      <w:bookmarkEnd w:id="13"/>
    </w:p>
    <w:p w14:paraId="5B0BAAF3" w14:textId="7C6BB705" w:rsidR="00493311" w:rsidRDefault="00493311" w:rsidP="00EE3DC9">
      <w:pPr>
        <w:jc w:val="both"/>
        <w:rPr>
          <w:rFonts w:ascii="Times New Roman" w:hAnsi="Times New Roman" w:cs="Times New Roman"/>
          <w:sz w:val="24"/>
          <w:szCs w:val="24"/>
        </w:rPr>
      </w:pPr>
    </w:p>
    <w:p w14:paraId="4B592AAF" w14:textId="36C75CC2" w:rsidR="00493311" w:rsidRDefault="00493311" w:rsidP="00EE3DC9">
      <w:pPr>
        <w:jc w:val="both"/>
        <w:rPr>
          <w:rFonts w:ascii="Times New Roman" w:hAnsi="Times New Roman" w:cs="Times New Roman"/>
          <w:sz w:val="24"/>
          <w:szCs w:val="24"/>
        </w:rPr>
      </w:pPr>
    </w:p>
    <w:p w14:paraId="193E4882" w14:textId="05706864" w:rsidR="00493311" w:rsidRDefault="00493311" w:rsidP="00EE3DC9">
      <w:pPr>
        <w:jc w:val="both"/>
        <w:rPr>
          <w:rFonts w:ascii="Times New Roman" w:hAnsi="Times New Roman" w:cs="Times New Roman"/>
          <w:sz w:val="24"/>
          <w:szCs w:val="24"/>
        </w:rPr>
      </w:pPr>
    </w:p>
    <w:p w14:paraId="44616A8B" w14:textId="68412265" w:rsidR="00493311" w:rsidRDefault="00493311" w:rsidP="00EE3DC9">
      <w:pPr>
        <w:jc w:val="both"/>
        <w:rPr>
          <w:rFonts w:ascii="Times New Roman" w:hAnsi="Times New Roman" w:cs="Times New Roman"/>
          <w:sz w:val="24"/>
          <w:szCs w:val="24"/>
        </w:rPr>
      </w:pPr>
    </w:p>
    <w:p w14:paraId="25D17CF8" w14:textId="70B40EBB" w:rsidR="00493311" w:rsidRDefault="00493311" w:rsidP="00EE3DC9">
      <w:pPr>
        <w:jc w:val="both"/>
        <w:rPr>
          <w:rFonts w:ascii="Times New Roman" w:hAnsi="Times New Roman" w:cs="Times New Roman"/>
          <w:sz w:val="24"/>
          <w:szCs w:val="24"/>
        </w:rPr>
      </w:pPr>
    </w:p>
    <w:p w14:paraId="46A61791" w14:textId="6CE2E46C" w:rsidR="00493311" w:rsidRDefault="00493311" w:rsidP="00EE3DC9">
      <w:pPr>
        <w:jc w:val="both"/>
        <w:rPr>
          <w:rFonts w:ascii="Times New Roman" w:hAnsi="Times New Roman" w:cs="Times New Roman"/>
          <w:sz w:val="24"/>
          <w:szCs w:val="24"/>
        </w:rPr>
      </w:pPr>
    </w:p>
    <w:p w14:paraId="5761FFC4" w14:textId="77777777" w:rsidR="00493311" w:rsidRPr="005E5F15" w:rsidRDefault="00493311" w:rsidP="00EE3DC9">
      <w:pPr>
        <w:jc w:val="both"/>
        <w:rPr>
          <w:rFonts w:ascii="Times New Roman" w:hAnsi="Times New Roman" w:cs="Times New Roman"/>
          <w:sz w:val="24"/>
          <w:szCs w:val="24"/>
        </w:rPr>
      </w:pPr>
    </w:p>
    <w:p w14:paraId="59F895D3" w14:textId="659DD7D8" w:rsidR="000C676A" w:rsidRDefault="000C676A" w:rsidP="00EE3DC9">
      <w:pPr>
        <w:spacing w:after="0"/>
        <w:jc w:val="both"/>
        <w:rPr>
          <w:rFonts w:ascii="Times New Roman" w:hAnsi="Times New Roman" w:cs="Times New Roman"/>
          <w:sz w:val="24"/>
          <w:szCs w:val="24"/>
          <w:lang w:val="en-US"/>
        </w:rPr>
      </w:pPr>
      <w:r w:rsidRPr="005E5F15">
        <w:rPr>
          <w:rFonts w:ascii="Times New Roman" w:hAnsi="Times New Roman" w:cs="Times New Roman"/>
          <w:bCs/>
          <w:sz w:val="24"/>
          <w:szCs w:val="24"/>
          <w:lang w:val="en-US"/>
        </w:rPr>
        <w:lastRenderedPageBreak/>
        <w:t>Table 3:</w:t>
      </w:r>
      <w:r w:rsidRPr="005E5F15">
        <w:rPr>
          <w:rFonts w:ascii="Times New Roman" w:hAnsi="Times New Roman" w:cs="Times New Roman"/>
          <w:sz w:val="24"/>
          <w:szCs w:val="24"/>
          <w:lang w:val="en-US"/>
        </w:rPr>
        <w:t> Saturation Indices with respect to various mineral phases (Aragonite, Calcite, Dolomite, Anhydrite, Halite, and Gypsum).</w:t>
      </w:r>
    </w:p>
    <w:p w14:paraId="4E8A9489" w14:textId="77777777" w:rsidR="00493311" w:rsidRPr="005E5F15" w:rsidRDefault="00493311" w:rsidP="00EE3DC9">
      <w:pPr>
        <w:spacing w:after="0"/>
        <w:jc w:val="both"/>
        <w:rPr>
          <w:rFonts w:ascii="Times New Roman" w:hAnsi="Times New Roman" w:cs="Times New Roman"/>
          <w:sz w:val="24"/>
          <w:szCs w:val="24"/>
          <w:lang w:val="en-US"/>
        </w:rPr>
      </w:pPr>
    </w:p>
    <w:tbl>
      <w:tblPr>
        <w:tblStyle w:val="LightShading"/>
        <w:tblW w:w="9577" w:type="dxa"/>
        <w:tblLayout w:type="fixed"/>
        <w:tblLook w:val="04A0" w:firstRow="1" w:lastRow="0" w:firstColumn="1" w:lastColumn="0" w:noHBand="0" w:noVBand="1"/>
      </w:tblPr>
      <w:tblGrid>
        <w:gridCol w:w="1707"/>
        <w:gridCol w:w="669"/>
        <w:gridCol w:w="840"/>
        <w:gridCol w:w="839"/>
        <w:gridCol w:w="809"/>
        <w:gridCol w:w="737"/>
        <w:gridCol w:w="310"/>
        <w:gridCol w:w="511"/>
        <w:gridCol w:w="889"/>
        <w:gridCol w:w="747"/>
        <w:gridCol w:w="809"/>
        <w:gridCol w:w="710"/>
      </w:tblGrid>
      <w:tr w:rsidR="000355E8" w:rsidRPr="005E5F15" w14:paraId="09DEAA0E" w14:textId="77777777" w:rsidTr="000C676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tcBorders>
            <w:noWrap/>
            <w:hideMark/>
          </w:tcPr>
          <w:p w14:paraId="30989B37" w14:textId="77777777" w:rsidR="000355E8" w:rsidRPr="005E5F15" w:rsidRDefault="000355E8" w:rsidP="000C676A">
            <w:pPr>
              <w:jc w:val="both"/>
              <w:rPr>
                <w:rFonts w:ascii="Times New Roman" w:hAnsi="Times New Roman" w:cs="Times New Roman"/>
                <w:sz w:val="24"/>
                <w:szCs w:val="24"/>
              </w:rPr>
            </w:pPr>
          </w:p>
        </w:tc>
        <w:tc>
          <w:tcPr>
            <w:tcW w:w="3894" w:type="dxa"/>
            <w:gridSpan w:val="5"/>
            <w:tcBorders>
              <w:top w:val="single" w:sz="4" w:space="0" w:color="auto"/>
            </w:tcBorders>
            <w:noWrap/>
            <w:hideMark/>
          </w:tcPr>
          <w:p w14:paraId="69876578" w14:textId="77777777" w:rsidR="000355E8" w:rsidRPr="005E5F15" w:rsidRDefault="000355E8" w:rsidP="000C67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Saturation Indices Rainy Season</w:t>
            </w:r>
          </w:p>
        </w:tc>
        <w:tc>
          <w:tcPr>
            <w:tcW w:w="310" w:type="dxa"/>
            <w:tcBorders>
              <w:top w:val="single" w:sz="4" w:space="0" w:color="auto"/>
            </w:tcBorders>
          </w:tcPr>
          <w:p w14:paraId="0A4C9A4B" w14:textId="77777777" w:rsidR="000355E8" w:rsidRPr="005E5F15" w:rsidRDefault="000355E8" w:rsidP="000C67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66" w:type="dxa"/>
            <w:gridSpan w:val="5"/>
            <w:tcBorders>
              <w:top w:val="single" w:sz="4" w:space="0" w:color="auto"/>
              <w:right w:val="single" w:sz="4" w:space="0" w:color="auto"/>
            </w:tcBorders>
            <w:noWrap/>
            <w:hideMark/>
          </w:tcPr>
          <w:p w14:paraId="37C7DFBA" w14:textId="77777777" w:rsidR="000355E8" w:rsidRPr="005E5F15" w:rsidRDefault="000355E8" w:rsidP="000C67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Saturated Indices Dry Season</w:t>
            </w:r>
          </w:p>
        </w:tc>
      </w:tr>
      <w:tr w:rsidR="000355E8" w:rsidRPr="005E5F15" w14:paraId="25E3083D"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bottom w:val="single" w:sz="4" w:space="0" w:color="auto"/>
            </w:tcBorders>
            <w:shd w:val="clear" w:color="auto" w:fill="auto"/>
            <w:noWrap/>
            <w:hideMark/>
          </w:tcPr>
          <w:p w14:paraId="3E2E9980"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Mineral Phase</w:t>
            </w:r>
          </w:p>
        </w:tc>
        <w:tc>
          <w:tcPr>
            <w:tcW w:w="669" w:type="dxa"/>
            <w:tcBorders>
              <w:bottom w:val="single" w:sz="4" w:space="0" w:color="auto"/>
            </w:tcBorders>
            <w:shd w:val="clear" w:color="auto" w:fill="auto"/>
            <w:noWrap/>
            <w:hideMark/>
          </w:tcPr>
          <w:p w14:paraId="1CC3A91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Max SI</w:t>
            </w:r>
          </w:p>
        </w:tc>
        <w:tc>
          <w:tcPr>
            <w:tcW w:w="840" w:type="dxa"/>
            <w:tcBorders>
              <w:bottom w:val="single" w:sz="4" w:space="0" w:color="auto"/>
            </w:tcBorders>
            <w:shd w:val="clear" w:color="auto" w:fill="auto"/>
            <w:noWrap/>
            <w:hideMark/>
          </w:tcPr>
          <w:p w14:paraId="193B2FFA"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Min </w:t>
            </w:r>
          </w:p>
          <w:p w14:paraId="0EAC4205"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SI </w:t>
            </w:r>
          </w:p>
        </w:tc>
        <w:tc>
          <w:tcPr>
            <w:tcW w:w="839" w:type="dxa"/>
            <w:tcBorders>
              <w:bottom w:val="single" w:sz="4" w:space="0" w:color="auto"/>
            </w:tcBorders>
            <w:shd w:val="clear" w:color="auto" w:fill="auto"/>
            <w:noWrap/>
            <w:hideMark/>
          </w:tcPr>
          <w:p w14:paraId="016D762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Mean </w:t>
            </w:r>
          </w:p>
          <w:p w14:paraId="5F59D8A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SI</w:t>
            </w:r>
          </w:p>
        </w:tc>
        <w:tc>
          <w:tcPr>
            <w:tcW w:w="809" w:type="dxa"/>
            <w:tcBorders>
              <w:bottom w:val="single" w:sz="4" w:space="0" w:color="auto"/>
            </w:tcBorders>
            <w:shd w:val="clear" w:color="auto" w:fill="auto"/>
            <w:noWrap/>
            <w:hideMark/>
          </w:tcPr>
          <w:p w14:paraId="14D98ADD"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Range SI</w:t>
            </w:r>
          </w:p>
        </w:tc>
        <w:tc>
          <w:tcPr>
            <w:tcW w:w="737" w:type="dxa"/>
            <w:tcBorders>
              <w:top w:val="nil"/>
              <w:bottom w:val="single" w:sz="4" w:space="0" w:color="auto"/>
              <w:right w:val="single" w:sz="4" w:space="0" w:color="auto"/>
            </w:tcBorders>
            <w:shd w:val="clear" w:color="auto" w:fill="auto"/>
            <w:noWrap/>
            <w:hideMark/>
          </w:tcPr>
          <w:p w14:paraId="78B0F974"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Std. Dev</w:t>
            </w:r>
          </w:p>
        </w:tc>
        <w:tc>
          <w:tcPr>
            <w:tcW w:w="821" w:type="dxa"/>
            <w:gridSpan w:val="2"/>
            <w:tcBorders>
              <w:left w:val="single" w:sz="4" w:space="0" w:color="auto"/>
              <w:bottom w:val="single" w:sz="4" w:space="0" w:color="auto"/>
            </w:tcBorders>
            <w:shd w:val="clear" w:color="auto" w:fill="auto"/>
            <w:noWrap/>
            <w:hideMark/>
          </w:tcPr>
          <w:p w14:paraId="385EC7A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Max SI</w:t>
            </w:r>
          </w:p>
        </w:tc>
        <w:tc>
          <w:tcPr>
            <w:tcW w:w="889" w:type="dxa"/>
            <w:tcBorders>
              <w:bottom w:val="single" w:sz="4" w:space="0" w:color="auto"/>
            </w:tcBorders>
            <w:shd w:val="clear" w:color="auto" w:fill="auto"/>
            <w:noWrap/>
            <w:hideMark/>
          </w:tcPr>
          <w:p w14:paraId="271F57D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Min </w:t>
            </w:r>
          </w:p>
          <w:p w14:paraId="7878E58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SI </w:t>
            </w:r>
          </w:p>
        </w:tc>
        <w:tc>
          <w:tcPr>
            <w:tcW w:w="747" w:type="dxa"/>
            <w:tcBorders>
              <w:bottom w:val="single" w:sz="4" w:space="0" w:color="auto"/>
            </w:tcBorders>
            <w:shd w:val="clear" w:color="auto" w:fill="auto"/>
            <w:noWrap/>
            <w:hideMark/>
          </w:tcPr>
          <w:p w14:paraId="510B89B9"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 xml:space="preserve">Mean </w:t>
            </w:r>
          </w:p>
          <w:p w14:paraId="42AF51E7"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SI</w:t>
            </w:r>
          </w:p>
        </w:tc>
        <w:tc>
          <w:tcPr>
            <w:tcW w:w="809" w:type="dxa"/>
            <w:tcBorders>
              <w:bottom w:val="single" w:sz="4" w:space="0" w:color="auto"/>
            </w:tcBorders>
            <w:shd w:val="clear" w:color="auto" w:fill="auto"/>
          </w:tcPr>
          <w:p w14:paraId="5AE5E0A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Range</w:t>
            </w:r>
          </w:p>
        </w:tc>
        <w:tc>
          <w:tcPr>
            <w:tcW w:w="710" w:type="dxa"/>
            <w:tcBorders>
              <w:bottom w:val="single" w:sz="4" w:space="0" w:color="auto"/>
              <w:right w:val="single" w:sz="4" w:space="0" w:color="auto"/>
            </w:tcBorders>
            <w:shd w:val="clear" w:color="auto" w:fill="auto"/>
            <w:noWrap/>
            <w:hideMark/>
          </w:tcPr>
          <w:p w14:paraId="3FE79F4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Std.</w:t>
            </w:r>
          </w:p>
          <w:p w14:paraId="33D5A335"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E5F15">
              <w:rPr>
                <w:rFonts w:ascii="Times New Roman" w:hAnsi="Times New Roman" w:cs="Times New Roman"/>
                <w:b/>
                <w:sz w:val="24"/>
                <w:szCs w:val="24"/>
              </w:rPr>
              <w:t>Dev</w:t>
            </w:r>
          </w:p>
        </w:tc>
      </w:tr>
      <w:tr w:rsidR="000355E8" w:rsidRPr="005E5F15" w14:paraId="2B694952" w14:textId="77777777" w:rsidTr="000C676A">
        <w:trPr>
          <w:trHeight w:val="261"/>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tcBorders>
            <w:noWrap/>
            <w:hideMark/>
          </w:tcPr>
          <w:p w14:paraId="11BFD9CA"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Anhydrite (CaSO</w:t>
            </w:r>
            <w:r w:rsidRPr="005E5F15">
              <w:rPr>
                <w:rFonts w:ascii="Times New Roman" w:hAnsi="Times New Roman" w:cs="Times New Roman"/>
                <w:sz w:val="24"/>
                <w:szCs w:val="24"/>
                <w:vertAlign w:val="subscript"/>
              </w:rPr>
              <w:t>4</w:t>
            </w:r>
            <w:r w:rsidRPr="005E5F15">
              <w:rPr>
                <w:rFonts w:ascii="Times New Roman" w:hAnsi="Times New Roman" w:cs="Times New Roman"/>
                <w:sz w:val="24"/>
                <w:szCs w:val="24"/>
              </w:rPr>
              <w:t>)</w:t>
            </w:r>
          </w:p>
        </w:tc>
        <w:tc>
          <w:tcPr>
            <w:tcW w:w="669" w:type="dxa"/>
            <w:tcBorders>
              <w:top w:val="single" w:sz="4" w:space="0" w:color="auto"/>
            </w:tcBorders>
            <w:noWrap/>
            <w:hideMark/>
          </w:tcPr>
          <w:p w14:paraId="0812D4C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-1.85</w:t>
            </w:r>
          </w:p>
        </w:tc>
        <w:tc>
          <w:tcPr>
            <w:tcW w:w="840" w:type="dxa"/>
            <w:tcBorders>
              <w:top w:val="single" w:sz="4" w:space="0" w:color="auto"/>
            </w:tcBorders>
            <w:noWrap/>
            <w:hideMark/>
          </w:tcPr>
          <w:p w14:paraId="5578B6B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-4.37</w:t>
            </w:r>
          </w:p>
        </w:tc>
        <w:tc>
          <w:tcPr>
            <w:tcW w:w="839" w:type="dxa"/>
            <w:tcBorders>
              <w:top w:val="single" w:sz="4" w:space="0" w:color="auto"/>
            </w:tcBorders>
            <w:noWrap/>
            <w:hideMark/>
          </w:tcPr>
          <w:p w14:paraId="1305A88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-3.04</w:t>
            </w:r>
          </w:p>
        </w:tc>
        <w:tc>
          <w:tcPr>
            <w:tcW w:w="809" w:type="dxa"/>
            <w:tcBorders>
              <w:top w:val="single" w:sz="4" w:space="0" w:color="auto"/>
            </w:tcBorders>
            <w:noWrap/>
            <w:hideMark/>
          </w:tcPr>
          <w:p w14:paraId="5B1FF38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2.53</w:t>
            </w:r>
          </w:p>
        </w:tc>
        <w:tc>
          <w:tcPr>
            <w:tcW w:w="737" w:type="dxa"/>
            <w:tcBorders>
              <w:top w:val="single" w:sz="4" w:space="0" w:color="auto"/>
              <w:right w:val="single" w:sz="4" w:space="0" w:color="auto"/>
            </w:tcBorders>
            <w:noWrap/>
            <w:hideMark/>
          </w:tcPr>
          <w:p w14:paraId="73CF494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0.64</w:t>
            </w:r>
          </w:p>
        </w:tc>
        <w:tc>
          <w:tcPr>
            <w:tcW w:w="821" w:type="dxa"/>
            <w:gridSpan w:val="2"/>
            <w:tcBorders>
              <w:top w:val="single" w:sz="4" w:space="0" w:color="auto"/>
              <w:left w:val="single" w:sz="4" w:space="0" w:color="auto"/>
            </w:tcBorders>
            <w:noWrap/>
            <w:hideMark/>
          </w:tcPr>
          <w:p w14:paraId="723A251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-1.71</w:t>
            </w:r>
          </w:p>
        </w:tc>
        <w:tc>
          <w:tcPr>
            <w:tcW w:w="889" w:type="dxa"/>
            <w:tcBorders>
              <w:top w:val="single" w:sz="4" w:space="0" w:color="auto"/>
            </w:tcBorders>
            <w:noWrap/>
            <w:hideMark/>
          </w:tcPr>
          <w:p w14:paraId="3BACF117"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-5.13</w:t>
            </w:r>
          </w:p>
        </w:tc>
        <w:tc>
          <w:tcPr>
            <w:tcW w:w="747" w:type="dxa"/>
            <w:tcBorders>
              <w:top w:val="single" w:sz="4" w:space="0" w:color="auto"/>
            </w:tcBorders>
            <w:noWrap/>
            <w:hideMark/>
          </w:tcPr>
          <w:p w14:paraId="74A9D93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-3.06</w:t>
            </w:r>
          </w:p>
        </w:tc>
        <w:tc>
          <w:tcPr>
            <w:tcW w:w="809" w:type="dxa"/>
            <w:tcBorders>
              <w:top w:val="single" w:sz="4" w:space="0" w:color="auto"/>
            </w:tcBorders>
          </w:tcPr>
          <w:p w14:paraId="32FE24D6"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3.42</w:t>
            </w:r>
          </w:p>
        </w:tc>
        <w:tc>
          <w:tcPr>
            <w:tcW w:w="710" w:type="dxa"/>
            <w:tcBorders>
              <w:top w:val="single" w:sz="4" w:space="0" w:color="auto"/>
              <w:right w:val="single" w:sz="4" w:space="0" w:color="auto"/>
            </w:tcBorders>
            <w:noWrap/>
            <w:hideMark/>
          </w:tcPr>
          <w:p w14:paraId="5AD7FF48"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0.60</w:t>
            </w:r>
          </w:p>
        </w:tc>
      </w:tr>
      <w:tr w:rsidR="000355E8" w:rsidRPr="005E5F15" w14:paraId="161B4C05"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shd w:val="clear" w:color="auto" w:fill="auto"/>
            <w:noWrap/>
            <w:hideMark/>
          </w:tcPr>
          <w:p w14:paraId="012E924E"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Calcite CaCO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w:t>
            </w:r>
          </w:p>
        </w:tc>
        <w:tc>
          <w:tcPr>
            <w:tcW w:w="669" w:type="dxa"/>
            <w:shd w:val="clear" w:color="auto" w:fill="auto"/>
            <w:noWrap/>
            <w:hideMark/>
          </w:tcPr>
          <w:p w14:paraId="72AF60B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0.79</w:t>
            </w:r>
          </w:p>
        </w:tc>
        <w:tc>
          <w:tcPr>
            <w:tcW w:w="840" w:type="dxa"/>
            <w:shd w:val="clear" w:color="auto" w:fill="auto"/>
            <w:noWrap/>
            <w:hideMark/>
          </w:tcPr>
          <w:p w14:paraId="4D1D8CDE"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-5.65</w:t>
            </w:r>
          </w:p>
        </w:tc>
        <w:tc>
          <w:tcPr>
            <w:tcW w:w="839" w:type="dxa"/>
            <w:shd w:val="clear" w:color="auto" w:fill="auto"/>
            <w:noWrap/>
            <w:hideMark/>
          </w:tcPr>
          <w:p w14:paraId="01B1FDF0"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-2.37</w:t>
            </w:r>
          </w:p>
        </w:tc>
        <w:tc>
          <w:tcPr>
            <w:tcW w:w="809" w:type="dxa"/>
            <w:shd w:val="clear" w:color="auto" w:fill="auto"/>
            <w:noWrap/>
            <w:hideMark/>
          </w:tcPr>
          <w:p w14:paraId="2467992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6.44</w:t>
            </w:r>
          </w:p>
        </w:tc>
        <w:tc>
          <w:tcPr>
            <w:tcW w:w="737" w:type="dxa"/>
            <w:tcBorders>
              <w:right w:val="single" w:sz="4" w:space="0" w:color="auto"/>
            </w:tcBorders>
            <w:shd w:val="clear" w:color="auto" w:fill="auto"/>
            <w:noWrap/>
            <w:hideMark/>
          </w:tcPr>
          <w:p w14:paraId="356A88FE"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1.62</w:t>
            </w:r>
          </w:p>
        </w:tc>
        <w:tc>
          <w:tcPr>
            <w:tcW w:w="821" w:type="dxa"/>
            <w:gridSpan w:val="2"/>
            <w:tcBorders>
              <w:left w:val="single" w:sz="4" w:space="0" w:color="auto"/>
            </w:tcBorders>
            <w:shd w:val="clear" w:color="auto" w:fill="auto"/>
            <w:noWrap/>
            <w:hideMark/>
          </w:tcPr>
          <w:p w14:paraId="5316485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-0.28</w:t>
            </w:r>
          </w:p>
        </w:tc>
        <w:tc>
          <w:tcPr>
            <w:tcW w:w="889" w:type="dxa"/>
            <w:shd w:val="clear" w:color="auto" w:fill="auto"/>
            <w:noWrap/>
            <w:hideMark/>
          </w:tcPr>
          <w:p w14:paraId="18E34506"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-2.48</w:t>
            </w:r>
          </w:p>
        </w:tc>
        <w:tc>
          <w:tcPr>
            <w:tcW w:w="747" w:type="dxa"/>
            <w:shd w:val="clear" w:color="auto" w:fill="auto"/>
            <w:noWrap/>
            <w:hideMark/>
          </w:tcPr>
          <w:p w14:paraId="61DBA8D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-1.51</w:t>
            </w:r>
          </w:p>
        </w:tc>
        <w:tc>
          <w:tcPr>
            <w:tcW w:w="809" w:type="dxa"/>
            <w:shd w:val="clear" w:color="auto" w:fill="auto"/>
          </w:tcPr>
          <w:p w14:paraId="42E9C3C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2.20</w:t>
            </w:r>
          </w:p>
        </w:tc>
        <w:tc>
          <w:tcPr>
            <w:tcW w:w="710" w:type="dxa"/>
            <w:tcBorders>
              <w:right w:val="single" w:sz="4" w:space="0" w:color="auto"/>
            </w:tcBorders>
            <w:shd w:val="clear" w:color="auto" w:fill="auto"/>
            <w:noWrap/>
            <w:hideMark/>
          </w:tcPr>
          <w:p w14:paraId="1D09A56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0.45</w:t>
            </w:r>
          </w:p>
        </w:tc>
      </w:tr>
      <w:tr w:rsidR="000355E8" w:rsidRPr="005E5F15" w14:paraId="445D3B8A" w14:textId="77777777" w:rsidTr="000C676A">
        <w:trPr>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noWrap/>
            <w:hideMark/>
          </w:tcPr>
          <w:p w14:paraId="30400900"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Aragonite (CaCO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w:t>
            </w:r>
          </w:p>
        </w:tc>
        <w:tc>
          <w:tcPr>
            <w:tcW w:w="669" w:type="dxa"/>
            <w:noWrap/>
            <w:hideMark/>
          </w:tcPr>
          <w:p w14:paraId="23A60CC9"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0.65</w:t>
            </w:r>
          </w:p>
        </w:tc>
        <w:tc>
          <w:tcPr>
            <w:tcW w:w="840" w:type="dxa"/>
            <w:noWrap/>
            <w:hideMark/>
          </w:tcPr>
          <w:p w14:paraId="34452EF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-5.79</w:t>
            </w:r>
          </w:p>
        </w:tc>
        <w:tc>
          <w:tcPr>
            <w:tcW w:w="839" w:type="dxa"/>
            <w:noWrap/>
            <w:hideMark/>
          </w:tcPr>
          <w:p w14:paraId="5D26CF08"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-2.51</w:t>
            </w:r>
          </w:p>
        </w:tc>
        <w:tc>
          <w:tcPr>
            <w:tcW w:w="809" w:type="dxa"/>
            <w:noWrap/>
            <w:hideMark/>
          </w:tcPr>
          <w:p w14:paraId="34E14CEF"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6.44</w:t>
            </w:r>
          </w:p>
        </w:tc>
        <w:tc>
          <w:tcPr>
            <w:tcW w:w="737" w:type="dxa"/>
            <w:tcBorders>
              <w:right w:val="single" w:sz="4" w:space="0" w:color="auto"/>
            </w:tcBorders>
            <w:noWrap/>
            <w:hideMark/>
          </w:tcPr>
          <w:p w14:paraId="42513D4C"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1.62</w:t>
            </w:r>
          </w:p>
        </w:tc>
        <w:tc>
          <w:tcPr>
            <w:tcW w:w="821" w:type="dxa"/>
            <w:gridSpan w:val="2"/>
            <w:tcBorders>
              <w:left w:val="single" w:sz="4" w:space="0" w:color="auto"/>
            </w:tcBorders>
            <w:noWrap/>
            <w:hideMark/>
          </w:tcPr>
          <w:p w14:paraId="41A96998"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-0.83</w:t>
            </w:r>
          </w:p>
        </w:tc>
        <w:tc>
          <w:tcPr>
            <w:tcW w:w="889" w:type="dxa"/>
            <w:noWrap/>
            <w:hideMark/>
          </w:tcPr>
          <w:p w14:paraId="1B44D605"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-5.48</w:t>
            </w:r>
          </w:p>
        </w:tc>
        <w:tc>
          <w:tcPr>
            <w:tcW w:w="747" w:type="dxa"/>
            <w:noWrap/>
            <w:hideMark/>
          </w:tcPr>
          <w:p w14:paraId="3AD34393"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-3.64</w:t>
            </w:r>
          </w:p>
        </w:tc>
        <w:tc>
          <w:tcPr>
            <w:tcW w:w="809" w:type="dxa"/>
          </w:tcPr>
          <w:p w14:paraId="55D43C5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4.65</w:t>
            </w:r>
          </w:p>
        </w:tc>
        <w:tc>
          <w:tcPr>
            <w:tcW w:w="710" w:type="dxa"/>
            <w:tcBorders>
              <w:right w:val="single" w:sz="4" w:space="0" w:color="auto"/>
            </w:tcBorders>
            <w:noWrap/>
            <w:hideMark/>
          </w:tcPr>
          <w:p w14:paraId="4A1C8D15"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1.36</w:t>
            </w:r>
          </w:p>
        </w:tc>
      </w:tr>
      <w:tr w:rsidR="000355E8" w:rsidRPr="005E5F15" w14:paraId="33C65428"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shd w:val="clear" w:color="auto" w:fill="auto"/>
            <w:noWrap/>
            <w:hideMark/>
          </w:tcPr>
          <w:p w14:paraId="47C1FFF7"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Dolomite (CaMgCO</w:t>
            </w:r>
            <w:r w:rsidRPr="005E5F15">
              <w:rPr>
                <w:rFonts w:ascii="Times New Roman" w:hAnsi="Times New Roman" w:cs="Times New Roman"/>
                <w:sz w:val="24"/>
                <w:szCs w:val="24"/>
                <w:vertAlign w:val="subscript"/>
              </w:rPr>
              <w:t>3</w:t>
            </w:r>
            <w:r w:rsidRPr="005E5F15">
              <w:rPr>
                <w:rFonts w:ascii="Times New Roman" w:hAnsi="Times New Roman" w:cs="Times New Roman"/>
                <w:sz w:val="24"/>
                <w:szCs w:val="24"/>
              </w:rPr>
              <w:t>)</w:t>
            </w:r>
          </w:p>
        </w:tc>
        <w:tc>
          <w:tcPr>
            <w:tcW w:w="669" w:type="dxa"/>
            <w:shd w:val="clear" w:color="auto" w:fill="auto"/>
            <w:noWrap/>
            <w:hideMark/>
          </w:tcPr>
          <w:p w14:paraId="7885709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1.18</w:t>
            </w:r>
          </w:p>
        </w:tc>
        <w:tc>
          <w:tcPr>
            <w:tcW w:w="840" w:type="dxa"/>
            <w:shd w:val="clear" w:color="auto" w:fill="auto"/>
            <w:noWrap/>
            <w:hideMark/>
          </w:tcPr>
          <w:p w14:paraId="323DEE42"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-11.60</w:t>
            </w:r>
          </w:p>
        </w:tc>
        <w:tc>
          <w:tcPr>
            <w:tcW w:w="839" w:type="dxa"/>
            <w:shd w:val="clear" w:color="auto" w:fill="auto"/>
            <w:noWrap/>
            <w:hideMark/>
          </w:tcPr>
          <w:p w14:paraId="0CEA2EE0"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-5.01</w:t>
            </w:r>
          </w:p>
        </w:tc>
        <w:tc>
          <w:tcPr>
            <w:tcW w:w="809" w:type="dxa"/>
            <w:shd w:val="clear" w:color="auto" w:fill="auto"/>
            <w:noWrap/>
            <w:hideMark/>
          </w:tcPr>
          <w:p w14:paraId="0F14F323"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12.78</w:t>
            </w:r>
          </w:p>
        </w:tc>
        <w:tc>
          <w:tcPr>
            <w:tcW w:w="737" w:type="dxa"/>
            <w:tcBorders>
              <w:right w:val="single" w:sz="4" w:space="0" w:color="auto"/>
            </w:tcBorders>
            <w:shd w:val="clear" w:color="auto" w:fill="auto"/>
            <w:noWrap/>
            <w:hideMark/>
          </w:tcPr>
          <w:p w14:paraId="31C03C30"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3.33</w:t>
            </w:r>
          </w:p>
        </w:tc>
        <w:tc>
          <w:tcPr>
            <w:tcW w:w="821" w:type="dxa"/>
            <w:gridSpan w:val="2"/>
            <w:tcBorders>
              <w:left w:val="single" w:sz="4" w:space="0" w:color="auto"/>
            </w:tcBorders>
            <w:shd w:val="clear" w:color="auto" w:fill="auto"/>
            <w:noWrap/>
            <w:hideMark/>
          </w:tcPr>
          <w:p w14:paraId="36D1D94D"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-1.28</w:t>
            </w:r>
          </w:p>
        </w:tc>
        <w:tc>
          <w:tcPr>
            <w:tcW w:w="889" w:type="dxa"/>
            <w:shd w:val="clear" w:color="auto" w:fill="auto"/>
            <w:noWrap/>
            <w:hideMark/>
          </w:tcPr>
          <w:p w14:paraId="2B8A2CF9"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-5.82</w:t>
            </w:r>
          </w:p>
        </w:tc>
        <w:tc>
          <w:tcPr>
            <w:tcW w:w="747" w:type="dxa"/>
            <w:shd w:val="clear" w:color="auto" w:fill="auto"/>
            <w:noWrap/>
            <w:hideMark/>
          </w:tcPr>
          <w:p w14:paraId="6EEC29AA"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-3.43</w:t>
            </w:r>
          </w:p>
        </w:tc>
        <w:tc>
          <w:tcPr>
            <w:tcW w:w="809" w:type="dxa"/>
            <w:shd w:val="clear" w:color="auto" w:fill="auto"/>
          </w:tcPr>
          <w:p w14:paraId="75075D75"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4.54</w:t>
            </w:r>
          </w:p>
        </w:tc>
        <w:tc>
          <w:tcPr>
            <w:tcW w:w="710" w:type="dxa"/>
            <w:tcBorders>
              <w:right w:val="single" w:sz="4" w:space="0" w:color="auto"/>
            </w:tcBorders>
            <w:shd w:val="clear" w:color="auto" w:fill="auto"/>
            <w:noWrap/>
            <w:hideMark/>
          </w:tcPr>
          <w:p w14:paraId="369957B4"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0.86</w:t>
            </w:r>
          </w:p>
        </w:tc>
      </w:tr>
      <w:tr w:rsidR="000355E8" w:rsidRPr="005E5F15" w14:paraId="5A650E29" w14:textId="77777777" w:rsidTr="000C676A">
        <w:trPr>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tcBorders>
            <w:noWrap/>
            <w:hideMark/>
          </w:tcPr>
          <w:p w14:paraId="5A974C1C"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Gypsum (CaSO</w:t>
            </w:r>
            <w:r w:rsidRPr="005E5F15">
              <w:rPr>
                <w:rFonts w:ascii="Times New Roman" w:hAnsi="Times New Roman" w:cs="Times New Roman"/>
                <w:sz w:val="24"/>
                <w:szCs w:val="24"/>
                <w:vertAlign w:val="subscript"/>
              </w:rPr>
              <w:t>4</w:t>
            </w:r>
            <w:r w:rsidRPr="005E5F15">
              <w:rPr>
                <w:rFonts w:ascii="Times New Roman" w:hAnsi="Times New Roman" w:cs="Times New Roman"/>
                <w:sz w:val="24"/>
                <w:szCs w:val="24"/>
              </w:rPr>
              <w:t>.2H</w:t>
            </w:r>
            <w:r w:rsidRPr="005E5F15">
              <w:rPr>
                <w:rFonts w:ascii="Times New Roman" w:hAnsi="Times New Roman" w:cs="Times New Roman"/>
                <w:sz w:val="24"/>
                <w:szCs w:val="24"/>
                <w:vertAlign w:val="subscript"/>
              </w:rPr>
              <w:t>2</w:t>
            </w:r>
            <w:r w:rsidRPr="005E5F15">
              <w:rPr>
                <w:rFonts w:ascii="Times New Roman" w:hAnsi="Times New Roman" w:cs="Times New Roman"/>
                <w:sz w:val="24"/>
                <w:szCs w:val="24"/>
              </w:rPr>
              <w:t>O)</w:t>
            </w:r>
          </w:p>
        </w:tc>
        <w:tc>
          <w:tcPr>
            <w:tcW w:w="669" w:type="dxa"/>
            <w:noWrap/>
            <w:hideMark/>
          </w:tcPr>
          <w:p w14:paraId="794FB63E"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-1.63</w:t>
            </w:r>
          </w:p>
        </w:tc>
        <w:tc>
          <w:tcPr>
            <w:tcW w:w="840" w:type="dxa"/>
            <w:noWrap/>
            <w:hideMark/>
          </w:tcPr>
          <w:p w14:paraId="020F743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-4.16</w:t>
            </w:r>
          </w:p>
        </w:tc>
        <w:tc>
          <w:tcPr>
            <w:tcW w:w="839" w:type="dxa"/>
            <w:noWrap/>
            <w:hideMark/>
          </w:tcPr>
          <w:p w14:paraId="25E94575"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-2.83</w:t>
            </w:r>
          </w:p>
        </w:tc>
        <w:tc>
          <w:tcPr>
            <w:tcW w:w="809" w:type="dxa"/>
            <w:noWrap/>
            <w:hideMark/>
          </w:tcPr>
          <w:p w14:paraId="011A6231"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2.53</w:t>
            </w:r>
          </w:p>
        </w:tc>
        <w:tc>
          <w:tcPr>
            <w:tcW w:w="737" w:type="dxa"/>
            <w:tcBorders>
              <w:right w:val="single" w:sz="4" w:space="0" w:color="auto"/>
            </w:tcBorders>
            <w:noWrap/>
            <w:hideMark/>
          </w:tcPr>
          <w:p w14:paraId="6C359D42"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0.64</w:t>
            </w:r>
          </w:p>
        </w:tc>
        <w:tc>
          <w:tcPr>
            <w:tcW w:w="821" w:type="dxa"/>
            <w:gridSpan w:val="2"/>
            <w:tcBorders>
              <w:left w:val="single" w:sz="4" w:space="0" w:color="auto"/>
            </w:tcBorders>
            <w:noWrap/>
            <w:hideMark/>
          </w:tcPr>
          <w:p w14:paraId="5FDED44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-1.47</w:t>
            </w:r>
          </w:p>
        </w:tc>
        <w:tc>
          <w:tcPr>
            <w:tcW w:w="889" w:type="dxa"/>
            <w:noWrap/>
            <w:hideMark/>
          </w:tcPr>
          <w:p w14:paraId="028385F0"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-4.89</w:t>
            </w:r>
          </w:p>
        </w:tc>
        <w:tc>
          <w:tcPr>
            <w:tcW w:w="747" w:type="dxa"/>
            <w:noWrap/>
            <w:hideMark/>
          </w:tcPr>
          <w:p w14:paraId="0AB5F440"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-2.82</w:t>
            </w:r>
          </w:p>
        </w:tc>
        <w:tc>
          <w:tcPr>
            <w:tcW w:w="809" w:type="dxa"/>
          </w:tcPr>
          <w:p w14:paraId="0167E73D"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3.42</w:t>
            </w:r>
          </w:p>
        </w:tc>
        <w:tc>
          <w:tcPr>
            <w:tcW w:w="710" w:type="dxa"/>
            <w:tcBorders>
              <w:right w:val="single" w:sz="4" w:space="0" w:color="auto"/>
            </w:tcBorders>
            <w:noWrap/>
            <w:hideMark/>
          </w:tcPr>
          <w:p w14:paraId="0A1ECB2C" w14:textId="77777777" w:rsidR="000355E8" w:rsidRPr="005E5F15" w:rsidRDefault="000355E8" w:rsidP="000C676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0.60</w:t>
            </w:r>
          </w:p>
        </w:tc>
      </w:tr>
      <w:tr w:rsidR="000355E8" w:rsidRPr="005E5F15" w14:paraId="599A8DCE" w14:textId="77777777" w:rsidTr="000C676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7" w:type="dxa"/>
            <w:tcBorders>
              <w:left w:val="single" w:sz="4" w:space="0" w:color="auto"/>
              <w:bottom w:val="single" w:sz="4" w:space="0" w:color="auto"/>
            </w:tcBorders>
            <w:shd w:val="clear" w:color="auto" w:fill="auto"/>
            <w:noWrap/>
            <w:hideMark/>
          </w:tcPr>
          <w:p w14:paraId="71DD1BA7" w14:textId="77777777" w:rsidR="000355E8" w:rsidRPr="005E5F15" w:rsidRDefault="000355E8" w:rsidP="000C676A">
            <w:pPr>
              <w:jc w:val="both"/>
              <w:rPr>
                <w:rFonts w:ascii="Times New Roman" w:hAnsi="Times New Roman" w:cs="Times New Roman"/>
                <w:sz w:val="24"/>
                <w:szCs w:val="24"/>
              </w:rPr>
            </w:pPr>
            <w:r w:rsidRPr="005E5F15">
              <w:rPr>
                <w:rFonts w:ascii="Times New Roman" w:hAnsi="Times New Roman" w:cs="Times New Roman"/>
                <w:sz w:val="24"/>
                <w:szCs w:val="24"/>
              </w:rPr>
              <w:t>Halite (NaCl)</w:t>
            </w:r>
          </w:p>
        </w:tc>
        <w:tc>
          <w:tcPr>
            <w:tcW w:w="669" w:type="dxa"/>
            <w:tcBorders>
              <w:bottom w:val="single" w:sz="4" w:space="0" w:color="auto"/>
            </w:tcBorders>
            <w:shd w:val="clear" w:color="auto" w:fill="auto"/>
            <w:noWrap/>
            <w:hideMark/>
          </w:tcPr>
          <w:p w14:paraId="4A7ACA0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-6.60</w:t>
            </w:r>
          </w:p>
        </w:tc>
        <w:tc>
          <w:tcPr>
            <w:tcW w:w="840" w:type="dxa"/>
            <w:tcBorders>
              <w:bottom w:val="single" w:sz="4" w:space="0" w:color="auto"/>
            </w:tcBorders>
            <w:shd w:val="clear" w:color="auto" w:fill="auto"/>
            <w:noWrap/>
            <w:hideMark/>
          </w:tcPr>
          <w:p w14:paraId="63A57231"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-10.23</w:t>
            </w:r>
          </w:p>
        </w:tc>
        <w:tc>
          <w:tcPr>
            <w:tcW w:w="839" w:type="dxa"/>
            <w:tcBorders>
              <w:bottom w:val="single" w:sz="4" w:space="0" w:color="auto"/>
            </w:tcBorders>
            <w:shd w:val="clear" w:color="auto" w:fill="auto"/>
            <w:noWrap/>
            <w:hideMark/>
          </w:tcPr>
          <w:p w14:paraId="5D1AA11C"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-7.94</w:t>
            </w:r>
          </w:p>
        </w:tc>
        <w:tc>
          <w:tcPr>
            <w:tcW w:w="809" w:type="dxa"/>
            <w:tcBorders>
              <w:bottom w:val="single" w:sz="4" w:space="0" w:color="auto"/>
            </w:tcBorders>
            <w:shd w:val="clear" w:color="auto" w:fill="auto"/>
            <w:noWrap/>
            <w:hideMark/>
          </w:tcPr>
          <w:p w14:paraId="61A38AC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3.63</w:t>
            </w:r>
          </w:p>
        </w:tc>
        <w:tc>
          <w:tcPr>
            <w:tcW w:w="737" w:type="dxa"/>
            <w:tcBorders>
              <w:bottom w:val="single" w:sz="4" w:space="0" w:color="auto"/>
              <w:right w:val="single" w:sz="4" w:space="0" w:color="auto"/>
            </w:tcBorders>
            <w:shd w:val="clear" w:color="auto" w:fill="auto"/>
            <w:noWrap/>
            <w:hideMark/>
          </w:tcPr>
          <w:p w14:paraId="5A1106A8"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0.88</w:t>
            </w:r>
          </w:p>
        </w:tc>
        <w:tc>
          <w:tcPr>
            <w:tcW w:w="821" w:type="dxa"/>
            <w:gridSpan w:val="2"/>
            <w:tcBorders>
              <w:left w:val="single" w:sz="4" w:space="0" w:color="auto"/>
              <w:bottom w:val="single" w:sz="4" w:space="0" w:color="auto"/>
            </w:tcBorders>
            <w:shd w:val="clear" w:color="auto" w:fill="auto"/>
            <w:noWrap/>
            <w:hideMark/>
          </w:tcPr>
          <w:p w14:paraId="5A39449B"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-6.51</w:t>
            </w:r>
          </w:p>
        </w:tc>
        <w:tc>
          <w:tcPr>
            <w:tcW w:w="889" w:type="dxa"/>
            <w:tcBorders>
              <w:bottom w:val="single" w:sz="4" w:space="0" w:color="auto"/>
            </w:tcBorders>
            <w:shd w:val="clear" w:color="auto" w:fill="auto"/>
            <w:noWrap/>
            <w:hideMark/>
          </w:tcPr>
          <w:p w14:paraId="6209C586"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-9.34</w:t>
            </w:r>
          </w:p>
        </w:tc>
        <w:tc>
          <w:tcPr>
            <w:tcW w:w="747" w:type="dxa"/>
            <w:tcBorders>
              <w:bottom w:val="single" w:sz="4" w:space="0" w:color="auto"/>
            </w:tcBorders>
            <w:shd w:val="clear" w:color="auto" w:fill="auto"/>
            <w:noWrap/>
            <w:hideMark/>
          </w:tcPr>
          <w:p w14:paraId="2BEB9001"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-7.46</w:t>
            </w:r>
          </w:p>
        </w:tc>
        <w:tc>
          <w:tcPr>
            <w:tcW w:w="809" w:type="dxa"/>
            <w:tcBorders>
              <w:bottom w:val="single" w:sz="4" w:space="0" w:color="auto"/>
            </w:tcBorders>
            <w:shd w:val="clear" w:color="auto" w:fill="auto"/>
          </w:tcPr>
          <w:p w14:paraId="0700468A"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2.83</w:t>
            </w:r>
          </w:p>
        </w:tc>
        <w:tc>
          <w:tcPr>
            <w:tcW w:w="710" w:type="dxa"/>
            <w:tcBorders>
              <w:bottom w:val="single" w:sz="4" w:space="0" w:color="auto"/>
              <w:right w:val="single" w:sz="4" w:space="0" w:color="auto"/>
            </w:tcBorders>
            <w:shd w:val="clear" w:color="auto" w:fill="auto"/>
            <w:noWrap/>
            <w:hideMark/>
          </w:tcPr>
          <w:p w14:paraId="309EDD3F" w14:textId="77777777" w:rsidR="000355E8" w:rsidRPr="005E5F15" w:rsidRDefault="000355E8" w:rsidP="000C67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F15">
              <w:rPr>
                <w:rFonts w:ascii="Times New Roman" w:hAnsi="Times New Roman" w:cs="Times New Roman"/>
                <w:sz w:val="24"/>
                <w:szCs w:val="24"/>
              </w:rPr>
              <w:t>0.59</w:t>
            </w:r>
          </w:p>
        </w:tc>
      </w:tr>
      <w:bookmarkEnd w:id="12"/>
    </w:tbl>
    <w:p w14:paraId="193F0276" w14:textId="77777777" w:rsidR="000355E8" w:rsidRPr="005E5F15" w:rsidRDefault="000355E8" w:rsidP="000355E8">
      <w:pPr>
        <w:jc w:val="both"/>
        <w:rPr>
          <w:rFonts w:ascii="Times New Roman" w:hAnsi="Times New Roman" w:cs="Times New Roman"/>
          <w:sz w:val="24"/>
          <w:szCs w:val="24"/>
        </w:rPr>
      </w:pPr>
    </w:p>
    <w:p w14:paraId="214E2E8D" w14:textId="2A232A4A" w:rsidR="00016D1C" w:rsidRPr="005E5F15" w:rsidRDefault="00016D1C" w:rsidP="00016D1C">
      <w:pPr>
        <w:spacing w:after="0"/>
        <w:jc w:val="both"/>
        <w:rPr>
          <w:rFonts w:ascii="Times New Roman" w:hAnsi="Times New Roman" w:cs="Times New Roman"/>
          <w:sz w:val="24"/>
          <w:szCs w:val="24"/>
        </w:rPr>
      </w:pPr>
    </w:p>
    <w:p w14:paraId="17E16BEC" w14:textId="169AB252" w:rsidR="00007FC7" w:rsidRPr="005E5F15" w:rsidRDefault="00007FC7" w:rsidP="00007FC7">
      <w:pPr>
        <w:spacing w:after="0" w:line="240" w:lineRule="auto"/>
        <w:jc w:val="both"/>
        <w:rPr>
          <w:rFonts w:ascii="Times New Roman" w:hAnsi="Times New Roman" w:cs="Times New Roman"/>
          <w:sz w:val="24"/>
          <w:szCs w:val="24"/>
        </w:rPr>
      </w:pPr>
      <w:r w:rsidRPr="005E5F15">
        <w:rPr>
          <w:rFonts w:ascii="Times New Roman" w:hAnsi="Times New Roman" w:cs="Times New Roman"/>
          <w:noProof/>
          <w:sz w:val="24"/>
          <w:szCs w:val="24"/>
        </w:rPr>
        <w:lastRenderedPageBreak/>
        <w:drawing>
          <wp:inline distT="0" distB="0" distL="0" distR="0" wp14:anchorId="7B95BF82" wp14:editId="2454B75F">
            <wp:extent cx="5570855" cy="5124893"/>
            <wp:effectExtent l="0" t="0" r="0" b="0"/>
            <wp:docPr id="927263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188"/>
                    <a:stretch/>
                  </pic:blipFill>
                  <pic:spPr bwMode="auto">
                    <a:xfrm>
                      <a:off x="0" y="0"/>
                      <a:ext cx="5577337" cy="5130857"/>
                    </a:xfrm>
                    <a:prstGeom prst="rect">
                      <a:avLst/>
                    </a:prstGeom>
                    <a:noFill/>
                    <a:ln>
                      <a:noFill/>
                    </a:ln>
                    <a:extLst>
                      <a:ext uri="{53640926-AAD7-44D8-BBD7-CCE9431645EC}">
                        <a14:shadowObscured xmlns:a14="http://schemas.microsoft.com/office/drawing/2010/main"/>
                      </a:ext>
                    </a:extLst>
                  </pic:spPr>
                </pic:pic>
              </a:graphicData>
            </a:graphic>
          </wp:inline>
        </w:drawing>
      </w:r>
    </w:p>
    <w:p w14:paraId="339DC445" w14:textId="62C1ED3C" w:rsidR="00007FC7" w:rsidRPr="005E5F15" w:rsidRDefault="00007FC7" w:rsidP="00007FC7">
      <w:pPr>
        <w:jc w:val="both"/>
        <w:rPr>
          <w:rFonts w:ascii="Times New Roman" w:hAnsi="Times New Roman" w:cs="Times New Roman"/>
          <w:sz w:val="24"/>
          <w:szCs w:val="24"/>
        </w:rPr>
      </w:pPr>
      <w:bookmarkStart w:id="14" w:name="_Toc158760290"/>
      <w:r w:rsidRPr="005E5F15">
        <w:rPr>
          <w:rFonts w:ascii="Times New Roman" w:hAnsi="Times New Roman" w:cs="Times New Roman"/>
          <w:sz w:val="24"/>
          <w:szCs w:val="24"/>
        </w:rPr>
        <w:t>Fig</w:t>
      </w:r>
      <w:r w:rsidR="0051063B" w:rsidRPr="005E5F15">
        <w:rPr>
          <w:rFonts w:ascii="Times New Roman" w:hAnsi="Times New Roman" w:cs="Times New Roman"/>
          <w:sz w:val="24"/>
          <w:szCs w:val="24"/>
        </w:rPr>
        <w:t xml:space="preserve"> 10.</w:t>
      </w:r>
      <w:r w:rsidRPr="005E5F15">
        <w:rPr>
          <w:rFonts w:ascii="Times New Roman" w:hAnsi="Times New Roman" w:cs="Times New Roman"/>
          <w:sz w:val="24"/>
          <w:szCs w:val="24"/>
        </w:rPr>
        <w:t xml:space="preserve"> Plot of saturation indices (SI) of carbonate and sulphate minerals as a function of TDS for groundwater of the Enugu regolith aquifer during the (</w:t>
      </w:r>
      <w:r w:rsidR="0051063B" w:rsidRPr="005E5F15">
        <w:rPr>
          <w:rFonts w:ascii="Times New Roman" w:hAnsi="Times New Roman" w:cs="Times New Roman"/>
          <w:sz w:val="24"/>
          <w:szCs w:val="24"/>
        </w:rPr>
        <w:t>A</w:t>
      </w:r>
      <w:r w:rsidRPr="005E5F15">
        <w:rPr>
          <w:rFonts w:ascii="Times New Roman" w:hAnsi="Times New Roman" w:cs="Times New Roman"/>
          <w:sz w:val="24"/>
          <w:szCs w:val="24"/>
        </w:rPr>
        <w:t>) rainy season (</w:t>
      </w:r>
      <w:r w:rsidR="0051063B" w:rsidRPr="005E5F15">
        <w:rPr>
          <w:rFonts w:ascii="Times New Roman" w:hAnsi="Times New Roman" w:cs="Times New Roman"/>
          <w:sz w:val="24"/>
          <w:szCs w:val="24"/>
        </w:rPr>
        <w:t>B</w:t>
      </w:r>
      <w:r w:rsidRPr="005E5F15">
        <w:rPr>
          <w:rFonts w:ascii="Times New Roman" w:hAnsi="Times New Roman" w:cs="Times New Roman"/>
          <w:sz w:val="24"/>
          <w:szCs w:val="24"/>
        </w:rPr>
        <w:t>) dry seasons</w:t>
      </w:r>
      <w:bookmarkEnd w:id="14"/>
    </w:p>
    <w:p w14:paraId="31944966" w14:textId="77777777" w:rsidR="00277818" w:rsidRPr="005E5F15" w:rsidRDefault="00277818" w:rsidP="00277818">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 xml:space="preserve">4.6 </w:t>
      </w:r>
      <w:bookmarkStart w:id="15" w:name="_Hlk205458045"/>
      <w:r w:rsidRPr="005E5F15">
        <w:rPr>
          <w:rFonts w:ascii="Times New Roman" w:hAnsi="Times New Roman" w:cs="Times New Roman"/>
          <w:b/>
          <w:bCs/>
          <w:sz w:val="24"/>
          <w:szCs w:val="24"/>
          <w:lang w:val="en-US"/>
        </w:rPr>
        <w:t>Synthesis and Implications</w:t>
      </w:r>
    </w:p>
    <w:p w14:paraId="499EA732"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sz w:val="24"/>
          <w:szCs w:val="24"/>
          <w:lang w:eastAsia="en-GB" w:bidi="ar-SA"/>
        </w:rPr>
        <w:t xml:space="preserve">The integration of </w:t>
      </w:r>
      <w:r w:rsidRPr="00925A80">
        <w:rPr>
          <w:rFonts w:ascii="Times New Roman" w:eastAsia="Times New Roman" w:hAnsi="Times New Roman" w:cs="Times New Roman"/>
          <w:bCs/>
          <w:sz w:val="24"/>
          <w:szCs w:val="24"/>
          <w:lang w:eastAsia="en-GB" w:bidi="ar-SA"/>
        </w:rPr>
        <w:t>graphical</w:t>
      </w:r>
      <w:r w:rsidRPr="00925A80">
        <w:rPr>
          <w:rFonts w:ascii="Times New Roman" w:eastAsia="Times New Roman" w:hAnsi="Times New Roman" w:cs="Times New Roman"/>
          <w:sz w:val="24"/>
          <w:szCs w:val="24"/>
          <w:lang w:eastAsia="en-GB" w:bidi="ar-SA"/>
        </w:rPr>
        <w:t xml:space="preserve">, </w:t>
      </w:r>
      <w:r w:rsidRPr="00925A80">
        <w:rPr>
          <w:rFonts w:ascii="Times New Roman" w:eastAsia="Times New Roman" w:hAnsi="Times New Roman" w:cs="Times New Roman"/>
          <w:bCs/>
          <w:sz w:val="24"/>
          <w:szCs w:val="24"/>
          <w:lang w:eastAsia="en-GB" w:bidi="ar-SA"/>
        </w:rPr>
        <w:t>statistical</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thermodynamic</w:t>
      </w:r>
      <w:r w:rsidRPr="00925A80">
        <w:rPr>
          <w:rFonts w:ascii="Times New Roman" w:eastAsia="Times New Roman" w:hAnsi="Times New Roman" w:cs="Times New Roman"/>
          <w:sz w:val="24"/>
          <w:szCs w:val="24"/>
          <w:lang w:eastAsia="en-GB" w:bidi="ar-SA"/>
        </w:rPr>
        <w:t xml:space="preserve"> analyses highlights a hydrogeochemical evolution pathway primarily governed by </w:t>
      </w:r>
      <w:r w:rsidRPr="00925A80">
        <w:rPr>
          <w:rFonts w:ascii="Times New Roman" w:eastAsia="Times New Roman" w:hAnsi="Times New Roman" w:cs="Times New Roman"/>
          <w:bCs/>
          <w:sz w:val="24"/>
          <w:szCs w:val="24"/>
          <w:lang w:eastAsia="en-GB" w:bidi="ar-SA"/>
        </w:rPr>
        <w:t>silicate weathering</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cation exchange</w:t>
      </w:r>
      <w:r w:rsidRPr="00925A80">
        <w:rPr>
          <w:rFonts w:ascii="Times New Roman" w:eastAsia="Times New Roman" w:hAnsi="Times New Roman" w:cs="Times New Roman"/>
          <w:sz w:val="24"/>
          <w:szCs w:val="24"/>
          <w:lang w:eastAsia="en-GB" w:bidi="ar-SA"/>
        </w:rPr>
        <w:t xml:space="preserve">, with minimal contribution from carbonate equilibrium. These processes suggest that the aquifer is in an </w:t>
      </w:r>
      <w:r w:rsidRPr="00925A80">
        <w:rPr>
          <w:rFonts w:ascii="Times New Roman" w:eastAsia="Times New Roman" w:hAnsi="Times New Roman" w:cs="Times New Roman"/>
          <w:bCs/>
          <w:sz w:val="24"/>
          <w:szCs w:val="24"/>
          <w:lang w:eastAsia="en-GB" w:bidi="ar-SA"/>
        </w:rPr>
        <w:t>early stage of geochemical maturity</w:t>
      </w:r>
      <w:r w:rsidRPr="00925A80">
        <w:rPr>
          <w:rFonts w:ascii="Times New Roman" w:eastAsia="Times New Roman" w:hAnsi="Times New Roman" w:cs="Times New Roman"/>
          <w:sz w:val="24"/>
          <w:szCs w:val="24"/>
          <w:lang w:eastAsia="en-GB" w:bidi="ar-SA"/>
        </w:rPr>
        <w:t>, undergoing dynamic evolution influenced by both natural and anthropogenic factors.</w:t>
      </w:r>
    </w:p>
    <w:p w14:paraId="6680FA62"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bCs/>
          <w:sz w:val="24"/>
          <w:szCs w:val="24"/>
          <w:lang w:eastAsia="en-GB" w:bidi="ar-SA"/>
        </w:rPr>
        <w:t>Urbanization</w:t>
      </w:r>
      <w:r w:rsidRPr="00925A80">
        <w:rPr>
          <w:rFonts w:ascii="Times New Roman" w:eastAsia="Times New Roman" w:hAnsi="Times New Roman" w:cs="Times New Roman"/>
          <w:sz w:val="24"/>
          <w:szCs w:val="24"/>
          <w:lang w:eastAsia="en-GB" w:bidi="ar-SA"/>
        </w:rPr>
        <w:t xml:space="preserve"> has exacerbated solute loading through increased surface runoff, leachate infiltration, and disruption of natural flow regimes. These modifications have altered the hydrochemical baseline and accelerated geochemical transformations within the aquifer system.</w:t>
      </w:r>
    </w:p>
    <w:p w14:paraId="7D127DE7"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sz w:val="24"/>
          <w:szCs w:val="24"/>
          <w:lang w:eastAsia="en-GB" w:bidi="ar-SA"/>
        </w:rPr>
        <w:t xml:space="preserve">The </w:t>
      </w:r>
      <w:r w:rsidRPr="00925A80">
        <w:rPr>
          <w:rFonts w:ascii="Times New Roman" w:eastAsia="Times New Roman" w:hAnsi="Times New Roman" w:cs="Times New Roman"/>
          <w:bCs/>
          <w:sz w:val="24"/>
          <w:szCs w:val="24"/>
          <w:lang w:eastAsia="en-GB" w:bidi="ar-SA"/>
        </w:rPr>
        <w:t>widespread undersaturation</w:t>
      </w:r>
      <w:r w:rsidRPr="00925A80">
        <w:rPr>
          <w:rFonts w:ascii="Times New Roman" w:eastAsia="Times New Roman" w:hAnsi="Times New Roman" w:cs="Times New Roman"/>
          <w:sz w:val="24"/>
          <w:szCs w:val="24"/>
          <w:lang w:eastAsia="en-GB" w:bidi="ar-SA"/>
        </w:rPr>
        <w:t xml:space="preserve"> with respect to carbonate (e.g., calcite, dolomite) and </w:t>
      </w:r>
      <w:proofErr w:type="spellStart"/>
      <w:r w:rsidRPr="00925A80">
        <w:rPr>
          <w:rFonts w:ascii="Times New Roman" w:eastAsia="Times New Roman" w:hAnsi="Times New Roman" w:cs="Times New Roman"/>
          <w:sz w:val="24"/>
          <w:szCs w:val="24"/>
          <w:lang w:eastAsia="en-GB" w:bidi="ar-SA"/>
        </w:rPr>
        <w:t>sulfate</w:t>
      </w:r>
      <w:proofErr w:type="spellEnd"/>
      <w:r w:rsidRPr="00925A80">
        <w:rPr>
          <w:rFonts w:ascii="Times New Roman" w:eastAsia="Times New Roman" w:hAnsi="Times New Roman" w:cs="Times New Roman"/>
          <w:sz w:val="24"/>
          <w:szCs w:val="24"/>
          <w:lang w:eastAsia="en-GB" w:bidi="ar-SA"/>
        </w:rPr>
        <w:t xml:space="preserve"> (e.g., gypsum) minerals implies a </w:t>
      </w:r>
      <w:r w:rsidRPr="00925A80">
        <w:rPr>
          <w:rFonts w:ascii="Times New Roman" w:eastAsia="Times New Roman" w:hAnsi="Times New Roman" w:cs="Times New Roman"/>
          <w:bCs/>
          <w:sz w:val="24"/>
          <w:szCs w:val="24"/>
          <w:lang w:eastAsia="en-GB" w:bidi="ar-SA"/>
        </w:rPr>
        <w:t>low buffering capacity</w:t>
      </w:r>
      <w:r w:rsidRPr="00925A80">
        <w:rPr>
          <w:rFonts w:ascii="Times New Roman" w:eastAsia="Times New Roman" w:hAnsi="Times New Roman" w:cs="Times New Roman"/>
          <w:sz w:val="24"/>
          <w:szCs w:val="24"/>
          <w:lang w:eastAsia="en-GB" w:bidi="ar-SA"/>
        </w:rPr>
        <w:t xml:space="preserve">, rendering the aquifer vulnerable to </w:t>
      </w:r>
      <w:r w:rsidRPr="00925A80">
        <w:rPr>
          <w:rFonts w:ascii="Times New Roman" w:eastAsia="Times New Roman" w:hAnsi="Times New Roman" w:cs="Times New Roman"/>
          <w:bCs/>
          <w:sz w:val="24"/>
          <w:szCs w:val="24"/>
          <w:lang w:eastAsia="en-GB" w:bidi="ar-SA"/>
        </w:rPr>
        <w:lastRenderedPageBreak/>
        <w:t>acidification</w:t>
      </w:r>
      <w:r w:rsidRPr="00925A80">
        <w:rPr>
          <w:rFonts w:ascii="Times New Roman" w:eastAsia="Times New Roman" w:hAnsi="Times New Roman" w:cs="Times New Roman"/>
          <w:sz w:val="24"/>
          <w:szCs w:val="24"/>
          <w:lang w:eastAsia="en-GB" w:bidi="ar-SA"/>
        </w:rPr>
        <w:t xml:space="preserve">, enhanced </w:t>
      </w:r>
      <w:r w:rsidRPr="00925A80">
        <w:rPr>
          <w:rFonts w:ascii="Times New Roman" w:eastAsia="Times New Roman" w:hAnsi="Times New Roman" w:cs="Times New Roman"/>
          <w:bCs/>
          <w:sz w:val="24"/>
          <w:szCs w:val="24"/>
          <w:lang w:eastAsia="en-GB" w:bidi="ar-SA"/>
        </w:rPr>
        <w:t>trace metal mobility</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infrastructure corrosion</w:t>
      </w:r>
      <w:r w:rsidRPr="00925A80">
        <w:rPr>
          <w:rFonts w:ascii="Times New Roman" w:eastAsia="Times New Roman" w:hAnsi="Times New Roman" w:cs="Times New Roman"/>
          <w:sz w:val="24"/>
          <w:szCs w:val="24"/>
          <w:lang w:eastAsia="en-GB" w:bidi="ar-SA"/>
        </w:rPr>
        <w:t xml:space="preserve">. These geochemical conditions could have significant implications for groundwater </w:t>
      </w:r>
      <w:r w:rsidRPr="00925A80">
        <w:rPr>
          <w:rFonts w:ascii="Times New Roman" w:eastAsia="Times New Roman" w:hAnsi="Times New Roman" w:cs="Times New Roman"/>
          <w:bCs/>
          <w:sz w:val="24"/>
          <w:szCs w:val="24"/>
          <w:lang w:eastAsia="en-GB" w:bidi="ar-SA"/>
        </w:rPr>
        <w:t>potability</w:t>
      </w:r>
      <w:r w:rsidRPr="00925A80">
        <w:rPr>
          <w:rFonts w:ascii="Times New Roman" w:eastAsia="Times New Roman" w:hAnsi="Times New Roman" w:cs="Times New Roman"/>
          <w:sz w:val="24"/>
          <w:szCs w:val="24"/>
          <w:lang w:eastAsia="en-GB" w:bidi="ar-SA"/>
        </w:rPr>
        <w:t xml:space="preserve">, </w:t>
      </w:r>
      <w:r w:rsidRPr="00925A80">
        <w:rPr>
          <w:rFonts w:ascii="Times New Roman" w:eastAsia="Times New Roman" w:hAnsi="Times New Roman" w:cs="Times New Roman"/>
          <w:bCs/>
          <w:sz w:val="24"/>
          <w:szCs w:val="24"/>
          <w:lang w:eastAsia="en-GB" w:bidi="ar-SA"/>
        </w:rPr>
        <w:t>irrigation suitability</w:t>
      </w:r>
      <w:r w:rsidRPr="00925A80">
        <w:rPr>
          <w:rFonts w:ascii="Times New Roman" w:eastAsia="Times New Roman" w:hAnsi="Times New Roman" w:cs="Times New Roman"/>
          <w:sz w:val="24"/>
          <w:szCs w:val="24"/>
          <w:lang w:eastAsia="en-GB" w:bidi="ar-SA"/>
        </w:rPr>
        <w:t xml:space="preserve">, and </w:t>
      </w:r>
      <w:r w:rsidRPr="00925A80">
        <w:rPr>
          <w:rFonts w:ascii="Times New Roman" w:eastAsia="Times New Roman" w:hAnsi="Times New Roman" w:cs="Times New Roman"/>
          <w:bCs/>
          <w:sz w:val="24"/>
          <w:szCs w:val="24"/>
          <w:lang w:eastAsia="en-GB" w:bidi="ar-SA"/>
        </w:rPr>
        <w:t>pipe material degradation</w:t>
      </w:r>
      <w:r w:rsidRPr="00925A80">
        <w:rPr>
          <w:rFonts w:ascii="Times New Roman" w:eastAsia="Times New Roman" w:hAnsi="Times New Roman" w:cs="Times New Roman"/>
          <w:sz w:val="24"/>
          <w:szCs w:val="24"/>
          <w:lang w:eastAsia="en-GB" w:bidi="ar-SA"/>
        </w:rPr>
        <w:t>, particularly in urban or peri-urban settings.</w:t>
      </w:r>
    </w:p>
    <w:p w14:paraId="4975143C" w14:textId="77777777" w:rsidR="00925A80" w:rsidRPr="00925A80" w:rsidRDefault="00925A80" w:rsidP="00925A80">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925A80">
        <w:rPr>
          <w:rFonts w:ascii="Times New Roman" w:eastAsia="Times New Roman" w:hAnsi="Times New Roman" w:cs="Times New Roman"/>
          <w:sz w:val="24"/>
          <w:szCs w:val="24"/>
          <w:lang w:eastAsia="en-GB" w:bidi="ar-SA"/>
        </w:rPr>
        <w:t xml:space="preserve">The evolving chemical composition of groundwater also reflects ongoing </w:t>
      </w:r>
      <w:r w:rsidRPr="00925A80">
        <w:rPr>
          <w:rFonts w:ascii="Times New Roman" w:eastAsia="Times New Roman" w:hAnsi="Times New Roman" w:cs="Times New Roman"/>
          <w:bCs/>
          <w:sz w:val="24"/>
          <w:szCs w:val="24"/>
          <w:lang w:eastAsia="en-GB" w:bidi="ar-SA"/>
        </w:rPr>
        <w:t>water–rock interaction</w:t>
      </w:r>
      <w:r w:rsidRPr="00925A80">
        <w:rPr>
          <w:rFonts w:ascii="Times New Roman" w:eastAsia="Times New Roman" w:hAnsi="Times New Roman" w:cs="Times New Roman"/>
          <w:sz w:val="24"/>
          <w:szCs w:val="24"/>
          <w:lang w:eastAsia="en-GB" w:bidi="ar-SA"/>
        </w:rPr>
        <w:t xml:space="preserve"> processes that should be continuously monitored, especially under changing land-use and climatic conditions. Proactive groundwater management and pollution mitigation strategies will be critical to preserving water quality and preventing long-term aquifer degradation.</w:t>
      </w:r>
    </w:p>
    <w:p w14:paraId="208D7911" w14:textId="77777777" w:rsidR="00925A80" w:rsidRPr="005E5F15" w:rsidRDefault="00925A80" w:rsidP="00277818">
      <w:pPr>
        <w:jc w:val="both"/>
        <w:rPr>
          <w:rFonts w:ascii="Times New Roman" w:hAnsi="Times New Roman" w:cs="Times New Roman"/>
          <w:sz w:val="24"/>
          <w:szCs w:val="24"/>
          <w:lang w:val="en-US"/>
        </w:rPr>
      </w:pPr>
    </w:p>
    <w:bookmarkEnd w:id="15"/>
    <w:p w14:paraId="002D4936" w14:textId="40CF00EC" w:rsidR="0080783E" w:rsidRPr="005E5F15" w:rsidRDefault="0080783E" w:rsidP="0080783E">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t xml:space="preserve">5. </w:t>
      </w:r>
      <w:r w:rsidR="00914802">
        <w:rPr>
          <w:rFonts w:ascii="Times New Roman" w:hAnsi="Times New Roman" w:cs="Times New Roman"/>
          <w:b/>
          <w:bCs/>
          <w:sz w:val="24"/>
          <w:szCs w:val="24"/>
          <w:lang w:val="en-US"/>
        </w:rPr>
        <w:t xml:space="preserve">Summary and </w:t>
      </w:r>
      <w:r w:rsidRPr="005E5F15">
        <w:rPr>
          <w:rFonts w:ascii="Times New Roman" w:hAnsi="Times New Roman" w:cs="Times New Roman"/>
          <w:b/>
          <w:bCs/>
          <w:sz w:val="24"/>
          <w:szCs w:val="24"/>
          <w:lang w:val="en-US"/>
        </w:rPr>
        <w:t>Conclusions</w:t>
      </w:r>
    </w:p>
    <w:p w14:paraId="44CC6AC1" w14:textId="77777777" w:rsidR="00B06B69" w:rsidRP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This study presents a comprehensive assessment of the </w:t>
      </w:r>
      <w:r w:rsidRPr="00B06B69">
        <w:rPr>
          <w:rFonts w:ascii="Times New Roman" w:eastAsia="Times New Roman" w:hAnsi="Times New Roman" w:cs="Times New Roman"/>
          <w:bCs/>
          <w:sz w:val="24"/>
          <w:szCs w:val="24"/>
          <w:lang w:eastAsia="en-GB" w:bidi="ar-SA"/>
        </w:rPr>
        <w:t>thermodynamic and</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hydrogeochemical evolution</w:t>
      </w:r>
      <w:r w:rsidRPr="00B06B69">
        <w:rPr>
          <w:rFonts w:ascii="Times New Roman" w:eastAsia="Times New Roman" w:hAnsi="Times New Roman" w:cs="Times New Roman"/>
          <w:sz w:val="24"/>
          <w:szCs w:val="24"/>
          <w:lang w:eastAsia="en-GB" w:bidi="ar-SA"/>
        </w:rPr>
        <w:t xml:space="preserve"> of the shallow aquifer in </w:t>
      </w:r>
      <w:r w:rsidRPr="00B06B69">
        <w:rPr>
          <w:rFonts w:ascii="Times New Roman" w:eastAsia="Times New Roman" w:hAnsi="Times New Roman" w:cs="Times New Roman"/>
          <w:bCs/>
          <w:sz w:val="24"/>
          <w:szCs w:val="24"/>
          <w:lang w:eastAsia="en-GB" w:bidi="ar-SA"/>
        </w:rPr>
        <w:t>Enugu Urban</w:t>
      </w:r>
      <w:r w:rsidRPr="00B06B69">
        <w:rPr>
          <w:rFonts w:ascii="Times New Roman" w:eastAsia="Times New Roman" w:hAnsi="Times New Roman" w:cs="Times New Roman"/>
          <w:sz w:val="24"/>
          <w:szCs w:val="24"/>
          <w:lang w:eastAsia="en-GB" w:bidi="ar-SA"/>
        </w:rPr>
        <w:t xml:space="preserve">, southeastern Nigeria. The findings indicate that groundwater chemistry is primarily influenced by </w:t>
      </w:r>
      <w:r w:rsidRPr="00B06B69">
        <w:rPr>
          <w:rFonts w:ascii="Times New Roman" w:eastAsia="Times New Roman" w:hAnsi="Times New Roman" w:cs="Times New Roman"/>
          <w:bCs/>
          <w:sz w:val="24"/>
          <w:szCs w:val="24"/>
          <w:lang w:eastAsia="en-GB" w:bidi="ar-SA"/>
        </w:rPr>
        <w:t>silicate</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weathering</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active cation exchange</w:t>
      </w:r>
      <w:r w:rsidRPr="00B06B69">
        <w:rPr>
          <w:rFonts w:ascii="Times New Roman" w:eastAsia="Times New Roman" w:hAnsi="Times New Roman" w:cs="Times New Roman"/>
          <w:sz w:val="24"/>
          <w:szCs w:val="24"/>
          <w:lang w:eastAsia="en-GB" w:bidi="ar-SA"/>
        </w:rPr>
        <w:t xml:space="preserve"> within the weathered and fractured </w:t>
      </w:r>
      <w:r w:rsidRPr="00B06B69">
        <w:rPr>
          <w:rFonts w:ascii="Times New Roman" w:eastAsia="Times New Roman" w:hAnsi="Times New Roman" w:cs="Times New Roman"/>
          <w:bCs/>
          <w:sz w:val="24"/>
          <w:szCs w:val="24"/>
          <w:lang w:eastAsia="en-GB" w:bidi="ar-SA"/>
        </w:rPr>
        <w:t>Enugu Shale</w:t>
      </w:r>
      <w:r w:rsidRPr="00B06B69">
        <w:rPr>
          <w:rFonts w:ascii="Times New Roman" w:eastAsia="Times New Roman" w:hAnsi="Times New Roman" w:cs="Times New Roman"/>
          <w:sz w:val="24"/>
          <w:szCs w:val="24"/>
          <w:lang w:eastAsia="en-GB" w:bidi="ar-SA"/>
        </w:rPr>
        <w:t xml:space="preserve">. The dominance of the </w:t>
      </w:r>
      <w:r w:rsidRPr="00B06B69">
        <w:rPr>
          <w:rFonts w:ascii="Times New Roman" w:eastAsia="Times New Roman" w:hAnsi="Times New Roman" w:cs="Times New Roman"/>
          <w:bCs/>
          <w:sz w:val="24"/>
          <w:szCs w:val="24"/>
          <w:lang w:eastAsia="en-GB" w:bidi="ar-SA"/>
        </w:rPr>
        <w:t>Na-HCO</w:t>
      </w:r>
      <w:r w:rsidRPr="00B06B69">
        <w:rPr>
          <w:rFonts w:ascii="Cambria Math" w:eastAsia="Times New Roman" w:hAnsi="Cambria Math" w:cs="Cambria Math"/>
          <w:bCs/>
          <w:sz w:val="24"/>
          <w:szCs w:val="24"/>
          <w:lang w:eastAsia="en-GB" w:bidi="ar-SA"/>
        </w:rPr>
        <w:t>₃</w:t>
      </w:r>
      <w:r w:rsidRPr="00B06B69">
        <w:rPr>
          <w:rFonts w:ascii="Times New Roman" w:eastAsia="Times New Roman" w:hAnsi="Times New Roman" w:cs="Times New Roman"/>
          <w:bCs/>
          <w:sz w:val="24"/>
          <w:szCs w:val="24"/>
          <w:lang w:eastAsia="en-GB" w:bidi="ar-SA"/>
        </w:rPr>
        <w:t xml:space="preserve"> facies</w:t>
      </w:r>
      <w:r w:rsidRPr="00B06B69">
        <w:rPr>
          <w:rFonts w:ascii="Times New Roman" w:eastAsia="Times New Roman" w:hAnsi="Times New Roman" w:cs="Times New Roman"/>
          <w:sz w:val="24"/>
          <w:szCs w:val="24"/>
          <w:lang w:eastAsia="en-GB" w:bidi="ar-SA"/>
        </w:rPr>
        <w:t xml:space="preserve">, along with spatial and seasonal variations in major ions and total dissolved solids (TDS), reflects a dynamic interplay between </w:t>
      </w:r>
      <w:r w:rsidRPr="00B06B69">
        <w:rPr>
          <w:rFonts w:ascii="Times New Roman" w:eastAsia="Times New Roman" w:hAnsi="Times New Roman" w:cs="Times New Roman"/>
          <w:bCs/>
          <w:sz w:val="24"/>
          <w:szCs w:val="24"/>
          <w:lang w:eastAsia="en-GB" w:bidi="ar-SA"/>
        </w:rPr>
        <w:t>natural geochemical</w:t>
      </w:r>
      <w:r w:rsidRPr="00B06B69">
        <w:rPr>
          <w:rFonts w:ascii="Times New Roman" w:eastAsia="Times New Roman" w:hAnsi="Times New Roman" w:cs="Times New Roman"/>
          <w:b/>
          <w:bCs/>
          <w:sz w:val="24"/>
          <w:szCs w:val="24"/>
          <w:lang w:eastAsia="en-GB" w:bidi="ar-SA"/>
        </w:rPr>
        <w:t xml:space="preserve"> processes</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anthropogenic pressures</w:t>
      </w:r>
      <w:r w:rsidRPr="00B06B69">
        <w:rPr>
          <w:rFonts w:ascii="Times New Roman" w:eastAsia="Times New Roman" w:hAnsi="Times New Roman" w:cs="Times New Roman"/>
          <w:sz w:val="24"/>
          <w:szCs w:val="24"/>
          <w:lang w:eastAsia="en-GB" w:bidi="ar-SA"/>
        </w:rPr>
        <w:t xml:space="preserve">, such as </w:t>
      </w:r>
      <w:r w:rsidRPr="00B06B69">
        <w:rPr>
          <w:rFonts w:ascii="Times New Roman" w:eastAsia="Times New Roman" w:hAnsi="Times New Roman" w:cs="Times New Roman"/>
          <w:bCs/>
          <w:sz w:val="24"/>
          <w:szCs w:val="24"/>
          <w:lang w:eastAsia="en-GB" w:bidi="ar-SA"/>
        </w:rPr>
        <w:t>urbanization</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land use change</w:t>
      </w:r>
      <w:r w:rsidRPr="00B06B69">
        <w:rPr>
          <w:rFonts w:ascii="Times New Roman" w:eastAsia="Times New Roman" w:hAnsi="Times New Roman" w:cs="Times New Roman"/>
          <w:sz w:val="24"/>
          <w:szCs w:val="24"/>
          <w:lang w:eastAsia="en-GB" w:bidi="ar-SA"/>
        </w:rPr>
        <w:t>.</w:t>
      </w:r>
    </w:p>
    <w:p w14:paraId="71284999" w14:textId="64ADAFBE" w:rsidR="00B06B69" w:rsidRP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PHREEQC modeling confirms that most groundwater samples are </w:t>
      </w:r>
      <w:r w:rsidRPr="00B06B69">
        <w:rPr>
          <w:rFonts w:ascii="Times New Roman" w:eastAsia="Times New Roman" w:hAnsi="Times New Roman" w:cs="Times New Roman"/>
          <w:bCs/>
          <w:sz w:val="24"/>
          <w:szCs w:val="24"/>
          <w:lang w:eastAsia="en-GB" w:bidi="ar-SA"/>
        </w:rPr>
        <w:t>undersaturated</w:t>
      </w:r>
      <w:r w:rsidRPr="00B06B69">
        <w:rPr>
          <w:rFonts w:ascii="Times New Roman" w:eastAsia="Times New Roman" w:hAnsi="Times New Roman" w:cs="Times New Roman"/>
          <w:sz w:val="24"/>
          <w:szCs w:val="24"/>
          <w:lang w:eastAsia="en-GB" w:bidi="ar-SA"/>
        </w:rPr>
        <w:t xml:space="preserve"> with respect to </w:t>
      </w:r>
      <w:r w:rsidRPr="00B06B69">
        <w:rPr>
          <w:rFonts w:ascii="Times New Roman" w:eastAsia="Times New Roman" w:hAnsi="Times New Roman" w:cs="Times New Roman"/>
          <w:bCs/>
          <w:sz w:val="24"/>
          <w:szCs w:val="24"/>
          <w:lang w:eastAsia="en-GB" w:bidi="ar-SA"/>
        </w:rPr>
        <w:t>calcite</w:t>
      </w:r>
      <w:r w:rsidRPr="00B06B69">
        <w:rPr>
          <w:rFonts w:ascii="Times New Roman" w:eastAsia="Times New Roman" w:hAnsi="Times New Roman" w:cs="Times New Roman"/>
          <w:sz w:val="24"/>
          <w:szCs w:val="24"/>
          <w:lang w:eastAsia="en-GB" w:bidi="ar-SA"/>
        </w:rPr>
        <w:t xml:space="preserve">, </w:t>
      </w:r>
      <w:r w:rsidRPr="00B06B69">
        <w:rPr>
          <w:rFonts w:ascii="Times New Roman" w:eastAsia="Times New Roman" w:hAnsi="Times New Roman" w:cs="Times New Roman"/>
          <w:bCs/>
          <w:sz w:val="24"/>
          <w:szCs w:val="24"/>
          <w:lang w:eastAsia="en-GB" w:bidi="ar-SA"/>
        </w:rPr>
        <w:t>dolomite</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gypsum</w:t>
      </w:r>
      <w:r w:rsidRPr="00B06B69">
        <w:rPr>
          <w:rFonts w:ascii="Times New Roman" w:eastAsia="Times New Roman" w:hAnsi="Times New Roman" w:cs="Times New Roman"/>
          <w:sz w:val="24"/>
          <w:szCs w:val="24"/>
          <w:lang w:eastAsia="en-GB" w:bidi="ar-SA"/>
        </w:rPr>
        <w:t xml:space="preserve">, suggesting ongoing </w:t>
      </w:r>
      <w:r w:rsidRPr="00B06B69">
        <w:rPr>
          <w:rFonts w:ascii="Times New Roman" w:eastAsia="Times New Roman" w:hAnsi="Times New Roman" w:cs="Times New Roman"/>
          <w:bCs/>
          <w:sz w:val="24"/>
          <w:szCs w:val="24"/>
          <w:lang w:eastAsia="en-GB" w:bidi="ar-SA"/>
        </w:rPr>
        <w:t>mineral dissolution</w:t>
      </w:r>
      <w:r w:rsidRPr="00B06B69">
        <w:rPr>
          <w:rFonts w:ascii="Times New Roman" w:eastAsia="Times New Roman" w:hAnsi="Times New Roman" w:cs="Times New Roman"/>
          <w:sz w:val="24"/>
          <w:szCs w:val="24"/>
          <w:lang w:eastAsia="en-GB" w:bidi="ar-SA"/>
        </w:rPr>
        <w:t xml:space="preserve"> and a </w:t>
      </w:r>
      <w:r w:rsidRPr="00B06B69">
        <w:rPr>
          <w:rFonts w:ascii="Times New Roman" w:eastAsia="Times New Roman" w:hAnsi="Times New Roman" w:cs="Times New Roman"/>
          <w:bCs/>
          <w:sz w:val="24"/>
          <w:szCs w:val="24"/>
          <w:lang w:eastAsia="en-GB" w:bidi="ar-SA"/>
        </w:rPr>
        <w:t>limited natural buffering capacity</w:t>
      </w:r>
      <w:r w:rsidRPr="00B06B69">
        <w:rPr>
          <w:rFonts w:ascii="Times New Roman" w:eastAsia="Times New Roman" w:hAnsi="Times New Roman" w:cs="Times New Roman"/>
          <w:sz w:val="24"/>
          <w:szCs w:val="24"/>
          <w:lang w:eastAsia="en-GB" w:bidi="ar-SA"/>
        </w:rPr>
        <w:t>. The persistence of ion exchange and widespread undersaturation further underscore</w:t>
      </w:r>
      <w:r w:rsidR="00F41197">
        <w:rPr>
          <w:rFonts w:ascii="Times New Roman" w:eastAsia="Times New Roman" w:hAnsi="Times New Roman" w:cs="Times New Roman"/>
          <w:sz w:val="24"/>
          <w:szCs w:val="24"/>
          <w:lang w:eastAsia="en-GB" w:bidi="ar-SA"/>
        </w:rPr>
        <w:t>s</w:t>
      </w:r>
      <w:r w:rsidRPr="00B06B69">
        <w:rPr>
          <w:rFonts w:ascii="Times New Roman" w:eastAsia="Times New Roman" w:hAnsi="Times New Roman" w:cs="Times New Roman"/>
          <w:sz w:val="24"/>
          <w:szCs w:val="24"/>
          <w:lang w:eastAsia="en-GB" w:bidi="ar-SA"/>
        </w:rPr>
        <w:t xml:space="preserve"> the aquifer's </w:t>
      </w:r>
      <w:r w:rsidRPr="00B06B69">
        <w:rPr>
          <w:rFonts w:ascii="Times New Roman" w:eastAsia="Times New Roman" w:hAnsi="Times New Roman" w:cs="Times New Roman"/>
          <w:bCs/>
          <w:sz w:val="24"/>
          <w:szCs w:val="24"/>
          <w:lang w:eastAsia="en-GB" w:bidi="ar-SA"/>
        </w:rPr>
        <w:t>vulnerability to acidification</w:t>
      </w:r>
      <w:r w:rsidRPr="00B06B69">
        <w:rPr>
          <w:rFonts w:ascii="Times New Roman" w:eastAsia="Times New Roman" w:hAnsi="Times New Roman" w:cs="Times New Roman"/>
          <w:sz w:val="24"/>
          <w:szCs w:val="24"/>
          <w:lang w:eastAsia="en-GB" w:bidi="ar-SA"/>
        </w:rPr>
        <w:t xml:space="preserve">, </w:t>
      </w:r>
      <w:r w:rsidRPr="00B06B69">
        <w:rPr>
          <w:rFonts w:ascii="Times New Roman" w:eastAsia="Times New Roman" w:hAnsi="Times New Roman" w:cs="Times New Roman"/>
          <w:bCs/>
          <w:sz w:val="24"/>
          <w:szCs w:val="24"/>
          <w:lang w:eastAsia="en-GB" w:bidi="ar-SA"/>
        </w:rPr>
        <w:t>trace metal</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mobilization</w:t>
      </w:r>
      <w:r w:rsidRPr="00B06B69">
        <w:rPr>
          <w:rFonts w:ascii="Times New Roman" w:eastAsia="Times New Roman" w:hAnsi="Times New Roman" w:cs="Times New Roman"/>
          <w:sz w:val="24"/>
          <w:szCs w:val="24"/>
          <w:lang w:eastAsia="en-GB" w:bidi="ar-SA"/>
        </w:rPr>
        <w:t>, and other external stresses.</w:t>
      </w:r>
    </w:p>
    <w:p w14:paraId="319C6A78" w14:textId="77777777" w:rsidR="00B06B69" w:rsidRPr="00B06B69"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While seasonal recharge and urban expansion continue to introduce new geochemical inputs and modify flow regimes, the aquifer’s evolution remains fundamentally controlled by </w:t>
      </w:r>
      <w:r w:rsidRPr="00B06B69">
        <w:rPr>
          <w:rFonts w:ascii="Times New Roman" w:eastAsia="Times New Roman" w:hAnsi="Times New Roman" w:cs="Times New Roman"/>
          <w:bCs/>
          <w:sz w:val="24"/>
          <w:szCs w:val="24"/>
          <w:lang w:eastAsia="en-GB" w:bidi="ar-SA"/>
        </w:rPr>
        <w:t>lithology</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water–rock interactions</w:t>
      </w:r>
      <w:r w:rsidRPr="00B06B69">
        <w:rPr>
          <w:rFonts w:ascii="Times New Roman" w:eastAsia="Times New Roman" w:hAnsi="Times New Roman" w:cs="Times New Roman"/>
          <w:sz w:val="24"/>
          <w:szCs w:val="24"/>
          <w:lang w:eastAsia="en-GB" w:bidi="ar-SA"/>
        </w:rPr>
        <w:t xml:space="preserve">. These insights emphasize the importance of </w:t>
      </w:r>
      <w:r w:rsidRPr="00B06B69">
        <w:rPr>
          <w:rFonts w:ascii="Times New Roman" w:eastAsia="Times New Roman" w:hAnsi="Times New Roman" w:cs="Times New Roman"/>
          <w:bCs/>
          <w:sz w:val="24"/>
          <w:szCs w:val="24"/>
          <w:lang w:eastAsia="en-GB" w:bidi="ar-SA"/>
        </w:rPr>
        <w:t>continuous monitoring</w:t>
      </w:r>
      <w:r w:rsidRPr="00B06B69">
        <w:rPr>
          <w:rFonts w:ascii="Times New Roman" w:eastAsia="Times New Roman" w:hAnsi="Times New Roman" w:cs="Times New Roman"/>
          <w:sz w:val="24"/>
          <w:szCs w:val="24"/>
          <w:lang w:eastAsia="en-GB" w:bidi="ar-SA"/>
        </w:rPr>
        <w:t xml:space="preserve">, </w:t>
      </w:r>
      <w:r w:rsidRPr="00B06B69">
        <w:rPr>
          <w:rFonts w:ascii="Times New Roman" w:eastAsia="Times New Roman" w:hAnsi="Times New Roman" w:cs="Times New Roman"/>
          <w:bCs/>
          <w:sz w:val="24"/>
          <w:szCs w:val="24"/>
          <w:lang w:eastAsia="en-GB" w:bidi="ar-SA"/>
        </w:rPr>
        <w:t>sustainable groundwater management</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protective measures</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for recharge zones</w:t>
      </w:r>
      <w:r w:rsidRPr="00B06B69">
        <w:rPr>
          <w:rFonts w:ascii="Times New Roman" w:eastAsia="Times New Roman" w:hAnsi="Times New Roman" w:cs="Times New Roman"/>
          <w:sz w:val="24"/>
          <w:szCs w:val="24"/>
          <w:lang w:eastAsia="en-GB" w:bidi="ar-SA"/>
        </w:rPr>
        <w:t xml:space="preserve"> to mitigate the effects of anthropogenic activities.</w:t>
      </w:r>
    </w:p>
    <w:p w14:paraId="086EED2E" w14:textId="38840E4F" w:rsidR="007932F0" w:rsidRDefault="00B06B69" w:rsidP="00B06B69">
      <w:pPr>
        <w:spacing w:before="100" w:beforeAutospacing="1" w:after="100" w:afterAutospacing="1" w:line="240" w:lineRule="auto"/>
        <w:jc w:val="both"/>
        <w:rPr>
          <w:rFonts w:ascii="Times New Roman" w:eastAsia="Times New Roman" w:hAnsi="Times New Roman" w:cs="Times New Roman"/>
          <w:sz w:val="24"/>
          <w:szCs w:val="24"/>
          <w:lang w:eastAsia="en-GB" w:bidi="ar-SA"/>
        </w:rPr>
      </w:pPr>
      <w:r w:rsidRPr="00B06B69">
        <w:rPr>
          <w:rFonts w:ascii="Times New Roman" w:eastAsia="Times New Roman" w:hAnsi="Times New Roman" w:cs="Times New Roman"/>
          <w:sz w:val="24"/>
          <w:szCs w:val="24"/>
          <w:lang w:eastAsia="en-GB" w:bidi="ar-SA"/>
        </w:rPr>
        <w:t xml:space="preserve">In </w:t>
      </w:r>
      <w:r w:rsidR="00914802">
        <w:rPr>
          <w:rFonts w:ascii="Times New Roman" w:eastAsia="Times New Roman" w:hAnsi="Times New Roman" w:cs="Times New Roman"/>
          <w:sz w:val="24"/>
          <w:szCs w:val="24"/>
          <w:lang w:eastAsia="en-GB" w:bidi="ar-SA"/>
        </w:rPr>
        <w:t>c</w:t>
      </w:r>
      <w:r w:rsidR="00914802" w:rsidRPr="00914802">
        <w:rPr>
          <w:rFonts w:ascii="Times New Roman" w:eastAsia="Times New Roman" w:hAnsi="Times New Roman" w:cs="Times New Roman"/>
          <w:sz w:val="24"/>
          <w:szCs w:val="24"/>
          <w:lang w:eastAsia="en-GB" w:bidi="ar-SA"/>
        </w:rPr>
        <w:t>onclusion</w:t>
      </w:r>
      <w:r w:rsidRPr="00B06B69">
        <w:rPr>
          <w:rFonts w:ascii="Times New Roman" w:eastAsia="Times New Roman" w:hAnsi="Times New Roman" w:cs="Times New Roman"/>
          <w:sz w:val="24"/>
          <w:szCs w:val="24"/>
          <w:lang w:eastAsia="en-GB" w:bidi="ar-SA"/>
        </w:rPr>
        <w:t xml:space="preserve">, the </w:t>
      </w:r>
      <w:r w:rsidRPr="00B06B69">
        <w:rPr>
          <w:rFonts w:ascii="Times New Roman" w:eastAsia="Times New Roman" w:hAnsi="Times New Roman" w:cs="Times New Roman"/>
          <w:bCs/>
          <w:sz w:val="24"/>
          <w:szCs w:val="24"/>
          <w:lang w:eastAsia="en-GB" w:bidi="ar-SA"/>
        </w:rPr>
        <w:t>shallow aquifer system in Enugu Urban</w:t>
      </w:r>
      <w:r w:rsidRPr="00B06B69">
        <w:rPr>
          <w:rFonts w:ascii="Times New Roman" w:eastAsia="Times New Roman" w:hAnsi="Times New Roman" w:cs="Times New Roman"/>
          <w:sz w:val="24"/>
          <w:szCs w:val="24"/>
          <w:lang w:eastAsia="en-GB" w:bidi="ar-SA"/>
        </w:rPr>
        <w:t xml:space="preserve"> is a </w:t>
      </w:r>
      <w:r w:rsidRPr="00B06B69">
        <w:rPr>
          <w:rFonts w:ascii="Times New Roman" w:eastAsia="Times New Roman" w:hAnsi="Times New Roman" w:cs="Times New Roman"/>
          <w:bCs/>
          <w:sz w:val="24"/>
          <w:szCs w:val="24"/>
          <w:lang w:eastAsia="en-GB" w:bidi="ar-SA"/>
        </w:rPr>
        <w:t>dynamically evolving</w:t>
      </w:r>
      <w:r w:rsidRPr="00B06B69">
        <w:rPr>
          <w:rFonts w:ascii="Times New Roman" w:eastAsia="Times New Roman" w:hAnsi="Times New Roman" w:cs="Times New Roman"/>
          <w:sz w:val="24"/>
          <w:szCs w:val="24"/>
          <w:lang w:eastAsia="en-GB" w:bidi="ar-SA"/>
        </w:rPr>
        <w:t xml:space="preserve"> and </w:t>
      </w:r>
      <w:r w:rsidRPr="00B06B69">
        <w:rPr>
          <w:rFonts w:ascii="Times New Roman" w:eastAsia="Times New Roman" w:hAnsi="Times New Roman" w:cs="Times New Roman"/>
          <w:bCs/>
          <w:sz w:val="24"/>
          <w:szCs w:val="24"/>
          <w:lang w:eastAsia="en-GB" w:bidi="ar-SA"/>
        </w:rPr>
        <w:t>geochemically immature</w:t>
      </w:r>
      <w:r w:rsidRPr="00B06B69">
        <w:rPr>
          <w:rFonts w:ascii="Times New Roman" w:eastAsia="Times New Roman" w:hAnsi="Times New Roman" w:cs="Times New Roman"/>
          <w:sz w:val="24"/>
          <w:szCs w:val="24"/>
          <w:lang w:eastAsia="en-GB" w:bidi="ar-SA"/>
        </w:rPr>
        <w:t xml:space="preserve"> environment, shaped by both </w:t>
      </w:r>
      <w:r w:rsidRPr="00B06B69">
        <w:rPr>
          <w:rFonts w:ascii="Times New Roman" w:eastAsia="Times New Roman" w:hAnsi="Times New Roman" w:cs="Times New Roman"/>
          <w:bCs/>
          <w:sz w:val="24"/>
          <w:szCs w:val="24"/>
          <w:lang w:eastAsia="en-GB" w:bidi="ar-SA"/>
        </w:rPr>
        <w:t>natural geological processes</w:t>
      </w:r>
      <w:r w:rsidRPr="00B06B69">
        <w:rPr>
          <w:rFonts w:ascii="Times New Roman" w:eastAsia="Times New Roman" w:hAnsi="Times New Roman" w:cs="Times New Roman"/>
          <w:sz w:val="24"/>
          <w:szCs w:val="24"/>
          <w:lang w:eastAsia="en-GB" w:bidi="ar-SA"/>
        </w:rPr>
        <w:t xml:space="preserve"> and the </w:t>
      </w:r>
      <w:r w:rsidRPr="00B06B69">
        <w:rPr>
          <w:rFonts w:ascii="Times New Roman" w:eastAsia="Times New Roman" w:hAnsi="Times New Roman" w:cs="Times New Roman"/>
          <w:bCs/>
          <w:sz w:val="24"/>
          <w:szCs w:val="24"/>
          <w:lang w:eastAsia="en-GB" w:bidi="ar-SA"/>
        </w:rPr>
        <w:t>intensifying pressures of urban development</w:t>
      </w:r>
      <w:r w:rsidRPr="00B06B69">
        <w:rPr>
          <w:rFonts w:ascii="Times New Roman" w:eastAsia="Times New Roman" w:hAnsi="Times New Roman" w:cs="Times New Roman"/>
          <w:sz w:val="24"/>
          <w:szCs w:val="24"/>
          <w:lang w:eastAsia="en-GB" w:bidi="ar-SA"/>
        </w:rPr>
        <w:t xml:space="preserve">. Its low buffering capacity and chemical vulnerability call for </w:t>
      </w:r>
      <w:r w:rsidRPr="00B06B69">
        <w:rPr>
          <w:rFonts w:ascii="Times New Roman" w:eastAsia="Times New Roman" w:hAnsi="Times New Roman" w:cs="Times New Roman"/>
          <w:bCs/>
          <w:sz w:val="24"/>
          <w:szCs w:val="24"/>
          <w:lang w:eastAsia="en-GB" w:bidi="ar-SA"/>
        </w:rPr>
        <w:t>proactive interventions</w:t>
      </w:r>
      <w:r w:rsidRPr="00B06B69">
        <w:rPr>
          <w:rFonts w:ascii="Times New Roman" w:eastAsia="Times New Roman" w:hAnsi="Times New Roman" w:cs="Times New Roman"/>
          <w:sz w:val="24"/>
          <w:szCs w:val="24"/>
          <w:lang w:eastAsia="en-GB" w:bidi="ar-SA"/>
        </w:rPr>
        <w:t xml:space="preserve"> to preserve water quality. By deepening our understanding of the underlying </w:t>
      </w:r>
      <w:r w:rsidRPr="00B06B69">
        <w:rPr>
          <w:rFonts w:ascii="Times New Roman" w:eastAsia="Times New Roman" w:hAnsi="Times New Roman" w:cs="Times New Roman"/>
          <w:bCs/>
          <w:sz w:val="24"/>
          <w:szCs w:val="24"/>
          <w:lang w:eastAsia="en-GB" w:bidi="ar-SA"/>
        </w:rPr>
        <w:t>thermodynamic and hydrogeochemical processes</w:t>
      </w:r>
      <w:r w:rsidRPr="00B06B69">
        <w:rPr>
          <w:rFonts w:ascii="Times New Roman" w:eastAsia="Times New Roman" w:hAnsi="Times New Roman" w:cs="Times New Roman"/>
          <w:sz w:val="24"/>
          <w:szCs w:val="24"/>
          <w:lang w:eastAsia="en-GB" w:bidi="ar-SA"/>
        </w:rPr>
        <w:t xml:space="preserve">, this study offers a robust scientific foundation for the </w:t>
      </w:r>
      <w:r w:rsidRPr="00B06B69">
        <w:rPr>
          <w:rFonts w:ascii="Times New Roman" w:eastAsia="Times New Roman" w:hAnsi="Times New Roman" w:cs="Times New Roman"/>
          <w:bCs/>
          <w:sz w:val="24"/>
          <w:szCs w:val="24"/>
          <w:lang w:eastAsia="en-GB" w:bidi="ar-SA"/>
        </w:rPr>
        <w:t>sustainable management of groundwater</w:t>
      </w:r>
      <w:r w:rsidRPr="00B06B69">
        <w:rPr>
          <w:rFonts w:ascii="Times New Roman" w:eastAsia="Times New Roman" w:hAnsi="Times New Roman" w:cs="Times New Roman"/>
          <w:b/>
          <w:bCs/>
          <w:sz w:val="24"/>
          <w:szCs w:val="24"/>
          <w:lang w:eastAsia="en-GB" w:bidi="ar-SA"/>
        </w:rPr>
        <w:t xml:space="preserve"> </w:t>
      </w:r>
      <w:r w:rsidRPr="00B06B69">
        <w:rPr>
          <w:rFonts w:ascii="Times New Roman" w:eastAsia="Times New Roman" w:hAnsi="Times New Roman" w:cs="Times New Roman"/>
          <w:bCs/>
          <w:sz w:val="24"/>
          <w:szCs w:val="24"/>
          <w:lang w:eastAsia="en-GB" w:bidi="ar-SA"/>
        </w:rPr>
        <w:t>resources</w:t>
      </w:r>
      <w:r w:rsidRPr="00B06B69">
        <w:rPr>
          <w:rFonts w:ascii="Times New Roman" w:eastAsia="Times New Roman" w:hAnsi="Times New Roman" w:cs="Times New Roman"/>
          <w:sz w:val="24"/>
          <w:szCs w:val="24"/>
          <w:lang w:eastAsia="en-GB" w:bidi="ar-SA"/>
        </w:rPr>
        <w:t xml:space="preserve"> not only in Enugu Urban but also in similar rapidly developing urban centres globally.</w:t>
      </w:r>
    </w:p>
    <w:p w14:paraId="400833FE" w14:textId="77777777" w:rsidR="001669F0" w:rsidRPr="00914802" w:rsidRDefault="001669F0" w:rsidP="001669F0">
      <w:pPr>
        <w:pStyle w:val="NoSpacing"/>
        <w:rPr>
          <w:rFonts w:ascii="Arial" w:hAnsi="Arial" w:cs="Arial"/>
          <w:b/>
          <w:highlight w:val="yellow"/>
        </w:rPr>
      </w:pPr>
      <w:bookmarkStart w:id="16" w:name="_Hlk219284361"/>
      <w:bookmarkStart w:id="17" w:name="_Hlk198031404"/>
      <w:bookmarkStart w:id="18" w:name="_Hlk219128673"/>
      <w:bookmarkStart w:id="19" w:name="_Hlk221094604"/>
      <w:r w:rsidRPr="00914802">
        <w:rPr>
          <w:rFonts w:ascii="Arial" w:hAnsi="Arial" w:cs="Arial"/>
          <w:b/>
          <w:highlight w:val="yellow"/>
        </w:rPr>
        <w:t>Disclaimer (Artificial intelligence)</w:t>
      </w:r>
    </w:p>
    <w:p w14:paraId="15BF7EE7" w14:textId="77777777" w:rsidR="001669F0" w:rsidRPr="00005ED1" w:rsidRDefault="001669F0" w:rsidP="001669F0">
      <w:pPr>
        <w:pStyle w:val="NoSpacing"/>
        <w:rPr>
          <w:rFonts w:ascii="Arial" w:hAnsi="Arial" w:cs="Arial"/>
          <w:highlight w:val="yellow"/>
        </w:rPr>
      </w:pPr>
    </w:p>
    <w:p w14:paraId="6E742ADF" w14:textId="77777777" w:rsidR="001669F0" w:rsidRPr="00005ED1" w:rsidRDefault="001669F0" w:rsidP="001669F0">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16"/>
      <w:r w:rsidRPr="00005ED1">
        <w:rPr>
          <w:rFonts w:ascii="Arial" w:hAnsi="Arial" w:cs="Arial"/>
          <w:highlight w:val="yellow"/>
        </w:rPr>
        <w:t xml:space="preserve">. </w:t>
      </w:r>
    </w:p>
    <w:bookmarkEnd w:id="17"/>
    <w:bookmarkEnd w:id="18"/>
    <w:bookmarkEnd w:id="19"/>
    <w:p w14:paraId="39EFE074" w14:textId="77777777" w:rsidR="007D062E" w:rsidRPr="005E5F15" w:rsidRDefault="007D062E" w:rsidP="00176936">
      <w:pPr>
        <w:jc w:val="both"/>
        <w:rPr>
          <w:rFonts w:ascii="Times New Roman" w:hAnsi="Times New Roman" w:cs="Times New Roman"/>
          <w:sz w:val="24"/>
          <w:szCs w:val="24"/>
          <w:lang w:val="en-US"/>
        </w:rPr>
      </w:pPr>
    </w:p>
    <w:p w14:paraId="0CC334AA" w14:textId="37C81EDF" w:rsidR="002735B2" w:rsidRPr="002735B2" w:rsidRDefault="0080783E" w:rsidP="002735B2">
      <w:pPr>
        <w:jc w:val="both"/>
        <w:rPr>
          <w:rFonts w:ascii="Times New Roman" w:hAnsi="Times New Roman" w:cs="Times New Roman"/>
          <w:b/>
          <w:bCs/>
          <w:sz w:val="24"/>
          <w:szCs w:val="24"/>
          <w:lang w:val="en-US"/>
        </w:rPr>
      </w:pPr>
      <w:r w:rsidRPr="005E5F15">
        <w:rPr>
          <w:rFonts w:ascii="Times New Roman" w:hAnsi="Times New Roman" w:cs="Times New Roman"/>
          <w:b/>
          <w:bCs/>
          <w:sz w:val="24"/>
          <w:szCs w:val="24"/>
          <w:lang w:val="en-US"/>
        </w:rPr>
        <w:lastRenderedPageBreak/>
        <w:t>References</w:t>
      </w:r>
    </w:p>
    <w:p w14:paraId="7C2BD4EA" w14:textId="135524EF" w:rsid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AE1883">
        <w:rPr>
          <w:rFonts w:ascii="Times New Roman" w:eastAsia="Times New Roman" w:hAnsi="Times New Roman" w:cs="Times New Roman"/>
          <w:sz w:val="24"/>
          <w:szCs w:val="24"/>
          <w:lang w:eastAsia="en-GB" w:bidi="ar-SA"/>
        </w:rPr>
        <w:t xml:space="preserve">Ajayi, B. D., Adekola, G., &amp; Omo-Irabor, O. O. (2022). Hydrogeochemical evolution and water–rock interactions in basement complex terrain of Nigeria. </w:t>
      </w:r>
      <w:r w:rsidRPr="00AE1883">
        <w:rPr>
          <w:rFonts w:ascii="Times New Roman" w:eastAsia="Times New Roman" w:hAnsi="Times New Roman" w:cs="Times New Roman"/>
          <w:i/>
          <w:iCs/>
          <w:sz w:val="24"/>
          <w:szCs w:val="24"/>
          <w:lang w:eastAsia="en-GB" w:bidi="ar-SA"/>
        </w:rPr>
        <w:t>Journal of African Earth Sciences</w:t>
      </w:r>
      <w:r w:rsidRPr="00AE1883">
        <w:rPr>
          <w:rFonts w:ascii="Times New Roman" w:eastAsia="Times New Roman" w:hAnsi="Times New Roman" w:cs="Times New Roman"/>
          <w:sz w:val="24"/>
          <w:szCs w:val="24"/>
          <w:lang w:eastAsia="en-GB" w:bidi="ar-SA"/>
        </w:rPr>
        <w:t xml:space="preserve">, 193, 104555. </w:t>
      </w:r>
      <w:hyperlink r:id="rId20" w:history="1">
        <w:r w:rsidR="00640915" w:rsidRPr="00AE1883">
          <w:rPr>
            <w:rStyle w:val="Hyperlink"/>
            <w:rFonts w:ascii="Times New Roman" w:eastAsia="Times New Roman" w:hAnsi="Times New Roman" w:cs="Times New Roman"/>
            <w:sz w:val="24"/>
            <w:szCs w:val="24"/>
            <w:lang w:eastAsia="en-GB" w:bidi="ar-SA"/>
          </w:rPr>
          <w:t>https://doi.org/10.1016/j.jafrearsci.2022.104555</w:t>
        </w:r>
      </w:hyperlink>
    </w:p>
    <w:p w14:paraId="4476A915" w14:textId="5B0FFE06" w:rsidR="002735B2" w:rsidRDefault="002735B2"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2735B2">
        <w:rPr>
          <w:rFonts w:ascii="Times New Roman" w:eastAsia="Times New Roman" w:hAnsi="Times New Roman" w:cs="Times New Roman"/>
          <w:sz w:val="24"/>
          <w:szCs w:val="24"/>
          <w:lang w:eastAsia="en-GB" w:bidi="ar-SA"/>
        </w:rPr>
        <w:t xml:space="preserve">Ako, A. A., Shimada, J., Hosono, T., </w:t>
      </w:r>
      <w:proofErr w:type="spellStart"/>
      <w:r w:rsidRPr="002735B2">
        <w:rPr>
          <w:rFonts w:ascii="Times New Roman" w:eastAsia="Times New Roman" w:hAnsi="Times New Roman" w:cs="Times New Roman"/>
          <w:sz w:val="24"/>
          <w:szCs w:val="24"/>
          <w:lang w:eastAsia="en-GB" w:bidi="ar-SA"/>
        </w:rPr>
        <w:t>Kagabu</w:t>
      </w:r>
      <w:proofErr w:type="spellEnd"/>
      <w:r w:rsidRPr="002735B2">
        <w:rPr>
          <w:rFonts w:ascii="Times New Roman" w:eastAsia="Times New Roman" w:hAnsi="Times New Roman" w:cs="Times New Roman"/>
          <w:sz w:val="24"/>
          <w:szCs w:val="24"/>
          <w:lang w:eastAsia="en-GB" w:bidi="ar-SA"/>
        </w:rPr>
        <w:t xml:space="preserve">, M., Ayuk, A. R., Nkeng, G. E., Eyong, G. E. T., &amp; </w:t>
      </w:r>
      <w:proofErr w:type="spellStart"/>
      <w:r w:rsidRPr="002735B2">
        <w:rPr>
          <w:rFonts w:ascii="Times New Roman" w:eastAsia="Times New Roman" w:hAnsi="Times New Roman" w:cs="Times New Roman"/>
          <w:sz w:val="24"/>
          <w:szCs w:val="24"/>
          <w:lang w:eastAsia="en-GB" w:bidi="ar-SA"/>
        </w:rPr>
        <w:t>Takounjou</w:t>
      </w:r>
      <w:proofErr w:type="spellEnd"/>
      <w:r w:rsidRPr="002735B2">
        <w:rPr>
          <w:rFonts w:ascii="Times New Roman" w:eastAsia="Times New Roman" w:hAnsi="Times New Roman" w:cs="Times New Roman"/>
          <w:sz w:val="24"/>
          <w:szCs w:val="24"/>
          <w:lang w:eastAsia="en-GB" w:bidi="ar-SA"/>
        </w:rPr>
        <w:t xml:space="preserve">, A. L. F. (2012). Spring water quality and usability in the Mount Cameroon area revealed by hydrogeochemistry. Environmental Geochemistry and Health, 34(5), 615–639. </w:t>
      </w:r>
      <w:hyperlink r:id="rId21" w:history="1">
        <w:r w:rsidRPr="00477058">
          <w:rPr>
            <w:rStyle w:val="Hyperlink"/>
            <w:rFonts w:ascii="Times New Roman" w:eastAsia="Times New Roman" w:hAnsi="Times New Roman" w:cs="Times New Roman"/>
            <w:sz w:val="24"/>
            <w:szCs w:val="24"/>
            <w:lang w:eastAsia="en-GB" w:bidi="ar-SA"/>
          </w:rPr>
          <w:t>https://doi.org/10.1007/s10653-012-9453-3</w:t>
        </w:r>
      </w:hyperlink>
    </w:p>
    <w:p w14:paraId="05F68409" w14:textId="6AD20743" w:rsidR="002735B2" w:rsidRDefault="002735B2" w:rsidP="00AE1883">
      <w:pPr>
        <w:spacing w:before="100" w:beforeAutospacing="1" w:after="100" w:afterAutospacing="1" w:line="240" w:lineRule="auto"/>
        <w:rPr>
          <w:rFonts w:ascii="Times New Roman" w:eastAsia="Times New Roman" w:hAnsi="Times New Roman" w:cs="Times New Roman"/>
          <w:sz w:val="24"/>
          <w:szCs w:val="24"/>
          <w:lang w:eastAsia="en-GB" w:bidi="ar-SA"/>
        </w:rPr>
      </w:pPr>
      <w:proofErr w:type="spellStart"/>
      <w:r w:rsidRPr="002735B2">
        <w:rPr>
          <w:rFonts w:ascii="Times New Roman" w:eastAsia="Times New Roman" w:hAnsi="Times New Roman" w:cs="Times New Roman"/>
          <w:sz w:val="24"/>
          <w:szCs w:val="24"/>
          <w:lang w:eastAsia="en-GB" w:bidi="ar-SA"/>
        </w:rPr>
        <w:t>Alichi</w:t>
      </w:r>
      <w:proofErr w:type="spellEnd"/>
      <w:r w:rsidRPr="002735B2">
        <w:rPr>
          <w:rFonts w:ascii="Times New Roman" w:eastAsia="Times New Roman" w:hAnsi="Times New Roman" w:cs="Times New Roman"/>
          <w:sz w:val="24"/>
          <w:szCs w:val="24"/>
          <w:lang w:eastAsia="en-GB" w:bidi="ar-SA"/>
        </w:rPr>
        <w:t xml:space="preserve">, A. U. (2024). Hydrochemical Characterization and Quality Indices of Shallow Groundwater in Enugu </w:t>
      </w:r>
      <w:r w:rsidRPr="002735B2">
        <w:rPr>
          <w:rFonts w:ascii="Times New Roman" w:eastAsia="Times New Roman" w:hAnsi="Times New Roman" w:cs="Times New Roman"/>
          <w:sz w:val="24"/>
          <w:szCs w:val="24"/>
          <w:lang w:eastAsia="en-GB" w:bidi="ar-SA"/>
        </w:rPr>
        <w:tab/>
        <w:t>Urban, Southeastern Nigeria. PhD Dissertation, Nnamdi Azikiwe University, Awka.</w:t>
      </w:r>
    </w:p>
    <w:p w14:paraId="7752D513" w14:textId="3055DB0B" w:rsidR="002735B2" w:rsidRDefault="002735B2"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2735B2">
        <w:rPr>
          <w:rFonts w:ascii="Times New Roman" w:eastAsia="Times New Roman" w:hAnsi="Times New Roman" w:cs="Times New Roman"/>
          <w:sz w:val="24"/>
          <w:szCs w:val="24"/>
          <w:lang w:eastAsia="en-GB" w:bidi="ar-SA"/>
        </w:rPr>
        <w:t>American Public Health Association (APHA), American Water Works Association (AWWA), &amp; Water Environment Federation (WEF). (2017). Standard methods for the examination of water and wastewater (23rd ed.). Washington, DC: American Public Health Association.</w:t>
      </w:r>
    </w:p>
    <w:p w14:paraId="5B90F2B0" w14:textId="2291D317" w:rsidR="00640915" w:rsidRPr="00AE1883" w:rsidRDefault="00640915"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640915">
        <w:rPr>
          <w:rFonts w:ascii="Times New Roman" w:eastAsia="Times New Roman" w:hAnsi="Times New Roman" w:cs="Times New Roman"/>
          <w:sz w:val="24"/>
          <w:szCs w:val="24"/>
          <w:lang w:eastAsia="en-GB" w:bidi="ar-SA"/>
        </w:rPr>
        <w:t>Ansari, J. A., &amp; Umar, R. (2019). Evaluation of hydrogeochemical characteristics and groundwater quality in the Quaternary aquifers of Unnao District, Uttar Pradesh, India. Hydrology Research, 50(2), 361–376. https://doi.org/10.1016/j.hydres.2019.01.001 ResearchGateagris.fao.org</w:t>
      </w:r>
    </w:p>
    <w:p w14:paraId="15CE166F"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Appelo, C.A.J. &amp; Postma, D. (2005). Geochemistry, Groundwater and Pollution. 2nd Ed. CRC Press.</w:t>
      </w:r>
    </w:p>
    <w:p w14:paraId="1E3F4AE3" w14:textId="36BDFB69"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Ayers, R.S. &amp; Westcot, D.W. (1985). Water Quality for Agriculture. FAO Irrigation and Drainage Paper 29 </w:t>
      </w:r>
      <w:r w:rsidRPr="005E5F15">
        <w:rPr>
          <w:rFonts w:ascii="Times New Roman" w:hAnsi="Times New Roman" w:cs="Times New Roman"/>
          <w:sz w:val="24"/>
          <w:szCs w:val="24"/>
          <w:lang w:val="en-US"/>
        </w:rPr>
        <w:tab/>
        <w:t>Rev. 1, Rome.</w:t>
      </w:r>
    </w:p>
    <w:p w14:paraId="3162B57A" w14:textId="0B89356B" w:rsidR="00640915" w:rsidRDefault="00640915" w:rsidP="00693C91">
      <w:pPr>
        <w:rPr>
          <w:rFonts w:ascii="Times New Roman" w:hAnsi="Times New Roman" w:cs="Times New Roman"/>
          <w:sz w:val="24"/>
          <w:szCs w:val="24"/>
          <w:lang w:val="en-US"/>
        </w:rPr>
      </w:pPr>
      <w:r w:rsidRPr="00640915">
        <w:rPr>
          <w:rFonts w:ascii="Times New Roman" w:hAnsi="Times New Roman" w:cs="Times New Roman"/>
          <w:sz w:val="24"/>
          <w:szCs w:val="24"/>
          <w:lang w:val="en-US"/>
        </w:rPr>
        <w:t>Bethke, C. M. (2008). Geochemical and biogeochemical reaction modeling (2nd ed.). Cambridge University Press.</w:t>
      </w:r>
    </w:p>
    <w:p w14:paraId="49FE8AE1" w14:textId="247DFEE4" w:rsidR="000542AB" w:rsidRPr="000542AB" w:rsidRDefault="000542AB" w:rsidP="000542AB">
      <w:pPr>
        <w:spacing w:before="100" w:beforeAutospacing="1" w:after="100" w:afterAutospacing="1" w:line="240" w:lineRule="auto"/>
        <w:rPr>
          <w:rFonts w:ascii="Times New Roman" w:eastAsia="Times New Roman" w:hAnsi="Times New Roman" w:cs="Times New Roman"/>
          <w:sz w:val="24"/>
          <w:szCs w:val="24"/>
          <w:lang w:eastAsia="en-GB" w:bidi="ar-SA"/>
        </w:rPr>
      </w:pPr>
      <w:r w:rsidRPr="000542AB">
        <w:rPr>
          <w:rFonts w:ascii="Times New Roman" w:eastAsia="Times New Roman" w:hAnsi="Times New Roman" w:cs="Times New Roman"/>
          <w:sz w:val="24"/>
          <w:szCs w:val="24"/>
          <w:lang w:eastAsia="en-GB" w:bidi="ar-SA"/>
        </w:rPr>
        <w:t xml:space="preserve">Chukwuemeka, O. D., &amp; </w:t>
      </w:r>
      <w:proofErr w:type="spellStart"/>
      <w:r w:rsidRPr="000542AB">
        <w:rPr>
          <w:rFonts w:ascii="Times New Roman" w:eastAsia="Times New Roman" w:hAnsi="Times New Roman" w:cs="Times New Roman"/>
          <w:sz w:val="24"/>
          <w:szCs w:val="24"/>
          <w:lang w:eastAsia="en-GB" w:bidi="ar-SA"/>
        </w:rPr>
        <w:t>Ezeugwu</w:t>
      </w:r>
      <w:proofErr w:type="spellEnd"/>
      <w:r w:rsidRPr="000542AB">
        <w:rPr>
          <w:rFonts w:ascii="Times New Roman" w:eastAsia="Times New Roman" w:hAnsi="Times New Roman" w:cs="Times New Roman"/>
          <w:sz w:val="24"/>
          <w:szCs w:val="24"/>
          <w:lang w:eastAsia="en-GB" w:bidi="ar-SA"/>
        </w:rPr>
        <w:t xml:space="preserve">, I. O. (2021). Redox processes in regolith aquifers at Enugu, southeastern Nigeria. </w:t>
      </w:r>
      <w:r w:rsidRPr="000542AB">
        <w:rPr>
          <w:rFonts w:ascii="Times New Roman" w:eastAsia="Times New Roman" w:hAnsi="Times New Roman" w:cs="Times New Roman"/>
          <w:i/>
          <w:iCs/>
          <w:sz w:val="24"/>
          <w:szCs w:val="24"/>
          <w:lang w:eastAsia="en-GB" w:bidi="ar-SA"/>
        </w:rPr>
        <w:t>International Journal of Earth &amp; Environmental Sciences</w:t>
      </w:r>
      <w:r w:rsidRPr="000542AB">
        <w:rPr>
          <w:rFonts w:ascii="Times New Roman" w:eastAsia="Times New Roman" w:hAnsi="Times New Roman" w:cs="Times New Roman"/>
          <w:sz w:val="24"/>
          <w:szCs w:val="24"/>
          <w:lang w:eastAsia="en-GB" w:bidi="ar-SA"/>
        </w:rPr>
        <w:t>, 6(1), 1–15. https://ijees.ielas.org/index.php/ijees/article/view/42</w:t>
      </w:r>
    </w:p>
    <w:p w14:paraId="7D28A088" w14:textId="67798D76"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Edet, A. E. (2021). Hydrogeology and groundwater quality of Nigeria: A review. Applied Water Science, 11, </w:t>
      </w:r>
      <w:r w:rsidRPr="005E5F15">
        <w:rPr>
          <w:rFonts w:ascii="Times New Roman" w:hAnsi="Times New Roman" w:cs="Times New Roman"/>
          <w:sz w:val="24"/>
          <w:szCs w:val="24"/>
          <w:lang w:val="en-US"/>
        </w:rPr>
        <w:tab/>
        <w:t>34.</w:t>
      </w:r>
    </w:p>
    <w:p w14:paraId="3D34C4C8" w14:textId="5DD6C5F0" w:rsidR="00AE1883" w:rsidRP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proofErr w:type="spellStart"/>
      <w:r w:rsidRPr="00AE1883">
        <w:rPr>
          <w:rFonts w:ascii="Times New Roman" w:eastAsia="Times New Roman" w:hAnsi="Times New Roman" w:cs="Times New Roman"/>
          <w:sz w:val="24"/>
          <w:szCs w:val="24"/>
          <w:lang w:eastAsia="en-GB" w:bidi="ar-SA"/>
        </w:rPr>
        <w:t>Egbi</w:t>
      </w:r>
      <w:proofErr w:type="spellEnd"/>
      <w:r w:rsidRPr="00AE1883">
        <w:rPr>
          <w:rFonts w:ascii="Times New Roman" w:eastAsia="Times New Roman" w:hAnsi="Times New Roman" w:cs="Times New Roman"/>
          <w:sz w:val="24"/>
          <w:szCs w:val="24"/>
          <w:lang w:eastAsia="en-GB" w:bidi="ar-SA"/>
        </w:rPr>
        <w:t xml:space="preserve">, O. G., &amp; Afolabi, O. O. (2023). Groundwater quality dynamics in Nigeria: Insights from urban and peri-urban monitoring. </w:t>
      </w:r>
      <w:r w:rsidRPr="00AE1883">
        <w:rPr>
          <w:rFonts w:ascii="Times New Roman" w:eastAsia="Times New Roman" w:hAnsi="Times New Roman" w:cs="Times New Roman"/>
          <w:i/>
          <w:iCs/>
          <w:sz w:val="24"/>
          <w:szCs w:val="24"/>
          <w:lang w:eastAsia="en-GB" w:bidi="ar-SA"/>
        </w:rPr>
        <w:t>International Journal of Environmental Chemistry</w:t>
      </w:r>
      <w:r w:rsidRPr="00AE1883">
        <w:rPr>
          <w:rFonts w:ascii="Times New Roman" w:eastAsia="Times New Roman" w:hAnsi="Times New Roman" w:cs="Times New Roman"/>
          <w:sz w:val="24"/>
          <w:szCs w:val="24"/>
          <w:lang w:eastAsia="en-GB" w:bidi="ar-SA"/>
        </w:rPr>
        <w:t>, 7(1), 11–24. https://journalijecc.com/index.php/IJECC/article/view/4174</w:t>
      </w:r>
    </w:p>
    <w:p w14:paraId="1AA378D8" w14:textId="77777777" w:rsidR="00693C91" w:rsidRPr="005E5F15" w:rsidRDefault="00693C91"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Ehirim</w:t>
      </w:r>
      <w:proofErr w:type="spellEnd"/>
      <w:r w:rsidRPr="005E5F15">
        <w:rPr>
          <w:rFonts w:ascii="Times New Roman" w:hAnsi="Times New Roman" w:cs="Times New Roman"/>
          <w:sz w:val="24"/>
          <w:szCs w:val="24"/>
          <w:lang w:val="en-US"/>
        </w:rPr>
        <w:t xml:space="preserve">, C.N., </w:t>
      </w:r>
      <w:proofErr w:type="spellStart"/>
      <w:r w:rsidRPr="005E5F15">
        <w:rPr>
          <w:rFonts w:ascii="Times New Roman" w:hAnsi="Times New Roman" w:cs="Times New Roman"/>
          <w:sz w:val="24"/>
          <w:szCs w:val="24"/>
          <w:lang w:val="en-US"/>
        </w:rPr>
        <w:t>Okiongbo</w:t>
      </w:r>
      <w:proofErr w:type="spellEnd"/>
      <w:r w:rsidRPr="005E5F15">
        <w:rPr>
          <w:rFonts w:ascii="Times New Roman" w:hAnsi="Times New Roman" w:cs="Times New Roman"/>
          <w:sz w:val="24"/>
          <w:szCs w:val="24"/>
          <w:lang w:val="en-US"/>
        </w:rPr>
        <w:t xml:space="preserve">, K.S. &amp; Akpokodje, E.G. (2014). Hydrogeochemical evaluation of groundwater in </w:t>
      </w:r>
      <w:r w:rsidRPr="005E5F15">
        <w:rPr>
          <w:rFonts w:ascii="Times New Roman" w:hAnsi="Times New Roman" w:cs="Times New Roman"/>
          <w:sz w:val="24"/>
          <w:szCs w:val="24"/>
          <w:lang w:val="en-US"/>
        </w:rPr>
        <w:tab/>
        <w:t>Port Harcourt, Nigeria. Applied Water Science, 4, 19–28.</w:t>
      </w:r>
    </w:p>
    <w:p w14:paraId="0C5FBEA1" w14:textId="75D85612"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lastRenderedPageBreak/>
        <w:t xml:space="preserve">Ezeh, H. N., </w:t>
      </w:r>
      <w:proofErr w:type="spellStart"/>
      <w:r w:rsidRPr="005E5F15">
        <w:rPr>
          <w:rFonts w:ascii="Times New Roman" w:hAnsi="Times New Roman" w:cs="Times New Roman"/>
          <w:sz w:val="24"/>
          <w:szCs w:val="24"/>
          <w:lang w:val="en-US"/>
        </w:rPr>
        <w:t>Ezeabasili</w:t>
      </w:r>
      <w:proofErr w:type="spellEnd"/>
      <w:r w:rsidRPr="005E5F15">
        <w:rPr>
          <w:rFonts w:ascii="Times New Roman" w:hAnsi="Times New Roman" w:cs="Times New Roman"/>
          <w:sz w:val="24"/>
          <w:szCs w:val="24"/>
          <w:lang w:val="en-US"/>
        </w:rPr>
        <w:t xml:space="preserve">, A. C. C. &amp; </w:t>
      </w:r>
      <w:proofErr w:type="spellStart"/>
      <w:r w:rsidRPr="005E5F15">
        <w:rPr>
          <w:rFonts w:ascii="Times New Roman" w:hAnsi="Times New Roman" w:cs="Times New Roman"/>
          <w:sz w:val="24"/>
          <w:szCs w:val="24"/>
          <w:lang w:val="en-US"/>
        </w:rPr>
        <w:t>Ezeabasili</w:t>
      </w:r>
      <w:proofErr w:type="spellEnd"/>
      <w:r w:rsidRPr="005E5F15">
        <w:rPr>
          <w:rFonts w:ascii="Times New Roman" w:hAnsi="Times New Roman" w:cs="Times New Roman"/>
          <w:sz w:val="24"/>
          <w:szCs w:val="24"/>
          <w:lang w:val="en-US"/>
        </w:rPr>
        <w:t xml:space="preserve">, I. C. C. (2017). Groundwater quality assessment in parts of </w:t>
      </w:r>
      <w:r w:rsidRPr="005E5F15">
        <w:rPr>
          <w:rFonts w:ascii="Times New Roman" w:hAnsi="Times New Roman" w:cs="Times New Roman"/>
          <w:sz w:val="24"/>
          <w:szCs w:val="24"/>
          <w:lang w:val="en-US"/>
        </w:rPr>
        <w:tab/>
        <w:t>Enugu State, Nigeria. Journal of African Earth Sciences, 134, 160–170.</w:t>
      </w:r>
    </w:p>
    <w:p w14:paraId="076AE282" w14:textId="48B1E8BF" w:rsid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AE1883">
        <w:rPr>
          <w:rFonts w:ascii="Times New Roman" w:eastAsia="Times New Roman" w:hAnsi="Times New Roman" w:cs="Times New Roman"/>
          <w:sz w:val="24"/>
          <w:szCs w:val="24"/>
          <w:lang w:eastAsia="en-GB" w:bidi="ar-SA"/>
        </w:rPr>
        <w:t xml:space="preserve">Ezeh, H. N., </w:t>
      </w:r>
      <w:proofErr w:type="spellStart"/>
      <w:r w:rsidRPr="00AE1883">
        <w:rPr>
          <w:rFonts w:ascii="Times New Roman" w:eastAsia="Times New Roman" w:hAnsi="Times New Roman" w:cs="Times New Roman"/>
          <w:sz w:val="24"/>
          <w:szCs w:val="24"/>
          <w:lang w:eastAsia="en-GB" w:bidi="ar-SA"/>
        </w:rPr>
        <w:t>Uchegbu</w:t>
      </w:r>
      <w:proofErr w:type="spellEnd"/>
      <w:r w:rsidRPr="00AE1883">
        <w:rPr>
          <w:rFonts w:ascii="Times New Roman" w:eastAsia="Times New Roman" w:hAnsi="Times New Roman" w:cs="Times New Roman"/>
          <w:sz w:val="24"/>
          <w:szCs w:val="24"/>
          <w:lang w:eastAsia="en-GB" w:bidi="ar-SA"/>
        </w:rPr>
        <w:t xml:space="preserve">, F. C., &amp; Okonkwo, C. I. (2023). Seasonal variation in groundwater quality in urban southeastern Nigeria. </w:t>
      </w:r>
      <w:r w:rsidRPr="00AE1883">
        <w:rPr>
          <w:rFonts w:ascii="Times New Roman" w:eastAsia="Times New Roman" w:hAnsi="Times New Roman" w:cs="Times New Roman"/>
          <w:i/>
          <w:iCs/>
          <w:sz w:val="24"/>
          <w:szCs w:val="24"/>
          <w:lang w:eastAsia="en-GB" w:bidi="ar-SA"/>
        </w:rPr>
        <w:t>Springer Environmental Monitoring and Assessment</w:t>
      </w:r>
      <w:r w:rsidRPr="00AE1883">
        <w:rPr>
          <w:rFonts w:ascii="Times New Roman" w:eastAsia="Times New Roman" w:hAnsi="Times New Roman" w:cs="Times New Roman"/>
          <w:sz w:val="24"/>
          <w:szCs w:val="24"/>
          <w:lang w:eastAsia="en-GB" w:bidi="ar-SA"/>
        </w:rPr>
        <w:t xml:space="preserve">, 195(2), 218. </w:t>
      </w:r>
      <w:hyperlink r:id="rId22" w:history="1">
        <w:r w:rsidR="00640915" w:rsidRPr="00AE1883">
          <w:rPr>
            <w:rStyle w:val="Hyperlink"/>
            <w:rFonts w:ascii="Times New Roman" w:eastAsia="Times New Roman" w:hAnsi="Times New Roman" w:cs="Times New Roman"/>
            <w:sz w:val="24"/>
            <w:szCs w:val="24"/>
            <w:lang w:eastAsia="en-GB" w:bidi="ar-SA"/>
          </w:rPr>
          <w:t>https://doi.org/10.1007/s10661-023-11190-2</w:t>
        </w:r>
      </w:hyperlink>
    </w:p>
    <w:p w14:paraId="152EBB1B" w14:textId="33D1C670" w:rsidR="00640915" w:rsidRPr="00AE1883" w:rsidRDefault="00640915"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t xml:space="preserve">Fetter, C. W. (2001). </w:t>
      </w:r>
      <w:r>
        <w:rPr>
          <w:rStyle w:val="Emphasis"/>
        </w:rPr>
        <w:t>Applied Hydrogeology</w:t>
      </w:r>
      <w:r>
        <w:t xml:space="preserve"> (4th ed.). Prentice Hall</w:t>
      </w:r>
    </w:p>
    <w:p w14:paraId="5020D6E4"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Freeze, R.A. &amp; Cherry, J.A. (1979). Groundwater. Prentice Hall.</w:t>
      </w:r>
    </w:p>
    <w:p w14:paraId="16E0CFB5" w14:textId="77777777" w:rsidR="00693C91" w:rsidRPr="005E5F15" w:rsidRDefault="00693C91"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Ganyecz</w:t>
      </w:r>
      <w:proofErr w:type="spellEnd"/>
      <w:r w:rsidRPr="005E5F15">
        <w:rPr>
          <w:rFonts w:ascii="Times New Roman" w:hAnsi="Times New Roman" w:cs="Times New Roman"/>
          <w:sz w:val="24"/>
          <w:szCs w:val="24"/>
          <w:lang w:val="en-US"/>
        </w:rPr>
        <w:t xml:space="preserve">, Á., Szabó, A., Szabó, J. &amp; Tanos, P. (2022). Urban groundwater quality assessment using integrated </w:t>
      </w:r>
      <w:r w:rsidRPr="005E5F15">
        <w:rPr>
          <w:rFonts w:ascii="Times New Roman" w:hAnsi="Times New Roman" w:cs="Times New Roman"/>
          <w:sz w:val="24"/>
          <w:szCs w:val="24"/>
          <w:lang w:val="en-US"/>
        </w:rPr>
        <w:tab/>
        <w:t>hydrochemical and statistical approaches. Environmental Science and Pollution Research, 29, 12345–</w:t>
      </w:r>
      <w:r w:rsidRPr="005E5F15">
        <w:rPr>
          <w:rFonts w:ascii="Times New Roman" w:hAnsi="Times New Roman" w:cs="Times New Roman"/>
          <w:sz w:val="24"/>
          <w:szCs w:val="24"/>
          <w:lang w:val="en-US"/>
        </w:rPr>
        <w:tab/>
        <w:t>12360.</w:t>
      </w:r>
    </w:p>
    <w:p w14:paraId="498D154A" w14:textId="79EE8DCF" w:rsidR="00693C91" w:rsidRDefault="00693C91" w:rsidP="00FA7F50">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Gibbs, R.J. (1970). Mechanisms controlling world water chemistry. Science, 170, 1088–1090.</w:t>
      </w:r>
    </w:p>
    <w:p w14:paraId="4FC341FF" w14:textId="3349D0F1" w:rsidR="00FA7F50" w:rsidRDefault="00FA7F50" w:rsidP="00FA7F50">
      <w:pPr>
        <w:jc w:val="both"/>
        <w:rPr>
          <w:rFonts w:ascii="Times New Roman" w:hAnsi="Times New Roman" w:cs="Times New Roman"/>
          <w:sz w:val="24"/>
          <w:szCs w:val="24"/>
          <w:lang w:val="en-US"/>
        </w:rPr>
      </w:pPr>
      <w:r w:rsidRPr="00FA7F50">
        <w:rPr>
          <w:rFonts w:ascii="Times New Roman" w:hAnsi="Times New Roman" w:cs="Times New Roman"/>
          <w:sz w:val="24"/>
          <w:szCs w:val="24"/>
          <w:lang w:val="en-US"/>
        </w:rPr>
        <w:t xml:space="preserve">Hasan, S. S., Salem, Z. E., &amp; </w:t>
      </w:r>
      <w:proofErr w:type="spellStart"/>
      <w:r w:rsidRPr="00FA7F50">
        <w:rPr>
          <w:rFonts w:ascii="Times New Roman" w:hAnsi="Times New Roman" w:cs="Times New Roman"/>
          <w:sz w:val="24"/>
          <w:szCs w:val="24"/>
          <w:lang w:val="en-US"/>
        </w:rPr>
        <w:t>Sefelnasr</w:t>
      </w:r>
      <w:proofErr w:type="spellEnd"/>
      <w:r w:rsidRPr="00FA7F50">
        <w:rPr>
          <w:rFonts w:ascii="Times New Roman" w:hAnsi="Times New Roman" w:cs="Times New Roman"/>
          <w:sz w:val="24"/>
          <w:szCs w:val="24"/>
          <w:lang w:val="en-US"/>
        </w:rPr>
        <w:t xml:space="preserve">, A. (2023). Assessment of hydrogeochemical characteristics and seawater intrusion in coastal aquifers by integrating statistical and graphical techniques: Quaternary Aquifer, West Nile Delta, Egypt. Water, 15(10), 1803. </w:t>
      </w:r>
      <w:hyperlink r:id="rId23" w:history="1">
        <w:r w:rsidR="00640915" w:rsidRPr="00477058">
          <w:rPr>
            <w:rStyle w:val="Hyperlink"/>
            <w:rFonts w:ascii="Times New Roman" w:hAnsi="Times New Roman" w:cs="Times New Roman"/>
            <w:sz w:val="24"/>
            <w:szCs w:val="24"/>
            <w:lang w:val="en-US"/>
          </w:rPr>
          <w:t>https://doi.org/10.3390/w15101803</w:t>
        </w:r>
      </w:hyperlink>
    </w:p>
    <w:p w14:paraId="31E18046" w14:textId="2DBF2B08" w:rsidR="002735B2" w:rsidRDefault="002735B2" w:rsidP="00FA7F50">
      <w:pPr>
        <w:jc w:val="both"/>
        <w:rPr>
          <w:rFonts w:ascii="Times New Roman" w:hAnsi="Times New Roman" w:cs="Times New Roman"/>
          <w:sz w:val="24"/>
          <w:szCs w:val="24"/>
          <w:lang w:val="en-US"/>
        </w:rPr>
      </w:pPr>
      <w:r w:rsidRPr="002735B2">
        <w:rPr>
          <w:rFonts w:ascii="Times New Roman" w:hAnsi="Times New Roman" w:cs="Times New Roman"/>
          <w:sz w:val="24"/>
          <w:szCs w:val="24"/>
          <w:lang w:val="en-US"/>
        </w:rPr>
        <w:t>Kumari, M., &amp; Rai, S. C. (2020). Hydrogeochemical evaluation of groundwater quality for drinking and irrigation purposes using Water Quality Index in semi-arid region of India. Journal of the Geological Society of India, 95(2), 159–168. https://doi.org/10.1007/s12594-020-1405-4 Geoscience World</w:t>
      </w:r>
    </w:p>
    <w:p w14:paraId="209B567F" w14:textId="6DC7C9E4" w:rsidR="00640915" w:rsidRPr="00640915" w:rsidRDefault="00640915" w:rsidP="00FA7F50">
      <w:pPr>
        <w:jc w:val="both"/>
        <w:rPr>
          <w:rFonts w:ascii="Times New Roman" w:hAnsi="Times New Roman" w:cs="Times New Roman"/>
          <w:sz w:val="24"/>
          <w:szCs w:val="24"/>
          <w:lang w:val="en-US"/>
        </w:rPr>
      </w:pPr>
      <w:r w:rsidRPr="00640915">
        <w:rPr>
          <w:rFonts w:ascii="Times New Roman" w:hAnsi="Times New Roman" w:cs="Times New Roman"/>
          <w:sz w:val="24"/>
          <w:szCs w:val="24"/>
        </w:rPr>
        <w:t xml:space="preserve">Nigerian Geological Survey Agency. (2006). </w:t>
      </w:r>
      <w:r w:rsidRPr="00640915">
        <w:rPr>
          <w:rStyle w:val="Emphasis"/>
          <w:rFonts w:ascii="Times New Roman" w:hAnsi="Times New Roman" w:cs="Times New Roman"/>
          <w:sz w:val="24"/>
          <w:szCs w:val="24"/>
        </w:rPr>
        <w:t>Geological map of Nigeria</w:t>
      </w:r>
      <w:r w:rsidRPr="00640915">
        <w:rPr>
          <w:rFonts w:ascii="Times New Roman" w:hAnsi="Times New Roman" w:cs="Times New Roman"/>
          <w:sz w:val="24"/>
          <w:szCs w:val="24"/>
        </w:rPr>
        <w:t xml:space="preserve"> [Map]. N.G.S.A</w:t>
      </w:r>
    </w:p>
    <w:p w14:paraId="15762439" w14:textId="77777777" w:rsidR="00693C91" w:rsidRPr="005E5F15" w:rsidRDefault="00693C91" w:rsidP="00FA7F50">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Nwachukwu, M. A., Anike, L. O., Onu, N. N. &amp; Ukaegbu, V. U. (2020). Assessment of groundwater </w:t>
      </w:r>
      <w:r w:rsidRPr="005E5F15">
        <w:rPr>
          <w:rFonts w:ascii="Times New Roman" w:hAnsi="Times New Roman" w:cs="Times New Roman"/>
          <w:sz w:val="24"/>
          <w:szCs w:val="24"/>
          <w:lang w:val="en-US"/>
        </w:rPr>
        <w:tab/>
        <w:t>contamination in Enugu, Nigeria. Environmental Monitoring and Assessment, 192, 456.</w:t>
      </w:r>
    </w:p>
    <w:p w14:paraId="70586B82" w14:textId="77777777" w:rsidR="00693C91" w:rsidRPr="005E5F15" w:rsidRDefault="00693C91" w:rsidP="00FA7F50">
      <w:pPr>
        <w:jc w:val="both"/>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Nwankwoala, H. O. &amp; Udom, G. J. (2011). Hydrochemical facies and ionic ratios of groundwater in Port </w:t>
      </w:r>
      <w:r w:rsidRPr="005E5F15">
        <w:rPr>
          <w:rFonts w:ascii="Times New Roman" w:hAnsi="Times New Roman" w:cs="Times New Roman"/>
          <w:sz w:val="24"/>
          <w:szCs w:val="24"/>
          <w:lang w:val="en-US"/>
        </w:rPr>
        <w:tab/>
        <w:t>Harcourt, Nigeria. Applied Water Science, 1, 129–137.</w:t>
      </w:r>
    </w:p>
    <w:p w14:paraId="14E295D3" w14:textId="26390818" w:rsidR="00693C91" w:rsidRDefault="00693C91"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Ocheri</w:t>
      </w:r>
      <w:proofErr w:type="spellEnd"/>
      <w:r w:rsidRPr="005E5F15">
        <w:rPr>
          <w:rFonts w:ascii="Times New Roman" w:hAnsi="Times New Roman" w:cs="Times New Roman"/>
          <w:sz w:val="24"/>
          <w:szCs w:val="24"/>
          <w:lang w:val="en-US"/>
        </w:rPr>
        <w:t xml:space="preserve">, M.I., </w:t>
      </w:r>
      <w:proofErr w:type="spellStart"/>
      <w:r w:rsidRPr="005E5F15">
        <w:rPr>
          <w:rFonts w:ascii="Times New Roman" w:hAnsi="Times New Roman" w:cs="Times New Roman"/>
          <w:sz w:val="24"/>
          <w:szCs w:val="24"/>
          <w:lang w:val="en-US"/>
        </w:rPr>
        <w:t>Auta</w:t>
      </w:r>
      <w:proofErr w:type="spellEnd"/>
      <w:r w:rsidRPr="005E5F15">
        <w:rPr>
          <w:rFonts w:ascii="Times New Roman" w:hAnsi="Times New Roman" w:cs="Times New Roman"/>
          <w:sz w:val="24"/>
          <w:szCs w:val="24"/>
          <w:lang w:val="en-US"/>
        </w:rPr>
        <w:t xml:space="preserve">, S. &amp; </w:t>
      </w:r>
      <w:proofErr w:type="spellStart"/>
      <w:r w:rsidRPr="005E5F15">
        <w:rPr>
          <w:rFonts w:ascii="Times New Roman" w:hAnsi="Times New Roman" w:cs="Times New Roman"/>
          <w:sz w:val="24"/>
          <w:szCs w:val="24"/>
          <w:lang w:val="en-US"/>
        </w:rPr>
        <w:t>Omonona</w:t>
      </w:r>
      <w:proofErr w:type="spellEnd"/>
      <w:r w:rsidRPr="005E5F15">
        <w:rPr>
          <w:rFonts w:ascii="Times New Roman" w:hAnsi="Times New Roman" w:cs="Times New Roman"/>
          <w:sz w:val="24"/>
          <w:szCs w:val="24"/>
          <w:lang w:val="en-US"/>
        </w:rPr>
        <w:t xml:space="preserve">, O.V. (2014). Hydrogeochemical assessment of groundwater quality in </w:t>
      </w:r>
      <w:r w:rsidRPr="005E5F15">
        <w:rPr>
          <w:rFonts w:ascii="Times New Roman" w:hAnsi="Times New Roman" w:cs="Times New Roman"/>
          <w:sz w:val="24"/>
          <w:szCs w:val="24"/>
          <w:lang w:val="en-US"/>
        </w:rPr>
        <w:tab/>
        <w:t>Makurdi, North Central Nigeria. Journal of African Earth Sciences, 100, 282–293.</w:t>
      </w:r>
    </w:p>
    <w:p w14:paraId="74F83DEF" w14:textId="1D7CF666" w:rsidR="000542AB" w:rsidRDefault="000542AB"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Offodile</w:t>
      </w:r>
      <w:proofErr w:type="spellEnd"/>
      <w:r w:rsidRPr="005E5F15">
        <w:rPr>
          <w:rFonts w:ascii="Times New Roman" w:hAnsi="Times New Roman" w:cs="Times New Roman"/>
          <w:sz w:val="24"/>
          <w:szCs w:val="24"/>
          <w:lang w:val="en-US"/>
        </w:rPr>
        <w:t xml:space="preserve">, M.E. (2002). Groundwater Study and Development in Nigeria. Mecon Geology &amp; Engineering </w:t>
      </w:r>
      <w:r w:rsidRPr="005E5F15">
        <w:rPr>
          <w:rFonts w:ascii="Times New Roman" w:hAnsi="Times New Roman" w:cs="Times New Roman"/>
          <w:sz w:val="24"/>
          <w:szCs w:val="24"/>
          <w:lang w:val="en-US"/>
        </w:rPr>
        <w:tab/>
        <w:t>Services Ltd, Jos.</w:t>
      </w:r>
    </w:p>
    <w:p w14:paraId="5E056671" w14:textId="05F80505" w:rsidR="000542AB" w:rsidRPr="00FA7F50" w:rsidRDefault="000542AB" w:rsidP="00FA7F50">
      <w:pPr>
        <w:spacing w:before="100" w:beforeAutospacing="1" w:after="100" w:afterAutospacing="1" w:line="240" w:lineRule="auto"/>
        <w:rPr>
          <w:rFonts w:ascii="Times New Roman" w:eastAsia="Times New Roman" w:hAnsi="Times New Roman" w:cs="Times New Roman"/>
          <w:sz w:val="24"/>
          <w:szCs w:val="24"/>
          <w:lang w:eastAsia="en-GB" w:bidi="ar-SA"/>
        </w:rPr>
      </w:pPr>
      <w:r w:rsidRPr="000542AB">
        <w:rPr>
          <w:rFonts w:ascii="Times New Roman" w:eastAsia="Times New Roman" w:hAnsi="Times New Roman" w:cs="Times New Roman"/>
          <w:sz w:val="24"/>
          <w:szCs w:val="24"/>
          <w:lang w:eastAsia="en-GB" w:bidi="ar-SA"/>
        </w:rPr>
        <w:t xml:space="preserve">Onu, N. N., Etu-Efeotor, J. O., &amp; Ngah, S. A. (2024). Geochemical assessment of water–rock interaction in fractured aquifers of Enugu, Nigeria. </w:t>
      </w:r>
      <w:r w:rsidRPr="000542AB">
        <w:rPr>
          <w:rFonts w:ascii="Times New Roman" w:eastAsia="Times New Roman" w:hAnsi="Times New Roman" w:cs="Times New Roman"/>
          <w:i/>
          <w:iCs/>
          <w:sz w:val="24"/>
          <w:szCs w:val="24"/>
          <w:lang w:eastAsia="en-GB" w:bidi="ar-SA"/>
        </w:rPr>
        <w:t>Environmental Earth Sciences</w:t>
      </w:r>
      <w:r w:rsidRPr="000542AB">
        <w:rPr>
          <w:rFonts w:ascii="Times New Roman" w:eastAsia="Times New Roman" w:hAnsi="Times New Roman" w:cs="Times New Roman"/>
          <w:sz w:val="24"/>
          <w:szCs w:val="24"/>
          <w:lang w:eastAsia="en-GB" w:bidi="ar-SA"/>
        </w:rPr>
        <w:t>, 83(1), 59. https://link.springer.com/article/10.1007/s42452-024-05837-x</w:t>
      </w:r>
    </w:p>
    <w:p w14:paraId="74B8B16C" w14:textId="48FBDD6C" w:rsidR="000542AB" w:rsidRPr="00AE1883" w:rsidRDefault="000542AB" w:rsidP="00AE1883">
      <w:pPr>
        <w:spacing w:before="100" w:beforeAutospacing="1" w:after="100" w:afterAutospacing="1" w:line="240" w:lineRule="auto"/>
        <w:rPr>
          <w:rFonts w:ascii="Times New Roman" w:eastAsia="Times New Roman" w:hAnsi="Times New Roman" w:cs="Times New Roman"/>
          <w:sz w:val="24"/>
          <w:szCs w:val="24"/>
          <w:lang w:eastAsia="en-GB" w:bidi="ar-SA"/>
        </w:rPr>
      </w:pPr>
      <w:proofErr w:type="spellStart"/>
      <w:r w:rsidRPr="000542AB">
        <w:rPr>
          <w:rFonts w:ascii="Times New Roman" w:eastAsia="Times New Roman" w:hAnsi="Times New Roman" w:cs="Times New Roman"/>
          <w:sz w:val="24"/>
          <w:szCs w:val="24"/>
          <w:lang w:eastAsia="en-GB" w:bidi="ar-SA"/>
        </w:rPr>
        <w:lastRenderedPageBreak/>
        <w:t>Ozoko</w:t>
      </w:r>
      <w:proofErr w:type="spellEnd"/>
      <w:r w:rsidRPr="000542AB">
        <w:rPr>
          <w:rFonts w:ascii="Times New Roman" w:eastAsia="Times New Roman" w:hAnsi="Times New Roman" w:cs="Times New Roman"/>
          <w:sz w:val="24"/>
          <w:szCs w:val="24"/>
          <w:lang w:eastAsia="en-GB" w:bidi="ar-SA"/>
        </w:rPr>
        <w:t xml:space="preserve">, D. C., &amp; </w:t>
      </w:r>
      <w:proofErr w:type="spellStart"/>
      <w:r w:rsidRPr="000542AB">
        <w:rPr>
          <w:rFonts w:ascii="Times New Roman" w:eastAsia="Times New Roman" w:hAnsi="Times New Roman" w:cs="Times New Roman"/>
          <w:sz w:val="24"/>
          <w:szCs w:val="24"/>
          <w:lang w:eastAsia="en-GB" w:bidi="ar-SA"/>
        </w:rPr>
        <w:t>Ezeugwu</w:t>
      </w:r>
      <w:proofErr w:type="spellEnd"/>
      <w:r w:rsidRPr="000542AB">
        <w:rPr>
          <w:rFonts w:ascii="Times New Roman" w:eastAsia="Times New Roman" w:hAnsi="Times New Roman" w:cs="Times New Roman"/>
          <w:sz w:val="24"/>
          <w:szCs w:val="24"/>
          <w:lang w:eastAsia="en-GB" w:bidi="ar-SA"/>
        </w:rPr>
        <w:t xml:space="preserve">, I. O. (2025). Carbon speciation in regolith aquifers at Enugu, southeastern Nigeria. </w:t>
      </w:r>
      <w:r w:rsidRPr="000542AB">
        <w:rPr>
          <w:rFonts w:ascii="Times New Roman" w:eastAsia="Times New Roman" w:hAnsi="Times New Roman" w:cs="Times New Roman"/>
          <w:i/>
          <w:iCs/>
          <w:sz w:val="24"/>
          <w:szCs w:val="24"/>
          <w:lang w:eastAsia="en-GB" w:bidi="ar-SA"/>
        </w:rPr>
        <w:t>International Journal of Earth &amp; Environmental Sciences</w:t>
      </w:r>
      <w:r w:rsidRPr="000542AB">
        <w:rPr>
          <w:rFonts w:ascii="Times New Roman" w:eastAsia="Times New Roman" w:hAnsi="Times New Roman" w:cs="Times New Roman"/>
          <w:sz w:val="24"/>
          <w:szCs w:val="24"/>
          <w:lang w:eastAsia="en-GB" w:bidi="ar-SA"/>
        </w:rPr>
        <w:t>, 10(1), 36–55. https://ijees.ielas.org/index.php/ijees/article/view/56</w:t>
      </w:r>
    </w:p>
    <w:p w14:paraId="539A730D" w14:textId="77777777" w:rsidR="00693C91" w:rsidRPr="005E5F15"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Parkhurst, D.L. &amp; Appelo, C.A.J. (2013). Description of input and examples for PHREEQC version 3—A </w:t>
      </w:r>
      <w:r w:rsidRPr="005E5F15">
        <w:rPr>
          <w:rFonts w:ascii="Times New Roman" w:hAnsi="Times New Roman" w:cs="Times New Roman"/>
          <w:sz w:val="24"/>
          <w:szCs w:val="24"/>
          <w:lang w:val="en-US"/>
        </w:rPr>
        <w:tab/>
        <w:t xml:space="preserve">computer program for speciation, batch-reaction, one-dimensional transport, and inverse geochemical </w:t>
      </w:r>
      <w:r w:rsidRPr="005E5F15">
        <w:rPr>
          <w:rFonts w:ascii="Times New Roman" w:hAnsi="Times New Roman" w:cs="Times New Roman"/>
          <w:sz w:val="24"/>
          <w:szCs w:val="24"/>
          <w:lang w:val="en-US"/>
        </w:rPr>
        <w:tab/>
        <w:t>calculations. USGS Techniques and Methods, book 6, chap. A43.</w:t>
      </w:r>
    </w:p>
    <w:p w14:paraId="673CAACA" w14:textId="384CF8A9"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 xml:space="preserve">Piper, A.M. (1944). A graphic procedure in the geochemical interpretation of water analyses. Transactions of </w:t>
      </w:r>
      <w:r w:rsidRPr="005E5F15">
        <w:rPr>
          <w:rFonts w:ascii="Times New Roman" w:hAnsi="Times New Roman" w:cs="Times New Roman"/>
          <w:sz w:val="24"/>
          <w:szCs w:val="24"/>
          <w:lang w:val="en-US"/>
        </w:rPr>
        <w:tab/>
        <w:t>the American Geophysical Union, 25, 914–923.</w:t>
      </w:r>
    </w:p>
    <w:p w14:paraId="7BEC4036" w14:textId="00F9B095" w:rsidR="00AE1883" w:rsidRPr="005E5F15" w:rsidRDefault="00FA7F50" w:rsidP="00693C91">
      <w:pPr>
        <w:rPr>
          <w:rFonts w:ascii="Times New Roman" w:hAnsi="Times New Roman" w:cs="Times New Roman"/>
          <w:sz w:val="24"/>
          <w:szCs w:val="24"/>
          <w:lang w:val="en-US"/>
        </w:rPr>
      </w:pPr>
      <w:r w:rsidRPr="00FA7F50">
        <w:rPr>
          <w:rFonts w:ascii="Times New Roman" w:hAnsi="Times New Roman" w:cs="Times New Roman"/>
          <w:sz w:val="24"/>
          <w:szCs w:val="24"/>
          <w:lang w:val="en-US"/>
        </w:rPr>
        <w:t xml:space="preserve">Razi, M. H., </w:t>
      </w:r>
      <w:proofErr w:type="spellStart"/>
      <w:r w:rsidRPr="00FA7F50">
        <w:rPr>
          <w:rFonts w:ascii="Times New Roman" w:hAnsi="Times New Roman" w:cs="Times New Roman"/>
          <w:sz w:val="24"/>
          <w:szCs w:val="24"/>
          <w:lang w:val="en-US"/>
        </w:rPr>
        <w:t>Wilopo</w:t>
      </w:r>
      <w:proofErr w:type="spellEnd"/>
      <w:r w:rsidRPr="00FA7F50">
        <w:rPr>
          <w:rFonts w:ascii="Times New Roman" w:hAnsi="Times New Roman" w:cs="Times New Roman"/>
          <w:sz w:val="24"/>
          <w:szCs w:val="24"/>
          <w:lang w:val="en-US"/>
        </w:rPr>
        <w:t>, W., &amp; Putra, D. P. E. (2024). Hydrogeochemical evolution and water–rock interaction processes in the multilayer volcanic aquifer of Yogyakarta-Sleman Groundwater Basin, Indonesia. *Environmental Earth Sciences, 83*(5), 477. [https://doi.org/10.1007/s12665-024-11477-6](https://doi.org/10.1007/s12665-024-11477-6)</w:t>
      </w:r>
    </w:p>
    <w:p w14:paraId="1D70E4E5" w14:textId="3A30E6FE" w:rsidR="00693C91" w:rsidRDefault="00693C91" w:rsidP="00693C91">
      <w:pPr>
        <w:rPr>
          <w:rFonts w:ascii="Times New Roman" w:hAnsi="Times New Roman" w:cs="Times New Roman"/>
          <w:sz w:val="24"/>
          <w:szCs w:val="24"/>
          <w:lang w:val="en-US"/>
        </w:rPr>
      </w:pPr>
      <w:r w:rsidRPr="005E5F15">
        <w:rPr>
          <w:rFonts w:ascii="Times New Roman" w:hAnsi="Times New Roman" w:cs="Times New Roman"/>
          <w:sz w:val="24"/>
          <w:szCs w:val="24"/>
          <w:lang w:val="en-US"/>
        </w:rPr>
        <w:t>Reyment, R.A. (1965). Aspects of the geology of Nigeria. Ibadan University Press.</w:t>
      </w:r>
    </w:p>
    <w:p w14:paraId="64CA432A" w14:textId="5F46DB8A" w:rsidR="00640915" w:rsidRPr="005E5F15" w:rsidRDefault="00FA7F50" w:rsidP="00693C91">
      <w:pPr>
        <w:rPr>
          <w:rFonts w:ascii="Times New Roman" w:hAnsi="Times New Roman" w:cs="Times New Roman"/>
          <w:sz w:val="24"/>
          <w:szCs w:val="24"/>
          <w:lang w:val="en-US"/>
        </w:rPr>
      </w:pPr>
      <w:r w:rsidRPr="00FA7F50">
        <w:rPr>
          <w:rFonts w:ascii="Times New Roman" w:hAnsi="Times New Roman" w:cs="Times New Roman"/>
          <w:sz w:val="24"/>
          <w:szCs w:val="24"/>
          <w:lang w:val="en-US"/>
        </w:rPr>
        <w:t>Song, J., &amp; Zhou, X. (2024). Hydrochemical characterization and health risk assessment of shallow groundwater in a northern coalfield of Anhui Province, China. Frontiers in Earth Science, 12, 1368328. https://doi.org/10.3389/feart.2024.1368328</w:t>
      </w:r>
    </w:p>
    <w:p w14:paraId="0BBDBC46" w14:textId="3C611387" w:rsidR="00693C91" w:rsidRDefault="00693C91"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Stuyfzand</w:t>
      </w:r>
      <w:proofErr w:type="spellEnd"/>
      <w:r w:rsidRPr="005E5F15">
        <w:rPr>
          <w:rFonts w:ascii="Times New Roman" w:hAnsi="Times New Roman" w:cs="Times New Roman"/>
          <w:sz w:val="24"/>
          <w:szCs w:val="24"/>
          <w:lang w:val="en-US"/>
        </w:rPr>
        <w:t xml:space="preserve">, P.J. (1993). Hydrochemistry and hydrology of the coastal dune area of the Western Netherlands. </w:t>
      </w:r>
      <w:r w:rsidRPr="005E5F15">
        <w:rPr>
          <w:rFonts w:ascii="Times New Roman" w:hAnsi="Times New Roman" w:cs="Times New Roman"/>
          <w:sz w:val="24"/>
          <w:szCs w:val="24"/>
          <w:lang w:val="en-US"/>
        </w:rPr>
        <w:tab/>
        <w:t>PhD Thesis, Vrije Universiteit Amsterdam.</w:t>
      </w:r>
    </w:p>
    <w:p w14:paraId="7336E613" w14:textId="0CA570BE" w:rsidR="00640915" w:rsidRDefault="00640915" w:rsidP="00693C91">
      <w:pPr>
        <w:rPr>
          <w:rFonts w:ascii="Times New Roman" w:hAnsi="Times New Roman" w:cs="Times New Roman"/>
          <w:sz w:val="24"/>
          <w:szCs w:val="24"/>
          <w:lang w:val="en-US"/>
        </w:rPr>
      </w:pPr>
      <w:proofErr w:type="spellStart"/>
      <w:r w:rsidRPr="00640915">
        <w:rPr>
          <w:rFonts w:ascii="Times New Roman" w:hAnsi="Times New Roman" w:cs="Times New Roman"/>
          <w:sz w:val="24"/>
          <w:szCs w:val="24"/>
          <w:lang w:val="en-US"/>
        </w:rPr>
        <w:t>Sunkari</w:t>
      </w:r>
      <w:proofErr w:type="spellEnd"/>
      <w:r w:rsidRPr="00640915">
        <w:rPr>
          <w:rFonts w:ascii="Times New Roman" w:hAnsi="Times New Roman" w:cs="Times New Roman"/>
          <w:sz w:val="24"/>
          <w:szCs w:val="24"/>
          <w:lang w:val="en-US"/>
        </w:rPr>
        <w:t xml:space="preserve">, E. D., Abu, M., Bayowobie, P. S., &amp; </w:t>
      </w:r>
      <w:proofErr w:type="spellStart"/>
      <w:r w:rsidRPr="00640915">
        <w:rPr>
          <w:rFonts w:ascii="Times New Roman" w:hAnsi="Times New Roman" w:cs="Times New Roman"/>
          <w:sz w:val="24"/>
          <w:szCs w:val="24"/>
          <w:lang w:val="en-US"/>
        </w:rPr>
        <w:t>Dokuz</w:t>
      </w:r>
      <w:proofErr w:type="spellEnd"/>
      <w:r w:rsidRPr="00640915">
        <w:rPr>
          <w:rFonts w:ascii="Times New Roman" w:hAnsi="Times New Roman" w:cs="Times New Roman"/>
          <w:sz w:val="24"/>
          <w:szCs w:val="24"/>
          <w:lang w:val="en-US"/>
        </w:rPr>
        <w:t>, U. E. (2019). Hydrogeochemical appraisal of groundwater quality in the Ga West Municipality, Ghana: Implication for domestic and irrigation purposes. Groundwater for Sustainable Development, 8, 501–511. https://doi.org/10.1016/j.gsd.2019.02.002</w:t>
      </w:r>
    </w:p>
    <w:p w14:paraId="3D83601B" w14:textId="47A967B1" w:rsidR="00AE1883" w:rsidRPr="00AE1883" w:rsidRDefault="00AE1883" w:rsidP="00AE1883">
      <w:pPr>
        <w:spacing w:before="100" w:beforeAutospacing="1" w:after="100" w:afterAutospacing="1" w:line="240" w:lineRule="auto"/>
        <w:rPr>
          <w:rFonts w:ascii="Times New Roman" w:eastAsia="Times New Roman" w:hAnsi="Times New Roman" w:cs="Times New Roman"/>
          <w:sz w:val="24"/>
          <w:szCs w:val="24"/>
          <w:lang w:eastAsia="en-GB" w:bidi="ar-SA"/>
        </w:rPr>
      </w:pPr>
      <w:r w:rsidRPr="00AE1883">
        <w:rPr>
          <w:rFonts w:ascii="Times New Roman" w:eastAsia="Times New Roman" w:hAnsi="Times New Roman" w:cs="Times New Roman"/>
          <w:sz w:val="24"/>
          <w:szCs w:val="24"/>
          <w:lang w:eastAsia="en-GB" w:bidi="ar-SA"/>
        </w:rPr>
        <w:t xml:space="preserve">Ugwu, E. I., Agwu, A. E., &amp; Nwankwo, E. U. (2023). Nitrate contamination in groundwater around urban farmlands in Enugu. </w:t>
      </w:r>
      <w:r w:rsidRPr="00AE1883">
        <w:rPr>
          <w:rFonts w:ascii="Times New Roman" w:eastAsia="Times New Roman" w:hAnsi="Times New Roman" w:cs="Times New Roman"/>
          <w:i/>
          <w:iCs/>
          <w:sz w:val="24"/>
          <w:szCs w:val="24"/>
          <w:lang w:eastAsia="en-GB" w:bidi="ar-SA"/>
        </w:rPr>
        <w:t>International Journal of Hydrogeology</w:t>
      </w:r>
      <w:r w:rsidRPr="00AE1883">
        <w:rPr>
          <w:rFonts w:ascii="Times New Roman" w:eastAsia="Times New Roman" w:hAnsi="Times New Roman" w:cs="Times New Roman"/>
          <w:sz w:val="24"/>
          <w:szCs w:val="24"/>
          <w:lang w:eastAsia="en-GB" w:bidi="ar-SA"/>
        </w:rPr>
        <w:t>, 9(3), 54–62.</w:t>
      </w:r>
    </w:p>
    <w:p w14:paraId="08EC83A7" w14:textId="77777777" w:rsidR="00693C91" w:rsidRPr="005E5F15" w:rsidRDefault="00693C91" w:rsidP="00693C91">
      <w:pPr>
        <w:rPr>
          <w:rFonts w:ascii="Times New Roman" w:hAnsi="Times New Roman" w:cs="Times New Roman"/>
          <w:sz w:val="24"/>
          <w:szCs w:val="24"/>
          <w:lang w:val="en-US"/>
        </w:rPr>
      </w:pPr>
      <w:proofErr w:type="spellStart"/>
      <w:r w:rsidRPr="005E5F15">
        <w:rPr>
          <w:rFonts w:ascii="Times New Roman" w:hAnsi="Times New Roman" w:cs="Times New Roman"/>
          <w:sz w:val="24"/>
          <w:szCs w:val="24"/>
          <w:lang w:val="en-US"/>
        </w:rPr>
        <w:t>Vasanthavigar</w:t>
      </w:r>
      <w:proofErr w:type="spellEnd"/>
      <w:r w:rsidRPr="005E5F15">
        <w:rPr>
          <w:rFonts w:ascii="Times New Roman" w:hAnsi="Times New Roman" w:cs="Times New Roman"/>
          <w:sz w:val="24"/>
          <w:szCs w:val="24"/>
          <w:lang w:val="en-US"/>
        </w:rPr>
        <w:t xml:space="preserve">, M., </w:t>
      </w:r>
      <w:proofErr w:type="spellStart"/>
      <w:r w:rsidRPr="005E5F15">
        <w:rPr>
          <w:rFonts w:ascii="Times New Roman" w:hAnsi="Times New Roman" w:cs="Times New Roman"/>
          <w:sz w:val="24"/>
          <w:szCs w:val="24"/>
          <w:lang w:val="en-US"/>
        </w:rPr>
        <w:t>Srinivasamoorthy</w:t>
      </w:r>
      <w:proofErr w:type="spellEnd"/>
      <w:r w:rsidRPr="005E5F15">
        <w:rPr>
          <w:rFonts w:ascii="Times New Roman" w:hAnsi="Times New Roman" w:cs="Times New Roman"/>
          <w:sz w:val="24"/>
          <w:szCs w:val="24"/>
          <w:lang w:val="en-US"/>
        </w:rPr>
        <w:t xml:space="preserve">, K., Rajiv Ganthi, R., Vijayaragavan, K., Sarma, V.S., Chidambaram, S., </w:t>
      </w:r>
      <w:r w:rsidRPr="005E5F15">
        <w:rPr>
          <w:rFonts w:ascii="Times New Roman" w:hAnsi="Times New Roman" w:cs="Times New Roman"/>
          <w:sz w:val="24"/>
          <w:szCs w:val="24"/>
          <w:lang w:val="en-US"/>
        </w:rPr>
        <w:tab/>
        <w:t xml:space="preserve">Anandhan, P., Manivannan, R. &amp; Vasudevan, S. (2010). Application of water quality index for </w:t>
      </w:r>
      <w:r w:rsidRPr="005E5F15">
        <w:rPr>
          <w:rFonts w:ascii="Times New Roman" w:hAnsi="Times New Roman" w:cs="Times New Roman"/>
          <w:sz w:val="24"/>
          <w:szCs w:val="24"/>
          <w:lang w:val="en-US"/>
        </w:rPr>
        <w:tab/>
        <w:t xml:space="preserve">groundwater quality assessment: </w:t>
      </w:r>
      <w:proofErr w:type="spellStart"/>
      <w:r w:rsidRPr="005E5F15">
        <w:rPr>
          <w:rFonts w:ascii="Times New Roman" w:hAnsi="Times New Roman" w:cs="Times New Roman"/>
          <w:sz w:val="24"/>
          <w:szCs w:val="24"/>
          <w:lang w:val="en-US"/>
        </w:rPr>
        <w:t>Thirumanimuttar</w:t>
      </w:r>
      <w:proofErr w:type="spellEnd"/>
      <w:r w:rsidRPr="005E5F15">
        <w:rPr>
          <w:rFonts w:ascii="Times New Roman" w:hAnsi="Times New Roman" w:cs="Times New Roman"/>
          <w:sz w:val="24"/>
          <w:szCs w:val="24"/>
          <w:lang w:val="en-US"/>
        </w:rPr>
        <w:t xml:space="preserve"> sub-basin, </w:t>
      </w:r>
      <w:proofErr w:type="spellStart"/>
      <w:r w:rsidRPr="005E5F15">
        <w:rPr>
          <w:rFonts w:ascii="Times New Roman" w:hAnsi="Times New Roman" w:cs="Times New Roman"/>
          <w:sz w:val="24"/>
          <w:szCs w:val="24"/>
          <w:lang w:val="en-US"/>
        </w:rPr>
        <w:t>Tamilnadu</w:t>
      </w:r>
      <w:proofErr w:type="spellEnd"/>
      <w:r w:rsidRPr="005E5F15">
        <w:rPr>
          <w:rFonts w:ascii="Times New Roman" w:hAnsi="Times New Roman" w:cs="Times New Roman"/>
          <w:sz w:val="24"/>
          <w:szCs w:val="24"/>
          <w:lang w:val="en-US"/>
        </w:rPr>
        <w:t xml:space="preserve">, India. Environmental </w:t>
      </w:r>
      <w:r w:rsidRPr="005E5F15">
        <w:rPr>
          <w:rFonts w:ascii="Times New Roman" w:hAnsi="Times New Roman" w:cs="Times New Roman"/>
          <w:sz w:val="24"/>
          <w:szCs w:val="24"/>
          <w:lang w:val="en-US"/>
        </w:rPr>
        <w:tab/>
        <w:t>Monitoring and Assessment, 171, 595–609.</w:t>
      </w:r>
    </w:p>
    <w:p w14:paraId="74835650" w14:textId="77777777" w:rsidR="00795873" w:rsidRPr="005E5F15" w:rsidRDefault="00795873">
      <w:pPr>
        <w:rPr>
          <w:rFonts w:ascii="Times New Roman" w:hAnsi="Times New Roman" w:cs="Times New Roman"/>
          <w:sz w:val="24"/>
          <w:szCs w:val="24"/>
        </w:rPr>
      </w:pPr>
    </w:p>
    <w:p w14:paraId="263970DC" w14:textId="77777777" w:rsidR="00534244" w:rsidRPr="005E5F15" w:rsidRDefault="00534244">
      <w:pPr>
        <w:rPr>
          <w:rFonts w:ascii="Times New Roman" w:hAnsi="Times New Roman" w:cs="Times New Roman"/>
          <w:sz w:val="24"/>
          <w:szCs w:val="24"/>
        </w:rPr>
      </w:pPr>
    </w:p>
    <w:sectPr w:rsidR="00534244" w:rsidRPr="005E5F15" w:rsidSect="00795873">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E7FA2" w14:textId="77777777" w:rsidR="00950D7D" w:rsidRDefault="00950D7D" w:rsidP="007D2588">
      <w:pPr>
        <w:spacing w:after="0" w:line="240" w:lineRule="auto"/>
      </w:pPr>
      <w:r>
        <w:separator/>
      </w:r>
    </w:p>
  </w:endnote>
  <w:endnote w:type="continuationSeparator" w:id="0">
    <w:p w14:paraId="657EB52E" w14:textId="77777777" w:rsidR="00950D7D" w:rsidRDefault="00950D7D" w:rsidP="007D2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te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A7B93" w14:textId="77777777" w:rsidR="00482687" w:rsidRDefault="004826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82016"/>
      <w:docPartObj>
        <w:docPartGallery w:val="Page Numbers (Bottom of Page)"/>
        <w:docPartUnique/>
      </w:docPartObj>
    </w:sdtPr>
    <w:sdtEndPr>
      <w:rPr>
        <w:noProof/>
      </w:rPr>
    </w:sdtEndPr>
    <w:sdtContent>
      <w:p w14:paraId="0350BB30" w14:textId="1D94169E" w:rsidR="00B10E1D" w:rsidRDefault="00B10E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72BCCF" w14:textId="77777777" w:rsidR="00B10E1D" w:rsidRDefault="00B10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2888" w14:textId="77777777" w:rsidR="00482687" w:rsidRDefault="00482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0DE50" w14:textId="77777777" w:rsidR="00950D7D" w:rsidRDefault="00950D7D" w:rsidP="007D2588">
      <w:pPr>
        <w:spacing w:after="0" w:line="240" w:lineRule="auto"/>
      </w:pPr>
      <w:r>
        <w:separator/>
      </w:r>
    </w:p>
  </w:footnote>
  <w:footnote w:type="continuationSeparator" w:id="0">
    <w:p w14:paraId="039B28A8" w14:textId="77777777" w:rsidR="00950D7D" w:rsidRDefault="00950D7D" w:rsidP="007D2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BF616" w14:textId="3A89050A" w:rsidR="00482687" w:rsidRDefault="00950D7D">
    <w:pPr>
      <w:pStyle w:val="Header"/>
    </w:pPr>
    <w:r>
      <w:rPr>
        <w:noProof/>
      </w:rPr>
      <w:pict w14:anchorId="0DE58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20128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60F99" w14:textId="2E8B2DB6" w:rsidR="00482687" w:rsidRDefault="00950D7D">
    <w:pPr>
      <w:pStyle w:val="Header"/>
    </w:pPr>
    <w:r>
      <w:rPr>
        <w:noProof/>
      </w:rPr>
      <w:pict w14:anchorId="48959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20128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5A1FE" w14:textId="302C2821" w:rsidR="00482687" w:rsidRDefault="00950D7D">
    <w:pPr>
      <w:pStyle w:val="Header"/>
    </w:pPr>
    <w:r>
      <w:rPr>
        <w:noProof/>
      </w:rPr>
      <w:pict w14:anchorId="1BC35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120128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E6038"/>
    <w:multiLevelType w:val="multilevel"/>
    <w:tmpl w:val="3C24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525DB"/>
    <w:multiLevelType w:val="multilevel"/>
    <w:tmpl w:val="FC2A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E86CBA"/>
    <w:multiLevelType w:val="multilevel"/>
    <w:tmpl w:val="F1607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2173A6"/>
    <w:multiLevelType w:val="multilevel"/>
    <w:tmpl w:val="0E12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B5EB1"/>
    <w:multiLevelType w:val="multilevel"/>
    <w:tmpl w:val="CB64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C20777"/>
    <w:multiLevelType w:val="multilevel"/>
    <w:tmpl w:val="06A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B3647"/>
    <w:multiLevelType w:val="multilevel"/>
    <w:tmpl w:val="E6D65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EC7051"/>
    <w:multiLevelType w:val="multilevel"/>
    <w:tmpl w:val="4F98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D7A50A7"/>
    <w:multiLevelType w:val="multilevel"/>
    <w:tmpl w:val="D1B49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7C1B1D"/>
    <w:multiLevelType w:val="multilevel"/>
    <w:tmpl w:val="B23A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25808"/>
    <w:multiLevelType w:val="multilevel"/>
    <w:tmpl w:val="0462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2"/>
  </w:num>
  <w:num w:numId="4">
    <w:abstractNumId w:val="6"/>
  </w:num>
  <w:num w:numId="5">
    <w:abstractNumId w:val="8"/>
  </w:num>
  <w:num w:numId="6">
    <w:abstractNumId w:val="4"/>
  </w:num>
  <w:num w:numId="7">
    <w:abstractNumId w:val="0"/>
  </w:num>
  <w:num w:numId="8">
    <w:abstractNumId w:val="7"/>
  </w:num>
  <w:num w:numId="9">
    <w:abstractNumId w:val="1"/>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3NzAwMDE2sDC2NDNT0lEKTi0uzszPAykwrAUAyOAVLSwAAAA="/>
  </w:docVars>
  <w:rsids>
    <w:rsidRoot w:val="0080783E"/>
    <w:rsid w:val="00007FC7"/>
    <w:rsid w:val="00016D1C"/>
    <w:rsid w:val="000355E8"/>
    <w:rsid w:val="000542AB"/>
    <w:rsid w:val="0005621C"/>
    <w:rsid w:val="00060F11"/>
    <w:rsid w:val="00075CCD"/>
    <w:rsid w:val="0009193D"/>
    <w:rsid w:val="00093F3F"/>
    <w:rsid w:val="000972B5"/>
    <w:rsid w:val="000A40B6"/>
    <w:rsid w:val="000B3F01"/>
    <w:rsid w:val="000C676A"/>
    <w:rsid w:val="000D5F8A"/>
    <w:rsid w:val="000E237C"/>
    <w:rsid w:val="000E273E"/>
    <w:rsid w:val="000E30C9"/>
    <w:rsid w:val="0011099E"/>
    <w:rsid w:val="00111F70"/>
    <w:rsid w:val="00125445"/>
    <w:rsid w:val="001519C9"/>
    <w:rsid w:val="001669F0"/>
    <w:rsid w:val="00176936"/>
    <w:rsid w:val="001B48E2"/>
    <w:rsid w:val="001C67EB"/>
    <w:rsid w:val="001E7140"/>
    <w:rsid w:val="001E72A9"/>
    <w:rsid w:val="00226B53"/>
    <w:rsid w:val="00233B30"/>
    <w:rsid w:val="00244615"/>
    <w:rsid w:val="002477B1"/>
    <w:rsid w:val="00256CB6"/>
    <w:rsid w:val="002735B2"/>
    <w:rsid w:val="00273837"/>
    <w:rsid w:val="00275378"/>
    <w:rsid w:val="00277818"/>
    <w:rsid w:val="00296F5D"/>
    <w:rsid w:val="002D0059"/>
    <w:rsid w:val="002D0E72"/>
    <w:rsid w:val="002E53F2"/>
    <w:rsid w:val="002F636E"/>
    <w:rsid w:val="00300F38"/>
    <w:rsid w:val="0035744E"/>
    <w:rsid w:val="00360447"/>
    <w:rsid w:val="003D6E29"/>
    <w:rsid w:val="003E0F0B"/>
    <w:rsid w:val="00402627"/>
    <w:rsid w:val="00482687"/>
    <w:rsid w:val="00487412"/>
    <w:rsid w:val="00493311"/>
    <w:rsid w:val="004C5AFF"/>
    <w:rsid w:val="00503BA0"/>
    <w:rsid w:val="0051063B"/>
    <w:rsid w:val="00516344"/>
    <w:rsid w:val="00534244"/>
    <w:rsid w:val="00551182"/>
    <w:rsid w:val="00562067"/>
    <w:rsid w:val="005A0997"/>
    <w:rsid w:val="005B1FF0"/>
    <w:rsid w:val="005B7A45"/>
    <w:rsid w:val="005D1040"/>
    <w:rsid w:val="005E5F15"/>
    <w:rsid w:val="005E7313"/>
    <w:rsid w:val="005E7903"/>
    <w:rsid w:val="00613C91"/>
    <w:rsid w:val="00627240"/>
    <w:rsid w:val="00640915"/>
    <w:rsid w:val="00682D1F"/>
    <w:rsid w:val="0069099F"/>
    <w:rsid w:val="00693C91"/>
    <w:rsid w:val="006A24C2"/>
    <w:rsid w:val="006A409B"/>
    <w:rsid w:val="006F4AFD"/>
    <w:rsid w:val="00705A16"/>
    <w:rsid w:val="00740621"/>
    <w:rsid w:val="00742C79"/>
    <w:rsid w:val="00771DBB"/>
    <w:rsid w:val="007811EC"/>
    <w:rsid w:val="007932F0"/>
    <w:rsid w:val="007933FF"/>
    <w:rsid w:val="00795873"/>
    <w:rsid w:val="007B7D8C"/>
    <w:rsid w:val="007D062E"/>
    <w:rsid w:val="007D2588"/>
    <w:rsid w:val="007D699F"/>
    <w:rsid w:val="007F1500"/>
    <w:rsid w:val="0080423B"/>
    <w:rsid w:val="008048A0"/>
    <w:rsid w:val="0080783E"/>
    <w:rsid w:val="00826D06"/>
    <w:rsid w:val="00830E14"/>
    <w:rsid w:val="00834BDE"/>
    <w:rsid w:val="008632D0"/>
    <w:rsid w:val="0087596B"/>
    <w:rsid w:val="0087657C"/>
    <w:rsid w:val="008966B6"/>
    <w:rsid w:val="008C1E17"/>
    <w:rsid w:val="008C35FA"/>
    <w:rsid w:val="00900C25"/>
    <w:rsid w:val="0091459B"/>
    <w:rsid w:val="00914802"/>
    <w:rsid w:val="009152BE"/>
    <w:rsid w:val="00922C79"/>
    <w:rsid w:val="00925A80"/>
    <w:rsid w:val="009403FF"/>
    <w:rsid w:val="00950D7D"/>
    <w:rsid w:val="009700BF"/>
    <w:rsid w:val="00A00C43"/>
    <w:rsid w:val="00A14FB8"/>
    <w:rsid w:val="00A31360"/>
    <w:rsid w:val="00A41FD5"/>
    <w:rsid w:val="00A6206A"/>
    <w:rsid w:val="00A623B7"/>
    <w:rsid w:val="00A63DEF"/>
    <w:rsid w:val="00A64C5A"/>
    <w:rsid w:val="00A81ACF"/>
    <w:rsid w:val="00A84ABA"/>
    <w:rsid w:val="00A9130D"/>
    <w:rsid w:val="00A927C5"/>
    <w:rsid w:val="00AC66C5"/>
    <w:rsid w:val="00AD67B1"/>
    <w:rsid w:val="00AE1883"/>
    <w:rsid w:val="00B04737"/>
    <w:rsid w:val="00B0684A"/>
    <w:rsid w:val="00B06B69"/>
    <w:rsid w:val="00B10E1D"/>
    <w:rsid w:val="00B12569"/>
    <w:rsid w:val="00B14440"/>
    <w:rsid w:val="00B70CA8"/>
    <w:rsid w:val="00B81ED0"/>
    <w:rsid w:val="00B87D16"/>
    <w:rsid w:val="00BA7BF1"/>
    <w:rsid w:val="00BB779E"/>
    <w:rsid w:val="00BD1C71"/>
    <w:rsid w:val="00BD6B6A"/>
    <w:rsid w:val="00C15F77"/>
    <w:rsid w:val="00C30852"/>
    <w:rsid w:val="00C33FA1"/>
    <w:rsid w:val="00C35B54"/>
    <w:rsid w:val="00C40C7A"/>
    <w:rsid w:val="00C66D06"/>
    <w:rsid w:val="00C715AE"/>
    <w:rsid w:val="00CA017D"/>
    <w:rsid w:val="00CB2981"/>
    <w:rsid w:val="00CB6F38"/>
    <w:rsid w:val="00CD6C37"/>
    <w:rsid w:val="00CE33BB"/>
    <w:rsid w:val="00D105FB"/>
    <w:rsid w:val="00D36B2C"/>
    <w:rsid w:val="00D4010F"/>
    <w:rsid w:val="00DA0768"/>
    <w:rsid w:val="00DE5E3D"/>
    <w:rsid w:val="00DE6068"/>
    <w:rsid w:val="00DF3A04"/>
    <w:rsid w:val="00E13049"/>
    <w:rsid w:val="00E27C8E"/>
    <w:rsid w:val="00E635BD"/>
    <w:rsid w:val="00E93822"/>
    <w:rsid w:val="00ED4274"/>
    <w:rsid w:val="00ED43A4"/>
    <w:rsid w:val="00EE3DC9"/>
    <w:rsid w:val="00EF14D8"/>
    <w:rsid w:val="00EF2098"/>
    <w:rsid w:val="00F014F5"/>
    <w:rsid w:val="00F206F4"/>
    <w:rsid w:val="00F373E2"/>
    <w:rsid w:val="00F41197"/>
    <w:rsid w:val="00F6219E"/>
    <w:rsid w:val="00FA3417"/>
    <w:rsid w:val="00FA6487"/>
    <w:rsid w:val="00FA7F50"/>
    <w:rsid w:val="00FB4478"/>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29B30B2"/>
  <w15:chartTrackingRefBased/>
  <w15:docId w15:val="{50861C2F-069D-46A5-A5A0-A278DC9D9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ar-LB"/>
    </w:rPr>
  </w:style>
  <w:style w:type="paragraph" w:styleId="Heading2">
    <w:name w:val="heading 2"/>
    <w:basedOn w:val="Normal"/>
    <w:next w:val="Normal"/>
    <w:link w:val="Heading2Char"/>
    <w:uiPriority w:val="9"/>
    <w:semiHidden/>
    <w:unhideWhenUsed/>
    <w:qFormat/>
    <w:rsid w:val="00487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4244"/>
    <w:pPr>
      <w:keepNext/>
      <w:keepLines/>
      <w:spacing w:before="200" w:after="0" w:line="276" w:lineRule="auto"/>
      <w:outlineLvl w:val="2"/>
    </w:pPr>
    <w:rPr>
      <w:rFonts w:asciiTheme="majorHAnsi" w:eastAsiaTheme="majorEastAsia" w:hAnsiTheme="majorHAnsi" w:cstheme="majorBidi"/>
      <w:b/>
      <w:bCs/>
      <w:color w:val="4F81BD" w:themeColor="accent1"/>
      <w:lang w:bidi="ar-SA"/>
    </w:rPr>
  </w:style>
  <w:style w:type="paragraph" w:styleId="Heading4">
    <w:name w:val="heading 4"/>
    <w:basedOn w:val="Normal"/>
    <w:next w:val="Normal"/>
    <w:link w:val="Heading4Char"/>
    <w:uiPriority w:val="9"/>
    <w:semiHidden/>
    <w:unhideWhenUsed/>
    <w:qFormat/>
    <w:rsid w:val="0048741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83E"/>
    <w:rPr>
      <w:color w:val="0000FF" w:themeColor="hyperlink"/>
      <w:u w:val="single"/>
    </w:rPr>
  </w:style>
  <w:style w:type="character" w:styleId="UnresolvedMention">
    <w:name w:val="Unresolved Mention"/>
    <w:basedOn w:val="DefaultParagraphFont"/>
    <w:uiPriority w:val="99"/>
    <w:semiHidden/>
    <w:unhideWhenUsed/>
    <w:rsid w:val="0080783E"/>
    <w:rPr>
      <w:color w:val="808080"/>
      <w:shd w:val="clear" w:color="auto" w:fill="E6E6E6"/>
    </w:rPr>
  </w:style>
  <w:style w:type="table" w:styleId="LightShading">
    <w:name w:val="Light Shading"/>
    <w:basedOn w:val="TableNormal"/>
    <w:uiPriority w:val="60"/>
    <w:semiHidden/>
    <w:unhideWhenUsed/>
    <w:rsid w:val="000355E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84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3424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D2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88"/>
    <w:rPr>
      <w:lang w:bidi="ar-LB"/>
    </w:rPr>
  </w:style>
  <w:style w:type="paragraph" w:styleId="Footer">
    <w:name w:val="footer"/>
    <w:basedOn w:val="Normal"/>
    <w:link w:val="FooterChar"/>
    <w:uiPriority w:val="99"/>
    <w:unhideWhenUsed/>
    <w:rsid w:val="007D2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88"/>
    <w:rPr>
      <w:lang w:bidi="ar-LB"/>
    </w:rPr>
  </w:style>
  <w:style w:type="paragraph" w:styleId="NormalWeb">
    <w:name w:val="Normal (Web)"/>
    <w:basedOn w:val="Normal"/>
    <w:uiPriority w:val="99"/>
    <w:unhideWhenUsed/>
    <w:rsid w:val="00E13049"/>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Emphasis">
    <w:name w:val="Emphasis"/>
    <w:basedOn w:val="DefaultParagraphFont"/>
    <w:uiPriority w:val="20"/>
    <w:qFormat/>
    <w:rsid w:val="00E13049"/>
    <w:rPr>
      <w:i/>
      <w:iCs/>
    </w:rPr>
  </w:style>
  <w:style w:type="paragraph" w:styleId="BodyText">
    <w:name w:val="Body Text"/>
    <w:basedOn w:val="Normal"/>
    <w:link w:val="BodyTextChar"/>
    <w:uiPriority w:val="1"/>
    <w:qFormat/>
    <w:rsid w:val="00503BA0"/>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503B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F1500"/>
    <w:rPr>
      <w:b/>
      <w:bCs/>
    </w:rPr>
  </w:style>
  <w:style w:type="character" w:styleId="CommentReference">
    <w:name w:val="annotation reference"/>
    <w:basedOn w:val="DefaultParagraphFont"/>
    <w:uiPriority w:val="99"/>
    <w:semiHidden/>
    <w:unhideWhenUsed/>
    <w:rsid w:val="002D0059"/>
    <w:rPr>
      <w:sz w:val="16"/>
      <w:szCs w:val="16"/>
    </w:rPr>
  </w:style>
  <w:style w:type="paragraph" w:styleId="CommentText">
    <w:name w:val="annotation text"/>
    <w:basedOn w:val="Normal"/>
    <w:link w:val="CommentTextChar"/>
    <w:uiPriority w:val="99"/>
    <w:semiHidden/>
    <w:unhideWhenUsed/>
    <w:rsid w:val="002D0059"/>
    <w:pPr>
      <w:spacing w:line="240" w:lineRule="auto"/>
    </w:pPr>
    <w:rPr>
      <w:sz w:val="20"/>
      <w:szCs w:val="20"/>
    </w:rPr>
  </w:style>
  <w:style w:type="character" w:customStyle="1" w:styleId="CommentTextChar">
    <w:name w:val="Comment Text Char"/>
    <w:basedOn w:val="DefaultParagraphFont"/>
    <w:link w:val="CommentText"/>
    <w:uiPriority w:val="99"/>
    <w:semiHidden/>
    <w:rsid w:val="002D0059"/>
    <w:rPr>
      <w:sz w:val="20"/>
      <w:szCs w:val="20"/>
      <w:lang w:bidi="ar-LB"/>
    </w:rPr>
  </w:style>
  <w:style w:type="paragraph" w:styleId="CommentSubject">
    <w:name w:val="annotation subject"/>
    <w:basedOn w:val="CommentText"/>
    <w:next w:val="CommentText"/>
    <w:link w:val="CommentSubjectChar"/>
    <w:uiPriority w:val="99"/>
    <w:semiHidden/>
    <w:unhideWhenUsed/>
    <w:rsid w:val="002D0059"/>
    <w:rPr>
      <w:b/>
      <w:bCs/>
    </w:rPr>
  </w:style>
  <w:style w:type="character" w:customStyle="1" w:styleId="CommentSubjectChar">
    <w:name w:val="Comment Subject Char"/>
    <w:basedOn w:val="CommentTextChar"/>
    <w:link w:val="CommentSubject"/>
    <w:uiPriority w:val="99"/>
    <w:semiHidden/>
    <w:rsid w:val="002D0059"/>
    <w:rPr>
      <w:b/>
      <w:bCs/>
      <w:sz w:val="20"/>
      <w:szCs w:val="20"/>
      <w:lang w:bidi="ar-LB"/>
    </w:rPr>
  </w:style>
  <w:style w:type="paragraph" w:styleId="BalloonText">
    <w:name w:val="Balloon Text"/>
    <w:basedOn w:val="Normal"/>
    <w:link w:val="BalloonTextChar"/>
    <w:uiPriority w:val="99"/>
    <w:semiHidden/>
    <w:unhideWhenUsed/>
    <w:rsid w:val="002D0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059"/>
    <w:rPr>
      <w:rFonts w:ascii="Segoe UI" w:hAnsi="Segoe UI" w:cs="Segoe UI"/>
      <w:sz w:val="18"/>
      <w:szCs w:val="18"/>
      <w:lang w:bidi="ar-LB"/>
    </w:rPr>
  </w:style>
  <w:style w:type="character" w:customStyle="1" w:styleId="Heading4Char">
    <w:name w:val="Heading 4 Char"/>
    <w:basedOn w:val="DefaultParagraphFont"/>
    <w:link w:val="Heading4"/>
    <w:uiPriority w:val="9"/>
    <w:semiHidden/>
    <w:rsid w:val="00487412"/>
    <w:rPr>
      <w:rFonts w:asciiTheme="majorHAnsi" w:eastAsiaTheme="majorEastAsia" w:hAnsiTheme="majorHAnsi" w:cstheme="majorBidi"/>
      <w:i/>
      <w:iCs/>
      <w:color w:val="365F91" w:themeColor="accent1" w:themeShade="BF"/>
      <w:lang w:bidi="ar-LB"/>
    </w:rPr>
  </w:style>
  <w:style w:type="character" w:customStyle="1" w:styleId="Heading2Char">
    <w:name w:val="Heading 2 Char"/>
    <w:basedOn w:val="DefaultParagraphFont"/>
    <w:link w:val="Heading2"/>
    <w:uiPriority w:val="9"/>
    <w:semiHidden/>
    <w:rsid w:val="00487412"/>
    <w:rPr>
      <w:rFonts w:asciiTheme="majorHAnsi" w:eastAsiaTheme="majorEastAsia" w:hAnsiTheme="majorHAnsi" w:cstheme="majorBidi"/>
      <w:color w:val="365F91" w:themeColor="accent1" w:themeShade="BF"/>
      <w:sz w:val="26"/>
      <w:szCs w:val="26"/>
      <w:lang w:bidi="ar-LB"/>
    </w:rPr>
  </w:style>
  <w:style w:type="paragraph" w:styleId="NoSpacing">
    <w:name w:val="No Spacing"/>
    <w:uiPriority w:val="1"/>
    <w:qFormat/>
    <w:rsid w:val="001669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97821">
      <w:bodyDiv w:val="1"/>
      <w:marLeft w:val="0"/>
      <w:marRight w:val="0"/>
      <w:marTop w:val="0"/>
      <w:marBottom w:val="0"/>
      <w:divBdr>
        <w:top w:val="none" w:sz="0" w:space="0" w:color="auto"/>
        <w:left w:val="none" w:sz="0" w:space="0" w:color="auto"/>
        <w:bottom w:val="none" w:sz="0" w:space="0" w:color="auto"/>
        <w:right w:val="none" w:sz="0" w:space="0" w:color="auto"/>
      </w:divBdr>
      <w:divsChild>
        <w:div w:id="1292058525">
          <w:marLeft w:val="0"/>
          <w:marRight w:val="0"/>
          <w:marTop w:val="0"/>
          <w:marBottom w:val="0"/>
          <w:divBdr>
            <w:top w:val="none" w:sz="0" w:space="0" w:color="auto"/>
            <w:left w:val="none" w:sz="0" w:space="0" w:color="auto"/>
            <w:bottom w:val="none" w:sz="0" w:space="0" w:color="auto"/>
            <w:right w:val="none" w:sz="0" w:space="0" w:color="auto"/>
          </w:divBdr>
          <w:divsChild>
            <w:div w:id="1842039115">
              <w:marLeft w:val="0"/>
              <w:marRight w:val="0"/>
              <w:marTop w:val="0"/>
              <w:marBottom w:val="0"/>
              <w:divBdr>
                <w:top w:val="none" w:sz="0" w:space="0" w:color="auto"/>
                <w:left w:val="none" w:sz="0" w:space="0" w:color="auto"/>
                <w:bottom w:val="none" w:sz="0" w:space="0" w:color="auto"/>
                <w:right w:val="none" w:sz="0" w:space="0" w:color="auto"/>
              </w:divBdr>
              <w:divsChild>
                <w:div w:id="1128011272">
                  <w:marLeft w:val="0"/>
                  <w:marRight w:val="0"/>
                  <w:marTop w:val="0"/>
                  <w:marBottom w:val="0"/>
                  <w:divBdr>
                    <w:top w:val="none" w:sz="0" w:space="0" w:color="auto"/>
                    <w:left w:val="none" w:sz="0" w:space="0" w:color="auto"/>
                    <w:bottom w:val="none" w:sz="0" w:space="0" w:color="auto"/>
                    <w:right w:val="none" w:sz="0" w:space="0" w:color="auto"/>
                  </w:divBdr>
                  <w:divsChild>
                    <w:div w:id="1631590517">
                      <w:marLeft w:val="0"/>
                      <w:marRight w:val="0"/>
                      <w:marTop w:val="0"/>
                      <w:marBottom w:val="0"/>
                      <w:divBdr>
                        <w:top w:val="none" w:sz="0" w:space="0" w:color="auto"/>
                        <w:left w:val="none" w:sz="0" w:space="0" w:color="auto"/>
                        <w:bottom w:val="none" w:sz="0" w:space="0" w:color="auto"/>
                        <w:right w:val="none" w:sz="0" w:space="0" w:color="auto"/>
                      </w:divBdr>
                      <w:divsChild>
                        <w:div w:id="47267003">
                          <w:marLeft w:val="0"/>
                          <w:marRight w:val="0"/>
                          <w:marTop w:val="0"/>
                          <w:marBottom w:val="0"/>
                          <w:divBdr>
                            <w:top w:val="none" w:sz="0" w:space="0" w:color="auto"/>
                            <w:left w:val="none" w:sz="0" w:space="0" w:color="auto"/>
                            <w:bottom w:val="none" w:sz="0" w:space="0" w:color="auto"/>
                            <w:right w:val="none" w:sz="0" w:space="0" w:color="auto"/>
                          </w:divBdr>
                          <w:divsChild>
                            <w:div w:id="3580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45630">
                  <w:marLeft w:val="0"/>
                  <w:marRight w:val="0"/>
                  <w:marTop w:val="0"/>
                  <w:marBottom w:val="0"/>
                  <w:divBdr>
                    <w:top w:val="none" w:sz="0" w:space="0" w:color="auto"/>
                    <w:left w:val="none" w:sz="0" w:space="0" w:color="auto"/>
                    <w:bottom w:val="none" w:sz="0" w:space="0" w:color="auto"/>
                    <w:right w:val="none" w:sz="0" w:space="0" w:color="auto"/>
                  </w:divBdr>
                  <w:divsChild>
                    <w:div w:id="9150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250603">
      <w:bodyDiv w:val="1"/>
      <w:marLeft w:val="0"/>
      <w:marRight w:val="0"/>
      <w:marTop w:val="0"/>
      <w:marBottom w:val="0"/>
      <w:divBdr>
        <w:top w:val="none" w:sz="0" w:space="0" w:color="auto"/>
        <w:left w:val="none" w:sz="0" w:space="0" w:color="auto"/>
        <w:bottom w:val="none" w:sz="0" w:space="0" w:color="auto"/>
        <w:right w:val="none" w:sz="0" w:space="0" w:color="auto"/>
      </w:divBdr>
    </w:div>
    <w:div w:id="437530782">
      <w:bodyDiv w:val="1"/>
      <w:marLeft w:val="0"/>
      <w:marRight w:val="0"/>
      <w:marTop w:val="0"/>
      <w:marBottom w:val="0"/>
      <w:divBdr>
        <w:top w:val="none" w:sz="0" w:space="0" w:color="auto"/>
        <w:left w:val="none" w:sz="0" w:space="0" w:color="auto"/>
        <w:bottom w:val="none" w:sz="0" w:space="0" w:color="auto"/>
        <w:right w:val="none" w:sz="0" w:space="0" w:color="auto"/>
      </w:divBdr>
    </w:div>
    <w:div w:id="597904347">
      <w:bodyDiv w:val="1"/>
      <w:marLeft w:val="0"/>
      <w:marRight w:val="0"/>
      <w:marTop w:val="0"/>
      <w:marBottom w:val="0"/>
      <w:divBdr>
        <w:top w:val="none" w:sz="0" w:space="0" w:color="auto"/>
        <w:left w:val="none" w:sz="0" w:space="0" w:color="auto"/>
        <w:bottom w:val="none" w:sz="0" w:space="0" w:color="auto"/>
        <w:right w:val="none" w:sz="0" w:space="0" w:color="auto"/>
      </w:divBdr>
    </w:div>
    <w:div w:id="721174943">
      <w:bodyDiv w:val="1"/>
      <w:marLeft w:val="0"/>
      <w:marRight w:val="0"/>
      <w:marTop w:val="0"/>
      <w:marBottom w:val="0"/>
      <w:divBdr>
        <w:top w:val="none" w:sz="0" w:space="0" w:color="auto"/>
        <w:left w:val="none" w:sz="0" w:space="0" w:color="auto"/>
        <w:bottom w:val="none" w:sz="0" w:space="0" w:color="auto"/>
        <w:right w:val="none" w:sz="0" w:space="0" w:color="auto"/>
      </w:divBdr>
    </w:div>
    <w:div w:id="908226843">
      <w:bodyDiv w:val="1"/>
      <w:marLeft w:val="0"/>
      <w:marRight w:val="0"/>
      <w:marTop w:val="0"/>
      <w:marBottom w:val="0"/>
      <w:divBdr>
        <w:top w:val="none" w:sz="0" w:space="0" w:color="auto"/>
        <w:left w:val="none" w:sz="0" w:space="0" w:color="auto"/>
        <w:bottom w:val="none" w:sz="0" w:space="0" w:color="auto"/>
        <w:right w:val="none" w:sz="0" w:space="0" w:color="auto"/>
      </w:divBdr>
    </w:div>
    <w:div w:id="984890472">
      <w:bodyDiv w:val="1"/>
      <w:marLeft w:val="0"/>
      <w:marRight w:val="0"/>
      <w:marTop w:val="0"/>
      <w:marBottom w:val="0"/>
      <w:divBdr>
        <w:top w:val="none" w:sz="0" w:space="0" w:color="auto"/>
        <w:left w:val="none" w:sz="0" w:space="0" w:color="auto"/>
        <w:bottom w:val="none" w:sz="0" w:space="0" w:color="auto"/>
        <w:right w:val="none" w:sz="0" w:space="0" w:color="auto"/>
      </w:divBdr>
    </w:div>
    <w:div w:id="1035421842">
      <w:bodyDiv w:val="1"/>
      <w:marLeft w:val="0"/>
      <w:marRight w:val="0"/>
      <w:marTop w:val="0"/>
      <w:marBottom w:val="0"/>
      <w:divBdr>
        <w:top w:val="none" w:sz="0" w:space="0" w:color="auto"/>
        <w:left w:val="none" w:sz="0" w:space="0" w:color="auto"/>
        <w:bottom w:val="none" w:sz="0" w:space="0" w:color="auto"/>
        <w:right w:val="none" w:sz="0" w:space="0" w:color="auto"/>
      </w:divBdr>
      <w:divsChild>
        <w:div w:id="611548678">
          <w:marLeft w:val="0"/>
          <w:marRight w:val="0"/>
          <w:marTop w:val="0"/>
          <w:marBottom w:val="0"/>
          <w:divBdr>
            <w:top w:val="none" w:sz="0" w:space="0" w:color="auto"/>
            <w:left w:val="none" w:sz="0" w:space="0" w:color="auto"/>
            <w:bottom w:val="none" w:sz="0" w:space="0" w:color="auto"/>
            <w:right w:val="none" w:sz="0" w:space="0" w:color="auto"/>
          </w:divBdr>
          <w:divsChild>
            <w:div w:id="2964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7275">
      <w:bodyDiv w:val="1"/>
      <w:marLeft w:val="0"/>
      <w:marRight w:val="0"/>
      <w:marTop w:val="0"/>
      <w:marBottom w:val="0"/>
      <w:divBdr>
        <w:top w:val="none" w:sz="0" w:space="0" w:color="auto"/>
        <w:left w:val="none" w:sz="0" w:space="0" w:color="auto"/>
        <w:bottom w:val="none" w:sz="0" w:space="0" w:color="auto"/>
        <w:right w:val="none" w:sz="0" w:space="0" w:color="auto"/>
      </w:divBdr>
    </w:div>
    <w:div w:id="1086613894">
      <w:bodyDiv w:val="1"/>
      <w:marLeft w:val="0"/>
      <w:marRight w:val="0"/>
      <w:marTop w:val="0"/>
      <w:marBottom w:val="0"/>
      <w:divBdr>
        <w:top w:val="none" w:sz="0" w:space="0" w:color="auto"/>
        <w:left w:val="none" w:sz="0" w:space="0" w:color="auto"/>
        <w:bottom w:val="none" w:sz="0" w:space="0" w:color="auto"/>
        <w:right w:val="none" w:sz="0" w:space="0" w:color="auto"/>
      </w:divBdr>
    </w:div>
    <w:div w:id="1215852282">
      <w:bodyDiv w:val="1"/>
      <w:marLeft w:val="0"/>
      <w:marRight w:val="0"/>
      <w:marTop w:val="0"/>
      <w:marBottom w:val="0"/>
      <w:divBdr>
        <w:top w:val="none" w:sz="0" w:space="0" w:color="auto"/>
        <w:left w:val="none" w:sz="0" w:space="0" w:color="auto"/>
        <w:bottom w:val="none" w:sz="0" w:space="0" w:color="auto"/>
        <w:right w:val="none" w:sz="0" w:space="0" w:color="auto"/>
      </w:divBdr>
    </w:div>
    <w:div w:id="1593394031">
      <w:bodyDiv w:val="1"/>
      <w:marLeft w:val="0"/>
      <w:marRight w:val="0"/>
      <w:marTop w:val="0"/>
      <w:marBottom w:val="0"/>
      <w:divBdr>
        <w:top w:val="none" w:sz="0" w:space="0" w:color="auto"/>
        <w:left w:val="none" w:sz="0" w:space="0" w:color="auto"/>
        <w:bottom w:val="none" w:sz="0" w:space="0" w:color="auto"/>
        <w:right w:val="none" w:sz="0" w:space="0" w:color="auto"/>
      </w:divBdr>
    </w:div>
    <w:div w:id="1613124855">
      <w:bodyDiv w:val="1"/>
      <w:marLeft w:val="0"/>
      <w:marRight w:val="0"/>
      <w:marTop w:val="0"/>
      <w:marBottom w:val="0"/>
      <w:divBdr>
        <w:top w:val="none" w:sz="0" w:space="0" w:color="auto"/>
        <w:left w:val="none" w:sz="0" w:space="0" w:color="auto"/>
        <w:bottom w:val="none" w:sz="0" w:space="0" w:color="auto"/>
        <w:right w:val="none" w:sz="0" w:space="0" w:color="auto"/>
      </w:divBdr>
    </w:div>
    <w:div w:id="1681857340">
      <w:bodyDiv w:val="1"/>
      <w:marLeft w:val="0"/>
      <w:marRight w:val="0"/>
      <w:marTop w:val="0"/>
      <w:marBottom w:val="0"/>
      <w:divBdr>
        <w:top w:val="none" w:sz="0" w:space="0" w:color="auto"/>
        <w:left w:val="none" w:sz="0" w:space="0" w:color="auto"/>
        <w:bottom w:val="none" w:sz="0" w:space="0" w:color="auto"/>
        <w:right w:val="none" w:sz="0" w:space="0" w:color="auto"/>
      </w:divBdr>
    </w:div>
    <w:div w:id="1814788180">
      <w:bodyDiv w:val="1"/>
      <w:marLeft w:val="0"/>
      <w:marRight w:val="0"/>
      <w:marTop w:val="0"/>
      <w:marBottom w:val="0"/>
      <w:divBdr>
        <w:top w:val="none" w:sz="0" w:space="0" w:color="auto"/>
        <w:left w:val="none" w:sz="0" w:space="0" w:color="auto"/>
        <w:bottom w:val="none" w:sz="0" w:space="0" w:color="auto"/>
        <w:right w:val="none" w:sz="0" w:space="0" w:color="auto"/>
      </w:divBdr>
    </w:div>
    <w:div w:id="1818451356">
      <w:bodyDiv w:val="1"/>
      <w:marLeft w:val="0"/>
      <w:marRight w:val="0"/>
      <w:marTop w:val="0"/>
      <w:marBottom w:val="0"/>
      <w:divBdr>
        <w:top w:val="none" w:sz="0" w:space="0" w:color="auto"/>
        <w:left w:val="none" w:sz="0" w:space="0" w:color="auto"/>
        <w:bottom w:val="none" w:sz="0" w:space="0" w:color="auto"/>
        <w:right w:val="none" w:sz="0" w:space="0" w:color="auto"/>
      </w:divBdr>
    </w:div>
    <w:div w:id="1848715700">
      <w:bodyDiv w:val="1"/>
      <w:marLeft w:val="0"/>
      <w:marRight w:val="0"/>
      <w:marTop w:val="0"/>
      <w:marBottom w:val="0"/>
      <w:divBdr>
        <w:top w:val="none" w:sz="0" w:space="0" w:color="auto"/>
        <w:left w:val="none" w:sz="0" w:space="0" w:color="auto"/>
        <w:bottom w:val="none" w:sz="0" w:space="0" w:color="auto"/>
        <w:right w:val="none" w:sz="0" w:space="0" w:color="auto"/>
      </w:divBdr>
    </w:div>
    <w:div w:id="1924340848">
      <w:bodyDiv w:val="1"/>
      <w:marLeft w:val="0"/>
      <w:marRight w:val="0"/>
      <w:marTop w:val="0"/>
      <w:marBottom w:val="0"/>
      <w:divBdr>
        <w:top w:val="none" w:sz="0" w:space="0" w:color="auto"/>
        <w:left w:val="none" w:sz="0" w:space="0" w:color="auto"/>
        <w:bottom w:val="none" w:sz="0" w:space="0" w:color="auto"/>
        <w:right w:val="none" w:sz="0" w:space="0" w:color="auto"/>
      </w:divBdr>
    </w:div>
    <w:div w:id="1925602656">
      <w:bodyDiv w:val="1"/>
      <w:marLeft w:val="0"/>
      <w:marRight w:val="0"/>
      <w:marTop w:val="0"/>
      <w:marBottom w:val="0"/>
      <w:divBdr>
        <w:top w:val="none" w:sz="0" w:space="0" w:color="auto"/>
        <w:left w:val="none" w:sz="0" w:space="0" w:color="auto"/>
        <w:bottom w:val="none" w:sz="0" w:space="0" w:color="auto"/>
        <w:right w:val="none" w:sz="0" w:space="0" w:color="auto"/>
      </w:divBdr>
    </w:div>
    <w:div w:id="1943296376">
      <w:bodyDiv w:val="1"/>
      <w:marLeft w:val="0"/>
      <w:marRight w:val="0"/>
      <w:marTop w:val="0"/>
      <w:marBottom w:val="0"/>
      <w:divBdr>
        <w:top w:val="none" w:sz="0" w:space="0" w:color="auto"/>
        <w:left w:val="none" w:sz="0" w:space="0" w:color="auto"/>
        <w:bottom w:val="none" w:sz="0" w:space="0" w:color="auto"/>
        <w:right w:val="none" w:sz="0" w:space="0" w:color="auto"/>
      </w:divBdr>
    </w:div>
    <w:div w:id="210568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07/s10653-012-9453-3" TargetMode="External"/><Relationship Id="rId7" Type="http://schemas.openxmlformats.org/officeDocument/2006/relationships/image" Target="media/image1.jpeg"/><Relationship Id="rId12" Type="http://schemas.openxmlformats.org/officeDocument/2006/relationships/image" Target="media/image5.emf"/><Relationship Id="rId17" Type="http://schemas.microsoft.com/office/2007/relationships/hdphoto" Target="media/hdphoto3.wdp"/><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16/j.jafrearsci.2022.104555"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s://doi.org/10.3390/w15101803" TargetMode="External"/><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doi.org/10.1007/s10661-023-11190-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6465</TotalTime>
  <Pages>20</Pages>
  <Words>5389</Words>
  <Characters>30719</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Alrokal</dc:creator>
  <cp:keywords/>
  <dc:description/>
  <cp:lastModifiedBy>Editor-1183</cp:lastModifiedBy>
  <cp:revision>30</cp:revision>
  <dcterms:created xsi:type="dcterms:W3CDTF">2025-06-07T14:37:00Z</dcterms:created>
  <dcterms:modified xsi:type="dcterms:W3CDTF">2026-03-17T05:51:00Z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f1863083-8526-4ef1-a36e-5080066cd837</vt:lpwstr>
  </property>
</Properties>
</file>