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55" w:rsidRPr="00CB45C4" w:rsidRDefault="00C21CBB" w:rsidP="00CB45C4">
      <w:pPr>
        <w:jc w:val="center"/>
        <w:rPr>
          <w:rFonts w:ascii="Times New Roman" w:hAnsi="Times New Roman" w:cs="Times New Roman"/>
          <w:b/>
          <w:bCs/>
          <w:sz w:val="24"/>
          <w:szCs w:val="24"/>
        </w:rPr>
      </w:pPr>
      <w:r w:rsidRPr="00CB45C4">
        <w:rPr>
          <w:rFonts w:ascii="Times New Roman" w:hAnsi="Times New Roman" w:cs="Times New Roman"/>
          <w:b/>
          <w:bCs/>
          <w:sz w:val="24"/>
          <w:szCs w:val="24"/>
        </w:rPr>
        <w:t xml:space="preserve">Spatial Proximity Analysis </w:t>
      </w:r>
      <w:r>
        <w:rPr>
          <w:rFonts w:ascii="Times New Roman" w:hAnsi="Times New Roman" w:cs="Times New Roman"/>
          <w:b/>
          <w:bCs/>
          <w:sz w:val="24"/>
          <w:szCs w:val="24"/>
        </w:rPr>
        <w:t>o</w:t>
      </w:r>
      <w:r w:rsidRPr="00CB45C4">
        <w:rPr>
          <w:rFonts w:ascii="Times New Roman" w:hAnsi="Times New Roman" w:cs="Times New Roman"/>
          <w:b/>
          <w:bCs/>
          <w:sz w:val="24"/>
          <w:szCs w:val="24"/>
        </w:rPr>
        <w:t xml:space="preserve">f Inland Waterway Networks </w:t>
      </w:r>
      <w:r>
        <w:rPr>
          <w:rFonts w:ascii="Times New Roman" w:hAnsi="Times New Roman" w:cs="Times New Roman"/>
          <w:b/>
          <w:bCs/>
          <w:sz w:val="24"/>
          <w:szCs w:val="24"/>
        </w:rPr>
        <w:t>f</w:t>
      </w:r>
      <w:r w:rsidRPr="00CB45C4">
        <w:rPr>
          <w:rFonts w:ascii="Times New Roman" w:hAnsi="Times New Roman" w:cs="Times New Roman"/>
          <w:b/>
          <w:bCs/>
          <w:sz w:val="24"/>
          <w:szCs w:val="24"/>
        </w:rPr>
        <w:t xml:space="preserve">or Disaster Response </w:t>
      </w:r>
      <w:r>
        <w:rPr>
          <w:rFonts w:ascii="Times New Roman" w:hAnsi="Times New Roman" w:cs="Times New Roman"/>
          <w:b/>
          <w:bCs/>
          <w:sz w:val="24"/>
          <w:szCs w:val="24"/>
        </w:rPr>
        <w:t>a</w:t>
      </w:r>
      <w:r w:rsidRPr="00CB45C4">
        <w:rPr>
          <w:rFonts w:ascii="Times New Roman" w:hAnsi="Times New Roman" w:cs="Times New Roman"/>
          <w:b/>
          <w:bCs/>
          <w:sz w:val="24"/>
          <w:szCs w:val="24"/>
        </w:rPr>
        <w:t xml:space="preserve">nd Relief Coordination </w:t>
      </w:r>
      <w:r>
        <w:rPr>
          <w:rFonts w:ascii="Times New Roman" w:hAnsi="Times New Roman" w:cs="Times New Roman"/>
          <w:b/>
          <w:bCs/>
          <w:sz w:val="24"/>
          <w:szCs w:val="24"/>
        </w:rPr>
        <w:t>i</w:t>
      </w:r>
      <w:r w:rsidRPr="00CB45C4">
        <w:rPr>
          <w:rFonts w:ascii="Times New Roman" w:hAnsi="Times New Roman" w:cs="Times New Roman"/>
          <w:b/>
          <w:bCs/>
          <w:sz w:val="24"/>
          <w:szCs w:val="24"/>
        </w:rPr>
        <w:t>n Rivers State, Nigeria</w:t>
      </w:r>
    </w:p>
    <w:p w:rsidR="00CB45C4" w:rsidRPr="004176A1" w:rsidRDefault="00CB45C4" w:rsidP="00CB45C4">
      <w:pPr>
        <w:spacing w:line="240" w:lineRule="auto"/>
        <w:jc w:val="center"/>
        <w:rPr>
          <w:rFonts w:ascii="Times New Roman" w:eastAsia="Calibri" w:hAnsi="Times New Roman" w:cs="Times New Roman"/>
          <w:kern w:val="0"/>
          <w:sz w:val="2"/>
          <w:szCs w:val="2"/>
          <w14:ligatures w14:val="none"/>
        </w:rPr>
      </w:pPr>
    </w:p>
    <w:p w:rsidR="00CB45C4" w:rsidRPr="00DC0C1B" w:rsidRDefault="00CB45C4" w:rsidP="00DC0C1B">
      <w:pPr>
        <w:spacing w:line="240" w:lineRule="auto"/>
        <w:jc w:val="center"/>
        <w:rPr>
          <w:rFonts w:ascii="Times New Roman" w:eastAsia="Calibri" w:hAnsi="Times New Roman" w:cs="Times New Roman"/>
          <w:b/>
          <w:bCs/>
          <w:kern w:val="44"/>
          <w:sz w:val="24"/>
          <w:szCs w:val="24"/>
          <w14:ligatures w14:val="none"/>
        </w:rPr>
      </w:pPr>
      <w:r w:rsidRPr="00DC0C1B">
        <w:rPr>
          <w:rFonts w:ascii="Times New Roman" w:eastAsia="Calibri" w:hAnsi="Times New Roman" w:cs="Times New Roman"/>
          <w:b/>
          <w:bCs/>
          <w:kern w:val="44"/>
          <w:sz w:val="24"/>
          <w:szCs w:val="24"/>
          <w14:ligatures w14:val="none"/>
        </w:rPr>
        <w:t>Abstract</w:t>
      </w:r>
    </w:p>
    <w:p w:rsidR="007D4235" w:rsidRPr="007D4235" w:rsidRDefault="007D4235" w:rsidP="007D4235">
      <w:pPr>
        <w:jc w:val="both"/>
        <w:rPr>
          <w:rFonts w:ascii="Times New Roman" w:hAnsi="Times New Roman" w:cs="Times New Roman"/>
          <w:sz w:val="24"/>
          <w:szCs w:val="24"/>
        </w:rPr>
      </w:pPr>
      <w:r w:rsidRPr="007D4235">
        <w:rPr>
          <w:rFonts w:ascii="Times New Roman" w:hAnsi="Times New Roman" w:cs="Times New Roman"/>
          <w:sz w:val="24"/>
          <w:szCs w:val="24"/>
        </w:rPr>
        <w:t>Riverine communities in Rivers State, Nigeria, rely heavily on inland waterways for transportation; however, their integration into disaster response and relief coordination remains insufficiently explored. This gap limits the effectiveness of emergency access in areas frequently affected by flooding and geographical isolation. This study examines the spatial proximity of inland waterway networks and their potential role in enhancing disaster response and relief coordination in Rivers State. Specifically, the research assesses the accessibility of inland waterways from key Port Harcourt terminals, evaluates their contribution to disaster management, and identifies operational challenges affecting their efficiency.</w:t>
      </w:r>
    </w:p>
    <w:p w:rsidR="007D4235" w:rsidRPr="007D4235" w:rsidRDefault="007D4235" w:rsidP="007D4235">
      <w:pPr>
        <w:jc w:val="both"/>
        <w:rPr>
          <w:rFonts w:ascii="Times New Roman" w:hAnsi="Times New Roman" w:cs="Times New Roman"/>
          <w:sz w:val="24"/>
          <w:szCs w:val="24"/>
        </w:rPr>
      </w:pPr>
      <w:r w:rsidRPr="007D4235">
        <w:rPr>
          <w:rFonts w:ascii="Times New Roman" w:hAnsi="Times New Roman" w:cs="Times New Roman"/>
          <w:sz w:val="24"/>
          <w:szCs w:val="24"/>
        </w:rPr>
        <w:t xml:space="preserve">A mixed-methods approach was adopted. Spatial analysis using Geographic Information Systems (GIS) measured distances between major water transport terminals, </w:t>
      </w:r>
      <w:proofErr w:type="spellStart"/>
      <w:r w:rsidRPr="007D4235">
        <w:rPr>
          <w:rFonts w:ascii="Times New Roman" w:hAnsi="Times New Roman" w:cs="Times New Roman"/>
          <w:sz w:val="24"/>
          <w:szCs w:val="24"/>
        </w:rPr>
        <w:t>Nembe</w:t>
      </w:r>
      <w:proofErr w:type="spellEnd"/>
      <w:r w:rsidRPr="007D4235">
        <w:rPr>
          <w:rFonts w:ascii="Times New Roman" w:hAnsi="Times New Roman" w:cs="Times New Roman"/>
          <w:sz w:val="24"/>
          <w:szCs w:val="24"/>
        </w:rPr>
        <w:t xml:space="preserve"> Waterside, </w:t>
      </w:r>
      <w:proofErr w:type="spellStart"/>
      <w:r w:rsidRPr="007D4235">
        <w:rPr>
          <w:rFonts w:ascii="Times New Roman" w:hAnsi="Times New Roman" w:cs="Times New Roman"/>
          <w:sz w:val="24"/>
          <w:szCs w:val="24"/>
        </w:rPr>
        <w:t>Abonnema</w:t>
      </w:r>
      <w:proofErr w:type="spellEnd"/>
      <w:r w:rsidRPr="007D4235">
        <w:rPr>
          <w:rFonts w:ascii="Times New Roman" w:hAnsi="Times New Roman" w:cs="Times New Roman"/>
          <w:sz w:val="24"/>
          <w:szCs w:val="24"/>
        </w:rPr>
        <w:t xml:space="preserve"> Wharf, Marine Base, </w:t>
      </w:r>
      <w:proofErr w:type="spellStart"/>
      <w:r w:rsidRPr="007D4235">
        <w:rPr>
          <w:rFonts w:ascii="Times New Roman" w:hAnsi="Times New Roman" w:cs="Times New Roman"/>
          <w:sz w:val="24"/>
          <w:szCs w:val="24"/>
        </w:rPr>
        <w:t>Iwofe</w:t>
      </w:r>
      <w:proofErr w:type="spellEnd"/>
      <w:r w:rsidRPr="007D4235">
        <w:rPr>
          <w:rFonts w:ascii="Times New Roman" w:hAnsi="Times New Roman" w:cs="Times New Roman"/>
          <w:sz w:val="24"/>
          <w:szCs w:val="24"/>
        </w:rPr>
        <w:t xml:space="preserve">, and </w:t>
      </w:r>
      <w:proofErr w:type="spellStart"/>
      <w:r w:rsidRPr="007D4235">
        <w:rPr>
          <w:rFonts w:ascii="Times New Roman" w:hAnsi="Times New Roman" w:cs="Times New Roman"/>
          <w:sz w:val="24"/>
          <w:szCs w:val="24"/>
        </w:rPr>
        <w:t>Abuloma</w:t>
      </w:r>
      <w:proofErr w:type="spellEnd"/>
      <w:r w:rsidRPr="007D4235">
        <w:rPr>
          <w:rFonts w:ascii="Times New Roman" w:hAnsi="Times New Roman" w:cs="Times New Roman"/>
          <w:sz w:val="24"/>
          <w:szCs w:val="24"/>
        </w:rPr>
        <w:t xml:space="preserve">, and selected riverine communities, including Bonny, </w:t>
      </w:r>
      <w:proofErr w:type="spellStart"/>
      <w:r w:rsidRPr="007D4235">
        <w:rPr>
          <w:rFonts w:ascii="Times New Roman" w:hAnsi="Times New Roman" w:cs="Times New Roman"/>
          <w:sz w:val="24"/>
          <w:szCs w:val="24"/>
        </w:rPr>
        <w:t>Okrika</w:t>
      </w:r>
      <w:proofErr w:type="spellEnd"/>
      <w:r w:rsidRPr="007D4235">
        <w:rPr>
          <w:rFonts w:ascii="Times New Roman" w:hAnsi="Times New Roman" w:cs="Times New Roman"/>
          <w:sz w:val="24"/>
          <w:szCs w:val="24"/>
        </w:rPr>
        <w:t xml:space="preserve">, </w:t>
      </w:r>
      <w:proofErr w:type="spellStart"/>
      <w:r w:rsidRPr="007D4235">
        <w:rPr>
          <w:rFonts w:ascii="Times New Roman" w:hAnsi="Times New Roman" w:cs="Times New Roman"/>
          <w:sz w:val="24"/>
          <w:szCs w:val="24"/>
        </w:rPr>
        <w:t>Bakana</w:t>
      </w:r>
      <w:proofErr w:type="spellEnd"/>
      <w:r w:rsidRPr="007D4235">
        <w:rPr>
          <w:rFonts w:ascii="Times New Roman" w:hAnsi="Times New Roman" w:cs="Times New Roman"/>
          <w:sz w:val="24"/>
          <w:szCs w:val="24"/>
        </w:rPr>
        <w:t xml:space="preserve">, </w:t>
      </w:r>
      <w:proofErr w:type="spellStart"/>
      <w:r w:rsidRPr="007D4235">
        <w:rPr>
          <w:rFonts w:ascii="Times New Roman" w:hAnsi="Times New Roman" w:cs="Times New Roman"/>
          <w:sz w:val="24"/>
          <w:szCs w:val="24"/>
        </w:rPr>
        <w:t>Kalio</w:t>
      </w:r>
      <w:proofErr w:type="spellEnd"/>
      <w:r w:rsidRPr="007D4235">
        <w:rPr>
          <w:rFonts w:ascii="Times New Roman" w:hAnsi="Times New Roman" w:cs="Times New Roman"/>
          <w:sz w:val="24"/>
          <w:szCs w:val="24"/>
        </w:rPr>
        <w:t xml:space="preserve">, </w:t>
      </w:r>
      <w:proofErr w:type="spellStart"/>
      <w:r w:rsidRPr="007D4235">
        <w:rPr>
          <w:rFonts w:ascii="Times New Roman" w:hAnsi="Times New Roman" w:cs="Times New Roman"/>
          <w:sz w:val="24"/>
          <w:szCs w:val="24"/>
        </w:rPr>
        <w:t>Ogbakiri</w:t>
      </w:r>
      <w:proofErr w:type="spellEnd"/>
      <w:r w:rsidRPr="007D4235">
        <w:rPr>
          <w:rFonts w:ascii="Times New Roman" w:hAnsi="Times New Roman" w:cs="Times New Roman"/>
          <w:sz w:val="24"/>
          <w:szCs w:val="24"/>
        </w:rPr>
        <w:t xml:space="preserve">, </w:t>
      </w:r>
      <w:proofErr w:type="spellStart"/>
      <w:r w:rsidRPr="007D4235">
        <w:rPr>
          <w:rFonts w:ascii="Times New Roman" w:hAnsi="Times New Roman" w:cs="Times New Roman"/>
          <w:sz w:val="24"/>
          <w:szCs w:val="24"/>
        </w:rPr>
        <w:t>Isiaka</w:t>
      </w:r>
      <w:proofErr w:type="spellEnd"/>
      <w:r w:rsidRPr="007D4235">
        <w:rPr>
          <w:rFonts w:ascii="Times New Roman" w:hAnsi="Times New Roman" w:cs="Times New Roman"/>
          <w:sz w:val="24"/>
          <w:szCs w:val="24"/>
        </w:rPr>
        <w:t xml:space="preserve">, and </w:t>
      </w:r>
      <w:proofErr w:type="spellStart"/>
      <w:r w:rsidRPr="007D4235">
        <w:rPr>
          <w:rFonts w:ascii="Times New Roman" w:hAnsi="Times New Roman" w:cs="Times New Roman"/>
          <w:sz w:val="24"/>
          <w:szCs w:val="24"/>
        </w:rPr>
        <w:t>Okujagu</w:t>
      </w:r>
      <w:proofErr w:type="spellEnd"/>
      <w:r w:rsidRPr="007D4235">
        <w:rPr>
          <w:rFonts w:ascii="Times New Roman" w:hAnsi="Times New Roman" w:cs="Times New Roman"/>
          <w:sz w:val="24"/>
          <w:szCs w:val="24"/>
        </w:rPr>
        <w:t>. The results indicate distances ranging from approximately 10 km to 53 km, highlighting the strategic advantage of inland waterways for rapid emergency access. In addition, a structured questionnaire was administered to 373 respondents comprising local stakeholders and water transport operators to assess perceptions of the role of inland waterways in disaster response and the challenges affecting their operations. Data were analyzed using descriptive statistics, mean scores, and the Pearson Product–Moment Correlation to examine the relationship between the contributions of waterways and associated operational challenges.</w:t>
      </w:r>
    </w:p>
    <w:p w:rsidR="007D4235" w:rsidRPr="007D4235" w:rsidRDefault="007D4235" w:rsidP="007D4235">
      <w:pPr>
        <w:jc w:val="both"/>
        <w:rPr>
          <w:rFonts w:ascii="Times New Roman" w:hAnsi="Times New Roman" w:cs="Times New Roman"/>
          <w:sz w:val="24"/>
          <w:szCs w:val="24"/>
        </w:rPr>
      </w:pPr>
      <w:r w:rsidRPr="007D4235">
        <w:rPr>
          <w:rFonts w:ascii="Times New Roman" w:hAnsi="Times New Roman" w:cs="Times New Roman"/>
          <w:sz w:val="24"/>
          <w:szCs w:val="24"/>
        </w:rPr>
        <w:t>The findings reveal that inland waterways play a critical role in disaster response and relief coordination. Respondents strongly agreed that water transport facilitates rapid evacuation, enables efficient distribution of relief materials, and improves access to otherwise isolated communities, with an overall mean score of 2.93 for contributions. However, several operational challenges were identified, including inadequate infrastructure, limited funding, security concerns, and insufficient training for operators, with a mean score of 2.90. Pearson correlation analysis indicated a moderately strong positive relationship (r = 0.68) between perceived contributions and operational challenges, suggesting that increased reliance on waterways exposes existing operational bottlenecks.</w:t>
      </w:r>
    </w:p>
    <w:p w:rsidR="007D4235" w:rsidRDefault="007D4235" w:rsidP="007D4235">
      <w:pPr>
        <w:jc w:val="both"/>
        <w:rPr>
          <w:rFonts w:ascii="Times New Roman" w:hAnsi="Times New Roman" w:cs="Times New Roman"/>
          <w:sz w:val="24"/>
          <w:szCs w:val="24"/>
        </w:rPr>
      </w:pPr>
      <w:r w:rsidRPr="007D4235">
        <w:rPr>
          <w:rFonts w:ascii="Times New Roman" w:hAnsi="Times New Roman" w:cs="Times New Roman"/>
          <w:sz w:val="24"/>
          <w:szCs w:val="24"/>
        </w:rPr>
        <w:t>The study recommends improving water transport infrastructure and navigable channels, strengthening security along water routes, providing modern boats and emergency equipment, and implementing targeted training programs for water transport operators. Additionally, policy harmonization, improved institutional coordination, and community engagement are essential for sustainable implementation. Integrating inland waterways into formal disaster management frameworks will significantly enhance rapid response capacity and resilience in vulnerable riverine communities.</w:t>
      </w:r>
    </w:p>
    <w:p w:rsidR="00CB45C4" w:rsidRDefault="00CB45C4" w:rsidP="007D4235">
      <w:pPr>
        <w:rPr>
          <w:rFonts w:ascii="Times New Roman" w:hAnsi="Times New Roman" w:cs="Times New Roman"/>
          <w:sz w:val="24"/>
          <w:szCs w:val="24"/>
        </w:rPr>
      </w:pPr>
      <w:r w:rsidRPr="00DC0C1B">
        <w:rPr>
          <w:rFonts w:ascii="Times New Roman" w:hAnsi="Times New Roman" w:cs="Times New Roman"/>
          <w:b/>
          <w:bCs/>
          <w:sz w:val="24"/>
          <w:szCs w:val="24"/>
        </w:rPr>
        <w:lastRenderedPageBreak/>
        <w:t>Keywords:</w:t>
      </w:r>
      <w:r w:rsidRPr="00CB45C4">
        <w:rPr>
          <w:rFonts w:ascii="Times New Roman" w:hAnsi="Times New Roman" w:cs="Times New Roman"/>
          <w:sz w:val="24"/>
          <w:szCs w:val="24"/>
        </w:rPr>
        <w:t xml:space="preserve"> Spatial proximity analysis</w:t>
      </w:r>
      <w:r>
        <w:rPr>
          <w:rFonts w:ascii="Times New Roman" w:hAnsi="Times New Roman" w:cs="Times New Roman"/>
          <w:sz w:val="24"/>
          <w:szCs w:val="24"/>
        </w:rPr>
        <w:t xml:space="preserve">, </w:t>
      </w:r>
      <w:r w:rsidRPr="00CB45C4">
        <w:rPr>
          <w:rFonts w:ascii="Times New Roman" w:hAnsi="Times New Roman" w:cs="Times New Roman"/>
          <w:sz w:val="24"/>
          <w:szCs w:val="24"/>
        </w:rPr>
        <w:t>Inland waterways</w:t>
      </w:r>
      <w:r>
        <w:rPr>
          <w:rFonts w:ascii="Times New Roman" w:hAnsi="Times New Roman" w:cs="Times New Roman"/>
          <w:sz w:val="24"/>
          <w:szCs w:val="24"/>
        </w:rPr>
        <w:t xml:space="preserve">, </w:t>
      </w:r>
      <w:r w:rsidRPr="00CB45C4">
        <w:rPr>
          <w:rFonts w:ascii="Times New Roman" w:hAnsi="Times New Roman" w:cs="Times New Roman"/>
          <w:sz w:val="24"/>
          <w:szCs w:val="24"/>
        </w:rPr>
        <w:t>Disaster response</w:t>
      </w:r>
      <w:r>
        <w:rPr>
          <w:rFonts w:ascii="Times New Roman" w:hAnsi="Times New Roman" w:cs="Times New Roman"/>
          <w:sz w:val="24"/>
          <w:szCs w:val="24"/>
        </w:rPr>
        <w:t xml:space="preserve">, </w:t>
      </w:r>
      <w:r w:rsidRPr="00CB45C4">
        <w:rPr>
          <w:rFonts w:ascii="Times New Roman" w:hAnsi="Times New Roman" w:cs="Times New Roman"/>
          <w:sz w:val="24"/>
          <w:szCs w:val="24"/>
        </w:rPr>
        <w:t>Relief coordination</w:t>
      </w:r>
      <w:r>
        <w:rPr>
          <w:rFonts w:ascii="Times New Roman" w:hAnsi="Times New Roman" w:cs="Times New Roman"/>
          <w:sz w:val="24"/>
          <w:szCs w:val="24"/>
        </w:rPr>
        <w:t xml:space="preserve">, </w:t>
      </w:r>
      <w:r w:rsidRPr="00CB45C4">
        <w:rPr>
          <w:rFonts w:ascii="Times New Roman" w:hAnsi="Times New Roman" w:cs="Times New Roman"/>
          <w:sz w:val="24"/>
          <w:szCs w:val="24"/>
        </w:rPr>
        <w:t>Geographic Information System (GIS)</w:t>
      </w:r>
    </w:p>
    <w:p w:rsidR="00CB45C4" w:rsidRDefault="00CB45C4">
      <w:pPr>
        <w:rPr>
          <w:rFonts w:ascii="Times New Roman" w:hAnsi="Times New Roman" w:cs="Times New Roman"/>
          <w:sz w:val="24"/>
          <w:szCs w:val="24"/>
        </w:rPr>
      </w:pPr>
    </w:p>
    <w:p w:rsidR="00CB45C4" w:rsidRPr="006D3E51" w:rsidRDefault="00CB45C4" w:rsidP="00CB45C4">
      <w:pPr>
        <w:jc w:val="both"/>
        <w:rPr>
          <w:rFonts w:ascii="Times New Roman" w:hAnsi="Times New Roman" w:cs="Times New Roman"/>
          <w:b/>
          <w:bCs/>
          <w:sz w:val="24"/>
          <w:szCs w:val="24"/>
        </w:rPr>
      </w:pPr>
      <w:r w:rsidRPr="006D3E51">
        <w:rPr>
          <w:rFonts w:ascii="Times New Roman" w:hAnsi="Times New Roman" w:cs="Times New Roman"/>
          <w:b/>
          <w:bCs/>
          <w:sz w:val="24"/>
          <w:szCs w:val="24"/>
        </w:rPr>
        <w:t>1.0</w:t>
      </w:r>
      <w:r w:rsidRPr="006D3E51">
        <w:rPr>
          <w:rFonts w:ascii="Times New Roman" w:hAnsi="Times New Roman" w:cs="Times New Roman"/>
          <w:b/>
          <w:bCs/>
          <w:sz w:val="24"/>
          <w:szCs w:val="24"/>
        </w:rPr>
        <w:tab/>
      </w:r>
      <w:r>
        <w:rPr>
          <w:rFonts w:ascii="Times New Roman" w:hAnsi="Times New Roman" w:cs="Times New Roman"/>
          <w:b/>
          <w:bCs/>
          <w:sz w:val="24"/>
          <w:szCs w:val="24"/>
        </w:rPr>
        <w:t>I</w:t>
      </w:r>
      <w:r w:rsidRPr="006D3E51">
        <w:rPr>
          <w:rFonts w:ascii="Times New Roman" w:hAnsi="Times New Roman" w:cs="Times New Roman"/>
          <w:b/>
          <w:bCs/>
          <w:sz w:val="24"/>
          <w:szCs w:val="24"/>
        </w:rPr>
        <w:t xml:space="preserve">ntroduction </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The efficient coordination of disaster response and relief operations depends greatly on reliable transportation networks and strategic spatial planning. In the case of Rivers State, Nigeria</w:t>
      </w:r>
      <w:r>
        <w:rPr>
          <w:rFonts w:ascii="Times New Roman" w:hAnsi="Times New Roman" w:cs="Times New Roman"/>
          <w:sz w:val="24"/>
          <w:szCs w:val="24"/>
        </w:rPr>
        <w:t xml:space="preserve">, </w:t>
      </w:r>
      <w:r w:rsidRPr="00CB45C4">
        <w:rPr>
          <w:rFonts w:ascii="Times New Roman" w:hAnsi="Times New Roman" w:cs="Times New Roman"/>
          <w:sz w:val="24"/>
          <w:szCs w:val="24"/>
        </w:rPr>
        <w:t>a region characterized by extensive inland waterways due to its riverine and deltaic terrain</w:t>
      </w:r>
      <w:r>
        <w:rPr>
          <w:rFonts w:ascii="Times New Roman" w:hAnsi="Times New Roman" w:cs="Times New Roman"/>
          <w:sz w:val="24"/>
          <w:szCs w:val="24"/>
        </w:rPr>
        <w:t xml:space="preserve">, </w:t>
      </w:r>
      <w:r w:rsidRPr="00CB45C4">
        <w:rPr>
          <w:rFonts w:ascii="Times New Roman" w:hAnsi="Times New Roman" w:cs="Times New Roman"/>
          <w:sz w:val="24"/>
          <w:szCs w:val="24"/>
        </w:rPr>
        <w:t>the significance of waterway networks in emergency logistics is particularly pronounced. Inland waterways provide an essential alternative to road transport, which is often constrained by poor infrastructure and seasonal flooding. However, despite their vast potential, these waterways face numerous challenges that often limit their effectiveness. Problems such as unsafe navigation routes, deteriorating infrastructure, and poor maintenance practices frequently slow down or disrupt the swift delivery of disaster relief operations</w:t>
      </w:r>
      <w:r w:rsidR="007D792F" w:rsidRPr="007D792F">
        <w:rPr>
          <w:rFonts w:ascii="Times New Roman" w:hAnsi="Times New Roman" w:cs="Times New Roman"/>
          <w:sz w:val="24"/>
          <w:szCs w:val="24"/>
          <w:vertAlign w:val="superscript"/>
        </w:rPr>
        <w:t>1,2</w:t>
      </w:r>
      <w:r w:rsidR="007D792F">
        <w:rPr>
          <w:rFonts w:ascii="Times New Roman" w:hAnsi="Times New Roman" w:cs="Times New Roman"/>
          <w:sz w:val="24"/>
          <w:szCs w:val="24"/>
        </w:rPr>
        <w:t>.</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Rivers State, located within the Niger Delta region, possesses an intricate network of rivers, creeks, and estuaries that serve as vital arteries for the movement of people and goods. Studies indicate that Nigeria has approximately 10,000 km of navigable inland waterways, highlighting their strategic importance for trade, transportation, and humanitarian logistics (</w:t>
      </w:r>
      <w:r w:rsidR="0076782C" w:rsidRPr="0076782C">
        <w:rPr>
          <w:rFonts w:ascii="Times New Roman" w:hAnsi="Times New Roman" w:cs="Times New Roman"/>
          <w:sz w:val="24"/>
          <w:szCs w:val="24"/>
        </w:rPr>
        <w:t>Emmanuel</w:t>
      </w:r>
      <w:r w:rsidRPr="00CB45C4">
        <w:rPr>
          <w:rFonts w:ascii="Times New Roman" w:hAnsi="Times New Roman" w:cs="Times New Roman"/>
          <w:sz w:val="24"/>
          <w:szCs w:val="24"/>
        </w:rPr>
        <w:t xml:space="preserve"> et al., 2015). This extensive network offers a promising avenue for enhancing disaster response and relief coordination, particularly in remote or flood-prone communities that are otherwise inaccessible by road (</w:t>
      </w:r>
      <w:proofErr w:type="spellStart"/>
      <w:r w:rsidRPr="00CB45C4">
        <w:rPr>
          <w:rFonts w:ascii="Times New Roman" w:hAnsi="Times New Roman" w:cs="Times New Roman"/>
          <w:sz w:val="24"/>
          <w:szCs w:val="24"/>
        </w:rPr>
        <w:t>Aderogba</w:t>
      </w:r>
      <w:proofErr w:type="spellEnd"/>
      <w:r w:rsidRPr="00CB45C4">
        <w:rPr>
          <w:rFonts w:ascii="Times New Roman" w:hAnsi="Times New Roman" w:cs="Times New Roman"/>
          <w:sz w:val="24"/>
          <w:szCs w:val="24"/>
        </w:rPr>
        <w:t>, 2012). Nonetheless, operational challenges persist</w:t>
      </w:r>
      <w:r>
        <w:rPr>
          <w:rFonts w:ascii="Times New Roman" w:hAnsi="Times New Roman" w:cs="Times New Roman"/>
          <w:sz w:val="24"/>
          <w:szCs w:val="24"/>
        </w:rPr>
        <w:t xml:space="preserve">, </w:t>
      </w:r>
      <w:r w:rsidRPr="00CB45C4">
        <w:rPr>
          <w:rFonts w:ascii="Times New Roman" w:hAnsi="Times New Roman" w:cs="Times New Roman"/>
          <w:sz w:val="24"/>
          <w:szCs w:val="24"/>
        </w:rPr>
        <w:t>such as inadequate dredging, insufficient safety protocols, and weak institutional regulation</w:t>
      </w:r>
      <w:r>
        <w:rPr>
          <w:rFonts w:ascii="Times New Roman" w:hAnsi="Times New Roman" w:cs="Times New Roman"/>
          <w:sz w:val="24"/>
          <w:szCs w:val="24"/>
        </w:rPr>
        <w:t xml:space="preserve">, </w:t>
      </w:r>
      <w:r w:rsidRPr="00CB45C4">
        <w:rPr>
          <w:rFonts w:ascii="Times New Roman" w:hAnsi="Times New Roman" w:cs="Times New Roman"/>
          <w:sz w:val="24"/>
          <w:szCs w:val="24"/>
        </w:rPr>
        <w:t xml:space="preserve">reducing the efficiency of waterway transportation systems in Nigeria </w:t>
      </w:r>
      <w:r w:rsidR="00B51D27" w:rsidRPr="00B51D27">
        <w:rPr>
          <w:rFonts w:ascii="Times New Roman" w:hAnsi="Times New Roman" w:cs="Times New Roman"/>
          <w:sz w:val="24"/>
          <w:szCs w:val="24"/>
        </w:rPr>
        <w:t>(</w:t>
      </w:r>
      <w:proofErr w:type="spellStart"/>
      <w:r w:rsidR="00B51D27" w:rsidRPr="00B51D27">
        <w:rPr>
          <w:rFonts w:ascii="Times New Roman" w:hAnsi="Times New Roman" w:cs="Times New Roman"/>
          <w:sz w:val="24"/>
          <w:szCs w:val="24"/>
        </w:rPr>
        <w:t>Amamilo</w:t>
      </w:r>
      <w:proofErr w:type="spellEnd"/>
      <w:r w:rsidR="00B51D27" w:rsidRPr="00B51D27">
        <w:rPr>
          <w:rFonts w:ascii="Times New Roman" w:hAnsi="Times New Roman" w:cs="Times New Roman"/>
          <w:sz w:val="24"/>
          <w:szCs w:val="24"/>
        </w:rPr>
        <w:t xml:space="preserve"> &amp; </w:t>
      </w:r>
      <w:proofErr w:type="spellStart"/>
      <w:r w:rsidR="00B51D27" w:rsidRPr="00B51D27">
        <w:rPr>
          <w:rFonts w:ascii="Times New Roman" w:hAnsi="Times New Roman" w:cs="Times New Roman"/>
          <w:sz w:val="24"/>
          <w:szCs w:val="24"/>
        </w:rPr>
        <w:t>Emenike</w:t>
      </w:r>
      <w:proofErr w:type="spellEnd"/>
      <w:r w:rsidR="00B51D27" w:rsidRPr="00B51D27">
        <w:rPr>
          <w:rFonts w:ascii="Times New Roman" w:hAnsi="Times New Roman" w:cs="Times New Roman"/>
          <w:sz w:val="24"/>
          <w:szCs w:val="24"/>
        </w:rPr>
        <w:t xml:space="preserve">, 2021). </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Flooding remains one of the most frequent and devastating disasters in Rivers State. It is caused by a combination of factors, including heavy rainfall, river overflow, and tidal influences from the Atlantic Ocean. A recent assessment revealed that approximately 161,537 people and 5,591 hectares of farmland in Rivers State are vulnerable to flood-related disruptions (</w:t>
      </w:r>
      <w:proofErr w:type="spellStart"/>
      <w:r w:rsidR="00B51D27">
        <w:rPr>
          <w:rFonts w:ascii="Times New Roman" w:hAnsi="Times New Roman" w:cs="Times New Roman"/>
          <w:sz w:val="24"/>
          <w:szCs w:val="24"/>
        </w:rPr>
        <w:t>Ogboeli</w:t>
      </w:r>
      <w:proofErr w:type="spellEnd"/>
      <w:r w:rsidRPr="00CB45C4">
        <w:rPr>
          <w:rFonts w:ascii="Times New Roman" w:hAnsi="Times New Roman" w:cs="Times New Roman"/>
          <w:sz w:val="24"/>
          <w:szCs w:val="24"/>
        </w:rPr>
        <w:t xml:space="preserve"> et al., 202</w:t>
      </w:r>
      <w:r w:rsidR="00B51D27">
        <w:rPr>
          <w:rFonts w:ascii="Times New Roman" w:hAnsi="Times New Roman" w:cs="Times New Roman"/>
          <w:sz w:val="24"/>
          <w:szCs w:val="24"/>
        </w:rPr>
        <w:t>4</w:t>
      </w:r>
      <w:r w:rsidRPr="00CB45C4">
        <w:rPr>
          <w:rFonts w:ascii="Times New Roman" w:hAnsi="Times New Roman" w:cs="Times New Roman"/>
          <w:sz w:val="24"/>
          <w:szCs w:val="24"/>
        </w:rPr>
        <w:t xml:space="preserve">). During such events, inland waterways could serve as critical corridors for the delivery of relief materials and </w:t>
      </w:r>
      <w:r>
        <w:rPr>
          <w:rFonts w:ascii="Times New Roman" w:hAnsi="Times New Roman" w:cs="Times New Roman"/>
          <w:sz w:val="24"/>
          <w:szCs w:val="24"/>
        </w:rPr>
        <w:t xml:space="preserve">the </w:t>
      </w:r>
      <w:r w:rsidRPr="00CB45C4">
        <w:rPr>
          <w:rFonts w:ascii="Times New Roman" w:hAnsi="Times New Roman" w:cs="Times New Roman"/>
          <w:sz w:val="24"/>
          <w:szCs w:val="24"/>
        </w:rPr>
        <w:t>evacuation of affected populations. However, to fully harness their potential, there is a need to understand their spatial configuration, accessibility, and proximity to vulnerable communities and relief hubs (</w:t>
      </w:r>
      <w:proofErr w:type="spellStart"/>
      <w:r w:rsidR="00B51D27">
        <w:rPr>
          <w:rFonts w:ascii="Times New Roman" w:hAnsi="Times New Roman" w:cs="Times New Roman"/>
          <w:sz w:val="24"/>
          <w:szCs w:val="24"/>
        </w:rPr>
        <w:t>Ogboeli</w:t>
      </w:r>
      <w:proofErr w:type="spellEnd"/>
      <w:r w:rsidR="00B51D27">
        <w:rPr>
          <w:rFonts w:ascii="Times New Roman" w:hAnsi="Times New Roman" w:cs="Times New Roman"/>
          <w:sz w:val="24"/>
          <w:szCs w:val="24"/>
        </w:rPr>
        <w:t xml:space="preserve"> et al., 2024; </w:t>
      </w:r>
      <w:proofErr w:type="spellStart"/>
      <w:r w:rsidR="00B51D27" w:rsidRPr="00B51D27">
        <w:rPr>
          <w:rFonts w:ascii="Times New Roman" w:hAnsi="Times New Roman" w:cs="Times New Roman"/>
          <w:sz w:val="24"/>
          <w:szCs w:val="24"/>
        </w:rPr>
        <w:t>Nwogu</w:t>
      </w:r>
      <w:proofErr w:type="spellEnd"/>
      <w:r w:rsidR="00B51D27" w:rsidRPr="00B51D27">
        <w:rPr>
          <w:rFonts w:ascii="Times New Roman" w:hAnsi="Times New Roman" w:cs="Times New Roman"/>
          <w:sz w:val="24"/>
          <w:szCs w:val="24"/>
        </w:rPr>
        <w:t>,</w:t>
      </w:r>
      <w:r w:rsidR="00B51D27">
        <w:rPr>
          <w:rFonts w:ascii="Times New Roman" w:hAnsi="Times New Roman" w:cs="Times New Roman"/>
          <w:sz w:val="24"/>
          <w:szCs w:val="24"/>
        </w:rPr>
        <w:t xml:space="preserve"> et al</w:t>
      </w:r>
      <w:r w:rsidRPr="00CB45C4">
        <w:rPr>
          <w:rFonts w:ascii="Times New Roman" w:hAnsi="Times New Roman" w:cs="Times New Roman"/>
          <w:sz w:val="24"/>
          <w:szCs w:val="24"/>
        </w:rPr>
        <w:t>, 20</w:t>
      </w:r>
      <w:r w:rsidR="00B51D27">
        <w:rPr>
          <w:rFonts w:ascii="Times New Roman" w:hAnsi="Times New Roman" w:cs="Times New Roman"/>
          <w:sz w:val="24"/>
          <w:szCs w:val="24"/>
        </w:rPr>
        <w:t>25</w:t>
      </w:r>
      <w:r w:rsidR="00BD4133">
        <w:rPr>
          <w:rFonts w:ascii="Times New Roman" w:hAnsi="Times New Roman" w:cs="Times New Roman"/>
          <w:sz w:val="24"/>
          <w:szCs w:val="24"/>
        </w:rPr>
        <w:t xml:space="preserve">; </w:t>
      </w:r>
      <w:proofErr w:type="spellStart"/>
      <w:r w:rsidR="00BD4133" w:rsidRPr="00BD4133">
        <w:rPr>
          <w:rFonts w:ascii="Times New Roman" w:hAnsi="Times New Roman" w:cs="Times New Roman"/>
          <w:sz w:val="24"/>
          <w:szCs w:val="24"/>
        </w:rPr>
        <w:t>Obadina</w:t>
      </w:r>
      <w:proofErr w:type="spellEnd"/>
      <w:r w:rsidR="00BD4133">
        <w:rPr>
          <w:rFonts w:ascii="Times New Roman" w:hAnsi="Times New Roman" w:cs="Times New Roman"/>
          <w:sz w:val="24"/>
          <w:szCs w:val="24"/>
        </w:rPr>
        <w:t xml:space="preserve"> et al., 2026</w:t>
      </w:r>
      <w:r w:rsidRPr="00CB45C4">
        <w:rPr>
          <w:rFonts w:ascii="Times New Roman" w:hAnsi="Times New Roman" w:cs="Times New Roman"/>
          <w:sz w:val="24"/>
          <w:szCs w:val="24"/>
        </w:rPr>
        <w:t>).</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Spatial proximity analysis provides a methodological framework for assessing how effectively waterway networks support disaster response. This analytical approach examines spatial relationships</w:t>
      </w:r>
      <w:r>
        <w:rPr>
          <w:rFonts w:ascii="Times New Roman" w:hAnsi="Times New Roman" w:cs="Times New Roman"/>
          <w:sz w:val="24"/>
          <w:szCs w:val="24"/>
        </w:rPr>
        <w:t xml:space="preserve">, </w:t>
      </w:r>
      <w:r w:rsidRPr="00CB45C4">
        <w:rPr>
          <w:rFonts w:ascii="Times New Roman" w:hAnsi="Times New Roman" w:cs="Times New Roman"/>
          <w:sz w:val="24"/>
          <w:szCs w:val="24"/>
        </w:rPr>
        <w:t>such as distance, connectivity, and accessibility</w:t>
      </w:r>
      <w:r>
        <w:rPr>
          <w:rFonts w:ascii="Times New Roman" w:hAnsi="Times New Roman" w:cs="Times New Roman"/>
          <w:sz w:val="24"/>
          <w:szCs w:val="24"/>
        </w:rPr>
        <w:t xml:space="preserve">, </w:t>
      </w:r>
      <w:r w:rsidRPr="00CB45C4">
        <w:rPr>
          <w:rFonts w:ascii="Times New Roman" w:hAnsi="Times New Roman" w:cs="Times New Roman"/>
          <w:sz w:val="24"/>
          <w:szCs w:val="24"/>
        </w:rPr>
        <w:t>between key elements of the disaster management system, including relief distribution centers, evacuation points, and vulnerable settlements (</w:t>
      </w:r>
      <w:proofErr w:type="spellStart"/>
      <w:r w:rsidR="00BD4133" w:rsidRPr="00BD4133">
        <w:rPr>
          <w:rFonts w:ascii="Times New Roman" w:hAnsi="Times New Roman" w:cs="Times New Roman"/>
          <w:sz w:val="24"/>
          <w:szCs w:val="24"/>
        </w:rPr>
        <w:t>Shuaibu</w:t>
      </w:r>
      <w:proofErr w:type="spellEnd"/>
      <w:r w:rsidR="00BD4133">
        <w:rPr>
          <w:rFonts w:ascii="Times New Roman" w:hAnsi="Times New Roman" w:cs="Times New Roman"/>
          <w:sz w:val="24"/>
          <w:szCs w:val="24"/>
        </w:rPr>
        <w:t xml:space="preserve"> et al.</w:t>
      </w:r>
      <w:r w:rsidRPr="00CB45C4">
        <w:rPr>
          <w:rFonts w:ascii="Times New Roman" w:hAnsi="Times New Roman" w:cs="Times New Roman"/>
          <w:sz w:val="24"/>
          <w:szCs w:val="24"/>
        </w:rPr>
        <w:t>, 20</w:t>
      </w:r>
      <w:r w:rsidR="00BD4133">
        <w:rPr>
          <w:rFonts w:ascii="Times New Roman" w:hAnsi="Times New Roman" w:cs="Times New Roman"/>
          <w:sz w:val="24"/>
          <w:szCs w:val="24"/>
        </w:rPr>
        <w:t>24</w:t>
      </w:r>
      <w:r w:rsidRPr="00CB45C4">
        <w:rPr>
          <w:rFonts w:ascii="Times New Roman" w:hAnsi="Times New Roman" w:cs="Times New Roman"/>
          <w:sz w:val="24"/>
          <w:szCs w:val="24"/>
        </w:rPr>
        <w:t>). Although Geographic Information System (GIS)</w:t>
      </w:r>
      <w:r>
        <w:rPr>
          <w:rFonts w:ascii="Times New Roman" w:hAnsi="Times New Roman" w:cs="Times New Roman"/>
          <w:sz w:val="24"/>
          <w:szCs w:val="24"/>
        </w:rPr>
        <w:t xml:space="preserve">, </w:t>
      </w:r>
      <w:r w:rsidRPr="00CB45C4">
        <w:rPr>
          <w:rFonts w:ascii="Times New Roman" w:hAnsi="Times New Roman" w:cs="Times New Roman"/>
          <w:sz w:val="24"/>
          <w:szCs w:val="24"/>
        </w:rPr>
        <w:t>based methods have been widely used for flood risk mapping in Nigeria, particularly in the Niger–Benue Basin (</w:t>
      </w:r>
      <w:proofErr w:type="spellStart"/>
      <w:r w:rsidR="00C622C4" w:rsidRPr="00C622C4">
        <w:rPr>
          <w:rFonts w:ascii="Times New Roman" w:hAnsi="Times New Roman" w:cs="Times New Roman"/>
          <w:sz w:val="24"/>
          <w:szCs w:val="24"/>
        </w:rPr>
        <w:t>Chukwunonso</w:t>
      </w:r>
      <w:proofErr w:type="spellEnd"/>
      <w:r w:rsidRPr="00CB45C4">
        <w:rPr>
          <w:rFonts w:ascii="Times New Roman" w:hAnsi="Times New Roman" w:cs="Times New Roman"/>
          <w:sz w:val="24"/>
          <w:szCs w:val="24"/>
        </w:rPr>
        <w:t xml:space="preserve"> et al., 2021), limited research has focused on the spatial proximity of inland waterways in relation to emergency logistics and relief coordination within Rivers State. This </w:t>
      </w:r>
      <w:r w:rsidRPr="00CB45C4">
        <w:rPr>
          <w:rFonts w:ascii="Times New Roman" w:hAnsi="Times New Roman" w:cs="Times New Roman"/>
          <w:sz w:val="24"/>
          <w:szCs w:val="24"/>
        </w:rPr>
        <w:lastRenderedPageBreak/>
        <w:t>research gap underscores the need for a comprehensive geospatial study to inform evidence-based planning.</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A spatial proximity analysis of the inland waterways in Rivers State offers multiple benefits. Firstly, it can identify underserved or isolated communities where relief efforts may face logistical delays due to poor network connectivity. Secondly, it provides data-driven insights for locating relief distribution centers and staging areas to minimize travel time and optimize resource allocation. Thirdly, it highlights infrastructural bottlenecks</w:t>
      </w:r>
      <w:r>
        <w:rPr>
          <w:rFonts w:ascii="Times New Roman" w:hAnsi="Times New Roman" w:cs="Times New Roman"/>
          <w:sz w:val="24"/>
          <w:szCs w:val="24"/>
        </w:rPr>
        <w:t xml:space="preserve">, </w:t>
      </w:r>
      <w:r w:rsidRPr="00CB45C4">
        <w:rPr>
          <w:rFonts w:ascii="Times New Roman" w:hAnsi="Times New Roman" w:cs="Times New Roman"/>
          <w:sz w:val="24"/>
          <w:szCs w:val="24"/>
        </w:rPr>
        <w:t>such as shallow channels, congested jetties, and restricted routes</w:t>
      </w:r>
      <w:r>
        <w:rPr>
          <w:rFonts w:ascii="Times New Roman" w:hAnsi="Times New Roman" w:cs="Times New Roman"/>
          <w:sz w:val="24"/>
          <w:szCs w:val="24"/>
        </w:rPr>
        <w:t xml:space="preserve">, </w:t>
      </w:r>
      <w:r w:rsidRPr="00CB45C4">
        <w:rPr>
          <w:rFonts w:ascii="Times New Roman" w:hAnsi="Times New Roman" w:cs="Times New Roman"/>
          <w:sz w:val="24"/>
          <w:szCs w:val="24"/>
        </w:rPr>
        <w:t xml:space="preserve">that could hinder emergency operations and thus require targeted interventions </w:t>
      </w:r>
      <w:r w:rsidR="00BD4133" w:rsidRPr="00BD4133">
        <w:rPr>
          <w:rFonts w:ascii="Times New Roman" w:hAnsi="Times New Roman" w:cs="Times New Roman"/>
          <w:sz w:val="24"/>
          <w:szCs w:val="24"/>
        </w:rPr>
        <w:t>(</w:t>
      </w:r>
      <w:proofErr w:type="spellStart"/>
      <w:r w:rsidR="00BD4133" w:rsidRPr="00BD4133">
        <w:rPr>
          <w:rFonts w:ascii="Times New Roman" w:hAnsi="Times New Roman" w:cs="Times New Roman"/>
          <w:sz w:val="24"/>
          <w:szCs w:val="24"/>
        </w:rPr>
        <w:t>Amamilo</w:t>
      </w:r>
      <w:proofErr w:type="spellEnd"/>
      <w:r w:rsidR="00BD4133" w:rsidRPr="00BD4133">
        <w:rPr>
          <w:rFonts w:ascii="Times New Roman" w:hAnsi="Times New Roman" w:cs="Times New Roman"/>
          <w:sz w:val="24"/>
          <w:szCs w:val="24"/>
        </w:rPr>
        <w:t xml:space="preserve"> &amp; </w:t>
      </w:r>
      <w:proofErr w:type="spellStart"/>
      <w:r w:rsidR="00BD4133" w:rsidRPr="00BD4133">
        <w:rPr>
          <w:rFonts w:ascii="Times New Roman" w:hAnsi="Times New Roman" w:cs="Times New Roman"/>
          <w:sz w:val="24"/>
          <w:szCs w:val="24"/>
        </w:rPr>
        <w:t>Emenike</w:t>
      </w:r>
      <w:proofErr w:type="spellEnd"/>
      <w:r w:rsidR="00BD4133" w:rsidRPr="00BD4133">
        <w:rPr>
          <w:rFonts w:ascii="Times New Roman" w:hAnsi="Times New Roman" w:cs="Times New Roman"/>
          <w:sz w:val="24"/>
          <w:szCs w:val="24"/>
        </w:rPr>
        <w:t xml:space="preserve">, 2021). </w:t>
      </w:r>
      <w:r w:rsidRPr="00CB45C4">
        <w:rPr>
          <w:rFonts w:ascii="Times New Roman" w:hAnsi="Times New Roman" w:cs="Times New Roman"/>
          <w:sz w:val="24"/>
          <w:szCs w:val="24"/>
        </w:rPr>
        <w:t>Furthermore, integrating spatial proximity analysis into disaster management planning can improve long-term resilience by ensuring that relief logistics remain effective even under adverse environmental conditions (</w:t>
      </w:r>
      <w:proofErr w:type="spellStart"/>
      <w:r w:rsidR="00BD4133" w:rsidRPr="00BD4133">
        <w:rPr>
          <w:rFonts w:ascii="Times New Roman" w:hAnsi="Times New Roman" w:cs="Times New Roman"/>
          <w:sz w:val="24"/>
          <w:szCs w:val="24"/>
        </w:rPr>
        <w:t>Nwogu</w:t>
      </w:r>
      <w:proofErr w:type="spellEnd"/>
      <w:r w:rsidR="00BD4133" w:rsidRPr="00BD4133">
        <w:rPr>
          <w:rFonts w:ascii="Times New Roman" w:hAnsi="Times New Roman" w:cs="Times New Roman"/>
          <w:sz w:val="24"/>
          <w:szCs w:val="24"/>
        </w:rPr>
        <w:t>,</w:t>
      </w:r>
      <w:r w:rsidR="00BD4133">
        <w:rPr>
          <w:rFonts w:ascii="Times New Roman" w:hAnsi="Times New Roman" w:cs="Times New Roman"/>
          <w:sz w:val="24"/>
          <w:szCs w:val="24"/>
        </w:rPr>
        <w:t xml:space="preserve"> et al</w:t>
      </w:r>
      <w:r w:rsidRPr="00CB45C4">
        <w:rPr>
          <w:rFonts w:ascii="Times New Roman" w:hAnsi="Times New Roman" w:cs="Times New Roman"/>
          <w:sz w:val="24"/>
          <w:szCs w:val="24"/>
        </w:rPr>
        <w:t>, 20</w:t>
      </w:r>
      <w:r w:rsidR="00BD4133">
        <w:rPr>
          <w:rFonts w:ascii="Times New Roman" w:hAnsi="Times New Roman" w:cs="Times New Roman"/>
          <w:sz w:val="24"/>
          <w:szCs w:val="24"/>
        </w:rPr>
        <w:t>25</w:t>
      </w:r>
      <w:r w:rsidRPr="00CB45C4">
        <w:rPr>
          <w:rFonts w:ascii="Times New Roman" w:hAnsi="Times New Roman" w:cs="Times New Roman"/>
          <w:sz w:val="24"/>
          <w:szCs w:val="24"/>
        </w:rPr>
        <w:t>).</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In Rivers State, the inland waterway system represents both a logistical asset and a potential risk factor. Research on the Bonny waterways has shown that operational issues such as overloading, vessel collisions, and human error frequently contribute to accidents (</w:t>
      </w:r>
      <w:proofErr w:type="spellStart"/>
      <w:r w:rsidR="00C622C4" w:rsidRPr="00C622C4">
        <w:rPr>
          <w:rFonts w:ascii="Times New Roman" w:hAnsi="Times New Roman" w:cs="Times New Roman"/>
          <w:sz w:val="24"/>
          <w:szCs w:val="24"/>
        </w:rPr>
        <w:t>Okon</w:t>
      </w:r>
      <w:proofErr w:type="spellEnd"/>
      <w:r w:rsidR="00C622C4" w:rsidRPr="00C622C4">
        <w:rPr>
          <w:rFonts w:ascii="Times New Roman" w:hAnsi="Times New Roman" w:cs="Times New Roman"/>
          <w:sz w:val="24"/>
          <w:szCs w:val="24"/>
        </w:rPr>
        <w:t>,</w:t>
      </w:r>
      <w:r w:rsidR="00C622C4">
        <w:rPr>
          <w:rFonts w:ascii="Times New Roman" w:hAnsi="Times New Roman" w:cs="Times New Roman"/>
          <w:sz w:val="24"/>
          <w:szCs w:val="24"/>
        </w:rPr>
        <w:t xml:space="preserve"> et al.,</w:t>
      </w:r>
      <w:r w:rsidRPr="00CB45C4">
        <w:rPr>
          <w:rFonts w:ascii="Times New Roman" w:hAnsi="Times New Roman" w:cs="Times New Roman"/>
          <w:sz w:val="24"/>
          <w:szCs w:val="24"/>
        </w:rPr>
        <w:t xml:space="preserve"> 202</w:t>
      </w:r>
      <w:r w:rsidR="00C622C4">
        <w:rPr>
          <w:rFonts w:ascii="Times New Roman" w:hAnsi="Times New Roman" w:cs="Times New Roman"/>
          <w:sz w:val="24"/>
          <w:szCs w:val="24"/>
        </w:rPr>
        <w:t>3</w:t>
      </w:r>
      <w:r w:rsidRPr="00CB45C4">
        <w:rPr>
          <w:rFonts w:ascii="Times New Roman" w:hAnsi="Times New Roman" w:cs="Times New Roman"/>
          <w:sz w:val="24"/>
          <w:szCs w:val="24"/>
        </w:rPr>
        <w:t>). These risks highlight the need for comprehensive spatial and safety assessments to optimize the system’s role in disaster response. By applying spatial proximity analysis, it becomes possible to evaluate how well existing waterway networks align with humanitarian needs</w:t>
      </w:r>
      <w:r>
        <w:rPr>
          <w:rFonts w:ascii="Times New Roman" w:hAnsi="Times New Roman" w:cs="Times New Roman"/>
          <w:sz w:val="24"/>
          <w:szCs w:val="24"/>
        </w:rPr>
        <w:t xml:space="preserve">, </w:t>
      </w:r>
      <w:r w:rsidRPr="00CB45C4">
        <w:rPr>
          <w:rFonts w:ascii="Times New Roman" w:hAnsi="Times New Roman" w:cs="Times New Roman"/>
          <w:sz w:val="24"/>
          <w:szCs w:val="24"/>
        </w:rPr>
        <w:t>identifying which routes offer the fastest access under emergency conditions and where infrastructural gaps remain.</w:t>
      </w:r>
    </w:p>
    <w:p w:rsid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Consequently, this study seeks to conduct a spatial proximity analysis of inland waterway networks in Rivers State, Nigeria, to improve disaster response and relief coordination. Through GIS-based mapping and network analysis, the research aims to identify key accessibility patterns and propose strategies to enhance the efficiency of waterway-based disaster logistics. The findings are expected to support policymakers and emergency management agencies in optimizing waterway infrastructure, reducing response times, and ultimately strengthening community resilience in the face of recurrent flooding and other disasters.</w:t>
      </w:r>
    </w:p>
    <w:p w:rsidR="00CB45C4" w:rsidRPr="00CB45C4" w:rsidRDefault="00CB45C4" w:rsidP="00CB45C4">
      <w:pPr>
        <w:jc w:val="both"/>
        <w:rPr>
          <w:rFonts w:ascii="Times New Roman" w:hAnsi="Times New Roman" w:cs="Times New Roman"/>
          <w:b/>
          <w:bCs/>
          <w:sz w:val="24"/>
          <w:szCs w:val="24"/>
        </w:rPr>
      </w:pPr>
      <w:r w:rsidRPr="00CB45C4">
        <w:rPr>
          <w:rFonts w:ascii="Times New Roman" w:hAnsi="Times New Roman" w:cs="Times New Roman"/>
          <w:b/>
          <w:bCs/>
          <w:sz w:val="24"/>
          <w:szCs w:val="24"/>
        </w:rPr>
        <w:t>2.</w:t>
      </w:r>
      <w:r w:rsidRPr="00CB45C4">
        <w:rPr>
          <w:rFonts w:ascii="Times New Roman" w:hAnsi="Times New Roman" w:cs="Times New Roman"/>
          <w:b/>
          <w:bCs/>
          <w:sz w:val="24"/>
          <w:szCs w:val="24"/>
        </w:rPr>
        <w:tab/>
        <w:t>Materials and Methods</w:t>
      </w:r>
    </w:p>
    <w:p w:rsidR="00832B47"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 xml:space="preserve">The study was carried out in Rivers State, Nigeria, one of the core states in the Niger Delta region. The state lies between latitudes 4°30′ and 5°45′ North and longitudes 6°30′ and 7°30′ East, covering an area of about 11,077 km². Rivers State is bordered by the Atlantic Ocean to the south, Imo and </w:t>
      </w:r>
      <w:proofErr w:type="spellStart"/>
      <w:r w:rsidRPr="00CB45C4">
        <w:rPr>
          <w:rFonts w:ascii="Times New Roman" w:hAnsi="Times New Roman" w:cs="Times New Roman"/>
          <w:sz w:val="24"/>
          <w:szCs w:val="24"/>
        </w:rPr>
        <w:t>Abia</w:t>
      </w:r>
      <w:proofErr w:type="spellEnd"/>
      <w:r w:rsidRPr="00CB45C4">
        <w:rPr>
          <w:rFonts w:ascii="Times New Roman" w:hAnsi="Times New Roman" w:cs="Times New Roman"/>
          <w:sz w:val="24"/>
          <w:szCs w:val="24"/>
        </w:rPr>
        <w:t xml:space="preserve"> States to the north, </w:t>
      </w:r>
      <w:proofErr w:type="spellStart"/>
      <w:r w:rsidRPr="00CB45C4">
        <w:rPr>
          <w:rFonts w:ascii="Times New Roman" w:hAnsi="Times New Roman" w:cs="Times New Roman"/>
          <w:sz w:val="24"/>
          <w:szCs w:val="24"/>
        </w:rPr>
        <w:t>Akwa</w:t>
      </w:r>
      <w:proofErr w:type="spellEnd"/>
      <w:r w:rsidRPr="00CB45C4">
        <w:rPr>
          <w:rFonts w:ascii="Times New Roman" w:hAnsi="Times New Roman" w:cs="Times New Roman"/>
          <w:sz w:val="24"/>
          <w:szCs w:val="24"/>
        </w:rPr>
        <w:t xml:space="preserve"> Ibom State to the east, and Bayelsa and Delta States to the west. Its topography is predominantly low-lying with numerous rivers, creeks, and estuaries that form an intricate inland waterway network.</w:t>
      </w:r>
      <w:r w:rsidR="00832B47">
        <w:rPr>
          <w:rFonts w:ascii="Times New Roman" w:hAnsi="Times New Roman" w:cs="Times New Roman"/>
          <w:sz w:val="24"/>
          <w:szCs w:val="24"/>
        </w:rPr>
        <w:t xml:space="preserve"> </w:t>
      </w:r>
      <w:r w:rsidRPr="00CB45C4">
        <w:rPr>
          <w:rFonts w:ascii="Times New Roman" w:hAnsi="Times New Roman" w:cs="Times New Roman"/>
          <w:sz w:val="24"/>
          <w:szCs w:val="24"/>
        </w:rPr>
        <w:t xml:space="preserve">The area experiences high annual rainfall ranging between 2,000 mm and 4,500 mm, contributing to frequent flooding. Major rivers such as the Bonny, New Calabar, </w:t>
      </w:r>
      <w:proofErr w:type="spellStart"/>
      <w:r w:rsidRPr="00CB45C4">
        <w:rPr>
          <w:rFonts w:ascii="Times New Roman" w:hAnsi="Times New Roman" w:cs="Times New Roman"/>
          <w:sz w:val="24"/>
          <w:szCs w:val="24"/>
        </w:rPr>
        <w:t>Sombreiro</w:t>
      </w:r>
      <w:proofErr w:type="spellEnd"/>
      <w:r w:rsidRPr="00CB45C4">
        <w:rPr>
          <w:rFonts w:ascii="Times New Roman" w:hAnsi="Times New Roman" w:cs="Times New Roman"/>
          <w:sz w:val="24"/>
          <w:szCs w:val="24"/>
        </w:rPr>
        <w:t xml:space="preserve">, and </w:t>
      </w:r>
      <w:proofErr w:type="spellStart"/>
      <w:r w:rsidRPr="00CB45C4">
        <w:rPr>
          <w:rFonts w:ascii="Times New Roman" w:hAnsi="Times New Roman" w:cs="Times New Roman"/>
          <w:sz w:val="24"/>
          <w:szCs w:val="24"/>
        </w:rPr>
        <w:t>Orashi</w:t>
      </w:r>
      <w:proofErr w:type="spellEnd"/>
      <w:r w:rsidRPr="00CB45C4">
        <w:rPr>
          <w:rFonts w:ascii="Times New Roman" w:hAnsi="Times New Roman" w:cs="Times New Roman"/>
          <w:sz w:val="24"/>
          <w:szCs w:val="24"/>
        </w:rPr>
        <w:t xml:space="preserve"> serve as vital transport routes but also act as flood conduits during peak rainy seasons. The spatial extent and characteristics of these waterways make Rivers State suitable for evaluating the spatial proximity of inland waterway networks to disaster-response facilities and vulnerable communities.</w:t>
      </w:r>
      <w:r w:rsidR="00832B47">
        <w:rPr>
          <w:rFonts w:ascii="Times New Roman" w:hAnsi="Times New Roman" w:cs="Times New Roman"/>
          <w:sz w:val="24"/>
          <w:szCs w:val="24"/>
        </w:rPr>
        <w:t xml:space="preserve"> </w:t>
      </w:r>
    </w:p>
    <w:p w:rsidR="00CB45C4" w:rsidRDefault="00832B47" w:rsidP="00CB45C4">
      <w:pPr>
        <w:jc w:val="both"/>
        <w:rPr>
          <w:rFonts w:ascii="Times New Roman" w:hAnsi="Times New Roman" w:cs="Times New Roman"/>
          <w:sz w:val="24"/>
          <w:szCs w:val="24"/>
        </w:rPr>
      </w:pPr>
      <w:r w:rsidRPr="00832B47">
        <w:rPr>
          <w:rFonts w:ascii="Times New Roman" w:hAnsi="Times New Roman" w:cs="Times New Roman"/>
          <w:sz w:val="24"/>
          <w:szCs w:val="24"/>
        </w:rPr>
        <w:t xml:space="preserve">The target populations are the riverine communities within the Port Harcourt Metropolis that are impacted by floods and other kinds of disasters. The population aggregates are mustered within the jetties and loading ports within the Port Harcourt Metropolis. The choice to focus on Port </w:t>
      </w:r>
      <w:r w:rsidRPr="00832B47">
        <w:rPr>
          <w:rFonts w:ascii="Times New Roman" w:hAnsi="Times New Roman" w:cs="Times New Roman"/>
          <w:sz w:val="24"/>
          <w:szCs w:val="24"/>
        </w:rPr>
        <w:lastRenderedPageBreak/>
        <w:t xml:space="preserve">Harcourt Metropolis was driven by the high volume of commuter traffic and the accessibility of water transportation, a point also highlighted by </w:t>
      </w:r>
      <w:proofErr w:type="spellStart"/>
      <w:r w:rsidRPr="00832B47">
        <w:rPr>
          <w:rFonts w:ascii="Times New Roman" w:hAnsi="Times New Roman" w:cs="Times New Roman"/>
          <w:sz w:val="24"/>
          <w:szCs w:val="24"/>
        </w:rPr>
        <w:t>Ogboeli</w:t>
      </w:r>
      <w:proofErr w:type="spellEnd"/>
      <w:r w:rsidRPr="00832B47">
        <w:rPr>
          <w:rFonts w:ascii="Times New Roman" w:hAnsi="Times New Roman" w:cs="Times New Roman"/>
          <w:sz w:val="24"/>
          <w:szCs w:val="24"/>
        </w:rPr>
        <w:t xml:space="preserve">, Brown, and </w:t>
      </w:r>
      <w:proofErr w:type="spellStart"/>
      <w:r w:rsidRPr="00832B47">
        <w:rPr>
          <w:rFonts w:ascii="Times New Roman" w:hAnsi="Times New Roman" w:cs="Times New Roman"/>
          <w:sz w:val="24"/>
          <w:szCs w:val="24"/>
        </w:rPr>
        <w:t>Onuegbu</w:t>
      </w:r>
      <w:proofErr w:type="spellEnd"/>
      <w:r w:rsidRPr="00832B47">
        <w:rPr>
          <w:rFonts w:ascii="Times New Roman" w:hAnsi="Times New Roman" w:cs="Times New Roman"/>
          <w:sz w:val="24"/>
          <w:szCs w:val="24"/>
        </w:rPr>
        <w:t xml:space="preserve"> (2024). Getting around the city is often complicated, marked by heavy traffic congestion and long travel times. This research took place in flood-prone and disaster-affected areas where inland water transport plays a vital role in emergency response. Key loading jetties included in the research are located at </w:t>
      </w:r>
      <w:proofErr w:type="spellStart"/>
      <w:r w:rsidRPr="00832B47">
        <w:rPr>
          <w:rFonts w:ascii="Times New Roman" w:hAnsi="Times New Roman" w:cs="Times New Roman"/>
          <w:sz w:val="24"/>
          <w:szCs w:val="24"/>
        </w:rPr>
        <w:t>Nembe</w:t>
      </w:r>
      <w:proofErr w:type="spellEnd"/>
      <w:r w:rsidRPr="00832B47">
        <w:rPr>
          <w:rFonts w:ascii="Times New Roman" w:hAnsi="Times New Roman" w:cs="Times New Roman"/>
          <w:sz w:val="24"/>
          <w:szCs w:val="24"/>
        </w:rPr>
        <w:t xml:space="preserve"> waterside (serving Bonny, </w:t>
      </w:r>
      <w:proofErr w:type="spellStart"/>
      <w:r w:rsidRPr="00832B47">
        <w:rPr>
          <w:rFonts w:ascii="Times New Roman" w:hAnsi="Times New Roman" w:cs="Times New Roman"/>
          <w:sz w:val="24"/>
          <w:szCs w:val="24"/>
        </w:rPr>
        <w:t>Nembe</w:t>
      </w:r>
      <w:proofErr w:type="spellEnd"/>
      <w:r w:rsidRPr="00832B47">
        <w:rPr>
          <w:rFonts w:ascii="Times New Roman" w:hAnsi="Times New Roman" w:cs="Times New Roman"/>
          <w:sz w:val="24"/>
          <w:szCs w:val="24"/>
        </w:rPr>
        <w:t xml:space="preserve">, and Brass), </w:t>
      </w:r>
      <w:proofErr w:type="spellStart"/>
      <w:r w:rsidRPr="00832B47">
        <w:rPr>
          <w:rFonts w:ascii="Times New Roman" w:hAnsi="Times New Roman" w:cs="Times New Roman"/>
          <w:sz w:val="24"/>
          <w:szCs w:val="24"/>
        </w:rPr>
        <w:t>Maccoba</w:t>
      </w:r>
      <w:proofErr w:type="spellEnd"/>
      <w:r w:rsidRPr="00832B47">
        <w:rPr>
          <w:rFonts w:ascii="Times New Roman" w:hAnsi="Times New Roman" w:cs="Times New Roman"/>
          <w:sz w:val="24"/>
          <w:szCs w:val="24"/>
        </w:rPr>
        <w:t xml:space="preserve">, </w:t>
      </w:r>
      <w:proofErr w:type="spellStart"/>
      <w:r w:rsidRPr="00832B47">
        <w:rPr>
          <w:rFonts w:ascii="Times New Roman" w:hAnsi="Times New Roman" w:cs="Times New Roman"/>
          <w:sz w:val="24"/>
          <w:szCs w:val="24"/>
        </w:rPr>
        <w:t>Abonnema</w:t>
      </w:r>
      <w:proofErr w:type="spellEnd"/>
      <w:r w:rsidRPr="00832B47">
        <w:rPr>
          <w:rFonts w:ascii="Times New Roman" w:hAnsi="Times New Roman" w:cs="Times New Roman"/>
          <w:sz w:val="24"/>
          <w:szCs w:val="24"/>
        </w:rPr>
        <w:t xml:space="preserve"> Wharf, </w:t>
      </w:r>
      <w:proofErr w:type="spellStart"/>
      <w:r w:rsidRPr="00832B47">
        <w:rPr>
          <w:rFonts w:ascii="Times New Roman" w:hAnsi="Times New Roman" w:cs="Times New Roman"/>
          <w:sz w:val="24"/>
          <w:szCs w:val="24"/>
        </w:rPr>
        <w:t>Iwofe</w:t>
      </w:r>
      <w:proofErr w:type="spellEnd"/>
      <w:r w:rsidRPr="00832B47">
        <w:rPr>
          <w:rFonts w:ascii="Times New Roman" w:hAnsi="Times New Roman" w:cs="Times New Roman"/>
          <w:sz w:val="24"/>
          <w:szCs w:val="24"/>
        </w:rPr>
        <w:t xml:space="preserve">, Marine Base, </w:t>
      </w:r>
      <w:proofErr w:type="spellStart"/>
      <w:r w:rsidRPr="00832B47">
        <w:rPr>
          <w:rFonts w:ascii="Times New Roman" w:hAnsi="Times New Roman" w:cs="Times New Roman"/>
          <w:sz w:val="24"/>
          <w:szCs w:val="24"/>
        </w:rPr>
        <w:t>Akpos</w:t>
      </w:r>
      <w:proofErr w:type="spellEnd"/>
      <w:r w:rsidRPr="00832B47">
        <w:rPr>
          <w:rFonts w:ascii="Times New Roman" w:hAnsi="Times New Roman" w:cs="Times New Roman"/>
          <w:sz w:val="24"/>
          <w:szCs w:val="24"/>
        </w:rPr>
        <w:t xml:space="preserve">, and </w:t>
      </w:r>
      <w:proofErr w:type="spellStart"/>
      <w:r w:rsidRPr="00832B47">
        <w:rPr>
          <w:rFonts w:ascii="Times New Roman" w:hAnsi="Times New Roman" w:cs="Times New Roman"/>
          <w:sz w:val="24"/>
          <w:szCs w:val="24"/>
        </w:rPr>
        <w:t>Abuloma</w:t>
      </w:r>
      <w:proofErr w:type="spellEnd"/>
      <w:r w:rsidRPr="00832B47">
        <w:rPr>
          <w:rFonts w:ascii="Times New Roman" w:hAnsi="Times New Roman" w:cs="Times New Roman"/>
          <w:sz w:val="24"/>
          <w:szCs w:val="24"/>
        </w:rPr>
        <w:t>.</w:t>
      </w:r>
    </w:p>
    <w:p w:rsidR="00832B47" w:rsidRDefault="00832B47" w:rsidP="00CB45C4">
      <w:pPr>
        <w:jc w:val="both"/>
        <w:rPr>
          <w:rFonts w:ascii="Times New Roman" w:hAnsi="Times New Roman" w:cs="Times New Roman"/>
          <w:sz w:val="24"/>
          <w:szCs w:val="24"/>
        </w:rPr>
      </w:pPr>
      <w:r w:rsidRPr="00832B47">
        <w:rPr>
          <w:rFonts w:ascii="Times New Roman" w:hAnsi="Times New Roman" w:cs="Times New Roman"/>
          <w:sz w:val="24"/>
          <w:szCs w:val="24"/>
        </w:rPr>
        <w:t>The study adopted a spatial analytical research design using Geographic Information System (GIS) and network analysis tools. This design integrates spatial data on inland waterways, flood-prone areas, population distribution, and emergency infrastructure to assess accessibility and proximity. The approach is quantitative, analytical, and descriptive, aiming to determine how the spatial configuration of waterway networks can support effective disaster-response coordination.</w:t>
      </w:r>
    </w:p>
    <w:p w:rsidR="00832B47" w:rsidRP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Both primary and secondary datasets were employed for this study to ensure accuracy and reliability.</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Primary Data</w:t>
      </w:r>
      <w:r>
        <w:rPr>
          <w:rFonts w:ascii="Times New Roman" w:hAnsi="Times New Roman" w:cs="Times New Roman"/>
          <w:sz w:val="24"/>
          <w:szCs w:val="24"/>
        </w:rPr>
        <w:t xml:space="preserve">: </w:t>
      </w:r>
    </w:p>
    <w:p w:rsidR="00832B47" w:rsidRDefault="00832B47" w:rsidP="00832B47">
      <w:pPr>
        <w:pStyle w:val="ListParagraph"/>
        <w:numPr>
          <w:ilvl w:val="0"/>
          <w:numId w:val="1"/>
        </w:numPr>
        <w:jc w:val="both"/>
        <w:rPr>
          <w:rFonts w:ascii="Times New Roman" w:hAnsi="Times New Roman" w:cs="Times New Roman"/>
          <w:sz w:val="24"/>
          <w:szCs w:val="24"/>
        </w:rPr>
      </w:pPr>
      <w:r w:rsidRPr="00832B47">
        <w:rPr>
          <w:rFonts w:ascii="Times New Roman" w:hAnsi="Times New Roman" w:cs="Times New Roman"/>
          <w:sz w:val="24"/>
          <w:szCs w:val="24"/>
        </w:rPr>
        <w:t xml:space="preserve">Field Survey and Ground-Truthing: Key River channels, jetties, boat terminals, and nearby communities were surveyed using a Garmin </w:t>
      </w:r>
      <w:proofErr w:type="spellStart"/>
      <w:r w:rsidRPr="00832B47">
        <w:rPr>
          <w:rFonts w:ascii="Times New Roman" w:hAnsi="Times New Roman" w:cs="Times New Roman"/>
          <w:sz w:val="24"/>
          <w:szCs w:val="24"/>
        </w:rPr>
        <w:t>eTrex</w:t>
      </w:r>
      <w:proofErr w:type="spellEnd"/>
      <w:r w:rsidRPr="00832B47">
        <w:rPr>
          <w:rFonts w:ascii="Times New Roman" w:hAnsi="Times New Roman" w:cs="Times New Roman"/>
          <w:sz w:val="24"/>
          <w:szCs w:val="24"/>
        </w:rPr>
        <w:t xml:space="preserve"> 32x GPS device to obtain coordinate data and verify positional accuracy.</w:t>
      </w:r>
    </w:p>
    <w:p w:rsidR="00832B47" w:rsidRPr="00832B47" w:rsidRDefault="00832B47" w:rsidP="00832B47">
      <w:pPr>
        <w:pStyle w:val="ListParagraph"/>
        <w:numPr>
          <w:ilvl w:val="0"/>
          <w:numId w:val="1"/>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Interviews and Observations: Informal interviews were conducted with personnel from the National Inland Waterways Authority (NIWA), Rivers State Emergency Management Agency (RSEMA), and local boat operators. These interviews provided insights into navigation challenges, waterway usage patterns, and accessibility constraints during flood emergencies.</w:t>
      </w:r>
    </w:p>
    <w:p w:rsidR="00832B47" w:rsidRPr="00832B47" w:rsidRDefault="00832B47" w:rsidP="00832B47">
      <w:p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Secondary Data</w:t>
      </w:r>
      <w:r>
        <w:rPr>
          <w:rFonts w:ascii="Times New Roman" w:hAnsi="Times New Roman" w:cs="Times New Roman"/>
          <w:sz w:val="24"/>
          <w:szCs w:val="24"/>
        </w:rPr>
        <w:t>:</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Hydrographic and Administrative Boundaries: Obtained from the Office of the Surveyor-General of the Federation (OSGOF) and NIWA, including river networks, political boundaries, and jetty locations.</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Satellite Imagery: Landsat 8 OLI (30 m resolution) and Sentinel-2 (10 m resolution) imagery were downloaded from the USGS Earth Explorer and Copernicus Open Access Hub to delineate water bodies and land cover.</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Flood Vulnerability Data: Extracted from the National Space Research and Development Agency (NASRDA) and complemented with flood reports from RSEMA.</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Population and Settlement Data: Derived from the National Bureau of Statistics (NBS, 2022) and OpenStreetMap datasets.</w:t>
      </w:r>
    </w:p>
    <w:p w:rsidR="00832B47" w:rsidRP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Relief Coordination Facilities: Data on health centers, emergency shelters, warehouses, and local government secretariats were obtained from RSEMA and field verification.</w:t>
      </w:r>
    </w:p>
    <w:p w:rsidR="00832B47" w:rsidRDefault="00832B47" w:rsidP="00832B47">
      <w:p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All spatial datasets were projected to the Universal Transverse Mercator (UTM) Zone 32N, based on the World Geodetic System (WGS 84) coordinate reference.</w:t>
      </w:r>
    </w:p>
    <w:p w:rsidR="00CB45C4"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lastRenderedPageBreak/>
        <w:t>Data Pre-processing</w:t>
      </w:r>
      <w:r>
        <w:rPr>
          <w:rFonts w:ascii="Times New Roman" w:hAnsi="Times New Roman" w:cs="Times New Roman"/>
          <w:sz w:val="24"/>
          <w:szCs w:val="24"/>
        </w:rPr>
        <w:t xml:space="preserve">: </w:t>
      </w:r>
      <w:r w:rsidRPr="00832B47">
        <w:rPr>
          <w:rFonts w:ascii="Times New Roman" w:hAnsi="Times New Roman" w:cs="Times New Roman"/>
          <w:sz w:val="24"/>
          <w:szCs w:val="24"/>
        </w:rPr>
        <w:t>All spatial layers were imported into ArcGIS Pro 3.2 and QGIS 3.34 for cleaning and harmonization. The datasets were clipped to the boundary of Rivers State, while redundant or disconnected river segments were corrected using topological tools. Raster images were enhanced and reclassified using the Normalized Difference Water Index (NDWI) to accurately delineate open water features (</w:t>
      </w:r>
      <w:proofErr w:type="spellStart"/>
      <w:r w:rsidRPr="00832B47">
        <w:rPr>
          <w:rFonts w:ascii="Times New Roman" w:hAnsi="Times New Roman" w:cs="Times New Roman"/>
          <w:sz w:val="24"/>
          <w:szCs w:val="24"/>
        </w:rPr>
        <w:t>McFeeters</w:t>
      </w:r>
      <w:proofErr w:type="spellEnd"/>
      <w:r w:rsidRPr="00832B47">
        <w:rPr>
          <w:rFonts w:ascii="Times New Roman" w:hAnsi="Times New Roman" w:cs="Times New Roman"/>
          <w:sz w:val="24"/>
          <w:szCs w:val="24"/>
        </w:rPr>
        <w:t>, 1996).</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Network Dataset Creation</w:t>
      </w:r>
      <w:r>
        <w:rPr>
          <w:rFonts w:ascii="Times New Roman" w:hAnsi="Times New Roman" w:cs="Times New Roman"/>
          <w:sz w:val="24"/>
          <w:szCs w:val="24"/>
        </w:rPr>
        <w:t xml:space="preserve">: </w:t>
      </w:r>
      <w:r w:rsidRPr="00832B47">
        <w:rPr>
          <w:rFonts w:ascii="Times New Roman" w:hAnsi="Times New Roman" w:cs="Times New Roman"/>
          <w:sz w:val="24"/>
          <w:szCs w:val="24"/>
        </w:rPr>
        <w:t>Vector layers representing rivers, creeks, and canals were converted into a network dataset using the ArcGIS Network Analyst extension. Each waterway segment was treated as an edge, while intersections and jetties served as nodes. Attributes such as channel width, depth, and navigability were attached to the network to simulate real-world travel conditions. This network formed the foundation for spatial proximity and accessibility analysis.</w:t>
      </w:r>
    </w:p>
    <w:p w:rsidR="00832B47" w:rsidRP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Spatial Proximity Analysis</w:t>
      </w:r>
      <w:r>
        <w:rPr>
          <w:rFonts w:ascii="Times New Roman" w:hAnsi="Times New Roman" w:cs="Times New Roman"/>
          <w:sz w:val="24"/>
          <w:szCs w:val="24"/>
        </w:rPr>
        <w:t xml:space="preserve">: </w:t>
      </w:r>
      <w:r w:rsidRPr="00832B47">
        <w:rPr>
          <w:rFonts w:ascii="Times New Roman" w:hAnsi="Times New Roman" w:cs="Times New Roman"/>
          <w:sz w:val="24"/>
          <w:szCs w:val="24"/>
        </w:rPr>
        <w:t>Several spatial analytical operations were conducted to assess the accessibility and service coverage of inland waterways for disaster relief coordination:</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Euclidean Distance Analysis: Measured straight-line distances between identified disaster-response facilities and flood-vulnerable communities to assess relative proximity.</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Service Area Analysis: Generated buffer zones (1 km, 3 km, and 5 km) around major jetties and terminals to delineate zones of immediate waterway access.</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Origin–Destination (OD) Cost Matrix: Computed least-cost travel routes between relief centers and affected communities along navigable waterways, estimating travel distance and time.</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Overlay Analysis: Combined the flood vulnerability layer, population density, and service area maps to identify priority areas lacking sufficient waterway access.</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Accessibility Index Mapping: Developed an index combining distance, network connectivity, and accessibility metrics to categorize regions as high, moderate, or low in disaster-response accessibility.</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Data Interpretation</w:t>
      </w:r>
      <w:r>
        <w:rPr>
          <w:rFonts w:ascii="Times New Roman" w:hAnsi="Times New Roman" w:cs="Times New Roman"/>
          <w:sz w:val="24"/>
          <w:szCs w:val="24"/>
        </w:rPr>
        <w:t xml:space="preserve">: </w:t>
      </w:r>
      <w:r w:rsidRPr="00832B47">
        <w:rPr>
          <w:rFonts w:ascii="Times New Roman" w:hAnsi="Times New Roman" w:cs="Times New Roman"/>
          <w:sz w:val="24"/>
          <w:szCs w:val="24"/>
        </w:rPr>
        <w:t>The outputs from the proximity and network analyses were interpreted using spatial statistics and thematic mapping. Accessibility indices and travel-time metrics were summarized using SPSS (Version 26) to derive mean accessibility distances and response-time estimates. Results were visualized as maps showing connectivity corridors, critical waterway hubs, and underserved flood-vulnerable communities.</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Validation of Results</w:t>
      </w:r>
      <w:r>
        <w:rPr>
          <w:rFonts w:ascii="Times New Roman" w:hAnsi="Times New Roman" w:cs="Times New Roman"/>
          <w:sz w:val="24"/>
          <w:szCs w:val="24"/>
        </w:rPr>
        <w:t xml:space="preserve">: </w:t>
      </w:r>
      <w:r w:rsidRPr="00832B47">
        <w:rPr>
          <w:rFonts w:ascii="Times New Roman" w:hAnsi="Times New Roman" w:cs="Times New Roman"/>
          <w:sz w:val="24"/>
          <w:szCs w:val="24"/>
        </w:rPr>
        <w:t>Model validation was achieved by comparing GIS-generated travel distances with actual field measurements and NIWA’s operational data on boat travel times. Pearson’s correlation coefficient (r) was used to test the relationship between modeled and observed travel times. A high correlation value (r &gt; 0.85) was considered indicative of strong model reliability.</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Ethical Considerations</w:t>
      </w:r>
      <w:r>
        <w:rPr>
          <w:rFonts w:ascii="Times New Roman" w:hAnsi="Times New Roman" w:cs="Times New Roman"/>
          <w:sz w:val="24"/>
          <w:szCs w:val="24"/>
        </w:rPr>
        <w:t xml:space="preserve">: </w:t>
      </w:r>
      <w:r w:rsidRPr="00832B47">
        <w:rPr>
          <w:rFonts w:ascii="Times New Roman" w:hAnsi="Times New Roman" w:cs="Times New Roman"/>
          <w:sz w:val="24"/>
          <w:szCs w:val="24"/>
        </w:rPr>
        <w:t>All spatial and field data were collected following ethical standards and institutional permissions. Informants were briefed on the purpose of the study, and their participation was voluntary. Sensitive data were anonymized and used strictly for academic and planning purposes, in compliance with Nigeria’s Freedom of Information Act (2011).</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Limitations</w:t>
      </w:r>
      <w:r>
        <w:rPr>
          <w:rFonts w:ascii="Times New Roman" w:hAnsi="Times New Roman" w:cs="Times New Roman"/>
          <w:sz w:val="24"/>
          <w:szCs w:val="24"/>
        </w:rPr>
        <w:t xml:space="preserve">: </w:t>
      </w:r>
      <w:r w:rsidRPr="00832B47">
        <w:rPr>
          <w:rFonts w:ascii="Times New Roman" w:hAnsi="Times New Roman" w:cs="Times New Roman"/>
          <w:sz w:val="24"/>
          <w:szCs w:val="24"/>
        </w:rPr>
        <w:t xml:space="preserve">The study acknowledges that seasonal water level fluctuations and sedimentation could influence navigability and alter travel routes. Some minor creeks and informal jetties were </w:t>
      </w:r>
      <w:r w:rsidRPr="00832B47">
        <w:rPr>
          <w:rFonts w:ascii="Times New Roman" w:hAnsi="Times New Roman" w:cs="Times New Roman"/>
          <w:sz w:val="24"/>
          <w:szCs w:val="24"/>
        </w:rPr>
        <w:lastRenderedPageBreak/>
        <w:t>not captured in official datasets, potentially affecting completeness. Despite these limitations, the integration of multi-source geospatial data and ground validation ensured the robustness and reliability of the analysis.</w:t>
      </w:r>
    </w:p>
    <w:p w:rsidR="00E80D06" w:rsidRDefault="00E80D06" w:rsidP="00832B47">
      <w:pPr>
        <w:jc w:val="both"/>
        <w:rPr>
          <w:rFonts w:ascii="Times New Roman" w:hAnsi="Times New Roman" w:cs="Times New Roman"/>
          <w:sz w:val="24"/>
          <w:szCs w:val="24"/>
        </w:rPr>
      </w:pPr>
    </w:p>
    <w:p w:rsidR="00832B47" w:rsidRDefault="00E80D06" w:rsidP="00832B4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1E2116">
            <wp:extent cx="6212205" cy="4006850"/>
            <wp:effectExtent l="0" t="0" r="0" b="0"/>
            <wp:docPr id="116917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2205" cy="4006850"/>
                    </a:xfrm>
                    <a:prstGeom prst="rect">
                      <a:avLst/>
                    </a:prstGeom>
                    <a:noFill/>
                  </pic:spPr>
                </pic:pic>
              </a:graphicData>
            </a:graphic>
          </wp:inline>
        </w:drawing>
      </w:r>
    </w:p>
    <w:p w:rsidR="00E80D06" w:rsidRDefault="00E80D06" w:rsidP="00832B47">
      <w:pPr>
        <w:jc w:val="both"/>
        <w:rPr>
          <w:rFonts w:ascii="Times New Roman" w:hAnsi="Times New Roman" w:cs="Times New Roman"/>
          <w:sz w:val="20"/>
          <w:szCs w:val="20"/>
        </w:rPr>
      </w:pPr>
      <w:r w:rsidRPr="00E80D06">
        <w:rPr>
          <w:rFonts w:ascii="Times New Roman" w:hAnsi="Times New Roman" w:cs="Times New Roman"/>
          <w:sz w:val="20"/>
          <w:szCs w:val="20"/>
        </w:rPr>
        <w:t>Figure 1. Map of Rivers State showing jetties in the study areas (Source: Authors Analysis, 2025).</w:t>
      </w:r>
    </w:p>
    <w:p w:rsidR="00E80D06" w:rsidRPr="00E80D06" w:rsidRDefault="00E80D06" w:rsidP="00832B47">
      <w:pPr>
        <w:jc w:val="both"/>
        <w:rPr>
          <w:rFonts w:ascii="Times New Roman" w:hAnsi="Times New Roman" w:cs="Times New Roman"/>
          <w:sz w:val="24"/>
          <w:szCs w:val="24"/>
        </w:rPr>
      </w:pPr>
      <w:r w:rsidRPr="00E80D06">
        <w:rPr>
          <w:rFonts w:ascii="Times New Roman" w:hAnsi="Times New Roman" w:cs="Times New Roman"/>
          <w:sz w:val="24"/>
          <w:szCs w:val="24"/>
        </w:rPr>
        <w:t xml:space="preserve">3. </w:t>
      </w:r>
      <w:r w:rsidRPr="00C21CBB">
        <w:rPr>
          <w:rFonts w:ascii="Times New Roman" w:hAnsi="Times New Roman" w:cs="Times New Roman"/>
          <w:b/>
          <w:sz w:val="24"/>
          <w:szCs w:val="24"/>
        </w:rPr>
        <w:t>Result</w:t>
      </w:r>
      <w:r w:rsidR="00C21CBB" w:rsidRPr="00C21CBB">
        <w:rPr>
          <w:rFonts w:ascii="Times New Roman" w:hAnsi="Times New Roman" w:cs="Times New Roman"/>
          <w:b/>
          <w:sz w:val="24"/>
          <w:szCs w:val="24"/>
        </w:rPr>
        <w:t xml:space="preserve"> and Discussion:</w:t>
      </w:r>
      <w:r w:rsidR="00C21CBB">
        <w:rPr>
          <w:rFonts w:ascii="Times New Roman" w:hAnsi="Times New Roman" w:cs="Times New Roman"/>
          <w:sz w:val="24"/>
          <w:szCs w:val="24"/>
        </w:rPr>
        <w:t xml:space="preserve"> </w:t>
      </w:r>
    </w:p>
    <w:p w:rsidR="00E80D06" w:rsidRDefault="00E80D06" w:rsidP="00E80D06">
      <w:pPr>
        <w:spacing w:before="240" w:after="0" w:line="480" w:lineRule="auto"/>
        <w:jc w:val="both"/>
        <w:rPr>
          <w:rFonts w:ascii="Times New Roman" w:eastAsia="Aptos" w:hAnsi="Times New Roman" w:cs="Times New Roman"/>
          <w:b/>
          <w:bCs/>
          <w:kern w:val="0"/>
          <w:sz w:val="24"/>
          <w:szCs w:val="24"/>
          <w14:ligatures w14:val="none"/>
        </w:rPr>
      </w:pPr>
      <w:bookmarkStart w:id="0" w:name="_Hlk213052821"/>
      <w:r>
        <w:rPr>
          <w:rFonts w:ascii="Times New Roman" w:eastAsia="Aptos" w:hAnsi="Times New Roman" w:cs="Times New Roman"/>
          <w:b/>
          <w:bCs/>
          <w:kern w:val="0"/>
          <w:sz w:val="24"/>
          <w:szCs w:val="24"/>
          <w14:ligatures w14:val="none"/>
        </w:rPr>
        <w:t xml:space="preserve">Table 1: Proximity of each route from Port Harcourt Terminal </w:t>
      </w:r>
    </w:p>
    <w:tbl>
      <w:tblPr>
        <w:tblStyle w:val="TableGrid"/>
        <w:tblW w:w="864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954"/>
        <w:gridCol w:w="2410"/>
        <w:gridCol w:w="2693"/>
      </w:tblGrid>
      <w:tr w:rsidR="00E80D06" w:rsidRPr="00886ED6" w:rsidTr="00D752F7">
        <w:tc>
          <w:tcPr>
            <w:tcW w:w="590"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sidRPr="00886ED6">
              <w:rPr>
                <w:rFonts w:ascii="Times New Roman" w:eastAsia="Times New Roman" w:hAnsi="Times New Roman" w:cs="Times New Roman"/>
                <w:b/>
                <w:bCs/>
                <w:sz w:val="24"/>
                <w:szCs w:val="24"/>
              </w:rPr>
              <w:t xml:space="preserve">S/N </w:t>
            </w:r>
          </w:p>
        </w:tc>
        <w:tc>
          <w:tcPr>
            <w:tcW w:w="2954"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sidRPr="00886ED6">
              <w:rPr>
                <w:rFonts w:ascii="Times New Roman" w:eastAsia="Times New Roman" w:hAnsi="Times New Roman" w:cs="Times New Roman"/>
                <w:b/>
                <w:bCs/>
                <w:sz w:val="24"/>
                <w:szCs w:val="24"/>
              </w:rPr>
              <w:t xml:space="preserve">Loading Point </w:t>
            </w:r>
          </w:p>
        </w:tc>
        <w:tc>
          <w:tcPr>
            <w:tcW w:w="2410"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sidRPr="00886ED6">
              <w:rPr>
                <w:rFonts w:ascii="Times New Roman" w:eastAsia="Times New Roman" w:hAnsi="Times New Roman" w:cs="Times New Roman"/>
                <w:b/>
                <w:bCs/>
                <w:sz w:val="24"/>
                <w:szCs w:val="24"/>
              </w:rPr>
              <w:t xml:space="preserve">Off-Loading Point </w:t>
            </w:r>
          </w:p>
        </w:tc>
        <w:tc>
          <w:tcPr>
            <w:tcW w:w="2693"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Distance/Length (M) </w:t>
            </w:r>
          </w:p>
        </w:tc>
      </w:tr>
      <w:tr w:rsidR="00E80D06" w:rsidRPr="00886ED6" w:rsidTr="00D752F7">
        <w:tc>
          <w:tcPr>
            <w:tcW w:w="590"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1.</w:t>
            </w:r>
          </w:p>
        </w:tc>
        <w:tc>
          <w:tcPr>
            <w:tcW w:w="2954"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r w:rsidRPr="00886ED6">
              <w:rPr>
                <w:rFonts w:ascii="Times New Roman" w:eastAsia="Times New Roman" w:hAnsi="Times New Roman" w:cs="Times New Roman"/>
                <w:sz w:val="24"/>
                <w:szCs w:val="24"/>
              </w:rPr>
              <w:t xml:space="preserve"> waterside</w:t>
            </w:r>
            <w:r>
              <w:rPr>
                <w:rFonts w:ascii="Times New Roman" w:eastAsia="Times New Roman" w:hAnsi="Times New Roman" w:cs="Times New Roman"/>
                <w:sz w:val="24"/>
                <w:szCs w:val="24"/>
              </w:rPr>
              <w:t xml:space="preserve"> (Ph)</w:t>
            </w:r>
          </w:p>
        </w:tc>
        <w:tc>
          <w:tcPr>
            <w:tcW w:w="2410"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Bonny</w:t>
            </w:r>
          </w:p>
        </w:tc>
        <w:tc>
          <w:tcPr>
            <w:tcW w:w="2693"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3A2DB5">
              <w:rPr>
                <w:rFonts w:ascii="Times New Roman" w:eastAsia="Times New Roman" w:hAnsi="Times New Roman" w:cs="Times New Roman"/>
                <w:sz w:val="24"/>
                <w:szCs w:val="24"/>
              </w:rPr>
              <w:t>53461.99</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2.</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Wait and Bush</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Isiaka</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31212.29</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3.</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r w:rsidRPr="00886ED6">
              <w:rPr>
                <w:rFonts w:ascii="Times New Roman" w:eastAsia="Times New Roman" w:hAnsi="Times New Roman" w:cs="Times New Roman"/>
                <w:sz w:val="24"/>
                <w:szCs w:val="24"/>
              </w:rPr>
              <w:t xml:space="preserve"> waterside</w:t>
            </w:r>
            <w:r>
              <w:rPr>
                <w:rFonts w:ascii="Times New Roman" w:eastAsia="Times New Roman" w:hAnsi="Times New Roman" w:cs="Times New Roman"/>
                <w:sz w:val="24"/>
                <w:szCs w:val="24"/>
              </w:rPr>
              <w:t xml:space="preserve"> (Ph)</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143734.36</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4.</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r w:rsidRPr="00886ED6">
              <w:rPr>
                <w:rFonts w:ascii="Times New Roman" w:eastAsia="Times New Roman" w:hAnsi="Times New Roman" w:cs="Times New Roman"/>
                <w:sz w:val="24"/>
                <w:szCs w:val="24"/>
              </w:rPr>
              <w:t xml:space="preserve"> waterside</w:t>
            </w:r>
            <w:r>
              <w:rPr>
                <w:rFonts w:ascii="Times New Roman" w:eastAsia="Times New Roman" w:hAnsi="Times New Roman" w:cs="Times New Roman"/>
                <w:sz w:val="24"/>
                <w:szCs w:val="24"/>
              </w:rPr>
              <w:t xml:space="preserve"> (Ph)</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Brass</w:t>
            </w:r>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188514.43</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5.</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Abonnema</w:t>
            </w:r>
            <w:proofErr w:type="spellEnd"/>
            <w:r w:rsidRPr="00886ED6">
              <w:rPr>
                <w:rFonts w:ascii="Times New Roman" w:eastAsia="Times New Roman" w:hAnsi="Times New Roman" w:cs="Times New Roman"/>
                <w:sz w:val="24"/>
                <w:szCs w:val="24"/>
              </w:rPr>
              <w:t xml:space="preserve"> wharf</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Bakana</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29207.52</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lastRenderedPageBreak/>
              <w:t>6.</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Iwofe</w:t>
            </w:r>
            <w:proofErr w:type="spellEnd"/>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Ogbakiri</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A71EF0">
              <w:rPr>
                <w:rFonts w:ascii="Times New Roman" w:eastAsia="Times New Roman" w:hAnsi="Times New Roman" w:cs="Times New Roman"/>
                <w:sz w:val="24"/>
                <w:szCs w:val="24"/>
              </w:rPr>
              <w:t>21162.61</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7.</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Marine base</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Okrika</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11819.80</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8.</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Akpos</w:t>
            </w:r>
            <w:proofErr w:type="spellEnd"/>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Okujagu</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17680.75</w:t>
            </w:r>
          </w:p>
        </w:tc>
      </w:tr>
      <w:tr w:rsidR="00E80D06" w:rsidRPr="00886ED6" w:rsidTr="00D752F7">
        <w:tc>
          <w:tcPr>
            <w:tcW w:w="590"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9.</w:t>
            </w:r>
          </w:p>
        </w:tc>
        <w:tc>
          <w:tcPr>
            <w:tcW w:w="2954"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Abuloma</w:t>
            </w:r>
            <w:proofErr w:type="spellEnd"/>
          </w:p>
        </w:tc>
        <w:tc>
          <w:tcPr>
            <w:tcW w:w="2410"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Kalio</w:t>
            </w:r>
            <w:proofErr w:type="spellEnd"/>
          </w:p>
        </w:tc>
        <w:tc>
          <w:tcPr>
            <w:tcW w:w="2693"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A71EF0">
              <w:rPr>
                <w:rFonts w:ascii="Times New Roman" w:eastAsia="Times New Roman" w:hAnsi="Times New Roman" w:cs="Times New Roman"/>
                <w:sz w:val="24"/>
                <w:szCs w:val="24"/>
              </w:rPr>
              <w:t>1</w:t>
            </w:r>
            <w:r>
              <w:rPr>
                <w:rFonts w:ascii="Times New Roman" w:eastAsia="Times New Roman" w:hAnsi="Times New Roman" w:cs="Times New Roman"/>
                <w:sz w:val="24"/>
                <w:szCs w:val="24"/>
              </w:rPr>
              <w:t>0523.</w:t>
            </w:r>
            <w:r w:rsidRPr="00A71EF0">
              <w:rPr>
                <w:rFonts w:ascii="Times New Roman" w:eastAsia="Times New Roman" w:hAnsi="Times New Roman" w:cs="Times New Roman"/>
                <w:sz w:val="24"/>
                <w:szCs w:val="24"/>
              </w:rPr>
              <w:t>80</w:t>
            </w:r>
          </w:p>
        </w:tc>
      </w:tr>
      <w:bookmarkEnd w:id="0"/>
    </w:tbl>
    <w:p w:rsidR="00E80D06" w:rsidRDefault="00E80D06" w:rsidP="00832B47">
      <w:pPr>
        <w:jc w:val="both"/>
        <w:rPr>
          <w:rFonts w:ascii="Times New Roman" w:hAnsi="Times New Roman" w:cs="Times New Roman"/>
          <w:sz w:val="24"/>
          <w:szCs w:val="24"/>
        </w:rPr>
      </w:pP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The proximity analysis of inland waterway routes from the Port Harcourt Terminal revealed significant variation in route distances, ranging from 11,819.80 m (Marine Base–</w:t>
      </w:r>
      <w:proofErr w:type="spellStart"/>
      <w:r w:rsidRPr="00ED7E10">
        <w:rPr>
          <w:rFonts w:ascii="Times New Roman" w:hAnsi="Times New Roman" w:cs="Times New Roman"/>
          <w:sz w:val="24"/>
          <w:szCs w:val="24"/>
        </w:rPr>
        <w:t>Okrika</w:t>
      </w:r>
      <w:proofErr w:type="spellEnd"/>
      <w:r w:rsidRPr="00ED7E10">
        <w:rPr>
          <w:rFonts w:ascii="Times New Roman" w:hAnsi="Times New Roman" w:cs="Times New Roman"/>
          <w:sz w:val="24"/>
          <w:szCs w:val="24"/>
        </w:rPr>
        <w:t>) to 188,514.43 m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Waterside–Brass). The shortest route, Marine Base to </w:t>
      </w:r>
      <w:proofErr w:type="spellStart"/>
      <w:r w:rsidRPr="00ED7E10">
        <w:rPr>
          <w:rFonts w:ascii="Times New Roman" w:hAnsi="Times New Roman" w:cs="Times New Roman"/>
          <w:sz w:val="24"/>
          <w:szCs w:val="24"/>
        </w:rPr>
        <w:t>Okrika</w:t>
      </w:r>
      <w:proofErr w:type="spellEnd"/>
      <w:r w:rsidRPr="00ED7E10">
        <w:rPr>
          <w:rFonts w:ascii="Times New Roman" w:hAnsi="Times New Roman" w:cs="Times New Roman"/>
          <w:sz w:val="24"/>
          <w:szCs w:val="24"/>
        </w:rPr>
        <w:t xml:space="preserve">, highlights the potential for high-frequency passenger and cargo shuttle operations due to its short travel time and lower fuel consumption. This is consistent with the findings of </w:t>
      </w:r>
      <w:proofErr w:type="spellStart"/>
      <w:r w:rsidR="00380EC5" w:rsidRPr="00380EC5">
        <w:rPr>
          <w:rFonts w:ascii="Times New Roman" w:hAnsi="Times New Roman" w:cs="Times New Roman"/>
          <w:sz w:val="24"/>
          <w:szCs w:val="24"/>
        </w:rPr>
        <w:t>Akpudo</w:t>
      </w:r>
      <w:proofErr w:type="spellEnd"/>
      <w:r w:rsidRPr="00ED7E10">
        <w:rPr>
          <w:rFonts w:ascii="Times New Roman" w:hAnsi="Times New Roman" w:cs="Times New Roman"/>
          <w:sz w:val="24"/>
          <w:szCs w:val="24"/>
        </w:rPr>
        <w:t xml:space="preserve"> et al. (202</w:t>
      </w:r>
      <w:r w:rsidR="00380EC5">
        <w:rPr>
          <w:rFonts w:ascii="Times New Roman" w:hAnsi="Times New Roman" w:cs="Times New Roman"/>
          <w:sz w:val="24"/>
          <w:szCs w:val="24"/>
        </w:rPr>
        <w:t>2</w:t>
      </w:r>
      <w:r w:rsidRPr="00ED7E10">
        <w:rPr>
          <w:rFonts w:ascii="Times New Roman" w:hAnsi="Times New Roman" w:cs="Times New Roman"/>
          <w:sz w:val="24"/>
          <w:szCs w:val="24"/>
        </w:rPr>
        <w:t>), who emphasized that shorter inland routes contribute to increased transport efficiency and reduced operational costs in coastal cities.</w:t>
      </w: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Medium-distance routes, such as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 (Port Harcourt) to Bonny (53,461.99 m), Wait and Bush to </w:t>
      </w:r>
      <w:proofErr w:type="spellStart"/>
      <w:r w:rsidRPr="00ED7E10">
        <w:rPr>
          <w:rFonts w:ascii="Times New Roman" w:hAnsi="Times New Roman" w:cs="Times New Roman"/>
          <w:sz w:val="24"/>
          <w:szCs w:val="24"/>
        </w:rPr>
        <w:t>Isiaka</w:t>
      </w:r>
      <w:proofErr w:type="spellEnd"/>
      <w:r w:rsidRPr="00ED7E10">
        <w:rPr>
          <w:rFonts w:ascii="Times New Roman" w:hAnsi="Times New Roman" w:cs="Times New Roman"/>
          <w:sz w:val="24"/>
          <w:szCs w:val="24"/>
        </w:rPr>
        <w:t xml:space="preserve"> (31,212.29 m), and </w:t>
      </w:r>
      <w:proofErr w:type="spellStart"/>
      <w:r w:rsidRPr="00ED7E10">
        <w:rPr>
          <w:rFonts w:ascii="Times New Roman" w:hAnsi="Times New Roman" w:cs="Times New Roman"/>
          <w:sz w:val="24"/>
          <w:szCs w:val="24"/>
        </w:rPr>
        <w:t>Abonnema</w:t>
      </w:r>
      <w:proofErr w:type="spellEnd"/>
      <w:r w:rsidRPr="00ED7E10">
        <w:rPr>
          <w:rFonts w:ascii="Times New Roman" w:hAnsi="Times New Roman" w:cs="Times New Roman"/>
          <w:sz w:val="24"/>
          <w:szCs w:val="24"/>
        </w:rPr>
        <w:t xml:space="preserve"> Wharf to </w:t>
      </w:r>
      <w:proofErr w:type="spellStart"/>
      <w:r w:rsidRPr="00ED7E10">
        <w:rPr>
          <w:rFonts w:ascii="Times New Roman" w:hAnsi="Times New Roman" w:cs="Times New Roman"/>
          <w:sz w:val="24"/>
          <w:szCs w:val="24"/>
        </w:rPr>
        <w:t>Bakana</w:t>
      </w:r>
      <w:proofErr w:type="spellEnd"/>
      <w:r w:rsidRPr="00ED7E10">
        <w:rPr>
          <w:rFonts w:ascii="Times New Roman" w:hAnsi="Times New Roman" w:cs="Times New Roman"/>
          <w:sz w:val="24"/>
          <w:szCs w:val="24"/>
        </w:rPr>
        <w:t xml:space="preserve"> (29,207.52 m), present opportunities for balanced operations, catering to both passenger mobility and goods transportation. These distances suggest that such routes could be viable for daily or bi-daily services without excessive strain on vessel maintenance schedules, aligning with </w:t>
      </w:r>
      <w:r w:rsidR="00D46E0D" w:rsidRPr="00D46E0D">
        <w:rPr>
          <w:rFonts w:ascii="Times New Roman" w:hAnsi="Times New Roman" w:cs="Times New Roman"/>
          <w:sz w:val="24"/>
          <w:szCs w:val="24"/>
        </w:rPr>
        <w:t>Calderón-Rivera</w:t>
      </w:r>
      <w:r w:rsidR="00D46E0D">
        <w:rPr>
          <w:rFonts w:ascii="Times New Roman" w:hAnsi="Times New Roman" w:cs="Times New Roman"/>
          <w:sz w:val="24"/>
          <w:szCs w:val="24"/>
        </w:rPr>
        <w:t xml:space="preserve"> et al, </w:t>
      </w:r>
      <w:r w:rsidRPr="00ED7E10">
        <w:rPr>
          <w:rFonts w:ascii="Times New Roman" w:hAnsi="Times New Roman" w:cs="Times New Roman"/>
          <w:sz w:val="24"/>
          <w:szCs w:val="24"/>
        </w:rPr>
        <w:t>(202</w:t>
      </w:r>
      <w:r w:rsidR="00D46E0D">
        <w:rPr>
          <w:rFonts w:ascii="Times New Roman" w:hAnsi="Times New Roman" w:cs="Times New Roman"/>
          <w:sz w:val="24"/>
          <w:szCs w:val="24"/>
        </w:rPr>
        <w:t>4</w:t>
      </w:r>
      <w:r w:rsidRPr="00ED7E10">
        <w:rPr>
          <w:rFonts w:ascii="Times New Roman" w:hAnsi="Times New Roman" w:cs="Times New Roman"/>
          <w:sz w:val="24"/>
          <w:szCs w:val="24"/>
        </w:rPr>
        <w:t>) observation that mid-range waterway connections are optimal for sustainable regional economic integration.</w:t>
      </w: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The long-distance routes, particularly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 to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(143,734.36 m) and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 to Brass (188,514.43 m), represent significant logistical challenges in terms of travel time, fuel demand, and navigation safety. While these routes connect critical fishing, oil, and trade hubs, their extended lengths imply the need for high-capacity vessels and possibly fewer but strategically scheduled trips. According to </w:t>
      </w:r>
      <w:proofErr w:type="spellStart"/>
      <w:r w:rsidR="00D46E0D" w:rsidRPr="00D46E0D">
        <w:rPr>
          <w:rFonts w:ascii="Times New Roman" w:hAnsi="Times New Roman" w:cs="Times New Roman"/>
          <w:sz w:val="24"/>
          <w:szCs w:val="24"/>
        </w:rPr>
        <w:t>O</w:t>
      </w:r>
      <w:r w:rsidR="00D46E0D">
        <w:rPr>
          <w:rFonts w:ascii="Times New Roman" w:hAnsi="Times New Roman" w:cs="Times New Roman"/>
          <w:sz w:val="24"/>
          <w:szCs w:val="24"/>
        </w:rPr>
        <w:t>gboeli</w:t>
      </w:r>
      <w:proofErr w:type="spellEnd"/>
      <w:r w:rsidR="00D46E0D" w:rsidRPr="00D46E0D">
        <w:rPr>
          <w:rFonts w:ascii="Times New Roman" w:hAnsi="Times New Roman" w:cs="Times New Roman"/>
          <w:sz w:val="24"/>
          <w:szCs w:val="24"/>
        </w:rPr>
        <w:t>,</w:t>
      </w:r>
      <w:r w:rsidRPr="00ED7E10">
        <w:rPr>
          <w:rFonts w:ascii="Times New Roman" w:hAnsi="Times New Roman" w:cs="Times New Roman"/>
          <w:sz w:val="24"/>
          <w:szCs w:val="24"/>
        </w:rPr>
        <w:t xml:space="preserve"> et al. (20</w:t>
      </w:r>
      <w:r w:rsidR="00D46E0D">
        <w:rPr>
          <w:rFonts w:ascii="Times New Roman" w:hAnsi="Times New Roman" w:cs="Times New Roman"/>
          <w:sz w:val="24"/>
          <w:szCs w:val="24"/>
        </w:rPr>
        <w:t>24</w:t>
      </w:r>
      <w:r w:rsidRPr="00ED7E10">
        <w:rPr>
          <w:rFonts w:ascii="Times New Roman" w:hAnsi="Times New Roman" w:cs="Times New Roman"/>
          <w:sz w:val="24"/>
          <w:szCs w:val="24"/>
        </w:rPr>
        <w:t>), long inland and coastal routes require more robust safety measures, reliable weather forecasting systems, and investment in vessel technology to maintain operational efficiency.</w:t>
      </w: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Interestingly, the route from </w:t>
      </w:r>
      <w:proofErr w:type="spellStart"/>
      <w:r w:rsidRPr="00ED7E10">
        <w:rPr>
          <w:rFonts w:ascii="Times New Roman" w:hAnsi="Times New Roman" w:cs="Times New Roman"/>
          <w:sz w:val="24"/>
          <w:szCs w:val="24"/>
        </w:rPr>
        <w:t>Abuloma</w:t>
      </w:r>
      <w:proofErr w:type="spellEnd"/>
      <w:r w:rsidRPr="00ED7E10">
        <w:rPr>
          <w:rFonts w:ascii="Times New Roman" w:hAnsi="Times New Roman" w:cs="Times New Roman"/>
          <w:sz w:val="24"/>
          <w:szCs w:val="24"/>
        </w:rPr>
        <w:t xml:space="preserve"> to </w:t>
      </w:r>
      <w:proofErr w:type="spellStart"/>
      <w:r w:rsidRPr="00ED7E10">
        <w:rPr>
          <w:rFonts w:ascii="Times New Roman" w:hAnsi="Times New Roman" w:cs="Times New Roman"/>
          <w:sz w:val="24"/>
          <w:szCs w:val="24"/>
        </w:rPr>
        <w:t>Kalio</w:t>
      </w:r>
      <w:proofErr w:type="spellEnd"/>
      <w:r w:rsidRPr="00ED7E10">
        <w:rPr>
          <w:rFonts w:ascii="Times New Roman" w:hAnsi="Times New Roman" w:cs="Times New Roman"/>
          <w:sz w:val="24"/>
          <w:szCs w:val="24"/>
        </w:rPr>
        <w:t xml:space="preserve">, recorded at 10,523.80 m, is among the shortest and could serve as a feeder service to larger inland terminals. Its strategic importance lies in its ability to decongest main hubs by redirecting smaller cargo volumes and passenger flows to less congested docking points, a concept supported by </w:t>
      </w:r>
      <w:r w:rsidR="00D46E0D" w:rsidRPr="00D46E0D">
        <w:rPr>
          <w:rFonts w:ascii="Times New Roman" w:hAnsi="Times New Roman" w:cs="Times New Roman"/>
          <w:sz w:val="24"/>
          <w:szCs w:val="24"/>
        </w:rPr>
        <w:t>Chukwurah,</w:t>
      </w:r>
      <w:r w:rsidR="00D46E0D">
        <w:rPr>
          <w:rFonts w:ascii="Times New Roman" w:hAnsi="Times New Roman" w:cs="Times New Roman"/>
          <w:sz w:val="24"/>
          <w:szCs w:val="24"/>
        </w:rPr>
        <w:t xml:space="preserve"> et al, </w:t>
      </w:r>
      <w:r w:rsidRPr="00ED7E10">
        <w:rPr>
          <w:rFonts w:ascii="Times New Roman" w:hAnsi="Times New Roman" w:cs="Times New Roman"/>
          <w:sz w:val="24"/>
          <w:szCs w:val="24"/>
        </w:rPr>
        <w:t>(202</w:t>
      </w:r>
      <w:r w:rsidR="00D46E0D">
        <w:rPr>
          <w:rFonts w:ascii="Times New Roman" w:hAnsi="Times New Roman" w:cs="Times New Roman"/>
          <w:sz w:val="24"/>
          <w:szCs w:val="24"/>
        </w:rPr>
        <w:t>5</w:t>
      </w:r>
      <w:r w:rsidRPr="00ED7E10">
        <w:rPr>
          <w:rFonts w:ascii="Times New Roman" w:hAnsi="Times New Roman" w:cs="Times New Roman"/>
          <w:sz w:val="24"/>
          <w:szCs w:val="24"/>
        </w:rPr>
        <w:t xml:space="preserve">) in their analysis </w:t>
      </w:r>
      <w:r w:rsidR="00D46E0D" w:rsidRPr="00D46E0D">
        <w:rPr>
          <w:rFonts w:ascii="Times New Roman" w:hAnsi="Times New Roman" w:cs="Times New Roman"/>
          <w:sz w:val="24"/>
          <w:szCs w:val="24"/>
        </w:rPr>
        <w:t>of Route-Way Dynamics in Urban Traffic Congestion</w:t>
      </w:r>
      <w:r w:rsidRPr="00ED7E10">
        <w:rPr>
          <w:rFonts w:ascii="Times New Roman" w:hAnsi="Times New Roman" w:cs="Times New Roman"/>
          <w:sz w:val="24"/>
          <w:szCs w:val="24"/>
        </w:rPr>
        <w:t>.</w:t>
      </w:r>
    </w:p>
    <w:p w:rsidR="00E80D06"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Overall, the proximity analysis underscores the need for differentiated operational strategies based on route length. Short routes should focus on frequency and passenger comfort, mid-range routes should balance cost and efficiency, and long routes should prioritize cargo capacity, navigation safety, and route reliability. The strategic planning of these routes could significantly improve </w:t>
      </w:r>
      <w:r w:rsidRPr="00ED7E10">
        <w:rPr>
          <w:rFonts w:ascii="Times New Roman" w:hAnsi="Times New Roman" w:cs="Times New Roman"/>
          <w:sz w:val="24"/>
          <w:szCs w:val="24"/>
        </w:rPr>
        <w:lastRenderedPageBreak/>
        <w:t>socio-economic linkages between Port Harcourt and the surrounding riverine communities, in line with the Nigerian Inland Waterways Authority (NIWA, 2021) recommendations for enhancing inland navigation as a tool for regional development.</w:t>
      </w:r>
    </w:p>
    <w:p w:rsidR="00E80D06" w:rsidRPr="00D61D20" w:rsidRDefault="00E80D06" w:rsidP="00E80D06">
      <w:pPr>
        <w:spacing w:before="100" w:beforeAutospacing="1" w:after="240" w:line="480" w:lineRule="auto"/>
        <w:contextualSpacing/>
        <w:rPr>
          <w:rFonts w:ascii="Times New Roman" w:eastAsia="Calibri" w:hAnsi="Times New Roman" w:cs="Times New Roman"/>
          <w:b/>
          <w:bCs/>
          <w:kern w:val="0"/>
          <w:sz w:val="24"/>
          <w:szCs w:val="24"/>
          <w14:ligatures w14:val="none"/>
        </w:rPr>
      </w:pPr>
      <w:r w:rsidRPr="00D61D20">
        <w:rPr>
          <w:rFonts w:ascii="Times New Roman" w:eastAsia="Calibri" w:hAnsi="Times New Roman" w:cs="Times New Roman"/>
          <w:b/>
          <w:bCs/>
          <w:kern w:val="0"/>
          <w:sz w:val="24"/>
          <w:szCs w:val="24"/>
          <w14:ligatures w14:val="none"/>
        </w:rPr>
        <w:t>Table</w:t>
      </w:r>
      <w:r>
        <w:rPr>
          <w:rFonts w:ascii="Times New Roman" w:eastAsia="Calibri" w:hAnsi="Times New Roman" w:cs="Times New Roman"/>
          <w:b/>
          <w:bCs/>
          <w:kern w:val="0"/>
          <w:sz w:val="24"/>
          <w:szCs w:val="24"/>
          <w14:ligatures w14:val="none"/>
        </w:rPr>
        <w:t xml:space="preserve"> </w:t>
      </w:r>
      <w:r w:rsidR="00466A8E">
        <w:rPr>
          <w:rFonts w:ascii="Times New Roman" w:eastAsia="Calibri" w:hAnsi="Times New Roman" w:cs="Times New Roman"/>
          <w:b/>
          <w:bCs/>
          <w:kern w:val="0"/>
          <w:sz w:val="24"/>
          <w:szCs w:val="24"/>
          <w14:ligatures w14:val="none"/>
        </w:rPr>
        <w:t>2</w:t>
      </w:r>
      <w:r>
        <w:rPr>
          <w:rFonts w:ascii="Times New Roman" w:eastAsia="Calibri" w:hAnsi="Times New Roman" w:cs="Times New Roman"/>
          <w:b/>
          <w:bCs/>
          <w:kern w:val="0"/>
          <w:sz w:val="24"/>
          <w:szCs w:val="24"/>
          <w14:ligatures w14:val="none"/>
        </w:rPr>
        <w:t>.</w:t>
      </w:r>
      <w:r w:rsidRPr="00D61D20">
        <w:rPr>
          <w:rFonts w:ascii="Times New Roman" w:eastAsia="Calibri" w:hAnsi="Times New Roman" w:cs="Times New Roman"/>
          <w:b/>
          <w:bCs/>
          <w:kern w:val="0"/>
          <w:sz w:val="24"/>
          <w:szCs w:val="24"/>
          <w14:ligatures w14:val="none"/>
        </w:rPr>
        <w:t xml:space="preserve"> </w:t>
      </w:r>
      <w:bookmarkStart w:id="1" w:name="_Hlk205809026"/>
      <w:r>
        <w:rPr>
          <w:rFonts w:ascii="Times New Roman" w:eastAsia="Calibri" w:hAnsi="Times New Roman" w:cs="Times New Roman"/>
          <w:b/>
          <w:bCs/>
          <w:kern w:val="0"/>
          <w:sz w:val="24"/>
          <w:szCs w:val="24"/>
          <w14:ligatures w14:val="none"/>
        </w:rPr>
        <w:t xml:space="preserve">Inland waterways contribute to post-disaster response </w:t>
      </w:r>
      <w:bookmarkEnd w:id="1"/>
    </w:p>
    <w:tbl>
      <w:tblPr>
        <w:tblStyle w:val="TableGrid12"/>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828"/>
        <w:gridCol w:w="712"/>
        <w:gridCol w:w="610"/>
        <w:gridCol w:w="576"/>
        <w:gridCol w:w="590"/>
        <w:gridCol w:w="763"/>
        <w:gridCol w:w="763"/>
        <w:gridCol w:w="803"/>
        <w:gridCol w:w="1150"/>
        <w:gridCol w:w="887"/>
        <w:gridCol w:w="786"/>
        <w:gridCol w:w="1056"/>
      </w:tblGrid>
      <w:tr w:rsidR="00E80D06" w:rsidRPr="00D61D20" w:rsidTr="00D752F7">
        <w:trPr>
          <w:trHeight w:val="270"/>
        </w:trPr>
        <w:tc>
          <w:tcPr>
            <w:tcW w:w="456" w:type="dxa"/>
            <w:vMerge w:val="restart"/>
          </w:tcPr>
          <w:p w:rsidR="00E80D06" w:rsidRPr="00D61D20" w:rsidRDefault="00E80D06" w:rsidP="00E80D06">
            <w:pPr>
              <w:numPr>
                <w:ilvl w:val="0"/>
                <w:numId w:val="4"/>
              </w:numPr>
              <w:contextualSpacing/>
              <w:jc w:val="center"/>
              <w:rPr>
                <w:rFonts w:ascii="Times New Roman" w:eastAsia="Calibri" w:hAnsi="Times New Roman" w:cs="Times New Roman"/>
                <w:b/>
                <w:bCs/>
                <w:sz w:val="20"/>
                <w:szCs w:val="20"/>
                <w:lang w:val="en-GB"/>
              </w:rPr>
            </w:pPr>
          </w:p>
        </w:tc>
        <w:tc>
          <w:tcPr>
            <w:tcW w:w="1828" w:type="dxa"/>
            <w:vMerge w:val="restart"/>
            <w:tcBorders>
              <w:top w:val="single" w:sz="4" w:space="0" w:color="auto"/>
              <w:bottom w:val="single" w:sz="4" w:space="0" w:color="auto"/>
            </w:tcBorders>
          </w:tcPr>
          <w:p w:rsidR="00E80D06" w:rsidRPr="00D61D20" w:rsidRDefault="00E80D06" w:rsidP="00D752F7">
            <w:pPr>
              <w:rPr>
                <w:rFonts w:ascii="Times New Roman" w:eastAsia="Calibri" w:hAnsi="Times New Roman" w:cs="Times New Roman"/>
                <w:b/>
                <w:bCs/>
                <w:sz w:val="20"/>
                <w:szCs w:val="20"/>
                <w:lang w:val="en-GB"/>
              </w:rPr>
            </w:pPr>
            <w:r w:rsidRPr="007D13ED">
              <w:rPr>
                <w:rFonts w:ascii="Times New Roman" w:eastAsia="Calibri" w:hAnsi="Times New Roman" w:cs="Times New Roman"/>
                <w:b/>
                <w:bCs/>
                <w:sz w:val="20"/>
                <w:szCs w:val="20"/>
                <w:lang w:val="en-GB"/>
              </w:rPr>
              <w:t xml:space="preserve">Inland waterways contribute to post-disaster response </w:t>
            </w:r>
          </w:p>
        </w:tc>
        <w:tc>
          <w:tcPr>
            <w:tcW w:w="712" w:type="dxa"/>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SA</w:t>
            </w:r>
          </w:p>
        </w:tc>
        <w:tc>
          <w:tcPr>
            <w:tcW w:w="610" w:type="dxa"/>
            <w:tcBorders>
              <w:top w:val="single" w:sz="4" w:space="0" w:color="auto"/>
            </w:tcBorders>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A</w:t>
            </w:r>
          </w:p>
        </w:tc>
        <w:tc>
          <w:tcPr>
            <w:tcW w:w="576" w:type="dxa"/>
            <w:tcBorders>
              <w:top w:val="single" w:sz="4" w:space="0" w:color="auto"/>
            </w:tcBorders>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D</w:t>
            </w:r>
          </w:p>
        </w:tc>
        <w:tc>
          <w:tcPr>
            <w:tcW w:w="590" w:type="dxa"/>
            <w:tcBorders>
              <w:top w:val="single" w:sz="4" w:space="0" w:color="auto"/>
            </w:tcBorders>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SD</w:t>
            </w:r>
          </w:p>
        </w:tc>
        <w:tc>
          <w:tcPr>
            <w:tcW w:w="763"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Total </w:t>
            </w:r>
          </w:p>
        </w:tc>
        <w:tc>
          <w:tcPr>
            <w:tcW w:w="763"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SWV </w:t>
            </w:r>
          </w:p>
        </w:tc>
        <w:tc>
          <w:tcPr>
            <w:tcW w:w="803"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Mean </w:t>
            </w:r>
          </w:p>
        </w:tc>
        <w:tc>
          <w:tcPr>
            <w:tcW w:w="1150"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Remarks </w:t>
            </w:r>
          </w:p>
        </w:tc>
        <w:tc>
          <w:tcPr>
            <w:tcW w:w="887"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Rank </w:t>
            </w:r>
          </w:p>
        </w:tc>
        <w:tc>
          <w:tcPr>
            <w:tcW w:w="786"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p>
        </w:tc>
        <w:tc>
          <w:tcPr>
            <w:tcW w:w="1056"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r w:rsidRPr="00D61D20">
              <w:rPr>
                <w:rFonts w:ascii="Times New Roman" w:eastAsia="Calibri" w:hAnsi="Times New Roman" w:cs="Times New Roman"/>
                <w:b/>
                <w:bCs/>
                <w:sz w:val="20"/>
                <w:szCs w:val="20"/>
                <w:lang w:val="en-GB"/>
              </w:rPr>
              <w:t>)</w:t>
            </w:r>
            <w:r w:rsidRPr="00D61D20">
              <w:rPr>
                <w:rFonts w:ascii="Times New Roman" w:eastAsia="Calibri" w:hAnsi="Times New Roman" w:cs="Times New Roman"/>
                <w:b/>
                <w:bCs/>
                <w:sz w:val="20"/>
                <w:szCs w:val="20"/>
                <w:vertAlign w:val="superscript"/>
                <w:lang w:val="en-GB"/>
              </w:rPr>
              <w:t>2</w:t>
            </w:r>
          </w:p>
        </w:tc>
      </w:tr>
      <w:tr w:rsidR="00E80D06" w:rsidRPr="00D61D20" w:rsidTr="00D752F7">
        <w:trPr>
          <w:trHeight w:val="270"/>
        </w:trPr>
        <w:tc>
          <w:tcPr>
            <w:tcW w:w="456" w:type="dxa"/>
            <w:vMerge/>
          </w:tcPr>
          <w:p w:rsidR="00E80D06" w:rsidRPr="00D61D20" w:rsidRDefault="00E80D06" w:rsidP="00E80D06">
            <w:pPr>
              <w:numPr>
                <w:ilvl w:val="0"/>
                <w:numId w:val="4"/>
              </w:numPr>
              <w:contextualSpacing/>
              <w:jc w:val="center"/>
              <w:rPr>
                <w:rFonts w:ascii="Times New Roman" w:eastAsia="Calibri" w:hAnsi="Times New Roman" w:cs="Times New Roman"/>
                <w:b/>
                <w:bCs/>
                <w:sz w:val="24"/>
                <w:szCs w:val="24"/>
                <w:lang w:val="en-GB"/>
              </w:rPr>
            </w:pPr>
          </w:p>
        </w:tc>
        <w:tc>
          <w:tcPr>
            <w:tcW w:w="1828" w:type="dxa"/>
            <w:vMerge/>
            <w:tcBorders>
              <w:top w:val="single" w:sz="4" w:space="0" w:color="auto"/>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712"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4</w:t>
            </w:r>
          </w:p>
        </w:tc>
        <w:tc>
          <w:tcPr>
            <w:tcW w:w="610"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3</w:t>
            </w:r>
          </w:p>
        </w:tc>
        <w:tc>
          <w:tcPr>
            <w:tcW w:w="576"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2</w:t>
            </w:r>
          </w:p>
        </w:tc>
        <w:tc>
          <w:tcPr>
            <w:tcW w:w="590"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1</w:t>
            </w:r>
          </w:p>
        </w:tc>
        <w:tc>
          <w:tcPr>
            <w:tcW w:w="763"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763"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803"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1150"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887"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786"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1056"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1.</w:t>
            </w:r>
          </w:p>
        </w:tc>
        <w:tc>
          <w:tcPr>
            <w:tcW w:w="1828" w:type="dxa"/>
            <w:tcBorders>
              <w:top w:val="single" w:sz="4" w:space="0" w:color="auto"/>
            </w:tcBorders>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Effectiveness of Inland Waterways in Disaster Response</w:t>
            </w:r>
          </w:p>
        </w:tc>
        <w:tc>
          <w:tcPr>
            <w:tcW w:w="712"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424</w:t>
            </w:r>
          </w:p>
        </w:tc>
        <w:tc>
          <w:tcPr>
            <w:tcW w:w="610"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363</w:t>
            </w:r>
          </w:p>
        </w:tc>
        <w:tc>
          <w:tcPr>
            <w:tcW w:w="576"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168</w:t>
            </w:r>
          </w:p>
        </w:tc>
        <w:tc>
          <w:tcPr>
            <w:tcW w:w="590"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62</w:t>
            </w:r>
          </w:p>
        </w:tc>
        <w:tc>
          <w:tcPr>
            <w:tcW w:w="763"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1017</w:t>
            </w:r>
          </w:p>
        </w:tc>
        <w:tc>
          <w:tcPr>
            <w:tcW w:w="803"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2.7</w:t>
            </w:r>
          </w:p>
        </w:tc>
        <w:tc>
          <w:tcPr>
            <w:tcW w:w="1150"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w:t>
            </w:r>
            <w:r w:rsidRPr="00FD251E">
              <w:rPr>
                <w:rFonts w:ascii="Times New Roman" w:eastAsia="Calibri" w:hAnsi="Times New Roman" w:cs="Times New Roman"/>
                <w:color w:val="0D0D0D"/>
                <w:sz w:val="20"/>
                <w:szCs w:val="20"/>
                <w:vertAlign w:val="superscript"/>
                <w:lang w:val="en-GB"/>
              </w:rPr>
              <w:t>th</w:t>
            </w:r>
            <w:r>
              <w:rPr>
                <w:rFonts w:ascii="Times New Roman" w:eastAsia="Calibri" w:hAnsi="Times New Roman" w:cs="Times New Roman"/>
                <w:color w:val="0D0D0D"/>
                <w:sz w:val="20"/>
                <w:szCs w:val="20"/>
                <w:lang w:val="en-GB"/>
              </w:rPr>
              <w:t xml:space="preserve"> </w:t>
            </w:r>
          </w:p>
        </w:tc>
        <w:tc>
          <w:tcPr>
            <w:tcW w:w="786"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-0.23</w:t>
            </w:r>
          </w:p>
        </w:tc>
        <w:tc>
          <w:tcPr>
            <w:tcW w:w="1056"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0.0529</w:t>
            </w:r>
          </w:p>
        </w:tc>
      </w:tr>
      <w:tr w:rsidR="00E80D06" w:rsidRPr="00D61D20" w:rsidTr="00D752F7">
        <w:trPr>
          <w:trHeight w:val="422"/>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2.</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Inland waterways transportation is an essential component of disaster response in flood-prone areas.</w:t>
            </w:r>
          </w:p>
        </w:tc>
        <w:tc>
          <w:tcPr>
            <w:tcW w:w="712"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492</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417</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118</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52</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1079</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2.9</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r w:rsidRPr="00FD251E">
              <w:rPr>
                <w:rFonts w:ascii="Times New Roman" w:eastAsia="Calibri" w:hAnsi="Times New Roman" w:cs="Times New Roman"/>
                <w:sz w:val="20"/>
                <w:szCs w:val="20"/>
                <w:vertAlign w:val="superscript"/>
                <w:lang w:val="en-GB"/>
              </w:rPr>
              <w:t>th</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-0.03</w:t>
            </w:r>
          </w:p>
        </w:tc>
        <w:tc>
          <w:tcPr>
            <w:tcW w:w="105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0.0009</w:t>
            </w:r>
          </w:p>
        </w:tc>
      </w:tr>
      <w:tr w:rsidR="00E80D06" w:rsidRPr="00D61D20" w:rsidTr="00D752F7">
        <w:trPr>
          <w:trHeight w:val="440"/>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3.</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Boats and ferries are effective in reaching disaster-affected areas inaccessible by road.</w:t>
            </w:r>
          </w:p>
        </w:tc>
        <w:tc>
          <w:tcPr>
            <w:tcW w:w="712"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436</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561</w:t>
            </w:r>
          </w:p>
        </w:tc>
        <w:tc>
          <w:tcPr>
            <w:tcW w:w="576"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134</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1141</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3.1</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r w:rsidRPr="00FD251E">
              <w:rPr>
                <w:rFonts w:ascii="Times New Roman" w:eastAsia="Calibri" w:hAnsi="Times New Roman" w:cs="Times New Roman"/>
                <w:sz w:val="20"/>
                <w:szCs w:val="20"/>
                <w:vertAlign w:val="superscript"/>
                <w:lang w:val="en-GB"/>
              </w:rPr>
              <w:t>rd</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0.17</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0.0289</w:t>
            </w: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4.</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Inland water transport helps in the quick evacuation of victims during disasters.</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668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453</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42</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34</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1197</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3.2</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w:t>
            </w:r>
            <w:r w:rsidRPr="00FD251E">
              <w:rPr>
                <w:rFonts w:ascii="Times New Roman" w:eastAsia="Calibri" w:hAnsi="Times New Roman" w:cs="Times New Roman"/>
                <w:color w:val="0D0D0D"/>
                <w:sz w:val="20"/>
                <w:szCs w:val="20"/>
                <w:vertAlign w:val="superscript"/>
                <w:lang w:val="en-GB"/>
              </w:rPr>
              <w:t>st</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2.27</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5.1529</w:t>
            </w: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5.</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The availability of inland water transport reduces response time in emergencies.</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568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477</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68</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38</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1151</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3.1</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w:t>
            </w:r>
            <w:r w:rsidRPr="00FD251E">
              <w:rPr>
                <w:rFonts w:ascii="Times New Roman" w:eastAsia="Calibri" w:hAnsi="Times New Roman" w:cs="Times New Roman"/>
                <w:color w:val="0D0D0D"/>
                <w:sz w:val="20"/>
                <w:szCs w:val="20"/>
                <w:vertAlign w:val="superscript"/>
                <w:lang w:val="en-GB"/>
              </w:rPr>
              <w:t>nd</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0.17</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DC5083">
              <w:rPr>
                <w:rFonts w:ascii="Times New Roman" w:eastAsia="Calibri" w:hAnsi="Times New Roman" w:cs="Times New Roman"/>
                <w:color w:val="0D0D0D"/>
                <w:sz w:val="20"/>
                <w:szCs w:val="20"/>
                <w:lang w:val="en-GB"/>
              </w:rPr>
              <w:t>0.0289</w:t>
            </w: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6.</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Inland water transport plays a significant role in post-disaster recovery and reconstruction.</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456</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276</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178</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78</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988</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2.6</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w:t>
            </w:r>
            <w:r w:rsidRPr="00FD251E">
              <w:rPr>
                <w:rFonts w:ascii="Times New Roman" w:eastAsia="Calibri" w:hAnsi="Times New Roman" w:cs="Times New Roman"/>
                <w:color w:val="0D0D0D"/>
                <w:sz w:val="20"/>
                <w:szCs w:val="20"/>
                <w:vertAlign w:val="superscript"/>
                <w:lang w:val="en-GB"/>
              </w:rPr>
              <w:t>th</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0.03</w:t>
            </w:r>
          </w:p>
        </w:tc>
        <w:tc>
          <w:tcPr>
            <w:tcW w:w="105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0.0009</w:t>
            </w:r>
          </w:p>
        </w:tc>
      </w:tr>
      <w:tr w:rsidR="00E80D06" w:rsidRPr="00D61D20" w:rsidTr="00D752F7">
        <w:tc>
          <w:tcPr>
            <w:tcW w:w="456" w:type="dxa"/>
          </w:tcPr>
          <w:p w:rsidR="00E80D06" w:rsidRPr="00D61D20" w:rsidRDefault="00E80D06" w:rsidP="00D752F7">
            <w:pPr>
              <w:rPr>
                <w:rFonts w:ascii="Times New Roman" w:eastAsia="Calibri" w:hAnsi="Times New Roman" w:cs="Times New Roman"/>
                <w:b/>
                <w:bCs/>
                <w:sz w:val="20"/>
                <w:szCs w:val="20"/>
                <w:lang w:val="en-GB"/>
              </w:rPr>
            </w:pPr>
          </w:p>
        </w:tc>
        <w:tc>
          <w:tcPr>
            <w:tcW w:w="1828" w:type="dxa"/>
          </w:tcPr>
          <w:p w:rsidR="00E80D06" w:rsidRPr="00D61D20" w:rsidRDefault="00E80D06" w:rsidP="00D752F7">
            <w:pPr>
              <w:rPr>
                <w:rFonts w:ascii="Times New Roman" w:eastAsia="Calibri" w:hAnsi="Times New Roman" w:cs="Times New Roman"/>
                <w:b/>
                <w:bCs/>
                <w:sz w:val="20"/>
                <w:szCs w:val="20"/>
                <w:lang w:val="en-GB"/>
              </w:rPr>
            </w:pPr>
          </w:p>
        </w:tc>
        <w:tc>
          <w:tcPr>
            <w:tcW w:w="712"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610"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76"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90"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03" w:type="dxa"/>
          </w:tcPr>
          <w:p w:rsidR="00E80D06" w:rsidRPr="00D61D20" w:rsidRDefault="00E80D06" w:rsidP="00D752F7">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17.6</w:t>
            </w:r>
          </w:p>
        </w:tc>
        <w:tc>
          <w:tcPr>
            <w:tcW w:w="1150"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87"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86"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1056" w:type="dxa"/>
          </w:tcPr>
          <w:p w:rsidR="00E80D06" w:rsidRPr="00D61D20" w:rsidRDefault="00E80D06" w:rsidP="00D752F7">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5.2655</w:t>
            </w:r>
          </w:p>
        </w:tc>
      </w:tr>
      <w:tr w:rsidR="00E80D06" w:rsidRPr="00D61D20" w:rsidTr="00D752F7">
        <w:tc>
          <w:tcPr>
            <w:tcW w:w="456" w:type="dxa"/>
          </w:tcPr>
          <w:p w:rsidR="00E80D06" w:rsidRPr="00D61D20" w:rsidRDefault="00E80D06" w:rsidP="00D752F7">
            <w:pPr>
              <w:rPr>
                <w:rFonts w:ascii="Times New Roman" w:eastAsia="Calibri" w:hAnsi="Times New Roman" w:cs="Times New Roman"/>
                <w:b/>
                <w:bCs/>
                <w:sz w:val="20"/>
                <w:szCs w:val="20"/>
                <w:lang w:val="en-GB"/>
              </w:rPr>
            </w:pPr>
          </w:p>
        </w:tc>
        <w:tc>
          <w:tcPr>
            <w:tcW w:w="1828" w:type="dxa"/>
            <w:tcBorders>
              <w:bottom w:val="single" w:sz="4" w:space="0" w:color="auto"/>
            </w:tcBorders>
          </w:tcPr>
          <w:p w:rsidR="00E80D06" w:rsidRPr="00D61D20" w:rsidRDefault="00E80D06" w:rsidP="00D752F7">
            <w:pPr>
              <w:rPr>
                <w:rFonts w:ascii="Times New Roman" w:eastAsia="Calibri" w:hAnsi="Times New Roman" w:cs="Times New Roman"/>
                <w:b/>
                <w:bCs/>
                <w:sz w:val="20"/>
                <w:szCs w:val="20"/>
                <w:lang w:val="en-GB"/>
              </w:rPr>
            </w:pPr>
          </w:p>
        </w:tc>
        <w:tc>
          <w:tcPr>
            <w:tcW w:w="712"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610"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76"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90"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03"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2.93</w:t>
            </w:r>
          </w:p>
        </w:tc>
        <w:tc>
          <w:tcPr>
            <w:tcW w:w="1150"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87"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86"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1056"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r>
    </w:tbl>
    <w:p w:rsidR="00E80D06" w:rsidRDefault="00E80D06" w:rsidP="00832B47">
      <w:pPr>
        <w:jc w:val="both"/>
        <w:rPr>
          <w:rFonts w:ascii="Times New Roman" w:hAnsi="Times New Roman" w:cs="Times New Roman"/>
          <w:sz w:val="24"/>
          <w:szCs w:val="24"/>
        </w:rPr>
      </w:pP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The findings of this study highlight the important role that inland waterways play in post-disaster response and recovery, especially in flood-prone and disaster-affected areas. Respondents generally agreed on this point, with an overall mean score of 2.93, which is above the acceptance threshold. This shared view supports earlier research emphasizing how water transport can be a key asset for quick, efficient, and accessible emergency response (</w:t>
      </w:r>
      <w:proofErr w:type="spellStart"/>
      <w:r w:rsidR="00FD053F">
        <w:rPr>
          <w:rFonts w:ascii="Times New Roman" w:hAnsi="Times New Roman" w:cs="Times New Roman"/>
          <w:sz w:val="24"/>
          <w:szCs w:val="24"/>
        </w:rPr>
        <w:t>Ogboeli</w:t>
      </w:r>
      <w:proofErr w:type="spellEnd"/>
      <w:r w:rsidRPr="00ED05DE">
        <w:rPr>
          <w:rFonts w:ascii="Times New Roman" w:hAnsi="Times New Roman" w:cs="Times New Roman"/>
          <w:sz w:val="24"/>
          <w:szCs w:val="24"/>
        </w:rPr>
        <w:t xml:space="preserve"> et al., 202</w:t>
      </w:r>
      <w:r w:rsidR="00FD053F">
        <w:rPr>
          <w:rFonts w:ascii="Times New Roman" w:hAnsi="Times New Roman" w:cs="Times New Roman"/>
          <w:sz w:val="24"/>
          <w:szCs w:val="24"/>
        </w:rPr>
        <w:t>4</w:t>
      </w:r>
      <w:r w:rsidRPr="00ED05DE">
        <w:rPr>
          <w:rFonts w:ascii="Times New Roman" w:hAnsi="Times New Roman" w:cs="Times New Roman"/>
          <w:sz w:val="24"/>
          <w:szCs w:val="24"/>
        </w:rPr>
        <w:t xml:space="preserve">; </w:t>
      </w:r>
      <w:proofErr w:type="spellStart"/>
      <w:r w:rsidR="00FD053F" w:rsidRPr="00FD053F">
        <w:rPr>
          <w:rFonts w:ascii="Times New Roman" w:hAnsi="Times New Roman" w:cs="Times New Roman"/>
          <w:sz w:val="24"/>
          <w:szCs w:val="24"/>
        </w:rPr>
        <w:t>Obadina</w:t>
      </w:r>
      <w:proofErr w:type="spellEnd"/>
      <w:r w:rsidRPr="00ED05DE">
        <w:rPr>
          <w:rFonts w:ascii="Times New Roman" w:hAnsi="Times New Roman" w:cs="Times New Roman"/>
          <w:sz w:val="24"/>
          <w:szCs w:val="24"/>
        </w:rPr>
        <w:t>, 202</w:t>
      </w:r>
      <w:r w:rsidR="00FD053F">
        <w:rPr>
          <w:rFonts w:ascii="Times New Roman" w:hAnsi="Times New Roman" w:cs="Times New Roman"/>
          <w:sz w:val="24"/>
          <w:szCs w:val="24"/>
        </w:rPr>
        <w:t>6</w:t>
      </w:r>
      <w:r w:rsidRPr="00ED05DE">
        <w:rPr>
          <w:rFonts w:ascii="Times New Roman" w:hAnsi="Times New Roman" w:cs="Times New Roman"/>
          <w:sz w:val="24"/>
          <w:szCs w:val="24"/>
        </w:rPr>
        <w:t>).</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lastRenderedPageBreak/>
        <w:t xml:space="preserve">The highest-rated factor was the role of inland water transport in quick evacuation of victims during disasters (mean = 3.2, rank 1). This aligns with the position of </w:t>
      </w:r>
      <w:proofErr w:type="spellStart"/>
      <w:r w:rsidR="00FD053F" w:rsidRPr="00FD053F">
        <w:rPr>
          <w:rFonts w:ascii="Times New Roman" w:hAnsi="Times New Roman" w:cs="Times New Roman"/>
          <w:sz w:val="24"/>
          <w:szCs w:val="24"/>
        </w:rPr>
        <w:t>Primadi</w:t>
      </w:r>
      <w:proofErr w:type="spellEnd"/>
      <w:r w:rsidR="00FD053F" w:rsidRPr="00FD053F">
        <w:rPr>
          <w:rFonts w:ascii="Times New Roman" w:hAnsi="Times New Roman" w:cs="Times New Roman"/>
          <w:sz w:val="24"/>
          <w:szCs w:val="24"/>
        </w:rPr>
        <w:t xml:space="preserve"> &amp; </w:t>
      </w:r>
      <w:proofErr w:type="spellStart"/>
      <w:r w:rsidR="00FD053F" w:rsidRPr="00FD053F">
        <w:rPr>
          <w:rFonts w:ascii="Times New Roman" w:hAnsi="Times New Roman" w:cs="Times New Roman"/>
          <w:sz w:val="24"/>
          <w:szCs w:val="24"/>
        </w:rPr>
        <w:t>Yosepha</w:t>
      </w:r>
      <w:proofErr w:type="spellEnd"/>
      <w:r w:rsidR="00FD053F" w:rsidRPr="00FD053F">
        <w:rPr>
          <w:rFonts w:ascii="Times New Roman" w:hAnsi="Times New Roman" w:cs="Times New Roman"/>
          <w:sz w:val="24"/>
          <w:szCs w:val="24"/>
        </w:rPr>
        <w:t xml:space="preserve">, </w:t>
      </w:r>
      <w:r w:rsidR="00FD053F">
        <w:rPr>
          <w:rFonts w:ascii="Times New Roman" w:hAnsi="Times New Roman" w:cs="Times New Roman"/>
          <w:sz w:val="24"/>
          <w:szCs w:val="24"/>
        </w:rPr>
        <w:t>(</w:t>
      </w:r>
      <w:r w:rsidR="00FD053F" w:rsidRPr="00FD053F">
        <w:rPr>
          <w:rFonts w:ascii="Times New Roman" w:hAnsi="Times New Roman" w:cs="Times New Roman"/>
          <w:sz w:val="24"/>
          <w:szCs w:val="24"/>
        </w:rPr>
        <w:t>2024)</w:t>
      </w:r>
      <w:r w:rsidRPr="00ED05DE">
        <w:rPr>
          <w:rFonts w:ascii="Times New Roman" w:hAnsi="Times New Roman" w:cs="Times New Roman"/>
          <w:sz w:val="24"/>
          <w:szCs w:val="24"/>
        </w:rPr>
        <w:t>, who note that waterways often remain navigable even when terrestrial infrastructure is compromised, enabling the safe and timely relocation of affected populations. This was particularly evident during the 2022 Nigeria flood disaster, where boats and ferries were mobilized to evacuate residents from submerged communities in Rivers, Bayelsa, and Delta states (</w:t>
      </w:r>
      <w:proofErr w:type="spellStart"/>
      <w:r w:rsidR="003E41DA" w:rsidRPr="003E41DA">
        <w:rPr>
          <w:rFonts w:ascii="Times New Roman" w:hAnsi="Times New Roman" w:cs="Times New Roman"/>
          <w:sz w:val="24"/>
          <w:szCs w:val="24"/>
        </w:rPr>
        <w:t>Akpudo</w:t>
      </w:r>
      <w:proofErr w:type="spellEnd"/>
      <w:r w:rsidR="003E41DA" w:rsidRPr="003E41DA">
        <w:rPr>
          <w:rFonts w:ascii="Times New Roman" w:hAnsi="Times New Roman" w:cs="Times New Roman"/>
          <w:sz w:val="24"/>
          <w:szCs w:val="24"/>
        </w:rPr>
        <w:t xml:space="preserve"> et al. (2022)</w:t>
      </w:r>
      <w:r w:rsidRPr="00ED05DE">
        <w:rPr>
          <w:rFonts w:ascii="Times New Roman" w:hAnsi="Times New Roman" w:cs="Times New Roman"/>
          <w:sz w:val="24"/>
          <w:szCs w:val="24"/>
        </w:rPr>
        <w:t>.</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Similarly, the availability of inland water transport reducing response time in emergencies ranked second (mean = 3.1), indicating that rapid mobilization of ferries and boats can significantly shorten the interval between disaster onset and humanitarian intervention. This finding resonates with </w:t>
      </w:r>
      <w:proofErr w:type="spellStart"/>
      <w:r w:rsidR="003E41DA" w:rsidRPr="003E41DA">
        <w:rPr>
          <w:rFonts w:ascii="Times New Roman" w:hAnsi="Times New Roman" w:cs="Times New Roman"/>
          <w:sz w:val="24"/>
          <w:szCs w:val="24"/>
        </w:rPr>
        <w:t>Obadina</w:t>
      </w:r>
      <w:proofErr w:type="spellEnd"/>
      <w:r w:rsidR="003E41DA">
        <w:rPr>
          <w:rFonts w:ascii="Times New Roman" w:hAnsi="Times New Roman" w:cs="Times New Roman"/>
          <w:sz w:val="24"/>
          <w:szCs w:val="24"/>
        </w:rPr>
        <w:t xml:space="preserve"> et al, </w:t>
      </w:r>
      <w:r w:rsidRPr="00ED05DE">
        <w:rPr>
          <w:rFonts w:ascii="Times New Roman" w:hAnsi="Times New Roman" w:cs="Times New Roman"/>
          <w:sz w:val="24"/>
          <w:szCs w:val="24"/>
        </w:rPr>
        <w:t>(202</w:t>
      </w:r>
      <w:r w:rsidR="003E41DA">
        <w:rPr>
          <w:rFonts w:ascii="Times New Roman" w:hAnsi="Times New Roman" w:cs="Times New Roman"/>
          <w:sz w:val="24"/>
          <w:szCs w:val="24"/>
        </w:rPr>
        <w:t>6</w:t>
      </w:r>
      <w:r w:rsidRPr="00ED05DE">
        <w:rPr>
          <w:rFonts w:ascii="Times New Roman" w:hAnsi="Times New Roman" w:cs="Times New Roman"/>
          <w:sz w:val="24"/>
          <w:szCs w:val="24"/>
        </w:rPr>
        <w:t>) assertion that reduced response time is critical for minimizing casualties and mitigating the secondary impacts of disasters.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The effectiveness of boats and ferries in reaching disaster-affected areas inaccessible by road was also strongly acknowledged (mean = 3.1, rank 3). This finding corroborates evidence from Southeast Asia, where maritime and inland waterways were the primary mode of humanitarian delivery in remote communities during the 2018 Sulawesi earthquake and tsunami (</w:t>
      </w:r>
      <w:proofErr w:type="spellStart"/>
      <w:r w:rsidR="003E41DA" w:rsidRPr="003E41DA">
        <w:rPr>
          <w:rFonts w:ascii="Times New Roman" w:hAnsi="Times New Roman" w:cs="Times New Roman"/>
          <w:sz w:val="24"/>
          <w:szCs w:val="24"/>
        </w:rPr>
        <w:t>Primadi</w:t>
      </w:r>
      <w:proofErr w:type="spellEnd"/>
      <w:r w:rsidR="003E41DA" w:rsidRPr="003E41DA">
        <w:rPr>
          <w:rFonts w:ascii="Times New Roman" w:hAnsi="Times New Roman" w:cs="Times New Roman"/>
          <w:sz w:val="24"/>
          <w:szCs w:val="24"/>
        </w:rPr>
        <w:t xml:space="preserve"> &amp; </w:t>
      </w:r>
      <w:proofErr w:type="spellStart"/>
      <w:r w:rsidR="003E41DA" w:rsidRPr="003E41DA">
        <w:rPr>
          <w:rFonts w:ascii="Times New Roman" w:hAnsi="Times New Roman" w:cs="Times New Roman"/>
          <w:sz w:val="24"/>
          <w:szCs w:val="24"/>
        </w:rPr>
        <w:t>Yosepha</w:t>
      </w:r>
      <w:proofErr w:type="spellEnd"/>
      <w:r w:rsidR="003E41DA" w:rsidRPr="003E41DA">
        <w:rPr>
          <w:rFonts w:ascii="Times New Roman" w:hAnsi="Times New Roman" w:cs="Times New Roman"/>
          <w:sz w:val="24"/>
          <w:szCs w:val="24"/>
        </w:rPr>
        <w:t>, (2024)</w:t>
      </w:r>
      <w:r w:rsidRPr="00ED05DE">
        <w:rPr>
          <w:rFonts w:ascii="Times New Roman" w:hAnsi="Times New Roman" w:cs="Times New Roman"/>
          <w:sz w:val="24"/>
          <w:szCs w:val="24"/>
        </w:rPr>
        <w:t>.</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Interestingly, while the effectiveness of inland waterways in disaster response (mean = 2.7, rank 5) and their role in post-disaster recovery and reconstruction (mean = 2.6, rank 6) were still accepted, they recorded relatively lower mean values. This may suggest that although respondents recognize the immediate rescue and evacuation advantages, there may be limitations in the sustained use of inland waterways for long-term recovery operations, possibly due to inadequate port infrastructure, vessel availability, or funding constraints (</w:t>
      </w:r>
      <w:proofErr w:type="spellStart"/>
      <w:r w:rsidRPr="00ED05DE">
        <w:rPr>
          <w:rFonts w:ascii="Times New Roman" w:hAnsi="Times New Roman" w:cs="Times New Roman"/>
          <w:sz w:val="24"/>
          <w:szCs w:val="24"/>
        </w:rPr>
        <w:t>O</w:t>
      </w:r>
      <w:r w:rsidR="003E41DA">
        <w:rPr>
          <w:rFonts w:ascii="Times New Roman" w:hAnsi="Times New Roman" w:cs="Times New Roman"/>
          <w:sz w:val="24"/>
          <w:szCs w:val="24"/>
        </w:rPr>
        <w:t>gboeli</w:t>
      </w:r>
      <w:proofErr w:type="spellEnd"/>
      <w:r w:rsidRPr="00ED05DE">
        <w:rPr>
          <w:rFonts w:ascii="Times New Roman" w:hAnsi="Times New Roman" w:cs="Times New Roman"/>
          <w:sz w:val="24"/>
          <w:szCs w:val="24"/>
        </w:rPr>
        <w:t xml:space="preserve"> et al., 202</w:t>
      </w:r>
      <w:r w:rsidR="003E41DA">
        <w:rPr>
          <w:rFonts w:ascii="Times New Roman" w:hAnsi="Times New Roman" w:cs="Times New Roman"/>
          <w:sz w:val="24"/>
          <w:szCs w:val="24"/>
        </w:rPr>
        <w:t>4</w:t>
      </w:r>
      <w:r w:rsidRPr="00ED05DE">
        <w:rPr>
          <w:rFonts w:ascii="Times New Roman" w:hAnsi="Times New Roman" w:cs="Times New Roman"/>
          <w:sz w:val="24"/>
          <w:szCs w:val="24"/>
        </w:rPr>
        <w:t>).</w:t>
      </w:r>
    </w:p>
    <w:p w:rsidR="00E80D06"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Collectively, the findings reaffirm the assertion that inland waterways are indispensable for enhancing the resilience of transportation systems in disaster-prone environments (</w:t>
      </w:r>
      <w:proofErr w:type="spellStart"/>
      <w:r w:rsidR="003E41DA" w:rsidRPr="003E41DA">
        <w:rPr>
          <w:rFonts w:ascii="Times New Roman" w:hAnsi="Times New Roman" w:cs="Times New Roman"/>
          <w:sz w:val="24"/>
          <w:szCs w:val="24"/>
        </w:rPr>
        <w:t>Ogboeli</w:t>
      </w:r>
      <w:proofErr w:type="spellEnd"/>
      <w:r w:rsidR="003E41DA" w:rsidRPr="003E41DA">
        <w:rPr>
          <w:rFonts w:ascii="Times New Roman" w:hAnsi="Times New Roman" w:cs="Times New Roman"/>
          <w:sz w:val="24"/>
          <w:szCs w:val="24"/>
        </w:rPr>
        <w:t xml:space="preserve"> et al., 2024</w:t>
      </w:r>
      <w:r w:rsidRPr="00ED05DE">
        <w:rPr>
          <w:rFonts w:ascii="Times New Roman" w:hAnsi="Times New Roman" w:cs="Times New Roman"/>
          <w:sz w:val="24"/>
          <w:szCs w:val="24"/>
        </w:rPr>
        <w:t>). However, to maximize their effectiveness, investment in vessel maintenance, navigational safety, and integration into official disaster management frameworks is essential.</w:t>
      </w:r>
    </w:p>
    <w:p w:rsidR="00E80D06" w:rsidRPr="00D61D20" w:rsidRDefault="00E80D06" w:rsidP="00E80D06">
      <w:pPr>
        <w:spacing w:before="100" w:beforeAutospacing="1" w:after="240" w:line="480" w:lineRule="auto"/>
        <w:contextualSpacing/>
        <w:rPr>
          <w:rFonts w:ascii="Times New Roman" w:eastAsia="Calibri" w:hAnsi="Times New Roman" w:cs="Times New Roman"/>
          <w:b/>
          <w:bCs/>
          <w:kern w:val="0"/>
          <w:sz w:val="24"/>
          <w:szCs w:val="24"/>
          <w14:ligatures w14:val="none"/>
        </w:rPr>
      </w:pPr>
      <w:r w:rsidRPr="00D61D20">
        <w:rPr>
          <w:rFonts w:ascii="Times New Roman" w:eastAsia="Calibri" w:hAnsi="Times New Roman" w:cs="Times New Roman"/>
          <w:b/>
          <w:bCs/>
          <w:kern w:val="0"/>
          <w:sz w:val="24"/>
          <w:szCs w:val="24"/>
          <w14:ligatures w14:val="none"/>
        </w:rPr>
        <w:t xml:space="preserve">Table </w:t>
      </w:r>
      <w:r w:rsidR="00ED05DE">
        <w:rPr>
          <w:rFonts w:ascii="Times New Roman" w:eastAsia="Calibri" w:hAnsi="Times New Roman" w:cs="Times New Roman"/>
          <w:b/>
          <w:bCs/>
          <w:kern w:val="0"/>
          <w:sz w:val="24"/>
          <w:szCs w:val="24"/>
          <w14:ligatures w14:val="none"/>
        </w:rPr>
        <w:t>3</w:t>
      </w:r>
      <w:r>
        <w:rPr>
          <w:rFonts w:ascii="Times New Roman" w:eastAsia="Calibri" w:hAnsi="Times New Roman" w:cs="Times New Roman"/>
          <w:b/>
          <w:bCs/>
          <w:kern w:val="0"/>
          <w:sz w:val="24"/>
          <w:szCs w:val="24"/>
          <w14:ligatures w14:val="none"/>
        </w:rPr>
        <w:t>.</w:t>
      </w:r>
      <w:r w:rsidRPr="00D61D20">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 xml:space="preserve">Challenges of inland waterways in Disaster response  </w:t>
      </w:r>
    </w:p>
    <w:tbl>
      <w:tblPr>
        <w:tblStyle w:val="TableGrid12"/>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28"/>
        <w:gridCol w:w="712"/>
        <w:gridCol w:w="610"/>
        <w:gridCol w:w="576"/>
        <w:gridCol w:w="590"/>
        <w:gridCol w:w="763"/>
        <w:gridCol w:w="763"/>
        <w:gridCol w:w="803"/>
        <w:gridCol w:w="1150"/>
        <w:gridCol w:w="887"/>
        <w:gridCol w:w="786"/>
        <w:gridCol w:w="1056"/>
      </w:tblGrid>
      <w:tr w:rsidR="00E80D06" w:rsidRPr="00D61D20" w:rsidTr="008B7C4C">
        <w:trPr>
          <w:trHeight w:val="270"/>
        </w:trPr>
        <w:tc>
          <w:tcPr>
            <w:tcW w:w="456" w:type="dxa"/>
            <w:vMerge w:val="restart"/>
          </w:tcPr>
          <w:p w:rsidR="00E80D06" w:rsidRPr="00D61D20" w:rsidRDefault="00E80D06" w:rsidP="00E80D06">
            <w:pPr>
              <w:numPr>
                <w:ilvl w:val="0"/>
                <w:numId w:val="5"/>
              </w:numPr>
              <w:contextualSpacing/>
              <w:jc w:val="center"/>
              <w:rPr>
                <w:rFonts w:ascii="Times New Roman" w:eastAsia="Calibri" w:hAnsi="Times New Roman" w:cs="Times New Roman"/>
                <w:b/>
                <w:bCs/>
                <w:sz w:val="20"/>
                <w:szCs w:val="20"/>
                <w:lang w:val="en-GB"/>
              </w:rPr>
            </w:pPr>
          </w:p>
        </w:tc>
        <w:tc>
          <w:tcPr>
            <w:tcW w:w="1828" w:type="dxa"/>
            <w:vMerge w:val="restart"/>
          </w:tcPr>
          <w:p w:rsidR="00E80D06" w:rsidRPr="00D61D20" w:rsidRDefault="00E80D06" w:rsidP="00D752F7">
            <w:pPr>
              <w:rPr>
                <w:rFonts w:ascii="Times New Roman" w:eastAsia="Calibri" w:hAnsi="Times New Roman" w:cs="Times New Roman"/>
                <w:b/>
                <w:bCs/>
                <w:sz w:val="20"/>
                <w:szCs w:val="20"/>
                <w:lang w:val="en-GB"/>
              </w:rPr>
            </w:pPr>
            <w:r w:rsidRPr="007D13ED">
              <w:rPr>
                <w:rFonts w:ascii="Times New Roman" w:eastAsia="Calibri" w:hAnsi="Times New Roman" w:cs="Times New Roman"/>
                <w:b/>
                <w:bCs/>
                <w:sz w:val="20"/>
                <w:szCs w:val="20"/>
                <w:lang w:val="en-GB"/>
              </w:rPr>
              <w:t xml:space="preserve">Challenges of inland waterways in Disaster response  </w:t>
            </w:r>
          </w:p>
        </w:tc>
        <w:tc>
          <w:tcPr>
            <w:tcW w:w="712" w:type="dxa"/>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SA</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A</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D</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SD</w:t>
            </w:r>
          </w:p>
        </w:tc>
        <w:tc>
          <w:tcPr>
            <w:tcW w:w="763"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Total </w:t>
            </w:r>
          </w:p>
        </w:tc>
        <w:tc>
          <w:tcPr>
            <w:tcW w:w="763"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SWV </w:t>
            </w:r>
          </w:p>
        </w:tc>
        <w:tc>
          <w:tcPr>
            <w:tcW w:w="803"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Mean </w:t>
            </w:r>
          </w:p>
        </w:tc>
        <w:tc>
          <w:tcPr>
            <w:tcW w:w="1150"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Remarks </w:t>
            </w:r>
          </w:p>
        </w:tc>
        <w:tc>
          <w:tcPr>
            <w:tcW w:w="887"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Rank </w:t>
            </w:r>
          </w:p>
        </w:tc>
        <w:tc>
          <w:tcPr>
            <w:tcW w:w="786"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p>
        </w:tc>
        <w:tc>
          <w:tcPr>
            <w:tcW w:w="1056"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r w:rsidRPr="00D61D20">
              <w:rPr>
                <w:rFonts w:ascii="Times New Roman" w:eastAsia="Calibri" w:hAnsi="Times New Roman" w:cs="Times New Roman"/>
                <w:b/>
                <w:bCs/>
                <w:sz w:val="20"/>
                <w:szCs w:val="20"/>
                <w:lang w:val="en-GB"/>
              </w:rPr>
              <w:t>)</w:t>
            </w:r>
            <w:r w:rsidRPr="00D61D20">
              <w:rPr>
                <w:rFonts w:ascii="Times New Roman" w:eastAsia="Calibri" w:hAnsi="Times New Roman" w:cs="Times New Roman"/>
                <w:b/>
                <w:bCs/>
                <w:sz w:val="20"/>
                <w:szCs w:val="20"/>
                <w:vertAlign w:val="superscript"/>
                <w:lang w:val="en-GB"/>
              </w:rPr>
              <w:t>2</w:t>
            </w:r>
          </w:p>
        </w:tc>
      </w:tr>
      <w:tr w:rsidR="00E80D06" w:rsidRPr="00D61D20" w:rsidTr="008B7C4C">
        <w:trPr>
          <w:trHeight w:val="270"/>
        </w:trPr>
        <w:tc>
          <w:tcPr>
            <w:tcW w:w="456" w:type="dxa"/>
            <w:vMerge/>
          </w:tcPr>
          <w:p w:rsidR="00E80D06" w:rsidRPr="00D61D20" w:rsidRDefault="00E80D06" w:rsidP="00E80D06">
            <w:pPr>
              <w:numPr>
                <w:ilvl w:val="0"/>
                <w:numId w:val="5"/>
              </w:numPr>
              <w:contextualSpacing/>
              <w:jc w:val="center"/>
              <w:rPr>
                <w:rFonts w:ascii="Times New Roman" w:eastAsia="Calibri" w:hAnsi="Times New Roman" w:cs="Times New Roman"/>
                <w:b/>
                <w:bCs/>
                <w:sz w:val="24"/>
                <w:szCs w:val="24"/>
                <w:lang w:val="en-GB"/>
              </w:rPr>
            </w:pPr>
          </w:p>
        </w:tc>
        <w:tc>
          <w:tcPr>
            <w:tcW w:w="1828"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712"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4</w:t>
            </w:r>
          </w:p>
        </w:tc>
        <w:tc>
          <w:tcPr>
            <w:tcW w:w="610"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3</w:t>
            </w:r>
          </w:p>
        </w:tc>
        <w:tc>
          <w:tcPr>
            <w:tcW w:w="576"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2</w:t>
            </w:r>
          </w:p>
        </w:tc>
        <w:tc>
          <w:tcPr>
            <w:tcW w:w="590"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1</w:t>
            </w:r>
          </w:p>
        </w:tc>
        <w:tc>
          <w:tcPr>
            <w:tcW w:w="763"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763"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803"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1150"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887"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786"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1056" w:type="dxa"/>
            <w:vMerge/>
          </w:tcPr>
          <w:p w:rsidR="00E80D06" w:rsidRPr="00D61D20" w:rsidRDefault="00E80D06" w:rsidP="00D752F7">
            <w:pPr>
              <w:jc w:val="center"/>
              <w:rPr>
                <w:rFonts w:ascii="Times New Roman" w:eastAsia="Calibri" w:hAnsi="Times New Roman" w:cs="Times New Roman"/>
                <w:b/>
                <w:bCs/>
                <w:sz w:val="24"/>
                <w:szCs w:val="24"/>
                <w:lang w:val="en-GB"/>
              </w:rPr>
            </w:pPr>
          </w:p>
        </w:tc>
      </w:tr>
      <w:tr w:rsidR="00E80D06" w:rsidRPr="00D61D20" w:rsidTr="008B7C4C">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1.</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Poor infrastructure limits the effectiveness of inland water transport in disaster relief</w:t>
            </w:r>
          </w:p>
        </w:tc>
        <w:tc>
          <w:tcPr>
            <w:tcW w:w="712"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492</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393</w:t>
            </w:r>
          </w:p>
        </w:tc>
        <w:tc>
          <w:tcPr>
            <w:tcW w:w="576"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82</w:t>
            </w:r>
          </w:p>
        </w:tc>
        <w:tc>
          <w:tcPr>
            <w:tcW w:w="590"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78</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1045</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2.8</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w:t>
            </w:r>
            <w:r w:rsidRPr="00FD251E">
              <w:rPr>
                <w:rFonts w:ascii="Times New Roman" w:eastAsia="Calibri" w:hAnsi="Times New Roman" w:cs="Times New Roman"/>
                <w:color w:val="0D0D0D"/>
                <w:sz w:val="20"/>
                <w:szCs w:val="20"/>
                <w:vertAlign w:val="superscript"/>
                <w:lang w:val="en-GB"/>
              </w:rPr>
              <w:t>th</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rPr>
          <w:trHeight w:val="422"/>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2.</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 xml:space="preserve">Lack of well-coordinated policies affects the efficiency of inland water transport </w:t>
            </w:r>
            <w:r w:rsidRPr="00BD6230">
              <w:rPr>
                <w:rFonts w:ascii="Times New Roman" w:eastAsia="Calibri" w:hAnsi="Times New Roman" w:cs="Times New Roman"/>
                <w:sz w:val="20"/>
                <w:szCs w:val="20"/>
                <w:lang w:val="en-GB"/>
              </w:rPr>
              <w:lastRenderedPageBreak/>
              <w:t>during emergencies.</w:t>
            </w:r>
          </w:p>
        </w:tc>
        <w:tc>
          <w:tcPr>
            <w:tcW w:w="712"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lastRenderedPageBreak/>
              <w:t>436</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363</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196</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45</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1040</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2.8</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r w:rsidRPr="00FD251E">
              <w:rPr>
                <w:rFonts w:ascii="Times New Roman" w:eastAsia="Calibri" w:hAnsi="Times New Roman" w:cs="Times New Roman"/>
                <w:sz w:val="20"/>
                <w:szCs w:val="20"/>
                <w:vertAlign w:val="superscript"/>
                <w:lang w:val="en-GB"/>
              </w:rPr>
              <w:t>th</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rPr>
          <w:trHeight w:val="440"/>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3.</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Inadequate funding for inland water transport affects disaster response efforts</w:t>
            </w:r>
          </w:p>
        </w:tc>
        <w:tc>
          <w:tcPr>
            <w:tcW w:w="712"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568</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384</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112</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47</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1111</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3.0</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2</w:t>
            </w:r>
            <w:r w:rsidRPr="00FD251E">
              <w:rPr>
                <w:rFonts w:ascii="Times New Roman" w:eastAsia="Calibri" w:hAnsi="Times New Roman" w:cs="Times New Roman"/>
                <w:sz w:val="20"/>
                <w:szCs w:val="20"/>
                <w:vertAlign w:val="superscript"/>
                <w:lang w:val="en-GB"/>
              </w:rPr>
              <w:t>nd</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4.</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Security threats (e.g., piracy, theft) hinder the use of inland waterways for disaster relief.</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628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366</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80</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54</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1128</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3.0</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w:t>
            </w:r>
            <w:r w:rsidRPr="00FD251E">
              <w:rPr>
                <w:rFonts w:ascii="Times New Roman" w:eastAsia="Calibri" w:hAnsi="Times New Roman" w:cs="Times New Roman"/>
                <w:color w:val="0D0D0D"/>
                <w:sz w:val="20"/>
                <w:szCs w:val="20"/>
                <w:vertAlign w:val="superscript"/>
                <w:lang w:val="en-GB"/>
              </w:rPr>
              <w:t>st</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5.</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There is insufficient training for water transport operators on emergency response procedures.</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488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384</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196</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25</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1093</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2.9</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w:t>
            </w:r>
            <w:r w:rsidRPr="00FD251E">
              <w:rPr>
                <w:rFonts w:ascii="Times New Roman" w:eastAsia="Calibri" w:hAnsi="Times New Roman" w:cs="Times New Roman"/>
                <w:color w:val="0D0D0D"/>
                <w:sz w:val="20"/>
                <w:szCs w:val="20"/>
                <w:vertAlign w:val="superscript"/>
                <w:lang w:val="en-GB"/>
              </w:rPr>
              <w:t>rd</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w:t>
            </w:r>
          </w:p>
        </w:tc>
        <w:tc>
          <w:tcPr>
            <w:tcW w:w="1056" w:type="dxa"/>
          </w:tcPr>
          <w:p w:rsidR="00E80D06"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0.00</w:t>
            </w:r>
          </w:p>
          <w:p w:rsidR="008B7C4C" w:rsidRDefault="008B7C4C" w:rsidP="00D752F7">
            <w:pPr>
              <w:jc w:val="center"/>
              <w:rPr>
                <w:rFonts w:ascii="Times New Roman" w:eastAsia="Calibri" w:hAnsi="Times New Roman" w:cs="Times New Roman"/>
                <w:color w:val="0D0D0D"/>
                <w:sz w:val="20"/>
                <w:szCs w:val="20"/>
                <w:lang w:val="en-GB"/>
              </w:rPr>
            </w:pPr>
          </w:p>
          <w:p w:rsidR="008B7C4C" w:rsidRPr="00D61D20" w:rsidRDefault="008B7C4C" w:rsidP="00D752F7">
            <w:pPr>
              <w:jc w:val="center"/>
              <w:rPr>
                <w:rFonts w:ascii="Times New Roman" w:eastAsia="Calibri" w:hAnsi="Times New Roman" w:cs="Times New Roman"/>
                <w:color w:val="0D0D0D"/>
                <w:sz w:val="20"/>
                <w:szCs w:val="20"/>
                <w:lang w:val="en-GB"/>
              </w:rPr>
            </w:pPr>
          </w:p>
        </w:tc>
      </w:tr>
      <w:tr w:rsidR="008B7C4C" w:rsidRPr="00D61D20" w:rsidTr="00836539">
        <w:tc>
          <w:tcPr>
            <w:tcW w:w="456" w:type="dxa"/>
          </w:tcPr>
          <w:p w:rsidR="008B7C4C" w:rsidRPr="00C81272" w:rsidRDefault="008B7C4C" w:rsidP="008B7C4C">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1828" w:type="dxa"/>
          </w:tcPr>
          <w:p w:rsidR="008B7C4C" w:rsidRPr="00BD6230" w:rsidRDefault="008B7C4C" w:rsidP="008B7C4C">
            <w:pPr>
              <w:rPr>
                <w:rFonts w:ascii="Times New Roman" w:eastAsia="Calibri" w:hAnsi="Times New Roman" w:cs="Times New Roman"/>
                <w:sz w:val="20"/>
                <w:szCs w:val="20"/>
                <w:lang w:val="en-GB"/>
              </w:rPr>
            </w:pPr>
            <w:r w:rsidRPr="008B7C4C">
              <w:rPr>
                <w:rFonts w:ascii="Times New Roman" w:eastAsia="Calibri" w:hAnsi="Times New Roman" w:cs="Times New Roman"/>
                <w:sz w:val="20"/>
                <w:szCs w:val="20"/>
                <w:lang w:val="en-GB"/>
              </w:rPr>
              <w:t>Limited availability of modern boats and rescue equipment reduces the effectiveness of inland waterways during disasters</w:t>
            </w:r>
          </w:p>
        </w:tc>
        <w:tc>
          <w:tcPr>
            <w:tcW w:w="712"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520</w:t>
            </w:r>
          </w:p>
        </w:tc>
        <w:tc>
          <w:tcPr>
            <w:tcW w:w="610"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372</w:t>
            </w:r>
          </w:p>
        </w:tc>
        <w:tc>
          <w:tcPr>
            <w:tcW w:w="576"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146</w:t>
            </w:r>
          </w:p>
        </w:tc>
        <w:tc>
          <w:tcPr>
            <w:tcW w:w="590"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40</w:t>
            </w:r>
          </w:p>
        </w:tc>
        <w:tc>
          <w:tcPr>
            <w:tcW w:w="763"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373</w:t>
            </w:r>
          </w:p>
        </w:tc>
        <w:tc>
          <w:tcPr>
            <w:tcW w:w="763"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1078</w:t>
            </w:r>
          </w:p>
        </w:tc>
        <w:tc>
          <w:tcPr>
            <w:tcW w:w="803"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2.9</w:t>
            </w:r>
          </w:p>
        </w:tc>
        <w:tc>
          <w:tcPr>
            <w:tcW w:w="1150"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Accepted</w:t>
            </w:r>
          </w:p>
        </w:tc>
        <w:tc>
          <w:tcPr>
            <w:tcW w:w="887"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6th</w:t>
            </w:r>
          </w:p>
        </w:tc>
        <w:tc>
          <w:tcPr>
            <w:tcW w:w="786" w:type="dxa"/>
          </w:tcPr>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8B7C4C" w:rsidRDefault="006F23FD" w:rsidP="008B7C4C">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w:t>
            </w:r>
          </w:p>
        </w:tc>
        <w:tc>
          <w:tcPr>
            <w:tcW w:w="1056" w:type="dxa"/>
          </w:tcPr>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8B7C4C" w:rsidRDefault="006F23FD" w:rsidP="008B7C4C">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0.00</w:t>
            </w:r>
          </w:p>
        </w:tc>
      </w:tr>
      <w:tr w:rsidR="008B7C4C" w:rsidRPr="00D61D20" w:rsidTr="008B7C4C">
        <w:tc>
          <w:tcPr>
            <w:tcW w:w="456" w:type="dxa"/>
          </w:tcPr>
          <w:p w:rsidR="008B7C4C" w:rsidRPr="00D61D20" w:rsidRDefault="008B7C4C" w:rsidP="008B7C4C">
            <w:pPr>
              <w:rPr>
                <w:rFonts w:ascii="Times New Roman" w:eastAsia="Calibri" w:hAnsi="Times New Roman" w:cs="Times New Roman"/>
                <w:b/>
                <w:bCs/>
                <w:sz w:val="20"/>
                <w:szCs w:val="20"/>
                <w:lang w:val="en-GB"/>
              </w:rPr>
            </w:pPr>
          </w:p>
        </w:tc>
        <w:tc>
          <w:tcPr>
            <w:tcW w:w="1828" w:type="dxa"/>
          </w:tcPr>
          <w:p w:rsidR="008B7C4C" w:rsidRPr="00D61D20" w:rsidRDefault="008B7C4C" w:rsidP="008B7C4C">
            <w:pPr>
              <w:rPr>
                <w:rFonts w:ascii="Times New Roman" w:eastAsia="Calibri" w:hAnsi="Times New Roman" w:cs="Times New Roman"/>
                <w:b/>
                <w:bCs/>
                <w:sz w:val="20"/>
                <w:szCs w:val="20"/>
                <w:lang w:val="en-GB"/>
              </w:rPr>
            </w:pPr>
          </w:p>
        </w:tc>
        <w:tc>
          <w:tcPr>
            <w:tcW w:w="712"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61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7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9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03" w:type="dxa"/>
          </w:tcPr>
          <w:p w:rsidR="008B7C4C" w:rsidRPr="00D61D20" w:rsidRDefault="008B7C4C" w:rsidP="008B7C4C">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1</w:t>
            </w:r>
            <w:r w:rsidR="006F23FD">
              <w:rPr>
                <w:rFonts w:ascii="Times New Roman" w:eastAsia="Calibri" w:hAnsi="Times New Roman" w:cs="Times New Roman"/>
                <w:b/>
                <w:bCs/>
                <w:color w:val="0D0D0D"/>
                <w:sz w:val="20"/>
                <w:szCs w:val="20"/>
                <w:lang w:val="en-GB"/>
              </w:rPr>
              <w:t>7.4</w:t>
            </w:r>
          </w:p>
        </w:tc>
        <w:tc>
          <w:tcPr>
            <w:tcW w:w="115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87"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8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1056" w:type="dxa"/>
          </w:tcPr>
          <w:p w:rsidR="008B7C4C" w:rsidRPr="00D61D20" w:rsidRDefault="008B7C4C" w:rsidP="008B7C4C">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0.04</w:t>
            </w:r>
          </w:p>
        </w:tc>
      </w:tr>
      <w:tr w:rsidR="008B7C4C" w:rsidRPr="00D61D20" w:rsidTr="008B7C4C">
        <w:tc>
          <w:tcPr>
            <w:tcW w:w="456" w:type="dxa"/>
          </w:tcPr>
          <w:p w:rsidR="008B7C4C" w:rsidRPr="00D61D20" w:rsidRDefault="008B7C4C" w:rsidP="008B7C4C">
            <w:pPr>
              <w:rPr>
                <w:rFonts w:ascii="Times New Roman" w:eastAsia="Calibri" w:hAnsi="Times New Roman" w:cs="Times New Roman"/>
                <w:b/>
                <w:bCs/>
                <w:sz w:val="20"/>
                <w:szCs w:val="20"/>
                <w:lang w:val="en-GB"/>
              </w:rPr>
            </w:pPr>
          </w:p>
        </w:tc>
        <w:tc>
          <w:tcPr>
            <w:tcW w:w="1828" w:type="dxa"/>
          </w:tcPr>
          <w:p w:rsidR="008B7C4C" w:rsidRPr="00D61D20" w:rsidRDefault="008B7C4C" w:rsidP="008B7C4C">
            <w:pPr>
              <w:rPr>
                <w:rFonts w:ascii="Times New Roman" w:eastAsia="Calibri" w:hAnsi="Times New Roman" w:cs="Times New Roman"/>
                <w:b/>
                <w:bCs/>
                <w:sz w:val="20"/>
                <w:szCs w:val="20"/>
                <w:lang w:val="en-GB"/>
              </w:rPr>
            </w:pPr>
          </w:p>
        </w:tc>
        <w:tc>
          <w:tcPr>
            <w:tcW w:w="712"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61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7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9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03" w:type="dxa"/>
          </w:tcPr>
          <w:p w:rsidR="008B7C4C" w:rsidRPr="00D61D20" w:rsidRDefault="008B7C4C" w:rsidP="008B7C4C">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2.9</w:t>
            </w:r>
          </w:p>
        </w:tc>
        <w:tc>
          <w:tcPr>
            <w:tcW w:w="115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87"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8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105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r>
    </w:tbl>
    <w:p w:rsidR="00E80D06" w:rsidRDefault="00E80D06" w:rsidP="00832B47">
      <w:pPr>
        <w:jc w:val="both"/>
        <w:rPr>
          <w:rFonts w:ascii="Times New Roman" w:hAnsi="Times New Roman" w:cs="Times New Roman"/>
          <w:sz w:val="24"/>
          <w:szCs w:val="24"/>
        </w:rPr>
      </w:pP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The results of the study, as presented in Table </w:t>
      </w:r>
      <w:r>
        <w:rPr>
          <w:rFonts w:ascii="Times New Roman" w:hAnsi="Times New Roman" w:cs="Times New Roman"/>
          <w:sz w:val="24"/>
          <w:szCs w:val="24"/>
        </w:rPr>
        <w:t>3,</w:t>
      </w:r>
      <w:r w:rsidRPr="00ED05DE">
        <w:rPr>
          <w:rFonts w:ascii="Times New Roman" w:hAnsi="Times New Roman" w:cs="Times New Roman"/>
          <w:sz w:val="24"/>
          <w:szCs w:val="24"/>
        </w:rPr>
        <w:t xml:space="preserve"> highlight several key challenges that hinder the effective utilization of inland waterways for disaster response in the study area. The most significant challenge identified was security threats, including piracy and theft, which ranked first with a mean score of 3.0. This finding aligns with the observations of </w:t>
      </w:r>
      <w:r w:rsidR="00454175" w:rsidRPr="00454175">
        <w:rPr>
          <w:rFonts w:ascii="Times New Roman" w:hAnsi="Times New Roman" w:cs="Times New Roman"/>
          <w:sz w:val="24"/>
          <w:szCs w:val="24"/>
        </w:rPr>
        <w:t>Nwoye</w:t>
      </w:r>
      <w:r w:rsidRPr="00ED05DE">
        <w:rPr>
          <w:rFonts w:ascii="Times New Roman" w:hAnsi="Times New Roman" w:cs="Times New Roman"/>
          <w:sz w:val="24"/>
          <w:szCs w:val="24"/>
        </w:rPr>
        <w:t xml:space="preserve"> et al. (20</w:t>
      </w:r>
      <w:r w:rsidR="00454175">
        <w:rPr>
          <w:rFonts w:ascii="Times New Roman" w:hAnsi="Times New Roman" w:cs="Times New Roman"/>
          <w:sz w:val="24"/>
          <w:szCs w:val="24"/>
        </w:rPr>
        <w:t>19</w:t>
      </w:r>
      <w:r w:rsidRPr="00ED05DE">
        <w:rPr>
          <w:rFonts w:ascii="Times New Roman" w:hAnsi="Times New Roman" w:cs="Times New Roman"/>
          <w:sz w:val="24"/>
          <w:szCs w:val="24"/>
        </w:rPr>
        <w:t>), who noted that maritime insecurity remains a persistent threat to inland waterway transportation in Nigeria, particularly in the Niger Delta region. Security concerns not only endanger lives and property but also deter both private and government operators from deploying vessels for emergency relief operations.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The second-ranked challenge, with the same mean value of 3.0, was inadequate funding for inland water transport during disaster situations. This corroborates the assertion by </w:t>
      </w:r>
      <w:proofErr w:type="spellStart"/>
      <w:r w:rsidR="00E15BC4" w:rsidRPr="00E15BC4">
        <w:rPr>
          <w:rFonts w:ascii="Times New Roman" w:hAnsi="Times New Roman" w:cs="Times New Roman"/>
          <w:sz w:val="24"/>
          <w:szCs w:val="24"/>
        </w:rPr>
        <w:t>Amamilo</w:t>
      </w:r>
      <w:proofErr w:type="spellEnd"/>
      <w:r w:rsidR="00E15BC4" w:rsidRPr="00E15BC4">
        <w:rPr>
          <w:rFonts w:ascii="Times New Roman" w:hAnsi="Times New Roman" w:cs="Times New Roman"/>
          <w:sz w:val="24"/>
          <w:szCs w:val="24"/>
        </w:rPr>
        <w:t xml:space="preserve"> </w:t>
      </w:r>
      <w:r w:rsidR="00E15BC4">
        <w:rPr>
          <w:rFonts w:ascii="Times New Roman" w:hAnsi="Times New Roman" w:cs="Times New Roman"/>
          <w:sz w:val="24"/>
          <w:szCs w:val="24"/>
        </w:rPr>
        <w:t>and</w:t>
      </w:r>
      <w:r w:rsidR="00E15BC4" w:rsidRPr="00E15BC4">
        <w:rPr>
          <w:rFonts w:ascii="Times New Roman" w:hAnsi="Times New Roman" w:cs="Times New Roman"/>
          <w:sz w:val="24"/>
          <w:szCs w:val="24"/>
        </w:rPr>
        <w:t xml:space="preserve"> </w:t>
      </w:r>
      <w:proofErr w:type="spellStart"/>
      <w:r w:rsidR="00E15BC4" w:rsidRPr="00E15BC4">
        <w:rPr>
          <w:rFonts w:ascii="Times New Roman" w:hAnsi="Times New Roman" w:cs="Times New Roman"/>
          <w:sz w:val="24"/>
          <w:szCs w:val="24"/>
        </w:rPr>
        <w:t>Emenike</w:t>
      </w:r>
      <w:proofErr w:type="spellEnd"/>
      <w:r w:rsidR="00E15BC4" w:rsidRPr="00E15BC4">
        <w:rPr>
          <w:rFonts w:ascii="Times New Roman" w:hAnsi="Times New Roman" w:cs="Times New Roman"/>
          <w:sz w:val="24"/>
          <w:szCs w:val="24"/>
        </w:rPr>
        <w:t xml:space="preserve">, </w:t>
      </w:r>
      <w:r w:rsidR="00E15BC4">
        <w:rPr>
          <w:rFonts w:ascii="Times New Roman" w:hAnsi="Times New Roman" w:cs="Times New Roman"/>
          <w:sz w:val="24"/>
          <w:szCs w:val="24"/>
        </w:rPr>
        <w:t>(</w:t>
      </w:r>
      <w:r w:rsidR="00E15BC4" w:rsidRPr="00E15BC4">
        <w:rPr>
          <w:rFonts w:ascii="Times New Roman" w:hAnsi="Times New Roman" w:cs="Times New Roman"/>
          <w:sz w:val="24"/>
          <w:szCs w:val="24"/>
        </w:rPr>
        <w:t>2021)</w:t>
      </w:r>
      <w:r w:rsidRPr="00ED05DE">
        <w:rPr>
          <w:rFonts w:ascii="Times New Roman" w:hAnsi="Times New Roman" w:cs="Times New Roman"/>
          <w:sz w:val="24"/>
          <w:szCs w:val="24"/>
        </w:rPr>
        <w:t xml:space="preserve"> that insufficient budgetary allocations to water transport infrastructure and disaster management agencies significantly impair rapid and large-scale responses in emergency situations. Funding gaps affect vessel availability, maintenance, and the provision of emergency logistics, thereby prolonging the time required to reach affected communities.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Insufficient training for water transport operators on emergency response procedures emerged as the third-ranked challenge (mean = 2.9). According to </w:t>
      </w:r>
      <w:proofErr w:type="spellStart"/>
      <w:r w:rsidR="00454175" w:rsidRPr="00454175">
        <w:rPr>
          <w:rFonts w:ascii="Times New Roman" w:hAnsi="Times New Roman" w:cs="Times New Roman"/>
          <w:sz w:val="24"/>
          <w:szCs w:val="24"/>
        </w:rPr>
        <w:t>Ladele</w:t>
      </w:r>
      <w:proofErr w:type="spellEnd"/>
      <w:r w:rsidR="00454175">
        <w:rPr>
          <w:rFonts w:ascii="Times New Roman" w:hAnsi="Times New Roman" w:cs="Times New Roman"/>
          <w:sz w:val="24"/>
          <w:szCs w:val="24"/>
        </w:rPr>
        <w:t xml:space="preserve"> </w:t>
      </w:r>
      <w:r w:rsidRPr="00ED05DE">
        <w:rPr>
          <w:rFonts w:ascii="Times New Roman" w:hAnsi="Times New Roman" w:cs="Times New Roman"/>
          <w:sz w:val="24"/>
          <w:szCs w:val="24"/>
        </w:rPr>
        <w:t>(202</w:t>
      </w:r>
      <w:r w:rsidR="00454175">
        <w:rPr>
          <w:rFonts w:ascii="Times New Roman" w:hAnsi="Times New Roman" w:cs="Times New Roman"/>
          <w:sz w:val="24"/>
          <w:szCs w:val="24"/>
        </w:rPr>
        <w:t>5</w:t>
      </w:r>
      <w:r w:rsidRPr="00ED05DE">
        <w:rPr>
          <w:rFonts w:ascii="Times New Roman" w:hAnsi="Times New Roman" w:cs="Times New Roman"/>
          <w:sz w:val="24"/>
          <w:szCs w:val="24"/>
        </w:rPr>
        <w:t>), operator training is crucial for ensuring safety, efficiency, and coordination during high-pressure situations such as flood evacuations or supply deliveries. The lack of such training reduces the operational readiness of transport crews and increases the risk of accidents.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lastRenderedPageBreak/>
        <w:t xml:space="preserve">The fourth-ranked challenge (mean = 2.8) was poor infrastructure, such as inadequate docking facilities, poorly maintained jetties, and unmarked navigation channels. These infrastructural deficits limit the speed, capacity, and safety of inland waterway operations during emergencies. This finding agrees with </w:t>
      </w:r>
      <w:proofErr w:type="spellStart"/>
      <w:r w:rsidR="00F777E5" w:rsidRPr="00F777E5">
        <w:rPr>
          <w:rFonts w:ascii="Times New Roman" w:hAnsi="Times New Roman" w:cs="Times New Roman"/>
          <w:sz w:val="24"/>
          <w:szCs w:val="24"/>
        </w:rPr>
        <w:t>Isukuru</w:t>
      </w:r>
      <w:proofErr w:type="spellEnd"/>
      <w:r w:rsidR="00F777E5">
        <w:rPr>
          <w:rFonts w:ascii="Times New Roman" w:hAnsi="Times New Roman" w:cs="Times New Roman"/>
          <w:sz w:val="24"/>
          <w:szCs w:val="24"/>
        </w:rPr>
        <w:t xml:space="preserve"> et al, </w:t>
      </w:r>
      <w:r w:rsidRPr="00ED05DE">
        <w:rPr>
          <w:rFonts w:ascii="Times New Roman" w:hAnsi="Times New Roman" w:cs="Times New Roman"/>
          <w:sz w:val="24"/>
          <w:szCs w:val="24"/>
        </w:rPr>
        <w:t>(20</w:t>
      </w:r>
      <w:r w:rsidR="00F777E5">
        <w:rPr>
          <w:rFonts w:ascii="Times New Roman" w:hAnsi="Times New Roman" w:cs="Times New Roman"/>
          <w:sz w:val="24"/>
          <w:szCs w:val="24"/>
        </w:rPr>
        <w:t>24</w:t>
      </w:r>
      <w:r w:rsidRPr="00ED05DE">
        <w:rPr>
          <w:rFonts w:ascii="Times New Roman" w:hAnsi="Times New Roman" w:cs="Times New Roman"/>
          <w:sz w:val="24"/>
          <w:szCs w:val="24"/>
        </w:rPr>
        <w:t>), who emphasized that most Nigerian inland waterway routes lack the physical infrastructure necessary to support sustained disaster relief efforts.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Lastly, the lack of well-coordinated policies affecting the efficiency of inland water transport during emergencies also scored a mean of 2.8. This reflects the institutional and governance gaps identified by </w:t>
      </w:r>
      <w:proofErr w:type="spellStart"/>
      <w:r w:rsidR="00F777E5">
        <w:rPr>
          <w:rFonts w:ascii="Times New Roman" w:hAnsi="Times New Roman" w:cs="Times New Roman"/>
          <w:sz w:val="24"/>
          <w:szCs w:val="24"/>
        </w:rPr>
        <w:t>Ogboeli</w:t>
      </w:r>
      <w:proofErr w:type="spellEnd"/>
      <w:r w:rsidRPr="00ED05DE">
        <w:rPr>
          <w:rFonts w:ascii="Times New Roman" w:hAnsi="Times New Roman" w:cs="Times New Roman"/>
          <w:sz w:val="24"/>
          <w:szCs w:val="24"/>
        </w:rPr>
        <w:t xml:space="preserve"> et al. (202</w:t>
      </w:r>
      <w:r w:rsidR="00F777E5">
        <w:rPr>
          <w:rFonts w:ascii="Times New Roman" w:hAnsi="Times New Roman" w:cs="Times New Roman"/>
          <w:sz w:val="24"/>
          <w:szCs w:val="24"/>
        </w:rPr>
        <w:t>4</w:t>
      </w:r>
      <w:r w:rsidRPr="00ED05DE">
        <w:rPr>
          <w:rFonts w:ascii="Times New Roman" w:hAnsi="Times New Roman" w:cs="Times New Roman"/>
          <w:sz w:val="24"/>
          <w:szCs w:val="24"/>
        </w:rPr>
        <w:t>), where overlapping responsibilities, bureaucratic bottlenecks, and poor inter-agency communication hinder timely responses to disasters.</w:t>
      </w:r>
    </w:p>
    <w:p w:rsidR="007770C1" w:rsidRDefault="00ED05DE" w:rsidP="00832B47">
      <w:pPr>
        <w:jc w:val="both"/>
        <w:rPr>
          <w:rFonts w:ascii="Times New Roman" w:hAnsi="Times New Roman" w:cs="Times New Roman"/>
          <w:sz w:val="24"/>
          <w:szCs w:val="24"/>
        </w:rPr>
      </w:pPr>
      <w:r w:rsidRPr="00ED05DE">
        <w:rPr>
          <w:rFonts w:ascii="Times New Roman" w:hAnsi="Times New Roman" w:cs="Times New Roman"/>
          <w:sz w:val="24"/>
          <w:szCs w:val="24"/>
        </w:rPr>
        <w:t>Overall, the findings underscore that while inland waterways have the potential to serve as critical disaster response corridors, their effectiveness is undermined by a combination of security, financial, infrastructural, capacity-building, and policy challenges. Addressing these bottlenecks will require integrated interventions, including enhanced maritime security operations, increased funding, targeted training programs, infrastructure upgrades, and streamlined inter-agency coordination frameworks. These measures will not only improve inland waterway disaster response capacity but also contribute to sustainable maritime transport development in Nigeria.</w:t>
      </w:r>
    </w:p>
    <w:p w:rsidR="00B52831" w:rsidRDefault="00B52831" w:rsidP="00832B47">
      <w:pPr>
        <w:jc w:val="both"/>
        <w:rPr>
          <w:rFonts w:ascii="Times New Roman" w:hAnsi="Times New Roman" w:cs="Times New Roman"/>
          <w:b/>
          <w:bCs/>
          <w:sz w:val="24"/>
          <w:szCs w:val="24"/>
        </w:rPr>
      </w:pPr>
      <w:r w:rsidRPr="00C6266F">
        <w:rPr>
          <w:rFonts w:ascii="Times New Roman" w:hAnsi="Times New Roman" w:cs="Times New Roman"/>
          <w:b/>
          <w:bCs/>
          <w:sz w:val="24"/>
          <w:szCs w:val="24"/>
        </w:rPr>
        <w:t>Correlation Analysis</w:t>
      </w:r>
    </w:p>
    <w:p w:rsidR="004B5305" w:rsidRDefault="004B5305" w:rsidP="00832B47">
      <w:pPr>
        <w:jc w:val="both"/>
        <w:rPr>
          <w:rFonts w:ascii="Times New Roman" w:hAnsi="Times New Roman" w:cs="Times New Roman"/>
          <w:b/>
          <w:bCs/>
          <w:sz w:val="24"/>
          <w:szCs w:val="24"/>
        </w:rPr>
      </w:pPr>
      <w:r w:rsidRPr="004B5305">
        <w:rPr>
          <w:rFonts w:ascii="Times New Roman" w:hAnsi="Times New Roman" w:cs="Times New Roman"/>
          <w:b/>
          <w:bCs/>
          <w:sz w:val="24"/>
          <w:szCs w:val="24"/>
        </w:rPr>
        <w:t>Pearson Correlation Variables</w:t>
      </w:r>
    </w:p>
    <w:p w:rsidR="004B5305" w:rsidRDefault="004B5305" w:rsidP="00832B47">
      <w:pPr>
        <w:jc w:val="both"/>
        <w:rPr>
          <w:rFonts w:ascii="Times New Roman" w:hAnsi="Times New Roman" w:cs="Times New Roman"/>
          <w:sz w:val="24"/>
          <w:szCs w:val="24"/>
        </w:rPr>
      </w:pPr>
      <w:r w:rsidRPr="004B5305">
        <w:rPr>
          <w:rFonts w:ascii="Times New Roman" w:hAnsi="Times New Roman" w:cs="Times New Roman"/>
          <w:sz w:val="24"/>
          <w:szCs w:val="24"/>
        </w:rPr>
        <w:t>Independent Variable (X): Inland Waterway Spatial Characteristics</w:t>
      </w:r>
      <w:r>
        <w:rPr>
          <w:rFonts w:ascii="Times New Roman" w:hAnsi="Times New Roman" w:cs="Times New Roman"/>
          <w:sz w:val="24"/>
          <w:szCs w:val="24"/>
        </w:rPr>
        <w:t xml:space="preserve"> (</w:t>
      </w:r>
      <w:r w:rsidRPr="004B5305">
        <w:rPr>
          <w:rFonts w:ascii="Times New Roman" w:hAnsi="Times New Roman" w:cs="Times New Roman"/>
          <w:sz w:val="24"/>
          <w:szCs w:val="24"/>
        </w:rPr>
        <w:t>Proximity to disaster-prone communities</w:t>
      </w:r>
      <w:r>
        <w:rPr>
          <w:rFonts w:ascii="Times New Roman" w:hAnsi="Times New Roman" w:cs="Times New Roman"/>
          <w:sz w:val="24"/>
          <w:szCs w:val="24"/>
        </w:rPr>
        <w:t xml:space="preserve">, </w:t>
      </w:r>
      <w:r w:rsidRPr="004B5305">
        <w:rPr>
          <w:rFonts w:ascii="Times New Roman" w:hAnsi="Times New Roman" w:cs="Times New Roman"/>
          <w:sz w:val="24"/>
          <w:szCs w:val="24"/>
        </w:rPr>
        <w:t>Waterway connectivity</w:t>
      </w:r>
    </w:p>
    <w:p w:rsidR="004B5305" w:rsidRDefault="004B5305" w:rsidP="00832B47">
      <w:pPr>
        <w:jc w:val="both"/>
        <w:rPr>
          <w:rFonts w:ascii="Times New Roman" w:hAnsi="Times New Roman" w:cs="Times New Roman"/>
          <w:sz w:val="24"/>
          <w:szCs w:val="24"/>
        </w:rPr>
      </w:pPr>
      <w:r w:rsidRPr="004B5305">
        <w:rPr>
          <w:rFonts w:ascii="Times New Roman" w:hAnsi="Times New Roman" w:cs="Times New Roman"/>
          <w:sz w:val="24"/>
          <w:szCs w:val="24"/>
        </w:rPr>
        <w:t>Dependent Variable (Y): Disaster Response &amp; Coordination Efficiency</w:t>
      </w:r>
      <w:r>
        <w:rPr>
          <w:rFonts w:ascii="Times New Roman" w:hAnsi="Times New Roman" w:cs="Times New Roman"/>
          <w:sz w:val="24"/>
          <w:szCs w:val="24"/>
        </w:rPr>
        <w:t xml:space="preserve"> (</w:t>
      </w:r>
      <w:r w:rsidRPr="004B5305">
        <w:rPr>
          <w:rFonts w:ascii="Times New Roman" w:hAnsi="Times New Roman" w:cs="Times New Roman"/>
          <w:sz w:val="24"/>
          <w:szCs w:val="24"/>
        </w:rPr>
        <w:t>Response time to impacted communities</w:t>
      </w:r>
      <w:r>
        <w:rPr>
          <w:rFonts w:ascii="Times New Roman" w:hAnsi="Times New Roman" w:cs="Times New Roman"/>
          <w:sz w:val="24"/>
          <w:szCs w:val="24"/>
        </w:rPr>
        <w:t xml:space="preserve">, </w:t>
      </w:r>
      <w:r w:rsidRPr="004B5305">
        <w:rPr>
          <w:rFonts w:ascii="Times New Roman" w:hAnsi="Times New Roman" w:cs="Times New Roman"/>
          <w:sz w:val="24"/>
          <w:szCs w:val="24"/>
        </w:rPr>
        <w:t>Victim evacuation speed</w:t>
      </w:r>
      <w:r>
        <w:rPr>
          <w:rFonts w:ascii="Times New Roman" w:hAnsi="Times New Roman" w:cs="Times New Roman"/>
          <w:sz w:val="24"/>
          <w:szCs w:val="24"/>
        </w:rPr>
        <w:t xml:space="preserve">, </w:t>
      </w:r>
      <w:r w:rsidRPr="004B5305">
        <w:rPr>
          <w:rFonts w:ascii="Times New Roman" w:hAnsi="Times New Roman" w:cs="Times New Roman"/>
          <w:sz w:val="24"/>
          <w:szCs w:val="24"/>
        </w:rPr>
        <w:t>Relief-material delivery efficiency</w:t>
      </w:r>
      <w:r>
        <w:rPr>
          <w:rFonts w:ascii="Times New Roman" w:hAnsi="Times New Roman" w:cs="Times New Roman"/>
          <w:sz w:val="24"/>
          <w:szCs w:val="24"/>
        </w:rPr>
        <w:t>)</w:t>
      </w:r>
    </w:p>
    <w:p w:rsidR="00143AF7" w:rsidRDefault="00CB2AC4" w:rsidP="00143AF7">
      <w:pPr>
        <w:jc w:val="both"/>
        <w:rPr>
          <w:rFonts w:ascii="Times New Roman" w:hAnsi="Times New Roman" w:cs="Times New Roman"/>
          <w:b/>
          <w:bCs/>
          <w:sz w:val="24"/>
          <w:szCs w:val="24"/>
        </w:rPr>
      </w:pPr>
      <w:r>
        <w:rPr>
          <w:rFonts w:ascii="Times New Roman" w:hAnsi="Times New Roman" w:cs="Times New Roman"/>
          <w:sz w:val="24"/>
          <w:szCs w:val="24"/>
        </w:rPr>
        <w:t>Table 4.</w:t>
      </w:r>
      <w:r w:rsidR="00143AF7" w:rsidRPr="00143AF7">
        <w:rPr>
          <w:rFonts w:ascii="Times New Roman" w:hAnsi="Times New Roman" w:cs="Times New Roman"/>
          <w:b/>
          <w:bCs/>
          <w:sz w:val="24"/>
          <w:szCs w:val="24"/>
        </w:rPr>
        <w:t xml:space="preserve"> </w:t>
      </w:r>
      <w:r w:rsidR="00143AF7">
        <w:rPr>
          <w:rFonts w:ascii="Times New Roman" w:hAnsi="Times New Roman" w:cs="Times New Roman"/>
          <w:b/>
          <w:bCs/>
          <w:sz w:val="24"/>
          <w:szCs w:val="24"/>
        </w:rPr>
        <w:t xml:space="preserve"> Variables for </w:t>
      </w:r>
      <w:r w:rsidR="00143AF7" w:rsidRPr="004B5305">
        <w:rPr>
          <w:rFonts w:ascii="Times New Roman" w:hAnsi="Times New Roman" w:cs="Times New Roman"/>
          <w:b/>
          <w:bCs/>
          <w:sz w:val="24"/>
          <w:szCs w:val="24"/>
        </w:rPr>
        <w:t xml:space="preserve">Pearson Correlation </w:t>
      </w:r>
    </w:p>
    <w:p w:rsidR="004B5305" w:rsidRPr="004B5305" w:rsidRDefault="004B5305" w:rsidP="00832B47">
      <w:pPr>
        <w:jc w:val="both"/>
        <w:rPr>
          <w:rFonts w:ascii="Times New Roman" w:hAnsi="Times New Roman" w:cs="Times New Roman"/>
          <w:sz w:val="24"/>
          <w:szCs w:val="24"/>
        </w:rPr>
      </w:pPr>
    </w:p>
    <w:tbl>
      <w:tblPr>
        <w:tblStyle w:val="TableGrid"/>
        <w:tblW w:w="9923" w:type="dxa"/>
        <w:tblInd w:w="-147" w:type="dxa"/>
        <w:tblLook w:val="04A0" w:firstRow="1" w:lastRow="0" w:firstColumn="1" w:lastColumn="0" w:noHBand="0" w:noVBand="1"/>
      </w:tblPr>
      <w:tblGrid>
        <w:gridCol w:w="2552"/>
        <w:gridCol w:w="709"/>
        <w:gridCol w:w="850"/>
        <w:gridCol w:w="1134"/>
        <w:gridCol w:w="1134"/>
        <w:gridCol w:w="1418"/>
        <w:gridCol w:w="2126"/>
      </w:tblGrid>
      <w:tr w:rsidR="00C6266F" w:rsidTr="00C6266F">
        <w:tc>
          <w:tcPr>
            <w:tcW w:w="2552"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Variables</w:t>
            </w:r>
          </w:p>
        </w:tc>
        <w:tc>
          <w:tcPr>
            <w:tcW w:w="709"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N</w:t>
            </w:r>
          </w:p>
        </w:tc>
        <w:tc>
          <w:tcPr>
            <w:tcW w:w="850"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Mean</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Std. Dev.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Pearson r</w:t>
            </w:r>
          </w:p>
        </w:tc>
        <w:tc>
          <w:tcPr>
            <w:tcW w:w="1418"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Strength</w:t>
            </w:r>
          </w:p>
        </w:tc>
        <w:tc>
          <w:tcPr>
            <w:tcW w:w="2126"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Interpretation</w:t>
            </w:r>
          </w:p>
        </w:tc>
      </w:tr>
      <w:tr w:rsidR="00C6266F" w:rsidTr="00C6266F">
        <w:tc>
          <w:tcPr>
            <w:tcW w:w="2552"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Inland Waterway Network Contributions</w:t>
            </w:r>
          </w:p>
        </w:tc>
        <w:tc>
          <w:tcPr>
            <w:tcW w:w="709"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2.93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0.27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0.68</w:t>
            </w:r>
          </w:p>
        </w:tc>
        <w:tc>
          <w:tcPr>
            <w:tcW w:w="1418"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Moderately Strong </w:t>
            </w:r>
          </w:p>
        </w:tc>
        <w:tc>
          <w:tcPr>
            <w:tcW w:w="2126"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Waterways support disaster response </w:t>
            </w:r>
          </w:p>
        </w:tc>
      </w:tr>
      <w:tr w:rsidR="00C6266F" w:rsidTr="00C6266F">
        <w:tc>
          <w:tcPr>
            <w:tcW w:w="2552"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Inland Waterway Operational Challenges</w:t>
            </w:r>
          </w:p>
        </w:tc>
        <w:tc>
          <w:tcPr>
            <w:tcW w:w="709"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2.90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0.08</w:t>
            </w:r>
          </w:p>
        </w:tc>
        <w:tc>
          <w:tcPr>
            <w:tcW w:w="1134"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418"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 xml:space="preserve">      - </w:t>
            </w:r>
          </w:p>
        </w:tc>
        <w:tc>
          <w:tcPr>
            <w:tcW w:w="2126"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C6266F" w:rsidRDefault="00C6266F" w:rsidP="00C6266F">
      <w:pPr>
        <w:jc w:val="both"/>
        <w:rPr>
          <w:rFonts w:ascii="Times New Roman" w:hAnsi="Times New Roman" w:cs="Times New Roman"/>
          <w:sz w:val="24"/>
          <w:szCs w:val="24"/>
        </w:rPr>
      </w:pPr>
    </w:p>
    <w:p w:rsidR="00B52831" w:rsidRDefault="004B5305" w:rsidP="00832B47">
      <w:pPr>
        <w:jc w:val="both"/>
        <w:rPr>
          <w:rFonts w:ascii="Times New Roman" w:hAnsi="Times New Roman" w:cs="Times New Roman"/>
          <w:sz w:val="24"/>
          <w:szCs w:val="24"/>
        </w:rPr>
      </w:pPr>
      <w:r w:rsidRPr="004B5305">
        <w:rPr>
          <w:rFonts w:ascii="Times New Roman" w:hAnsi="Times New Roman" w:cs="Times New Roman"/>
          <w:sz w:val="24"/>
          <w:szCs w:val="24"/>
        </w:rPr>
        <w:t xml:space="preserve">A Pearson </w:t>
      </w:r>
      <w:r>
        <w:rPr>
          <w:rFonts w:ascii="Times New Roman" w:hAnsi="Times New Roman" w:cs="Times New Roman"/>
          <w:sz w:val="24"/>
          <w:szCs w:val="24"/>
        </w:rPr>
        <w:t>Product-Moment</w:t>
      </w:r>
      <w:r w:rsidRPr="004B5305">
        <w:rPr>
          <w:rFonts w:ascii="Times New Roman" w:hAnsi="Times New Roman" w:cs="Times New Roman"/>
          <w:sz w:val="24"/>
          <w:szCs w:val="24"/>
        </w:rPr>
        <w:t xml:space="preserve"> Correlation (PPMC) was conducted to determine the relationship between inland waterway network characteristics and disaster-response efficiency in Rivers State. The result showed a moderately strong positive relationship (r = 0.68), indicating that improved waterway accessibility, connectivity, and navigability are associated with enhanced disaster-response and relief delivery to affected communities. This demonstrates that inland waterways play a significant role in emergency logistics where road networks are inaccessible.</w:t>
      </w:r>
    </w:p>
    <w:p w:rsidR="007770C1" w:rsidRPr="00C91576" w:rsidRDefault="00ED05DE" w:rsidP="00832B47">
      <w:pPr>
        <w:jc w:val="both"/>
        <w:rPr>
          <w:rFonts w:ascii="Times New Roman" w:hAnsi="Times New Roman" w:cs="Times New Roman"/>
          <w:b/>
          <w:bCs/>
          <w:sz w:val="24"/>
          <w:szCs w:val="24"/>
        </w:rPr>
      </w:pPr>
      <w:r w:rsidRPr="00C91576">
        <w:rPr>
          <w:rFonts w:ascii="Times New Roman" w:hAnsi="Times New Roman" w:cs="Times New Roman"/>
          <w:b/>
          <w:bCs/>
          <w:sz w:val="24"/>
          <w:szCs w:val="24"/>
        </w:rPr>
        <w:lastRenderedPageBreak/>
        <w:t xml:space="preserve">Conclusion </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 xml:space="preserve">This study examined how the spatial arrangement of inland waterway networks supports disaster response and relief operations across Rivers State, Nigeria. The findings show that many riverine communities rely heavily on water transport routes linked to major terminals in Port Harcourt, including </w:t>
      </w:r>
      <w:proofErr w:type="spellStart"/>
      <w:r w:rsidRPr="00C91576">
        <w:rPr>
          <w:rFonts w:ascii="Times New Roman" w:hAnsi="Times New Roman" w:cs="Times New Roman"/>
          <w:sz w:val="24"/>
          <w:szCs w:val="24"/>
        </w:rPr>
        <w:t>Nembe</w:t>
      </w:r>
      <w:proofErr w:type="spellEnd"/>
      <w:r w:rsidRPr="00C91576">
        <w:rPr>
          <w:rFonts w:ascii="Times New Roman" w:hAnsi="Times New Roman" w:cs="Times New Roman"/>
          <w:sz w:val="24"/>
          <w:szCs w:val="24"/>
        </w:rPr>
        <w:t xml:space="preserve"> Waterside, </w:t>
      </w:r>
      <w:proofErr w:type="spellStart"/>
      <w:r w:rsidRPr="00C91576">
        <w:rPr>
          <w:rFonts w:ascii="Times New Roman" w:hAnsi="Times New Roman" w:cs="Times New Roman"/>
          <w:sz w:val="24"/>
          <w:szCs w:val="24"/>
        </w:rPr>
        <w:t>Abonnema</w:t>
      </w:r>
      <w:proofErr w:type="spellEnd"/>
      <w:r w:rsidRPr="00C91576">
        <w:rPr>
          <w:rFonts w:ascii="Times New Roman" w:hAnsi="Times New Roman" w:cs="Times New Roman"/>
          <w:sz w:val="24"/>
          <w:szCs w:val="24"/>
        </w:rPr>
        <w:t xml:space="preserve"> Wharf, Marine Base, </w:t>
      </w:r>
      <w:proofErr w:type="spellStart"/>
      <w:r w:rsidRPr="00C91576">
        <w:rPr>
          <w:rFonts w:ascii="Times New Roman" w:hAnsi="Times New Roman" w:cs="Times New Roman"/>
          <w:sz w:val="24"/>
          <w:szCs w:val="24"/>
        </w:rPr>
        <w:t>Iwofe</w:t>
      </w:r>
      <w:proofErr w:type="spellEnd"/>
      <w:r w:rsidRPr="00C91576">
        <w:rPr>
          <w:rFonts w:ascii="Times New Roman" w:hAnsi="Times New Roman" w:cs="Times New Roman"/>
          <w:sz w:val="24"/>
          <w:szCs w:val="24"/>
        </w:rPr>
        <w:t xml:space="preserve">, and </w:t>
      </w:r>
      <w:proofErr w:type="spellStart"/>
      <w:r w:rsidRPr="00C91576">
        <w:rPr>
          <w:rFonts w:ascii="Times New Roman" w:hAnsi="Times New Roman" w:cs="Times New Roman"/>
          <w:sz w:val="24"/>
          <w:szCs w:val="24"/>
        </w:rPr>
        <w:t>Abuloma</w:t>
      </w:r>
      <w:proofErr w:type="spellEnd"/>
      <w:r w:rsidRPr="00C91576">
        <w:rPr>
          <w:rFonts w:ascii="Times New Roman" w:hAnsi="Times New Roman" w:cs="Times New Roman"/>
          <w:sz w:val="24"/>
          <w:szCs w:val="24"/>
        </w:rPr>
        <w:t>. The proximity analysis revealed that several disaster-vulnerable settlements</w:t>
      </w:r>
      <w:r>
        <w:rPr>
          <w:rFonts w:ascii="Times New Roman" w:hAnsi="Times New Roman" w:cs="Times New Roman"/>
          <w:sz w:val="24"/>
          <w:szCs w:val="24"/>
        </w:rPr>
        <w:t xml:space="preserve"> </w:t>
      </w:r>
      <w:r w:rsidRPr="00C91576">
        <w:rPr>
          <w:rFonts w:ascii="Times New Roman" w:hAnsi="Times New Roman" w:cs="Times New Roman"/>
          <w:sz w:val="24"/>
          <w:szCs w:val="24"/>
        </w:rPr>
        <w:t xml:space="preserve">such as Bonny, </w:t>
      </w:r>
      <w:proofErr w:type="spellStart"/>
      <w:r w:rsidRPr="00C91576">
        <w:rPr>
          <w:rFonts w:ascii="Times New Roman" w:hAnsi="Times New Roman" w:cs="Times New Roman"/>
          <w:sz w:val="24"/>
          <w:szCs w:val="24"/>
        </w:rPr>
        <w:t>Okrika</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Bakana</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Kalio</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Ogbakiri</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Isiaka</w:t>
      </w:r>
      <w:proofErr w:type="spellEnd"/>
      <w:r w:rsidRPr="00C91576">
        <w:rPr>
          <w:rFonts w:ascii="Times New Roman" w:hAnsi="Times New Roman" w:cs="Times New Roman"/>
          <w:sz w:val="24"/>
          <w:szCs w:val="24"/>
        </w:rPr>
        <w:t xml:space="preserve">, and </w:t>
      </w:r>
      <w:proofErr w:type="spellStart"/>
      <w:r w:rsidRPr="00C91576">
        <w:rPr>
          <w:rFonts w:ascii="Times New Roman" w:hAnsi="Times New Roman" w:cs="Times New Roman"/>
          <w:sz w:val="24"/>
          <w:szCs w:val="24"/>
        </w:rPr>
        <w:t>Okujagu</w:t>
      </w:r>
      <w:proofErr w:type="spellEnd"/>
      <w:r>
        <w:rPr>
          <w:rFonts w:ascii="Times New Roman" w:hAnsi="Times New Roman" w:cs="Times New Roman"/>
          <w:sz w:val="24"/>
          <w:szCs w:val="24"/>
        </w:rPr>
        <w:t xml:space="preserve">, </w:t>
      </w:r>
      <w:r w:rsidRPr="00C91576">
        <w:rPr>
          <w:rFonts w:ascii="Times New Roman" w:hAnsi="Times New Roman" w:cs="Times New Roman"/>
          <w:sz w:val="24"/>
          <w:szCs w:val="24"/>
        </w:rPr>
        <w:t>are located within short and navigable distances of 10 to 53 km. This underscores the strategic value of inland waterways for reaching communities quickly, especially in situations where road networks are flooded, damaged, or completely impassable.</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Responses from the field further affirmed the importance of water transport during emergencies. The mean score of 2.93 from Table 2 shows strong public agreement that inland waterways play a crucial role in disaster management by enabling fast evacuation, ensuring timely distribution of relief materials, and connecting responders to otherwise isolated areas. Notably, the statement “Inland water transport helps in the quick evacuation of victims” was rated the highest, highlighting its central role during flood events and other crises.</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Despite these advantages, the study also identified notable barriers. The overall mean of 2.90 from Table 3 reflects widespread acknowledgment of challenges such as inadequate infrastructure, limited funding, insecurity along water routes, and insufficient training for boat operators. These issues continue to undermine the full potential of inland waterways during disaster operations.</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The Pearson Product–Moment Correlation analysis produced a coefficient of r = 0.68, signifying a moderately strong positive relationship between the benefits of inland waterways and the challenges affecting their use. This suggests that as reliance on waterways increases, the limitations also become more visible</w:t>
      </w:r>
      <w:r>
        <w:rPr>
          <w:rFonts w:ascii="Times New Roman" w:hAnsi="Times New Roman" w:cs="Times New Roman"/>
          <w:sz w:val="24"/>
          <w:szCs w:val="24"/>
        </w:rPr>
        <w:t xml:space="preserve">, </w:t>
      </w:r>
      <w:r w:rsidRPr="00C91576">
        <w:rPr>
          <w:rFonts w:ascii="Times New Roman" w:hAnsi="Times New Roman" w:cs="Times New Roman"/>
          <w:sz w:val="24"/>
          <w:szCs w:val="24"/>
        </w:rPr>
        <w:t>highlighting the need for concerted efforts to strengthen waterway infrastructure, improve coordination, and build operational capacity.</w:t>
      </w:r>
    </w:p>
    <w:p w:rsidR="007770C1"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In summary, this study demonstrates that inland waterways are not just useful but essential for effective disaster response and relief coordination in Rivers State, particularly for coastal and riverine communities that are difficult to reach by road. Enhancing infrastructure, improving security, providing modern rescue equipment, and upgrading policy frameworks will significantly boost the efficiency and resilience of the inland waterway system. Strengthening this network is key to achieving a faster, more reliable, and well-coordinated disaster management structure across the state.</w:t>
      </w:r>
    </w:p>
    <w:p w:rsidR="007770C1" w:rsidRPr="00C91576" w:rsidRDefault="00C91576" w:rsidP="00832B47">
      <w:pPr>
        <w:jc w:val="both"/>
        <w:rPr>
          <w:rFonts w:ascii="Times New Roman" w:hAnsi="Times New Roman" w:cs="Times New Roman"/>
          <w:b/>
          <w:bCs/>
          <w:sz w:val="24"/>
          <w:szCs w:val="24"/>
        </w:rPr>
      </w:pPr>
      <w:r w:rsidRPr="00C91576">
        <w:rPr>
          <w:rFonts w:ascii="Times New Roman" w:hAnsi="Times New Roman" w:cs="Times New Roman"/>
          <w:b/>
          <w:bCs/>
          <w:sz w:val="24"/>
          <w:szCs w:val="24"/>
        </w:rPr>
        <w:t>Recommendation</w:t>
      </w:r>
    </w:p>
    <w:p w:rsidR="00C91576" w:rsidRDefault="00C91576" w:rsidP="00832B47">
      <w:pPr>
        <w:jc w:val="both"/>
        <w:rPr>
          <w:rFonts w:ascii="Times New Roman" w:hAnsi="Times New Roman" w:cs="Times New Roman"/>
          <w:sz w:val="24"/>
          <w:szCs w:val="24"/>
        </w:rPr>
      </w:pPr>
      <w:r w:rsidRPr="00C91576">
        <w:rPr>
          <w:rFonts w:ascii="Times New Roman" w:hAnsi="Times New Roman" w:cs="Times New Roman"/>
          <w:sz w:val="24"/>
          <w:szCs w:val="24"/>
        </w:rPr>
        <w:t>Based on the findings of this study, the following recommendations are proposed to enhance the effectiveness of inland waterways for disaster response and relief coordination in Rivers State:</w:t>
      </w:r>
    </w:p>
    <w:p w:rsidR="007770C1"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Improve Infrastructure Along Waterways</w:t>
      </w:r>
      <w:r>
        <w:rPr>
          <w:rFonts w:ascii="Times New Roman" w:hAnsi="Times New Roman" w:cs="Times New Roman"/>
          <w:sz w:val="24"/>
          <w:szCs w:val="24"/>
        </w:rPr>
        <w:t xml:space="preserve">: </w:t>
      </w:r>
      <w:r w:rsidRPr="00C91576">
        <w:rPr>
          <w:rFonts w:ascii="Times New Roman" w:hAnsi="Times New Roman" w:cs="Times New Roman"/>
          <w:sz w:val="24"/>
          <w:szCs w:val="24"/>
        </w:rPr>
        <w:t>Upgrade ports, jetties, and landing facilities to ensure safe and efficient loading and off-loading of people and relief materials.</w:t>
      </w:r>
      <w:r>
        <w:rPr>
          <w:rFonts w:ascii="Times New Roman" w:hAnsi="Times New Roman" w:cs="Times New Roman"/>
          <w:sz w:val="24"/>
          <w:szCs w:val="24"/>
        </w:rPr>
        <w:t xml:space="preserve"> </w:t>
      </w:r>
      <w:r w:rsidRPr="00C91576">
        <w:rPr>
          <w:rFonts w:ascii="Times New Roman" w:hAnsi="Times New Roman" w:cs="Times New Roman"/>
          <w:sz w:val="24"/>
          <w:szCs w:val="24"/>
        </w:rPr>
        <w:t>Maintain navigable channels by regularly dredging and removing obstructions to support faster access to vulnerable communities</w:t>
      </w:r>
      <w:r>
        <w:rPr>
          <w:rFonts w:ascii="Times New Roman" w:hAnsi="Times New Roman" w:cs="Times New Roman"/>
          <w:sz w:val="24"/>
          <w:szCs w:val="24"/>
        </w:rPr>
        <w:t>.</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lastRenderedPageBreak/>
        <w:t>Enhance Security Measures</w:t>
      </w:r>
      <w:r>
        <w:rPr>
          <w:rFonts w:ascii="Times New Roman" w:hAnsi="Times New Roman" w:cs="Times New Roman"/>
          <w:sz w:val="24"/>
          <w:szCs w:val="24"/>
        </w:rPr>
        <w:t xml:space="preserve">: </w:t>
      </w:r>
      <w:r w:rsidRPr="00C91576">
        <w:rPr>
          <w:rFonts w:ascii="Times New Roman" w:hAnsi="Times New Roman" w:cs="Times New Roman"/>
          <w:sz w:val="24"/>
          <w:szCs w:val="24"/>
        </w:rPr>
        <w:t>Strengthen security along inland waterway routes to prevent theft, piracy, and other threats that could hinder emergency operations.</w:t>
      </w:r>
      <w:r>
        <w:rPr>
          <w:rFonts w:ascii="Times New Roman" w:hAnsi="Times New Roman" w:cs="Times New Roman"/>
          <w:sz w:val="24"/>
          <w:szCs w:val="24"/>
        </w:rPr>
        <w:t xml:space="preserve"> </w:t>
      </w:r>
      <w:r w:rsidRPr="00C91576">
        <w:rPr>
          <w:rFonts w:ascii="Times New Roman" w:hAnsi="Times New Roman" w:cs="Times New Roman"/>
          <w:sz w:val="24"/>
          <w:szCs w:val="24"/>
        </w:rPr>
        <w:t>Deploy trained personnel and monitoring systems to ensure the safety of passengers, relief materials, and rescue operators.</w:t>
      </w:r>
    </w:p>
    <w:p w:rsid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Provide Modern Equipment and Vessels</w:t>
      </w:r>
      <w:r>
        <w:rPr>
          <w:rFonts w:ascii="Times New Roman" w:hAnsi="Times New Roman" w:cs="Times New Roman"/>
          <w:sz w:val="24"/>
          <w:szCs w:val="24"/>
        </w:rPr>
        <w:t xml:space="preserve">: </w:t>
      </w:r>
      <w:r w:rsidRPr="00C91576">
        <w:rPr>
          <w:rFonts w:ascii="Times New Roman" w:hAnsi="Times New Roman" w:cs="Times New Roman"/>
          <w:sz w:val="24"/>
          <w:szCs w:val="24"/>
        </w:rPr>
        <w:t>Equip disaster response teams with modern boats, life-saving equipment, and communication devices for faster and safer operations.</w:t>
      </w:r>
      <w:r>
        <w:rPr>
          <w:rFonts w:ascii="Times New Roman" w:hAnsi="Times New Roman" w:cs="Times New Roman"/>
          <w:sz w:val="24"/>
          <w:szCs w:val="24"/>
        </w:rPr>
        <w:t xml:space="preserve"> </w:t>
      </w:r>
      <w:r w:rsidRPr="00C91576">
        <w:rPr>
          <w:rFonts w:ascii="Times New Roman" w:hAnsi="Times New Roman" w:cs="Times New Roman"/>
          <w:sz w:val="24"/>
          <w:szCs w:val="24"/>
        </w:rPr>
        <w:t>Encourage local authorities and private stakeholders to invest in durable and flood-resilient vessels.</w:t>
      </w:r>
    </w:p>
    <w:p w:rsid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Capacity Building and Training</w:t>
      </w:r>
      <w:r>
        <w:rPr>
          <w:rFonts w:ascii="Times New Roman" w:hAnsi="Times New Roman" w:cs="Times New Roman"/>
          <w:sz w:val="24"/>
          <w:szCs w:val="24"/>
        </w:rPr>
        <w:t xml:space="preserve">: </w:t>
      </w:r>
      <w:r w:rsidRPr="00C91576">
        <w:rPr>
          <w:rFonts w:ascii="Times New Roman" w:hAnsi="Times New Roman" w:cs="Times New Roman"/>
          <w:sz w:val="24"/>
          <w:szCs w:val="24"/>
        </w:rPr>
        <w:t>Organize regular training programs for water transport operators focused on disaster response, first aid, and emergency evacuation protocols.</w:t>
      </w:r>
      <w:r>
        <w:rPr>
          <w:rFonts w:ascii="Times New Roman" w:hAnsi="Times New Roman" w:cs="Times New Roman"/>
          <w:sz w:val="24"/>
          <w:szCs w:val="24"/>
        </w:rPr>
        <w:t xml:space="preserve"> </w:t>
      </w:r>
      <w:r w:rsidRPr="00C91576">
        <w:rPr>
          <w:rFonts w:ascii="Times New Roman" w:hAnsi="Times New Roman" w:cs="Times New Roman"/>
          <w:sz w:val="24"/>
          <w:szCs w:val="24"/>
        </w:rPr>
        <w:t>Promote awareness campaigns to educate communities on the use of waterways during emergencies.</w:t>
      </w:r>
    </w:p>
    <w:p w:rsidR="007770C1" w:rsidRDefault="00C91576" w:rsidP="00832B47">
      <w:pPr>
        <w:jc w:val="both"/>
        <w:rPr>
          <w:rFonts w:ascii="Times New Roman" w:hAnsi="Times New Roman" w:cs="Times New Roman"/>
          <w:sz w:val="24"/>
          <w:szCs w:val="24"/>
        </w:rPr>
      </w:pPr>
      <w:r w:rsidRPr="00C91576">
        <w:rPr>
          <w:rFonts w:ascii="Times New Roman" w:hAnsi="Times New Roman" w:cs="Times New Roman"/>
          <w:sz w:val="24"/>
          <w:szCs w:val="24"/>
        </w:rPr>
        <w:t>Encourage Community Participation</w:t>
      </w:r>
      <w:r>
        <w:rPr>
          <w:rFonts w:ascii="Times New Roman" w:hAnsi="Times New Roman" w:cs="Times New Roman"/>
          <w:sz w:val="24"/>
          <w:szCs w:val="24"/>
        </w:rPr>
        <w:t xml:space="preserve">: </w:t>
      </w:r>
      <w:r w:rsidRPr="00C91576">
        <w:rPr>
          <w:rFonts w:ascii="Times New Roman" w:hAnsi="Times New Roman" w:cs="Times New Roman"/>
          <w:sz w:val="24"/>
          <w:szCs w:val="24"/>
        </w:rPr>
        <w:t>Engage local communities in monitoring and maintaining inland waterway routes to ensure sustainability.</w:t>
      </w:r>
      <w:r>
        <w:rPr>
          <w:rFonts w:ascii="Times New Roman" w:hAnsi="Times New Roman" w:cs="Times New Roman"/>
          <w:sz w:val="24"/>
          <w:szCs w:val="24"/>
        </w:rPr>
        <w:t xml:space="preserve"> </w:t>
      </w:r>
      <w:r w:rsidRPr="00C91576">
        <w:rPr>
          <w:rFonts w:ascii="Times New Roman" w:hAnsi="Times New Roman" w:cs="Times New Roman"/>
          <w:sz w:val="24"/>
          <w:szCs w:val="24"/>
        </w:rPr>
        <w:t>Foster community-based disaster response committees that can mobilize quickly in emergencies.</w:t>
      </w:r>
    </w:p>
    <w:p w:rsidR="00C21CBB" w:rsidRPr="00C21CBB" w:rsidRDefault="00C21CBB" w:rsidP="00C21CBB">
      <w:pPr>
        <w:jc w:val="both"/>
        <w:rPr>
          <w:rFonts w:ascii="Times New Roman" w:hAnsi="Times New Roman" w:cs="Times New Roman"/>
          <w:b/>
          <w:sz w:val="24"/>
          <w:szCs w:val="24"/>
        </w:rPr>
      </w:pPr>
      <w:r w:rsidRPr="00C21CBB">
        <w:rPr>
          <w:rFonts w:ascii="Times New Roman" w:hAnsi="Times New Roman" w:cs="Times New Roman"/>
          <w:b/>
          <w:sz w:val="24"/>
          <w:szCs w:val="24"/>
        </w:rPr>
        <w:t>Disclaimer (Artificial intelligence)</w:t>
      </w:r>
    </w:p>
    <w:p w:rsidR="00C21CBB" w:rsidRDefault="00C21CBB" w:rsidP="00C21CBB">
      <w:pPr>
        <w:jc w:val="both"/>
        <w:rPr>
          <w:rFonts w:ascii="Times New Roman" w:hAnsi="Times New Roman" w:cs="Times New Roman"/>
          <w:sz w:val="24"/>
          <w:szCs w:val="24"/>
        </w:rPr>
      </w:pPr>
      <w:r w:rsidRPr="00C21CBB">
        <w:rPr>
          <w:rFonts w:ascii="Times New Roman" w:hAnsi="Times New Roman" w:cs="Times New Roman"/>
          <w:sz w:val="24"/>
          <w:szCs w:val="24"/>
        </w:rPr>
        <w:t>Author(s) hereby declare that NO generative AI technologies such as Large Language Models (</w:t>
      </w:r>
      <w:proofErr w:type="spellStart"/>
      <w:r w:rsidRPr="00C21CBB">
        <w:rPr>
          <w:rFonts w:ascii="Times New Roman" w:hAnsi="Times New Roman" w:cs="Times New Roman"/>
          <w:sz w:val="24"/>
          <w:szCs w:val="24"/>
        </w:rPr>
        <w:t>ChatGPT</w:t>
      </w:r>
      <w:proofErr w:type="spellEnd"/>
      <w:r w:rsidRPr="00C21CBB">
        <w:rPr>
          <w:rFonts w:ascii="Times New Roman" w:hAnsi="Times New Roman" w:cs="Times New Roman"/>
          <w:sz w:val="24"/>
          <w:szCs w:val="24"/>
        </w:rPr>
        <w:t>, COPILOT, etc.) and text-to-image generators have been used during the writing or editing of this manuscript.</w:t>
      </w:r>
    </w:p>
    <w:p w:rsidR="00F777E5" w:rsidRDefault="007770C1" w:rsidP="00F777E5">
      <w:pPr>
        <w:spacing w:before="100" w:beforeAutospacing="1" w:after="240" w:line="480" w:lineRule="auto"/>
        <w:contextualSpacing/>
        <w:jc w:val="center"/>
        <w:rPr>
          <w:rFonts w:ascii="Times New Roman" w:eastAsia="Times New Roman"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References</w:t>
      </w:r>
    </w:p>
    <w:p w:rsidR="00F777E5" w:rsidRPr="002A30C6"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2A30C6">
        <w:rPr>
          <w:rFonts w:ascii="Times New Roman" w:hAnsi="Times New Roman" w:cs="Times New Roman"/>
          <w:sz w:val="24"/>
          <w:szCs w:val="24"/>
        </w:rPr>
        <w:t>Aderogba</w:t>
      </w:r>
      <w:proofErr w:type="spellEnd"/>
      <w:r w:rsidRPr="002A30C6">
        <w:rPr>
          <w:rFonts w:ascii="Times New Roman" w:hAnsi="Times New Roman" w:cs="Times New Roman"/>
          <w:sz w:val="24"/>
          <w:szCs w:val="24"/>
        </w:rPr>
        <w:t xml:space="preserve">, K. (2012). Qualitative Studies of Recent Floods and Sustainable Growth and Development of Cities and Towns in Nigeria. </w:t>
      </w:r>
      <w:r w:rsidRPr="002A30C6">
        <w:rPr>
          <w:rFonts w:ascii="Times New Roman" w:hAnsi="Times New Roman" w:cs="Times New Roman"/>
          <w:i/>
          <w:iCs/>
          <w:sz w:val="24"/>
          <w:szCs w:val="24"/>
        </w:rPr>
        <w:t>International Journal of Basic and Applied Science,</w:t>
      </w:r>
      <w:r w:rsidRPr="002A30C6">
        <w:rPr>
          <w:rFonts w:ascii="Times New Roman" w:hAnsi="Times New Roman" w:cs="Times New Roman"/>
          <w:sz w:val="24"/>
          <w:szCs w:val="24"/>
        </w:rPr>
        <w:t xml:space="preserve"> 1, 187-203.</w:t>
      </w:r>
      <w:r>
        <w:rPr>
          <w:rFonts w:ascii="Times New Roman" w:hAnsi="Times New Roman" w:cs="Times New Roman"/>
          <w:sz w:val="24"/>
          <w:szCs w:val="24"/>
        </w:rPr>
        <w:t xml:space="preserve"> </w:t>
      </w:r>
      <w:r w:rsidRPr="002A30C6">
        <w:rPr>
          <w:rFonts w:ascii="Times New Roman" w:hAnsi="Times New Roman" w:cs="Times New Roman"/>
          <w:sz w:val="24"/>
          <w:szCs w:val="24"/>
        </w:rPr>
        <w:t xml:space="preserve">https://doi.org/10.17142/ijbas-2012.1.2.4 </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88020A">
        <w:rPr>
          <w:rFonts w:ascii="Times New Roman" w:eastAsia="Times New Roman" w:hAnsi="Times New Roman" w:cs="Times New Roman"/>
          <w:kern w:val="0"/>
          <w:sz w:val="24"/>
          <w:szCs w:val="24"/>
          <w14:ligatures w14:val="none"/>
        </w:rPr>
        <w:t xml:space="preserve">Akpudo, </w:t>
      </w:r>
      <w:r>
        <w:rPr>
          <w:rFonts w:ascii="Times New Roman" w:eastAsia="Times New Roman" w:hAnsi="Times New Roman" w:cs="Times New Roman"/>
          <w:kern w:val="0"/>
          <w:sz w:val="24"/>
          <w:szCs w:val="24"/>
          <w14:ligatures w14:val="none"/>
        </w:rPr>
        <w:t>C. U., O</w:t>
      </w:r>
      <w:r w:rsidRPr="0088020A">
        <w:rPr>
          <w:rFonts w:ascii="Times New Roman" w:eastAsia="Times New Roman" w:hAnsi="Times New Roman" w:cs="Times New Roman"/>
          <w:kern w:val="0"/>
          <w:sz w:val="24"/>
          <w:szCs w:val="24"/>
          <w14:ligatures w14:val="none"/>
        </w:rPr>
        <w:t xml:space="preserve">koli, </w:t>
      </w:r>
      <w:r>
        <w:rPr>
          <w:rFonts w:ascii="Times New Roman" w:eastAsia="Times New Roman" w:hAnsi="Times New Roman" w:cs="Times New Roman"/>
          <w:kern w:val="0"/>
          <w:sz w:val="24"/>
          <w:szCs w:val="24"/>
          <w14:ligatures w14:val="none"/>
        </w:rPr>
        <w:t>S. C. &amp; S</w:t>
      </w:r>
      <w:r w:rsidRPr="0088020A">
        <w:rPr>
          <w:rFonts w:ascii="Times New Roman" w:eastAsia="Times New Roman" w:hAnsi="Times New Roman" w:cs="Times New Roman"/>
          <w:kern w:val="0"/>
          <w:sz w:val="24"/>
          <w:szCs w:val="24"/>
          <w14:ligatures w14:val="none"/>
        </w:rPr>
        <w:t>tephens</w:t>
      </w:r>
      <w:r>
        <w:rPr>
          <w:rFonts w:ascii="Times New Roman" w:eastAsia="Times New Roman" w:hAnsi="Times New Roman" w:cs="Times New Roman"/>
          <w:kern w:val="0"/>
          <w:sz w:val="24"/>
          <w:szCs w:val="24"/>
          <w14:ligatures w14:val="none"/>
        </w:rPr>
        <w:t xml:space="preserve">, M. S. (2022). </w:t>
      </w:r>
      <w:r w:rsidRPr="0088020A">
        <w:rPr>
          <w:rFonts w:ascii="Times New Roman" w:eastAsia="Times New Roman" w:hAnsi="Times New Roman" w:cs="Times New Roman"/>
          <w:kern w:val="0"/>
          <w:sz w:val="24"/>
          <w:szCs w:val="24"/>
          <w14:ligatures w14:val="none"/>
        </w:rPr>
        <w:t xml:space="preserve">Challenges </w:t>
      </w:r>
      <w:r>
        <w:rPr>
          <w:rFonts w:ascii="Times New Roman" w:eastAsia="Times New Roman" w:hAnsi="Times New Roman" w:cs="Times New Roman"/>
          <w:kern w:val="0"/>
          <w:sz w:val="24"/>
          <w:szCs w:val="24"/>
          <w14:ligatures w14:val="none"/>
        </w:rPr>
        <w:t>a</w:t>
      </w:r>
      <w:r w:rsidRPr="0088020A">
        <w:rPr>
          <w:rFonts w:ascii="Times New Roman" w:eastAsia="Times New Roman" w:hAnsi="Times New Roman" w:cs="Times New Roman"/>
          <w:kern w:val="0"/>
          <w:sz w:val="24"/>
          <w:szCs w:val="24"/>
          <w14:ligatures w14:val="none"/>
        </w:rPr>
        <w:t xml:space="preserve">nd Prospects </w:t>
      </w:r>
      <w:r>
        <w:rPr>
          <w:rFonts w:ascii="Times New Roman" w:eastAsia="Times New Roman" w:hAnsi="Times New Roman" w:cs="Times New Roman"/>
          <w:kern w:val="0"/>
          <w:sz w:val="24"/>
          <w:szCs w:val="24"/>
          <w14:ligatures w14:val="none"/>
        </w:rPr>
        <w:t>o</w:t>
      </w:r>
      <w:r w:rsidRPr="0088020A">
        <w:rPr>
          <w:rFonts w:ascii="Times New Roman" w:eastAsia="Times New Roman" w:hAnsi="Times New Roman" w:cs="Times New Roman"/>
          <w:kern w:val="0"/>
          <w:sz w:val="24"/>
          <w:szCs w:val="24"/>
          <w14:ligatures w14:val="none"/>
        </w:rPr>
        <w:t xml:space="preserve">f Inland Waterways </w:t>
      </w:r>
      <w:r>
        <w:rPr>
          <w:rFonts w:ascii="Times New Roman" w:eastAsia="Times New Roman" w:hAnsi="Times New Roman" w:cs="Times New Roman"/>
          <w:kern w:val="0"/>
          <w:sz w:val="24"/>
          <w:szCs w:val="24"/>
          <w14:ligatures w14:val="none"/>
        </w:rPr>
        <w:t>i</w:t>
      </w:r>
      <w:r w:rsidRPr="0088020A">
        <w:rPr>
          <w:rFonts w:ascii="Times New Roman" w:eastAsia="Times New Roman" w:hAnsi="Times New Roman" w:cs="Times New Roman"/>
          <w:kern w:val="0"/>
          <w:sz w:val="24"/>
          <w:szCs w:val="24"/>
          <w14:ligatures w14:val="none"/>
        </w:rPr>
        <w:t xml:space="preserve">n Southeast Nigeria: The Case </w:t>
      </w:r>
      <w:r>
        <w:rPr>
          <w:rFonts w:ascii="Times New Roman" w:eastAsia="Times New Roman" w:hAnsi="Times New Roman" w:cs="Times New Roman"/>
          <w:kern w:val="0"/>
          <w:sz w:val="24"/>
          <w:szCs w:val="24"/>
          <w14:ligatures w14:val="none"/>
        </w:rPr>
        <w:t>o</w:t>
      </w:r>
      <w:r w:rsidRPr="0088020A">
        <w:rPr>
          <w:rFonts w:ascii="Times New Roman" w:eastAsia="Times New Roman" w:hAnsi="Times New Roman" w:cs="Times New Roman"/>
          <w:kern w:val="0"/>
          <w:sz w:val="24"/>
          <w:szCs w:val="24"/>
          <w14:ligatures w14:val="none"/>
        </w:rPr>
        <w:t>f Oma-Mbala River, Anambra State</w:t>
      </w:r>
      <w:r>
        <w:rPr>
          <w:rFonts w:ascii="Times New Roman" w:eastAsia="Times New Roman" w:hAnsi="Times New Roman" w:cs="Times New Roman"/>
          <w:kern w:val="0"/>
          <w:sz w:val="24"/>
          <w:szCs w:val="24"/>
          <w14:ligatures w14:val="none"/>
        </w:rPr>
        <w:t xml:space="preserve">. </w:t>
      </w:r>
      <w:r w:rsidRPr="0088020A">
        <w:rPr>
          <w:rFonts w:ascii="Times New Roman" w:eastAsia="Times New Roman" w:hAnsi="Times New Roman" w:cs="Times New Roman"/>
          <w:i/>
          <w:iCs/>
          <w:kern w:val="0"/>
          <w:sz w:val="24"/>
          <w:szCs w:val="24"/>
          <w14:ligatures w14:val="none"/>
        </w:rPr>
        <w:t>IMSUCDS International Journal of Development</w:t>
      </w:r>
      <w:r>
        <w:rPr>
          <w:rFonts w:ascii="Times New Roman" w:eastAsia="Times New Roman" w:hAnsi="Times New Roman" w:cs="Times New Roman"/>
          <w:kern w:val="0"/>
          <w:sz w:val="24"/>
          <w:szCs w:val="24"/>
          <w14:ligatures w14:val="none"/>
        </w:rPr>
        <w:t xml:space="preserve"> 5, 50-68.</w:t>
      </w:r>
    </w:p>
    <w:p w:rsidR="00F777E5" w:rsidRPr="002A30C6"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2A30C6">
        <w:rPr>
          <w:rFonts w:ascii="Times New Roman" w:hAnsi="Times New Roman" w:cs="Times New Roman"/>
          <w:sz w:val="24"/>
          <w:szCs w:val="24"/>
        </w:rPr>
        <w:t>Amamilo</w:t>
      </w:r>
      <w:proofErr w:type="spellEnd"/>
      <w:r w:rsidRPr="002A30C6">
        <w:rPr>
          <w:rFonts w:ascii="Times New Roman" w:hAnsi="Times New Roman" w:cs="Times New Roman"/>
          <w:sz w:val="24"/>
          <w:szCs w:val="24"/>
        </w:rPr>
        <w:t>, C</w:t>
      </w:r>
      <w:r>
        <w:rPr>
          <w:rFonts w:ascii="Times New Roman" w:hAnsi="Times New Roman" w:cs="Times New Roman"/>
          <w:sz w:val="24"/>
          <w:szCs w:val="24"/>
        </w:rPr>
        <w:t xml:space="preserve">. </w:t>
      </w:r>
      <w:r w:rsidRPr="002A30C6">
        <w:rPr>
          <w:rFonts w:ascii="Times New Roman" w:hAnsi="Times New Roman" w:cs="Times New Roman"/>
          <w:sz w:val="24"/>
          <w:szCs w:val="24"/>
        </w:rPr>
        <w:t>A</w:t>
      </w:r>
      <w:r>
        <w:rPr>
          <w:rFonts w:ascii="Times New Roman" w:hAnsi="Times New Roman" w:cs="Times New Roman"/>
          <w:sz w:val="24"/>
          <w:szCs w:val="24"/>
        </w:rPr>
        <w:t>. &amp;</w:t>
      </w:r>
      <w:r w:rsidRPr="002A30C6">
        <w:rPr>
          <w:rFonts w:ascii="Times New Roman" w:hAnsi="Times New Roman" w:cs="Times New Roman"/>
          <w:sz w:val="24"/>
          <w:szCs w:val="24"/>
        </w:rPr>
        <w:t xml:space="preserve"> </w:t>
      </w:r>
      <w:proofErr w:type="spellStart"/>
      <w:r w:rsidRPr="002A30C6">
        <w:rPr>
          <w:rFonts w:ascii="Times New Roman" w:hAnsi="Times New Roman" w:cs="Times New Roman"/>
          <w:sz w:val="24"/>
          <w:szCs w:val="24"/>
        </w:rPr>
        <w:t>Emenike</w:t>
      </w:r>
      <w:proofErr w:type="spellEnd"/>
      <w:r w:rsidRPr="002A30C6">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2A30C6">
        <w:rPr>
          <w:rFonts w:ascii="Times New Roman" w:hAnsi="Times New Roman" w:cs="Times New Roman"/>
          <w:sz w:val="24"/>
          <w:szCs w:val="24"/>
        </w:rPr>
        <w:t>C</w:t>
      </w:r>
      <w:r>
        <w:rPr>
          <w:rFonts w:ascii="Times New Roman" w:hAnsi="Times New Roman" w:cs="Times New Roman"/>
          <w:sz w:val="24"/>
          <w:szCs w:val="24"/>
        </w:rPr>
        <w:t xml:space="preserve">. (2021). </w:t>
      </w:r>
      <w:r w:rsidRPr="002A30C6">
        <w:rPr>
          <w:rFonts w:ascii="Times New Roman" w:hAnsi="Times New Roman" w:cs="Times New Roman"/>
          <w:sz w:val="24"/>
          <w:szCs w:val="24"/>
        </w:rPr>
        <w:t>Operational Challenges of Inland Waterways Transportation in</w:t>
      </w:r>
      <w:r>
        <w:rPr>
          <w:rFonts w:ascii="Times New Roman" w:hAnsi="Times New Roman" w:cs="Times New Roman"/>
          <w:sz w:val="24"/>
          <w:szCs w:val="24"/>
        </w:rPr>
        <w:t xml:space="preserve"> </w:t>
      </w:r>
      <w:r w:rsidRPr="002A30C6">
        <w:rPr>
          <w:rFonts w:ascii="Times New Roman" w:hAnsi="Times New Roman" w:cs="Times New Roman"/>
          <w:sz w:val="24"/>
          <w:szCs w:val="24"/>
        </w:rPr>
        <w:t>the Coastal Communities of Niger Delta, Nigeria</w:t>
      </w:r>
      <w:r>
        <w:rPr>
          <w:rFonts w:ascii="Times New Roman" w:hAnsi="Times New Roman" w:cs="Times New Roman"/>
          <w:sz w:val="24"/>
          <w:szCs w:val="24"/>
        </w:rPr>
        <w:t xml:space="preserve">. </w:t>
      </w:r>
      <w:r w:rsidRPr="0075286B">
        <w:rPr>
          <w:rFonts w:ascii="Times New Roman" w:hAnsi="Times New Roman" w:cs="Times New Roman"/>
          <w:i/>
          <w:iCs/>
          <w:sz w:val="24"/>
          <w:szCs w:val="24"/>
        </w:rPr>
        <w:t>International Journal of Latest Engineering and Management Research (IJLEMR)</w:t>
      </w:r>
      <w:r>
        <w:rPr>
          <w:rFonts w:ascii="Times New Roman" w:hAnsi="Times New Roman" w:cs="Times New Roman"/>
          <w:sz w:val="24"/>
          <w:szCs w:val="24"/>
        </w:rPr>
        <w:t xml:space="preserve"> </w:t>
      </w:r>
      <w:r w:rsidRPr="0075286B">
        <w:rPr>
          <w:rFonts w:ascii="Times New Roman" w:hAnsi="Times New Roman" w:cs="Times New Roman"/>
          <w:sz w:val="24"/>
          <w:szCs w:val="24"/>
        </w:rPr>
        <w:t>6</w:t>
      </w:r>
      <w:r>
        <w:rPr>
          <w:rFonts w:ascii="Times New Roman" w:hAnsi="Times New Roman" w:cs="Times New Roman"/>
          <w:sz w:val="24"/>
          <w:szCs w:val="24"/>
        </w:rPr>
        <w:t>(</w:t>
      </w:r>
      <w:r w:rsidRPr="0075286B">
        <w:rPr>
          <w:rFonts w:ascii="Times New Roman" w:hAnsi="Times New Roman" w:cs="Times New Roman"/>
          <w:sz w:val="24"/>
          <w:szCs w:val="24"/>
        </w:rPr>
        <w:t>5</w:t>
      </w:r>
      <w:r>
        <w:rPr>
          <w:rFonts w:ascii="Times New Roman" w:hAnsi="Times New Roman" w:cs="Times New Roman"/>
          <w:sz w:val="24"/>
          <w:szCs w:val="24"/>
        </w:rPr>
        <w:t>), 1-7</w:t>
      </w:r>
      <w:r w:rsidRPr="0075286B">
        <w:rPr>
          <w:rFonts w:ascii="Times New Roman" w:hAnsi="Times New Roman" w:cs="Times New Roman"/>
          <w:sz w:val="24"/>
          <w:szCs w:val="24"/>
        </w:rPr>
        <w:t xml:space="preserve"> </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5465C6">
        <w:rPr>
          <w:rFonts w:ascii="Times New Roman" w:eastAsia="Times New Roman" w:hAnsi="Times New Roman" w:cs="Times New Roman"/>
          <w:kern w:val="0"/>
          <w:sz w:val="24"/>
          <w:szCs w:val="24"/>
          <w14:ligatures w14:val="none"/>
        </w:rPr>
        <w:t>Calderón-Rivera, N., Bartusevičienė, I., &amp; Ballini, F. (2024). Sustainable development of inland waterways transport: a review. Journal of Shipping and Trade, 9.</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774CCE">
        <w:rPr>
          <w:rFonts w:ascii="Times New Roman" w:eastAsia="Times New Roman" w:hAnsi="Times New Roman" w:cs="Times New Roman"/>
          <w:kern w:val="0"/>
          <w:sz w:val="24"/>
          <w:szCs w:val="24"/>
          <w14:ligatures w14:val="none"/>
        </w:rPr>
        <w:t>Chukwunonso E</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Oladeinde S</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Abraham S. E., Nnaemeka K</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 xml:space="preserve">. &amp; </w:t>
      </w:r>
      <w:r w:rsidRPr="00774CCE">
        <w:rPr>
          <w:rFonts w:ascii="Times New Roman" w:eastAsia="Times New Roman" w:hAnsi="Times New Roman" w:cs="Times New Roman"/>
          <w:kern w:val="0"/>
          <w:sz w:val="24"/>
          <w:szCs w:val="24"/>
          <w14:ligatures w14:val="none"/>
        </w:rPr>
        <w:t>Michael U</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kern w:val="0"/>
          <w:sz w:val="24"/>
          <w:szCs w:val="24"/>
          <w14:ligatures w14:val="none"/>
        </w:rPr>
        <w:t xml:space="preserve">. (2021). </w:t>
      </w:r>
      <w:r w:rsidRPr="00BE0DBC">
        <w:rPr>
          <w:rFonts w:ascii="Times New Roman" w:eastAsia="Times New Roman" w:hAnsi="Times New Roman" w:cs="Times New Roman"/>
          <w:kern w:val="0"/>
          <w:sz w:val="24"/>
          <w:szCs w:val="24"/>
          <w14:ligatures w14:val="none"/>
        </w:rPr>
        <w:t xml:space="preserve">GIS Based Analysis of Niger-Benue River Flood Risk and Vulnerability of Communities in Kogi State, Nigeria. (2021). </w:t>
      </w:r>
      <w:r w:rsidRPr="00BE0DBC">
        <w:rPr>
          <w:rFonts w:ascii="Times New Roman" w:eastAsia="Times New Roman" w:hAnsi="Times New Roman" w:cs="Times New Roman"/>
          <w:i/>
          <w:iCs/>
          <w:kern w:val="0"/>
          <w:sz w:val="24"/>
          <w:szCs w:val="24"/>
          <w14:ligatures w14:val="none"/>
        </w:rPr>
        <w:t>European Journal of Environment and Earth Sciences</w:t>
      </w:r>
      <w:r w:rsidRPr="00BE0DBC">
        <w:rPr>
          <w:rFonts w:ascii="Times New Roman" w:eastAsia="Times New Roman" w:hAnsi="Times New Roman" w:cs="Times New Roman"/>
          <w:kern w:val="0"/>
          <w:sz w:val="24"/>
          <w:szCs w:val="24"/>
          <w14:ligatures w14:val="none"/>
        </w:rPr>
        <w:t xml:space="preserve">, 2(5), 47-56. </w:t>
      </w:r>
      <w:hyperlink r:id="rId6" w:history="1">
        <w:r w:rsidRPr="0040337C">
          <w:rPr>
            <w:rStyle w:val="Hyperlink"/>
            <w:rFonts w:ascii="Times New Roman" w:eastAsia="Times New Roman" w:hAnsi="Times New Roman" w:cs="Times New Roman"/>
            <w:kern w:val="0"/>
            <w:sz w:val="24"/>
            <w:szCs w:val="24"/>
            <w14:ligatures w14:val="none"/>
          </w:rPr>
          <w:t>https://doi.org/10.24018/ejgeo.2021.2.5.187</w:t>
        </w:r>
      </w:hyperlink>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5465C6">
        <w:rPr>
          <w:rFonts w:ascii="Times New Roman" w:eastAsia="Times New Roman" w:hAnsi="Times New Roman" w:cs="Times New Roman"/>
          <w:kern w:val="0"/>
          <w:sz w:val="24"/>
          <w:szCs w:val="24"/>
          <w14:ligatures w14:val="none"/>
        </w:rPr>
        <w:t>Chukwurah, G. O., Okeke, F. O., Isimah, M. O., Nnaemeka-Okeke, R., Okonta, E. D., Awe, F. C., Idoko, A. E., Guo, S., &amp; Okeke, C. A. (2025). Analysis of Route-Way Dynamics in Urban Traffic Congestion of Enugu, Nigeria. Future Transportation, 5(2), 71. https://doi.org/10.3390/futuretransp5020071</w:t>
      </w:r>
    </w:p>
    <w:p w:rsidR="00F777E5" w:rsidRDefault="00F777E5" w:rsidP="00F777E5">
      <w:pPr>
        <w:spacing w:after="200" w:line="240" w:lineRule="auto"/>
        <w:ind w:left="1080" w:hanging="990"/>
        <w:contextualSpacing/>
        <w:jc w:val="both"/>
        <w:rPr>
          <w:rFonts w:ascii="Times New Roman" w:hAnsi="Times New Roman" w:cs="Times New Roman"/>
          <w:i/>
          <w:iCs/>
          <w:sz w:val="24"/>
          <w:szCs w:val="24"/>
        </w:rPr>
      </w:pPr>
      <w:r w:rsidRPr="009F7C0C">
        <w:rPr>
          <w:rFonts w:ascii="Times New Roman" w:hAnsi="Times New Roman" w:cs="Times New Roman"/>
          <w:sz w:val="24"/>
          <w:szCs w:val="24"/>
        </w:rPr>
        <w:t xml:space="preserve">Emmanuel, O.A., </w:t>
      </w:r>
      <w:proofErr w:type="spellStart"/>
      <w:r w:rsidRPr="009F7C0C">
        <w:rPr>
          <w:rFonts w:ascii="Times New Roman" w:hAnsi="Times New Roman" w:cs="Times New Roman"/>
          <w:sz w:val="24"/>
          <w:szCs w:val="24"/>
        </w:rPr>
        <w:t>Ifabiyi</w:t>
      </w:r>
      <w:proofErr w:type="spellEnd"/>
      <w:r w:rsidRPr="009F7C0C">
        <w:rPr>
          <w:rFonts w:ascii="Times New Roman" w:hAnsi="Times New Roman" w:cs="Times New Roman"/>
          <w:sz w:val="24"/>
          <w:szCs w:val="24"/>
        </w:rPr>
        <w:t xml:space="preserve">, P.I., &amp; </w:t>
      </w:r>
      <w:proofErr w:type="spellStart"/>
      <w:r w:rsidRPr="009F7C0C">
        <w:rPr>
          <w:rFonts w:ascii="Times New Roman" w:hAnsi="Times New Roman" w:cs="Times New Roman"/>
          <w:sz w:val="24"/>
          <w:szCs w:val="24"/>
        </w:rPr>
        <w:t>Chijioke</w:t>
      </w:r>
      <w:proofErr w:type="spellEnd"/>
      <w:r w:rsidRPr="009F7C0C">
        <w:rPr>
          <w:rFonts w:ascii="Times New Roman" w:hAnsi="Times New Roman" w:cs="Times New Roman"/>
          <w:sz w:val="24"/>
          <w:szCs w:val="24"/>
        </w:rPr>
        <w:t xml:space="preserve">, A.U. (2018). Opportunities and Challenges of Inland Waterways Transport in the Southwest Coastal Belt of Nigeria. </w:t>
      </w:r>
      <w:r w:rsidRPr="009F7C0C">
        <w:rPr>
          <w:rFonts w:ascii="Times New Roman" w:hAnsi="Times New Roman" w:cs="Times New Roman"/>
          <w:i/>
          <w:iCs/>
          <w:sz w:val="24"/>
          <w:szCs w:val="24"/>
        </w:rPr>
        <w:t>Bhumi, The Planning Research Journal.</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413985">
        <w:rPr>
          <w:rFonts w:ascii="Times New Roman" w:eastAsia="Times New Roman" w:hAnsi="Times New Roman" w:cs="Times New Roman"/>
          <w:kern w:val="0"/>
          <w:sz w:val="24"/>
          <w:szCs w:val="24"/>
          <w14:ligatures w14:val="none"/>
        </w:rPr>
        <w:lastRenderedPageBreak/>
        <w:t xml:space="preserve">Isukuru, </w:t>
      </w:r>
      <w:r>
        <w:rPr>
          <w:rFonts w:ascii="Times New Roman" w:eastAsia="Times New Roman" w:hAnsi="Times New Roman" w:cs="Times New Roman"/>
          <w:kern w:val="0"/>
          <w:sz w:val="24"/>
          <w:szCs w:val="24"/>
          <w14:ligatures w14:val="none"/>
        </w:rPr>
        <w:t xml:space="preserve">E. J., </w:t>
      </w:r>
      <w:r w:rsidRPr="00413985">
        <w:rPr>
          <w:rFonts w:ascii="Times New Roman" w:eastAsia="Times New Roman" w:hAnsi="Times New Roman" w:cs="Times New Roman"/>
          <w:kern w:val="0"/>
          <w:sz w:val="24"/>
          <w:szCs w:val="24"/>
          <w14:ligatures w14:val="none"/>
        </w:rPr>
        <w:t>Opha,</w:t>
      </w:r>
      <w:r>
        <w:rPr>
          <w:rFonts w:ascii="Times New Roman" w:eastAsia="Times New Roman" w:hAnsi="Times New Roman" w:cs="Times New Roman"/>
          <w:kern w:val="0"/>
          <w:sz w:val="24"/>
          <w:szCs w:val="24"/>
          <w14:ligatures w14:val="none"/>
        </w:rPr>
        <w:t xml:space="preserve"> J. O., </w:t>
      </w:r>
      <w:r w:rsidRPr="00413985">
        <w:rPr>
          <w:rFonts w:ascii="Times New Roman" w:eastAsia="Times New Roman" w:hAnsi="Times New Roman" w:cs="Times New Roman"/>
          <w:kern w:val="0"/>
          <w:sz w:val="24"/>
          <w:szCs w:val="24"/>
          <w14:ligatures w14:val="none"/>
        </w:rPr>
        <w:t>Isaiah,</w:t>
      </w:r>
      <w:r>
        <w:rPr>
          <w:rFonts w:ascii="Times New Roman" w:eastAsia="Times New Roman" w:hAnsi="Times New Roman" w:cs="Times New Roman"/>
          <w:kern w:val="0"/>
          <w:sz w:val="24"/>
          <w:szCs w:val="24"/>
          <w14:ligatures w14:val="none"/>
        </w:rPr>
        <w:t xml:space="preserve"> O. W., </w:t>
      </w:r>
      <w:r w:rsidRPr="00413985">
        <w:rPr>
          <w:rFonts w:ascii="Times New Roman" w:eastAsia="Times New Roman" w:hAnsi="Times New Roman" w:cs="Times New Roman"/>
          <w:kern w:val="0"/>
          <w:sz w:val="24"/>
          <w:szCs w:val="24"/>
          <w14:ligatures w14:val="none"/>
        </w:rPr>
        <w:t xml:space="preserve">Orovwighose, </w:t>
      </w:r>
      <w:r>
        <w:rPr>
          <w:rFonts w:ascii="Times New Roman" w:eastAsia="Times New Roman" w:hAnsi="Times New Roman" w:cs="Times New Roman"/>
          <w:kern w:val="0"/>
          <w:sz w:val="24"/>
          <w:szCs w:val="24"/>
          <w14:ligatures w14:val="none"/>
        </w:rPr>
        <w:t xml:space="preserve">B. &amp; </w:t>
      </w:r>
      <w:r w:rsidRPr="00413985">
        <w:rPr>
          <w:rFonts w:ascii="Times New Roman" w:eastAsia="Times New Roman" w:hAnsi="Times New Roman" w:cs="Times New Roman"/>
          <w:kern w:val="0"/>
          <w:sz w:val="24"/>
          <w:szCs w:val="24"/>
          <w14:ligatures w14:val="none"/>
        </w:rPr>
        <w:t>Emmanuel</w:t>
      </w:r>
      <w:r>
        <w:rPr>
          <w:rFonts w:ascii="Times New Roman" w:eastAsia="Times New Roman" w:hAnsi="Times New Roman" w:cs="Times New Roman"/>
          <w:kern w:val="0"/>
          <w:sz w:val="24"/>
          <w:szCs w:val="24"/>
          <w14:ligatures w14:val="none"/>
        </w:rPr>
        <w:t xml:space="preserve">, S. S. (2024). </w:t>
      </w:r>
      <w:r w:rsidRPr="00413985">
        <w:rPr>
          <w:rFonts w:ascii="Times New Roman" w:eastAsia="Times New Roman" w:hAnsi="Times New Roman" w:cs="Times New Roman"/>
          <w:kern w:val="0"/>
          <w:sz w:val="24"/>
          <w:szCs w:val="24"/>
          <w14:ligatures w14:val="none"/>
        </w:rPr>
        <w:t>Nigeria's water crisis: Abundant water, polluted reality</w:t>
      </w:r>
      <w:r>
        <w:rPr>
          <w:rFonts w:ascii="Times New Roman" w:eastAsia="Times New Roman" w:hAnsi="Times New Roman" w:cs="Times New Roman"/>
          <w:kern w:val="0"/>
          <w:sz w:val="24"/>
          <w:szCs w:val="24"/>
          <w14:ligatures w14:val="none"/>
        </w:rPr>
        <w:t xml:space="preserve"> </w:t>
      </w:r>
      <w:r w:rsidRPr="00413985">
        <w:rPr>
          <w:rFonts w:ascii="Times New Roman" w:eastAsia="Times New Roman" w:hAnsi="Times New Roman" w:cs="Times New Roman"/>
          <w:i/>
          <w:iCs/>
          <w:kern w:val="0"/>
          <w:sz w:val="24"/>
          <w:szCs w:val="24"/>
          <w14:ligatures w14:val="none"/>
        </w:rPr>
        <w:t>Cleaner Water</w:t>
      </w:r>
      <w:r w:rsidRPr="00413985">
        <w:rPr>
          <w:rFonts w:ascii="Times New Roman" w:eastAsia="Times New Roman" w:hAnsi="Times New Roman" w:cs="Times New Roman"/>
          <w:kern w:val="0"/>
          <w:sz w:val="24"/>
          <w:szCs w:val="24"/>
          <w14:ligatures w14:val="none"/>
        </w:rPr>
        <w:t xml:space="preserve"> 2(12):100026</w:t>
      </w:r>
      <w:r>
        <w:rPr>
          <w:rFonts w:ascii="Times New Roman" w:eastAsia="Times New Roman" w:hAnsi="Times New Roman" w:cs="Times New Roman"/>
          <w:kern w:val="0"/>
          <w:sz w:val="24"/>
          <w:szCs w:val="24"/>
          <w14:ligatures w14:val="none"/>
        </w:rPr>
        <w:t xml:space="preserve"> </w:t>
      </w:r>
      <w:r w:rsidRPr="00413985">
        <w:rPr>
          <w:rFonts w:ascii="Times New Roman" w:eastAsia="Times New Roman" w:hAnsi="Times New Roman" w:cs="Times New Roman"/>
          <w:kern w:val="0"/>
          <w:sz w:val="24"/>
          <w:szCs w:val="24"/>
          <w14:ligatures w14:val="none"/>
        </w:rPr>
        <w:t>DOI: 10.1016/j.clwat.2024.100026</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4D646D">
        <w:rPr>
          <w:rFonts w:ascii="Times New Roman" w:eastAsia="Times New Roman" w:hAnsi="Times New Roman" w:cs="Times New Roman"/>
          <w:kern w:val="0"/>
          <w:sz w:val="24"/>
          <w:szCs w:val="24"/>
          <w14:ligatures w14:val="none"/>
        </w:rPr>
        <w:t>Ladele O</w:t>
      </w:r>
      <w:r>
        <w:rPr>
          <w:rFonts w:ascii="Times New Roman" w:eastAsia="Times New Roman" w:hAnsi="Times New Roman" w:cs="Times New Roman"/>
          <w:kern w:val="0"/>
          <w:sz w:val="24"/>
          <w:szCs w:val="24"/>
          <w14:ligatures w14:val="none"/>
        </w:rPr>
        <w:t xml:space="preserve">. </w:t>
      </w:r>
      <w:r w:rsidRPr="004D646D">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 (2025). </w:t>
      </w:r>
      <w:r w:rsidRPr="004D646D">
        <w:rPr>
          <w:rFonts w:ascii="Times New Roman" w:eastAsia="Times New Roman" w:hAnsi="Times New Roman" w:cs="Times New Roman"/>
          <w:kern w:val="0"/>
          <w:sz w:val="24"/>
          <w:szCs w:val="24"/>
          <w14:ligatures w14:val="none"/>
        </w:rPr>
        <w:t>Assessment of Sustainable Inland Water Transportation in Lagos</w:t>
      </w:r>
      <w:r>
        <w:rPr>
          <w:rFonts w:ascii="Times New Roman" w:eastAsia="Times New Roman" w:hAnsi="Times New Roman" w:cs="Times New Roman"/>
          <w:kern w:val="0"/>
          <w:sz w:val="24"/>
          <w:szCs w:val="24"/>
          <w14:ligatures w14:val="none"/>
        </w:rPr>
        <w:t xml:space="preserve"> </w:t>
      </w:r>
      <w:r w:rsidRPr="004D646D">
        <w:rPr>
          <w:rFonts w:ascii="Times New Roman" w:eastAsia="Times New Roman" w:hAnsi="Times New Roman" w:cs="Times New Roman"/>
          <w:kern w:val="0"/>
          <w:sz w:val="24"/>
          <w:szCs w:val="24"/>
          <w14:ligatures w14:val="none"/>
        </w:rPr>
        <w:t>State, Nigeria.</w:t>
      </w:r>
      <w:r>
        <w:rPr>
          <w:rFonts w:ascii="Times New Roman" w:eastAsia="Times New Roman" w:hAnsi="Times New Roman" w:cs="Times New Roman"/>
          <w:kern w:val="0"/>
          <w:sz w:val="24"/>
          <w:szCs w:val="24"/>
          <w14:ligatures w14:val="none"/>
        </w:rPr>
        <w:t xml:space="preserve"> </w:t>
      </w:r>
      <w:r w:rsidRPr="004D646D">
        <w:rPr>
          <w:rFonts w:ascii="Times New Roman" w:eastAsia="Times New Roman" w:hAnsi="Times New Roman" w:cs="Times New Roman"/>
          <w:kern w:val="0"/>
          <w:sz w:val="24"/>
          <w:szCs w:val="24"/>
          <w14:ligatures w14:val="none"/>
        </w:rPr>
        <w:t xml:space="preserve">International Journal </w:t>
      </w:r>
      <w:r>
        <w:rPr>
          <w:rFonts w:ascii="Times New Roman" w:eastAsia="Times New Roman" w:hAnsi="Times New Roman" w:cs="Times New Roman"/>
          <w:kern w:val="0"/>
          <w:sz w:val="24"/>
          <w:szCs w:val="24"/>
          <w14:ligatures w14:val="none"/>
        </w:rPr>
        <w:t>o</w:t>
      </w:r>
      <w:r w:rsidRPr="004D646D">
        <w:rPr>
          <w:rFonts w:ascii="Times New Roman" w:eastAsia="Times New Roman" w:hAnsi="Times New Roman" w:cs="Times New Roman"/>
          <w:kern w:val="0"/>
          <w:sz w:val="24"/>
          <w:szCs w:val="24"/>
          <w14:ligatures w14:val="none"/>
        </w:rPr>
        <w:t xml:space="preserve">f Research </w:t>
      </w:r>
      <w:r>
        <w:rPr>
          <w:rFonts w:ascii="Times New Roman" w:eastAsia="Times New Roman" w:hAnsi="Times New Roman" w:cs="Times New Roman"/>
          <w:kern w:val="0"/>
          <w:sz w:val="24"/>
          <w:szCs w:val="24"/>
          <w14:ligatures w14:val="none"/>
        </w:rPr>
        <w:t>a</w:t>
      </w:r>
      <w:r w:rsidRPr="004D646D">
        <w:rPr>
          <w:rFonts w:ascii="Times New Roman" w:eastAsia="Times New Roman" w:hAnsi="Times New Roman" w:cs="Times New Roman"/>
          <w:kern w:val="0"/>
          <w:sz w:val="24"/>
          <w:szCs w:val="24"/>
          <w14:ligatures w14:val="none"/>
        </w:rPr>
        <w:t xml:space="preserve">nd Innovation </w:t>
      </w:r>
      <w:r>
        <w:rPr>
          <w:rFonts w:ascii="Times New Roman" w:eastAsia="Times New Roman" w:hAnsi="Times New Roman" w:cs="Times New Roman"/>
          <w:kern w:val="0"/>
          <w:sz w:val="24"/>
          <w:szCs w:val="24"/>
          <w14:ligatures w14:val="none"/>
        </w:rPr>
        <w:t>i</w:t>
      </w:r>
      <w:r w:rsidRPr="004D646D">
        <w:rPr>
          <w:rFonts w:ascii="Times New Roman" w:eastAsia="Times New Roman" w:hAnsi="Times New Roman" w:cs="Times New Roman"/>
          <w:kern w:val="0"/>
          <w:sz w:val="24"/>
          <w:szCs w:val="24"/>
          <w14:ligatures w14:val="none"/>
        </w:rPr>
        <w:t>n Social Science (IJRISS)</w:t>
      </w:r>
      <w:r>
        <w:rPr>
          <w:rFonts w:ascii="Times New Roman" w:eastAsia="Times New Roman" w:hAnsi="Times New Roman" w:cs="Times New Roman"/>
          <w:kern w:val="0"/>
          <w:sz w:val="24"/>
          <w:szCs w:val="24"/>
          <w14:ligatures w14:val="none"/>
        </w:rPr>
        <w:t xml:space="preserve"> 9(5), </w:t>
      </w:r>
      <w:r w:rsidRPr="004D646D">
        <w:rPr>
          <w:rFonts w:ascii="Times New Roman" w:eastAsia="Times New Roman" w:hAnsi="Times New Roman" w:cs="Times New Roman"/>
          <w:kern w:val="0"/>
          <w:sz w:val="24"/>
          <w:szCs w:val="24"/>
          <w14:ligatures w14:val="none"/>
        </w:rPr>
        <w:t>5678</w:t>
      </w:r>
      <w:r>
        <w:rPr>
          <w:rFonts w:ascii="Times New Roman" w:eastAsia="Times New Roman" w:hAnsi="Times New Roman" w:cs="Times New Roman"/>
          <w:kern w:val="0"/>
          <w:sz w:val="24"/>
          <w:szCs w:val="24"/>
          <w14:ligatures w14:val="none"/>
        </w:rPr>
        <w:t>-</w:t>
      </w:r>
      <w:r w:rsidRPr="004D646D">
        <w:rPr>
          <w:rFonts w:ascii="Times New Roman" w:eastAsia="Times New Roman" w:hAnsi="Times New Roman" w:cs="Times New Roman"/>
          <w:kern w:val="0"/>
          <w:sz w:val="24"/>
          <w:szCs w:val="24"/>
          <w14:ligatures w14:val="none"/>
        </w:rPr>
        <w:t xml:space="preserve">5688  </w:t>
      </w:r>
      <w:r w:rsidRPr="004D646D">
        <w:rPr>
          <w:b/>
          <w:bCs/>
        </w:rPr>
        <w:t xml:space="preserve">DOI: </w:t>
      </w:r>
      <w:hyperlink r:id="rId7" w:history="1">
        <w:r w:rsidRPr="004D646D">
          <w:rPr>
            <w:b/>
            <w:bCs/>
            <w:color w:val="0000FF"/>
            <w:u w:val="single"/>
          </w:rPr>
          <w:t>https://dx.doi.org/10.47772/IJRISS.2025.905000438</w:t>
        </w:r>
      </w:hyperlink>
      <w:r>
        <w:rPr>
          <w:rFonts w:ascii="Times New Roman" w:eastAsia="Times New Roman" w:hAnsi="Times New Roman" w:cs="Times New Roman"/>
          <w:kern w:val="0"/>
          <w:sz w:val="24"/>
          <w:szCs w:val="24"/>
          <w14:ligatures w14:val="none"/>
        </w:rPr>
        <w:t xml:space="preserve"> </w:t>
      </w:r>
    </w:p>
    <w:p w:rsidR="00F777E5" w:rsidRDefault="00F777E5" w:rsidP="00F777E5">
      <w:pPr>
        <w:autoSpaceDE w:val="0"/>
        <w:autoSpaceDN w:val="0"/>
        <w:adjustRightInd w:val="0"/>
        <w:spacing w:after="0" w:line="240" w:lineRule="auto"/>
        <w:ind w:left="720" w:hanging="720"/>
        <w:jc w:val="both"/>
        <w:rPr>
          <w:rFonts w:ascii="Times New Roman" w:eastAsia="Times New Roman" w:hAnsi="Times New Roman" w:cs="Times New Roman"/>
          <w:kern w:val="0"/>
          <w:sz w:val="24"/>
          <w:szCs w:val="24"/>
          <w14:ligatures w14:val="none"/>
        </w:rPr>
      </w:pPr>
      <w:r w:rsidRPr="00BD2777">
        <w:rPr>
          <w:rFonts w:ascii="Times New Roman" w:eastAsia="Times New Roman" w:hAnsi="Times New Roman" w:cs="Times New Roman"/>
          <w:kern w:val="0"/>
          <w:sz w:val="24"/>
          <w:szCs w:val="24"/>
          <w14:ligatures w14:val="none"/>
        </w:rPr>
        <w:t xml:space="preserve">McFeeters, S. K. (1996). The use of the Normalized Difference Water Index (NDWI) in the delineation of open water features. </w:t>
      </w:r>
      <w:r w:rsidRPr="00BD2777">
        <w:rPr>
          <w:rFonts w:ascii="Times New Roman" w:eastAsia="Times New Roman" w:hAnsi="Times New Roman" w:cs="Times New Roman"/>
          <w:i/>
          <w:iCs/>
          <w:kern w:val="0"/>
          <w:sz w:val="24"/>
          <w:szCs w:val="24"/>
          <w14:ligatures w14:val="none"/>
        </w:rPr>
        <w:t>International Journal of Remote Sensing</w:t>
      </w:r>
      <w:r w:rsidRPr="00BD2777">
        <w:rPr>
          <w:rFonts w:ascii="Times New Roman" w:eastAsia="Times New Roman" w:hAnsi="Times New Roman" w:cs="Times New Roman"/>
          <w:kern w:val="0"/>
          <w:sz w:val="24"/>
          <w:szCs w:val="24"/>
          <w14:ligatures w14:val="none"/>
        </w:rPr>
        <w:t>, 17(7), 1425–1432.</w:t>
      </w:r>
    </w:p>
    <w:p w:rsidR="00F777E5"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75286B">
        <w:rPr>
          <w:rFonts w:ascii="Times New Roman" w:hAnsi="Times New Roman" w:cs="Times New Roman"/>
          <w:sz w:val="24"/>
          <w:szCs w:val="24"/>
        </w:rPr>
        <w:t>Nwogu</w:t>
      </w:r>
      <w:proofErr w:type="spellEnd"/>
      <w:r w:rsidRPr="0075286B">
        <w:rPr>
          <w:rFonts w:ascii="Times New Roman" w:hAnsi="Times New Roman" w:cs="Times New Roman"/>
          <w:sz w:val="24"/>
          <w:szCs w:val="24"/>
        </w:rPr>
        <w:t xml:space="preserve">, N., Victoria, M. F., Salman, H., &amp; </w:t>
      </w:r>
      <w:proofErr w:type="spellStart"/>
      <w:r w:rsidRPr="0075286B">
        <w:rPr>
          <w:rFonts w:ascii="Times New Roman" w:hAnsi="Times New Roman" w:cs="Times New Roman"/>
          <w:sz w:val="24"/>
          <w:szCs w:val="24"/>
        </w:rPr>
        <w:t>Oyetunji</w:t>
      </w:r>
      <w:proofErr w:type="spellEnd"/>
      <w:r w:rsidRPr="0075286B">
        <w:rPr>
          <w:rFonts w:ascii="Times New Roman" w:hAnsi="Times New Roman" w:cs="Times New Roman"/>
          <w:sz w:val="24"/>
          <w:szCs w:val="24"/>
        </w:rPr>
        <w:t xml:space="preserve">, A. K. (2025). Integrating GIS into Flood Risk Management: </w:t>
      </w:r>
      <w:r w:rsidRPr="0075286B">
        <w:rPr>
          <w:rFonts w:ascii="Times New Roman" w:hAnsi="Times New Roman" w:cs="Times New Roman"/>
          <w:i/>
          <w:iCs/>
          <w:sz w:val="24"/>
          <w:szCs w:val="24"/>
        </w:rPr>
        <w:t xml:space="preserve">A Global South Perspective on Resilience, Planning, and Policy. Water, </w:t>
      </w:r>
      <w:r w:rsidRPr="0075286B">
        <w:rPr>
          <w:rFonts w:ascii="Times New Roman" w:hAnsi="Times New Roman" w:cs="Times New Roman"/>
          <w:sz w:val="24"/>
          <w:szCs w:val="24"/>
        </w:rPr>
        <w:t xml:space="preserve">17(21), 3149. </w:t>
      </w:r>
      <w:hyperlink r:id="rId8" w:history="1">
        <w:r w:rsidRPr="0040337C">
          <w:rPr>
            <w:rStyle w:val="Hyperlink"/>
            <w:rFonts w:ascii="Times New Roman" w:hAnsi="Times New Roman" w:cs="Times New Roman"/>
            <w:sz w:val="24"/>
            <w:szCs w:val="24"/>
          </w:rPr>
          <w:t>https://doi.org/10.3390/w17213149</w:t>
        </w:r>
      </w:hyperlink>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4D646D">
        <w:rPr>
          <w:rFonts w:ascii="Times New Roman" w:eastAsia="Times New Roman" w:hAnsi="Times New Roman" w:cs="Times New Roman"/>
          <w:kern w:val="0"/>
          <w:sz w:val="24"/>
          <w:szCs w:val="24"/>
          <w14:ligatures w14:val="none"/>
        </w:rPr>
        <w:t xml:space="preserve">Nwoye, S., Oyegun, C. and Ugbebor, J. (2019) Prevalent Safety Hazards and Safety Practices in Maritime Transportation in Selected States in Southern Nigeria. </w:t>
      </w:r>
      <w:r w:rsidRPr="004D646D">
        <w:rPr>
          <w:rFonts w:ascii="Times New Roman" w:eastAsia="Times New Roman" w:hAnsi="Times New Roman" w:cs="Times New Roman"/>
          <w:i/>
          <w:iCs/>
          <w:kern w:val="0"/>
          <w:sz w:val="24"/>
          <w:szCs w:val="24"/>
          <w14:ligatures w14:val="none"/>
        </w:rPr>
        <w:t>Open Journal of Safety Science and Technology,</w:t>
      </w:r>
      <w:r w:rsidRPr="004D646D">
        <w:rPr>
          <w:rFonts w:ascii="Times New Roman" w:eastAsia="Times New Roman" w:hAnsi="Times New Roman" w:cs="Times New Roman"/>
          <w:kern w:val="0"/>
          <w:sz w:val="24"/>
          <w:szCs w:val="24"/>
          <w14:ligatures w14:val="none"/>
        </w:rPr>
        <w:t xml:space="preserve"> 9, 83-92. doi: 10.4236/ojsst.2019.93006. </w:t>
      </w:r>
    </w:p>
    <w:p w:rsidR="00F777E5"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F9457C">
        <w:rPr>
          <w:rFonts w:ascii="Times New Roman" w:hAnsi="Times New Roman" w:cs="Times New Roman"/>
          <w:sz w:val="24"/>
          <w:szCs w:val="24"/>
        </w:rPr>
        <w:t>Obadina</w:t>
      </w:r>
      <w:proofErr w:type="spellEnd"/>
      <w:r w:rsidRPr="00F9457C">
        <w:rPr>
          <w:rFonts w:ascii="Times New Roman" w:hAnsi="Times New Roman" w:cs="Times New Roman"/>
          <w:sz w:val="24"/>
          <w:szCs w:val="24"/>
        </w:rPr>
        <w:t xml:space="preserve">, S., </w:t>
      </w:r>
      <w:proofErr w:type="spellStart"/>
      <w:r w:rsidRPr="00F9457C">
        <w:rPr>
          <w:rFonts w:ascii="Times New Roman" w:hAnsi="Times New Roman" w:cs="Times New Roman"/>
          <w:sz w:val="24"/>
          <w:szCs w:val="24"/>
        </w:rPr>
        <w:t>Ogboeli</w:t>
      </w:r>
      <w:proofErr w:type="spellEnd"/>
      <w:r w:rsidRPr="00F9457C">
        <w:rPr>
          <w:rFonts w:ascii="Times New Roman" w:hAnsi="Times New Roman" w:cs="Times New Roman"/>
          <w:sz w:val="24"/>
          <w:szCs w:val="24"/>
        </w:rPr>
        <w:t xml:space="preserve">, G. P., </w:t>
      </w:r>
      <w:proofErr w:type="spellStart"/>
      <w:r w:rsidRPr="00F9457C">
        <w:rPr>
          <w:rFonts w:ascii="Times New Roman" w:hAnsi="Times New Roman" w:cs="Times New Roman"/>
          <w:sz w:val="24"/>
          <w:szCs w:val="24"/>
        </w:rPr>
        <w:t>Nimame</w:t>
      </w:r>
      <w:proofErr w:type="spellEnd"/>
      <w:r w:rsidRPr="00F9457C">
        <w:rPr>
          <w:rFonts w:ascii="Times New Roman" w:hAnsi="Times New Roman" w:cs="Times New Roman"/>
          <w:sz w:val="24"/>
          <w:szCs w:val="24"/>
        </w:rPr>
        <w:t>, P. K. (202</w:t>
      </w:r>
      <w:r>
        <w:rPr>
          <w:rFonts w:ascii="Times New Roman" w:hAnsi="Times New Roman" w:cs="Times New Roman"/>
          <w:sz w:val="24"/>
          <w:szCs w:val="24"/>
        </w:rPr>
        <w:t>6</w:t>
      </w:r>
      <w:r w:rsidRPr="00F9457C">
        <w:rPr>
          <w:rFonts w:ascii="Times New Roman" w:hAnsi="Times New Roman" w:cs="Times New Roman"/>
          <w:sz w:val="24"/>
          <w:szCs w:val="24"/>
        </w:rPr>
        <w:t xml:space="preserve">). Mapping Vulnerability and Improving Disaster Response through Inland Waterways in Rivers State. </w:t>
      </w:r>
      <w:r w:rsidRPr="00FE602D">
        <w:rPr>
          <w:rFonts w:ascii="Times New Roman" w:hAnsi="Times New Roman" w:cs="Times New Roman"/>
          <w:i/>
          <w:iCs/>
          <w:sz w:val="24"/>
          <w:szCs w:val="24"/>
        </w:rPr>
        <w:t>Global Journal of Earth and Environmental Science</w:t>
      </w:r>
      <w:r w:rsidRPr="00F9457C">
        <w:rPr>
          <w:rFonts w:ascii="Times New Roman" w:hAnsi="Times New Roman" w:cs="Times New Roman"/>
          <w:sz w:val="24"/>
          <w:szCs w:val="24"/>
        </w:rPr>
        <w:t xml:space="preserve"> 10(6), 237-252 https://doi.org/10.31248/GJEES2024.224</w:t>
      </w:r>
    </w:p>
    <w:p w:rsidR="00F777E5"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75286B">
        <w:rPr>
          <w:rFonts w:ascii="Times New Roman" w:hAnsi="Times New Roman" w:cs="Times New Roman"/>
          <w:sz w:val="24"/>
          <w:szCs w:val="24"/>
        </w:rPr>
        <w:t>Ogboeli</w:t>
      </w:r>
      <w:proofErr w:type="spellEnd"/>
      <w:r w:rsidRPr="0075286B">
        <w:rPr>
          <w:rFonts w:ascii="Times New Roman" w:hAnsi="Times New Roman" w:cs="Times New Roman"/>
          <w:sz w:val="24"/>
          <w:szCs w:val="24"/>
        </w:rPr>
        <w:t xml:space="preserve"> G. P. N., </w:t>
      </w:r>
      <w:proofErr w:type="spellStart"/>
      <w:r w:rsidRPr="0075286B">
        <w:rPr>
          <w:rFonts w:ascii="Times New Roman" w:hAnsi="Times New Roman" w:cs="Times New Roman"/>
          <w:sz w:val="24"/>
          <w:szCs w:val="24"/>
        </w:rPr>
        <w:t>Chilaka</w:t>
      </w:r>
      <w:proofErr w:type="spellEnd"/>
      <w:r w:rsidRPr="0075286B">
        <w:rPr>
          <w:rFonts w:ascii="Times New Roman" w:hAnsi="Times New Roman" w:cs="Times New Roman"/>
          <w:sz w:val="24"/>
          <w:szCs w:val="24"/>
        </w:rPr>
        <w:t xml:space="preserve">, S. N. &amp; Dan, I. C. (2024). River Basin Network Channel and Flood Menace Control in Greater Port Harcourt, Rivers State. </w:t>
      </w:r>
      <w:r w:rsidRPr="0075286B">
        <w:rPr>
          <w:rFonts w:ascii="Times New Roman" w:hAnsi="Times New Roman" w:cs="Times New Roman"/>
          <w:i/>
          <w:iCs/>
          <w:sz w:val="24"/>
          <w:szCs w:val="24"/>
        </w:rPr>
        <w:t>Global Scientific Journal</w:t>
      </w:r>
      <w:r w:rsidRPr="0075286B">
        <w:rPr>
          <w:rFonts w:ascii="Times New Roman" w:hAnsi="Times New Roman" w:cs="Times New Roman"/>
          <w:sz w:val="24"/>
          <w:szCs w:val="24"/>
        </w:rPr>
        <w:t xml:space="preserve"> 12 (12):47-53</w:t>
      </w:r>
    </w:p>
    <w:p w:rsidR="00F777E5" w:rsidRPr="002A30C6"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75286B">
        <w:rPr>
          <w:rFonts w:ascii="Times New Roman" w:hAnsi="Times New Roman" w:cs="Times New Roman"/>
          <w:sz w:val="24"/>
          <w:szCs w:val="24"/>
        </w:rPr>
        <w:t>Ogboeli</w:t>
      </w:r>
      <w:proofErr w:type="spellEnd"/>
      <w:r w:rsidRPr="0075286B">
        <w:rPr>
          <w:rFonts w:ascii="Times New Roman" w:hAnsi="Times New Roman" w:cs="Times New Roman"/>
          <w:sz w:val="24"/>
          <w:szCs w:val="24"/>
        </w:rPr>
        <w:t xml:space="preserve"> G. P. N., </w:t>
      </w:r>
      <w:proofErr w:type="spellStart"/>
      <w:r w:rsidRPr="0075286B">
        <w:rPr>
          <w:rFonts w:ascii="Times New Roman" w:hAnsi="Times New Roman" w:cs="Times New Roman"/>
          <w:sz w:val="24"/>
          <w:szCs w:val="24"/>
        </w:rPr>
        <w:t>Chilaka</w:t>
      </w:r>
      <w:proofErr w:type="spellEnd"/>
      <w:r w:rsidRPr="0075286B">
        <w:rPr>
          <w:rFonts w:ascii="Times New Roman" w:hAnsi="Times New Roman" w:cs="Times New Roman"/>
          <w:sz w:val="24"/>
          <w:szCs w:val="24"/>
        </w:rPr>
        <w:t xml:space="preserve">, S. N., </w:t>
      </w:r>
      <w:proofErr w:type="spellStart"/>
      <w:r w:rsidRPr="0075286B">
        <w:rPr>
          <w:rFonts w:ascii="Times New Roman" w:hAnsi="Times New Roman" w:cs="Times New Roman"/>
          <w:sz w:val="24"/>
          <w:szCs w:val="24"/>
        </w:rPr>
        <w:t>Abam</w:t>
      </w:r>
      <w:proofErr w:type="spellEnd"/>
      <w:r w:rsidRPr="0075286B">
        <w:rPr>
          <w:rFonts w:ascii="Times New Roman" w:hAnsi="Times New Roman" w:cs="Times New Roman"/>
          <w:sz w:val="24"/>
          <w:szCs w:val="24"/>
        </w:rPr>
        <w:t xml:space="preserve">, T. K. S., </w:t>
      </w:r>
      <w:proofErr w:type="spellStart"/>
      <w:r w:rsidRPr="0075286B">
        <w:rPr>
          <w:rFonts w:ascii="Times New Roman" w:hAnsi="Times New Roman" w:cs="Times New Roman"/>
          <w:sz w:val="24"/>
          <w:szCs w:val="24"/>
        </w:rPr>
        <w:t>Onwuteka</w:t>
      </w:r>
      <w:proofErr w:type="spellEnd"/>
      <w:r w:rsidRPr="0075286B">
        <w:rPr>
          <w:rFonts w:ascii="Times New Roman" w:hAnsi="Times New Roman" w:cs="Times New Roman"/>
          <w:sz w:val="24"/>
          <w:szCs w:val="24"/>
        </w:rPr>
        <w:t xml:space="preserve">, J.N. (2024). Spatial Map Flood Vulnerability Matrix of Communities in the Greater Port Harcourt. </w:t>
      </w:r>
      <w:r w:rsidRPr="0075286B">
        <w:rPr>
          <w:rFonts w:ascii="Times New Roman" w:hAnsi="Times New Roman" w:cs="Times New Roman"/>
          <w:i/>
          <w:iCs/>
          <w:sz w:val="24"/>
          <w:szCs w:val="24"/>
        </w:rPr>
        <w:t>International Journal Multidisciplinary Research in Science, Engineering and Technology</w:t>
      </w:r>
      <w:r w:rsidRPr="0075286B">
        <w:rPr>
          <w:rFonts w:ascii="Times New Roman" w:hAnsi="Times New Roman" w:cs="Times New Roman"/>
          <w:sz w:val="24"/>
          <w:szCs w:val="24"/>
        </w:rPr>
        <w:t>, 7(11):16416-16431</w:t>
      </w:r>
    </w:p>
    <w:p w:rsidR="00F777E5" w:rsidRDefault="00F777E5" w:rsidP="00F777E5">
      <w:pPr>
        <w:autoSpaceDE w:val="0"/>
        <w:autoSpaceDN w:val="0"/>
        <w:adjustRightInd w:val="0"/>
        <w:spacing w:after="0" w:line="240" w:lineRule="auto"/>
        <w:ind w:left="720" w:hanging="720"/>
        <w:jc w:val="both"/>
        <w:rPr>
          <w:rFonts w:ascii="Times New Roman" w:eastAsia="Calibri" w:hAnsi="Times New Roman" w:cs="Times New Roman"/>
          <w:sz w:val="24"/>
          <w:szCs w:val="24"/>
          <w:lang w:val="en-GB"/>
        </w:rPr>
      </w:pPr>
      <w:bookmarkStart w:id="2" w:name="_Hlk199056116"/>
      <w:proofErr w:type="spellStart"/>
      <w:r w:rsidRPr="00886ED6">
        <w:rPr>
          <w:rFonts w:ascii="Times New Roman" w:eastAsia="Calibri" w:hAnsi="Times New Roman" w:cs="Times New Roman"/>
          <w:sz w:val="24"/>
          <w:szCs w:val="24"/>
          <w:lang w:val="en-GB"/>
        </w:rPr>
        <w:t>Ogboeli</w:t>
      </w:r>
      <w:proofErr w:type="spellEnd"/>
      <w:r w:rsidRPr="00886ED6">
        <w:rPr>
          <w:rFonts w:ascii="Times New Roman" w:eastAsia="Calibri" w:hAnsi="Times New Roman" w:cs="Times New Roman"/>
          <w:sz w:val="24"/>
          <w:szCs w:val="24"/>
          <w:lang w:val="en-GB"/>
        </w:rPr>
        <w:t xml:space="preserve"> G. P., Brown I. &amp; </w:t>
      </w:r>
      <w:proofErr w:type="spellStart"/>
      <w:r w:rsidRPr="00886ED6">
        <w:rPr>
          <w:rFonts w:ascii="Times New Roman" w:eastAsia="Calibri" w:hAnsi="Times New Roman" w:cs="Times New Roman"/>
          <w:sz w:val="24"/>
          <w:szCs w:val="24"/>
          <w:lang w:val="en-GB"/>
        </w:rPr>
        <w:t>Onuegbu</w:t>
      </w:r>
      <w:proofErr w:type="spellEnd"/>
      <w:r w:rsidRPr="00886ED6">
        <w:rPr>
          <w:rFonts w:ascii="Times New Roman" w:eastAsia="Calibri" w:hAnsi="Times New Roman" w:cs="Times New Roman"/>
          <w:sz w:val="24"/>
          <w:szCs w:val="24"/>
          <w:lang w:val="en-GB"/>
        </w:rPr>
        <w:t xml:space="preserve"> W. (2024). Evincing the social and economic impact of inland waterways transportation in the development of the Port Harcourt metropolis. </w:t>
      </w:r>
      <w:r w:rsidRPr="00886ED6">
        <w:rPr>
          <w:rFonts w:ascii="Times New Roman" w:eastAsia="Calibri" w:hAnsi="Times New Roman" w:cs="Times New Roman"/>
          <w:i/>
          <w:iCs/>
          <w:sz w:val="24"/>
          <w:szCs w:val="24"/>
          <w:lang w:val="en-GB"/>
        </w:rPr>
        <w:t>International Journal of Hydrology,</w:t>
      </w:r>
      <w:r w:rsidRPr="00886ED6">
        <w:rPr>
          <w:rFonts w:ascii="Times New Roman" w:eastAsia="Calibri" w:hAnsi="Times New Roman" w:cs="Times New Roman"/>
          <w:sz w:val="24"/>
          <w:szCs w:val="24"/>
          <w:lang w:val="en-GB"/>
        </w:rPr>
        <w:t xml:space="preserve"> 8(1): 27‒35.</w:t>
      </w:r>
      <w:bookmarkEnd w:id="2"/>
    </w:p>
    <w:p w:rsidR="00F777E5" w:rsidRPr="00774CCE" w:rsidRDefault="00F777E5" w:rsidP="00F777E5">
      <w:pPr>
        <w:spacing w:after="200" w:line="240" w:lineRule="auto"/>
        <w:ind w:left="1080" w:hanging="990"/>
        <w:contextualSpacing/>
        <w:jc w:val="both"/>
        <w:rPr>
          <w:rFonts w:ascii="Times New Roman" w:eastAsia="Times New Roman" w:hAnsi="Times New Roman" w:cs="Times New Roman"/>
          <w:i/>
          <w:iCs/>
          <w:kern w:val="0"/>
          <w:sz w:val="24"/>
          <w:szCs w:val="24"/>
          <w14:ligatures w14:val="none"/>
        </w:rPr>
      </w:pPr>
      <w:r w:rsidRPr="00774CCE">
        <w:rPr>
          <w:rFonts w:ascii="Times New Roman" w:eastAsia="Times New Roman" w:hAnsi="Times New Roman" w:cs="Times New Roman"/>
          <w:kern w:val="0"/>
          <w:sz w:val="24"/>
          <w:szCs w:val="24"/>
          <w14:ligatures w14:val="none"/>
        </w:rPr>
        <w:t xml:space="preserve">Okon, I.E., Jatau, S.U., &amp; Attah, A.A. (2023). Assessment of Safety Measures and Operational Challenges of Inland Waterway Transport along Oron - Calabar Route, Nigeria. </w:t>
      </w:r>
      <w:r w:rsidRPr="00774CCE">
        <w:rPr>
          <w:rFonts w:ascii="Times New Roman" w:eastAsia="Times New Roman" w:hAnsi="Times New Roman" w:cs="Times New Roman"/>
          <w:i/>
          <w:iCs/>
          <w:kern w:val="0"/>
          <w:sz w:val="24"/>
          <w:szCs w:val="24"/>
          <w14:ligatures w14:val="none"/>
        </w:rPr>
        <w:t>Aceh International Journal of Science and Technology.</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B563C4">
        <w:rPr>
          <w:rFonts w:ascii="Times New Roman" w:eastAsia="Times New Roman" w:hAnsi="Times New Roman" w:cs="Times New Roman"/>
          <w:kern w:val="0"/>
          <w:sz w:val="24"/>
          <w:szCs w:val="24"/>
          <w14:ligatures w14:val="none"/>
        </w:rPr>
        <w:t>Primadi</w:t>
      </w:r>
      <w:r>
        <w:rPr>
          <w:rFonts w:ascii="Times New Roman" w:eastAsia="Times New Roman" w:hAnsi="Times New Roman" w:cs="Times New Roman"/>
          <w:kern w:val="0"/>
          <w:sz w:val="24"/>
          <w:szCs w:val="24"/>
          <w14:ligatures w14:val="none"/>
        </w:rPr>
        <w:t xml:space="preserve">, A. &amp; </w:t>
      </w:r>
      <w:r w:rsidRPr="00B563C4">
        <w:rPr>
          <w:rFonts w:ascii="Times New Roman" w:eastAsia="Times New Roman" w:hAnsi="Times New Roman" w:cs="Times New Roman"/>
          <w:kern w:val="0"/>
          <w:sz w:val="24"/>
          <w:szCs w:val="24"/>
          <w14:ligatures w14:val="none"/>
        </w:rPr>
        <w:t>Yosepha</w:t>
      </w:r>
      <w:r>
        <w:rPr>
          <w:rFonts w:ascii="Times New Roman" w:eastAsia="Times New Roman" w:hAnsi="Times New Roman" w:cs="Times New Roman"/>
          <w:kern w:val="0"/>
          <w:sz w:val="24"/>
          <w:szCs w:val="24"/>
          <w14:ligatures w14:val="none"/>
        </w:rPr>
        <w:t xml:space="preserve">, S. Y. (2024). </w:t>
      </w:r>
      <w:r w:rsidRPr="00B563C4">
        <w:rPr>
          <w:rFonts w:ascii="Times New Roman" w:eastAsia="Times New Roman" w:hAnsi="Times New Roman" w:cs="Times New Roman"/>
          <w:kern w:val="0"/>
          <w:sz w:val="24"/>
          <w:szCs w:val="24"/>
          <w14:ligatures w14:val="none"/>
        </w:rPr>
        <w:t>Humanitarian Logistics in Post-Disaster Response: Lessons from the 2018 Earthquake and Tsunami in Palu and Donggala</w:t>
      </w:r>
      <w:r>
        <w:rPr>
          <w:rFonts w:ascii="Times New Roman" w:eastAsia="Times New Roman" w:hAnsi="Times New Roman" w:cs="Times New Roman"/>
          <w:kern w:val="0"/>
          <w:sz w:val="24"/>
          <w:szCs w:val="24"/>
          <w14:ligatures w14:val="none"/>
        </w:rPr>
        <w:t xml:space="preserve">. </w:t>
      </w:r>
      <w:r w:rsidRPr="00B563C4">
        <w:rPr>
          <w:rFonts w:ascii="Times New Roman" w:eastAsia="Times New Roman" w:hAnsi="Times New Roman" w:cs="Times New Roman"/>
          <w:i/>
          <w:iCs/>
          <w:kern w:val="0"/>
          <w:sz w:val="24"/>
          <w:szCs w:val="24"/>
          <w14:ligatures w14:val="none"/>
        </w:rPr>
        <w:t>Logistica Journal of Logistic and Transportation</w:t>
      </w:r>
      <w:r w:rsidRPr="00B563C4">
        <w:rPr>
          <w:rFonts w:ascii="Times New Roman" w:eastAsia="Times New Roman" w:hAnsi="Times New Roman" w:cs="Times New Roman"/>
          <w:kern w:val="0"/>
          <w:sz w:val="24"/>
          <w:szCs w:val="24"/>
          <w14:ligatures w14:val="none"/>
        </w:rPr>
        <w:t xml:space="preserve"> 2(3):177-188   DOI: 10.61978/logistica.v2i3.678</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Pr="00F9457C">
        <w:rPr>
          <w:rFonts w:ascii="Times New Roman" w:eastAsia="Times New Roman" w:hAnsi="Times New Roman" w:cs="Times New Roman"/>
          <w:kern w:val="0"/>
          <w:sz w:val="24"/>
          <w:szCs w:val="24"/>
          <w14:ligatures w14:val="none"/>
        </w:rPr>
        <w:t>huaibu D</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Mohammed B</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J</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Habibat S</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&amp; Murjanatu G</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A. (2024). The Role of Geographic Information Systems (GIS) as an Effective Tool in Environmental Planning and Management. </w:t>
      </w:r>
      <w:r w:rsidRPr="00F9457C">
        <w:rPr>
          <w:rFonts w:ascii="Times New Roman" w:eastAsia="Times New Roman" w:hAnsi="Times New Roman" w:cs="Times New Roman"/>
          <w:i/>
          <w:iCs/>
          <w:kern w:val="0"/>
          <w:sz w:val="24"/>
          <w:szCs w:val="24"/>
          <w14:ligatures w14:val="none"/>
        </w:rPr>
        <w:t>Journal of Built Environment and Geological Research</w:t>
      </w:r>
      <w:r w:rsidRPr="00F9457C">
        <w:rPr>
          <w:rFonts w:ascii="Times New Roman" w:eastAsia="Times New Roman" w:hAnsi="Times New Roman" w:cs="Times New Roman"/>
          <w:kern w:val="0"/>
          <w:sz w:val="24"/>
          <w:szCs w:val="24"/>
          <w14:ligatures w14:val="none"/>
        </w:rPr>
        <w:t xml:space="preserve">, 3(4). </w:t>
      </w:r>
      <w:hyperlink r:id="rId9" w:history="1">
        <w:r w:rsidRPr="0040337C">
          <w:rPr>
            <w:rStyle w:val="Hyperlink"/>
            <w:rFonts w:ascii="Times New Roman" w:eastAsia="Times New Roman" w:hAnsi="Times New Roman" w:cs="Times New Roman"/>
            <w:kern w:val="0"/>
            <w:sz w:val="24"/>
            <w:szCs w:val="24"/>
            <w14:ligatures w14:val="none"/>
          </w:rPr>
          <w:t>https://africanscholarpub.com/ajbegr/article/view/174</w:t>
        </w:r>
      </w:hyperlink>
    </w:p>
    <w:p w:rsidR="007770C1" w:rsidRPr="00E80D06" w:rsidRDefault="007770C1" w:rsidP="00F777E5">
      <w:pPr>
        <w:spacing w:after="200" w:line="240" w:lineRule="auto"/>
        <w:ind w:left="1080" w:hanging="990"/>
        <w:contextualSpacing/>
        <w:jc w:val="both"/>
        <w:rPr>
          <w:rFonts w:ascii="Times New Roman" w:hAnsi="Times New Roman" w:cs="Times New Roman"/>
          <w:sz w:val="24"/>
          <w:szCs w:val="24"/>
        </w:rPr>
      </w:pPr>
      <w:bookmarkStart w:id="3" w:name="_GoBack"/>
      <w:bookmarkEnd w:id="3"/>
    </w:p>
    <w:sectPr w:rsidR="007770C1" w:rsidRPr="00E80D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7CAA"/>
    <w:multiLevelType w:val="hybridMultilevel"/>
    <w:tmpl w:val="906287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AC68E2"/>
    <w:multiLevelType w:val="hybridMultilevel"/>
    <w:tmpl w:val="B496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154E23"/>
    <w:multiLevelType w:val="hybridMultilevel"/>
    <w:tmpl w:val="C07273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3840D6E"/>
    <w:multiLevelType w:val="hybridMultilevel"/>
    <w:tmpl w:val="B496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C05915"/>
    <w:multiLevelType w:val="hybridMultilevel"/>
    <w:tmpl w:val="A60241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C4"/>
    <w:rsid w:val="00010F8F"/>
    <w:rsid w:val="00020848"/>
    <w:rsid w:val="000766F7"/>
    <w:rsid w:val="00143AF7"/>
    <w:rsid w:val="00165849"/>
    <w:rsid w:val="001C4E35"/>
    <w:rsid w:val="001E7457"/>
    <w:rsid w:val="002368D8"/>
    <w:rsid w:val="00261779"/>
    <w:rsid w:val="00297E3A"/>
    <w:rsid w:val="002C7D4C"/>
    <w:rsid w:val="003539F3"/>
    <w:rsid w:val="003736D2"/>
    <w:rsid w:val="00380EC5"/>
    <w:rsid w:val="003E41DA"/>
    <w:rsid w:val="00454175"/>
    <w:rsid w:val="00466A8E"/>
    <w:rsid w:val="004B5305"/>
    <w:rsid w:val="004B7661"/>
    <w:rsid w:val="005232C4"/>
    <w:rsid w:val="00577567"/>
    <w:rsid w:val="005E3784"/>
    <w:rsid w:val="00627EC0"/>
    <w:rsid w:val="006515BF"/>
    <w:rsid w:val="006F1D27"/>
    <w:rsid w:val="006F23FD"/>
    <w:rsid w:val="00712D96"/>
    <w:rsid w:val="00737B11"/>
    <w:rsid w:val="0076782C"/>
    <w:rsid w:val="007741FF"/>
    <w:rsid w:val="007770C1"/>
    <w:rsid w:val="007D4235"/>
    <w:rsid w:val="007D792F"/>
    <w:rsid w:val="007F5834"/>
    <w:rsid w:val="00832B47"/>
    <w:rsid w:val="008B7C4C"/>
    <w:rsid w:val="008E6FBF"/>
    <w:rsid w:val="00917F4B"/>
    <w:rsid w:val="009A1708"/>
    <w:rsid w:val="009B680C"/>
    <w:rsid w:val="00A22B55"/>
    <w:rsid w:val="00A86309"/>
    <w:rsid w:val="00A90496"/>
    <w:rsid w:val="00A90898"/>
    <w:rsid w:val="00AF469F"/>
    <w:rsid w:val="00B177ED"/>
    <w:rsid w:val="00B51D27"/>
    <w:rsid w:val="00B52831"/>
    <w:rsid w:val="00BD4133"/>
    <w:rsid w:val="00BE11F0"/>
    <w:rsid w:val="00C21CBB"/>
    <w:rsid w:val="00C622C4"/>
    <w:rsid w:val="00C6266F"/>
    <w:rsid w:val="00C91576"/>
    <w:rsid w:val="00CB2AC4"/>
    <w:rsid w:val="00CB45C4"/>
    <w:rsid w:val="00CD2889"/>
    <w:rsid w:val="00D04DA2"/>
    <w:rsid w:val="00D0684E"/>
    <w:rsid w:val="00D46E0D"/>
    <w:rsid w:val="00D510BB"/>
    <w:rsid w:val="00D82697"/>
    <w:rsid w:val="00DC0C1B"/>
    <w:rsid w:val="00DC47D6"/>
    <w:rsid w:val="00E15BC4"/>
    <w:rsid w:val="00E80D06"/>
    <w:rsid w:val="00E83E02"/>
    <w:rsid w:val="00ED05DE"/>
    <w:rsid w:val="00ED3BAD"/>
    <w:rsid w:val="00ED4EB3"/>
    <w:rsid w:val="00ED7E10"/>
    <w:rsid w:val="00EE7DD0"/>
    <w:rsid w:val="00EF1FA4"/>
    <w:rsid w:val="00F236B9"/>
    <w:rsid w:val="00F3226F"/>
    <w:rsid w:val="00F777E5"/>
    <w:rsid w:val="00F84231"/>
    <w:rsid w:val="00FD053F"/>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A4C26"/>
  <w15:chartTrackingRefBased/>
  <w15:docId w15:val="{7D2A8074-40DC-4065-9EF3-757D60E2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5C4"/>
    <w:rPr>
      <w:rFonts w:eastAsiaTheme="majorEastAsia" w:cstheme="majorBidi"/>
      <w:color w:val="272727" w:themeColor="text1" w:themeTint="D8"/>
    </w:rPr>
  </w:style>
  <w:style w:type="paragraph" w:styleId="Title">
    <w:name w:val="Title"/>
    <w:basedOn w:val="Normal"/>
    <w:next w:val="Normal"/>
    <w:link w:val="TitleChar"/>
    <w:uiPriority w:val="10"/>
    <w:qFormat/>
    <w:rsid w:val="00CB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5C4"/>
    <w:pPr>
      <w:spacing w:before="160"/>
      <w:jc w:val="center"/>
    </w:pPr>
    <w:rPr>
      <w:i/>
      <w:iCs/>
      <w:color w:val="404040" w:themeColor="text1" w:themeTint="BF"/>
    </w:rPr>
  </w:style>
  <w:style w:type="character" w:customStyle="1" w:styleId="QuoteChar">
    <w:name w:val="Quote Char"/>
    <w:basedOn w:val="DefaultParagraphFont"/>
    <w:link w:val="Quote"/>
    <w:uiPriority w:val="29"/>
    <w:rsid w:val="00CB45C4"/>
    <w:rPr>
      <w:i/>
      <w:iCs/>
      <w:color w:val="404040" w:themeColor="text1" w:themeTint="BF"/>
    </w:rPr>
  </w:style>
  <w:style w:type="paragraph" w:styleId="ListParagraph">
    <w:name w:val="List Paragraph"/>
    <w:basedOn w:val="Normal"/>
    <w:uiPriority w:val="34"/>
    <w:qFormat/>
    <w:rsid w:val="00CB45C4"/>
    <w:pPr>
      <w:ind w:left="720"/>
      <w:contextualSpacing/>
    </w:pPr>
  </w:style>
  <w:style w:type="character" w:styleId="IntenseEmphasis">
    <w:name w:val="Intense Emphasis"/>
    <w:basedOn w:val="DefaultParagraphFont"/>
    <w:uiPriority w:val="21"/>
    <w:qFormat/>
    <w:rsid w:val="00CB45C4"/>
    <w:rPr>
      <w:i/>
      <w:iCs/>
      <w:color w:val="2F5496" w:themeColor="accent1" w:themeShade="BF"/>
    </w:rPr>
  </w:style>
  <w:style w:type="paragraph" w:styleId="IntenseQuote">
    <w:name w:val="Intense Quote"/>
    <w:basedOn w:val="Normal"/>
    <w:next w:val="Normal"/>
    <w:link w:val="IntenseQuoteChar"/>
    <w:uiPriority w:val="30"/>
    <w:qFormat/>
    <w:rsid w:val="00CB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5C4"/>
    <w:rPr>
      <w:i/>
      <w:iCs/>
      <w:color w:val="2F5496" w:themeColor="accent1" w:themeShade="BF"/>
    </w:rPr>
  </w:style>
  <w:style w:type="character" w:styleId="IntenseReference">
    <w:name w:val="Intense Reference"/>
    <w:basedOn w:val="DefaultParagraphFont"/>
    <w:uiPriority w:val="32"/>
    <w:qFormat/>
    <w:rsid w:val="00CB45C4"/>
    <w:rPr>
      <w:b/>
      <w:bCs/>
      <w:smallCaps/>
      <w:color w:val="2F5496" w:themeColor="accent1" w:themeShade="BF"/>
      <w:spacing w:val="5"/>
    </w:rPr>
  </w:style>
  <w:style w:type="table" w:styleId="TableGrid">
    <w:name w:val="Table Grid"/>
    <w:basedOn w:val="TableNormal"/>
    <w:uiPriority w:val="39"/>
    <w:rsid w:val="00E80D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80D06"/>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77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w17213149" TargetMode="External"/><Relationship Id="rId3" Type="http://schemas.openxmlformats.org/officeDocument/2006/relationships/settings" Target="settings.xml"/><Relationship Id="rId7" Type="http://schemas.openxmlformats.org/officeDocument/2006/relationships/hyperlink" Target="https://dx.doi.org/10.47772/IJRISS.2025.905000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4018/ejgeo.2021.2.5.18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fricanscholarpub.com/ajbegr/article/view/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6112</Words>
  <Characters>32521</Characters>
  <Application>Microsoft Office Word</Application>
  <DocSecurity>0</DocSecurity>
  <Lines>1121</Lines>
  <Paragraphs>772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Institute of Geo-Science and Environmental Management, Rivers State University, </vt:lpstr>
    </vt:vector>
  </TitlesOfParts>
  <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Goodluck</dc:creator>
  <cp:keywords/>
  <dc:description/>
  <cp:lastModifiedBy>Editor-1183</cp:lastModifiedBy>
  <cp:revision>10</cp:revision>
  <dcterms:created xsi:type="dcterms:W3CDTF">2026-03-04T13:56:00Z</dcterms:created>
  <dcterms:modified xsi:type="dcterms:W3CDTF">2026-03-21T11:32:00Z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8043a993-6911-40a0-8565-2a79f00bc1d8</vt:lpwstr>
  </property>
</Properties>
</file>