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DF490" w14:textId="1968C766" w:rsidR="002E5E08" w:rsidRPr="00E02C4D" w:rsidRDefault="007C2FD9" w:rsidP="002E5E08">
      <w:pPr>
        <w:jc w:val="right"/>
        <w:rPr>
          <w:rFonts w:ascii="Arial" w:hAnsi="Arial" w:cs="Arial"/>
        </w:rPr>
      </w:pPr>
      <w:r w:rsidRPr="00E02C4D">
        <w:rPr>
          <w:rFonts w:ascii="Arial" w:hAnsi="Arial" w:cs="Arial"/>
          <w:b/>
          <w:bCs/>
        </w:rPr>
        <w:t xml:space="preserve">Integrated Physicochemical and Microbiological Assessment of Shallow </w:t>
      </w:r>
      <w:r w:rsidR="00E35DE8">
        <w:rPr>
          <w:rFonts w:ascii="Arial" w:hAnsi="Arial" w:cs="Arial"/>
          <w:b/>
          <w:bCs/>
        </w:rPr>
        <w:t xml:space="preserve">water in </w:t>
      </w:r>
      <w:proofErr w:type="spellStart"/>
      <w:r w:rsidR="00E35DE8">
        <w:rPr>
          <w:rFonts w:ascii="Arial" w:hAnsi="Arial" w:cs="Arial"/>
          <w:b/>
          <w:bCs/>
        </w:rPr>
        <w:t>Agbangnizoun</w:t>
      </w:r>
      <w:proofErr w:type="spellEnd"/>
      <w:r w:rsidR="00005B92">
        <w:rPr>
          <w:rFonts w:ascii="Arial" w:hAnsi="Arial" w:cs="Arial"/>
          <w:b/>
          <w:bCs/>
        </w:rPr>
        <w:t xml:space="preserve">, </w:t>
      </w:r>
      <w:r w:rsidR="00E35DE8">
        <w:rPr>
          <w:rFonts w:ascii="Arial" w:hAnsi="Arial" w:cs="Arial"/>
          <w:b/>
          <w:bCs/>
        </w:rPr>
        <w:t>Southern Benin</w:t>
      </w:r>
    </w:p>
    <w:p w14:paraId="51D4F992" w14:textId="5F294465" w:rsidR="00764E9E" w:rsidRPr="00E02C4D" w:rsidRDefault="00764E9E" w:rsidP="00764E9E">
      <w:pPr>
        <w:jc w:val="both"/>
        <w:rPr>
          <w:rFonts w:ascii="Arial" w:hAnsi="Arial" w:cs="Arial"/>
          <w:b/>
          <w:bCs/>
          <w:sz w:val="22"/>
          <w:szCs w:val="22"/>
        </w:rPr>
      </w:pPr>
      <w:r w:rsidRPr="00944425">
        <w:rPr>
          <w:rFonts w:ascii="Arial" w:hAnsi="Arial" w:cs="Arial"/>
          <w:b/>
          <w:bCs/>
          <w:sz w:val="22"/>
          <w:szCs w:val="22"/>
          <w:highlight w:val="yellow"/>
        </w:rPr>
        <w:t>Abstract</w:t>
      </w:r>
    </w:p>
    <w:p w14:paraId="3B17C049" w14:textId="5F162496" w:rsidR="005469A0" w:rsidRPr="00764806" w:rsidRDefault="00005B92" w:rsidP="00CD759D">
      <w:pPr>
        <w:spacing w:after="0" w:line="360" w:lineRule="auto"/>
        <w:ind w:right="565"/>
        <w:jc w:val="both"/>
        <w:rPr>
          <w:rFonts w:ascii="Arial" w:hAnsi="Arial" w:cs="Arial"/>
          <w:sz w:val="20"/>
          <w:szCs w:val="20"/>
        </w:rPr>
      </w:pPr>
      <w:r>
        <w:rPr>
          <w:rFonts w:ascii="Arial" w:hAnsi="Arial" w:cs="Arial"/>
          <w:b/>
          <w:bCs/>
          <w:sz w:val="20"/>
          <w:szCs w:val="20"/>
        </w:rPr>
        <w:t xml:space="preserve">Background and </w:t>
      </w:r>
      <w:r w:rsidR="00CD759D" w:rsidRPr="00764806">
        <w:rPr>
          <w:rFonts w:ascii="Arial" w:hAnsi="Arial" w:cs="Arial"/>
          <w:b/>
          <w:bCs/>
          <w:sz w:val="20"/>
          <w:szCs w:val="20"/>
        </w:rPr>
        <w:t>Aim:</w:t>
      </w:r>
      <w:r w:rsidR="005469A0">
        <w:rPr>
          <w:rFonts w:ascii="Arial" w:hAnsi="Arial" w:cs="Arial"/>
          <w:sz w:val="20"/>
          <w:szCs w:val="20"/>
        </w:rPr>
        <w:t xml:space="preserve"> </w:t>
      </w:r>
      <w:r w:rsidRPr="00005B92">
        <w:rPr>
          <w:rFonts w:ascii="Arial" w:hAnsi="Arial" w:cs="Arial"/>
          <w:sz w:val="20"/>
          <w:szCs w:val="20"/>
        </w:rPr>
        <w:t>Safe drinking water remains a major challenge in rural sub-Saharan Africa, where people rely on shallow groundwater sources. Groundwater quality is influenced by geology, recharge, land use, and human activities, affecting its vulnerability to contamination.</w:t>
      </w:r>
      <w:r>
        <w:rPr>
          <w:rFonts w:ascii="Arial" w:hAnsi="Arial" w:cs="Arial"/>
          <w:sz w:val="20"/>
          <w:szCs w:val="20"/>
        </w:rPr>
        <w:t xml:space="preserve"> </w:t>
      </w:r>
      <w:r w:rsidR="005469A0" w:rsidRPr="005469A0">
        <w:rPr>
          <w:rFonts w:ascii="Arial" w:hAnsi="Arial" w:cs="Arial"/>
          <w:sz w:val="20"/>
          <w:szCs w:val="20"/>
        </w:rPr>
        <w:t xml:space="preserve">This study quantitatively and qualitatively assessed the physicochemical and bacteriological quality of shallow well water </w:t>
      </w:r>
      <w:r w:rsidR="005469A0" w:rsidRPr="00944425">
        <w:rPr>
          <w:rFonts w:ascii="Arial" w:hAnsi="Arial" w:cs="Arial"/>
          <w:sz w:val="20"/>
          <w:szCs w:val="20"/>
        </w:rPr>
        <w:t>(</w:t>
      </w:r>
      <w:r w:rsidR="00E75D33" w:rsidRPr="00944425">
        <w:rPr>
          <w:rFonts w:ascii="Arial" w:hAnsi="Arial" w:cs="Arial"/>
          <w:sz w:val="20"/>
          <w:szCs w:val="20"/>
        </w:rPr>
        <w:t>17 to 45 m total depth</w:t>
      </w:r>
      <w:r w:rsidR="005469A0" w:rsidRPr="00944425">
        <w:rPr>
          <w:rFonts w:ascii="Arial" w:hAnsi="Arial" w:cs="Arial"/>
          <w:sz w:val="20"/>
          <w:szCs w:val="20"/>
        </w:rPr>
        <w:t>)</w:t>
      </w:r>
      <w:r w:rsidR="005469A0" w:rsidRPr="005469A0">
        <w:rPr>
          <w:rFonts w:ascii="Arial" w:hAnsi="Arial" w:cs="Arial"/>
          <w:sz w:val="20"/>
          <w:szCs w:val="20"/>
        </w:rPr>
        <w:t xml:space="preserve"> in the commune of </w:t>
      </w:r>
      <w:proofErr w:type="spellStart"/>
      <w:r w:rsidR="005469A0" w:rsidRPr="005469A0">
        <w:rPr>
          <w:rFonts w:ascii="Arial" w:hAnsi="Arial" w:cs="Arial"/>
          <w:sz w:val="20"/>
          <w:szCs w:val="20"/>
        </w:rPr>
        <w:t>Agbangnizoun</w:t>
      </w:r>
      <w:proofErr w:type="spellEnd"/>
      <w:r w:rsidR="005469A0" w:rsidRPr="005469A0">
        <w:rPr>
          <w:rFonts w:ascii="Arial" w:hAnsi="Arial" w:cs="Arial"/>
          <w:sz w:val="20"/>
          <w:szCs w:val="20"/>
        </w:rPr>
        <w:t xml:space="preserve"> and evaluated its spatial variability using an integrated Pollution Index.</w:t>
      </w:r>
    </w:p>
    <w:p w14:paraId="3BA41381" w14:textId="7949D4FE" w:rsidR="00CD759D" w:rsidRPr="001D365A"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 xml:space="preserve">Study </w:t>
      </w:r>
      <w:r w:rsidR="009C0BD7" w:rsidRPr="00764806">
        <w:rPr>
          <w:rFonts w:ascii="Arial" w:hAnsi="Arial" w:cs="Arial"/>
          <w:b/>
          <w:bCs/>
          <w:sz w:val="20"/>
          <w:szCs w:val="20"/>
        </w:rPr>
        <w:t>Design</w:t>
      </w:r>
      <w:r w:rsidR="009C0BD7" w:rsidRPr="00764806">
        <w:rPr>
          <w:rFonts w:ascii="Arial" w:hAnsi="Arial" w:cs="Arial"/>
          <w:sz w:val="20"/>
          <w:szCs w:val="20"/>
        </w:rPr>
        <w:t>:</w:t>
      </w:r>
      <w:r w:rsidR="009C0BD7" w:rsidRPr="009C0BD7">
        <w:rPr>
          <w:rFonts w:ascii="Arial" w:hAnsi="Arial" w:cs="Arial"/>
          <w:sz w:val="20"/>
          <w:szCs w:val="20"/>
        </w:rPr>
        <w:t xml:space="preserve"> This was a dry-season field sampling survey of shallow wells used for domestic water </w:t>
      </w:r>
      <w:r w:rsidR="009C0BD7" w:rsidRPr="001D365A">
        <w:rPr>
          <w:rFonts w:ascii="Arial" w:hAnsi="Arial" w:cs="Arial"/>
          <w:sz w:val="20"/>
          <w:szCs w:val="20"/>
        </w:rPr>
        <w:t xml:space="preserve">supply in </w:t>
      </w:r>
      <w:proofErr w:type="spellStart"/>
      <w:r w:rsidR="009C0BD7" w:rsidRPr="001D365A">
        <w:rPr>
          <w:rFonts w:ascii="Arial" w:hAnsi="Arial" w:cs="Arial"/>
          <w:sz w:val="20"/>
          <w:szCs w:val="20"/>
        </w:rPr>
        <w:t>Agbangnizoun</w:t>
      </w:r>
      <w:proofErr w:type="spellEnd"/>
      <w:r w:rsidR="009C0BD7" w:rsidRPr="001D365A">
        <w:rPr>
          <w:rFonts w:ascii="Arial" w:hAnsi="Arial" w:cs="Arial"/>
          <w:sz w:val="20"/>
          <w:szCs w:val="20"/>
        </w:rPr>
        <w:t>."</w:t>
      </w:r>
    </w:p>
    <w:p w14:paraId="208D1F4C" w14:textId="559D9CA8" w:rsidR="00CD759D" w:rsidRPr="001D365A" w:rsidRDefault="00CD759D" w:rsidP="00CD759D">
      <w:pPr>
        <w:spacing w:after="0" w:line="360" w:lineRule="auto"/>
        <w:ind w:right="565"/>
        <w:jc w:val="both"/>
        <w:rPr>
          <w:rFonts w:ascii="Arial" w:hAnsi="Arial" w:cs="Arial"/>
          <w:sz w:val="20"/>
          <w:szCs w:val="20"/>
        </w:rPr>
      </w:pPr>
      <w:r w:rsidRPr="001D365A">
        <w:rPr>
          <w:rFonts w:ascii="Arial" w:hAnsi="Arial" w:cs="Arial"/>
          <w:b/>
          <w:bCs/>
          <w:sz w:val="20"/>
          <w:szCs w:val="20"/>
        </w:rPr>
        <w:t>Place and Duration of Study:</w:t>
      </w:r>
      <w:r w:rsidRPr="001D365A">
        <w:rPr>
          <w:rFonts w:ascii="Arial" w:hAnsi="Arial" w:cs="Arial"/>
          <w:sz w:val="20"/>
          <w:szCs w:val="20"/>
        </w:rPr>
        <w:t xml:space="preserve"> The study was carried out in the commune of </w:t>
      </w:r>
      <w:proofErr w:type="spellStart"/>
      <w:r w:rsidRPr="001D365A">
        <w:rPr>
          <w:rFonts w:ascii="Arial" w:hAnsi="Arial" w:cs="Arial"/>
          <w:sz w:val="20"/>
          <w:szCs w:val="20"/>
        </w:rPr>
        <w:t>Agbangnizoun</w:t>
      </w:r>
      <w:proofErr w:type="spellEnd"/>
      <w:r w:rsidRPr="001D365A">
        <w:rPr>
          <w:rFonts w:ascii="Arial" w:hAnsi="Arial" w:cs="Arial"/>
          <w:sz w:val="20"/>
          <w:szCs w:val="20"/>
        </w:rPr>
        <w:t>, southern Benin, and sampling was performed during the dry season</w:t>
      </w:r>
      <w:r w:rsidR="00941947" w:rsidRPr="001D365A">
        <w:rPr>
          <w:rFonts w:ascii="Arial" w:hAnsi="Arial" w:cs="Arial"/>
          <w:sz w:val="20"/>
          <w:szCs w:val="20"/>
        </w:rPr>
        <w:t xml:space="preserve"> (December 2023 to March 2024)</w:t>
      </w:r>
      <w:r w:rsidRPr="001D365A">
        <w:rPr>
          <w:rFonts w:ascii="Arial" w:hAnsi="Arial" w:cs="Arial"/>
          <w:sz w:val="20"/>
          <w:szCs w:val="20"/>
        </w:rPr>
        <w:t>.</w:t>
      </w:r>
    </w:p>
    <w:p w14:paraId="60F65B82" w14:textId="54FE379D" w:rsidR="00CD759D" w:rsidRPr="001D365A" w:rsidRDefault="00CD759D" w:rsidP="00CD759D">
      <w:pPr>
        <w:spacing w:after="0" w:line="360" w:lineRule="auto"/>
        <w:ind w:right="565"/>
        <w:jc w:val="both"/>
        <w:rPr>
          <w:rFonts w:ascii="Arial" w:hAnsi="Arial" w:cs="Arial"/>
          <w:sz w:val="20"/>
          <w:szCs w:val="20"/>
        </w:rPr>
      </w:pPr>
      <w:r w:rsidRPr="001D365A">
        <w:rPr>
          <w:rFonts w:ascii="Arial" w:hAnsi="Arial" w:cs="Arial"/>
          <w:b/>
          <w:bCs/>
          <w:sz w:val="20"/>
          <w:szCs w:val="20"/>
        </w:rPr>
        <w:t>Methodology:</w:t>
      </w:r>
      <w:r w:rsidRPr="001D365A">
        <w:rPr>
          <w:rFonts w:ascii="Arial" w:hAnsi="Arial" w:cs="Arial"/>
          <w:sz w:val="20"/>
          <w:szCs w:val="20"/>
        </w:rPr>
        <w:t xml:space="preserve"> </w:t>
      </w:r>
      <w:r w:rsidR="00EC1886" w:rsidRPr="001D365A">
        <w:rPr>
          <w:rFonts w:ascii="Arial" w:hAnsi="Arial" w:cs="Arial"/>
          <w:sz w:val="20"/>
          <w:szCs w:val="20"/>
        </w:rPr>
        <w:t>Twenty-seven shallow wells</w:t>
      </w:r>
      <w:r w:rsidR="000E25B2" w:rsidRPr="001D365A">
        <w:rPr>
          <w:rFonts w:ascii="Arial" w:hAnsi="Arial" w:cs="Arial"/>
          <w:sz w:val="20"/>
          <w:szCs w:val="20"/>
        </w:rPr>
        <w:t xml:space="preserve"> </w:t>
      </w:r>
      <w:r w:rsidR="00EC1886" w:rsidRPr="001D365A">
        <w:rPr>
          <w:rFonts w:ascii="Arial" w:hAnsi="Arial" w:cs="Arial"/>
          <w:sz w:val="20"/>
          <w:szCs w:val="20"/>
        </w:rPr>
        <w:t>were sampled and analyzed for pH, electrical conductivity, major ions (Ca²</w:t>
      </w:r>
      <w:r w:rsidR="00EC1886" w:rsidRPr="001D365A">
        <w:rPr>
          <w:rFonts w:ascii="Cambria Math" w:hAnsi="Cambria Math" w:cs="Cambria Math"/>
          <w:sz w:val="20"/>
          <w:szCs w:val="20"/>
        </w:rPr>
        <w:t>⁺</w:t>
      </w:r>
      <w:r w:rsidR="00EC1886" w:rsidRPr="001D365A">
        <w:rPr>
          <w:rFonts w:ascii="Arial" w:hAnsi="Arial" w:cs="Arial"/>
          <w:sz w:val="20"/>
          <w:szCs w:val="20"/>
        </w:rPr>
        <w:t>, Mg²</w:t>
      </w:r>
      <w:r w:rsidR="00EC1886" w:rsidRPr="001D365A">
        <w:rPr>
          <w:rFonts w:ascii="Cambria Math" w:hAnsi="Cambria Math" w:cs="Cambria Math"/>
          <w:sz w:val="20"/>
          <w:szCs w:val="20"/>
        </w:rPr>
        <w:t>⁺</w:t>
      </w:r>
      <w:r w:rsidR="00EC1886" w:rsidRPr="001D365A">
        <w:rPr>
          <w:rFonts w:ascii="Arial" w:hAnsi="Arial" w:cs="Arial"/>
          <w:sz w:val="20"/>
          <w:szCs w:val="20"/>
        </w:rPr>
        <w:t>, Na</w:t>
      </w:r>
      <w:r w:rsidR="00EC1886" w:rsidRPr="001D365A">
        <w:rPr>
          <w:rFonts w:ascii="Cambria Math" w:hAnsi="Cambria Math" w:cs="Cambria Math"/>
          <w:sz w:val="20"/>
          <w:szCs w:val="20"/>
        </w:rPr>
        <w:t>⁺</w:t>
      </w:r>
      <w:r w:rsidR="00EC1886" w:rsidRPr="001D365A">
        <w:rPr>
          <w:rFonts w:ascii="Arial" w:hAnsi="Arial" w:cs="Arial"/>
          <w:sz w:val="20"/>
          <w:szCs w:val="20"/>
        </w:rPr>
        <w:t>, K</w:t>
      </w:r>
      <w:r w:rsidR="00EC1886" w:rsidRPr="001D365A">
        <w:rPr>
          <w:rFonts w:ascii="Cambria Math" w:hAnsi="Cambria Math" w:cs="Cambria Math"/>
          <w:sz w:val="20"/>
          <w:szCs w:val="20"/>
        </w:rPr>
        <w:t>⁺</w:t>
      </w:r>
      <w:r w:rsidR="00EC1886" w:rsidRPr="001D365A">
        <w:rPr>
          <w:rFonts w:ascii="Arial" w:hAnsi="Arial" w:cs="Arial"/>
          <w:sz w:val="20"/>
          <w:szCs w:val="20"/>
        </w:rPr>
        <w:t>, HCO</w:t>
      </w:r>
      <w:r w:rsidR="00EC1886" w:rsidRPr="001D365A">
        <w:rPr>
          <w:rFonts w:ascii="Cambria Math" w:hAnsi="Cambria Math" w:cs="Cambria Math"/>
          <w:sz w:val="20"/>
          <w:szCs w:val="20"/>
        </w:rPr>
        <w:t>₃⁻</w:t>
      </w:r>
      <w:r w:rsidR="00EC1886" w:rsidRPr="001D365A">
        <w:rPr>
          <w:rFonts w:ascii="Arial" w:hAnsi="Arial" w:cs="Arial"/>
          <w:sz w:val="20"/>
          <w:szCs w:val="20"/>
        </w:rPr>
        <w:t>, Cl</w:t>
      </w:r>
      <w:r w:rsidR="00EC1886" w:rsidRPr="001D365A">
        <w:rPr>
          <w:rFonts w:ascii="Cambria Math" w:hAnsi="Cambria Math" w:cs="Cambria Math"/>
          <w:sz w:val="20"/>
          <w:szCs w:val="20"/>
        </w:rPr>
        <w:t>⁻</w:t>
      </w:r>
      <w:r w:rsidR="00EC1886" w:rsidRPr="001D365A">
        <w:rPr>
          <w:rFonts w:ascii="Arial" w:hAnsi="Arial" w:cs="Arial"/>
          <w:sz w:val="20"/>
          <w:szCs w:val="20"/>
        </w:rPr>
        <w:t>, SO</w:t>
      </w:r>
      <w:r w:rsidR="00EC1886" w:rsidRPr="001D365A">
        <w:rPr>
          <w:rFonts w:ascii="Cambria Math" w:hAnsi="Cambria Math" w:cs="Cambria Math"/>
          <w:sz w:val="20"/>
          <w:szCs w:val="20"/>
        </w:rPr>
        <w:t>₄</w:t>
      </w:r>
      <w:r w:rsidR="00EC1886" w:rsidRPr="001D365A">
        <w:rPr>
          <w:rFonts w:ascii="Arial" w:hAnsi="Arial" w:cs="Arial"/>
          <w:sz w:val="20"/>
          <w:szCs w:val="20"/>
        </w:rPr>
        <w:t>²</w:t>
      </w:r>
      <w:r w:rsidR="00EC1886" w:rsidRPr="001D365A">
        <w:rPr>
          <w:rFonts w:ascii="Cambria Math" w:hAnsi="Cambria Math" w:cs="Cambria Math"/>
          <w:sz w:val="20"/>
          <w:szCs w:val="20"/>
        </w:rPr>
        <w:t>⁻</w:t>
      </w:r>
      <w:r w:rsidR="00EC1886" w:rsidRPr="001D365A">
        <w:rPr>
          <w:rFonts w:ascii="Arial" w:hAnsi="Arial" w:cs="Arial"/>
          <w:sz w:val="20"/>
          <w:szCs w:val="20"/>
        </w:rPr>
        <w:t>, NO</w:t>
      </w:r>
      <w:r w:rsidR="00EC1886" w:rsidRPr="001D365A">
        <w:rPr>
          <w:rFonts w:ascii="Cambria Math" w:hAnsi="Cambria Math" w:cs="Cambria Math"/>
          <w:sz w:val="20"/>
          <w:szCs w:val="20"/>
        </w:rPr>
        <w:t>₃⁻</w:t>
      </w:r>
      <w:r w:rsidR="00EC1886" w:rsidRPr="001D365A">
        <w:rPr>
          <w:rFonts w:ascii="Arial" w:hAnsi="Arial" w:cs="Arial"/>
          <w:sz w:val="20"/>
          <w:szCs w:val="20"/>
        </w:rPr>
        <w:t>), total hardness, and fecal indicator bacteria using standard physicochemical and microbiological methods. A Pollution Index based on standardized parameter scores was calculated, and heatmap analysis of the index scores was used to visualize spatial variability and identify dominant contamination drivers.</w:t>
      </w:r>
    </w:p>
    <w:p w14:paraId="66216D34" w14:textId="7E29A7FA" w:rsidR="00CD759D" w:rsidRPr="00764806" w:rsidRDefault="00CD759D" w:rsidP="00CD759D">
      <w:pPr>
        <w:spacing w:after="0" w:line="360" w:lineRule="auto"/>
        <w:ind w:right="565"/>
        <w:jc w:val="both"/>
        <w:rPr>
          <w:rFonts w:ascii="Arial" w:hAnsi="Arial" w:cs="Arial"/>
          <w:sz w:val="20"/>
          <w:szCs w:val="20"/>
        </w:rPr>
      </w:pPr>
      <w:r w:rsidRPr="001D365A">
        <w:rPr>
          <w:rFonts w:ascii="Arial" w:hAnsi="Arial" w:cs="Arial"/>
          <w:b/>
          <w:bCs/>
          <w:sz w:val="20"/>
          <w:szCs w:val="20"/>
        </w:rPr>
        <w:t>Results:</w:t>
      </w:r>
      <w:r w:rsidRPr="001D365A">
        <w:rPr>
          <w:rFonts w:ascii="Arial" w:hAnsi="Arial" w:cs="Arial"/>
          <w:sz w:val="20"/>
          <w:szCs w:val="20"/>
        </w:rPr>
        <w:t xml:space="preserve"> The groundwater showed predominantly acidic conditions, with a mean pH of 5.86, and low to moderate mineralization dominated by calcium</w:t>
      </w:r>
      <w:r w:rsidR="000450B8">
        <w:rPr>
          <w:rFonts w:ascii="Arial" w:hAnsi="Arial" w:cs="Arial"/>
          <w:sz w:val="20"/>
          <w:szCs w:val="20"/>
        </w:rPr>
        <w:t xml:space="preserve"> (</w:t>
      </w:r>
      <w:r w:rsidR="000450B8" w:rsidRPr="001D365A">
        <w:rPr>
          <w:rFonts w:ascii="Arial" w:hAnsi="Arial" w:cs="Arial"/>
          <w:sz w:val="20"/>
          <w:szCs w:val="20"/>
        </w:rPr>
        <w:t>Ca²</w:t>
      </w:r>
      <w:r w:rsidR="000450B8" w:rsidRPr="001D365A">
        <w:rPr>
          <w:rFonts w:ascii="Cambria Math" w:hAnsi="Cambria Math" w:cs="Cambria Math"/>
          <w:sz w:val="20"/>
          <w:szCs w:val="20"/>
        </w:rPr>
        <w:t>⁺</w:t>
      </w:r>
      <w:r w:rsidR="000450B8">
        <w:rPr>
          <w:rFonts w:ascii="Cambria Math" w:hAnsi="Cambria Math" w:cs="Cambria Math"/>
          <w:sz w:val="20"/>
          <w:szCs w:val="20"/>
        </w:rPr>
        <w:t xml:space="preserve">) </w:t>
      </w:r>
      <w:r w:rsidRPr="001D365A">
        <w:rPr>
          <w:rFonts w:ascii="Arial" w:hAnsi="Arial" w:cs="Arial"/>
          <w:sz w:val="20"/>
          <w:szCs w:val="20"/>
        </w:rPr>
        <w:t>and magnesium</w:t>
      </w:r>
      <w:r w:rsidR="000450B8">
        <w:rPr>
          <w:rFonts w:ascii="Arial" w:hAnsi="Arial" w:cs="Arial"/>
          <w:sz w:val="20"/>
          <w:szCs w:val="20"/>
        </w:rPr>
        <w:t xml:space="preserve"> (</w:t>
      </w:r>
      <w:r w:rsidR="000450B8" w:rsidRPr="001D365A">
        <w:rPr>
          <w:rFonts w:ascii="Arial" w:hAnsi="Arial" w:cs="Arial"/>
          <w:sz w:val="20"/>
          <w:szCs w:val="20"/>
        </w:rPr>
        <w:t>Mg²</w:t>
      </w:r>
      <w:r w:rsidR="000450B8" w:rsidRPr="001D365A">
        <w:rPr>
          <w:rFonts w:ascii="Cambria Math" w:hAnsi="Cambria Math" w:cs="Cambria Math"/>
          <w:sz w:val="20"/>
          <w:szCs w:val="20"/>
        </w:rPr>
        <w:t>⁺</w:t>
      </w:r>
      <w:r w:rsidR="000450B8">
        <w:rPr>
          <w:rFonts w:ascii="Cambria Math" w:hAnsi="Cambria Math" w:cs="Cambria Math"/>
          <w:sz w:val="20"/>
          <w:szCs w:val="20"/>
        </w:rPr>
        <w:t>)</w:t>
      </w:r>
      <w:r w:rsidRPr="001D365A">
        <w:rPr>
          <w:rFonts w:ascii="Arial" w:hAnsi="Arial" w:cs="Arial"/>
          <w:sz w:val="20"/>
          <w:szCs w:val="20"/>
        </w:rPr>
        <w:t>. Nitrate</w:t>
      </w:r>
      <w:r w:rsidR="001D365A" w:rsidRPr="001D365A">
        <w:rPr>
          <w:rFonts w:ascii="Arial" w:hAnsi="Arial" w:cs="Arial"/>
          <w:sz w:val="20"/>
          <w:szCs w:val="20"/>
        </w:rPr>
        <w:t xml:space="preserve"> (NO</w:t>
      </w:r>
      <w:r w:rsidR="001D365A" w:rsidRPr="001D365A">
        <w:rPr>
          <w:rFonts w:ascii="Cambria Math" w:hAnsi="Cambria Math" w:cs="Cambria Math"/>
          <w:sz w:val="20"/>
          <w:szCs w:val="20"/>
        </w:rPr>
        <w:t>₃⁻</w:t>
      </w:r>
      <w:r w:rsidR="001D365A" w:rsidRPr="001D365A">
        <w:rPr>
          <w:rFonts w:ascii="Arial" w:hAnsi="Arial" w:cs="Arial"/>
          <w:sz w:val="20"/>
          <w:szCs w:val="20"/>
        </w:rPr>
        <w:t>)</w:t>
      </w:r>
      <w:r w:rsidRPr="001D365A">
        <w:rPr>
          <w:rFonts w:ascii="Arial" w:hAnsi="Arial" w:cs="Arial"/>
          <w:sz w:val="20"/>
          <w:szCs w:val="20"/>
        </w:rPr>
        <w:t xml:space="preserve"> concentrations exceeded 25 mg/L in most wells, indicating significant anthropogenic influence. All samples were contaminated with fecal indicator bacteria, with </w:t>
      </w:r>
      <w:r w:rsidRPr="001D365A">
        <w:rPr>
          <w:rFonts w:ascii="Arial" w:hAnsi="Arial" w:cs="Arial"/>
          <w:i/>
          <w:iCs/>
          <w:sz w:val="20"/>
          <w:szCs w:val="20"/>
        </w:rPr>
        <w:t>Escherichia coli</w:t>
      </w:r>
      <w:r w:rsidRPr="001D365A">
        <w:rPr>
          <w:rFonts w:ascii="Arial" w:hAnsi="Arial" w:cs="Arial"/>
          <w:sz w:val="20"/>
          <w:szCs w:val="20"/>
        </w:rPr>
        <w:t xml:space="preserve"> concentrations ranging from 20 to 290 CFU/100 </w:t>
      </w:r>
      <w:proofErr w:type="spellStart"/>
      <w:r w:rsidRPr="001D365A">
        <w:rPr>
          <w:rFonts w:ascii="Arial" w:hAnsi="Arial" w:cs="Arial"/>
          <w:sz w:val="20"/>
          <w:szCs w:val="20"/>
        </w:rPr>
        <w:t>mL.</w:t>
      </w:r>
      <w:proofErr w:type="spellEnd"/>
      <w:r w:rsidRPr="001D365A">
        <w:rPr>
          <w:rFonts w:ascii="Arial" w:hAnsi="Arial" w:cs="Arial"/>
          <w:sz w:val="20"/>
          <w:szCs w:val="20"/>
        </w:rPr>
        <w:t xml:space="preserve"> The Pollution Index revealed strong spatial heterogeneity, with wells W6–W9 mainly affected by elevated sulfate</w:t>
      </w:r>
      <w:r w:rsidR="008C554B">
        <w:rPr>
          <w:rFonts w:ascii="Arial" w:hAnsi="Arial" w:cs="Arial"/>
          <w:sz w:val="20"/>
          <w:szCs w:val="20"/>
        </w:rPr>
        <w:t xml:space="preserve"> (</w:t>
      </w:r>
      <w:r w:rsidR="008C554B" w:rsidRPr="001D365A">
        <w:rPr>
          <w:rFonts w:ascii="Arial" w:hAnsi="Arial" w:cs="Arial"/>
          <w:sz w:val="20"/>
          <w:szCs w:val="20"/>
        </w:rPr>
        <w:t>SO</w:t>
      </w:r>
      <w:r w:rsidR="008C554B" w:rsidRPr="001D365A">
        <w:rPr>
          <w:rFonts w:ascii="Cambria Math" w:hAnsi="Cambria Math" w:cs="Cambria Math"/>
          <w:sz w:val="20"/>
          <w:szCs w:val="20"/>
        </w:rPr>
        <w:t>₄</w:t>
      </w:r>
      <w:r w:rsidR="008C554B" w:rsidRPr="001D365A">
        <w:rPr>
          <w:rFonts w:ascii="Arial" w:hAnsi="Arial" w:cs="Arial"/>
          <w:sz w:val="20"/>
          <w:szCs w:val="20"/>
        </w:rPr>
        <w:t>²</w:t>
      </w:r>
      <w:r w:rsidR="008C554B" w:rsidRPr="001D365A">
        <w:rPr>
          <w:rFonts w:ascii="Cambria Math" w:hAnsi="Cambria Math" w:cs="Cambria Math"/>
          <w:sz w:val="20"/>
          <w:szCs w:val="20"/>
        </w:rPr>
        <w:t>⁻</w:t>
      </w:r>
      <w:r w:rsidR="008C554B">
        <w:rPr>
          <w:rFonts w:ascii="Cambria Math" w:hAnsi="Cambria Math" w:cs="Cambria Math"/>
          <w:sz w:val="20"/>
          <w:szCs w:val="20"/>
        </w:rPr>
        <w:t>)</w:t>
      </w:r>
      <w:r w:rsidRPr="001D365A">
        <w:rPr>
          <w:rFonts w:ascii="Arial" w:hAnsi="Arial" w:cs="Arial"/>
          <w:sz w:val="20"/>
          <w:szCs w:val="20"/>
        </w:rPr>
        <w:t xml:space="preserve"> and nitrate</w:t>
      </w:r>
      <w:r w:rsidR="008C554B">
        <w:rPr>
          <w:rFonts w:ascii="Arial" w:hAnsi="Arial" w:cs="Arial"/>
          <w:sz w:val="20"/>
          <w:szCs w:val="20"/>
        </w:rPr>
        <w:t xml:space="preserve"> </w:t>
      </w:r>
      <w:r w:rsidR="008C554B" w:rsidRPr="001D365A">
        <w:rPr>
          <w:rFonts w:ascii="Arial" w:hAnsi="Arial" w:cs="Arial"/>
          <w:sz w:val="20"/>
          <w:szCs w:val="20"/>
        </w:rPr>
        <w:t>(NO</w:t>
      </w:r>
      <w:r w:rsidR="008C554B" w:rsidRPr="001D365A">
        <w:rPr>
          <w:rFonts w:ascii="Cambria Math" w:hAnsi="Cambria Math" w:cs="Cambria Math"/>
          <w:sz w:val="20"/>
          <w:szCs w:val="20"/>
        </w:rPr>
        <w:t>₃⁻</w:t>
      </w:r>
      <w:r w:rsidR="008C554B" w:rsidRPr="001D365A">
        <w:rPr>
          <w:rFonts w:ascii="Arial" w:hAnsi="Arial" w:cs="Arial"/>
          <w:sz w:val="20"/>
          <w:szCs w:val="20"/>
        </w:rPr>
        <w:t>)</w:t>
      </w:r>
      <w:r w:rsidRPr="001D365A">
        <w:rPr>
          <w:rFonts w:ascii="Arial" w:hAnsi="Arial" w:cs="Arial"/>
          <w:sz w:val="20"/>
          <w:szCs w:val="20"/>
        </w:rPr>
        <w:t xml:space="preserve"> levels, while well W26 showed dominant</w:t>
      </w:r>
      <w:r w:rsidRPr="00764806">
        <w:rPr>
          <w:rFonts w:ascii="Arial" w:hAnsi="Arial" w:cs="Arial"/>
          <w:sz w:val="20"/>
          <w:szCs w:val="20"/>
        </w:rPr>
        <w:t xml:space="preserve"> bacteriological contamination.</w:t>
      </w:r>
    </w:p>
    <w:p w14:paraId="5DD8A845" w14:textId="77777777" w:rsidR="00BA2B1D" w:rsidRPr="00BA2B1D" w:rsidRDefault="00CD759D" w:rsidP="00BA2B1D">
      <w:pPr>
        <w:spacing w:after="0" w:line="360" w:lineRule="auto"/>
        <w:ind w:right="565"/>
        <w:jc w:val="both"/>
        <w:rPr>
          <w:rFonts w:ascii="Arial" w:hAnsi="Arial" w:cs="Arial"/>
          <w:sz w:val="20"/>
          <w:szCs w:val="20"/>
        </w:rPr>
      </w:pPr>
      <w:r w:rsidRPr="00764806">
        <w:rPr>
          <w:rFonts w:ascii="Arial" w:hAnsi="Arial" w:cs="Arial"/>
          <w:b/>
          <w:bCs/>
          <w:sz w:val="20"/>
          <w:szCs w:val="20"/>
        </w:rPr>
        <w:t>Conclusion:</w:t>
      </w:r>
      <w:r w:rsidRPr="00CD759D">
        <w:rPr>
          <w:rFonts w:ascii="Arial" w:hAnsi="Arial" w:cs="Arial"/>
          <w:sz w:val="20"/>
          <w:szCs w:val="20"/>
        </w:rPr>
        <w:t xml:space="preserve"> </w:t>
      </w:r>
      <w:r w:rsidRPr="00764806">
        <w:rPr>
          <w:rFonts w:ascii="Arial" w:hAnsi="Arial" w:cs="Arial"/>
          <w:sz w:val="20"/>
          <w:szCs w:val="20"/>
        </w:rPr>
        <w:t xml:space="preserve">Shallow well water in </w:t>
      </w:r>
      <w:proofErr w:type="spellStart"/>
      <w:r w:rsidRPr="00764806">
        <w:rPr>
          <w:rFonts w:ascii="Arial" w:hAnsi="Arial" w:cs="Arial"/>
          <w:sz w:val="20"/>
          <w:szCs w:val="20"/>
        </w:rPr>
        <w:t>Agbangnizoun</w:t>
      </w:r>
      <w:proofErr w:type="spellEnd"/>
      <w:r w:rsidRPr="00764806">
        <w:rPr>
          <w:rFonts w:ascii="Arial" w:hAnsi="Arial" w:cs="Arial"/>
          <w:sz w:val="20"/>
          <w:szCs w:val="20"/>
        </w:rPr>
        <w:t xml:space="preserve"> is highly vulnerable to both chemical and bacteriological pollution and is unsuitable for direct consumption without treatment. </w:t>
      </w:r>
      <w:r w:rsidR="00BA2B1D" w:rsidRPr="00BA2B1D">
        <w:rPr>
          <w:rFonts w:ascii="Arial" w:hAnsi="Arial" w:cs="Arial"/>
          <w:sz w:val="20"/>
          <w:szCs w:val="20"/>
        </w:rPr>
        <w:t>The Pollution Index, derived from standardized parameters and visualized by heatmap analysis, effectively identifies pollution hotspots and supports groundwater management in rural settings.</w:t>
      </w:r>
    </w:p>
    <w:p w14:paraId="2BE5C942" w14:textId="5BBC5274" w:rsidR="00444025" w:rsidRDefault="00B759B5" w:rsidP="00BA2B1D">
      <w:pPr>
        <w:spacing w:after="0" w:line="360" w:lineRule="auto"/>
        <w:ind w:right="565"/>
        <w:jc w:val="both"/>
        <w:rPr>
          <w:rFonts w:ascii="Arial" w:hAnsi="Arial" w:cs="Arial"/>
          <w:sz w:val="20"/>
          <w:szCs w:val="20"/>
        </w:rPr>
      </w:pPr>
      <w:r w:rsidRPr="00D62DC2">
        <w:rPr>
          <w:rFonts w:ascii="Arial" w:hAnsi="Arial" w:cs="Arial"/>
          <w:b/>
          <w:bCs/>
          <w:i/>
          <w:iCs/>
          <w:sz w:val="20"/>
          <w:szCs w:val="20"/>
        </w:rPr>
        <w:t>Keywords:</w:t>
      </w:r>
      <w:r w:rsidR="00D62DC2">
        <w:rPr>
          <w:rFonts w:ascii="Arial" w:hAnsi="Arial" w:cs="Arial"/>
          <w:sz w:val="22"/>
          <w:szCs w:val="22"/>
        </w:rPr>
        <w:t xml:space="preserve"> </w:t>
      </w:r>
      <w:r w:rsidRPr="00D62DC2">
        <w:rPr>
          <w:rFonts w:ascii="Arial" w:hAnsi="Arial" w:cs="Arial"/>
          <w:sz w:val="20"/>
          <w:szCs w:val="20"/>
        </w:rPr>
        <w:t xml:space="preserve">Well water quality; Groundwater pollution; Fecal contamination; Nitrates; Pollution Index; </w:t>
      </w:r>
      <w:proofErr w:type="spellStart"/>
      <w:r w:rsidR="00D62DC2" w:rsidRPr="00764806">
        <w:rPr>
          <w:rFonts w:ascii="Arial" w:hAnsi="Arial" w:cs="Arial"/>
          <w:sz w:val="20"/>
          <w:szCs w:val="20"/>
        </w:rPr>
        <w:t>Agbangnizoun</w:t>
      </w:r>
      <w:proofErr w:type="spellEnd"/>
      <w:r w:rsidR="00D62DC2" w:rsidRPr="00D62DC2">
        <w:rPr>
          <w:rFonts w:ascii="Arial" w:hAnsi="Arial" w:cs="Arial"/>
          <w:sz w:val="20"/>
          <w:szCs w:val="20"/>
        </w:rPr>
        <w:t>, Southern</w:t>
      </w:r>
      <w:r w:rsidRPr="00D62DC2">
        <w:rPr>
          <w:rFonts w:ascii="Arial" w:hAnsi="Arial" w:cs="Arial"/>
          <w:sz w:val="20"/>
          <w:szCs w:val="20"/>
        </w:rPr>
        <w:t xml:space="preserve"> Benin</w:t>
      </w:r>
    </w:p>
    <w:p w14:paraId="7E61809E" w14:textId="77777777" w:rsidR="00495248" w:rsidRPr="00495248" w:rsidRDefault="00495248" w:rsidP="00475ED7">
      <w:pPr>
        <w:jc w:val="both"/>
        <w:rPr>
          <w:rFonts w:ascii="Arial" w:hAnsi="Arial" w:cs="Arial"/>
          <w:sz w:val="20"/>
          <w:szCs w:val="20"/>
        </w:rPr>
      </w:pPr>
    </w:p>
    <w:p w14:paraId="425E66E7" w14:textId="7F2407D7" w:rsidR="00125247" w:rsidRPr="000701F7" w:rsidRDefault="000701F7" w:rsidP="000701F7">
      <w:pPr>
        <w:pStyle w:val="ListParagraph"/>
        <w:numPr>
          <w:ilvl w:val="0"/>
          <w:numId w:val="2"/>
        </w:numPr>
        <w:jc w:val="both"/>
        <w:rPr>
          <w:rFonts w:ascii="Arial" w:hAnsi="Arial" w:cs="Arial"/>
          <w:b/>
          <w:bCs/>
          <w:sz w:val="22"/>
          <w:szCs w:val="22"/>
        </w:rPr>
      </w:pPr>
      <w:r w:rsidRPr="000701F7">
        <w:rPr>
          <w:rFonts w:ascii="Arial" w:hAnsi="Arial" w:cs="Arial"/>
          <w:b/>
          <w:bCs/>
          <w:sz w:val="22"/>
          <w:szCs w:val="22"/>
        </w:rPr>
        <w:t>INTRODUCTION</w:t>
      </w:r>
    </w:p>
    <w:p w14:paraId="3A9E71E7" w14:textId="088E54BC" w:rsidR="00125247" w:rsidRPr="0052569A" w:rsidRDefault="00125247" w:rsidP="00125247">
      <w:pPr>
        <w:jc w:val="both"/>
        <w:rPr>
          <w:rFonts w:ascii="Arial" w:hAnsi="Arial" w:cs="Arial"/>
          <w:sz w:val="20"/>
          <w:szCs w:val="20"/>
        </w:rPr>
      </w:pPr>
      <w:r w:rsidRPr="0052569A">
        <w:rPr>
          <w:rFonts w:ascii="Arial" w:hAnsi="Arial" w:cs="Arial"/>
          <w:sz w:val="20"/>
          <w:szCs w:val="20"/>
        </w:rPr>
        <w:t>Access to safe drinking water remains a major public health challenge in many rural areas of sub-Saharan Africa, where populations largely depend on shallow groundwater resources such as hand-dug wells for domestic supply</w:t>
      </w:r>
      <w:r w:rsidR="00567126" w:rsidRPr="0052569A">
        <w:rPr>
          <w:rFonts w:ascii="Arial" w:hAnsi="Arial" w:cs="Arial"/>
          <w:sz w:val="20"/>
          <w:szCs w:val="20"/>
        </w:rPr>
        <w:fldChar w:fldCharType="begin"/>
      </w:r>
      <w:r w:rsidR="00567126" w:rsidRPr="0052569A">
        <w:rPr>
          <w:rFonts w:ascii="Arial" w:hAnsi="Arial" w:cs="Arial"/>
          <w:sz w:val="20"/>
          <w:szCs w:val="20"/>
        </w:rPr>
        <w:instrText xml:space="preserve"> ADDIN ZOTERO_ITEM CSL_CITATION {"citationID":"JttrunsC","properties":{"formattedCitation":"(Lapworth et al. 2017; Liddle et al. 2015)","plainCitation":"(Lapworth et al. 2017; Liddle et al. 2015)","noteIndex":0},"citationItems":[{"id":426,"uris":["http://zotero.org/users/local/KXt9aeYd/items/5KYZK9E4"],"itemData":{"id":426,"type":"article-journal","container-title":"Hydrogeology journal","ISSN":"1431-2174","issue":"4","journalAbbreviation":"Hydrogeology journal","page":"1093-1116","publisher":"Springer","title":"Urban groundwater quality in sub-Saharan Africa: current status and implications for water security and public health","volume":"25","author":[{"family":"Lapworth","given":"DJ"},{"family":"Nkhuwa","given":"DCW"},{"family":"Okotto-Okotto","given":"J"},{"family":"Pedley","given":"S"},{"family":"Stuart","given":"ME"},{"family":"Tijani","given":"MN"},{"family":"Wright","given":"JJHJ"}],"issued":{"date-parts":[["2017"]]}}},{"id":427,"uris":["http://zotero.org/users/local/KXt9aeYd/items/8GH4U3FE"],"itemData":{"id":427,"type":"article-journal","container-title":"Applied Geography","ISSN":"0143-6228","journalAbbreviation":"Applied Geography","page":"80-90","publisher":"Elsevier","title":"The suitability of shallow hand dug wells for safe water provision in sub-Saharan Africa: Lessons from Ndola, Zambia","volume":"57","author":[{"family":"Liddle","given":"Elisabeth S"},{"family":"Mager","given":"Sarah M"},{"family":"Nel","given":"Etienne L"}],"issued":{"date-parts":[["2015"]]}}}],"schema":"https://github.com/citation-style-language/schema/raw/master/csl-citation.json"} </w:instrText>
      </w:r>
      <w:r w:rsidR="00567126" w:rsidRPr="0052569A">
        <w:rPr>
          <w:rFonts w:ascii="Arial" w:hAnsi="Arial" w:cs="Arial"/>
          <w:sz w:val="20"/>
          <w:szCs w:val="20"/>
        </w:rPr>
        <w:fldChar w:fldCharType="separate"/>
      </w:r>
      <w:r w:rsidR="00567126" w:rsidRPr="0052569A">
        <w:rPr>
          <w:rFonts w:ascii="Arial" w:hAnsi="Arial" w:cs="Arial"/>
          <w:sz w:val="20"/>
          <w:szCs w:val="20"/>
        </w:rPr>
        <w:t>(Lapworth et al. 2017; Liddle et al. 2015)</w:t>
      </w:r>
      <w:r w:rsidR="00567126" w:rsidRPr="0052569A">
        <w:rPr>
          <w:rFonts w:ascii="Arial" w:hAnsi="Arial" w:cs="Arial"/>
          <w:sz w:val="20"/>
          <w:szCs w:val="20"/>
        </w:rPr>
        <w:fldChar w:fldCharType="end"/>
      </w:r>
      <w:r w:rsidRPr="0052569A">
        <w:rPr>
          <w:rFonts w:ascii="Arial" w:hAnsi="Arial" w:cs="Arial"/>
          <w:sz w:val="20"/>
          <w:szCs w:val="20"/>
        </w:rPr>
        <w:t xml:space="preserve">. In Benin, despite national efforts to improve access to improved water sources, a substantial proportion of rural households continue to rely on </w:t>
      </w:r>
      <w:r w:rsidRPr="0052569A">
        <w:rPr>
          <w:rFonts w:ascii="Arial" w:hAnsi="Arial" w:cs="Arial"/>
          <w:sz w:val="20"/>
          <w:szCs w:val="20"/>
        </w:rPr>
        <w:lastRenderedPageBreak/>
        <w:t>traditional wells that are often poorly protected and highly vulnerable to contamination</w:t>
      </w:r>
      <w:r w:rsidR="00567126" w:rsidRPr="0052569A">
        <w:rPr>
          <w:rFonts w:ascii="Arial" w:hAnsi="Arial" w:cs="Arial"/>
          <w:sz w:val="20"/>
          <w:szCs w:val="20"/>
          <w:lang w:val="fr-FR"/>
        </w:rPr>
        <w:fldChar w:fldCharType="begin"/>
      </w:r>
      <w:r w:rsidR="00567126" w:rsidRPr="0052569A">
        <w:rPr>
          <w:rFonts w:ascii="Arial" w:hAnsi="Arial" w:cs="Arial"/>
          <w:sz w:val="20"/>
          <w:szCs w:val="20"/>
        </w:rPr>
        <w:instrText xml:space="preserve"> ADDIN ZOTERO_ITEM CSL_CITATION {"citationID":"4uhoSvD3","properties":{"formattedCitation":"(Hounsounou et al. 2017; VODOUNOU and DENONSI 2018)","plainCitation":"(Hounsounou et al. 2017; VODOUNOU and DENONSI 2018)","noteIndex":0},"citationItems":[{"id":428,"uris":["http://zotero.org/users/local/KXt9aeYd/items/US9B2U4A"],"itemData":{"id":428,"type":"article-journal","container-title":"Afrique Science","journalAbbreviation":"Afrique Science","page":"425-434","title":"Indicateurs de pollution bactériologique des eaux de puits à usages domestiques et risques sanitaires dans le sixième arrondissement de Cotonou au Sud-Bénin","volume":"13","author":[{"family":"Hounsounou","given":"Espérance Olive"},{"family":"Agassounon Djikpo Tchibozo","given":"M"},{"family":"Ayi-Fanou","given":"L"},{"family":"Kelome","given":"Nelly Carine"},{"family":"Vissin","given":"Expédit Wilfrid"},{"family":"Vlavonou-Zannou","given":"Marianne"},{"family":"Mensah","given":"Guy Apollinaire"},{"family":"Agbossou","given":"Euloge"}],"issued":{"date-parts":[["2017"]]}}},{"id":429,"uris":["http://zotero.org/users/local/KXt9aeYd/items/ZM6H7MWC"],"itemData":{"id":429,"type":"article-journal","container-title":"Afrique SCIENCE","issue":"3","journalAbbreviation":"Afrique SCIENCE","page":"336-352","title":"Caractéristiques physico-chimiques et bactériologiques des eaux de puits dans la ville de Parakou, Centre-Bénin","volume":"14","author":[{"family":"VODOUNOU","given":"Jean Bosco Kpatindé"},{"family":"DENONSI","given":"Alfred Okoungla"}],"issued":{"date-parts":[["2018"]]}}}],"schema":"https://github.com/citation-style-language/schema/raw/master/csl-citation.json"} </w:instrText>
      </w:r>
      <w:r w:rsidR="00567126" w:rsidRPr="0052569A">
        <w:rPr>
          <w:rFonts w:ascii="Arial" w:hAnsi="Arial" w:cs="Arial"/>
          <w:sz w:val="20"/>
          <w:szCs w:val="20"/>
          <w:lang w:val="fr-FR"/>
        </w:rPr>
        <w:fldChar w:fldCharType="separate"/>
      </w:r>
      <w:r w:rsidR="00567126" w:rsidRPr="0052569A">
        <w:rPr>
          <w:rFonts w:ascii="Arial" w:hAnsi="Arial" w:cs="Arial"/>
          <w:sz w:val="20"/>
          <w:szCs w:val="20"/>
        </w:rPr>
        <w:t>(Hounsounou et al. 2017; VODOUNOU and DENONSI 2018)</w:t>
      </w:r>
      <w:r w:rsidR="00567126" w:rsidRPr="0052569A">
        <w:rPr>
          <w:rFonts w:ascii="Arial" w:hAnsi="Arial" w:cs="Arial"/>
          <w:sz w:val="20"/>
          <w:szCs w:val="20"/>
          <w:lang w:val="fr-FR"/>
        </w:rPr>
        <w:fldChar w:fldCharType="end"/>
      </w:r>
      <w:r w:rsidRPr="0052569A">
        <w:rPr>
          <w:rFonts w:ascii="Arial" w:hAnsi="Arial" w:cs="Arial"/>
          <w:sz w:val="20"/>
          <w:szCs w:val="20"/>
        </w:rPr>
        <w:t>. These groundwater resources are exposed to both natural hydrogeochemical processes and increasing anthropogenic pressures associated with population growth, agricultural intensification, and inadequate sanitation infrastructure</w:t>
      </w:r>
      <w:r w:rsidR="00567126" w:rsidRPr="0052569A">
        <w:rPr>
          <w:rFonts w:ascii="Arial" w:hAnsi="Arial" w:cs="Arial"/>
          <w:sz w:val="20"/>
          <w:szCs w:val="20"/>
        </w:rPr>
        <w:fldChar w:fldCharType="begin"/>
      </w:r>
      <w:r w:rsidR="00567126" w:rsidRPr="0052569A">
        <w:rPr>
          <w:rFonts w:ascii="Arial" w:hAnsi="Arial" w:cs="Arial"/>
          <w:sz w:val="20"/>
          <w:szCs w:val="20"/>
        </w:rPr>
        <w:instrText xml:space="preserve"> ADDIN ZOTERO_ITEM CSL_CITATION {"citationID":"Dx1Yq7SK","properties":{"formattedCitation":"(Zhang et al. 2024)","plainCitation":"(Zhang et al. 2024)","noteIndex":0},"citationItems":[{"id":430,"uris":["http://zotero.org/users/local/KXt9aeYd/items/8QUFDW5P"],"itemData":{"id":430,"type":"article-journal","container-title":"Journal of Cleaner Production","ISSN":"0959-6526","journalAbbreviation":"Journal of Cleaner Production","page":"140911","publisher":"Elsevier","title":"Hydrogeochemical and anthropogenic controls on quality and quantitative source-specific risks of groundwater in a resource-based area with intensive industrial and agricultural activities","volume":"440","author":[{"family":"Zhang","given":"Minmin"},{"family":"Wang","given":"Lishu"},{"family":"Zhao","given":"Qiaojing"},{"family":"Wang","given":"Jinxi"},{"family":"Sun","given":"Yuzhuang"}],"issued":{"date-parts":[["2024"]]}}}],"schema":"https://github.com/citation-style-language/schema/raw/master/csl-citation.json"} </w:instrText>
      </w:r>
      <w:r w:rsidR="00567126" w:rsidRPr="0052569A">
        <w:rPr>
          <w:rFonts w:ascii="Arial" w:hAnsi="Arial" w:cs="Arial"/>
          <w:sz w:val="20"/>
          <w:szCs w:val="20"/>
        </w:rPr>
        <w:fldChar w:fldCharType="separate"/>
      </w:r>
      <w:r w:rsidR="00567126" w:rsidRPr="0052569A">
        <w:rPr>
          <w:rFonts w:ascii="Arial" w:hAnsi="Arial" w:cs="Arial"/>
          <w:sz w:val="20"/>
          <w:szCs w:val="20"/>
        </w:rPr>
        <w:t>(Zhang et al. 2024)</w:t>
      </w:r>
      <w:r w:rsidR="00567126" w:rsidRPr="0052569A">
        <w:rPr>
          <w:rFonts w:ascii="Arial" w:hAnsi="Arial" w:cs="Arial"/>
          <w:sz w:val="20"/>
          <w:szCs w:val="20"/>
        </w:rPr>
        <w:fldChar w:fldCharType="end"/>
      </w:r>
    </w:p>
    <w:p w14:paraId="6B84776B" w14:textId="3E135E0E" w:rsidR="00125247" w:rsidRPr="0052569A" w:rsidRDefault="007A197D" w:rsidP="00125247">
      <w:pPr>
        <w:jc w:val="both"/>
        <w:rPr>
          <w:rFonts w:ascii="Arial" w:hAnsi="Arial" w:cs="Arial"/>
          <w:sz w:val="20"/>
          <w:szCs w:val="20"/>
        </w:rPr>
      </w:pPr>
      <w:r w:rsidRPr="00944425">
        <w:rPr>
          <w:rFonts w:ascii="Arial" w:hAnsi="Arial" w:cs="Arial"/>
          <w:sz w:val="20"/>
          <w:szCs w:val="20"/>
          <w:highlight w:val="yellow"/>
        </w:rPr>
        <w:t>The quality of groundwater in shallow to moderately deep aquifers is controlled by complex interactions between geological formations, recharge conditions, land use, and human activities</w:t>
      </w:r>
      <w:r w:rsidR="00E66211" w:rsidRPr="00944425">
        <w:rPr>
          <w:rFonts w:ascii="Arial" w:hAnsi="Arial" w:cs="Arial"/>
          <w:sz w:val="20"/>
          <w:szCs w:val="20"/>
          <w:highlight w:val="yellow"/>
        </w:rPr>
        <w:fldChar w:fldCharType="begin"/>
      </w:r>
      <w:r w:rsidR="00E66211" w:rsidRPr="00944425">
        <w:rPr>
          <w:rFonts w:ascii="Arial" w:hAnsi="Arial" w:cs="Arial"/>
          <w:sz w:val="20"/>
          <w:szCs w:val="20"/>
          <w:highlight w:val="yellow"/>
        </w:rPr>
        <w:instrText xml:space="preserve"> ADDIN ZOTERO_ITEM CSL_CITATION {"citationID":"svTIlVo7","properties":{"formattedCitation":"(Yuan et al. 2023)","plainCitation":"(Yuan et al. 2023)","noteIndex":0},"citationItems":[{"id":501,"uris":["http://zotero.org/users/local/KXt9aeYd/items/YKU2KNLE"],"itemData":{"id":501,"type":"article-journal","container-title":"Environmental Pollution","ISSN":"0269-7491","journalAbbreviation":"Environmental Pollution","page":"120524","publisher":"Elsevier","title":"Health risks of shallow groundwater in the five basins of Shanxi, China: Geographical, geological and human activity roles","volume":"316","author":[{"family":"Yuan","given":"Ruiqiang"},{"family":"Li","given":"Zhibin"},{"family":"Guo","given":"Siyu"}],"issued":{"date-parts":[["2023"]]}}}],"schema":"https://github.com/citation-style-language/schema/raw/master/csl-citation.json"} </w:instrText>
      </w:r>
      <w:r w:rsidR="00E66211" w:rsidRPr="00944425">
        <w:rPr>
          <w:rFonts w:ascii="Arial" w:hAnsi="Arial" w:cs="Arial"/>
          <w:sz w:val="20"/>
          <w:szCs w:val="20"/>
          <w:highlight w:val="yellow"/>
        </w:rPr>
        <w:fldChar w:fldCharType="separate"/>
      </w:r>
      <w:r w:rsidR="00E66211" w:rsidRPr="00944425">
        <w:rPr>
          <w:rFonts w:ascii="Arial" w:hAnsi="Arial" w:cs="Arial"/>
          <w:sz w:val="20"/>
          <w:highlight w:val="yellow"/>
        </w:rPr>
        <w:t>(Yuan et al. 2023)</w:t>
      </w:r>
      <w:r w:rsidR="00E66211" w:rsidRPr="00944425">
        <w:rPr>
          <w:rFonts w:ascii="Arial" w:hAnsi="Arial" w:cs="Arial"/>
          <w:sz w:val="20"/>
          <w:szCs w:val="20"/>
          <w:highlight w:val="yellow"/>
        </w:rPr>
        <w:fldChar w:fldCharType="end"/>
      </w:r>
      <w:r w:rsidR="00125247" w:rsidRPr="0052569A">
        <w:rPr>
          <w:rFonts w:ascii="Arial" w:hAnsi="Arial" w:cs="Arial"/>
          <w:sz w:val="20"/>
          <w:szCs w:val="20"/>
        </w:rPr>
        <w:t>. In crystalline basement settings, common in southern Benin, groundwater chemistry is often characterized by low to moderate mineralization, acidic pH, and dominance of calcium–magnesium bicarbonate facies resulting from the weathering of silicate and carbonate minerals</w:t>
      </w:r>
      <w:r w:rsidR="008F576A" w:rsidRPr="0052569A">
        <w:rPr>
          <w:rFonts w:ascii="Arial" w:hAnsi="Arial" w:cs="Arial"/>
          <w:sz w:val="20"/>
          <w:szCs w:val="20"/>
        </w:rPr>
        <w:fldChar w:fldCharType="begin"/>
      </w:r>
      <w:r w:rsidR="008F576A" w:rsidRPr="0052569A">
        <w:rPr>
          <w:rFonts w:ascii="Arial" w:hAnsi="Arial" w:cs="Arial"/>
          <w:sz w:val="20"/>
          <w:szCs w:val="20"/>
        </w:rPr>
        <w:instrText xml:space="preserve"> ADDIN ZOTERO_ITEM CSL_CITATION {"citationID":"bbHXGwsy","properties":{"formattedCitation":"(Egbueri et al. 2025; Tossou et al. 2017)","plainCitation":"(Egbueri et al. 2025; Tossou et al. 2017)","noteIndex":0},"citationItems":[{"id":431,"uris":["http://zotero.org/users/local/KXt9aeYd/items/74CTMQVI"],"itemData":{"id":431,"type":"article-journal","container-title":"Groundwater in Developing Countries: Case Studies from MENA, Asia and West Africa","journalAbbreviation":"Groundwater in Developing Countries: Case Studies from MENA, Asia and West Africa","page":"297-325","publisher":"Springer","title":"Groundwater Development Within the Nigerian Crystalline and Sedimentary Aquifers: Challenges and Opportunities","author":[{"family":"Egbueri","given":"Johnbosco C"},{"family":"Agbasi","given":"Johnson C"},{"family":"Onuba","given":"Leonard N"},{"family":"Nweke","given":"Nchekwube D"},{"family":"Uwajingba","given":"Henry C"},{"family":"Abba","given":"Sani I"}],"issued":{"date-parts":[["2025"]]}}},{"id":432,"uris":["http://zotero.org/users/local/KXt9aeYd/items/WW25JRXG"],"itemData":{"id":432,"type":"article-journal","container-title":"Environmental Earth Sciences","ISSN":"1866-6280","issue":"20","journalAbbreviation":"Environmental Earth Sciences","page":"691","publisher":"Springer","title":"Hydrogeochemical mechanisms governing the mineralization and elevated fluoride F-contents in Precambrian crystalline aquifer groundwater in central Benin, Western Africa","volume":"76","author":[{"family":"Tossou","given":"Yao Yélidji Joël"},{"family":"Orban","given":"Philippe"},{"family":"Gesels","given":"Julie"},{"family":"Otten","given":"Joël"},{"family":"Yessoufou","given":"Soulémana"},{"family":"Boukari","given":"Moussa"},{"family":"Brouyère","given":"Serge"}],"issued":{"date-parts":[["2017"]]}}}],"schema":"https://github.com/citation-style-language/schema/raw/master/csl-citation.json"} </w:instrText>
      </w:r>
      <w:r w:rsidR="008F576A" w:rsidRPr="0052569A">
        <w:rPr>
          <w:rFonts w:ascii="Arial" w:hAnsi="Arial" w:cs="Arial"/>
          <w:sz w:val="20"/>
          <w:szCs w:val="20"/>
        </w:rPr>
        <w:fldChar w:fldCharType="separate"/>
      </w:r>
      <w:r w:rsidR="008F576A" w:rsidRPr="0052569A">
        <w:rPr>
          <w:rFonts w:ascii="Arial" w:hAnsi="Arial" w:cs="Arial"/>
          <w:sz w:val="20"/>
          <w:szCs w:val="20"/>
        </w:rPr>
        <w:t>(Egbueri et al. 2025; Tossou et al. 2017)</w:t>
      </w:r>
      <w:r w:rsidR="008F576A" w:rsidRPr="0052569A">
        <w:rPr>
          <w:rFonts w:ascii="Arial" w:hAnsi="Arial" w:cs="Arial"/>
          <w:sz w:val="20"/>
          <w:szCs w:val="20"/>
        </w:rPr>
        <w:fldChar w:fldCharType="end"/>
      </w:r>
      <w:r w:rsidR="00125247" w:rsidRPr="0052569A">
        <w:rPr>
          <w:rFonts w:ascii="Arial" w:hAnsi="Arial" w:cs="Arial"/>
          <w:sz w:val="20"/>
          <w:szCs w:val="20"/>
        </w:rPr>
        <w:t>. However, the shallow depth of these aquifers and their limited natural protection make them particularly sensitive to surface-derived pollutants, including nitrates from agricultural inputs and fecal microorganisms originating from latrines, livestock, and domestic wastewater</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{"citationID":"VJN1pigy","properties":{"formattedCitation":"(Wamsley 2014; Ward 2020)","plainCitation":"(Wamsley 2014; Ward 2020)","noteIndex":0},"citationItems":[{"id":434,"uris":["http://zotero.org/users/local/KXt9aeYd/items/M22BILV2"],"itemData":{"id":434,"type":"article-journal","title":"Evidence of ground water contamination by on-site wastewater systems","author":[{"family":"Wamsley","given":"Miriam"}],"issued":{"date-parts":[["2014"]]}}},{"id":435,"uris":["http://zotero.org/users/local/KXt9aeYd/items/SRU46IM2"],"itemData":{"id":435,"type":"article-journal","publisher":"University of Surrey","title":"Investigating Novel Approaches for Detecting Microbial Contamination in Drinking Water in Africa","author":[{"family":"Ward","given":"Jade Suzanne"}],"issued":{"date-parts":[["2020"]]}}}],"schema":"https://github.com/citation-style-language/schema/raw/master/csl-citation.json"}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(Wamsley 2014; Ward 2020)</w:t>
      </w:r>
      <w:r w:rsidR="003A61BF" w:rsidRPr="0052569A">
        <w:rPr>
          <w:rFonts w:ascii="Arial" w:hAnsi="Arial" w:cs="Arial"/>
          <w:sz w:val="20"/>
          <w:szCs w:val="20"/>
        </w:rPr>
        <w:fldChar w:fldCharType="end"/>
      </w:r>
      <w:r w:rsidR="003A61BF" w:rsidRPr="0052569A">
        <w:rPr>
          <w:rFonts w:ascii="Arial" w:hAnsi="Arial" w:cs="Arial"/>
          <w:sz w:val="20"/>
          <w:szCs w:val="20"/>
        </w:rPr>
        <w:t>.</w:t>
      </w:r>
    </w:p>
    <w:p w14:paraId="53E62F2B" w14:textId="736630EA" w:rsidR="00125247" w:rsidRPr="0052569A" w:rsidRDefault="00125247" w:rsidP="00125247">
      <w:pPr>
        <w:jc w:val="both"/>
        <w:rPr>
          <w:rFonts w:ascii="Arial" w:hAnsi="Arial" w:cs="Arial"/>
          <w:sz w:val="20"/>
          <w:szCs w:val="20"/>
        </w:rPr>
      </w:pPr>
      <w:r w:rsidRPr="0052569A">
        <w:rPr>
          <w:rFonts w:ascii="Arial" w:hAnsi="Arial" w:cs="Arial"/>
          <w:sz w:val="20"/>
          <w:szCs w:val="20"/>
        </w:rPr>
        <w:t>Nitrate contamination of groundwater has emerged as a widespread issue in rural African settings and is commonly used as an indicator of anthropogenic influence in aquifers</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{"citationID":"3n42s7Oy","properties":{"formattedCitation":"(Elisante and Muzuka 2017)","plainCitation":"(Elisante and Muzuka 2017)","noteIndex":0},"citationItems":[{"id":436,"uris":["http://zotero.org/users/local/KXt9aeYd/items/YXR29DRX"],"itemData":{"id":436,"type":"article-journal","container-title":"Applied Water Science","ISSN":"2190-5487","issue":"1","journalAbbreviation":"Applied Water Science","page":"71-87","publisher":"Springer","title":"Occurrence of nitrate in Tanzanian groundwater aquifers: a review","volume":"7","author":[{"family":"Elisante","given":"Eliapenda"},{"family":"Muzuka","given":"Alfred NN"}],"issued":{"date-parts":[["2017"]]}}}],"schema":"https://github.com/citation-style-language/schema/raw/master/csl-citation.json"}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(Elisante and Muzuka 2017)</w:t>
      </w:r>
      <w:r w:rsidR="003A61BF" w:rsidRPr="0052569A">
        <w:rPr>
          <w:rFonts w:ascii="Arial" w:hAnsi="Arial" w:cs="Arial"/>
          <w:sz w:val="20"/>
          <w:szCs w:val="20"/>
        </w:rPr>
        <w:fldChar w:fldCharType="end"/>
      </w:r>
      <w:r w:rsidR="003A61BF" w:rsidRPr="0052569A">
        <w:rPr>
          <w:rFonts w:ascii="Arial" w:hAnsi="Arial" w:cs="Arial"/>
          <w:sz w:val="20"/>
          <w:szCs w:val="20"/>
        </w:rPr>
        <w:t>.</w:t>
      </w:r>
      <w:r w:rsidRPr="0052569A">
        <w:rPr>
          <w:rFonts w:ascii="Arial" w:hAnsi="Arial" w:cs="Arial"/>
          <w:sz w:val="20"/>
          <w:szCs w:val="20"/>
        </w:rPr>
        <w:t xml:space="preserve"> Elevated nitrate levels in drinking water are associated with adverse health effects, notably methemoglobinemia in infants and potential long-term gastrointestinal disorders</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{"citationID":"nLLFbn0W","properties":{"formattedCitation":"(Brender 2020; Chaudhary et al. 2025)","plainCitation":"(Brender 2020; Chaudhary et al. 2025)","noteIndex":0},"citationItems":[{"id":437,"uris":["http://zotero.org/users/local/KXt9aeYd/items/44VAZJDU"],"itemData":{"id":437,"type":"chapter","container-title":"Just enough nitrogen: Perspectives on how to get there for regions with too much and too little nitrogen","page":"283-294","publisher":"Springer","title":"Human health effects of exposure to nitrate, nitrite, and nitrogen dioxide","author":[{"family":"Brender","given":"Jean D"}],"issued":{"date-parts":[["2020"]]}}},{"id":438,"uris":["http://zotero.org/users/local/KXt9aeYd/items/GJFN3PHE"],"itemData":{"id":438,"type":"article-journal","container-title":"Water Conservation Science and Engineering","ISSN":"2366-3340","issue":"1","journalAbbreviation":"Water Conservation Science and Engineering","page":"33","publisher":"Springer","title":"Groundwater Nitrate Contamination and its Effect on Human Health: A Review","volume":"10","author":[{"family":"Chaudhary","given":"Indra Jeet"},{"family":"Chauhan","given":"Ratna"},{"family":"Kale","given":"Sanjay Sarjerao"},{"family":"Gosavi","given":"Suresh"},{"family":"Rathore","given":"Dheeraj"},{"family":"Dwivedi","given":"Vinay"},{"family":"Singh","given":"Sunita"},{"family":"Yadav","given":"Virendra Kumar"}],"issued":{"date-parts":[["2025"]]}}}],"schema":"https://github.com/citation-style-language/schema/raw/master/csl-citation.json"}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(Brender 2020; Chaudhary et al. 2025)</w:t>
      </w:r>
      <w:r w:rsidR="003A61BF" w:rsidRPr="0052569A">
        <w:rPr>
          <w:rFonts w:ascii="Arial" w:hAnsi="Arial" w:cs="Arial"/>
          <w:sz w:val="20"/>
          <w:szCs w:val="20"/>
        </w:rPr>
        <w:fldChar w:fldCharType="end"/>
      </w:r>
      <w:r w:rsidRPr="0052569A">
        <w:rPr>
          <w:rFonts w:ascii="Arial" w:hAnsi="Arial" w:cs="Arial"/>
          <w:sz w:val="20"/>
          <w:szCs w:val="20"/>
        </w:rPr>
        <w:t xml:space="preserve">. In parallel, microbiological contamination of groundwater represents a critical health concern, as the presence of fecal indicator bacteria such as </w:t>
      </w:r>
      <w:r w:rsidRPr="0052569A">
        <w:rPr>
          <w:rFonts w:ascii="Arial" w:hAnsi="Arial" w:cs="Arial"/>
          <w:i/>
          <w:iCs/>
          <w:sz w:val="20"/>
          <w:szCs w:val="20"/>
        </w:rPr>
        <w:t>Escherichia coli</w:t>
      </w:r>
      <w:r w:rsidRPr="0052569A">
        <w:rPr>
          <w:rFonts w:ascii="Arial" w:hAnsi="Arial" w:cs="Arial"/>
          <w:sz w:val="20"/>
          <w:szCs w:val="20"/>
        </w:rPr>
        <w:t>, total coliforms, and fecal streptococci signals the possible occurrence of pathogenic microorganisms and an increased risk of waterborne diseases</w:t>
      </w:r>
      <w:r w:rsidR="00F04948" w:rsidRPr="0052569A">
        <w:rPr>
          <w:rFonts w:ascii="Arial" w:hAnsi="Arial" w:cs="Arial"/>
          <w:sz w:val="20"/>
          <w:szCs w:val="20"/>
        </w:rPr>
        <w:fldChar w:fldCharType="begin"/>
      </w:r>
      <w:r w:rsidR="00F04948" w:rsidRPr="0052569A">
        <w:rPr>
          <w:rFonts w:ascii="Arial" w:hAnsi="Arial" w:cs="Arial"/>
          <w:sz w:val="20"/>
          <w:szCs w:val="20"/>
        </w:rPr>
        <w:instrText xml:space="preserve"> ADDIN ZOTERO_ITEM CSL_CITATION {"citationID":"NdzuwKw1","properties":{"formattedCitation":"(Oon et al. 2023)","plainCitation":"(Oon et al. 2023)","noteIndex":0},"citationItems":[{"id":439,"uris":["http://zotero.org/users/local/KXt9aeYd/items/LNV75FPG"],"itemData":{"id":439,"type":"article-journal","container-title":"Frontiers in Microbiology","ISSN":"1664-302X","journalAbbreviation":"Frontiers in Microbiology","page":"1286923","publisher":"Frontiers Media SA","title":"Waterborne pathogens detection technologies: advances, challenges, and future perspectives","volume":"14","author":[{"family":"Oon","given":"Yoong-Ling"},{"family":"Oon","given":"Yoong-Sin"},{"family":"Ayaz","given":"Muhammad"},{"family":"Deng","given":"Min"},{"family":"Li","given":"Lu"},{"family":"Song","given":"Kang"}],"issued":{"date-parts":[["2023"]]}}}],"schema":"https://github.com/citation-style-language/schema/raw/master/csl-citation.json"} </w:instrText>
      </w:r>
      <w:r w:rsidR="00F04948" w:rsidRPr="0052569A">
        <w:rPr>
          <w:rFonts w:ascii="Arial" w:hAnsi="Arial" w:cs="Arial"/>
          <w:sz w:val="20"/>
          <w:szCs w:val="20"/>
        </w:rPr>
        <w:fldChar w:fldCharType="separate"/>
      </w:r>
      <w:r w:rsidR="00F04948" w:rsidRPr="0052569A">
        <w:rPr>
          <w:rFonts w:ascii="Arial" w:hAnsi="Arial" w:cs="Arial"/>
          <w:sz w:val="20"/>
          <w:szCs w:val="20"/>
        </w:rPr>
        <w:t>(Oon et al. 2023)</w:t>
      </w:r>
      <w:r w:rsidR="00F04948" w:rsidRPr="0052569A">
        <w:rPr>
          <w:rFonts w:ascii="Arial" w:hAnsi="Arial" w:cs="Arial"/>
          <w:sz w:val="20"/>
          <w:szCs w:val="20"/>
        </w:rPr>
        <w:fldChar w:fldCharType="end"/>
      </w:r>
    </w:p>
    <w:p w14:paraId="0A7983B9" w14:textId="6A46DD93" w:rsidR="00151FF4" w:rsidRPr="00045062" w:rsidRDefault="00151FF4" w:rsidP="00125247">
      <w:pPr>
        <w:jc w:val="both"/>
        <w:rPr>
          <w:rFonts w:ascii="Arial" w:hAnsi="Arial" w:cs="Arial"/>
          <w:sz w:val="20"/>
          <w:szCs w:val="20"/>
        </w:rPr>
      </w:pPr>
      <w:r w:rsidRPr="00944425">
        <w:rPr>
          <w:rFonts w:ascii="Arial" w:hAnsi="Arial" w:cs="Arial"/>
          <w:sz w:val="20"/>
          <w:szCs w:val="20"/>
          <w:highlight w:val="yellow"/>
        </w:rPr>
        <w:t>Previous studies across Benin have documented chemical degradation of well water quality involving elevated nitrates (NO</w:t>
      </w:r>
      <w:r w:rsidRPr="00944425">
        <w:rPr>
          <w:rFonts w:ascii="Cambria Math" w:hAnsi="Cambria Math" w:cs="Cambria Math"/>
          <w:sz w:val="20"/>
          <w:szCs w:val="20"/>
          <w:highlight w:val="yellow"/>
        </w:rPr>
        <w:t>₃⁻</w:t>
      </w:r>
      <w:r w:rsidRPr="00944425">
        <w:rPr>
          <w:rFonts w:ascii="Arial" w:hAnsi="Arial" w:cs="Arial"/>
          <w:sz w:val="20"/>
          <w:szCs w:val="20"/>
          <w:highlight w:val="yellow"/>
        </w:rPr>
        <w:t>), nitrites (NO</w:t>
      </w:r>
      <w:r w:rsidRPr="00944425">
        <w:rPr>
          <w:rFonts w:ascii="Cambria Math" w:hAnsi="Cambria Math" w:cs="Cambria Math"/>
          <w:sz w:val="20"/>
          <w:szCs w:val="20"/>
          <w:highlight w:val="yellow"/>
        </w:rPr>
        <w:t>₂⁻</w:t>
      </w:r>
      <w:r w:rsidRPr="00944425">
        <w:rPr>
          <w:rFonts w:ascii="Arial" w:hAnsi="Arial" w:cs="Arial"/>
          <w:sz w:val="20"/>
          <w:szCs w:val="20"/>
          <w:highlight w:val="yellow"/>
        </w:rPr>
        <w:t>)</w:t>
      </w:r>
      <w:r w:rsidR="007C134E" w:rsidRPr="00944425">
        <w:rPr>
          <w:rFonts w:ascii="Arial" w:hAnsi="Arial" w:cs="Arial"/>
          <w:sz w:val="20"/>
          <w:szCs w:val="20"/>
          <w:highlight w:val="yellow"/>
        </w:rPr>
        <w:t xml:space="preserve"> </w:t>
      </w:r>
      <w:r w:rsidRPr="00944425">
        <w:rPr>
          <w:rFonts w:ascii="Arial" w:hAnsi="Arial" w:cs="Arial"/>
          <w:sz w:val="20"/>
          <w:szCs w:val="20"/>
          <w:highlight w:val="yellow"/>
        </w:rPr>
        <w:t>alongside bacteriological contamination by </w:t>
      </w:r>
      <w:r w:rsidRPr="00944425">
        <w:rPr>
          <w:rFonts w:ascii="Arial" w:hAnsi="Arial" w:cs="Arial"/>
          <w:i/>
          <w:iCs/>
          <w:sz w:val="20"/>
          <w:szCs w:val="20"/>
          <w:highlight w:val="yellow"/>
        </w:rPr>
        <w:t>Escherichia coli</w:t>
      </w:r>
      <w:r w:rsidRPr="00944425">
        <w:rPr>
          <w:rFonts w:ascii="Arial" w:hAnsi="Arial" w:cs="Arial"/>
          <w:sz w:val="20"/>
          <w:szCs w:val="20"/>
          <w:highlight w:val="yellow"/>
        </w:rPr>
        <w:t xml:space="preserve"> and fecal </w:t>
      </w:r>
      <w:r w:rsidR="007A197D" w:rsidRPr="00944425">
        <w:rPr>
          <w:rFonts w:ascii="Arial" w:hAnsi="Arial" w:cs="Arial"/>
          <w:sz w:val="20"/>
          <w:szCs w:val="20"/>
          <w:highlight w:val="yellow"/>
        </w:rPr>
        <w:t>streptococci</w:t>
      </w:r>
      <w:r w:rsidR="000E4F85" w:rsidRPr="00944425">
        <w:rPr>
          <w:rFonts w:ascii="Arial" w:hAnsi="Arial" w:cs="Arial"/>
          <w:sz w:val="20"/>
          <w:szCs w:val="20"/>
          <w:highlight w:val="yellow"/>
        </w:rPr>
        <w:fldChar w:fldCharType="begin"/>
      </w:r>
      <w:r w:rsidR="000E4F85" w:rsidRPr="00944425">
        <w:rPr>
          <w:rFonts w:ascii="Arial" w:hAnsi="Arial" w:cs="Arial"/>
          <w:sz w:val="20"/>
          <w:szCs w:val="20"/>
          <w:highlight w:val="yellow"/>
        </w:rPr>
        <w:instrText xml:space="preserve"> ADDIN ZOTERO_ITEM CSL_CITATION {"citationID":"oLWRE7NO","properties":{"formattedCitation":"(Dovonou et al. 2017)","plainCitation":"(Dovonou et al. 2017)","noteIndex":0},"citationItems":[{"id":500,"uris":["http://zotero.org/users/local/KXt9aeYd/items/Y2WA6VRZ"],"itemData":{"id":500,"type":"article-journal","container-title":"International Journal of Biological and Chemical Sciences","ISSN":"1997-342X","issue":"6","journalAbbreviation":"International Journal of Biological and Chemical Sciences","page":"3086-3099","title":"Impacts de l’assainissement autonome sur la qualité des eaux de puits dans la Commune de Sèmè-Podji (Sud-Bénin)","volume":"11","author":[{"family":"Dovonou","given":"Flavien Edia"},{"family":"Alassane","given":"Abdoukarim"},{"family":"Adjahossou","given":"Vidédji Naéssé"},{"family":"Agbodo","given":"Bibiane"},{"family":"Djibril","given":"Roufai"},{"family":"Mama","given":"Daouda"}],"issued":{"date-parts":[["2017"]]}}}],"schema":"https://github.com/citation-style-language/schema/raw/master/csl-citation.json"} </w:instrText>
      </w:r>
      <w:r w:rsidR="000E4F85" w:rsidRPr="00944425">
        <w:rPr>
          <w:rFonts w:ascii="Arial" w:hAnsi="Arial" w:cs="Arial"/>
          <w:sz w:val="20"/>
          <w:szCs w:val="20"/>
          <w:highlight w:val="yellow"/>
        </w:rPr>
        <w:fldChar w:fldCharType="separate"/>
      </w:r>
      <w:r w:rsidR="000E4F85" w:rsidRPr="00944425">
        <w:rPr>
          <w:rFonts w:ascii="Arial" w:hAnsi="Arial" w:cs="Arial"/>
          <w:sz w:val="20"/>
          <w:highlight w:val="yellow"/>
        </w:rPr>
        <w:t>(Dovonou et al. 2017)</w:t>
      </w:r>
      <w:r w:rsidR="000E4F85" w:rsidRPr="00944425">
        <w:rPr>
          <w:rFonts w:ascii="Arial" w:hAnsi="Arial" w:cs="Arial"/>
          <w:sz w:val="20"/>
          <w:szCs w:val="20"/>
          <w:highlight w:val="yellow"/>
        </w:rPr>
        <w:fldChar w:fldCharType="end"/>
      </w:r>
      <w:r w:rsidR="007A197D" w:rsidRPr="00944425">
        <w:rPr>
          <w:rFonts w:ascii="Arial" w:hAnsi="Arial" w:cs="Arial"/>
          <w:sz w:val="20"/>
          <w:szCs w:val="20"/>
          <w:highlight w:val="yellow"/>
        </w:rPr>
        <w:t>.</w:t>
      </w:r>
      <w:r w:rsidRPr="00944425">
        <w:rPr>
          <w:rFonts w:ascii="Arial" w:hAnsi="Arial" w:cs="Arial"/>
          <w:sz w:val="20"/>
          <w:szCs w:val="20"/>
          <w:highlight w:val="yellow"/>
        </w:rPr>
        <w:t xml:space="preserve"> These</w:t>
      </w:r>
      <w:r w:rsidR="00A201BA" w:rsidRPr="00944425">
        <w:rPr>
          <w:rFonts w:ascii="Arial" w:hAnsi="Arial" w:cs="Arial"/>
          <w:sz w:val="20"/>
          <w:szCs w:val="20"/>
          <w:highlight w:val="yellow"/>
        </w:rPr>
        <w:t xml:space="preserve"> contaminations</w:t>
      </w:r>
      <w:r w:rsidRPr="00944425">
        <w:rPr>
          <w:rFonts w:ascii="Arial" w:hAnsi="Arial" w:cs="Arial"/>
          <w:sz w:val="20"/>
          <w:szCs w:val="20"/>
          <w:highlight w:val="yellow"/>
        </w:rPr>
        <w:t xml:space="preserve"> arise from both geogenic sources (mineral weathering contributing Ca²</w:t>
      </w:r>
      <w:r w:rsidRPr="00944425">
        <w:rPr>
          <w:rFonts w:ascii="Cambria Math" w:hAnsi="Cambria Math" w:cs="Cambria Math"/>
          <w:sz w:val="20"/>
          <w:szCs w:val="20"/>
          <w:highlight w:val="yellow"/>
        </w:rPr>
        <w:t>⁺</w:t>
      </w:r>
      <w:r w:rsidRPr="00944425">
        <w:rPr>
          <w:rFonts w:ascii="Arial" w:hAnsi="Arial" w:cs="Arial"/>
          <w:sz w:val="20"/>
          <w:szCs w:val="20"/>
          <w:highlight w:val="yellow"/>
        </w:rPr>
        <w:t>, Mg²</w:t>
      </w:r>
      <w:r w:rsidRPr="00944425">
        <w:rPr>
          <w:rFonts w:ascii="Cambria Math" w:hAnsi="Cambria Math" w:cs="Cambria Math"/>
          <w:sz w:val="20"/>
          <w:szCs w:val="20"/>
          <w:highlight w:val="yellow"/>
        </w:rPr>
        <w:t>⁺</w:t>
      </w:r>
      <w:r w:rsidRPr="00944425">
        <w:rPr>
          <w:rFonts w:ascii="Arial" w:hAnsi="Arial" w:cs="Arial"/>
          <w:sz w:val="20"/>
          <w:szCs w:val="20"/>
          <w:highlight w:val="yellow"/>
        </w:rPr>
        <w:t>, HCO</w:t>
      </w:r>
      <w:r w:rsidRPr="00944425">
        <w:rPr>
          <w:rFonts w:ascii="Cambria Math" w:hAnsi="Cambria Math" w:cs="Cambria Math"/>
          <w:sz w:val="20"/>
          <w:szCs w:val="20"/>
          <w:highlight w:val="yellow"/>
        </w:rPr>
        <w:t>₃⁻</w:t>
      </w:r>
      <w:r w:rsidRPr="00944425">
        <w:rPr>
          <w:rFonts w:ascii="Arial" w:hAnsi="Arial" w:cs="Arial"/>
          <w:sz w:val="20"/>
          <w:szCs w:val="20"/>
          <w:highlight w:val="yellow"/>
        </w:rPr>
        <w:t>) and anthropogenic inputs (fertilizers, wastewater, latrines)</w:t>
      </w:r>
      <w:r w:rsidR="00A201BA" w:rsidRPr="00944425">
        <w:rPr>
          <w:rFonts w:ascii="Arial" w:hAnsi="Arial" w:cs="Arial"/>
          <w:sz w:val="20"/>
          <w:szCs w:val="20"/>
          <w:highlight w:val="yellow"/>
        </w:rPr>
        <w:t>; and</w:t>
      </w:r>
      <w:r w:rsidRPr="00944425">
        <w:rPr>
          <w:rFonts w:ascii="Arial" w:hAnsi="Arial" w:cs="Arial"/>
          <w:sz w:val="20"/>
          <w:szCs w:val="20"/>
          <w:highlight w:val="yellow"/>
        </w:rPr>
        <w:t xml:space="preserve"> often linked to insufficient protection of water points, proximity to sanitation facilities</w:t>
      </w:r>
      <w:r w:rsidR="00A813AC" w:rsidRPr="00944425">
        <w:rPr>
          <w:rFonts w:ascii="Arial" w:hAnsi="Arial" w:cs="Arial"/>
          <w:sz w:val="20"/>
          <w:szCs w:val="20"/>
          <w:highlight w:val="yellow"/>
        </w:rPr>
        <w:t xml:space="preserve"> </w:t>
      </w:r>
      <w:r w:rsidRPr="00944425">
        <w:rPr>
          <w:rFonts w:ascii="Arial" w:hAnsi="Arial" w:cs="Arial"/>
          <w:sz w:val="20"/>
          <w:szCs w:val="20"/>
          <w:highlight w:val="yellow"/>
        </w:rPr>
        <w:fldChar w:fldCharType="begin"/>
      </w:r>
      <w:r w:rsidRPr="00944425">
        <w:rPr>
          <w:rFonts w:ascii="Arial" w:hAnsi="Arial" w:cs="Arial"/>
          <w:sz w:val="20"/>
          <w:szCs w:val="20"/>
          <w:highlight w:val="yellow"/>
        </w:rPr>
        <w:instrText xml:space="preserve"> ADDIN ZOTERO_ITEM CSL_CITATION {"citationID":"a1nqxjPs","properties":{"formattedCitation":"(Marc et al. 2017)","plainCitation":"(Marc et al. 2017)","noteIndex":0},"citationItems":[{"id":440,"uris":["http://zotero.org/users/local/KXt9aeYd/items/CTR2CIAX"],"itemData":{"id":440,"type":"article-journal","container-title":"European Scientific Journal","journalAbbreviation":"European Scientific Journal","page":"15-69","title":"Physico-Chemical and Microbiological Qualities of Water from Wells, Drillings and Tanks Used as Drinking Water in the Municipality of Allada (Benin, West Africa)","volume":"13","author":[{"family":"Marc","given":"Sohounou"},{"family":"Wilfrid","given":"Vissin Expédit"},{"family":"Olivier","given":"Sintondji Luc"},{"family":"Euloge","given":"Agbossou K"},{"family":"Patrick","given":"Edorh A"}],"issued":{"date-parts":[["2017"]]}}}],"schema":"https://github.com/citation-style-language/schema/raw/master/csl-citation.json"} </w:instrText>
      </w:r>
      <w:r w:rsidRPr="00944425">
        <w:rPr>
          <w:rFonts w:ascii="Arial" w:hAnsi="Arial" w:cs="Arial"/>
          <w:sz w:val="20"/>
          <w:szCs w:val="20"/>
          <w:highlight w:val="yellow"/>
        </w:rPr>
        <w:fldChar w:fldCharType="separate"/>
      </w:r>
      <w:r w:rsidRPr="00944425">
        <w:rPr>
          <w:rFonts w:ascii="Arial" w:hAnsi="Arial" w:cs="Arial"/>
          <w:sz w:val="20"/>
          <w:szCs w:val="20"/>
          <w:highlight w:val="yellow"/>
        </w:rPr>
        <w:t>(Marc et al. 2017)</w:t>
      </w:r>
      <w:r w:rsidRPr="00944425">
        <w:rPr>
          <w:rFonts w:ascii="Arial" w:hAnsi="Arial" w:cs="Arial"/>
          <w:sz w:val="20"/>
          <w:szCs w:val="20"/>
          <w:highlight w:val="yellow"/>
        </w:rPr>
        <w:fldChar w:fldCharType="end"/>
      </w:r>
      <w:r w:rsidRPr="00944425">
        <w:rPr>
          <w:rFonts w:ascii="Arial" w:hAnsi="Arial" w:cs="Arial"/>
          <w:sz w:val="20"/>
          <w:szCs w:val="20"/>
          <w:highlight w:val="yellow"/>
        </w:rPr>
        <w:t xml:space="preserve"> </w:t>
      </w:r>
      <w:r w:rsidR="00125247" w:rsidRPr="00944425">
        <w:rPr>
          <w:rFonts w:ascii="Arial" w:hAnsi="Arial" w:cs="Arial"/>
          <w:sz w:val="20"/>
          <w:szCs w:val="20"/>
          <w:highlight w:val="yellow"/>
        </w:rPr>
        <w:t>. However, these studies are generally site-specific, and data remain scarce for several</w:t>
      </w:r>
      <w:r w:rsidR="00355252" w:rsidRPr="00944425">
        <w:rPr>
          <w:rFonts w:ascii="Arial" w:hAnsi="Arial" w:cs="Arial"/>
          <w:sz w:val="20"/>
          <w:szCs w:val="20"/>
          <w:highlight w:val="yellow"/>
        </w:rPr>
        <w:t xml:space="preserve"> </w:t>
      </w:r>
      <w:r w:rsidR="00125247" w:rsidRPr="00944425">
        <w:rPr>
          <w:rFonts w:ascii="Arial" w:hAnsi="Arial" w:cs="Arial"/>
          <w:sz w:val="20"/>
          <w:szCs w:val="20"/>
          <w:highlight w:val="yellow"/>
        </w:rPr>
        <w:t xml:space="preserve">rural communes. Moreover, </w:t>
      </w:r>
      <w:r w:rsidR="00355252" w:rsidRPr="00944425">
        <w:rPr>
          <w:rFonts w:ascii="Arial" w:hAnsi="Arial" w:cs="Arial"/>
          <w:sz w:val="20"/>
          <w:szCs w:val="20"/>
          <w:highlight w:val="yellow"/>
        </w:rPr>
        <w:t xml:space="preserve">integrated assessments combining physicochemical and microbiological parameters into a unified spatial framework remain limited for rural communes in southern Benin, including </w:t>
      </w:r>
      <w:proofErr w:type="spellStart"/>
      <w:r w:rsidR="00355252" w:rsidRPr="00944425">
        <w:rPr>
          <w:rFonts w:ascii="Arial" w:hAnsi="Arial" w:cs="Arial"/>
          <w:sz w:val="20"/>
          <w:szCs w:val="20"/>
          <w:highlight w:val="yellow"/>
        </w:rPr>
        <w:t>Agbangnizoun</w:t>
      </w:r>
      <w:proofErr w:type="spellEnd"/>
      <w:r w:rsidR="00355252" w:rsidRPr="00944425">
        <w:rPr>
          <w:rFonts w:ascii="Arial" w:hAnsi="Arial" w:cs="Arial"/>
          <w:sz w:val="20"/>
          <w:szCs w:val="20"/>
          <w:highlight w:val="yellow"/>
        </w:rPr>
        <w:t>.</w:t>
      </w:r>
    </w:p>
    <w:p w14:paraId="2C18A6E0" w14:textId="22CB888A" w:rsidR="00614A34" w:rsidRPr="0052569A" w:rsidRDefault="00125247" w:rsidP="00475ED7">
      <w:pPr>
        <w:jc w:val="both"/>
        <w:rPr>
          <w:rFonts w:ascii="Arial" w:hAnsi="Arial" w:cs="Arial"/>
          <w:b/>
          <w:bCs/>
          <w:sz w:val="20"/>
          <w:szCs w:val="20"/>
        </w:rPr>
      </w:pPr>
      <w:r w:rsidRPr="0052569A">
        <w:rPr>
          <w:rFonts w:ascii="Arial" w:hAnsi="Arial" w:cs="Arial"/>
          <w:sz w:val="20"/>
          <w:szCs w:val="20"/>
        </w:rPr>
        <w:t>In this context, the present study aims to (</w:t>
      </w:r>
      <w:proofErr w:type="spellStart"/>
      <w:r w:rsidRPr="0052569A">
        <w:rPr>
          <w:rFonts w:ascii="Arial" w:hAnsi="Arial" w:cs="Arial"/>
          <w:sz w:val="20"/>
          <w:szCs w:val="20"/>
        </w:rPr>
        <w:t>i</w:t>
      </w:r>
      <w:proofErr w:type="spellEnd"/>
      <w:r w:rsidRPr="0052569A">
        <w:rPr>
          <w:rFonts w:ascii="Arial" w:hAnsi="Arial" w:cs="Arial"/>
          <w:sz w:val="20"/>
          <w:szCs w:val="20"/>
        </w:rPr>
        <w:t xml:space="preserve">) assess the physicochemical and bacteriological quality of well water used by local populations in the commune of </w:t>
      </w:r>
      <w:proofErr w:type="spellStart"/>
      <w:r w:rsidRPr="0052569A">
        <w:rPr>
          <w:rFonts w:ascii="Arial" w:hAnsi="Arial" w:cs="Arial"/>
          <w:sz w:val="20"/>
          <w:szCs w:val="20"/>
        </w:rPr>
        <w:t>Agbangnizoun</w:t>
      </w:r>
      <w:proofErr w:type="spellEnd"/>
      <w:r w:rsidRPr="0052569A">
        <w:rPr>
          <w:rFonts w:ascii="Arial" w:hAnsi="Arial" w:cs="Arial"/>
          <w:sz w:val="20"/>
          <w:szCs w:val="20"/>
        </w:rPr>
        <w:t>, (ii</w:t>
      </w:r>
      <w:r w:rsidRPr="00944425">
        <w:rPr>
          <w:rFonts w:ascii="Arial" w:hAnsi="Arial" w:cs="Arial"/>
          <w:sz w:val="20"/>
          <w:szCs w:val="20"/>
          <w:highlight w:val="yellow"/>
        </w:rPr>
        <w:t xml:space="preserve">) identify the main hydrochemical characteristics </w:t>
      </w:r>
      <w:r w:rsidR="00E5073B" w:rsidRPr="00944425">
        <w:rPr>
          <w:rFonts w:ascii="Arial" w:hAnsi="Arial" w:cs="Arial"/>
          <w:sz w:val="20"/>
          <w:szCs w:val="20"/>
          <w:highlight w:val="yellow"/>
        </w:rPr>
        <w:t>and infer potential contamination sources, including diffuse agricultural inputs and localized anthropogenic sources such as sanitation facilities</w:t>
      </w:r>
      <w:r w:rsidRPr="0052569A">
        <w:rPr>
          <w:rFonts w:ascii="Arial" w:hAnsi="Arial" w:cs="Arial"/>
          <w:sz w:val="20"/>
          <w:szCs w:val="20"/>
        </w:rPr>
        <w:t>, and (iii) evaluate the spatial heterogeneity of groundwater pollution through the development of a relative Pollution Index (PI) based on standardized parameters. By combining conventional hydrochemical analysis, microbiological indicators, and multivariate visualization tools, this work provides a comprehensive assessment of groundwater quality and contributes to improving local water resource management and public health protection strategies.</w:t>
      </w:r>
    </w:p>
    <w:p w14:paraId="3107BD9B" w14:textId="77777777" w:rsidR="0028008D" w:rsidRPr="0028008D" w:rsidRDefault="00EA1519" w:rsidP="0028008D">
      <w:pPr>
        <w:pStyle w:val="ListParagraph"/>
        <w:numPr>
          <w:ilvl w:val="0"/>
          <w:numId w:val="2"/>
        </w:numPr>
        <w:spacing w:after="0"/>
        <w:jc w:val="both"/>
        <w:rPr>
          <w:rFonts w:ascii="Arial" w:hAnsi="Arial" w:cs="Arial"/>
          <w:sz w:val="22"/>
          <w:szCs w:val="22"/>
        </w:rPr>
      </w:pPr>
      <w:r w:rsidRPr="00EA1519">
        <w:rPr>
          <w:rFonts w:ascii="Arial" w:hAnsi="Arial" w:cs="Arial"/>
          <w:b/>
          <w:bCs/>
          <w:sz w:val="22"/>
          <w:szCs w:val="22"/>
        </w:rPr>
        <w:t>MATERIALS AND METHODS</w:t>
      </w:r>
    </w:p>
    <w:p w14:paraId="400213D2" w14:textId="0976E3A4" w:rsidR="00475ED7" w:rsidRPr="0050020B" w:rsidRDefault="0028008D" w:rsidP="0050020B">
      <w:pPr>
        <w:pStyle w:val="Heading2"/>
        <w:rPr>
          <w:rFonts w:ascii="Arial" w:hAnsi="Arial" w:cs="Arial"/>
          <w:b/>
          <w:bCs/>
          <w:color w:val="auto"/>
          <w:sz w:val="22"/>
          <w:szCs w:val="22"/>
        </w:rPr>
      </w:pPr>
      <w:r w:rsidRPr="0050020B">
        <w:rPr>
          <w:rFonts w:ascii="Arial" w:hAnsi="Arial" w:cs="Arial"/>
          <w:b/>
          <w:bCs/>
          <w:color w:val="auto"/>
          <w:sz w:val="22"/>
          <w:szCs w:val="22"/>
        </w:rPr>
        <w:t xml:space="preserve">2.1 </w:t>
      </w:r>
      <w:r w:rsidR="00475ED7" w:rsidRPr="0050020B">
        <w:rPr>
          <w:rFonts w:ascii="Arial" w:hAnsi="Arial" w:cs="Arial"/>
          <w:b/>
          <w:bCs/>
          <w:color w:val="auto"/>
          <w:sz w:val="22"/>
          <w:szCs w:val="22"/>
        </w:rPr>
        <w:t>Study Area Description</w:t>
      </w:r>
    </w:p>
    <w:p w14:paraId="0AAEABB0" w14:textId="5D622D09" w:rsidR="00F95A71" w:rsidRPr="00941947" w:rsidRDefault="00475ED7" w:rsidP="00475ED7">
      <w:pPr>
        <w:jc w:val="both"/>
        <w:rPr>
          <w:rFonts w:ascii="Arial" w:hAnsi="Arial" w:cs="Arial"/>
          <w:sz w:val="20"/>
          <w:szCs w:val="20"/>
        </w:rPr>
      </w:pPr>
      <w:r w:rsidRPr="00941947">
        <w:rPr>
          <w:rFonts w:ascii="Arial" w:hAnsi="Arial" w:cs="Arial"/>
          <w:sz w:val="20"/>
          <w:szCs w:val="20"/>
        </w:rPr>
        <w:t xml:space="preserve">Located between 1°50' and 2°05' East longitude and 7°00' and 7°10' North latitude, the commune of </w:t>
      </w:r>
      <w:proofErr w:type="spellStart"/>
      <w:r w:rsidRPr="00941947">
        <w:rPr>
          <w:rFonts w:ascii="Arial" w:hAnsi="Arial" w:cs="Arial"/>
          <w:sz w:val="20"/>
          <w:szCs w:val="20"/>
        </w:rPr>
        <w:t>Agbangnizoun</w:t>
      </w:r>
      <w:proofErr w:type="spellEnd"/>
      <w:r w:rsidRPr="00941947">
        <w:rPr>
          <w:rFonts w:ascii="Arial" w:hAnsi="Arial" w:cs="Arial"/>
          <w:sz w:val="20"/>
          <w:szCs w:val="20"/>
        </w:rPr>
        <w:t xml:space="preserve"> is one of the nine (09) communes in the department of Zou according to the latest territorial division. It covers an area of 244 km² and is bounded to the North by the communes of Abomey and </w:t>
      </w:r>
      <w:proofErr w:type="spellStart"/>
      <w:r w:rsidRPr="00941947">
        <w:rPr>
          <w:rFonts w:ascii="Arial" w:hAnsi="Arial" w:cs="Arial"/>
          <w:sz w:val="20"/>
          <w:szCs w:val="20"/>
        </w:rPr>
        <w:t>Djidja</w:t>
      </w:r>
      <w:proofErr w:type="spellEnd"/>
      <w:r w:rsidRPr="00941947">
        <w:rPr>
          <w:rFonts w:ascii="Arial" w:hAnsi="Arial" w:cs="Arial"/>
          <w:sz w:val="20"/>
          <w:szCs w:val="20"/>
        </w:rPr>
        <w:t xml:space="preserve"> (Zou), to the South by the commune of Lalo (</w:t>
      </w:r>
      <w:proofErr w:type="spellStart"/>
      <w:r w:rsidRPr="00941947">
        <w:rPr>
          <w:rFonts w:ascii="Arial" w:hAnsi="Arial" w:cs="Arial"/>
          <w:sz w:val="20"/>
          <w:szCs w:val="20"/>
        </w:rPr>
        <w:t>Couffo</w:t>
      </w:r>
      <w:proofErr w:type="spellEnd"/>
      <w:r w:rsidRPr="00941947">
        <w:rPr>
          <w:rFonts w:ascii="Arial" w:hAnsi="Arial" w:cs="Arial"/>
          <w:sz w:val="20"/>
          <w:szCs w:val="20"/>
        </w:rPr>
        <w:t xml:space="preserve">), to the East by the communes of </w:t>
      </w:r>
      <w:proofErr w:type="spellStart"/>
      <w:r w:rsidRPr="00941947">
        <w:rPr>
          <w:rFonts w:ascii="Arial" w:hAnsi="Arial" w:cs="Arial"/>
          <w:sz w:val="20"/>
          <w:szCs w:val="20"/>
        </w:rPr>
        <w:t>Bohicon</w:t>
      </w:r>
      <w:proofErr w:type="spellEnd"/>
      <w:r w:rsidRPr="00941947">
        <w:rPr>
          <w:rFonts w:ascii="Arial" w:hAnsi="Arial" w:cs="Arial"/>
          <w:sz w:val="20"/>
          <w:szCs w:val="20"/>
        </w:rPr>
        <w:t xml:space="preserve"> and </w:t>
      </w:r>
      <w:proofErr w:type="spellStart"/>
      <w:r w:rsidRPr="00941947">
        <w:rPr>
          <w:rFonts w:ascii="Arial" w:hAnsi="Arial" w:cs="Arial"/>
          <w:sz w:val="20"/>
          <w:szCs w:val="20"/>
        </w:rPr>
        <w:t>Zogbodomey</w:t>
      </w:r>
      <w:proofErr w:type="spellEnd"/>
      <w:r w:rsidRPr="00941947">
        <w:rPr>
          <w:rFonts w:ascii="Arial" w:hAnsi="Arial" w:cs="Arial"/>
          <w:sz w:val="20"/>
          <w:szCs w:val="20"/>
        </w:rPr>
        <w:t xml:space="preserve"> (Zou), and to the West by the commune of </w:t>
      </w:r>
      <w:proofErr w:type="spellStart"/>
      <w:r w:rsidRPr="00941947">
        <w:rPr>
          <w:rFonts w:ascii="Arial" w:hAnsi="Arial" w:cs="Arial"/>
          <w:sz w:val="20"/>
          <w:szCs w:val="20"/>
        </w:rPr>
        <w:t>Klouékanmè</w:t>
      </w:r>
      <w:proofErr w:type="spellEnd"/>
      <w:r w:rsidRPr="00941947">
        <w:rPr>
          <w:rFonts w:ascii="Arial" w:hAnsi="Arial" w:cs="Arial"/>
          <w:sz w:val="20"/>
          <w:szCs w:val="20"/>
        </w:rPr>
        <w:t xml:space="preserve">, </w:t>
      </w:r>
      <w:proofErr w:type="spellStart"/>
      <w:r w:rsidRPr="00941947">
        <w:rPr>
          <w:rFonts w:ascii="Arial" w:hAnsi="Arial" w:cs="Arial"/>
          <w:sz w:val="20"/>
          <w:szCs w:val="20"/>
        </w:rPr>
        <w:t>Couffo</w:t>
      </w:r>
      <w:proofErr w:type="spellEnd"/>
      <w:r w:rsidRPr="00941947">
        <w:rPr>
          <w:rFonts w:ascii="Arial" w:hAnsi="Arial" w:cs="Arial"/>
          <w:sz w:val="20"/>
          <w:szCs w:val="20"/>
        </w:rPr>
        <w:t xml:space="preserve"> department (Fig</w:t>
      </w:r>
      <w:r w:rsidR="007C3D0C" w:rsidRPr="00941947">
        <w:rPr>
          <w:rFonts w:ascii="Arial" w:hAnsi="Arial" w:cs="Arial"/>
          <w:sz w:val="20"/>
          <w:szCs w:val="20"/>
        </w:rPr>
        <w:t>.</w:t>
      </w:r>
      <w:r w:rsidRPr="00941947">
        <w:rPr>
          <w:rFonts w:ascii="Arial" w:hAnsi="Arial" w:cs="Arial"/>
          <w:sz w:val="20"/>
          <w:szCs w:val="20"/>
        </w:rPr>
        <w:t xml:space="preserve">1). It comprises 10 districts and 53 villages and urban neighborhoods. It is located 16 km from the departmental </w:t>
      </w:r>
      <w:r w:rsidRPr="00941947">
        <w:rPr>
          <w:rFonts w:ascii="Arial" w:hAnsi="Arial" w:cs="Arial"/>
          <w:sz w:val="20"/>
          <w:szCs w:val="20"/>
        </w:rPr>
        <w:lastRenderedPageBreak/>
        <w:t>capital (Abomey), approximately 151 km from Cotonou, and spans a maximum edge-to-edge distance of 22 km in length</w:t>
      </w:r>
      <w:r w:rsidR="00922763" w:rsidRPr="00941947">
        <w:rPr>
          <w:rFonts w:ascii="Arial" w:hAnsi="Arial" w:cs="Arial"/>
          <w:sz w:val="20"/>
          <w:szCs w:val="20"/>
        </w:rPr>
        <w:fldChar w:fldCharType="begin"/>
      </w:r>
      <w:r w:rsidR="00922763" w:rsidRPr="00941947">
        <w:rPr>
          <w:rFonts w:ascii="Arial" w:hAnsi="Arial" w:cs="Arial"/>
          <w:sz w:val="20"/>
          <w:szCs w:val="20"/>
        </w:rPr>
        <w:instrText xml:space="preserve"> ADDIN ZOTERO_ITEM CSL_CITATION {"citationID":"eEhLqCVp","properties":{"formattedCitation":"(HOUNLELOU et al. 2022)","plainCitation":"(HOUNLELOU et al. 2022)","noteIndex":0},"citationItems":[{"id":433,"uris":["http://zotero.org/users/local/KXt9aeYd/items/R45LIGNX"],"itemData":{"id":433,"type":"article-journal","publisher":"EPAC/CAP/UAC","title":"SIG et gestion du registre foncier urbain à l'ère de la décentralisation dans l'arrondissement d’Agbangnizoun","author":[{"family":"HOUNLELOU","given":"Franck"},{"family":"DEGBEGNON","given":"Léopold"},{"family":"DJAOUGA","given":"Mama"}],"issued":{"date-parts":[["2022"]]}}}],"schema":"https://github.com/citation-style-language/schema/raw/master/csl-citation.json"} </w:instrText>
      </w:r>
      <w:r w:rsidR="00922763" w:rsidRPr="00941947">
        <w:rPr>
          <w:rFonts w:ascii="Arial" w:hAnsi="Arial" w:cs="Arial"/>
          <w:sz w:val="20"/>
          <w:szCs w:val="20"/>
        </w:rPr>
        <w:fldChar w:fldCharType="separate"/>
      </w:r>
      <w:r w:rsidR="00922763" w:rsidRPr="00941947">
        <w:rPr>
          <w:rFonts w:ascii="Arial" w:hAnsi="Arial" w:cs="Arial"/>
          <w:sz w:val="20"/>
          <w:szCs w:val="20"/>
        </w:rPr>
        <w:t>(HOUNLELOU et al. 2022)</w:t>
      </w:r>
      <w:r w:rsidR="00922763" w:rsidRPr="00941947">
        <w:rPr>
          <w:rFonts w:ascii="Arial" w:hAnsi="Arial" w:cs="Arial"/>
          <w:sz w:val="20"/>
          <w:szCs w:val="20"/>
        </w:rPr>
        <w:fldChar w:fldCharType="end"/>
      </w:r>
      <w:r w:rsidR="00922763" w:rsidRPr="00941947">
        <w:rPr>
          <w:rFonts w:ascii="Arial" w:hAnsi="Arial" w:cs="Arial"/>
          <w:sz w:val="20"/>
          <w:szCs w:val="20"/>
        </w:rPr>
        <w:t>.</w:t>
      </w:r>
    </w:p>
    <w:p w14:paraId="257DC1DB" w14:textId="10AB56DC" w:rsidR="00F95A71" w:rsidRPr="00941947" w:rsidRDefault="00F95A71" w:rsidP="00475ED7">
      <w:pPr>
        <w:jc w:val="both"/>
        <w:rPr>
          <w:rFonts w:ascii="Arial" w:hAnsi="Arial" w:cs="Arial"/>
          <w:sz w:val="20"/>
          <w:szCs w:val="20"/>
        </w:rPr>
      </w:pPr>
      <w:r w:rsidRPr="00941947">
        <w:rPr>
          <w:rFonts w:ascii="Arial" w:hAnsi="Arial" w:cs="Arial"/>
          <w:noProof/>
          <w:sz w:val="20"/>
          <w:szCs w:val="20"/>
        </w:rPr>
        <w:drawing>
          <wp:inline distT="0" distB="0" distL="0" distR="0" wp14:anchorId="7400E4DC" wp14:editId="40A02A37">
            <wp:extent cx="5852321" cy="3371850"/>
            <wp:effectExtent l="0" t="0" r="0" b="0"/>
            <wp:docPr id="82529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396" cy="3378807"/>
                    </a:xfrm>
                    <a:prstGeom prst="rect">
                      <a:avLst/>
                    </a:prstGeom>
                    <a:noFill/>
                  </pic:spPr>
                </pic:pic>
              </a:graphicData>
            </a:graphic>
          </wp:inline>
        </w:drawing>
      </w:r>
      <w:r w:rsidR="00DB4244" w:rsidRPr="00941947">
        <w:rPr>
          <w:rFonts w:ascii="Arial" w:hAnsi="Arial" w:cs="Arial"/>
          <w:sz w:val="20"/>
          <w:szCs w:val="20"/>
        </w:rPr>
        <w:t>`\</w:t>
      </w:r>
    </w:p>
    <w:p w14:paraId="05D14F39" w14:textId="4051A120" w:rsidR="00475ED7" w:rsidRPr="00633EA0" w:rsidRDefault="00475ED7" w:rsidP="00475ED7">
      <w:pPr>
        <w:jc w:val="both"/>
        <w:rPr>
          <w:rFonts w:ascii="Arial" w:hAnsi="Arial" w:cs="Arial"/>
          <w:b/>
          <w:bCs/>
          <w:sz w:val="20"/>
          <w:szCs w:val="20"/>
        </w:rPr>
      </w:pPr>
      <w:r w:rsidRPr="00633EA0">
        <w:rPr>
          <w:rFonts w:ascii="Arial" w:hAnsi="Arial" w:cs="Arial"/>
          <w:b/>
          <w:bCs/>
          <w:sz w:val="20"/>
          <w:szCs w:val="20"/>
        </w:rPr>
        <w:t>Fig</w:t>
      </w:r>
      <w:r w:rsidR="00633EA0" w:rsidRPr="00633EA0">
        <w:rPr>
          <w:rFonts w:ascii="Arial" w:hAnsi="Arial" w:cs="Arial"/>
          <w:b/>
          <w:bCs/>
          <w:sz w:val="20"/>
          <w:szCs w:val="20"/>
        </w:rPr>
        <w:t>.</w:t>
      </w:r>
      <w:r w:rsidRPr="00633EA0">
        <w:rPr>
          <w:rFonts w:ascii="Arial" w:hAnsi="Arial" w:cs="Arial"/>
          <w:b/>
          <w:bCs/>
          <w:sz w:val="20"/>
          <w:szCs w:val="20"/>
        </w:rPr>
        <w:t xml:space="preserve"> 1: </w:t>
      </w:r>
      <w:r w:rsidR="00F95A71" w:rsidRPr="00633EA0">
        <w:rPr>
          <w:rFonts w:ascii="Arial" w:hAnsi="Arial" w:cs="Arial"/>
          <w:b/>
          <w:bCs/>
          <w:sz w:val="20"/>
          <w:szCs w:val="20"/>
        </w:rPr>
        <w:t xml:space="preserve">Map of some wells in the commune of </w:t>
      </w:r>
      <w:proofErr w:type="spellStart"/>
      <w:r w:rsidR="00F95A71" w:rsidRPr="00633EA0">
        <w:rPr>
          <w:rFonts w:ascii="Arial" w:hAnsi="Arial" w:cs="Arial"/>
          <w:b/>
          <w:bCs/>
          <w:sz w:val="20"/>
          <w:szCs w:val="20"/>
        </w:rPr>
        <w:t>Agbangnizoun</w:t>
      </w:r>
      <w:proofErr w:type="spellEnd"/>
    </w:p>
    <w:p w14:paraId="7678116B" w14:textId="37563C9C" w:rsidR="00475ED7" w:rsidRPr="0050020B" w:rsidRDefault="0028008D" w:rsidP="0050020B">
      <w:pPr>
        <w:pStyle w:val="Heading2"/>
        <w:rPr>
          <w:rFonts w:ascii="Arial" w:hAnsi="Arial" w:cs="Arial"/>
          <w:b/>
          <w:bCs/>
          <w:color w:val="auto"/>
          <w:sz w:val="22"/>
          <w:szCs w:val="22"/>
        </w:rPr>
      </w:pPr>
      <w:r w:rsidRPr="0050020B">
        <w:rPr>
          <w:rFonts w:ascii="Arial" w:hAnsi="Arial" w:cs="Arial"/>
          <w:b/>
          <w:bCs/>
          <w:color w:val="auto"/>
          <w:sz w:val="22"/>
          <w:szCs w:val="22"/>
        </w:rPr>
        <w:t xml:space="preserve">2.2 </w:t>
      </w:r>
      <w:r w:rsidR="00475ED7" w:rsidRPr="0050020B">
        <w:rPr>
          <w:rFonts w:ascii="Arial" w:hAnsi="Arial" w:cs="Arial"/>
          <w:b/>
          <w:bCs/>
          <w:color w:val="auto"/>
          <w:sz w:val="22"/>
          <w:szCs w:val="22"/>
        </w:rPr>
        <w:t>Study Sampling</w:t>
      </w:r>
    </w:p>
    <w:p w14:paraId="4C19B116" w14:textId="566B8C58" w:rsidR="005E05B5" w:rsidRDefault="00475ED7" w:rsidP="00475ED7">
      <w:pPr>
        <w:jc w:val="both"/>
        <w:rPr>
          <w:rFonts w:ascii="Arial" w:hAnsi="Arial" w:cs="Arial"/>
          <w:sz w:val="20"/>
          <w:szCs w:val="20"/>
        </w:rPr>
      </w:pPr>
      <w:r w:rsidRPr="00941947">
        <w:rPr>
          <w:rFonts w:ascii="Arial" w:hAnsi="Arial" w:cs="Arial"/>
          <w:sz w:val="20"/>
          <w:szCs w:val="20"/>
        </w:rPr>
        <w:t xml:space="preserve">A total of 54 samples were collected </w:t>
      </w:r>
      <w:r w:rsidR="003E13A2" w:rsidRPr="00941947">
        <w:rPr>
          <w:rFonts w:ascii="Arial" w:hAnsi="Arial" w:cs="Arial"/>
          <w:sz w:val="20"/>
          <w:szCs w:val="20"/>
        </w:rPr>
        <w:t>during the dry season (December 2023 to March 2024)</w:t>
      </w:r>
      <w:r w:rsidRPr="00941947">
        <w:rPr>
          <w:rFonts w:ascii="Arial" w:hAnsi="Arial" w:cs="Arial"/>
          <w:sz w:val="20"/>
          <w:szCs w:val="20"/>
        </w:rPr>
        <w:t xml:space="preserve">, comprising 27 samples for </w:t>
      </w:r>
      <w:proofErr w:type="spellStart"/>
      <w:r w:rsidRPr="00941947">
        <w:rPr>
          <w:rFonts w:ascii="Arial" w:hAnsi="Arial" w:cs="Arial"/>
          <w:sz w:val="20"/>
          <w:szCs w:val="20"/>
        </w:rPr>
        <w:t>physico</w:t>
      </w:r>
      <w:proofErr w:type="spellEnd"/>
      <w:r w:rsidRPr="00941947">
        <w:rPr>
          <w:rFonts w:ascii="Arial" w:hAnsi="Arial" w:cs="Arial"/>
          <w:sz w:val="20"/>
          <w:szCs w:val="20"/>
        </w:rPr>
        <w:t xml:space="preserve">-chemical analysis and 27 samples for bacteriological analysis. These samples were taken from 27 wells numbered </w:t>
      </w:r>
      <w:r w:rsidR="00AC61DC">
        <w:rPr>
          <w:rFonts w:ascii="Arial" w:hAnsi="Arial" w:cs="Arial"/>
          <w:sz w:val="20"/>
          <w:szCs w:val="20"/>
        </w:rPr>
        <w:t>W</w:t>
      </w:r>
      <w:r w:rsidRPr="00941947">
        <w:rPr>
          <w:rFonts w:ascii="Arial" w:hAnsi="Arial" w:cs="Arial"/>
          <w:sz w:val="20"/>
          <w:szCs w:val="20"/>
        </w:rPr>
        <w:t xml:space="preserve">1 to </w:t>
      </w:r>
      <w:r w:rsidR="00AC61DC">
        <w:rPr>
          <w:rFonts w:ascii="Arial" w:hAnsi="Arial" w:cs="Arial"/>
          <w:sz w:val="20"/>
          <w:szCs w:val="20"/>
        </w:rPr>
        <w:t>W</w:t>
      </w:r>
      <w:r w:rsidRPr="00941947">
        <w:rPr>
          <w:rFonts w:ascii="Arial" w:hAnsi="Arial" w:cs="Arial"/>
          <w:sz w:val="20"/>
          <w:szCs w:val="20"/>
        </w:rPr>
        <w:t>27</w:t>
      </w:r>
      <w:r w:rsidR="000308CA">
        <w:rPr>
          <w:rFonts w:ascii="Arial" w:hAnsi="Arial" w:cs="Arial"/>
          <w:sz w:val="20"/>
          <w:szCs w:val="20"/>
        </w:rPr>
        <w:t xml:space="preserve"> (Table 1)</w:t>
      </w:r>
      <w:r w:rsidRPr="00941947">
        <w:rPr>
          <w:rFonts w:ascii="Arial" w:hAnsi="Arial" w:cs="Arial"/>
          <w:sz w:val="20"/>
          <w:szCs w:val="20"/>
        </w:rPr>
        <w:t xml:space="preserve"> to cover the entire commune and obtain an accurate overview of the </w:t>
      </w:r>
      <w:proofErr w:type="spellStart"/>
      <w:r w:rsidRPr="00941947">
        <w:rPr>
          <w:rFonts w:ascii="Arial" w:hAnsi="Arial" w:cs="Arial"/>
          <w:sz w:val="20"/>
          <w:szCs w:val="20"/>
        </w:rPr>
        <w:t>physico</w:t>
      </w:r>
      <w:proofErr w:type="spellEnd"/>
      <w:r w:rsidRPr="00941947">
        <w:rPr>
          <w:rFonts w:ascii="Arial" w:hAnsi="Arial" w:cs="Arial"/>
          <w:sz w:val="20"/>
          <w:szCs w:val="20"/>
        </w:rPr>
        <w:t xml:space="preserve">-chemical and bacteriological quality. To obtain a representative sample from the well, collections were made using the container employed by the well owners, i.e., with the small bucket they customarily use to draw water. After drawing water from the well, sampling was performed following the method applied during borehole water sampling. For </w:t>
      </w:r>
      <w:proofErr w:type="spellStart"/>
      <w:r w:rsidRPr="00941947">
        <w:rPr>
          <w:rFonts w:ascii="Arial" w:hAnsi="Arial" w:cs="Arial"/>
          <w:sz w:val="20"/>
          <w:szCs w:val="20"/>
        </w:rPr>
        <w:t>physico</w:t>
      </w:r>
      <w:proofErr w:type="spellEnd"/>
      <w:r w:rsidRPr="00941947">
        <w:rPr>
          <w:rFonts w:ascii="Arial" w:hAnsi="Arial" w:cs="Arial"/>
          <w:sz w:val="20"/>
          <w:szCs w:val="20"/>
        </w:rPr>
        <w:t xml:space="preserve">-chemical analysis, 1L polyethylene bottles, previously cleaned and rinsed with distilled water, were used. After drawing water from the well, the bottle was rinsed thoroughly with the sample before proceeding with collection. For bacteriological analysis, 500mL borosilicate glass bottles, previously sterilized in an autoclave at 121.1°C for 15 minutes, were used. After drawing water from the well, the sample was collected; the bottles were not completely filled to allow aerobic microbes potentially present in the water to survive until analysis. To avoid any contamination of the water by ambient air during sampling, a burner was used. Finally, once sampling was completed, the water samples were placed in a </w:t>
      </w:r>
      <w:r w:rsidR="00995559" w:rsidRPr="00941947">
        <w:rPr>
          <w:rFonts w:ascii="Arial" w:hAnsi="Arial" w:cs="Arial"/>
          <w:sz w:val="20"/>
          <w:szCs w:val="20"/>
        </w:rPr>
        <w:t>cooler containing ice pack</w:t>
      </w:r>
      <w:r w:rsidRPr="00941947">
        <w:rPr>
          <w:rFonts w:ascii="Arial" w:hAnsi="Arial" w:cs="Arial"/>
          <w:sz w:val="20"/>
          <w:szCs w:val="20"/>
        </w:rPr>
        <w:t>, transported to the laboratory, and stored at 4°C.</w:t>
      </w:r>
      <w:r w:rsidR="000308CA" w:rsidRPr="000308CA">
        <w:t xml:space="preserve"> </w:t>
      </w:r>
      <w:r w:rsidR="000308CA" w:rsidRPr="000308CA">
        <w:rPr>
          <w:rFonts w:ascii="Arial" w:hAnsi="Arial" w:cs="Arial"/>
          <w:sz w:val="20"/>
          <w:szCs w:val="20"/>
          <w:highlight w:val="yellow"/>
        </w:rPr>
        <w:t>For each well, total depth was measured in situ using a graduated measuring tape. Depth was defined as the vertical distance between the upper rim of the well and the bottom (substratum or accumulated sediments).</w:t>
      </w:r>
    </w:p>
    <w:p w14:paraId="6D0C0407" w14:textId="77777777" w:rsidR="00A81333" w:rsidRDefault="00A81333" w:rsidP="00475ED7">
      <w:pPr>
        <w:jc w:val="both"/>
        <w:rPr>
          <w:rFonts w:ascii="Arial" w:hAnsi="Arial" w:cs="Arial"/>
          <w:sz w:val="20"/>
          <w:szCs w:val="20"/>
        </w:rPr>
      </w:pPr>
    </w:p>
    <w:p w14:paraId="79C8E6AC" w14:textId="77777777" w:rsidR="00A81333" w:rsidRDefault="00A81333" w:rsidP="00475ED7">
      <w:pPr>
        <w:jc w:val="both"/>
        <w:rPr>
          <w:rFonts w:ascii="Arial" w:hAnsi="Arial" w:cs="Arial"/>
          <w:sz w:val="20"/>
          <w:szCs w:val="20"/>
        </w:rPr>
      </w:pPr>
    </w:p>
    <w:p w14:paraId="502B5DC8" w14:textId="77777777" w:rsidR="005A1302" w:rsidRDefault="005A1302" w:rsidP="00475ED7">
      <w:pPr>
        <w:jc w:val="both"/>
        <w:rPr>
          <w:rFonts w:ascii="Arial" w:hAnsi="Arial" w:cs="Arial"/>
          <w:sz w:val="20"/>
          <w:szCs w:val="20"/>
        </w:rPr>
      </w:pPr>
    </w:p>
    <w:p w14:paraId="306F07B4" w14:textId="77777777" w:rsidR="005A1302" w:rsidRDefault="005A1302" w:rsidP="00475ED7">
      <w:pPr>
        <w:jc w:val="both"/>
        <w:rPr>
          <w:rFonts w:ascii="Arial" w:hAnsi="Arial" w:cs="Arial"/>
          <w:sz w:val="20"/>
          <w:szCs w:val="20"/>
        </w:rPr>
      </w:pPr>
    </w:p>
    <w:p w14:paraId="1745B0FE" w14:textId="77777777" w:rsidR="005A1302" w:rsidRDefault="005A1302" w:rsidP="00475ED7">
      <w:pPr>
        <w:jc w:val="both"/>
        <w:rPr>
          <w:rFonts w:ascii="Arial" w:hAnsi="Arial" w:cs="Arial"/>
          <w:sz w:val="20"/>
          <w:szCs w:val="20"/>
        </w:rPr>
      </w:pPr>
    </w:p>
    <w:p w14:paraId="0EF715A2" w14:textId="77777777" w:rsidR="005A1302" w:rsidRPr="00941947" w:rsidRDefault="005A1302" w:rsidP="00475ED7">
      <w:pPr>
        <w:jc w:val="both"/>
        <w:rPr>
          <w:rFonts w:ascii="Arial" w:hAnsi="Arial" w:cs="Arial"/>
          <w:sz w:val="20"/>
          <w:szCs w:val="20"/>
        </w:rPr>
      </w:pPr>
    </w:p>
    <w:p w14:paraId="0439A0E5" w14:textId="18428CA1" w:rsidR="002F4502" w:rsidRPr="00941947" w:rsidRDefault="005B58A3" w:rsidP="00475ED7">
      <w:pPr>
        <w:jc w:val="both"/>
        <w:rPr>
          <w:rFonts w:ascii="Arial" w:hAnsi="Arial" w:cs="Arial"/>
          <w:sz w:val="20"/>
          <w:szCs w:val="20"/>
        </w:rPr>
      </w:pPr>
      <w:r w:rsidRPr="00941947">
        <w:rPr>
          <w:rFonts w:ascii="Arial" w:hAnsi="Arial" w:cs="Arial"/>
          <w:b/>
          <w:color w:val="000000"/>
          <w:sz w:val="20"/>
          <w:szCs w:val="20"/>
        </w:rPr>
        <w:t xml:space="preserve"> </w:t>
      </w:r>
      <w:r w:rsidR="002F4502" w:rsidRPr="00941947">
        <w:rPr>
          <w:rFonts w:ascii="Arial" w:hAnsi="Arial" w:cs="Arial"/>
          <w:b/>
          <w:color w:val="000000"/>
          <w:sz w:val="20"/>
          <w:szCs w:val="20"/>
        </w:rPr>
        <w:t>Tabl</w:t>
      </w:r>
      <w:r w:rsidR="00125247" w:rsidRPr="00941947">
        <w:rPr>
          <w:rFonts w:ascii="Arial" w:hAnsi="Arial" w:cs="Arial"/>
          <w:b/>
          <w:color w:val="000000"/>
          <w:sz w:val="20"/>
          <w:szCs w:val="20"/>
        </w:rPr>
        <w:t>e</w:t>
      </w:r>
      <w:r w:rsidR="002F4502" w:rsidRPr="00941947">
        <w:rPr>
          <w:rFonts w:ascii="Arial" w:hAnsi="Arial" w:cs="Arial"/>
          <w:b/>
          <w:color w:val="000000"/>
          <w:sz w:val="20"/>
          <w:szCs w:val="20"/>
        </w:rPr>
        <w:t xml:space="preserve"> </w:t>
      </w:r>
      <w:r w:rsidR="00DA350F" w:rsidRPr="00633EA0">
        <w:rPr>
          <w:rFonts w:ascii="Arial" w:hAnsi="Arial" w:cs="Arial"/>
          <w:b/>
          <w:color w:val="000000"/>
          <w:sz w:val="20"/>
          <w:szCs w:val="20"/>
        </w:rPr>
        <w:t>1:</w:t>
      </w:r>
      <w:r w:rsidR="002F4502" w:rsidRPr="00633EA0">
        <w:rPr>
          <w:rFonts w:ascii="Arial" w:hAnsi="Arial" w:cs="Arial"/>
          <w:b/>
          <w:color w:val="000000"/>
          <w:sz w:val="20"/>
          <w:szCs w:val="20"/>
        </w:rPr>
        <w:t xml:space="preserve"> </w:t>
      </w:r>
      <w:r w:rsidR="00081D9F" w:rsidRPr="00633EA0">
        <w:rPr>
          <w:rFonts w:ascii="Arial" w:hAnsi="Arial" w:cs="Arial"/>
          <w:b/>
          <w:color w:val="000000"/>
          <w:sz w:val="20"/>
          <w:szCs w:val="20"/>
        </w:rPr>
        <w:t>Sample</w:t>
      </w:r>
      <w:r w:rsidR="00C10CD8" w:rsidRPr="00633EA0">
        <w:rPr>
          <w:rFonts w:ascii="Arial" w:hAnsi="Arial" w:cs="Arial"/>
          <w:b/>
          <w:color w:val="000000"/>
          <w:sz w:val="20"/>
          <w:szCs w:val="20"/>
        </w:rPr>
        <w:t>s</w:t>
      </w:r>
      <w:r w:rsidR="00081D9F" w:rsidRPr="00633EA0">
        <w:rPr>
          <w:rFonts w:ascii="Arial" w:hAnsi="Arial" w:cs="Arial"/>
          <w:b/>
          <w:color w:val="000000"/>
          <w:sz w:val="20"/>
          <w:szCs w:val="20"/>
        </w:rPr>
        <w:t xml:space="preserve"> coding</w:t>
      </w:r>
    </w:p>
    <w:tbl>
      <w:tblPr>
        <w:tblStyle w:val="PlainTable2"/>
        <w:tblW w:w="9985" w:type="dxa"/>
        <w:tblLook w:val="06A0" w:firstRow="1" w:lastRow="0" w:firstColumn="1" w:lastColumn="0" w:noHBand="1" w:noVBand="1"/>
      </w:tblPr>
      <w:tblGrid>
        <w:gridCol w:w="2245"/>
        <w:gridCol w:w="810"/>
        <w:gridCol w:w="2070"/>
        <w:gridCol w:w="990"/>
        <w:gridCol w:w="2970"/>
        <w:gridCol w:w="900"/>
      </w:tblGrid>
      <w:tr w:rsidR="005948A4" w:rsidRPr="00941947" w14:paraId="79C4145C" w14:textId="77777777" w:rsidTr="008D4AEA">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245" w:type="dxa"/>
            <w:tcBorders>
              <w:top w:val="single" w:sz="12" w:space="0" w:color="000000"/>
              <w:bottom w:val="single" w:sz="12" w:space="0" w:color="000000"/>
            </w:tcBorders>
            <w:hideMark/>
          </w:tcPr>
          <w:p w14:paraId="6E48ECF8" w14:textId="77777777" w:rsidR="00475ED7" w:rsidRPr="00941947" w:rsidRDefault="00475ED7" w:rsidP="00475ED7">
            <w:pPr>
              <w:spacing w:after="160" w:line="278" w:lineRule="auto"/>
              <w:jc w:val="both"/>
              <w:rPr>
                <w:rFonts w:ascii="Arial" w:hAnsi="Arial" w:cs="Arial"/>
                <w:sz w:val="20"/>
                <w:szCs w:val="20"/>
              </w:rPr>
            </w:pPr>
            <w:r w:rsidRPr="00941947">
              <w:rPr>
                <w:rFonts w:ascii="Arial" w:hAnsi="Arial" w:cs="Arial"/>
                <w:sz w:val="20"/>
                <w:szCs w:val="20"/>
              </w:rPr>
              <w:t>Localities</w:t>
            </w:r>
          </w:p>
        </w:tc>
        <w:tc>
          <w:tcPr>
            <w:tcW w:w="810" w:type="dxa"/>
            <w:tcBorders>
              <w:top w:val="single" w:sz="12" w:space="0" w:color="000000"/>
              <w:bottom w:val="single" w:sz="12" w:space="0" w:color="000000"/>
            </w:tcBorders>
            <w:hideMark/>
          </w:tcPr>
          <w:p w14:paraId="7EB7D223"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c>
          <w:tcPr>
            <w:tcW w:w="2070" w:type="dxa"/>
            <w:tcBorders>
              <w:top w:val="single" w:sz="12" w:space="0" w:color="000000"/>
              <w:bottom w:val="single" w:sz="12" w:space="0" w:color="000000"/>
            </w:tcBorders>
            <w:hideMark/>
          </w:tcPr>
          <w:p w14:paraId="6D058638"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Localities</w:t>
            </w:r>
          </w:p>
        </w:tc>
        <w:tc>
          <w:tcPr>
            <w:tcW w:w="990" w:type="dxa"/>
            <w:tcBorders>
              <w:top w:val="single" w:sz="12" w:space="0" w:color="000000"/>
              <w:bottom w:val="single" w:sz="12" w:space="0" w:color="000000"/>
            </w:tcBorders>
            <w:hideMark/>
          </w:tcPr>
          <w:p w14:paraId="07FAF5C7"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c>
          <w:tcPr>
            <w:tcW w:w="2970" w:type="dxa"/>
            <w:tcBorders>
              <w:top w:val="single" w:sz="12" w:space="0" w:color="000000"/>
              <w:bottom w:val="single" w:sz="12" w:space="0" w:color="000000"/>
            </w:tcBorders>
            <w:hideMark/>
          </w:tcPr>
          <w:p w14:paraId="41B38844"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Localities</w:t>
            </w:r>
          </w:p>
        </w:tc>
        <w:tc>
          <w:tcPr>
            <w:tcW w:w="900" w:type="dxa"/>
            <w:tcBorders>
              <w:top w:val="single" w:sz="12" w:space="0" w:color="000000"/>
              <w:bottom w:val="single" w:sz="12" w:space="0" w:color="000000"/>
            </w:tcBorders>
            <w:hideMark/>
          </w:tcPr>
          <w:p w14:paraId="1F7F82A7"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r>
      <w:tr w:rsidR="005948A4" w:rsidRPr="00941947" w14:paraId="69CFEBBE" w14:textId="77777777" w:rsidTr="008D4AEA">
        <w:trPr>
          <w:trHeight w:val="322"/>
        </w:trPr>
        <w:tc>
          <w:tcPr>
            <w:cnfStyle w:val="001000000000" w:firstRow="0" w:lastRow="0" w:firstColumn="1" w:lastColumn="0" w:oddVBand="0" w:evenVBand="0" w:oddHBand="0" w:evenHBand="0" w:firstRowFirstColumn="0" w:firstRowLastColumn="0" w:lastRowFirstColumn="0" w:lastRowLastColumn="0"/>
            <w:tcW w:w="2245" w:type="dxa"/>
            <w:tcBorders>
              <w:top w:val="single" w:sz="12" w:space="0" w:color="000000"/>
            </w:tcBorders>
            <w:hideMark/>
          </w:tcPr>
          <w:p w14:paraId="724E0980" w14:textId="77777777" w:rsidR="00475ED7" w:rsidRPr="00941947" w:rsidRDefault="00475ED7" w:rsidP="0075171F">
            <w:pPr>
              <w:spacing w:line="276" w:lineRule="auto"/>
              <w:jc w:val="both"/>
              <w:rPr>
                <w:rFonts w:ascii="Arial" w:hAnsi="Arial" w:cs="Arial"/>
                <w:b w:val="0"/>
                <w:bCs w:val="0"/>
                <w:sz w:val="20"/>
                <w:szCs w:val="20"/>
              </w:rPr>
            </w:pPr>
            <w:r w:rsidRPr="00941947">
              <w:rPr>
                <w:rFonts w:ascii="Arial" w:hAnsi="Arial" w:cs="Arial"/>
                <w:b w:val="0"/>
                <w:bCs w:val="0"/>
                <w:sz w:val="20"/>
                <w:szCs w:val="20"/>
              </w:rPr>
              <w:t>Wanli</w:t>
            </w:r>
          </w:p>
        </w:tc>
        <w:tc>
          <w:tcPr>
            <w:tcW w:w="810" w:type="dxa"/>
            <w:tcBorders>
              <w:top w:val="single" w:sz="12" w:space="0" w:color="000000"/>
            </w:tcBorders>
            <w:hideMark/>
          </w:tcPr>
          <w:p w14:paraId="36CF6BE9" w14:textId="2F8B2093"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w:t>
            </w:r>
          </w:p>
        </w:tc>
        <w:tc>
          <w:tcPr>
            <w:tcW w:w="2070" w:type="dxa"/>
            <w:tcBorders>
              <w:top w:val="single" w:sz="12" w:space="0" w:color="000000"/>
            </w:tcBorders>
            <w:hideMark/>
          </w:tcPr>
          <w:p w14:paraId="4E6B9F96"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N'gbénoudo</w:t>
            </w:r>
            <w:proofErr w:type="spellEnd"/>
          </w:p>
        </w:tc>
        <w:tc>
          <w:tcPr>
            <w:tcW w:w="990" w:type="dxa"/>
            <w:tcBorders>
              <w:top w:val="single" w:sz="12" w:space="0" w:color="000000"/>
            </w:tcBorders>
            <w:hideMark/>
          </w:tcPr>
          <w:p w14:paraId="11D62472" w14:textId="2D157C8B"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10</w:t>
            </w:r>
          </w:p>
        </w:tc>
        <w:tc>
          <w:tcPr>
            <w:tcW w:w="2970" w:type="dxa"/>
            <w:tcBorders>
              <w:top w:val="single" w:sz="12" w:space="0" w:color="000000"/>
            </w:tcBorders>
            <w:hideMark/>
          </w:tcPr>
          <w:p w14:paraId="5F40F2EB" w14:textId="5EC7E22D"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Zounme</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tcBorders>
              <w:top w:val="single" w:sz="12" w:space="0" w:color="000000"/>
            </w:tcBorders>
            <w:hideMark/>
          </w:tcPr>
          <w:p w14:paraId="59B4027A" w14:textId="6A2203D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19</w:t>
            </w:r>
          </w:p>
        </w:tc>
      </w:tr>
      <w:tr w:rsidR="005948A4" w:rsidRPr="00941947" w14:paraId="4F302384" w14:textId="77777777" w:rsidTr="005948A4">
        <w:trPr>
          <w:trHeight w:val="311"/>
        </w:trPr>
        <w:tc>
          <w:tcPr>
            <w:cnfStyle w:val="001000000000" w:firstRow="0" w:lastRow="0" w:firstColumn="1" w:lastColumn="0" w:oddVBand="0" w:evenVBand="0" w:oddHBand="0" w:evenHBand="0" w:firstRowFirstColumn="0" w:firstRowLastColumn="0" w:lastRowFirstColumn="0" w:lastRowLastColumn="0"/>
            <w:tcW w:w="2245" w:type="dxa"/>
            <w:hideMark/>
          </w:tcPr>
          <w:p w14:paraId="6893C7AA" w14:textId="71C231D8" w:rsidR="00475ED7" w:rsidRPr="00941947" w:rsidRDefault="004476F9"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Gbozou</w:t>
            </w:r>
            <w:proofErr w:type="spellEnd"/>
            <w:r w:rsidRPr="00941947">
              <w:rPr>
                <w:rFonts w:ascii="Arial" w:hAnsi="Arial" w:cs="Arial"/>
                <w:b w:val="0"/>
                <w:bCs w:val="0"/>
                <w:sz w:val="20"/>
                <w:szCs w:val="20"/>
              </w:rPr>
              <w:t xml:space="preserve"> 2</w:t>
            </w:r>
          </w:p>
        </w:tc>
        <w:tc>
          <w:tcPr>
            <w:tcW w:w="810" w:type="dxa"/>
            <w:hideMark/>
          </w:tcPr>
          <w:p w14:paraId="085FB754" w14:textId="0C019BD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w:t>
            </w:r>
          </w:p>
        </w:tc>
        <w:tc>
          <w:tcPr>
            <w:tcW w:w="2070" w:type="dxa"/>
            <w:hideMark/>
          </w:tcPr>
          <w:p w14:paraId="5B08BA93"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Dovokpè</w:t>
            </w:r>
            <w:proofErr w:type="spellEnd"/>
          </w:p>
        </w:tc>
        <w:tc>
          <w:tcPr>
            <w:tcW w:w="990" w:type="dxa"/>
            <w:hideMark/>
          </w:tcPr>
          <w:p w14:paraId="78EA87EB" w14:textId="3A1343C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11</w:t>
            </w:r>
          </w:p>
        </w:tc>
        <w:tc>
          <w:tcPr>
            <w:tcW w:w="2970" w:type="dxa"/>
            <w:hideMark/>
          </w:tcPr>
          <w:p w14:paraId="586D3F80" w14:textId="58E8CF12"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Dodji</w:t>
            </w:r>
            <w:proofErr w:type="spellEnd"/>
          </w:p>
        </w:tc>
        <w:tc>
          <w:tcPr>
            <w:tcW w:w="900" w:type="dxa"/>
            <w:hideMark/>
          </w:tcPr>
          <w:p w14:paraId="7229F886" w14:textId="6530714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20</w:t>
            </w:r>
          </w:p>
        </w:tc>
      </w:tr>
      <w:tr w:rsidR="005948A4" w:rsidRPr="00941947" w14:paraId="293FAADE" w14:textId="77777777" w:rsidTr="005948A4">
        <w:trPr>
          <w:trHeight w:val="377"/>
        </w:trPr>
        <w:tc>
          <w:tcPr>
            <w:cnfStyle w:val="001000000000" w:firstRow="0" w:lastRow="0" w:firstColumn="1" w:lastColumn="0" w:oddVBand="0" w:evenVBand="0" w:oddHBand="0" w:evenHBand="0" w:firstRowFirstColumn="0" w:firstRowLastColumn="0" w:lastRowFirstColumn="0" w:lastRowLastColumn="0"/>
            <w:tcW w:w="2245" w:type="dxa"/>
            <w:hideMark/>
          </w:tcPr>
          <w:p w14:paraId="04CF5C18" w14:textId="70D00E2B" w:rsidR="00475ED7" w:rsidRPr="00941947" w:rsidRDefault="004476F9" w:rsidP="0075171F">
            <w:pPr>
              <w:spacing w:line="276" w:lineRule="auto"/>
              <w:jc w:val="both"/>
              <w:rPr>
                <w:rFonts w:ascii="Arial" w:hAnsi="Arial" w:cs="Arial"/>
                <w:b w:val="0"/>
                <w:bCs w:val="0"/>
                <w:sz w:val="20"/>
                <w:szCs w:val="20"/>
              </w:rPr>
            </w:pPr>
            <w:r w:rsidRPr="00941947">
              <w:rPr>
                <w:rFonts w:ascii="Arial" w:hAnsi="Arial" w:cs="Arial"/>
                <w:b w:val="0"/>
                <w:bCs w:val="0"/>
                <w:sz w:val="20"/>
                <w:szCs w:val="20"/>
              </w:rPr>
              <w:t>Tanta 1</w:t>
            </w:r>
          </w:p>
        </w:tc>
        <w:tc>
          <w:tcPr>
            <w:tcW w:w="810" w:type="dxa"/>
            <w:hideMark/>
          </w:tcPr>
          <w:p w14:paraId="220CAFBB" w14:textId="027F3B7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3</w:t>
            </w:r>
          </w:p>
        </w:tc>
        <w:tc>
          <w:tcPr>
            <w:tcW w:w="2070" w:type="dxa"/>
            <w:hideMark/>
          </w:tcPr>
          <w:p w14:paraId="5BBE5673"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Adingnigon</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90" w:type="dxa"/>
            <w:hideMark/>
          </w:tcPr>
          <w:p w14:paraId="3007587D" w14:textId="7ADF320F"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12</w:t>
            </w:r>
          </w:p>
        </w:tc>
        <w:tc>
          <w:tcPr>
            <w:tcW w:w="2970" w:type="dxa"/>
            <w:hideMark/>
          </w:tcPr>
          <w:p w14:paraId="24DA7DAB"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Zoungoudo</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hideMark/>
          </w:tcPr>
          <w:p w14:paraId="6D13BCD2" w14:textId="65F3045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21</w:t>
            </w:r>
          </w:p>
        </w:tc>
      </w:tr>
      <w:tr w:rsidR="005948A4" w:rsidRPr="00941947" w14:paraId="0AF1EA33"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0A8AD3C1"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Ahissatogon</w:t>
            </w:r>
            <w:proofErr w:type="spellEnd"/>
          </w:p>
        </w:tc>
        <w:tc>
          <w:tcPr>
            <w:tcW w:w="810" w:type="dxa"/>
            <w:hideMark/>
          </w:tcPr>
          <w:p w14:paraId="0AEA4312" w14:textId="73BC187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4</w:t>
            </w:r>
          </w:p>
        </w:tc>
        <w:tc>
          <w:tcPr>
            <w:tcW w:w="2070" w:type="dxa"/>
            <w:hideMark/>
          </w:tcPr>
          <w:p w14:paraId="581BC69B"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Fondanou</w:t>
            </w:r>
            <w:proofErr w:type="spellEnd"/>
          </w:p>
        </w:tc>
        <w:tc>
          <w:tcPr>
            <w:tcW w:w="990" w:type="dxa"/>
            <w:hideMark/>
          </w:tcPr>
          <w:p w14:paraId="3C9F0392" w14:textId="42CA567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13</w:t>
            </w:r>
          </w:p>
        </w:tc>
        <w:tc>
          <w:tcPr>
            <w:tcW w:w="2970" w:type="dxa"/>
            <w:hideMark/>
          </w:tcPr>
          <w:p w14:paraId="3B58DB05"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Zoungoudo</w:t>
            </w:r>
            <w:proofErr w:type="spellEnd"/>
            <w:r w:rsidRPr="00941947">
              <w:rPr>
                <w:rFonts w:ascii="Arial" w:hAnsi="Arial" w:cs="Arial"/>
                <w:sz w:val="20"/>
                <w:szCs w:val="20"/>
              </w:rPr>
              <w:t xml:space="preserve"> centre2</w:t>
            </w:r>
          </w:p>
        </w:tc>
        <w:tc>
          <w:tcPr>
            <w:tcW w:w="900" w:type="dxa"/>
            <w:hideMark/>
          </w:tcPr>
          <w:p w14:paraId="5AD726A2" w14:textId="2BEB268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22</w:t>
            </w:r>
          </w:p>
        </w:tc>
      </w:tr>
      <w:tr w:rsidR="005948A4" w:rsidRPr="00941947" w14:paraId="08E5B0E9" w14:textId="77777777" w:rsidTr="005948A4">
        <w:trPr>
          <w:trHeight w:val="386"/>
        </w:trPr>
        <w:tc>
          <w:tcPr>
            <w:cnfStyle w:val="001000000000" w:firstRow="0" w:lastRow="0" w:firstColumn="1" w:lastColumn="0" w:oddVBand="0" w:evenVBand="0" w:oddHBand="0" w:evenHBand="0" w:firstRowFirstColumn="0" w:firstRowLastColumn="0" w:lastRowFirstColumn="0" w:lastRowLastColumn="0"/>
            <w:tcW w:w="2245" w:type="dxa"/>
            <w:hideMark/>
          </w:tcPr>
          <w:p w14:paraId="7DB255BB"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Danli</w:t>
            </w:r>
            <w:proofErr w:type="spellEnd"/>
          </w:p>
        </w:tc>
        <w:tc>
          <w:tcPr>
            <w:tcW w:w="810" w:type="dxa"/>
            <w:hideMark/>
          </w:tcPr>
          <w:p w14:paraId="3D8FD168" w14:textId="3CD75A66"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5</w:t>
            </w:r>
          </w:p>
        </w:tc>
        <w:tc>
          <w:tcPr>
            <w:tcW w:w="2070" w:type="dxa"/>
            <w:hideMark/>
          </w:tcPr>
          <w:p w14:paraId="516160F7"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Aïmèvo</w:t>
            </w:r>
            <w:proofErr w:type="spellEnd"/>
          </w:p>
        </w:tc>
        <w:tc>
          <w:tcPr>
            <w:tcW w:w="990" w:type="dxa"/>
            <w:hideMark/>
          </w:tcPr>
          <w:p w14:paraId="1FD1C9EF" w14:textId="1DFB5E9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14</w:t>
            </w:r>
          </w:p>
        </w:tc>
        <w:tc>
          <w:tcPr>
            <w:tcW w:w="2970" w:type="dxa"/>
            <w:hideMark/>
          </w:tcPr>
          <w:p w14:paraId="4E3CA65F" w14:textId="349F29DF"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Akodebakou</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hideMark/>
          </w:tcPr>
          <w:p w14:paraId="07C76E78" w14:textId="56881CD3"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23</w:t>
            </w:r>
          </w:p>
        </w:tc>
      </w:tr>
      <w:tr w:rsidR="005948A4" w:rsidRPr="00941947" w14:paraId="3B51274E"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6EC0A0C6"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Abodéslamè</w:t>
            </w:r>
            <w:proofErr w:type="spellEnd"/>
          </w:p>
        </w:tc>
        <w:tc>
          <w:tcPr>
            <w:tcW w:w="810" w:type="dxa"/>
            <w:hideMark/>
          </w:tcPr>
          <w:p w14:paraId="6EE4CCBB" w14:textId="07E75ECB"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6</w:t>
            </w:r>
          </w:p>
        </w:tc>
        <w:tc>
          <w:tcPr>
            <w:tcW w:w="2070" w:type="dxa"/>
            <w:hideMark/>
          </w:tcPr>
          <w:p w14:paraId="5A8F0510"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Aglali</w:t>
            </w:r>
            <w:proofErr w:type="spellEnd"/>
          </w:p>
        </w:tc>
        <w:tc>
          <w:tcPr>
            <w:tcW w:w="990" w:type="dxa"/>
            <w:hideMark/>
          </w:tcPr>
          <w:p w14:paraId="3BC21CA4" w14:textId="175242A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15</w:t>
            </w:r>
          </w:p>
        </w:tc>
        <w:tc>
          <w:tcPr>
            <w:tcW w:w="2970" w:type="dxa"/>
            <w:hideMark/>
          </w:tcPr>
          <w:p w14:paraId="20D193A6"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Avali</w:t>
            </w:r>
          </w:p>
        </w:tc>
        <w:tc>
          <w:tcPr>
            <w:tcW w:w="900" w:type="dxa"/>
            <w:hideMark/>
          </w:tcPr>
          <w:p w14:paraId="231A1981" w14:textId="660E828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24</w:t>
            </w:r>
          </w:p>
        </w:tc>
      </w:tr>
      <w:tr w:rsidR="005948A4" w:rsidRPr="00941947" w14:paraId="594A4577" w14:textId="77777777" w:rsidTr="005948A4">
        <w:trPr>
          <w:trHeight w:val="377"/>
        </w:trPr>
        <w:tc>
          <w:tcPr>
            <w:cnfStyle w:val="001000000000" w:firstRow="0" w:lastRow="0" w:firstColumn="1" w:lastColumn="0" w:oddVBand="0" w:evenVBand="0" w:oddHBand="0" w:evenHBand="0" w:firstRowFirstColumn="0" w:firstRowLastColumn="0" w:lastRowFirstColumn="0" w:lastRowLastColumn="0"/>
            <w:tcW w:w="2245" w:type="dxa"/>
            <w:hideMark/>
          </w:tcPr>
          <w:p w14:paraId="335DB314"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Kinmin</w:t>
            </w:r>
            <w:proofErr w:type="spellEnd"/>
          </w:p>
        </w:tc>
        <w:tc>
          <w:tcPr>
            <w:tcW w:w="810" w:type="dxa"/>
            <w:hideMark/>
          </w:tcPr>
          <w:p w14:paraId="2CABD4A4" w14:textId="069C569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7</w:t>
            </w:r>
          </w:p>
        </w:tc>
        <w:tc>
          <w:tcPr>
            <w:tcW w:w="2070" w:type="dxa"/>
            <w:hideMark/>
          </w:tcPr>
          <w:p w14:paraId="57097144" w14:textId="77A049AC"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Zounme</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90" w:type="dxa"/>
            <w:hideMark/>
          </w:tcPr>
          <w:p w14:paraId="204B27CE" w14:textId="5E222E0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16</w:t>
            </w:r>
          </w:p>
        </w:tc>
        <w:tc>
          <w:tcPr>
            <w:tcW w:w="2970" w:type="dxa"/>
            <w:hideMark/>
          </w:tcPr>
          <w:p w14:paraId="7E42C51A"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Abigo</w:t>
            </w:r>
            <w:proofErr w:type="spellEnd"/>
          </w:p>
        </w:tc>
        <w:tc>
          <w:tcPr>
            <w:tcW w:w="900" w:type="dxa"/>
            <w:hideMark/>
          </w:tcPr>
          <w:p w14:paraId="62906A48" w14:textId="39BEC9C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25</w:t>
            </w:r>
          </w:p>
        </w:tc>
      </w:tr>
      <w:tr w:rsidR="005948A4" w:rsidRPr="00941947" w14:paraId="0AF6B008"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1157C2FF"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Vodjè</w:t>
            </w:r>
            <w:proofErr w:type="spellEnd"/>
            <w:r w:rsidRPr="00941947">
              <w:rPr>
                <w:rFonts w:ascii="Arial" w:hAnsi="Arial" w:cs="Arial"/>
                <w:b w:val="0"/>
                <w:bCs w:val="0"/>
                <w:sz w:val="20"/>
                <w:szCs w:val="20"/>
              </w:rPr>
              <w:t xml:space="preserve"> 2</w:t>
            </w:r>
          </w:p>
        </w:tc>
        <w:tc>
          <w:tcPr>
            <w:tcW w:w="810" w:type="dxa"/>
            <w:hideMark/>
          </w:tcPr>
          <w:p w14:paraId="6EE05F2A" w14:textId="56EFDF5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8</w:t>
            </w:r>
          </w:p>
        </w:tc>
        <w:tc>
          <w:tcPr>
            <w:tcW w:w="2070" w:type="dxa"/>
            <w:hideMark/>
          </w:tcPr>
          <w:p w14:paraId="30AFC6BE"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Dodomè</w:t>
            </w:r>
            <w:proofErr w:type="spellEnd"/>
          </w:p>
        </w:tc>
        <w:tc>
          <w:tcPr>
            <w:tcW w:w="990" w:type="dxa"/>
            <w:hideMark/>
          </w:tcPr>
          <w:p w14:paraId="626843DC" w14:textId="794B686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17</w:t>
            </w:r>
          </w:p>
        </w:tc>
        <w:tc>
          <w:tcPr>
            <w:tcW w:w="2970" w:type="dxa"/>
            <w:hideMark/>
          </w:tcPr>
          <w:p w14:paraId="55002AC8"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Tohouéta</w:t>
            </w:r>
            <w:proofErr w:type="spellEnd"/>
          </w:p>
        </w:tc>
        <w:tc>
          <w:tcPr>
            <w:tcW w:w="900" w:type="dxa"/>
            <w:hideMark/>
          </w:tcPr>
          <w:p w14:paraId="02762F06" w14:textId="66E0B41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26</w:t>
            </w:r>
          </w:p>
        </w:tc>
      </w:tr>
      <w:tr w:rsidR="005948A4" w:rsidRPr="00941947" w14:paraId="57A0937F" w14:textId="77777777" w:rsidTr="00DF097F">
        <w:trPr>
          <w:trHeight w:val="322"/>
        </w:trPr>
        <w:tc>
          <w:tcPr>
            <w:cnfStyle w:val="001000000000" w:firstRow="0" w:lastRow="0" w:firstColumn="1" w:lastColumn="0" w:oddVBand="0" w:evenVBand="0" w:oddHBand="0" w:evenHBand="0" w:firstRowFirstColumn="0" w:firstRowLastColumn="0" w:lastRowFirstColumn="0" w:lastRowLastColumn="0"/>
            <w:tcW w:w="2245" w:type="dxa"/>
            <w:tcBorders>
              <w:bottom w:val="single" w:sz="12" w:space="0" w:color="000000"/>
            </w:tcBorders>
            <w:hideMark/>
          </w:tcPr>
          <w:p w14:paraId="34CBD4E3"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Agbozoundji</w:t>
            </w:r>
            <w:proofErr w:type="spellEnd"/>
          </w:p>
        </w:tc>
        <w:tc>
          <w:tcPr>
            <w:tcW w:w="810" w:type="dxa"/>
            <w:tcBorders>
              <w:bottom w:val="single" w:sz="12" w:space="0" w:color="000000"/>
            </w:tcBorders>
            <w:hideMark/>
          </w:tcPr>
          <w:p w14:paraId="0AB2D8DB" w14:textId="648F586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9</w:t>
            </w:r>
          </w:p>
        </w:tc>
        <w:tc>
          <w:tcPr>
            <w:tcW w:w="2070" w:type="dxa"/>
            <w:tcBorders>
              <w:bottom w:val="single" w:sz="12" w:space="0" w:color="000000"/>
            </w:tcBorders>
            <w:hideMark/>
          </w:tcPr>
          <w:p w14:paraId="0A361055"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kinkpèslamè</w:t>
            </w:r>
            <w:proofErr w:type="spellEnd"/>
          </w:p>
        </w:tc>
        <w:tc>
          <w:tcPr>
            <w:tcW w:w="990" w:type="dxa"/>
            <w:tcBorders>
              <w:bottom w:val="single" w:sz="12" w:space="0" w:color="000000"/>
            </w:tcBorders>
            <w:hideMark/>
          </w:tcPr>
          <w:p w14:paraId="571D42A4" w14:textId="3A94237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18</w:t>
            </w:r>
          </w:p>
        </w:tc>
        <w:tc>
          <w:tcPr>
            <w:tcW w:w="2970" w:type="dxa"/>
            <w:tcBorders>
              <w:bottom w:val="single" w:sz="12" w:space="0" w:color="000000"/>
            </w:tcBorders>
            <w:hideMark/>
          </w:tcPr>
          <w:p w14:paraId="189260CA" w14:textId="28B221A9" w:rsidR="00475ED7" w:rsidRPr="00941947" w:rsidRDefault="00696A14"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Adjahakpa</w:t>
            </w:r>
            <w:proofErr w:type="spellEnd"/>
            <w:r w:rsidRPr="00941947">
              <w:rPr>
                <w:rFonts w:ascii="Arial" w:hAnsi="Arial" w:cs="Arial"/>
                <w:sz w:val="20"/>
                <w:szCs w:val="20"/>
              </w:rPr>
              <w:t xml:space="preserve"> /</w:t>
            </w:r>
            <w:proofErr w:type="spellStart"/>
            <w:r w:rsidRPr="00941947">
              <w:rPr>
                <w:rFonts w:ascii="Arial" w:hAnsi="Arial" w:cs="Arial"/>
                <w:sz w:val="20"/>
                <w:szCs w:val="20"/>
              </w:rPr>
              <w:t>akohoun</w:t>
            </w:r>
            <w:proofErr w:type="spellEnd"/>
          </w:p>
        </w:tc>
        <w:tc>
          <w:tcPr>
            <w:tcW w:w="900" w:type="dxa"/>
            <w:tcBorders>
              <w:bottom w:val="single" w:sz="12" w:space="0" w:color="000000"/>
            </w:tcBorders>
            <w:hideMark/>
          </w:tcPr>
          <w:p w14:paraId="4297E107" w14:textId="5E5238D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27</w:t>
            </w:r>
          </w:p>
        </w:tc>
      </w:tr>
    </w:tbl>
    <w:p w14:paraId="2F36E7E2" w14:textId="41931B75" w:rsidR="00081D9F" w:rsidRPr="0050020B" w:rsidRDefault="0028008D" w:rsidP="0050020B">
      <w:pPr>
        <w:pStyle w:val="Heading2"/>
        <w:rPr>
          <w:rFonts w:ascii="Arial" w:hAnsi="Arial" w:cs="Arial"/>
          <w:b/>
          <w:bCs/>
          <w:color w:val="auto"/>
          <w:sz w:val="22"/>
          <w:szCs w:val="22"/>
        </w:rPr>
      </w:pPr>
      <w:r w:rsidRPr="0050020B">
        <w:rPr>
          <w:rFonts w:ascii="Arial" w:hAnsi="Arial" w:cs="Arial"/>
          <w:b/>
          <w:bCs/>
          <w:color w:val="auto"/>
          <w:sz w:val="22"/>
          <w:szCs w:val="22"/>
        </w:rPr>
        <w:t xml:space="preserve">2.3 </w:t>
      </w:r>
      <w:r w:rsidR="00081D9F" w:rsidRPr="0050020B">
        <w:rPr>
          <w:rFonts w:ascii="Arial" w:hAnsi="Arial" w:cs="Arial"/>
          <w:b/>
          <w:bCs/>
          <w:color w:val="auto"/>
          <w:sz w:val="22"/>
          <w:szCs w:val="22"/>
        </w:rPr>
        <w:t>Physicochemical and Bacteriological Analyses</w:t>
      </w:r>
    </w:p>
    <w:p w14:paraId="686AA3D6" w14:textId="74F6764A" w:rsidR="00081D9F" w:rsidRPr="0050020B" w:rsidRDefault="0050020B" w:rsidP="0050020B">
      <w:pPr>
        <w:pStyle w:val="Heading3"/>
        <w:rPr>
          <w:rFonts w:ascii="Arial" w:hAnsi="Arial" w:cs="Arial"/>
          <w:b/>
          <w:bCs/>
          <w:color w:val="auto"/>
          <w:sz w:val="20"/>
          <w:szCs w:val="20"/>
        </w:rPr>
      </w:pPr>
      <w:r w:rsidRPr="0050020B">
        <w:rPr>
          <w:rFonts w:ascii="Arial" w:hAnsi="Arial" w:cs="Arial"/>
          <w:b/>
          <w:bCs/>
          <w:color w:val="auto"/>
          <w:sz w:val="20"/>
          <w:szCs w:val="20"/>
        </w:rPr>
        <w:t xml:space="preserve">2.3.1 </w:t>
      </w:r>
      <w:r w:rsidR="00081D9F" w:rsidRPr="0050020B">
        <w:rPr>
          <w:rFonts w:ascii="Arial" w:hAnsi="Arial" w:cs="Arial"/>
          <w:b/>
          <w:bCs/>
          <w:color w:val="auto"/>
          <w:sz w:val="20"/>
          <w:szCs w:val="20"/>
        </w:rPr>
        <w:t>Physicochemical analyses</w:t>
      </w:r>
    </w:p>
    <w:p w14:paraId="6FC574BD" w14:textId="3D9AC45E" w:rsidR="00081D9F" w:rsidRPr="00941947" w:rsidRDefault="0050020B" w:rsidP="00081D9F">
      <w:pPr>
        <w:jc w:val="both"/>
        <w:rPr>
          <w:rFonts w:ascii="Arial" w:hAnsi="Arial" w:cs="Arial"/>
          <w:sz w:val="20"/>
          <w:szCs w:val="20"/>
        </w:rPr>
      </w:pPr>
      <w:r w:rsidRPr="0050020B">
        <w:rPr>
          <w:rFonts w:ascii="Arial" w:hAnsi="Arial" w:cs="Arial"/>
          <w:sz w:val="20"/>
          <w:szCs w:val="20"/>
        </w:rPr>
        <w:t xml:space="preserve">Water temperature, electrical conductivity (EC), and pH were measured </w:t>
      </w:r>
      <w:r w:rsidRPr="0050020B">
        <w:rPr>
          <w:rFonts w:ascii="Arial" w:hAnsi="Arial" w:cs="Arial"/>
          <w:i/>
          <w:iCs/>
          <w:sz w:val="20"/>
          <w:szCs w:val="20"/>
        </w:rPr>
        <w:t>in situ</w:t>
      </w:r>
      <w:r w:rsidRPr="0050020B">
        <w:rPr>
          <w:rFonts w:ascii="Arial" w:hAnsi="Arial" w:cs="Arial"/>
          <w:sz w:val="20"/>
          <w:szCs w:val="20"/>
        </w:rPr>
        <w:t xml:space="preserve"> at each sampling point using a calibrated portable multi-parameter meter (ADWA AD8000).</w:t>
      </w:r>
      <w:r w:rsidR="00081D9F" w:rsidRPr="00941947">
        <w:rPr>
          <w:rFonts w:ascii="Arial" w:hAnsi="Arial" w:cs="Arial"/>
          <w:sz w:val="20"/>
          <w:szCs w:val="20"/>
        </w:rPr>
        <w:t xml:space="preserve">All remaining physicochemical parameters were determined in the laboratory following standard analytical procedures recommended by Rodier </w:t>
      </w:r>
      <w:r w:rsidR="00D73B64" w:rsidRPr="00941947">
        <w:rPr>
          <w:rFonts w:ascii="Arial" w:hAnsi="Arial" w:cs="Arial"/>
          <w:sz w:val="20"/>
          <w:szCs w:val="20"/>
        </w:rPr>
        <w:fldChar w:fldCharType="begin"/>
      </w:r>
      <w:r w:rsidR="00D73B64" w:rsidRPr="00941947">
        <w:rPr>
          <w:rFonts w:ascii="Arial" w:hAnsi="Arial" w:cs="Arial"/>
          <w:sz w:val="20"/>
          <w:szCs w:val="20"/>
        </w:rPr>
        <w:instrText xml:space="preserve"> ADDIN ZOTERO_ITEM CSL_CITATION {"citationID":"e06ufY5n","properties":{"formattedCitation":"(KAHOUL and TOUHAMI 2014)","plainCitation":"(KAHOUL and TOUHAMI 2014)","noteIndex":0},"citationItems":[{"id":441,"uris":["http://zotero.org/users/local/KXt9aeYd/items/WD29SV6K"],"itemData":{"id":441,"type":"article-journal","container-title":"LARHYSS Journal P-ISSN 1112-3680/E-ISSN 2521-9782","ISSN":"2521-9782","issue":"19","journalAbbreviation":"LARHYSS Journal P-ISSN 1112-3680/E-ISSN 2521-9782","title":"Évaluation de la qualité physico-chimique des eaux de consommation de la ville d’Annaba (Algérie)","author":[{"family":"KAHOUL","given":"Mohamed"},{"family":"TOUHAMI","given":"Mohamed"}],"issued":{"date-parts":[["2014"]]}}}],"schema":"https://github.com/citation-style-language/schema/raw/master/csl-citation.json"} </w:instrText>
      </w:r>
      <w:r w:rsidR="00D73B64" w:rsidRPr="00941947">
        <w:rPr>
          <w:rFonts w:ascii="Arial" w:hAnsi="Arial" w:cs="Arial"/>
          <w:sz w:val="20"/>
          <w:szCs w:val="20"/>
        </w:rPr>
        <w:fldChar w:fldCharType="separate"/>
      </w:r>
      <w:r w:rsidR="00D73B64" w:rsidRPr="00941947">
        <w:rPr>
          <w:rFonts w:ascii="Arial" w:hAnsi="Arial" w:cs="Arial"/>
          <w:sz w:val="20"/>
          <w:szCs w:val="20"/>
        </w:rPr>
        <w:t>(KAHOUL and TOUHAMI 2014)</w:t>
      </w:r>
      <w:r w:rsidR="00D73B64" w:rsidRPr="00941947">
        <w:rPr>
          <w:rFonts w:ascii="Arial" w:hAnsi="Arial" w:cs="Arial"/>
          <w:sz w:val="20"/>
          <w:szCs w:val="20"/>
        </w:rPr>
        <w:fldChar w:fldCharType="end"/>
      </w:r>
      <w:r w:rsidR="00D73B64" w:rsidRPr="00941947">
        <w:rPr>
          <w:rFonts w:ascii="Arial" w:hAnsi="Arial" w:cs="Arial"/>
          <w:sz w:val="20"/>
          <w:szCs w:val="20"/>
        </w:rPr>
        <w:t>.</w:t>
      </w:r>
      <w:r w:rsidR="00081D9F" w:rsidRPr="00941947">
        <w:rPr>
          <w:rFonts w:ascii="Arial" w:hAnsi="Arial" w:cs="Arial"/>
          <w:sz w:val="20"/>
          <w:szCs w:val="20"/>
        </w:rPr>
        <w:t>Sodium (Na</w:t>
      </w:r>
      <w:r w:rsidR="00081D9F" w:rsidRPr="00941947">
        <w:rPr>
          <w:rFonts w:ascii="Cambria Math" w:hAnsi="Cambria Math" w:cs="Cambria Math"/>
          <w:sz w:val="20"/>
          <w:szCs w:val="20"/>
        </w:rPr>
        <w:t>⁺</w:t>
      </w:r>
      <w:r w:rsidR="00081D9F" w:rsidRPr="00941947">
        <w:rPr>
          <w:rFonts w:ascii="Arial" w:hAnsi="Arial" w:cs="Arial"/>
          <w:sz w:val="20"/>
          <w:szCs w:val="20"/>
        </w:rPr>
        <w:t>) and potassium (K</w:t>
      </w:r>
      <w:r w:rsidR="00081D9F" w:rsidRPr="00941947">
        <w:rPr>
          <w:rFonts w:ascii="Cambria Math" w:hAnsi="Cambria Math" w:cs="Cambria Math"/>
          <w:sz w:val="20"/>
          <w:szCs w:val="20"/>
        </w:rPr>
        <w:t>⁺</w:t>
      </w:r>
      <w:r w:rsidR="00081D9F" w:rsidRPr="00941947">
        <w:rPr>
          <w:rFonts w:ascii="Arial" w:hAnsi="Arial" w:cs="Arial"/>
          <w:sz w:val="20"/>
          <w:szCs w:val="20"/>
        </w:rPr>
        <w:t>) concentrations were measured by flame photometry, while calcium (Ca²</w:t>
      </w:r>
      <w:r w:rsidR="00081D9F" w:rsidRPr="00941947">
        <w:rPr>
          <w:rFonts w:ascii="Cambria Math" w:hAnsi="Cambria Math" w:cs="Cambria Math"/>
          <w:sz w:val="20"/>
          <w:szCs w:val="20"/>
        </w:rPr>
        <w:t>⁺</w:t>
      </w:r>
      <w:r w:rsidR="00081D9F" w:rsidRPr="00941947">
        <w:rPr>
          <w:rFonts w:ascii="Arial" w:hAnsi="Arial" w:cs="Arial"/>
          <w:sz w:val="20"/>
          <w:szCs w:val="20"/>
        </w:rPr>
        <w:t>) and magnesium (Mg²</w:t>
      </w:r>
      <w:r w:rsidR="00081D9F" w:rsidRPr="00941947">
        <w:rPr>
          <w:rFonts w:ascii="Cambria Math" w:hAnsi="Cambria Math" w:cs="Cambria Math"/>
          <w:sz w:val="20"/>
          <w:szCs w:val="20"/>
        </w:rPr>
        <w:t>⁺</w:t>
      </w:r>
      <w:r w:rsidR="00081D9F" w:rsidRPr="00941947">
        <w:rPr>
          <w:rFonts w:ascii="Arial" w:hAnsi="Arial" w:cs="Arial"/>
          <w:sz w:val="20"/>
          <w:szCs w:val="20"/>
        </w:rPr>
        <w:t>) were determined by complexometric titration with EDTA</w:t>
      </w:r>
      <w:r w:rsidR="00140A45" w:rsidRPr="00941947">
        <w:rPr>
          <w:rFonts w:ascii="Arial" w:hAnsi="Arial" w:cs="Arial"/>
          <w:sz w:val="20"/>
          <w:szCs w:val="20"/>
        </w:rPr>
        <w:fldChar w:fldCharType="begin"/>
      </w:r>
      <w:r w:rsidR="00140A45" w:rsidRPr="00941947">
        <w:rPr>
          <w:rFonts w:ascii="Arial" w:hAnsi="Arial" w:cs="Arial"/>
          <w:sz w:val="20"/>
          <w:szCs w:val="20"/>
        </w:rPr>
        <w:instrText xml:space="preserve"> ADDIN ZOTERO_ITEM CSL_CITATION {"citationID":"HhA8gX98","properties":{"formattedCitation":"(Lal et al. 2025; Karita and Kaneta 2016)","plainCitation":"(Lal et al. 2025; Karita and Kaneta 2016)","noteIndex":0},"citationItems":[{"id":496,"uris":["http://zotero.org/users/local/KXt9aeYd/items/54VN2YLM"],"itemData":{"id":496,"type":"article-journal","container-title":"Earth Systems and Environment","note":"ISBN: 2509-9426","page":"1-25","publisher":"Springer","title":"Impact of poor-quality irrigation water on soil systems: A hydrogeochemical study from central india","author":[{"family":"Lal","given":"Bharat"},{"family":"Sengar","given":"Satendra Singh"},{"family":"Kumar","given":"Harish"},{"family":"Shukla","given":"Abhishek Kumar"},{"family":"Ingle","given":"Sagar Nandulal"},{"family":"Das","given":"Sai Parasar"},{"family":"Praharaj","given":"Subhashisa"},{"family":"Ahamad","given":"Muhammad Irfan"},{"family":"Lu","given":"Siqi"}],"issued":{"date-parts":[["2025"]]}}},{"id":442,"uris":["http://zotero.org/users/local/KXt9aeYd/items/DYXXWW8T"],"itemData":{"id":442,"type":"article-journal","container-title":"Analytica chimica acta","ISSN":"0003-2670","journalAbbreviation":"Analytica chimica acta","page":"60-67","publisher":"Elsevier","title":"Chelate titrations of Ca2+ and Mg2+ using microfluidic paper-based analytical devices","volume":"924","author":[{"family":"Karita","given":"Shingo"},{"family":"Kaneta","given":"Takashi"}],"issued":{"date-parts":[["2016"]]}}}],"schema":"https://github.com/citation-style-language/schema/raw/master/csl-citation.json"} </w:instrText>
      </w:r>
      <w:r w:rsidR="00140A45" w:rsidRPr="00941947">
        <w:rPr>
          <w:rFonts w:ascii="Arial" w:hAnsi="Arial" w:cs="Arial"/>
          <w:sz w:val="20"/>
          <w:szCs w:val="20"/>
        </w:rPr>
        <w:fldChar w:fldCharType="separate"/>
      </w:r>
      <w:r w:rsidR="00140A45" w:rsidRPr="00941947">
        <w:rPr>
          <w:rFonts w:ascii="Arial" w:hAnsi="Arial" w:cs="Arial"/>
          <w:sz w:val="20"/>
          <w:szCs w:val="20"/>
        </w:rPr>
        <w:t>(Lal et al. 2025; Karita and Kaneta 2016)</w:t>
      </w:r>
      <w:r w:rsidR="00140A45" w:rsidRPr="00941947">
        <w:rPr>
          <w:rFonts w:ascii="Arial" w:hAnsi="Arial" w:cs="Arial"/>
          <w:sz w:val="20"/>
          <w:szCs w:val="20"/>
        </w:rPr>
        <w:fldChar w:fldCharType="end"/>
      </w:r>
      <w:r w:rsidR="00140A45" w:rsidRPr="00941947">
        <w:rPr>
          <w:rFonts w:ascii="Arial" w:hAnsi="Arial" w:cs="Arial"/>
          <w:sz w:val="20"/>
          <w:szCs w:val="20"/>
        </w:rPr>
        <w:t xml:space="preserve">. </w:t>
      </w:r>
      <w:r w:rsidR="00081D9F" w:rsidRPr="00941947">
        <w:rPr>
          <w:rFonts w:ascii="Arial" w:hAnsi="Arial" w:cs="Arial"/>
          <w:sz w:val="20"/>
          <w:szCs w:val="20"/>
        </w:rPr>
        <w:t xml:space="preserve"> Major anions were analyzed using the following methods: colorimetric determination for sulfates (SO</w:t>
      </w:r>
      <w:r w:rsidR="00081D9F" w:rsidRPr="00941947">
        <w:rPr>
          <w:rFonts w:ascii="Cambria Math" w:hAnsi="Cambria Math" w:cs="Cambria Math"/>
          <w:sz w:val="20"/>
          <w:szCs w:val="20"/>
        </w:rPr>
        <w:t>₄</w:t>
      </w:r>
      <w:r w:rsidR="00081D9F" w:rsidRPr="00941947">
        <w:rPr>
          <w:rFonts w:ascii="Arial" w:hAnsi="Arial" w:cs="Arial"/>
          <w:sz w:val="20"/>
          <w:szCs w:val="20"/>
        </w:rPr>
        <w:t>²</w:t>
      </w:r>
      <w:r w:rsidR="00081D9F" w:rsidRPr="00941947">
        <w:rPr>
          <w:rFonts w:ascii="Cambria Math" w:hAnsi="Cambria Math" w:cs="Cambria Math"/>
          <w:sz w:val="20"/>
          <w:szCs w:val="20"/>
        </w:rPr>
        <w:t>⁻</w:t>
      </w:r>
      <w:r w:rsidR="00081D9F" w:rsidRPr="00941947">
        <w:rPr>
          <w:rFonts w:ascii="Arial" w:hAnsi="Arial" w:cs="Arial"/>
          <w:sz w:val="20"/>
          <w:szCs w:val="20"/>
        </w:rPr>
        <w:t>), cadmium reduction for nitrates (NO</w:t>
      </w:r>
      <w:r w:rsidR="00081D9F" w:rsidRPr="00941947">
        <w:rPr>
          <w:rFonts w:ascii="Cambria Math" w:hAnsi="Cambria Math" w:cs="Cambria Math"/>
          <w:sz w:val="20"/>
          <w:szCs w:val="20"/>
        </w:rPr>
        <w:t>₃⁻</w:t>
      </w:r>
      <w:r w:rsidR="00081D9F" w:rsidRPr="00941947">
        <w:rPr>
          <w:rFonts w:ascii="Arial" w:hAnsi="Arial" w:cs="Arial"/>
          <w:sz w:val="20"/>
          <w:szCs w:val="20"/>
        </w:rPr>
        <w:t>), argentometric titration for chlorides (Cl</w:t>
      </w:r>
      <w:r w:rsidR="00081D9F" w:rsidRPr="00941947">
        <w:rPr>
          <w:rFonts w:ascii="Cambria Math" w:hAnsi="Cambria Math" w:cs="Cambria Math"/>
          <w:sz w:val="20"/>
          <w:szCs w:val="20"/>
        </w:rPr>
        <w:t>⁻</w:t>
      </w:r>
      <w:r w:rsidR="00081D9F" w:rsidRPr="00941947">
        <w:rPr>
          <w:rFonts w:ascii="Arial" w:hAnsi="Arial" w:cs="Arial"/>
          <w:sz w:val="20"/>
          <w:szCs w:val="20"/>
        </w:rPr>
        <w:t>), and acid titration with 0.01 N HCl for bicarbonates (HCO</w:t>
      </w:r>
      <w:r w:rsidR="00081D9F" w:rsidRPr="00941947">
        <w:rPr>
          <w:rFonts w:ascii="Cambria Math" w:hAnsi="Cambria Math" w:cs="Cambria Math"/>
          <w:sz w:val="20"/>
          <w:szCs w:val="20"/>
        </w:rPr>
        <w:t>₃⁻</w:t>
      </w:r>
      <w:r w:rsidR="00081D9F" w:rsidRPr="00941947">
        <w:rPr>
          <w:rFonts w:ascii="Arial" w:hAnsi="Arial" w:cs="Arial"/>
          <w:sz w:val="20"/>
          <w:szCs w:val="20"/>
        </w:rPr>
        <w:t>).</w:t>
      </w:r>
    </w:p>
    <w:p w14:paraId="051C64E2" w14:textId="6CDBD6EE" w:rsidR="00081D9F" w:rsidRPr="0050020B" w:rsidRDefault="0050020B" w:rsidP="0050020B">
      <w:pPr>
        <w:pStyle w:val="Heading3"/>
        <w:rPr>
          <w:rFonts w:ascii="Arial" w:hAnsi="Arial" w:cs="Arial"/>
          <w:b/>
          <w:bCs/>
          <w:color w:val="auto"/>
          <w:sz w:val="20"/>
          <w:szCs w:val="20"/>
        </w:rPr>
      </w:pPr>
      <w:r w:rsidRPr="0050020B">
        <w:rPr>
          <w:rFonts w:ascii="Arial" w:hAnsi="Arial" w:cs="Arial"/>
          <w:b/>
          <w:bCs/>
          <w:color w:val="auto"/>
          <w:sz w:val="20"/>
          <w:szCs w:val="20"/>
        </w:rPr>
        <w:t xml:space="preserve">2.3.2 </w:t>
      </w:r>
      <w:r w:rsidR="00081D9F" w:rsidRPr="0050020B">
        <w:rPr>
          <w:rFonts w:ascii="Arial" w:hAnsi="Arial" w:cs="Arial"/>
          <w:b/>
          <w:bCs/>
          <w:color w:val="auto"/>
          <w:sz w:val="20"/>
          <w:szCs w:val="20"/>
        </w:rPr>
        <w:t>Bacteriological analyses</w:t>
      </w:r>
    </w:p>
    <w:p w14:paraId="2D56ED12" w14:textId="18665F4B" w:rsidR="00081D9F" w:rsidRPr="00941947" w:rsidRDefault="00081D9F" w:rsidP="00081D9F">
      <w:pPr>
        <w:jc w:val="both"/>
        <w:rPr>
          <w:rFonts w:ascii="Arial" w:hAnsi="Arial" w:cs="Arial"/>
          <w:sz w:val="20"/>
          <w:szCs w:val="20"/>
        </w:rPr>
      </w:pPr>
      <w:r w:rsidRPr="00941947">
        <w:rPr>
          <w:rFonts w:ascii="Arial" w:hAnsi="Arial" w:cs="Arial"/>
          <w:sz w:val="20"/>
          <w:szCs w:val="20"/>
        </w:rPr>
        <w:t>Bacteriological analyses were conducted to assess fecal contamination of the well waters using indicator microorganisms rather than attempting a comprehensive inventory of microbial species. The selected indicators</w:t>
      </w:r>
      <w:r w:rsidR="00834371" w:rsidRPr="00941947">
        <w:rPr>
          <w:rFonts w:ascii="Arial" w:hAnsi="Arial" w:cs="Arial"/>
          <w:sz w:val="20"/>
          <w:szCs w:val="20"/>
        </w:rPr>
        <w:t xml:space="preserve">, </w:t>
      </w:r>
      <w:r w:rsidRPr="00941947">
        <w:rPr>
          <w:rFonts w:ascii="Arial" w:hAnsi="Arial" w:cs="Arial"/>
          <w:sz w:val="20"/>
          <w:szCs w:val="20"/>
        </w:rPr>
        <w:t xml:space="preserve">total coliforms, </w:t>
      </w:r>
      <w:r w:rsidRPr="00941947">
        <w:rPr>
          <w:rFonts w:ascii="Arial" w:hAnsi="Arial" w:cs="Arial"/>
          <w:i/>
          <w:iCs/>
          <w:sz w:val="20"/>
          <w:szCs w:val="20"/>
        </w:rPr>
        <w:t>Escherichia coli</w:t>
      </w:r>
      <w:r w:rsidRPr="00941947">
        <w:rPr>
          <w:rFonts w:ascii="Arial" w:hAnsi="Arial" w:cs="Arial"/>
          <w:sz w:val="20"/>
          <w:szCs w:val="20"/>
        </w:rPr>
        <w:t>, and intestinal enterococci</w:t>
      </w:r>
      <w:r w:rsidR="00834371" w:rsidRPr="00941947">
        <w:rPr>
          <w:rFonts w:ascii="Arial" w:hAnsi="Arial" w:cs="Arial"/>
          <w:sz w:val="20"/>
          <w:szCs w:val="20"/>
        </w:rPr>
        <w:t xml:space="preserve"> </w:t>
      </w:r>
      <w:r w:rsidRPr="00941947">
        <w:rPr>
          <w:rFonts w:ascii="Arial" w:hAnsi="Arial" w:cs="Arial"/>
          <w:sz w:val="20"/>
          <w:szCs w:val="20"/>
        </w:rPr>
        <w:t>are commonly used in drinking water quality monitoring due to their association with fecal pollution and potential health risks.</w:t>
      </w:r>
    </w:p>
    <w:p w14:paraId="7AD1A380" w14:textId="52F87131" w:rsidR="00081D9F" w:rsidRPr="00941947" w:rsidRDefault="00081D9F" w:rsidP="00081D9F">
      <w:pPr>
        <w:jc w:val="both"/>
        <w:rPr>
          <w:rFonts w:ascii="Arial" w:hAnsi="Arial" w:cs="Arial"/>
          <w:sz w:val="20"/>
          <w:szCs w:val="20"/>
        </w:rPr>
      </w:pPr>
      <w:r w:rsidRPr="00941947">
        <w:rPr>
          <w:rFonts w:ascii="Arial" w:hAnsi="Arial" w:cs="Arial"/>
          <w:sz w:val="20"/>
          <w:szCs w:val="20"/>
        </w:rPr>
        <w:t>Microbiological analyses were performed according to AFNOR standards using the membrane filtration method. For total viable microorganisms, the pour-plate technique was applied on Tryptone Glucose Yeast Extract Agar (TGEA). After preparation of decimal dilutions, samples were incubated under standardized conditions, and results were expressed as colony-forming units (CFU), accounting for dilution factors</w:t>
      </w:r>
      <w:r w:rsidR="00140A45" w:rsidRPr="00941947">
        <w:rPr>
          <w:rFonts w:ascii="Arial" w:hAnsi="Arial" w:cs="Arial"/>
          <w:sz w:val="20"/>
          <w:szCs w:val="20"/>
        </w:rPr>
        <w:fldChar w:fldCharType="begin"/>
      </w:r>
      <w:r w:rsidR="00140A45" w:rsidRPr="00941947">
        <w:rPr>
          <w:rFonts w:ascii="Arial" w:hAnsi="Arial" w:cs="Arial"/>
          <w:sz w:val="20"/>
          <w:szCs w:val="20"/>
        </w:rPr>
        <w:instrText xml:space="preserve"> ADDIN ZOTERO_ITEM CSL_CITATION {"citationID":"tnrlLp7U","properties":{"formattedCitation":"(Hadji Feyrouz 2020)","plainCitation":"(Hadji Feyrouz 2020)","noteIndex":0},"citationItems":[{"id":443,"uris":["http://zotero.org/users/local/KXt9aeYd/items/23NQUCP3"],"itemData":{"id":443,"type":"article-journal","publisher":"SNV. STU","title":"Analyse physico-chimique et microbiologique de l’eau","author":[{"family":"Hadji Feyrouz","given":"Boucceredj Imane"}],"issued":{"date-parts":[["2020"]]}}}],"schema":"https://github.com/citation-style-language/schema/raw/master/csl-citation.json"} </w:instrText>
      </w:r>
      <w:r w:rsidR="00140A45" w:rsidRPr="00941947">
        <w:rPr>
          <w:rFonts w:ascii="Arial" w:hAnsi="Arial" w:cs="Arial"/>
          <w:sz w:val="20"/>
          <w:szCs w:val="20"/>
        </w:rPr>
        <w:fldChar w:fldCharType="separate"/>
      </w:r>
      <w:r w:rsidR="00140A45" w:rsidRPr="00941947">
        <w:rPr>
          <w:rFonts w:ascii="Arial" w:hAnsi="Arial" w:cs="Arial"/>
          <w:sz w:val="20"/>
          <w:szCs w:val="20"/>
        </w:rPr>
        <w:t>(Hadji Feyrouz 2020)</w:t>
      </w:r>
      <w:r w:rsidR="00140A45" w:rsidRPr="00941947">
        <w:rPr>
          <w:rFonts w:ascii="Arial" w:hAnsi="Arial" w:cs="Arial"/>
          <w:sz w:val="20"/>
          <w:szCs w:val="20"/>
        </w:rPr>
        <w:fldChar w:fldCharType="end"/>
      </w:r>
      <w:r w:rsidRPr="00941947">
        <w:rPr>
          <w:rFonts w:ascii="Arial" w:hAnsi="Arial" w:cs="Arial"/>
          <w:sz w:val="20"/>
          <w:szCs w:val="20"/>
        </w:rPr>
        <w:t>.</w:t>
      </w:r>
    </w:p>
    <w:p w14:paraId="577A6F24" w14:textId="1A139EB8" w:rsidR="00081D9F" w:rsidRPr="00941947" w:rsidRDefault="00081D9F" w:rsidP="00081D9F">
      <w:pPr>
        <w:jc w:val="both"/>
        <w:rPr>
          <w:rFonts w:ascii="Arial" w:hAnsi="Arial" w:cs="Arial"/>
          <w:i/>
          <w:iCs/>
          <w:sz w:val="20"/>
          <w:szCs w:val="20"/>
        </w:rPr>
      </w:pPr>
      <w:r w:rsidRPr="00941947">
        <w:rPr>
          <w:rFonts w:ascii="Arial" w:hAnsi="Arial" w:cs="Arial"/>
          <w:sz w:val="20"/>
          <w:szCs w:val="20"/>
        </w:rPr>
        <w:t xml:space="preserve">Total coliforms and </w:t>
      </w:r>
      <w:r w:rsidRPr="00941947">
        <w:rPr>
          <w:rFonts w:ascii="Arial" w:hAnsi="Arial" w:cs="Arial"/>
          <w:i/>
          <w:iCs/>
          <w:sz w:val="20"/>
          <w:szCs w:val="20"/>
        </w:rPr>
        <w:t>E. coli</w:t>
      </w:r>
      <w:r w:rsidRPr="00941947">
        <w:rPr>
          <w:rFonts w:ascii="Arial" w:hAnsi="Arial" w:cs="Arial"/>
          <w:sz w:val="20"/>
          <w:szCs w:val="20"/>
        </w:rPr>
        <w:t xml:space="preserve"> were enumerated using the multiple-tube fermentation technique, including presumptive tests for total coliforms and confirmatory tests for </w:t>
      </w:r>
      <w:r w:rsidRPr="00941947">
        <w:rPr>
          <w:rFonts w:ascii="Arial" w:hAnsi="Arial" w:cs="Arial"/>
          <w:i/>
          <w:iCs/>
          <w:sz w:val="20"/>
          <w:szCs w:val="20"/>
        </w:rPr>
        <w:t>E. coli</w:t>
      </w:r>
      <w:r w:rsidR="00087F52" w:rsidRPr="00941947">
        <w:rPr>
          <w:rFonts w:ascii="Arial" w:hAnsi="Arial" w:cs="Arial"/>
          <w:i/>
          <w:iCs/>
          <w:sz w:val="20"/>
          <w:szCs w:val="20"/>
        </w:rPr>
        <w:t xml:space="preserve"> </w:t>
      </w:r>
      <w:r w:rsidR="00087F52" w:rsidRPr="00941947">
        <w:rPr>
          <w:rFonts w:ascii="Arial" w:hAnsi="Arial" w:cs="Arial"/>
          <w:i/>
          <w:iCs/>
          <w:sz w:val="20"/>
          <w:szCs w:val="20"/>
        </w:rPr>
        <w:fldChar w:fldCharType="begin"/>
      </w:r>
      <w:r w:rsidR="00087F52" w:rsidRPr="00941947">
        <w:rPr>
          <w:rFonts w:ascii="Arial" w:hAnsi="Arial" w:cs="Arial"/>
          <w:i/>
          <w:iCs/>
          <w:sz w:val="20"/>
          <w:szCs w:val="20"/>
        </w:rPr>
        <w:instrText xml:space="preserve"> ADDIN ZOTERO_ITEM CSL_CITATION {"citationID":"VqqMjsUH","properties":{"formattedCitation":"(Gunawardane and Priyadarshani 2025)","plainCitation":"(Gunawardane and Priyadarshani 2025)","noteIndex":0},"citationItems":[{"id":444,"uris":["http://zotero.org/users/local/KXt9aeYd/items/WIU3PHHA"],"itemData":{"id":444,"type":"article-journal","container-title":"Journal of Multidisciplinary &amp; Translational Research","ISSN":"3051-5602","issue":"1","journalAbbreviation":"Journal of Multidisciplinary &amp; Translational Research","title":"Decoding the multiple tube fermentation method used in coliform testing","volume":"10","author":[{"family":"Gunawardane","given":"MM"},{"family":"Priyadarshani","given":"KPR"}],"issued":{"date-parts":[["2025"]]}}}],"schema":"https://github.com/citation-style-language/schema/raw/master/csl-citation.json"} </w:instrText>
      </w:r>
      <w:r w:rsidR="00087F52" w:rsidRPr="00941947">
        <w:rPr>
          <w:rFonts w:ascii="Arial" w:hAnsi="Arial" w:cs="Arial"/>
          <w:i/>
          <w:iCs/>
          <w:sz w:val="20"/>
          <w:szCs w:val="20"/>
        </w:rPr>
        <w:fldChar w:fldCharType="separate"/>
      </w:r>
      <w:r w:rsidR="00087F52" w:rsidRPr="00941947">
        <w:rPr>
          <w:rFonts w:ascii="Arial" w:hAnsi="Arial" w:cs="Arial"/>
          <w:sz w:val="20"/>
          <w:szCs w:val="20"/>
        </w:rPr>
        <w:t xml:space="preserve">(Gunawardane and Priyadarshani </w:t>
      </w:r>
      <w:r w:rsidR="00087F52" w:rsidRPr="00941947">
        <w:rPr>
          <w:rFonts w:ascii="Arial" w:hAnsi="Arial" w:cs="Arial"/>
          <w:sz w:val="20"/>
          <w:szCs w:val="20"/>
        </w:rPr>
        <w:lastRenderedPageBreak/>
        <w:t>2025)</w:t>
      </w:r>
      <w:r w:rsidR="00087F52" w:rsidRPr="00941947">
        <w:rPr>
          <w:rFonts w:ascii="Arial" w:hAnsi="Arial" w:cs="Arial"/>
          <w:i/>
          <w:iCs/>
          <w:sz w:val="20"/>
          <w:szCs w:val="20"/>
        </w:rPr>
        <w:fldChar w:fldCharType="end"/>
      </w:r>
      <w:r w:rsidRPr="00941947">
        <w:rPr>
          <w:rFonts w:ascii="Arial" w:hAnsi="Arial" w:cs="Arial"/>
          <w:sz w:val="20"/>
          <w:szCs w:val="20"/>
        </w:rPr>
        <w:t xml:space="preserve">. Results were interpreted using the </w:t>
      </w:r>
      <w:proofErr w:type="spellStart"/>
      <w:r w:rsidRPr="00941947">
        <w:rPr>
          <w:rFonts w:ascii="Arial" w:hAnsi="Arial" w:cs="Arial"/>
          <w:sz w:val="20"/>
          <w:szCs w:val="20"/>
        </w:rPr>
        <w:t>MacGrady</w:t>
      </w:r>
      <w:proofErr w:type="spellEnd"/>
      <w:r w:rsidRPr="00941947">
        <w:rPr>
          <w:rFonts w:ascii="Arial" w:hAnsi="Arial" w:cs="Arial"/>
          <w:sz w:val="20"/>
          <w:szCs w:val="20"/>
        </w:rPr>
        <w:t xml:space="preserve"> statistical tables to estimate bacterial concentrations per 100 mL of water.</w:t>
      </w:r>
    </w:p>
    <w:p w14:paraId="0F06ABD8" w14:textId="395A8A42" w:rsidR="00081D9F" w:rsidRPr="00941947" w:rsidRDefault="00081D9F" w:rsidP="00081D9F">
      <w:pPr>
        <w:jc w:val="both"/>
        <w:rPr>
          <w:rFonts w:ascii="Arial" w:hAnsi="Arial" w:cs="Arial"/>
          <w:sz w:val="20"/>
          <w:szCs w:val="20"/>
        </w:rPr>
      </w:pPr>
      <w:r w:rsidRPr="00941947">
        <w:rPr>
          <w:rFonts w:ascii="Arial" w:hAnsi="Arial" w:cs="Arial"/>
          <w:sz w:val="20"/>
          <w:szCs w:val="20"/>
        </w:rPr>
        <w:t xml:space="preserve">Intestinal enterococci were determined through a two-step procedure involving a presumptive test on Rothe medium and a confirmatory test on Eva Litsky medium. Incubation was carried out at 37 °C for 24–48 h. Positive results were identified by turbidity and characteristic pellet formation, and concentrations were quantified using </w:t>
      </w:r>
      <w:proofErr w:type="spellStart"/>
      <w:r w:rsidRPr="00941947">
        <w:rPr>
          <w:rFonts w:ascii="Arial" w:hAnsi="Arial" w:cs="Arial"/>
          <w:sz w:val="20"/>
          <w:szCs w:val="20"/>
        </w:rPr>
        <w:t>MacGrady</w:t>
      </w:r>
      <w:proofErr w:type="spellEnd"/>
      <w:r w:rsidRPr="00941947">
        <w:rPr>
          <w:rFonts w:ascii="Arial" w:hAnsi="Arial" w:cs="Arial"/>
          <w:sz w:val="20"/>
          <w:szCs w:val="20"/>
        </w:rPr>
        <w:t xml:space="preserve"> tables</w:t>
      </w:r>
      <w:r w:rsidR="009075F5" w:rsidRPr="00941947">
        <w:rPr>
          <w:rFonts w:ascii="Arial" w:hAnsi="Arial" w:cs="Arial"/>
          <w:sz w:val="20"/>
          <w:szCs w:val="20"/>
        </w:rPr>
        <w:fldChar w:fldCharType="begin"/>
      </w:r>
      <w:r w:rsidR="009075F5" w:rsidRPr="00941947">
        <w:rPr>
          <w:rFonts w:ascii="Arial" w:hAnsi="Arial" w:cs="Arial"/>
          <w:sz w:val="20"/>
          <w:szCs w:val="20"/>
        </w:rPr>
        <w:instrText xml:space="preserve"> ADDIN ZOTERO_ITEM CSL_CITATION {"citationID":"Dua6fL2O","properties":{"formattedCitation":"(Kabore et al. 2018)","plainCitation":"(Kabore et al. 2018)","noteIndex":0},"citationItems":[{"id":445,"uris":["http://zotero.org/users/local/KXt9aeYd/items/CQAUS679"],"itemData":{"id":445,"type":"article-journal","container-title":"Sciences de la vie, de la terre et agronomie","ISSN":"2424-7235","issue":"2","journalAbbreviation":"Sciences de la vie, de la terre et agronomie","title":"Problématique de la qualité microbiologique de l’eau de boisson en milieu scolaire dans les zones rurales au Burkina Faso.","volume":"5","author":[{"family":"Kabore","given":"Aminata"},{"family":"Savadogo","given":"Boubacar"},{"family":"Savadogo","given":"Jacques"},{"family":"Savadogo","given":"Paul Windinpsidi"},{"family":"Kabore","given":"Brigitte Isseta"},{"family":"Nikiema","given":"Lambert Zounogo P"},{"family":"Dianou","given":"Dayeri"}],"issued":{"date-parts":[["2018"]]}}}],"schema":"https://github.com/citation-style-language/schema/raw/master/csl-citation.json"} </w:instrText>
      </w:r>
      <w:r w:rsidR="009075F5" w:rsidRPr="00941947">
        <w:rPr>
          <w:rFonts w:ascii="Arial" w:hAnsi="Arial" w:cs="Arial"/>
          <w:sz w:val="20"/>
          <w:szCs w:val="20"/>
        </w:rPr>
        <w:fldChar w:fldCharType="separate"/>
      </w:r>
      <w:r w:rsidR="009075F5" w:rsidRPr="00941947">
        <w:rPr>
          <w:rFonts w:ascii="Arial" w:hAnsi="Arial" w:cs="Arial"/>
          <w:sz w:val="20"/>
          <w:szCs w:val="20"/>
        </w:rPr>
        <w:t>(Kabore et al. 2018)</w:t>
      </w:r>
      <w:r w:rsidR="009075F5" w:rsidRPr="00941947">
        <w:rPr>
          <w:rFonts w:ascii="Arial" w:hAnsi="Arial" w:cs="Arial"/>
          <w:sz w:val="20"/>
          <w:szCs w:val="20"/>
        </w:rPr>
        <w:fldChar w:fldCharType="end"/>
      </w:r>
      <w:r w:rsidR="009075F5" w:rsidRPr="00941947">
        <w:rPr>
          <w:rFonts w:ascii="Arial" w:hAnsi="Arial" w:cs="Arial"/>
          <w:sz w:val="20"/>
          <w:szCs w:val="20"/>
        </w:rPr>
        <w:t>.</w:t>
      </w:r>
    </w:p>
    <w:p w14:paraId="6C66322E" w14:textId="03C9D4BF" w:rsidR="00540C49" w:rsidRPr="0050020B" w:rsidRDefault="0050020B" w:rsidP="0050020B">
      <w:pPr>
        <w:pStyle w:val="Heading3"/>
        <w:rPr>
          <w:rFonts w:ascii="Arial" w:hAnsi="Arial" w:cs="Arial"/>
          <w:b/>
          <w:bCs/>
          <w:color w:val="auto"/>
          <w:sz w:val="20"/>
          <w:szCs w:val="20"/>
        </w:rPr>
      </w:pPr>
      <w:r w:rsidRPr="0050020B">
        <w:rPr>
          <w:rFonts w:ascii="Arial" w:hAnsi="Arial" w:cs="Arial"/>
          <w:b/>
          <w:bCs/>
          <w:color w:val="auto"/>
          <w:sz w:val="20"/>
          <w:szCs w:val="20"/>
        </w:rPr>
        <w:t xml:space="preserve">2.3.3 </w:t>
      </w:r>
      <w:r w:rsidR="00540C49" w:rsidRPr="0050020B">
        <w:rPr>
          <w:rFonts w:ascii="Arial" w:hAnsi="Arial" w:cs="Arial"/>
          <w:b/>
          <w:bCs/>
          <w:color w:val="auto"/>
          <w:sz w:val="20"/>
          <w:szCs w:val="20"/>
        </w:rPr>
        <w:t>Pollution Index and heatmap analysis</w:t>
      </w:r>
    </w:p>
    <w:p w14:paraId="2B6B4D8E" w14:textId="77777777" w:rsidR="001F6F5C" w:rsidRDefault="00540C49" w:rsidP="00540C49">
      <w:pPr>
        <w:jc w:val="both"/>
        <w:rPr>
          <w:rFonts w:ascii="Arial" w:hAnsi="Arial" w:cs="Arial"/>
          <w:sz w:val="20"/>
          <w:szCs w:val="20"/>
        </w:rPr>
      </w:pPr>
      <w:r w:rsidRPr="00941947">
        <w:rPr>
          <w:rFonts w:ascii="Arial" w:hAnsi="Arial" w:cs="Arial"/>
          <w:sz w:val="20"/>
          <w:szCs w:val="20"/>
        </w:rPr>
        <w:t xml:space="preserve">Groundwater pollution was assessed using a composite Pollution Index (PI) integrating physicochemical and bacteriological parameters (pH, </w:t>
      </w:r>
      <w:r w:rsidRPr="00941947">
        <w:rPr>
          <w:rFonts w:ascii="Arial" w:hAnsi="Arial" w:cs="Arial"/>
          <w:i/>
          <w:iCs/>
          <w:sz w:val="20"/>
          <w:szCs w:val="20"/>
        </w:rPr>
        <w:t>E. coli</w:t>
      </w:r>
      <w:r w:rsidRPr="00941947">
        <w:rPr>
          <w:rFonts w:ascii="Arial" w:hAnsi="Arial" w:cs="Arial"/>
          <w:sz w:val="20"/>
          <w:szCs w:val="20"/>
        </w:rPr>
        <w:t>, total coliforms, fecal streptococci, Cl</w:t>
      </w:r>
      <w:r w:rsidRPr="00941947">
        <w:rPr>
          <w:rFonts w:ascii="Cambria Math" w:hAnsi="Cambria Math" w:cs="Cambria Math"/>
          <w:sz w:val="20"/>
          <w:szCs w:val="20"/>
        </w:rPr>
        <w:t>⁻</w:t>
      </w:r>
      <w:r w:rsidRPr="00941947">
        <w:rPr>
          <w:rFonts w:ascii="Arial" w:hAnsi="Arial" w:cs="Arial"/>
          <w:sz w:val="20"/>
          <w:szCs w:val="20"/>
        </w:rPr>
        <w:t>, SO</w:t>
      </w:r>
      <w:r w:rsidRPr="00941947">
        <w:rPr>
          <w:rFonts w:ascii="Cambria Math" w:hAnsi="Cambria Math" w:cs="Cambria Math"/>
          <w:sz w:val="20"/>
          <w:szCs w:val="20"/>
        </w:rPr>
        <w:t>₄</w:t>
      </w:r>
      <w:r w:rsidRPr="00941947">
        <w:rPr>
          <w:rFonts w:ascii="Arial" w:hAnsi="Arial" w:cs="Arial"/>
          <w:sz w:val="20"/>
          <w:szCs w:val="20"/>
        </w:rPr>
        <w:t>²</w:t>
      </w:r>
      <w:r w:rsidRPr="00941947">
        <w:rPr>
          <w:rFonts w:ascii="Cambria Math" w:hAnsi="Cambria Math" w:cs="Cambria Math"/>
          <w:sz w:val="20"/>
          <w:szCs w:val="20"/>
        </w:rPr>
        <w:t>⁻</w:t>
      </w:r>
      <w:r w:rsidRPr="00941947">
        <w:rPr>
          <w:rFonts w:ascii="Arial" w:hAnsi="Arial" w:cs="Arial"/>
          <w:sz w:val="20"/>
          <w:szCs w:val="20"/>
        </w:rPr>
        <w:t>, NO</w:t>
      </w:r>
      <w:r w:rsidRPr="00941947">
        <w:rPr>
          <w:rFonts w:ascii="Cambria Math" w:hAnsi="Cambria Math" w:cs="Cambria Math"/>
          <w:sz w:val="20"/>
          <w:szCs w:val="20"/>
        </w:rPr>
        <w:t>₃⁻</w:t>
      </w:r>
      <w:r w:rsidRPr="00941947">
        <w:rPr>
          <w:rFonts w:ascii="Arial" w:hAnsi="Arial" w:cs="Arial"/>
          <w:sz w:val="20"/>
          <w:szCs w:val="20"/>
        </w:rPr>
        <w:t>, and total hardness). All variables were standardized using z-score normalization:</w:t>
      </w:r>
    </w:p>
    <w:p w14:paraId="3DE56CBE" w14:textId="093E05A5" w:rsidR="00540C49" w:rsidRPr="001F6F5C" w:rsidRDefault="00FD6172" w:rsidP="00540C49">
      <w:pPr>
        <w:jc w:val="both"/>
        <w:rPr>
          <w:rFonts w:ascii="Arial" w:hAnsi="Arial" w:cs="Arial"/>
          <w:sz w:val="20"/>
          <w:szCs w:val="20"/>
        </w:rPr>
      </w:pPr>
      <m:oMathPara>
        <m:oMathParaPr>
          <m:jc m:val="left"/>
        </m:oMathParaPr>
        <m:oMath>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ij</m:t>
              </m:r>
            </m:sub>
          </m:sSub>
          <m: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j</m:t>
                  </m:r>
                </m:sub>
              </m:sSub>
            </m:num>
            <m:den>
              <m:sSub>
                <m:sSubPr>
                  <m:ctrlPr>
                    <w:rPr>
                      <w:rFonts w:ascii="Cambria Math" w:hAnsi="Cambria Math" w:cs="Arial"/>
                      <w:sz w:val="20"/>
                      <w:szCs w:val="20"/>
                    </w:rPr>
                  </m:ctrlPr>
                </m:sSubPr>
                <m:e>
                  <m:r>
                    <w:rPr>
                      <w:rFonts w:ascii="Cambria Math" w:hAnsi="Cambria Math" w:cs="Arial"/>
                      <w:sz w:val="20"/>
                      <w:szCs w:val="20"/>
                    </w:rPr>
                    <m:t>σ</m:t>
                  </m:r>
                </m:e>
                <m:sub>
                  <m:r>
                    <w:rPr>
                      <w:rFonts w:ascii="Cambria Math" w:hAnsi="Cambria Math" w:cs="Arial"/>
                      <w:sz w:val="20"/>
                      <w:szCs w:val="20"/>
                    </w:rPr>
                    <m:t>j</m:t>
                  </m:r>
                </m:sub>
              </m:sSub>
            </m:den>
          </m:f>
        </m:oMath>
      </m:oMathPara>
    </w:p>
    <w:p w14:paraId="25899C6D" w14:textId="12F71251" w:rsidR="00540C49" w:rsidRPr="00941947" w:rsidRDefault="00540C49" w:rsidP="00540C49">
      <w:pPr>
        <w:jc w:val="both"/>
        <w:rPr>
          <w:rFonts w:ascii="Arial" w:hAnsi="Arial" w:cs="Arial"/>
          <w:sz w:val="20"/>
          <w:szCs w:val="20"/>
        </w:rPr>
      </w:pPr>
      <w:r w:rsidRPr="00941947">
        <w:rPr>
          <w:rFonts w:ascii="Arial" w:hAnsi="Arial" w:cs="Arial"/>
          <w:sz w:val="20"/>
          <w:szCs w:val="20"/>
        </w:rPr>
        <w:t xml:space="preserve">where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941947">
        <w:rPr>
          <w:rFonts w:ascii="Arial" w:hAnsi="Arial" w:cs="Arial"/>
          <w:sz w:val="20"/>
          <w:szCs w:val="20"/>
        </w:rPr>
        <w:t xml:space="preserve">represents the value of parameter </w:t>
      </w:r>
      <m:oMath>
        <m:r>
          <w:rPr>
            <w:rFonts w:ascii="Cambria Math" w:hAnsi="Cambria Math" w:cs="Arial"/>
            <w:sz w:val="20"/>
            <w:szCs w:val="20"/>
          </w:rPr>
          <m:t>j</m:t>
        </m:r>
      </m:oMath>
      <w:r w:rsidRPr="00941947">
        <w:rPr>
          <w:rFonts w:ascii="Arial" w:hAnsi="Arial" w:cs="Arial"/>
          <w:sz w:val="20"/>
          <w:szCs w:val="20"/>
        </w:rPr>
        <w:t xml:space="preserve">in well </w:t>
      </w:r>
      <m:oMath>
        <m:r>
          <w:rPr>
            <w:rFonts w:ascii="Cambria Math" w:hAnsi="Cambria Math" w:cs="Arial"/>
            <w:sz w:val="20"/>
            <w:szCs w:val="20"/>
          </w:rPr>
          <m:t>i</m:t>
        </m:r>
      </m:oMath>
      <w:r w:rsidRPr="00941947">
        <w:rPr>
          <w:rFonts w:ascii="Arial" w:hAnsi="Arial" w:cs="Arial"/>
          <w:sz w:val="20"/>
          <w:szCs w:val="20"/>
        </w:rPr>
        <w:t xml:space="preserve">, and </w:t>
      </w:r>
      <m:oMath>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j</m:t>
            </m:r>
          </m:sub>
        </m:sSub>
      </m:oMath>
      <w:r w:rsidRPr="00941947">
        <w:rPr>
          <w:rFonts w:ascii="Arial" w:hAnsi="Arial" w:cs="Arial"/>
          <w:sz w:val="20"/>
          <w:szCs w:val="20"/>
        </w:rPr>
        <w:t xml:space="preserve">and </w:t>
      </w:r>
      <m:oMath>
        <m:sSub>
          <m:sSubPr>
            <m:ctrlPr>
              <w:rPr>
                <w:rFonts w:ascii="Cambria Math" w:hAnsi="Cambria Math" w:cs="Arial"/>
                <w:sz w:val="20"/>
                <w:szCs w:val="20"/>
              </w:rPr>
            </m:ctrlPr>
          </m:sSubPr>
          <m:e>
            <m:r>
              <w:rPr>
                <w:rFonts w:ascii="Cambria Math" w:hAnsi="Cambria Math" w:cs="Arial"/>
                <w:sz w:val="20"/>
                <w:szCs w:val="20"/>
              </w:rPr>
              <m:t>σ</m:t>
            </m:r>
          </m:e>
          <m:sub>
            <m:r>
              <w:rPr>
                <w:rFonts w:ascii="Cambria Math" w:hAnsi="Cambria Math" w:cs="Arial"/>
                <w:sz w:val="20"/>
                <w:szCs w:val="20"/>
              </w:rPr>
              <m:t>j</m:t>
            </m:r>
          </m:sub>
        </m:sSub>
      </m:oMath>
      <w:r w:rsidRPr="00941947">
        <w:rPr>
          <w:rFonts w:ascii="Arial" w:hAnsi="Arial" w:cs="Arial"/>
          <w:sz w:val="20"/>
          <w:szCs w:val="20"/>
        </w:rPr>
        <w:t>are the corresponding mean and standard deviation.</w:t>
      </w:r>
    </w:p>
    <w:p w14:paraId="2B42CE8D"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Because pH reflects deviation from neutrality rather than monotonic pollution, it was treated separately using a centered absolute deviation:</w:t>
      </w:r>
    </w:p>
    <w:p w14:paraId="3CFABF9B" w14:textId="6DAF3362" w:rsidR="00540C49" w:rsidRPr="00D372EA" w:rsidRDefault="00FD6172" w:rsidP="00540C49">
      <w:pPr>
        <w:jc w:val="both"/>
        <w:rPr>
          <w:rFonts w:ascii="Arial" w:hAnsi="Arial" w:cs="Arial"/>
          <w:sz w:val="20"/>
          <w:szCs w:val="20"/>
        </w:rPr>
      </w:pPr>
      <m:oMathPara>
        <m:oMathParaPr>
          <m:jc m:val="left"/>
        </m:oMathParaPr>
        <m:oMath>
          <m:sSub>
            <m:sSubPr>
              <m:ctrlPr>
                <w:rPr>
                  <w:rFonts w:ascii="Cambria Math" w:hAnsi="Cambria Math" w:cs="Arial"/>
                  <w:sz w:val="20"/>
                  <w:szCs w:val="20"/>
                </w:rPr>
              </m:ctrlPr>
            </m:sSubPr>
            <m:e>
              <m:r>
                <w:rPr>
                  <w:rFonts w:ascii="Cambria Math" w:hAnsi="Cambria Math" w:cs="Arial"/>
                  <w:sz w:val="20"/>
                  <w:szCs w:val="20"/>
                </w:rPr>
                <m:t>Z</m:t>
              </m:r>
            </m:e>
            <m:sub>
              <m:r>
                <m:rPr>
                  <m:sty m:val="p"/>
                </m:rPr>
                <w:rPr>
                  <w:rFonts w:ascii="Cambria Math" w:hAnsi="Cambria Math" w:cs="Arial"/>
                  <w:sz w:val="20"/>
                  <w:szCs w:val="20"/>
                </w:rPr>
                <m:t>pH</m:t>
              </m:r>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pH</m:t>
                  </m:r>
                </m:e>
                <m:sub>
                  <m:r>
                    <w:rPr>
                      <w:rFonts w:ascii="Cambria Math" w:hAnsi="Cambria Math" w:cs="Arial"/>
                      <w:sz w:val="20"/>
                      <w:szCs w:val="20"/>
                    </w:rPr>
                    <m:t>i</m:t>
                  </m:r>
                </m:sub>
              </m:sSub>
              <m:r>
                <w:rPr>
                  <w:rFonts w:ascii="Cambria Math" w:hAnsi="Cambria Math" w:cs="Arial"/>
                  <w:sz w:val="20"/>
                  <w:szCs w:val="20"/>
                </w:rPr>
                <m:t>-7.5</m:t>
              </m:r>
            </m:num>
            <m:den>
              <m:r>
                <w:rPr>
                  <w:rFonts w:ascii="Cambria Math" w:hAnsi="Cambria Math" w:cs="Arial"/>
                  <w:sz w:val="20"/>
                  <w:szCs w:val="20"/>
                </w:rPr>
                <m:t>1.5</m:t>
              </m:r>
            </m:den>
          </m:f>
          <m:r>
            <w:rPr>
              <w:rFonts w:ascii="Cambria Math" w:hAnsi="Cambria Math" w:cs="Arial"/>
              <w:sz w:val="20"/>
              <w:szCs w:val="20"/>
            </w:rPr>
            <m:t>∣</m:t>
          </m:r>
        </m:oMath>
      </m:oMathPara>
    </w:p>
    <w:p w14:paraId="7A95629D"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corresponding to the midpoint (7.5) and half-width (1.5) of the recommended range (6.5–8.5).</w:t>
      </w:r>
    </w:p>
    <w:p w14:paraId="4FF521E9"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The Pollution Index was calculated as:</w:t>
      </w:r>
    </w:p>
    <w:p w14:paraId="0A22D1AC" w14:textId="1E20DC46" w:rsidR="00540C49" w:rsidRPr="00D372EA" w:rsidRDefault="00540C49" w:rsidP="00540C49">
      <w:pPr>
        <w:jc w:val="both"/>
        <w:rPr>
          <w:rFonts w:ascii="Arial" w:hAnsi="Arial" w:cs="Arial"/>
          <w:sz w:val="20"/>
          <w:szCs w:val="20"/>
        </w:rPr>
      </w:pPr>
      <m:oMathPara>
        <m:oMathParaPr>
          <m:jc m:val="left"/>
        </m:oMathParaPr>
        <m:oMath>
          <m:r>
            <w:rPr>
              <w:rFonts w:ascii="Cambria Math" w:hAnsi="Cambria Math" w:cs="Arial"/>
              <w:sz w:val="20"/>
              <w:szCs w:val="20"/>
            </w:rPr>
            <m:t>P</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n</m:t>
              </m:r>
            </m:sup>
            <m:e>
              <m:r>
                <m:rPr>
                  <m:sty m:val="p"/>
                </m:rPr>
                <w:rPr>
                  <w:rFonts w:ascii="Cambria Math" w:hAnsi="Cambria Math" w:cs="Arial"/>
                  <w:sz w:val="20"/>
                  <w:szCs w:val="20"/>
                </w:rPr>
                <m:t>∣</m:t>
              </m:r>
            </m:e>
          </m:nary>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ij</m:t>
              </m:r>
            </m:sub>
          </m:sSub>
          <m:r>
            <m:rPr>
              <m:sty m:val="p"/>
            </m:rPr>
            <w:rPr>
              <w:rFonts w:ascii="Cambria Math" w:hAnsi="Cambria Math" w:cs="Arial"/>
              <w:sz w:val="20"/>
              <w:szCs w:val="20"/>
            </w:rPr>
            <m:t>∣</m:t>
          </m:r>
        </m:oMath>
      </m:oMathPara>
    </w:p>
    <w:p w14:paraId="3A07C16D" w14:textId="5788539B" w:rsidR="00540C49" w:rsidRPr="00941947" w:rsidRDefault="00540C49" w:rsidP="00E2205D">
      <w:pPr>
        <w:jc w:val="both"/>
        <w:rPr>
          <w:rFonts w:ascii="Arial" w:hAnsi="Arial" w:cs="Arial"/>
          <w:sz w:val="20"/>
          <w:szCs w:val="20"/>
        </w:rPr>
      </w:pPr>
      <w:r w:rsidRPr="00941947">
        <w:rPr>
          <w:rFonts w:ascii="Arial" w:hAnsi="Arial" w:cs="Arial"/>
          <w:sz w:val="20"/>
          <w:szCs w:val="20"/>
        </w:rPr>
        <w:t xml:space="preserve">where </w:t>
      </w:r>
      <m:oMath>
        <m:r>
          <w:rPr>
            <w:rFonts w:ascii="Cambria Math" w:hAnsi="Cambria Math" w:cs="Arial"/>
            <w:sz w:val="20"/>
            <w:szCs w:val="20"/>
          </w:rPr>
          <m:t xml:space="preserve">n </m:t>
        </m:r>
      </m:oMath>
      <w:r w:rsidR="00D372EA">
        <w:rPr>
          <w:rFonts w:ascii="Arial" w:hAnsi="Arial" w:cs="Arial"/>
          <w:sz w:val="20"/>
          <w:szCs w:val="20"/>
        </w:rPr>
        <w:t xml:space="preserve"> is </w:t>
      </w:r>
      <w:r w:rsidRPr="00941947">
        <w:rPr>
          <w:rFonts w:ascii="Arial" w:hAnsi="Arial" w:cs="Arial"/>
          <w:sz w:val="20"/>
          <w:szCs w:val="20"/>
        </w:rPr>
        <w:t>the number of parameters. Higher PI values indicate greater relative pollution. A heatmap of standardized scores was generated to visualize spatial contrasts and identify dominant pollution drivers among wells.</w:t>
      </w:r>
    </w:p>
    <w:p w14:paraId="21AF63F9" w14:textId="1F690618" w:rsidR="00E2205D" w:rsidRPr="00C54070" w:rsidRDefault="00633EA0" w:rsidP="00633EA0">
      <w:pPr>
        <w:pStyle w:val="ListParagraph"/>
        <w:numPr>
          <w:ilvl w:val="0"/>
          <w:numId w:val="2"/>
        </w:numPr>
        <w:jc w:val="both"/>
        <w:rPr>
          <w:rFonts w:ascii="Arial" w:hAnsi="Arial" w:cs="Arial"/>
          <w:sz w:val="22"/>
          <w:szCs w:val="22"/>
        </w:rPr>
      </w:pPr>
      <w:r w:rsidRPr="00633EA0">
        <w:rPr>
          <w:rFonts w:ascii="Arial" w:hAnsi="Arial" w:cs="Arial"/>
          <w:b/>
          <w:bCs/>
          <w:sz w:val="22"/>
          <w:szCs w:val="22"/>
        </w:rPr>
        <w:t>RESULTS</w:t>
      </w:r>
      <w:r w:rsidR="00C54070">
        <w:rPr>
          <w:rFonts w:ascii="Arial" w:hAnsi="Arial" w:cs="Arial"/>
          <w:b/>
          <w:bCs/>
          <w:sz w:val="22"/>
          <w:szCs w:val="22"/>
        </w:rPr>
        <w:t xml:space="preserve"> AND DISCUSSION</w:t>
      </w:r>
    </w:p>
    <w:p w14:paraId="08344174" w14:textId="62D8FE55" w:rsidR="00C54070" w:rsidRPr="00C54070" w:rsidRDefault="00C54070" w:rsidP="00C54070">
      <w:pPr>
        <w:pStyle w:val="Heading2"/>
        <w:rPr>
          <w:rFonts w:ascii="Arial" w:hAnsi="Arial" w:cs="Arial"/>
          <w:b/>
          <w:bCs/>
          <w:color w:val="auto"/>
          <w:sz w:val="22"/>
          <w:szCs w:val="22"/>
        </w:rPr>
      </w:pPr>
      <w:r w:rsidRPr="00C54070">
        <w:rPr>
          <w:rFonts w:ascii="Arial" w:hAnsi="Arial" w:cs="Arial"/>
          <w:b/>
          <w:bCs/>
          <w:color w:val="auto"/>
          <w:sz w:val="22"/>
          <w:szCs w:val="22"/>
        </w:rPr>
        <w:t xml:space="preserve">3.1 </w:t>
      </w:r>
      <w:bookmarkStart w:id="0" w:name="_GoBack"/>
      <w:r w:rsidRPr="00C54070">
        <w:rPr>
          <w:rFonts w:ascii="Arial" w:hAnsi="Arial" w:cs="Arial"/>
          <w:b/>
          <w:bCs/>
          <w:color w:val="auto"/>
          <w:sz w:val="22"/>
          <w:szCs w:val="22"/>
        </w:rPr>
        <w:t>RESULT</w:t>
      </w:r>
      <w:bookmarkEnd w:id="0"/>
      <w:r w:rsidRPr="00C54070">
        <w:rPr>
          <w:rFonts w:ascii="Arial" w:hAnsi="Arial" w:cs="Arial"/>
          <w:b/>
          <w:bCs/>
          <w:color w:val="auto"/>
          <w:sz w:val="22"/>
          <w:szCs w:val="22"/>
        </w:rPr>
        <w:t>S</w:t>
      </w:r>
    </w:p>
    <w:p w14:paraId="7699E6AE" w14:textId="77777777" w:rsidR="005C40EF" w:rsidRDefault="00911F1E" w:rsidP="004D7359">
      <w:pPr>
        <w:jc w:val="both"/>
        <w:rPr>
          <w:rFonts w:ascii="Arial" w:hAnsi="Arial" w:cs="Arial"/>
          <w:sz w:val="20"/>
          <w:szCs w:val="20"/>
        </w:rPr>
      </w:pPr>
      <w:r w:rsidRPr="00633EA0">
        <w:rPr>
          <w:rFonts w:ascii="Arial" w:hAnsi="Arial" w:cs="Arial"/>
          <w:sz w:val="20"/>
          <w:szCs w:val="20"/>
        </w:rPr>
        <w:t xml:space="preserve">The physicochemical and microbiological characteristics of the well waters analyzed in the municipality of </w:t>
      </w:r>
      <w:proofErr w:type="spellStart"/>
      <w:r w:rsidRPr="00633EA0">
        <w:rPr>
          <w:rFonts w:ascii="Arial" w:hAnsi="Arial" w:cs="Arial"/>
          <w:sz w:val="20"/>
          <w:szCs w:val="20"/>
        </w:rPr>
        <w:t>Agbangnizoun</w:t>
      </w:r>
      <w:proofErr w:type="spellEnd"/>
      <w:r w:rsidRPr="00633EA0">
        <w:rPr>
          <w:rFonts w:ascii="Arial" w:hAnsi="Arial" w:cs="Arial"/>
          <w:sz w:val="20"/>
          <w:szCs w:val="20"/>
        </w:rPr>
        <w:t xml:space="preserve"> are presented in Table 2. </w:t>
      </w:r>
    </w:p>
    <w:p w14:paraId="150DA04D" w14:textId="695CFDA1" w:rsidR="00E75D33" w:rsidRPr="00633EA0" w:rsidRDefault="00E75D33" w:rsidP="004D7359">
      <w:pPr>
        <w:jc w:val="both"/>
        <w:rPr>
          <w:rFonts w:ascii="Arial" w:hAnsi="Arial" w:cs="Arial"/>
          <w:sz w:val="20"/>
          <w:szCs w:val="20"/>
        </w:rPr>
        <w:sectPr w:rsidR="00E75D33" w:rsidRPr="00633EA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57176BBA" w14:textId="0E03A4F3" w:rsidR="005C40EF" w:rsidRPr="00633EA0" w:rsidRDefault="005C40EF" w:rsidP="004D7359">
      <w:pPr>
        <w:jc w:val="both"/>
        <w:rPr>
          <w:rFonts w:ascii="Arial" w:hAnsi="Arial" w:cs="Arial"/>
          <w:b/>
          <w:bCs/>
          <w:sz w:val="20"/>
          <w:szCs w:val="20"/>
        </w:rPr>
      </w:pPr>
      <w:r w:rsidRPr="00633EA0">
        <w:rPr>
          <w:rFonts w:ascii="Arial" w:hAnsi="Arial" w:cs="Arial"/>
          <w:b/>
          <w:bCs/>
          <w:sz w:val="20"/>
          <w:szCs w:val="20"/>
        </w:rPr>
        <w:lastRenderedPageBreak/>
        <w:t xml:space="preserve">Table </w:t>
      </w:r>
      <w:r w:rsidR="00D7127B" w:rsidRPr="00633EA0">
        <w:rPr>
          <w:rFonts w:ascii="Arial" w:hAnsi="Arial" w:cs="Arial"/>
          <w:b/>
          <w:bCs/>
          <w:sz w:val="20"/>
          <w:szCs w:val="20"/>
        </w:rPr>
        <w:t>2:</w:t>
      </w:r>
      <w:r w:rsidRPr="00633EA0">
        <w:rPr>
          <w:rFonts w:ascii="Arial" w:hAnsi="Arial" w:cs="Arial"/>
          <w:b/>
          <w:bCs/>
          <w:sz w:val="20"/>
          <w:szCs w:val="20"/>
        </w:rPr>
        <w:t xml:space="preserve"> Average Values of </w:t>
      </w:r>
      <w:proofErr w:type="spellStart"/>
      <w:r w:rsidRPr="00633EA0">
        <w:rPr>
          <w:rFonts w:ascii="Arial" w:hAnsi="Arial" w:cs="Arial"/>
          <w:b/>
          <w:bCs/>
          <w:sz w:val="20"/>
          <w:szCs w:val="20"/>
        </w:rPr>
        <w:t>physico</w:t>
      </w:r>
      <w:proofErr w:type="spellEnd"/>
      <w:r w:rsidRPr="00633EA0">
        <w:rPr>
          <w:rFonts w:ascii="Arial" w:hAnsi="Arial" w:cs="Arial"/>
          <w:b/>
          <w:bCs/>
          <w:sz w:val="20"/>
          <w:szCs w:val="20"/>
        </w:rPr>
        <w:t xml:space="preserve">-chemical and microbiological parameters of the </w:t>
      </w:r>
      <w:r w:rsidR="00D7127B" w:rsidRPr="00633EA0">
        <w:rPr>
          <w:rFonts w:ascii="Arial" w:hAnsi="Arial" w:cs="Arial"/>
          <w:b/>
          <w:bCs/>
          <w:sz w:val="20"/>
          <w:szCs w:val="20"/>
        </w:rPr>
        <w:t>s</w:t>
      </w:r>
      <w:r w:rsidRPr="00633EA0">
        <w:rPr>
          <w:rFonts w:ascii="Arial" w:hAnsi="Arial" w:cs="Arial"/>
          <w:b/>
          <w:bCs/>
          <w:sz w:val="20"/>
          <w:szCs w:val="20"/>
        </w:rPr>
        <w:t>tudied Well Waters</w:t>
      </w:r>
    </w:p>
    <w:tbl>
      <w:tblPr>
        <w:tblStyle w:val="PlainTable2"/>
        <w:tblpPr w:leftFromText="180" w:rightFromText="180" w:horzAnchor="margin" w:tblpXSpec="center" w:tblpY="370"/>
        <w:tblW w:w="15570" w:type="dxa"/>
        <w:tblLook w:val="06A0" w:firstRow="1" w:lastRow="0" w:firstColumn="1" w:lastColumn="0" w:noHBand="1" w:noVBand="1"/>
      </w:tblPr>
      <w:tblGrid>
        <w:gridCol w:w="739"/>
        <w:gridCol w:w="950"/>
        <w:gridCol w:w="696"/>
        <w:gridCol w:w="645"/>
        <w:gridCol w:w="860"/>
        <w:gridCol w:w="827"/>
        <w:gridCol w:w="827"/>
        <w:gridCol w:w="827"/>
        <w:gridCol w:w="827"/>
        <w:gridCol w:w="743"/>
        <w:gridCol w:w="827"/>
        <w:gridCol w:w="827"/>
        <w:gridCol w:w="827"/>
        <w:gridCol w:w="1450"/>
        <w:gridCol w:w="1450"/>
        <w:gridCol w:w="1450"/>
        <w:gridCol w:w="798"/>
      </w:tblGrid>
      <w:tr w:rsidR="00067972" w:rsidRPr="00E02C4D" w14:paraId="2AD5E8F0" w14:textId="264B793F" w:rsidTr="0006797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39" w:type="dxa"/>
            <w:tcBorders>
              <w:top w:val="single" w:sz="12" w:space="0" w:color="000000"/>
              <w:bottom w:val="single" w:sz="12" w:space="0" w:color="000000"/>
            </w:tcBorders>
            <w:noWrap/>
            <w:hideMark/>
          </w:tcPr>
          <w:p w14:paraId="40AEF00C" w14:textId="77777777" w:rsidR="00067972" w:rsidRPr="00E02C4D" w:rsidRDefault="00067972"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Wells</w:t>
            </w:r>
          </w:p>
        </w:tc>
        <w:tc>
          <w:tcPr>
            <w:tcW w:w="950" w:type="dxa"/>
            <w:tcBorders>
              <w:top w:val="single" w:sz="12" w:space="0" w:color="000000"/>
              <w:bottom w:val="single" w:sz="12" w:space="0" w:color="000000"/>
            </w:tcBorders>
            <w:noWrap/>
            <w:hideMark/>
          </w:tcPr>
          <w:p w14:paraId="123BD527"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CE</w:t>
            </w:r>
          </w:p>
          <w:p w14:paraId="1C6CF603"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proofErr w:type="spellStart"/>
            <w:r w:rsidRPr="00E02C4D">
              <w:rPr>
                <w:rFonts w:ascii="Arial" w:eastAsia="Times New Roman" w:hAnsi="Arial" w:cs="Arial"/>
                <w:color w:val="000000"/>
                <w:kern w:val="0"/>
                <w:sz w:val="20"/>
                <w:szCs w:val="20"/>
                <w14:ligatures w14:val="none"/>
              </w:rPr>
              <w:t>μS</w:t>
            </w:r>
            <w:proofErr w:type="spellEnd"/>
            <w:r w:rsidRPr="00E02C4D">
              <w:rPr>
                <w:rFonts w:ascii="Arial" w:eastAsia="Times New Roman" w:hAnsi="Arial" w:cs="Arial"/>
                <w:color w:val="000000"/>
                <w:kern w:val="0"/>
                <w:sz w:val="20"/>
                <w:szCs w:val="20"/>
                <w14:ligatures w14:val="none"/>
              </w:rPr>
              <w:t>/cm)</w:t>
            </w:r>
          </w:p>
        </w:tc>
        <w:tc>
          <w:tcPr>
            <w:tcW w:w="696" w:type="dxa"/>
            <w:tcBorders>
              <w:top w:val="single" w:sz="12" w:space="0" w:color="000000"/>
              <w:bottom w:val="single" w:sz="12" w:space="0" w:color="000000"/>
            </w:tcBorders>
            <w:noWrap/>
            <w:hideMark/>
          </w:tcPr>
          <w:p w14:paraId="1B269773"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T(°C)</w:t>
            </w:r>
          </w:p>
        </w:tc>
        <w:tc>
          <w:tcPr>
            <w:tcW w:w="645" w:type="dxa"/>
            <w:tcBorders>
              <w:top w:val="single" w:sz="12" w:space="0" w:color="000000"/>
              <w:bottom w:val="single" w:sz="12" w:space="0" w:color="000000"/>
            </w:tcBorders>
            <w:noWrap/>
            <w:hideMark/>
          </w:tcPr>
          <w:p w14:paraId="328CDFC2"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pH</w:t>
            </w:r>
          </w:p>
        </w:tc>
        <w:tc>
          <w:tcPr>
            <w:tcW w:w="860" w:type="dxa"/>
            <w:tcBorders>
              <w:top w:val="single" w:sz="12" w:space="0" w:color="000000"/>
              <w:bottom w:val="single" w:sz="12" w:space="0" w:color="000000"/>
            </w:tcBorders>
            <w:noWrap/>
            <w:hideMark/>
          </w:tcPr>
          <w:p w14:paraId="6170EC2B"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Ca</w:t>
            </w:r>
            <w:r w:rsidRPr="00E02C4D">
              <w:rPr>
                <w:rFonts w:ascii="Arial" w:eastAsia="Times New Roman" w:hAnsi="Arial" w:cs="Arial"/>
                <w:color w:val="000000"/>
                <w:kern w:val="0"/>
                <w:sz w:val="20"/>
                <w:szCs w:val="20"/>
                <w:vertAlign w:val="superscript"/>
                <w14:ligatures w14:val="none"/>
              </w:rPr>
              <w:t>2+</w:t>
            </w:r>
            <w:r w:rsidRPr="00E02C4D">
              <w:rPr>
                <w:rFonts w:ascii="Arial" w:eastAsia="Times New Roman" w:hAnsi="Arial" w:cs="Arial"/>
                <w:color w:val="000000"/>
                <w:kern w:val="0"/>
                <w:sz w:val="20"/>
                <w:szCs w:val="20"/>
                <w14:ligatures w14:val="none"/>
              </w:rPr>
              <w:t xml:space="preserve"> (mg/L)</w:t>
            </w:r>
          </w:p>
        </w:tc>
        <w:tc>
          <w:tcPr>
            <w:tcW w:w="827" w:type="dxa"/>
            <w:tcBorders>
              <w:top w:val="single" w:sz="12" w:space="0" w:color="000000"/>
              <w:bottom w:val="single" w:sz="12" w:space="0" w:color="000000"/>
            </w:tcBorders>
            <w:noWrap/>
            <w:hideMark/>
          </w:tcPr>
          <w:p w14:paraId="44210D88"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w:t>
            </w:r>
            <w:r w:rsidRPr="00E02C4D">
              <w:rPr>
                <w:rFonts w:ascii="Arial" w:eastAsia="Times New Roman" w:hAnsi="Arial" w:cs="Arial"/>
                <w:color w:val="000000"/>
                <w:kern w:val="0"/>
                <w:sz w:val="20"/>
                <w:szCs w:val="20"/>
                <w:vertAlign w:val="superscript"/>
                <w14:ligatures w14:val="none"/>
              </w:rPr>
              <w:t>2+</w:t>
            </w:r>
          </w:p>
          <w:p w14:paraId="4310E110"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7" w:type="dxa"/>
            <w:tcBorders>
              <w:top w:val="single" w:sz="12" w:space="0" w:color="000000"/>
              <w:bottom w:val="single" w:sz="12" w:space="0" w:color="000000"/>
            </w:tcBorders>
            <w:noWrap/>
            <w:hideMark/>
          </w:tcPr>
          <w:p w14:paraId="799707AA"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Na</w:t>
            </w:r>
            <w:r w:rsidRPr="00E02C4D">
              <w:rPr>
                <w:rFonts w:ascii="Arial" w:eastAsia="Times New Roman" w:hAnsi="Arial" w:cs="Arial"/>
                <w:color w:val="000000"/>
                <w:kern w:val="0"/>
                <w:sz w:val="20"/>
                <w:szCs w:val="20"/>
                <w:vertAlign w:val="superscript"/>
                <w14:ligatures w14:val="none"/>
              </w:rPr>
              <w:t>+</w:t>
            </w:r>
          </w:p>
          <w:p w14:paraId="320DF155"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7" w:type="dxa"/>
            <w:tcBorders>
              <w:top w:val="single" w:sz="12" w:space="0" w:color="000000"/>
              <w:bottom w:val="single" w:sz="12" w:space="0" w:color="000000"/>
            </w:tcBorders>
            <w:noWrap/>
            <w:hideMark/>
          </w:tcPr>
          <w:p w14:paraId="5BF004FF"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K</w:t>
            </w:r>
            <w:r w:rsidRPr="00E02C4D">
              <w:rPr>
                <w:rFonts w:ascii="Arial" w:eastAsia="Times New Roman" w:hAnsi="Arial" w:cs="Arial"/>
                <w:color w:val="000000"/>
                <w:kern w:val="0"/>
                <w:sz w:val="20"/>
                <w:szCs w:val="20"/>
                <w:vertAlign w:val="superscript"/>
                <w14:ligatures w14:val="none"/>
              </w:rPr>
              <w:t>+</w:t>
            </w:r>
          </w:p>
          <w:p w14:paraId="21FC908B"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7" w:type="dxa"/>
            <w:tcBorders>
              <w:top w:val="single" w:sz="12" w:space="0" w:color="000000"/>
              <w:bottom w:val="single" w:sz="12" w:space="0" w:color="000000"/>
            </w:tcBorders>
            <w:noWrap/>
            <w:hideMark/>
          </w:tcPr>
          <w:p w14:paraId="7141D92B"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HCO</w:t>
            </w:r>
            <w:r w:rsidRPr="00E02C4D">
              <w:rPr>
                <w:rFonts w:ascii="Arial" w:eastAsia="Times New Roman" w:hAnsi="Arial" w:cs="Arial"/>
                <w:color w:val="000000"/>
                <w:kern w:val="0"/>
                <w:sz w:val="20"/>
                <w:szCs w:val="20"/>
                <w:vertAlign w:val="subscript"/>
                <w14:ligatures w14:val="none"/>
              </w:rPr>
              <w:t>3</w:t>
            </w:r>
            <w:r w:rsidRPr="00E02C4D">
              <w:rPr>
                <w:rFonts w:ascii="Arial" w:eastAsia="Times New Roman" w:hAnsi="Arial" w:cs="Arial"/>
                <w:color w:val="000000"/>
                <w:kern w:val="0"/>
                <w:sz w:val="20"/>
                <w:szCs w:val="20"/>
                <w:vertAlign w:val="superscript"/>
                <w14:ligatures w14:val="none"/>
              </w:rPr>
              <w:t>-</w:t>
            </w:r>
          </w:p>
          <w:p w14:paraId="06353B10"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743" w:type="dxa"/>
            <w:tcBorders>
              <w:top w:val="single" w:sz="12" w:space="0" w:color="000000"/>
              <w:bottom w:val="single" w:sz="12" w:space="0" w:color="000000"/>
            </w:tcBorders>
            <w:noWrap/>
            <w:hideMark/>
          </w:tcPr>
          <w:p w14:paraId="432792C7"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CO3</w:t>
            </w:r>
            <w:r w:rsidRPr="00E02C4D">
              <w:rPr>
                <w:rFonts w:ascii="Arial" w:eastAsia="Times New Roman" w:hAnsi="Arial" w:cs="Arial"/>
                <w:color w:val="000000"/>
                <w:kern w:val="0"/>
                <w:sz w:val="20"/>
                <w:szCs w:val="20"/>
                <w:vertAlign w:val="superscript"/>
                <w14:ligatures w14:val="none"/>
              </w:rPr>
              <w:t>2-</w:t>
            </w:r>
            <w:r w:rsidRPr="00E02C4D">
              <w:rPr>
                <w:rFonts w:ascii="Arial" w:eastAsia="Times New Roman" w:hAnsi="Arial" w:cs="Arial"/>
                <w:color w:val="000000"/>
                <w:kern w:val="0"/>
                <w:sz w:val="20"/>
                <w:szCs w:val="20"/>
                <w14:ligatures w14:val="none"/>
              </w:rPr>
              <w:t xml:space="preserve"> mg/L</w:t>
            </w:r>
          </w:p>
        </w:tc>
        <w:tc>
          <w:tcPr>
            <w:tcW w:w="827" w:type="dxa"/>
            <w:tcBorders>
              <w:top w:val="single" w:sz="12" w:space="0" w:color="000000"/>
              <w:bottom w:val="single" w:sz="12" w:space="0" w:color="000000"/>
            </w:tcBorders>
            <w:noWrap/>
            <w:hideMark/>
          </w:tcPr>
          <w:p w14:paraId="6036BE73"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Cl</w:t>
            </w:r>
            <w:r w:rsidRPr="00E02C4D">
              <w:rPr>
                <w:rFonts w:ascii="Arial" w:eastAsia="Times New Roman" w:hAnsi="Arial" w:cs="Arial"/>
                <w:color w:val="000000"/>
                <w:kern w:val="0"/>
                <w:sz w:val="20"/>
                <w:szCs w:val="20"/>
                <w:vertAlign w:val="superscript"/>
                <w14:ligatures w14:val="none"/>
              </w:rPr>
              <w:t>-</w:t>
            </w:r>
          </w:p>
          <w:p w14:paraId="2F3519AB"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7" w:type="dxa"/>
            <w:tcBorders>
              <w:top w:val="single" w:sz="12" w:space="0" w:color="000000"/>
              <w:bottom w:val="single" w:sz="12" w:space="0" w:color="000000"/>
            </w:tcBorders>
            <w:noWrap/>
            <w:hideMark/>
          </w:tcPr>
          <w:p w14:paraId="2326916F"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SO</w:t>
            </w:r>
            <w:r w:rsidRPr="00E02C4D">
              <w:rPr>
                <w:rFonts w:ascii="Arial" w:eastAsia="Times New Roman" w:hAnsi="Arial" w:cs="Arial"/>
                <w:color w:val="000000"/>
                <w:kern w:val="0"/>
                <w:sz w:val="20"/>
                <w:szCs w:val="20"/>
                <w:vertAlign w:val="subscript"/>
                <w14:ligatures w14:val="none"/>
              </w:rPr>
              <w:t>4</w:t>
            </w:r>
            <w:r w:rsidRPr="00E02C4D">
              <w:rPr>
                <w:rFonts w:ascii="Arial" w:eastAsia="Times New Roman" w:hAnsi="Arial" w:cs="Arial"/>
                <w:color w:val="000000"/>
                <w:kern w:val="0"/>
                <w:sz w:val="20"/>
                <w:szCs w:val="20"/>
                <w:vertAlign w:val="superscript"/>
                <w14:ligatures w14:val="none"/>
              </w:rPr>
              <w:t>2-</w:t>
            </w:r>
          </w:p>
          <w:p w14:paraId="19A620C6"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7" w:type="dxa"/>
            <w:tcBorders>
              <w:top w:val="single" w:sz="12" w:space="0" w:color="000000"/>
              <w:bottom w:val="single" w:sz="12" w:space="0" w:color="000000"/>
            </w:tcBorders>
            <w:noWrap/>
            <w:hideMark/>
          </w:tcPr>
          <w:p w14:paraId="1544106B"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NO</w:t>
            </w:r>
            <w:r w:rsidRPr="00E02C4D">
              <w:rPr>
                <w:rFonts w:ascii="Arial" w:eastAsia="Times New Roman" w:hAnsi="Arial" w:cs="Arial"/>
                <w:color w:val="000000"/>
                <w:kern w:val="0"/>
                <w:sz w:val="20"/>
                <w:szCs w:val="20"/>
                <w:vertAlign w:val="subscript"/>
                <w14:ligatures w14:val="none"/>
              </w:rPr>
              <w:t>3</w:t>
            </w:r>
            <w:r w:rsidRPr="00E02C4D">
              <w:rPr>
                <w:rFonts w:ascii="Arial" w:eastAsia="Times New Roman" w:hAnsi="Arial" w:cs="Arial"/>
                <w:color w:val="000000"/>
                <w:kern w:val="0"/>
                <w:sz w:val="20"/>
                <w:szCs w:val="20"/>
                <w:vertAlign w:val="superscript"/>
                <w14:ligatures w14:val="none"/>
              </w:rPr>
              <w:t>-</w:t>
            </w:r>
          </w:p>
          <w:p w14:paraId="6F368D18"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1450" w:type="dxa"/>
            <w:tcBorders>
              <w:top w:val="single" w:sz="12" w:space="0" w:color="000000"/>
              <w:bottom w:val="single" w:sz="12" w:space="0" w:color="000000"/>
            </w:tcBorders>
            <w:noWrap/>
            <w:hideMark/>
          </w:tcPr>
          <w:p w14:paraId="1ACFC2B7"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E. coli</w:t>
            </w:r>
          </w:p>
          <w:p w14:paraId="2F6D96A9" w14:textId="28817FFD"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r w:rsidRPr="00E02C4D">
              <w:rPr>
                <w:rFonts w:ascii="Arial" w:hAnsi="Arial" w:cs="Arial"/>
                <w:sz w:val="20"/>
                <w:szCs w:val="20"/>
              </w:rPr>
              <w:t>UFC/100</w:t>
            </w:r>
            <w:r>
              <w:rPr>
                <w:rFonts w:ascii="Arial" w:hAnsi="Arial" w:cs="Arial"/>
                <w:sz w:val="20"/>
                <w:szCs w:val="20"/>
              </w:rPr>
              <w:t>mL</w:t>
            </w:r>
            <w:r w:rsidRPr="00E02C4D">
              <w:rPr>
                <w:rFonts w:ascii="Arial" w:hAnsi="Arial" w:cs="Arial"/>
                <w:sz w:val="20"/>
                <w:szCs w:val="20"/>
              </w:rPr>
              <w:t>)</w:t>
            </w:r>
          </w:p>
        </w:tc>
        <w:tc>
          <w:tcPr>
            <w:tcW w:w="1450" w:type="dxa"/>
            <w:tcBorders>
              <w:top w:val="single" w:sz="12" w:space="0" w:color="000000"/>
              <w:bottom w:val="single" w:sz="12" w:space="0" w:color="000000"/>
            </w:tcBorders>
            <w:noWrap/>
            <w:hideMark/>
          </w:tcPr>
          <w:p w14:paraId="1A39A35E"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C.T</w:t>
            </w:r>
          </w:p>
          <w:p w14:paraId="303D1C0D" w14:textId="6EE531E6"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r w:rsidRPr="00E02C4D">
              <w:rPr>
                <w:rFonts w:ascii="Arial" w:hAnsi="Arial" w:cs="Arial"/>
                <w:sz w:val="20"/>
                <w:szCs w:val="20"/>
              </w:rPr>
              <w:t>UFC/100</w:t>
            </w:r>
            <w:r>
              <w:rPr>
                <w:rFonts w:ascii="Arial" w:hAnsi="Arial" w:cs="Arial"/>
                <w:sz w:val="20"/>
                <w:szCs w:val="20"/>
              </w:rPr>
              <w:t>mL</w:t>
            </w:r>
            <w:r w:rsidRPr="00E02C4D">
              <w:rPr>
                <w:rFonts w:ascii="Arial" w:hAnsi="Arial" w:cs="Arial"/>
                <w:sz w:val="20"/>
                <w:szCs w:val="20"/>
              </w:rPr>
              <w:t>)</w:t>
            </w:r>
          </w:p>
        </w:tc>
        <w:tc>
          <w:tcPr>
            <w:tcW w:w="1450" w:type="dxa"/>
            <w:tcBorders>
              <w:top w:val="single" w:sz="12" w:space="0" w:color="000000"/>
              <w:bottom w:val="single" w:sz="12" w:space="0" w:color="000000"/>
            </w:tcBorders>
            <w:noWrap/>
            <w:hideMark/>
          </w:tcPr>
          <w:p w14:paraId="3369DC77"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FS</w:t>
            </w:r>
          </w:p>
          <w:p w14:paraId="7F3B8E7A" w14:textId="77777777" w:rsidR="00067972" w:rsidRPr="00E02C4D"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sz w:val="20"/>
                <w:szCs w:val="20"/>
              </w:rPr>
              <w:t>(UFC/100mL)</w:t>
            </w:r>
          </w:p>
        </w:tc>
        <w:tc>
          <w:tcPr>
            <w:tcW w:w="798" w:type="dxa"/>
            <w:tcBorders>
              <w:top w:val="single" w:sz="12" w:space="0" w:color="000000"/>
              <w:bottom w:val="single" w:sz="12" w:space="0" w:color="000000"/>
            </w:tcBorders>
          </w:tcPr>
          <w:p w14:paraId="07041AB3" w14:textId="0839B280" w:rsidR="00067972" w:rsidRPr="00E75D33" w:rsidRDefault="00191498"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highlight w:val="yellow"/>
                <w14:ligatures w14:val="none"/>
              </w:rPr>
            </w:pPr>
            <w:r>
              <w:rPr>
                <w:rFonts w:ascii="Arial" w:eastAsia="Times New Roman" w:hAnsi="Arial" w:cs="Arial"/>
                <w:color w:val="000000"/>
                <w:kern w:val="0"/>
                <w:sz w:val="20"/>
                <w:szCs w:val="20"/>
                <w:highlight w:val="yellow"/>
                <w14:ligatures w14:val="none"/>
              </w:rPr>
              <w:t>Total d</w:t>
            </w:r>
            <w:r w:rsidR="00067972" w:rsidRPr="00E75D33">
              <w:rPr>
                <w:rFonts w:ascii="Arial" w:eastAsia="Times New Roman" w:hAnsi="Arial" w:cs="Arial"/>
                <w:color w:val="000000"/>
                <w:kern w:val="0"/>
                <w:sz w:val="20"/>
                <w:szCs w:val="20"/>
                <w:highlight w:val="yellow"/>
                <w14:ligatures w14:val="none"/>
              </w:rPr>
              <w:t>epth</w:t>
            </w:r>
          </w:p>
          <w:p w14:paraId="387720B5" w14:textId="4A890EA8" w:rsidR="00067972" w:rsidRPr="00E75D33" w:rsidRDefault="00067972" w:rsidP="001914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eastAsia="Times New Roman" w:hAnsi="Arial" w:cs="Arial"/>
                <w:color w:val="000000"/>
                <w:kern w:val="0"/>
                <w:sz w:val="20"/>
                <w:szCs w:val="20"/>
                <w:highlight w:val="yellow"/>
                <w14:ligatures w14:val="none"/>
              </w:rPr>
              <w:t>(m)</w:t>
            </w:r>
          </w:p>
        </w:tc>
      </w:tr>
      <w:tr w:rsidR="00D95F0C" w:rsidRPr="00E02C4D" w14:paraId="209A5119" w14:textId="4D2E89C8"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tcBorders>
              <w:top w:val="single" w:sz="12" w:space="0" w:color="000000"/>
            </w:tcBorders>
            <w:hideMark/>
          </w:tcPr>
          <w:p w14:paraId="6B561A86"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w:t>
            </w:r>
          </w:p>
        </w:tc>
        <w:tc>
          <w:tcPr>
            <w:tcW w:w="950" w:type="dxa"/>
            <w:tcBorders>
              <w:top w:val="single" w:sz="12" w:space="0" w:color="000000"/>
            </w:tcBorders>
            <w:hideMark/>
          </w:tcPr>
          <w:p w14:paraId="614470A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227</w:t>
            </w:r>
          </w:p>
        </w:tc>
        <w:tc>
          <w:tcPr>
            <w:tcW w:w="696" w:type="dxa"/>
            <w:tcBorders>
              <w:top w:val="single" w:sz="12" w:space="0" w:color="000000"/>
            </w:tcBorders>
            <w:hideMark/>
          </w:tcPr>
          <w:p w14:paraId="19A1A45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45" w:type="dxa"/>
            <w:tcBorders>
              <w:top w:val="single" w:sz="12" w:space="0" w:color="000000"/>
            </w:tcBorders>
            <w:hideMark/>
          </w:tcPr>
          <w:p w14:paraId="692A348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860" w:type="dxa"/>
            <w:tcBorders>
              <w:top w:val="single" w:sz="12" w:space="0" w:color="000000"/>
            </w:tcBorders>
            <w:vAlign w:val="bottom"/>
            <w:hideMark/>
          </w:tcPr>
          <w:p w14:paraId="132E3594" w14:textId="3E2F29B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56.6</w:t>
            </w:r>
          </w:p>
        </w:tc>
        <w:tc>
          <w:tcPr>
            <w:tcW w:w="827" w:type="dxa"/>
            <w:tcBorders>
              <w:top w:val="single" w:sz="12" w:space="0" w:color="000000"/>
            </w:tcBorders>
            <w:vAlign w:val="bottom"/>
            <w:hideMark/>
          </w:tcPr>
          <w:p w14:paraId="6ECA1F04" w14:textId="36E218F3"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7" w:type="dxa"/>
            <w:tcBorders>
              <w:top w:val="single" w:sz="12" w:space="0" w:color="000000"/>
            </w:tcBorders>
            <w:vAlign w:val="bottom"/>
            <w:hideMark/>
          </w:tcPr>
          <w:p w14:paraId="5B14DBC1" w14:textId="37405D1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18.5</w:t>
            </w:r>
          </w:p>
        </w:tc>
        <w:tc>
          <w:tcPr>
            <w:tcW w:w="827" w:type="dxa"/>
            <w:tcBorders>
              <w:top w:val="single" w:sz="12" w:space="0" w:color="000000"/>
            </w:tcBorders>
            <w:vAlign w:val="bottom"/>
            <w:hideMark/>
          </w:tcPr>
          <w:p w14:paraId="4A3F6C54" w14:textId="2121576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7" w:type="dxa"/>
            <w:tcBorders>
              <w:top w:val="single" w:sz="12" w:space="0" w:color="000000"/>
            </w:tcBorders>
            <w:hideMark/>
          </w:tcPr>
          <w:p w14:paraId="7E2BBDF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743" w:type="dxa"/>
            <w:tcBorders>
              <w:top w:val="single" w:sz="12" w:space="0" w:color="000000"/>
            </w:tcBorders>
            <w:hideMark/>
          </w:tcPr>
          <w:p w14:paraId="6F23725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7" w:type="dxa"/>
            <w:tcBorders>
              <w:top w:val="single" w:sz="12" w:space="0" w:color="000000"/>
            </w:tcBorders>
            <w:hideMark/>
          </w:tcPr>
          <w:p w14:paraId="3DE643B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16.89</w:t>
            </w:r>
          </w:p>
        </w:tc>
        <w:tc>
          <w:tcPr>
            <w:tcW w:w="827" w:type="dxa"/>
            <w:tcBorders>
              <w:top w:val="single" w:sz="12" w:space="0" w:color="000000"/>
            </w:tcBorders>
            <w:hideMark/>
          </w:tcPr>
          <w:p w14:paraId="45C030F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w:t>
            </w:r>
          </w:p>
        </w:tc>
        <w:tc>
          <w:tcPr>
            <w:tcW w:w="827" w:type="dxa"/>
            <w:tcBorders>
              <w:top w:val="single" w:sz="12" w:space="0" w:color="000000"/>
            </w:tcBorders>
            <w:hideMark/>
          </w:tcPr>
          <w:p w14:paraId="79239F7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450" w:type="dxa"/>
            <w:tcBorders>
              <w:top w:val="single" w:sz="12" w:space="0" w:color="000000"/>
            </w:tcBorders>
            <w:hideMark/>
          </w:tcPr>
          <w:p w14:paraId="66A97E5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1450" w:type="dxa"/>
            <w:tcBorders>
              <w:top w:val="single" w:sz="12" w:space="0" w:color="000000"/>
            </w:tcBorders>
            <w:hideMark/>
          </w:tcPr>
          <w:p w14:paraId="0F61591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w:t>
            </w:r>
          </w:p>
        </w:tc>
        <w:tc>
          <w:tcPr>
            <w:tcW w:w="1450" w:type="dxa"/>
            <w:tcBorders>
              <w:top w:val="single" w:sz="12" w:space="0" w:color="000000"/>
            </w:tcBorders>
            <w:hideMark/>
          </w:tcPr>
          <w:p w14:paraId="24A31CF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34.97</w:t>
            </w:r>
          </w:p>
        </w:tc>
        <w:tc>
          <w:tcPr>
            <w:tcW w:w="798" w:type="dxa"/>
            <w:tcBorders>
              <w:top w:val="single" w:sz="12" w:space="0" w:color="000000"/>
            </w:tcBorders>
            <w:vAlign w:val="bottom"/>
          </w:tcPr>
          <w:p w14:paraId="0D68A92F" w14:textId="01D8E1BD"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18</w:t>
            </w:r>
          </w:p>
        </w:tc>
      </w:tr>
      <w:tr w:rsidR="00D95F0C" w:rsidRPr="00E02C4D" w14:paraId="39E396F8" w14:textId="032F164B"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5B25F61C"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w:t>
            </w:r>
          </w:p>
        </w:tc>
        <w:tc>
          <w:tcPr>
            <w:tcW w:w="950" w:type="dxa"/>
            <w:hideMark/>
          </w:tcPr>
          <w:p w14:paraId="5A5F7BB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208</w:t>
            </w:r>
          </w:p>
        </w:tc>
        <w:tc>
          <w:tcPr>
            <w:tcW w:w="696" w:type="dxa"/>
            <w:hideMark/>
          </w:tcPr>
          <w:p w14:paraId="1C19283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645" w:type="dxa"/>
            <w:hideMark/>
          </w:tcPr>
          <w:p w14:paraId="0C299E6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7.1</w:t>
            </w:r>
          </w:p>
        </w:tc>
        <w:tc>
          <w:tcPr>
            <w:tcW w:w="860" w:type="dxa"/>
            <w:vAlign w:val="bottom"/>
            <w:hideMark/>
          </w:tcPr>
          <w:p w14:paraId="33AF9583" w14:textId="085D5928"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7" w:type="dxa"/>
            <w:vAlign w:val="bottom"/>
            <w:hideMark/>
          </w:tcPr>
          <w:p w14:paraId="72079B3A" w14:textId="1A326A2D"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16.7</w:t>
            </w:r>
          </w:p>
        </w:tc>
        <w:tc>
          <w:tcPr>
            <w:tcW w:w="827" w:type="dxa"/>
            <w:vAlign w:val="bottom"/>
            <w:hideMark/>
          </w:tcPr>
          <w:p w14:paraId="28DAFBB4" w14:textId="377D1BC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16.7</w:t>
            </w:r>
          </w:p>
        </w:tc>
        <w:tc>
          <w:tcPr>
            <w:tcW w:w="827" w:type="dxa"/>
            <w:vAlign w:val="bottom"/>
            <w:hideMark/>
          </w:tcPr>
          <w:p w14:paraId="73F6F723" w14:textId="7506E0E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7" w:type="dxa"/>
            <w:hideMark/>
          </w:tcPr>
          <w:p w14:paraId="6473F63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743" w:type="dxa"/>
            <w:hideMark/>
          </w:tcPr>
          <w:p w14:paraId="4FBAA48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w:t>
            </w:r>
          </w:p>
        </w:tc>
        <w:tc>
          <w:tcPr>
            <w:tcW w:w="827" w:type="dxa"/>
            <w:hideMark/>
          </w:tcPr>
          <w:p w14:paraId="4646C07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14.7</w:t>
            </w:r>
          </w:p>
        </w:tc>
        <w:tc>
          <w:tcPr>
            <w:tcW w:w="827" w:type="dxa"/>
            <w:hideMark/>
          </w:tcPr>
          <w:p w14:paraId="23532F0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7" w:type="dxa"/>
            <w:hideMark/>
          </w:tcPr>
          <w:p w14:paraId="49404BE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450" w:type="dxa"/>
            <w:hideMark/>
          </w:tcPr>
          <w:p w14:paraId="42ABC7E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1450" w:type="dxa"/>
            <w:hideMark/>
          </w:tcPr>
          <w:p w14:paraId="53201E7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50" w:type="dxa"/>
            <w:hideMark/>
          </w:tcPr>
          <w:p w14:paraId="123C99C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17.1</w:t>
            </w:r>
          </w:p>
        </w:tc>
        <w:tc>
          <w:tcPr>
            <w:tcW w:w="798" w:type="dxa"/>
            <w:vAlign w:val="bottom"/>
          </w:tcPr>
          <w:p w14:paraId="4076E0C9" w14:textId="7858C3BB"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34</w:t>
            </w:r>
          </w:p>
        </w:tc>
      </w:tr>
      <w:tr w:rsidR="00D95F0C" w:rsidRPr="00E02C4D" w14:paraId="555617C4" w14:textId="2B9A58F0"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6B238CB8"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W3</w:t>
            </w:r>
          </w:p>
        </w:tc>
        <w:tc>
          <w:tcPr>
            <w:tcW w:w="950" w:type="dxa"/>
            <w:hideMark/>
          </w:tcPr>
          <w:p w14:paraId="4DDA6CD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301</w:t>
            </w:r>
          </w:p>
        </w:tc>
        <w:tc>
          <w:tcPr>
            <w:tcW w:w="696" w:type="dxa"/>
            <w:hideMark/>
          </w:tcPr>
          <w:p w14:paraId="4F8F94E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45" w:type="dxa"/>
            <w:hideMark/>
          </w:tcPr>
          <w:p w14:paraId="52515A3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60" w:type="dxa"/>
            <w:vAlign w:val="bottom"/>
            <w:hideMark/>
          </w:tcPr>
          <w:p w14:paraId="15FE84BD" w14:textId="36A2B61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7" w:type="dxa"/>
            <w:vAlign w:val="bottom"/>
            <w:hideMark/>
          </w:tcPr>
          <w:p w14:paraId="60370633" w14:textId="2708A425"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6.6</w:t>
            </w:r>
          </w:p>
        </w:tc>
        <w:tc>
          <w:tcPr>
            <w:tcW w:w="827" w:type="dxa"/>
            <w:vAlign w:val="bottom"/>
            <w:hideMark/>
          </w:tcPr>
          <w:p w14:paraId="39F5AD91" w14:textId="0D567FB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6.6</w:t>
            </w:r>
          </w:p>
        </w:tc>
        <w:tc>
          <w:tcPr>
            <w:tcW w:w="827" w:type="dxa"/>
            <w:vAlign w:val="bottom"/>
            <w:hideMark/>
          </w:tcPr>
          <w:p w14:paraId="211061C1" w14:textId="73C352AF"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7" w:type="dxa"/>
            <w:hideMark/>
          </w:tcPr>
          <w:p w14:paraId="0C82E6E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10.29</w:t>
            </w:r>
          </w:p>
        </w:tc>
        <w:tc>
          <w:tcPr>
            <w:tcW w:w="743" w:type="dxa"/>
            <w:hideMark/>
          </w:tcPr>
          <w:p w14:paraId="14E20CA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7" w:type="dxa"/>
            <w:hideMark/>
          </w:tcPr>
          <w:p w14:paraId="3F0D4F5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34.7</w:t>
            </w:r>
          </w:p>
        </w:tc>
        <w:tc>
          <w:tcPr>
            <w:tcW w:w="827" w:type="dxa"/>
            <w:hideMark/>
          </w:tcPr>
          <w:p w14:paraId="7CA9BE8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7" w:type="dxa"/>
            <w:hideMark/>
          </w:tcPr>
          <w:p w14:paraId="16FF3FE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47.5</w:t>
            </w:r>
          </w:p>
        </w:tc>
        <w:tc>
          <w:tcPr>
            <w:tcW w:w="1450" w:type="dxa"/>
            <w:hideMark/>
          </w:tcPr>
          <w:p w14:paraId="594321F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450" w:type="dxa"/>
            <w:hideMark/>
          </w:tcPr>
          <w:p w14:paraId="7F7AB82D"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50" w:type="dxa"/>
            <w:hideMark/>
          </w:tcPr>
          <w:p w14:paraId="21F8801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75.8</w:t>
            </w:r>
          </w:p>
        </w:tc>
        <w:tc>
          <w:tcPr>
            <w:tcW w:w="798" w:type="dxa"/>
            <w:vAlign w:val="bottom"/>
          </w:tcPr>
          <w:p w14:paraId="5B52B877" w14:textId="0059E65C"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23</w:t>
            </w:r>
          </w:p>
        </w:tc>
      </w:tr>
      <w:tr w:rsidR="00D95F0C" w:rsidRPr="00E02C4D" w14:paraId="7C77714F" w14:textId="0F7B9FCD"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62DAA340"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W4</w:t>
            </w:r>
          </w:p>
        </w:tc>
        <w:tc>
          <w:tcPr>
            <w:tcW w:w="950" w:type="dxa"/>
            <w:hideMark/>
          </w:tcPr>
          <w:p w14:paraId="78B5C16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259</w:t>
            </w:r>
          </w:p>
        </w:tc>
        <w:tc>
          <w:tcPr>
            <w:tcW w:w="696" w:type="dxa"/>
            <w:hideMark/>
          </w:tcPr>
          <w:p w14:paraId="6FC9E05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45" w:type="dxa"/>
            <w:hideMark/>
          </w:tcPr>
          <w:p w14:paraId="2EAF50F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860" w:type="dxa"/>
            <w:vAlign w:val="bottom"/>
            <w:hideMark/>
          </w:tcPr>
          <w:p w14:paraId="16C260AA" w14:textId="11DC8E6C"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7" w:type="dxa"/>
            <w:vAlign w:val="bottom"/>
            <w:hideMark/>
          </w:tcPr>
          <w:p w14:paraId="3A030511" w14:textId="0E782A2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23.4</w:t>
            </w:r>
          </w:p>
        </w:tc>
        <w:tc>
          <w:tcPr>
            <w:tcW w:w="827" w:type="dxa"/>
            <w:vAlign w:val="bottom"/>
            <w:hideMark/>
          </w:tcPr>
          <w:p w14:paraId="20E63691" w14:textId="24CEF22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23.4</w:t>
            </w:r>
          </w:p>
        </w:tc>
        <w:tc>
          <w:tcPr>
            <w:tcW w:w="827" w:type="dxa"/>
            <w:vAlign w:val="bottom"/>
            <w:hideMark/>
          </w:tcPr>
          <w:p w14:paraId="3AC826E7" w14:textId="7F736B4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0.27</w:t>
            </w:r>
          </w:p>
        </w:tc>
        <w:tc>
          <w:tcPr>
            <w:tcW w:w="827" w:type="dxa"/>
            <w:hideMark/>
          </w:tcPr>
          <w:p w14:paraId="2B8937A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43" w:type="dxa"/>
            <w:hideMark/>
          </w:tcPr>
          <w:p w14:paraId="4A298D7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7" w:type="dxa"/>
            <w:hideMark/>
          </w:tcPr>
          <w:p w14:paraId="3724C8C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827" w:type="dxa"/>
            <w:hideMark/>
          </w:tcPr>
          <w:p w14:paraId="1936424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7" w:type="dxa"/>
            <w:hideMark/>
          </w:tcPr>
          <w:p w14:paraId="519926B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450" w:type="dxa"/>
            <w:hideMark/>
          </w:tcPr>
          <w:p w14:paraId="7B6EDF3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450" w:type="dxa"/>
            <w:hideMark/>
          </w:tcPr>
          <w:p w14:paraId="67755B2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1450" w:type="dxa"/>
            <w:hideMark/>
          </w:tcPr>
          <w:p w14:paraId="1C36C6D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34.97</w:t>
            </w:r>
          </w:p>
        </w:tc>
        <w:tc>
          <w:tcPr>
            <w:tcW w:w="798" w:type="dxa"/>
            <w:vAlign w:val="bottom"/>
          </w:tcPr>
          <w:p w14:paraId="14AE2489" w14:textId="13E7008F"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17</w:t>
            </w:r>
          </w:p>
        </w:tc>
      </w:tr>
      <w:tr w:rsidR="00D95F0C" w:rsidRPr="00E02C4D" w14:paraId="6321026C" w14:textId="77BC63EC"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0D42D4EB"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W5</w:t>
            </w:r>
          </w:p>
        </w:tc>
        <w:tc>
          <w:tcPr>
            <w:tcW w:w="950" w:type="dxa"/>
            <w:hideMark/>
          </w:tcPr>
          <w:p w14:paraId="57EF008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250</w:t>
            </w:r>
          </w:p>
        </w:tc>
        <w:tc>
          <w:tcPr>
            <w:tcW w:w="696" w:type="dxa"/>
            <w:hideMark/>
          </w:tcPr>
          <w:p w14:paraId="06F42DFD"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645" w:type="dxa"/>
            <w:hideMark/>
          </w:tcPr>
          <w:p w14:paraId="6094E87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860" w:type="dxa"/>
            <w:vAlign w:val="bottom"/>
            <w:hideMark/>
          </w:tcPr>
          <w:p w14:paraId="4BA65DB1" w14:textId="029BCEF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w:t>
            </w:r>
          </w:p>
        </w:tc>
        <w:tc>
          <w:tcPr>
            <w:tcW w:w="827" w:type="dxa"/>
            <w:vAlign w:val="bottom"/>
            <w:hideMark/>
          </w:tcPr>
          <w:p w14:paraId="486527F1" w14:textId="1F40C3E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7" w:type="dxa"/>
            <w:vAlign w:val="bottom"/>
            <w:hideMark/>
          </w:tcPr>
          <w:p w14:paraId="6BBA1DD1" w14:textId="4B610F4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7" w:type="dxa"/>
            <w:vAlign w:val="bottom"/>
            <w:hideMark/>
          </w:tcPr>
          <w:p w14:paraId="5E16CFE3" w14:textId="77A0073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7" w:type="dxa"/>
            <w:hideMark/>
          </w:tcPr>
          <w:p w14:paraId="2C32262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40</w:t>
            </w:r>
          </w:p>
        </w:tc>
        <w:tc>
          <w:tcPr>
            <w:tcW w:w="743" w:type="dxa"/>
            <w:hideMark/>
          </w:tcPr>
          <w:p w14:paraId="1AEDCB0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7" w:type="dxa"/>
            <w:hideMark/>
          </w:tcPr>
          <w:p w14:paraId="2F93B6B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45.8</w:t>
            </w:r>
          </w:p>
        </w:tc>
        <w:tc>
          <w:tcPr>
            <w:tcW w:w="827" w:type="dxa"/>
            <w:hideMark/>
          </w:tcPr>
          <w:p w14:paraId="50D59A7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7" w:type="dxa"/>
            <w:hideMark/>
          </w:tcPr>
          <w:p w14:paraId="2D94B1F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41.5</w:t>
            </w:r>
          </w:p>
        </w:tc>
        <w:tc>
          <w:tcPr>
            <w:tcW w:w="1450" w:type="dxa"/>
            <w:hideMark/>
          </w:tcPr>
          <w:p w14:paraId="3C7BEA3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1450" w:type="dxa"/>
            <w:hideMark/>
          </w:tcPr>
          <w:p w14:paraId="78D4C3C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1450" w:type="dxa"/>
            <w:hideMark/>
          </w:tcPr>
          <w:p w14:paraId="1568736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55.3</w:t>
            </w:r>
          </w:p>
        </w:tc>
        <w:tc>
          <w:tcPr>
            <w:tcW w:w="798" w:type="dxa"/>
            <w:vAlign w:val="bottom"/>
          </w:tcPr>
          <w:p w14:paraId="115251DE" w14:textId="200D3D14"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40</w:t>
            </w:r>
          </w:p>
        </w:tc>
      </w:tr>
      <w:tr w:rsidR="00D95F0C" w:rsidRPr="00E02C4D" w14:paraId="3C5EC9A4" w14:textId="1E1B7250"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0466E3AC"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W6</w:t>
            </w:r>
          </w:p>
        </w:tc>
        <w:tc>
          <w:tcPr>
            <w:tcW w:w="950" w:type="dxa"/>
            <w:hideMark/>
          </w:tcPr>
          <w:p w14:paraId="7A38E95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235</w:t>
            </w:r>
          </w:p>
        </w:tc>
        <w:tc>
          <w:tcPr>
            <w:tcW w:w="696" w:type="dxa"/>
            <w:hideMark/>
          </w:tcPr>
          <w:p w14:paraId="745BAC3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45" w:type="dxa"/>
            <w:hideMark/>
          </w:tcPr>
          <w:p w14:paraId="7BEB2B2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860" w:type="dxa"/>
            <w:vAlign w:val="bottom"/>
            <w:hideMark/>
          </w:tcPr>
          <w:p w14:paraId="07E42BCD" w14:textId="7490A0DD"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43.9</w:t>
            </w:r>
          </w:p>
        </w:tc>
        <w:tc>
          <w:tcPr>
            <w:tcW w:w="827" w:type="dxa"/>
            <w:vAlign w:val="bottom"/>
            <w:hideMark/>
          </w:tcPr>
          <w:p w14:paraId="577111D7" w14:textId="7E69BA15"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6.8</w:t>
            </w:r>
          </w:p>
        </w:tc>
        <w:tc>
          <w:tcPr>
            <w:tcW w:w="827" w:type="dxa"/>
            <w:vAlign w:val="bottom"/>
            <w:hideMark/>
          </w:tcPr>
          <w:p w14:paraId="27C6520E" w14:textId="6B223505"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6.8</w:t>
            </w:r>
          </w:p>
        </w:tc>
        <w:tc>
          <w:tcPr>
            <w:tcW w:w="827" w:type="dxa"/>
            <w:vAlign w:val="bottom"/>
            <w:hideMark/>
          </w:tcPr>
          <w:p w14:paraId="7E469A9B" w14:textId="613029A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75A61CF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43" w:type="dxa"/>
            <w:hideMark/>
          </w:tcPr>
          <w:p w14:paraId="00B36A0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7" w:type="dxa"/>
            <w:hideMark/>
          </w:tcPr>
          <w:p w14:paraId="7DF7976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w:t>
            </w:r>
          </w:p>
        </w:tc>
        <w:tc>
          <w:tcPr>
            <w:tcW w:w="827" w:type="dxa"/>
            <w:hideMark/>
          </w:tcPr>
          <w:p w14:paraId="1E79780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827" w:type="dxa"/>
            <w:hideMark/>
          </w:tcPr>
          <w:p w14:paraId="34FFAAB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450" w:type="dxa"/>
            <w:hideMark/>
          </w:tcPr>
          <w:p w14:paraId="4F4440E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1450" w:type="dxa"/>
            <w:hideMark/>
          </w:tcPr>
          <w:p w14:paraId="087BFB9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50" w:type="dxa"/>
            <w:hideMark/>
          </w:tcPr>
          <w:p w14:paraId="176FF03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14.97</w:t>
            </w:r>
          </w:p>
        </w:tc>
        <w:tc>
          <w:tcPr>
            <w:tcW w:w="798" w:type="dxa"/>
            <w:vAlign w:val="bottom"/>
          </w:tcPr>
          <w:p w14:paraId="1DFD378A" w14:textId="36ECE2EB"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34</w:t>
            </w:r>
          </w:p>
        </w:tc>
      </w:tr>
      <w:tr w:rsidR="00D95F0C" w:rsidRPr="00E02C4D" w14:paraId="1D3FA243" w14:textId="16485FC2"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noWrap/>
            <w:hideMark/>
          </w:tcPr>
          <w:p w14:paraId="1B6A6EC0"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W7</w:t>
            </w:r>
          </w:p>
        </w:tc>
        <w:tc>
          <w:tcPr>
            <w:tcW w:w="950" w:type="dxa"/>
            <w:hideMark/>
          </w:tcPr>
          <w:p w14:paraId="5D276AE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300</w:t>
            </w:r>
          </w:p>
        </w:tc>
        <w:tc>
          <w:tcPr>
            <w:tcW w:w="696" w:type="dxa"/>
            <w:hideMark/>
          </w:tcPr>
          <w:p w14:paraId="4C3C1D3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45" w:type="dxa"/>
            <w:hideMark/>
          </w:tcPr>
          <w:p w14:paraId="393AB5C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7.1</w:t>
            </w:r>
          </w:p>
        </w:tc>
        <w:tc>
          <w:tcPr>
            <w:tcW w:w="860" w:type="dxa"/>
            <w:vAlign w:val="bottom"/>
            <w:hideMark/>
          </w:tcPr>
          <w:p w14:paraId="1C5B8BFA" w14:textId="2114821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34.5</w:t>
            </w:r>
          </w:p>
        </w:tc>
        <w:tc>
          <w:tcPr>
            <w:tcW w:w="827" w:type="dxa"/>
            <w:vAlign w:val="bottom"/>
            <w:hideMark/>
          </w:tcPr>
          <w:p w14:paraId="7F15A7A5" w14:textId="06ACA1EE"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9.8</w:t>
            </w:r>
          </w:p>
        </w:tc>
        <w:tc>
          <w:tcPr>
            <w:tcW w:w="827" w:type="dxa"/>
            <w:vAlign w:val="bottom"/>
            <w:hideMark/>
          </w:tcPr>
          <w:p w14:paraId="7CCD5D1F" w14:textId="786B213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9.8</w:t>
            </w:r>
          </w:p>
        </w:tc>
        <w:tc>
          <w:tcPr>
            <w:tcW w:w="827" w:type="dxa"/>
            <w:vAlign w:val="bottom"/>
            <w:hideMark/>
          </w:tcPr>
          <w:p w14:paraId="6D7A7BF3" w14:textId="3A6DA85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0.05</w:t>
            </w:r>
          </w:p>
        </w:tc>
        <w:tc>
          <w:tcPr>
            <w:tcW w:w="827" w:type="dxa"/>
            <w:hideMark/>
          </w:tcPr>
          <w:p w14:paraId="0EF205B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743" w:type="dxa"/>
            <w:hideMark/>
          </w:tcPr>
          <w:p w14:paraId="75D1779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7" w:type="dxa"/>
            <w:hideMark/>
          </w:tcPr>
          <w:p w14:paraId="7FE50A2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827" w:type="dxa"/>
            <w:hideMark/>
          </w:tcPr>
          <w:p w14:paraId="10C4878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35.7</w:t>
            </w:r>
          </w:p>
        </w:tc>
        <w:tc>
          <w:tcPr>
            <w:tcW w:w="827" w:type="dxa"/>
            <w:hideMark/>
          </w:tcPr>
          <w:p w14:paraId="5E8F8FB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29.5</w:t>
            </w:r>
          </w:p>
        </w:tc>
        <w:tc>
          <w:tcPr>
            <w:tcW w:w="1450" w:type="dxa"/>
            <w:noWrap/>
            <w:hideMark/>
          </w:tcPr>
          <w:p w14:paraId="44896B9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450" w:type="dxa"/>
            <w:noWrap/>
            <w:hideMark/>
          </w:tcPr>
          <w:p w14:paraId="66F199A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1450" w:type="dxa"/>
            <w:noWrap/>
            <w:hideMark/>
          </w:tcPr>
          <w:p w14:paraId="5DA1A4E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37.1</w:t>
            </w:r>
          </w:p>
        </w:tc>
        <w:tc>
          <w:tcPr>
            <w:tcW w:w="798" w:type="dxa"/>
            <w:vAlign w:val="bottom"/>
          </w:tcPr>
          <w:p w14:paraId="718E58E9" w14:textId="38CA1555"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30</w:t>
            </w:r>
          </w:p>
        </w:tc>
      </w:tr>
      <w:tr w:rsidR="00D95F0C" w:rsidRPr="00E02C4D" w14:paraId="57D767AA" w14:textId="7CF5CEC3"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2D40993E"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W8</w:t>
            </w:r>
          </w:p>
        </w:tc>
        <w:tc>
          <w:tcPr>
            <w:tcW w:w="950" w:type="dxa"/>
            <w:hideMark/>
          </w:tcPr>
          <w:p w14:paraId="22439C2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209</w:t>
            </w:r>
          </w:p>
        </w:tc>
        <w:tc>
          <w:tcPr>
            <w:tcW w:w="696" w:type="dxa"/>
            <w:hideMark/>
          </w:tcPr>
          <w:p w14:paraId="16C9E8E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45" w:type="dxa"/>
            <w:hideMark/>
          </w:tcPr>
          <w:p w14:paraId="5AF86E8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860" w:type="dxa"/>
            <w:vAlign w:val="bottom"/>
            <w:hideMark/>
          </w:tcPr>
          <w:p w14:paraId="07B55357" w14:textId="0A5816C8"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62.3</w:t>
            </w:r>
          </w:p>
        </w:tc>
        <w:tc>
          <w:tcPr>
            <w:tcW w:w="827" w:type="dxa"/>
            <w:vAlign w:val="bottom"/>
            <w:hideMark/>
          </w:tcPr>
          <w:p w14:paraId="524AF4B7" w14:textId="5F4E19DC"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7" w:type="dxa"/>
            <w:vAlign w:val="bottom"/>
            <w:hideMark/>
          </w:tcPr>
          <w:p w14:paraId="209AEE98" w14:textId="6E64787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7" w:type="dxa"/>
            <w:vAlign w:val="bottom"/>
            <w:hideMark/>
          </w:tcPr>
          <w:p w14:paraId="72BFF616" w14:textId="3E6AC7C5"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4950A50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43" w:type="dxa"/>
            <w:hideMark/>
          </w:tcPr>
          <w:p w14:paraId="35D7BAE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7" w:type="dxa"/>
            <w:hideMark/>
          </w:tcPr>
          <w:p w14:paraId="302A4D6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17.04</w:t>
            </w:r>
          </w:p>
        </w:tc>
        <w:tc>
          <w:tcPr>
            <w:tcW w:w="827" w:type="dxa"/>
            <w:hideMark/>
          </w:tcPr>
          <w:p w14:paraId="61E8D45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827" w:type="dxa"/>
            <w:hideMark/>
          </w:tcPr>
          <w:p w14:paraId="3C27F37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47.8</w:t>
            </w:r>
          </w:p>
        </w:tc>
        <w:tc>
          <w:tcPr>
            <w:tcW w:w="1450" w:type="dxa"/>
            <w:hideMark/>
          </w:tcPr>
          <w:p w14:paraId="63B3E37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450" w:type="dxa"/>
            <w:hideMark/>
          </w:tcPr>
          <w:p w14:paraId="072B024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50" w:type="dxa"/>
            <w:hideMark/>
          </w:tcPr>
          <w:p w14:paraId="1803762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85.3</w:t>
            </w:r>
          </w:p>
        </w:tc>
        <w:tc>
          <w:tcPr>
            <w:tcW w:w="798" w:type="dxa"/>
            <w:vAlign w:val="bottom"/>
          </w:tcPr>
          <w:p w14:paraId="7D0A133C" w14:textId="3BA12E0E"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25</w:t>
            </w:r>
          </w:p>
        </w:tc>
      </w:tr>
      <w:tr w:rsidR="00D95F0C" w:rsidRPr="00E02C4D" w14:paraId="3B604CAC" w14:textId="0690E381"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7DB0CDE1"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W9</w:t>
            </w:r>
          </w:p>
        </w:tc>
        <w:tc>
          <w:tcPr>
            <w:tcW w:w="950" w:type="dxa"/>
            <w:hideMark/>
          </w:tcPr>
          <w:p w14:paraId="02D72AE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211</w:t>
            </w:r>
          </w:p>
        </w:tc>
        <w:tc>
          <w:tcPr>
            <w:tcW w:w="696" w:type="dxa"/>
            <w:hideMark/>
          </w:tcPr>
          <w:p w14:paraId="139489D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45" w:type="dxa"/>
            <w:hideMark/>
          </w:tcPr>
          <w:p w14:paraId="447925B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60" w:type="dxa"/>
            <w:vAlign w:val="bottom"/>
            <w:hideMark/>
          </w:tcPr>
          <w:p w14:paraId="76A802AA" w14:textId="13A4063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45.6</w:t>
            </w:r>
          </w:p>
        </w:tc>
        <w:tc>
          <w:tcPr>
            <w:tcW w:w="827" w:type="dxa"/>
            <w:vAlign w:val="bottom"/>
            <w:hideMark/>
          </w:tcPr>
          <w:p w14:paraId="267B2E44" w14:textId="18F3A4B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4.6</w:t>
            </w:r>
          </w:p>
        </w:tc>
        <w:tc>
          <w:tcPr>
            <w:tcW w:w="827" w:type="dxa"/>
            <w:vAlign w:val="bottom"/>
            <w:hideMark/>
          </w:tcPr>
          <w:p w14:paraId="5EAABFF1" w14:textId="31709FF3"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4.6</w:t>
            </w:r>
          </w:p>
        </w:tc>
        <w:tc>
          <w:tcPr>
            <w:tcW w:w="827" w:type="dxa"/>
            <w:vAlign w:val="bottom"/>
            <w:hideMark/>
          </w:tcPr>
          <w:p w14:paraId="57926734" w14:textId="60722303"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268E09E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743" w:type="dxa"/>
            <w:hideMark/>
          </w:tcPr>
          <w:p w14:paraId="321E14B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7" w:type="dxa"/>
            <w:hideMark/>
          </w:tcPr>
          <w:p w14:paraId="470CB23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24.64</w:t>
            </w:r>
          </w:p>
        </w:tc>
        <w:tc>
          <w:tcPr>
            <w:tcW w:w="827" w:type="dxa"/>
            <w:hideMark/>
          </w:tcPr>
          <w:p w14:paraId="4D1E327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35.9</w:t>
            </w:r>
          </w:p>
        </w:tc>
        <w:tc>
          <w:tcPr>
            <w:tcW w:w="827" w:type="dxa"/>
            <w:hideMark/>
          </w:tcPr>
          <w:p w14:paraId="1A81C49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47.5</w:t>
            </w:r>
          </w:p>
        </w:tc>
        <w:tc>
          <w:tcPr>
            <w:tcW w:w="1450" w:type="dxa"/>
            <w:hideMark/>
          </w:tcPr>
          <w:p w14:paraId="7F5F766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1450" w:type="dxa"/>
            <w:hideMark/>
          </w:tcPr>
          <w:p w14:paraId="0C4EF57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1450" w:type="dxa"/>
            <w:hideMark/>
          </w:tcPr>
          <w:p w14:paraId="4C2B7CD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75.8</w:t>
            </w:r>
          </w:p>
        </w:tc>
        <w:tc>
          <w:tcPr>
            <w:tcW w:w="798" w:type="dxa"/>
            <w:vAlign w:val="bottom"/>
          </w:tcPr>
          <w:p w14:paraId="7F748554" w14:textId="31709033"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18</w:t>
            </w:r>
          </w:p>
        </w:tc>
      </w:tr>
      <w:tr w:rsidR="00D95F0C" w:rsidRPr="00E02C4D" w14:paraId="5AE0C55D" w14:textId="342BF3EF"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786A27CA"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W10</w:t>
            </w:r>
          </w:p>
        </w:tc>
        <w:tc>
          <w:tcPr>
            <w:tcW w:w="950" w:type="dxa"/>
            <w:hideMark/>
          </w:tcPr>
          <w:p w14:paraId="1B85714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279</w:t>
            </w:r>
          </w:p>
        </w:tc>
        <w:tc>
          <w:tcPr>
            <w:tcW w:w="696" w:type="dxa"/>
            <w:hideMark/>
          </w:tcPr>
          <w:p w14:paraId="6956DAF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26</w:t>
            </w:r>
          </w:p>
        </w:tc>
        <w:tc>
          <w:tcPr>
            <w:tcW w:w="645" w:type="dxa"/>
            <w:hideMark/>
          </w:tcPr>
          <w:p w14:paraId="441C69A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860" w:type="dxa"/>
            <w:vAlign w:val="bottom"/>
            <w:hideMark/>
          </w:tcPr>
          <w:p w14:paraId="110E705C" w14:textId="0714415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43.2</w:t>
            </w:r>
          </w:p>
        </w:tc>
        <w:tc>
          <w:tcPr>
            <w:tcW w:w="827" w:type="dxa"/>
            <w:vAlign w:val="bottom"/>
            <w:hideMark/>
          </w:tcPr>
          <w:p w14:paraId="71F9257A" w14:textId="50BBDD5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7" w:type="dxa"/>
            <w:vAlign w:val="bottom"/>
            <w:hideMark/>
          </w:tcPr>
          <w:p w14:paraId="7E1FB207" w14:textId="1D4EFF53"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7" w:type="dxa"/>
            <w:vAlign w:val="bottom"/>
            <w:hideMark/>
          </w:tcPr>
          <w:p w14:paraId="20FDA85C" w14:textId="44A80153"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7" w:type="dxa"/>
            <w:hideMark/>
          </w:tcPr>
          <w:p w14:paraId="3E30A7F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43" w:type="dxa"/>
            <w:hideMark/>
          </w:tcPr>
          <w:p w14:paraId="6BA880B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7" w:type="dxa"/>
            <w:hideMark/>
          </w:tcPr>
          <w:p w14:paraId="3A5E484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29.54</w:t>
            </w:r>
          </w:p>
        </w:tc>
        <w:tc>
          <w:tcPr>
            <w:tcW w:w="827" w:type="dxa"/>
            <w:hideMark/>
          </w:tcPr>
          <w:p w14:paraId="4E08231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7" w:type="dxa"/>
            <w:hideMark/>
          </w:tcPr>
          <w:p w14:paraId="2935F10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450" w:type="dxa"/>
            <w:hideMark/>
          </w:tcPr>
          <w:p w14:paraId="156CA00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450" w:type="dxa"/>
            <w:hideMark/>
          </w:tcPr>
          <w:p w14:paraId="03447B3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1450" w:type="dxa"/>
            <w:hideMark/>
          </w:tcPr>
          <w:p w14:paraId="753705A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24.97</w:t>
            </w:r>
          </w:p>
        </w:tc>
        <w:tc>
          <w:tcPr>
            <w:tcW w:w="798" w:type="dxa"/>
            <w:vAlign w:val="bottom"/>
          </w:tcPr>
          <w:p w14:paraId="1539DA97" w14:textId="4658C872"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42</w:t>
            </w:r>
          </w:p>
        </w:tc>
      </w:tr>
      <w:tr w:rsidR="00D95F0C" w:rsidRPr="00E02C4D" w14:paraId="2B7BFA31" w14:textId="67838043"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7C006EB4"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W11</w:t>
            </w:r>
          </w:p>
        </w:tc>
        <w:tc>
          <w:tcPr>
            <w:tcW w:w="950" w:type="dxa"/>
            <w:hideMark/>
          </w:tcPr>
          <w:p w14:paraId="37A3DB2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224</w:t>
            </w:r>
          </w:p>
        </w:tc>
        <w:tc>
          <w:tcPr>
            <w:tcW w:w="696" w:type="dxa"/>
            <w:hideMark/>
          </w:tcPr>
          <w:p w14:paraId="241AAF5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45" w:type="dxa"/>
            <w:hideMark/>
          </w:tcPr>
          <w:p w14:paraId="2EC5B6C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860" w:type="dxa"/>
            <w:vAlign w:val="bottom"/>
            <w:hideMark/>
          </w:tcPr>
          <w:p w14:paraId="7202F5FE" w14:textId="639EF2C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34.2</w:t>
            </w:r>
          </w:p>
        </w:tc>
        <w:tc>
          <w:tcPr>
            <w:tcW w:w="827" w:type="dxa"/>
            <w:vAlign w:val="bottom"/>
            <w:hideMark/>
          </w:tcPr>
          <w:p w14:paraId="76A40675" w14:textId="00D50A1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7" w:type="dxa"/>
            <w:vAlign w:val="bottom"/>
            <w:hideMark/>
          </w:tcPr>
          <w:p w14:paraId="0D98BA02" w14:textId="502E563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7" w:type="dxa"/>
            <w:vAlign w:val="bottom"/>
            <w:hideMark/>
          </w:tcPr>
          <w:p w14:paraId="372489D0" w14:textId="63B9A21E"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7" w:type="dxa"/>
            <w:hideMark/>
          </w:tcPr>
          <w:p w14:paraId="0FC7B50D"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15</w:t>
            </w:r>
          </w:p>
        </w:tc>
        <w:tc>
          <w:tcPr>
            <w:tcW w:w="743" w:type="dxa"/>
            <w:hideMark/>
          </w:tcPr>
          <w:p w14:paraId="7B7967F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w:t>
            </w:r>
          </w:p>
        </w:tc>
        <w:tc>
          <w:tcPr>
            <w:tcW w:w="827" w:type="dxa"/>
            <w:hideMark/>
          </w:tcPr>
          <w:p w14:paraId="7B959FE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37.54</w:t>
            </w:r>
          </w:p>
        </w:tc>
        <w:tc>
          <w:tcPr>
            <w:tcW w:w="827" w:type="dxa"/>
            <w:hideMark/>
          </w:tcPr>
          <w:p w14:paraId="36245DD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6.89</w:t>
            </w:r>
          </w:p>
        </w:tc>
        <w:tc>
          <w:tcPr>
            <w:tcW w:w="827" w:type="dxa"/>
            <w:hideMark/>
          </w:tcPr>
          <w:p w14:paraId="2C3039B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27.5</w:t>
            </w:r>
          </w:p>
        </w:tc>
        <w:tc>
          <w:tcPr>
            <w:tcW w:w="1450" w:type="dxa"/>
            <w:hideMark/>
          </w:tcPr>
          <w:p w14:paraId="51225DE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450" w:type="dxa"/>
            <w:hideMark/>
          </w:tcPr>
          <w:p w14:paraId="2E78FA2D"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w:t>
            </w:r>
          </w:p>
        </w:tc>
        <w:tc>
          <w:tcPr>
            <w:tcW w:w="1450" w:type="dxa"/>
            <w:hideMark/>
          </w:tcPr>
          <w:p w14:paraId="72225DF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45.3</w:t>
            </w:r>
          </w:p>
        </w:tc>
        <w:tc>
          <w:tcPr>
            <w:tcW w:w="798" w:type="dxa"/>
            <w:vAlign w:val="bottom"/>
          </w:tcPr>
          <w:p w14:paraId="3ADC6707" w14:textId="570EA809"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40</w:t>
            </w:r>
          </w:p>
        </w:tc>
      </w:tr>
      <w:tr w:rsidR="00D95F0C" w:rsidRPr="00E02C4D" w14:paraId="0A9A9506" w14:textId="34694578"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4E39F075"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W12</w:t>
            </w:r>
          </w:p>
        </w:tc>
        <w:tc>
          <w:tcPr>
            <w:tcW w:w="950" w:type="dxa"/>
            <w:hideMark/>
          </w:tcPr>
          <w:p w14:paraId="1FCA9D5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292</w:t>
            </w:r>
          </w:p>
        </w:tc>
        <w:tc>
          <w:tcPr>
            <w:tcW w:w="696" w:type="dxa"/>
            <w:hideMark/>
          </w:tcPr>
          <w:p w14:paraId="3B0398A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45" w:type="dxa"/>
            <w:hideMark/>
          </w:tcPr>
          <w:p w14:paraId="140339E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7.4</w:t>
            </w:r>
          </w:p>
        </w:tc>
        <w:tc>
          <w:tcPr>
            <w:tcW w:w="860" w:type="dxa"/>
            <w:vAlign w:val="bottom"/>
            <w:hideMark/>
          </w:tcPr>
          <w:p w14:paraId="5AD0E520" w14:textId="3E2D685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45.8</w:t>
            </w:r>
          </w:p>
        </w:tc>
        <w:tc>
          <w:tcPr>
            <w:tcW w:w="827" w:type="dxa"/>
            <w:vAlign w:val="bottom"/>
            <w:hideMark/>
          </w:tcPr>
          <w:p w14:paraId="1AF2DBC9" w14:textId="0EFDFCE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7" w:type="dxa"/>
            <w:vAlign w:val="bottom"/>
            <w:hideMark/>
          </w:tcPr>
          <w:p w14:paraId="71E67BB8" w14:textId="5743503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7" w:type="dxa"/>
            <w:vAlign w:val="bottom"/>
            <w:hideMark/>
          </w:tcPr>
          <w:p w14:paraId="3225298C" w14:textId="7546E1B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0.325</w:t>
            </w:r>
          </w:p>
        </w:tc>
        <w:tc>
          <w:tcPr>
            <w:tcW w:w="827" w:type="dxa"/>
            <w:hideMark/>
          </w:tcPr>
          <w:p w14:paraId="56B7A25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43" w:type="dxa"/>
            <w:hideMark/>
          </w:tcPr>
          <w:p w14:paraId="5DDB020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7" w:type="dxa"/>
            <w:hideMark/>
          </w:tcPr>
          <w:p w14:paraId="35EA738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24.35</w:t>
            </w:r>
          </w:p>
        </w:tc>
        <w:tc>
          <w:tcPr>
            <w:tcW w:w="827" w:type="dxa"/>
            <w:hideMark/>
          </w:tcPr>
          <w:p w14:paraId="7E5EF4D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w:t>
            </w:r>
          </w:p>
        </w:tc>
        <w:tc>
          <w:tcPr>
            <w:tcW w:w="827" w:type="dxa"/>
            <w:hideMark/>
          </w:tcPr>
          <w:p w14:paraId="1BE373B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450" w:type="dxa"/>
            <w:hideMark/>
          </w:tcPr>
          <w:p w14:paraId="7FDAC8F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w:t>
            </w:r>
          </w:p>
        </w:tc>
        <w:tc>
          <w:tcPr>
            <w:tcW w:w="1450" w:type="dxa"/>
            <w:hideMark/>
          </w:tcPr>
          <w:p w14:paraId="075D4A6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w:t>
            </w:r>
          </w:p>
        </w:tc>
        <w:tc>
          <w:tcPr>
            <w:tcW w:w="1450" w:type="dxa"/>
            <w:hideMark/>
          </w:tcPr>
          <w:p w14:paraId="20FC502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67.4</w:t>
            </w:r>
          </w:p>
        </w:tc>
        <w:tc>
          <w:tcPr>
            <w:tcW w:w="798" w:type="dxa"/>
            <w:vAlign w:val="bottom"/>
          </w:tcPr>
          <w:p w14:paraId="459AE2D6" w14:textId="68514D50"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38</w:t>
            </w:r>
          </w:p>
        </w:tc>
      </w:tr>
      <w:tr w:rsidR="00D95F0C" w:rsidRPr="00E02C4D" w14:paraId="32222331" w14:textId="61FD0834"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6753BFE6"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W13</w:t>
            </w:r>
          </w:p>
        </w:tc>
        <w:tc>
          <w:tcPr>
            <w:tcW w:w="950" w:type="dxa"/>
            <w:hideMark/>
          </w:tcPr>
          <w:p w14:paraId="12F5C7A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236</w:t>
            </w:r>
          </w:p>
        </w:tc>
        <w:tc>
          <w:tcPr>
            <w:tcW w:w="696" w:type="dxa"/>
            <w:hideMark/>
          </w:tcPr>
          <w:p w14:paraId="79F9172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45" w:type="dxa"/>
            <w:hideMark/>
          </w:tcPr>
          <w:p w14:paraId="63F90F1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860" w:type="dxa"/>
            <w:vAlign w:val="bottom"/>
            <w:hideMark/>
          </w:tcPr>
          <w:p w14:paraId="64C42DD5" w14:textId="3048AC9F"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w:t>
            </w:r>
          </w:p>
        </w:tc>
        <w:tc>
          <w:tcPr>
            <w:tcW w:w="827" w:type="dxa"/>
            <w:vAlign w:val="bottom"/>
            <w:hideMark/>
          </w:tcPr>
          <w:p w14:paraId="551F2DBA" w14:textId="4AC006AE"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7" w:type="dxa"/>
            <w:vAlign w:val="bottom"/>
            <w:hideMark/>
          </w:tcPr>
          <w:p w14:paraId="282A213F" w14:textId="304E3F7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7" w:type="dxa"/>
            <w:vAlign w:val="bottom"/>
            <w:hideMark/>
          </w:tcPr>
          <w:p w14:paraId="734A3E35" w14:textId="49F02A1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7" w:type="dxa"/>
            <w:hideMark/>
          </w:tcPr>
          <w:p w14:paraId="02416CA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43" w:type="dxa"/>
            <w:hideMark/>
          </w:tcPr>
          <w:p w14:paraId="22F2A7E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w:t>
            </w:r>
          </w:p>
        </w:tc>
        <w:tc>
          <w:tcPr>
            <w:tcW w:w="827" w:type="dxa"/>
            <w:hideMark/>
          </w:tcPr>
          <w:p w14:paraId="521F085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37.67</w:t>
            </w:r>
          </w:p>
        </w:tc>
        <w:tc>
          <w:tcPr>
            <w:tcW w:w="827" w:type="dxa"/>
            <w:hideMark/>
          </w:tcPr>
          <w:p w14:paraId="0B905C9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7" w:type="dxa"/>
            <w:hideMark/>
          </w:tcPr>
          <w:p w14:paraId="3C3C8B9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37.4</w:t>
            </w:r>
          </w:p>
        </w:tc>
        <w:tc>
          <w:tcPr>
            <w:tcW w:w="1450" w:type="dxa"/>
            <w:hideMark/>
          </w:tcPr>
          <w:p w14:paraId="79C3A99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w:t>
            </w:r>
          </w:p>
        </w:tc>
        <w:tc>
          <w:tcPr>
            <w:tcW w:w="1450" w:type="dxa"/>
            <w:hideMark/>
          </w:tcPr>
          <w:p w14:paraId="624E1D9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1450" w:type="dxa"/>
            <w:hideMark/>
          </w:tcPr>
          <w:p w14:paraId="69D1D69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35.3</w:t>
            </w:r>
          </w:p>
        </w:tc>
        <w:tc>
          <w:tcPr>
            <w:tcW w:w="798" w:type="dxa"/>
            <w:vAlign w:val="bottom"/>
          </w:tcPr>
          <w:p w14:paraId="43309246" w14:textId="120FF36C"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22</w:t>
            </w:r>
          </w:p>
        </w:tc>
      </w:tr>
      <w:tr w:rsidR="00D95F0C" w:rsidRPr="00E02C4D" w14:paraId="722C819B" w14:textId="39686A09"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62ACDB73"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W14</w:t>
            </w:r>
          </w:p>
        </w:tc>
        <w:tc>
          <w:tcPr>
            <w:tcW w:w="950" w:type="dxa"/>
            <w:hideMark/>
          </w:tcPr>
          <w:p w14:paraId="1C6BC40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300</w:t>
            </w:r>
          </w:p>
        </w:tc>
        <w:tc>
          <w:tcPr>
            <w:tcW w:w="696" w:type="dxa"/>
            <w:hideMark/>
          </w:tcPr>
          <w:p w14:paraId="6D4B7CE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45" w:type="dxa"/>
            <w:hideMark/>
          </w:tcPr>
          <w:p w14:paraId="0402C31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860" w:type="dxa"/>
            <w:vAlign w:val="bottom"/>
            <w:hideMark/>
          </w:tcPr>
          <w:p w14:paraId="790427A4" w14:textId="7F75CBA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55.6</w:t>
            </w:r>
          </w:p>
        </w:tc>
        <w:tc>
          <w:tcPr>
            <w:tcW w:w="827" w:type="dxa"/>
            <w:vAlign w:val="bottom"/>
            <w:hideMark/>
          </w:tcPr>
          <w:p w14:paraId="2F71C54D" w14:textId="780A6EB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7" w:type="dxa"/>
            <w:vAlign w:val="bottom"/>
            <w:hideMark/>
          </w:tcPr>
          <w:p w14:paraId="3AAAE53A" w14:textId="6A22AD4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7" w:type="dxa"/>
            <w:vAlign w:val="bottom"/>
            <w:hideMark/>
          </w:tcPr>
          <w:p w14:paraId="4928BC22" w14:textId="70F1F93D"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7" w:type="dxa"/>
            <w:hideMark/>
          </w:tcPr>
          <w:p w14:paraId="3AC64AE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w:t>
            </w:r>
          </w:p>
        </w:tc>
        <w:tc>
          <w:tcPr>
            <w:tcW w:w="743" w:type="dxa"/>
            <w:hideMark/>
          </w:tcPr>
          <w:p w14:paraId="6435597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7" w:type="dxa"/>
            <w:hideMark/>
          </w:tcPr>
          <w:p w14:paraId="6DB6DFC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36.89</w:t>
            </w:r>
          </w:p>
        </w:tc>
        <w:tc>
          <w:tcPr>
            <w:tcW w:w="827" w:type="dxa"/>
            <w:hideMark/>
          </w:tcPr>
          <w:p w14:paraId="1BB2FD0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6.09</w:t>
            </w:r>
          </w:p>
        </w:tc>
        <w:tc>
          <w:tcPr>
            <w:tcW w:w="827" w:type="dxa"/>
            <w:hideMark/>
          </w:tcPr>
          <w:p w14:paraId="3CA1D09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450" w:type="dxa"/>
            <w:hideMark/>
          </w:tcPr>
          <w:p w14:paraId="26CBB23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450" w:type="dxa"/>
            <w:hideMark/>
          </w:tcPr>
          <w:p w14:paraId="6F80591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w:t>
            </w:r>
          </w:p>
        </w:tc>
        <w:tc>
          <w:tcPr>
            <w:tcW w:w="1450" w:type="dxa"/>
            <w:hideMark/>
          </w:tcPr>
          <w:p w14:paraId="29E5DBC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55.3</w:t>
            </w:r>
          </w:p>
        </w:tc>
        <w:tc>
          <w:tcPr>
            <w:tcW w:w="798" w:type="dxa"/>
            <w:vAlign w:val="bottom"/>
          </w:tcPr>
          <w:p w14:paraId="75B8B69B" w14:textId="08FA254B"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27</w:t>
            </w:r>
          </w:p>
        </w:tc>
      </w:tr>
      <w:tr w:rsidR="00D95F0C" w:rsidRPr="00E02C4D" w14:paraId="5D4FA8D6" w14:textId="4A424242"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3075193C"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W15</w:t>
            </w:r>
          </w:p>
        </w:tc>
        <w:tc>
          <w:tcPr>
            <w:tcW w:w="950" w:type="dxa"/>
            <w:hideMark/>
          </w:tcPr>
          <w:p w14:paraId="1755EB7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307</w:t>
            </w:r>
          </w:p>
        </w:tc>
        <w:tc>
          <w:tcPr>
            <w:tcW w:w="696" w:type="dxa"/>
            <w:hideMark/>
          </w:tcPr>
          <w:p w14:paraId="5635FCF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645" w:type="dxa"/>
            <w:hideMark/>
          </w:tcPr>
          <w:p w14:paraId="7036119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w:t>
            </w:r>
          </w:p>
        </w:tc>
        <w:tc>
          <w:tcPr>
            <w:tcW w:w="860" w:type="dxa"/>
            <w:vAlign w:val="bottom"/>
            <w:hideMark/>
          </w:tcPr>
          <w:p w14:paraId="654E2F8A" w14:textId="50F6E88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42.3</w:t>
            </w:r>
          </w:p>
        </w:tc>
        <w:tc>
          <w:tcPr>
            <w:tcW w:w="827" w:type="dxa"/>
            <w:vAlign w:val="bottom"/>
            <w:hideMark/>
          </w:tcPr>
          <w:p w14:paraId="03829EDF" w14:textId="3309A3F2"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7" w:type="dxa"/>
            <w:vAlign w:val="bottom"/>
            <w:hideMark/>
          </w:tcPr>
          <w:p w14:paraId="45158D67" w14:textId="1420175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7" w:type="dxa"/>
            <w:vAlign w:val="bottom"/>
            <w:hideMark/>
          </w:tcPr>
          <w:p w14:paraId="66DE91B1" w14:textId="460D0BC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7" w:type="dxa"/>
            <w:hideMark/>
          </w:tcPr>
          <w:p w14:paraId="0388150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15</w:t>
            </w:r>
          </w:p>
        </w:tc>
        <w:tc>
          <w:tcPr>
            <w:tcW w:w="743" w:type="dxa"/>
            <w:hideMark/>
          </w:tcPr>
          <w:p w14:paraId="169AC22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7" w:type="dxa"/>
            <w:hideMark/>
          </w:tcPr>
          <w:p w14:paraId="4A17E0A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25.72</w:t>
            </w:r>
          </w:p>
        </w:tc>
        <w:tc>
          <w:tcPr>
            <w:tcW w:w="827" w:type="dxa"/>
            <w:hideMark/>
          </w:tcPr>
          <w:p w14:paraId="1112829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5.04</w:t>
            </w:r>
          </w:p>
        </w:tc>
        <w:tc>
          <w:tcPr>
            <w:tcW w:w="827" w:type="dxa"/>
            <w:hideMark/>
          </w:tcPr>
          <w:p w14:paraId="0E28DAD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1450" w:type="dxa"/>
            <w:hideMark/>
          </w:tcPr>
          <w:p w14:paraId="5060008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w:t>
            </w:r>
          </w:p>
        </w:tc>
        <w:tc>
          <w:tcPr>
            <w:tcW w:w="1450" w:type="dxa"/>
            <w:hideMark/>
          </w:tcPr>
          <w:p w14:paraId="0E0060F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1450" w:type="dxa"/>
            <w:hideMark/>
          </w:tcPr>
          <w:p w14:paraId="3F954A4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56.8</w:t>
            </w:r>
          </w:p>
        </w:tc>
        <w:tc>
          <w:tcPr>
            <w:tcW w:w="798" w:type="dxa"/>
            <w:vAlign w:val="bottom"/>
          </w:tcPr>
          <w:p w14:paraId="6AF4B1D2" w14:textId="7F75646A"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24</w:t>
            </w:r>
          </w:p>
        </w:tc>
      </w:tr>
      <w:tr w:rsidR="00D95F0C" w:rsidRPr="00E02C4D" w14:paraId="0AD8278E" w14:textId="4856A8F2"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540CFD2C"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W16</w:t>
            </w:r>
          </w:p>
        </w:tc>
        <w:tc>
          <w:tcPr>
            <w:tcW w:w="950" w:type="dxa"/>
            <w:hideMark/>
          </w:tcPr>
          <w:p w14:paraId="11595C4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696" w:type="dxa"/>
            <w:hideMark/>
          </w:tcPr>
          <w:p w14:paraId="2C34BFD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45" w:type="dxa"/>
            <w:hideMark/>
          </w:tcPr>
          <w:p w14:paraId="7EB17F7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4.94</w:t>
            </w:r>
          </w:p>
        </w:tc>
        <w:tc>
          <w:tcPr>
            <w:tcW w:w="860" w:type="dxa"/>
            <w:vAlign w:val="bottom"/>
            <w:hideMark/>
          </w:tcPr>
          <w:p w14:paraId="7A73CD92" w14:textId="3D98531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w:t>
            </w:r>
          </w:p>
        </w:tc>
        <w:tc>
          <w:tcPr>
            <w:tcW w:w="827" w:type="dxa"/>
            <w:vAlign w:val="bottom"/>
            <w:hideMark/>
          </w:tcPr>
          <w:p w14:paraId="47A2560C" w14:textId="2C3646E2"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7" w:type="dxa"/>
            <w:vAlign w:val="bottom"/>
            <w:hideMark/>
          </w:tcPr>
          <w:p w14:paraId="39CBD583" w14:textId="6854519F"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7" w:type="dxa"/>
            <w:vAlign w:val="bottom"/>
            <w:hideMark/>
          </w:tcPr>
          <w:p w14:paraId="5BCAE38C" w14:textId="080793D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7" w:type="dxa"/>
            <w:hideMark/>
          </w:tcPr>
          <w:p w14:paraId="11884D5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43" w:type="dxa"/>
            <w:hideMark/>
          </w:tcPr>
          <w:p w14:paraId="350C20D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4.2</w:t>
            </w:r>
          </w:p>
        </w:tc>
        <w:tc>
          <w:tcPr>
            <w:tcW w:w="827" w:type="dxa"/>
            <w:hideMark/>
          </w:tcPr>
          <w:p w14:paraId="2D553D0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827" w:type="dxa"/>
            <w:hideMark/>
          </w:tcPr>
          <w:p w14:paraId="3A12728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3.89</w:t>
            </w:r>
          </w:p>
        </w:tc>
        <w:tc>
          <w:tcPr>
            <w:tcW w:w="827" w:type="dxa"/>
            <w:hideMark/>
          </w:tcPr>
          <w:p w14:paraId="70C1A2F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23.78</w:t>
            </w:r>
          </w:p>
        </w:tc>
        <w:tc>
          <w:tcPr>
            <w:tcW w:w="1450" w:type="dxa"/>
            <w:hideMark/>
          </w:tcPr>
          <w:p w14:paraId="4F953DA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450" w:type="dxa"/>
            <w:hideMark/>
          </w:tcPr>
          <w:p w14:paraId="2B6B602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w:t>
            </w:r>
          </w:p>
        </w:tc>
        <w:tc>
          <w:tcPr>
            <w:tcW w:w="1450" w:type="dxa"/>
            <w:hideMark/>
          </w:tcPr>
          <w:p w14:paraId="51537C6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44.94</w:t>
            </w:r>
          </w:p>
        </w:tc>
        <w:tc>
          <w:tcPr>
            <w:tcW w:w="798" w:type="dxa"/>
            <w:vAlign w:val="bottom"/>
          </w:tcPr>
          <w:p w14:paraId="3F9C15DE" w14:textId="559A4339"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30</w:t>
            </w:r>
          </w:p>
        </w:tc>
      </w:tr>
      <w:tr w:rsidR="00D95F0C" w:rsidRPr="00E02C4D" w14:paraId="5010F87B" w14:textId="61FFCA33"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2172258A"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W17</w:t>
            </w:r>
          </w:p>
        </w:tc>
        <w:tc>
          <w:tcPr>
            <w:tcW w:w="950" w:type="dxa"/>
            <w:hideMark/>
          </w:tcPr>
          <w:p w14:paraId="3316E66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230</w:t>
            </w:r>
          </w:p>
        </w:tc>
        <w:tc>
          <w:tcPr>
            <w:tcW w:w="696" w:type="dxa"/>
            <w:hideMark/>
          </w:tcPr>
          <w:p w14:paraId="10915A3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45" w:type="dxa"/>
            <w:hideMark/>
          </w:tcPr>
          <w:p w14:paraId="333E487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5.67</w:t>
            </w:r>
          </w:p>
        </w:tc>
        <w:tc>
          <w:tcPr>
            <w:tcW w:w="860" w:type="dxa"/>
            <w:vAlign w:val="bottom"/>
            <w:hideMark/>
          </w:tcPr>
          <w:p w14:paraId="776FEE2D" w14:textId="4D143AD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7" w:type="dxa"/>
            <w:vAlign w:val="bottom"/>
            <w:hideMark/>
          </w:tcPr>
          <w:p w14:paraId="1C111D79" w14:textId="7ED6A08C"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7" w:type="dxa"/>
            <w:vAlign w:val="bottom"/>
            <w:hideMark/>
          </w:tcPr>
          <w:p w14:paraId="57A47ECD" w14:textId="6AF9D5D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7" w:type="dxa"/>
            <w:vAlign w:val="bottom"/>
            <w:hideMark/>
          </w:tcPr>
          <w:p w14:paraId="5CA16220" w14:textId="68DDB4E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363E55C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33</w:t>
            </w:r>
          </w:p>
        </w:tc>
        <w:tc>
          <w:tcPr>
            <w:tcW w:w="743" w:type="dxa"/>
            <w:hideMark/>
          </w:tcPr>
          <w:p w14:paraId="106E235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w:t>
            </w:r>
          </w:p>
        </w:tc>
        <w:tc>
          <w:tcPr>
            <w:tcW w:w="827" w:type="dxa"/>
            <w:hideMark/>
          </w:tcPr>
          <w:p w14:paraId="6C4F7FB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25.5</w:t>
            </w:r>
          </w:p>
        </w:tc>
        <w:tc>
          <w:tcPr>
            <w:tcW w:w="827" w:type="dxa"/>
            <w:hideMark/>
          </w:tcPr>
          <w:p w14:paraId="40E3CD5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7" w:type="dxa"/>
            <w:hideMark/>
          </w:tcPr>
          <w:p w14:paraId="7E49B3F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450" w:type="dxa"/>
            <w:hideMark/>
          </w:tcPr>
          <w:p w14:paraId="6C89BC0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450" w:type="dxa"/>
            <w:hideMark/>
          </w:tcPr>
          <w:p w14:paraId="7AFF6CD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450" w:type="dxa"/>
            <w:hideMark/>
          </w:tcPr>
          <w:p w14:paraId="33FEC67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35.67</w:t>
            </w:r>
          </w:p>
        </w:tc>
        <w:tc>
          <w:tcPr>
            <w:tcW w:w="798" w:type="dxa"/>
            <w:vAlign w:val="bottom"/>
          </w:tcPr>
          <w:p w14:paraId="2CFCFD97" w14:textId="1A11C058"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25</w:t>
            </w:r>
          </w:p>
        </w:tc>
      </w:tr>
      <w:tr w:rsidR="00D95F0C" w:rsidRPr="00E02C4D" w14:paraId="69426809" w14:textId="00995563"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36196F6F"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W18</w:t>
            </w:r>
          </w:p>
        </w:tc>
        <w:tc>
          <w:tcPr>
            <w:tcW w:w="950" w:type="dxa"/>
            <w:hideMark/>
          </w:tcPr>
          <w:p w14:paraId="08D4CC9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221</w:t>
            </w:r>
          </w:p>
        </w:tc>
        <w:tc>
          <w:tcPr>
            <w:tcW w:w="696" w:type="dxa"/>
            <w:hideMark/>
          </w:tcPr>
          <w:p w14:paraId="66BA945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45" w:type="dxa"/>
            <w:hideMark/>
          </w:tcPr>
          <w:p w14:paraId="1ED9269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7.2</w:t>
            </w:r>
          </w:p>
        </w:tc>
        <w:tc>
          <w:tcPr>
            <w:tcW w:w="860" w:type="dxa"/>
            <w:vAlign w:val="bottom"/>
            <w:hideMark/>
          </w:tcPr>
          <w:p w14:paraId="0BA97088" w14:textId="3184C33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49.2</w:t>
            </w:r>
          </w:p>
        </w:tc>
        <w:tc>
          <w:tcPr>
            <w:tcW w:w="827" w:type="dxa"/>
            <w:vAlign w:val="bottom"/>
            <w:hideMark/>
          </w:tcPr>
          <w:p w14:paraId="7E4EBB70" w14:textId="060960F3"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7" w:type="dxa"/>
            <w:vAlign w:val="bottom"/>
            <w:hideMark/>
          </w:tcPr>
          <w:p w14:paraId="2D79B412" w14:textId="116BB13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7" w:type="dxa"/>
            <w:vAlign w:val="bottom"/>
            <w:hideMark/>
          </w:tcPr>
          <w:p w14:paraId="30FDDE19" w14:textId="29844A3C"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7" w:type="dxa"/>
            <w:hideMark/>
          </w:tcPr>
          <w:p w14:paraId="163E2A7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43" w:type="dxa"/>
            <w:hideMark/>
          </w:tcPr>
          <w:p w14:paraId="69EFF8B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7" w:type="dxa"/>
            <w:hideMark/>
          </w:tcPr>
          <w:p w14:paraId="3625440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16.02</w:t>
            </w:r>
          </w:p>
        </w:tc>
        <w:tc>
          <w:tcPr>
            <w:tcW w:w="827" w:type="dxa"/>
            <w:hideMark/>
          </w:tcPr>
          <w:p w14:paraId="4EAF4ED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5.05</w:t>
            </w:r>
          </w:p>
        </w:tc>
        <w:tc>
          <w:tcPr>
            <w:tcW w:w="827" w:type="dxa"/>
            <w:hideMark/>
          </w:tcPr>
          <w:p w14:paraId="3670F5A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41.5</w:t>
            </w:r>
          </w:p>
        </w:tc>
        <w:tc>
          <w:tcPr>
            <w:tcW w:w="1450" w:type="dxa"/>
            <w:hideMark/>
          </w:tcPr>
          <w:p w14:paraId="268C2C0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w:t>
            </w:r>
          </w:p>
        </w:tc>
        <w:tc>
          <w:tcPr>
            <w:tcW w:w="1450" w:type="dxa"/>
            <w:hideMark/>
          </w:tcPr>
          <w:p w14:paraId="6A82032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59</w:t>
            </w:r>
          </w:p>
        </w:tc>
        <w:tc>
          <w:tcPr>
            <w:tcW w:w="1450" w:type="dxa"/>
            <w:hideMark/>
          </w:tcPr>
          <w:p w14:paraId="18BEC2C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27.2</w:t>
            </w:r>
          </w:p>
        </w:tc>
        <w:tc>
          <w:tcPr>
            <w:tcW w:w="798" w:type="dxa"/>
            <w:vAlign w:val="bottom"/>
          </w:tcPr>
          <w:p w14:paraId="156D6E0A" w14:textId="360CB341"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19</w:t>
            </w:r>
          </w:p>
        </w:tc>
      </w:tr>
      <w:tr w:rsidR="00D95F0C" w:rsidRPr="00E02C4D" w14:paraId="361BCC24" w14:textId="22233C85"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339E2020"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W19</w:t>
            </w:r>
          </w:p>
        </w:tc>
        <w:tc>
          <w:tcPr>
            <w:tcW w:w="950" w:type="dxa"/>
            <w:hideMark/>
          </w:tcPr>
          <w:p w14:paraId="544332F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204</w:t>
            </w:r>
          </w:p>
        </w:tc>
        <w:tc>
          <w:tcPr>
            <w:tcW w:w="696" w:type="dxa"/>
            <w:hideMark/>
          </w:tcPr>
          <w:p w14:paraId="3106B7D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45" w:type="dxa"/>
            <w:hideMark/>
          </w:tcPr>
          <w:p w14:paraId="69C7C75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60" w:type="dxa"/>
            <w:vAlign w:val="bottom"/>
            <w:hideMark/>
          </w:tcPr>
          <w:p w14:paraId="30362CD8" w14:textId="257F21EE"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35.4</w:t>
            </w:r>
          </w:p>
        </w:tc>
        <w:tc>
          <w:tcPr>
            <w:tcW w:w="827" w:type="dxa"/>
            <w:vAlign w:val="bottom"/>
            <w:hideMark/>
          </w:tcPr>
          <w:p w14:paraId="296319B6" w14:textId="1611AB9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7" w:type="dxa"/>
            <w:vAlign w:val="bottom"/>
            <w:hideMark/>
          </w:tcPr>
          <w:p w14:paraId="59DE1A48" w14:textId="3C907A3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7" w:type="dxa"/>
            <w:vAlign w:val="bottom"/>
            <w:hideMark/>
          </w:tcPr>
          <w:p w14:paraId="38A31AB7" w14:textId="4F9C3C2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6444C12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743" w:type="dxa"/>
            <w:hideMark/>
          </w:tcPr>
          <w:p w14:paraId="3CB3243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4.8</w:t>
            </w:r>
          </w:p>
        </w:tc>
        <w:tc>
          <w:tcPr>
            <w:tcW w:w="827" w:type="dxa"/>
            <w:hideMark/>
          </w:tcPr>
          <w:p w14:paraId="3F809E5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24.8</w:t>
            </w:r>
          </w:p>
        </w:tc>
        <w:tc>
          <w:tcPr>
            <w:tcW w:w="827" w:type="dxa"/>
            <w:hideMark/>
          </w:tcPr>
          <w:p w14:paraId="4447DD2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7" w:type="dxa"/>
            <w:hideMark/>
          </w:tcPr>
          <w:p w14:paraId="13FB0D3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450" w:type="dxa"/>
            <w:hideMark/>
          </w:tcPr>
          <w:p w14:paraId="2135A7E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450" w:type="dxa"/>
            <w:hideMark/>
          </w:tcPr>
          <w:p w14:paraId="22763A7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54</w:t>
            </w:r>
          </w:p>
        </w:tc>
        <w:tc>
          <w:tcPr>
            <w:tcW w:w="1450" w:type="dxa"/>
            <w:hideMark/>
          </w:tcPr>
          <w:p w14:paraId="2CAE4F0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95.8</w:t>
            </w:r>
          </w:p>
        </w:tc>
        <w:tc>
          <w:tcPr>
            <w:tcW w:w="798" w:type="dxa"/>
            <w:vAlign w:val="bottom"/>
          </w:tcPr>
          <w:p w14:paraId="3CD572DA" w14:textId="2045A2CD"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41</w:t>
            </w:r>
          </w:p>
        </w:tc>
      </w:tr>
      <w:tr w:rsidR="00D95F0C" w:rsidRPr="00E02C4D" w14:paraId="3B6DB5CF" w14:textId="63A3DDB0"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637344D0"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W20</w:t>
            </w:r>
          </w:p>
        </w:tc>
        <w:tc>
          <w:tcPr>
            <w:tcW w:w="950" w:type="dxa"/>
            <w:hideMark/>
          </w:tcPr>
          <w:p w14:paraId="5823C13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220</w:t>
            </w:r>
          </w:p>
        </w:tc>
        <w:tc>
          <w:tcPr>
            <w:tcW w:w="696" w:type="dxa"/>
            <w:hideMark/>
          </w:tcPr>
          <w:p w14:paraId="6EB768A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45" w:type="dxa"/>
            <w:hideMark/>
          </w:tcPr>
          <w:p w14:paraId="0D362E6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6.2</w:t>
            </w:r>
          </w:p>
        </w:tc>
        <w:tc>
          <w:tcPr>
            <w:tcW w:w="860" w:type="dxa"/>
            <w:vAlign w:val="bottom"/>
            <w:hideMark/>
          </w:tcPr>
          <w:p w14:paraId="729DE7C6" w14:textId="54EA6805"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w:t>
            </w:r>
          </w:p>
        </w:tc>
        <w:tc>
          <w:tcPr>
            <w:tcW w:w="827" w:type="dxa"/>
            <w:vAlign w:val="bottom"/>
            <w:hideMark/>
          </w:tcPr>
          <w:p w14:paraId="2ED17B09" w14:textId="469A7BF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7" w:type="dxa"/>
            <w:vAlign w:val="bottom"/>
            <w:hideMark/>
          </w:tcPr>
          <w:p w14:paraId="3569D586" w14:textId="1F92C37A"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7" w:type="dxa"/>
            <w:vAlign w:val="bottom"/>
            <w:hideMark/>
          </w:tcPr>
          <w:p w14:paraId="38313392" w14:textId="349237B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7" w:type="dxa"/>
            <w:hideMark/>
          </w:tcPr>
          <w:p w14:paraId="5294433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43" w:type="dxa"/>
            <w:hideMark/>
          </w:tcPr>
          <w:p w14:paraId="1CE3E41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8.7</w:t>
            </w:r>
          </w:p>
        </w:tc>
        <w:tc>
          <w:tcPr>
            <w:tcW w:w="827" w:type="dxa"/>
            <w:hideMark/>
          </w:tcPr>
          <w:p w14:paraId="6DB1D59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28.7</w:t>
            </w:r>
          </w:p>
        </w:tc>
        <w:tc>
          <w:tcPr>
            <w:tcW w:w="827" w:type="dxa"/>
            <w:hideMark/>
          </w:tcPr>
          <w:p w14:paraId="5A5AF0A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7" w:type="dxa"/>
            <w:hideMark/>
          </w:tcPr>
          <w:p w14:paraId="6DCEC32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23.58</w:t>
            </w:r>
          </w:p>
        </w:tc>
        <w:tc>
          <w:tcPr>
            <w:tcW w:w="1450" w:type="dxa"/>
            <w:hideMark/>
          </w:tcPr>
          <w:p w14:paraId="3022A25D"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1450" w:type="dxa"/>
            <w:hideMark/>
          </w:tcPr>
          <w:p w14:paraId="3BBB9DE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1450" w:type="dxa"/>
            <w:hideMark/>
          </w:tcPr>
          <w:p w14:paraId="27A68CA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96.2</w:t>
            </w:r>
          </w:p>
        </w:tc>
        <w:tc>
          <w:tcPr>
            <w:tcW w:w="798" w:type="dxa"/>
            <w:vAlign w:val="bottom"/>
          </w:tcPr>
          <w:p w14:paraId="207C8BD8" w14:textId="2A835250"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45</w:t>
            </w:r>
          </w:p>
        </w:tc>
      </w:tr>
      <w:tr w:rsidR="00D95F0C" w:rsidRPr="00E02C4D" w14:paraId="28AE3978" w14:textId="650DAE50"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7AE49E50"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W21</w:t>
            </w:r>
          </w:p>
        </w:tc>
        <w:tc>
          <w:tcPr>
            <w:tcW w:w="950" w:type="dxa"/>
            <w:hideMark/>
          </w:tcPr>
          <w:p w14:paraId="2F9A544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696" w:type="dxa"/>
            <w:hideMark/>
          </w:tcPr>
          <w:p w14:paraId="4EA0135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45" w:type="dxa"/>
            <w:hideMark/>
          </w:tcPr>
          <w:p w14:paraId="6E11D70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5.4</w:t>
            </w:r>
          </w:p>
        </w:tc>
        <w:tc>
          <w:tcPr>
            <w:tcW w:w="860" w:type="dxa"/>
            <w:vAlign w:val="bottom"/>
            <w:hideMark/>
          </w:tcPr>
          <w:p w14:paraId="3D720D44" w14:textId="4184AE5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55.6</w:t>
            </w:r>
          </w:p>
        </w:tc>
        <w:tc>
          <w:tcPr>
            <w:tcW w:w="827" w:type="dxa"/>
            <w:vAlign w:val="bottom"/>
            <w:hideMark/>
          </w:tcPr>
          <w:p w14:paraId="5B73C3B1" w14:textId="045B2AC3"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27.7</w:t>
            </w:r>
          </w:p>
        </w:tc>
        <w:tc>
          <w:tcPr>
            <w:tcW w:w="827" w:type="dxa"/>
            <w:vAlign w:val="bottom"/>
            <w:hideMark/>
          </w:tcPr>
          <w:p w14:paraId="03273CEA" w14:textId="3F9BC5FF"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27.7</w:t>
            </w:r>
          </w:p>
        </w:tc>
        <w:tc>
          <w:tcPr>
            <w:tcW w:w="827" w:type="dxa"/>
            <w:vAlign w:val="bottom"/>
            <w:hideMark/>
          </w:tcPr>
          <w:p w14:paraId="135887CC" w14:textId="7FB3410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465E45B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743" w:type="dxa"/>
            <w:hideMark/>
          </w:tcPr>
          <w:p w14:paraId="29A5A5E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6.54</w:t>
            </w:r>
          </w:p>
        </w:tc>
        <w:tc>
          <w:tcPr>
            <w:tcW w:w="827" w:type="dxa"/>
            <w:hideMark/>
          </w:tcPr>
          <w:p w14:paraId="52DB0EC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36.54</w:t>
            </w:r>
          </w:p>
        </w:tc>
        <w:tc>
          <w:tcPr>
            <w:tcW w:w="827" w:type="dxa"/>
            <w:hideMark/>
          </w:tcPr>
          <w:p w14:paraId="38D38D9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5.72</w:t>
            </w:r>
          </w:p>
        </w:tc>
        <w:tc>
          <w:tcPr>
            <w:tcW w:w="827" w:type="dxa"/>
            <w:hideMark/>
          </w:tcPr>
          <w:p w14:paraId="26EAA4E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450" w:type="dxa"/>
            <w:noWrap/>
            <w:hideMark/>
          </w:tcPr>
          <w:p w14:paraId="12C518B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450" w:type="dxa"/>
            <w:hideMark/>
          </w:tcPr>
          <w:p w14:paraId="2E522CC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w:t>
            </w:r>
          </w:p>
        </w:tc>
        <w:tc>
          <w:tcPr>
            <w:tcW w:w="1450" w:type="dxa"/>
            <w:hideMark/>
          </w:tcPr>
          <w:p w14:paraId="218C914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65.4</w:t>
            </w:r>
          </w:p>
        </w:tc>
        <w:tc>
          <w:tcPr>
            <w:tcW w:w="798" w:type="dxa"/>
            <w:vAlign w:val="bottom"/>
          </w:tcPr>
          <w:p w14:paraId="58E532E4" w14:textId="0AF9979D"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38</w:t>
            </w:r>
          </w:p>
        </w:tc>
      </w:tr>
      <w:tr w:rsidR="00D95F0C" w:rsidRPr="00E02C4D" w14:paraId="61B2AAD9" w14:textId="6BDE2A05"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3EDF80EB"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W22</w:t>
            </w:r>
          </w:p>
        </w:tc>
        <w:tc>
          <w:tcPr>
            <w:tcW w:w="950" w:type="dxa"/>
            <w:hideMark/>
          </w:tcPr>
          <w:p w14:paraId="1F61866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696" w:type="dxa"/>
            <w:hideMark/>
          </w:tcPr>
          <w:p w14:paraId="7B6EA8E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45" w:type="dxa"/>
            <w:hideMark/>
          </w:tcPr>
          <w:p w14:paraId="5F52DE0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860" w:type="dxa"/>
            <w:vAlign w:val="bottom"/>
            <w:hideMark/>
          </w:tcPr>
          <w:p w14:paraId="091C2489" w14:textId="7AB5F58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42.3</w:t>
            </w:r>
          </w:p>
        </w:tc>
        <w:tc>
          <w:tcPr>
            <w:tcW w:w="827" w:type="dxa"/>
            <w:vAlign w:val="bottom"/>
            <w:hideMark/>
          </w:tcPr>
          <w:p w14:paraId="17B25086" w14:textId="5A1CE316"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7" w:type="dxa"/>
            <w:vAlign w:val="bottom"/>
            <w:hideMark/>
          </w:tcPr>
          <w:p w14:paraId="2EC7D35D" w14:textId="45FB927E"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7" w:type="dxa"/>
            <w:vAlign w:val="bottom"/>
            <w:hideMark/>
          </w:tcPr>
          <w:p w14:paraId="4304507B" w14:textId="45C2D4F5"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7" w:type="dxa"/>
            <w:hideMark/>
          </w:tcPr>
          <w:p w14:paraId="1790534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43" w:type="dxa"/>
            <w:hideMark/>
          </w:tcPr>
          <w:p w14:paraId="16D7A76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7" w:type="dxa"/>
            <w:hideMark/>
          </w:tcPr>
          <w:p w14:paraId="6A3E07B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44.35</w:t>
            </w:r>
          </w:p>
        </w:tc>
        <w:tc>
          <w:tcPr>
            <w:tcW w:w="827" w:type="dxa"/>
            <w:hideMark/>
          </w:tcPr>
          <w:p w14:paraId="68BBB80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6.89</w:t>
            </w:r>
          </w:p>
        </w:tc>
        <w:tc>
          <w:tcPr>
            <w:tcW w:w="827" w:type="dxa"/>
            <w:hideMark/>
          </w:tcPr>
          <w:p w14:paraId="048F9A4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27.5</w:t>
            </w:r>
          </w:p>
        </w:tc>
        <w:tc>
          <w:tcPr>
            <w:tcW w:w="1450" w:type="dxa"/>
            <w:hideMark/>
          </w:tcPr>
          <w:p w14:paraId="141E059D"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450" w:type="dxa"/>
            <w:hideMark/>
          </w:tcPr>
          <w:p w14:paraId="5ECA028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11</w:t>
            </w:r>
          </w:p>
        </w:tc>
        <w:tc>
          <w:tcPr>
            <w:tcW w:w="1450" w:type="dxa"/>
            <w:hideMark/>
          </w:tcPr>
          <w:p w14:paraId="06CF81C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75.3</w:t>
            </w:r>
          </w:p>
        </w:tc>
        <w:tc>
          <w:tcPr>
            <w:tcW w:w="798" w:type="dxa"/>
            <w:vAlign w:val="bottom"/>
          </w:tcPr>
          <w:p w14:paraId="44FEEFD0" w14:textId="243A1FA1"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32</w:t>
            </w:r>
          </w:p>
        </w:tc>
      </w:tr>
      <w:tr w:rsidR="00D95F0C" w:rsidRPr="00E02C4D" w14:paraId="4C0E9093" w14:textId="0342CAEB"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1E5134D4"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W23</w:t>
            </w:r>
          </w:p>
        </w:tc>
        <w:tc>
          <w:tcPr>
            <w:tcW w:w="950" w:type="dxa"/>
            <w:hideMark/>
          </w:tcPr>
          <w:p w14:paraId="2C64755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230</w:t>
            </w:r>
          </w:p>
        </w:tc>
        <w:tc>
          <w:tcPr>
            <w:tcW w:w="696" w:type="dxa"/>
            <w:hideMark/>
          </w:tcPr>
          <w:p w14:paraId="24F7748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45" w:type="dxa"/>
            <w:hideMark/>
          </w:tcPr>
          <w:p w14:paraId="443D858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w:t>
            </w:r>
          </w:p>
        </w:tc>
        <w:tc>
          <w:tcPr>
            <w:tcW w:w="860" w:type="dxa"/>
            <w:vAlign w:val="bottom"/>
            <w:hideMark/>
          </w:tcPr>
          <w:p w14:paraId="07377D62" w14:textId="21F67E0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43.9</w:t>
            </w:r>
          </w:p>
        </w:tc>
        <w:tc>
          <w:tcPr>
            <w:tcW w:w="827" w:type="dxa"/>
            <w:vAlign w:val="bottom"/>
            <w:hideMark/>
          </w:tcPr>
          <w:p w14:paraId="76D1D212" w14:textId="24AA767E"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7" w:type="dxa"/>
            <w:vAlign w:val="bottom"/>
            <w:hideMark/>
          </w:tcPr>
          <w:p w14:paraId="6A74E297" w14:textId="580311F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7" w:type="dxa"/>
            <w:vAlign w:val="bottom"/>
            <w:hideMark/>
          </w:tcPr>
          <w:p w14:paraId="2125A3FB" w14:textId="7E938CF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7" w:type="dxa"/>
            <w:hideMark/>
          </w:tcPr>
          <w:p w14:paraId="3C10A7F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40</w:t>
            </w:r>
          </w:p>
        </w:tc>
        <w:tc>
          <w:tcPr>
            <w:tcW w:w="743" w:type="dxa"/>
            <w:hideMark/>
          </w:tcPr>
          <w:p w14:paraId="6608185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7" w:type="dxa"/>
            <w:hideMark/>
          </w:tcPr>
          <w:p w14:paraId="5F9A1C7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37.67</w:t>
            </w:r>
          </w:p>
        </w:tc>
        <w:tc>
          <w:tcPr>
            <w:tcW w:w="827" w:type="dxa"/>
            <w:hideMark/>
          </w:tcPr>
          <w:p w14:paraId="3641F14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w:t>
            </w:r>
          </w:p>
        </w:tc>
        <w:tc>
          <w:tcPr>
            <w:tcW w:w="827" w:type="dxa"/>
            <w:hideMark/>
          </w:tcPr>
          <w:p w14:paraId="1AD2A6B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450" w:type="dxa"/>
            <w:hideMark/>
          </w:tcPr>
          <w:p w14:paraId="1E524D2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450" w:type="dxa"/>
            <w:hideMark/>
          </w:tcPr>
          <w:p w14:paraId="56661A5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48</w:t>
            </w:r>
          </w:p>
        </w:tc>
        <w:tc>
          <w:tcPr>
            <w:tcW w:w="1450" w:type="dxa"/>
            <w:hideMark/>
          </w:tcPr>
          <w:p w14:paraId="260C972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66.8</w:t>
            </w:r>
          </w:p>
        </w:tc>
        <w:tc>
          <w:tcPr>
            <w:tcW w:w="798" w:type="dxa"/>
            <w:vAlign w:val="bottom"/>
          </w:tcPr>
          <w:p w14:paraId="346F505F" w14:textId="64DC22CD"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27</w:t>
            </w:r>
          </w:p>
        </w:tc>
      </w:tr>
      <w:tr w:rsidR="00D95F0C" w:rsidRPr="00E02C4D" w14:paraId="111ECA56" w14:textId="2D6B0C6E"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65CD2B18"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W24</w:t>
            </w:r>
          </w:p>
        </w:tc>
        <w:tc>
          <w:tcPr>
            <w:tcW w:w="950" w:type="dxa"/>
            <w:hideMark/>
          </w:tcPr>
          <w:p w14:paraId="0AFB33C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221</w:t>
            </w:r>
          </w:p>
        </w:tc>
        <w:tc>
          <w:tcPr>
            <w:tcW w:w="696" w:type="dxa"/>
            <w:hideMark/>
          </w:tcPr>
          <w:p w14:paraId="61FF118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45" w:type="dxa"/>
            <w:hideMark/>
          </w:tcPr>
          <w:p w14:paraId="114FF13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4.94</w:t>
            </w:r>
          </w:p>
        </w:tc>
        <w:tc>
          <w:tcPr>
            <w:tcW w:w="860" w:type="dxa"/>
            <w:vAlign w:val="bottom"/>
            <w:hideMark/>
          </w:tcPr>
          <w:p w14:paraId="42E4780F" w14:textId="3690D79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34.5</w:t>
            </w:r>
          </w:p>
        </w:tc>
        <w:tc>
          <w:tcPr>
            <w:tcW w:w="827" w:type="dxa"/>
            <w:vAlign w:val="bottom"/>
            <w:hideMark/>
          </w:tcPr>
          <w:p w14:paraId="51DEA513" w14:textId="6A3EA37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7" w:type="dxa"/>
            <w:vAlign w:val="bottom"/>
            <w:hideMark/>
          </w:tcPr>
          <w:p w14:paraId="656FAAA2" w14:textId="57ABF15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7" w:type="dxa"/>
            <w:vAlign w:val="bottom"/>
            <w:hideMark/>
          </w:tcPr>
          <w:p w14:paraId="07F1F5CD" w14:textId="51F093D4"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7" w:type="dxa"/>
            <w:hideMark/>
          </w:tcPr>
          <w:p w14:paraId="686F70F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43" w:type="dxa"/>
            <w:hideMark/>
          </w:tcPr>
          <w:p w14:paraId="164EB0F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7" w:type="dxa"/>
            <w:hideMark/>
          </w:tcPr>
          <w:p w14:paraId="63E7D4C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36.89</w:t>
            </w:r>
          </w:p>
        </w:tc>
        <w:tc>
          <w:tcPr>
            <w:tcW w:w="827" w:type="dxa"/>
            <w:hideMark/>
          </w:tcPr>
          <w:p w14:paraId="4FDA1F4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7" w:type="dxa"/>
            <w:hideMark/>
          </w:tcPr>
          <w:p w14:paraId="7DEF740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37.4</w:t>
            </w:r>
          </w:p>
        </w:tc>
        <w:tc>
          <w:tcPr>
            <w:tcW w:w="1450" w:type="dxa"/>
            <w:hideMark/>
          </w:tcPr>
          <w:p w14:paraId="664262EA"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1450" w:type="dxa"/>
            <w:hideMark/>
          </w:tcPr>
          <w:p w14:paraId="1BD9A45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19</w:t>
            </w:r>
          </w:p>
        </w:tc>
        <w:tc>
          <w:tcPr>
            <w:tcW w:w="1450" w:type="dxa"/>
            <w:hideMark/>
          </w:tcPr>
          <w:p w14:paraId="07819431"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84.94</w:t>
            </w:r>
          </w:p>
        </w:tc>
        <w:tc>
          <w:tcPr>
            <w:tcW w:w="798" w:type="dxa"/>
            <w:vAlign w:val="bottom"/>
          </w:tcPr>
          <w:p w14:paraId="7EC8A01D" w14:textId="6C2FFEF7"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20</w:t>
            </w:r>
          </w:p>
        </w:tc>
      </w:tr>
      <w:tr w:rsidR="00D95F0C" w:rsidRPr="00E02C4D" w14:paraId="5D00A5E0" w14:textId="71B375AA"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6544F100"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W25</w:t>
            </w:r>
          </w:p>
        </w:tc>
        <w:tc>
          <w:tcPr>
            <w:tcW w:w="950" w:type="dxa"/>
            <w:hideMark/>
          </w:tcPr>
          <w:p w14:paraId="20DE69D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204</w:t>
            </w:r>
          </w:p>
        </w:tc>
        <w:tc>
          <w:tcPr>
            <w:tcW w:w="696" w:type="dxa"/>
            <w:hideMark/>
          </w:tcPr>
          <w:p w14:paraId="0F8F129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45" w:type="dxa"/>
            <w:hideMark/>
          </w:tcPr>
          <w:p w14:paraId="7EC9924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5.67</w:t>
            </w:r>
          </w:p>
        </w:tc>
        <w:tc>
          <w:tcPr>
            <w:tcW w:w="860" w:type="dxa"/>
            <w:vAlign w:val="bottom"/>
            <w:hideMark/>
          </w:tcPr>
          <w:p w14:paraId="15FEBDEA" w14:textId="3C21532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62.3</w:t>
            </w:r>
          </w:p>
        </w:tc>
        <w:tc>
          <w:tcPr>
            <w:tcW w:w="827" w:type="dxa"/>
            <w:vAlign w:val="bottom"/>
            <w:hideMark/>
          </w:tcPr>
          <w:p w14:paraId="68C86BFC" w14:textId="4985A4C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7" w:type="dxa"/>
            <w:vAlign w:val="bottom"/>
            <w:hideMark/>
          </w:tcPr>
          <w:p w14:paraId="6BE3824E" w14:textId="1B5F1CCD"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7" w:type="dxa"/>
            <w:vAlign w:val="bottom"/>
            <w:hideMark/>
          </w:tcPr>
          <w:p w14:paraId="120AC96C" w14:textId="092029B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42DDFB0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743" w:type="dxa"/>
            <w:hideMark/>
          </w:tcPr>
          <w:p w14:paraId="58F4A16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7" w:type="dxa"/>
            <w:hideMark/>
          </w:tcPr>
          <w:p w14:paraId="3BE19090"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45.72</w:t>
            </w:r>
          </w:p>
        </w:tc>
        <w:tc>
          <w:tcPr>
            <w:tcW w:w="827" w:type="dxa"/>
            <w:hideMark/>
          </w:tcPr>
          <w:p w14:paraId="5773C67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6.09</w:t>
            </w:r>
          </w:p>
        </w:tc>
        <w:tc>
          <w:tcPr>
            <w:tcW w:w="827" w:type="dxa"/>
            <w:hideMark/>
          </w:tcPr>
          <w:p w14:paraId="0F91C17D"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450" w:type="dxa"/>
            <w:hideMark/>
          </w:tcPr>
          <w:p w14:paraId="65B88E5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450" w:type="dxa"/>
            <w:hideMark/>
          </w:tcPr>
          <w:p w14:paraId="743A30D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w:t>
            </w:r>
          </w:p>
        </w:tc>
        <w:tc>
          <w:tcPr>
            <w:tcW w:w="1450" w:type="dxa"/>
            <w:hideMark/>
          </w:tcPr>
          <w:p w14:paraId="77719F7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45.67</w:t>
            </w:r>
          </w:p>
        </w:tc>
        <w:tc>
          <w:tcPr>
            <w:tcW w:w="798" w:type="dxa"/>
            <w:vAlign w:val="bottom"/>
          </w:tcPr>
          <w:p w14:paraId="0CB5E1CA" w14:textId="08554A89"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31</w:t>
            </w:r>
          </w:p>
        </w:tc>
      </w:tr>
      <w:tr w:rsidR="00D95F0C" w:rsidRPr="00E02C4D" w14:paraId="60F47088" w14:textId="38A3AC91"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7CE85B03"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W26</w:t>
            </w:r>
          </w:p>
        </w:tc>
        <w:tc>
          <w:tcPr>
            <w:tcW w:w="950" w:type="dxa"/>
            <w:hideMark/>
          </w:tcPr>
          <w:p w14:paraId="78F87DB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220</w:t>
            </w:r>
          </w:p>
        </w:tc>
        <w:tc>
          <w:tcPr>
            <w:tcW w:w="696" w:type="dxa"/>
            <w:hideMark/>
          </w:tcPr>
          <w:p w14:paraId="6FFBF0F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26</w:t>
            </w:r>
          </w:p>
        </w:tc>
        <w:tc>
          <w:tcPr>
            <w:tcW w:w="645" w:type="dxa"/>
            <w:hideMark/>
          </w:tcPr>
          <w:p w14:paraId="2F57BD3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7.2</w:t>
            </w:r>
          </w:p>
        </w:tc>
        <w:tc>
          <w:tcPr>
            <w:tcW w:w="860" w:type="dxa"/>
            <w:vAlign w:val="bottom"/>
            <w:hideMark/>
          </w:tcPr>
          <w:p w14:paraId="5403F66C" w14:textId="46E4B25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45.6</w:t>
            </w:r>
          </w:p>
        </w:tc>
        <w:tc>
          <w:tcPr>
            <w:tcW w:w="827" w:type="dxa"/>
            <w:vAlign w:val="bottom"/>
            <w:hideMark/>
          </w:tcPr>
          <w:p w14:paraId="37117396" w14:textId="74D88E39"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7" w:type="dxa"/>
            <w:vAlign w:val="bottom"/>
            <w:hideMark/>
          </w:tcPr>
          <w:p w14:paraId="338C1FFA" w14:textId="312F0C80"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7" w:type="dxa"/>
            <w:vAlign w:val="bottom"/>
            <w:hideMark/>
          </w:tcPr>
          <w:p w14:paraId="21B39589" w14:textId="0579C69E"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7" w:type="dxa"/>
            <w:hideMark/>
          </w:tcPr>
          <w:p w14:paraId="017C68D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43" w:type="dxa"/>
            <w:hideMark/>
          </w:tcPr>
          <w:p w14:paraId="1CCE98D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7" w:type="dxa"/>
            <w:hideMark/>
          </w:tcPr>
          <w:p w14:paraId="3CC9FAF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44.5</w:t>
            </w:r>
          </w:p>
        </w:tc>
        <w:tc>
          <w:tcPr>
            <w:tcW w:w="827" w:type="dxa"/>
            <w:hideMark/>
          </w:tcPr>
          <w:p w14:paraId="2BADEE66"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5.04</w:t>
            </w:r>
          </w:p>
        </w:tc>
        <w:tc>
          <w:tcPr>
            <w:tcW w:w="827" w:type="dxa"/>
            <w:hideMark/>
          </w:tcPr>
          <w:p w14:paraId="4A9F893C"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1450" w:type="dxa"/>
            <w:hideMark/>
          </w:tcPr>
          <w:p w14:paraId="656095E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290</w:t>
            </w:r>
          </w:p>
        </w:tc>
        <w:tc>
          <w:tcPr>
            <w:tcW w:w="1450" w:type="dxa"/>
            <w:hideMark/>
          </w:tcPr>
          <w:p w14:paraId="45633687"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w:t>
            </w:r>
          </w:p>
        </w:tc>
        <w:tc>
          <w:tcPr>
            <w:tcW w:w="1450" w:type="dxa"/>
            <w:hideMark/>
          </w:tcPr>
          <w:p w14:paraId="0A2FA5B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87.2</w:t>
            </w:r>
          </w:p>
        </w:tc>
        <w:tc>
          <w:tcPr>
            <w:tcW w:w="798" w:type="dxa"/>
            <w:vAlign w:val="bottom"/>
          </w:tcPr>
          <w:p w14:paraId="7A201AA0" w14:textId="4B192689"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35</w:t>
            </w:r>
          </w:p>
        </w:tc>
      </w:tr>
      <w:tr w:rsidR="00D95F0C" w:rsidRPr="00E02C4D" w14:paraId="11EF4BBD" w14:textId="3CAA782B" w:rsidTr="003A7F2F">
        <w:trPr>
          <w:trHeight w:val="282"/>
        </w:trPr>
        <w:tc>
          <w:tcPr>
            <w:cnfStyle w:val="001000000000" w:firstRow="0" w:lastRow="0" w:firstColumn="1" w:lastColumn="0" w:oddVBand="0" w:evenVBand="0" w:oddHBand="0" w:evenHBand="0" w:firstRowFirstColumn="0" w:firstRowLastColumn="0" w:lastRowFirstColumn="0" w:lastRowLastColumn="0"/>
            <w:tcW w:w="739" w:type="dxa"/>
            <w:hideMark/>
          </w:tcPr>
          <w:p w14:paraId="1C8E0D91" w14:textId="77777777" w:rsidR="00D95F0C" w:rsidRPr="00E02C4D" w:rsidRDefault="00D95F0C" w:rsidP="00191498">
            <w:pPr>
              <w:jc w:val="cente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W27</w:t>
            </w:r>
          </w:p>
        </w:tc>
        <w:tc>
          <w:tcPr>
            <w:tcW w:w="950" w:type="dxa"/>
            <w:noWrap/>
            <w:hideMark/>
          </w:tcPr>
          <w:p w14:paraId="10AB2655"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696" w:type="dxa"/>
            <w:noWrap/>
            <w:hideMark/>
          </w:tcPr>
          <w:p w14:paraId="10EA364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45" w:type="dxa"/>
            <w:noWrap/>
            <w:hideMark/>
          </w:tcPr>
          <w:p w14:paraId="043088B4"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6.65</w:t>
            </w:r>
          </w:p>
        </w:tc>
        <w:tc>
          <w:tcPr>
            <w:tcW w:w="860" w:type="dxa"/>
            <w:noWrap/>
            <w:vAlign w:val="bottom"/>
            <w:hideMark/>
          </w:tcPr>
          <w:p w14:paraId="54F90521" w14:textId="4A3F06C1"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43.2</w:t>
            </w:r>
          </w:p>
        </w:tc>
        <w:tc>
          <w:tcPr>
            <w:tcW w:w="827" w:type="dxa"/>
            <w:noWrap/>
            <w:vAlign w:val="bottom"/>
            <w:hideMark/>
          </w:tcPr>
          <w:p w14:paraId="7046B57A" w14:textId="7BAD907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7" w:type="dxa"/>
            <w:noWrap/>
            <w:vAlign w:val="bottom"/>
            <w:hideMark/>
          </w:tcPr>
          <w:p w14:paraId="63ACF823" w14:textId="4AE0861D"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7" w:type="dxa"/>
            <w:noWrap/>
            <w:vAlign w:val="bottom"/>
            <w:hideMark/>
          </w:tcPr>
          <w:p w14:paraId="7DB8496D" w14:textId="04D8363B"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7" w:type="dxa"/>
            <w:noWrap/>
            <w:hideMark/>
          </w:tcPr>
          <w:p w14:paraId="21E5DE53"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43" w:type="dxa"/>
            <w:noWrap/>
            <w:hideMark/>
          </w:tcPr>
          <w:p w14:paraId="0A8ED638"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7" w:type="dxa"/>
            <w:noWrap/>
            <w:hideMark/>
          </w:tcPr>
          <w:p w14:paraId="24BCE16F"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827" w:type="dxa"/>
            <w:noWrap/>
            <w:hideMark/>
          </w:tcPr>
          <w:p w14:paraId="7D2136E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3.89</w:t>
            </w:r>
          </w:p>
        </w:tc>
        <w:tc>
          <w:tcPr>
            <w:tcW w:w="827" w:type="dxa"/>
            <w:noWrap/>
            <w:hideMark/>
          </w:tcPr>
          <w:p w14:paraId="7E4495CE"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23.78</w:t>
            </w:r>
          </w:p>
        </w:tc>
        <w:tc>
          <w:tcPr>
            <w:tcW w:w="1450" w:type="dxa"/>
            <w:noWrap/>
            <w:hideMark/>
          </w:tcPr>
          <w:p w14:paraId="28340822"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w:t>
            </w:r>
          </w:p>
        </w:tc>
        <w:tc>
          <w:tcPr>
            <w:tcW w:w="1450" w:type="dxa"/>
            <w:noWrap/>
            <w:hideMark/>
          </w:tcPr>
          <w:p w14:paraId="6F28C369"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1450" w:type="dxa"/>
            <w:noWrap/>
            <w:hideMark/>
          </w:tcPr>
          <w:p w14:paraId="09DD82CB" w14:textId="77777777" w:rsidR="00D95F0C" w:rsidRPr="00E02C4D"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66.65</w:t>
            </w:r>
          </w:p>
        </w:tc>
        <w:tc>
          <w:tcPr>
            <w:tcW w:w="798" w:type="dxa"/>
            <w:vAlign w:val="bottom"/>
          </w:tcPr>
          <w:p w14:paraId="72D0CFD3" w14:textId="1EE83B86" w:rsidR="00D95F0C" w:rsidRPr="00E75D33" w:rsidRDefault="00D95F0C"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highlight w:val="yellow"/>
                <w14:ligatures w14:val="none"/>
              </w:rPr>
            </w:pPr>
            <w:r w:rsidRPr="00E75D33">
              <w:rPr>
                <w:rFonts w:ascii="Arial" w:hAnsi="Arial" w:cs="Arial"/>
                <w:color w:val="000000"/>
                <w:sz w:val="20"/>
                <w:szCs w:val="20"/>
                <w:highlight w:val="yellow"/>
              </w:rPr>
              <w:t>32</w:t>
            </w:r>
          </w:p>
        </w:tc>
      </w:tr>
      <w:tr w:rsidR="00067972" w:rsidRPr="00E02C4D" w14:paraId="4CDF8B0A" w14:textId="4FC1D96C" w:rsidTr="00067972">
        <w:trPr>
          <w:trHeight w:val="282"/>
        </w:trPr>
        <w:tc>
          <w:tcPr>
            <w:cnfStyle w:val="001000000000" w:firstRow="0" w:lastRow="0" w:firstColumn="1" w:lastColumn="0" w:oddVBand="0" w:evenVBand="0" w:oddHBand="0" w:evenHBand="0" w:firstRowFirstColumn="0" w:firstRowLastColumn="0" w:lastRowFirstColumn="0" w:lastRowLastColumn="0"/>
            <w:tcW w:w="739" w:type="dxa"/>
            <w:tcBorders>
              <w:bottom w:val="single" w:sz="12" w:space="0" w:color="000000"/>
            </w:tcBorders>
          </w:tcPr>
          <w:p w14:paraId="243948A9" w14:textId="3E4B3124" w:rsidR="00067972" w:rsidRPr="00E02C4D" w:rsidRDefault="00067972" w:rsidP="00191498">
            <w:pPr>
              <w:jc w:val="center"/>
              <w:rPr>
                <w:rFonts w:ascii="Arial" w:eastAsia="Times New Roman" w:hAnsi="Arial" w:cs="Arial"/>
                <w:color w:val="000000"/>
                <w:kern w:val="0"/>
                <w:sz w:val="20"/>
                <w:szCs w:val="20"/>
                <w14:ligatures w14:val="none"/>
              </w:rPr>
            </w:pPr>
          </w:p>
        </w:tc>
        <w:tc>
          <w:tcPr>
            <w:tcW w:w="950" w:type="dxa"/>
            <w:tcBorders>
              <w:bottom w:val="single" w:sz="12" w:space="0" w:color="000000"/>
            </w:tcBorders>
            <w:noWrap/>
          </w:tcPr>
          <w:p w14:paraId="44A53B4F"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696" w:type="dxa"/>
            <w:tcBorders>
              <w:bottom w:val="single" w:sz="12" w:space="0" w:color="000000"/>
            </w:tcBorders>
            <w:noWrap/>
          </w:tcPr>
          <w:p w14:paraId="11E11D38"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45" w:type="dxa"/>
            <w:tcBorders>
              <w:bottom w:val="single" w:sz="12" w:space="0" w:color="000000"/>
            </w:tcBorders>
            <w:noWrap/>
          </w:tcPr>
          <w:p w14:paraId="042AA6D1"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60" w:type="dxa"/>
            <w:tcBorders>
              <w:bottom w:val="single" w:sz="12" w:space="0" w:color="000000"/>
            </w:tcBorders>
            <w:noWrap/>
          </w:tcPr>
          <w:p w14:paraId="734E5F9D"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7" w:type="dxa"/>
            <w:tcBorders>
              <w:bottom w:val="single" w:sz="12" w:space="0" w:color="000000"/>
            </w:tcBorders>
            <w:noWrap/>
          </w:tcPr>
          <w:p w14:paraId="20B6F303"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7" w:type="dxa"/>
            <w:tcBorders>
              <w:bottom w:val="single" w:sz="12" w:space="0" w:color="000000"/>
            </w:tcBorders>
            <w:noWrap/>
          </w:tcPr>
          <w:p w14:paraId="25958000"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7" w:type="dxa"/>
            <w:tcBorders>
              <w:bottom w:val="single" w:sz="12" w:space="0" w:color="000000"/>
            </w:tcBorders>
            <w:noWrap/>
          </w:tcPr>
          <w:p w14:paraId="735C4588"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7" w:type="dxa"/>
            <w:tcBorders>
              <w:bottom w:val="single" w:sz="12" w:space="0" w:color="000000"/>
            </w:tcBorders>
            <w:noWrap/>
          </w:tcPr>
          <w:p w14:paraId="35E461D3"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743" w:type="dxa"/>
            <w:tcBorders>
              <w:bottom w:val="single" w:sz="12" w:space="0" w:color="000000"/>
            </w:tcBorders>
            <w:noWrap/>
          </w:tcPr>
          <w:p w14:paraId="1589B964"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7" w:type="dxa"/>
            <w:tcBorders>
              <w:bottom w:val="single" w:sz="12" w:space="0" w:color="000000"/>
            </w:tcBorders>
            <w:noWrap/>
          </w:tcPr>
          <w:p w14:paraId="5F99EDB8"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7" w:type="dxa"/>
            <w:tcBorders>
              <w:bottom w:val="single" w:sz="12" w:space="0" w:color="000000"/>
            </w:tcBorders>
            <w:noWrap/>
          </w:tcPr>
          <w:p w14:paraId="2F41951F"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7" w:type="dxa"/>
            <w:tcBorders>
              <w:bottom w:val="single" w:sz="12" w:space="0" w:color="000000"/>
            </w:tcBorders>
            <w:noWrap/>
          </w:tcPr>
          <w:p w14:paraId="0202819C"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50" w:type="dxa"/>
            <w:tcBorders>
              <w:bottom w:val="single" w:sz="12" w:space="0" w:color="000000"/>
            </w:tcBorders>
          </w:tcPr>
          <w:p w14:paraId="3532EBC1" w14:textId="6661501C"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1450" w:type="dxa"/>
            <w:tcBorders>
              <w:bottom w:val="single" w:sz="12" w:space="0" w:color="000000"/>
            </w:tcBorders>
          </w:tcPr>
          <w:p w14:paraId="7D8B19C9" w14:textId="08A2BE0B"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1450" w:type="dxa"/>
            <w:tcBorders>
              <w:bottom w:val="single" w:sz="12" w:space="0" w:color="000000"/>
            </w:tcBorders>
          </w:tcPr>
          <w:p w14:paraId="5C694095" w14:textId="42210AA9"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798" w:type="dxa"/>
            <w:tcBorders>
              <w:bottom w:val="single" w:sz="12" w:space="0" w:color="000000"/>
            </w:tcBorders>
          </w:tcPr>
          <w:p w14:paraId="5ABEE32B" w14:textId="77777777" w:rsidR="00067972" w:rsidRPr="00E02C4D" w:rsidRDefault="00067972" w:rsidP="001914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r>
    </w:tbl>
    <w:p w14:paraId="68D471F9" w14:textId="77777777" w:rsidR="005C40EF" w:rsidRPr="00E02C4D" w:rsidRDefault="005C40EF" w:rsidP="004D7359">
      <w:pPr>
        <w:jc w:val="both"/>
        <w:rPr>
          <w:rFonts w:ascii="Arial" w:hAnsi="Arial" w:cs="Arial"/>
        </w:rPr>
      </w:pPr>
    </w:p>
    <w:p w14:paraId="76485B81" w14:textId="77777777" w:rsidR="005C40EF" w:rsidRPr="00E02C4D" w:rsidRDefault="005C40EF" w:rsidP="004D7359">
      <w:pPr>
        <w:jc w:val="both"/>
        <w:rPr>
          <w:rFonts w:ascii="Arial" w:hAnsi="Arial" w:cs="Arial"/>
        </w:rPr>
        <w:sectPr w:rsidR="005C40EF" w:rsidRPr="00E02C4D" w:rsidSect="005C40EF">
          <w:pgSz w:w="15840" w:h="12240" w:orient="landscape"/>
          <w:pgMar w:top="1440" w:right="1440" w:bottom="1440" w:left="1440" w:header="720" w:footer="720" w:gutter="0"/>
          <w:cols w:space="720"/>
          <w:docGrid w:linePitch="360"/>
        </w:sectPr>
      </w:pPr>
    </w:p>
    <w:p w14:paraId="5F363DB2" w14:textId="5BB060F4" w:rsidR="00CD149C" w:rsidRPr="00C54070" w:rsidRDefault="00D167C6" w:rsidP="00C54070">
      <w:pPr>
        <w:pStyle w:val="Heading3"/>
        <w:rPr>
          <w:rFonts w:ascii="Arial" w:hAnsi="Arial" w:cs="Arial"/>
          <w:b/>
          <w:bCs/>
          <w:color w:val="auto"/>
          <w:sz w:val="20"/>
          <w:szCs w:val="20"/>
        </w:rPr>
      </w:pPr>
      <w:r w:rsidRPr="00C54070">
        <w:rPr>
          <w:rFonts w:ascii="Arial" w:hAnsi="Arial" w:cs="Arial"/>
          <w:b/>
          <w:bCs/>
          <w:color w:val="auto"/>
          <w:sz w:val="20"/>
          <w:szCs w:val="20"/>
        </w:rPr>
        <w:lastRenderedPageBreak/>
        <w:t>3.1</w:t>
      </w:r>
      <w:r w:rsidR="00C54070" w:rsidRPr="00C54070">
        <w:rPr>
          <w:rFonts w:ascii="Arial" w:hAnsi="Arial" w:cs="Arial"/>
          <w:b/>
          <w:bCs/>
          <w:color w:val="auto"/>
          <w:sz w:val="20"/>
          <w:szCs w:val="20"/>
        </w:rPr>
        <w:t>.1</w:t>
      </w:r>
      <w:r w:rsidRPr="00C54070">
        <w:rPr>
          <w:rFonts w:ascii="Arial" w:hAnsi="Arial" w:cs="Arial"/>
          <w:b/>
          <w:bCs/>
          <w:color w:val="auto"/>
          <w:sz w:val="20"/>
          <w:szCs w:val="20"/>
        </w:rPr>
        <w:t xml:space="preserve"> </w:t>
      </w:r>
      <w:r w:rsidR="00CD149C" w:rsidRPr="00C54070">
        <w:rPr>
          <w:rFonts w:ascii="Arial" w:hAnsi="Arial" w:cs="Arial"/>
          <w:b/>
          <w:bCs/>
          <w:color w:val="auto"/>
          <w:sz w:val="20"/>
          <w:szCs w:val="20"/>
        </w:rPr>
        <w:t>Physicochemical Characteristics of Well Water</w:t>
      </w:r>
    </w:p>
    <w:p w14:paraId="636D8CD8" w14:textId="30F2D502" w:rsidR="00CD149C" w:rsidRPr="0035283C" w:rsidRDefault="00CD149C" w:rsidP="00CD149C">
      <w:pPr>
        <w:jc w:val="both"/>
        <w:rPr>
          <w:rFonts w:ascii="Arial" w:hAnsi="Arial" w:cs="Arial"/>
          <w:sz w:val="20"/>
          <w:szCs w:val="20"/>
        </w:rPr>
      </w:pPr>
      <w:r w:rsidRPr="0035283C">
        <w:rPr>
          <w:rFonts w:ascii="Arial" w:hAnsi="Arial" w:cs="Arial"/>
          <w:sz w:val="20"/>
          <w:szCs w:val="20"/>
        </w:rPr>
        <w:t>The mean pH of the groundwater samples was 5.86 ± 0.71, ranging from 4.94 to 7.40. Among the 27 sampled wells, 19 exhibited pH values below 6.5, indicating predominantly acidic conditions.</w:t>
      </w:r>
      <w:r w:rsidR="00831F2A" w:rsidRPr="0035283C">
        <w:rPr>
          <w:rFonts w:ascii="Arial" w:hAnsi="Arial" w:cs="Arial"/>
          <w:sz w:val="20"/>
          <w:szCs w:val="20"/>
        </w:rPr>
        <w:t xml:space="preserve"> </w:t>
      </w:r>
      <w:r w:rsidRPr="0035283C">
        <w:rPr>
          <w:rFonts w:ascii="Arial" w:hAnsi="Arial" w:cs="Arial"/>
          <w:sz w:val="20"/>
          <w:szCs w:val="20"/>
        </w:rPr>
        <w:t>Electrical conductivity showed a mean value of 248.15 µS/cm, with values ranging from 204 to 307 µS/cm. The average water temperature was 27.04 °C, varying between 23 and 31 °C.</w:t>
      </w:r>
    </w:p>
    <w:p w14:paraId="280F4E62" w14:textId="1C4E7BFA" w:rsidR="00CD149C" w:rsidRPr="0035283C" w:rsidRDefault="00CD149C" w:rsidP="00CD149C">
      <w:pPr>
        <w:jc w:val="both"/>
        <w:rPr>
          <w:rFonts w:ascii="Arial" w:hAnsi="Arial" w:cs="Arial"/>
          <w:sz w:val="20"/>
          <w:szCs w:val="20"/>
        </w:rPr>
      </w:pPr>
      <w:r w:rsidRPr="0035283C">
        <w:rPr>
          <w:rFonts w:ascii="Arial" w:hAnsi="Arial" w:cs="Arial"/>
          <w:b/>
          <w:bCs/>
          <w:sz w:val="20"/>
          <w:szCs w:val="20"/>
        </w:rPr>
        <w:t>Cationic Composition</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The concentrations of major cations showed the following mean values. Calcium (Ca²</w:t>
      </w:r>
      <w:r w:rsidRPr="0035283C">
        <w:rPr>
          <w:rFonts w:ascii="Cambria Math" w:hAnsi="Cambria Math" w:cs="Cambria Math"/>
          <w:sz w:val="20"/>
          <w:szCs w:val="20"/>
        </w:rPr>
        <w:t>⁺</w:t>
      </w:r>
      <w:r w:rsidRPr="0035283C">
        <w:rPr>
          <w:rFonts w:ascii="Arial" w:hAnsi="Arial" w:cs="Arial"/>
          <w:sz w:val="20"/>
          <w:szCs w:val="20"/>
        </w:rPr>
        <w:t>) averaged 43.78 mg/L, with concentrations ranging from 23.0 to 62.3 mg/L. The highest Ca²</w:t>
      </w:r>
      <w:r w:rsidRPr="0035283C">
        <w:rPr>
          <w:rFonts w:ascii="Cambria Math" w:hAnsi="Cambria Math" w:cs="Cambria Math"/>
          <w:sz w:val="20"/>
          <w:szCs w:val="20"/>
        </w:rPr>
        <w:t>⁺</w:t>
      </w:r>
      <w:r w:rsidRPr="0035283C">
        <w:rPr>
          <w:rFonts w:ascii="Arial" w:hAnsi="Arial" w:cs="Arial"/>
          <w:sz w:val="20"/>
          <w:szCs w:val="20"/>
        </w:rPr>
        <w:t xml:space="preserve"> concentrations (&gt; 55.0 mg/L) were recorded in wells </w:t>
      </w:r>
      <w:r w:rsidR="00AC61DC">
        <w:rPr>
          <w:rFonts w:ascii="Arial" w:hAnsi="Arial" w:cs="Arial"/>
          <w:sz w:val="20"/>
          <w:szCs w:val="20"/>
        </w:rPr>
        <w:t>W</w:t>
      </w:r>
      <w:r w:rsidRPr="0035283C">
        <w:rPr>
          <w:rFonts w:ascii="Arial" w:hAnsi="Arial" w:cs="Arial"/>
          <w:sz w:val="20"/>
          <w:szCs w:val="20"/>
        </w:rPr>
        <w:t xml:space="preserve">1, </w:t>
      </w:r>
      <w:r w:rsidR="00AC61DC">
        <w:rPr>
          <w:rFonts w:ascii="Arial" w:hAnsi="Arial" w:cs="Arial"/>
          <w:sz w:val="20"/>
          <w:szCs w:val="20"/>
        </w:rPr>
        <w:t>W</w:t>
      </w:r>
      <w:r w:rsidRPr="0035283C">
        <w:rPr>
          <w:rFonts w:ascii="Arial" w:hAnsi="Arial" w:cs="Arial"/>
          <w:sz w:val="20"/>
          <w:szCs w:val="20"/>
        </w:rPr>
        <w:t xml:space="preserve">8, </w:t>
      </w:r>
      <w:r w:rsidR="00AC61DC">
        <w:rPr>
          <w:rFonts w:ascii="Arial" w:hAnsi="Arial" w:cs="Arial"/>
          <w:sz w:val="20"/>
          <w:szCs w:val="20"/>
        </w:rPr>
        <w:t>W</w:t>
      </w:r>
      <w:r w:rsidRPr="0035283C">
        <w:rPr>
          <w:rFonts w:ascii="Arial" w:hAnsi="Arial" w:cs="Arial"/>
          <w:sz w:val="20"/>
          <w:szCs w:val="20"/>
        </w:rPr>
        <w:t xml:space="preserve">14, </w:t>
      </w:r>
      <w:r w:rsidR="00AC61DC">
        <w:rPr>
          <w:rFonts w:ascii="Arial" w:hAnsi="Arial" w:cs="Arial"/>
          <w:sz w:val="20"/>
          <w:szCs w:val="20"/>
        </w:rPr>
        <w:t>W</w:t>
      </w:r>
      <w:r w:rsidRPr="0035283C">
        <w:rPr>
          <w:rFonts w:ascii="Arial" w:hAnsi="Arial" w:cs="Arial"/>
          <w:sz w:val="20"/>
          <w:szCs w:val="20"/>
        </w:rPr>
        <w:t xml:space="preserve">21, and </w:t>
      </w:r>
      <w:r w:rsidR="00AC61DC">
        <w:rPr>
          <w:rFonts w:ascii="Arial" w:hAnsi="Arial" w:cs="Arial"/>
          <w:sz w:val="20"/>
          <w:szCs w:val="20"/>
        </w:rPr>
        <w:t>W</w:t>
      </w:r>
      <w:r w:rsidRPr="0035283C">
        <w:rPr>
          <w:rFonts w:ascii="Arial" w:hAnsi="Arial" w:cs="Arial"/>
          <w:sz w:val="20"/>
          <w:szCs w:val="20"/>
        </w:rPr>
        <w:t>25. Magnesium (Mg²</w:t>
      </w:r>
      <w:r w:rsidRPr="0035283C">
        <w:rPr>
          <w:rFonts w:ascii="Cambria Math" w:hAnsi="Cambria Math" w:cs="Cambria Math"/>
          <w:sz w:val="20"/>
          <w:szCs w:val="20"/>
        </w:rPr>
        <w:t>⁺</w:t>
      </w:r>
      <w:r w:rsidRPr="0035283C">
        <w:rPr>
          <w:rFonts w:ascii="Arial" w:hAnsi="Arial" w:cs="Arial"/>
          <w:sz w:val="20"/>
          <w:szCs w:val="20"/>
        </w:rPr>
        <w:t>) had a mean concentration of 20.32 mg/L, ranging from 4.5 to 31.0 mg/L. Sodium (Na</w:t>
      </w:r>
      <w:r w:rsidRPr="0035283C">
        <w:rPr>
          <w:rFonts w:ascii="Cambria Math" w:hAnsi="Cambria Math" w:cs="Cambria Math"/>
          <w:sz w:val="20"/>
          <w:szCs w:val="20"/>
        </w:rPr>
        <w:t>⁺</w:t>
      </w:r>
      <w:r w:rsidRPr="0035283C">
        <w:rPr>
          <w:rFonts w:ascii="Arial" w:hAnsi="Arial" w:cs="Arial"/>
          <w:sz w:val="20"/>
          <w:szCs w:val="20"/>
        </w:rPr>
        <w:t>) concentrations averaged 21.00 mg/L (range: 4.5–31.0 mg/L). Potassium (K</w:t>
      </w:r>
      <w:r w:rsidRPr="0035283C">
        <w:rPr>
          <w:rFonts w:ascii="Cambria Math" w:hAnsi="Cambria Math" w:cs="Cambria Math"/>
          <w:sz w:val="20"/>
          <w:szCs w:val="20"/>
        </w:rPr>
        <w:t>⁺</w:t>
      </w:r>
      <w:r w:rsidRPr="0035283C">
        <w:rPr>
          <w:rFonts w:ascii="Arial" w:hAnsi="Arial" w:cs="Arial"/>
          <w:sz w:val="20"/>
          <w:szCs w:val="20"/>
        </w:rPr>
        <w:t>) exhibited low concentrations, with a mean of 0.23 ± 0.09 mg/L and values ranging from 0.05 to 0.33 mg/L.</w:t>
      </w:r>
    </w:p>
    <w:p w14:paraId="75971267" w14:textId="27A11B8E" w:rsidR="00CD149C" w:rsidRPr="0035283C" w:rsidRDefault="00CD149C" w:rsidP="00CD149C">
      <w:pPr>
        <w:jc w:val="both"/>
        <w:rPr>
          <w:rFonts w:ascii="Arial" w:hAnsi="Arial" w:cs="Arial"/>
          <w:sz w:val="20"/>
          <w:szCs w:val="20"/>
        </w:rPr>
      </w:pPr>
      <w:r w:rsidRPr="0035283C">
        <w:rPr>
          <w:rFonts w:ascii="Arial" w:hAnsi="Arial" w:cs="Arial"/>
          <w:b/>
          <w:bCs/>
          <w:sz w:val="20"/>
          <w:szCs w:val="20"/>
        </w:rPr>
        <w:t>Anionic Composition</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Nitrate (NO</w:t>
      </w:r>
      <w:r w:rsidRPr="0035283C">
        <w:rPr>
          <w:rFonts w:ascii="Cambria Math" w:hAnsi="Cambria Math" w:cs="Cambria Math"/>
          <w:sz w:val="20"/>
          <w:szCs w:val="20"/>
        </w:rPr>
        <w:t>₃⁻</w:t>
      </w:r>
      <w:r w:rsidRPr="0035283C">
        <w:rPr>
          <w:rFonts w:ascii="Arial" w:hAnsi="Arial" w:cs="Arial"/>
          <w:sz w:val="20"/>
          <w:szCs w:val="20"/>
        </w:rPr>
        <w:t xml:space="preserve">) concentrations averaged 34.64 ± 8.92 mg/L, with values ranging from 23.0 to 47.8 mg/L. Twenty-two out of 27 wells exhibited nitrate concentrations exceeding 25 mg/L, with the highest levels observed in wells </w:t>
      </w:r>
      <w:r w:rsidR="00AC61DC">
        <w:rPr>
          <w:rFonts w:ascii="Arial" w:hAnsi="Arial" w:cs="Arial"/>
          <w:sz w:val="20"/>
          <w:szCs w:val="20"/>
        </w:rPr>
        <w:t>W</w:t>
      </w:r>
      <w:r w:rsidRPr="0035283C">
        <w:rPr>
          <w:rFonts w:ascii="Arial" w:hAnsi="Arial" w:cs="Arial"/>
          <w:sz w:val="20"/>
          <w:szCs w:val="20"/>
        </w:rPr>
        <w:t xml:space="preserve">3, </w:t>
      </w:r>
      <w:r w:rsidR="00AC61DC">
        <w:rPr>
          <w:rFonts w:ascii="Arial" w:hAnsi="Arial" w:cs="Arial"/>
          <w:sz w:val="20"/>
          <w:szCs w:val="20"/>
        </w:rPr>
        <w:t>W</w:t>
      </w:r>
      <w:r w:rsidRPr="0035283C">
        <w:rPr>
          <w:rFonts w:ascii="Arial" w:hAnsi="Arial" w:cs="Arial"/>
          <w:sz w:val="20"/>
          <w:szCs w:val="20"/>
        </w:rPr>
        <w:t xml:space="preserve">8, and </w:t>
      </w:r>
      <w:r w:rsidR="00AC61DC">
        <w:rPr>
          <w:rFonts w:ascii="Arial" w:hAnsi="Arial" w:cs="Arial"/>
          <w:sz w:val="20"/>
          <w:szCs w:val="20"/>
        </w:rPr>
        <w:t>W</w:t>
      </w:r>
      <w:r w:rsidRPr="0035283C">
        <w:rPr>
          <w:rFonts w:ascii="Arial" w:hAnsi="Arial" w:cs="Arial"/>
          <w:sz w:val="20"/>
          <w:szCs w:val="20"/>
        </w:rPr>
        <w:t>9. Chloride (Cl</w:t>
      </w:r>
      <w:r w:rsidRPr="0035283C">
        <w:rPr>
          <w:rFonts w:ascii="Cambria Math" w:hAnsi="Cambria Math" w:cs="Cambria Math"/>
          <w:sz w:val="20"/>
          <w:szCs w:val="20"/>
        </w:rPr>
        <w:t>⁻</w:t>
      </w:r>
      <w:r w:rsidRPr="0035283C">
        <w:rPr>
          <w:rFonts w:ascii="Arial" w:hAnsi="Arial" w:cs="Arial"/>
          <w:sz w:val="20"/>
          <w:szCs w:val="20"/>
        </w:rPr>
        <w:t>) concentrations showed a mean of 30.26 mg/L, ranging from 4.7 to 45.8 mg/L. Bicarbonate (HCO</w:t>
      </w:r>
      <w:r w:rsidRPr="0035283C">
        <w:rPr>
          <w:rFonts w:ascii="Cambria Math" w:hAnsi="Cambria Math" w:cs="Cambria Math"/>
          <w:sz w:val="20"/>
          <w:szCs w:val="20"/>
        </w:rPr>
        <w:t>₃⁻</w:t>
      </w:r>
      <w:r w:rsidRPr="0035283C">
        <w:rPr>
          <w:rFonts w:ascii="Arial" w:hAnsi="Arial" w:cs="Arial"/>
          <w:sz w:val="20"/>
          <w:szCs w:val="20"/>
        </w:rPr>
        <w:t>) concentrations averaged 27.08 mg/L, with values between 10.29 and 40 mg/L. Sulfate (SO</w:t>
      </w:r>
      <w:r w:rsidRPr="0035283C">
        <w:rPr>
          <w:rFonts w:ascii="Cambria Math" w:hAnsi="Cambria Math" w:cs="Cambria Math"/>
          <w:sz w:val="20"/>
          <w:szCs w:val="20"/>
        </w:rPr>
        <w:t>₄</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 concentrations remained relatively low, with a mean of 9.57 mg/L and a range of 3.89 to 35.90 mg/L. Carbonate (CO</w:t>
      </w:r>
      <w:r w:rsidRPr="0035283C">
        <w:rPr>
          <w:rFonts w:ascii="Cambria Math" w:hAnsi="Cambria Math" w:cs="Cambria Math"/>
          <w:sz w:val="20"/>
          <w:szCs w:val="20"/>
        </w:rPr>
        <w:t>₃</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 concentrations ranged from 4 to 10 mg/L, with a mean value of 6.31 mg/L.</w:t>
      </w:r>
    </w:p>
    <w:p w14:paraId="090EDDED" w14:textId="6B971E70" w:rsidR="00CD149C" w:rsidRPr="0035283C" w:rsidRDefault="00CD149C" w:rsidP="00CD149C">
      <w:pPr>
        <w:jc w:val="both"/>
        <w:rPr>
          <w:rFonts w:ascii="Arial" w:hAnsi="Arial" w:cs="Arial"/>
          <w:sz w:val="20"/>
          <w:szCs w:val="20"/>
        </w:rPr>
      </w:pPr>
      <w:r w:rsidRPr="0035283C">
        <w:rPr>
          <w:rFonts w:ascii="Arial" w:hAnsi="Arial" w:cs="Arial"/>
          <w:b/>
          <w:bCs/>
          <w:sz w:val="20"/>
          <w:szCs w:val="20"/>
        </w:rPr>
        <w:t xml:space="preserve">Total </w:t>
      </w:r>
      <w:r w:rsidR="00BF2457" w:rsidRPr="0035283C">
        <w:rPr>
          <w:rFonts w:ascii="Arial" w:hAnsi="Arial" w:cs="Arial"/>
          <w:b/>
          <w:bCs/>
          <w:sz w:val="20"/>
          <w:szCs w:val="20"/>
        </w:rPr>
        <w:t>Hardness</w:t>
      </w:r>
      <w:r w:rsidR="00BF2457" w:rsidRPr="0035283C">
        <w:rPr>
          <w:rFonts w:ascii="Arial" w:hAnsi="Arial" w:cs="Arial"/>
          <w:sz w:val="20"/>
          <w:szCs w:val="20"/>
        </w:rPr>
        <w:t xml:space="preserve"> (Fig. 2)</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 xml:space="preserve">Total hardness, expressed as </w:t>
      </w:r>
      <w:proofErr w:type="spellStart"/>
      <w:r w:rsidRPr="0035283C">
        <w:rPr>
          <w:rFonts w:ascii="Arial" w:hAnsi="Arial" w:cs="Arial"/>
          <w:sz w:val="20"/>
          <w:szCs w:val="20"/>
        </w:rPr>
        <w:t>CaCO</w:t>
      </w:r>
      <w:proofErr w:type="spellEnd"/>
      <w:r w:rsidRPr="0035283C">
        <w:rPr>
          <w:rFonts w:ascii="Cambria Math" w:hAnsi="Cambria Math" w:cs="Cambria Math"/>
          <w:sz w:val="20"/>
          <w:szCs w:val="20"/>
        </w:rPr>
        <w:t>₃</w:t>
      </w:r>
      <w:r w:rsidRPr="0035283C">
        <w:rPr>
          <w:rFonts w:ascii="Arial" w:hAnsi="Arial" w:cs="Arial"/>
          <w:sz w:val="20"/>
          <w:szCs w:val="20"/>
        </w:rPr>
        <w:t xml:space="preserve"> equivalent, ranged from 75.95 to 260.5 mg/L, with an average value of 192.74 mg/L. The highest hardness values (&gt; 235.0 mg/L) were recorded in wells </w:t>
      </w:r>
      <w:r w:rsidR="00AC61DC">
        <w:rPr>
          <w:rFonts w:ascii="Arial" w:hAnsi="Arial" w:cs="Arial"/>
          <w:sz w:val="20"/>
          <w:szCs w:val="20"/>
        </w:rPr>
        <w:t>W</w:t>
      </w:r>
      <w:r w:rsidRPr="0035283C">
        <w:rPr>
          <w:rFonts w:ascii="Arial" w:hAnsi="Arial" w:cs="Arial"/>
          <w:sz w:val="20"/>
          <w:szCs w:val="20"/>
        </w:rPr>
        <w:t xml:space="preserve">18, </w:t>
      </w:r>
      <w:r w:rsidR="00AC61DC">
        <w:rPr>
          <w:rFonts w:ascii="Arial" w:hAnsi="Arial" w:cs="Arial"/>
          <w:sz w:val="20"/>
          <w:szCs w:val="20"/>
        </w:rPr>
        <w:t>W</w:t>
      </w:r>
      <w:r w:rsidRPr="0035283C">
        <w:rPr>
          <w:rFonts w:ascii="Arial" w:hAnsi="Arial" w:cs="Arial"/>
          <w:sz w:val="20"/>
          <w:szCs w:val="20"/>
        </w:rPr>
        <w:t xml:space="preserve">20, </w:t>
      </w:r>
      <w:r w:rsidR="00AC61DC">
        <w:rPr>
          <w:rFonts w:ascii="Arial" w:hAnsi="Arial" w:cs="Arial"/>
          <w:sz w:val="20"/>
          <w:szCs w:val="20"/>
        </w:rPr>
        <w:t>W</w:t>
      </w:r>
      <w:r w:rsidRPr="0035283C">
        <w:rPr>
          <w:rFonts w:ascii="Arial" w:hAnsi="Arial" w:cs="Arial"/>
          <w:sz w:val="20"/>
          <w:szCs w:val="20"/>
        </w:rPr>
        <w:t xml:space="preserve">21, and </w:t>
      </w:r>
      <w:r w:rsidR="00AC61DC">
        <w:rPr>
          <w:rFonts w:ascii="Arial" w:hAnsi="Arial" w:cs="Arial"/>
          <w:sz w:val="20"/>
          <w:szCs w:val="20"/>
        </w:rPr>
        <w:t>W</w:t>
      </w:r>
      <w:r w:rsidRPr="0035283C">
        <w:rPr>
          <w:rFonts w:ascii="Arial" w:hAnsi="Arial" w:cs="Arial"/>
          <w:sz w:val="20"/>
          <w:szCs w:val="20"/>
        </w:rPr>
        <w:t xml:space="preserve">23, whereas wells </w:t>
      </w:r>
      <w:r w:rsidR="00AC61DC">
        <w:rPr>
          <w:rFonts w:ascii="Arial" w:hAnsi="Arial" w:cs="Arial"/>
          <w:sz w:val="20"/>
          <w:szCs w:val="20"/>
        </w:rPr>
        <w:t>W</w:t>
      </w:r>
      <w:r w:rsidRPr="0035283C">
        <w:rPr>
          <w:rFonts w:ascii="Arial" w:hAnsi="Arial" w:cs="Arial"/>
          <w:sz w:val="20"/>
          <w:szCs w:val="20"/>
        </w:rPr>
        <w:t xml:space="preserve">3 and </w:t>
      </w:r>
      <w:r w:rsidR="00AC61DC">
        <w:rPr>
          <w:rFonts w:ascii="Arial" w:hAnsi="Arial" w:cs="Arial"/>
          <w:sz w:val="20"/>
          <w:szCs w:val="20"/>
        </w:rPr>
        <w:t>W</w:t>
      </w:r>
      <w:r w:rsidRPr="0035283C">
        <w:rPr>
          <w:rFonts w:ascii="Arial" w:hAnsi="Arial" w:cs="Arial"/>
          <w:sz w:val="20"/>
          <w:szCs w:val="20"/>
        </w:rPr>
        <w:t>5 exhibited the lowest hardness levels, although still exceeding 75.0 mg/L.</w:t>
      </w:r>
    </w:p>
    <w:p w14:paraId="166F0BFA" w14:textId="6486EB8F" w:rsidR="00CD149C" w:rsidRPr="0035283C" w:rsidRDefault="00CD149C" w:rsidP="00CD149C">
      <w:pPr>
        <w:jc w:val="both"/>
        <w:rPr>
          <w:rFonts w:ascii="Arial" w:hAnsi="Arial" w:cs="Arial"/>
          <w:sz w:val="20"/>
          <w:szCs w:val="20"/>
        </w:rPr>
      </w:pPr>
      <w:r w:rsidRPr="0035283C">
        <w:rPr>
          <w:rFonts w:ascii="Arial" w:hAnsi="Arial" w:cs="Arial"/>
          <w:b/>
          <w:bCs/>
          <w:sz w:val="20"/>
          <w:szCs w:val="20"/>
        </w:rPr>
        <w:t xml:space="preserve">Characteristic </w:t>
      </w:r>
      <w:r w:rsidR="0035283C" w:rsidRPr="0035283C">
        <w:rPr>
          <w:rFonts w:ascii="Arial" w:hAnsi="Arial" w:cs="Arial"/>
          <w:b/>
          <w:bCs/>
          <w:sz w:val="20"/>
          <w:szCs w:val="20"/>
        </w:rPr>
        <w:t>i</w:t>
      </w:r>
      <w:r w:rsidRPr="0035283C">
        <w:rPr>
          <w:rFonts w:ascii="Arial" w:hAnsi="Arial" w:cs="Arial"/>
          <w:b/>
          <w:bCs/>
          <w:sz w:val="20"/>
          <w:szCs w:val="20"/>
        </w:rPr>
        <w:t xml:space="preserve">onic </w:t>
      </w:r>
      <w:r w:rsidR="0035283C" w:rsidRPr="0035283C">
        <w:rPr>
          <w:rFonts w:ascii="Arial" w:hAnsi="Arial" w:cs="Arial"/>
          <w:b/>
          <w:bCs/>
          <w:sz w:val="20"/>
          <w:szCs w:val="20"/>
        </w:rPr>
        <w:t>r</w:t>
      </w:r>
      <w:r w:rsidRPr="0035283C">
        <w:rPr>
          <w:rFonts w:ascii="Arial" w:hAnsi="Arial" w:cs="Arial"/>
          <w:b/>
          <w:bCs/>
          <w:sz w:val="20"/>
          <w:szCs w:val="20"/>
        </w:rPr>
        <w:t>atios</w:t>
      </w:r>
      <w:r w:rsidRPr="0035283C">
        <w:rPr>
          <w:rFonts w:ascii="Arial" w:hAnsi="Arial" w:cs="Arial"/>
          <w:sz w:val="20"/>
          <w:szCs w:val="20"/>
        </w:rPr>
        <w:t xml:space="preserve"> (Fig</w:t>
      </w:r>
      <w:r w:rsidR="00831F2A" w:rsidRPr="0035283C">
        <w:rPr>
          <w:rFonts w:ascii="Arial" w:hAnsi="Arial" w:cs="Arial"/>
          <w:sz w:val="20"/>
          <w:szCs w:val="20"/>
        </w:rPr>
        <w:t>.</w:t>
      </w:r>
      <w:r w:rsidRPr="0035283C">
        <w:rPr>
          <w:rFonts w:ascii="Arial" w:hAnsi="Arial" w:cs="Arial"/>
          <w:sz w:val="20"/>
          <w:szCs w:val="20"/>
        </w:rPr>
        <w:t xml:space="preserve"> </w:t>
      </w:r>
      <w:r w:rsidR="00831F2A" w:rsidRPr="0035283C">
        <w:rPr>
          <w:rFonts w:ascii="Arial" w:hAnsi="Arial" w:cs="Arial"/>
          <w:sz w:val="20"/>
          <w:szCs w:val="20"/>
        </w:rPr>
        <w:t>2</w:t>
      </w:r>
      <w:r w:rsidRPr="0035283C">
        <w:rPr>
          <w:rFonts w:ascii="Arial" w:hAnsi="Arial" w:cs="Arial"/>
          <w:sz w:val="20"/>
          <w:szCs w:val="20"/>
        </w:rPr>
        <w:t>)</w:t>
      </w:r>
      <w:r w:rsidR="00831F2A" w:rsidRPr="0035283C">
        <w:rPr>
          <w:rFonts w:ascii="Arial" w:hAnsi="Arial" w:cs="Arial"/>
          <w:sz w:val="20"/>
          <w:szCs w:val="20"/>
        </w:rPr>
        <w:t xml:space="preserve">: </w:t>
      </w:r>
      <w:r w:rsidRPr="0035283C">
        <w:rPr>
          <w:rFonts w:ascii="Arial" w:hAnsi="Arial" w:cs="Arial"/>
          <w:sz w:val="20"/>
          <w:szCs w:val="20"/>
        </w:rPr>
        <w:t>The mean value of the (Na</w:t>
      </w:r>
      <w:r w:rsidRPr="0035283C">
        <w:rPr>
          <w:rFonts w:ascii="Cambria Math" w:hAnsi="Cambria Math" w:cs="Cambria Math"/>
          <w:sz w:val="20"/>
          <w:szCs w:val="20"/>
        </w:rPr>
        <w:t>⁺</w:t>
      </w:r>
      <w:r w:rsidRPr="0035283C">
        <w:rPr>
          <w:rFonts w:ascii="Arial" w:hAnsi="Arial" w:cs="Arial"/>
          <w:sz w:val="20"/>
          <w:szCs w:val="20"/>
        </w:rPr>
        <w:t xml:space="preserve"> + K</w:t>
      </w:r>
      <w:r w:rsidRPr="0035283C">
        <w:rPr>
          <w:rFonts w:ascii="Cambria Math" w:hAnsi="Cambria Math" w:cs="Cambria Math"/>
          <w:sz w:val="20"/>
          <w:szCs w:val="20"/>
        </w:rPr>
        <w:t>⁺</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was 0.83, with values ranging from 0.11 to 2.10. The NO</w:t>
      </w:r>
      <w:r w:rsidRPr="0035283C">
        <w:rPr>
          <w:rFonts w:ascii="Cambria Math" w:hAnsi="Cambria Math" w:cs="Cambria Math"/>
          <w:sz w:val="20"/>
          <w:szCs w:val="20"/>
        </w:rPr>
        <w:t>₃⁻</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showed a mean of 1.58, with 55.56% of the wells exhibiting ratios greater than 1. The SO</w:t>
      </w:r>
      <w:r w:rsidRPr="0035283C">
        <w:rPr>
          <w:rFonts w:ascii="Cambria Math" w:hAnsi="Cambria Math" w:cs="Cambria Math"/>
          <w:sz w:val="20"/>
          <w:szCs w:val="20"/>
        </w:rPr>
        <w:t>₄</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displayed a mean value of 0.74, while the average Ca²</w:t>
      </w:r>
      <w:r w:rsidRPr="0035283C">
        <w:rPr>
          <w:rFonts w:ascii="Cambria Math" w:hAnsi="Cambria Math" w:cs="Cambria Math"/>
          <w:sz w:val="20"/>
          <w:szCs w:val="20"/>
        </w:rPr>
        <w:t>⁺</w:t>
      </w:r>
      <w:r w:rsidRPr="0035283C">
        <w:rPr>
          <w:rFonts w:ascii="Arial" w:hAnsi="Arial" w:cs="Arial"/>
          <w:sz w:val="20"/>
          <w:szCs w:val="20"/>
        </w:rPr>
        <w:t>/Mg²</w:t>
      </w:r>
      <w:r w:rsidRPr="0035283C">
        <w:rPr>
          <w:rFonts w:ascii="Cambria Math" w:hAnsi="Cambria Math" w:cs="Cambria Math"/>
          <w:sz w:val="20"/>
          <w:szCs w:val="20"/>
        </w:rPr>
        <w:t>⁺</w:t>
      </w:r>
      <w:r w:rsidRPr="0035283C">
        <w:rPr>
          <w:rFonts w:ascii="Arial" w:hAnsi="Arial" w:cs="Arial"/>
          <w:sz w:val="20"/>
          <w:szCs w:val="20"/>
        </w:rPr>
        <w:t xml:space="preserve"> ratio was 2.86.</w:t>
      </w:r>
    </w:p>
    <w:p w14:paraId="03669FF4" w14:textId="55E55D79" w:rsidR="00CD149C" w:rsidRPr="0035283C" w:rsidRDefault="00CD149C" w:rsidP="00CD149C">
      <w:pPr>
        <w:jc w:val="both"/>
        <w:rPr>
          <w:rFonts w:ascii="Arial" w:hAnsi="Arial" w:cs="Arial"/>
          <w:sz w:val="20"/>
          <w:szCs w:val="20"/>
        </w:rPr>
      </w:pPr>
      <w:r w:rsidRPr="00BF2457">
        <w:rPr>
          <w:rFonts w:ascii="Arial" w:hAnsi="Arial" w:cs="Arial"/>
          <w:b/>
          <w:bCs/>
          <w:sz w:val="20"/>
          <w:szCs w:val="20"/>
        </w:rPr>
        <w:t>Hydrochemical Classification</w:t>
      </w:r>
      <w:r w:rsidRPr="0035283C">
        <w:rPr>
          <w:rFonts w:ascii="Arial" w:hAnsi="Arial" w:cs="Arial"/>
          <w:sz w:val="20"/>
          <w:szCs w:val="20"/>
        </w:rPr>
        <w:t xml:space="preserve"> (</w:t>
      </w:r>
      <w:r w:rsidR="00831F2A" w:rsidRPr="0035283C">
        <w:rPr>
          <w:rFonts w:ascii="Arial" w:hAnsi="Arial" w:cs="Arial"/>
          <w:sz w:val="20"/>
          <w:szCs w:val="20"/>
        </w:rPr>
        <w:t>Fig.3</w:t>
      </w:r>
      <w:r w:rsidRPr="0035283C">
        <w:rPr>
          <w:rFonts w:ascii="Arial" w:hAnsi="Arial" w:cs="Arial"/>
          <w:sz w:val="20"/>
          <w:szCs w:val="20"/>
        </w:rPr>
        <w:t>)</w:t>
      </w:r>
      <w:r w:rsidR="00831F2A" w:rsidRPr="0035283C">
        <w:rPr>
          <w:rFonts w:ascii="Arial" w:hAnsi="Arial" w:cs="Arial"/>
          <w:sz w:val="20"/>
          <w:szCs w:val="20"/>
        </w:rPr>
        <w:t xml:space="preserve">: </w:t>
      </w:r>
      <w:r w:rsidRPr="0035283C">
        <w:rPr>
          <w:rFonts w:ascii="Arial" w:hAnsi="Arial" w:cs="Arial"/>
          <w:sz w:val="20"/>
          <w:szCs w:val="20"/>
        </w:rPr>
        <w:t>The Piper diagram (Figure 2) indicates that the well waters are mainly distributed between two hydrochemical facies: sodium–potassium chloride or sodium sulfate facies, and calcium–magnesium chloride or calcium–magnesium sulfate facies. Most samples plot within the central field of the diagram, reflecting mixed cationic composition without a dominant single ion.</w:t>
      </w:r>
      <w:r w:rsidR="00831F2A" w:rsidRPr="0035283C">
        <w:rPr>
          <w:rFonts w:ascii="Arial" w:hAnsi="Arial" w:cs="Arial"/>
          <w:sz w:val="20"/>
          <w:szCs w:val="20"/>
        </w:rPr>
        <w:t xml:space="preserve"> </w:t>
      </w:r>
      <w:r w:rsidRPr="0035283C">
        <w:rPr>
          <w:rFonts w:ascii="Arial" w:hAnsi="Arial" w:cs="Arial"/>
          <w:sz w:val="20"/>
          <w:szCs w:val="20"/>
        </w:rPr>
        <w:t>A noticeable dispersion is observed along the cationic axis, with some samples tending toward the calcium (Ca²</w:t>
      </w:r>
      <w:r w:rsidRPr="0035283C">
        <w:rPr>
          <w:rFonts w:ascii="Cambria Math" w:hAnsi="Cambria Math" w:cs="Cambria Math"/>
          <w:sz w:val="20"/>
          <w:szCs w:val="20"/>
        </w:rPr>
        <w:t>⁺</w:t>
      </w:r>
      <w:r w:rsidRPr="0035283C">
        <w:rPr>
          <w:rFonts w:ascii="Arial" w:hAnsi="Arial" w:cs="Arial"/>
          <w:sz w:val="20"/>
          <w:szCs w:val="20"/>
        </w:rPr>
        <w:t>) pole, while others shift toward the sodium (Na</w:t>
      </w:r>
      <w:r w:rsidRPr="0035283C">
        <w:rPr>
          <w:rFonts w:ascii="Cambria Math" w:hAnsi="Cambria Math" w:cs="Cambria Math"/>
          <w:sz w:val="20"/>
          <w:szCs w:val="20"/>
        </w:rPr>
        <w:t>⁺</w:t>
      </w:r>
      <w:r w:rsidRPr="0035283C">
        <w:rPr>
          <w:rFonts w:ascii="Arial" w:hAnsi="Arial" w:cs="Arial"/>
          <w:sz w:val="20"/>
          <w:szCs w:val="20"/>
        </w:rPr>
        <w:t>) pole. On the anionic side, most samples cluster near the bicarbonate (HCO</w:t>
      </w:r>
      <w:r w:rsidRPr="0035283C">
        <w:rPr>
          <w:rFonts w:ascii="Cambria Math" w:hAnsi="Cambria Math" w:cs="Cambria Math"/>
          <w:sz w:val="20"/>
          <w:szCs w:val="20"/>
        </w:rPr>
        <w:t>₃⁻</w:t>
      </w:r>
      <w:r w:rsidRPr="0035283C">
        <w:rPr>
          <w:rFonts w:ascii="Arial" w:hAnsi="Arial" w:cs="Arial"/>
          <w:sz w:val="20"/>
          <w:szCs w:val="20"/>
        </w:rPr>
        <w:t>) field. A distinct subgroup of samples, corresponding to wells with the highest chloride and nitrate concentrations, deviates toward the anionic sector dominated by chloride (Cl</w:t>
      </w:r>
      <w:r w:rsidRPr="0035283C">
        <w:rPr>
          <w:rFonts w:ascii="Cambria Math" w:hAnsi="Cambria Math" w:cs="Cambria Math"/>
          <w:sz w:val="20"/>
          <w:szCs w:val="20"/>
        </w:rPr>
        <w:t>⁻</w:t>
      </w:r>
      <w:r w:rsidRPr="0035283C">
        <w:rPr>
          <w:rFonts w:ascii="Arial" w:hAnsi="Arial" w:cs="Arial"/>
          <w:sz w:val="20"/>
          <w:szCs w:val="20"/>
        </w:rPr>
        <w:t>) and nitrate (NO</w:t>
      </w:r>
      <w:r w:rsidRPr="0035283C">
        <w:rPr>
          <w:rFonts w:ascii="Cambria Math" w:hAnsi="Cambria Math" w:cs="Cambria Math"/>
          <w:sz w:val="20"/>
          <w:szCs w:val="20"/>
        </w:rPr>
        <w:t>₃⁻</w:t>
      </w:r>
      <w:r w:rsidRPr="0035283C">
        <w:rPr>
          <w:rFonts w:ascii="Arial" w:hAnsi="Arial" w:cs="Arial"/>
          <w:sz w:val="20"/>
          <w:szCs w:val="20"/>
        </w:rPr>
        <w:t>).</w:t>
      </w:r>
    </w:p>
    <w:p w14:paraId="446C78A0" w14:textId="4C45DE57" w:rsidR="004D7359" w:rsidRPr="00E02C4D" w:rsidRDefault="00A872E9" w:rsidP="00A872E9">
      <w:pPr>
        <w:jc w:val="center"/>
        <w:rPr>
          <w:rFonts w:ascii="Arial" w:hAnsi="Arial" w:cs="Arial"/>
        </w:rPr>
      </w:pPr>
      <w:r w:rsidRPr="00E02C4D">
        <w:rPr>
          <w:rFonts w:ascii="Arial" w:hAnsi="Arial" w:cs="Arial"/>
        </w:rPr>
        <w:object w:dxaOrig="9341" w:dyaOrig="10236" w14:anchorId="105C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pt;height:427pt" o:ole="">
            <v:imagedata r:id="rId15" o:title=""/>
          </v:shape>
          <o:OLEObject Type="Embed" ProgID="Prism9.Document" ShapeID="_x0000_i1025" DrawAspect="Content" ObjectID="_1833632086" r:id="rId16"/>
        </w:object>
      </w:r>
    </w:p>
    <w:p w14:paraId="348321CA" w14:textId="2B82CE07" w:rsidR="00D7127B" w:rsidRPr="00AB5F19" w:rsidRDefault="00D7127B" w:rsidP="00D7127B">
      <w:pPr>
        <w:rPr>
          <w:rFonts w:ascii="Arial" w:hAnsi="Arial" w:cs="Arial"/>
          <w:b/>
          <w:bCs/>
          <w:sz w:val="20"/>
          <w:szCs w:val="20"/>
        </w:rPr>
      </w:pPr>
      <w:r w:rsidRPr="00AB5F19">
        <w:rPr>
          <w:rFonts w:ascii="Arial" w:hAnsi="Arial" w:cs="Arial"/>
          <w:b/>
          <w:bCs/>
          <w:sz w:val="20"/>
          <w:szCs w:val="20"/>
        </w:rPr>
        <w:t>Fig</w:t>
      </w:r>
      <w:r w:rsidR="00523F8C" w:rsidRPr="00AB5F19">
        <w:rPr>
          <w:rFonts w:ascii="Arial" w:hAnsi="Arial" w:cs="Arial"/>
          <w:b/>
          <w:bCs/>
          <w:sz w:val="20"/>
          <w:szCs w:val="20"/>
        </w:rPr>
        <w:t>.</w:t>
      </w:r>
      <w:r w:rsidRPr="00AB5F19">
        <w:rPr>
          <w:rFonts w:ascii="Arial" w:hAnsi="Arial" w:cs="Arial"/>
          <w:b/>
          <w:bCs/>
          <w:sz w:val="20"/>
          <w:szCs w:val="20"/>
        </w:rPr>
        <w:t xml:space="preserve"> 2: </w:t>
      </w:r>
      <w:r w:rsidR="00382D9D" w:rsidRPr="00AB5F19">
        <w:rPr>
          <w:rFonts w:ascii="Arial" w:hAnsi="Arial" w:cs="Arial"/>
          <w:b/>
          <w:bCs/>
          <w:sz w:val="20"/>
          <w:szCs w:val="20"/>
        </w:rPr>
        <w:t xml:space="preserve">Characteristic ionic ratios (a) and Total hardness, expressed as </w:t>
      </w:r>
      <w:proofErr w:type="spellStart"/>
      <w:r w:rsidR="00382D9D" w:rsidRPr="00AB5F19">
        <w:rPr>
          <w:rFonts w:ascii="Arial" w:hAnsi="Arial" w:cs="Arial"/>
          <w:b/>
          <w:bCs/>
          <w:sz w:val="20"/>
          <w:szCs w:val="20"/>
        </w:rPr>
        <w:t>CaCO</w:t>
      </w:r>
      <w:proofErr w:type="spellEnd"/>
      <w:r w:rsidR="00382D9D" w:rsidRPr="00AB5F19">
        <w:rPr>
          <w:rFonts w:ascii="Cambria Math" w:hAnsi="Cambria Math" w:cs="Cambria Math"/>
          <w:b/>
          <w:bCs/>
          <w:sz w:val="20"/>
          <w:szCs w:val="20"/>
        </w:rPr>
        <w:t>₃</w:t>
      </w:r>
      <w:r w:rsidR="00382D9D" w:rsidRPr="00AB5F19">
        <w:rPr>
          <w:rFonts w:ascii="Arial" w:hAnsi="Arial" w:cs="Arial"/>
          <w:b/>
          <w:bCs/>
          <w:sz w:val="20"/>
          <w:szCs w:val="20"/>
        </w:rPr>
        <w:t xml:space="preserve"> equivalent (b) </w:t>
      </w:r>
    </w:p>
    <w:p w14:paraId="45B20BD1" w14:textId="77777777" w:rsidR="004D7359" w:rsidRPr="00E02C4D" w:rsidRDefault="004D7359" w:rsidP="004D7359">
      <w:pPr>
        <w:jc w:val="both"/>
        <w:rPr>
          <w:rFonts w:ascii="Arial" w:hAnsi="Arial" w:cs="Arial"/>
        </w:rPr>
      </w:pPr>
    </w:p>
    <w:p w14:paraId="33A6DA7B" w14:textId="77777777" w:rsidR="00B64632" w:rsidRPr="00E02C4D" w:rsidRDefault="00B64632" w:rsidP="00E2205D">
      <w:pPr>
        <w:jc w:val="both"/>
        <w:rPr>
          <w:rFonts w:ascii="Arial" w:hAnsi="Arial" w:cs="Arial"/>
          <w:noProof/>
          <w:sz w:val="20"/>
          <w:szCs w:val="20"/>
          <w:lang w:eastAsia="fr-FR"/>
        </w:rPr>
      </w:pPr>
    </w:p>
    <w:p w14:paraId="77DCA5D4" w14:textId="22742122" w:rsidR="00B71B50" w:rsidRPr="00E02C4D" w:rsidRDefault="00B64632" w:rsidP="00E2205D">
      <w:pPr>
        <w:jc w:val="both"/>
        <w:rPr>
          <w:rFonts w:ascii="Arial" w:hAnsi="Arial" w:cs="Arial"/>
          <w:sz w:val="20"/>
          <w:szCs w:val="20"/>
        </w:rPr>
      </w:pPr>
      <w:r w:rsidRPr="00E02C4D">
        <w:rPr>
          <w:rFonts w:ascii="Arial" w:hAnsi="Arial" w:cs="Arial"/>
          <w:noProof/>
        </w:rPr>
        <w:lastRenderedPageBreak/>
        <w:drawing>
          <wp:inline distT="0" distB="0" distL="0" distR="0" wp14:anchorId="2BF88117" wp14:editId="09681F90">
            <wp:extent cx="5081081" cy="3725583"/>
            <wp:effectExtent l="0" t="0" r="5715" b="8255"/>
            <wp:docPr id="4" name="Image 3">
              <a:extLst xmlns:a="http://schemas.openxmlformats.org/drawingml/2006/main">
                <a:ext uri="{FF2B5EF4-FFF2-40B4-BE49-F238E27FC236}">
                  <a16:creationId xmlns:a16="http://schemas.microsoft.com/office/drawing/2014/main" id="{75E52080-4E66-BE90-A09F-22FD99151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5E52080-4E66-BE90-A09F-22FD991518BA}"/>
                        </a:ext>
                      </a:extLst>
                    </pic:cNvPr>
                    <pic:cNvPicPr>
                      <a:picLocks noChangeAspect="1"/>
                    </pic:cNvPicPr>
                  </pic:nvPicPr>
                  <pic:blipFill>
                    <a:blip r:embed="rId17">
                      <a:extLst>
                        <a:ext uri="{28A0092B-C50C-407E-A947-70E740481C1C}">
                          <a14:useLocalDpi xmlns:a14="http://schemas.microsoft.com/office/drawing/2010/main" val="0"/>
                        </a:ext>
                      </a:extLst>
                    </a:blip>
                    <a:srcRect t="7175" r="6782" b="3145"/>
                    <a:stretch>
                      <a:fillRect/>
                    </a:stretch>
                  </pic:blipFill>
                  <pic:spPr bwMode="auto">
                    <a:xfrm>
                      <a:off x="0" y="0"/>
                      <a:ext cx="5090273" cy="3732323"/>
                    </a:xfrm>
                    <a:prstGeom prst="rect">
                      <a:avLst/>
                    </a:prstGeom>
                    <a:noFill/>
                  </pic:spPr>
                </pic:pic>
              </a:graphicData>
            </a:graphic>
          </wp:inline>
        </w:drawing>
      </w:r>
      <w:r w:rsidR="00E2205D" w:rsidRPr="00E02C4D">
        <w:rPr>
          <w:rFonts w:ascii="Arial" w:hAnsi="Arial" w:cs="Arial"/>
        </w:rPr>
        <w:br/>
      </w:r>
      <w:r w:rsidR="00E2205D" w:rsidRPr="00BF2457">
        <w:rPr>
          <w:rFonts w:ascii="Arial" w:hAnsi="Arial" w:cs="Arial"/>
          <w:b/>
          <w:bCs/>
          <w:sz w:val="20"/>
          <w:szCs w:val="20"/>
        </w:rPr>
        <w:t>Fig</w:t>
      </w:r>
      <w:r w:rsidR="00BF2457" w:rsidRPr="00BF2457">
        <w:rPr>
          <w:rFonts w:ascii="Arial" w:hAnsi="Arial" w:cs="Arial"/>
          <w:b/>
          <w:bCs/>
          <w:sz w:val="20"/>
          <w:szCs w:val="20"/>
        </w:rPr>
        <w:t xml:space="preserve">. </w:t>
      </w:r>
      <w:r w:rsidR="00D7127B" w:rsidRPr="00BF2457">
        <w:rPr>
          <w:rFonts w:ascii="Arial" w:hAnsi="Arial" w:cs="Arial"/>
          <w:b/>
          <w:bCs/>
          <w:sz w:val="20"/>
          <w:szCs w:val="20"/>
        </w:rPr>
        <w:t>3</w:t>
      </w:r>
      <w:r w:rsidR="00E2205D" w:rsidRPr="00BF2457">
        <w:rPr>
          <w:rFonts w:ascii="Arial" w:hAnsi="Arial" w:cs="Arial"/>
          <w:b/>
          <w:bCs/>
          <w:sz w:val="20"/>
          <w:szCs w:val="20"/>
        </w:rPr>
        <w:t>: Classification of well water using Piper diagram</w:t>
      </w:r>
    </w:p>
    <w:p w14:paraId="5A59FB6C" w14:textId="6555D6C1" w:rsidR="0018164A" w:rsidRPr="00C54070" w:rsidRDefault="00BF2457" w:rsidP="00C54070">
      <w:pPr>
        <w:pStyle w:val="Heading3"/>
        <w:rPr>
          <w:rFonts w:ascii="Arial" w:hAnsi="Arial" w:cs="Arial"/>
          <w:b/>
          <w:bCs/>
          <w:color w:val="auto"/>
          <w:sz w:val="20"/>
          <w:szCs w:val="20"/>
        </w:rPr>
      </w:pPr>
      <w:r w:rsidRPr="00C54070">
        <w:rPr>
          <w:rFonts w:ascii="Arial" w:hAnsi="Arial" w:cs="Arial"/>
          <w:b/>
          <w:bCs/>
          <w:color w:val="auto"/>
          <w:sz w:val="20"/>
          <w:szCs w:val="20"/>
        </w:rPr>
        <w:t>3.</w:t>
      </w:r>
      <w:r w:rsidR="00C54070" w:rsidRPr="00C54070">
        <w:rPr>
          <w:rFonts w:ascii="Arial" w:hAnsi="Arial" w:cs="Arial"/>
          <w:b/>
          <w:bCs/>
          <w:color w:val="auto"/>
          <w:sz w:val="20"/>
          <w:szCs w:val="20"/>
        </w:rPr>
        <w:t>1.</w:t>
      </w:r>
      <w:r w:rsidRPr="00C54070">
        <w:rPr>
          <w:rFonts w:ascii="Arial" w:hAnsi="Arial" w:cs="Arial"/>
          <w:b/>
          <w:bCs/>
          <w:color w:val="auto"/>
          <w:sz w:val="20"/>
          <w:szCs w:val="20"/>
        </w:rPr>
        <w:t xml:space="preserve">2 </w:t>
      </w:r>
      <w:r w:rsidR="0018164A" w:rsidRPr="00C54070">
        <w:rPr>
          <w:rFonts w:ascii="Arial" w:hAnsi="Arial" w:cs="Arial"/>
          <w:b/>
          <w:bCs/>
          <w:color w:val="auto"/>
          <w:sz w:val="20"/>
          <w:szCs w:val="20"/>
        </w:rPr>
        <w:t>Results of Bacteriological Analyses</w:t>
      </w:r>
    </w:p>
    <w:p w14:paraId="490F4B1B" w14:textId="2FE40CC8" w:rsidR="0018164A" w:rsidRPr="0013193F" w:rsidRDefault="0018164A" w:rsidP="0018164A">
      <w:pPr>
        <w:jc w:val="both"/>
        <w:rPr>
          <w:rFonts w:ascii="Arial" w:hAnsi="Arial" w:cs="Arial"/>
          <w:sz w:val="20"/>
          <w:szCs w:val="20"/>
        </w:rPr>
      </w:pPr>
      <w:r w:rsidRPr="0013193F">
        <w:rPr>
          <w:rFonts w:ascii="Arial" w:hAnsi="Arial" w:cs="Arial"/>
          <w:sz w:val="20"/>
          <w:szCs w:val="20"/>
        </w:rPr>
        <w:t>The microbiological analyses of well water samples, revealed a systematic presence of fecal contamination indicators in all sampled wells.</w:t>
      </w:r>
    </w:p>
    <w:p w14:paraId="08A8BF7A" w14:textId="4C0D4321" w:rsidR="0018164A" w:rsidRPr="0013193F" w:rsidRDefault="0018164A" w:rsidP="0018164A">
      <w:pPr>
        <w:jc w:val="both"/>
        <w:rPr>
          <w:rFonts w:ascii="Arial" w:hAnsi="Arial" w:cs="Arial"/>
          <w:sz w:val="20"/>
          <w:szCs w:val="20"/>
        </w:rPr>
      </w:pPr>
      <w:r w:rsidRPr="0013193F">
        <w:rPr>
          <w:rFonts w:ascii="Arial" w:hAnsi="Arial" w:cs="Arial"/>
          <w:i/>
          <w:iCs/>
          <w:sz w:val="20"/>
          <w:szCs w:val="20"/>
        </w:rPr>
        <w:t>Escherichia coli</w:t>
      </w:r>
      <w:r w:rsidRPr="0013193F">
        <w:rPr>
          <w:rFonts w:ascii="Arial" w:hAnsi="Arial" w:cs="Arial"/>
          <w:sz w:val="20"/>
          <w:szCs w:val="20"/>
        </w:rPr>
        <w:t xml:space="preserve"> </w:t>
      </w:r>
      <w:r w:rsidR="00897748" w:rsidRPr="0013193F">
        <w:rPr>
          <w:rFonts w:ascii="Arial" w:hAnsi="Arial" w:cs="Arial"/>
          <w:sz w:val="20"/>
          <w:szCs w:val="20"/>
        </w:rPr>
        <w:t xml:space="preserve">(EC) </w:t>
      </w:r>
      <w:r w:rsidRPr="0013193F">
        <w:rPr>
          <w:rFonts w:ascii="Arial" w:hAnsi="Arial" w:cs="Arial"/>
          <w:sz w:val="20"/>
          <w:szCs w:val="20"/>
        </w:rPr>
        <w:t xml:space="preserve">was detected in all 27 samples, with concentrations ranging from 20.0 to 290.0 CFU/100 mL (mean: 36.78 ± 51.42 CFU/100 mL). The highest contamination level was observed in well </w:t>
      </w:r>
      <w:r w:rsidR="00AC61DC">
        <w:rPr>
          <w:rFonts w:ascii="Arial" w:hAnsi="Arial" w:cs="Arial"/>
          <w:sz w:val="20"/>
          <w:szCs w:val="20"/>
        </w:rPr>
        <w:t>W</w:t>
      </w:r>
      <w:r w:rsidRPr="0013193F">
        <w:rPr>
          <w:rFonts w:ascii="Arial" w:hAnsi="Arial" w:cs="Arial"/>
          <w:sz w:val="20"/>
          <w:szCs w:val="20"/>
        </w:rPr>
        <w:t>26 (290.0 CFU/100 mL).</w:t>
      </w:r>
      <w:r w:rsidR="00897748" w:rsidRPr="0013193F">
        <w:rPr>
          <w:rFonts w:ascii="Arial" w:hAnsi="Arial" w:cs="Arial"/>
          <w:sz w:val="20"/>
          <w:szCs w:val="20"/>
        </w:rPr>
        <w:t xml:space="preserve"> </w:t>
      </w:r>
      <w:r w:rsidRPr="0013193F">
        <w:rPr>
          <w:rFonts w:ascii="Arial" w:hAnsi="Arial" w:cs="Arial"/>
          <w:sz w:val="20"/>
          <w:szCs w:val="20"/>
        </w:rPr>
        <w:t>Total coliforms were also identified in every well, with concentrations varying between 3.0 and 59.0 CFU/100 mL (mean: 21.96 ± 16.03 CFU/100 mL; median: 17.0 CFU/100 mL).</w:t>
      </w:r>
      <w:r w:rsidR="00897748" w:rsidRPr="0013193F">
        <w:rPr>
          <w:rFonts w:ascii="Arial" w:hAnsi="Arial" w:cs="Arial"/>
          <w:sz w:val="20"/>
          <w:szCs w:val="20"/>
        </w:rPr>
        <w:t xml:space="preserve"> </w:t>
      </w:r>
      <w:r w:rsidRPr="0013193F">
        <w:rPr>
          <w:rFonts w:ascii="Arial" w:hAnsi="Arial" w:cs="Arial"/>
          <w:sz w:val="20"/>
          <w:szCs w:val="20"/>
        </w:rPr>
        <w:t>Fecal streptococci</w:t>
      </w:r>
      <w:r w:rsidR="00897748" w:rsidRPr="0013193F">
        <w:rPr>
          <w:rFonts w:ascii="Arial" w:hAnsi="Arial" w:cs="Arial"/>
          <w:sz w:val="20"/>
          <w:szCs w:val="20"/>
        </w:rPr>
        <w:t xml:space="preserve"> (FS)</w:t>
      </w:r>
      <w:r w:rsidRPr="0013193F">
        <w:rPr>
          <w:rFonts w:ascii="Arial" w:hAnsi="Arial" w:cs="Arial"/>
          <w:sz w:val="20"/>
          <w:szCs w:val="20"/>
        </w:rPr>
        <w:t xml:space="preserve"> were detected in all samples, with concentrations ranging from 14.97 to 96.20 CFU/100 mL (mean: 55.86 ± 23.45 CFU/100 mL).</w:t>
      </w:r>
    </w:p>
    <w:p w14:paraId="4CC66AEF" w14:textId="3AAF7C9D" w:rsidR="0018164A" w:rsidRPr="0013193F" w:rsidRDefault="0018164A" w:rsidP="0018164A">
      <w:pPr>
        <w:jc w:val="both"/>
        <w:rPr>
          <w:rFonts w:ascii="Arial" w:hAnsi="Arial" w:cs="Arial"/>
          <w:sz w:val="20"/>
          <w:szCs w:val="20"/>
        </w:rPr>
      </w:pPr>
      <w:r w:rsidRPr="0013193F">
        <w:rPr>
          <w:rFonts w:ascii="Arial" w:hAnsi="Arial" w:cs="Arial"/>
          <w:sz w:val="20"/>
          <w:szCs w:val="20"/>
        </w:rPr>
        <w:t xml:space="preserve">The fecal streptococci to </w:t>
      </w:r>
      <w:r w:rsidRPr="0013193F">
        <w:rPr>
          <w:rFonts w:ascii="Arial" w:hAnsi="Arial" w:cs="Arial"/>
          <w:i/>
          <w:iCs/>
          <w:sz w:val="20"/>
          <w:szCs w:val="20"/>
        </w:rPr>
        <w:t>Escherichia coli</w:t>
      </w:r>
      <w:r w:rsidRPr="0013193F">
        <w:rPr>
          <w:rFonts w:ascii="Arial" w:hAnsi="Arial" w:cs="Arial"/>
          <w:sz w:val="20"/>
          <w:szCs w:val="20"/>
        </w:rPr>
        <w:t xml:space="preserve"> ratio (F</w:t>
      </w:r>
      <w:r w:rsidR="00897748" w:rsidRPr="0013193F">
        <w:rPr>
          <w:rFonts w:ascii="Arial" w:hAnsi="Arial" w:cs="Arial"/>
          <w:sz w:val="20"/>
          <w:szCs w:val="20"/>
        </w:rPr>
        <w:t>S</w:t>
      </w:r>
      <w:r w:rsidRPr="0013193F">
        <w:rPr>
          <w:rFonts w:ascii="Arial" w:hAnsi="Arial" w:cs="Arial"/>
          <w:sz w:val="20"/>
          <w:szCs w:val="20"/>
        </w:rPr>
        <w:t>/EC) showed a mean value of 2.07 ± 1.15, with values ranging from 0.30 to 4.81 (Fig</w:t>
      </w:r>
      <w:r w:rsidR="0013193F">
        <w:rPr>
          <w:rFonts w:ascii="Arial" w:hAnsi="Arial" w:cs="Arial"/>
          <w:sz w:val="20"/>
          <w:szCs w:val="20"/>
        </w:rPr>
        <w:t>.</w:t>
      </w:r>
      <w:r w:rsidRPr="0013193F">
        <w:rPr>
          <w:rFonts w:ascii="Arial" w:hAnsi="Arial" w:cs="Arial"/>
          <w:sz w:val="20"/>
          <w:szCs w:val="20"/>
        </w:rPr>
        <w:t xml:space="preserve"> 4). The distribution of this ratio indicates that 55.6% of the samples (15/27) exhibited SF/EC values greater than 2.0.</w:t>
      </w:r>
    </w:p>
    <w:p w14:paraId="434C86FB" w14:textId="02765599" w:rsidR="00451FB1" w:rsidRPr="00E02C4D" w:rsidRDefault="00795494" w:rsidP="00C7222E">
      <w:pPr>
        <w:jc w:val="both"/>
        <w:rPr>
          <w:rFonts w:ascii="Arial" w:hAnsi="Arial" w:cs="Arial"/>
        </w:rPr>
      </w:pPr>
      <w:r w:rsidRPr="00E02C4D">
        <w:rPr>
          <w:rFonts w:ascii="Arial" w:hAnsi="Arial" w:cs="Arial"/>
        </w:rPr>
        <w:object w:dxaOrig="9720" w:dyaOrig="5422" w14:anchorId="6EC7CFA8">
          <v:shape id="_x0000_i1026" type="#_x0000_t75" style="width:467.5pt;height:261pt" o:ole="">
            <v:imagedata r:id="rId18" o:title=""/>
          </v:shape>
          <o:OLEObject Type="Embed" ProgID="Prism9.Document" ShapeID="_x0000_i1026" DrawAspect="Content" ObjectID="_1833632087" r:id="rId19"/>
        </w:object>
      </w:r>
    </w:p>
    <w:p w14:paraId="38E1A19C" w14:textId="52FE6EDA" w:rsidR="00F277D0" w:rsidRPr="00095107" w:rsidRDefault="00F277D0" w:rsidP="00C7222E">
      <w:pPr>
        <w:jc w:val="both"/>
        <w:rPr>
          <w:rFonts w:ascii="Arial" w:hAnsi="Arial" w:cs="Arial"/>
          <w:b/>
          <w:bCs/>
          <w:sz w:val="20"/>
          <w:szCs w:val="20"/>
        </w:rPr>
      </w:pPr>
      <w:r w:rsidRPr="00095107">
        <w:rPr>
          <w:rFonts w:ascii="Arial" w:hAnsi="Arial" w:cs="Arial"/>
          <w:b/>
          <w:bCs/>
          <w:sz w:val="20"/>
          <w:szCs w:val="20"/>
        </w:rPr>
        <w:t>Fig</w:t>
      </w:r>
      <w:r w:rsidR="0013193F" w:rsidRPr="00095107">
        <w:rPr>
          <w:rFonts w:ascii="Arial" w:hAnsi="Arial" w:cs="Arial"/>
          <w:b/>
          <w:bCs/>
          <w:sz w:val="20"/>
          <w:szCs w:val="20"/>
        </w:rPr>
        <w:t>.</w:t>
      </w:r>
      <w:r w:rsidRPr="00095107">
        <w:rPr>
          <w:rFonts w:ascii="Arial" w:hAnsi="Arial" w:cs="Arial"/>
          <w:b/>
          <w:bCs/>
          <w:sz w:val="20"/>
          <w:szCs w:val="20"/>
        </w:rPr>
        <w:t xml:space="preserve"> 4:</w:t>
      </w:r>
      <w:r w:rsidR="0013193F" w:rsidRPr="00095107">
        <w:rPr>
          <w:rFonts w:ascii="Arial" w:hAnsi="Arial" w:cs="Arial"/>
          <w:b/>
          <w:bCs/>
          <w:sz w:val="20"/>
          <w:szCs w:val="20"/>
        </w:rPr>
        <w:t xml:space="preserve"> Ratio Fecal streptococci to </w:t>
      </w:r>
      <w:r w:rsidR="0013193F" w:rsidRPr="00095107">
        <w:rPr>
          <w:rFonts w:ascii="Arial" w:hAnsi="Arial" w:cs="Arial"/>
          <w:b/>
          <w:bCs/>
          <w:i/>
          <w:iCs/>
          <w:sz w:val="20"/>
          <w:szCs w:val="20"/>
        </w:rPr>
        <w:t>Escherichia coli</w:t>
      </w:r>
      <w:r w:rsidR="0013193F" w:rsidRPr="00095107">
        <w:rPr>
          <w:rFonts w:ascii="Arial" w:hAnsi="Arial" w:cs="Arial"/>
          <w:b/>
          <w:bCs/>
          <w:sz w:val="20"/>
          <w:szCs w:val="20"/>
        </w:rPr>
        <w:t xml:space="preserve"> (FS/EC)</w:t>
      </w:r>
    </w:p>
    <w:p w14:paraId="00B5E9C2" w14:textId="43778D6C" w:rsidR="00095107" w:rsidRPr="00095107" w:rsidRDefault="00614EAB" w:rsidP="00095107">
      <w:pPr>
        <w:pStyle w:val="Heading3"/>
        <w:rPr>
          <w:rFonts w:ascii="Arial" w:hAnsi="Arial" w:cs="Arial"/>
          <w:b/>
          <w:bCs/>
          <w:color w:val="auto"/>
          <w:sz w:val="20"/>
          <w:szCs w:val="20"/>
        </w:rPr>
      </w:pPr>
      <w:r>
        <w:rPr>
          <w:rFonts w:ascii="Arial" w:hAnsi="Arial" w:cs="Arial"/>
          <w:b/>
          <w:bCs/>
          <w:color w:val="auto"/>
          <w:sz w:val="20"/>
          <w:szCs w:val="20"/>
        </w:rPr>
        <w:t>3.</w:t>
      </w:r>
      <w:r w:rsidR="00C54070">
        <w:rPr>
          <w:rFonts w:ascii="Arial" w:hAnsi="Arial" w:cs="Arial"/>
          <w:b/>
          <w:bCs/>
          <w:color w:val="auto"/>
          <w:sz w:val="20"/>
          <w:szCs w:val="20"/>
        </w:rPr>
        <w:t>1.</w:t>
      </w:r>
      <w:r>
        <w:rPr>
          <w:rFonts w:ascii="Arial" w:hAnsi="Arial" w:cs="Arial"/>
          <w:b/>
          <w:bCs/>
          <w:color w:val="auto"/>
          <w:sz w:val="20"/>
          <w:szCs w:val="20"/>
        </w:rPr>
        <w:t>3 Results</w:t>
      </w:r>
      <w:r w:rsidR="00095107">
        <w:rPr>
          <w:rFonts w:ascii="Arial" w:hAnsi="Arial" w:cs="Arial"/>
          <w:b/>
          <w:bCs/>
          <w:color w:val="auto"/>
          <w:sz w:val="20"/>
          <w:szCs w:val="20"/>
        </w:rPr>
        <w:t xml:space="preserve"> of </w:t>
      </w:r>
      <w:r w:rsidR="00095107" w:rsidRPr="0050020B">
        <w:rPr>
          <w:rFonts w:ascii="Arial" w:hAnsi="Arial" w:cs="Arial"/>
          <w:b/>
          <w:bCs/>
          <w:color w:val="auto"/>
          <w:sz w:val="20"/>
          <w:szCs w:val="20"/>
        </w:rPr>
        <w:t>Pollution Index and heatmap analysis</w:t>
      </w:r>
    </w:p>
    <w:p w14:paraId="2D61A907" w14:textId="7A0FB16D" w:rsidR="00F277D0" w:rsidRPr="00614EAB" w:rsidRDefault="00F277D0" w:rsidP="00F277D0">
      <w:pPr>
        <w:jc w:val="both"/>
        <w:rPr>
          <w:rFonts w:ascii="Arial" w:hAnsi="Arial" w:cs="Arial"/>
          <w:sz w:val="20"/>
          <w:szCs w:val="20"/>
        </w:rPr>
      </w:pPr>
      <w:r w:rsidRPr="00614EAB">
        <w:rPr>
          <w:rFonts w:ascii="Arial" w:hAnsi="Arial" w:cs="Arial"/>
          <w:sz w:val="20"/>
          <w:szCs w:val="20"/>
        </w:rPr>
        <w:t xml:space="preserve">The Pollution Index (PI), calculated as the mean of the absolute values of standardized scores, highlights a pronounced spatial heterogeneity in groundwater pollution across the study </w:t>
      </w:r>
      <w:r w:rsidR="00AC61DC" w:rsidRPr="00614EAB">
        <w:rPr>
          <w:rFonts w:ascii="Arial" w:hAnsi="Arial" w:cs="Arial"/>
          <w:sz w:val="20"/>
          <w:szCs w:val="20"/>
        </w:rPr>
        <w:t>area</w:t>
      </w:r>
      <w:r w:rsidR="00AC61DC">
        <w:rPr>
          <w:rFonts w:ascii="Arial" w:hAnsi="Arial" w:cs="Arial"/>
          <w:sz w:val="20"/>
          <w:szCs w:val="20"/>
        </w:rPr>
        <w:t xml:space="preserve"> (</w:t>
      </w:r>
      <w:r w:rsidR="0090614A">
        <w:rPr>
          <w:rFonts w:ascii="Arial" w:hAnsi="Arial" w:cs="Arial"/>
          <w:sz w:val="20"/>
          <w:szCs w:val="20"/>
        </w:rPr>
        <w:t>Fig.5)</w:t>
      </w:r>
      <w:r w:rsidRPr="00614EAB">
        <w:rPr>
          <w:rFonts w:ascii="Arial" w:hAnsi="Arial" w:cs="Arial"/>
          <w:sz w:val="20"/>
          <w:szCs w:val="20"/>
        </w:rPr>
        <w:t>. The highest PI values were recorded for wells W6 to W9, as well as W26, indicating a more intense overall level of contamination at these sites.</w:t>
      </w:r>
    </w:p>
    <w:p w14:paraId="169E4B9C" w14:textId="77777777" w:rsidR="00F277D0" w:rsidRPr="00614EAB" w:rsidRDefault="00F277D0" w:rsidP="00F277D0">
      <w:pPr>
        <w:jc w:val="both"/>
        <w:rPr>
          <w:rFonts w:ascii="Arial" w:hAnsi="Arial" w:cs="Arial"/>
          <w:sz w:val="20"/>
          <w:szCs w:val="20"/>
        </w:rPr>
      </w:pPr>
      <w:r w:rsidRPr="00614EAB">
        <w:rPr>
          <w:rFonts w:ascii="Arial" w:hAnsi="Arial" w:cs="Arial"/>
          <w:sz w:val="20"/>
          <w:szCs w:val="20"/>
        </w:rPr>
        <w:t>Cross-analysis with the heatmap reveals that elevated PI values in wells W6–W9 are primarily driven by high sulfate and nitrate concentrations, suggesting a dominant influence of physicochemical contamination. In contrast, well W26 is mainly characterized by marked bacteriological contamination, indicating a different pollution regime dominated by microbiological inputs.</w:t>
      </w:r>
    </w:p>
    <w:p w14:paraId="51C75FE2" w14:textId="77777777" w:rsidR="00F277D0" w:rsidRPr="00614EAB" w:rsidRDefault="00F277D0" w:rsidP="00F277D0">
      <w:pPr>
        <w:jc w:val="both"/>
        <w:rPr>
          <w:rFonts w:ascii="Arial" w:hAnsi="Arial" w:cs="Arial"/>
          <w:sz w:val="20"/>
          <w:szCs w:val="20"/>
        </w:rPr>
      </w:pPr>
      <w:r w:rsidRPr="00614EAB">
        <w:rPr>
          <w:rFonts w:ascii="Arial" w:hAnsi="Arial" w:cs="Arial"/>
          <w:sz w:val="20"/>
          <w:szCs w:val="20"/>
        </w:rPr>
        <w:t>Conversely, wells W1, W2, W12, W16, W17, W22, and W27 exhibit comparatively lower PI values, reflecting a generally better overall water quality relative to the other sampling points.</w:t>
      </w:r>
    </w:p>
    <w:p w14:paraId="5EC0C029" w14:textId="2398C5DB" w:rsidR="00795494" w:rsidRPr="00E02C4D" w:rsidRDefault="00795494" w:rsidP="00C7222E">
      <w:pPr>
        <w:jc w:val="both"/>
        <w:rPr>
          <w:rFonts w:ascii="Arial" w:hAnsi="Arial" w:cs="Arial"/>
          <w:lang w:val="fr-FR"/>
        </w:rPr>
      </w:pPr>
      <w:r w:rsidRPr="00E02C4D">
        <w:rPr>
          <w:rFonts w:ascii="Arial" w:hAnsi="Arial" w:cs="Arial"/>
          <w:noProof/>
        </w:rPr>
        <w:lastRenderedPageBreak/>
        <w:drawing>
          <wp:inline distT="0" distB="0" distL="0" distR="0" wp14:anchorId="36EB17AF" wp14:editId="20AC6DAD">
            <wp:extent cx="5943600" cy="6291580"/>
            <wp:effectExtent l="0" t="0" r="0" b="6985"/>
            <wp:docPr id="204921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291580"/>
                    </a:xfrm>
                    <a:prstGeom prst="rect">
                      <a:avLst/>
                    </a:prstGeom>
                    <a:noFill/>
                    <a:ln>
                      <a:noFill/>
                    </a:ln>
                  </pic:spPr>
                </pic:pic>
              </a:graphicData>
            </a:graphic>
          </wp:inline>
        </w:drawing>
      </w:r>
    </w:p>
    <w:p w14:paraId="22BD2443" w14:textId="0C670672" w:rsidR="00614A34" w:rsidRPr="00523F8C" w:rsidRDefault="00795494" w:rsidP="00C7222E">
      <w:pPr>
        <w:jc w:val="both"/>
        <w:rPr>
          <w:rFonts w:ascii="Arial" w:hAnsi="Arial" w:cs="Arial"/>
          <w:b/>
          <w:bCs/>
          <w:sz w:val="20"/>
          <w:szCs w:val="20"/>
        </w:rPr>
      </w:pPr>
      <w:r w:rsidRPr="00523F8C">
        <w:rPr>
          <w:rFonts w:ascii="Arial" w:hAnsi="Arial" w:cs="Arial"/>
          <w:b/>
          <w:bCs/>
          <w:sz w:val="20"/>
          <w:szCs w:val="20"/>
        </w:rPr>
        <w:t>Fig</w:t>
      </w:r>
      <w:r w:rsidR="00523F8C" w:rsidRPr="00523F8C">
        <w:rPr>
          <w:rFonts w:ascii="Arial" w:hAnsi="Arial" w:cs="Arial"/>
          <w:b/>
          <w:bCs/>
          <w:sz w:val="20"/>
          <w:szCs w:val="20"/>
        </w:rPr>
        <w:t>.</w:t>
      </w:r>
      <w:r w:rsidRPr="00523F8C">
        <w:rPr>
          <w:rFonts w:ascii="Arial" w:hAnsi="Arial" w:cs="Arial"/>
          <w:b/>
          <w:bCs/>
          <w:sz w:val="20"/>
          <w:szCs w:val="20"/>
        </w:rPr>
        <w:t xml:space="preserve"> </w:t>
      </w:r>
      <w:r w:rsidR="00D61962" w:rsidRPr="00523F8C">
        <w:rPr>
          <w:rFonts w:ascii="Arial" w:hAnsi="Arial" w:cs="Arial"/>
          <w:b/>
          <w:bCs/>
          <w:sz w:val="20"/>
          <w:szCs w:val="20"/>
        </w:rPr>
        <w:t>5</w:t>
      </w:r>
      <w:r w:rsidRPr="00523F8C">
        <w:rPr>
          <w:rFonts w:ascii="Arial" w:hAnsi="Arial" w:cs="Arial"/>
          <w:b/>
          <w:bCs/>
          <w:sz w:val="20"/>
          <w:szCs w:val="20"/>
        </w:rPr>
        <w:t>. Heatmap of relative pollution levels across wells.</w:t>
      </w:r>
      <w:r w:rsidR="00F277D0" w:rsidRPr="00523F8C">
        <w:rPr>
          <w:rFonts w:ascii="Arial" w:hAnsi="Arial" w:cs="Arial"/>
          <w:b/>
          <w:bCs/>
          <w:sz w:val="20"/>
          <w:szCs w:val="20"/>
        </w:rPr>
        <w:t xml:space="preserve"> </w:t>
      </w:r>
      <w:r w:rsidRPr="00523F8C">
        <w:rPr>
          <w:rFonts w:ascii="Arial" w:hAnsi="Arial" w:cs="Arial"/>
          <w:b/>
          <w:bCs/>
          <w:sz w:val="20"/>
          <w:szCs w:val="20"/>
        </w:rPr>
        <w:t>Colors indicate relative pollution intensity, ranging from low pollution (violet–blue) to high pollution (green–yellow–red)</w:t>
      </w:r>
      <w:r w:rsidR="000C5FB4">
        <w:rPr>
          <w:rFonts w:ascii="Arial" w:hAnsi="Arial" w:cs="Arial"/>
          <w:b/>
          <w:bCs/>
          <w:sz w:val="20"/>
          <w:szCs w:val="20"/>
        </w:rPr>
        <w:t xml:space="preserve"> (a) and Pollution Index (b)</w:t>
      </w:r>
      <w:r w:rsidRPr="00523F8C">
        <w:rPr>
          <w:rFonts w:ascii="Arial" w:hAnsi="Arial" w:cs="Arial"/>
          <w:b/>
          <w:bCs/>
          <w:sz w:val="20"/>
          <w:szCs w:val="20"/>
        </w:rPr>
        <w:t>.</w:t>
      </w:r>
    </w:p>
    <w:p w14:paraId="2CF41969" w14:textId="2C5FFE6F" w:rsidR="00290B43" w:rsidRPr="00C54070" w:rsidRDefault="00C54070" w:rsidP="00C54070">
      <w:pPr>
        <w:pStyle w:val="Heading2"/>
        <w:rPr>
          <w:rFonts w:ascii="Arial" w:hAnsi="Arial" w:cs="Arial"/>
          <w:b/>
          <w:bCs/>
          <w:color w:val="auto"/>
          <w:sz w:val="22"/>
          <w:szCs w:val="22"/>
        </w:rPr>
      </w:pPr>
      <w:r w:rsidRPr="00C54070">
        <w:rPr>
          <w:rFonts w:ascii="Arial" w:hAnsi="Arial" w:cs="Arial"/>
          <w:b/>
          <w:bCs/>
          <w:color w:val="auto"/>
          <w:sz w:val="22"/>
          <w:szCs w:val="22"/>
        </w:rPr>
        <w:t xml:space="preserve">3.2 </w:t>
      </w:r>
      <w:r w:rsidR="00523F8C" w:rsidRPr="00C54070">
        <w:rPr>
          <w:rFonts w:ascii="Arial" w:hAnsi="Arial" w:cs="Arial"/>
          <w:b/>
          <w:bCs/>
          <w:color w:val="auto"/>
          <w:sz w:val="22"/>
          <w:szCs w:val="22"/>
        </w:rPr>
        <w:t>DISCUSSION</w:t>
      </w:r>
    </w:p>
    <w:p w14:paraId="2B7F9EC6" w14:textId="018C0DFE" w:rsidR="00290B43" w:rsidRPr="00C54070" w:rsidRDefault="00C54070" w:rsidP="00C54070">
      <w:pPr>
        <w:pStyle w:val="Heading3"/>
        <w:rPr>
          <w:rFonts w:ascii="Arial" w:hAnsi="Arial" w:cs="Arial"/>
          <w:b/>
          <w:bCs/>
          <w:color w:val="auto"/>
          <w:sz w:val="20"/>
          <w:szCs w:val="20"/>
        </w:rPr>
      </w:pPr>
      <w:r w:rsidRPr="00C54070">
        <w:rPr>
          <w:rFonts w:ascii="Arial" w:hAnsi="Arial" w:cs="Arial"/>
          <w:b/>
          <w:bCs/>
          <w:color w:val="auto"/>
          <w:sz w:val="20"/>
          <w:szCs w:val="20"/>
        </w:rPr>
        <w:t>3</w:t>
      </w:r>
      <w:r w:rsidR="00523F8C" w:rsidRPr="00C54070">
        <w:rPr>
          <w:rFonts w:ascii="Arial" w:hAnsi="Arial" w:cs="Arial"/>
          <w:b/>
          <w:bCs/>
          <w:color w:val="auto"/>
          <w:sz w:val="20"/>
          <w:szCs w:val="20"/>
        </w:rPr>
        <w:t>.</w:t>
      </w:r>
      <w:r w:rsidRPr="00C54070">
        <w:rPr>
          <w:rFonts w:ascii="Arial" w:hAnsi="Arial" w:cs="Arial"/>
          <w:b/>
          <w:bCs/>
          <w:color w:val="auto"/>
          <w:sz w:val="20"/>
          <w:szCs w:val="20"/>
        </w:rPr>
        <w:t>2.</w:t>
      </w:r>
      <w:r w:rsidR="00523F8C" w:rsidRPr="00C54070">
        <w:rPr>
          <w:rFonts w:ascii="Arial" w:hAnsi="Arial" w:cs="Arial"/>
          <w:b/>
          <w:bCs/>
          <w:color w:val="auto"/>
          <w:sz w:val="20"/>
          <w:szCs w:val="20"/>
        </w:rPr>
        <w:t xml:space="preserve">1 </w:t>
      </w:r>
      <w:r w:rsidR="00290B43" w:rsidRPr="00C54070">
        <w:rPr>
          <w:rFonts w:ascii="Arial" w:hAnsi="Arial" w:cs="Arial"/>
          <w:b/>
          <w:bCs/>
          <w:color w:val="auto"/>
          <w:sz w:val="20"/>
          <w:szCs w:val="20"/>
        </w:rPr>
        <w:t>Physicochemical quality of well water</w:t>
      </w:r>
    </w:p>
    <w:p w14:paraId="59FACC4C" w14:textId="04397B31"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The physicochemical results highlight several constraints that may affect the suitability of well water for human consumption and domestic uses in the municipality of </w:t>
      </w:r>
      <w:proofErr w:type="spellStart"/>
      <w:r w:rsidRPr="00523F8C">
        <w:rPr>
          <w:rFonts w:ascii="Arial" w:hAnsi="Arial" w:cs="Arial"/>
          <w:sz w:val="20"/>
          <w:szCs w:val="20"/>
        </w:rPr>
        <w:t>Agbangnizoun</w:t>
      </w:r>
      <w:proofErr w:type="spellEnd"/>
      <w:r w:rsidRPr="00523F8C">
        <w:rPr>
          <w:rFonts w:ascii="Arial" w:hAnsi="Arial" w:cs="Arial"/>
          <w:sz w:val="20"/>
          <w:szCs w:val="20"/>
        </w:rPr>
        <w:t>. pH values indicate a predominance of acidic conditions, with the majority of samples exhibiting pH values below the range recommended by Beninese standards and World Health Organization (WHO) guidelines (6.5–8.5)</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{"citationID":"lkw9ElGT","properties":{"formattedCitation":"(Cotruvo 2017)","plainCitation":"(Cotruvo 2017)","noteIndex":0},"citationItems":[{"id":451,"uris":["http://zotero.org/users/local/KXt9aeYd/items/4X8JBI2R"],"itemData":{"id":451,"type":"article-journal","container-title":"Journal</w:instrText>
      </w:r>
      <w:r w:rsidR="00D90F04" w:rsidRPr="00523F8C">
        <w:rPr>
          <w:rFonts w:ascii="Cambria Math" w:hAnsi="Cambria Math" w:cs="Cambria Math"/>
          <w:sz w:val="20"/>
          <w:szCs w:val="20"/>
        </w:rPr>
        <w:instrText>‐</w:instrText>
      </w:r>
      <w:r w:rsidR="00D90F04" w:rsidRPr="00523F8C">
        <w:rPr>
          <w:rFonts w:ascii="Arial" w:hAnsi="Arial" w:cs="Arial"/>
          <w:sz w:val="20"/>
          <w:szCs w:val="20"/>
        </w:rPr>
        <w:instrText>American Water Works Association","ISSN":"0003-150X","issue":"7","journalAbbreviation":"Journal</w:instrText>
      </w:r>
      <w:r w:rsidR="00D90F04" w:rsidRPr="00523F8C">
        <w:rPr>
          <w:rFonts w:ascii="Cambria Math" w:hAnsi="Cambria Math" w:cs="Cambria Math"/>
          <w:sz w:val="20"/>
          <w:szCs w:val="20"/>
        </w:rPr>
        <w:instrText>‐</w:instrText>
      </w:r>
      <w:r w:rsidR="00D90F04"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 xml:space="preserve">(Cotruvo </w:t>
      </w:r>
      <w:r w:rsidR="00D90F04" w:rsidRPr="00523F8C">
        <w:rPr>
          <w:rFonts w:ascii="Arial" w:hAnsi="Arial" w:cs="Arial"/>
          <w:sz w:val="20"/>
          <w:szCs w:val="20"/>
        </w:rPr>
        <w:lastRenderedPageBreak/>
        <w:t>2017)</w:t>
      </w:r>
      <w:r w:rsidR="00D90F04" w:rsidRPr="00523F8C">
        <w:rPr>
          <w:rFonts w:ascii="Arial" w:hAnsi="Arial" w:cs="Arial"/>
          <w:sz w:val="20"/>
          <w:szCs w:val="20"/>
        </w:rPr>
        <w:fldChar w:fldCharType="end"/>
      </w:r>
      <w:r w:rsidR="00D90F04" w:rsidRPr="00523F8C">
        <w:rPr>
          <w:rFonts w:ascii="Arial" w:hAnsi="Arial" w:cs="Arial"/>
          <w:sz w:val="20"/>
          <w:szCs w:val="20"/>
        </w:rPr>
        <w:t>.</w:t>
      </w:r>
      <w:r w:rsidRPr="00523F8C">
        <w:rPr>
          <w:rFonts w:ascii="Arial" w:hAnsi="Arial" w:cs="Arial"/>
          <w:sz w:val="20"/>
          <w:szCs w:val="20"/>
        </w:rPr>
        <w:t>These findings are consistent with those reported in other regions of Benin and West Africa, where weakly buffered groundwater has been observed in shallow aquifers developed within weathered basement formations</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{"citationID":"gzd1Bh6t","properties":{"formattedCitation":"(Dansou and Odoulami 2015; Miriac et al. 2020)","plainCitation":"(Dansou and Odoulami 2015; Miriac et al. 2020)","noteIndex":0},"citationItems":[{"id":446,"uris":["http://zotero.org/users/local/KXt9aeYd/items/WLPAVFGE"],"itemData":{"id":446,"type":"article-journal","container-title":"Afrique Science","journalAbbreviation":"Afrique Science","page":"367-376","title":"Facteurs de dégradation des eaux de puits à usage domestique dans la commune de Pobè au Sud-Est du Bénin","volume":"11","author":[{"family":"Dansou","given":"Brice S"},{"family":"Odoulami","given":"Léocadie"}],"issued":{"date-parts":[["2015"]]}}},{"id":482,"uris":["http://zotero.org/users/local/KXt9aeYd/items/XE2HFYWE"],"itemData":{"id":482,"type":"article-journal","container-title":"European Scientific Journal, ESJ","issue":"15","journalAbbreviation":"European Scientific Journal, ESJ","page":"393-4017","title":"Eau de consommation et maladies hydriques dans la commune de Lokossa au sud-ouest de la République du Bénin (Afrique de l’Ouest)","volume":"16","author":[{"family":"Miriac","given":"Ahouansè Sènan Dimitri"},{"family":"Noukpo","given":"A"},{"family":"Christophe","given":"HS"}],"issued":{"date-parts":[["2020"]]}}}],"schema":"https://github.com/citation-style-language/schema/raw/master/csl-citation.json"}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(Dansou and Odoulami 2015; Miriac et al. 2020)</w:t>
      </w:r>
      <w:r w:rsidR="00D90F04" w:rsidRPr="00523F8C">
        <w:rPr>
          <w:rFonts w:ascii="Arial" w:hAnsi="Arial" w:cs="Arial"/>
          <w:sz w:val="20"/>
          <w:szCs w:val="20"/>
        </w:rPr>
        <w:fldChar w:fldCharType="end"/>
      </w:r>
      <w:r w:rsidRPr="00523F8C">
        <w:rPr>
          <w:rFonts w:ascii="Arial" w:hAnsi="Arial" w:cs="Arial"/>
          <w:sz w:val="20"/>
          <w:szCs w:val="20"/>
        </w:rPr>
        <w:t>. Acidic pH conditions may promote corrosion of hydraulic structures and influence the mobility of certain chemical elements in water</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{"citationID":"i3pMcNLR","properties":{"formattedCitation":"(Wasim et al. 2018)","plainCitation":"(Wasim et al. 2018)","noteIndex":0},"citationItems":[{"id":448,"uris":["http://zotero.org/users/local/KXt9aeYd/items/JNBU8XN8"],"itemData":{"id":448,"type":"article-journal","container-title":"Environmental Chemistry Letters","ISSN":"1610-3653","issue":"3","journalAbbreviation":"Environmental Chemistry Letters","page":"861-879","publisher":"Springer","title":"Factors influencing corrosion of metal pipes in soils","volume":"16","author":[{"family":"Wasim","given":"Muhammad"},{"family":"Shoaib","given":"Shahrukh"},{"family":"Mubarak","given":"NM"},{"literal":"Inamuddin"},{"family":"Asiri","given":"Abdullah M"}],"issued":{"date-parts":[["2018"]]}}}],"schema":"https://github.com/citation-style-language/schema/raw/master/csl-citation.json"}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(Wasim et al. 2018)</w:t>
      </w:r>
      <w:r w:rsidR="00D90F04" w:rsidRPr="00523F8C">
        <w:rPr>
          <w:rFonts w:ascii="Arial" w:hAnsi="Arial" w:cs="Arial"/>
          <w:sz w:val="20"/>
          <w:szCs w:val="20"/>
        </w:rPr>
        <w:fldChar w:fldCharType="end"/>
      </w:r>
      <w:r w:rsidRPr="00523F8C">
        <w:rPr>
          <w:rFonts w:ascii="Arial" w:hAnsi="Arial" w:cs="Arial"/>
          <w:sz w:val="20"/>
          <w:szCs w:val="20"/>
        </w:rPr>
        <w:t>.</w:t>
      </w:r>
    </w:p>
    <w:p w14:paraId="057C6C8F" w14:textId="6C4AD590"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Electrical conductivity values reflect low to moderate mineralization, characteristic of aquifer systems fed by recent recharge and marked by limited water–rock interactions. Comparable conductivity ranges have been reported in similar hydrogeological settings across West Africa </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{"citationID":"n1L11uHU","properties":{"formattedCitation":"(Talabi et al. 2013)","plainCitation":"(Talabi et al. 2013)","noteIndex":0},"citationItems":[{"id":449,"uris":["http://zotero.org/users/local/KXt9aeYd/items/YUYMR5F9"],"itemData":{"id":449,"type":"article-journal","container-title":"American Journal of Water Resources","issue":"4","journalAbbreviation":"American Journal of Water Resources","page":"56-65","title":"Hydrogeochemical assessment of surface water in the central part of Ekiti-State, Southwestern Nigeria","volume":"1","author":[{"family":"Talabi","given":"AO"},{"family":"Afolagboye","given":"OL"},{"family":"Tijani","given":"MN"},{"family":"Aladejana","given":"JA"},{"family":"Ogundana","given":"AK"}],"issued":{"date-parts":[["2013"]]}}}],"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(Talabi et al. 2013)</w:t>
      </w:r>
      <w:r w:rsidR="00D90F04" w:rsidRPr="00523F8C">
        <w:rPr>
          <w:rFonts w:ascii="Arial" w:hAnsi="Arial" w:cs="Arial"/>
          <w:sz w:val="20"/>
          <w:szCs w:val="20"/>
        </w:rPr>
        <w:fldChar w:fldCharType="end"/>
      </w:r>
      <w:r w:rsidRPr="00523F8C">
        <w:rPr>
          <w:rFonts w:ascii="Arial" w:hAnsi="Arial" w:cs="Arial"/>
          <w:sz w:val="20"/>
          <w:szCs w:val="20"/>
        </w:rPr>
        <w:t>, suggesting regional consistency in mineralization processes.</w:t>
      </w:r>
    </w:p>
    <w:p w14:paraId="115D6179" w14:textId="53F3FDFA" w:rsidR="00290B43" w:rsidRPr="00523F8C" w:rsidRDefault="00290B43" w:rsidP="00290B43">
      <w:pPr>
        <w:jc w:val="both"/>
        <w:rPr>
          <w:rFonts w:ascii="Arial" w:hAnsi="Arial" w:cs="Arial"/>
          <w:sz w:val="20"/>
          <w:szCs w:val="20"/>
        </w:rPr>
      </w:pPr>
      <w:r w:rsidRPr="00523F8C">
        <w:rPr>
          <w:rFonts w:ascii="Arial" w:hAnsi="Arial" w:cs="Arial"/>
          <w:sz w:val="20"/>
          <w:szCs w:val="20"/>
        </w:rPr>
        <w:t>Nitrate concentrations represent one of the most sensitive chemical parameters observed in this study. Although measured values remain below the WHO guideline value of 50 mg/L</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{"citationID":"BZuIenPI","properties":{"formattedCitation":"(Cotruvo 2017; Sadler et al. 2016)","plainCitation":"(Cotruvo 2017; Sadler et al. 2016)","noteIndex":0},"citationItems":[{"id":451,"uris":["http://zotero.org/users/local/KXt9aeYd/items/4X8JBI2R"],"itemData":{"id":451,"type":"article-journal","container-title":"Journal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American Water Works Association","ISSN":"0003-150X","issue":"7","journalAbbreviation":"Journal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A"}],"issued":{"date-parts":[["2017"]]}}},{"id":450,"uris":["http://zotero.org/users/local/KXt9aeYd/items/5YUJT3I4"],"itemData":{"id":450,"type":"article-journal","container-title":"Environmental pollution","ISSN":"0269-7491","journalAbbreviation":"Environmental pollution","page":"738-745","publisher":"Elsevier","title":"Health risk assessment for exposure to nitrate in drinking water from village wells in Semarang, Indonesia","volume":"216","author":[{"family":"Sadler","given":"Ross"},{"family":"Maetam","given":"Brooke"},{"family":"Edokpolo","given":"Benjamin"},{"family":"Connell","given":"Des"},{"family":"Yu","given":"Jimmy"},{"family":"Stewart","given":"Donald"},{"family":"Park","given":"M-J"},{"family":"Gray","given":"Darren"},{"family":"Laksono","given":"Budi"}],"issued":{"date-parts":[["2016"]]}}}],"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(Cotruvo 2017; Sadler et al. 2016)</w:t>
      </w:r>
      <w:r w:rsidR="00D1766B" w:rsidRPr="00523F8C">
        <w:rPr>
          <w:rFonts w:ascii="Arial" w:hAnsi="Arial" w:cs="Arial"/>
          <w:sz w:val="20"/>
          <w:szCs w:val="20"/>
        </w:rPr>
        <w:fldChar w:fldCharType="end"/>
      </w:r>
      <w:r w:rsidRPr="00523F8C">
        <w:rPr>
          <w:rFonts w:ascii="Arial" w:hAnsi="Arial" w:cs="Arial"/>
          <w:sz w:val="20"/>
          <w:szCs w:val="20"/>
        </w:rPr>
        <w:t>, a high proportion of wells exhibit nitrate concentrations exceeding 25 mg/L, a threshold frequently used as an indicator of anthropogenic influence in groundwater</w:t>
      </w:r>
      <w:r w:rsidR="00C347D5" w:rsidRPr="00C347D5">
        <w:rPr>
          <w:rFonts w:ascii="Arial" w:hAnsi="Arial" w:cs="Arial"/>
          <w:sz w:val="20"/>
          <w:szCs w:val="20"/>
        </w:rPr>
        <w:fldChar w:fldCharType="begin"/>
      </w:r>
      <w:r w:rsidR="00C347D5" w:rsidRPr="00C347D5">
        <w:rPr>
          <w:rFonts w:ascii="Arial" w:hAnsi="Arial" w:cs="Arial"/>
          <w:sz w:val="20"/>
          <w:szCs w:val="20"/>
        </w:rPr>
        <w:instrText xml:space="preserve"> ADDIN ZOTERO_ITEM CSL_CITATION {"citationID":"PyijOGTz","properties":{"formattedCitation":"(C\\uc0\\u225{}maro Garc\\uc0\\u237{}a and Dwyer 2021)","plainCitation":"(Cámaro García and Dwyer 2021)","noteIndex":0},"citationItems":[{"id":498,"uris":["http://zotero.org/users/local/KXt9aeYd/items/YQKPKP7K"],"itemData":{"id":498,"type":"book","collection-number":"no. 386","collection-title":"EPA Research report","edition":"Online version","ISBN":"978-1-80009-009-5","language":"en","number-of-pages":"1","publisher":"Environmental Protection Agency","publisher-place":"Johnstown Castle, Co. Wexford, Ireland","source":"K10plus ISBN","title":"The status of Ireland's climate, 2020","author":[{"family":"Cámaro García","given":"Walther C. A."},{"family":"Dwyer","given":"Ned"}],"contributor":[{"literal":"Environmental Protection Agency"}],"issued":{"date-parts":[["2021"]]}}}],"schema":"https://github.com/citation-style-language/schema/raw/master/csl-citation.json"} </w:instrText>
      </w:r>
      <w:r w:rsidR="00C347D5" w:rsidRPr="00C347D5">
        <w:rPr>
          <w:rFonts w:ascii="Arial" w:hAnsi="Arial" w:cs="Arial"/>
          <w:sz w:val="20"/>
          <w:szCs w:val="20"/>
        </w:rPr>
        <w:fldChar w:fldCharType="separate"/>
      </w:r>
      <w:r w:rsidR="00C347D5" w:rsidRPr="00C347D5">
        <w:rPr>
          <w:rFonts w:ascii="Arial" w:hAnsi="Arial" w:cs="Arial"/>
          <w:kern w:val="0"/>
          <w:sz w:val="20"/>
        </w:rPr>
        <w:t>(Cámaro García and Dwyer 2021)</w:t>
      </w:r>
      <w:r w:rsidR="00C347D5" w:rsidRPr="00C347D5">
        <w:rPr>
          <w:rFonts w:ascii="Arial" w:hAnsi="Arial" w:cs="Arial"/>
          <w:sz w:val="20"/>
          <w:szCs w:val="20"/>
        </w:rPr>
        <w:fldChar w:fldCharType="end"/>
      </w:r>
      <w:r w:rsidRPr="00C347D5">
        <w:rPr>
          <w:rFonts w:ascii="Arial" w:hAnsi="Arial" w:cs="Arial"/>
          <w:sz w:val="20"/>
          <w:szCs w:val="20"/>
        </w:rPr>
        <w:t>.</w:t>
      </w:r>
      <w:r w:rsidRPr="00523F8C">
        <w:rPr>
          <w:rFonts w:ascii="Arial" w:hAnsi="Arial" w:cs="Arial"/>
          <w:sz w:val="20"/>
          <w:szCs w:val="20"/>
        </w:rPr>
        <w:t xml:space="preserve"> This pattern suggests a significant contribution from agricultural and domestic activities, particularly the use of nitrogen-based fertilizers and the infiltration of wastewater, as reported in numerous rural areas of sub-Saharan Africa </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{"citationID":"54qXN3NT","properties":{"formattedCitation":"(Ebong et al. 2025)","plainCitation":"(Ebong et al. 2025)","noteIndex":0},"citationItems":[{"id":452,"uris":["http://zotero.org/users/local/KXt9aeYd/items/QZDLMZPL"],"itemData":{"id":452,"type":"article-journal","container-title":"Environmental Science and Pollution Research","ISSN":"1614-7499","issue":"56","journalAbbreviation":"Environmental Science and Pollution Research","page":"30748-30765","publisher":"Springer","title":"Groundwater quality evaluation and public health implications of its use in Obudu, southeastern Nigeria","volume":"32","author":[{"family":"Ebong","given":"Ebong D"},{"family":"Ukam","given":"Ukam O"},{"family":"Melouah","given":"Oualid"},{"family":"Nja","given":"Glory ME"},{"family":"Dung","given":"Nguyen K"}],"issued":{"date-parts":[["2025"]]}}}],"schema":"https://github.com/citation-style-language/schema/raw/master/csl-citation.json"}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(Ebong et al. 2025)</w:t>
      </w:r>
      <w:r w:rsidR="00D1766B" w:rsidRPr="00523F8C">
        <w:rPr>
          <w:rFonts w:ascii="Arial" w:hAnsi="Arial" w:cs="Arial"/>
          <w:sz w:val="20"/>
          <w:szCs w:val="20"/>
        </w:rPr>
        <w:fldChar w:fldCharType="end"/>
      </w:r>
      <w:r w:rsidRPr="00523F8C">
        <w:rPr>
          <w:rFonts w:ascii="Arial" w:hAnsi="Arial" w:cs="Arial"/>
          <w:sz w:val="20"/>
          <w:szCs w:val="20"/>
        </w:rPr>
        <w:t>. Such contamination may pose potential health risks, especially for vulnerable populations</w:t>
      </w:r>
      <w:r w:rsidR="00D1766B" w:rsidRPr="00523F8C">
        <w:rPr>
          <w:rFonts w:ascii="Arial" w:hAnsi="Arial" w:cs="Arial"/>
          <w:sz w:val="20"/>
          <w:szCs w:val="20"/>
          <w:lang w:val="fr-FR"/>
        </w:rPr>
        <w:fldChar w:fldCharType="begin"/>
      </w:r>
      <w:r w:rsidR="00D1766B" w:rsidRPr="00523F8C">
        <w:rPr>
          <w:rFonts w:ascii="Arial" w:hAnsi="Arial" w:cs="Arial"/>
          <w:sz w:val="20"/>
          <w:szCs w:val="20"/>
        </w:rPr>
        <w:instrText xml:space="preserve"> ADDIN ZOTERO_ITEM CSL_CITATION {"citationID":"3LmJ5pae","properties":{"formattedCitation":"(Ch\\uc0\\u233{}b\\uc0\\u233{}kou\\uc0\\u233{} 2008)","plainCitation":"(Chébékoué 2008)","noteIndex":0},"citationItems":[{"id":453,"uris":["http://zotero.org/users/local/KXt9aeYd/items/IE5EINYB"],"itemData":{"id":453,"type":"article-journal","title":"Évaluation du risque cancérigène associé à la contamination de l’eau potable de puits municipaux par les nitrates/nitrites dans certaines régions rurales du Québec","author":[{"family":"Chébékoué","given":"Sandrine Fleur"}],"issued":{"date-parts":[["2008"]]}}}],"schema":"https://github.com/citation-style-language/schema/raw/master/csl-citation.json"} </w:instrText>
      </w:r>
      <w:r w:rsidR="00D1766B" w:rsidRPr="00523F8C">
        <w:rPr>
          <w:rFonts w:ascii="Arial" w:hAnsi="Arial" w:cs="Arial"/>
          <w:sz w:val="20"/>
          <w:szCs w:val="20"/>
          <w:lang w:val="fr-FR"/>
        </w:rPr>
        <w:fldChar w:fldCharType="separate"/>
      </w:r>
      <w:r w:rsidR="00D1766B" w:rsidRPr="00523F8C">
        <w:rPr>
          <w:rFonts w:ascii="Arial" w:hAnsi="Arial" w:cs="Arial"/>
          <w:kern w:val="0"/>
          <w:sz w:val="20"/>
          <w:szCs w:val="20"/>
        </w:rPr>
        <w:t>(Chébékoué 2008)</w:t>
      </w:r>
      <w:r w:rsidR="00D1766B" w:rsidRPr="00523F8C">
        <w:rPr>
          <w:rFonts w:ascii="Arial" w:hAnsi="Arial" w:cs="Arial"/>
          <w:sz w:val="20"/>
          <w:szCs w:val="20"/>
          <w:lang w:val="fr-FR"/>
        </w:rPr>
        <w:fldChar w:fldCharType="end"/>
      </w:r>
      <w:r w:rsidRPr="00523F8C">
        <w:rPr>
          <w:rFonts w:ascii="Arial" w:hAnsi="Arial" w:cs="Arial"/>
          <w:sz w:val="20"/>
          <w:szCs w:val="20"/>
        </w:rPr>
        <w:t>.</w:t>
      </w:r>
    </w:p>
    <w:p w14:paraId="46712949" w14:textId="525C34FA" w:rsidR="00290B43" w:rsidRPr="00523F8C" w:rsidRDefault="00290B43" w:rsidP="00290B43">
      <w:pPr>
        <w:jc w:val="both"/>
        <w:rPr>
          <w:rFonts w:ascii="Arial" w:hAnsi="Arial" w:cs="Arial"/>
          <w:sz w:val="20"/>
          <w:szCs w:val="20"/>
        </w:rPr>
      </w:pPr>
      <w:r w:rsidRPr="00523F8C">
        <w:rPr>
          <w:rFonts w:ascii="Arial" w:hAnsi="Arial" w:cs="Arial"/>
          <w:sz w:val="20"/>
          <w:szCs w:val="20"/>
        </w:rPr>
        <w:t>Other major anions (chlorides, sulfates, and carbonates) display relatively low concentrations and generally remain below the limit values established by national and international standards</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{"citationID":"tHKzK8iU","properties":{"formattedCitation":"(Gbohaida et al. 2016; Cotruvo 2017)","plainCitation":"(Gbohaida et al. 2016; Cotruvo 2017)","noteIndex":0},"citationItems":[{"id":454,"uris":["http://zotero.org/users/local/KXt9aeYd/items/26D7KNKP"],"itemData":{"id":454,"type":"article-journal","container-title":"International Journal of Biological and Chemical Sciences","ISSN":"1997-342X","issue":"1","journalAbbreviation":"International Journal of Biological and Chemical Sciences","page":"422-434","title":"Etude de la qualité physico-chimique de l’eau de boisson dans deux localités du Bénin: Cotonou et Dassa-Zoumè","volume":"10","author":[{"family":"Gbohaida","given":"Virginie"},{"family":"Agbangnan","given":"DC Pascal"},{"family":"Ngossanga","given":"Mafuyu Bucku"},{"family":"Medoatinsa","given":"S Espérance"},{"family":"Dovonon","given":"Léonce FC"},{"family":"Wotto","given":"D Valentin"},{"family":"Avlessi","given":"Félicien"},{"family":"Sohounhloue","given":"Dominique CK"}],"issued":{"date-parts":[["2016"]]}}},{"id":451,"uris":["http://zotero.org/users/local/KXt9aeYd/items/4X8JBI2R"],"itemData":{"id":451,"type":"article-journal","container-title":"Journal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American Water Works Association","ISSN":"0003-150X","issue":"7","journalAbbreviation":"Journal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(Gbohaida et al. 2016; Cotruvo 2017)</w:t>
      </w:r>
      <w:r w:rsidR="00D1766B" w:rsidRPr="00523F8C">
        <w:rPr>
          <w:rFonts w:ascii="Arial" w:hAnsi="Arial" w:cs="Arial"/>
          <w:sz w:val="20"/>
          <w:szCs w:val="20"/>
        </w:rPr>
        <w:fldChar w:fldCharType="end"/>
      </w:r>
      <w:r w:rsidR="00D1766B" w:rsidRPr="00523F8C">
        <w:rPr>
          <w:rFonts w:ascii="Arial" w:hAnsi="Arial" w:cs="Arial"/>
          <w:sz w:val="20"/>
          <w:szCs w:val="20"/>
        </w:rPr>
        <w:t xml:space="preserve">. </w:t>
      </w:r>
      <w:r w:rsidRPr="00523F8C">
        <w:rPr>
          <w:rFonts w:ascii="Arial" w:hAnsi="Arial" w:cs="Arial"/>
          <w:sz w:val="20"/>
          <w:szCs w:val="20"/>
        </w:rPr>
        <w:t>Nevertheless, their widespread presence across most wells reflects the combined influence of natural inputs and low-intensity anthropogenic contributions.</w:t>
      </w:r>
    </w:p>
    <w:p w14:paraId="7E49B68C" w14:textId="7DD294AD" w:rsidR="00290B43" w:rsidRPr="00523F8C" w:rsidRDefault="00290B43" w:rsidP="00290B43">
      <w:pPr>
        <w:jc w:val="both"/>
        <w:rPr>
          <w:rFonts w:ascii="Arial" w:hAnsi="Arial" w:cs="Arial"/>
          <w:sz w:val="20"/>
          <w:szCs w:val="20"/>
        </w:rPr>
      </w:pPr>
      <w:r w:rsidRPr="00523F8C">
        <w:rPr>
          <w:rFonts w:ascii="Arial" w:hAnsi="Arial" w:cs="Arial"/>
          <w:sz w:val="20"/>
          <w:szCs w:val="20"/>
        </w:rPr>
        <w:t>Cationic composition is dominated by calcium and magnesium, resulting in total hardness values ranging from moderately hard to hard water. Although water hardness does not constitute a direct health risk, it may cause domestic inconveniences such as scaling of equipment and increased detergent consumption</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{"citationID":"77p6WmSS","properties":{"formattedCitation":"(Mons et al. 2007)","plainCitation":"(Mons et al. 2007)","noteIndex":0},"citationItems":[{"id":455,"uris":["http://zotero.org/users/local/KXt9aeYd/items/VUKDUFAE"],"itemData":{"id":455,"type":"article-journal","container-title":"Global Water Research Coalition: London, UK","journalAbbreviation":"Global Water Research Coalition: London, UK","title":"Drinking Water Hardness: Reasons and Criteria for Softening and Conditioning of Drinking Water","author":[{"family":"Mons","given":"M"},{"family":"Van Dijk","given":"H"},{"family":"Gatel","given":"D"},{"family":"Hesse","given":"S"},{"family":"Hofman","given":"J"},{"family":"Nguyen","given":"ML"},{"family":"Slaats","given":"N"}],"issued":{"date-parts":[["2007"]]}}}],"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(Mons et al. 2007)</w:t>
      </w:r>
      <w:r w:rsidR="00D1766B" w:rsidRPr="00523F8C">
        <w:rPr>
          <w:rFonts w:ascii="Arial" w:hAnsi="Arial" w:cs="Arial"/>
          <w:sz w:val="20"/>
          <w:szCs w:val="20"/>
        </w:rPr>
        <w:fldChar w:fldCharType="end"/>
      </w:r>
      <w:r w:rsidRPr="00523F8C">
        <w:rPr>
          <w:rFonts w:ascii="Arial" w:hAnsi="Arial" w:cs="Arial"/>
          <w:sz w:val="20"/>
          <w:szCs w:val="20"/>
        </w:rPr>
        <w:t>. The Ca²</w:t>
      </w:r>
      <w:r w:rsidRPr="00523F8C">
        <w:rPr>
          <w:rFonts w:ascii="Cambria Math" w:hAnsi="Cambria Math" w:cs="Cambria Math"/>
          <w:sz w:val="20"/>
          <w:szCs w:val="20"/>
        </w:rPr>
        <w:t>⁺</w:t>
      </w:r>
      <w:r w:rsidRPr="00523F8C">
        <w:rPr>
          <w:rFonts w:ascii="Arial" w:hAnsi="Arial" w:cs="Arial"/>
          <w:sz w:val="20"/>
          <w:szCs w:val="20"/>
        </w:rPr>
        <w:t>/Mg²</w:t>
      </w:r>
      <w:r w:rsidRPr="00523F8C">
        <w:rPr>
          <w:rFonts w:ascii="Cambria Math" w:hAnsi="Cambria Math" w:cs="Cambria Math"/>
          <w:sz w:val="20"/>
          <w:szCs w:val="20"/>
        </w:rPr>
        <w:t>⁺</w:t>
      </w:r>
      <w:r w:rsidRPr="00523F8C">
        <w:rPr>
          <w:rFonts w:ascii="Arial" w:hAnsi="Arial" w:cs="Arial"/>
          <w:sz w:val="20"/>
          <w:szCs w:val="20"/>
        </w:rPr>
        <w:t xml:space="preserve"> ratio exceeding unity in most samples suggests a dominant contribution from calcium-bearing minerals, consistent with weathering processes affecting local geological formations</w:t>
      </w:r>
      <w:r w:rsidR="00E64A26" w:rsidRPr="00523F8C">
        <w:rPr>
          <w:rFonts w:ascii="Arial" w:hAnsi="Arial" w:cs="Arial"/>
          <w:sz w:val="20"/>
          <w:szCs w:val="20"/>
        </w:rPr>
        <w:fldChar w:fldCharType="begin"/>
      </w:r>
      <w:r w:rsidR="00E64A26" w:rsidRPr="00523F8C">
        <w:rPr>
          <w:rFonts w:ascii="Arial" w:hAnsi="Arial" w:cs="Arial"/>
          <w:sz w:val="20"/>
          <w:szCs w:val="20"/>
        </w:rPr>
        <w:instrText xml:space="preserve"> ADDIN ZOTERO_ITEM CSL_CITATION {"citationID":"w89vveyG","properties":{"formattedCitation":"(Promilton et al. 2025)","plainCitation":"(Promilton et al. 2025)","noteIndex":0},"citationItems":[{"id":456,"uris":["http://zotero.org/users/local/KXt9aeYd/items/28J4W42S"],"itemData":{"id":456,"type":"article-journal","container-title":"Scientific Reports","ISSN":"2045-2322","issue":"1","journalAbbreviation":"Scientific Reports","page":"33251","publisher":"Nature Publishing Group UK London","title":"Comprehensive hydrogeochemical characterization and seasonal water quality index analysis for sustainable groundwater management in Valliyur region, Southern Tamil Nadu, India","volume":"15","author":[{"family":"Promilton","given":"A Antony Alosanai"},{"family":"Ravindran","given":"A Antony"},{"family":"Pitchaimani","given":"V Stephen"},{"family":"Kingston","given":"J Vinoth"},{"family":"Karuppannan","given":"Shankar"}],"issued":{"date-parts":[["2025"]]}}}],"schema":"https://github.com/citation-style-language/schema/raw/master/csl-citation.json"} </w:instrText>
      </w:r>
      <w:r w:rsidR="00E64A26" w:rsidRPr="00523F8C">
        <w:rPr>
          <w:rFonts w:ascii="Arial" w:hAnsi="Arial" w:cs="Arial"/>
          <w:sz w:val="20"/>
          <w:szCs w:val="20"/>
        </w:rPr>
        <w:fldChar w:fldCharType="separate"/>
      </w:r>
      <w:r w:rsidR="00E64A26" w:rsidRPr="00523F8C">
        <w:rPr>
          <w:rFonts w:ascii="Arial" w:hAnsi="Arial" w:cs="Arial"/>
          <w:sz w:val="20"/>
          <w:szCs w:val="20"/>
        </w:rPr>
        <w:t>(Promilton et al. 2025)</w:t>
      </w:r>
      <w:r w:rsidR="00E64A26" w:rsidRPr="00523F8C">
        <w:rPr>
          <w:rFonts w:ascii="Arial" w:hAnsi="Arial" w:cs="Arial"/>
          <w:sz w:val="20"/>
          <w:szCs w:val="20"/>
        </w:rPr>
        <w:fldChar w:fldCharType="end"/>
      </w:r>
      <w:r w:rsidR="00E64A26" w:rsidRPr="00523F8C">
        <w:rPr>
          <w:rFonts w:ascii="Arial" w:hAnsi="Arial" w:cs="Arial"/>
          <w:sz w:val="20"/>
          <w:szCs w:val="20"/>
        </w:rPr>
        <w:t>.</w:t>
      </w:r>
    </w:p>
    <w:p w14:paraId="6CED21AD" w14:textId="43F85B13" w:rsidR="00290B43" w:rsidRPr="00523F8C" w:rsidRDefault="00290B43" w:rsidP="00290B43">
      <w:pPr>
        <w:jc w:val="both"/>
        <w:rPr>
          <w:rFonts w:ascii="Arial" w:hAnsi="Arial" w:cs="Arial"/>
          <w:sz w:val="20"/>
          <w:szCs w:val="20"/>
        </w:rPr>
      </w:pPr>
      <w:r w:rsidRPr="00523F8C">
        <w:rPr>
          <w:rFonts w:ascii="Arial" w:hAnsi="Arial" w:cs="Arial"/>
          <w:sz w:val="20"/>
          <w:szCs w:val="20"/>
        </w:rPr>
        <w:t>Ionic ratio analysis provides additional insights into the hydrochemical mechanisms governing groundwater composition. The (Na</w:t>
      </w:r>
      <w:r w:rsidRPr="00523F8C">
        <w:rPr>
          <w:rFonts w:ascii="Cambria Math" w:hAnsi="Cambria Math" w:cs="Cambria Math"/>
          <w:sz w:val="20"/>
          <w:szCs w:val="20"/>
        </w:rPr>
        <w:t>⁺</w:t>
      </w:r>
      <w:r w:rsidRPr="00523F8C">
        <w:rPr>
          <w:rFonts w:ascii="Arial" w:hAnsi="Arial" w:cs="Arial"/>
          <w:sz w:val="20"/>
          <w:szCs w:val="20"/>
        </w:rPr>
        <w:t xml:space="preserve"> + K</w:t>
      </w:r>
      <w:r w:rsidRPr="00523F8C">
        <w:rPr>
          <w:rFonts w:ascii="Cambria Math" w:hAnsi="Cambria Math" w:cs="Cambria Math"/>
          <w:sz w:val="20"/>
          <w:szCs w:val="20"/>
        </w:rPr>
        <w:t>⁺</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 which is on average below unity, indicates a limited contribution from marine-derived salinity and highlights the predominance of continental processes</w:t>
      </w:r>
      <w:r w:rsidR="00E64A26" w:rsidRPr="00523F8C">
        <w:rPr>
          <w:rFonts w:ascii="Arial" w:hAnsi="Arial" w:cs="Arial"/>
          <w:sz w:val="20"/>
          <w:szCs w:val="20"/>
        </w:rPr>
        <w:fldChar w:fldCharType="begin"/>
      </w:r>
      <w:r w:rsidR="00E64A26" w:rsidRPr="00523F8C">
        <w:rPr>
          <w:rFonts w:ascii="Arial" w:hAnsi="Arial" w:cs="Arial"/>
          <w:sz w:val="20"/>
          <w:szCs w:val="20"/>
        </w:rPr>
        <w:instrText xml:space="preserve"> ADDIN ZOTERO_ITEM CSL_CITATION {"citationID":"Zx9MDUo3","properties":{"formattedCitation":"(Lara et al. 2026)","plainCitation":"(Lara et al. 2026)","noteIndex":0},"citationItems":[{"id":457,"uris":["http://zotero.org/users/local/KXt9aeYd/items/LJY3D37Q"],"itemData":{"id":457,"type":"article-journal","container-title":"Brazilian Journal of Agricultural and Environmental Engineering","ISSN":"1807-1929","issue":"1","journalAbbreviation":"Brazilian Journal of Agricultural and Environmental Engineering","page":"e291614","title":"Origin and hydrogeochemical processes in the salinization of a coastal aquifer in the Colombian Caribbean1","volume":"30","author":[{"family":"Lara","given":"Zoraya Y Martínez"},{"family":"Benitez","given":"Mónica C Cantero"},{"family":"Soto","given":"Adriana S Raciny"},{"family":"Ortiz","given":"Neider A Burgos"},{"family":"López","given":"Ángela I Villalba"}],"issued":{"date-parts":[["2026"]]}}}],"schema":"https://github.com/citation-style-language/schema/raw/master/csl-citation.json"} </w:instrText>
      </w:r>
      <w:r w:rsidR="00E64A26" w:rsidRPr="00523F8C">
        <w:rPr>
          <w:rFonts w:ascii="Arial" w:hAnsi="Arial" w:cs="Arial"/>
          <w:sz w:val="20"/>
          <w:szCs w:val="20"/>
        </w:rPr>
        <w:fldChar w:fldCharType="separate"/>
      </w:r>
      <w:r w:rsidR="00E64A26" w:rsidRPr="00523F8C">
        <w:rPr>
          <w:rFonts w:ascii="Arial" w:hAnsi="Arial" w:cs="Arial"/>
          <w:sz w:val="20"/>
          <w:szCs w:val="20"/>
        </w:rPr>
        <w:t>(Lara et al. 2026)</w:t>
      </w:r>
      <w:r w:rsidR="00E64A26" w:rsidRPr="00523F8C">
        <w:rPr>
          <w:rFonts w:ascii="Arial" w:hAnsi="Arial" w:cs="Arial"/>
          <w:sz w:val="20"/>
          <w:szCs w:val="20"/>
        </w:rPr>
        <w:fldChar w:fldCharType="end"/>
      </w:r>
      <w:r w:rsidRPr="00523F8C">
        <w:rPr>
          <w:rFonts w:ascii="Arial" w:hAnsi="Arial" w:cs="Arial"/>
          <w:sz w:val="20"/>
          <w:szCs w:val="20"/>
        </w:rPr>
        <w:t>. Elevated NO</w:t>
      </w:r>
      <w:r w:rsidRPr="00523F8C">
        <w:rPr>
          <w:rFonts w:ascii="Cambria Math" w:hAnsi="Cambria Math" w:cs="Cambria Math"/>
          <w:sz w:val="20"/>
          <w:szCs w:val="20"/>
        </w:rPr>
        <w:t>₃⁻</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ratios in several wells emphasize the relative importance of nitrate sources compared to chlorides. SO</w:t>
      </w:r>
      <w:r w:rsidRPr="00523F8C">
        <w:rPr>
          <w:rFonts w:ascii="Cambria Math" w:hAnsi="Cambria Math" w:cs="Cambria Math"/>
          <w:sz w:val="20"/>
          <w:szCs w:val="20"/>
        </w:rPr>
        <w:t>₄</w:t>
      </w:r>
      <w:r w:rsidRPr="00523F8C">
        <w:rPr>
          <w:rFonts w:ascii="Arial" w:hAnsi="Arial" w:cs="Arial"/>
          <w:sz w:val="20"/>
          <w:szCs w:val="20"/>
        </w:rPr>
        <w:t>²</w:t>
      </w:r>
      <w:r w:rsidRPr="00523F8C">
        <w:rPr>
          <w:rFonts w:ascii="Cambria Math" w:hAnsi="Cambria Math" w:cs="Cambria Math"/>
          <w:sz w:val="20"/>
          <w:szCs w:val="20"/>
        </w:rPr>
        <w:t>⁻</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ratios, generally below unity, suggest a minor relative contribution of sulfates to overall mineralization, although a few wells exhibit distinct signatures that may reflect localized hydrochemical conditions.</w:t>
      </w:r>
    </w:p>
    <w:p w14:paraId="74155BAD" w14:textId="7A1FF326" w:rsidR="00290B43" w:rsidRPr="00523F8C" w:rsidRDefault="00290B43" w:rsidP="00290B43">
      <w:pPr>
        <w:jc w:val="both"/>
        <w:rPr>
          <w:rFonts w:ascii="Arial" w:hAnsi="Arial" w:cs="Arial"/>
          <w:sz w:val="20"/>
          <w:szCs w:val="20"/>
        </w:rPr>
      </w:pPr>
      <w:r w:rsidRPr="00523F8C">
        <w:rPr>
          <w:rFonts w:ascii="Arial" w:hAnsi="Arial" w:cs="Arial"/>
          <w:sz w:val="20"/>
          <w:szCs w:val="20"/>
        </w:rPr>
        <w:t>Hydrochemical classification based on the Piper diagram reveals a predominance of calcium–magnesium bicarbonate facies, with mixed facies observed in some wells. This distribution indicates moderate hydrochemical evolution of groundwater, influenced by both natural rock weathering processes and localized anthropogenic inputs.</w:t>
      </w:r>
    </w:p>
    <w:p w14:paraId="726AF3E1" w14:textId="2C34D1A7" w:rsidR="00290B43" w:rsidRPr="00364ECA" w:rsidRDefault="00364ECA" w:rsidP="00364ECA">
      <w:pPr>
        <w:pStyle w:val="Heading3"/>
        <w:rPr>
          <w:rFonts w:ascii="Arial" w:hAnsi="Arial" w:cs="Arial"/>
          <w:b/>
          <w:bCs/>
          <w:color w:val="auto"/>
          <w:sz w:val="20"/>
          <w:szCs w:val="20"/>
        </w:rPr>
      </w:pPr>
      <w:r w:rsidRPr="00364ECA">
        <w:rPr>
          <w:rFonts w:ascii="Arial" w:hAnsi="Arial" w:cs="Arial"/>
          <w:b/>
          <w:bCs/>
          <w:color w:val="auto"/>
          <w:sz w:val="20"/>
          <w:szCs w:val="20"/>
        </w:rPr>
        <w:t>3</w:t>
      </w:r>
      <w:r w:rsidR="00523F8C" w:rsidRPr="00364ECA">
        <w:rPr>
          <w:rFonts w:ascii="Arial" w:hAnsi="Arial" w:cs="Arial"/>
          <w:b/>
          <w:bCs/>
          <w:color w:val="auto"/>
          <w:sz w:val="20"/>
          <w:szCs w:val="20"/>
        </w:rPr>
        <w:t>.2</w:t>
      </w:r>
      <w:r w:rsidRPr="00364ECA">
        <w:rPr>
          <w:rFonts w:ascii="Arial" w:hAnsi="Arial" w:cs="Arial"/>
          <w:b/>
          <w:bCs/>
          <w:color w:val="auto"/>
          <w:sz w:val="20"/>
          <w:szCs w:val="20"/>
        </w:rPr>
        <w:t>.2</w:t>
      </w:r>
      <w:r w:rsidR="00523F8C" w:rsidRPr="00364ECA">
        <w:rPr>
          <w:rFonts w:ascii="Arial" w:hAnsi="Arial" w:cs="Arial"/>
          <w:b/>
          <w:bCs/>
          <w:color w:val="auto"/>
          <w:sz w:val="20"/>
          <w:szCs w:val="20"/>
        </w:rPr>
        <w:t xml:space="preserve"> </w:t>
      </w:r>
      <w:r w:rsidR="00290B43" w:rsidRPr="00364ECA">
        <w:rPr>
          <w:rFonts w:ascii="Arial" w:hAnsi="Arial" w:cs="Arial"/>
          <w:b/>
          <w:bCs/>
          <w:color w:val="auto"/>
          <w:sz w:val="20"/>
          <w:szCs w:val="20"/>
        </w:rPr>
        <w:t>Bacteriological quality of well water</w:t>
      </w:r>
    </w:p>
    <w:p w14:paraId="0C1AFEA5" w14:textId="76F5DF3B"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Bacteriological results reveal widespread fecal contamination of the studied well waters. The systematic detection of </w:t>
      </w:r>
      <w:r w:rsidRPr="00523F8C">
        <w:rPr>
          <w:rFonts w:ascii="Arial" w:hAnsi="Arial" w:cs="Arial"/>
          <w:i/>
          <w:iCs/>
          <w:sz w:val="20"/>
          <w:szCs w:val="20"/>
        </w:rPr>
        <w:t>Escherichia coli</w:t>
      </w:r>
      <w:r w:rsidRPr="00523F8C">
        <w:rPr>
          <w:rFonts w:ascii="Arial" w:hAnsi="Arial" w:cs="Arial"/>
          <w:sz w:val="20"/>
          <w:szCs w:val="20"/>
        </w:rPr>
        <w:t>, total coliforms, and fecal streptococci in all samples indicates that these waters do not meet the microbiological criteria for drinking water established by the WHO, which require the complete absence of fecal contamination indicators in 100 mL of water intended for consumption</w:t>
      </w:r>
      <w:r w:rsidR="003624B3" w:rsidRPr="00523F8C">
        <w:rPr>
          <w:rFonts w:ascii="Arial" w:hAnsi="Arial" w:cs="Arial"/>
          <w:sz w:val="20"/>
          <w:szCs w:val="20"/>
        </w:rPr>
        <w:fldChar w:fldCharType="begin"/>
      </w:r>
      <w:r w:rsidR="003624B3" w:rsidRPr="00523F8C">
        <w:rPr>
          <w:rFonts w:ascii="Arial" w:hAnsi="Arial" w:cs="Arial"/>
          <w:sz w:val="20"/>
          <w:szCs w:val="20"/>
        </w:rPr>
        <w:instrText xml:space="preserve"> ADDIN ZOTERO_ITEM CSL_CITATION {"citationID":"hY6xdab5","properties":{"formattedCitation":"(Khan 2020; Salamandane et al. 2021)","plainCitation":"(Khan 2020; Salamandane et al. 2021)","noteIndex":0},"citationItems":[{"id":458,"uris":["http://zotero.org/users/local/KXt9aeYd/items/PLHQERM2"],"itemData":{"id":458,"type":"article-journal","publisher":"Preprints","title":"Escherichia coli (E. coli) as an Indicator of Fecal Contamination in Water: A Review","author":[{"family":"Khan","given":"Farhan Mohammad"}],"issued":{"date-parts":[["2020"]]}}},{"id":459,"uris":["http://zotero.org/users/local/KXt9aeYd/items/X4HZ6JE6"],"itemData":{"id":459,"type":"article-journal","container-title":"Biology","ISSN":"2079-7737","issue":"6","journalAbbreviation":"Biology","page":"558","publisher":"MDPI","title":"High fecal contamination and high levels of antibiotic-resistant Enterobacteriaceae in water consumed in the city of Maputo, Mozambique","volume":"10","author":[{"family":"Salamandane","given":"Acácio"},{"family":"Vila-Boa","given":"Filipa"},{"family":"Malfeito-Ferreira","given":"Manuel"},{"family":"Brito","given":"Luísa"}],"issued":{"date-parts":[["2021"]]}}}],"schema":"https://github.com/citation-style-language/schema/raw/master/csl-citation.json"} </w:instrText>
      </w:r>
      <w:r w:rsidR="003624B3" w:rsidRPr="00523F8C">
        <w:rPr>
          <w:rFonts w:ascii="Arial" w:hAnsi="Arial" w:cs="Arial"/>
          <w:sz w:val="20"/>
          <w:szCs w:val="20"/>
        </w:rPr>
        <w:fldChar w:fldCharType="separate"/>
      </w:r>
      <w:r w:rsidR="003624B3" w:rsidRPr="00523F8C">
        <w:rPr>
          <w:rFonts w:ascii="Arial" w:hAnsi="Arial" w:cs="Arial"/>
          <w:sz w:val="20"/>
          <w:szCs w:val="20"/>
        </w:rPr>
        <w:t>(Khan 2020; Salamandane et al. 2021)</w:t>
      </w:r>
      <w:r w:rsidR="003624B3" w:rsidRPr="00523F8C">
        <w:rPr>
          <w:rFonts w:ascii="Arial" w:hAnsi="Arial" w:cs="Arial"/>
          <w:sz w:val="20"/>
          <w:szCs w:val="20"/>
        </w:rPr>
        <w:fldChar w:fldCharType="end"/>
      </w:r>
      <w:r w:rsidR="003624B3" w:rsidRPr="00523F8C">
        <w:rPr>
          <w:rFonts w:ascii="Arial" w:hAnsi="Arial" w:cs="Arial"/>
          <w:sz w:val="20"/>
          <w:szCs w:val="20"/>
        </w:rPr>
        <w:t>.</w:t>
      </w:r>
    </w:p>
    <w:p w14:paraId="02A7B5D2" w14:textId="07F0C8E6" w:rsidR="00290B43" w:rsidRPr="00523F8C" w:rsidRDefault="00290B43" w:rsidP="00290B43">
      <w:pPr>
        <w:jc w:val="both"/>
        <w:rPr>
          <w:rFonts w:ascii="Arial" w:hAnsi="Arial" w:cs="Arial"/>
          <w:sz w:val="20"/>
          <w:szCs w:val="20"/>
        </w:rPr>
      </w:pPr>
      <w:r w:rsidRPr="00523F8C">
        <w:rPr>
          <w:rFonts w:ascii="Arial" w:hAnsi="Arial" w:cs="Arial"/>
          <w:sz w:val="20"/>
          <w:szCs w:val="20"/>
        </w:rPr>
        <w:lastRenderedPageBreak/>
        <w:t>This generalized contamination reflects the vulnerability of shallow groundwater to fecal inputs</w:t>
      </w:r>
      <w:r w:rsidR="00B94BA5">
        <w:rPr>
          <w:rFonts w:ascii="Arial" w:hAnsi="Arial" w:cs="Arial"/>
          <w:sz w:val="20"/>
          <w:szCs w:val="20"/>
        </w:rPr>
        <w:t>,</w:t>
      </w:r>
      <w:r w:rsidR="00B94BA5" w:rsidRPr="00B94BA5">
        <w:t xml:space="preserve"> </w:t>
      </w:r>
      <w:r w:rsidR="00B94BA5" w:rsidRPr="00B94BA5">
        <w:rPr>
          <w:rFonts w:ascii="Arial" w:hAnsi="Arial" w:cs="Arial"/>
          <w:sz w:val="20"/>
          <w:szCs w:val="20"/>
          <w:highlight w:val="yellow"/>
        </w:rPr>
        <w:t>which has also been documented in comparable West African settings</w:t>
      </w:r>
      <w:r w:rsidR="00F246B4" w:rsidRPr="00F246B4">
        <w:rPr>
          <w:rFonts w:ascii="Arial" w:hAnsi="Arial" w:cs="Arial"/>
          <w:sz w:val="20"/>
          <w:szCs w:val="20"/>
        </w:rPr>
        <w:fldChar w:fldCharType="begin"/>
      </w:r>
      <w:r w:rsidR="00F246B4" w:rsidRPr="00F246B4">
        <w:rPr>
          <w:rFonts w:ascii="Arial" w:hAnsi="Arial" w:cs="Arial"/>
          <w:sz w:val="20"/>
          <w:szCs w:val="20"/>
        </w:rPr>
        <w:instrText xml:space="preserve"> ADDIN ZOTERO_ITEM CSL_CITATION {"citationID":"UTHEMpYZ","properties":{"formattedCitation":"(Orji et al. 2020)","plainCitation":"(Orji et al. 2020)","noteIndex":0},"citationItems":[{"id":499,"uris":["http://zotero.org/users/local/KXt9aeYd/items/TEQVV6KP"],"itemData":{"id":499,"type":"article-journal","container-title":"Asian Journal of Biology","ISSN":"2456-7124","issue":"1","journalAbbreviation":"Asian Journal of Biology","page":"1-28","title":"Effects of depth and seasons on the physicochemical and bacteriological quality of selected well water samples in Awka Urban, Anambra State, Nigeria","volume":"10","author":[{"family":"Orji","given":"MU"},{"family":"Onuorah","given":"SC"},{"family":"Ifemeje","given":"MO"},{"family":"Umeh","given":"OR"}],"issued":{"date-parts":[["2020"]]}}}],"schema":"https://github.com/citation-style-language/schema/raw/master/csl-citation.json"} </w:instrText>
      </w:r>
      <w:r w:rsidR="00F246B4" w:rsidRPr="00F246B4">
        <w:rPr>
          <w:rFonts w:ascii="Arial" w:hAnsi="Arial" w:cs="Arial"/>
          <w:sz w:val="20"/>
          <w:szCs w:val="20"/>
        </w:rPr>
        <w:fldChar w:fldCharType="separate"/>
      </w:r>
      <w:r w:rsidR="00F246B4" w:rsidRPr="00F246B4">
        <w:rPr>
          <w:rFonts w:ascii="Arial" w:hAnsi="Arial" w:cs="Arial"/>
          <w:sz w:val="20"/>
        </w:rPr>
        <w:t>(Orji et al. 2020)</w:t>
      </w:r>
      <w:r w:rsidR="00F246B4" w:rsidRPr="00F246B4">
        <w:rPr>
          <w:rFonts w:ascii="Arial" w:hAnsi="Arial" w:cs="Arial"/>
          <w:sz w:val="20"/>
          <w:szCs w:val="20"/>
        </w:rPr>
        <w:fldChar w:fldCharType="end"/>
      </w:r>
      <w:r w:rsidRPr="00523F8C">
        <w:rPr>
          <w:rFonts w:ascii="Arial" w:hAnsi="Arial" w:cs="Arial"/>
          <w:sz w:val="20"/>
          <w:szCs w:val="20"/>
        </w:rPr>
        <w:t xml:space="preserve"> Several factors may contribute, including insufficient physical protection of wells, frequent proximity of latrines and domestic pollution sources (often within 10 m), and water-drawing practices that promote secondary contamination. Local hydroclimatic conditions, particularly intense rainfall events, may further facilitate the rapid transfer of microorganisms to the groundwater through infiltration.</w:t>
      </w:r>
    </w:p>
    <w:p w14:paraId="7798A763" w14:textId="25338D39"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Analysis of the fecal streptococci to </w:t>
      </w:r>
      <w:r w:rsidRPr="00523F8C">
        <w:rPr>
          <w:rFonts w:ascii="Arial" w:hAnsi="Arial" w:cs="Arial"/>
          <w:i/>
          <w:iCs/>
          <w:sz w:val="20"/>
          <w:szCs w:val="20"/>
        </w:rPr>
        <w:t>Escherichia coli</w:t>
      </w:r>
      <w:r w:rsidRPr="00523F8C">
        <w:rPr>
          <w:rFonts w:ascii="Arial" w:hAnsi="Arial" w:cs="Arial"/>
          <w:sz w:val="20"/>
          <w:szCs w:val="20"/>
        </w:rPr>
        <w:t xml:space="preserve"> ratio (FS/EC) provides additional information on the nature and persistence of contamination. High ratios observed in a significant proportion of wells are generally associated with older contamination or a predominance of animal-derived sources, given the greater environmental persistence of fecal streptococci</w:t>
      </w:r>
      <w:r w:rsidR="00B02890" w:rsidRPr="00523F8C">
        <w:rPr>
          <w:rFonts w:ascii="Arial" w:hAnsi="Arial" w:cs="Arial"/>
          <w:sz w:val="20"/>
          <w:szCs w:val="20"/>
        </w:rPr>
        <w:fldChar w:fldCharType="begin"/>
      </w:r>
      <w:r w:rsidR="00B02890" w:rsidRPr="00523F8C">
        <w:rPr>
          <w:rFonts w:ascii="Arial" w:hAnsi="Arial" w:cs="Arial"/>
          <w:sz w:val="20"/>
          <w:szCs w:val="20"/>
        </w:rPr>
        <w:instrText xml:space="preserve"> ADDIN ZOTERO_ITEM CSL_CITATION {"citationID":"QlyuID3H","properties":{"formattedCitation":"(Hou\\uc0\\u233{}dakor et al. 2025)","plainCitation":"(Houédakor et al. 2025)","noteIndex":0},"citationItems":[{"id":460,"uris":["http://zotero.org/users/local/KXt9aeYd/items/KBJNAPEI"],"itemData":{"id":460,"type":"article-journal","container-title":"Water","ISSN":"2073-4441","issue":"12","journalAbbreviation":"Water","page":"1813","publisher":"MDPI","title":"Groundwater Characteristics and Quality in the Coastal Zone of Lomé, Togo","volume":"17","author":[{"family":"Houédakor","given":"Koko Zébéto"},{"family":"Adjalo","given":"Djiwonou Koffi"},{"family":"Danvide","given":"Benoît"},{"family":"Totin Vodounon","given":"Henri Sourou"},{"family":"Amoussou","given":"Ernest"}],"issued":{"date-parts":[["2025"]]}}}],"schema":"https://github.com/citation-style-language/schema/raw/master/csl-citation.json"} </w:instrText>
      </w:r>
      <w:r w:rsidR="00B02890" w:rsidRPr="00523F8C">
        <w:rPr>
          <w:rFonts w:ascii="Arial" w:hAnsi="Arial" w:cs="Arial"/>
          <w:sz w:val="20"/>
          <w:szCs w:val="20"/>
        </w:rPr>
        <w:fldChar w:fldCharType="separate"/>
      </w:r>
      <w:r w:rsidR="00B02890" w:rsidRPr="00523F8C">
        <w:rPr>
          <w:rFonts w:ascii="Arial" w:hAnsi="Arial" w:cs="Arial"/>
          <w:kern w:val="0"/>
          <w:sz w:val="20"/>
          <w:szCs w:val="20"/>
        </w:rPr>
        <w:t>(Houédakor et al. 2025)</w:t>
      </w:r>
      <w:r w:rsidR="00B02890" w:rsidRPr="00523F8C">
        <w:rPr>
          <w:rFonts w:ascii="Arial" w:hAnsi="Arial" w:cs="Arial"/>
          <w:sz w:val="20"/>
          <w:szCs w:val="20"/>
        </w:rPr>
        <w:fldChar w:fldCharType="end"/>
      </w:r>
      <w:r w:rsidRPr="00523F8C">
        <w:rPr>
          <w:rFonts w:ascii="Arial" w:hAnsi="Arial" w:cs="Arial"/>
          <w:sz w:val="20"/>
          <w:szCs w:val="20"/>
        </w:rPr>
        <w:t>. However, the coexistence of different ratio values across the study area suggests multiple contamination sources and diverse contamination dynamics.</w:t>
      </w:r>
    </w:p>
    <w:p w14:paraId="365A722F" w14:textId="2611204C" w:rsidR="00290B43" w:rsidRPr="00364ECA" w:rsidRDefault="00364ECA" w:rsidP="00364ECA">
      <w:pPr>
        <w:pStyle w:val="Heading3"/>
        <w:rPr>
          <w:rFonts w:ascii="Arial" w:hAnsi="Arial" w:cs="Arial"/>
          <w:b/>
          <w:bCs/>
          <w:color w:val="auto"/>
          <w:sz w:val="20"/>
          <w:szCs w:val="20"/>
        </w:rPr>
      </w:pPr>
      <w:r w:rsidRPr="00364ECA">
        <w:rPr>
          <w:rFonts w:ascii="Arial" w:hAnsi="Arial" w:cs="Arial"/>
          <w:b/>
          <w:bCs/>
          <w:color w:val="auto"/>
          <w:sz w:val="20"/>
          <w:szCs w:val="20"/>
        </w:rPr>
        <w:t>3</w:t>
      </w:r>
      <w:r w:rsidR="00523F8C" w:rsidRPr="00364ECA">
        <w:rPr>
          <w:rFonts w:ascii="Arial" w:hAnsi="Arial" w:cs="Arial"/>
          <w:b/>
          <w:bCs/>
          <w:color w:val="auto"/>
          <w:sz w:val="20"/>
          <w:szCs w:val="20"/>
        </w:rPr>
        <w:t>.</w:t>
      </w:r>
      <w:r w:rsidRPr="00364ECA">
        <w:rPr>
          <w:rFonts w:ascii="Arial" w:hAnsi="Arial" w:cs="Arial"/>
          <w:b/>
          <w:bCs/>
          <w:color w:val="auto"/>
          <w:sz w:val="20"/>
          <w:szCs w:val="20"/>
        </w:rPr>
        <w:t>2.</w:t>
      </w:r>
      <w:r w:rsidR="00523F8C" w:rsidRPr="00364ECA">
        <w:rPr>
          <w:rFonts w:ascii="Arial" w:hAnsi="Arial" w:cs="Arial"/>
          <w:b/>
          <w:bCs/>
          <w:color w:val="auto"/>
          <w:sz w:val="20"/>
          <w:szCs w:val="20"/>
        </w:rPr>
        <w:t xml:space="preserve">3 </w:t>
      </w:r>
      <w:r w:rsidR="00290B43" w:rsidRPr="00364ECA">
        <w:rPr>
          <w:rFonts w:ascii="Arial" w:hAnsi="Arial" w:cs="Arial"/>
          <w:b/>
          <w:bCs/>
          <w:color w:val="auto"/>
          <w:sz w:val="20"/>
          <w:szCs w:val="20"/>
        </w:rPr>
        <w:t>Multi-parameter integration: contribution of the Pollution Index and heatmap</w:t>
      </w:r>
    </w:p>
    <w:p w14:paraId="46DB3A3C" w14:textId="59BA1856" w:rsidR="00290B43" w:rsidRPr="00151E53" w:rsidRDefault="00290B43" w:rsidP="00290B43">
      <w:pPr>
        <w:jc w:val="both"/>
        <w:rPr>
          <w:rFonts w:ascii="Arial" w:hAnsi="Arial" w:cs="Arial"/>
          <w:sz w:val="20"/>
          <w:szCs w:val="20"/>
        </w:rPr>
      </w:pPr>
      <w:r w:rsidRPr="00151E53">
        <w:rPr>
          <w:rFonts w:ascii="Arial" w:hAnsi="Arial" w:cs="Arial"/>
          <w:sz w:val="20"/>
          <w:szCs w:val="20"/>
        </w:rPr>
        <w:t>Beyond individual parameter analysis, integration of physicochemical and bacteriological results using the Pollution Index (PI) reveals pronounced spatial heterogeneity in groundwater quality across the study area. Elevated PI values observed in wells W6 to W9 and W26 indicate more severe overall degradation, confirming that the pressures identified are not uniformly expressed at the local scale.</w:t>
      </w:r>
    </w:p>
    <w:p w14:paraId="6355DC5F" w14:textId="77777777" w:rsidR="00290B43" w:rsidRPr="00151E53" w:rsidRDefault="00290B43" w:rsidP="00290B43">
      <w:pPr>
        <w:jc w:val="both"/>
        <w:rPr>
          <w:rFonts w:ascii="Arial" w:hAnsi="Arial" w:cs="Arial"/>
          <w:sz w:val="20"/>
          <w:szCs w:val="20"/>
        </w:rPr>
      </w:pPr>
      <w:r w:rsidRPr="00151E53">
        <w:rPr>
          <w:rFonts w:ascii="Arial" w:hAnsi="Arial" w:cs="Arial"/>
          <w:sz w:val="20"/>
          <w:szCs w:val="20"/>
        </w:rPr>
        <w:t>Cross-analysis with the heatmap clarifies the relative contributions of individual parameters to overall pollution. In wells W6–W9, high PI values are primarily driven by elevated sulfate and nitrate concentrations, suggesting the dominance of anthropogenic dissolved inputs, in agreement with trends identified in the chemical analysis. In contrast, well W26 is characterized by a major contribution from bacteriological parameters, indicating heightened vulnerability to fecal contamination rather than mineralization processes.</w:t>
      </w:r>
    </w:p>
    <w:p w14:paraId="6FF41AC6" w14:textId="77777777" w:rsidR="00290B43" w:rsidRPr="00151E53" w:rsidRDefault="00290B43" w:rsidP="00290B43">
      <w:pPr>
        <w:jc w:val="both"/>
        <w:rPr>
          <w:rFonts w:ascii="Arial" w:hAnsi="Arial" w:cs="Arial"/>
          <w:sz w:val="20"/>
          <w:szCs w:val="20"/>
        </w:rPr>
      </w:pPr>
      <w:r w:rsidRPr="00151E53">
        <w:rPr>
          <w:rFonts w:ascii="Arial" w:hAnsi="Arial" w:cs="Arial"/>
          <w:sz w:val="20"/>
          <w:szCs w:val="20"/>
        </w:rPr>
        <w:t>Wells exhibiting lower PI values (W1, W2, W12, W16, W17, W22, and W27) display more balanced profiles, characterized by moderate scores across all considered parameters. This differentiation highlights the value of the integrated approach, which not only enables ranking of wells according to their relative pollution levels but also facilitates identification of the dominant factors responsible for water quality degradation.</w:t>
      </w:r>
    </w:p>
    <w:p w14:paraId="3D6451D5" w14:textId="5E2B300C" w:rsidR="00663D36" w:rsidRPr="00151E53" w:rsidRDefault="00290B43" w:rsidP="00663D36">
      <w:pPr>
        <w:jc w:val="both"/>
        <w:rPr>
          <w:rFonts w:ascii="Arial" w:hAnsi="Arial" w:cs="Arial"/>
          <w:sz w:val="20"/>
          <w:szCs w:val="20"/>
        </w:rPr>
      </w:pPr>
      <w:r w:rsidRPr="00151E53">
        <w:rPr>
          <w:rFonts w:ascii="Arial" w:hAnsi="Arial" w:cs="Arial"/>
          <w:sz w:val="20"/>
          <w:szCs w:val="20"/>
        </w:rPr>
        <w:t>In this context, the PI constitutes a relevant tool for synthesizing and spatially comparing groundwater quality, complementing conventional analyses and providing methodological support for prioritizing management and protection actions targeting the most vulnerable water points.</w:t>
      </w:r>
    </w:p>
    <w:p w14:paraId="0CE0D12B" w14:textId="00E0D1A2" w:rsidR="00646724" w:rsidRPr="00FA5850" w:rsidRDefault="00E978B6" w:rsidP="00C54070">
      <w:pPr>
        <w:pStyle w:val="ListParagraph"/>
        <w:numPr>
          <w:ilvl w:val="0"/>
          <w:numId w:val="3"/>
        </w:numPr>
        <w:jc w:val="both"/>
        <w:rPr>
          <w:rFonts w:ascii="Arial" w:hAnsi="Arial" w:cs="Arial"/>
          <w:b/>
          <w:bCs/>
          <w:sz w:val="22"/>
          <w:szCs w:val="22"/>
        </w:rPr>
      </w:pPr>
      <w:r w:rsidRPr="00FA5850">
        <w:rPr>
          <w:rFonts w:ascii="Arial" w:hAnsi="Arial" w:cs="Arial"/>
          <w:b/>
          <w:bCs/>
          <w:sz w:val="22"/>
          <w:szCs w:val="22"/>
        </w:rPr>
        <w:t>CONCLUSION</w:t>
      </w:r>
    </w:p>
    <w:p w14:paraId="27C50ECD"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This study provides a comprehensive assessment of the physicochemical and bacteriological quality of well water used by populations in the commune of </w:t>
      </w:r>
      <w:proofErr w:type="spellStart"/>
      <w:r w:rsidRPr="00E978B6">
        <w:rPr>
          <w:rFonts w:ascii="Arial" w:hAnsi="Arial" w:cs="Arial"/>
          <w:sz w:val="20"/>
          <w:szCs w:val="20"/>
        </w:rPr>
        <w:t>Agbangnizoun</w:t>
      </w:r>
      <w:proofErr w:type="spellEnd"/>
      <w:r w:rsidRPr="00E978B6">
        <w:rPr>
          <w:rFonts w:ascii="Arial" w:hAnsi="Arial" w:cs="Arial"/>
          <w:sz w:val="20"/>
          <w:szCs w:val="20"/>
        </w:rPr>
        <w:t>. The results indicate that, although most major inorganic parameters remain within national and international guideline values, several constraints compromise the suitability of these waters for direct human consumption. These include a widespread acidic pH, elevated nitrate concentrations in a significant proportion of wells, and moderate to high water hardness reflecting the influence of local geological formations.</w:t>
      </w:r>
    </w:p>
    <w:p w14:paraId="4DD5A072"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The bacteriological analyses reveal a generalized fecal contamination of all sampled wells, evidenced by the systematic detection of </w:t>
      </w:r>
      <w:r w:rsidRPr="00E978B6">
        <w:rPr>
          <w:rFonts w:ascii="Arial" w:hAnsi="Arial" w:cs="Arial"/>
          <w:i/>
          <w:iCs/>
          <w:sz w:val="20"/>
          <w:szCs w:val="20"/>
        </w:rPr>
        <w:t>Escherichia coli</w:t>
      </w:r>
      <w:r w:rsidRPr="00E978B6">
        <w:rPr>
          <w:rFonts w:ascii="Arial" w:hAnsi="Arial" w:cs="Arial"/>
          <w:sz w:val="20"/>
          <w:szCs w:val="20"/>
        </w:rPr>
        <w:t>, total coliforms, and fecal streptococci. This widespread microbial pollution highlights the high vulnerability of shallow groundwater to surface-derived contamination and renders the studied water sources unsuitable for drinking without prior treatment. The SF/EC ratios further suggest the coexistence of persistent and possibly older contamination sources, alongside more recent fecal inputs depending on site-specific conditions.</w:t>
      </w:r>
    </w:p>
    <w:p w14:paraId="17790451"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lastRenderedPageBreak/>
        <w:t>The Pollution Index (PI), derived from standardized physicochemical and microbiological parameters, reveals marked spatial heterogeneity in groundwater quality across the study area. Wells W6–W9 and W26 exhibit the highest pollution levels, driven respectively by elevated sulfate–nitrate concentrations and pronounced bacteriological contamination, while several other wells show comparatively lower levels of overall pollution. This integrative approach proved effective in highlighting priority sites for intervention and in facilitating comparative analysis between wells.</w:t>
      </w:r>
    </w:p>
    <w:p w14:paraId="18A7552B" w14:textId="0455E3FE" w:rsidR="00646724" w:rsidRDefault="00646724" w:rsidP="00646724">
      <w:pPr>
        <w:jc w:val="both"/>
        <w:rPr>
          <w:rFonts w:ascii="Arial" w:hAnsi="Arial" w:cs="Arial"/>
          <w:sz w:val="20"/>
          <w:szCs w:val="20"/>
        </w:rPr>
      </w:pPr>
      <w:r w:rsidRPr="00E978B6">
        <w:rPr>
          <w:rFonts w:ascii="Arial" w:hAnsi="Arial" w:cs="Arial"/>
          <w:sz w:val="20"/>
          <w:szCs w:val="20"/>
        </w:rPr>
        <w:t xml:space="preserve">It should be noted that the present study represents a snapshot of groundwater quality under specific hydrological conditions and does not account for seasonal variability, which may significantly influence both chemical composition and microbial dynamics. Future investigations should therefore incorporate multi-seasonal monitoring and a more detailed characterization of pollution sources. Nevertheless, the findings underscore the urgent need for improved protection of wells, enhanced sanitation practices, and the promotion of household-level water treatment to reduce health risks and ensure safer access to drinking water in </w:t>
      </w:r>
      <w:proofErr w:type="spellStart"/>
      <w:r w:rsidRPr="00E978B6">
        <w:rPr>
          <w:rFonts w:ascii="Arial" w:hAnsi="Arial" w:cs="Arial"/>
          <w:sz w:val="20"/>
          <w:szCs w:val="20"/>
        </w:rPr>
        <w:t>Agbangnizoun</w:t>
      </w:r>
      <w:proofErr w:type="spellEnd"/>
      <w:r w:rsidRPr="00E978B6">
        <w:rPr>
          <w:rFonts w:ascii="Arial" w:hAnsi="Arial" w:cs="Arial"/>
          <w:sz w:val="20"/>
          <w:szCs w:val="20"/>
        </w:rPr>
        <w:t>.</w:t>
      </w:r>
    </w:p>
    <w:p w14:paraId="6E183ABF" w14:textId="3292A96C" w:rsidR="0045677C" w:rsidRDefault="0045677C" w:rsidP="00646724">
      <w:pPr>
        <w:jc w:val="both"/>
        <w:rPr>
          <w:rFonts w:ascii="Arial" w:hAnsi="Arial" w:cs="Arial"/>
          <w:sz w:val="20"/>
          <w:szCs w:val="20"/>
        </w:rPr>
      </w:pPr>
    </w:p>
    <w:p w14:paraId="56D22117" w14:textId="77777777" w:rsidR="0045677C" w:rsidRPr="00FA5850" w:rsidRDefault="0045677C" w:rsidP="0045677C">
      <w:pPr>
        <w:pStyle w:val="NoSpacing"/>
        <w:rPr>
          <w:rFonts w:ascii="Arial" w:hAnsi="Arial" w:cs="Arial"/>
          <w:b/>
          <w:bCs/>
        </w:rPr>
      </w:pPr>
      <w:bookmarkStart w:id="1" w:name="_Hlk219284361"/>
      <w:bookmarkStart w:id="2" w:name="_Hlk198031404"/>
      <w:r w:rsidRPr="00FA5850">
        <w:rPr>
          <w:rFonts w:ascii="Arial" w:hAnsi="Arial" w:cs="Arial"/>
          <w:b/>
          <w:bCs/>
        </w:rPr>
        <w:t>Disclaimer (Artificial intelligence)</w:t>
      </w:r>
    </w:p>
    <w:p w14:paraId="564C593A" w14:textId="77777777" w:rsidR="0045677C" w:rsidRPr="00FA5850" w:rsidRDefault="0045677C" w:rsidP="0045677C">
      <w:pPr>
        <w:pStyle w:val="NoSpacing"/>
        <w:rPr>
          <w:rFonts w:ascii="Arial" w:hAnsi="Arial" w:cs="Arial"/>
        </w:rPr>
      </w:pPr>
    </w:p>
    <w:p w14:paraId="4A07F929" w14:textId="77777777" w:rsidR="0045677C" w:rsidRPr="00FA5850" w:rsidRDefault="0045677C" w:rsidP="00FA5850">
      <w:pPr>
        <w:pStyle w:val="NoSpacing"/>
        <w:jc w:val="both"/>
        <w:rPr>
          <w:rFonts w:ascii="Arial" w:hAnsi="Arial" w:cs="Arial"/>
          <w:sz w:val="20"/>
          <w:szCs w:val="20"/>
        </w:rPr>
      </w:pPr>
      <w:r w:rsidRPr="00FA5850">
        <w:rPr>
          <w:rFonts w:ascii="Arial" w:hAnsi="Arial" w:cs="Arial"/>
          <w:sz w:val="20"/>
          <w:szCs w:val="20"/>
        </w:rPr>
        <w:t>Author(s) hereby declare that NO generative AI technologies such as Large Language Models (ChatGPT, COPILOT, etc.) and text-to-image generators have been used during the writing or editing of this manuscript</w:t>
      </w:r>
      <w:bookmarkEnd w:id="1"/>
      <w:r w:rsidRPr="00FA5850">
        <w:rPr>
          <w:rFonts w:ascii="Arial" w:hAnsi="Arial" w:cs="Arial"/>
          <w:sz w:val="20"/>
          <w:szCs w:val="20"/>
        </w:rPr>
        <w:t xml:space="preserve">. </w:t>
      </w:r>
    </w:p>
    <w:bookmarkEnd w:id="2"/>
    <w:p w14:paraId="3F7A6DC6" w14:textId="77777777" w:rsidR="0045677C" w:rsidRPr="00E978B6" w:rsidRDefault="0045677C" w:rsidP="00646724">
      <w:pPr>
        <w:jc w:val="both"/>
        <w:rPr>
          <w:rFonts w:ascii="Arial" w:hAnsi="Arial" w:cs="Arial"/>
          <w:sz w:val="20"/>
          <w:szCs w:val="20"/>
        </w:rPr>
      </w:pPr>
    </w:p>
    <w:p w14:paraId="4B015A12" w14:textId="77777777" w:rsidR="00EA6EA2" w:rsidRDefault="00EA6EA2" w:rsidP="00E43B26">
      <w:pPr>
        <w:jc w:val="both"/>
        <w:rPr>
          <w:rFonts w:ascii="Arial" w:hAnsi="Arial" w:cs="Arial"/>
          <w:b/>
          <w:bCs/>
          <w:sz w:val="22"/>
          <w:szCs w:val="22"/>
        </w:rPr>
      </w:pPr>
    </w:p>
    <w:p w14:paraId="5AB4440B" w14:textId="08EEC4D2" w:rsidR="00C7222E" w:rsidRPr="00C54070" w:rsidRDefault="00C54070" w:rsidP="00E43B26">
      <w:pPr>
        <w:jc w:val="both"/>
        <w:rPr>
          <w:rFonts w:ascii="Arial" w:hAnsi="Arial" w:cs="Arial"/>
          <w:sz w:val="22"/>
          <w:szCs w:val="22"/>
        </w:rPr>
      </w:pPr>
      <w:r w:rsidRPr="00C54070">
        <w:rPr>
          <w:rFonts w:ascii="Arial" w:hAnsi="Arial" w:cs="Arial"/>
          <w:b/>
          <w:bCs/>
          <w:sz w:val="22"/>
          <w:szCs w:val="22"/>
        </w:rPr>
        <w:t>REFERENCES</w:t>
      </w:r>
    </w:p>
    <w:p w14:paraId="32D5E9DC" w14:textId="77777777" w:rsidR="00E66211" w:rsidRPr="004F2097" w:rsidRDefault="004A57E9" w:rsidP="002727A3">
      <w:pPr>
        <w:pStyle w:val="Bibliography"/>
        <w:numPr>
          <w:ilvl w:val="0"/>
          <w:numId w:val="4"/>
        </w:numPr>
        <w:jc w:val="both"/>
        <w:rPr>
          <w:rFonts w:ascii="Arial" w:hAnsi="Arial" w:cs="Arial"/>
          <w:sz w:val="20"/>
          <w:szCs w:val="20"/>
        </w:rPr>
      </w:pPr>
      <w:r w:rsidRPr="004F2097">
        <w:rPr>
          <w:rFonts w:ascii="Arial" w:hAnsi="Arial" w:cs="Arial"/>
          <w:sz w:val="20"/>
          <w:szCs w:val="20"/>
          <w:lang w:val="fr-FR"/>
        </w:rPr>
        <w:fldChar w:fldCharType="begin"/>
      </w:r>
      <w:r w:rsidR="00C347D5" w:rsidRPr="004F2097">
        <w:rPr>
          <w:rFonts w:ascii="Arial" w:hAnsi="Arial" w:cs="Arial"/>
          <w:sz w:val="20"/>
          <w:szCs w:val="20"/>
        </w:rPr>
        <w:instrText xml:space="preserve"> ADDIN ZOTERO_BIBL {"uncited":[],"omitted":[],"custom":[]} CSL_BIBLIOGRAPHY </w:instrText>
      </w:r>
      <w:r w:rsidRPr="004F2097">
        <w:rPr>
          <w:rFonts w:ascii="Arial" w:hAnsi="Arial" w:cs="Arial"/>
          <w:sz w:val="20"/>
          <w:szCs w:val="20"/>
          <w:lang w:val="fr-FR"/>
        </w:rPr>
        <w:fldChar w:fldCharType="separate"/>
      </w:r>
      <w:r w:rsidR="00E66211" w:rsidRPr="004F2097">
        <w:rPr>
          <w:rFonts w:ascii="Arial" w:hAnsi="Arial" w:cs="Arial"/>
          <w:sz w:val="20"/>
          <w:szCs w:val="20"/>
        </w:rPr>
        <w:t xml:space="preserve">Brender, Jean D. 2020. “Human Health Effects of Exposure to Nitrate, Nitrite, and Nitrogen Dioxide.” In </w:t>
      </w:r>
      <w:r w:rsidR="00E66211" w:rsidRPr="004F2097">
        <w:rPr>
          <w:rFonts w:ascii="Arial" w:hAnsi="Arial" w:cs="Arial"/>
          <w:i/>
          <w:iCs/>
          <w:sz w:val="20"/>
          <w:szCs w:val="20"/>
        </w:rPr>
        <w:t>Just Enough Nitrogen: Perspectives on How to Get There for Regions with Too Much and Too Little Nitrogen</w:t>
      </w:r>
      <w:r w:rsidR="00E66211" w:rsidRPr="004F2097">
        <w:rPr>
          <w:rFonts w:ascii="Arial" w:hAnsi="Arial" w:cs="Arial"/>
          <w:sz w:val="20"/>
          <w:szCs w:val="20"/>
        </w:rPr>
        <w:t>. Springer.</w:t>
      </w:r>
    </w:p>
    <w:p w14:paraId="53796A19"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Cámaro García, Walther C. A., and Ned Dwyer. 2021. </w:t>
      </w:r>
      <w:r w:rsidRPr="004F2097">
        <w:rPr>
          <w:rFonts w:ascii="Arial" w:hAnsi="Arial" w:cs="Arial"/>
          <w:i/>
          <w:iCs/>
          <w:sz w:val="20"/>
          <w:szCs w:val="20"/>
        </w:rPr>
        <w:t>The Status of Ireland’s Climate, 2020</w:t>
      </w:r>
      <w:r w:rsidRPr="004F2097">
        <w:rPr>
          <w:rFonts w:ascii="Arial" w:hAnsi="Arial" w:cs="Arial"/>
          <w:sz w:val="20"/>
          <w:szCs w:val="20"/>
        </w:rPr>
        <w:t>. Online version. With Environmental Protection Agency. EPA Research Report, no. 386. Environmental Protection Agency.</w:t>
      </w:r>
    </w:p>
    <w:p w14:paraId="73E81E5D" w14:textId="64AB2C71" w:rsidR="00E66211" w:rsidRPr="004F2097" w:rsidRDefault="00E66211" w:rsidP="002727A3">
      <w:pPr>
        <w:pStyle w:val="Bibliography"/>
        <w:numPr>
          <w:ilvl w:val="0"/>
          <w:numId w:val="4"/>
        </w:numPr>
        <w:jc w:val="both"/>
        <w:rPr>
          <w:rFonts w:ascii="Arial" w:hAnsi="Arial" w:cs="Arial"/>
          <w:sz w:val="20"/>
          <w:szCs w:val="20"/>
          <w:lang w:val="fr-FR"/>
        </w:rPr>
      </w:pPr>
      <w:r w:rsidRPr="004F2097">
        <w:rPr>
          <w:rFonts w:ascii="Arial" w:hAnsi="Arial" w:cs="Arial"/>
          <w:sz w:val="20"/>
          <w:szCs w:val="20"/>
        </w:rPr>
        <w:t xml:space="preserve">Chaudhary, Indra Jeet, Ratna Chauhan, Sanjay Sarjerao Kale, et al. 2025. “Groundwater Nitrate Contamination and Its Effect on Human Health: A Review.” </w:t>
      </w:r>
      <w:r w:rsidRPr="004F2097">
        <w:rPr>
          <w:rFonts w:ascii="Arial" w:hAnsi="Arial" w:cs="Arial"/>
          <w:i/>
          <w:iCs/>
          <w:sz w:val="20"/>
          <w:szCs w:val="20"/>
          <w:lang w:val="fr-FR"/>
        </w:rPr>
        <w:t>Water Conservation Science and Engineering</w:t>
      </w:r>
      <w:r w:rsidRPr="004F2097">
        <w:rPr>
          <w:rFonts w:ascii="Arial" w:hAnsi="Arial" w:cs="Arial"/>
          <w:sz w:val="20"/>
          <w:szCs w:val="20"/>
          <w:lang w:val="fr-FR"/>
        </w:rPr>
        <w:t xml:space="preserve"> 10 (1</w:t>
      </w:r>
      <w:r w:rsidR="004F2097" w:rsidRPr="004F2097">
        <w:rPr>
          <w:rFonts w:ascii="Arial" w:hAnsi="Arial" w:cs="Arial"/>
          <w:sz w:val="20"/>
          <w:szCs w:val="20"/>
          <w:lang w:val="fr-FR"/>
        </w:rPr>
        <w:t>) :</w:t>
      </w:r>
      <w:r w:rsidRPr="004F2097">
        <w:rPr>
          <w:rFonts w:ascii="Arial" w:hAnsi="Arial" w:cs="Arial"/>
          <w:sz w:val="20"/>
          <w:szCs w:val="20"/>
          <w:lang w:val="fr-FR"/>
        </w:rPr>
        <w:t xml:space="preserve"> 33.</w:t>
      </w:r>
    </w:p>
    <w:p w14:paraId="2AE1DB75" w14:textId="4880169B" w:rsidR="00E66211" w:rsidRPr="004F2097" w:rsidRDefault="00E66211" w:rsidP="002727A3">
      <w:pPr>
        <w:pStyle w:val="Bibliography"/>
        <w:numPr>
          <w:ilvl w:val="0"/>
          <w:numId w:val="4"/>
        </w:numPr>
        <w:jc w:val="both"/>
        <w:rPr>
          <w:rFonts w:ascii="Arial" w:hAnsi="Arial" w:cs="Arial"/>
          <w:sz w:val="20"/>
          <w:szCs w:val="20"/>
        </w:rPr>
      </w:pPr>
      <w:r w:rsidRPr="006E3467">
        <w:rPr>
          <w:rFonts w:ascii="Arial" w:hAnsi="Arial" w:cs="Arial"/>
          <w:sz w:val="20"/>
          <w:szCs w:val="20"/>
          <w:highlight w:val="yellow"/>
          <w:lang w:val="fr-FR"/>
        </w:rPr>
        <w:t xml:space="preserve">Chébékoué, Sandrine Fleur. 2008. Évaluation Du Risque Cancérigène Associé à La Contamination de l’eau Potable de Puits Municipaux Par Les Nitrates/Nitrites Dans Certaines Régions Rurales Du </w:t>
      </w:r>
      <w:r w:rsidR="004F2097" w:rsidRPr="006E3467">
        <w:rPr>
          <w:rFonts w:ascii="Arial" w:hAnsi="Arial" w:cs="Arial"/>
          <w:sz w:val="20"/>
          <w:szCs w:val="20"/>
          <w:highlight w:val="yellow"/>
          <w:lang w:val="fr-FR"/>
        </w:rPr>
        <w:t>Québec. [</w:t>
      </w:r>
      <w:r w:rsidR="004F2097" w:rsidRPr="006E3467">
        <w:rPr>
          <w:rFonts w:ascii="Arial" w:hAnsi="Arial" w:cs="Arial"/>
          <w:color w:val="0F1115"/>
          <w:sz w:val="20"/>
          <w:szCs w:val="20"/>
          <w:highlight w:val="yellow"/>
          <w:shd w:val="clear" w:color="auto" w:fill="FFFFFF"/>
          <w:lang w:val="fr-FR"/>
        </w:rPr>
        <w:t>Assessment</w:t>
      </w:r>
      <w:r w:rsidR="004F2097" w:rsidRPr="006E3467">
        <w:rPr>
          <w:rFonts w:ascii="Arial" w:hAnsi="Arial" w:cs="Arial"/>
          <w:sz w:val="20"/>
          <w:szCs w:val="20"/>
          <w:highlight w:val="yellow"/>
        </w:rPr>
        <w:t xml:space="preserve"> of carcinogenic risk associated with nitrate/nitrite contamination of municipal well water in selected rural regions of Quebec]</w:t>
      </w:r>
    </w:p>
    <w:p w14:paraId="35ACF324"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Cotruvo, Joseph A. 2017. “2017 WHO Guidelines for Drinking Water Quality: First Addendum to the Fourth Edition.” </w:t>
      </w:r>
      <w:r w:rsidRPr="004F2097">
        <w:rPr>
          <w:rFonts w:ascii="Arial" w:hAnsi="Arial" w:cs="Arial"/>
          <w:i/>
          <w:iCs/>
          <w:sz w:val="20"/>
          <w:szCs w:val="20"/>
        </w:rPr>
        <w:t>Journal</w:t>
      </w:r>
      <w:r w:rsidRPr="004F2097">
        <w:rPr>
          <w:rFonts w:ascii="Cambria Math" w:hAnsi="Cambria Math" w:cs="Cambria Math"/>
          <w:i/>
          <w:iCs/>
          <w:sz w:val="20"/>
          <w:szCs w:val="20"/>
        </w:rPr>
        <w:t>‐</w:t>
      </w:r>
      <w:r w:rsidRPr="004F2097">
        <w:rPr>
          <w:rFonts w:ascii="Arial" w:hAnsi="Arial" w:cs="Arial"/>
          <w:i/>
          <w:iCs/>
          <w:sz w:val="20"/>
          <w:szCs w:val="20"/>
        </w:rPr>
        <w:t>American Water Works Association</w:t>
      </w:r>
      <w:r w:rsidRPr="004F2097">
        <w:rPr>
          <w:rFonts w:ascii="Arial" w:hAnsi="Arial" w:cs="Arial"/>
          <w:sz w:val="20"/>
          <w:szCs w:val="20"/>
        </w:rPr>
        <w:t xml:space="preserve"> 109 (7): 44–51.</w:t>
      </w:r>
    </w:p>
    <w:p w14:paraId="46F88B89" w14:textId="727B85E7" w:rsidR="00E66211" w:rsidRPr="00104BBC" w:rsidRDefault="00E66211" w:rsidP="002727A3">
      <w:pPr>
        <w:pStyle w:val="Bibliography"/>
        <w:numPr>
          <w:ilvl w:val="0"/>
          <w:numId w:val="4"/>
        </w:numPr>
        <w:jc w:val="both"/>
        <w:rPr>
          <w:rFonts w:ascii="Arial" w:hAnsi="Arial" w:cs="Arial"/>
          <w:sz w:val="20"/>
          <w:szCs w:val="20"/>
          <w:lang w:val="fr-FR"/>
        </w:rPr>
      </w:pPr>
      <w:r w:rsidRPr="00BB00B5">
        <w:rPr>
          <w:rFonts w:ascii="Arial" w:hAnsi="Arial" w:cs="Arial"/>
          <w:sz w:val="20"/>
          <w:szCs w:val="20"/>
          <w:highlight w:val="yellow"/>
        </w:rPr>
        <w:t xml:space="preserve">Dansou, Brice S., and Léocadie Odoulami. </w:t>
      </w:r>
      <w:r w:rsidRPr="00BB00B5">
        <w:rPr>
          <w:rFonts w:ascii="Arial" w:hAnsi="Arial" w:cs="Arial"/>
          <w:sz w:val="20"/>
          <w:szCs w:val="20"/>
          <w:highlight w:val="yellow"/>
          <w:lang w:val="fr-FR"/>
        </w:rPr>
        <w:t>2015. “Facteurs de Dégradation Des Eaux de Puits à Usage Domestique Dans La Commune de Pobè Au Sud-Est Du Bénin.</w:t>
      </w:r>
      <w:r w:rsidR="00104BBC" w:rsidRPr="00BB00B5">
        <w:rPr>
          <w:rFonts w:ascii="Arial" w:hAnsi="Arial" w:cs="Arial"/>
          <w:sz w:val="20"/>
          <w:szCs w:val="20"/>
          <w:highlight w:val="yellow"/>
          <w:lang w:val="fr-FR"/>
        </w:rPr>
        <w:t xml:space="preserve">” </w:t>
      </w:r>
      <w:r w:rsidR="00104BBC" w:rsidRPr="00BB00B5">
        <w:rPr>
          <w:rFonts w:ascii="Arial" w:hAnsi="Arial" w:cs="Arial"/>
          <w:sz w:val="20"/>
          <w:szCs w:val="20"/>
          <w:highlight w:val="yellow"/>
        </w:rPr>
        <w:t>[Factors Contributing to the Degradation of Well Water for Domestic Use in the Commune of Pobè, Southeastern Benin].</w:t>
      </w:r>
      <w:r w:rsidRPr="00BB00B5">
        <w:rPr>
          <w:rFonts w:ascii="Arial" w:hAnsi="Arial" w:cs="Arial"/>
          <w:sz w:val="20"/>
          <w:szCs w:val="20"/>
          <w:highlight w:val="yellow"/>
        </w:rPr>
        <w:t xml:space="preserve"> </w:t>
      </w:r>
      <w:r w:rsidRPr="00BB00B5">
        <w:rPr>
          <w:rFonts w:ascii="Arial" w:hAnsi="Arial" w:cs="Arial"/>
          <w:i/>
          <w:iCs/>
          <w:sz w:val="20"/>
          <w:szCs w:val="20"/>
          <w:highlight w:val="yellow"/>
          <w:lang w:val="fr-FR"/>
        </w:rPr>
        <w:t>Afrique Science</w:t>
      </w:r>
      <w:r w:rsidRPr="00BB00B5">
        <w:rPr>
          <w:rFonts w:ascii="Arial" w:hAnsi="Arial" w:cs="Arial"/>
          <w:sz w:val="20"/>
          <w:szCs w:val="20"/>
          <w:highlight w:val="yellow"/>
          <w:lang w:val="fr-FR"/>
        </w:rPr>
        <w:t xml:space="preserve"> 11: 367–76.</w:t>
      </w:r>
    </w:p>
    <w:p w14:paraId="480DF058" w14:textId="18330F2F" w:rsidR="00E66211" w:rsidRPr="00104BBC" w:rsidRDefault="00E66211" w:rsidP="002727A3">
      <w:pPr>
        <w:pStyle w:val="Bibliography"/>
        <w:numPr>
          <w:ilvl w:val="0"/>
          <w:numId w:val="4"/>
        </w:numPr>
        <w:jc w:val="both"/>
        <w:rPr>
          <w:rFonts w:ascii="Arial" w:hAnsi="Arial" w:cs="Arial"/>
          <w:sz w:val="20"/>
          <w:szCs w:val="20"/>
          <w:lang w:val="fr-FR"/>
        </w:rPr>
      </w:pPr>
      <w:r w:rsidRPr="00BB00B5">
        <w:rPr>
          <w:rFonts w:ascii="Arial" w:hAnsi="Arial" w:cs="Arial"/>
          <w:sz w:val="20"/>
          <w:szCs w:val="20"/>
          <w:highlight w:val="yellow"/>
          <w:lang w:val="fr-FR"/>
        </w:rPr>
        <w:lastRenderedPageBreak/>
        <w:t>Dovonou, Flavien Edia, Abdoukarim Alassane, Vidédji Naéssé Adjahossou, Bibiane Agbodo, Roufai Djibril, and Daouda Mama. 2017. “Impacts de l’assainissement Autonome Sur La Qualité Des Eaux de Puits Dans La Commune de Sèmè-Podji (Sud-Bénin).</w:t>
      </w:r>
      <w:r w:rsidR="00104BBC" w:rsidRPr="00BB00B5">
        <w:rPr>
          <w:rFonts w:ascii="Arial" w:hAnsi="Arial" w:cs="Arial"/>
          <w:sz w:val="20"/>
          <w:szCs w:val="20"/>
          <w:highlight w:val="yellow"/>
          <w:lang w:val="fr-FR"/>
        </w:rPr>
        <w:t>” [Impacts of On-Site Sanitation on Well Water Quality in the Commune of Sèmè-Podji (Southern Benin)]</w:t>
      </w:r>
      <w:r w:rsidR="00104BBC" w:rsidRPr="00BB00B5">
        <w:rPr>
          <w:rFonts w:ascii="Arial" w:hAnsi="Arial" w:cs="Arial"/>
          <w:b/>
          <w:bCs/>
          <w:sz w:val="20"/>
          <w:szCs w:val="20"/>
          <w:highlight w:val="yellow"/>
          <w:lang w:val="fr-FR"/>
        </w:rPr>
        <w:t>.</w:t>
      </w:r>
      <w:r w:rsidRPr="00BB00B5">
        <w:rPr>
          <w:rFonts w:ascii="Arial" w:hAnsi="Arial" w:cs="Arial"/>
          <w:sz w:val="20"/>
          <w:szCs w:val="20"/>
          <w:highlight w:val="yellow"/>
          <w:lang w:val="fr-FR"/>
        </w:rPr>
        <w:t xml:space="preserve"> </w:t>
      </w:r>
      <w:r w:rsidRPr="00BB00B5">
        <w:rPr>
          <w:rFonts w:ascii="Arial" w:hAnsi="Arial" w:cs="Arial"/>
          <w:i/>
          <w:iCs/>
          <w:sz w:val="20"/>
          <w:szCs w:val="20"/>
          <w:highlight w:val="yellow"/>
          <w:lang w:val="fr-FR"/>
        </w:rPr>
        <w:t>International Journal of Biological and Chemical Sciences</w:t>
      </w:r>
      <w:r w:rsidRPr="00BB00B5">
        <w:rPr>
          <w:rFonts w:ascii="Arial" w:hAnsi="Arial" w:cs="Arial"/>
          <w:sz w:val="20"/>
          <w:szCs w:val="20"/>
          <w:highlight w:val="yellow"/>
          <w:lang w:val="fr-FR"/>
        </w:rPr>
        <w:t xml:space="preserve"> 11 (6): 3086–99.</w:t>
      </w:r>
    </w:p>
    <w:p w14:paraId="59CA372F"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Ebong, Ebong D., Ukam O. Ukam, Oualid Melouah, Glory ME Nja, and Nguyen K. Dung. 2025. “Groundwater Quality Evaluation and Public Health Implications of Its Use in Obudu, Southeastern Nigeria.” </w:t>
      </w:r>
      <w:r w:rsidRPr="004F2097">
        <w:rPr>
          <w:rFonts w:ascii="Arial" w:hAnsi="Arial" w:cs="Arial"/>
          <w:i/>
          <w:iCs/>
          <w:sz w:val="20"/>
          <w:szCs w:val="20"/>
        </w:rPr>
        <w:t>Environmental Science and Pollution Research</w:t>
      </w:r>
      <w:r w:rsidRPr="004F2097">
        <w:rPr>
          <w:rFonts w:ascii="Arial" w:hAnsi="Arial" w:cs="Arial"/>
          <w:sz w:val="20"/>
          <w:szCs w:val="20"/>
        </w:rPr>
        <w:t xml:space="preserve"> 32 (56): 30748–65.</w:t>
      </w:r>
    </w:p>
    <w:p w14:paraId="3DB3F066"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Egbueri, Johnbosco C., Johnson C. Agbasi, Leonard N. Onuba, Nchekwube D. Nweke, Henry C. Uwajingba, and Sani I. Abba. 2025. “Groundwater Development Within the Nigerian Crystalline and Sedimentary Aquifers: Challenges and Opportunities.” </w:t>
      </w:r>
      <w:r w:rsidRPr="004F2097">
        <w:rPr>
          <w:rFonts w:ascii="Arial" w:hAnsi="Arial" w:cs="Arial"/>
          <w:i/>
          <w:iCs/>
          <w:sz w:val="20"/>
          <w:szCs w:val="20"/>
        </w:rPr>
        <w:t>Groundwater in Developing Countries: Case Studies from MENA, Asia and West Africa</w:t>
      </w:r>
      <w:r w:rsidRPr="004F2097">
        <w:rPr>
          <w:rFonts w:ascii="Arial" w:hAnsi="Arial" w:cs="Arial"/>
          <w:sz w:val="20"/>
          <w:szCs w:val="20"/>
        </w:rPr>
        <w:t>, 297–325.</w:t>
      </w:r>
    </w:p>
    <w:p w14:paraId="3B1A493B"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Elisante, Eliapenda, and Alfred NN Muzuka. 2017. “Occurrence of Nitrate in Tanzanian Groundwater Aquifers: A Review.” </w:t>
      </w:r>
      <w:r w:rsidRPr="004F2097">
        <w:rPr>
          <w:rFonts w:ascii="Arial" w:hAnsi="Arial" w:cs="Arial"/>
          <w:i/>
          <w:iCs/>
          <w:sz w:val="20"/>
          <w:szCs w:val="20"/>
        </w:rPr>
        <w:t>Applied Water Science</w:t>
      </w:r>
      <w:r w:rsidRPr="004F2097">
        <w:rPr>
          <w:rFonts w:ascii="Arial" w:hAnsi="Arial" w:cs="Arial"/>
          <w:sz w:val="20"/>
          <w:szCs w:val="20"/>
        </w:rPr>
        <w:t xml:space="preserve"> 7 (1): 71–87.</w:t>
      </w:r>
    </w:p>
    <w:p w14:paraId="7A781D8B" w14:textId="6F23710E" w:rsidR="00E66211" w:rsidRPr="00BB00B5" w:rsidRDefault="00E66211" w:rsidP="002727A3">
      <w:pPr>
        <w:pStyle w:val="Bibliography"/>
        <w:numPr>
          <w:ilvl w:val="0"/>
          <w:numId w:val="4"/>
        </w:numPr>
        <w:jc w:val="both"/>
        <w:rPr>
          <w:rFonts w:ascii="Arial" w:hAnsi="Arial" w:cs="Arial"/>
          <w:sz w:val="20"/>
          <w:szCs w:val="20"/>
        </w:rPr>
      </w:pPr>
      <w:r w:rsidRPr="00BB00B5">
        <w:rPr>
          <w:rFonts w:ascii="Arial" w:hAnsi="Arial" w:cs="Arial"/>
          <w:sz w:val="20"/>
          <w:szCs w:val="20"/>
          <w:highlight w:val="yellow"/>
          <w:lang w:val="fr-FR"/>
        </w:rPr>
        <w:t xml:space="preserve">Gbohaida, Virginie, DC Pascal Agbangnan, Mafuyu Bucku Ngossanga, et al. 2016. “Etude de La Qualité Physico-Chimique de l’eau de Boisson Dans Deux Localités Du </w:t>
      </w:r>
      <w:r w:rsidR="00BB00B5" w:rsidRPr="00BB00B5">
        <w:rPr>
          <w:rFonts w:ascii="Arial" w:hAnsi="Arial" w:cs="Arial"/>
          <w:sz w:val="20"/>
          <w:szCs w:val="20"/>
          <w:highlight w:val="yellow"/>
          <w:lang w:val="fr-FR"/>
        </w:rPr>
        <w:t>Bénin :</w:t>
      </w:r>
      <w:r w:rsidRPr="00BB00B5">
        <w:rPr>
          <w:rFonts w:ascii="Arial" w:hAnsi="Arial" w:cs="Arial"/>
          <w:sz w:val="20"/>
          <w:szCs w:val="20"/>
          <w:highlight w:val="yellow"/>
          <w:lang w:val="fr-FR"/>
        </w:rPr>
        <w:t xml:space="preserve"> Cotonou et Dassa-Zoumè.</w:t>
      </w:r>
      <w:r w:rsidR="00BB00B5" w:rsidRPr="00BB00B5">
        <w:rPr>
          <w:rFonts w:ascii="Arial" w:hAnsi="Arial" w:cs="Arial"/>
          <w:sz w:val="20"/>
          <w:szCs w:val="20"/>
          <w:highlight w:val="yellow"/>
          <w:lang w:val="fr-FR"/>
        </w:rPr>
        <w:t>” [</w:t>
      </w:r>
      <w:r w:rsidR="00BB00B5" w:rsidRPr="00BB00B5">
        <w:rPr>
          <w:rFonts w:ascii="Arial" w:hAnsi="Arial" w:cs="Arial"/>
          <w:color w:val="0F1115"/>
          <w:highlight w:val="yellow"/>
          <w:shd w:val="clear" w:color="auto" w:fill="FFFFFF"/>
          <w:lang w:val="fr-FR"/>
        </w:rPr>
        <w:t>Study</w:t>
      </w:r>
      <w:r w:rsidR="00BB00B5" w:rsidRPr="00BB00B5">
        <w:rPr>
          <w:rFonts w:ascii="Arial" w:hAnsi="Arial" w:cs="Arial"/>
          <w:sz w:val="20"/>
          <w:szCs w:val="20"/>
          <w:highlight w:val="yellow"/>
        </w:rPr>
        <w:t xml:space="preserve"> of the Physico-Chemical Quality of Drinking Water in Two Localities in Benin : Cotonou and Dassa-Zoumè]</w:t>
      </w:r>
      <w:r w:rsidR="00BB00B5" w:rsidRPr="00BB00B5">
        <w:rPr>
          <w:rFonts w:ascii="Arial" w:hAnsi="Arial" w:cs="Arial"/>
          <w:b/>
          <w:bCs/>
          <w:sz w:val="20"/>
          <w:szCs w:val="20"/>
          <w:highlight w:val="yellow"/>
        </w:rPr>
        <w:t>.</w:t>
      </w:r>
      <w:r w:rsidRPr="00BB00B5">
        <w:rPr>
          <w:rFonts w:ascii="Arial" w:hAnsi="Arial" w:cs="Arial"/>
          <w:sz w:val="20"/>
          <w:szCs w:val="20"/>
          <w:highlight w:val="yellow"/>
        </w:rPr>
        <w:t xml:space="preserve"> </w:t>
      </w:r>
      <w:r w:rsidRPr="00BB00B5">
        <w:rPr>
          <w:rFonts w:ascii="Arial" w:hAnsi="Arial" w:cs="Arial"/>
          <w:i/>
          <w:iCs/>
          <w:sz w:val="20"/>
          <w:szCs w:val="20"/>
          <w:highlight w:val="yellow"/>
        </w:rPr>
        <w:t>International Journal of Biological and Chemical Sciences</w:t>
      </w:r>
      <w:r w:rsidRPr="00BB00B5">
        <w:rPr>
          <w:rFonts w:ascii="Arial" w:hAnsi="Arial" w:cs="Arial"/>
          <w:sz w:val="20"/>
          <w:szCs w:val="20"/>
          <w:highlight w:val="yellow"/>
        </w:rPr>
        <w:t xml:space="preserve"> 10 (1): 422–34.</w:t>
      </w:r>
    </w:p>
    <w:p w14:paraId="6D1257C7"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Gunawardane, MM, and KPR Priyadarshani. 2025. “Decoding the Multiple Tube Fermentation Method Used in Coliform Testing.” </w:t>
      </w:r>
      <w:r w:rsidRPr="004F2097">
        <w:rPr>
          <w:rFonts w:ascii="Arial" w:hAnsi="Arial" w:cs="Arial"/>
          <w:i/>
          <w:iCs/>
          <w:sz w:val="20"/>
          <w:szCs w:val="20"/>
        </w:rPr>
        <w:t>Journal of Multidisciplinary &amp; Translational Research</w:t>
      </w:r>
      <w:r w:rsidRPr="004F2097">
        <w:rPr>
          <w:rFonts w:ascii="Arial" w:hAnsi="Arial" w:cs="Arial"/>
          <w:sz w:val="20"/>
          <w:szCs w:val="20"/>
        </w:rPr>
        <w:t xml:space="preserve"> 10 (1).</w:t>
      </w:r>
    </w:p>
    <w:p w14:paraId="73BE57EA" w14:textId="69C1A336" w:rsidR="00E66211" w:rsidRPr="00BB00B5" w:rsidRDefault="00E66211" w:rsidP="002727A3">
      <w:pPr>
        <w:pStyle w:val="Bibliography"/>
        <w:numPr>
          <w:ilvl w:val="0"/>
          <w:numId w:val="4"/>
        </w:numPr>
        <w:jc w:val="both"/>
        <w:rPr>
          <w:rFonts w:ascii="Arial" w:hAnsi="Arial" w:cs="Arial"/>
          <w:sz w:val="20"/>
          <w:szCs w:val="20"/>
        </w:rPr>
      </w:pPr>
      <w:r w:rsidRPr="00BB00B5">
        <w:rPr>
          <w:rFonts w:ascii="Arial" w:hAnsi="Arial" w:cs="Arial"/>
          <w:sz w:val="20"/>
          <w:szCs w:val="20"/>
          <w:highlight w:val="yellow"/>
          <w:lang w:val="fr-FR"/>
        </w:rPr>
        <w:t xml:space="preserve">Hadji Feyrouz, Boucceredj Imane. 2020. </w:t>
      </w:r>
      <w:r w:rsidRPr="00BB00B5">
        <w:rPr>
          <w:rFonts w:ascii="Arial" w:hAnsi="Arial" w:cs="Arial"/>
          <w:i/>
          <w:iCs/>
          <w:sz w:val="20"/>
          <w:szCs w:val="20"/>
          <w:highlight w:val="yellow"/>
          <w:lang w:val="fr-FR"/>
        </w:rPr>
        <w:t xml:space="preserve">Analyse Physico-Chimique et Microbiologique de </w:t>
      </w:r>
      <w:r w:rsidR="00BB00B5" w:rsidRPr="00BB00B5">
        <w:rPr>
          <w:rFonts w:ascii="Arial" w:hAnsi="Arial" w:cs="Arial"/>
          <w:i/>
          <w:iCs/>
          <w:sz w:val="20"/>
          <w:szCs w:val="20"/>
          <w:highlight w:val="yellow"/>
          <w:lang w:val="fr-FR"/>
        </w:rPr>
        <w:t>l’eau</w:t>
      </w:r>
      <w:r w:rsidR="00BB00B5" w:rsidRPr="00BB00B5">
        <w:rPr>
          <w:rFonts w:ascii="Arial" w:hAnsi="Arial" w:cs="Arial"/>
          <w:sz w:val="20"/>
          <w:szCs w:val="20"/>
          <w:highlight w:val="yellow"/>
          <w:lang w:val="fr-FR"/>
        </w:rPr>
        <w:t>. [</w:t>
      </w:r>
      <w:r w:rsidR="00BB00B5" w:rsidRPr="00BB00B5">
        <w:rPr>
          <w:rFonts w:ascii="Arial" w:hAnsi="Arial" w:cs="Arial"/>
          <w:sz w:val="20"/>
          <w:szCs w:val="20"/>
          <w:highlight w:val="yellow"/>
        </w:rPr>
        <w:t>Physico-Chemical and Microbiological Analysis of Water]</w:t>
      </w:r>
    </w:p>
    <w:p w14:paraId="683F9821" w14:textId="77777777" w:rsidR="00E66211" w:rsidRPr="004F2097" w:rsidRDefault="00E66211" w:rsidP="002727A3">
      <w:pPr>
        <w:pStyle w:val="Bibliography"/>
        <w:numPr>
          <w:ilvl w:val="0"/>
          <w:numId w:val="4"/>
        </w:numPr>
        <w:jc w:val="both"/>
        <w:rPr>
          <w:rFonts w:ascii="Arial" w:hAnsi="Arial" w:cs="Arial"/>
          <w:sz w:val="20"/>
          <w:szCs w:val="20"/>
          <w:lang w:val="fr-FR"/>
        </w:rPr>
      </w:pPr>
      <w:r w:rsidRPr="004F2097">
        <w:rPr>
          <w:rFonts w:ascii="Arial" w:hAnsi="Arial" w:cs="Arial"/>
          <w:sz w:val="20"/>
          <w:szCs w:val="20"/>
        </w:rPr>
        <w:t xml:space="preserve">Houédakor, Koko Zébéto, Djiwonou Koffi Adjalo, Benoît Danvide, Henri Sourou Totin Vodounon, and Ernest Amoussou. 2025. “Groundwater Characteristics and Quality in the Coastal Zone of Lomé, Togo.” </w:t>
      </w:r>
      <w:r w:rsidRPr="004F2097">
        <w:rPr>
          <w:rFonts w:ascii="Arial" w:hAnsi="Arial" w:cs="Arial"/>
          <w:i/>
          <w:iCs/>
          <w:sz w:val="20"/>
          <w:szCs w:val="20"/>
          <w:lang w:val="fr-FR"/>
        </w:rPr>
        <w:t>Water</w:t>
      </w:r>
      <w:r w:rsidRPr="004F2097">
        <w:rPr>
          <w:rFonts w:ascii="Arial" w:hAnsi="Arial" w:cs="Arial"/>
          <w:sz w:val="20"/>
          <w:szCs w:val="20"/>
          <w:lang w:val="fr-FR"/>
        </w:rPr>
        <w:t xml:space="preserve"> 17 (12): 1813.</w:t>
      </w:r>
    </w:p>
    <w:p w14:paraId="6ABC0805" w14:textId="144DCEBB" w:rsidR="00E66211" w:rsidRPr="00BB00B5" w:rsidRDefault="00E66211" w:rsidP="002727A3">
      <w:pPr>
        <w:pStyle w:val="Bibliography"/>
        <w:numPr>
          <w:ilvl w:val="0"/>
          <w:numId w:val="4"/>
        </w:numPr>
        <w:jc w:val="both"/>
        <w:rPr>
          <w:rFonts w:ascii="Arial" w:hAnsi="Arial" w:cs="Arial"/>
          <w:sz w:val="20"/>
          <w:szCs w:val="20"/>
        </w:rPr>
      </w:pPr>
      <w:r w:rsidRPr="00BB00B5">
        <w:rPr>
          <w:rFonts w:ascii="Arial" w:hAnsi="Arial" w:cs="Arial"/>
          <w:sz w:val="20"/>
          <w:szCs w:val="20"/>
          <w:highlight w:val="yellow"/>
          <w:lang w:val="fr-FR"/>
        </w:rPr>
        <w:t xml:space="preserve">HOUNLELOU, Franck, Léopold DEGBEGNON, and Mama DJAOUGA. 2022. </w:t>
      </w:r>
      <w:r w:rsidRPr="00BB00B5">
        <w:rPr>
          <w:rFonts w:ascii="Arial" w:hAnsi="Arial" w:cs="Arial"/>
          <w:i/>
          <w:iCs/>
          <w:sz w:val="20"/>
          <w:szCs w:val="20"/>
          <w:highlight w:val="yellow"/>
          <w:lang w:val="fr-FR"/>
        </w:rPr>
        <w:t xml:space="preserve">SIG et Gestion Du Registre Foncier Urbain à l’ère de La Décentralisation Dans l’arrondissement </w:t>
      </w:r>
      <w:r w:rsidR="00BB00B5" w:rsidRPr="00BB00B5">
        <w:rPr>
          <w:rFonts w:ascii="Arial" w:hAnsi="Arial" w:cs="Arial"/>
          <w:i/>
          <w:iCs/>
          <w:sz w:val="20"/>
          <w:szCs w:val="20"/>
          <w:highlight w:val="yellow"/>
          <w:lang w:val="fr-FR"/>
        </w:rPr>
        <w:t>d’Agbangnizoun</w:t>
      </w:r>
      <w:r w:rsidR="00BB00B5" w:rsidRPr="00BB00B5">
        <w:rPr>
          <w:rFonts w:ascii="Arial" w:hAnsi="Arial" w:cs="Arial"/>
          <w:sz w:val="20"/>
          <w:szCs w:val="20"/>
          <w:highlight w:val="yellow"/>
          <w:lang w:val="fr-FR"/>
        </w:rPr>
        <w:t xml:space="preserve">. </w:t>
      </w:r>
      <w:r w:rsidR="00BB00B5" w:rsidRPr="00BB00B5">
        <w:rPr>
          <w:rFonts w:ascii="Arial" w:hAnsi="Arial" w:cs="Arial"/>
          <w:sz w:val="20"/>
          <w:szCs w:val="20"/>
          <w:highlight w:val="yellow"/>
        </w:rPr>
        <w:t>[GIS and Urban Land Registry Management in the Era of Decentralization in the Agbangnizoun District]</w:t>
      </w:r>
    </w:p>
    <w:p w14:paraId="4A8CA672" w14:textId="75500FCB" w:rsidR="00E66211" w:rsidRPr="00BB00B5" w:rsidRDefault="00E66211" w:rsidP="002727A3">
      <w:pPr>
        <w:pStyle w:val="Bibliography"/>
        <w:numPr>
          <w:ilvl w:val="0"/>
          <w:numId w:val="4"/>
        </w:numPr>
        <w:jc w:val="both"/>
        <w:rPr>
          <w:rFonts w:ascii="Arial" w:hAnsi="Arial" w:cs="Arial"/>
          <w:sz w:val="20"/>
          <w:szCs w:val="20"/>
        </w:rPr>
      </w:pPr>
      <w:r w:rsidRPr="00BB00B5">
        <w:rPr>
          <w:rFonts w:ascii="Arial" w:hAnsi="Arial" w:cs="Arial"/>
          <w:sz w:val="20"/>
          <w:szCs w:val="20"/>
          <w:highlight w:val="yellow"/>
          <w:lang w:val="fr-FR"/>
        </w:rPr>
        <w:t>Hounsounou, Espérance Olive, M. Agassounon Djikpo Tchibozo, L. Ayi-Fanou, et al. 2017. “Indicateurs de Pollution Bactériologique Des Eaux de Puits à Usages Domestiques et Risques Sanitaires Dans Le Sixième Arrondissement de Cotonou Au Sud-Bénin.</w:t>
      </w:r>
      <w:r w:rsidR="00BB00B5" w:rsidRPr="00BB00B5">
        <w:rPr>
          <w:rFonts w:ascii="Arial" w:hAnsi="Arial" w:cs="Arial"/>
          <w:sz w:val="20"/>
          <w:szCs w:val="20"/>
          <w:highlight w:val="yellow"/>
          <w:lang w:val="fr-FR"/>
        </w:rPr>
        <w:t>” [</w:t>
      </w:r>
      <w:r w:rsidR="00BB00B5" w:rsidRPr="00BB00B5">
        <w:rPr>
          <w:rFonts w:ascii="Arial" w:hAnsi="Arial" w:cs="Arial"/>
          <w:color w:val="0F1115"/>
          <w:sz w:val="20"/>
          <w:szCs w:val="20"/>
          <w:highlight w:val="yellow"/>
          <w:shd w:val="clear" w:color="auto" w:fill="FFFFFF"/>
          <w:lang w:val="fr-FR"/>
        </w:rPr>
        <w:t>Bacteriological</w:t>
      </w:r>
      <w:r w:rsidR="00BB00B5" w:rsidRPr="00BB00B5">
        <w:rPr>
          <w:rFonts w:ascii="Arial" w:hAnsi="Arial" w:cs="Arial"/>
          <w:sz w:val="20"/>
          <w:szCs w:val="20"/>
          <w:highlight w:val="yellow"/>
        </w:rPr>
        <w:t xml:space="preserve"> Pollution Indicators of Well Water for Domestic Use and Health Risks in the Sixth Arrondissement of Cotonou, Southern Benin]</w:t>
      </w:r>
      <w:r w:rsidR="00BB00B5" w:rsidRPr="00BB00B5">
        <w:rPr>
          <w:rFonts w:ascii="Arial" w:hAnsi="Arial" w:cs="Arial"/>
          <w:b/>
          <w:bCs/>
          <w:sz w:val="20"/>
          <w:szCs w:val="20"/>
          <w:highlight w:val="yellow"/>
        </w:rPr>
        <w:t>.</w:t>
      </w:r>
      <w:r w:rsidRPr="00BB00B5">
        <w:rPr>
          <w:rFonts w:ascii="Arial" w:hAnsi="Arial" w:cs="Arial"/>
          <w:sz w:val="20"/>
          <w:szCs w:val="20"/>
          <w:highlight w:val="yellow"/>
        </w:rPr>
        <w:t xml:space="preserve"> </w:t>
      </w:r>
      <w:r w:rsidRPr="00BB00B5">
        <w:rPr>
          <w:rFonts w:ascii="Arial" w:hAnsi="Arial" w:cs="Arial"/>
          <w:i/>
          <w:iCs/>
          <w:sz w:val="20"/>
          <w:szCs w:val="20"/>
          <w:highlight w:val="yellow"/>
        </w:rPr>
        <w:t>Afrique Science</w:t>
      </w:r>
      <w:r w:rsidRPr="00BB00B5">
        <w:rPr>
          <w:rFonts w:ascii="Arial" w:hAnsi="Arial" w:cs="Arial"/>
          <w:sz w:val="20"/>
          <w:szCs w:val="20"/>
          <w:highlight w:val="yellow"/>
        </w:rPr>
        <w:t xml:space="preserve"> 13: 425–34.</w:t>
      </w:r>
    </w:p>
    <w:p w14:paraId="10DA3C35" w14:textId="05973198" w:rsidR="00E66211" w:rsidRPr="00BB00B5" w:rsidRDefault="00E66211" w:rsidP="002727A3">
      <w:pPr>
        <w:pStyle w:val="Bibliography"/>
        <w:numPr>
          <w:ilvl w:val="0"/>
          <w:numId w:val="4"/>
        </w:numPr>
        <w:jc w:val="both"/>
        <w:rPr>
          <w:rFonts w:ascii="Arial" w:hAnsi="Arial" w:cs="Arial"/>
          <w:sz w:val="20"/>
          <w:szCs w:val="20"/>
        </w:rPr>
      </w:pPr>
      <w:r w:rsidRPr="00BB00B5">
        <w:rPr>
          <w:rFonts w:ascii="Arial" w:hAnsi="Arial" w:cs="Arial"/>
          <w:sz w:val="20"/>
          <w:szCs w:val="20"/>
          <w:highlight w:val="yellow"/>
          <w:lang w:val="fr-FR"/>
        </w:rPr>
        <w:t>Kabore, Aminata, Boubacar Savadogo, Jacques Savadogo, et al. 2018. “Problématique de La Qualité Microbiologique de l’eau de Boisson En Milieu Scolaire Dans Les Zones Rurales Au Burkina Faso.</w:t>
      </w:r>
      <w:r w:rsidR="00BB00B5" w:rsidRPr="00BB00B5">
        <w:rPr>
          <w:rFonts w:ascii="Arial" w:hAnsi="Arial" w:cs="Arial"/>
          <w:sz w:val="20"/>
          <w:szCs w:val="20"/>
          <w:highlight w:val="yellow"/>
          <w:lang w:val="fr-FR"/>
        </w:rPr>
        <w:t xml:space="preserve">” </w:t>
      </w:r>
      <w:r w:rsidR="00BB00B5" w:rsidRPr="00ED766D">
        <w:rPr>
          <w:rFonts w:ascii="Arial" w:hAnsi="Arial" w:cs="Arial"/>
          <w:sz w:val="20"/>
          <w:szCs w:val="20"/>
          <w:highlight w:val="yellow"/>
        </w:rPr>
        <w:t>[</w:t>
      </w:r>
      <w:r w:rsidR="00BB00B5" w:rsidRPr="00ED766D">
        <w:rPr>
          <w:rFonts w:ascii="Arial" w:hAnsi="Arial" w:cs="Arial"/>
          <w:color w:val="0F1115"/>
          <w:sz w:val="20"/>
          <w:szCs w:val="20"/>
          <w:highlight w:val="yellow"/>
          <w:shd w:val="clear" w:color="auto" w:fill="FFFFFF"/>
        </w:rPr>
        <w:t>Microbiological</w:t>
      </w:r>
      <w:r w:rsidR="00BB00B5" w:rsidRPr="00BB00B5">
        <w:rPr>
          <w:rFonts w:ascii="Arial" w:hAnsi="Arial" w:cs="Arial"/>
          <w:sz w:val="20"/>
          <w:szCs w:val="20"/>
          <w:highlight w:val="yellow"/>
        </w:rPr>
        <w:t xml:space="preserve"> Quality Issues of Drinking Water in Schools in Rural Areas of Burkina Faso]</w:t>
      </w:r>
      <w:r w:rsidR="00ED766D">
        <w:rPr>
          <w:rFonts w:ascii="Arial" w:hAnsi="Arial" w:cs="Arial"/>
          <w:sz w:val="20"/>
          <w:szCs w:val="20"/>
          <w:highlight w:val="yellow"/>
        </w:rPr>
        <w:t>.</w:t>
      </w:r>
      <w:r w:rsidRPr="00BB00B5">
        <w:rPr>
          <w:rFonts w:ascii="Arial" w:hAnsi="Arial" w:cs="Arial"/>
          <w:sz w:val="20"/>
          <w:szCs w:val="20"/>
          <w:highlight w:val="yellow"/>
        </w:rPr>
        <w:t xml:space="preserve"> </w:t>
      </w:r>
      <w:r w:rsidRPr="00BB00B5">
        <w:rPr>
          <w:rFonts w:ascii="Arial" w:hAnsi="Arial" w:cs="Arial"/>
          <w:i/>
          <w:iCs/>
          <w:sz w:val="20"/>
          <w:szCs w:val="20"/>
          <w:highlight w:val="yellow"/>
        </w:rPr>
        <w:t>Sciences de La Vie, de La Terre et Agronomie</w:t>
      </w:r>
      <w:r w:rsidRPr="00BB00B5">
        <w:rPr>
          <w:rFonts w:ascii="Arial" w:hAnsi="Arial" w:cs="Arial"/>
          <w:sz w:val="20"/>
          <w:szCs w:val="20"/>
          <w:highlight w:val="yellow"/>
        </w:rPr>
        <w:t xml:space="preserve"> 5 (2).</w:t>
      </w:r>
    </w:p>
    <w:p w14:paraId="1F447A19" w14:textId="66AE7CD2" w:rsidR="00E66211" w:rsidRPr="004F2097" w:rsidRDefault="00E66211" w:rsidP="002727A3">
      <w:pPr>
        <w:pStyle w:val="Bibliography"/>
        <w:numPr>
          <w:ilvl w:val="0"/>
          <w:numId w:val="4"/>
        </w:numPr>
        <w:jc w:val="both"/>
        <w:rPr>
          <w:rFonts w:ascii="Arial" w:hAnsi="Arial" w:cs="Arial"/>
          <w:sz w:val="20"/>
          <w:szCs w:val="20"/>
        </w:rPr>
      </w:pPr>
      <w:r w:rsidRPr="00ED766D">
        <w:rPr>
          <w:rFonts w:ascii="Arial" w:hAnsi="Arial" w:cs="Arial"/>
          <w:sz w:val="20"/>
          <w:szCs w:val="20"/>
          <w:highlight w:val="yellow"/>
          <w:lang w:val="fr-FR"/>
        </w:rPr>
        <w:t>KAHOUL, Mohamed, and Mohamed TOUHAMI. 2014. “Évaluation de La Qualité Physico-Chimique Des Eaux de Consommation de La Ville d’Annaba (Algérie).</w:t>
      </w:r>
      <w:r w:rsidR="00ED766D" w:rsidRPr="00ED766D">
        <w:rPr>
          <w:rFonts w:ascii="Arial" w:hAnsi="Arial" w:cs="Arial"/>
          <w:sz w:val="20"/>
          <w:szCs w:val="20"/>
          <w:highlight w:val="yellow"/>
          <w:lang w:val="fr-FR"/>
        </w:rPr>
        <w:t>” [</w:t>
      </w:r>
      <w:r w:rsidR="00ED766D" w:rsidRPr="00ED766D">
        <w:rPr>
          <w:rFonts w:ascii="Arial" w:hAnsi="Arial" w:cs="Arial"/>
          <w:color w:val="0F1115"/>
          <w:sz w:val="20"/>
          <w:szCs w:val="20"/>
          <w:highlight w:val="yellow"/>
          <w:shd w:val="clear" w:color="auto" w:fill="FFFFFF"/>
          <w:lang w:val="fr-FR"/>
        </w:rPr>
        <w:t>Assessment</w:t>
      </w:r>
      <w:r w:rsidR="00ED766D" w:rsidRPr="00ED766D">
        <w:rPr>
          <w:rFonts w:ascii="Arial" w:hAnsi="Arial" w:cs="Arial"/>
          <w:sz w:val="20"/>
          <w:szCs w:val="20"/>
          <w:highlight w:val="yellow"/>
        </w:rPr>
        <w:t xml:space="preserve"> of the Physico-Chemical Quality of Drinking Water in the City of Annaba (Algeria)]</w:t>
      </w:r>
      <w:r w:rsidR="00ED766D" w:rsidRPr="00ED766D">
        <w:rPr>
          <w:rFonts w:ascii="Arial" w:hAnsi="Arial" w:cs="Arial"/>
          <w:b/>
          <w:bCs/>
          <w:sz w:val="20"/>
          <w:szCs w:val="20"/>
          <w:highlight w:val="yellow"/>
        </w:rPr>
        <w:t>.</w:t>
      </w:r>
      <w:r w:rsidRPr="00ED766D">
        <w:rPr>
          <w:rFonts w:ascii="Arial" w:hAnsi="Arial" w:cs="Arial"/>
          <w:sz w:val="20"/>
          <w:szCs w:val="20"/>
          <w:highlight w:val="yellow"/>
        </w:rPr>
        <w:t xml:space="preserve"> </w:t>
      </w:r>
      <w:r w:rsidRPr="00ED766D">
        <w:rPr>
          <w:rFonts w:ascii="Arial" w:hAnsi="Arial" w:cs="Arial"/>
          <w:i/>
          <w:iCs/>
          <w:sz w:val="20"/>
          <w:szCs w:val="20"/>
          <w:highlight w:val="yellow"/>
        </w:rPr>
        <w:t>LARHYSS Journal P-ISSN 1112-3680/E-ISSN 2521-9782</w:t>
      </w:r>
      <w:r w:rsidRPr="00ED766D">
        <w:rPr>
          <w:rFonts w:ascii="Arial" w:hAnsi="Arial" w:cs="Arial"/>
          <w:sz w:val="20"/>
          <w:szCs w:val="20"/>
          <w:highlight w:val="yellow"/>
        </w:rPr>
        <w:t>, no. 19.</w:t>
      </w:r>
    </w:p>
    <w:p w14:paraId="210CD771"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lastRenderedPageBreak/>
        <w:t xml:space="preserve">Karita, Shingo, and Takashi Kaneta. 2016. “Chelate Titrations of Ca2+ and Mg2+ Using Microfluidic Paper-Based Analytical Devices.” </w:t>
      </w:r>
      <w:r w:rsidRPr="004F2097">
        <w:rPr>
          <w:rFonts w:ascii="Arial" w:hAnsi="Arial" w:cs="Arial"/>
          <w:i/>
          <w:iCs/>
          <w:sz w:val="20"/>
          <w:szCs w:val="20"/>
        </w:rPr>
        <w:t>Analytica Chimica Acta</w:t>
      </w:r>
      <w:r w:rsidRPr="004F2097">
        <w:rPr>
          <w:rFonts w:ascii="Arial" w:hAnsi="Arial" w:cs="Arial"/>
          <w:sz w:val="20"/>
          <w:szCs w:val="20"/>
        </w:rPr>
        <w:t xml:space="preserve"> 924: 60–67.</w:t>
      </w:r>
    </w:p>
    <w:p w14:paraId="04B1D309"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Khan, Farhan Mohammad. 2020. </w:t>
      </w:r>
      <w:r w:rsidRPr="004F2097">
        <w:rPr>
          <w:rFonts w:ascii="Arial" w:hAnsi="Arial" w:cs="Arial"/>
          <w:i/>
          <w:iCs/>
          <w:sz w:val="20"/>
          <w:szCs w:val="20"/>
        </w:rPr>
        <w:t>Escherichia Coli (E. Coli) as an Indicator of Fecal Contamination in Water: A Review</w:t>
      </w:r>
      <w:r w:rsidRPr="004F2097">
        <w:rPr>
          <w:rFonts w:ascii="Arial" w:hAnsi="Arial" w:cs="Arial"/>
          <w:sz w:val="20"/>
          <w:szCs w:val="20"/>
        </w:rPr>
        <w:t>.</w:t>
      </w:r>
    </w:p>
    <w:p w14:paraId="34F9B099"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lang w:val="fr-FR"/>
        </w:rPr>
        <w:t xml:space="preserve">Lal, Bharat, Satendra Singh Sengar, Harish Kumar, et al. 2025. </w:t>
      </w:r>
      <w:r w:rsidRPr="004F2097">
        <w:rPr>
          <w:rFonts w:ascii="Arial" w:hAnsi="Arial" w:cs="Arial"/>
          <w:sz w:val="20"/>
          <w:szCs w:val="20"/>
        </w:rPr>
        <w:t xml:space="preserve">“Impact of Poor-Quality Irrigation Water on Soil Systems: A Hydrogeochemical Study from Central India.” </w:t>
      </w:r>
      <w:r w:rsidRPr="004F2097">
        <w:rPr>
          <w:rFonts w:ascii="Arial" w:hAnsi="Arial" w:cs="Arial"/>
          <w:i/>
          <w:iCs/>
          <w:sz w:val="20"/>
          <w:szCs w:val="20"/>
        </w:rPr>
        <w:t>Earth Systems and Environment</w:t>
      </w:r>
      <w:r w:rsidRPr="004F2097">
        <w:rPr>
          <w:rFonts w:ascii="Arial" w:hAnsi="Arial" w:cs="Arial"/>
          <w:sz w:val="20"/>
          <w:szCs w:val="20"/>
        </w:rPr>
        <w:t>, 1–25.</w:t>
      </w:r>
    </w:p>
    <w:p w14:paraId="69F8BD7D"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Lapworth, DJ, DCW Nkhuwa, J. Okotto-Okotto, et al. 2017. “Urban Groundwater Quality in Sub-Saharan Africa: Current Status and Implications for Water Security and Public Health.” </w:t>
      </w:r>
      <w:r w:rsidRPr="004F2097">
        <w:rPr>
          <w:rFonts w:ascii="Arial" w:hAnsi="Arial" w:cs="Arial"/>
          <w:i/>
          <w:iCs/>
          <w:sz w:val="20"/>
          <w:szCs w:val="20"/>
        </w:rPr>
        <w:t>Hydrogeology Journal</w:t>
      </w:r>
      <w:r w:rsidRPr="004F2097">
        <w:rPr>
          <w:rFonts w:ascii="Arial" w:hAnsi="Arial" w:cs="Arial"/>
          <w:sz w:val="20"/>
          <w:szCs w:val="20"/>
        </w:rPr>
        <w:t xml:space="preserve"> 25 (4): 1093–116.</w:t>
      </w:r>
    </w:p>
    <w:p w14:paraId="068A516F"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Lara, Zoraya Y. Martínez, Mónica C. Cantero Benitez, Adriana S. Raciny Soto, Neider A. Burgos Ortiz, and Ángela I. Villalba López. 2026. “Origin and Hydrogeochemical Processes in the Salinization of a Coastal Aquifer in the Colombian Caribbean1.” </w:t>
      </w:r>
      <w:r w:rsidRPr="004F2097">
        <w:rPr>
          <w:rFonts w:ascii="Arial" w:hAnsi="Arial" w:cs="Arial"/>
          <w:i/>
          <w:iCs/>
          <w:sz w:val="20"/>
          <w:szCs w:val="20"/>
        </w:rPr>
        <w:t>Brazilian Journal of Agricultural and Environmental Engineering</w:t>
      </w:r>
      <w:r w:rsidRPr="004F2097">
        <w:rPr>
          <w:rFonts w:ascii="Arial" w:hAnsi="Arial" w:cs="Arial"/>
          <w:sz w:val="20"/>
          <w:szCs w:val="20"/>
        </w:rPr>
        <w:t xml:space="preserve"> 30 (1): e291614.</w:t>
      </w:r>
    </w:p>
    <w:p w14:paraId="0362CDD2"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Liddle, Elisabeth S., Sarah M. Mager, and Etienne L. Nel. 2015. “The Suitability of Shallow Hand Dug Wells for Safe Water Provision in Sub-Saharan Africa: Lessons from Ndola, Zambia.” </w:t>
      </w:r>
      <w:r w:rsidRPr="004F2097">
        <w:rPr>
          <w:rFonts w:ascii="Arial" w:hAnsi="Arial" w:cs="Arial"/>
          <w:i/>
          <w:iCs/>
          <w:sz w:val="20"/>
          <w:szCs w:val="20"/>
        </w:rPr>
        <w:t>Applied Geography</w:t>
      </w:r>
      <w:r w:rsidRPr="004F2097">
        <w:rPr>
          <w:rFonts w:ascii="Arial" w:hAnsi="Arial" w:cs="Arial"/>
          <w:sz w:val="20"/>
          <w:szCs w:val="20"/>
        </w:rPr>
        <w:t xml:space="preserve"> 57: 80–90.</w:t>
      </w:r>
    </w:p>
    <w:p w14:paraId="007E9123" w14:textId="77777777" w:rsidR="00E66211" w:rsidRPr="004F2097" w:rsidRDefault="00E66211" w:rsidP="002727A3">
      <w:pPr>
        <w:pStyle w:val="Bibliography"/>
        <w:numPr>
          <w:ilvl w:val="0"/>
          <w:numId w:val="4"/>
        </w:numPr>
        <w:jc w:val="both"/>
        <w:rPr>
          <w:rFonts w:ascii="Arial" w:hAnsi="Arial" w:cs="Arial"/>
          <w:sz w:val="20"/>
          <w:szCs w:val="20"/>
          <w:lang w:val="fr-FR"/>
        </w:rPr>
      </w:pPr>
      <w:r w:rsidRPr="004F2097">
        <w:rPr>
          <w:rFonts w:ascii="Arial" w:hAnsi="Arial" w:cs="Arial"/>
          <w:sz w:val="20"/>
          <w:szCs w:val="20"/>
        </w:rPr>
        <w:t xml:space="preserve">Marc, Sohounou, Vissin Expédit Wilfrid, Sintondji Luc Olivier, Agbossou K. Euloge, and Edorh A. Patrick. 2017. “Physico-Chemical and Microbiological Qualities of Water from Wells, Drillings and Tanks Used as Drinking Water in the Municipality of Allada (Benin, West Africa).” </w:t>
      </w:r>
      <w:r w:rsidRPr="004F2097">
        <w:rPr>
          <w:rFonts w:ascii="Arial" w:hAnsi="Arial" w:cs="Arial"/>
          <w:i/>
          <w:iCs/>
          <w:sz w:val="20"/>
          <w:szCs w:val="20"/>
          <w:lang w:val="fr-FR"/>
        </w:rPr>
        <w:t>European Scientific Journal</w:t>
      </w:r>
      <w:r w:rsidRPr="004F2097">
        <w:rPr>
          <w:rFonts w:ascii="Arial" w:hAnsi="Arial" w:cs="Arial"/>
          <w:sz w:val="20"/>
          <w:szCs w:val="20"/>
          <w:lang w:val="fr-FR"/>
        </w:rPr>
        <w:t xml:space="preserve"> 13: 15–69.</w:t>
      </w:r>
    </w:p>
    <w:p w14:paraId="1292A6C3" w14:textId="69EB3A99" w:rsidR="00E66211" w:rsidRPr="00ED766D" w:rsidRDefault="00E66211" w:rsidP="002727A3">
      <w:pPr>
        <w:pStyle w:val="Bibliography"/>
        <w:numPr>
          <w:ilvl w:val="0"/>
          <w:numId w:val="4"/>
        </w:numPr>
        <w:jc w:val="both"/>
        <w:rPr>
          <w:rFonts w:ascii="Arial" w:hAnsi="Arial" w:cs="Arial"/>
          <w:sz w:val="20"/>
          <w:szCs w:val="20"/>
        </w:rPr>
      </w:pPr>
      <w:r w:rsidRPr="00ED766D">
        <w:rPr>
          <w:rFonts w:ascii="Arial" w:hAnsi="Arial" w:cs="Arial"/>
          <w:sz w:val="20"/>
          <w:szCs w:val="20"/>
          <w:highlight w:val="yellow"/>
          <w:lang w:val="fr-FR"/>
        </w:rPr>
        <w:t xml:space="preserve">Miriac, Ahouansè Sènan Dimitri, A. Noukpo, and HS Christophe. 2020. “Eau de Consommation et Maladies Hydriques Dans La Commune de Lokossa Au Sud-Ouest de La République Du Bénin (Afrique de l’Ouest).” </w:t>
      </w:r>
      <w:r w:rsidR="00ED766D" w:rsidRPr="00ED766D">
        <w:rPr>
          <w:rFonts w:ascii="Arial" w:hAnsi="Arial" w:cs="Arial"/>
          <w:sz w:val="20"/>
          <w:szCs w:val="20"/>
          <w:highlight w:val="yellow"/>
        </w:rPr>
        <w:t>[Drinking Water and Waterborne Diseases in the Commune of Lokossa, Southwestern Republic of Benin (West Africa)].</w:t>
      </w:r>
      <w:r w:rsidR="00ED766D" w:rsidRPr="00ED766D">
        <w:rPr>
          <w:rFonts w:ascii="Arial" w:hAnsi="Arial" w:cs="Arial"/>
          <w:i/>
          <w:iCs/>
          <w:sz w:val="20"/>
          <w:szCs w:val="20"/>
          <w:highlight w:val="yellow"/>
        </w:rPr>
        <w:t xml:space="preserve"> European</w:t>
      </w:r>
      <w:r w:rsidRPr="00ED766D">
        <w:rPr>
          <w:rFonts w:ascii="Arial" w:hAnsi="Arial" w:cs="Arial"/>
          <w:i/>
          <w:iCs/>
          <w:sz w:val="20"/>
          <w:szCs w:val="20"/>
          <w:highlight w:val="yellow"/>
        </w:rPr>
        <w:t xml:space="preserve"> Scientific Journal, ESJ</w:t>
      </w:r>
      <w:r w:rsidRPr="00ED766D">
        <w:rPr>
          <w:rFonts w:ascii="Arial" w:hAnsi="Arial" w:cs="Arial"/>
          <w:sz w:val="20"/>
          <w:szCs w:val="20"/>
          <w:highlight w:val="yellow"/>
        </w:rPr>
        <w:t xml:space="preserve"> 16 (15): 393–4017.</w:t>
      </w:r>
    </w:p>
    <w:p w14:paraId="1F143F6A" w14:textId="6D553F50"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lang w:val="fr-FR"/>
        </w:rPr>
        <w:t xml:space="preserve">Mons, M., H. Van Dijk, D. Gatel, et al. 2007. </w:t>
      </w:r>
      <w:r w:rsidRPr="004F2097">
        <w:rPr>
          <w:rFonts w:ascii="Arial" w:hAnsi="Arial" w:cs="Arial"/>
          <w:sz w:val="20"/>
          <w:szCs w:val="20"/>
        </w:rPr>
        <w:t xml:space="preserve">“Drinking Water </w:t>
      </w:r>
      <w:r w:rsidR="00ED766D" w:rsidRPr="004F2097">
        <w:rPr>
          <w:rFonts w:ascii="Arial" w:hAnsi="Arial" w:cs="Arial"/>
          <w:sz w:val="20"/>
          <w:szCs w:val="20"/>
        </w:rPr>
        <w:t>Hardness :</w:t>
      </w:r>
      <w:r w:rsidRPr="004F2097">
        <w:rPr>
          <w:rFonts w:ascii="Arial" w:hAnsi="Arial" w:cs="Arial"/>
          <w:sz w:val="20"/>
          <w:szCs w:val="20"/>
        </w:rPr>
        <w:t xml:space="preserve"> Reasons and Criteria for Softening and Conditioning of Drinking Water.” </w:t>
      </w:r>
      <w:r w:rsidRPr="004F2097">
        <w:rPr>
          <w:rFonts w:ascii="Arial" w:hAnsi="Arial" w:cs="Arial"/>
          <w:i/>
          <w:iCs/>
          <w:sz w:val="20"/>
          <w:szCs w:val="20"/>
        </w:rPr>
        <w:t>Global Water Research Coalition: London, UK</w:t>
      </w:r>
      <w:r w:rsidRPr="004F2097">
        <w:rPr>
          <w:rFonts w:ascii="Arial" w:hAnsi="Arial" w:cs="Arial"/>
          <w:sz w:val="20"/>
          <w:szCs w:val="20"/>
        </w:rPr>
        <w:t>.</w:t>
      </w:r>
    </w:p>
    <w:p w14:paraId="66D189CE"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Oon, Yoong-Ling, Yoong-Sin Oon, Muhammad Ayaz, Min Deng, Lu Li, and Kang Song. 2023. “Waterborne Pathogens Detection Technologies: Advances, Challenges, and Future Perspectives.” </w:t>
      </w:r>
      <w:r w:rsidRPr="004F2097">
        <w:rPr>
          <w:rFonts w:ascii="Arial" w:hAnsi="Arial" w:cs="Arial"/>
          <w:i/>
          <w:iCs/>
          <w:sz w:val="20"/>
          <w:szCs w:val="20"/>
        </w:rPr>
        <w:t>Frontiers in Microbiology</w:t>
      </w:r>
      <w:r w:rsidRPr="004F2097">
        <w:rPr>
          <w:rFonts w:ascii="Arial" w:hAnsi="Arial" w:cs="Arial"/>
          <w:sz w:val="20"/>
          <w:szCs w:val="20"/>
        </w:rPr>
        <w:t xml:space="preserve"> 14: 1286923.</w:t>
      </w:r>
    </w:p>
    <w:p w14:paraId="0FA08030"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Orji, MU, SC Onuorah, MO Ifemeje, and OR Umeh. 2020. “Effects of Depth and Seasons on the Physicochemical and Bacteriological Quality of Selected Well Water Samples in Awka Urban, Anambra State, Nigeria.” </w:t>
      </w:r>
      <w:r w:rsidRPr="004F2097">
        <w:rPr>
          <w:rFonts w:ascii="Arial" w:hAnsi="Arial" w:cs="Arial"/>
          <w:i/>
          <w:iCs/>
          <w:sz w:val="20"/>
          <w:szCs w:val="20"/>
        </w:rPr>
        <w:t>Asian Journal of Biology</w:t>
      </w:r>
      <w:r w:rsidRPr="004F2097">
        <w:rPr>
          <w:rFonts w:ascii="Arial" w:hAnsi="Arial" w:cs="Arial"/>
          <w:sz w:val="20"/>
          <w:szCs w:val="20"/>
        </w:rPr>
        <w:t xml:space="preserve"> 10 (1): 1–28.</w:t>
      </w:r>
    </w:p>
    <w:p w14:paraId="1B62733A"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Promilton, A. Antony Alosanai, A. Antony Ravindran, V. Stephen Pitchaimani, J. Vinoth Kingston, and Shankar Karuppannan. 2025. “Comprehensive Hydrogeochemical Characterization and Seasonal Water Quality Index Analysis for Sustainable Groundwater Management in Valliyur Region, Southern Tamil Nadu, India.” </w:t>
      </w:r>
      <w:r w:rsidRPr="004F2097">
        <w:rPr>
          <w:rFonts w:ascii="Arial" w:hAnsi="Arial" w:cs="Arial"/>
          <w:i/>
          <w:iCs/>
          <w:sz w:val="20"/>
          <w:szCs w:val="20"/>
        </w:rPr>
        <w:t>Scientific Reports</w:t>
      </w:r>
      <w:r w:rsidRPr="004F2097">
        <w:rPr>
          <w:rFonts w:ascii="Arial" w:hAnsi="Arial" w:cs="Arial"/>
          <w:sz w:val="20"/>
          <w:szCs w:val="20"/>
        </w:rPr>
        <w:t xml:space="preserve"> 15 (1): 33251.</w:t>
      </w:r>
    </w:p>
    <w:p w14:paraId="2AEB3DFB"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Sadler, Ross, Brooke Maetam, Benjamin Edokpolo, et al. 2016. “Health Risk Assessment for Exposure to Nitrate in Drinking Water from Village Wells in Semarang, Indonesia.” </w:t>
      </w:r>
      <w:r w:rsidRPr="004F2097">
        <w:rPr>
          <w:rFonts w:ascii="Arial" w:hAnsi="Arial" w:cs="Arial"/>
          <w:i/>
          <w:iCs/>
          <w:sz w:val="20"/>
          <w:szCs w:val="20"/>
        </w:rPr>
        <w:t>Environmental Pollution</w:t>
      </w:r>
      <w:r w:rsidRPr="004F2097">
        <w:rPr>
          <w:rFonts w:ascii="Arial" w:hAnsi="Arial" w:cs="Arial"/>
          <w:sz w:val="20"/>
          <w:szCs w:val="20"/>
        </w:rPr>
        <w:t xml:space="preserve"> 216: 738–45.</w:t>
      </w:r>
    </w:p>
    <w:p w14:paraId="1DB58BB8"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lastRenderedPageBreak/>
        <w:t xml:space="preserve">Salamandane, Acácio, Filipa Vila-Boa, Manuel Malfeito-Ferreira, and Luísa Brito. 2021. “High Fecal Contamination and High Levels of Antibiotic-Resistant Enterobacteriaceae in Water Consumed in the City of Maputo, Mozambique.” </w:t>
      </w:r>
      <w:r w:rsidRPr="004F2097">
        <w:rPr>
          <w:rFonts w:ascii="Arial" w:hAnsi="Arial" w:cs="Arial"/>
          <w:i/>
          <w:iCs/>
          <w:sz w:val="20"/>
          <w:szCs w:val="20"/>
        </w:rPr>
        <w:t>Biology</w:t>
      </w:r>
      <w:r w:rsidRPr="004F2097">
        <w:rPr>
          <w:rFonts w:ascii="Arial" w:hAnsi="Arial" w:cs="Arial"/>
          <w:sz w:val="20"/>
          <w:szCs w:val="20"/>
        </w:rPr>
        <w:t xml:space="preserve"> 10 (6): 558.</w:t>
      </w:r>
    </w:p>
    <w:p w14:paraId="58BDDAE6"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Talabi, AO, OL Afolagboye, MN Tijani, JA Aladejana, and AK Ogundana. 2013. “Hydrogeochemical Assessment of Surface Water in the Central Part of Ekiti-State, Southwestern Nigeria.” </w:t>
      </w:r>
      <w:r w:rsidRPr="004F2097">
        <w:rPr>
          <w:rFonts w:ascii="Arial" w:hAnsi="Arial" w:cs="Arial"/>
          <w:i/>
          <w:iCs/>
          <w:sz w:val="20"/>
          <w:szCs w:val="20"/>
        </w:rPr>
        <w:t>American Journal of Water Resources</w:t>
      </w:r>
      <w:r w:rsidRPr="004F2097">
        <w:rPr>
          <w:rFonts w:ascii="Arial" w:hAnsi="Arial" w:cs="Arial"/>
          <w:sz w:val="20"/>
          <w:szCs w:val="20"/>
        </w:rPr>
        <w:t xml:space="preserve"> 1 (4): 56–65.</w:t>
      </w:r>
    </w:p>
    <w:p w14:paraId="06838738"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Tossou, Yao Yélidji Joël, Philippe Orban, Julie Gesels, et al. 2017. “Hydrogeochemical Mechanisms Governing the Mineralization and Elevated Fluoride F-Contents in Precambrian Crystalline Aquifer Groundwater in Central Benin, Western Africa.” </w:t>
      </w:r>
      <w:r w:rsidRPr="004F2097">
        <w:rPr>
          <w:rFonts w:ascii="Arial" w:hAnsi="Arial" w:cs="Arial"/>
          <w:i/>
          <w:iCs/>
          <w:sz w:val="20"/>
          <w:szCs w:val="20"/>
        </w:rPr>
        <w:t>Environmental Earth Sciences</w:t>
      </w:r>
      <w:r w:rsidRPr="004F2097">
        <w:rPr>
          <w:rFonts w:ascii="Arial" w:hAnsi="Arial" w:cs="Arial"/>
          <w:sz w:val="20"/>
          <w:szCs w:val="20"/>
        </w:rPr>
        <w:t xml:space="preserve"> 76 (20): 691.</w:t>
      </w:r>
    </w:p>
    <w:p w14:paraId="7EE724C4"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VODOUNOU, Jean Bosco Kpatindé, and Alfred Okoungla DENONSI. </w:t>
      </w:r>
      <w:r w:rsidRPr="004F2097">
        <w:rPr>
          <w:rFonts w:ascii="Arial" w:hAnsi="Arial" w:cs="Arial"/>
          <w:sz w:val="20"/>
          <w:szCs w:val="20"/>
          <w:lang w:val="fr-FR"/>
        </w:rPr>
        <w:t xml:space="preserve">2018. “Caractéristiques Physico-Chimiques et Bactériologiques Des Eaux de Puits Dans La Ville de Parakou, Centre-Bénin.” </w:t>
      </w:r>
      <w:r w:rsidRPr="004F2097">
        <w:rPr>
          <w:rFonts w:ascii="Arial" w:hAnsi="Arial" w:cs="Arial"/>
          <w:i/>
          <w:iCs/>
          <w:sz w:val="20"/>
          <w:szCs w:val="20"/>
        </w:rPr>
        <w:t>Afrique SCIENCE</w:t>
      </w:r>
      <w:r w:rsidRPr="004F2097">
        <w:rPr>
          <w:rFonts w:ascii="Arial" w:hAnsi="Arial" w:cs="Arial"/>
          <w:sz w:val="20"/>
          <w:szCs w:val="20"/>
        </w:rPr>
        <w:t xml:space="preserve"> 14 (3): 336–52.</w:t>
      </w:r>
    </w:p>
    <w:p w14:paraId="047A609A"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Wamsley, Miriam. 2014. </w:t>
      </w:r>
      <w:r w:rsidRPr="004F2097">
        <w:rPr>
          <w:rFonts w:ascii="Arial" w:hAnsi="Arial" w:cs="Arial"/>
          <w:i/>
          <w:iCs/>
          <w:sz w:val="20"/>
          <w:szCs w:val="20"/>
        </w:rPr>
        <w:t>Evidence of Ground Water Contamination by On-Site Wastewater Systems</w:t>
      </w:r>
      <w:r w:rsidRPr="004F2097">
        <w:rPr>
          <w:rFonts w:ascii="Arial" w:hAnsi="Arial" w:cs="Arial"/>
          <w:sz w:val="20"/>
          <w:szCs w:val="20"/>
        </w:rPr>
        <w:t>.</w:t>
      </w:r>
    </w:p>
    <w:p w14:paraId="65D8AEE9"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Ward, Jade Suzanne. 2020. </w:t>
      </w:r>
      <w:r w:rsidRPr="004F2097">
        <w:rPr>
          <w:rFonts w:ascii="Arial" w:hAnsi="Arial" w:cs="Arial"/>
          <w:i/>
          <w:iCs/>
          <w:sz w:val="20"/>
          <w:szCs w:val="20"/>
        </w:rPr>
        <w:t>Investigating Novel Approaches for Detecting Microbial Contamination in Drinking Water in Africa</w:t>
      </w:r>
      <w:r w:rsidRPr="004F2097">
        <w:rPr>
          <w:rFonts w:ascii="Arial" w:hAnsi="Arial" w:cs="Arial"/>
          <w:sz w:val="20"/>
          <w:szCs w:val="20"/>
        </w:rPr>
        <w:t>.</w:t>
      </w:r>
    </w:p>
    <w:p w14:paraId="44BB1EF9"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Wasim, Muhammad, Shahrukh Shoaib, NM Mubarak, Inamuddin, and Abdullah M. Asiri. 2018. “Factors Influencing Corrosion of Metal Pipes in Soils.” </w:t>
      </w:r>
      <w:r w:rsidRPr="004F2097">
        <w:rPr>
          <w:rFonts w:ascii="Arial" w:hAnsi="Arial" w:cs="Arial"/>
          <w:i/>
          <w:iCs/>
          <w:sz w:val="20"/>
          <w:szCs w:val="20"/>
        </w:rPr>
        <w:t>Environmental Chemistry Letters</w:t>
      </w:r>
      <w:r w:rsidRPr="004F2097">
        <w:rPr>
          <w:rFonts w:ascii="Arial" w:hAnsi="Arial" w:cs="Arial"/>
          <w:sz w:val="20"/>
          <w:szCs w:val="20"/>
        </w:rPr>
        <w:t xml:space="preserve"> 16 (3): 861–79.</w:t>
      </w:r>
    </w:p>
    <w:p w14:paraId="59A019BC"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Yuan, Ruiqiang, Zhibin Li, and Siyu Guo. 2023. “Health Risks of Shallow Groundwater in the Five Basins of Shanxi, China: Geographical, Geological and Human Activity Roles.” </w:t>
      </w:r>
      <w:r w:rsidRPr="004F2097">
        <w:rPr>
          <w:rFonts w:ascii="Arial" w:hAnsi="Arial" w:cs="Arial"/>
          <w:i/>
          <w:iCs/>
          <w:sz w:val="20"/>
          <w:szCs w:val="20"/>
        </w:rPr>
        <w:t>Environmental Pollution</w:t>
      </w:r>
      <w:r w:rsidRPr="004F2097">
        <w:rPr>
          <w:rFonts w:ascii="Arial" w:hAnsi="Arial" w:cs="Arial"/>
          <w:sz w:val="20"/>
          <w:szCs w:val="20"/>
        </w:rPr>
        <w:t xml:space="preserve"> 316: 120524.</w:t>
      </w:r>
    </w:p>
    <w:p w14:paraId="6E0834FC" w14:textId="77777777" w:rsidR="00E66211" w:rsidRPr="004F2097" w:rsidRDefault="00E66211" w:rsidP="002727A3">
      <w:pPr>
        <w:pStyle w:val="Bibliography"/>
        <w:numPr>
          <w:ilvl w:val="0"/>
          <w:numId w:val="4"/>
        </w:numPr>
        <w:jc w:val="both"/>
        <w:rPr>
          <w:rFonts w:ascii="Arial" w:hAnsi="Arial" w:cs="Arial"/>
          <w:sz w:val="20"/>
          <w:szCs w:val="20"/>
        </w:rPr>
      </w:pPr>
      <w:r w:rsidRPr="004F2097">
        <w:rPr>
          <w:rFonts w:ascii="Arial" w:hAnsi="Arial" w:cs="Arial"/>
          <w:sz w:val="20"/>
          <w:szCs w:val="20"/>
        </w:rPr>
        <w:t xml:space="preserve">Zhang, Minmin, Lishu Wang, Qiaojing Zhao, Jinxi Wang, and Yuzhuang Sun. 2024. “Hydrogeochemical and Anthropogenic Controls on Quality and Quantitative Source-Specific Risks of Groundwater in a Resource-Based Area with Intensive Industrial and Agricultural Activities.” </w:t>
      </w:r>
      <w:r w:rsidRPr="004F2097">
        <w:rPr>
          <w:rFonts w:ascii="Arial" w:hAnsi="Arial" w:cs="Arial"/>
          <w:i/>
          <w:iCs/>
          <w:sz w:val="20"/>
          <w:szCs w:val="20"/>
        </w:rPr>
        <w:t>Journal of Cleaner Production</w:t>
      </w:r>
      <w:r w:rsidRPr="004F2097">
        <w:rPr>
          <w:rFonts w:ascii="Arial" w:hAnsi="Arial" w:cs="Arial"/>
          <w:sz w:val="20"/>
          <w:szCs w:val="20"/>
        </w:rPr>
        <w:t xml:space="preserve"> 440: 140911.</w:t>
      </w:r>
    </w:p>
    <w:p w14:paraId="1FA1C52B" w14:textId="453D111C" w:rsidR="00475ED7" w:rsidRPr="004F2097" w:rsidRDefault="004A57E9" w:rsidP="004F2097">
      <w:pPr>
        <w:jc w:val="both"/>
        <w:rPr>
          <w:rFonts w:ascii="Arial" w:hAnsi="Arial" w:cs="Arial"/>
          <w:sz w:val="20"/>
          <w:szCs w:val="20"/>
          <w:lang w:val="fr-FR"/>
        </w:rPr>
      </w:pPr>
      <w:r w:rsidRPr="004F2097">
        <w:rPr>
          <w:rFonts w:ascii="Arial" w:hAnsi="Arial" w:cs="Arial"/>
          <w:sz w:val="20"/>
          <w:szCs w:val="20"/>
          <w:lang w:val="fr-FR"/>
        </w:rPr>
        <w:fldChar w:fldCharType="end"/>
      </w:r>
    </w:p>
    <w:sectPr w:rsidR="00475ED7" w:rsidRPr="004F2097" w:rsidSect="005C40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9C9D5" w14:textId="77777777" w:rsidR="00FD6172" w:rsidRDefault="00FD6172" w:rsidP="00CF51AB">
      <w:pPr>
        <w:spacing w:after="0" w:line="240" w:lineRule="auto"/>
      </w:pPr>
      <w:r>
        <w:separator/>
      </w:r>
    </w:p>
  </w:endnote>
  <w:endnote w:type="continuationSeparator" w:id="0">
    <w:p w14:paraId="6B49BE77" w14:textId="77777777" w:rsidR="00FD6172" w:rsidRDefault="00FD6172" w:rsidP="00CF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F96A7" w14:textId="77777777" w:rsidR="00EA6EA2" w:rsidRDefault="00EA6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5260F" w14:textId="77777777" w:rsidR="00EA6EA2" w:rsidRDefault="00EA6E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2EB9" w14:textId="77777777" w:rsidR="00EA6EA2" w:rsidRDefault="00EA6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76869" w14:textId="77777777" w:rsidR="00FD6172" w:rsidRDefault="00FD6172" w:rsidP="00CF51AB">
      <w:pPr>
        <w:spacing w:after="0" w:line="240" w:lineRule="auto"/>
      </w:pPr>
      <w:r>
        <w:separator/>
      </w:r>
    </w:p>
  </w:footnote>
  <w:footnote w:type="continuationSeparator" w:id="0">
    <w:p w14:paraId="413138EB" w14:textId="77777777" w:rsidR="00FD6172" w:rsidRDefault="00FD6172" w:rsidP="00CF5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0213" w14:textId="283AA875" w:rsidR="00EA6EA2" w:rsidRDefault="00FD6172">
    <w:pPr>
      <w:pStyle w:val="Header"/>
    </w:pPr>
    <w:r>
      <w:rPr>
        <w:noProof/>
      </w:rPr>
      <w:pict w14:anchorId="4F69C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69AC" w14:textId="3C087470" w:rsidR="00EA6EA2" w:rsidRDefault="00FD6172">
    <w:pPr>
      <w:pStyle w:val="Header"/>
    </w:pPr>
    <w:r>
      <w:rPr>
        <w:noProof/>
      </w:rPr>
      <w:pict w14:anchorId="2D1C9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11A2" w14:textId="3D9325F1" w:rsidR="00EA6EA2" w:rsidRDefault="00FD6172">
    <w:pPr>
      <w:pStyle w:val="Header"/>
    </w:pPr>
    <w:r>
      <w:rPr>
        <w:noProof/>
      </w:rPr>
      <w:pict w14:anchorId="7972A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5E5"/>
    <w:multiLevelType w:val="multilevel"/>
    <w:tmpl w:val="95D8E7AA"/>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8C87705"/>
    <w:multiLevelType w:val="hybridMultilevel"/>
    <w:tmpl w:val="E3D4008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CD5EA8"/>
    <w:multiLevelType w:val="multilevel"/>
    <w:tmpl w:val="2B6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DC4593"/>
    <w:multiLevelType w:val="hybridMultilevel"/>
    <w:tmpl w:val="9EDE12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14"/>
    <w:rsid w:val="00005B92"/>
    <w:rsid w:val="000308CA"/>
    <w:rsid w:val="00030AAE"/>
    <w:rsid w:val="00032560"/>
    <w:rsid w:val="00045062"/>
    <w:rsid w:val="000450B8"/>
    <w:rsid w:val="00067972"/>
    <w:rsid w:val="000701F7"/>
    <w:rsid w:val="00081D9F"/>
    <w:rsid w:val="00087F52"/>
    <w:rsid w:val="000918DD"/>
    <w:rsid w:val="00092FF4"/>
    <w:rsid w:val="00094FEB"/>
    <w:rsid w:val="00095107"/>
    <w:rsid w:val="000C5FB4"/>
    <w:rsid w:val="000C7444"/>
    <w:rsid w:val="000D34D2"/>
    <w:rsid w:val="000D6062"/>
    <w:rsid w:val="000E25B2"/>
    <w:rsid w:val="000E4F85"/>
    <w:rsid w:val="00104BBC"/>
    <w:rsid w:val="001052E2"/>
    <w:rsid w:val="001067BB"/>
    <w:rsid w:val="00116D8F"/>
    <w:rsid w:val="00125247"/>
    <w:rsid w:val="0013193F"/>
    <w:rsid w:val="00140A45"/>
    <w:rsid w:val="00151672"/>
    <w:rsid w:val="00151E53"/>
    <w:rsid w:val="00151FF4"/>
    <w:rsid w:val="0015304F"/>
    <w:rsid w:val="00177B20"/>
    <w:rsid w:val="0018164A"/>
    <w:rsid w:val="00191498"/>
    <w:rsid w:val="001948A7"/>
    <w:rsid w:val="001D1CFD"/>
    <w:rsid w:val="001D365A"/>
    <w:rsid w:val="001E04B8"/>
    <w:rsid w:val="001F6F5C"/>
    <w:rsid w:val="00210496"/>
    <w:rsid w:val="00212995"/>
    <w:rsid w:val="002250C3"/>
    <w:rsid w:val="00230211"/>
    <w:rsid w:val="0025052A"/>
    <w:rsid w:val="00267304"/>
    <w:rsid w:val="002727A3"/>
    <w:rsid w:val="00272814"/>
    <w:rsid w:val="0028008D"/>
    <w:rsid w:val="00290B43"/>
    <w:rsid w:val="002A6B08"/>
    <w:rsid w:val="002B3F64"/>
    <w:rsid w:val="002E5663"/>
    <w:rsid w:val="002E5E08"/>
    <w:rsid w:val="002F4502"/>
    <w:rsid w:val="00321725"/>
    <w:rsid w:val="003237DD"/>
    <w:rsid w:val="00324FEE"/>
    <w:rsid w:val="00333FD8"/>
    <w:rsid w:val="003362B1"/>
    <w:rsid w:val="0033663B"/>
    <w:rsid w:val="00351A52"/>
    <w:rsid w:val="0035283C"/>
    <w:rsid w:val="00355252"/>
    <w:rsid w:val="003624B3"/>
    <w:rsid w:val="00364ECA"/>
    <w:rsid w:val="0036715A"/>
    <w:rsid w:val="00382D9D"/>
    <w:rsid w:val="003A61BF"/>
    <w:rsid w:val="003B3142"/>
    <w:rsid w:val="003E13A2"/>
    <w:rsid w:val="003E5BCD"/>
    <w:rsid w:val="00400129"/>
    <w:rsid w:val="00406E5B"/>
    <w:rsid w:val="00444025"/>
    <w:rsid w:val="004476F9"/>
    <w:rsid w:val="00451FB1"/>
    <w:rsid w:val="0045677C"/>
    <w:rsid w:val="00475ED7"/>
    <w:rsid w:val="004777D8"/>
    <w:rsid w:val="00491EA2"/>
    <w:rsid w:val="00495248"/>
    <w:rsid w:val="004A57E9"/>
    <w:rsid w:val="004B07D2"/>
    <w:rsid w:val="004D7359"/>
    <w:rsid w:val="004D7DD9"/>
    <w:rsid w:val="004E713A"/>
    <w:rsid w:val="004F2097"/>
    <w:rsid w:val="0050020B"/>
    <w:rsid w:val="00515635"/>
    <w:rsid w:val="00523F8C"/>
    <w:rsid w:val="0052569A"/>
    <w:rsid w:val="00526587"/>
    <w:rsid w:val="005368B9"/>
    <w:rsid w:val="00540C49"/>
    <w:rsid w:val="005469A0"/>
    <w:rsid w:val="00547460"/>
    <w:rsid w:val="0054767A"/>
    <w:rsid w:val="00556FCF"/>
    <w:rsid w:val="005641BF"/>
    <w:rsid w:val="00567126"/>
    <w:rsid w:val="005948A4"/>
    <w:rsid w:val="005A1302"/>
    <w:rsid w:val="005B1AAD"/>
    <w:rsid w:val="005B3C0A"/>
    <w:rsid w:val="005B58A3"/>
    <w:rsid w:val="005C40EF"/>
    <w:rsid w:val="005C47B1"/>
    <w:rsid w:val="005E05B5"/>
    <w:rsid w:val="005F10F6"/>
    <w:rsid w:val="005F3FBA"/>
    <w:rsid w:val="00603EBF"/>
    <w:rsid w:val="00614A34"/>
    <w:rsid w:val="00614EAB"/>
    <w:rsid w:val="0062380F"/>
    <w:rsid w:val="00626D91"/>
    <w:rsid w:val="00633EA0"/>
    <w:rsid w:val="00646724"/>
    <w:rsid w:val="00663D36"/>
    <w:rsid w:val="00665571"/>
    <w:rsid w:val="006804EE"/>
    <w:rsid w:val="00696A14"/>
    <w:rsid w:val="006A20D6"/>
    <w:rsid w:val="006E3467"/>
    <w:rsid w:val="00705EAE"/>
    <w:rsid w:val="00732621"/>
    <w:rsid w:val="00736C63"/>
    <w:rsid w:val="00737ED7"/>
    <w:rsid w:val="0075171F"/>
    <w:rsid w:val="00764E9E"/>
    <w:rsid w:val="007811DE"/>
    <w:rsid w:val="00795494"/>
    <w:rsid w:val="007A197D"/>
    <w:rsid w:val="007B1120"/>
    <w:rsid w:val="007C134E"/>
    <w:rsid w:val="007C2FD9"/>
    <w:rsid w:val="007C3D0C"/>
    <w:rsid w:val="007D200D"/>
    <w:rsid w:val="007E0864"/>
    <w:rsid w:val="008052D0"/>
    <w:rsid w:val="008252C8"/>
    <w:rsid w:val="00831F2A"/>
    <w:rsid w:val="00834371"/>
    <w:rsid w:val="00842729"/>
    <w:rsid w:val="00875D0F"/>
    <w:rsid w:val="00897748"/>
    <w:rsid w:val="00897FAE"/>
    <w:rsid w:val="008B7D92"/>
    <w:rsid w:val="008C554B"/>
    <w:rsid w:val="008D43A6"/>
    <w:rsid w:val="008D4AEA"/>
    <w:rsid w:val="008F576A"/>
    <w:rsid w:val="0090614A"/>
    <w:rsid w:val="009075F5"/>
    <w:rsid w:val="00911F1E"/>
    <w:rsid w:val="00921D37"/>
    <w:rsid w:val="00922763"/>
    <w:rsid w:val="00927614"/>
    <w:rsid w:val="00941947"/>
    <w:rsid w:val="00944425"/>
    <w:rsid w:val="00947988"/>
    <w:rsid w:val="0095183D"/>
    <w:rsid w:val="00953BDA"/>
    <w:rsid w:val="00980DF3"/>
    <w:rsid w:val="00987F50"/>
    <w:rsid w:val="00995559"/>
    <w:rsid w:val="009A6024"/>
    <w:rsid w:val="009B242B"/>
    <w:rsid w:val="009C0BD7"/>
    <w:rsid w:val="009C262D"/>
    <w:rsid w:val="009F7939"/>
    <w:rsid w:val="00A11A5A"/>
    <w:rsid w:val="00A17487"/>
    <w:rsid w:val="00A201BA"/>
    <w:rsid w:val="00A432F4"/>
    <w:rsid w:val="00A467FE"/>
    <w:rsid w:val="00A81333"/>
    <w:rsid w:val="00A813AC"/>
    <w:rsid w:val="00A87248"/>
    <w:rsid w:val="00A872E9"/>
    <w:rsid w:val="00AA7247"/>
    <w:rsid w:val="00AB5F19"/>
    <w:rsid w:val="00AC61DC"/>
    <w:rsid w:val="00AD6C9A"/>
    <w:rsid w:val="00AE0907"/>
    <w:rsid w:val="00AF2A62"/>
    <w:rsid w:val="00B02890"/>
    <w:rsid w:val="00B07DD0"/>
    <w:rsid w:val="00B64632"/>
    <w:rsid w:val="00B71B50"/>
    <w:rsid w:val="00B72462"/>
    <w:rsid w:val="00B73A7C"/>
    <w:rsid w:val="00B759B5"/>
    <w:rsid w:val="00B82667"/>
    <w:rsid w:val="00B94BA5"/>
    <w:rsid w:val="00BA0031"/>
    <w:rsid w:val="00BA2B1D"/>
    <w:rsid w:val="00BB00B5"/>
    <w:rsid w:val="00BC2615"/>
    <w:rsid w:val="00BD0A12"/>
    <w:rsid w:val="00BE79D8"/>
    <w:rsid w:val="00BF2457"/>
    <w:rsid w:val="00C10CD8"/>
    <w:rsid w:val="00C15EEA"/>
    <w:rsid w:val="00C24931"/>
    <w:rsid w:val="00C30073"/>
    <w:rsid w:val="00C347D5"/>
    <w:rsid w:val="00C47738"/>
    <w:rsid w:val="00C54070"/>
    <w:rsid w:val="00C61F19"/>
    <w:rsid w:val="00C71034"/>
    <w:rsid w:val="00C7222E"/>
    <w:rsid w:val="00C9509A"/>
    <w:rsid w:val="00CA365F"/>
    <w:rsid w:val="00CD149C"/>
    <w:rsid w:val="00CD759D"/>
    <w:rsid w:val="00CF163A"/>
    <w:rsid w:val="00CF51AB"/>
    <w:rsid w:val="00D167C6"/>
    <w:rsid w:val="00D1766B"/>
    <w:rsid w:val="00D372EA"/>
    <w:rsid w:val="00D6057B"/>
    <w:rsid w:val="00D61962"/>
    <w:rsid w:val="00D62DC2"/>
    <w:rsid w:val="00D7127B"/>
    <w:rsid w:val="00D73B64"/>
    <w:rsid w:val="00D80ACA"/>
    <w:rsid w:val="00D80E0E"/>
    <w:rsid w:val="00D90F04"/>
    <w:rsid w:val="00D91206"/>
    <w:rsid w:val="00D95F0C"/>
    <w:rsid w:val="00DA350F"/>
    <w:rsid w:val="00DB1550"/>
    <w:rsid w:val="00DB4244"/>
    <w:rsid w:val="00DC46DD"/>
    <w:rsid w:val="00DF097F"/>
    <w:rsid w:val="00E02C4D"/>
    <w:rsid w:val="00E2205D"/>
    <w:rsid w:val="00E304D7"/>
    <w:rsid w:val="00E35DE8"/>
    <w:rsid w:val="00E43B26"/>
    <w:rsid w:val="00E5073B"/>
    <w:rsid w:val="00E53C99"/>
    <w:rsid w:val="00E64A26"/>
    <w:rsid w:val="00E66211"/>
    <w:rsid w:val="00E7202C"/>
    <w:rsid w:val="00E75D33"/>
    <w:rsid w:val="00E83A75"/>
    <w:rsid w:val="00E86C7E"/>
    <w:rsid w:val="00E87AEF"/>
    <w:rsid w:val="00E978B6"/>
    <w:rsid w:val="00EA1519"/>
    <w:rsid w:val="00EA433F"/>
    <w:rsid w:val="00EA6EA2"/>
    <w:rsid w:val="00EB0792"/>
    <w:rsid w:val="00EC16C7"/>
    <w:rsid w:val="00EC1886"/>
    <w:rsid w:val="00ED4C70"/>
    <w:rsid w:val="00ED766D"/>
    <w:rsid w:val="00F04948"/>
    <w:rsid w:val="00F1355F"/>
    <w:rsid w:val="00F246B4"/>
    <w:rsid w:val="00F277D0"/>
    <w:rsid w:val="00F50886"/>
    <w:rsid w:val="00F512EF"/>
    <w:rsid w:val="00F60B50"/>
    <w:rsid w:val="00F62DCC"/>
    <w:rsid w:val="00F710D9"/>
    <w:rsid w:val="00F71BAB"/>
    <w:rsid w:val="00F95A71"/>
    <w:rsid w:val="00F96391"/>
    <w:rsid w:val="00FA3CB4"/>
    <w:rsid w:val="00FA4088"/>
    <w:rsid w:val="00FA5850"/>
    <w:rsid w:val="00FC12E6"/>
    <w:rsid w:val="00FD533B"/>
    <w:rsid w:val="00FD6172"/>
    <w:rsid w:val="00FE2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03462B"/>
  <w15:chartTrackingRefBased/>
  <w15:docId w15:val="{1242B0E7-9C22-47ED-B337-D4B3418F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76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276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276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76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76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76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76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76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76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6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276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276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76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76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76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76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76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7614"/>
    <w:rPr>
      <w:rFonts w:eastAsiaTheme="majorEastAsia" w:cstheme="majorBidi"/>
      <w:color w:val="272727" w:themeColor="text1" w:themeTint="D8"/>
    </w:rPr>
  </w:style>
  <w:style w:type="paragraph" w:styleId="Title">
    <w:name w:val="Title"/>
    <w:basedOn w:val="Normal"/>
    <w:next w:val="Normal"/>
    <w:link w:val="TitleChar"/>
    <w:uiPriority w:val="10"/>
    <w:qFormat/>
    <w:rsid w:val="00927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76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76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7614"/>
    <w:pPr>
      <w:spacing w:before="160"/>
      <w:jc w:val="center"/>
    </w:pPr>
    <w:rPr>
      <w:i/>
      <w:iCs/>
      <w:color w:val="404040" w:themeColor="text1" w:themeTint="BF"/>
    </w:rPr>
  </w:style>
  <w:style w:type="character" w:customStyle="1" w:styleId="QuoteChar">
    <w:name w:val="Quote Char"/>
    <w:basedOn w:val="DefaultParagraphFont"/>
    <w:link w:val="Quote"/>
    <w:uiPriority w:val="29"/>
    <w:rsid w:val="00927614"/>
    <w:rPr>
      <w:i/>
      <w:iCs/>
      <w:color w:val="404040" w:themeColor="text1" w:themeTint="BF"/>
    </w:rPr>
  </w:style>
  <w:style w:type="paragraph" w:styleId="ListParagraph">
    <w:name w:val="List Paragraph"/>
    <w:basedOn w:val="Normal"/>
    <w:uiPriority w:val="34"/>
    <w:qFormat/>
    <w:rsid w:val="00927614"/>
    <w:pPr>
      <w:ind w:left="720"/>
      <w:contextualSpacing/>
    </w:pPr>
  </w:style>
  <w:style w:type="character" w:styleId="IntenseEmphasis">
    <w:name w:val="Intense Emphasis"/>
    <w:basedOn w:val="DefaultParagraphFont"/>
    <w:uiPriority w:val="21"/>
    <w:qFormat/>
    <w:rsid w:val="00927614"/>
    <w:rPr>
      <w:i/>
      <w:iCs/>
      <w:color w:val="2F5496" w:themeColor="accent1" w:themeShade="BF"/>
    </w:rPr>
  </w:style>
  <w:style w:type="paragraph" w:styleId="IntenseQuote">
    <w:name w:val="Intense Quote"/>
    <w:basedOn w:val="Normal"/>
    <w:next w:val="Normal"/>
    <w:link w:val="IntenseQuoteChar"/>
    <w:uiPriority w:val="30"/>
    <w:qFormat/>
    <w:rsid w:val="009276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7614"/>
    <w:rPr>
      <w:i/>
      <w:iCs/>
      <w:color w:val="2F5496" w:themeColor="accent1" w:themeShade="BF"/>
    </w:rPr>
  </w:style>
  <w:style w:type="character" w:styleId="IntenseReference">
    <w:name w:val="Intense Reference"/>
    <w:basedOn w:val="DefaultParagraphFont"/>
    <w:uiPriority w:val="32"/>
    <w:qFormat/>
    <w:rsid w:val="00927614"/>
    <w:rPr>
      <w:b/>
      <w:bCs/>
      <w:smallCaps/>
      <w:color w:val="2F5496" w:themeColor="accent1" w:themeShade="BF"/>
      <w:spacing w:val="5"/>
    </w:rPr>
  </w:style>
  <w:style w:type="character" w:styleId="Hyperlink">
    <w:name w:val="Hyperlink"/>
    <w:basedOn w:val="DefaultParagraphFont"/>
    <w:uiPriority w:val="99"/>
    <w:unhideWhenUsed/>
    <w:rsid w:val="00475ED7"/>
    <w:rPr>
      <w:color w:val="0563C1" w:themeColor="hyperlink"/>
      <w:u w:val="single"/>
    </w:rPr>
  </w:style>
  <w:style w:type="character" w:styleId="UnresolvedMention">
    <w:name w:val="Unresolved Mention"/>
    <w:basedOn w:val="DefaultParagraphFont"/>
    <w:uiPriority w:val="99"/>
    <w:semiHidden/>
    <w:unhideWhenUsed/>
    <w:rsid w:val="00475ED7"/>
    <w:rPr>
      <w:color w:val="605E5C"/>
      <w:shd w:val="clear" w:color="auto" w:fill="E1DFDD"/>
    </w:rPr>
  </w:style>
  <w:style w:type="table" w:styleId="TableGrid">
    <w:name w:val="Table Grid"/>
    <w:basedOn w:val="TableNormal"/>
    <w:uiPriority w:val="39"/>
    <w:rsid w:val="00475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350F"/>
    <w:pPr>
      <w:spacing w:after="0" w:line="240" w:lineRule="auto"/>
    </w:pPr>
    <w:rPr>
      <w:rFonts w:eastAsia="Calibri"/>
      <w:kern w:val="0"/>
      <w:sz w:val="22"/>
      <w:szCs w:val="22"/>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350F"/>
    <w:pPr>
      <w:spacing w:after="0" w:line="240" w:lineRule="auto"/>
    </w:pPr>
    <w:rPr>
      <w:rFonts w:eastAsia="Calibri"/>
      <w:kern w:val="0"/>
      <w:sz w:val="22"/>
      <w:szCs w:val="22"/>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5A71"/>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2">
    <w:name w:val="Plain Table 2"/>
    <w:basedOn w:val="TableNormal"/>
    <w:uiPriority w:val="42"/>
    <w:rsid w:val="008052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4A57E9"/>
    <w:pPr>
      <w:spacing w:after="240" w:line="240" w:lineRule="auto"/>
      <w:ind w:left="720" w:hanging="720"/>
    </w:pPr>
  </w:style>
  <w:style w:type="paragraph" w:styleId="Header">
    <w:name w:val="header"/>
    <w:basedOn w:val="Normal"/>
    <w:link w:val="HeaderChar"/>
    <w:uiPriority w:val="99"/>
    <w:unhideWhenUsed/>
    <w:rsid w:val="00CF5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1AB"/>
  </w:style>
  <w:style w:type="paragraph" w:styleId="Footer">
    <w:name w:val="footer"/>
    <w:basedOn w:val="Normal"/>
    <w:link w:val="FooterChar"/>
    <w:uiPriority w:val="99"/>
    <w:unhideWhenUsed/>
    <w:rsid w:val="00CF5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1AB"/>
  </w:style>
  <w:style w:type="paragraph" w:styleId="EndnoteText">
    <w:name w:val="endnote text"/>
    <w:basedOn w:val="Normal"/>
    <w:link w:val="EndnoteTextChar"/>
    <w:uiPriority w:val="99"/>
    <w:semiHidden/>
    <w:unhideWhenUsed/>
    <w:rsid w:val="00F508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0886"/>
    <w:rPr>
      <w:sz w:val="20"/>
      <w:szCs w:val="20"/>
    </w:rPr>
  </w:style>
  <w:style w:type="character" w:styleId="EndnoteReference">
    <w:name w:val="endnote reference"/>
    <w:basedOn w:val="DefaultParagraphFont"/>
    <w:uiPriority w:val="99"/>
    <w:semiHidden/>
    <w:unhideWhenUsed/>
    <w:rsid w:val="00F50886"/>
    <w:rPr>
      <w:vertAlign w:val="superscript"/>
    </w:rPr>
  </w:style>
  <w:style w:type="paragraph" w:styleId="FootnoteText">
    <w:name w:val="footnote text"/>
    <w:basedOn w:val="Normal"/>
    <w:link w:val="FootnoteTextChar"/>
    <w:uiPriority w:val="99"/>
    <w:semiHidden/>
    <w:unhideWhenUsed/>
    <w:rsid w:val="00F50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0886"/>
    <w:rPr>
      <w:sz w:val="20"/>
      <w:szCs w:val="20"/>
    </w:rPr>
  </w:style>
  <w:style w:type="character" w:styleId="FootnoteReference">
    <w:name w:val="footnote reference"/>
    <w:basedOn w:val="DefaultParagraphFont"/>
    <w:uiPriority w:val="99"/>
    <w:semiHidden/>
    <w:unhideWhenUsed/>
    <w:rsid w:val="00F50886"/>
    <w:rPr>
      <w:vertAlign w:val="superscript"/>
    </w:rPr>
  </w:style>
  <w:style w:type="paragraph" w:styleId="NoSpacing">
    <w:name w:val="No Spacing"/>
    <w:uiPriority w:val="1"/>
    <w:qFormat/>
    <w:rsid w:val="0045677C"/>
    <w:pPr>
      <w:spacing w:after="0" w:line="240" w:lineRule="auto"/>
    </w:pPr>
    <w:rPr>
      <w:rFonts w:eastAsiaTheme="minorHAnsi"/>
      <w:kern w:val="0"/>
      <w:sz w:val="22"/>
      <w:szCs w:val="22"/>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354722">
      <w:bodyDiv w:val="1"/>
      <w:marLeft w:val="0"/>
      <w:marRight w:val="0"/>
      <w:marTop w:val="0"/>
      <w:marBottom w:val="0"/>
      <w:divBdr>
        <w:top w:val="none" w:sz="0" w:space="0" w:color="auto"/>
        <w:left w:val="none" w:sz="0" w:space="0" w:color="auto"/>
        <w:bottom w:val="none" w:sz="0" w:space="0" w:color="auto"/>
        <w:right w:val="none" w:sz="0" w:space="0" w:color="auto"/>
      </w:divBdr>
      <w:divsChild>
        <w:div w:id="1814640334">
          <w:marLeft w:val="0"/>
          <w:marRight w:val="0"/>
          <w:marTop w:val="0"/>
          <w:marBottom w:val="0"/>
          <w:divBdr>
            <w:top w:val="none" w:sz="0" w:space="0" w:color="auto"/>
            <w:left w:val="none" w:sz="0" w:space="0" w:color="auto"/>
            <w:bottom w:val="none" w:sz="0" w:space="0" w:color="auto"/>
            <w:right w:val="none" w:sz="0" w:space="0" w:color="auto"/>
          </w:divBdr>
          <w:divsChild>
            <w:div w:id="1453670084">
              <w:marLeft w:val="0"/>
              <w:marRight w:val="0"/>
              <w:marTop w:val="0"/>
              <w:marBottom w:val="0"/>
              <w:divBdr>
                <w:top w:val="none" w:sz="0" w:space="0" w:color="auto"/>
                <w:left w:val="none" w:sz="0" w:space="0" w:color="auto"/>
                <w:bottom w:val="none" w:sz="0" w:space="0" w:color="auto"/>
                <w:right w:val="none" w:sz="0" w:space="0" w:color="auto"/>
              </w:divBdr>
            </w:div>
            <w:div w:id="1470896049">
              <w:marLeft w:val="0"/>
              <w:marRight w:val="0"/>
              <w:marTop w:val="0"/>
              <w:marBottom w:val="0"/>
              <w:divBdr>
                <w:top w:val="none" w:sz="0" w:space="0" w:color="auto"/>
                <w:left w:val="none" w:sz="0" w:space="0" w:color="auto"/>
                <w:bottom w:val="none" w:sz="0" w:space="0" w:color="auto"/>
                <w:right w:val="none" w:sz="0" w:space="0" w:color="auto"/>
              </w:divBdr>
              <w:divsChild>
                <w:div w:id="266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5694">
          <w:marLeft w:val="0"/>
          <w:marRight w:val="0"/>
          <w:marTop w:val="0"/>
          <w:marBottom w:val="0"/>
          <w:divBdr>
            <w:top w:val="none" w:sz="0" w:space="0" w:color="auto"/>
            <w:left w:val="none" w:sz="0" w:space="0" w:color="auto"/>
            <w:bottom w:val="none" w:sz="0" w:space="0" w:color="auto"/>
            <w:right w:val="none" w:sz="0" w:space="0" w:color="auto"/>
          </w:divBdr>
          <w:divsChild>
            <w:div w:id="499588822">
              <w:marLeft w:val="0"/>
              <w:marRight w:val="0"/>
              <w:marTop w:val="0"/>
              <w:marBottom w:val="0"/>
              <w:divBdr>
                <w:top w:val="none" w:sz="0" w:space="0" w:color="auto"/>
                <w:left w:val="none" w:sz="0" w:space="0" w:color="auto"/>
                <w:bottom w:val="none" w:sz="0" w:space="0" w:color="auto"/>
                <w:right w:val="none" w:sz="0" w:space="0" w:color="auto"/>
              </w:divBdr>
              <w:divsChild>
                <w:div w:id="179975913">
                  <w:marLeft w:val="0"/>
                  <w:marRight w:val="0"/>
                  <w:marTop w:val="0"/>
                  <w:marBottom w:val="0"/>
                  <w:divBdr>
                    <w:top w:val="none" w:sz="0" w:space="0" w:color="auto"/>
                    <w:left w:val="none" w:sz="0" w:space="0" w:color="auto"/>
                    <w:bottom w:val="none" w:sz="0" w:space="0" w:color="auto"/>
                    <w:right w:val="none" w:sz="0" w:space="0" w:color="auto"/>
                  </w:divBdr>
                  <w:divsChild>
                    <w:div w:id="6197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DD0DD-8109-4489-BB97-E6EF7737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2224</TotalTime>
  <Pages>17</Pages>
  <Words>11295</Words>
  <Characters>64383</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Ahlonsou Egbemimon Daniel</dc:creator>
  <cp:keywords/>
  <dc:description/>
  <cp:lastModifiedBy>Editor-1183</cp:lastModifiedBy>
  <cp:revision>277</cp:revision>
  <dcterms:created xsi:type="dcterms:W3CDTF">2025-11-16T12:41:00Z</dcterms:created>
  <dcterms:modified xsi:type="dcterms:W3CDTF">2026-02-26T11:58:00Z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id="4ci0yEoW"/&gt;&lt;style id="http://www.zotero.org/styles/chicago-author-date" locale="en-US" hasBibliography="1" bibliographyStyleHasBeenSet="1"/&gt;&lt;prefs&gt;&lt;pref name="fieldType" value="Field"/&gt;&lt;/prefs&gt;&lt;/d</vt:lpwstr>
  </property>
  <property fmtid="{D5CDD505-2E9C-101B-9397-08002B2CF9AE}" pid="3" name="ZOTERO_PREF_2">
    <vt:lpwstr>ata&gt;</vt:lpwstr>
  </property>
</Properties>
</file>