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7CB7" w:rsidRDefault="00694A1A" w:rsidP="007E5971">
      <w:pPr>
        <w:spacing w:after="0"/>
        <w:jc w:val="center"/>
        <w:rPr>
          <w:rFonts w:cs="Times New Roman"/>
          <w:b/>
          <w:sz w:val="28"/>
          <w:szCs w:val="28"/>
        </w:rPr>
      </w:pPr>
      <w:bookmarkStart w:id="0" w:name="_Hlk202169552"/>
      <w:r w:rsidRPr="00694A1A">
        <w:rPr>
          <w:sz w:val="28"/>
          <w:szCs w:val="28"/>
        </w:rPr>
        <w:t>Total and Differential White Blood Cell Counts Among Women with Dysmenorrhea in a Tertiary Institution in Nigeria</w:t>
      </w:r>
    </w:p>
    <w:bookmarkEnd w:id="0"/>
    <w:p w:rsidR="007E5971" w:rsidRDefault="007E5971" w:rsidP="007E5971">
      <w:pPr>
        <w:jc w:val="center"/>
        <w:rPr>
          <w:rFonts w:cs="Times New Roman"/>
          <w:b/>
          <w:sz w:val="28"/>
          <w:szCs w:val="28"/>
        </w:rPr>
      </w:pPr>
    </w:p>
    <w:p w:rsidR="007E5971" w:rsidRDefault="007E5971" w:rsidP="007E5971">
      <w:pPr>
        <w:spacing w:line="240" w:lineRule="auto"/>
        <w:ind w:firstLineChars="1600" w:firstLine="3855"/>
        <w:jc w:val="both"/>
        <w:rPr>
          <w:b/>
          <w:bCs/>
        </w:rPr>
      </w:pPr>
      <w:r>
        <w:rPr>
          <w:b/>
          <w:bCs/>
        </w:rPr>
        <w:t>ABSTRACT</w:t>
      </w:r>
    </w:p>
    <w:p w:rsidR="007E5971" w:rsidRDefault="00FF507C" w:rsidP="007E5971">
      <w:pPr>
        <w:spacing w:line="240" w:lineRule="auto"/>
        <w:jc w:val="both"/>
        <w:rPr>
          <w:sz w:val="20"/>
          <w:szCs w:val="20"/>
        </w:rPr>
      </w:pPr>
      <w:r>
        <w:rPr>
          <w:sz w:val="20"/>
          <w:szCs w:val="20"/>
        </w:rPr>
        <w:t xml:space="preserve">Dysmenorrhea is a common </w:t>
      </w:r>
      <w:r w:rsidR="007B7FA9">
        <w:rPr>
          <w:sz w:val="20"/>
          <w:szCs w:val="20"/>
        </w:rPr>
        <w:t>gynecological</w:t>
      </w:r>
      <w:r w:rsidR="007E5971">
        <w:rPr>
          <w:sz w:val="20"/>
          <w:szCs w:val="20"/>
        </w:rPr>
        <w:t xml:space="preserve"> condition marked by recurrent menstrual pain, predominantly affecting females of reproductive age.</w:t>
      </w:r>
      <w:r w:rsidR="007B7FA9">
        <w:rPr>
          <w:sz w:val="20"/>
          <w:szCs w:val="20"/>
        </w:rPr>
        <w:t xml:space="preserve"> </w:t>
      </w:r>
      <w:proofErr w:type="gramStart"/>
      <w:r w:rsidR="001204EA">
        <w:t>The</w:t>
      </w:r>
      <w:proofErr w:type="gramEnd"/>
      <w:r w:rsidR="001204EA">
        <w:t xml:space="preserve"> immune system is intricately connected to menstrual cycle regulation, and various endogenous and exogenous factors can alter the leukocyte profile in wom</w:t>
      </w:r>
      <w:r w:rsidR="00935B9D">
        <w:t>en experiencing dysmenorrhea</w:t>
      </w:r>
      <w:r w:rsidR="001204EA">
        <w:t>.</w:t>
      </w:r>
      <w:r w:rsidR="007E5971">
        <w:rPr>
          <w:sz w:val="20"/>
          <w:szCs w:val="20"/>
        </w:rPr>
        <w:t xml:space="preserve"> Hormonal fluctuations during the menstrual cycle may influence immune responses and systemic inflammation, leading to variations in white blood cell (WBC) activity. This study aimed to evaluate the total and differential white blood cell counts among female students with dysmenorrhea at Madonna University,</w:t>
      </w:r>
      <w:r w:rsidR="00935B9D">
        <w:rPr>
          <w:sz w:val="20"/>
          <w:szCs w:val="20"/>
        </w:rPr>
        <w:t xml:space="preserve"> Nigeria</w:t>
      </w:r>
      <w:r w:rsidR="007E5971">
        <w:rPr>
          <w:sz w:val="20"/>
          <w:szCs w:val="20"/>
        </w:rPr>
        <w:t xml:space="preserve"> </w:t>
      </w:r>
      <w:proofErr w:type="spellStart"/>
      <w:r w:rsidR="007E5971">
        <w:rPr>
          <w:sz w:val="20"/>
          <w:szCs w:val="20"/>
        </w:rPr>
        <w:t>Elele</w:t>
      </w:r>
      <w:proofErr w:type="spellEnd"/>
      <w:r w:rsidR="007E5971">
        <w:rPr>
          <w:sz w:val="20"/>
          <w:szCs w:val="20"/>
        </w:rPr>
        <w:t xml:space="preserve">. Ethical approval was obtained from the management of Madonna University Teaching Hospital, </w:t>
      </w:r>
      <w:proofErr w:type="spellStart"/>
      <w:r w:rsidR="007E5971">
        <w:rPr>
          <w:sz w:val="20"/>
          <w:szCs w:val="20"/>
        </w:rPr>
        <w:t>Elele</w:t>
      </w:r>
      <w:proofErr w:type="spellEnd"/>
      <w:r w:rsidR="007E5971">
        <w:rPr>
          <w:sz w:val="20"/>
          <w:szCs w:val="20"/>
        </w:rPr>
        <w:t xml:space="preserve">, Rivers State. </w:t>
      </w:r>
      <w:r w:rsidR="00524F2B">
        <w:rPr>
          <w:sz w:val="20"/>
          <w:szCs w:val="20"/>
        </w:rPr>
        <w:t xml:space="preserve">This was a cross sectional study involving </w:t>
      </w:r>
      <w:proofErr w:type="gramStart"/>
      <w:r w:rsidR="00524F2B">
        <w:rPr>
          <w:sz w:val="20"/>
          <w:szCs w:val="20"/>
        </w:rPr>
        <w:t xml:space="preserve">a </w:t>
      </w:r>
      <w:r w:rsidR="007E5971">
        <w:rPr>
          <w:sz w:val="20"/>
          <w:szCs w:val="20"/>
        </w:rPr>
        <w:t xml:space="preserve"> total</w:t>
      </w:r>
      <w:proofErr w:type="gramEnd"/>
      <w:r w:rsidR="007E5971">
        <w:rPr>
          <w:sz w:val="20"/>
          <w:szCs w:val="20"/>
        </w:rPr>
        <w:t xml:space="preserve"> of 52 partici</w:t>
      </w:r>
      <w:r w:rsidR="00524F2B">
        <w:rPr>
          <w:sz w:val="20"/>
          <w:szCs w:val="20"/>
        </w:rPr>
        <w:t xml:space="preserve">pants made up of </w:t>
      </w:r>
      <w:r w:rsidR="007E5971">
        <w:rPr>
          <w:sz w:val="20"/>
          <w:szCs w:val="20"/>
        </w:rPr>
        <w:t>27 females with clinically confirmed dysme</w:t>
      </w:r>
      <w:r w:rsidR="00935B9D">
        <w:rPr>
          <w:sz w:val="20"/>
          <w:szCs w:val="20"/>
        </w:rPr>
        <w:t>norrhea and 25 apparently healthy female</w:t>
      </w:r>
      <w:r w:rsidR="007E5971">
        <w:rPr>
          <w:sz w:val="20"/>
          <w:szCs w:val="20"/>
        </w:rPr>
        <w:t xml:space="preserve"> controls. Five milliliters of venous blood were collected from each participant and processed for </w:t>
      </w:r>
      <w:proofErr w:type="spellStart"/>
      <w:r w:rsidR="007E5971">
        <w:rPr>
          <w:sz w:val="20"/>
          <w:szCs w:val="20"/>
        </w:rPr>
        <w:t>haematological</w:t>
      </w:r>
      <w:proofErr w:type="spellEnd"/>
      <w:r w:rsidR="007E5971">
        <w:rPr>
          <w:sz w:val="20"/>
          <w:szCs w:val="20"/>
        </w:rPr>
        <w:t xml:space="preserve"> analysis. Total WBC count was estimated manually using a </w:t>
      </w:r>
      <w:proofErr w:type="spellStart"/>
      <w:r w:rsidR="007E5971">
        <w:rPr>
          <w:sz w:val="20"/>
          <w:szCs w:val="20"/>
        </w:rPr>
        <w:t>haemocytometer</w:t>
      </w:r>
      <w:proofErr w:type="spellEnd"/>
      <w:r w:rsidR="007E5971">
        <w:rPr>
          <w:sz w:val="20"/>
          <w:szCs w:val="20"/>
        </w:rPr>
        <w:t>, while differential leukocyte counts were performed from Leishman-stained blood smears. Data analysis was conducted using S</w:t>
      </w:r>
      <w:r w:rsidR="00524F2B">
        <w:rPr>
          <w:sz w:val="20"/>
          <w:szCs w:val="20"/>
        </w:rPr>
        <w:t>tatistical package for social sciences (S</w:t>
      </w:r>
      <w:r w:rsidR="007E5971">
        <w:rPr>
          <w:sz w:val="20"/>
          <w:szCs w:val="20"/>
        </w:rPr>
        <w:t>PSS</w:t>
      </w:r>
      <w:r w:rsidR="00524F2B">
        <w:rPr>
          <w:sz w:val="20"/>
          <w:szCs w:val="20"/>
        </w:rPr>
        <w:t>)</w:t>
      </w:r>
      <w:r w:rsidR="007E5971">
        <w:rPr>
          <w:sz w:val="20"/>
          <w:szCs w:val="20"/>
        </w:rPr>
        <w:t xml:space="preserve"> version 25, with significance set at p &lt; 0.05. The mean tota</w:t>
      </w:r>
      <w:r w:rsidR="00524F2B">
        <w:rPr>
          <w:sz w:val="20"/>
          <w:szCs w:val="20"/>
        </w:rPr>
        <w:t>l WBC count in the test</w:t>
      </w:r>
      <w:r w:rsidR="007E5971">
        <w:rPr>
          <w:sz w:val="20"/>
          <w:szCs w:val="20"/>
        </w:rPr>
        <w:t xml:space="preserve"> group was 10.71 ± 0.11 × 10⁹/L compared to 6.50 ± 0.09 × 10⁹/L in the control group. Neutrophil levels were significantly higher in the test group (72.11 ± 0.75%) compared to controls (59.60 ± 0.48%), while lymphocyte and eosinophil counts were signi</w:t>
      </w:r>
      <w:r w:rsidR="00524F2B">
        <w:rPr>
          <w:sz w:val="20"/>
          <w:szCs w:val="20"/>
        </w:rPr>
        <w:t>ficantly reduced in test</w:t>
      </w:r>
      <w:r w:rsidR="007E5971">
        <w:rPr>
          <w:sz w:val="20"/>
          <w:szCs w:val="20"/>
        </w:rPr>
        <w:t xml:space="preserve"> subjects. Monocyte counts showed no significant difference, and basophils were normal in b</w:t>
      </w:r>
      <w:r w:rsidR="00524F2B">
        <w:rPr>
          <w:sz w:val="20"/>
          <w:szCs w:val="20"/>
        </w:rPr>
        <w:t>oth groups. These findings show</w:t>
      </w:r>
      <w:r w:rsidR="007E5971">
        <w:rPr>
          <w:sz w:val="20"/>
          <w:szCs w:val="20"/>
        </w:rPr>
        <w:t xml:space="preserve"> a dysmenorrhea-associated inflammatory response characterized by leukocytosis and neutrophilia.</w:t>
      </w:r>
    </w:p>
    <w:p w:rsidR="007E5971" w:rsidRDefault="00524F2B" w:rsidP="00017F12">
      <w:pPr>
        <w:spacing w:line="240" w:lineRule="auto"/>
        <w:rPr>
          <w:rFonts w:eastAsia="Times New Roman" w:cs="Times New Roman"/>
          <w:szCs w:val="24"/>
          <w:lang w:val="en-GB" w:eastAsia="en-GB"/>
        </w:rPr>
      </w:pPr>
      <w:r>
        <w:rPr>
          <w:rFonts w:eastAsia="Times New Roman" w:cs="Times New Roman"/>
          <w:szCs w:val="24"/>
          <w:lang w:val="en-GB" w:eastAsia="en-GB"/>
        </w:rPr>
        <w:t xml:space="preserve">KEYWORDS: Dysmenorrhea, </w:t>
      </w:r>
      <w:proofErr w:type="spellStart"/>
      <w:r w:rsidR="007B7FA9" w:rsidRPr="007B7FA9">
        <w:rPr>
          <w:rFonts w:eastAsia="Times New Roman" w:cs="Times New Roman"/>
          <w:szCs w:val="24"/>
          <w:lang w:val="en-GB" w:eastAsia="en-GB"/>
        </w:rPr>
        <w:t>gynecological</w:t>
      </w:r>
      <w:proofErr w:type="spellEnd"/>
      <w:r w:rsidR="007B7FA9" w:rsidRPr="007B7FA9">
        <w:rPr>
          <w:rFonts w:eastAsia="Times New Roman" w:cs="Times New Roman"/>
          <w:szCs w:val="24"/>
          <w:lang w:val="en-GB" w:eastAsia="en-GB"/>
        </w:rPr>
        <w:t xml:space="preserve"> </w:t>
      </w:r>
      <w:r w:rsidR="00017F12">
        <w:rPr>
          <w:rFonts w:eastAsia="Times New Roman" w:cs="Times New Roman"/>
          <w:szCs w:val="24"/>
          <w:lang w:val="en-GB" w:eastAsia="en-GB"/>
        </w:rPr>
        <w:t xml:space="preserve">conditions, </w:t>
      </w:r>
      <w:r w:rsidR="00865055">
        <w:rPr>
          <w:rFonts w:eastAsia="Times New Roman" w:cs="Times New Roman"/>
          <w:szCs w:val="24"/>
          <w:lang w:val="en-GB" w:eastAsia="en-GB"/>
        </w:rPr>
        <w:t>systemic inflammation, total white cell count, differential white cells</w:t>
      </w:r>
    </w:p>
    <w:p w:rsidR="007E5971" w:rsidRDefault="007E5971" w:rsidP="00524F2B">
      <w:pPr>
        <w:spacing w:line="240" w:lineRule="auto"/>
        <w:rPr>
          <w:b/>
          <w:bCs/>
          <w:lang w:val="en-GB"/>
        </w:rPr>
      </w:pPr>
    </w:p>
    <w:p w:rsidR="007E5971" w:rsidRDefault="007E5971" w:rsidP="007E5971">
      <w:pPr>
        <w:spacing w:line="240" w:lineRule="auto"/>
        <w:jc w:val="center"/>
        <w:rPr>
          <w:rFonts w:cs="Times New Roman"/>
          <w:b/>
          <w:bCs/>
          <w:szCs w:val="24"/>
        </w:rPr>
      </w:pPr>
    </w:p>
    <w:p w:rsidR="007E5971" w:rsidRPr="005C3C78" w:rsidRDefault="007E5971" w:rsidP="005C3C78">
      <w:pPr>
        <w:spacing w:line="240" w:lineRule="auto"/>
        <w:jc w:val="center"/>
        <w:rPr>
          <w:rFonts w:cs="Times New Roman"/>
          <w:b/>
          <w:bCs/>
          <w:szCs w:val="24"/>
        </w:rPr>
      </w:pPr>
      <w:r>
        <w:rPr>
          <w:rFonts w:cs="Times New Roman"/>
          <w:b/>
          <w:bCs/>
          <w:szCs w:val="24"/>
        </w:rPr>
        <w:t>INTRODUCTION</w:t>
      </w:r>
    </w:p>
    <w:p w:rsidR="007E5971" w:rsidRDefault="007E5971" w:rsidP="007E5971">
      <w:pPr>
        <w:spacing w:line="480" w:lineRule="auto"/>
        <w:jc w:val="both"/>
      </w:pPr>
      <w:r>
        <w:t xml:space="preserve">Dysmenorrhea, commonly referred to as painful menstruation, is one of the most prevalent </w:t>
      </w:r>
      <w:r w:rsidR="007B7FA9">
        <w:t>gynecological</w:t>
      </w:r>
      <w:r>
        <w:t xml:space="preserve"> conditions affecting women of reproductive age </w:t>
      </w:r>
      <w:r>
        <w:rPr>
          <w:color w:val="000000"/>
        </w:rPr>
        <w:t>(</w:t>
      </w:r>
      <w:proofErr w:type="spellStart"/>
      <w:r>
        <w:rPr>
          <w:color w:val="000000"/>
        </w:rPr>
        <w:t>Talebpour</w:t>
      </w:r>
      <w:proofErr w:type="spellEnd"/>
      <w:r w:rsidR="00B25037">
        <w:rPr>
          <w:color w:val="000000"/>
        </w:rPr>
        <w:t xml:space="preserve"> </w:t>
      </w:r>
      <w:r>
        <w:rPr>
          <w:i/>
          <w:iCs/>
          <w:color w:val="000000"/>
        </w:rPr>
        <w:t>et al.,</w:t>
      </w:r>
      <w:r>
        <w:rPr>
          <w:color w:val="000000"/>
        </w:rPr>
        <w:t xml:space="preserve"> 2023)</w:t>
      </w:r>
      <w:r>
        <w:t xml:space="preserve">. It is characterized by lower abdominal pain that occurs just before or during menstruation and is often accompanied by systemic symptoms such as nausea, vomiting, fatigue, headaches, and </w:t>
      </w:r>
      <w:proofErr w:type="spellStart"/>
      <w:r>
        <w:t>diarrhoea</w:t>
      </w:r>
      <w:proofErr w:type="spellEnd"/>
      <w:r>
        <w:t xml:space="preserve">. Dysmenorrhea can be classified into primary dysmenorrhea, which occurs in the absence of any identifiable pelvic pathology, and secondary dysmenorrhea, which is associated with underlying </w:t>
      </w:r>
      <w:r w:rsidR="007B7FA9">
        <w:t>gynecological</w:t>
      </w:r>
      <w:r>
        <w:t xml:space="preserve"> disorders such as endometriosis, fibroids, pelvic inflammatory disease, or adenomyosis. Primary dysmenorrhea is more common in adolescents and young women, whereas secondary dysmenorrhea is frequently diagnosed in older women with reproductive system abnormalities </w:t>
      </w:r>
      <w:r>
        <w:rPr>
          <w:color w:val="000000"/>
        </w:rPr>
        <w:t>(</w:t>
      </w:r>
      <w:proofErr w:type="spellStart"/>
      <w:r>
        <w:rPr>
          <w:color w:val="000000"/>
        </w:rPr>
        <w:t>Seales</w:t>
      </w:r>
      <w:proofErr w:type="spellEnd"/>
      <w:r>
        <w:rPr>
          <w:color w:val="000000"/>
        </w:rPr>
        <w:t xml:space="preserve"> </w:t>
      </w:r>
      <w:r>
        <w:rPr>
          <w:i/>
          <w:iCs/>
          <w:color w:val="000000"/>
        </w:rPr>
        <w:t>et al.,</w:t>
      </w:r>
      <w:r>
        <w:rPr>
          <w:color w:val="000000"/>
        </w:rPr>
        <w:t xml:space="preserve"> 2021)</w:t>
      </w:r>
      <w:r>
        <w:t>.</w:t>
      </w:r>
    </w:p>
    <w:p w:rsidR="007E5971" w:rsidRDefault="007E5971" w:rsidP="007E5971">
      <w:pPr>
        <w:spacing w:line="480" w:lineRule="auto"/>
        <w:jc w:val="both"/>
      </w:pPr>
      <w:r>
        <w:lastRenderedPageBreak/>
        <w:t xml:space="preserve">The pathophysiology of dysmenorrhea is primarily linked to excessive production of prostaglandins, particularly prostaglandin F2-alpha (PGF2α) and prostaglandin E2 (PGE2), which stimulate intense uterine contractions, leading to reduced uterine blood flow (ischemia), </w:t>
      </w:r>
      <w:r w:rsidR="00B25037">
        <w:t xml:space="preserve">increased intrauterine pressure </w:t>
      </w:r>
      <w:r>
        <w:t xml:space="preserve">and heightened pain perception </w:t>
      </w:r>
      <w:r>
        <w:rPr>
          <w:color w:val="000000"/>
        </w:rPr>
        <w:t xml:space="preserve">(Cortes </w:t>
      </w:r>
      <w:r>
        <w:rPr>
          <w:i/>
          <w:iCs/>
          <w:color w:val="000000"/>
        </w:rPr>
        <w:t>et al.,</w:t>
      </w:r>
      <w:r>
        <w:rPr>
          <w:color w:val="000000"/>
        </w:rPr>
        <w:t xml:space="preserve"> 2023)</w:t>
      </w:r>
      <w:r>
        <w:t xml:space="preserve"> These biochemical mediators not only contribute to uterine hypercontractility but also trigger systemic inflammatory responses, leading to increased levels of inflammatory cytokines such as interleukin-6 (IL</w:t>
      </w:r>
      <w:r w:rsidR="00B25037">
        <w:t>-6), interleukin-1 beta (IL-1β)</w:t>
      </w:r>
      <w:r>
        <w:t xml:space="preserve"> and tumo</w:t>
      </w:r>
      <w:r w:rsidR="00B25037">
        <w:t>r necrosis factor-alpha (TNF-α)</w:t>
      </w:r>
      <w:r>
        <w:t xml:space="preserve"> The immune response to dysmenorrhea involves dynamic changes in white blood cell (WBC) count and differential leukocyte distribution, making </w:t>
      </w:r>
      <w:proofErr w:type="spellStart"/>
      <w:r>
        <w:t>haematological</w:t>
      </w:r>
      <w:proofErr w:type="spellEnd"/>
      <w:r>
        <w:t xml:space="preserve"> parameters critical indicators of the inflammatory burden associated with menstrual pain </w:t>
      </w:r>
      <w:r>
        <w:rPr>
          <w:rFonts w:eastAsia="Times New Roman"/>
          <w:color w:val="000000"/>
        </w:rPr>
        <w:t>(</w:t>
      </w:r>
      <w:proofErr w:type="spellStart"/>
      <w:r>
        <w:rPr>
          <w:rFonts w:eastAsia="Times New Roman"/>
          <w:color w:val="000000"/>
        </w:rPr>
        <w:t>Yildiz</w:t>
      </w:r>
      <w:proofErr w:type="spellEnd"/>
      <w:r w:rsidR="00B25037">
        <w:rPr>
          <w:rFonts w:eastAsia="Times New Roman"/>
          <w:color w:val="000000"/>
        </w:rPr>
        <w:t xml:space="preserve"> </w:t>
      </w:r>
      <w:r>
        <w:rPr>
          <w:rFonts w:eastAsia="Times New Roman"/>
          <w:color w:val="000000"/>
        </w:rPr>
        <w:t>&amp;</w:t>
      </w:r>
      <w:r w:rsidR="00B25037">
        <w:rPr>
          <w:rFonts w:eastAsia="Times New Roman"/>
          <w:color w:val="000000"/>
        </w:rPr>
        <w:t xml:space="preserve"> </w:t>
      </w:r>
      <w:proofErr w:type="spellStart"/>
      <w:r>
        <w:rPr>
          <w:rFonts w:eastAsia="Times New Roman"/>
          <w:color w:val="000000"/>
        </w:rPr>
        <w:t>Acaroǧlu</w:t>
      </w:r>
      <w:proofErr w:type="spellEnd"/>
      <w:r>
        <w:rPr>
          <w:rFonts w:eastAsia="Times New Roman"/>
          <w:color w:val="000000"/>
        </w:rPr>
        <w:t>, 2022)</w:t>
      </w:r>
      <w:r>
        <w:t>.</w:t>
      </w:r>
    </w:p>
    <w:p w:rsidR="007E5971" w:rsidRPr="005C3C78" w:rsidRDefault="007E5971" w:rsidP="007E5971">
      <w:pPr>
        <w:spacing w:line="480" w:lineRule="auto"/>
        <w:jc w:val="both"/>
      </w:pPr>
      <w:r>
        <w:t>Studies have</w:t>
      </w:r>
      <w:r w:rsidR="00B25037">
        <w:t xml:space="preserve"> demonstrated that women suffer dysmenorrheal </w:t>
      </w:r>
      <w:r>
        <w:t xml:space="preserve">exhibit significant fluctuations in total WBC count and differential leukocyte subpopulations throughout the menstrual cycle </w:t>
      </w:r>
      <w:r>
        <w:rPr>
          <w:color w:val="000000"/>
        </w:rPr>
        <w:t>(</w:t>
      </w:r>
      <w:proofErr w:type="spellStart"/>
      <w:r>
        <w:rPr>
          <w:color w:val="000000"/>
        </w:rPr>
        <w:t>Molla</w:t>
      </w:r>
      <w:proofErr w:type="spellEnd"/>
      <w:r>
        <w:rPr>
          <w:color w:val="000000"/>
        </w:rPr>
        <w:t xml:space="preserve"> </w:t>
      </w:r>
      <w:r>
        <w:rPr>
          <w:i/>
          <w:iCs/>
          <w:color w:val="000000"/>
        </w:rPr>
        <w:t>et al.,</w:t>
      </w:r>
      <w:r>
        <w:rPr>
          <w:color w:val="000000"/>
        </w:rPr>
        <w:t xml:space="preserve"> 2022)</w:t>
      </w:r>
      <w:r>
        <w:t xml:space="preserve">. Neutrophils, monocytes, and eosinophils tend to increase during the luteal and menstrual phases due to inflammatory activation, while lymphocyte levels fluctuate in response to hormonal modulation. Stress-related immune responses and the severity of pain further influence these </w:t>
      </w:r>
      <w:proofErr w:type="spellStart"/>
      <w:r>
        <w:t>haematological</w:t>
      </w:r>
      <w:proofErr w:type="spellEnd"/>
      <w:r>
        <w:t xml:space="preserve"> changes, underscoring the relationship between the endocrine and immune systems in dysmenorrhea </w:t>
      </w:r>
      <w:r>
        <w:rPr>
          <w:color w:val="000000"/>
        </w:rPr>
        <w:t xml:space="preserve">(Rogers </w:t>
      </w:r>
      <w:r>
        <w:rPr>
          <w:i/>
          <w:iCs/>
          <w:color w:val="000000"/>
        </w:rPr>
        <w:t>et al.,</w:t>
      </w:r>
      <w:r>
        <w:rPr>
          <w:color w:val="000000"/>
        </w:rPr>
        <w:t xml:space="preserve"> 2023)</w:t>
      </w:r>
      <w:r>
        <w:t xml:space="preserve">. </w:t>
      </w:r>
    </w:p>
    <w:p w:rsidR="007E5971" w:rsidRDefault="007E5971" w:rsidP="007E5971">
      <w:pPr>
        <w:spacing w:line="480" w:lineRule="auto"/>
        <w:jc w:val="both"/>
      </w:pPr>
      <w:r>
        <w:t>Dysmenorrhea is a significant public health concern due to its high prevalence and debilitating impact on women's</w:t>
      </w:r>
      <w:r w:rsidR="00B25037">
        <w:t xml:space="preserve"> daily activities, productivity</w:t>
      </w:r>
      <w:r>
        <w:t xml:space="preserve"> and mental well-being. Despite its widespread occurrence, dysmenorrhea is often underdiagnosed and undertreated, leading many women to suffer in silence without adequate medical intervention. While the role of prostaglandins and hormonal fluctuations in dysmenorrhea is well-established, its impact on immune function and </w:t>
      </w:r>
      <w:proofErr w:type="spellStart"/>
      <w:r>
        <w:t>haematological</w:t>
      </w:r>
      <w:proofErr w:type="spellEnd"/>
      <w:r>
        <w:t xml:space="preserve"> parameters remains inadequately explored.</w:t>
      </w:r>
    </w:p>
    <w:p w:rsidR="00865055" w:rsidRDefault="007E5971" w:rsidP="00865055">
      <w:pPr>
        <w:spacing w:line="480" w:lineRule="auto"/>
        <w:jc w:val="both"/>
        <w:rPr>
          <w:rFonts w:cs="Times New Roman"/>
          <w:szCs w:val="24"/>
        </w:rPr>
      </w:pPr>
      <w:r>
        <w:lastRenderedPageBreak/>
        <w:t>Several studies have reported elevated inflammatory markers and leukocytosis in women experiencing dysmenorrhea, suggesting a potential link between menstrual pain and systemic immune activation. However, inconsistencies in research findings, va</w:t>
      </w:r>
      <w:r w:rsidR="00B25037">
        <w:t>riations in study methodologies</w:t>
      </w:r>
      <w:r>
        <w:t xml:space="preserve"> and a lack of large-scale investigations have limited the clinical application of </w:t>
      </w:r>
      <w:proofErr w:type="spellStart"/>
      <w:r>
        <w:t>haematological</w:t>
      </w:r>
      <w:proofErr w:type="spellEnd"/>
      <w:r>
        <w:t xml:space="preserve"> assessments in dysmenorrhea management making it difficult to establish a reliable </w:t>
      </w:r>
      <w:proofErr w:type="spellStart"/>
      <w:r>
        <w:t>haematol</w:t>
      </w:r>
      <w:r w:rsidR="00B25037">
        <w:t>ogical</w:t>
      </w:r>
      <w:proofErr w:type="spellEnd"/>
      <w:r w:rsidR="00B25037">
        <w:t xml:space="preserve"> profile for</w:t>
      </w:r>
      <w:r>
        <w:t xml:space="preserve"> women</w:t>
      </w:r>
      <w:r w:rsidR="00B25037">
        <w:t xml:space="preserve"> with </w:t>
      </w:r>
      <w:proofErr w:type="spellStart"/>
      <w:proofErr w:type="gramStart"/>
      <w:r w:rsidR="00B25037">
        <w:t>dysmenorrhea</w:t>
      </w:r>
      <w:r>
        <w:t>.</w:t>
      </w:r>
      <w:r w:rsidR="00865055">
        <w:rPr>
          <w:rFonts w:cs="Times New Roman"/>
          <w:szCs w:val="24"/>
        </w:rPr>
        <w:t>One</w:t>
      </w:r>
      <w:proofErr w:type="spellEnd"/>
      <w:proofErr w:type="gramEnd"/>
      <w:r w:rsidR="00865055">
        <w:rPr>
          <w:rFonts w:cs="Times New Roman"/>
          <w:szCs w:val="24"/>
        </w:rPr>
        <w:t xml:space="preserve"> of the primary </w:t>
      </w:r>
      <w:proofErr w:type="spellStart"/>
      <w:r w:rsidR="00865055">
        <w:rPr>
          <w:rFonts w:cs="Times New Roman"/>
          <w:szCs w:val="24"/>
        </w:rPr>
        <w:t>haematological</w:t>
      </w:r>
      <w:proofErr w:type="spellEnd"/>
      <w:r w:rsidR="00865055">
        <w:rPr>
          <w:rFonts w:cs="Times New Roman"/>
          <w:szCs w:val="24"/>
        </w:rPr>
        <w:t xml:space="preserve"> alterations observ</w:t>
      </w:r>
      <w:r w:rsidR="00B25037">
        <w:rPr>
          <w:rFonts w:cs="Times New Roman"/>
          <w:szCs w:val="24"/>
        </w:rPr>
        <w:t xml:space="preserve">ed </w:t>
      </w:r>
      <w:r w:rsidR="00865055">
        <w:rPr>
          <w:rFonts w:cs="Times New Roman"/>
          <w:szCs w:val="24"/>
        </w:rPr>
        <w:t xml:space="preserve">is an increase in white blood cell (WBC) count, particularly the differential white cell count </w:t>
      </w:r>
      <w:r w:rsidR="00865055">
        <w:rPr>
          <w:rFonts w:cs="Times New Roman"/>
          <w:color w:val="000000"/>
          <w:szCs w:val="24"/>
        </w:rPr>
        <w:t xml:space="preserve">(Bi </w:t>
      </w:r>
      <w:r w:rsidR="00865055">
        <w:rPr>
          <w:rFonts w:cs="Times New Roman"/>
          <w:i/>
          <w:iCs/>
          <w:color w:val="000000"/>
          <w:szCs w:val="24"/>
        </w:rPr>
        <w:t>et al.,</w:t>
      </w:r>
      <w:r w:rsidR="00865055">
        <w:rPr>
          <w:rFonts w:cs="Times New Roman"/>
          <w:color w:val="000000"/>
          <w:szCs w:val="24"/>
        </w:rPr>
        <w:t xml:space="preserve"> 2024)</w:t>
      </w:r>
      <w:r w:rsidR="00865055">
        <w:rPr>
          <w:rFonts w:cs="Times New Roman"/>
          <w:szCs w:val="24"/>
        </w:rPr>
        <w:t xml:space="preserve">. The inflammatory response induced by menstrual pain leads to immune activation, resulting in the mobilization of leukocytes to the endometrial tissue and systemic circulation </w:t>
      </w:r>
      <w:r w:rsidR="00865055">
        <w:rPr>
          <w:rFonts w:cs="Times New Roman"/>
          <w:color w:val="000000"/>
          <w:szCs w:val="24"/>
        </w:rPr>
        <w:t xml:space="preserve">(Constantinescu </w:t>
      </w:r>
      <w:r w:rsidR="00865055">
        <w:rPr>
          <w:rFonts w:cs="Times New Roman"/>
          <w:i/>
          <w:iCs/>
          <w:color w:val="000000"/>
          <w:szCs w:val="24"/>
        </w:rPr>
        <w:t>et al.,</w:t>
      </w:r>
      <w:r w:rsidR="00865055">
        <w:rPr>
          <w:rFonts w:cs="Times New Roman"/>
          <w:color w:val="000000"/>
          <w:szCs w:val="24"/>
        </w:rPr>
        <w:t xml:space="preserve"> 2024)</w:t>
      </w:r>
      <w:r w:rsidR="00865055">
        <w:rPr>
          <w:rFonts w:cs="Times New Roman"/>
          <w:szCs w:val="24"/>
        </w:rPr>
        <w:t xml:space="preserve">. Studies have shown that individuals with dysmenorrhea often exhibit elevated levels of total WBCs, mainly driven by increased neutrophil and monocyte counts. Neutrophils play a crucial role in the inflammatory process by releasing reactive oxygen species (ROS) and proteolytic enzymes, which contribute to tissue damage and pain perception </w:t>
      </w:r>
      <w:r w:rsidR="00865055">
        <w:rPr>
          <w:rFonts w:cs="Times New Roman"/>
          <w:color w:val="000000"/>
          <w:szCs w:val="24"/>
        </w:rPr>
        <w:t>(Picard, 2021)</w:t>
      </w:r>
      <w:r w:rsidR="00865055">
        <w:rPr>
          <w:rFonts w:cs="Times New Roman"/>
          <w:szCs w:val="24"/>
        </w:rPr>
        <w:t xml:space="preserve">. Monocytes, on the other hand, are involved in cytokine production and the regulation of prostaglandin synthesis, further amplifying the inflammatory cascade. The increased leukocyte count in dysmenorrhea reflects a systemic inflammatory response, similar to that observed in other inflammatory conditions </w:t>
      </w:r>
      <w:r w:rsidR="00865055">
        <w:rPr>
          <w:rFonts w:cs="Times New Roman"/>
          <w:color w:val="000000"/>
          <w:szCs w:val="24"/>
        </w:rPr>
        <w:t xml:space="preserve">(Meier </w:t>
      </w:r>
      <w:r w:rsidR="00865055">
        <w:rPr>
          <w:rFonts w:cs="Times New Roman"/>
          <w:i/>
          <w:iCs/>
          <w:color w:val="000000"/>
          <w:szCs w:val="24"/>
        </w:rPr>
        <w:t>et al.,</w:t>
      </w:r>
      <w:r w:rsidR="00865055">
        <w:rPr>
          <w:rFonts w:cs="Times New Roman"/>
          <w:color w:val="000000"/>
          <w:szCs w:val="24"/>
        </w:rPr>
        <w:t xml:space="preserve"> 2021)</w:t>
      </w:r>
      <w:r w:rsidR="00865055">
        <w:rPr>
          <w:rFonts w:cs="Times New Roman"/>
          <w:szCs w:val="24"/>
        </w:rPr>
        <w:t>.</w:t>
      </w:r>
    </w:p>
    <w:p w:rsidR="00865055" w:rsidRDefault="00865055" w:rsidP="00865055">
      <w:pPr>
        <w:spacing w:line="480" w:lineRule="auto"/>
        <w:jc w:val="both"/>
        <w:rPr>
          <w:rFonts w:cs="Times New Roman"/>
          <w:szCs w:val="24"/>
        </w:rPr>
      </w:pPr>
      <w:r>
        <w:rPr>
          <w:rFonts w:cs="Times New Roman"/>
          <w:szCs w:val="24"/>
        </w:rPr>
        <w:t xml:space="preserve">In addition to neutrophilia and </w:t>
      </w:r>
      <w:proofErr w:type="spellStart"/>
      <w:r>
        <w:rPr>
          <w:rFonts w:cs="Times New Roman"/>
          <w:szCs w:val="24"/>
        </w:rPr>
        <w:t>monocytosis</w:t>
      </w:r>
      <w:proofErr w:type="spellEnd"/>
      <w:r>
        <w:rPr>
          <w:rFonts w:cs="Times New Roman"/>
          <w:szCs w:val="24"/>
        </w:rPr>
        <w:t>, lymphocyte counts may also be altered in individuals e</w:t>
      </w:r>
      <w:r w:rsidR="00B25037">
        <w:rPr>
          <w:rFonts w:cs="Times New Roman"/>
          <w:szCs w:val="24"/>
        </w:rPr>
        <w:t>xperiencing severe dysmenorrhea</w:t>
      </w:r>
      <w:r>
        <w:rPr>
          <w:rFonts w:cs="Times New Roman"/>
          <w:szCs w:val="24"/>
        </w:rPr>
        <w:t xml:space="preserve">. Some studies suggest that while total lymphocyte levels remain within normal ranges, there may be shifts in the proportions of T-helper (CD4+) and T-cytotoxic (CD8+) cells </w:t>
      </w:r>
      <w:r w:rsidR="002910E6">
        <w:rPr>
          <w:rFonts w:cs="Times New Roman"/>
          <w:color w:val="000000"/>
          <w:szCs w:val="24"/>
        </w:rPr>
        <w:t>(</w:t>
      </w:r>
      <w:r>
        <w:rPr>
          <w:rFonts w:cs="Times New Roman"/>
          <w:color w:val="000000"/>
          <w:szCs w:val="24"/>
        </w:rPr>
        <w:t xml:space="preserve">Dai </w:t>
      </w:r>
      <w:r>
        <w:rPr>
          <w:rFonts w:cs="Times New Roman"/>
          <w:i/>
          <w:iCs/>
          <w:color w:val="000000"/>
          <w:szCs w:val="24"/>
        </w:rPr>
        <w:t>et al.,</w:t>
      </w:r>
      <w:r>
        <w:rPr>
          <w:rFonts w:cs="Times New Roman"/>
          <w:color w:val="000000"/>
          <w:szCs w:val="24"/>
        </w:rPr>
        <w:t xml:space="preserve"> 2024)</w:t>
      </w:r>
      <w:r>
        <w:rPr>
          <w:rFonts w:cs="Times New Roman"/>
          <w:szCs w:val="24"/>
        </w:rPr>
        <w:t xml:space="preserve">. The balance between these T-cell subsets plays a critical role in immune regulation, and any disruption may contribute to the heightened inflammatory response in dysmenorrhea. Furthermore, the activation of natural killer (NK) cells, which are involved in immune surveillance and the regulation of </w:t>
      </w:r>
      <w:r w:rsidR="002910E6">
        <w:rPr>
          <w:rFonts w:cs="Times New Roman"/>
          <w:szCs w:val="24"/>
        </w:rPr>
        <w:lastRenderedPageBreak/>
        <w:t>inflammation</w:t>
      </w:r>
      <w:r>
        <w:rPr>
          <w:rFonts w:cs="Times New Roman"/>
          <w:szCs w:val="24"/>
        </w:rPr>
        <w:t xml:space="preserve"> has been observed in some cases, suggesting a potential link between menstrual pain and altered immune defense mechanisms </w:t>
      </w:r>
      <w:r>
        <w:rPr>
          <w:rFonts w:cs="Times New Roman"/>
          <w:color w:val="000000"/>
          <w:szCs w:val="24"/>
        </w:rPr>
        <w:t>(</w:t>
      </w:r>
      <w:proofErr w:type="spellStart"/>
      <w:r>
        <w:rPr>
          <w:rFonts w:cs="Times New Roman"/>
          <w:color w:val="000000"/>
          <w:szCs w:val="24"/>
        </w:rPr>
        <w:t>Paja</w:t>
      </w:r>
      <w:proofErr w:type="spellEnd"/>
      <w:r>
        <w:rPr>
          <w:rFonts w:cs="Times New Roman"/>
          <w:color w:val="000000"/>
          <w:szCs w:val="24"/>
        </w:rPr>
        <w:t xml:space="preserve"> </w:t>
      </w:r>
      <w:r>
        <w:rPr>
          <w:rFonts w:cs="Times New Roman"/>
          <w:i/>
          <w:iCs/>
          <w:color w:val="000000"/>
          <w:szCs w:val="24"/>
        </w:rPr>
        <w:t>et al.,</w:t>
      </w:r>
      <w:r>
        <w:rPr>
          <w:rFonts w:cs="Times New Roman"/>
          <w:color w:val="000000"/>
          <w:szCs w:val="24"/>
        </w:rPr>
        <w:t xml:space="preserve"> 2023)</w:t>
      </w:r>
      <w:r>
        <w:rPr>
          <w:rFonts w:cs="Times New Roman"/>
          <w:szCs w:val="24"/>
        </w:rPr>
        <w:t>.</w:t>
      </w:r>
    </w:p>
    <w:p w:rsidR="007E5971" w:rsidRDefault="007E5971" w:rsidP="007E5971">
      <w:pPr>
        <w:spacing w:line="480" w:lineRule="auto"/>
        <w:jc w:val="both"/>
      </w:pPr>
      <w:r>
        <w:t xml:space="preserve">Given its strong association with immune activation and inflammatory responses, exploring the </w:t>
      </w:r>
      <w:proofErr w:type="spellStart"/>
      <w:r>
        <w:t>haematological</w:t>
      </w:r>
      <w:proofErr w:type="spellEnd"/>
      <w:r>
        <w:t xml:space="preserve"> alterations in dysmenorrhea could provide valuable diagnostic and prognostic insights.</w:t>
      </w:r>
      <w:r w:rsidR="002910E6">
        <w:t xml:space="preserve"> </w:t>
      </w:r>
      <w:r>
        <w:t>A better understanding of WBC count and differential leuko</w:t>
      </w:r>
      <w:r w:rsidR="002910E6">
        <w:t>cyte variations in</w:t>
      </w:r>
      <w:r>
        <w:t xml:space="preserve"> women</w:t>
      </w:r>
      <w:r w:rsidR="002910E6">
        <w:t xml:space="preserve"> with dysmenorrhea</w:t>
      </w:r>
      <w:r>
        <w:t xml:space="preserve"> could help identify biomarkers for pain severity and immune dysregulation, potentially paving the way for personalized treatment approaches. By investigating the effects of hormonal </w:t>
      </w:r>
      <w:r w:rsidR="002910E6">
        <w:t xml:space="preserve">fluctuations, stress responses </w:t>
      </w:r>
      <w:r>
        <w:t>and inflammatory cytokines on leukocyte distribution, this study aims to fill existing knowledge gaps and contribute to a more comprehensive understanding of dysmenorrhea pathophysiology.</w:t>
      </w:r>
    </w:p>
    <w:p w:rsidR="007E5971" w:rsidRDefault="007E5971" w:rsidP="007E5971">
      <w:pPr>
        <w:spacing w:line="480" w:lineRule="auto"/>
        <w:jc w:val="both"/>
      </w:pPr>
      <w:r>
        <w:t xml:space="preserve">Additionally, the findings of this research could help improve clinical decision-making, enabling healthcare providers to utilize routine </w:t>
      </w:r>
      <w:proofErr w:type="spellStart"/>
      <w:r>
        <w:t>haematological</w:t>
      </w:r>
      <w:proofErr w:type="spellEnd"/>
      <w:r>
        <w:t xml:space="preserve"> assessments as an adjunct diagnostic tool for evaluating the infl</w:t>
      </w:r>
      <w:r w:rsidR="002910E6">
        <w:t>ammatory status of</w:t>
      </w:r>
      <w:r>
        <w:t xml:space="preserve"> individuals</w:t>
      </w:r>
      <w:r w:rsidR="002910E6">
        <w:t xml:space="preserve"> with dysmenorrhea</w:t>
      </w:r>
      <w:r>
        <w:t>. This could lead to more targeted therapeutic interventions, reducing reliance on analgesics and hormonal therapies while promoting alternative strategies that modulate immune-inflammatory responses.</w:t>
      </w:r>
    </w:p>
    <w:p w:rsidR="007E5971" w:rsidRDefault="007E5971" w:rsidP="007E5971">
      <w:pPr>
        <w:spacing w:line="480" w:lineRule="auto"/>
        <w:jc w:val="both"/>
        <w:rPr>
          <w:b/>
          <w:bCs/>
        </w:rPr>
      </w:pPr>
      <w:r>
        <w:rPr>
          <w:b/>
          <w:bCs/>
        </w:rPr>
        <w:t>Aim of the Study</w:t>
      </w:r>
    </w:p>
    <w:p w:rsidR="007E5971" w:rsidRDefault="007E5971" w:rsidP="007E5971">
      <w:pPr>
        <w:spacing w:line="480" w:lineRule="auto"/>
        <w:jc w:val="both"/>
      </w:pPr>
      <w:r>
        <w:t>This study aims to investigate the total white blood cells (WBC) and differential white cell count among ladie</w:t>
      </w:r>
      <w:r w:rsidR="00156940">
        <w:t>s with dysmenorrhea at Madonna U</w:t>
      </w:r>
      <w:r>
        <w:t>niversity Nigeria</w:t>
      </w:r>
      <w:r w:rsidR="002910E6">
        <w:t>,</w:t>
      </w:r>
      <w:r>
        <w:t> </w:t>
      </w:r>
      <w:proofErr w:type="spellStart"/>
      <w:r>
        <w:t>Elele</w:t>
      </w:r>
      <w:proofErr w:type="spellEnd"/>
    </w:p>
    <w:p w:rsidR="007E5971" w:rsidRDefault="007E5971" w:rsidP="007E5971">
      <w:pPr>
        <w:spacing w:line="480" w:lineRule="auto"/>
        <w:jc w:val="both"/>
        <w:rPr>
          <w:b/>
          <w:bCs/>
        </w:rPr>
      </w:pPr>
      <w:r>
        <w:rPr>
          <w:b/>
          <w:bCs/>
        </w:rPr>
        <w:t>Objectives of the Study</w:t>
      </w:r>
    </w:p>
    <w:p w:rsidR="007E5971" w:rsidRDefault="007E5971" w:rsidP="007E5971">
      <w:pPr>
        <w:spacing w:line="480" w:lineRule="auto"/>
        <w:jc w:val="both"/>
      </w:pPr>
      <w:r>
        <w:t>The specific objectives of this study are:</w:t>
      </w:r>
    </w:p>
    <w:p w:rsidR="007E5971" w:rsidRDefault="007E5971" w:rsidP="007E5971">
      <w:pPr>
        <w:pStyle w:val="ListParagraph"/>
        <w:numPr>
          <w:ilvl w:val="0"/>
          <w:numId w:val="2"/>
        </w:numPr>
        <w:spacing w:line="480" w:lineRule="auto"/>
        <w:jc w:val="both"/>
      </w:pPr>
      <w:r>
        <w:t>To determine the total WBC count variations in ladie</w:t>
      </w:r>
      <w:r w:rsidR="00156940">
        <w:t>s with dysmenorrhea at Madonna U</w:t>
      </w:r>
      <w:r>
        <w:t>niversity Nigeria </w:t>
      </w:r>
      <w:proofErr w:type="spellStart"/>
      <w:r>
        <w:t>Elele</w:t>
      </w:r>
      <w:proofErr w:type="spellEnd"/>
      <w:r>
        <w:t>.</w:t>
      </w:r>
    </w:p>
    <w:p w:rsidR="007E5971" w:rsidRDefault="007E5971" w:rsidP="007E5971">
      <w:pPr>
        <w:pStyle w:val="ListParagraph"/>
        <w:numPr>
          <w:ilvl w:val="0"/>
          <w:numId w:val="2"/>
        </w:numPr>
        <w:spacing w:line="480" w:lineRule="auto"/>
        <w:jc w:val="both"/>
      </w:pPr>
      <w:r>
        <w:lastRenderedPageBreak/>
        <w:t>To determine differential WBC count changes, including neutrophil, lymphocyte, monocyte, eosinophil, and basophil distribution in ladie</w:t>
      </w:r>
      <w:r w:rsidR="00156940">
        <w:t>s with dysmenorrhea at Madonna U</w:t>
      </w:r>
      <w:r>
        <w:t>niversity Nigeria </w:t>
      </w:r>
      <w:proofErr w:type="spellStart"/>
      <w:r>
        <w:t>Elele</w:t>
      </w:r>
      <w:proofErr w:type="spellEnd"/>
      <w:r>
        <w:t>.</w:t>
      </w:r>
    </w:p>
    <w:p w:rsidR="007E5971" w:rsidRDefault="007E5971" w:rsidP="007E5971">
      <w:pPr>
        <w:pStyle w:val="ListParagraph"/>
        <w:numPr>
          <w:ilvl w:val="0"/>
          <w:numId w:val="2"/>
        </w:numPr>
        <w:spacing w:line="480" w:lineRule="auto"/>
        <w:jc w:val="both"/>
      </w:pPr>
      <w:r>
        <w:t>To compare the total WBC and differential white cell count among ladies with dysmenorrhea and ladies without dysmenorrhea at Madonna university Nigeria </w:t>
      </w:r>
      <w:proofErr w:type="spellStart"/>
      <w:r>
        <w:t>Elele</w:t>
      </w:r>
      <w:proofErr w:type="spellEnd"/>
    </w:p>
    <w:p w:rsidR="007E5971" w:rsidRDefault="00A24314" w:rsidP="007E5971">
      <w:pPr>
        <w:spacing w:line="480" w:lineRule="auto"/>
        <w:jc w:val="both"/>
        <w:rPr>
          <w:b/>
          <w:bCs/>
        </w:rPr>
      </w:pPr>
      <w:r>
        <w:rPr>
          <w:b/>
          <w:bCs/>
        </w:rPr>
        <w:t>Research Question</w:t>
      </w:r>
    </w:p>
    <w:p w:rsidR="00A24314" w:rsidRDefault="007E5971" w:rsidP="00BC476A">
      <w:pPr>
        <w:spacing w:line="480" w:lineRule="auto"/>
        <w:jc w:val="both"/>
      </w:pPr>
      <w:proofErr w:type="gramStart"/>
      <w:r>
        <w:t>Are</w:t>
      </w:r>
      <w:proofErr w:type="gramEnd"/>
      <w:r>
        <w:t xml:space="preserve"> there significant difference in WBC count and differential white cell count among ladies</w:t>
      </w:r>
      <w:r w:rsidR="00A24314">
        <w:t xml:space="preserve"> with dysmenorrhea?</w:t>
      </w:r>
    </w:p>
    <w:p w:rsidR="00BC476A" w:rsidRDefault="00156940" w:rsidP="00BC476A">
      <w:pPr>
        <w:spacing w:line="480" w:lineRule="auto"/>
        <w:jc w:val="both"/>
        <w:rPr>
          <w:b/>
          <w:bCs/>
        </w:rPr>
      </w:pPr>
      <w:r>
        <w:rPr>
          <w:b/>
          <w:bCs/>
        </w:rPr>
        <w:t>Research Hypothese</w:t>
      </w:r>
      <w:r w:rsidR="00BC476A">
        <w:rPr>
          <w:b/>
          <w:bCs/>
        </w:rPr>
        <w:t>s</w:t>
      </w:r>
    </w:p>
    <w:p w:rsidR="00BC476A" w:rsidRDefault="00BC476A" w:rsidP="00BC476A">
      <w:pPr>
        <w:spacing w:line="480" w:lineRule="auto"/>
        <w:jc w:val="both"/>
      </w:pPr>
      <w:r>
        <w:t>Null Hypothesis (H₀): There is no significant difference in WBC count and differential white cell count between ladies with dysmenorrhea and ladies without dysmenorrhea.</w:t>
      </w:r>
    </w:p>
    <w:p w:rsidR="00156940" w:rsidRDefault="00BC476A" w:rsidP="00156940">
      <w:pPr>
        <w:spacing w:line="480" w:lineRule="auto"/>
        <w:jc w:val="both"/>
      </w:pPr>
      <w:r>
        <w:t xml:space="preserve">Alternate Hypothesis (H₁): There is significant difference in WBC count and differential white cell count between ladies with dysmenorrhea </w:t>
      </w:r>
      <w:r w:rsidR="00D67D62">
        <w:t>and ladies without dysmenorrhea.</w:t>
      </w:r>
    </w:p>
    <w:p w:rsidR="007E5971" w:rsidRDefault="007E5971" w:rsidP="00156940">
      <w:pPr>
        <w:spacing w:line="480" w:lineRule="auto"/>
        <w:jc w:val="both"/>
        <w:rPr>
          <w:rFonts w:eastAsia="Times New Roman" w:cs="Times New Roman"/>
          <w:color w:val="000000"/>
          <w:szCs w:val="24"/>
        </w:rPr>
      </w:pPr>
      <w:r>
        <w:rPr>
          <w:rFonts w:eastAsia="Times New Roman" w:cs="Times New Roman"/>
          <w:b/>
          <w:color w:val="000000"/>
          <w:szCs w:val="24"/>
        </w:rPr>
        <w:t>MATERIALS AND METHODS</w:t>
      </w:r>
    </w:p>
    <w:p w:rsidR="007E5971" w:rsidRDefault="007E5971" w:rsidP="007E5971">
      <w:pPr>
        <w:shd w:val="clear" w:color="auto" w:fill="FFFFFF"/>
        <w:spacing w:before="166" w:after="0" w:line="480" w:lineRule="auto"/>
        <w:jc w:val="both"/>
        <w:rPr>
          <w:rFonts w:eastAsia="Times New Roman" w:cs="Times New Roman"/>
          <w:color w:val="000000"/>
          <w:szCs w:val="24"/>
        </w:rPr>
      </w:pPr>
      <w:r>
        <w:rPr>
          <w:rFonts w:eastAsia="Times New Roman" w:cs="Times New Roman"/>
          <w:b/>
          <w:color w:val="000000"/>
          <w:szCs w:val="24"/>
        </w:rPr>
        <w:t xml:space="preserve">Study Area </w:t>
      </w:r>
    </w:p>
    <w:p w:rsidR="007E5971" w:rsidRDefault="007E5971" w:rsidP="007E5971">
      <w:pPr>
        <w:shd w:val="clear" w:color="auto" w:fill="FFFFFF"/>
        <w:spacing w:before="166" w:after="166" w:line="480" w:lineRule="auto"/>
        <w:jc w:val="both"/>
        <w:rPr>
          <w:rFonts w:eastAsia="Times New Roman" w:cs="Times New Roman"/>
          <w:color w:val="000000"/>
          <w:szCs w:val="24"/>
        </w:rPr>
      </w:pPr>
      <w:r>
        <w:rPr>
          <w:rFonts w:eastAsia="Times New Roman" w:cs="Times New Roman"/>
          <w:color w:val="000000"/>
          <w:szCs w:val="24"/>
        </w:rPr>
        <w:t xml:space="preserve">This study was carried out in Madonna University Teaching Hospital </w:t>
      </w:r>
      <w:proofErr w:type="spellStart"/>
      <w:r>
        <w:rPr>
          <w:rFonts w:eastAsia="Times New Roman" w:cs="Times New Roman"/>
          <w:color w:val="000000"/>
          <w:szCs w:val="24"/>
        </w:rPr>
        <w:t>Elele</w:t>
      </w:r>
      <w:proofErr w:type="spellEnd"/>
      <w:r>
        <w:rPr>
          <w:rFonts w:eastAsia="Times New Roman" w:cs="Times New Roman"/>
          <w:color w:val="000000"/>
          <w:szCs w:val="24"/>
        </w:rPr>
        <w:t xml:space="preserve">, River state, Nigeria. </w:t>
      </w:r>
      <w:proofErr w:type="spellStart"/>
      <w:r>
        <w:rPr>
          <w:rFonts w:eastAsia="Times New Roman" w:cs="Times New Roman"/>
          <w:color w:val="000000"/>
          <w:szCs w:val="24"/>
        </w:rPr>
        <w:t>Elele</w:t>
      </w:r>
      <w:proofErr w:type="spellEnd"/>
      <w:r>
        <w:rPr>
          <w:rFonts w:eastAsia="Times New Roman" w:cs="Times New Roman"/>
          <w:color w:val="000000"/>
          <w:szCs w:val="24"/>
        </w:rPr>
        <w:t xml:space="preserve"> town is located in the South Eastern part of Nigeria. It is located in latitude 5° 27° - 5° and </w:t>
      </w:r>
      <w:proofErr w:type="spellStart"/>
      <w:r>
        <w:rPr>
          <w:rFonts w:eastAsia="Times New Roman" w:cs="Times New Roman"/>
          <w:color w:val="000000"/>
          <w:szCs w:val="24"/>
        </w:rPr>
        <w:t>longititude</w:t>
      </w:r>
      <w:proofErr w:type="spellEnd"/>
      <w:r>
        <w:rPr>
          <w:rFonts w:eastAsia="Times New Roman" w:cs="Times New Roman"/>
          <w:color w:val="000000"/>
          <w:szCs w:val="24"/>
        </w:rPr>
        <w:t xml:space="preserve"> 6° 55 -7° 85E. The climate of the area is tropical with the mean daily temperature of 29°c for most of the year. The annual rainfall in this region is between 217 and 240cm. There are other towns and village</w:t>
      </w:r>
      <w:r w:rsidR="00D67D62">
        <w:rPr>
          <w:rFonts w:eastAsia="Times New Roman" w:cs="Times New Roman"/>
          <w:color w:val="000000"/>
          <w:szCs w:val="24"/>
        </w:rPr>
        <w:t>s</w:t>
      </w:r>
      <w:r>
        <w:rPr>
          <w:rFonts w:eastAsia="Times New Roman" w:cs="Times New Roman"/>
          <w:color w:val="000000"/>
          <w:szCs w:val="24"/>
        </w:rPr>
        <w:t xml:space="preserve"> that surround </w:t>
      </w:r>
      <w:proofErr w:type="spellStart"/>
      <w:r>
        <w:rPr>
          <w:rFonts w:eastAsia="Times New Roman" w:cs="Times New Roman"/>
          <w:color w:val="000000"/>
          <w:szCs w:val="24"/>
        </w:rPr>
        <w:t>Elele</w:t>
      </w:r>
      <w:proofErr w:type="spellEnd"/>
      <w:r>
        <w:rPr>
          <w:rFonts w:eastAsia="Times New Roman" w:cs="Times New Roman"/>
          <w:color w:val="000000"/>
          <w:szCs w:val="24"/>
        </w:rPr>
        <w:t xml:space="preserve"> town, they include </w:t>
      </w:r>
      <w:proofErr w:type="spellStart"/>
      <w:r>
        <w:rPr>
          <w:rFonts w:eastAsia="Times New Roman" w:cs="Times New Roman"/>
          <w:color w:val="000000"/>
          <w:szCs w:val="24"/>
        </w:rPr>
        <w:t>Isiokpo</w:t>
      </w:r>
      <w:proofErr w:type="spellEnd"/>
      <w:r>
        <w:rPr>
          <w:rFonts w:eastAsia="Times New Roman" w:cs="Times New Roman"/>
          <w:color w:val="000000"/>
          <w:szCs w:val="24"/>
        </w:rPr>
        <w:t xml:space="preserve"> town, </w:t>
      </w:r>
      <w:proofErr w:type="spellStart"/>
      <w:r>
        <w:rPr>
          <w:rFonts w:eastAsia="Times New Roman" w:cs="Times New Roman"/>
          <w:color w:val="000000"/>
          <w:szCs w:val="24"/>
        </w:rPr>
        <w:t>Omagwa</w:t>
      </w:r>
      <w:proofErr w:type="spellEnd"/>
      <w:r>
        <w:rPr>
          <w:rFonts w:eastAsia="Times New Roman" w:cs="Times New Roman"/>
          <w:color w:val="000000"/>
          <w:szCs w:val="24"/>
        </w:rPr>
        <w:t xml:space="preserve">, </w:t>
      </w:r>
      <w:proofErr w:type="spellStart"/>
      <w:r>
        <w:rPr>
          <w:rFonts w:eastAsia="Times New Roman" w:cs="Times New Roman"/>
          <w:color w:val="000000"/>
          <w:szCs w:val="24"/>
        </w:rPr>
        <w:t>Aho</w:t>
      </w:r>
      <w:r w:rsidR="00D67D62">
        <w:rPr>
          <w:rFonts w:eastAsia="Times New Roman" w:cs="Times New Roman"/>
          <w:color w:val="000000"/>
          <w:szCs w:val="24"/>
        </w:rPr>
        <w:t>a</w:t>
      </w:r>
      <w:r>
        <w:rPr>
          <w:rFonts w:eastAsia="Times New Roman" w:cs="Times New Roman"/>
          <w:color w:val="000000"/>
          <w:szCs w:val="24"/>
        </w:rPr>
        <w:t>da</w:t>
      </w:r>
      <w:proofErr w:type="spellEnd"/>
      <w:r>
        <w:rPr>
          <w:rFonts w:eastAsia="Times New Roman" w:cs="Times New Roman"/>
          <w:color w:val="000000"/>
          <w:szCs w:val="24"/>
        </w:rPr>
        <w:t xml:space="preserve">, </w:t>
      </w:r>
      <w:proofErr w:type="spellStart"/>
      <w:r>
        <w:rPr>
          <w:rFonts w:eastAsia="Times New Roman" w:cs="Times New Roman"/>
          <w:color w:val="000000"/>
          <w:szCs w:val="24"/>
        </w:rPr>
        <w:t>Omoku</w:t>
      </w:r>
      <w:proofErr w:type="spellEnd"/>
      <w:r>
        <w:rPr>
          <w:rFonts w:eastAsia="Times New Roman" w:cs="Times New Roman"/>
          <w:color w:val="000000"/>
          <w:szCs w:val="24"/>
        </w:rPr>
        <w:t>, Owerri town and others.</w:t>
      </w:r>
    </w:p>
    <w:p w:rsidR="007E5971" w:rsidRDefault="007E5971" w:rsidP="007E5971">
      <w:pPr>
        <w:shd w:val="clear" w:color="auto" w:fill="FFFFFF"/>
        <w:spacing w:before="166" w:after="166" w:line="480" w:lineRule="auto"/>
        <w:jc w:val="both"/>
        <w:rPr>
          <w:rFonts w:eastAsia="Times New Roman" w:cs="Times New Roman"/>
          <w:b/>
          <w:color w:val="000000"/>
          <w:szCs w:val="24"/>
        </w:rPr>
      </w:pPr>
      <w:r>
        <w:rPr>
          <w:rFonts w:eastAsia="Times New Roman" w:cs="Times New Roman"/>
          <w:b/>
          <w:color w:val="000000"/>
          <w:szCs w:val="24"/>
        </w:rPr>
        <w:t>Study Population</w:t>
      </w:r>
    </w:p>
    <w:p w:rsidR="007E5971" w:rsidRDefault="007E5971" w:rsidP="007E5971">
      <w:pPr>
        <w:shd w:val="clear" w:color="auto" w:fill="FFFFFF"/>
        <w:spacing w:before="166" w:after="166" w:line="480" w:lineRule="auto"/>
        <w:jc w:val="both"/>
        <w:rPr>
          <w:rFonts w:eastAsia="Times New Roman" w:cs="Times New Roman"/>
          <w:color w:val="000000"/>
          <w:szCs w:val="24"/>
        </w:rPr>
      </w:pPr>
      <w:r>
        <w:rPr>
          <w:rFonts w:eastAsia="Times New Roman" w:cs="Times New Roman"/>
          <w:color w:val="000000"/>
          <w:szCs w:val="24"/>
        </w:rPr>
        <w:lastRenderedPageBreak/>
        <w:t xml:space="preserve"> The present study was carried out on 27 dysmenorrhea subjects and 25</w:t>
      </w:r>
      <w:r w:rsidR="00D67D62">
        <w:rPr>
          <w:rFonts w:eastAsia="Times New Roman" w:cs="Times New Roman"/>
          <w:color w:val="000000"/>
          <w:szCs w:val="24"/>
        </w:rPr>
        <w:t xml:space="preserve"> apparently healthy females who served</w:t>
      </w:r>
      <w:r>
        <w:rPr>
          <w:rFonts w:eastAsia="Times New Roman" w:cs="Times New Roman"/>
          <w:color w:val="000000"/>
          <w:szCs w:val="24"/>
        </w:rPr>
        <w:t xml:space="preserve"> as control</w:t>
      </w:r>
      <w:r w:rsidR="00D67D62">
        <w:rPr>
          <w:rFonts w:eastAsia="Times New Roman" w:cs="Times New Roman"/>
          <w:color w:val="000000"/>
          <w:szCs w:val="24"/>
        </w:rPr>
        <w:t xml:space="preserve">. The test subjects were recruited based on oral interview and clinical reports from the </w:t>
      </w:r>
      <w:proofErr w:type="spellStart"/>
      <w:r w:rsidR="00D67D62">
        <w:rPr>
          <w:rFonts w:eastAsia="Times New Roman" w:cs="Times New Roman"/>
          <w:color w:val="000000"/>
          <w:szCs w:val="24"/>
        </w:rPr>
        <w:t>Gynaeologists</w:t>
      </w:r>
      <w:proofErr w:type="spellEnd"/>
      <w:r w:rsidR="00D67D62">
        <w:rPr>
          <w:rFonts w:eastAsia="Times New Roman" w:cs="Times New Roman"/>
          <w:color w:val="000000"/>
          <w:szCs w:val="24"/>
        </w:rPr>
        <w:t>, based on their medical history. Samples were collected when the subjects were experiencing pains prior to their monthly menstrual flow.</w:t>
      </w:r>
    </w:p>
    <w:p w:rsidR="007E5971" w:rsidRDefault="007E5971" w:rsidP="007E5971">
      <w:pPr>
        <w:shd w:val="clear" w:color="auto" w:fill="FFFFFF"/>
        <w:spacing w:before="166" w:after="166" w:line="480" w:lineRule="auto"/>
        <w:jc w:val="both"/>
        <w:rPr>
          <w:rFonts w:eastAsia="Times New Roman" w:cs="Times New Roman"/>
          <w:b/>
          <w:color w:val="000000"/>
          <w:szCs w:val="24"/>
        </w:rPr>
      </w:pPr>
      <w:r>
        <w:rPr>
          <w:rFonts w:eastAsia="Times New Roman" w:cs="Times New Roman"/>
          <w:b/>
          <w:color w:val="000000"/>
          <w:szCs w:val="24"/>
        </w:rPr>
        <w:t>Sample Size Calculation</w:t>
      </w:r>
    </w:p>
    <w:p w:rsidR="007E5971" w:rsidRDefault="007E5971" w:rsidP="007E5971">
      <w:pPr>
        <w:shd w:val="clear" w:color="auto" w:fill="FFFFFF"/>
        <w:spacing w:before="166" w:after="166" w:line="480" w:lineRule="auto"/>
        <w:jc w:val="both"/>
        <w:rPr>
          <w:rFonts w:eastAsia="Times New Roman" w:cs="Times New Roman"/>
          <w:color w:val="000000"/>
          <w:szCs w:val="24"/>
        </w:rPr>
      </w:pPr>
      <w:r>
        <w:rPr>
          <w:rFonts w:eastAsia="Times New Roman" w:cs="Times New Roman"/>
          <w:color w:val="000000"/>
          <w:szCs w:val="24"/>
        </w:rPr>
        <w:t>The incidence rate of dysmenorrhea is 16.2 % cases (</w:t>
      </w:r>
      <w:proofErr w:type="spellStart"/>
      <w:r>
        <w:rPr>
          <w:rFonts w:eastAsia="Times New Roman" w:cs="Times New Roman"/>
          <w:color w:val="000000"/>
          <w:szCs w:val="24"/>
        </w:rPr>
        <w:t>Okachi</w:t>
      </w:r>
      <w:proofErr w:type="spellEnd"/>
      <w:r w:rsidR="00D67D62">
        <w:rPr>
          <w:rFonts w:eastAsia="Times New Roman" w:cs="Times New Roman"/>
          <w:color w:val="000000"/>
          <w:szCs w:val="24"/>
        </w:rPr>
        <w:t xml:space="preserve"> </w:t>
      </w:r>
      <w:r>
        <w:rPr>
          <w:rFonts w:eastAsia="Times New Roman" w:cs="Times New Roman"/>
          <w:i/>
          <w:iCs/>
          <w:color w:val="000000"/>
          <w:szCs w:val="24"/>
        </w:rPr>
        <w:t>et al.,</w:t>
      </w:r>
      <w:r>
        <w:rPr>
          <w:rFonts w:eastAsia="Times New Roman" w:cs="Times New Roman"/>
          <w:color w:val="000000"/>
          <w:szCs w:val="24"/>
        </w:rPr>
        <w:t xml:space="preserve"> 2023). Using the formula below, my sample size was calculated using Leslie </w:t>
      </w:r>
      <w:proofErr w:type="spellStart"/>
      <w:r>
        <w:rPr>
          <w:rFonts w:eastAsia="Times New Roman" w:cs="Times New Roman"/>
          <w:color w:val="000000"/>
          <w:szCs w:val="24"/>
        </w:rPr>
        <w:t>kish</w:t>
      </w:r>
      <w:proofErr w:type="spellEnd"/>
      <w:r>
        <w:rPr>
          <w:rFonts w:eastAsia="Times New Roman" w:cs="Times New Roman"/>
          <w:color w:val="000000"/>
          <w:szCs w:val="24"/>
        </w:rPr>
        <w:t xml:space="preserve"> </w:t>
      </w:r>
      <w:proofErr w:type="spellStart"/>
      <w:r>
        <w:rPr>
          <w:rFonts w:eastAsia="Times New Roman" w:cs="Times New Roman"/>
          <w:color w:val="000000"/>
          <w:szCs w:val="24"/>
        </w:rPr>
        <w:t>formular</w:t>
      </w:r>
      <w:proofErr w:type="spellEnd"/>
    </w:p>
    <w:p w:rsidR="007E5971" w:rsidRDefault="007E5971" w:rsidP="007E5971">
      <w:pPr>
        <w:shd w:val="clear" w:color="auto" w:fill="FFFFFF"/>
        <w:spacing w:before="166" w:after="166" w:line="480" w:lineRule="auto"/>
        <w:jc w:val="both"/>
        <w:rPr>
          <w:rFonts w:eastAsia="Times New Roman" w:cs="Times New Roman"/>
          <w:color w:val="000000"/>
          <w:szCs w:val="24"/>
        </w:rPr>
      </w:pPr>
      <w:r>
        <w:rPr>
          <w:rFonts w:eastAsia="Times New Roman" w:cs="Times New Roman"/>
          <w:color w:val="000000"/>
          <w:szCs w:val="24"/>
        </w:rPr>
        <w:t>N = Z</w:t>
      </w:r>
      <w:r>
        <w:rPr>
          <w:rFonts w:eastAsia="Times New Roman" w:cs="Times New Roman"/>
          <w:color w:val="000000"/>
          <w:szCs w:val="24"/>
          <w:vertAlign w:val="superscript"/>
        </w:rPr>
        <w:t xml:space="preserve">2 </w:t>
      </w:r>
      <w:r>
        <w:rPr>
          <w:rFonts w:eastAsia="Times New Roman" w:cs="Times New Roman"/>
          <w:color w:val="000000"/>
          <w:szCs w:val="24"/>
        </w:rPr>
        <w:t xml:space="preserve">X </w:t>
      </w:r>
      <w:proofErr w:type="gramStart"/>
      <w:r>
        <w:rPr>
          <w:rFonts w:eastAsia="Times New Roman" w:cs="Times New Roman"/>
          <w:color w:val="000000"/>
          <w:szCs w:val="24"/>
        </w:rPr>
        <w:t>p(</w:t>
      </w:r>
      <w:proofErr w:type="gramEnd"/>
      <w:r>
        <w:rPr>
          <w:rFonts w:eastAsia="Times New Roman" w:cs="Times New Roman"/>
          <w:color w:val="000000"/>
          <w:szCs w:val="24"/>
        </w:rPr>
        <w:t>1 – p)/ d</w:t>
      </w:r>
      <w:r>
        <w:rPr>
          <w:rFonts w:eastAsia="Times New Roman" w:cs="Times New Roman"/>
          <w:color w:val="000000"/>
          <w:szCs w:val="24"/>
          <w:vertAlign w:val="superscript"/>
        </w:rPr>
        <w:t>2</w:t>
      </w:r>
    </w:p>
    <w:p w:rsidR="007E5971" w:rsidRDefault="007E5971" w:rsidP="007E5971">
      <w:pPr>
        <w:shd w:val="clear" w:color="auto" w:fill="FFFFFF"/>
        <w:spacing w:before="166" w:after="166" w:line="480" w:lineRule="auto"/>
        <w:jc w:val="both"/>
        <w:rPr>
          <w:rFonts w:eastAsia="Times New Roman" w:cs="Times New Roman"/>
          <w:color w:val="000000"/>
          <w:szCs w:val="24"/>
        </w:rPr>
      </w:pPr>
      <w:r>
        <w:rPr>
          <w:rFonts w:eastAsia="Times New Roman" w:cs="Times New Roman"/>
          <w:color w:val="000000"/>
          <w:szCs w:val="24"/>
        </w:rPr>
        <w:t>Where;</w:t>
      </w:r>
    </w:p>
    <w:p w:rsidR="007E5971" w:rsidRDefault="007E5971" w:rsidP="007E5971">
      <w:pPr>
        <w:shd w:val="clear" w:color="auto" w:fill="FFFFFF"/>
        <w:spacing w:before="166" w:after="166" w:line="480" w:lineRule="auto"/>
        <w:jc w:val="both"/>
        <w:rPr>
          <w:rFonts w:eastAsia="Times New Roman" w:cs="Times New Roman"/>
          <w:color w:val="000000"/>
          <w:szCs w:val="24"/>
        </w:rPr>
      </w:pPr>
      <w:r>
        <w:rPr>
          <w:rFonts w:eastAsia="Times New Roman" w:cs="Times New Roman"/>
          <w:color w:val="000000"/>
          <w:szCs w:val="24"/>
        </w:rPr>
        <w:t>N = Minimum sample size</w:t>
      </w:r>
    </w:p>
    <w:p w:rsidR="007E5971" w:rsidRDefault="007E5971" w:rsidP="007E5971">
      <w:pPr>
        <w:shd w:val="clear" w:color="auto" w:fill="FFFFFF"/>
        <w:spacing w:before="166" w:after="166" w:line="480" w:lineRule="auto"/>
        <w:jc w:val="both"/>
        <w:rPr>
          <w:rFonts w:eastAsia="Times New Roman" w:cs="Times New Roman"/>
          <w:color w:val="000000"/>
          <w:szCs w:val="24"/>
        </w:rPr>
      </w:pPr>
      <w:r>
        <w:rPr>
          <w:rFonts w:eastAsia="Times New Roman" w:cs="Times New Roman"/>
          <w:color w:val="000000"/>
          <w:szCs w:val="24"/>
        </w:rPr>
        <w:t>d = desired level of significance (0.05)</w:t>
      </w:r>
    </w:p>
    <w:p w:rsidR="007E5971" w:rsidRDefault="007E5971" w:rsidP="007E5971">
      <w:pPr>
        <w:shd w:val="clear" w:color="auto" w:fill="FFFFFF"/>
        <w:spacing w:before="166" w:after="166" w:line="480" w:lineRule="auto"/>
        <w:jc w:val="both"/>
        <w:rPr>
          <w:rFonts w:eastAsia="Times New Roman" w:cs="Times New Roman"/>
          <w:color w:val="000000"/>
          <w:szCs w:val="24"/>
        </w:rPr>
      </w:pPr>
      <w:r>
        <w:rPr>
          <w:rFonts w:eastAsia="Times New Roman" w:cs="Times New Roman"/>
          <w:color w:val="000000"/>
          <w:szCs w:val="24"/>
        </w:rPr>
        <w:t>Z = confidence interval (1.96)</w:t>
      </w:r>
    </w:p>
    <w:p w:rsidR="007E5971" w:rsidRDefault="007E5971" w:rsidP="007E5971">
      <w:pPr>
        <w:shd w:val="clear" w:color="auto" w:fill="FFFFFF"/>
        <w:spacing w:before="166" w:after="166" w:line="480" w:lineRule="auto"/>
        <w:jc w:val="both"/>
        <w:rPr>
          <w:rFonts w:eastAsia="Times New Roman" w:cs="Times New Roman"/>
          <w:color w:val="000000"/>
          <w:szCs w:val="24"/>
        </w:rPr>
      </w:pPr>
      <w:r>
        <w:rPr>
          <w:rFonts w:eastAsia="Times New Roman" w:cs="Times New Roman"/>
          <w:color w:val="000000"/>
          <w:szCs w:val="24"/>
        </w:rPr>
        <w:t>p = prevalence rate or proportion of occurrence =0.162 %</w:t>
      </w:r>
    </w:p>
    <w:p w:rsidR="007E5971" w:rsidRDefault="007E5971" w:rsidP="007E5971">
      <w:pPr>
        <w:shd w:val="clear" w:color="auto" w:fill="FFFFFF"/>
        <w:spacing w:before="166" w:after="166" w:line="480" w:lineRule="auto"/>
        <w:jc w:val="both"/>
        <w:rPr>
          <w:rFonts w:eastAsia="Times New Roman" w:cs="Times New Roman"/>
          <w:color w:val="000000"/>
          <w:szCs w:val="24"/>
        </w:rPr>
      </w:pPr>
      <w:r>
        <w:rPr>
          <w:rFonts w:eastAsia="Times New Roman" w:cs="Times New Roman"/>
          <w:color w:val="000000"/>
          <w:szCs w:val="24"/>
        </w:rPr>
        <w:t>Therefore</w:t>
      </w:r>
    </w:p>
    <w:p w:rsidR="007E5971" w:rsidRDefault="007E5971" w:rsidP="007E5971">
      <w:pPr>
        <w:shd w:val="clear" w:color="auto" w:fill="FFFFFF"/>
        <w:spacing w:before="166" w:after="166" w:line="480" w:lineRule="auto"/>
        <w:jc w:val="both"/>
        <w:rPr>
          <w:rFonts w:eastAsia="Times New Roman" w:cs="Times New Roman"/>
          <w:color w:val="000000"/>
          <w:szCs w:val="24"/>
        </w:rPr>
      </w:pPr>
      <w:r>
        <w:rPr>
          <w:rFonts w:eastAsia="Times New Roman" w:cs="Times New Roman"/>
          <w:color w:val="000000"/>
          <w:szCs w:val="24"/>
        </w:rPr>
        <w:t>N = 3.8416 X 0.162 (1 – 0.162)/ 0.0025</w:t>
      </w:r>
    </w:p>
    <w:p w:rsidR="007E5971" w:rsidRDefault="007E5971" w:rsidP="007E5971">
      <w:pPr>
        <w:shd w:val="clear" w:color="auto" w:fill="FFFFFF"/>
        <w:spacing w:before="166" w:after="166" w:line="480" w:lineRule="auto"/>
        <w:jc w:val="both"/>
        <w:rPr>
          <w:rFonts w:eastAsia="Times New Roman" w:cs="Times New Roman"/>
          <w:color w:val="000000"/>
          <w:szCs w:val="24"/>
        </w:rPr>
      </w:pPr>
      <w:r>
        <w:rPr>
          <w:rFonts w:eastAsia="Times New Roman" w:cs="Times New Roman"/>
          <w:color w:val="000000"/>
          <w:szCs w:val="24"/>
        </w:rPr>
        <w:t>N = 52 subjects.</w:t>
      </w:r>
    </w:p>
    <w:p w:rsidR="007E5971" w:rsidRDefault="007E5971" w:rsidP="007E5971">
      <w:pPr>
        <w:shd w:val="clear" w:color="auto" w:fill="FFFFFF"/>
        <w:spacing w:before="166" w:after="166" w:line="480" w:lineRule="auto"/>
        <w:jc w:val="both"/>
        <w:rPr>
          <w:rFonts w:eastAsia="Times New Roman" w:cs="Times New Roman"/>
          <w:b/>
          <w:color w:val="000000"/>
          <w:szCs w:val="24"/>
        </w:rPr>
      </w:pPr>
      <w:r>
        <w:rPr>
          <w:rFonts w:eastAsia="Times New Roman" w:cs="Times New Roman"/>
          <w:b/>
          <w:color w:val="000000"/>
          <w:szCs w:val="24"/>
        </w:rPr>
        <w:t>Inclusion and Exclusion Criteria</w:t>
      </w:r>
    </w:p>
    <w:p w:rsidR="007E5971" w:rsidRDefault="007E5971" w:rsidP="007E5971">
      <w:pPr>
        <w:shd w:val="clear" w:color="auto" w:fill="FFFFFF"/>
        <w:spacing w:before="166" w:after="166" w:line="480" w:lineRule="auto"/>
        <w:jc w:val="both"/>
        <w:rPr>
          <w:rFonts w:eastAsia="Times New Roman" w:cs="Times New Roman"/>
          <w:b/>
          <w:color w:val="000000"/>
          <w:szCs w:val="24"/>
        </w:rPr>
      </w:pPr>
      <w:r>
        <w:rPr>
          <w:rFonts w:eastAsia="Times New Roman" w:cs="Times New Roman"/>
          <w:b/>
          <w:color w:val="000000"/>
          <w:szCs w:val="24"/>
        </w:rPr>
        <w:t xml:space="preserve">Inclusion: </w:t>
      </w:r>
      <w:r>
        <w:rPr>
          <w:rFonts w:eastAsia="Times New Roman" w:cs="Times New Roman"/>
          <w:color w:val="000000"/>
          <w:szCs w:val="24"/>
        </w:rPr>
        <w:t>This study included apparently healthy ladies who have consistently suffered dysmenorrhea in Madonna university teaching hospital.</w:t>
      </w:r>
      <w:r w:rsidR="000A6D7B">
        <w:rPr>
          <w:rFonts w:eastAsia="Times New Roman" w:cs="Times New Roman"/>
          <w:color w:val="000000"/>
          <w:szCs w:val="24"/>
        </w:rPr>
        <w:t xml:space="preserve"> Only subjects with primary </w:t>
      </w:r>
      <w:proofErr w:type="spellStart"/>
      <w:r w:rsidR="000A6D7B">
        <w:rPr>
          <w:rFonts w:eastAsia="Times New Roman" w:cs="Times New Roman"/>
          <w:color w:val="000000"/>
          <w:szCs w:val="24"/>
        </w:rPr>
        <w:t>dysmenorrhae</w:t>
      </w:r>
      <w:proofErr w:type="spellEnd"/>
      <w:r w:rsidR="000A6D7B">
        <w:rPr>
          <w:rFonts w:eastAsia="Times New Roman" w:cs="Times New Roman"/>
          <w:color w:val="000000"/>
          <w:szCs w:val="24"/>
        </w:rPr>
        <w:t xml:space="preserve"> were recruited for this study.</w:t>
      </w:r>
    </w:p>
    <w:p w:rsidR="007E5971" w:rsidRDefault="007E5971" w:rsidP="007E5971">
      <w:pPr>
        <w:shd w:val="clear" w:color="auto" w:fill="FFFFFF"/>
        <w:spacing w:before="166" w:after="166" w:line="480" w:lineRule="auto"/>
        <w:jc w:val="both"/>
        <w:rPr>
          <w:rFonts w:eastAsia="Times New Roman" w:cs="Times New Roman"/>
          <w:b/>
          <w:color w:val="000000"/>
          <w:szCs w:val="24"/>
        </w:rPr>
      </w:pPr>
      <w:r>
        <w:rPr>
          <w:rFonts w:eastAsia="Times New Roman" w:cs="Times New Roman"/>
          <w:b/>
          <w:color w:val="000000"/>
          <w:szCs w:val="24"/>
        </w:rPr>
        <w:lastRenderedPageBreak/>
        <w:t xml:space="preserve">Exclusion; </w:t>
      </w:r>
      <w:r>
        <w:rPr>
          <w:rFonts w:eastAsia="Times New Roman" w:cs="Times New Roman"/>
          <w:bCs/>
          <w:color w:val="000000"/>
          <w:szCs w:val="24"/>
        </w:rPr>
        <w:t>This study excluded ladies with dysmenorrhea and other underlying health issues. Also, those who declined consent were excluded from the study</w:t>
      </w:r>
    </w:p>
    <w:p w:rsidR="007E5971" w:rsidRDefault="007E5971" w:rsidP="007E5971">
      <w:pPr>
        <w:shd w:val="clear" w:color="auto" w:fill="FFFFFF"/>
        <w:spacing w:before="166" w:after="166" w:line="480" w:lineRule="auto"/>
        <w:jc w:val="both"/>
        <w:rPr>
          <w:rFonts w:eastAsia="Times New Roman" w:cs="Times New Roman"/>
          <w:b/>
          <w:color w:val="000000"/>
          <w:szCs w:val="24"/>
        </w:rPr>
      </w:pPr>
      <w:r>
        <w:rPr>
          <w:rFonts w:eastAsia="Times New Roman" w:cs="Times New Roman"/>
          <w:b/>
          <w:color w:val="000000"/>
          <w:szCs w:val="24"/>
        </w:rPr>
        <w:t>Sample collection and processing</w:t>
      </w:r>
    </w:p>
    <w:p w:rsidR="007E5971" w:rsidRDefault="000A6D7B" w:rsidP="007E5971">
      <w:pPr>
        <w:shd w:val="clear" w:color="auto" w:fill="FFFFFF"/>
        <w:spacing w:before="166" w:after="166" w:line="480" w:lineRule="auto"/>
        <w:jc w:val="both"/>
        <w:rPr>
          <w:rFonts w:eastAsia="Times New Roman" w:cs="Times New Roman"/>
          <w:color w:val="000000"/>
          <w:szCs w:val="24"/>
        </w:rPr>
      </w:pPr>
      <w:r>
        <w:rPr>
          <w:rFonts w:eastAsia="Times New Roman" w:cs="Times New Roman"/>
          <w:color w:val="000000"/>
          <w:szCs w:val="24"/>
        </w:rPr>
        <w:t>In all subjects, about 5mL</w:t>
      </w:r>
      <w:r w:rsidR="007E5971">
        <w:rPr>
          <w:rFonts w:eastAsia="Times New Roman" w:cs="Times New Roman"/>
          <w:color w:val="000000"/>
          <w:szCs w:val="24"/>
        </w:rPr>
        <w:t xml:space="preserve"> of venous blood were collected by </w:t>
      </w:r>
      <w:proofErr w:type="spellStart"/>
      <w:r w:rsidR="007E5971">
        <w:rPr>
          <w:rFonts w:eastAsia="Times New Roman" w:cs="Times New Roman"/>
          <w:color w:val="000000"/>
          <w:szCs w:val="24"/>
        </w:rPr>
        <w:t>venepuncture</w:t>
      </w:r>
      <w:proofErr w:type="spellEnd"/>
      <w:r w:rsidR="007E5971">
        <w:rPr>
          <w:rFonts w:eastAsia="Times New Roman" w:cs="Times New Roman"/>
          <w:color w:val="000000"/>
          <w:szCs w:val="24"/>
        </w:rPr>
        <w:t xml:space="preserve"> with the subject in a sitting position f</w:t>
      </w:r>
      <w:r>
        <w:rPr>
          <w:rFonts w:eastAsia="Times New Roman" w:cs="Times New Roman"/>
          <w:color w:val="000000"/>
          <w:szCs w:val="24"/>
        </w:rPr>
        <w:t>rom the mid cubital vein with 5mL</w:t>
      </w:r>
      <w:r w:rsidR="007E5971">
        <w:rPr>
          <w:rFonts w:eastAsia="Times New Roman" w:cs="Times New Roman"/>
          <w:color w:val="000000"/>
          <w:szCs w:val="24"/>
        </w:rPr>
        <w:t xml:space="preserve"> disposable syringe. Blood samples were then carefully transferred into EDTA specimen containers and labelled for proper identification. </w:t>
      </w:r>
    </w:p>
    <w:p w:rsidR="007E5971" w:rsidRDefault="007E5971" w:rsidP="007E5971">
      <w:pPr>
        <w:shd w:val="clear" w:color="auto" w:fill="FFFFFF"/>
        <w:spacing w:before="166" w:after="166" w:line="480" w:lineRule="auto"/>
        <w:jc w:val="both"/>
        <w:rPr>
          <w:rFonts w:eastAsia="Times New Roman" w:cs="Times New Roman"/>
          <w:b/>
          <w:bCs/>
          <w:color w:val="000000"/>
          <w:szCs w:val="24"/>
          <w:lang w:val="en-GB"/>
        </w:rPr>
      </w:pPr>
      <w:r>
        <w:rPr>
          <w:rFonts w:eastAsia="Times New Roman" w:cs="Times New Roman"/>
          <w:b/>
          <w:bCs/>
          <w:color w:val="000000"/>
          <w:szCs w:val="24"/>
          <w:lang w:val="en-GB"/>
        </w:rPr>
        <w:t>Laboratory Methods and Procedures</w:t>
      </w:r>
    </w:p>
    <w:p w:rsidR="007E5971" w:rsidRDefault="007E5971" w:rsidP="007E5971">
      <w:pPr>
        <w:shd w:val="clear" w:color="auto" w:fill="FFFFFF"/>
        <w:spacing w:before="166" w:after="166" w:line="480" w:lineRule="auto"/>
        <w:jc w:val="both"/>
        <w:rPr>
          <w:rFonts w:eastAsia="Times New Roman" w:cs="Times New Roman"/>
          <w:b/>
          <w:bCs/>
          <w:color w:val="000000"/>
          <w:szCs w:val="24"/>
        </w:rPr>
      </w:pPr>
      <w:r>
        <w:rPr>
          <w:rFonts w:eastAsia="Times New Roman" w:cs="Times New Roman"/>
          <w:b/>
          <w:bCs/>
          <w:color w:val="000000"/>
          <w:szCs w:val="24"/>
          <w:lang w:val="en-GB"/>
        </w:rPr>
        <w:t>Estimation of Total Leukocyte (WBC) Count – Manual Method</w:t>
      </w:r>
    </w:p>
    <w:p w:rsidR="007E5971" w:rsidRDefault="007E5971" w:rsidP="007E5971">
      <w:pPr>
        <w:shd w:val="clear" w:color="auto" w:fill="FFFFFF"/>
        <w:spacing w:before="166" w:after="166" w:line="480" w:lineRule="auto"/>
        <w:jc w:val="both"/>
        <w:rPr>
          <w:rFonts w:eastAsia="Times New Roman" w:cs="Times New Roman"/>
          <w:b/>
          <w:color w:val="000000"/>
          <w:szCs w:val="24"/>
          <w:lang w:val="en-GB"/>
        </w:rPr>
      </w:pPr>
      <w:r>
        <w:rPr>
          <w:rFonts w:eastAsia="Times New Roman" w:cs="Times New Roman"/>
          <w:b/>
          <w:bCs/>
          <w:color w:val="000000"/>
          <w:szCs w:val="24"/>
          <w:lang w:val="en-GB"/>
        </w:rPr>
        <w:t>Measurement Principle:</w:t>
      </w:r>
    </w:p>
    <w:p w:rsidR="007E5971" w:rsidRDefault="007E5971" w:rsidP="007E5971">
      <w:pPr>
        <w:shd w:val="clear" w:color="auto" w:fill="FFFFFF"/>
        <w:spacing w:before="166" w:after="166" w:line="480" w:lineRule="auto"/>
        <w:jc w:val="both"/>
        <w:rPr>
          <w:rFonts w:eastAsia="Times New Roman" w:cs="Times New Roman"/>
          <w:bCs/>
          <w:color w:val="000000"/>
          <w:szCs w:val="24"/>
          <w:lang w:val="en-GB"/>
        </w:rPr>
      </w:pPr>
      <w:r>
        <w:rPr>
          <w:rFonts w:eastAsia="Times New Roman" w:cs="Times New Roman"/>
          <w:bCs/>
          <w:color w:val="000000"/>
          <w:szCs w:val="24"/>
          <w:lang w:val="en-GB"/>
        </w:rPr>
        <w:t>The manual estimation of total white blood cell (WBC) count is based on the principle of diluting whole blood with a staining solution (usually Turk’s solution), which lyses red blood cells (RBCs) and stains the nuclei of white blood cells for better visualization. The WBCs are then manually counted using a h</w:t>
      </w:r>
      <w:r>
        <w:rPr>
          <w:rFonts w:eastAsia="Times New Roman" w:cs="Times New Roman"/>
          <w:bCs/>
          <w:color w:val="000000"/>
          <w:szCs w:val="24"/>
        </w:rPr>
        <w:t>a</w:t>
      </w:r>
      <w:proofErr w:type="spellStart"/>
      <w:r>
        <w:rPr>
          <w:rFonts w:eastAsia="Times New Roman" w:cs="Times New Roman"/>
          <w:bCs/>
          <w:color w:val="000000"/>
          <w:szCs w:val="24"/>
          <w:lang w:val="en-GB"/>
        </w:rPr>
        <w:t>emocytometer</w:t>
      </w:r>
      <w:proofErr w:type="spellEnd"/>
      <w:r>
        <w:rPr>
          <w:rFonts w:eastAsia="Times New Roman" w:cs="Times New Roman"/>
          <w:bCs/>
          <w:color w:val="000000"/>
          <w:szCs w:val="24"/>
          <w:lang w:val="en-GB"/>
        </w:rPr>
        <w:t xml:space="preserve"> under a microscope, and the total number is calculated using a standard formula.</w:t>
      </w:r>
    </w:p>
    <w:p w:rsidR="007E5971" w:rsidRDefault="007E5971" w:rsidP="007E5971">
      <w:pPr>
        <w:shd w:val="clear" w:color="auto" w:fill="FFFFFF"/>
        <w:spacing w:before="166" w:after="166" w:line="480" w:lineRule="auto"/>
        <w:jc w:val="both"/>
        <w:rPr>
          <w:rFonts w:eastAsia="Times New Roman" w:cs="Times New Roman"/>
          <w:b/>
          <w:color w:val="000000"/>
          <w:szCs w:val="24"/>
          <w:lang w:val="en-GB"/>
        </w:rPr>
      </w:pPr>
      <w:r>
        <w:rPr>
          <w:rFonts w:eastAsia="Times New Roman" w:cs="Times New Roman"/>
          <w:b/>
          <w:bCs/>
          <w:color w:val="000000"/>
          <w:szCs w:val="24"/>
          <w:lang w:val="en-GB"/>
        </w:rPr>
        <w:t>Procedure:</w:t>
      </w:r>
    </w:p>
    <w:p w:rsidR="007E5971" w:rsidRDefault="007E5971" w:rsidP="007E5971">
      <w:pPr>
        <w:shd w:val="clear" w:color="auto" w:fill="FFFFFF"/>
        <w:spacing w:before="166" w:after="166" w:line="480" w:lineRule="auto"/>
        <w:jc w:val="both"/>
      </w:pPr>
      <w:r>
        <w:t xml:space="preserve">Fresh venous blood was collected into an EDTA-anticoagulated container. A white blood cell pipette was used to draw blood up to the 0.5 mark, after which it was diluted with Turk’s solution a reagent that lyses red blood cells and stains the nuclei of leukocytes up to the 11 mark, resulting in a dilution ratio of 1:20. The mixture was gently agitated to ensure even distribution and allowed to stand for a few minutes to complete red cell lysis. A clean Neubauer counting chamber was then charged with the diluted sample and placed in a moist chamber to allow cell settling. Using a light microscope at low magnification (×10 objective), </w:t>
      </w:r>
      <w:r>
        <w:lastRenderedPageBreak/>
        <w:t>WBCs were counted in the four large corner squares of the grid. The total white blood cell count per mic</w:t>
      </w:r>
      <w:r w:rsidR="000A6D7B">
        <w:t>roliter of blood was calculated</w:t>
      </w:r>
      <w:r>
        <w:t>. The final WBC count was expressed in cells per microliter (µL) of blood.</w:t>
      </w:r>
    </w:p>
    <w:p w:rsidR="007E5971" w:rsidRDefault="007E5971" w:rsidP="007E5971">
      <w:pPr>
        <w:shd w:val="clear" w:color="auto" w:fill="FFFFFF"/>
        <w:spacing w:before="166" w:after="166" w:line="480" w:lineRule="auto"/>
        <w:jc w:val="both"/>
      </w:pPr>
      <w:r>
        <w:rPr>
          <w:noProof/>
        </w:rPr>
        <w:drawing>
          <wp:inline distT="0" distB="0" distL="0" distR="0">
            <wp:extent cx="5731510" cy="824865"/>
            <wp:effectExtent l="0" t="0" r="2540" b="0"/>
            <wp:docPr id="1026" name="Picture 1"/>
            <wp:cNvGraphicFramePr/>
            <a:graphic xmlns:a="http://schemas.openxmlformats.org/drawingml/2006/main">
              <a:graphicData uri="http://schemas.openxmlformats.org/drawingml/2006/picture">
                <pic:pic xmlns:pic="http://schemas.openxmlformats.org/drawingml/2006/picture">
                  <pic:nvPicPr>
                    <pic:cNvPr id="1026" name="Picture 1"/>
                    <pic:cNvPicPr/>
                  </pic:nvPicPr>
                  <pic:blipFill>
                    <a:blip r:embed="rId7" cstate="print"/>
                    <a:srcRect/>
                    <a:stretch>
                      <a:fillRect/>
                    </a:stretch>
                  </pic:blipFill>
                  <pic:spPr>
                    <a:xfrm>
                      <a:off x="0" y="0"/>
                      <a:ext cx="5731510" cy="825201"/>
                    </a:xfrm>
                    <a:prstGeom prst="rect">
                      <a:avLst/>
                    </a:prstGeom>
                    <a:ln>
                      <a:noFill/>
                    </a:ln>
                  </pic:spPr>
                </pic:pic>
              </a:graphicData>
            </a:graphic>
          </wp:inline>
        </w:drawing>
      </w:r>
    </w:p>
    <w:p w:rsidR="007E5971" w:rsidRDefault="007E5971" w:rsidP="007E5971">
      <w:pPr>
        <w:shd w:val="clear" w:color="auto" w:fill="FFFFFF"/>
        <w:spacing w:before="166" w:after="166" w:line="480" w:lineRule="auto"/>
        <w:jc w:val="both"/>
        <w:rPr>
          <w:rFonts w:eastAsia="Times New Roman" w:cs="Times New Roman"/>
          <w:b/>
          <w:bCs/>
          <w:color w:val="000000"/>
          <w:szCs w:val="24"/>
        </w:rPr>
      </w:pPr>
      <w:r>
        <w:rPr>
          <w:rFonts w:eastAsia="Times New Roman" w:cs="Times New Roman"/>
          <w:b/>
          <w:bCs/>
          <w:color w:val="000000"/>
          <w:szCs w:val="24"/>
          <w:lang w:val="en-GB"/>
        </w:rPr>
        <w:t>Differential Leukocyte Count – Manual Method</w:t>
      </w:r>
    </w:p>
    <w:p w:rsidR="007E5971" w:rsidRDefault="007E5971" w:rsidP="007E5971">
      <w:pPr>
        <w:shd w:val="clear" w:color="auto" w:fill="FFFFFF"/>
        <w:spacing w:before="166" w:after="166" w:line="480" w:lineRule="auto"/>
        <w:jc w:val="both"/>
        <w:rPr>
          <w:rFonts w:eastAsia="Times New Roman" w:cs="Times New Roman"/>
          <w:b/>
          <w:color w:val="000000"/>
          <w:szCs w:val="24"/>
          <w:lang w:val="en-GB"/>
        </w:rPr>
      </w:pPr>
      <w:r>
        <w:rPr>
          <w:rFonts w:eastAsia="Times New Roman" w:cs="Times New Roman"/>
          <w:b/>
          <w:bCs/>
          <w:color w:val="000000"/>
          <w:szCs w:val="24"/>
          <w:lang w:val="en-GB"/>
        </w:rPr>
        <w:t>Measurement Principle:</w:t>
      </w:r>
    </w:p>
    <w:p w:rsidR="007E5971" w:rsidRPr="007E5971" w:rsidRDefault="007E5971" w:rsidP="007E5971">
      <w:pPr>
        <w:shd w:val="clear" w:color="auto" w:fill="FFFFFF"/>
        <w:spacing w:before="166" w:after="166" w:line="480" w:lineRule="auto"/>
        <w:jc w:val="both"/>
        <w:rPr>
          <w:rFonts w:eastAsia="Times New Roman" w:cs="Times New Roman"/>
          <w:b/>
          <w:color w:val="000000"/>
          <w:szCs w:val="24"/>
          <w:lang w:val="en-GB"/>
        </w:rPr>
      </w:pPr>
      <w:r>
        <w:rPr>
          <w:rFonts w:eastAsia="Times New Roman" w:cs="Times New Roman"/>
          <w:bCs/>
          <w:color w:val="000000"/>
          <w:szCs w:val="24"/>
          <w:lang w:val="en-GB"/>
        </w:rPr>
        <w:t>The differential leukocyte count involves the microscopic examination of a stained blood smear to identify and count the relative proportions of different types of white blood cells. This provides information on neutrophils, lymphocytes, monocytes, eosinophils, and basophils as percentages of the total white cell population.</w:t>
      </w:r>
    </w:p>
    <w:p w:rsidR="007E5971" w:rsidRDefault="007E5971" w:rsidP="007E5971">
      <w:pPr>
        <w:shd w:val="clear" w:color="auto" w:fill="FFFFFF"/>
        <w:spacing w:before="166" w:after="166" w:line="480" w:lineRule="auto"/>
        <w:jc w:val="both"/>
        <w:rPr>
          <w:rFonts w:eastAsia="Times New Roman" w:cs="Times New Roman"/>
          <w:b/>
          <w:bCs/>
          <w:color w:val="000000"/>
          <w:szCs w:val="24"/>
          <w:lang w:val="en-GB"/>
        </w:rPr>
      </w:pPr>
      <w:r>
        <w:rPr>
          <w:rFonts w:eastAsia="Times New Roman" w:cs="Times New Roman"/>
          <w:b/>
          <w:bCs/>
          <w:color w:val="000000"/>
          <w:szCs w:val="24"/>
          <w:lang w:val="en-GB"/>
        </w:rPr>
        <w:t>Procedure:</w:t>
      </w:r>
    </w:p>
    <w:p w:rsidR="007E5971" w:rsidRPr="00156940" w:rsidRDefault="007E5971" w:rsidP="007E5971">
      <w:pPr>
        <w:shd w:val="clear" w:color="auto" w:fill="FFFFFF"/>
        <w:spacing w:before="166" w:after="166" w:line="480" w:lineRule="auto"/>
        <w:jc w:val="both"/>
        <w:rPr>
          <w:rFonts w:eastAsia="Times New Roman" w:cs="Times New Roman"/>
          <w:b/>
          <w:color w:val="000000"/>
          <w:szCs w:val="24"/>
          <w:lang w:val="en-GB"/>
        </w:rPr>
      </w:pPr>
      <w:r>
        <w:t xml:space="preserve">The differential leukocyte count was determined by preparing a well-made peripheral blood smear from the same anticoagulated blood sample used for the total WBC count. The smear was allowed to air-dry and subsequently stained with Leishman stain, which differentiates the cellular components based on staining affinity. After staining, the slide was gently rinsed with buffered water, dried, and then examined microscopically under oil immersion using the ×100 objective lens. A systematic approach was used to scan the smear in a zigzag pattern, avoiding duplicate counting of cells. A total of 100 white blood cells were counted and classified morphologically into neutrophils, lymphocytes, monocytes, eosinophils, and basophils. The percentage of each cell type was calculated relative to the total number of leukocytes observed. </w:t>
      </w:r>
    </w:p>
    <w:p w:rsidR="007E5971" w:rsidRDefault="007E5971" w:rsidP="007E5971">
      <w:pPr>
        <w:shd w:val="clear" w:color="auto" w:fill="FFFFFF"/>
        <w:spacing w:before="166" w:after="166" w:line="480" w:lineRule="auto"/>
        <w:jc w:val="both"/>
        <w:rPr>
          <w:rFonts w:eastAsia="Times New Roman" w:cs="Times New Roman"/>
          <w:b/>
          <w:bCs/>
          <w:color w:val="000000"/>
          <w:szCs w:val="24"/>
        </w:rPr>
      </w:pPr>
      <w:r>
        <w:rPr>
          <w:rFonts w:eastAsia="Times New Roman" w:cs="Times New Roman"/>
          <w:b/>
          <w:bCs/>
          <w:color w:val="000000"/>
          <w:szCs w:val="24"/>
        </w:rPr>
        <w:lastRenderedPageBreak/>
        <w:t>Statistical analysis:</w:t>
      </w:r>
    </w:p>
    <w:p w:rsidR="007E5971" w:rsidRDefault="007E5971" w:rsidP="000A6D7B">
      <w:pPr>
        <w:shd w:val="clear" w:color="auto" w:fill="FFFFFF"/>
        <w:spacing w:before="166" w:after="166" w:line="480" w:lineRule="auto"/>
        <w:jc w:val="both"/>
        <w:rPr>
          <w:b/>
          <w:bCs/>
        </w:rPr>
      </w:pPr>
      <w:r>
        <w:t>Statistical analysis was performed using Statistical Package for the Social Science (SPSS) version 25. Data were presented as mean ± standard deviation. A t- test was used to compare the various groups, with a significance level set at p = 0.05.</w:t>
      </w:r>
    </w:p>
    <w:p w:rsidR="007E5971" w:rsidRDefault="007E5971" w:rsidP="007E5971">
      <w:pPr>
        <w:jc w:val="center"/>
        <w:rPr>
          <w:b/>
          <w:bCs/>
        </w:rPr>
      </w:pPr>
      <w:r>
        <w:rPr>
          <w:b/>
          <w:bCs/>
        </w:rPr>
        <w:t>RESULTS</w:t>
      </w:r>
      <w:r w:rsidR="007B7FA9">
        <w:rPr>
          <w:b/>
          <w:bCs/>
        </w:rPr>
        <w:t xml:space="preserve"> and Discussion</w:t>
      </w:r>
    </w:p>
    <w:p w:rsidR="007E5971" w:rsidRDefault="00B142FF" w:rsidP="007E5971">
      <w:pPr>
        <w:jc w:val="both"/>
      </w:pPr>
      <w:r>
        <w:t>Table 1 presented a comparison</w:t>
      </w:r>
      <w:r w:rsidR="007E5971">
        <w:t xml:space="preserve"> of total and differential white blood cell counts between ladies with dysmenorrhea (n=27) and those without (control, n=25) at Madonna University, </w:t>
      </w:r>
      <w:proofErr w:type="spellStart"/>
      <w:r w:rsidR="007E5971">
        <w:t>Elele</w:t>
      </w:r>
      <w:proofErr w:type="spellEnd"/>
      <w:r w:rsidR="007E5971">
        <w:t>. The total white cell (TWC) count was significantly higher in the test group (10.71±0.11) compared to the control</w:t>
      </w:r>
      <w:r>
        <w:t>s</w:t>
      </w:r>
      <w:r w:rsidR="007E5971">
        <w:t xml:space="preserve"> (6.50±0.09)</w:t>
      </w:r>
      <w:r>
        <w:t xml:space="preserve"> with a </w:t>
      </w:r>
      <w:r w:rsidR="007E5971">
        <w:t>p-value of 0.000. Neutrophil levels were also elevated in the dysmenorrhea group (72.11±0.75) relative to controls (59.60±0.48), showing statistical significance (t=13.836, p=0.000). In contrast, lymphocyte levels were significantly lower in the test group (20.33±0.57) than in controls (31.24±0.49), with a t-value of -14.319 and a p-value of 0.000. Monocyte counts showed no significant difference between the groups (5.30±0.14 vs. 5.60±0.10; t=-1.746, p=0.087). Eosinophil levels were significantly lower in the test group (2.26±0.14) compared to the control gr</w:t>
      </w:r>
      <w:r>
        <w:t xml:space="preserve">oup (3.56±0.10), with a </w:t>
      </w:r>
      <w:r w:rsidR="007E5971">
        <w:t>p-value of 0.000. Basophil counts remained at 0.00±0.00 in both group</w:t>
      </w:r>
      <w:r>
        <w:t>s with no statistical difference</w:t>
      </w:r>
      <w:r w:rsidR="007E5971">
        <w:t xml:space="preserve"> reported.</w:t>
      </w:r>
    </w:p>
    <w:p w:rsidR="007E5971" w:rsidRDefault="007E5971" w:rsidP="007E5971">
      <w:pPr>
        <w:jc w:val="center"/>
        <w:rPr>
          <w:b/>
          <w:bCs/>
        </w:rPr>
      </w:pPr>
    </w:p>
    <w:p w:rsidR="007E5971" w:rsidRDefault="007E5971" w:rsidP="007E5971">
      <w:pPr>
        <w:jc w:val="center"/>
        <w:rPr>
          <w:b/>
          <w:bCs/>
        </w:rPr>
      </w:pPr>
    </w:p>
    <w:p w:rsidR="007E5971" w:rsidRDefault="007E5971" w:rsidP="007E5971">
      <w:pPr>
        <w:jc w:val="center"/>
        <w:rPr>
          <w:b/>
          <w:bCs/>
        </w:rPr>
      </w:pPr>
    </w:p>
    <w:p w:rsidR="007E5971" w:rsidRDefault="007E5971" w:rsidP="007E5971">
      <w:pPr>
        <w:jc w:val="center"/>
        <w:rPr>
          <w:b/>
          <w:bCs/>
        </w:rPr>
      </w:pPr>
    </w:p>
    <w:p w:rsidR="007E5971" w:rsidRDefault="007E5971" w:rsidP="007E5971">
      <w:pPr>
        <w:jc w:val="center"/>
        <w:rPr>
          <w:b/>
          <w:bCs/>
        </w:rPr>
      </w:pPr>
    </w:p>
    <w:p w:rsidR="007E5971" w:rsidRDefault="007E5971" w:rsidP="007E5971">
      <w:pPr>
        <w:jc w:val="center"/>
        <w:rPr>
          <w:b/>
          <w:bCs/>
        </w:rPr>
      </w:pPr>
    </w:p>
    <w:p w:rsidR="007E5971" w:rsidRDefault="007E5971" w:rsidP="007E5971">
      <w:pPr>
        <w:jc w:val="center"/>
        <w:rPr>
          <w:b/>
          <w:bCs/>
        </w:rPr>
      </w:pPr>
    </w:p>
    <w:p w:rsidR="007E5971" w:rsidRDefault="007E5971" w:rsidP="007E5971">
      <w:pPr>
        <w:jc w:val="center"/>
        <w:rPr>
          <w:b/>
          <w:bCs/>
        </w:rPr>
      </w:pPr>
    </w:p>
    <w:p w:rsidR="007E5971" w:rsidRDefault="007E5971" w:rsidP="007E5971">
      <w:pPr>
        <w:jc w:val="both"/>
        <w:rPr>
          <w:sz w:val="22"/>
        </w:rPr>
      </w:pPr>
      <w:r>
        <w:t xml:space="preserve">Table 1: Comparison of Total and Differential White Blood Cell Counts Among Ladies with and without </w:t>
      </w:r>
      <w:proofErr w:type="spellStart"/>
      <w:r>
        <w:t>Dysmennorrhea</w:t>
      </w:r>
      <w:proofErr w:type="spellEnd"/>
      <w:r>
        <w:t xml:space="preserve"> at Madonna University,</w:t>
      </w:r>
      <w:r w:rsidR="00B142FF">
        <w:t xml:space="preserve"> </w:t>
      </w:r>
      <w:proofErr w:type="spellStart"/>
      <w:r>
        <w:t>Elele</w:t>
      </w:r>
      <w:proofErr w:type="spellEnd"/>
      <w:r>
        <w:t>.</w:t>
      </w:r>
    </w:p>
    <w:tbl>
      <w:tblPr>
        <w:tblStyle w:val="TableGrid"/>
        <w:tblW w:w="897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1559"/>
        <w:gridCol w:w="1843"/>
        <w:gridCol w:w="1666"/>
        <w:gridCol w:w="2065"/>
      </w:tblGrid>
      <w:tr w:rsidR="007E5971" w:rsidTr="00117C33">
        <w:trPr>
          <w:trHeight w:val="1486"/>
        </w:trPr>
        <w:tc>
          <w:tcPr>
            <w:tcW w:w="1838" w:type="dxa"/>
            <w:tcBorders>
              <w:top w:val="single" w:sz="4" w:space="0" w:color="auto"/>
              <w:bottom w:val="single" w:sz="4" w:space="0" w:color="auto"/>
            </w:tcBorders>
          </w:tcPr>
          <w:p w:rsidR="007E5971" w:rsidRDefault="007E5971" w:rsidP="00117C33">
            <w:pPr>
              <w:autoSpaceDE w:val="0"/>
              <w:autoSpaceDN w:val="0"/>
              <w:adjustRightInd w:val="0"/>
              <w:spacing w:after="0" w:line="240" w:lineRule="auto"/>
              <w:jc w:val="center"/>
              <w:rPr>
                <w:rFonts w:cs="Times New Roman"/>
                <w:szCs w:val="24"/>
              </w:rPr>
            </w:pPr>
            <w:r>
              <w:rPr>
                <w:rFonts w:cs="Times New Roman"/>
                <w:szCs w:val="24"/>
              </w:rPr>
              <w:t>parameters</w:t>
            </w:r>
          </w:p>
        </w:tc>
        <w:tc>
          <w:tcPr>
            <w:tcW w:w="1559" w:type="dxa"/>
            <w:tcBorders>
              <w:top w:val="single" w:sz="4" w:space="0" w:color="auto"/>
              <w:bottom w:val="single" w:sz="4" w:space="0" w:color="auto"/>
            </w:tcBorders>
          </w:tcPr>
          <w:p w:rsidR="007E5971" w:rsidRDefault="007E5971" w:rsidP="00117C33">
            <w:pPr>
              <w:autoSpaceDE w:val="0"/>
              <w:autoSpaceDN w:val="0"/>
              <w:adjustRightInd w:val="0"/>
              <w:spacing w:after="0" w:line="320" w:lineRule="atLeast"/>
              <w:ind w:left="60" w:right="60"/>
              <w:jc w:val="center"/>
              <w:rPr>
                <w:rFonts w:cs="Times New Roman"/>
                <w:szCs w:val="24"/>
              </w:rPr>
            </w:pPr>
            <w:r>
              <w:rPr>
                <w:rFonts w:eastAsia="Times New Roman" w:cs="Times New Roman"/>
                <w:szCs w:val="24"/>
              </w:rPr>
              <w:t>Test</w:t>
            </w:r>
          </w:p>
          <w:p w:rsidR="007E5971" w:rsidRDefault="007E5971" w:rsidP="00117C33">
            <w:pPr>
              <w:autoSpaceDE w:val="0"/>
              <w:autoSpaceDN w:val="0"/>
              <w:adjustRightInd w:val="0"/>
              <w:spacing w:after="0" w:line="320" w:lineRule="atLeast"/>
              <w:ind w:left="60" w:right="60"/>
              <w:jc w:val="center"/>
              <w:rPr>
                <w:rFonts w:cs="Times New Roman"/>
                <w:szCs w:val="24"/>
              </w:rPr>
            </w:pPr>
            <w:r>
              <w:rPr>
                <w:rFonts w:cs="Times New Roman"/>
                <w:szCs w:val="24"/>
              </w:rPr>
              <w:t>n=27</w:t>
            </w:r>
          </w:p>
        </w:tc>
        <w:tc>
          <w:tcPr>
            <w:tcW w:w="1843" w:type="dxa"/>
            <w:tcBorders>
              <w:top w:val="single" w:sz="4" w:space="0" w:color="auto"/>
              <w:bottom w:val="single" w:sz="4" w:space="0" w:color="auto"/>
            </w:tcBorders>
          </w:tcPr>
          <w:p w:rsidR="007E5971" w:rsidRDefault="007E5971" w:rsidP="00117C33">
            <w:pPr>
              <w:autoSpaceDE w:val="0"/>
              <w:autoSpaceDN w:val="0"/>
              <w:adjustRightInd w:val="0"/>
              <w:spacing w:after="0" w:line="320" w:lineRule="atLeast"/>
              <w:ind w:left="60" w:right="60"/>
              <w:jc w:val="center"/>
              <w:rPr>
                <w:rFonts w:cs="Times New Roman"/>
                <w:szCs w:val="24"/>
              </w:rPr>
            </w:pPr>
            <w:r>
              <w:rPr>
                <w:rFonts w:cs="Times New Roman"/>
                <w:szCs w:val="24"/>
              </w:rPr>
              <w:t>Control</w:t>
            </w:r>
          </w:p>
          <w:p w:rsidR="007E5971" w:rsidRDefault="007E5971" w:rsidP="00117C33">
            <w:pPr>
              <w:autoSpaceDE w:val="0"/>
              <w:autoSpaceDN w:val="0"/>
              <w:adjustRightInd w:val="0"/>
              <w:spacing w:after="0" w:line="320" w:lineRule="atLeast"/>
              <w:ind w:left="60" w:right="60"/>
              <w:jc w:val="center"/>
              <w:rPr>
                <w:rFonts w:cs="Times New Roman"/>
                <w:szCs w:val="24"/>
              </w:rPr>
            </w:pPr>
            <w:r>
              <w:rPr>
                <w:rFonts w:cs="Times New Roman"/>
                <w:szCs w:val="24"/>
              </w:rPr>
              <w:t>n= 25</w:t>
            </w:r>
          </w:p>
        </w:tc>
        <w:tc>
          <w:tcPr>
            <w:tcW w:w="1666" w:type="dxa"/>
            <w:tcBorders>
              <w:top w:val="single" w:sz="4" w:space="0" w:color="auto"/>
              <w:bottom w:val="single" w:sz="4" w:space="0" w:color="auto"/>
            </w:tcBorders>
          </w:tcPr>
          <w:p w:rsidR="007E5971" w:rsidRDefault="007E5971" w:rsidP="00117C33">
            <w:pPr>
              <w:autoSpaceDE w:val="0"/>
              <w:autoSpaceDN w:val="0"/>
              <w:adjustRightInd w:val="0"/>
              <w:spacing w:after="0" w:line="320" w:lineRule="atLeast"/>
              <w:ind w:left="60" w:right="60"/>
              <w:jc w:val="center"/>
              <w:rPr>
                <w:rFonts w:cs="Times New Roman"/>
                <w:szCs w:val="24"/>
              </w:rPr>
            </w:pPr>
            <w:r>
              <w:rPr>
                <w:rFonts w:cs="Times New Roman"/>
                <w:szCs w:val="24"/>
              </w:rPr>
              <w:t>t- value</w:t>
            </w:r>
          </w:p>
        </w:tc>
        <w:tc>
          <w:tcPr>
            <w:tcW w:w="2065" w:type="dxa"/>
            <w:tcBorders>
              <w:top w:val="single" w:sz="4" w:space="0" w:color="auto"/>
              <w:bottom w:val="single" w:sz="4" w:space="0" w:color="auto"/>
            </w:tcBorders>
          </w:tcPr>
          <w:p w:rsidR="007E5971" w:rsidRDefault="007E5971" w:rsidP="00117C33">
            <w:pPr>
              <w:autoSpaceDE w:val="0"/>
              <w:autoSpaceDN w:val="0"/>
              <w:adjustRightInd w:val="0"/>
              <w:spacing w:after="0" w:line="320" w:lineRule="atLeast"/>
              <w:ind w:left="60" w:right="60"/>
              <w:jc w:val="center"/>
              <w:rPr>
                <w:rFonts w:cs="Times New Roman"/>
                <w:szCs w:val="24"/>
              </w:rPr>
            </w:pPr>
            <w:r>
              <w:rPr>
                <w:rFonts w:cs="Times New Roman"/>
                <w:szCs w:val="24"/>
              </w:rPr>
              <w:t>p-value</w:t>
            </w:r>
          </w:p>
        </w:tc>
      </w:tr>
      <w:tr w:rsidR="007E5971" w:rsidTr="00117C33">
        <w:trPr>
          <w:trHeight w:val="495"/>
        </w:trPr>
        <w:tc>
          <w:tcPr>
            <w:tcW w:w="1838" w:type="dxa"/>
            <w:tcBorders>
              <w:top w:val="single" w:sz="4" w:space="0" w:color="auto"/>
            </w:tcBorders>
          </w:tcPr>
          <w:p w:rsidR="007E5971" w:rsidRDefault="007E5971" w:rsidP="00117C33">
            <w:pPr>
              <w:autoSpaceDE w:val="0"/>
              <w:autoSpaceDN w:val="0"/>
              <w:adjustRightInd w:val="0"/>
              <w:spacing w:after="0" w:line="320" w:lineRule="atLeast"/>
              <w:ind w:left="60" w:right="60"/>
              <w:jc w:val="center"/>
              <w:rPr>
                <w:rFonts w:cs="Times New Roman"/>
                <w:szCs w:val="24"/>
              </w:rPr>
            </w:pPr>
            <w:r>
              <w:rPr>
                <w:rFonts w:cs="Times New Roman"/>
                <w:szCs w:val="24"/>
              </w:rPr>
              <w:lastRenderedPageBreak/>
              <w:t>TWC</w:t>
            </w:r>
          </w:p>
        </w:tc>
        <w:tc>
          <w:tcPr>
            <w:tcW w:w="1559" w:type="dxa"/>
            <w:tcBorders>
              <w:top w:val="single" w:sz="4" w:space="0" w:color="auto"/>
            </w:tcBorders>
          </w:tcPr>
          <w:p w:rsidR="007E5971" w:rsidRDefault="007E5971" w:rsidP="00117C33">
            <w:pPr>
              <w:spacing w:after="0" w:line="240" w:lineRule="auto"/>
              <w:jc w:val="center"/>
              <w:rPr>
                <w:rFonts w:cs="Times New Roman"/>
                <w:szCs w:val="24"/>
              </w:rPr>
            </w:pPr>
            <w:r>
              <w:rPr>
                <w:rFonts w:cs="Times New Roman"/>
                <w:szCs w:val="24"/>
              </w:rPr>
              <w:t>10.71±0.11</w:t>
            </w:r>
          </w:p>
        </w:tc>
        <w:tc>
          <w:tcPr>
            <w:tcW w:w="1843" w:type="dxa"/>
            <w:tcBorders>
              <w:top w:val="single" w:sz="4" w:space="0" w:color="auto"/>
            </w:tcBorders>
          </w:tcPr>
          <w:p w:rsidR="007E5971" w:rsidRDefault="007E5971" w:rsidP="00117C33">
            <w:pPr>
              <w:spacing w:after="0" w:line="240" w:lineRule="auto"/>
              <w:jc w:val="center"/>
              <w:rPr>
                <w:rFonts w:cs="Times New Roman"/>
                <w:szCs w:val="24"/>
              </w:rPr>
            </w:pPr>
            <w:r>
              <w:rPr>
                <w:rFonts w:cs="Times New Roman"/>
                <w:szCs w:val="24"/>
              </w:rPr>
              <w:t>6.50±0.09</w:t>
            </w:r>
          </w:p>
        </w:tc>
        <w:tc>
          <w:tcPr>
            <w:tcW w:w="1666" w:type="dxa"/>
            <w:tcBorders>
              <w:top w:val="single" w:sz="4" w:space="0" w:color="auto"/>
            </w:tcBorders>
          </w:tcPr>
          <w:p w:rsidR="007E5971" w:rsidRDefault="007E5971" w:rsidP="00117C33">
            <w:pPr>
              <w:spacing w:after="0" w:line="240" w:lineRule="auto"/>
              <w:jc w:val="center"/>
              <w:rPr>
                <w:rFonts w:cs="Times New Roman"/>
                <w:szCs w:val="24"/>
              </w:rPr>
            </w:pPr>
            <w:r>
              <w:rPr>
                <w:rFonts w:cs="Times New Roman"/>
                <w:szCs w:val="24"/>
              </w:rPr>
              <w:t>29.379</w:t>
            </w:r>
          </w:p>
        </w:tc>
        <w:tc>
          <w:tcPr>
            <w:tcW w:w="2065" w:type="dxa"/>
            <w:tcBorders>
              <w:top w:val="single" w:sz="4" w:space="0" w:color="auto"/>
            </w:tcBorders>
          </w:tcPr>
          <w:p w:rsidR="007E5971" w:rsidRDefault="007E5971" w:rsidP="00117C33">
            <w:pPr>
              <w:spacing w:after="0" w:line="240" w:lineRule="auto"/>
              <w:jc w:val="center"/>
              <w:rPr>
                <w:rFonts w:cs="Times New Roman"/>
                <w:szCs w:val="24"/>
              </w:rPr>
            </w:pPr>
            <w:r>
              <w:rPr>
                <w:rFonts w:cs="Times New Roman"/>
                <w:szCs w:val="24"/>
              </w:rPr>
              <w:t>0.000</w:t>
            </w:r>
          </w:p>
        </w:tc>
      </w:tr>
      <w:tr w:rsidR="007E5971" w:rsidTr="00117C33">
        <w:trPr>
          <w:trHeight w:val="468"/>
        </w:trPr>
        <w:tc>
          <w:tcPr>
            <w:tcW w:w="1838" w:type="dxa"/>
          </w:tcPr>
          <w:p w:rsidR="007E5971" w:rsidRDefault="007E5971" w:rsidP="00117C33">
            <w:pPr>
              <w:autoSpaceDE w:val="0"/>
              <w:autoSpaceDN w:val="0"/>
              <w:adjustRightInd w:val="0"/>
              <w:spacing w:after="0" w:line="320" w:lineRule="atLeast"/>
              <w:ind w:left="60" w:right="60"/>
              <w:jc w:val="center"/>
              <w:rPr>
                <w:rFonts w:cs="Times New Roman"/>
                <w:szCs w:val="24"/>
              </w:rPr>
            </w:pPr>
            <w:r>
              <w:rPr>
                <w:rFonts w:cs="Times New Roman"/>
                <w:szCs w:val="24"/>
              </w:rPr>
              <w:t>Neutrophils</w:t>
            </w:r>
          </w:p>
        </w:tc>
        <w:tc>
          <w:tcPr>
            <w:tcW w:w="1559" w:type="dxa"/>
          </w:tcPr>
          <w:p w:rsidR="007E5971" w:rsidRDefault="007E5971" w:rsidP="00117C33">
            <w:pPr>
              <w:spacing w:after="0" w:line="240" w:lineRule="auto"/>
              <w:jc w:val="center"/>
              <w:rPr>
                <w:rFonts w:cs="Times New Roman"/>
                <w:szCs w:val="24"/>
              </w:rPr>
            </w:pPr>
            <w:r>
              <w:rPr>
                <w:rFonts w:cs="Times New Roman"/>
                <w:szCs w:val="24"/>
              </w:rPr>
              <w:t>72.11±0.75</w:t>
            </w:r>
          </w:p>
        </w:tc>
        <w:tc>
          <w:tcPr>
            <w:tcW w:w="1843" w:type="dxa"/>
          </w:tcPr>
          <w:p w:rsidR="007E5971" w:rsidRDefault="007E5971" w:rsidP="00117C33">
            <w:pPr>
              <w:spacing w:after="0" w:line="240" w:lineRule="auto"/>
              <w:jc w:val="center"/>
              <w:rPr>
                <w:rFonts w:cs="Times New Roman"/>
                <w:szCs w:val="24"/>
              </w:rPr>
            </w:pPr>
            <w:r>
              <w:rPr>
                <w:rFonts w:cs="Times New Roman"/>
                <w:szCs w:val="24"/>
              </w:rPr>
              <w:t>59.60±0.48</w:t>
            </w:r>
          </w:p>
        </w:tc>
        <w:tc>
          <w:tcPr>
            <w:tcW w:w="1666" w:type="dxa"/>
          </w:tcPr>
          <w:p w:rsidR="007E5971" w:rsidRDefault="007E5971" w:rsidP="00117C33">
            <w:pPr>
              <w:spacing w:after="0" w:line="240" w:lineRule="auto"/>
              <w:jc w:val="center"/>
              <w:rPr>
                <w:rFonts w:cs="Times New Roman"/>
                <w:szCs w:val="24"/>
              </w:rPr>
            </w:pPr>
            <w:r>
              <w:rPr>
                <w:rFonts w:cs="Times New Roman"/>
                <w:szCs w:val="24"/>
              </w:rPr>
              <w:t>13.836</w:t>
            </w:r>
          </w:p>
        </w:tc>
        <w:tc>
          <w:tcPr>
            <w:tcW w:w="2065" w:type="dxa"/>
          </w:tcPr>
          <w:p w:rsidR="007E5971" w:rsidRDefault="007E5971" w:rsidP="00117C33">
            <w:pPr>
              <w:spacing w:after="0" w:line="240" w:lineRule="auto"/>
              <w:jc w:val="center"/>
              <w:rPr>
                <w:rFonts w:cs="Times New Roman"/>
                <w:szCs w:val="24"/>
              </w:rPr>
            </w:pPr>
            <w:r>
              <w:rPr>
                <w:rFonts w:cs="Times New Roman"/>
                <w:szCs w:val="24"/>
              </w:rPr>
              <w:t>0.000</w:t>
            </w:r>
          </w:p>
        </w:tc>
      </w:tr>
      <w:tr w:rsidR="007E5971" w:rsidTr="00117C33">
        <w:trPr>
          <w:trHeight w:val="495"/>
        </w:trPr>
        <w:tc>
          <w:tcPr>
            <w:tcW w:w="1838" w:type="dxa"/>
          </w:tcPr>
          <w:p w:rsidR="007E5971" w:rsidRDefault="007E5971" w:rsidP="00117C33">
            <w:pPr>
              <w:autoSpaceDE w:val="0"/>
              <w:autoSpaceDN w:val="0"/>
              <w:adjustRightInd w:val="0"/>
              <w:spacing w:after="0" w:line="320" w:lineRule="atLeast"/>
              <w:ind w:left="60" w:right="60"/>
              <w:jc w:val="center"/>
              <w:rPr>
                <w:rFonts w:cs="Times New Roman"/>
                <w:szCs w:val="24"/>
              </w:rPr>
            </w:pPr>
            <w:r>
              <w:rPr>
                <w:rFonts w:cs="Times New Roman"/>
                <w:szCs w:val="24"/>
              </w:rPr>
              <w:t>Lymphocytes</w:t>
            </w:r>
          </w:p>
        </w:tc>
        <w:tc>
          <w:tcPr>
            <w:tcW w:w="1559" w:type="dxa"/>
          </w:tcPr>
          <w:p w:rsidR="007E5971" w:rsidRDefault="007E5971" w:rsidP="00117C33">
            <w:pPr>
              <w:spacing w:after="0" w:line="240" w:lineRule="auto"/>
              <w:jc w:val="center"/>
              <w:rPr>
                <w:rFonts w:cs="Times New Roman"/>
                <w:szCs w:val="24"/>
              </w:rPr>
            </w:pPr>
            <w:r>
              <w:rPr>
                <w:rFonts w:cs="Times New Roman"/>
                <w:szCs w:val="24"/>
              </w:rPr>
              <w:t>20.33±0.57</w:t>
            </w:r>
          </w:p>
        </w:tc>
        <w:tc>
          <w:tcPr>
            <w:tcW w:w="1843" w:type="dxa"/>
          </w:tcPr>
          <w:p w:rsidR="007E5971" w:rsidRDefault="007E5971" w:rsidP="00117C33">
            <w:pPr>
              <w:spacing w:after="0" w:line="240" w:lineRule="auto"/>
              <w:jc w:val="center"/>
              <w:rPr>
                <w:rFonts w:cs="Times New Roman"/>
                <w:szCs w:val="24"/>
              </w:rPr>
            </w:pPr>
            <w:r>
              <w:rPr>
                <w:rFonts w:cs="Times New Roman"/>
                <w:szCs w:val="24"/>
              </w:rPr>
              <w:t>31.24±0.49</w:t>
            </w:r>
          </w:p>
        </w:tc>
        <w:tc>
          <w:tcPr>
            <w:tcW w:w="1666" w:type="dxa"/>
          </w:tcPr>
          <w:p w:rsidR="007E5971" w:rsidRDefault="007E5971" w:rsidP="00117C33">
            <w:pPr>
              <w:spacing w:after="0" w:line="240" w:lineRule="auto"/>
              <w:jc w:val="center"/>
              <w:rPr>
                <w:rFonts w:cs="Times New Roman"/>
                <w:szCs w:val="24"/>
              </w:rPr>
            </w:pPr>
            <w:r>
              <w:rPr>
                <w:rFonts w:cs="Times New Roman"/>
                <w:szCs w:val="24"/>
              </w:rPr>
              <w:t>-14.319</w:t>
            </w:r>
          </w:p>
        </w:tc>
        <w:tc>
          <w:tcPr>
            <w:tcW w:w="2065" w:type="dxa"/>
          </w:tcPr>
          <w:p w:rsidR="007E5971" w:rsidRDefault="007E5971" w:rsidP="00117C33">
            <w:pPr>
              <w:spacing w:after="0" w:line="240" w:lineRule="auto"/>
              <w:jc w:val="center"/>
              <w:rPr>
                <w:rFonts w:cs="Times New Roman"/>
                <w:szCs w:val="24"/>
              </w:rPr>
            </w:pPr>
            <w:r>
              <w:rPr>
                <w:rFonts w:cs="Times New Roman"/>
                <w:szCs w:val="24"/>
              </w:rPr>
              <w:t>0.000</w:t>
            </w:r>
          </w:p>
        </w:tc>
      </w:tr>
      <w:tr w:rsidR="007E5971" w:rsidTr="00117C33">
        <w:trPr>
          <w:trHeight w:val="495"/>
        </w:trPr>
        <w:tc>
          <w:tcPr>
            <w:tcW w:w="1838" w:type="dxa"/>
          </w:tcPr>
          <w:p w:rsidR="007E5971" w:rsidRDefault="007E5971" w:rsidP="00117C33">
            <w:pPr>
              <w:autoSpaceDE w:val="0"/>
              <w:autoSpaceDN w:val="0"/>
              <w:adjustRightInd w:val="0"/>
              <w:spacing w:after="0" w:line="320" w:lineRule="atLeast"/>
              <w:ind w:left="60" w:right="60"/>
              <w:jc w:val="center"/>
              <w:rPr>
                <w:rFonts w:cs="Times New Roman"/>
                <w:szCs w:val="24"/>
              </w:rPr>
            </w:pPr>
            <w:r>
              <w:rPr>
                <w:rFonts w:cs="Times New Roman"/>
                <w:szCs w:val="24"/>
              </w:rPr>
              <w:t>Monocytes</w:t>
            </w:r>
          </w:p>
        </w:tc>
        <w:tc>
          <w:tcPr>
            <w:tcW w:w="1559" w:type="dxa"/>
          </w:tcPr>
          <w:p w:rsidR="007E5971" w:rsidRDefault="007E5971" w:rsidP="00117C33">
            <w:pPr>
              <w:spacing w:after="0" w:line="240" w:lineRule="auto"/>
              <w:jc w:val="center"/>
              <w:rPr>
                <w:rFonts w:cs="Times New Roman"/>
                <w:szCs w:val="24"/>
              </w:rPr>
            </w:pPr>
            <w:r>
              <w:rPr>
                <w:rFonts w:cs="Times New Roman"/>
                <w:szCs w:val="24"/>
              </w:rPr>
              <w:t>5.30±0.14</w:t>
            </w:r>
          </w:p>
        </w:tc>
        <w:tc>
          <w:tcPr>
            <w:tcW w:w="1843" w:type="dxa"/>
          </w:tcPr>
          <w:p w:rsidR="007E5971" w:rsidRDefault="007E5971" w:rsidP="00117C33">
            <w:pPr>
              <w:spacing w:after="0" w:line="240" w:lineRule="auto"/>
              <w:jc w:val="center"/>
              <w:rPr>
                <w:rFonts w:cs="Times New Roman"/>
                <w:szCs w:val="24"/>
              </w:rPr>
            </w:pPr>
            <w:r>
              <w:rPr>
                <w:rFonts w:cs="Times New Roman"/>
                <w:szCs w:val="24"/>
              </w:rPr>
              <w:t>5.60±0.10</w:t>
            </w:r>
          </w:p>
        </w:tc>
        <w:tc>
          <w:tcPr>
            <w:tcW w:w="1666" w:type="dxa"/>
          </w:tcPr>
          <w:p w:rsidR="007E5971" w:rsidRDefault="007E5971" w:rsidP="00117C33">
            <w:pPr>
              <w:spacing w:after="0" w:line="240" w:lineRule="auto"/>
              <w:jc w:val="center"/>
              <w:rPr>
                <w:rFonts w:cs="Times New Roman"/>
                <w:szCs w:val="24"/>
              </w:rPr>
            </w:pPr>
            <w:r>
              <w:rPr>
                <w:rFonts w:cs="Times New Roman"/>
                <w:szCs w:val="24"/>
              </w:rPr>
              <w:t>-1.746</w:t>
            </w:r>
          </w:p>
        </w:tc>
        <w:tc>
          <w:tcPr>
            <w:tcW w:w="2065" w:type="dxa"/>
          </w:tcPr>
          <w:p w:rsidR="007E5971" w:rsidRDefault="007E5971" w:rsidP="00117C33">
            <w:pPr>
              <w:spacing w:after="0" w:line="240" w:lineRule="auto"/>
              <w:jc w:val="center"/>
              <w:rPr>
                <w:rFonts w:cs="Times New Roman"/>
                <w:szCs w:val="24"/>
              </w:rPr>
            </w:pPr>
            <w:r>
              <w:rPr>
                <w:rFonts w:cs="Times New Roman"/>
                <w:szCs w:val="24"/>
              </w:rPr>
              <w:t>0.087</w:t>
            </w:r>
          </w:p>
        </w:tc>
      </w:tr>
      <w:tr w:rsidR="007E5971" w:rsidTr="00117C33">
        <w:trPr>
          <w:trHeight w:val="468"/>
        </w:trPr>
        <w:tc>
          <w:tcPr>
            <w:tcW w:w="1838" w:type="dxa"/>
          </w:tcPr>
          <w:p w:rsidR="007E5971" w:rsidRDefault="007E5971" w:rsidP="00117C33">
            <w:pPr>
              <w:autoSpaceDE w:val="0"/>
              <w:autoSpaceDN w:val="0"/>
              <w:adjustRightInd w:val="0"/>
              <w:spacing w:after="0" w:line="320" w:lineRule="atLeast"/>
              <w:ind w:left="60" w:right="60"/>
              <w:jc w:val="center"/>
              <w:rPr>
                <w:rFonts w:cs="Times New Roman"/>
                <w:szCs w:val="24"/>
              </w:rPr>
            </w:pPr>
            <w:r>
              <w:rPr>
                <w:rFonts w:cs="Times New Roman"/>
                <w:szCs w:val="24"/>
              </w:rPr>
              <w:t>Eosinophils</w:t>
            </w:r>
          </w:p>
        </w:tc>
        <w:tc>
          <w:tcPr>
            <w:tcW w:w="1559" w:type="dxa"/>
          </w:tcPr>
          <w:p w:rsidR="007E5971" w:rsidRDefault="007E5971" w:rsidP="00117C33">
            <w:pPr>
              <w:spacing w:after="0" w:line="240" w:lineRule="auto"/>
              <w:jc w:val="center"/>
              <w:rPr>
                <w:rFonts w:cs="Times New Roman"/>
                <w:szCs w:val="24"/>
              </w:rPr>
            </w:pPr>
            <w:r>
              <w:rPr>
                <w:rFonts w:cs="Times New Roman"/>
                <w:szCs w:val="24"/>
              </w:rPr>
              <w:t>2.26±0.14</w:t>
            </w:r>
          </w:p>
        </w:tc>
        <w:tc>
          <w:tcPr>
            <w:tcW w:w="1843" w:type="dxa"/>
          </w:tcPr>
          <w:p w:rsidR="007E5971" w:rsidRDefault="007E5971" w:rsidP="00117C33">
            <w:pPr>
              <w:spacing w:after="0" w:line="240" w:lineRule="auto"/>
              <w:jc w:val="center"/>
              <w:rPr>
                <w:rFonts w:cs="Times New Roman"/>
                <w:szCs w:val="24"/>
              </w:rPr>
            </w:pPr>
            <w:r>
              <w:rPr>
                <w:rFonts w:cs="Times New Roman"/>
                <w:szCs w:val="24"/>
              </w:rPr>
              <w:t>3.56±0.10</w:t>
            </w:r>
          </w:p>
        </w:tc>
        <w:tc>
          <w:tcPr>
            <w:tcW w:w="1666" w:type="dxa"/>
          </w:tcPr>
          <w:p w:rsidR="007E5971" w:rsidRDefault="007E5971" w:rsidP="00117C33">
            <w:pPr>
              <w:spacing w:after="0" w:line="240" w:lineRule="auto"/>
              <w:jc w:val="center"/>
              <w:rPr>
                <w:rFonts w:cs="Times New Roman"/>
                <w:szCs w:val="24"/>
              </w:rPr>
            </w:pPr>
            <w:r>
              <w:rPr>
                <w:rFonts w:cs="Times New Roman"/>
                <w:szCs w:val="24"/>
              </w:rPr>
              <w:t>-7.534</w:t>
            </w:r>
          </w:p>
        </w:tc>
        <w:tc>
          <w:tcPr>
            <w:tcW w:w="2065" w:type="dxa"/>
          </w:tcPr>
          <w:p w:rsidR="007E5971" w:rsidRDefault="007E5971" w:rsidP="00117C33">
            <w:pPr>
              <w:spacing w:after="0" w:line="240" w:lineRule="auto"/>
              <w:jc w:val="center"/>
              <w:rPr>
                <w:rFonts w:cs="Times New Roman"/>
                <w:szCs w:val="24"/>
              </w:rPr>
            </w:pPr>
            <w:r>
              <w:rPr>
                <w:rFonts w:cs="Times New Roman"/>
                <w:szCs w:val="24"/>
              </w:rPr>
              <w:t>0.000</w:t>
            </w:r>
          </w:p>
        </w:tc>
      </w:tr>
      <w:tr w:rsidR="007E5971" w:rsidTr="00117C33">
        <w:trPr>
          <w:trHeight w:val="495"/>
        </w:trPr>
        <w:tc>
          <w:tcPr>
            <w:tcW w:w="1838" w:type="dxa"/>
          </w:tcPr>
          <w:p w:rsidR="007E5971" w:rsidRDefault="007E5971" w:rsidP="00117C33">
            <w:pPr>
              <w:autoSpaceDE w:val="0"/>
              <w:autoSpaceDN w:val="0"/>
              <w:adjustRightInd w:val="0"/>
              <w:spacing w:after="0" w:line="320" w:lineRule="atLeast"/>
              <w:ind w:left="60" w:right="60"/>
              <w:jc w:val="center"/>
              <w:rPr>
                <w:rFonts w:cs="Times New Roman"/>
                <w:szCs w:val="24"/>
              </w:rPr>
            </w:pPr>
            <w:r>
              <w:rPr>
                <w:rFonts w:cs="Times New Roman"/>
                <w:szCs w:val="24"/>
              </w:rPr>
              <w:t>Basophils</w:t>
            </w:r>
          </w:p>
        </w:tc>
        <w:tc>
          <w:tcPr>
            <w:tcW w:w="1559" w:type="dxa"/>
          </w:tcPr>
          <w:p w:rsidR="007E5971" w:rsidRDefault="007E5971" w:rsidP="00117C33">
            <w:pPr>
              <w:spacing w:after="0" w:line="240" w:lineRule="auto"/>
              <w:jc w:val="center"/>
              <w:rPr>
                <w:rFonts w:cs="Times New Roman"/>
                <w:szCs w:val="24"/>
              </w:rPr>
            </w:pPr>
            <w:r>
              <w:rPr>
                <w:rFonts w:cs="Times New Roman"/>
                <w:szCs w:val="24"/>
              </w:rPr>
              <w:t>0.00±0.00</w:t>
            </w:r>
          </w:p>
        </w:tc>
        <w:tc>
          <w:tcPr>
            <w:tcW w:w="1843" w:type="dxa"/>
          </w:tcPr>
          <w:p w:rsidR="007E5971" w:rsidRDefault="007E5971" w:rsidP="00117C33">
            <w:pPr>
              <w:spacing w:after="0" w:line="240" w:lineRule="auto"/>
              <w:jc w:val="center"/>
              <w:rPr>
                <w:rFonts w:cs="Times New Roman"/>
                <w:szCs w:val="24"/>
              </w:rPr>
            </w:pPr>
            <w:r>
              <w:rPr>
                <w:rFonts w:cs="Times New Roman"/>
                <w:szCs w:val="24"/>
              </w:rPr>
              <w:t>0.00±0.00</w:t>
            </w:r>
          </w:p>
        </w:tc>
        <w:tc>
          <w:tcPr>
            <w:tcW w:w="1666" w:type="dxa"/>
          </w:tcPr>
          <w:p w:rsidR="007E5971" w:rsidRDefault="007E5971" w:rsidP="00117C33">
            <w:pPr>
              <w:spacing w:after="0" w:line="240" w:lineRule="auto"/>
              <w:jc w:val="center"/>
              <w:rPr>
                <w:rFonts w:cs="Times New Roman"/>
                <w:szCs w:val="24"/>
              </w:rPr>
            </w:pPr>
            <w:r>
              <w:rPr>
                <w:rFonts w:cs="Times New Roman"/>
                <w:szCs w:val="24"/>
              </w:rPr>
              <w:t>NA</w:t>
            </w:r>
          </w:p>
        </w:tc>
        <w:tc>
          <w:tcPr>
            <w:tcW w:w="2065" w:type="dxa"/>
          </w:tcPr>
          <w:p w:rsidR="007E5971" w:rsidRDefault="007E5971" w:rsidP="00117C33">
            <w:pPr>
              <w:spacing w:after="0" w:line="240" w:lineRule="auto"/>
              <w:jc w:val="center"/>
              <w:rPr>
                <w:rFonts w:cs="Times New Roman"/>
                <w:szCs w:val="24"/>
              </w:rPr>
            </w:pPr>
            <w:r>
              <w:rPr>
                <w:rFonts w:cs="Times New Roman"/>
                <w:szCs w:val="24"/>
              </w:rPr>
              <w:t>NA</w:t>
            </w:r>
          </w:p>
        </w:tc>
      </w:tr>
    </w:tbl>
    <w:p w:rsidR="007E5971" w:rsidRDefault="007E5971" w:rsidP="007E5971">
      <w:pPr>
        <w:autoSpaceDE w:val="0"/>
        <w:autoSpaceDN w:val="0"/>
        <w:ind w:hanging="480"/>
        <w:rPr>
          <w:b/>
          <w:bCs/>
          <w:color w:val="000000"/>
        </w:rPr>
      </w:pPr>
    </w:p>
    <w:p w:rsidR="007E5971" w:rsidRDefault="007E5971" w:rsidP="007E5971">
      <w:pPr>
        <w:spacing w:line="480" w:lineRule="auto"/>
        <w:jc w:val="both"/>
      </w:pPr>
      <w:r>
        <w:t xml:space="preserve">Dysmenorrhea is a prevalent </w:t>
      </w:r>
      <w:r w:rsidR="007B7FA9">
        <w:t>gynecological</w:t>
      </w:r>
      <w:r>
        <w:t xml:space="preserve"> condition characterized by recurrent lower abdominal pain during menstruation, often accompanied by systemic symptoms such as nausea, fatigue, and mood disturbances. It is classified into primary and secondary types, with the former being more common among adolescents and young women without identifiable pelvic pathology. This study was designed to assess the total and differential WBC counts in females with dysmenorrhea at Madonna University, </w:t>
      </w:r>
      <w:proofErr w:type="spellStart"/>
      <w:r>
        <w:t>Elele</w:t>
      </w:r>
      <w:proofErr w:type="spellEnd"/>
      <w:r>
        <w:t xml:space="preserve">, in </w:t>
      </w:r>
      <w:r w:rsidR="00524F2B">
        <w:t xml:space="preserve">comparison to </w:t>
      </w:r>
      <w:r>
        <w:t>controls.</w:t>
      </w:r>
    </w:p>
    <w:p w:rsidR="007E5971" w:rsidRDefault="007E5971" w:rsidP="007E5971">
      <w:pPr>
        <w:spacing w:line="480" w:lineRule="auto"/>
        <w:jc w:val="both"/>
      </w:pPr>
      <w:r>
        <w:t>The results revealed a significant increase in total white blood ce</w:t>
      </w:r>
      <w:r w:rsidR="00B142FF">
        <w:t>ll count among the test</w:t>
      </w:r>
      <w:r>
        <w:t xml:space="preserve"> group (10.71 ± 0.11 × 10⁹/L) </w:t>
      </w:r>
      <w:r w:rsidR="00B142FF">
        <w:t xml:space="preserve">when </w:t>
      </w:r>
      <w:r>
        <w:t>compared to the control group (6.50 ± 0.09 × 10⁹/L), with a p-value of 0.000. This finding suggests leukocytosis, likely as a physiological response to pain and inflammation associated with dysmenorrhea. Neutrophil levels were markedly higher in the test group (72.11 ± 0.75%) than in controls (59.60 ± 0.48%), also</w:t>
      </w:r>
      <w:r w:rsidR="00B142FF">
        <w:t xml:space="preserve"> statistically significant (p=</w:t>
      </w:r>
      <w:r>
        <w:t xml:space="preserve">0.000), indicating neutrophilia. Conversely, lymphocyte counts were significantly reduced in </w:t>
      </w:r>
      <w:proofErr w:type="spellStart"/>
      <w:r>
        <w:t>dysmenorrheic</w:t>
      </w:r>
      <w:proofErr w:type="spellEnd"/>
      <w:r>
        <w:t xml:space="preserve"> subjects (20.33 ± 0.57%) compared to the control group (31.24 ± 0.49%) with a p-value of 0.000. Eosinophil counts were also signific</w:t>
      </w:r>
      <w:r w:rsidR="00B142FF">
        <w:t>antly lower in the test</w:t>
      </w:r>
      <w:r>
        <w:t xml:space="preserve"> group (2.26 ± 0.14%) compared to controls (3.56 ± 0.10%), while monocyte levels showed no significant difference (p = 0.087). Basophils were not detected in either group.</w:t>
      </w:r>
    </w:p>
    <w:p w:rsidR="007E5971" w:rsidRDefault="007E5971" w:rsidP="007E5971">
      <w:pPr>
        <w:spacing w:line="480" w:lineRule="auto"/>
        <w:jc w:val="both"/>
      </w:pPr>
      <w:r>
        <w:lastRenderedPageBreak/>
        <w:t xml:space="preserve">These </w:t>
      </w:r>
      <w:proofErr w:type="spellStart"/>
      <w:r>
        <w:t>haematological</w:t>
      </w:r>
      <w:proofErr w:type="spellEnd"/>
      <w:r>
        <w:t xml:space="preserve"> changes suggest an ongoing inflammatory process in individuals with dysmenorrhea. Neutrophilia is a hallmark of acute inflammation and stress responses, supporting the theory that prostaglandin-induced uterine contractions elicit systemic immune activation. The</w:t>
      </w:r>
      <w:r w:rsidR="00B142FF">
        <w:t xml:space="preserve"> slight</w:t>
      </w:r>
      <w:r>
        <w:t xml:space="preserve"> lymphopenia observed may reflect redistribution of lymphocytes or hormonal modulation during the menstrual cycle. Similar trends were reported by </w:t>
      </w:r>
      <w:proofErr w:type="spellStart"/>
      <w:r>
        <w:t>Molla</w:t>
      </w:r>
      <w:proofErr w:type="spellEnd"/>
      <w:r>
        <w:t xml:space="preserve"> </w:t>
      </w:r>
      <w:r w:rsidRPr="007B5ADE">
        <w:rPr>
          <w:i/>
        </w:rPr>
        <w:t>et al.</w:t>
      </w:r>
      <w:r w:rsidR="00B142FF">
        <w:t>,</w:t>
      </w:r>
      <w:r>
        <w:t xml:space="preserve"> (2022), who found elevated neutrophil counts and reduced lymphocyte percentages during the menstrual phase in women with dysmenorrhea (</w:t>
      </w:r>
      <w:proofErr w:type="spellStart"/>
      <w:r>
        <w:t>Molla</w:t>
      </w:r>
      <w:proofErr w:type="spellEnd"/>
      <w:r>
        <w:t xml:space="preserve"> </w:t>
      </w:r>
      <w:r>
        <w:rPr>
          <w:i/>
          <w:iCs/>
        </w:rPr>
        <w:t>et al.,</w:t>
      </w:r>
      <w:r>
        <w:t xml:space="preserve"> 2022). </w:t>
      </w:r>
      <w:proofErr w:type="spellStart"/>
      <w:r>
        <w:t>Yildiz</w:t>
      </w:r>
      <w:proofErr w:type="spellEnd"/>
      <w:r>
        <w:t xml:space="preserve"> and </w:t>
      </w:r>
      <w:proofErr w:type="spellStart"/>
      <w:r>
        <w:t>Acaroǧlu</w:t>
      </w:r>
      <w:proofErr w:type="spellEnd"/>
      <w:r>
        <w:t xml:space="preserve"> (2022) also reported leukocytosis and increased inflamma</w:t>
      </w:r>
      <w:r w:rsidR="00B142FF">
        <w:t xml:space="preserve">tory cytokines in </w:t>
      </w:r>
      <w:r>
        <w:t>patients</w:t>
      </w:r>
      <w:r w:rsidR="00B142FF">
        <w:t xml:space="preserve"> with dysmenorrhea</w:t>
      </w:r>
      <w:r>
        <w:t>, corroborating the immunological link to menstrual pain (</w:t>
      </w:r>
      <w:proofErr w:type="spellStart"/>
      <w:r>
        <w:t>Yildiz</w:t>
      </w:r>
      <w:proofErr w:type="spellEnd"/>
      <w:r>
        <w:t xml:space="preserve"> and </w:t>
      </w:r>
      <w:proofErr w:type="spellStart"/>
      <w:r>
        <w:t>Acaroǧlu</w:t>
      </w:r>
      <w:proofErr w:type="spellEnd"/>
      <w:r>
        <w:t>, 2022).</w:t>
      </w:r>
    </w:p>
    <w:p w:rsidR="007E5971" w:rsidRDefault="007E5971" w:rsidP="007E5971">
      <w:pPr>
        <w:spacing w:line="480" w:lineRule="auto"/>
        <w:jc w:val="both"/>
      </w:pPr>
      <w:r>
        <w:t xml:space="preserve">Additionally, Rogers </w:t>
      </w:r>
      <w:r w:rsidRPr="007B5ADE">
        <w:rPr>
          <w:i/>
        </w:rPr>
        <w:t>et al</w:t>
      </w:r>
      <w:r>
        <w:t>.</w:t>
      </w:r>
      <w:r w:rsidR="007B5ADE">
        <w:t>,</w:t>
      </w:r>
      <w:r>
        <w:t xml:space="preserve"> (2023) emphasized the interplay between stress, immune response, and hormonal shifts in dysmenorrhea, highlighting cortisol’s role in altering leukocyte dynamics. The decrease in eosinophils observed in this study aligns with previous reports indicating that eosinophil activity may be suppressed during acute stress or pain responses. Although monocyte levels did not significantly differ between the groups in this study, other works have suggested that monocyte response may vary depending on the phase of the menstrual cycle and individual hormonal profiles (Rogers </w:t>
      </w:r>
      <w:r>
        <w:rPr>
          <w:i/>
          <w:iCs/>
        </w:rPr>
        <w:t>et al.,</w:t>
      </w:r>
      <w:r>
        <w:t xml:space="preserve"> 2023).</w:t>
      </w:r>
    </w:p>
    <w:p w:rsidR="007E5971" w:rsidRDefault="007E5971" w:rsidP="007E5971">
      <w:pPr>
        <w:spacing w:line="480" w:lineRule="auto"/>
        <w:jc w:val="both"/>
        <w:rPr>
          <w:b/>
          <w:bCs/>
        </w:rPr>
      </w:pPr>
      <w:r>
        <w:rPr>
          <w:b/>
          <w:bCs/>
        </w:rPr>
        <w:t>Conclusion</w:t>
      </w:r>
    </w:p>
    <w:p w:rsidR="00524F2B" w:rsidRDefault="007E5971" w:rsidP="007E5971">
      <w:pPr>
        <w:spacing w:line="480" w:lineRule="auto"/>
        <w:jc w:val="both"/>
      </w:pPr>
      <w:r>
        <w:t xml:space="preserve">This study shows that dysmenorrhea in female students of Madonna University, </w:t>
      </w:r>
      <w:proofErr w:type="spellStart"/>
      <w:r>
        <w:t>Elele</w:t>
      </w:r>
      <w:proofErr w:type="spellEnd"/>
      <w:r>
        <w:t xml:space="preserve">, is associated with significant alterations in total and differential white blood cell counts. Specifically, there was a marked increase in total WBC and neutrophil counts, and a corresponding decrease in lymphocyte and eosinophil levels, indicating an inflammatory and stress-mediated </w:t>
      </w:r>
      <w:proofErr w:type="spellStart"/>
      <w:r>
        <w:t>haematological</w:t>
      </w:r>
      <w:proofErr w:type="spellEnd"/>
      <w:r>
        <w:t xml:space="preserve"> response.</w:t>
      </w:r>
    </w:p>
    <w:p w:rsidR="0035526F" w:rsidRPr="007B7FA9" w:rsidRDefault="0035526F" w:rsidP="007E5971">
      <w:pPr>
        <w:spacing w:line="480" w:lineRule="auto"/>
        <w:jc w:val="both"/>
        <w:rPr>
          <w:b/>
        </w:rPr>
      </w:pPr>
      <w:r w:rsidRPr="007B7FA9">
        <w:rPr>
          <w:b/>
        </w:rPr>
        <w:t>Recommendations</w:t>
      </w:r>
    </w:p>
    <w:p w:rsidR="0035526F" w:rsidRDefault="0035526F" w:rsidP="007E5971">
      <w:pPr>
        <w:spacing w:line="480" w:lineRule="auto"/>
        <w:jc w:val="both"/>
      </w:pPr>
      <w:r>
        <w:lastRenderedPageBreak/>
        <w:t>It is strongly recommended that further studies involving larger sample size and other inflammatory markers should be conducted among females who suffer from dysmenorrhea. Also, routine checks and proper monitoring should be conducted on these females to identify and suppress complications which may arise from this medical condition.</w:t>
      </w:r>
    </w:p>
    <w:p w:rsidR="007B7FA9" w:rsidRPr="007B7FA9" w:rsidRDefault="007B7FA9" w:rsidP="007B7FA9">
      <w:pPr>
        <w:spacing w:line="480" w:lineRule="auto"/>
        <w:jc w:val="both"/>
        <w:rPr>
          <w:b/>
        </w:rPr>
      </w:pPr>
      <w:r w:rsidRPr="007B7FA9">
        <w:rPr>
          <w:b/>
        </w:rPr>
        <w:t>Ethical Approval</w:t>
      </w:r>
      <w:r w:rsidRPr="007B7FA9">
        <w:rPr>
          <w:b/>
        </w:rPr>
        <w:t xml:space="preserve"> and Consent: </w:t>
      </w:r>
    </w:p>
    <w:p w:rsidR="007B7FA9" w:rsidRDefault="007B7FA9" w:rsidP="007B7FA9">
      <w:pPr>
        <w:spacing w:line="480" w:lineRule="auto"/>
        <w:jc w:val="both"/>
      </w:pPr>
      <w:r>
        <w:t>Participation was voluntary. Informed and oral consents were obtained from the subjects and confidentiality assured to them. Ethical approval was gotten from the hospital management. The study was carried out according to the Good Clinical Practice Guidelines of the modified Helsinki declaration.</w:t>
      </w:r>
    </w:p>
    <w:p w:rsidR="00524F2B" w:rsidRPr="00524F2B" w:rsidRDefault="00524F2B" w:rsidP="00524F2B">
      <w:pPr>
        <w:rPr>
          <w:b/>
        </w:rPr>
      </w:pPr>
      <w:r w:rsidRPr="00524F2B">
        <w:rPr>
          <w:b/>
        </w:rPr>
        <w:t>Disclaimer (Artificial intelligence)</w:t>
      </w:r>
    </w:p>
    <w:p w:rsidR="007E5971" w:rsidRDefault="00524F2B" w:rsidP="00524F2B">
      <w:pPr>
        <w:spacing w:line="480" w:lineRule="auto"/>
        <w:jc w:val="both"/>
      </w:pPr>
      <w:r w:rsidRPr="00524F2B">
        <w:t>Author(s) hereby declare that NO generative AI technologies such as Large Language Models (</w:t>
      </w:r>
      <w:proofErr w:type="spellStart"/>
      <w:r w:rsidRPr="00524F2B">
        <w:t>ChatGPT</w:t>
      </w:r>
      <w:proofErr w:type="spellEnd"/>
      <w:r w:rsidRPr="00524F2B">
        <w:t>, COPILOT, etc.) and text-to-image generators have been used during the writing or editing of this manuscript</w:t>
      </w:r>
      <w:r>
        <w:t>.</w:t>
      </w:r>
      <w:r w:rsidR="007E5971">
        <w:t xml:space="preserve"> </w:t>
      </w:r>
    </w:p>
    <w:p w:rsidR="00156940" w:rsidRDefault="00156940" w:rsidP="00156940">
      <w:pPr>
        <w:autoSpaceDE w:val="0"/>
        <w:autoSpaceDN w:val="0"/>
        <w:jc w:val="both"/>
        <w:rPr>
          <w:b/>
          <w:bCs/>
          <w:color w:val="000000"/>
        </w:rPr>
      </w:pPr>
    </w:p>
    <w:p w:rsidR="007E5971" w:rsidRDefault="007E5971" w:rsidP="00156940">
      <w:pPr>
        <w:autoSpaceDE w:val="0"/>
        <w:autoSpaceDN w:val="0"/>
        <w:jc w:val="both"/>
        <w:rPr>
          <w:b/>
          <w:bCs/>
          <w:color w:val="000000"/>
        </w:rPr>
      </w:pPr>
      <w:r>
        <w:rPr>
          <w:b/>
          <w:bCs/>
          <w:color w:val="000000"/>
        </w:rPr>
        <w:t>References</w:t>
      </w:r>
    </w:p>
    <w:p w:rsidR="007E5971" w:rsidRDefault="007E5971" w:rsidP="007E5971">
      <w:pPr>
        <w:autoSpaceDE w:val="0"/>
        <w:autoSpaceDN w:val="0"/>
        <w:ind w:hanging="480"/>
        <w:jc w:val="both"/>
        <w:rPr>
          <w:rFonts w:eastAsia="Times New Roman"/>
          <w:szCs w:val="24"/>
        </w:rPr>
      </w:pPr>
      <w:r>
        <w:rPr>
          <w:rFonts w:eastAsia="Times New Roman"/>
        </w:rPr>
        <w:t xml:space="preserve">Baglo, T., </w:t>
      </w:r>
      <w:proofErr w:type="spellStart"/>
      <w:r>
        <w:rPr>
          <w:rFonts w:eastAsia="Times New Roman"/>
        </w:rPr>
        <w:t>Zohoun</w:t>
      </w:r>
      <w:proofErr w:type="spellEnd"/>
      <w:r>
        <w:rPr>
          <w:rFonts w:eastAsia="Times New Roman"/>
        </w:rPr>
        <w:t xml:space="preserve">, A. G. C., </w:t>
      </w:r>
      <w:proofErr w:type="spellStart"/>
      <w:r>
        <w:rPr>
          <w:rFonts w:eastAsia="Times New Roman"/>
        </w:rPr>
        <w:t>Zohoun</w:t>
      </w:r>
      <w:proofErr w:type="spellEnd"/>
      <w:r>
        <w:rPr>
          <w:rFonts w:eastAsia="Times New Roman"/>
        </w:rPr>
        <w:t xml:space="preserve">, L., </w:t>
      </w:r>
      <w:proofErr w:type="spellStart"/>
      <w:r>
        <w:rPr>
          <w:rFonts w:eastAsia="Times New Roman"/>
        </w:rPr>
        <w:t>Sianou</w:t>
      </w:r>
      <w:proofErr w:type="spellEnd"/>
      <w:r>
        <w:rPr>
          <w:rFonts w:eastAsia="Times New Roman"/>
        </w:rPr>
        <w:t>, A., &amp;</w:t>
      </w:r>
      <w:r w:rsidR="00524F2B">
        <w:rPr>
          <w:rFonts w:eastAsia="Times New Roman"/>
        </w:rPr>
        <w:t xml:space="preserve"> </w:t>
      </w:r>
      <w:proofErr w:type="spellStart"/>
      <w:r>
        <w:rPr>
          <w:rFonts w:eastAsia="Times New Roman"/>
        </w:rPr>
        <w:t>KindéGazard</w:t>
      </w:r>
      <w:proofErr w:type="spellEnd"/>
      <w:r>
        <w:rPr>
          <w:rFonts w:eastAsia="Times New Roman"/>
        </w:rPr>
        <w:t xml:space="preserve">, D. (2023). Influence </w:t>
      </w:r>
      <w:proofErr w:type="gramStart"/>
      <w:r>
        <w:rPr>
          <w:rFonts w:eastAsia="Times New Roman"/>
        </w:rPr>
        <w:t>Of</w:t>
      </w:r>
      <w:proofErr w:type="gramEnd"/>
      <w:r>
        <w:rPr>
          <w:rFonts w:eastAsia="Times New Roman"/>
        </w:rPr>
        <w:t xml:space="preserve"> White Blood Cells Count On Parasite Density In Malaria In Children Aged 6 To 59 Months In Benin. </w:t>
      </w:r>
      <w:proofErr w:type="spellStart"/>
      <w:r>
        <w:rPr>
          <w:rFonts w:eastAsia="Times New Roman"/>
          <w:i/>
          <w:iCs/>
        </w:rPr>
        <w:t>Medecine</w:t>
      </w:r>
      <w:proofErr w:type="spellEnd"/>
      <w:r w:rsidR="00524F2B">
        <w:rPr>
          <w:rFonts w:eastAsia="Times New Roman"/>
          <w:i/>
          <w:iCs/>
        </w:rPr>
        <w:t xml:space="preserve"> </w:t>
      </w:r>
      <w:proofErr w:type="spellStart"/>
      <w:r>
        <w:rPr>
          <w:rFonts w:eastAsia="Times New Roman"/>
          <w:i/>
          <w:iCs/>
        </w:rPr>
        <w:t>Tropicale</w:t>
      </w:r>
      <w:proofErr w:type="spellEnd"/>
      <w:r>
        <w:rPr>
          <w:rFonts w:eastAsia="Times New Roman"/>
          <w:i/>
          <w:iCs/>
        </w:rPr>
        <w:t xml:space="preserve"> et </w:t>
      </w:r>
      <w:proofErr w:type="spellStart"/>
      <w:r>
        <w:rPr>
          <w:rFonts w:eastAsia="Times New Roman"/>
          <w:i/>
          <w:iCs/>
        </w:rPr>
        <w:t>Sante</w:t>
      </w:r>
      <w:proofErr w:type="spellEnd"/>
      <w:r w:rsidR="00524F2B">
        <w:rPr>
          <w:rFonts w:eastAsia="Times New Roman"/>
          <w:i/>
          <w:iCs/>
        </w:rPr>
        <w:t xml:space="preserve"> </w:t>
      </w:r>
      <w:proofErr w:type="spellStart"/>
      <w:r>
        <w:rPr>
          <w:rFonts w:eastAsia="Times New Roman"/>
          <w:i/>
          <w:iCs/>
        </w:rPr>
        <w:t>Internationale</w:t>
      </w:r>
      <w:proofErr w:type="spellEnd"/>
      <w:r>
        <w:rPr>
          <w:rFonts w:eastAsia="Times New Roman"/>
          <w:i/>
          <w:iCs/>
        </w:rPr>
        <w:t xml:space="preserve"> (MTSI),</w:t>
      </w:r>
      <w:r w:rsidR="007B5ADE">
        <w:rPr>
          <w:rFonts w:eastAsia="Times New Roman"/>
          <w:i/>
          <w:iCs/>
        </w:rPr>
        <w:t xml:space="preserve"> </w:t>
      </w:r>
      <w:r>
        <w:rPr>
          <w:rFonts w:eastAsia="Times New Roman"/>
          <w:b/>
          <w:bCs/>
        </w:rPr>
        <w:t>3</w:t>
      </w:r>
      <w:r>
        <w:rPr>
          <w:rFonts w:eastAsia="Times New Roman"/>
        </w:rPr>
        <w:t xml:space="preserve">(2): 45-78. </w:t>
      </w:r>
    </w:p>
    <w:p w:rsidR="007E5971" w:rsidRDefault="007E5971" w:rsidP="007E5971">
      <w:pPr>
        <w:autoSpaceDE w:val="0"/>
        <w:autoSpaceDN w:val="0"/>
        <w:ind w:hanging="480"/>
        <w:jc w:val="both"/>
        <w:rPr>
          <w:rFonts w:eastAsia="Times New Roman"/>
        </w:rPr>
      </w:pPr>
      <w:r>
        <w:rPr>
          <w:rFonts w:eastAsia="Times New Roman"/>
        </w:rPr>
        <w:t xml:space="preserve">Bi, Y., Gao, Y., </w:t>
      </w:r>
      <w:proofErr w:type="spellStart"/>
      <w:r>
        <w:rPr>
          <w:rFonts w:eastAsia="Times New Roman"/>
        </w:rPr>
        <w:t>Xie</w:t>
      </w:r>
      <w:proofErr w:type="spellEnd"/>
      <w:r>
        <w:rPr>
          <w:rFonts w:eastAsia="Times New Roman"/>
        </w:rPr>
        <w:t xml:space="preserve">, Y., Zhou, M., Liu, Z., Tian, S., &amp; Sun, C. (2024). White blood cells and type 2 diabetes: A Mendelian randomization study. </w:t>
      </w:r>
      <w:proofErr w:type="spellStart"/>
      <w:r>
        <w:rPr>
          <w:rFonts w:eastAsia="Times New Roman"/>
          <w:i/>
          <w:iCs/>
        </w:rPr>
        <w:t>PLoS</w:t>
      </w:r>
      <w:proofErr w:type="spellEnd"/>
      <w:r>
        <w:rPr>
          <w:rFonts w:eastAsia="Times New Roman"/>
          <w:i/>
          <w:iCs/>
        </w:rPr>
        <w:t xml:space="preserve"> ONE</w:t>
      </w:r>
      <w:r>
        <w:rPr>
          <w:rFonts w:eastAsia="Times New Roman"/>
        </w:rPr>
        <w:t xml:space="preserve">, </w:t>
      </w:r>
      <w:r>
        <w:rPr>
          <w:rFonts w:eastAsia="Times New Roman"/>
          <w:b/>
          <w:bCs/>
        </w:rPr>
        <w:t>19</w:t>
      </w:r>
      <w:r>
        <w:rPr>
          <w:rFonts w:eastAsia="Times New Roman"/>
        </w:rPr>
        <w:t>(</w:t>
      </w:r>
      <w:proofErr w:type="gramStart"/>
      <w:r>
        <w:rPr>
          <w:rFonts w:eastAsia="Times New Roman"/>
        </w:rPr>
        <w:t>3 )</w:t>
      </w:r>
      <w:proofErr w:type="gramEnd"/>
      <w:r>
        <w:rPr>
          <w:rFonts w:eastAsia="Times New Roman"/>
        </w:rPr>
        <w:t xml:space="preserve">: 435-437. </w:t>
      </w:r>
    </w:p>
    <w:p w:rsidR="007E5971" w:rsidRDefault="007E5971" w:rsidP="007E5971">
      <w:pPr>
        <w:autoSpaceDE w:val="0"/>
        <w:autoSpaceDN w:val="0"/>
        <w:ind w:hanging="480"/>
        <w:jc w:val="both"/>
        <w:rPr>
          <w:rFonts w:eastAsia="Times New Roman"/>
        </w:rPr>
      </w:pPr>
      <w:r>
        <w:rPr>
          <w:rFonts w:eastAsia="Times New Roman"/>
        </w:rPr>
        <w:t xml:space="preserve">Chen, Y. C., Chiang, Y. F., Lin, Y. J., Huang, K. C., Chen, H. Y., </w:t>
      </w:r>
      <w:proofErr w:type="spellStart"/>
      <w:r>
        <w:rPr>
          <w:rFonts w:eastAsia="Times New Roman"/>
        </w:rPr>
        <w:t>Hamdy</w:t>
      </w:r>
      <w:proofErr w:type="spellEnd"/>
      <w:r>
        <w:rPr>
          <w:rFonts w:eastAsia="Times New Roman"/>
        </w:rPr>
        <w:t xml:space="preserve">, N. M., Huang, T. C., Chang, H. Y., Shieh, T. M., Huang, Y. J., &amp; Hsia, S. M. (2023). Effect of Vitamin D Supplementation on Primary Dysmenorrhea: A Systematic Review and Meta-Analysis of Randomized Clinical Trials. </w:t>
      </w:r>
      <w:r>
        <w:rPr>
          <w:rFonts w:eastAsia="Times New Roman"/>
          <w:i/>
          <w:iCs/>
        </w:rPr>
        <w:t>Nutrients</w:t>
      </w:r>
      <w:r>
        <w:rPr>
          <w:rFonts w:eastAsia="Times New Roman"/>
        </w:rPr>
        <w:t xml:space="preserve">, </w:t>
      </w:r>
      <w:r>
        <w:rPr>
          <w:rFonts w:eastAsia="Times New Roman"/>
          <w:b/>
          <w:bCs/>
        </w:rPr>
        <w:t>15</w:t>
      </w:r>
      <w:r>
        <w:rPr>
          <w:rFonts w:eastAsia="Times New Roman"/>
        </w:rPr>
        <w:t xml:space="preserve">(13): 56-59. </w:t>
      </w:r>
    </w:p>
    <w:p w:rsidR="007E5971" w:rsidRDefault="007E5971" w:rsidP="007E5971">
      <w:pPr>
        <w:autoSpaceDE w:val="0"/>
        <w:autoSpaceDN w:val="0"/>
        <w:ind w:hanging="480"/>
        <w:jc w:val="both"/>
        <w:rPr>
          <w:rFonts w:eastAsia="Times New Roman"/>
        </w:rPr>
      </w:pPr>
      <w:proofErr w:type="spellStart"/>
      <w:r>
        <w:rPr>
          <w:rFonts w:eastAsia="Times New Roman"/>
        </w:rPr>
        <w:t>Clemenza</w:t>
      </w:r>
      <w:proofErr w:type="spellEnd"/>
      <w:r>
        <w:rPr>
          <w:rFonts w:eastAsia="Times New Roman"/>
        </w:rPr>
        <w:t xml:space="preserve">, S., </w:t>
      </w:r>
      <w:proofErr w:type="spellStart"/>
      <w:r>
        <w:rPr>
          <w:rFonts w:eastAsia="Times New Roman"/>
        </w:rPr>
        <w:t>Vannuccini</w:t>
      </w:r>
      <w:proofErr w:type="spellEnd"/>
      <w:r>
        <w:rPr>
          <w:rFonts w:eastAsia="Times New Roman"/>
        </w:rPr>
        <w:t xml:space="preserve">, S., </w:t>
      </w:r>
      <w:proofErr w:type="spellStart"/>
      <w:r>
        <w:rPr>
          <w:rFonts w:eastAsia="Times New Roman"/>
        </w:rPr>
        <w:t>Capezzuoli</w:t>
      </w:r>
      <w:proofErr w:type="spellEnd"/>
      <w:r>
        <w:rPr>
          <w:rFonts w:eastAsia="Times New Roman"/>
        </w:rPr>
        <w:t xml:space="preserve">, T., </w:t>
      </w:r>
      <w:proofErr w:type="spellStart"/>
      <w:r>
        <w:rPr>
          <w:rFonts w:eastAsia="Times New Roman"/>
        </w:rPr>
        <w:t>Meleca</w:t>
      </w:r>
      <w:proofErr w:type="spellEnd"/>
      <w:r>
        <w:rPr>
          <w:rFonts w:eastAsia="Times New Roman"/>
        </w:rPr>
        <w:t xml:space="preserve">, C. I., </w:t>
      </w:r>
      <w:proofErr w:type="spellStart"/>
      <w:r>
        <w:rPr>
          <w:rFonts w:eastAsia="Times New Roman"/>
        </w:rPr>
        <w:t>Pampaloni</w:t>
      </w:r>
      <w:proofErr w:type="spellEnd"/>
      <w:r>
        <w:rPr>
          <w:rFonts w:eastAsia="Times New Roman"/>
        </w:rPr>
        <w:t xml:space="preserve">, F., &amp; </w:t>
      </w:r>
      <w:proofErr w:type="spellStart"/>
      <w:r>
        <w:rPr>
          <w:rFonts w:eastAsia="Times New Roman"/>
        </w:rPr>
        <w:t>Petraglia</w:t>
      </w:r>
      <w:proofErr w:type="spellEnd"/>
      <w:r>
        <w:rPr>
          <w:rFonts w:eastAsia="Times New Roman"/>
        </w:rPr>
        <w:t xml:space="preserve">, F. (2021). Is primary dysmenorrhea a precursor of future endometriosis development? </w:t>
      </w:r>
      <w:r>
        <w:rPr>
          <w:rFonts w:eastAsia="Times New Roman"/>
          <w:i/>
          <w:iCs/>
        </w:rPr>
        <w:t>Gynecological Endocrinology</w:t>
      </w:r>
      <w:r>
        <w:rPr>
          <w:rFonts w:eastAsia="Times New Roman"/>
        </w:rPr>
        <w:t xml:space="preserve">, </w:t>
      </w:r>
      <w:r>
        <w:rPr>
          <w:rFonts w:eastAsia="Times New Roman"/>
          <w:b/>
          <w:bCs/>
        </w:rPr>
        <w:t>37</w:t>
      </w:r>
      <w:r>
        <w:rPr>
          <w:rFonts w:eastAsia="Times New Roman"/>
        </w:rPr>
        <w:t xml:space="preserve">(4): 287–293. </w:t>
      </w:r>
    </w:p>
    <w:p w:rsidR="007E5971" w:rsidRDefault="007E5971" w:rsidP="007E5971">
      <w:pPr>
        <w:autoSpaceDE w:val="0"/>
        <w:autoSpaceDN w:val="0"/>
        <w:ind w:hanging="480"/>
        <w:jc w:val="both"/>
        <w:rPr>
          <w:rFonts w:eastAsia="Times New Roman"/>
        </w:rPr>
      </w:pPr>
      <w:r>
        <w:rPr>
          <w:rFonts w:eastAsia="Times New Roman"/>
        </w:rPr>
        <w:lastRenderedPageBreak/>
        <w:t xml:space="preserve">Constantinescu, A. E., Bull, C. J., Jones, N., Mitchell, R., Burrows, K., </w:t>
      </w:r>
      <w:proofErr w:type="spellStart"/>
      <w:r>
        <w:rPr>
          <w:rFonts w:eastAsia="Times New Roman"/>
        </w:rPr>
        <w:t>Dimou</w:t>
      </w:r>
      <w:proofErr w:type="spellEnd"/>
      <w:r>
        <w:rPr>
          <w:rFonts w:eastAsia="Times New Roman"/>
        </w:rPr>
        <w:t xml:space="preserve">, N., </w:t>
      </w:r>
      <w:proofErr w:type="spellStart"/>
      <w:r>
        <w:rPr>
          <w:rFonts w:eastAsia="Times New Roman"/>
        </w:rPr>
        <w:t>Bézieau</w:t>
      </w:r>
      <w:proofErr w:type="spellEnd"/>
      <w:r>
        <w:rPr>
          <w:rFonts w:eastAsia="Times New Roman"/>
        </w:rPr>
        <w:t xml:space="preserve">, S., Brenner, H., Buchanan, D. D., D’Amato, M., Jenkins, M. A., Moreno, V., Pai, R. K., Um, C. Y., White, E., Murphy, N., Gunter, M., Timpson, N. J., </w:t>
      </w:r>
      <w:proofErr w:type="spellStart"/>
      <w:r>
        <w:rPr>
          <w:rFonts w:eastAsia="Times New Roman"/>
        </w:rPr>
        <w:t>Huyghe</w:t>
      </w:r>
      <w:proofErr w:type="spellEnd"/>
      <w:r>
        <w:rPr>
          <w:rFonts w:eastAsia="Times New Roman"/>
        </w:rPr>
        <w:t xml:space="preserve">, J. R., &amp; Vincent, E. E. (2024). Circulating white blood cell traits and colorectal cancer risk: A Mendelian </w:t>
      </w:r>
      <w:proofErr w:type="spellStart"/>
      <w:r>
        <w:rPr>
          <w:rFonts w:eastAsia="Times New Roman"/>
        </w:rPr>
        <w:t>randomisation</w:t>
      </w:r>
      <w:proofErr w:type="spellEnd"/>
      <w:r>
        <w:rPr>
          <w:rFonts w:eastAsia="Times New Roman"/>
        </w:rPr>
        <w:t xml:space="preserve"> study. </w:t>
      </w:r>
      <w:r>
        <w:rPr>
          <w:rFonts w:eastAsia="Times New Roman"/>
          <w:i/>
          <w:iCs/>
        </w:rPr>
        <w:t>International Journal of Cancer</w:t>
      </w:r>
      <w:r>
        <w:rPr>
          <w:rFonts w:eastAsia="Times New Roman"/>
        </w:rPr>
        <w:t xml:space="preserve">, </w:t>
      </w:r>
      <w:r>
        <w:rPr>
          <w:rFonts w:eastAsia="Times New Roman"/>
          <w:b/>
          <w:bCs/>
        </w:rPr>
        <w:t>154</w:t>
      </w:r>
      <w:r>
        <w:rPr>
          <w:rFonts w:eastAsia="Times New Roman"/>
        </w:rPr>
        <w:t xml:space="preserve">(1): 94–103. </w:t>
      </w:r>
    </w:p>
    <w:p w:rsidR="007E5971" w:rsidRDefault="007E5971" w:rsidP="007E5971">
      <w:pPr>
        <w:autoSpaceDE w:val="0"/>
        <w:autoSpaceDN w:val="0"/>
        <w:ind w:hanging="480"/>
        <w:jc w:val="both"/>
        <w:rPr>
          <w:rFonts w:eastAsia="Times New Roman"/>
        </w:rPr>
      </w:pPr>
      <w:r>
        <w:rPr>
          <w:rFonts w:eastAsia="Times New Roman"/>
        </w:rPr>
        <w:t>Cortes, H., Hernández-Parra, H., Bernal-Chávez, S. A., Caballero-</w:t>
      </w:r>
      <w:proofErr w:type="spellStart"/>
      <w:r>
        <w:rPr>
          <w:rFonts w:eastAsia="Times New Roman"/>
        </w:rPr>
        <w:t>Florán</w:t>
      </w:r>
      <w:proofErr w:type="spellEnd"/>
      <w:r>
        <w:rPr>
          <w:rFonts w:eastAsia="Times New Roman"/>
        </w:rPr>
        <w:t>, I. H., Aguilar-Vázquez, R., Del Prado-</w:t>
      </w:r>
      <w:proofErr w:type="spellStart"/>
      <w:r>
        <w:rPr>
          <w:rFonts w:eastAsia="Times New Roman"/>
        </w:rPr>
        <w:t>Audelo</w:t>
      </w:r>
      <w:proofErr w:type="spellEnd"/>
      <w:r>
        <w:rPr>
          <w:rFonts w:eastAsia="Times New Roman"/>
        </w:rPr>
        <w:t xml:space="preserve">, M. L., González-Torres, M., Reyes-Hernández, O. D., Figueroa-González, G., &amp; Leyva-Gómez, G. (2023). Current Status of the Therapeutic Approach for Dysmenorrhea. </w:t>
      </w:r>
      <w:r>
        <w:rPr>
          <w:rFonts w:eastAsia="Times New Roman"/>
          <w:i/>
          <w:iCs/>
        </w:rPr>
        <w:t>Cellular and Molecular Biology</w:t>
      </w:r>
      <w:r>
        <w:rPr>
          <w:rFonts w:eastAsia="Times New Roman"/>
        </w:rPr>
        <w:t xml:space="preserve">, </w:t>
      </w:r>
      <w:r>
        <w:rPr>
          <w:rFonts w:eastAsia="Times New Roman"/>
          <w:b/>
          <w:bCs/>
        </w:rPr>
        <w:t>69</w:t>
      </w:r>
      <w:r>
        <w:rPr>
          <w:rFonts w:eastAsia="Times New Roman"/>
        </w:rPr>
        <w:t xml:space="preserve">(3): 52–63. </w:t>
      </w:r>
    </w:p>
    <w:p w:rsidR="007E5971" w:rsidRDefault="007E5971" w:rsidP="007E5971">
      <w:pPr>
        <w:autoSpaceDE w:val="0"/>
        <w:autoSpaceDN w:val="0"/>
        <w:ind w:hanging="480"/>
        <w:jc w:val="both"/>
        <w:rPr>
          <w:rFonts w:eastAsia="Times New Roman"/>
        </w:rPr>
      </w:pPr>
      <w:r>
        <w:rPr>
          <w:rFonts w:eastAsia="Times New Roman"/>
        </w:rPr>
        <w:t xml:space="preserve">Dai, Q., Zhang, Y., Zhao, X., Yang, X., Sun, H., Wu, S., Chen, S., Wang, J., Cao, Z., &amp; Ma, X. (2024). Trajectories of peripheral white blood cells count around the menopause: a prospective cohort study. </w:t>
      </w:r>
      <w:r>
        <w:rPr>
          <w:rFonts w:eastAsia="Times New Roman"/>
          <w:i/>
          <w:iCs/>
        </w:rPr>
        <w:t>BMC Women’s Health</w:t>
      </w:r>
      <w:r>
        <w:rPr>
          <w:rFonts w:eastAsia="Times New Roman"/>
        </w:rPr>
        <w:t xml:space="preserve">, </w:t>
      </w:r>
      <w:r>
        <w:rPr>
          <w:rFonts w:eastAsia="Times New Roman"/>
          <w:b/>
          <w:bCs/>
        </w:rPr>
        <w:t>24</w:t>
      </w:r>
      <w:r>
        <w:rPr>
          <w:rFonts w:eastAsia="Times New Roman"/>
        </w:rPr>
        <w:t xml:space="preserve">(1): 504. </w:t>
      </w:r>
    </w:p>
    <w:p w:rsidR="007E5971" w:rsidRDefault="007E5971" w:rsidP="007E5971">
      <w:pPr>
        <w:autoSpaceDE w:val="0"/>
        <w:autoSpaceDN w:val="0"/>
        <w:ind w:hanging="480"/>
        <w:jc w:val="both"/>
        <w:rPr>
          <w:rFonts w:eastAsia="Times New Roman"/>
        </w:rPr>
      </w:pPr>
      <w:r>
        <w:rPr>
          <w:rFonts w:eastAsia="Times New Roman"/>
        </w:rPr>
        <w:t xml:space="preserve">Dai, Y., Luo, H., Zhu, L., Yang, W., Xiang, H., Shi, Q., &amp; </w:t>
      </w:r>
      <w:proofErr w:type="spellStart"/>
      <w:r>
        <w:rPr>
          <w:rFonts w:eastAsia="Times New Roman"/>
        </w:rPr>
        <w:t>Jin</w:t>
      </w:r>
      <w:proofErr w:type="spellEnd"/>
      <w:r>
        <w:rPr>
          <w:rFonts w:eastAsia="Times New Roman"/>
        </w:rPr>
        <w:t xml:space="preserve">, P. (2024). Dysmenorrhea pattern in adolescences informing adult endometriosis. </w:t>
      </w:r>
      <w:r>
        <w:rPr>
          <w:rFonts w:eastAsia="Times New Roman"/>
          <w:i/>
          <w:iCs/>
        </w:rPr>
        <w:t>BMC Public Health</w:t>
      </w:r>
      <w:r>
        <w:rPr>
          <w:rFonts w:eastAsia="Times New Roman"/>
        </w:rPr>
        <w:t xml:space="preserve">, </w:t>
      </w:r>
      <w:r>
        <w:rPr>
          <w:rFonts w:eastAsia="Times New Roman"/>
          <w:b/>
          <w:bCs/>
        </w:rPr>
        <w:t>24</w:t>
      </w:r>
      <w:r>
        <w:rPr>
          <w:rFonts w:eastAsia="Times New Roman"/>
        </w:rPr>
        <w:t xml:space="preserve">(1):123-127. </w:t>
      </w:r>
    </w:p>
    <w:p w:rsidR="007E5971" w:rsidRDefault="007E5971" w:rsidP="007E5971">
      <w:pPr>
        <w:autoSpaceDE w:val="0"/>
        <w:autoSpaceDN w:val="0"/>
        <w:ind w:hanging="480"/>
        <w:jc w:val="both"/>
        <w:rPr>
          <w:rFonts w:eastAsia="Times New Roman"/>
        </w:rPr>
      </w:pPr>
      <w:proofErr w:type="spellStart"/>
      <w:r>
        <w:rPr>
          <w:rFonts w:eastAsia="Times New Roman"/>
        </w:rPr>
        <w:t>Deodato</w:t>
      </w:r>
      <w:proofErr w:type="spellEnd"/>
      <w:r>
        <w:rPr>
          <w:rFonts w:eastAsia="Times New Roman"/>
        </w:rPr>
        <w:t xml:space="preserve">, M., Grosso, G., Drago, A., Martini, M., </w:t>
      </w:r>
      <w:proofErr w:type="spellStart"/>
      <w:r>
        <w:rPr>
          <w:rFonts w:eastAsia="Times New Roman"/>
        </w:rPr>
        <w:t>Dudine</w:t>
      </w:r>
      <w:proofErr w:type="spellEnd"/>
      <w:r>
        <w:rPr>
          <w:rFonts w:eastAsia="Times New Roman"/>
        </w:rPr>
        <w:t xml:space="preserve">, E., </w:t>
      </w:r>
      <w:proofErr w:type="spellStart"/>
      <w:r>
        <w:rPr>
          <w:rFonts w:eastAsia="Times New Roman"/>
        </w:rPr>
        <w:t>Murena</w:t>
      </w:r>
      <w:proofErr w:type="spellEnd"/>
      <w:r>
        <w:rPr>
          <w:rFonts w:eastAsia="Times New Roman"/>
        </w:rPr>
        <w:t>, L., &amp;</w:t>
      </w:r>
      <w:proofErr w:type="spellStart"/>
      <w:r>
        <w:rPr>
          <w:rFonts w:eastAsia="Times New Roman"/>
        </w:rPr>
        <w:t>Buoite</w:t>
      </w:r>
      <w:proofErr w:type="spellEnd"/>
      <w:r>
        <w:rPr>
          <w:rFonts w:eastAsia="Times New Roman"/>
        </w:rPr>
        <w:t xml:space="preserve"> Stella, A. (2023). Efficacy of manual therapy and pelvic floor exercises for pain reduction in primary dysmenorrhea: A prospective observational study. </w:t>
      </w:r>
      <w:r>
        <w:rPr>
          <w:rFonts w:eastAsia="Times New Roman"/>
          <w:i/>
          <w:iCs/>
        </w:rPr>
        <w:t>Journal of Bodywork and Movement Therapies</w:t>
      </w:r>
      <w:r>
        <w:rPr>
          <w:rFonts w:eastAsia="Times New Roman"/>
        </w:rPr>
        <w:t xml:space="preserve">, </w:t>
      </w:r>
      <w:r w:rsidRPr="007B5ADE">
        <w:rPr>
          <w:rFonts w:eastAsia="Times New Roman"/>
          <w:b/>
          <w:iCs/>
        </w:rPr>
        <w:t>36</w:t>
      </w:r>
      <w:r>
        <w:rPr>
          <w:rFonts w:eastAsia="Times New Roman"/>
          <w:i/>
          <w:iCs/>
        </w:rPr>
        <w:t>:</w:t>
      </w:r>
      <w:r>
        <w:rPr>
          <w:rFonts w:eastAsia="Times New Roman"/>
        </w:rPr>
        <w:t xml:space="preserve"> 185–191. </w:t>
      </w:r>
    </w:p>
    <w:p w:rsidR="007E5971" w:rsidRDefault="007E5971" w:rsidP="007E5971">
      <w:pPr>
        <w:autoSpaceDE w:val="0"/>
        <w:autoSpaceDN w:val="0"/>
        <w:ind w:hanging="480"/>
        <w:jc w:val="both"/>
        <w:rPr>
          <w:rFonts w:eastAsia="Times New Roman"/>
        </w:rPr>
      </w:pPr>
      <w:proofErr w:type="spellStart"/>
      <w:r>
        <w:rPr>
          <w:rFonts w:eastAsia="Times New Roman"/>
        </w:rPr>
        <w:t>Donayeva</w:t>
      </w:r>
      <w:proofErr w:type="spellEnd"/>
      <w:r>
        <w:rPr>
          <w:rFonts w:eastAsia="Times New Roman"/>
        </w:rPr>
        <w:t xml:space="preserve">, A., </w:t>
      </w:r>
      <w:proofErr w:type="spellStart"/>
      <w:r>
        <w:rPr>
          <w:rFonts w:eastAsia="Times New Roman"/>
        </w:rPr>
        <w:t>Amanzholkyzy</w:t>
      </w:r>
      <w:proofErr w:type="spellEnd"/>
      <w:r>
        <w:rPr>
          <w:rFonts w:eastAsia="Times New Roman"/>
        </w:rPr>
        <w:t xml:space="preserve">, A., </w:t>
      </w:r>
      <w:proofErr w:type="spellStart"/>
      <w:r>
        <w:rPr>
          <w:rFonts w:eastAsia="Times New Roman"/>
        </w:rPr>
        <w:t>Abdelazim</w:t>
      </w:r>
      <w:proofErr w:type="spellEnd"/>
      <w:r>
        <w:rPr>
          <w:rFonts w:eastAsia="Times New Roman"/>
        </w:rPr>
        <w:t xml:space="preserve">, I., </w:t>
      </w:r>
      <w:proofErr w:type="spellStart"/>
      <w:r>
        <w:rPr>
          <w:rFonts w:eastAsia="Times New Roman"/>
        </w:rPr>
        <w:t>Saparbayev</w:t>
      </w:r>
      <w:proofErr w:type="spellEnd"/>
      <w:r>
        <w:rPr>
          <w:rFonts w:eastAsia="Times New Roman"/>
        </w:rPr>
        <w:t xml:space="preserve">, S., </w:t>
      </w:r>
      <w:proofErr w:type="spellStart"/>
      <w:r>
        <w:rPr>
          <w:rFonts w:eastAsia="Times New Roman"/>
        </w:rPr>
        <w:t>Nurgaliyeva</w:t>
      </w:r>
      <w:proofErr w:type="spellEnd"/>
      <w:r>
        <w:rPr>
          <w:rFonts w:eastAsia="Times New Roman"/>
        </w:rPr>
        <w:t xml:space="preserve">, R., </w:t>
      </w:r>
      <w:proofErr w:type="spellStart"/>
      <w:r>
        <w:rPr>
          <w:rFonts w:eastAsia="Times New Roman"/>
        </w:rPr>
        <w:t>Kaldybayeva</w:t>
      </w:r>
      <w:proofErr w:type="spellEnd"/>
      <w:r>
        <w:rPr>
          <w:rFonts w:eastAsia="Times New Roman"/>
        </w:rPr>
        <w:t xml:space="preserve">, A., </w:t>
      </w:r>
      <w:proofErr w:type="spellStart"/>
      <w:r>
        <w:rPr>
          <w:rFonts w:eastAsia="Times New Roman"/>
        </w:rPr>
        <w:t>Zhexenova</w:t>
      </w:r>
      <w:proofErr w:type="spellEnd"/>
      <w:r>
        <w:rPr>
          <w:rFonts w:eastAsia="Times New Roman"/>
        </w:rPr>
        <w:t xml:space="preserve">, A., </w:t>
      </w:r>
      <w:proofErr w:type="spellStart"/>
      <w:r>
        <w:rPr>
          <w:rFonts w:eastAsia="Times New Roman"/>
        </w:rPr>
        <w:t>Gubasheva</w:t>
      </w:r>
      <w:proofErr w:type="spellEnd"/>
      <w:r>
        <w:rPr>
          <w:rFonts w:eastAsia="Times New Roman"/>
        </w:rPr>
        <w:t xml:space="preserve">, G., </w:t>
      </w:r>
      <w:proofErr w:type="spellStart"/>
      <w:r>
        <w:rPr>
          <w:rFonts w:eastAsia="Times New Roman"/>
        </w:rPr>
        <w:t>Ayaganov</w:t>
      </w:r>
      <w:proofErr w:type="spellEnd"/>
      <w:r>
        <w:rPr>
          <w:rFonts w:eastAsia="Times New Roman"/>
        </w:rPr>
        <w:t xml:space="preserve">, D., &amp; Samaha, I. (2023). The effects of vitamin D and calcium on primary dysmenorrhea: a systematic review. </w:t>
      </w:r>
      <w:r>
        <w:rPr>
          <w:rFonts w:eastAsia="Times New Roman"/>
          <w:i/>
          <w:iCs/>
        </w:rPr>
        <w:t>Journal of Medicine and Life</w:t>
      </w:r>
      <w:r>
        <w:rPr>
          <w:rFonts w:eastAsia="Times New Roman"/>
        </w:rPr>
        <w:t xml:space="preserve">, </w:t>
      </w:r>
      <w:r>
        <w:rPr>
          <w:rFonts w:eastAsia="Times New Roman"/>
          <w:b/>
          <w:bCs/>
        </w:rPr>
        <w:t>16</w:t>
      </w:r>
      <w:r>
        <w:rPr>
          <w:rFonts w:eastAsia="Times New Roman"/>
        </w:rPr>
        <w:t xml:space="preserve">(11): 1597–1605. </w:t>
      </w:r>
    </w:p>
    <w:p w:rsidR="007E5971" w:rsidRDefault="007E5971" w:rsidP="007E5971">
      <w:pPr>
        <w:autoSpaceDE w:val="0"/>
        <w:autoSpaceDN w:val="0"/>
        <w:ind w:hanging="480"/>
        <w:jc w:val="both"/>
        <w:rPr>
          <w:rFonts w:eastAsia="Times New Roman"/>
        </w:rPr>
      </w:pPr>
      <w:r>
        <w:rPr>
          <w:rFonts w:eastAsia="Times New Roman"/>
        </w:rPr>
        <w:t xml:space="preserve">Escolar, G., </w:t>
      </w:r>
      <w:proofErr w:type="spellStart"/>
      <w:r>
        <w:rPr>
          <w:rFonts w:eastAsia="Times New Roman"/>
        </w:rPr>
        <w:t>Mazzara</w:t>
      </w:r>
      <w:proofErr w:type="spellEnd"/>
      <w:r>
        <w:rPr>
          <w:rFonts w:eastAsia="Times New Roman"/>
        </w:rPr>
        <w:t>, R., White, J. G., Castillo, R., &amp;</w:t>
      </w:r>
      <w:proofErr w:type="spellStart"/>
      <w:r>
        <w:rPr>
          <w:rFonts w:eastAsia="Times New Roman"/>
        </w:rPr>
        <w:t>Ordinas</w:t>
      </w:r>
      <w:proofErr w:type="spellEnd"/>
      <w:r>
        <w:rPr>
          <w:rFonts w:eastAsia="Times New Roman"/>
        </w:rPr>
        <w:t xml:space="preserve">, A. (1992). Contribution of perfusion techniques to the evaluation of the hemostatic effectiveness of platelet concentrates. </w:t>
      </w:r>
      <w:r>
        <w:rPr>
          <w:rFonts w:eastAsia="Times New Roman"/>
          <w:i/>
          <w:iCs/>
        </w:rPr>
        <w:t>Blood Cells</w:t>
      </w:r>
      <w:r>
        <w:rPr>
          <w:rFonts w:eastAsia="Times New Roman"/>
        </w:rPr>
        <w:t xml:space="preserve">, </w:t>
      </w:r>
      <w:r>
        <w:rPr>
          <w:rFonts w:eastAsia="Times New Roman"/>
          <w:b/>
          <w:bCs/>
        </w:rPr>
        <w:t>18</w:t>
      </w:r>
      <w:r>
        <w:rPr>
          <w:rFonts w:eastAsia="Times New Roman"/>
        </w:rPr>
        <w:t>(3): 403–415.</w:t>
      </w:r>
    </w:p>
    <w:p w:rsidR="007E5971" w:rsidRDefault="007E5971" w:rsidP="007E5971">
      <w:pPr>
        <w:autoSpaceDE w:val="0"/>
        <w:autoSpaceDN w:val="0"/>
        <w:ind w:hanging="480"/>
        <w:jc w:val="both"/>
        <w:rPr>
          <w:rFonts w:eastAsia="Times New Roman"/>
        </w:rPr>
      </w:pPr>
      <w:r>
        <w:rPr>
          <w:rFonts w:eastAsia="Times New Roman"/>
        </w:rPr>
        <w:t xml:space="preserve">Gao, Z., Li, B., Guo, X., Bai, W., &amp; Kou, C. (2023). The association between schizophrenia and white blood cells count: a bidirectional two-sample Mendelian randomization study. </w:t>
      </w:r>
      <w:r>
        <w:rPr>
          <w:rFonts w:eastAsia="Times New Roman"/>
          <w:i/>
          <w:iCs/>
        </w:rPr>
        <w:t>BMC Psychiatry</w:t>
      </w:r>
      <w:r>
        <w:rPr>
          <w:rFonts w:eastAsia="Times New Roman"/>
        </w:rPr>
        <w:t xml:space="preserve">, </w:t>
      </w:r>
      <w:r>
        <w:rPr>
          <w:rFonts w:eastAsia="Times New Roman"/>
          <w:b/>
          <w:bCs/>
        </w:rPr>
        <w:t>23</w:t>
      </w:r>
      <w:r>
        <w:rPr>
          <w:rFonts w:eastAsia="Times New Roman"/>
        </w:rPr>
        <w:t xml:space="preserve">(1): 453-459. </w:t>
      </w:r>
    </w:p>
    <w:p w:rsidR="007E5971" w:rsidRDefault="007E5971" w:rsidP="007E5971">
      <w:pPr>
        <w:autoSpaceDE w:val="0"/>
        <w:autoSpaceDN w:val="0"/>
        <w:ind w:hanging="480"/>
        <w:jc w:val="both"/>
        <w:rPr>
          <w:rFonts w:eastAsia="Times New Roman"/>
        </w:rPr>
      </w:pPr>
      <w:r>
        <w:rPr>
          <w:rFonts w:eastAsia="Times New Roman"/>
        </w:rPr>
        <w:t xml:space="preserve">Garcia-Lamont, F., Lopez-Chau, A., Cervantes, J., &amp; Ruiz, S. (2024). Nucleus segmentation of white blood cells in blood smear images by modeling the pixels’ intensities as a set of three Gaussian distributions. </w:t>
      </w:r>
      <w:r>
        <w:rPr>
          <w:rFonts w:eastAsia="Times New Roman"/>
          <w:i/>
          <w:iCs/>
        </w:rPr>
        <w:t>Medical &amp; Biological Engineering &amp; Computing</w:t>
      </w:r>
      <w:r>
        <w:rPr>
          <w:rFonts w:eastAsia="Times New Roman"/>
        </w:rPr>
        <w:t xml:space="preserve">, </w:t>
      </w:r>
      <w:r>
        <w:rPr>
          <w:rFonts w:eastAsia="Times New Roman"/>
          <w:b/>
          <w:bCs/>
        </w:rPr>
        <w:t>62</w:t>
      </w:r>
      <w:r>
        <w:rPr>
          <w:rFonts w:eastAsia="Times New Roman"/>
        </w:rPr>
        <w:t xml:space="preserve">(8): 2371–2388. </w:t>
      </w:r>
    </w:p>
    <w:p w:rsidR="007E5971" w:rsidRDefault="007E5971" w:rsidP="007E5971">
      <w:pPr>
        <w:autoSpaceDE w:val="0"/>
        <w:autoSpaceDN w:val="0"/>
        <w:ind w:hanging="480"/>
        <w:jc w:val="both"/>
        <w:rPr>
          <w:rFonts w:eastAsia="Times New Roman"/>
        </w:rPr>
      </w:pPr>
      <w:r>
        <w:rPr>
          <w:rFonts w:eastAsia="Times New Roman"/>
        </w:rPr>
        <w:t xml:space="preserve">Guy, M., </w:t>
      </w:r>
      <w:proofErr w:type="spellStart"/>
      <w:r>
        <w:rPr>
          <w:rFonts w:eastAsia="Times New Roman"/>
        </w:rPr>
        <w:t>Foucher</w:t>
      </w:r>
      <w:proofErr w:type="spellEnd"/>
      <w:r>
        <w:rPr>
          <w:rFonts w:eastAsia="Times New Roman"/>
        </w:rPr>
        <w:t xml:space="preserve">, C., </w:t>
      </w:r>
      <w:proofErr w:type="spellStart"/>
      <w:r>
        <w:rPr>
          <w:rFonts w:eastAsia="Times New Roman"/>
        </w:rPr>
        <w:t>Juhel</w:t>
      </w:r>
      <w:proofErr w:type="spellEnd"/>
      <w:r>
        <w:rPr>
          <w:rFonts w:eastAsia="Times New Roman"/>
        </w:rPr>
        <w:t xml:space="preserve">, C., </w:t>
      </w:r>
      <w:proofErr w:type="spellStart"/>
      <w:r>
        <w:rPr>
          <w:rFonts w:eastAsia="Times New Roman"/>
        </w:rPr>
        <w:t>Rigaudier</w:t>
      </w:r>
      <w:proofErr w:type="spellEnd"/>
      <w:r>
        <w:rPr>
          <w:rFonts w:eastAsia="Times New Roman"/>
        </w:rPr>
        <w:t xml:space="preserve">, F., Mayeux, G., &amp; Levesque, A. (2022). Transcutaneous electrical neurostimulation relieves primary dysmenorrhea: A randomized, double-blind clinical study versus placebo. </w:t>
      </w:r>
      <w:proofErr w:type="spellStart"/>
      <w:r>
        <w:rPr>
          <w:rFonts w:eastAsia="Times New Roman"/>
          <w:i/>
          <w:iCs/>
        </w:rPr>
        <w:t>ProgresEnUrologie</w:t>
      </w:r>
      <w:proofErr w:type="spellEnd"/>
      <w:r>
        <w:rPr>
          <w:rFonts w:eastAsia="Times New Roman"/>
        </w:rPr>
        <w:t xml:space="preserve">, </w:t>
      </w:r>
      <w:r>
        <w:rPr>
          <w:rFonts w:eastAsia="Times New Roman"/>
          <w:b/>
          <w:bCs/>
        </w:rPr>
        <w:t>32</w:t>
      </w:r>
      <w:r>
        <w:rPr>
          <w:rFonts w:eastAsia="Times New Roman"/>
        </w:rPr>
        <w:t xml:space="preserve">(7): 487–497. </w:t>
      </w:r>
    </w:p>
    <w:p w:rsidR="007E5971" w:rsidRDefault="007E5971" w:rsidP="007E5971">
      <w:pPr>
        <w:autoSpaceDE w:val="0"/>
        <w:autoSpaceDN w:val="0"/>
        <w:ind w:hanging="480"/>
        <w:jc w:val="both"/>
        <w:rPr>
          <w:rFonts w:eastAsia="Times New Roman"/>
        </w:rPr>
      </w:pPr>
      <w:r>
        <w:rPr>
          <w:rFonts w:eastAsia="Times New Roman"/>
        </w:rPr>
        <w:t xml:space="preserve">He, J., Zhang, Y., Cheng, X., Li, T., Xiao, Y., Peng, L., Feng, Y., He, J., Hao, P., Deng, H., Wang, P., Chong, W., Hai, Y., Chen, L., You, C., Jia, L., &amp; Fang, F. (2023). White Blood Cell </w:t>
      </w:r>
      <w:r>
        <w:rPr>
          <w:rFonts w:eastAsia="Times New Roman"/>
        </w:rPr>
        <w:lastRenderedPageBreak/>
        <w:t xml:space="preserve">Count Predicts Mortality in Patients with Spontaneous Intracerebral Hemorrhage. </w:t>
      </w:r>
      <w:r>
        <w:rPr>
          <w:rFonts w:eastAsia="Times New Roman"/>
          <w:i/>
          <w:iCs/>
        </w:rPr>
        <w:t>Neurocritical Care</w:t>
      </w:r>
      <w:r>
        <w:rPr>
          <w:rFonts w:eastAsia="Times New Roman"/>
        </w:rPr>
        <w:t xml:space="preserve">, </w:t>
      </w:r>
      <w:r>
        <w:rPr>
          <w:rFonts w:eastAsia="Times New Roman"/>
          <w:b/>
          <w:bCs/>
        </w:rPr>
        <w:t>39</w:t>
      </w:r>
      <w:r>
        <w:rPr>
          <w:rFonts w:eastAsia="Times New Roman"/>
        </w:rPr>
        <w:t xml:space="preserve">(2): 445–454. </w:t>
      </w:r>
    </w:p>
    <w:p w:rsidR="007E5971" w:rsidRDefault="007E5971" w:rsidP="007E5971">
      <w:pPr>
        <w:autoSpaceDE w:val="0"/>
        <w:autoSpaceDN w:val="0"/>
        <w:ind w:hanging="480"/>
        <w:jc w:val="both"/>
        <w:rPr>
          <w:rFonts w:eastAsia="Times New Roman"/>
        </w:rPr>
      </w:pPr>
      <w:r>
        <w:rPr>
          <w:rFonts w:eastAsia="Times New Roman"/>
        </w:rPr>
        <w:t xml:space="preserve">Huang, W. C., Chiu, P. C., &amp; Ho, C. H. (2022). The Sprint-Interval Exercise Using a Spinning Bike Improves Physical Fitness and Ameliorates Primary Dysmenorrhea Symptoms Through Hormone and Inflammation Modulations: A Randomized Controlled Trial. </w:t>
      </w:r>
      <w:r>
        <w:rPr>
          <w:rFonts w:eastAsia="Times New Roman"/>
          <w:i/>
          <w:iCs/>
        </w:rPr>
        <w:t>Journal of Sports Science and Medicine</w:t>
      </w:r>
      <w:r>
        <w:rPr>
          <w:rFonts w:eastAsia="Times New Roman"/>
        </w:rPr>
        <w:t xml:space="preserve">, </w:t>
      </w:r>
      <w:r>
        <w:rPr>
          <w:rFonts w:eastAsia="Times New Roman"/>
          <w:b/>
          <w:bCs/>
        </w:rPr>
        <w:t>21</w:t>
      </w:r>
      <w:r>
        <w:rPr>
          <w:rFonts w:eastAsia="Times New Roman"/>
        </w:rPr>
        <w:t xml:space="preserve">(4): 595–607. </w:t>
      </w:r>
    </w:p>
    <w:p w:rsidR="007E5971" w:rsidRDefault="007E5971" w:rsidP="007E5971">
      <w:pPr>
        <w:autoSpaceDE w:val="0"/>
        <w:autoSpaceDN w:val="0"/>
        <w:ind w:hanging="480"/>
        <w:jc w:val="both"/>
        <w:rPr>
          <w:rFonts w:eastAsia="Times New Roman"/>
        </w:rPr>
      </w:pPr>
      <w:proofErr w:type="spellStart"/>
      <w:r>
        <w:rPr>
          <w:rFonts w:eastAsia="Times New Roman"/>
        </w:rPr>
        <w:t>Karout</w:t>
      </w:r>
      <w:proofErr w:type="spellEnd"/>
      <w:r>
        <w:rPr>
          <w:rFonts w:eastAsia="Times New Roman"/>
        </w:rPr>
        <w:t xml:space="preserve">, S., </w:t>
      </w:r>
      <w:proofErr w:type="spellStart"/>
      <w:r>
        <w:rPr>
          <w:rFonts w:eastAsia="Times New Roman"/>
        </w:rPr>
        <w:t>Soubra</w:t>
      </w:r>
      <w:proofErr w:type="spellEnd"/>
      <w:r>
        <w:rPr>
          <w:rFonts w:eastAsia="Times New Roman"/>
        </w:rPr>
        <w:t xml:space="preserve">, L., </w:t>
      </w:r>
      <w:proofErr w:type="spellStart"/>
      <w:r>
        <w:rPr>
          <w:rFonts w:eastAsia="Times New Roman"/>
        </w:rPr>
        <w:t>Rahme</w:t>
      </w:r>
      <w:proofErr w:type="spellEnd"/>
      <w:r>
        <w:rPr>
          <w:rFonts w:eastAsia="Times New Roman"/>
        </w:rPr>
        <w:t xml:space="preserve">, D., </w:t>
      </w:r>
      <w:proofErr w:type="spellStart"/>
      <w:r>
        <w:rPr>
          <w:rFonts w:eastAsia="Times New Roman"/>
        </w:rPr>
        <w:t>Karout</w:t>
      </w:r>
      <w:proofErr w:type="spellEnd"/>
      <w:r>
        <w:rPr>
          <w:rFonts w:eastAsia="Times New Roman"/>
        </w:rPr>
        <w:t xml:space="preserve">, L., </w:t>
      </w:r>
      <w:proofErr w:type="spellStart"/>
      <w:r>
        <w:rPr>
          <w:rFonts w:eastAsia="Times New Roman"/>
        </w:rPr>
        <w:t>Khojah</w:t>
      </w:r>
      <w:proofErr w:type="spellEnd"/>
      <w:r>
        <w:rPr>
          <w:rFonts w:eastAsia="Times New Roman"/>
        </w:rPr>
        <w:t xml:space="preserve">, H. M. J., &amp; </w:t>
      </w:r>
      <w:proofErr w:type="spellStart"/>
      <w:r>
        <w:rPr>
          <w:rFonts w:eastAsia="Times New Roman"/>
        </w:rPr>
        <w:t>Itani</w:t>
      </w:r>
      <w:proofErr w:type="spellEnd"/>
      <w:r>
        <w:rPr>
          <w:rFonts w:eastAsia="Times New Roman"/>
        </w:rPr>
        <w:t xml:space="preserve">, R. (2021). Prevalence, risk factors, and management practices of primary dysmenorrhea among young females. </w:t>
      </w:r>
      <w:r>
        <w:rPr>
          <w:rFonts w:eastAsia="Times New Roman"/>
          <w:i/>
          <w:iCs/>
        </w:rPr>
        <w:t>BMC Women’s Health</w:t>
      </w:r>
      <w:r>
        <w:rPr>
          <w:rFonts w:eastAsia="Times New Roman"/>
        </w:rPr>
        <w:t xml:space="preserve">, </w:t>
      </w:r>
      <w:r>
        <w:rPr>
          <w:rFonts w:eastAsia="Times New Roman"/>
          <w:b/>
          <w:bCs/>
        </w:rPr>
        <w:t>21</w:t>
      </w:r>
      <w:r>
        <w:rPr>
          <w:rFonts w:eastAsia="Times New Roman"/>
        </w:rPr>
        <w:t xml:space="preserve">(1): 56-59. </w:t>
      </w:r>
    </w:p>
    <w:p w:rsidR="007E5971" w:rsidRDefault="007E5971" w:rsidP="007E5971">
      <w:pPr>
        <w:autoSpaceDE w:val="0"/>
        <w:autoSpaceDN w:val="0"/>
        <w:ind w:hanging="480"/>
        <w:jc w:val="both"/>
        <w:rPr>
          <w:rFonts w:eastAsia="Times New Roman"/>
        </w:rPr>
      </w:pPr>
      <w:proofErr w:type="spellStart"/>
      <w:r>
        <w:rPr>
          <w:rFonts w:eastAsia="Times New Roman"/>
        </w:rPr>
        <w:t>Mardon</w:t>
      </w:r>
      <w:proofErr w:type="spellEnd"/>
      <w:r>
        <w:rPr>
          <w:rFonts w:eastAsia="Times New Roman"/>
        </w:rPr>
        <w:t xml:space="preserve">, A. K., Whitaker, L., Farooqi, T., Girling, J., Henry, C., </w:t>
      </w:r>
      <w:proofErr w:type="spellStart"/>
      <w:r>
        <w:rPr>
          <w:rFonts w:eastAsia="Times New Roman"/>
        </w:rPr>
        <w:t>Ee</w:t>
      </w:r>
      <w:proofErr w:type="spellEnd"/>
      <w:r>
        <w:rPr>
          <w:rFonts w:eastAsia="Times New Roman"/>
        </w:rPr>
        <w:t xml:space="preserve">, C., </w:t>
      </w:r>
      <w:proofErr w:type="spellStart"/>
      <w:r>
        <w:rPr>
          <w:rFonts w:eastAsia="Times New Roman"/>
        </w:rPr>
        <w:t>Tewhaiti</w:t>
      </w:r>
      <w:proofErr w:type="spellEnd"/>
      <w:r>
        <w:rPr>
          <w:rFonts w:eastAsia="Times New Roman"/>
        </w:rPr>
        <w:t>-Smith, J., &amp;</w:t>
      </w:r>
      <w:proofErr w:type="spellStart"/>
      <w:r>
        <w:rPr>
          <w:rFonts w:eastAsia="Times New Roman"/>
        </w:rPr>
        <w:t>Armour</w:t>
      </w:r>
      <w:proofErr w:type="spellEnd"/>
      <w:r>
        <w:rPr>
          <w:rFonts w:eastAsia="Times New Roman"/>
        </w:rPr>
        <w:t xml:space="preserve">, M. (2024). Investigational drugs for the treatment of dysmenorrhea. </w:t>
      </w:r>
      <w:r>
        <w:rPr>
          <w:rFonts w:eastAsia="Times New Roman"/>
          <w:i/>
          <w:iCs/>
        </w:rPr>
        <w:t>Expert Opinion on Investigational Drugs</w:t>
      </w:r>
      <w:r>
        <w:rPr>
          <w:rFonts w:eastAsia="Times New Roman"/>
        </w:rPr>
        <w:t xml:space="preserve">, </w:t>
      </w:r>
      <w:r>
        <w:rPr>
          <w:rFonts w:eastAsia="Times New Roman"/>
          <w:b/>
          <w:bCs/>
        </w:rPr>
        <w:t>33</w:t>
      </w:r>
      <w:r>
        <w:rPr>
          <w:rFonts w:eastAsia="Times New Roman"/>
        </w:rPr>
        <w:t xml:space="preserve">(4): 347–357. </w:t>
      </w:r>
    </w:p>
    <w:p w:rsidR="007E5971" w:rsidRDefault="007E5971" w:rsidP="007E5971">
      <w:pPr>
        <w:autoSpaceDE w:val="0"/>
        <w:autoSpaceDN w:val="0"/>
        <w:ind w:hanging="480"/>
        <w:jc w:val="both"/>
        <w:rPr>
          <w:rFonts w:eastAsia="Times New Roman"/>
        </w:rPr>
      </w:pPr>
      <w:r>
        <w:rPr>
          <w:rFonts w:eastAsia="Times New Roman"/>
        </w:rPr>
        <w:t xml:space="preserve">McKenna, K. A., &amp; </w:t>
      </w:r>
      <w:proofErr w:type="spellStart"/>
      <w:r>
        <w:rPr>
          <w:rFonts w:eastAsia="Times New Roman"/>
        </w:rPr>
        <w:t>Fogleman</w:t>
      </w:r>
      <w:proofErr w:type="spellEnd"/>
      <w:r>
        <w:rPr>
          <w:rFonts w:eastAsia="Times New Roman"/>
        </w:rPr>
        <w:t xml:space="preserve">, C. D. (2021). Dysmenorrhea. </w:t>
      </w:r>
      <w:r>
        <w:rPr>
          <w:rFonts w:eastAsia="Times New Roman"/>
          <w:i/>
          <w:iCs/>
        </w:rPr>
        <w:t>American Family Physician</w:t>
      </w:r>
      <w:r>
        <w:rPr>
          <w:rFonts w:eastAsia="Times New Roman"/>
        </w:rPr>
        <w:t xml:space="preserve">, </w:t>
      </w:r>
      <w:r>
        <w:rPr>
          <w:rFonts w:eastAsia="Times New Roman"/>
          <w:b/>
          <w:bCs/>
        </w:rPr>
        <w:t>104</w:t>
      </w:r>
      <w:r>
        <w:rPr>
          <w:rFonts w:eastAsia="Times New Roman"/>
        </w:rPr>
        <w:t xml:space="preserve">(2): 164–170. </w:t>
      </w:r>
    </w:p>
    <w:p w:rsidR="007E5971" w:rsidRDefault="007E5971" w:rsidP="007E5971">
      <w:pPr>
        <w:autoSpaceDE w:val="0"/>
        <w:autoSpaceDN w:val="0"/>
        <w:ind w:hanging="480"/>
        <w:jc w:val="both"/>
        <w:rPr>
          <w:rFonts w:eastAsia="Times New Roman"/>
        </w:rPr>
      </w:pPr>
      <w:r>
        <w:rPr>
          <w:rFonts w:eastAsia="Times New Roman"/>
        </w:rPr>
        <w:t xml:space="preserve">McRae, K., </w:t>
      </w:r>
      <w:proofErr w:type="spellStart"/>
      <w:r>
        <w:rPr>
          <w:rFonts w:eastAsia="Times New Roman"/>
        </w:rPr>
        <w:t>Bhargavan</w:t>
      </w:r>
      <w:proofErr w:type="spellEnd"/>
      <w:r>
        <w:rPr>
          <w:rFonts w:eastAsia="Times New Roman"/>
        </w:rPr>
        <w:t xml:space="preserve">, R., </w:t>
      </w:r>
      <w:proofErr w:type="spellStart"/>
      <w:r>
        <w:rPr>
          <w:rFonts w:eastAsia="Times New Roman"/>
        </w:rPr>
        <w:t>Saona</w:t>
      </w:r>
      <w:proofErr w:type="spellEnd"/>
      <w:r>
        <w:rPr>
          <w:rFonts w:eastAsia="Times New Roman"/>
        </w:rPr>
        <w:t>, R., &amp;</w:t>
      </w:r>
      <w:proofErr w:type="spellStart"/>
      <w:r>
        <w:rPr>
          <w:rFonts w:eastAsia="Times New Roman"/>
        </w:rPr>
        <w:t>Scheuermeyer</w:t>
      </w:r>
      <w:proofErr w:type="spellEnd"/>
      <w:r>
        <w:rPr>
          <w:rFonts w:eastAsia="Times New Roman"/>
        </w:rPr>
        <w:t xml:space="preserve">, F. X. (2022). Woman </w:t>
      </w:r>
      <w:proofErr w:type="gramStart"/>
      <w:r>
        <w:rPr>
          <w:rFonts w:eastAsia="Times New Roman"/>
        </w:rPr>
        <w:t>With</w:t>
      </w:r>
      <w:proofErr w:type="gramEnd"/>
      <w:r>
        <w:rPr>
          <w:rFonts w:eastAsia="Times New Roman"/>
        </w:rPr>
        <w:t xml:space="preserve"> Dysmenorrhea. </w:t>
      </w:r>
      <w:r>
        <w:rPr>
          <w:rFonts w:eastAsia="Times New Roman"/>
          <w:i/>
          <w:iCs/>
        </w:rPr>
        <w:t>Annals of Emergency Medicine</w:t>
      </w:r>
      <w:r>
        <w:rPr>
          <w:rFonts w:eastAsia="Times New Roman"/>
        </w:rPr>
        <w:t xml:space="preserve">, </w:t>
      </w:r>
      <w:r>
        <w:rPr>
          <w:rFonts w:eastAsia="Times New Roman"/>
          <w:b/>
          <w:bCs/>
        </w:rPr>
        <w:t>80</w:t>
      </w:r>
      <w:r>
        <w:rPr>
          <w:rFonts w:eastAsia="Times New Roman"/>
        </w:rPr>
        <w:t xml:space="preserve">(2): 119–167. </w:t>
      </w:r>
    </w:p>
    <w:p w:rsidR="007E5971" w:rsidRDefault="007E5971" w:rsidP="007E5971">
      <w:pPr>
        <w:autoSpaceDE w:val="0"/>
        <w:autoSpaceDN w:val="0"/>
        <w:ind w:hanging="480"/>
        <w:jc w:val="both"/>
        <w:rPr>
          <w:rFonts w:eastAsia="Times New Roman"/>
        </w:rPr>
      </w:pPr>
      <w:r>
        <w:rPr>
          <w:rFonts w:eastAsia="Times New Roman"/>
        </w:rPr>
        <w:t xml:space="preserve">Meier, S., </w:t>
      </w:r>
      <w:proofErr w:type="spellStart"/>
      <w:r>
        <w:rPr>
          <w:rFonts w:eastAsia="Times New Roman"/>
        </w:rPr>
        <w:t>Henkens</w:t>
      </w:r>
      <w:proofErr w:type="spellEnd"/>
      <w:r>
        <w:rPr>
          <w:rFonts w:eastAsia="Times New Roman"/>
        </w:rPr>
        <w:t xml:space="preserve">, M., Heymans, S., &amp; Robinson, E. L. (2021). Unlocking the Value of White Blood Cells for Heart Failure Diagnosis. </w:t>
      </w:r>
      <w:r>
        <w:rPr>
          <w:rFonts w:eastAsia="Times New Roman"/>
          <w:i/>
          <w:iCs/>
        </w:rPr>
        <w:t>Journal of Cardiovascular Translational Research</w:t>
      </w:r>
      <w:r>
        <w:rPr>
          <w:rFonts w:eastAsia="Times New Roman"/>
        </w:rPr>
        <w:t xml:space="preserve">, </w:t>
      </w:r>
      <w:r>
        <w:rPr>
          <w:rFonts w:eastAsia="Times New Roman"/>
          <w:b/>
          <w:bCs/>
        </w:rPr>
        <w:t>14</w:t>
      </w:r>
      <w:r>
        <w:rPr>
          <w:rFonts w:eastAsia="Times New Roman"/>
        </w:rPr>
        <w:t xml:space="preserve">(1): 53–62. </w:t>
      </w:r>
    </w:p>
    <w:p w:rsidR="007E5971" w:rsidRDefault="007E5971" w:rsidP="007E5971">
      <w:pPr>
        <w:autoSpaceDE w:val="0"/>
        <w:autoSpaceDN w:val="0"/>
        <w:ind w:hanging="480"/>
        <w:jc w:val="both"/>
        <w:rPr>
          <w:rFonts w:eastAsia="Times New Roman"/>
        </w:rPr>
      </w:pPr>
      <w:proofErr w:type="spellStart"/>
      <w:r>
        <w:rPr>
          <w:rFonts w:eastAsia="Times New Roman"/>
        </w:rPr>
        <w:t>Molla</w:t>
      </w:r>
      <w:proofErr w:type="spellEnd"/>
      <w:r>
        <w:rPr>
          <w:rFonts w:eastAsia="Times New Roman"/>
        </w:rPr>
        <w:t xml:space="preserve">, A., </w:t>
      </w:r>
      <w:proofErr w:type="spellStart"/>
      <w:r>
        <w:rPr>
          <w:rFonts w:eastAsia="Times New Roman"/>
        </w:rPr>
        <w:t>Duko</w:t>
      </w:r>
      <w:proofErr w:type="spellEnd"/>
      <w:r>
        <w:rPr>
          <w:rFonts w:eastAsia="Times New Roman"/>
        </w:rPr>
        <w:t xml:space="preserve">, B., </w:t>
      </w:r>
      <w:proofErr w:type="spellStart"/>
      <w:r>
        <w:rPr>
          <w:rFonts w:eastAsia="Times New Roman"/>
        </w:rPr>
        <w:t>Girma</w:t>
      </w:r>
      <w:proofErr w:type="spellEnd"/>
      <w:r>
        <w:rPr>
          <w:rFonts w:eastAsia="Times New Roman"/>
        </w:rPr>
        <w:t xml:space="preserve">, B., </w:t>
      </w:r>
      <w:proofErr w:type="spellStart"/>
      <w:r>
        <w:rPr>
          <w:rFonts w:eastAsia="Times New Roman"/>
        </w:rPr>
        <w:t>Madoro</w:t>
      </w:r>
      <w:proofErr w:type="spellEnd"/>
      <w:r>
        <w:rPr>
          <w:rFonts w:eastAsia="Times New Roman"/>
        </w:rPr>
        <w:t xml:space="preserve">, D., </w:t>
      </w:r>
      <w:proofErr w:type="spellStart"/>
      <w:r>
        <w:rPr>
          <w:rFonts w:eastAsia="Times New Roman"/>
        </w:rPr>
        <w:t>Nigussie</w:t>
      </w:r>
      <w:proofErr w:type="spellEnd"/>
      <w:r>
        <w:rPr>
          <w:rFonts w:eastAsia="Times New Roman"/>
        </w:rPr>
        <w:t xml:space="preserve">, J., </w:t>
      </w:r>
      <w:proofErr w:type="spellStart"/>
      <w:r>
        <w:rPr>
          <w:rFonts w:eastAsia="Times New Roman"/>
        </w:rPr>
        <w:t>Belayneh</w:t>
      </w:r>
      <w:proofErr w:type="spellEnd"/>
      <w:r>
        <w:rPr>
          <w:rFonts w:eastAsia="Times New Roman"/>
        </w:rPr>
        <w:t>, Z., Mengistu, N., &amp;</w:t>
      </w:r>
      <w:proofErr w:type="spellStart"/>
      <w:r>
        <w:rPr>
          <w:rFonts w:eastAsia="Times New Roman"/>
        </w:rPr>
        <w:t>Mekuriaw</w:t>
      </w:r>
      <w:proofErr w:type="spellEnd"/>
      <w:r>
        <w:rPr>
          <w:rFonts w:eastAsia="Times New Roman"/>
        </w:rPr>
        <w:t xml:space="preserve">, B. (2022). Prevalence of dysmenorrhea and associated factors among students in Ethiopia: A systematic review and meta-analysis. </w:t>
      </w:r>
      <w:r>
        <w:rPr>
          <w:rFonts w:eastAsia="Times New Roman"/>
          <w:i/>
          <w:iCs/>
        </w:rPr>
        <w:t>Women’s Health</w:t>
      </w:r>
      <w:r>
        <w:rPr>
          <w:rFonts w:eastAsia="Times New Roman"/>
        </w:rPr>
        <w:t xml:space="preserve">, </w:t>
      </w:r>
      <w:r>
        <w:rPr>
          <w:rFonts w:eastAsia="Times New Roman"/>
          <w:b/>
          <w:bCs/>
        </w:rPr>
        <w:t>18</w:t>
      </w:r>
      <w:r>
        <w:rPr>
          <w:rFonts w:eastAsia="Times New Roman"/>
        </w:rPr>
        <w:t xml:space="preserve">(12): 968–979. </w:t>
      </w:r>
    </w:p>
    <w:p w:rsidR="007E5971" w:rsidRDefault="007E5971" w:rsidP="007E5971">
      <w:pPr>
        <w:autoSpaceDE w:val="0"/>
        <w:autoSpaceDN w:val="0"/>
        <w:ind w:hanging="480"/>
        <w:jc w:val="both"/>
        <w:rPr>
          <w:rFonts w:eastAsia="Times New Roman"/>
        </w:rPr>
      </w:pPr>
      <w:r>
        <w:rPr>
          <w:rFonts w:eastAsia="Times New Roman"/>
        </w:rPr>
        <w:t xml:space="preserve">Najaf Najafi, M., Najaf Najafi, N., Rashidi </w:t>
      </w:r>
      <w:proofErr w:type="spellStart"/>
      <w:r>
        <w:rPr>
          <w:rFonts w:eastAsia="Times New Roman"/>
        </w:rPr>
        <w:t>Fakari</w:t>
      </w:r>
      <w:proofErr w:type="spellEnd"/>
      <w:r>
        <w:rPr>
          <w:rFonts w:eastAsia="Times New Roman"/>
        </w:rPr>
        <w:t xml:space="preserve">, F., </w:t>
      </w:r>
      <w:proofErr w:type="spellStart"/>
      <w:r>
        <w:rPr>
          <w:rFonts w:eastAsia="Times New Roman"/>
        </w:rPr>
        <w:t>Moeindarbary</w:t>
      </w:r>
      <w:proofErr w:type="spellEnd"/>
      <w:r>
        <w:rPr>
          <w:rFonts w:eastAsia="Times New Roman"/>
        </w:rPr>
        <w:t xml:space="preserve">, S., Abdi, F., Sadat </w:t>
      </w:r>
      <w:proofErr w:type="spellStart"/>
      <w:r>
        <w:rPr>
          <w:rFonts w:eastAsia="Times New Roman"/>
        </w:rPr>
        <w:t>Hoseini</w:t>
      </w:r>
      <w:proofErr w:type="spellEnd"/>
      <w:r>
        <w:rPr>
          <w:rFonts w:eastAsia="Times New Roman"/>
        </w:rPr>
        <w:t>, Z., &amp;</w:t>
      </w:r>
      <w:proofErr w:type="spellStart"/>
      <w:r>
        <w:rPr>
          <w:rFonts w:eastAsia="Times New Roman"/>
        </w:rPr>
        <w:t>Ghazanfarpour</w:t>
      </w:r>
      <w:proofErr w:type="spellEnd"/>
      <w:r>
        <w:rPr>
          <w:rFonts w:eastAsia="Times New Roman"/>
        </w:rPr>
        <w:t xml:space="preserve">, M. (2021). The Effect of Aromatherapy Alone or in Combination with Massage on Dysmenorrhea: A Systematic Review and Meta-analysis. </w:t>
      </w:r>
      <w:proofErr w:type="spellStart"/>
      <w:r>
        <w:rPr>
          <w:rFonts w:eastAsia="Times New Roman"/>
          <w:i/>
          <w:iCs/>
        </w:rPr>
        <w:t>RevistaBrasileira</w:t>
      </w:r>
      <w:proofErr w:type="spellEnd"/>
      <w:r>
        <w:rPr>
          <w:rFonts w:eastAsia="Times New Roman"/>
          <w:i/>
          <w:iCs/>
        </w:rPr>
        <w:t xml:space="preserve"> de </w:t>
      </w:r>
      <w:proofErr w:type="spellStart"/>
      <w:r>
        <w:rPr>
          <w:rFonts w:eastAsia="Times New Roman"/>
          <w:i/>
          <w:iCs/>
        </w:rPr>
        <w:t>Ginecologia</w:t>
      </w:r>
      <w:proofErr w:type="spellEnd"/>
      <w:r>
        <w:rPr>
          <w:rFonts w:eastAsia="Times New Roman"/>
          <w:i/>
          <w:iCs/>
        </w:rPr>
        <w:t xml:space="preserve"> e </w:t>
      </w:r>
      <w:proofErr w:type="spellStart"/>
      <w:r>
        <w:rPr>
          <w:rFonts w:eastAsia="Times New Roman"/>
          <w:i/>
          <w:iCs/>
        </w:rPr>
        <w:t>Obstetricia</w:t>
      </w:r>
      <w:proofErr w:type="spellEnd"/>
      <w:r>
        <w:rPr>
          <w:rFonts w:eastAsia="Times New Roman"/>
        </w:rPr>
        <w:t xml:space="preserve">, </w:t>
      </w:r>
      <w:r>
        <w:rPr>
          <w:rFonts w:eastAsia="Times New Roman"/>
          <w:b/>
          <w:bCs/>
        </w:rPr>
        <w:t>43</w:t>
      </w:r>
      <w:r>
        <w:rPr>
          <w:rFonts w:eastAsia="Times New Roman"/>
        </w:rPr>
        <w:t xml:space="preserve">(12): 968–979. </w:t>
      </w:r>
    </w:p>
    <w:p w:rsidR="007E5971" w:rsidRDefault="007E5971" w:rsidP="007E5971">
      <w:pPr>
        <w:autoSpaceDE w:val="0"/>
        <w:autoSpaceDN w:val="0"/>
        <w:ind w:hanging="480"/>
        <w:jc w:val="both"/>
        <w:rPr>
          <w:rFonts w:eastAsia="Times New Roman"/>
        </w:rPr>
      </w:pPr>
      <w:proofErr w:type="spellStart"/>
      <w:r>
        <w:rPr>
          <w:rFonts w:eastAsia="Times New Roman"/>
        </w:rPr>
        <w:t>Nuha</w:t>
      </w:r>
      <w:proofErr w:type="spellEnd"/>
      <w:r>
        <w:rPr>
          <w:rFonts w:eastAsia="Times New Roman"/>
        </w:rPr>
        <w:t xml:space="preserve">, K., </w:t>
      </w:r>
      <w:proofErr w:type="spellStart"/>
      <w:r>
        <w:rPr>
          <w:rFonts w:eastAsia="Times New Roman"/>
        </w:rPr>
        <w:t>Rusmil</w:t>
      </w:r>
      <w:proofErr w:type="spellEnd"/>
      <w:r>
        <w:rPr>
          <w:rFonts w:eastAsia="Times New Roman"/>
        </w:rPr>
        <w:t xml:space="preserve">, K., </w:t>
      </w:r>
      <w:proofErr w:type="spellStart"/>
      <w:r>
        <w:rPr>
          <w:rFonts w:eastAsia="Times New Roman"/>
        </w:rPr>
        <w:t>Ganiem</w:t>
      </w:r>
      <w:proofErr w:type="spellEnd"/>
      <w:r>
        <w:rPr>
          <w:rFonts w:eastAsia="Times New Roman"/>
        </w:rPr>
        <w:t xml:space="preserve">, A. R., </w:t>
      </w:r>
      <w:proofErr w:type="spellStart"/>
      <w:r>
        <w:rPr>
          <w:rFonts w:eastAsia="Times New Roman"/>
        </w:rPr>
        <w:t>Permadi</w:t>
      </w:r>
      <w:proofErr w:type="spellEnd"/>
      <w:r>
        <w:rPr>
          <w:rFonts w:eastAsia="Times New Roman"/>
        </w:rPr>
        <w:t xml:space="preserve">, W., &amp; </w:t>
      </w:r>
      <w:proofErr w:type="spellStart"/>
      <w:r>
        <w:rPr>
          <w:rFonts w:eastAsia="Times New Roman"/>
        </w:rPr>
        <w:t>Diah</w:t>
      </w:r>
      <w:proofErr w:type="spellEnd"/>
      <w:r>
        <w:rPr>
          <w:rFonts w:eastAsia="Times New Roman"/>
        </w:rPr>
        <w:t xml:space="preserve"> </w:t>
      </w:r>
      <w:proofErr w:type="spellStart"/>
      <w:r>
        <w:rPr>
          <w:rFonts w:eastAsia="Times New Roman"/>
        </w:rPr>
        <w:t>Herawati</w:t>
      </w:r>
      <w:proofErr w:type="spellEnd"/>
      <w:r>
        <w:rPr>
          <w:rFonts w:eastAsia="Times New Roman"/>
        </w:rPr>
        <w:t xml:space="preserve">, D. M. (2023). Single-Blind Randomized Controlled Trial: Comparative Efficacy of Dark Chocolate, Coconut Water, and Ibuprofen in Managing Primary Dysmenorrhea. </w:t>
      </w:r>
      <w:r>
        <w:rPr>
          <w:rFonts w:eastAsia="Times New Roman"/>
          <w:i/>
          <w:iCs/>
        </w:rPr>
        <w:t>International Journal of Environmental Research and Public Health</w:t>
      </w:r>
      <w:r>
        <w:rPr>
          <w:rFonts w:eastAsia="Times New Roman"/>
        </w:rPr>
        <w:t xml:space="preserve">, </w:t>
      </w:r>
      <w:r>
        <w:rPr>
          <w:rFonts w:eastAsia="Times New Roman"/>
          <w:b/>
          <w:bCs/>
        </w:rPr>
        <w:t>20</w:t>
      </w:r>
      <w:r>
        <w:rPr>
          <w:rFonts w:eastAsia="Times New Roman"/>
        </w:rPr>
        <w:t xml:space="preserve">(16): 78-79. </w:t>
      </w:r>
    </w:p>
    <w:p w:rsidR="007E5971" w:rsidRDefault="007E5971" w:rsidP="007E5971">
      <w:pPr>
        <w:autoSpaceDE w:val="0"/>
        <w:autoSpaceDN w:val="0"/>
        <w:ind w:hanging="480"/>
        <w:jc w:val="both"/>
        <w:rPr>
          <w:rFonts w:eastAsia="Times New Roman"/>
        </w:rPr>
      </w:pPr>
      <w:r>
        <w:rPr>
          <w:rFonts w:eastAsia="Times New Roman"/>
        </w:rPr>
        <w:t xml:space="preserve">Ortiz, M. I., Espinoza-Ramírez, A. L., </w:t>
      </w:r>
      <w:proofErr w:type="spellStart"/>
      <w:r>
        <w:rPr>
          <w:rFonts w:eastAsia="Times New Roman"/>
        </w:rPr>
        <w:t>Cariño</w:t>
      </w:r>
      <w:proofErr w:type="spellEnd"/>
      <w:r>
        <w:rPr>
          <w:rFonts w:eastAsia="Times New Roman"/>
        </w:rPr>
        <w:t>-Cortés, R., &amp; Moya-</w:t>
      </w:r>
      <w:proofErr w:type="spellStart"/>
      <w:r>
        <w:rPr>
          <w:rFonts w:eastAsia="Times New Roman"/>
        </w:rPr>
        <w:t>Escalera</w:t>
      </w:r>
      <w:proofErr w:type="spellEnd"/>
      <w:r>
        <w:rPr>
          <w:rFonts w:eastAsia="Times New Roman"/>
        </w:rPr>
        <w:t xml:space="preserve">, A. (2022a). Impact of primary dysmenorrhea on the academic performance of university students. </w:t>
      </w:r>
      <w:proofErr w:type="spellStart"/>
      <w:r>
        <w:rPr>
          <w:rFonts w:eastAsia="Times New Roman"/>
          <w:i/>
          <w:iCs/>
        </w:rPr>
        <w:t>EnfermeriaClinica</w:t>
      </w:r>
      <w:proofErr w:type="spellEnd"/>
      <w:r>
        <w:rPr>
          <w:rFonts w:eastAsia="Times New Roman"/>
        </w:rPr>
        <w:t xml:space="preserve">, </w:t>
      </w:r>
      <w:r>
        <w:rPr>
          <w:rFonts w:eastAsia="Times New Roman"/>
          <w:b/>
          <w:bCs/>
        </w:rPr>
        <w:t>32</w:t>
      </w:r>
      <w:r>
        <w:rPr>
          <w:rFonts w:eastAsia="Times New Roman"/>
        </w:rPr>
        <w:t xml:space="preserve">(5): 351–357. </w:t>
      </w:r>
    </w:p>
    <w:p w:rsidR="007E5971" w:rsidRDefault="007E5971" w:rsidP="007E5971">
      <w:pPr>
        <w:autoSpaceDE w:val="0"/>
        <w:autoSpaceDN w:val="0"/>
        <w:ind w:hanging="480"/>
        <w:jc w:val="both"/>
        <w:rPr>
          <w:rFonts w:eastAsia="Times New Roman"/>
        </w:rPr>
      </w:pPr>
      <w:r>
        <w:rPr>
          <w:rFonts w:eastAsia="Times New Roman"/>
        </w:rPr>
        <w:t xml:space="preserve">Ortiz, M. I., Espinoza-Ramírez, A. L., </w:t>
      </w:r>
      <w:proofErr w:type="spellStart"/>
      <w:r>
        <w:rPr>
          <w:rFonts w:eastAsia="Times New Roman"/>
        </w:rPr>
        <w:t>Cariño</w:t>
      </w:r>
      <w:proofErr w:type="spellEnd"/>
      <w:r>
        <w:rPr>
          <w:rFonts w:eastAsia="Times New Roman"/>
        </w:rPr>
        <w:t>-Cortés, R., &amp; Moya-</w:t>
      </w:r>
      <w:proofErr w:type="spellStart"/>
      <w:r>
        <w:rPr>
          <w:rFonts w:eastAsia="Times New Roman"/>
        </w:rPr>
        <w:t>Escalera</w:t>
      </w:r>
      <w:proofErr w:type="spellEnd"/>
      <w:r>
        <w:rPr>
          <w:rFonts w:eastAsia="Times New Roman"/>
        </w:rPr>
        <w:t xml:space="preserve">, A. (2022b). </w:t>
      </w:r>
      <w:proofErr w:type="spellStart"/>
      <w:r>
        <w:rPr>
          <w:rFonts w:eastAsia="Times New Roman"/>
        </w:rPr>
        <w:t>Impacto</w:t>
      </w:r>
      <w:proofErr w:type="spellEnd"/>
      <w:r>
        <w:rPr>
          <w:rFonts w:eastAsia="Times New Roman"/>
        </w:rPr>
        <w:t xml:space="preserve"> de la </w:t>
      </w:r>
      <w:proofErr w:type="spellStart"/>
      <w:r>
        <w:rPr>
          <w:rFonts w:eastAsia="Times New Roman"/>
        </w:rPr>
        <w:t>dismenorreaprimariaen</w:t>
      </w:r>
      <w:proofErr w:type="spellEnd"/>
      <w:r>
        <w:rPr>
          <w:rFonts w:eastAsia="Times New Roman"/>
        </w:rPr>
        <w:t xml:space="preserve"> el </w:t>
      </w:r>
      <w:proofErr w:type="spellStart"/>
      <w:r>
        <w:rPr>
          <w:rFonts w:eastAsia="Times New Roman"/>
        </w:rPr>
        <w:t>rendimientoacadémico</w:t>
      </w:r>
      <w:proofErr w:type="spellEnd"/>
      <w:r>
        <w:rPr>
          <w:rFonts w:eastAsia="Times New Roman"/>
        </w:rPr>
        <w:t xml:space="preserve"> de </w:t>
      </w:r>
      <w:proofErr w:type="spellStart"/>
      <w:r>
        <w:rPr>
          <w:rFonts w:eastAsia="Times New Roman"/>
        </w:rPr>
        <w:t>estudiantesuniversitarios</w:t>
      </w:r>
      <w:proofErr w:type="spellEnd"/>
      <w:r>
        <w:rPr>
          <w:rFonts w:eastAsia="Times New Roman"/>
        </w:rPr>
        <w:t xml:space="preserve">. </w:t>
      </w:r>
      <w:proofErr w:type="spellStart"/>
      <w:r>
        <w:rPr>
          <w:rFonts w:eastAsia="Times New Roman"/>
          <w:i/>
          <w:iCs/>
        </w:rPr>
        <w:t>EnfermeríaClínica</w:t>
      </w:r>
      <w:proofErr w:type="spellEnd"/>
      <w:r>
        <w:rPr>
          <w:rFonts w:eastAsia="Times New Roman"/>
          <w:i/>
          <w:iCs/>
        </w:rPr>
        <w:t xml:space="preserve"> (English Edition)</w:t>
      </w:r>
      <w:r>
        <w:rPr>
          <w:rFonts w:eastAsia="Times New Roman"/>
        </w:rPr>
        <w:t xml:space="preserve">, </w:t>
      </w:r>
      <w:r>
        <w:rPr>
          <w:rFonts w:eastAsia="Times New Roman"/>
          <w:b/>
          <w:bCs/>
        </w:rPr>
        <w:t>32</w:t>
      </w:r>
      <w:r>
        <w:rPr>
          <w:rFonts w:eastAsia="Times New Roman"/>
        </w:rPr>
        <w:t xml:space="preserve">(5): 351–357. </w:t>
      </w:r>
    </w:p>
    <w:p w:rsidR="007E5971" w:rsidRDefault="007E5971" w:rsidP="007E5971">
      <w:pPr>
        <w:autoSpaceDE w:val="0"/>
        <w:autoSpaceDN w:val="0"/>
        <w:ind w:hanging="480"/>
        <w:jc w:val="both"/>
        <w:rPr>
          <w:rFonts w:eastAsia="Times New Roman"/>
        </w:rPr>
      </w:pPr>
      <w:proofErr w:type="spellStart"/>
      <w:r>
        <w:rPr>
          <w:rFonts w:eastAsia="Times New Roman"/>
        </w:rPr>
        <w:lastRenderedPageBreak/>
        <w:t>Paja</w:t>
      </w:r>
      <w:proofErr w:type="spellEnd"/>
      <w:r>
        <w:rPr>
          <w:rFonts w:eastAsia="Times New Roman"/>
        </w:rPr>
        <w:t xml:space="preserve">, M., Merlo, I., Rodríguez-Soto, J., Cruz-Iglesias, E., Moure, M. D., Elías, C., </w:t>
      </w:r>
      <w:proofErr w:type="spellStart"/>
      <w:r>
        <w:rPr>
          <w:rFonts w:eastAsia="Times New Roman"/>
        </w:rPr>
        <w:t>Oleaga</w:t>
      </w:r>
      <w:proofErr w:type="spellEnd"/>
      <w:r>
        <w:rPr>
          <w:rFonts w:eastAsia="Times New Roman"/>
        </w:rPr>
        <w:t>, A., &amp;</w:t>
      </w:r>
      <w:proofErr w:type="spellStart"/>
      <w:r>
        <w:rPr>
          <w:rFonts w:eastAsia="Times New Roman"/>
        </w:rPr>
        <w:t>Egaña</w:t>
      </w:r>
      <w:proofErr w:type="spellEnd"/>
      <w:r>
        <w:rPr>
          <w:rFonts w:eastAsia="Times New Roman"/>
        </w:rPr>
        <w:t xml:space="preserve">, N. (2023). White blood cell count: a valuable tool for suspecting Cushing’s syndrome. </w:t>
      </w:r>
      <w:r>
        <w:rPr>
          <w:rFonts w:eastAsia="Times New Roman"/>
          <w:i/>
          <w:iCs/>
        </w:rPr>
        <w:t>Journal of Endocrinological Investigation</w:t>
      </w:r>
      <w:r>
        <w:rPr>
          <w:rFonts w:eastAsia="Times New Roman"/>
        </w:rPr>
        <w:t xml:space="preserve">, </w:t>
      </w:r>
      <w:r>
        <w:rPr>
          <w:rFonts w:eastAsia="Times New Roman"/>
          <w:b/>
          <w:bCs/>
        </w:rPr>
        <w:t>46</w:t>
      </w:r>
      <w:r>
        <w:rPr>
          <w:rFonts w:eastAsia="Times New Roman"/>
        </w:rPr>
        <w:t xml:space="preserve">(1): 141–149. </w:t>
      </w:r>
    </w:p>
    <w:p w:rsidR="007E5971" w:rsidRDefault="007E5971" w:rsidP="007E5971">
      <w:pPr>
        <w:autoSpaceDE w:val="0"/>
        <w:autoSpaceDN w:val="0"/>
        <w:ind w:hanging="480"/>
        <w:jc w:val="both"/>
        <w:rPr>
          <w:rFonts w:eastAsia="Times New Roman"/>
        </w:rPr>
      </w:pPr>
      <w:r>
        <w:rPr>
          <w:rFonts w:eastAsia="Times New Roman"/>
        </w:rPr>
        <w:t xml:space="preserve">Picard, M. (2021). Blood mitochondrial DNA copy number: What are we counting? </w:t>
      </w:r>
      <w:r>
        <w:rPr>
          <w:rFonts w:eastAsia="Times New Roman"/>
          <w:i/>
          <w:iCs/>
        </w:rPr>
        <w:t>Mitochondrion</w:t>
      </w:r>
      <w:r>
        <w:rPr>
          <w:rFonts w:eastAsia="Times New Roman"/>
        </w:rPr>
        <w:t xml:space="preserve">, </w:t>
      </w:r>
      <w:r>
        <w:rPr>
          <w:rFonts w:eastAsia="Times New Roman"/>
          <w:b/>
          <w:bCs/>
        </w:rPr>
        <w:t>60,</w:t>
      </w:r>
      <w:r>
        <w:rPr>
          <w:rFonts w:eastAsia="Times New Roman"/>
        </w:rPr>
        <w:t xml:space="preserve"> 1–11. </w:t>
      </w:r>
    </w:p>
    <w:p w:rsidR="007E5971" w:rsidRDefault="007E5971" w:rsidP="007E5971">
      <w:pPr>
        <w:autoSpaceDE w:val="0"/>
        <w:autoSpaceDN w:val="0"/>
        <w:ind w:hanging="480"/>
        <w:jc w:val="both"/>
        <w:rPr>
          <w:rFonts w:eastAsia="Times New Roman"/>
        </w:rPr>
      </w:pPr>
      <w:proofErr w:type="spellStart"/>
      <w:r>
        <w:rPr>
          <w:rFonts w:eastAsia="Times New Roman"/>
        </w:rPr>
        <w:t>Pongdee</w:t>
      </w:r>
      <w:proofErr w:type="spellEnd"/>
      <w:r>
        <w:rPr>
          <w:rFonts w:eastAsia="Times New Roman"/>
        </w:rPr>
        <w:t xml:space="preserve">, T., </w:t>
      </w:r>
      <w:proofErr w:type="spellStart"/>
      <w:r>
        <w:rPr>
          <w:rFonts w:eastAsia="Times New Roman"/>
        </w:rPr>
        <w:t>Bielinski</w:t>
      </w:r>
      <w:proofErr w:type="spellEnd"/>
      <w:r>
        <w:rPr>
          <w:rFonts w:eastAsia="Times New Roman"/>
        </w:rPr>
        <w:t xml:space="preserve">, S. J., Decker, P. A., Kita, H., &amp; Larson, N. B. (2022). White blood cells and chronic rhinosinusitis: a Mendelian randomization study. </w:t>
      </w:r>
      <w:r>
        <w:rPr>
          <w:rFonts w:eastAsia="Times New Roman"/>
          <w:i/>
          <w:iCs/>
        </w:rPr>
        <w:t xml:space="preserve">Allergy, Asthma, and Clinical </w:t>
      </w:r>
      <w:proofErr w:type="gramStart"/>
      <w:r>
        <w:rPr>
          <w:rFonts w:eastAsia="Times New Roman"/>
          <w:i/>
          <w:iCs/>
        </w:rPr>
        <w:t>Immunology :</w:t>
      </w:r>
      <w:proofErr w:type="gramEnd"/>
      <w:r>
        <w:rPr>
          <w:rFonts w:eastAsia="Times New Roman"/>
          <w:i/>
          <w:iCs/>
        </w:rPr>
        <w:t xml:space="preserve"> Official Journal of the Canadian Society of Allergy and Clinical Immunology</w:t>
      </w:r>
      <w:r>
        <w:rPr>
          <w:rFonts w:eastAsia="Times New Roman"/>
        </w:rPr>
        <w:t xml:space="preserve">, </w:t>
      </w:r>
      <w:r>
        <w:rPr>
          <w:rFonts w:eastAsia="Times New Roman"/>
          <w:b/>
          <w:bCs/>
        </w:rPr>
        <w:t>18</w:t>
      </w:r>
      <w:r>
        <w:rPr>
          <w:rFonts w:eastAsia="Times New Roman"/>
        </w:rPr>
        <w:t xml:space="preserve">(1): 98. </w:t>
      </w:r>
    </w:p>
    <w:p w:rsidR="007E5971" w:rsidRDefault="007E5971" w:rsidP="007E5971">
      <w:pPr>
        <w:autoSpaceDE w:val="0"/>
        <w:autoSpaceDN w:val="0"/>
        <w:ind w:hanging="480"/>
        <w:jc w:val="both"/>
        <w:rPr>
          <w:rFonts w:eastAsia="Times New Roman"/>
        </w:rPr>
      </w:pPr>
      <w:proofErr w:type="spellStart"/>
      <w:r>
        <w:rPr>
          <w:rFonts w:eastAsia="Times New Roman"/>
        </w:rPr>
        <w:t>Ristiani</w:t>
      </w:r>
      <w:proofErr w:type="spellEnd"/>
      <w:r>
        <w:rPr>
          <w:rFonts w:eastAsia="Times New Roman"/>
        </w:rPr>
        <w:t xml:space="preserve">, </w:t>
      </w:r>
      <w:proofErr w:type="spellStart"/>
      <w:r>
        <w:rPr>
          <w:rFonts w:eastAsia="Times New Roman"/>
        </w:rPr>
        <w:t>Arsyad</w:t>
      </w:r>
      <w:proofErr w:type="spellEnd"/>
      <w:r>
        <w:rPr>
          <w:rFonts w:eastAsia="Times New Roman"/>
        </w:rPr>
        <w:t xml:space="preserve">, A., Usman, A. N., </w:t>
      </w:r>
      <w:proofErr w:type="spellStart"/>
      <w:r>
        <w:rPr>
          <w:rFonts w:eastAsia="Times New Roman"/>
        </w:rPr>
        <w:t>Syamsuddin</w:t>
      </w:r>
      <w:proofErr w:type="spellEnd"/>
      <w:r>
        <w:rPr>
          <w:rFonts w:eastAsia="Times New Roman"/>
        </w:rPr>
        <w:t>, S., Ahmad, M., &amp;</w:t>
      </w:r>
      <w:proofErr w:type="spellStart"/>
      <w:r>
        <w:rPr>
          <w:rFonts w:eastAsia="Times New Roman"/>
        </w:rPr>
        <w:t>Sinrang</w:t>
      </w:r>
      <w:proofErr w:type="spellEnd"/>
      <w:r>
        <w:rPr>
          <w:rFonts w:eastAsia="Times New Roman"/>
        </w:rPr>
        <w:t xml:space="preserve">, A. W. (2021). The use of aromatherapy in primary dysmenorrhea. </w:t>
      </w:r>
      <w:proofErr w:type="spellStart"/>
      <w:r>
        <w:rPr>
          <w:rFonts w:eastAsia="Times New Roman"/>
          <w:i/>
          <w:iCs/>
        </w:rPr>
        <w:t>Gaceta</w:t>
      </w:r>
      <w:proofErr w:type="spellEnd"/>
      <w:r>
        <w:rPr>
          <w:rFonts w:eastAsia="Times New Roman"/>
          <w:i/>
          <w:iCs/>
        </w:rPr>
        <w:t xml:space="preserve"> Sanitaria</w:t>
      </w:r>
      <w:r>
        <w:rPr>
          <w:rFonts w:eastAsia="Times New Roman"/>
        </w:rPr>
        <w:t xml:space="preserve">, </w:t>
      </w:r>
      <w:r>
        <w:rPr>
          <w:rFonts w:eastAsia="Times New Roman"/>
          <w:b/>
          <w:bCs/>
        </w:rPr>
        <w:t>3</w:t>
      </w:r>
      <w:r>
        <w:rPr>
          <w:rFonts w:eastAsia="Times New Roman"/>
          <w:i/>
          <w:iCs/>
        </w:rPr>
        <w:t>5</w:t>
      </w:r>
      <w:r w:rsidR="007B5ADE">
        <w:rPr>
          <w:rFonts w:eastAsia="Times New Roman"/>
          <w:b/>
          <w:bCs/>
        </w:rPr>
        <w:t>:</w:t>
      </w:r>
      <w:r>
        <w:rPr>
          <w:rFonts w:eastAsia="Times New Roman"/>
          <w:b/>
          <w:bCs/>
        </w:rPr>
        <w:t xml:space="preserve"> </w:t>
      </w:r>
      <w:r>
        <w:rPr>
          <w:rFonts w:eastAsia="Times New Roman"/>
        </w:rPr>
        <w:t xml:space="preserve">S591–S595. </w:t>
      </w:r>
    </w:p>
    <w:p w:rsidR="007E5971" w:rsidRDefault="007E5971" w:rsidP="007E5971">
      <w:pPr>
        <w:autoSpaceDE w:val="0"/>
        <w:autoSpaceDN w:val="0"/>
        <w:ind w:hanging="480"/>
        <w:jc w:val="both"/>
        <w:rPr>
          <w:rFonts w:eastAsia="Times New Roman"/>
        </w:rPr>
      </w:pPr>
      <w:r>
        <w:rPr>
          <w:rFonts w:eastAsia="Times New Roman"/>
        </w:rPr>
        <w:t xml:space="preserve">Rogers, S. K., Galloway, A., Hirsh, A. T., </w:t>
      </w:r>
      <w:proofErr w:type="spellStart"/>
      <w:r>
        <w:rPr>
          <w:rFonts w:eastAsia="Times New Roman"/>
        </w:rPr>
        <w:t>Zapolski</w:t>
      </w:r>
      <w:proofErr w:type="spellEnd"/>
      <w:r>
        <w:rPr>
          <w:rFonts w:eastAsia="Times New Roman"/>
        </w:rPr>
        <w:t xml:space="preserve">, T., Chen, C. X., &amp; Rand, K. L. (2023). Efficacy of psychological interventions for dysmenorrhea: a meta-analysis. </w:t>
      </w:r>
      <w:r>
        <w:rPr>
          <w:rFonts w:eastAsia="Times New Roman"/>
          <w:i/>
          <w:iCs/>
        </w:rPr>
        <w:t>Pain Medicine (United States)</w:t>
      </w:r>
      <w:r>
        <w:rPr>
          <w:rFonts w:eastAsia="Times New Roman"/>
        </w:rPr>
        <w:t xml:space="preserve">, </w:t>
      </w:r>
      <w:r>
        <w:rPr>
          <w:rFonts w:eastAsia="Times New Roman"/>
          <w:b/>
          <w:bCs/>
        </w:rPr>
        <w:t>24</w:t>
      </w:r>
      <w:r>
        <w:rPr>
          <w:rFonts w:eastAsia="Times New Roman"/>
        </w:rPr>
        <w:t xml:space="preserve">(9): 1086–1099. </w:t>
      </w:r>
    </w:p>
    <w:p w:rsidR="007E5971" w:rsidRDefault="007E5971" w:rsidP="007E5971">
      <w:pPr>
        <w:autoSpaceDE w:val="0"/>
        <w:autoSpaceDN w:val="0"/>
        <w:ind w:hanging="480"/>
        <w:jc w:val="both"/>
        <w:rPr>
          <w:rFonts w:eastAsia="Times New Roman"/>
        </w:rPr>
      </w:pPr>
      <w:r>
        <w:rPr>
          <w:rFonts w:eastAsia="Times New Roman"/>
        </w:rPr>
        <w:t xml:space="preserve">Romeo, B., </w:t>
      </w:r>
      <w:proofErr w:type="spellStart"/>
      <w:r>
        <w:rPr>
          <w:rFonts w:eastAsia="Times New Roman"/>
        </w:rPr>
        <w:t>Mazari</w:t>
      </w:r>
      <w:proofErr w:type="spellEnd"/>
      <w:r>
        <w:rPr>
          <w:rFonts w:eastAsia="Times New Roman"/>
        </w:rPr>
        <w:t>, A., Ali-</w:t>
      </w:r>
      <w:proofErr w:type="spellStart"/>
      <w:r>
        <w:rPr>
          <w:rFonts w:eastAsia="Times New Roman"/>
        </w:rPr>
        <w:t>Diabacte</w:t>
      </w:r>
      <w:proofErr w:type="spellEnd"/>
      <w:r>
        <w:rPr>
          <w:rFonts w:eastAsia="Times New Roman"/>
        </w:rPr>
        <w:t xml:space="preserve">, H., </w:t>
      </w:r>
      <w:proofErr w:type="spellStart"/>
      <w:r>
        <w:rPr>
          <w:rFonts w:eastAsia="Times New Roman"/>
        </w:rPr>
        <w:t>Lestra</w:t>
      </w:r>
      <w:proofErr w:type="spellEnd"/>
      <w:r>
        <w:rPr>
          <w:rFonts w:eastAsia="Times New Roman"/>
        </w:rPr>
        <w:t xml:space="preserve">, V., </w:t>
      </w:r>
      <w:proofErr w:type="spellStart"/>
      <w:r>
        <w:rPr>
          <w:rFonts w:eastAsia="Times New Roman"/>
        </w:rPr>
        <w:t>Martelli</w:t>
      </w:r>
      <w:proofErr w:type="spellEnd"/>
      <w:r>
        <w:rPr>
          <w:rFonts w:eastAsia="Times New Roman"/>
        </w:rPr>
        <w:t xml:space="preserve">, C., </w:t>
      </w:r>
      <w:proofErr w:type="spellStart"/>
      <w:r>
        <w:rPr>
          <w:rFonts w:eastAsia="Times New Roman"/>
        </w:rPr>
        <w:t>Benyamina</w:t>
      </w:r>
      <w:proofErr w:type="spellEnd"/>
      <w:r>
        <w:rPr>
          <w:rFonts w:eastAsia="Times New Roman"/>
        </w:rPr>
        <w:t xml:space="preserve">, A., &amp; Hamdani, N. (2024). White blood cells and patients with psychiatric disorders needing seclusion: A retrospective non-interventional study. </w:t>
      </w:r>
      <w:proofErr w:type="spellStart"/>
      <w:r>
        <w:rPr>
          <w:rFonts w:eastAsia="Times New Roman"/>
          <w:i/>
          <w:iCs/>
        </w:rPr>
        <w:t>Encephale</w:t>
      </w:r>
      <w:proofErr w:type="spellEnd"/>
      <w:r>
        <w:rPr>
          <w:rFonts w:eastAsia="Times New Roman"/>
        </w:rPr>
        <w:t xml:space="preserve">, </w:t>
      </w:r>
      <w:r>
        <w:rPr>
          <w:rFonts w:eastAsia="Times New Roman"/>
          <w:b/>
          <w:bCs/>
        </w:rPr>
        <w:t>50</w:t>
      </w:r>
      <w:r>
        <w:rPr>
          <w:rFonts w:eastAsia="Times New Roman"/>
        </w:rPr>
        <w:t xml:space="preserve">(3): 241–246. </w:t>
      </w:r>
    </w:p>
    <w:p w:rsidR="007E5971" w:rsidRDefault="007E5971" w:rsidP="007E5971">
      <w:pPr>
        <w:autoSpaceDE w:val="0"/>
        <w:autoSpaceDN w:val="0"/>
        <w:ind w:hanging="480"/>
        <w:jc w:val="both"/>
        <w:rPr>
          <w:rFonts w:eastAsia="Times New Roman"/>
        </w:rPr>
      </w:pPr>
      <w:proofErr w:type="spellStart"/>
      <w:r>
        <w:rPr>
          <w:rFonts w:eastAsia="Times New Roman"/>
        </w:rPr>
        <w:t>Seales</w:t>
      </w:r>
      <w:proofErr w:type="spellEnd"/>
      <w:r>
        <w:rPr>
          <w:rFonts w:eastAsia="Times New Roman"/>
        </w:rPr>
        <w:t xml:space="preserve">, P., </w:t>
      </w:r>
      <w:proofErr w:type="spellStart"/>
      <w:r>
        <w:rPr>
          <w:rFonts w:eastAsia="Times New Roman"/>
        </w:rPr>
        <w:t>Seales</w:t>
      </w:r>
      <w:proofErr w:type="spellEnd"/>
      <w:r>
        <w:rPr>
          <w:rFonts w:eastAsia="Times New Roman"/>
        </w:rPr>
        <w:t xml:space="preserve">, S., &amp; Ho, G. (2021). Exercise for Dysmenorrhea. </w:t>
      </w:r>
      <w:r>
        <w:rPr>
          <w:rFonts w:eastAsia="Times New Roman"/>
          <w:i/>
          <w:iCs/>
        </w:rPr>
        <w:t>American Family Physician</w:t>
      </w:r>
      <w:r>
        <w:rPr>
          <w:rFonts w:eastAsia="Times New Roman"/>
        </w:rPr>
        <w:t xml:space="preserve">, </w:t>
      </w:r>
      <w:r>
        <w:rPr>
          <w:rFonts w:eastAsia="Times New Roman"/>
          <w:b/>
          <w:bCs/>
        </w:rPr>
        <w:t>103</w:t>
      </w:r>
      <w:r>
        <w:rPr>
          <w:rFonts w:eastAsia="Times New Roman"/>
        </w:rPr>
        <w:t xml:space="preserve">(9): 525–526. </w:t>
      </w:r>
    </w:p>
    <w:p w:rsidR="007E5971" w:rsidRDefault="007E5971" w:rsidP="007E5971">
      <w:pPr>
        <w:autoSpaceDE w:val="0"/>
        <w:autoSpaceDN w:val="0"/>
        <w:ind w:hanging="480"/>
        <w:jc w:val="both"/>
        <w:rPr>
          <w:rFonts w:eastAsia="Times New Roman"/>
        </w:rPr>
      </w:pPr>
      <w:r>
        <w:rPr>
          <w:rFonts w:eastAsia="Times New Roman"/>
        </w:rPr>
        <w:t xml:space="preserve">Shim, J. Y. (2024). Dysmenorrhea and Endometriosis in Adolescents. </w:t>
      </w:r>
      <w:r>
        <w:rPr>
          <w:rFonts w:eastAsia="Times New Roman"/>
          <w:i/>
          <w:iCs/>
        </w:rPr>
        <w:t>Obstetrics and Gynecology Clinics of North America</w:t>
      </w:r>
      <w:r>
        <w:rPr>
          <w:rFonts w:eastAsia="Times New Roman"/>
        </w:rPr>
        <w:t xml:space="preserve">, </w:t>
      </w:r>
      <w:r>
        <w:rPr>
          <w:rFonts w:eastAsia="Times New Roman"/>
          <w:b/>
          <w:bCs/>
        </w:rPr>
        <w:t>51</w:t>
      </w:r>
      <w:r>
        <w:rPr>
          <w:rFonts w:eastAsia="Times New Roman"/>
        </w:rPr>
        <w:t xml:space="preserve">(4): 651–661. </w:t>
      </w:r>
    </w:p>
    <w:p w:rsidR="007E5971" w:rsidRDefault="007E5971" w:rsidP="007E5971">
      <w:pPr>
        <w:autoSpaceDE w:val="0"/>
        <w:autoSpaceDN w:val="0"/>
        <w:ind w:hanging="480"/>
        <w:jc w:val="both"/>
        <w:rPr>
          <w:rFonts w:eastAsia="Times New Roman"/>
        </w:rPr>
      </w:pPr>
      <w:proofErr w:type="spellStart"/>
      <w:r>
        <w:rPr>
          <w:rFonts w:eastAsia="Times New Roman"/>
        </w:rPr>
        <w:t>Talebpour</w:t>
      </w:r>
      <w:proofErr w:type="spellEnd"/>
      <w:r>
        <w:rPr>
          <w:rFonts w:eastAsia="Times New Roman"/>
        </w:rPr>
        <w:t xml:space="preserve">, A., </w:t>
      </w:r>
      <w:proofErr w:type="spellStart"/>
      <w:r>
        <w:rPr>
          <w:rFonts w:eastAsia="Times New Roman"/>
        </w:rPr>
        <w:t>Mohammadifard</w:t>
      </w:r>
      <w:proofErr w:type="spellEnd"/>
      <w:r>
        <w:rPr>
          <w:rFonts w:eastAsia="Times New Roman"/>
        </w:rPr>
        <w:t xml:space="preserve">, M., </w:t>
      </w:r>
      <w:proofErr w:type="spellStart"/>
      <w:r>
        <w:rPr>
          <w:rFonts w:eastAsia="Times New Roman"/>
        </w:rPr>
        <w:t>Zare</w:t>
      </w:r>
      <w:proofErr w:type="spellEnd"/>
      <w:r>
        <w:rPr>
          <w:rFonts w:eastAsia="Times New Roman"/>
        </w:rPr>
        <w:t> </w:t>
      </w:r>
      <w:proofErr w:type="spellStart"/>
      <w:r>
        <w:rPr>
          <w:rFonts w:eastAsia="Times New Roman"/>
        </w:rPr>
        <w:t>Feyzabadi</w:t>
      </w:r>
      <w:proofErr w:type="spellEnd"/>
      <w:r>
        <w:rPr>
          <w:rFonts w:eastAsia="Times New Roman"/>
        </w:rPr>
        <w:t xml:space="preserve">, R., </w:t>
      </w:r>
      <w:proofErr w:type="spellStart"/>
      <w:r>
        <w:rPr>
          <w:rFonts w:eastAsia="Times New Roman"/>
        </w:rPr>
        <w:t>Mahmoudzadeh</w:t>
      </w:r>
      <w:proofErr w:type="spellEnd"/>
      <w:r>
        <w:rPr>
          <w:rFonts w:eastAsia="Times New Roman"/>
        </w:rPr>
        <w:t xml:space="preserve">, S., </w:t>
      </w:r>
      <w:proofErr w:type="spellStart"/>
      <w:r>
        <w:rPr>
          <w:rFonts w:eastAsia="Times New Roman"/>
        </w:rPr>
        <w:t>Rezapour</w:t>
      </w:r>
      <w:proofErr w:type="spellEnd"/>
      <w:r>
        <w:rPr>
          <w:rFonts w:eastAsia="Times New Roman"/>
        </w:rPr>
        <w:t xml:space="preserve">, H., </w:t>
      </w:r>
      <w:proofErr w:type="spellStart"/>
      <w:r>
        <w:rPr>
          <w:rFonts w:eastAsia="Times New Roman"/>
        </w:rPr>
        <w:t>Saharkhiz</w:t>
      </w:r>
      <w:proofErr w:type="spellEnd"/>
      <w:r>
        <w:rPr>
          <w:rFonts w:eastAsia="Times New Roman"/>
        </w:rPr>
        <w:t xml:space="preserve">, M., Tajik, M., Ferns, G. A., &amp; </w:t>
      </w:r>
      <w:proofErr w:type="spellStart"/>
      <w:r>
        <w:rPr>
          <w:rFonts w:eastAsia="Times New Roman"/>
        </w:rPr>
        <w:t>Bahrami</w:t>
      </w:r>
      <w:proofErr w:type="spellEnd"/>
      <w:r>
        <w:rPr>
          <w:rFonts w:eastAsia="Times New Roman"/>
        </w:rPr>
        <w:t xml:space="preserve">, A. (2023). Effect of curcumin on inflammatory biomarkers and iron profile in patients with premenstrual syndrome and dysmenorrhea: A randomized controlled trial. </w:t>
      </w:r>
      <w:r>
        <w:rPr>
          <w:rFonts w:eastAsia="Times New Roman"/>
          <w:i/>
          <w:iCs/>
        </w:rPr>
        <w:t>Physiological Reports</w:t>
      </w:r>
      <w:r>
        <w:rPr>
          <w:rFonts w:eastAsia="Times New Roman"/>
        </w:rPr>
        <w:t xml:space="preserve">, </w:t>
      </w:r>
      <w:r>
        <w:rPr>
          <w:rFonts w:eastAsia="Times New Roman"/>
          <w:b/>
          <w:bCs/>
        </w:rPr>
        <w:t>11</w:t>
      </w:r>
      <w:r>
        <w:rPr>
          <w:rFonts w:eastAsia="Times New Roman"/>
        </w:rPr>
        <w:t xml:space="preserve">(13): 450-457. </w:t>
      </w:r>
    </w:p>
    <w:p w:rsidR="007E5971" w:rsidRDefault="007E5971" w:rsidP="007E5971">
      <w:pPr>
        <w:autoSpaceDE w:val="0"/>
        <w:autoSpaceDN w:val="0"/>
        <w:ind w:hanging="480"/>
        <w:jc w:val="both"/>
        <w:rPr>
          <w:rFonts w:eastAsia="Times New Roman"/>
        </w:rPr>
      </w:pPr>
      <w:r>
        <w:rPr>
          <w:rFonts w:eastAsia="Times New Roman"/>
        </w:rPr>
        <w:t xml:space="preserve">Tu, H., Ren, H., Jiang, J., Shao, C., Shi, Y., &amp; Li, P. (2024). Dying to Defend: Neutrophil Death Pathways and their Implications in Immunity. </w:t>
      </w:r>
      <w:r>
        <w:rPr>
          <w:rFonts w:eastAsia="Times New Roman"/>
          <w:i/>
          <w:iCs/>
        </w:rPr>
        <w:t>Advanced Science</w:t>
      </w:r>
      <w:r>
        <w:rPr>
          <w:rFonts w:eastAsia="Times New Roman"/>
        </w:rPr>
        <w:t xml:space="preserve">, </w:t>
      </w:r>
      <w:r>
        <w:rPr>
          <w:rFonts w:eastAsia="Times New Roman"/>
          <w:b/>
          <w:bCs/>
        </w:rPr>
        <w:t>11</w:t>
      </w:r>
      <w:r>
        <w:rPr>
          <w:rFonts w:eastAsia="Times New Roman"/>
        </w:rPr>
        <w:t xml:space="preserve">(8): 345-349. </w:t>
      </w:r>
    </w:p>
    <w:p w:rsidR="007E5971" w:rsidRDefault="007E5971" w:rsidP="007E5971">
      <w:pPr>
        <w:autoSpaceDE w:val="0"/>
        <w:autoSpaceDN w:val="0"/>
        <w:ind w:hanging="480"/>
        <w:jc w:val="both"/>
        <w:rPr>
          <w:rFonts w:eastAsia="Times New Roman"/>
        </w:rPr>
      </w:pPr>
      <w:proofErr w:type="spellStart"/>
      <w:r>
        <w:rPr>
          <w:rFonts w:eastAsia="Times New Roman"/>
        </w:rPr>
        <w:t>Tuo</w:t>
      </w:r>
      <w:proofErr w:type="spellEnd"/>
      <w:r>
        <w:rPr>
          <w:rFonts w:eastAsia="Times New Roman"/>
        </w:rPr>
        <w:t xml:space="preserve">, L., Tang, S., Li, S., Gu, S., &amp; </w:t>
      </w:r>
      <w:proofErr w:type="spellStart"/>
      <w:r>
        <w:rPr>
          <w:rFonts w:eastAsia="Times New Roman"/>
        </w:rPr>
        <w:t>Xie</w:t>
      </w:r>
      <w:proofErr w:type="spellEnd"/>
      <w:r>
        <w:rPr>
          <w:rFonts w:eastAsia="Times New Roman"/>
        </w:rPr>
        <w:t xml:space="preserve">, Z. (2023). Murine Models and Research Progress on Dysmenorrhea. </w:t>
      </w:r>
      <w:r>
        <w:rPr>
          <w:rFonts w:eastAsia="Times New Roman"/>
          <w:i/>
          <w:iCs/>
        </w:rPr>
        <w:t>Reproductive Sciences</w:t>
      </w:r>
      <w:r>
        <w:rPr>
          <w:rFonts w:eastAsia="Times New Roman"/>
        </w:rPr>
        <w:t xml:space="preserve">, </w:t>
      </w:r>
      <w:r>
        <w:rPr>
          <w:rFonts w:eastAsia="Times New Roman"/>
          <w:b/>
          <w:bCs/>
        </w:rPr>
        <w:t>30</w:t>
      </w:r>
      <w:r>
        <w:rPr>
          <w:rFonts w:eastAsia="Times New Roman"/>
        </w:rPr>
        <w:t xml:space="preserve">(8):  2362–2372. </w:t>
      </w:r>
    </w:p>
    <w:p w:rsidR="007E5971" w:rsidRDefault="007E5971" w:rsidP="007E5971">
      <w:pPr>
        <w:autoSpaceDE w:val="0"/>
        <w:autoSpaceDN w:val="0"/>
        <w:ind w:hanging="480"/>
        <w:jc w:val="both"/>
        <w:rPr>
          <w:rFonts w:eastAsia="Times New Roman"/>
        </w:rPr>
      </w:pPr>
      <w:r>
        <w:rPr>
          <w:rFonts w:eastAsia="Times New Roman"/>
        </w:rPr>
        <w:t xml:space="preserve">Wang, L., Yan, Y., </w:t>
      </w:r>
      <w:proofErr w:type="spellStart"/>
      <w:r>
        <w:rPr>
          <w:rFonts w:eastAsia="Times New Roman"/>
        </w:rPr>
        <w:t>Qiu</w:t>
      </w:r>
      <w:proofErr w:type="spellEnd"/>
      <w:r>
        <w:rPr>
          <w:rFonts w:eastAsia="Times New Roman"/>
        </w:rPr>
        <w:t xml:space="preserve">, H., Xu, D., Zhu, J., Liu, J., &amp; Li, H. (2022). Prevalence and Risk Factors of Primary Dysmenorrhea in Students: A Meta-Analysis. </w:t>
      </w:r>
      <w:r>
        <w:rPr>
          <w:rFonts w:eastAsia="Times New Roman"/>
          <w:i/>
          <w:iCs/>
        </w:rPr>
        <w:t>Value in Health</w:t>
      </w:r>
      <w:r>
        <w:rPr>
          <w:rFonts w:eastAsia="Times New Roman"/>
        </w:rPr>
        <w:t xml:space="preserve">, </w:t>
      </w:r>
      <w:r>
        <w:rPr>
          <w:rFonts w:eastAsia="Times New Roman"/>
          <w:b/>
          <w:bCs/>
        </w:rPr>
        <w:t>25</w:t>
      </w:r>
      <w:r>
        <w:rPr>
          <w:rFonts w:eastAsia="Times New Roman"/>
        </w:rPr>
        <w:t xml:space="preserve">(10): 1678–1684. </w:t>
      </w:r>
    </w:p>
    <w:p w:rsidR="007E5971" w:rsidRDefault="007E5971" w:rsidP="007E5971">
      <w:pPr>
        <w:autoSpaceDE w:val="0"/>
        <w:autoSpaceDN w:val="0"/>
        <w:ind w:hanging="480"/>
        <w:jc w:val="both"/>
        <w:rPr>
          <w:rFonts w:eastAsia="Times New Roman"/>
        </w:rPr>
      </w:pPr>
      <w:proofErr w:type="spellStart"/>
      <w:r>
        <w:rPr>
          <w:rFonts w:eastAsia="Times New Roman"/>
        </w:rPr>
        <w:t>Yildiz</w:t>
      </w:r>
      <w:proofErr w:type="spellEnd"/>
      <w:r>
        <w:rPr>
          <w:rFonts w:eastAsia="Times New Roman"/>
        </w:rPr>
        <w:t>, E., &amp;</w:t>
      </w:r>
      <w:proofErr w:type="spellStart"/>
      <w:r>
        <w:rPr>
          <w:rFonts w:eastAsia="Times New Roman"/>
        </w:rPr>
        <w:t>Acaroǧlu</w:t>
      </w:r>
      <w:proofErr w:type="spellEnd"/>
      <w:r>
        <w:rPr>
          <w:rFonts w:eastAsia="Times New Roman"/>
        </w:rPr>
        <w:t xml:space="preserve">, R. (2022). The Effect of Massage and Progressive Relaxation Exercises on Pain Intensity and Menstrual Symptoms in Students </w:t>
      </w:r>
      <w:proofErr w:type="gramStart"/>
      <w:r>
        <w:rPr>
          <w:rFonts w:eastAsia="Times New Roman"/>
        </w:rPr>
        <w:t>With</w:t>
      </w:r>
      <w:proofErr w:type="gramEnd"/>
      <w:r>
        <w:rPr>
          <w:rFonts w:eastAsia="Times New Roman"/>
        </w:rPr>
        <w:t xml:space="preserve"> Primary Dysmenorrhea: A Randomized Controlled Trial. </w:t>
      </w:r>
      <w:r>
        <w:rPr>
          <w:rFonts w:eastAsia="Times New Roman"/>
          <w:i/>
          <w:iCs/>
        </w:rPr>
        <w:t>Holistic Nursing Practice</w:t>
      </w:r>
      <w:r>
        <w:rPr>
          <w:rFonts w:eastAsia="Times New Roman"/>
        </w:rPr>
        <w:t xml:space="preserve">, </w:t>
      </w:r>
      <w:r>
        <w:rPr>
          <w:rFonts w:eastAsia="Times New Roman"/>
          <w:b/>
          <w:bCs/>
        </w:rPr>
        <w:t>36</w:t>
      </w:r>
      <w:r>
        <w:rPr>
          <w:rFonts w:eastAsia="Times New Roman"/>
        </w:rPr>
        <w:t xml:space="preserve">(5): 284–294. </w:t>
      </w:r>
    </w:p>
    <w:p w:rsidR="007E5971" w:rsidRDefault="007E5971" w:rsidP="007E5971">
      <w:pPr>
        <w:autoSpaceDE w:val="0"/>
        <w:autoSpaceDN w:val="0"/>
        <w:ind w:hanging="480"/>
        <w:jc w:val="both"/>
        <w:rPr>
          <w:rFonts w:eastAsia="Times New Roman"/>
        </w:rPr>
      </w:pPr>
      <w:bookmarkStart w:id="1" w:name="_GoBack"/>
      <w:bookmarkEnd w:id="1"/>
    </w:p>
    <w:sectPr w:rsidR="007E5971" w:rsidSect="000F160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70E9" w:rsidRDefault="001F70E9">
      <w:pPr>
        <w:spacing w:after="0" w:line="240" w:lineRule="auto"/>
      </w:pPr>
      <w:r>
        <w:separator/>
      </w:r>
    </w:p>
  </w:endnote>
  <w:endnote w:type="continuationSeparator" w:id="0">
    <w:p w:rsidR="001F70E9" w:rsidRDefault="001F7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B52" w:rsidRDefault="001D0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FDA" w:rsidRDefault="00003A60">
    <w:pPr>
      <w:pStyle w:val="Footer"/>
      <w:jc w:val="center"/>
    </w:pPr>
    <w:r>
      <w:fldChar w:fldCharType="begin"/>
    </w:r>
    <w:r w:rsidR="00A24314">
      <w:instrText xml:space="preserve"> PAGE   \* MERGEFORMAT </w:instrText>
    </w:r>
    <w:r>
      <w:fldChar w:fldCharType="separate"/>
    </w:r>
    <w:r w:rsidR="0035526F">
      <w:rPr>
        <w:noProof/>
      </w:rPr>
      <w:t>12</w:t>
    </w:r>
    <w:r>
      <w:fldChar w:fldCharType="end"/>
    </w:r>
  </w:p>
  <w:p w:rsidR="005D5FDA" w:rsidRDefault="005D5F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B52" w:rsidRDefault="001D0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70E9" w:rsidRDefault="001F70E9">
      <w:pPr>
        <w:spacing w:after="0" w:line="240" w:lineRule="auto"/>
      </w:pPr>
      <w:r>
        <w:separator/>
      </w:r>
    </w:p>
  </w:footnote>
  <w:footnote w:type="continuationSeparator" w:id="0">
    <w:p w:rsidR="001F70E9" w:rsidRDefault="001F7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B52" w:rsidRDefault="001F70E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124001"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B52" w:rsidRDefault="001F70E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124002"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B52" w:rsidRDefault="001F70E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124000"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lvl w:ilvl="0">
      <w:start w:val="1"/>
      <w:numFmt w:val="lowerRoman"/>
      <w:lvlText w:val="%1."/>
      <w:lvlJc w:val="left"/>
      <w:pPr>
        <w:ind w:left="960" w:hanging="720"/>
      </w:pPr>
      <w:rPr>
        <w:rFonts w:hint="default"/>
      </w:r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abstractNum w:abstractNumId="1" w15:restartNumberingAfterBreak="0">
    <w:nsid w:val="0000000E"/>
    <w:multiLevelType w:val="multilevel"/>
    <w:tmpl w:val="000000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3E5788"/>
    <w:multiLevelType w:val="hybridMultilevel"/>
    <w:tmpl w:val="EED89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E5971"/>
    <w:rsid w:val="00003A60"/>
    <w:rsid w:val="00017F12"/>
    <w:rsid w:val="00056B44"/>
    <w:rsid w:val="000A6D7B"/>
    <w:rsid w:val="001148D2"/>
    <w:rsid w:val="001204EA"/>
    <w:rsid w:val="00156940"/>
    <w:rsid w:val="001D0B52"/>
    <w:rsid w:val="001F30DB"/>
    <w:rsid w:val="001F70E9"/>
    <w:rsid w:val="002910E6"/>
    <w:rsid w:val="0035526F"/>
    <w:rsid w:val="00512EBA"/>
    <w:rsid w:val="00524F2B"/>
    <w:rsid w:val="005C3C78"/>
    <w:rsid w:val="005D5FDA"/>
    <w:rsid w:val="005E5776"/>
    <w:rsid w:val="00694A1A"/>
    <w:rsid w:val="006B7CB7"/>
    <w:rsid w:val="00774FE4"/>
    <w:rsid w:val="007B5ADE"/>
    <w:rsid w:val="007B7FA9"/>
    <w:rsid w:val="007E5971"/>
    <w:rsid w:val="00865055"/>
    <w:rsid w:val="008A335E"/>
    <w:rsid w:val="008A7B54"/>
    <w:rsid w:val="00935B9D"/>
    <w:rsid w:val="009B7905"/>
    <w:rsid w:val="00A24314"/>
    <w:rsid w:val="00AE729F"/>
    <w:rsid w:val="00B142FF"/>
    <w:rsid w:val="00B25037"/>
    <w:rsid w:val="00B91129"/>
    <w:rsid w:val="00BC476A"/>
    <w:rsid w:val="00C50A59"/>
    <w:rsid w:val="00CD0ADE"/>
    <w:rsid w:val="00D43240"/>
    <w:rsid w:val="00D67D62"/>
    <w:rsid w:val="00DC16CD"/>
    <w:rsid w:val="00E97AF8"/>
    <w:rsid w:val="00F50ECF"/>
    <w:rsid w:val="00FF50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C98C34"/>
  <w15:docId w15:val="{D6F2331A-65B8-4936-80A1-7C2DBE9D4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qFormat="1"/>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qFormat="1"/>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5971"/>
    <w:pPr>
      <w:spacing w:after="200" w:line="276" w:lineRule="auto"/>
    </w:pPr>
    <w:rPr>
      <w:rFonts w:ascii="Times New Roman" w:eastAsia="Calibri" w:hAnsi="Times New Roman" w:cs="SimSun"/>
      <w:kern w:val="0"/>
      <w:szCs w:val="22"/>
    </w:rPr>
  </w:style>
  <w:style w:type="paragraph" w:styleId="Heading1">
    <w:name w:val="heading 1"/>
    <w:basedOn w:val="Normal"/>
    <w:next w:val="Normal"/>
    <w:link w:val="Heading1Char"/>
    <w:uiPriority w:val="9"/>
    <w:qFormat/>
    <w:rsid w:val="007E5971"/>
    <w:pPr>
      <w:keepNext/>
      <w:keepLines/>
      <w:spacing w:before="240" w:after="0"/>
      <w:jc w:val="center"/>
      <w:outlineLvl w:val="0"/>
    </w:pPr>
    <w:rPr>
      <w:rFonts w:eastAsia="SimSun"/>
      <w:b/>
      <w:kern w:val="2"/>
      <w:sz w:val="28"/>
      <w:szCs w:val="32"/>
      <w:lang w:val="en-GB"/>
    </w:rPr>
  </w:style>
  <w:style w:type="paragraph" w:styleId="Heading2">
    <w:name w:val="heading 2"/>
    <w:basedOn w:val="Normal"/>
    <w:next w:val="Normal"/>
    <w:link w:val="Heading2Char"/>
    <w:uiPriority w:val="9"/>
    <w:qFormat/>
    <w:rsid w:val="007E5971"/>
    <w:pPr>
      <w:keepNext/>
      <w:keepLines/>
      <w:spacing w:before="40" w:after="0"/>
      <w:outlineLvl w:val="1"/>
    </w:pPr>
    <w:rPr>
      <w:rFonts w:eastAsia="SimSun"/>
      <w:kern w:val="2"/>
      <w:szCs w:val="26"/>
      <w:lang w:val="en-GB"/>
    </w:rPr>
  </w:style>
  <w:style w:type="paragraph" w:styleId="Heading3">
    <w:name w:val="heading 3"/>
    <w:basedOn w:val="Normal"/>
    <w:link w:val="Heading3Char"/>
    <w:uiPriority w:val="9"/>
    <w:qFormat/>
    <w:rsid w:val="007E5971"/>
    <w:pPr>
      <w:spacing w:before="100" w:beforeAutospacing="1" w:after="100" w:afterAutospacing="1" w:line="240" w:lineRule="auto"/>
      <w:outlineLvl w:val="2"/>
    </w:pPr>
    <w:rPr>
      <w:rFonts w:eastAsia="Times New Roman" w:cs="Times New Roman"/>
      <w:b/>
      <w:bCs/>
      <w:sz w:val="27"/>
      <w:szCs w:val="27"/>
      <w:lang w:val="en-GB" w:eastAsia="en-GB"/>
    </w:rPr>
  </w:style>
  <w:style w:type="paragraph" w:styleId="Heading4">
    <w:name w:val="heading 4"/>
    <w:basedOn w:val="Normal"/>
    <w:next w:val="Normal"/>
    <w:link w:val="Heading4Char"/>
    <w:uiPriority w:val="9"/>
    <w:qFormat/>
    <w:rsid w:val="007E5971"/>
    <w:pPr>
      <w:keepNext/>
      <w:keepLines/>
      <w:spacing w:before="40" w:after="0"/>
      <w:outlineLvl w:val="3"/>
    </w:pPr>
    <w:rPr>
      <w:rFonts w:ascii="Calibri Light" w:eastAsia="SimSun"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7E5971"/>
    <w:rPr>
      <w:rFonts w:ascii="Times New Roman" w:eastAsia="SimSun" w:hAnsi="Times New Roman" w:cs="SimSun"/>
      <w:b/>
      <w:sz w:val="28"/>
      <w:szCs w:val="32"/>
      <w:lang w:val="en-GB"/>
    </w:rPr>
  </w:style>
  <w:style w:type="character" w:customStyle="1" w:styleId="Heading2Char">
    <w:name w:val="Heading 2 Char"/>
    <w:basedOn w:val="DefaultParagraphFont"/>
    <w:link w:val="Heading2"/>
    <w:uiPriority w:val="9"/>
    <w:qFormat/>
    <w:rsid w:val="007E5971"/>
    <w:rPr>
      <w:rFonts w:ascii="Times New Roman" w:eastAsia="SimSun" w:hAnsi="Times New Roman" w:cs="SimSun"/>
      <w:szCs w:val="26"/>
      <w:lang w:val="en-GB"/>
    </w:rPr>
  </w:style>
  <w:style w:type="character" w:customStyle="1" w:styleId="Heading3Char">
    <w:name w:val="Heading 3 Char"/>
    <w:basedOn w:val="DefaultParagraphFont"/>
    <w:link w:val="Heading3"/>
    <w:uiPriority w:val="9"/>
    <w:rsid w:val="007E5971"/>
    <w:rPr>
      <w:rFonts w:ascii="Times New Roman" w:eastAsia="Times New Roman" w:hAnsi="Times New Roman" w:cs="Times New Roman"/>
      <w:b/>
      <w:bCs/>
      <w:kern w:val="0"/>
      <w:sz w:val="27"/>
      <w:szCs w:val="27"/>
      <w:lang w:val="en-GB" w:eastAsia="en-GB"/>
    </w:rPr>
  </w:style>
  <w:style w:type="character" w:customStyle="1" w:styleId="Heading4Char">
    <w:name w:val="Heading 4 Char"/>
    <w:basedOn w:val="DefaultParagraphFont"/>
    <w:link w:val="Heading4"/>
    <w:uiPriority w:val="9"/>
    <w:qFormat/>
    <w:rsid w:val="007E5971"/>
    <w:rPr>
      <w:rFonts w:ascii="Calibri Light" w:eastAsia="SimSun" w:hAnsi="Calibri Light" w:cs="SimSun"/>
      <w:i/>
      <w:iCs/>
      <w:color w:val="2F5496"/>
      <w:kern w:val="0"/>
      <w:szCs w:val="22"/>
    </w:rPr>
  </w:style>
  <w:style w:type="character" w:styleId="Emphasis">
    <w:name w:val="Emphasis"/>
    <w:basedOn w:val="DefaultParagraphFont"/>
    <w:uiPriority w:val="20"/>
    <w:qFormat/>
    <w:rsid w:val="007E5971"/>
    <w:rPr>
      <w:i/>
      <w:iCs/>
    </w:rPr>
  </w:style>
  <w:style w:type="paragraph" w:styleId="Footer">
    <w:name w:val="footer"/>
    <w:basedOn w:val="Normal"/>
    <w:link w:val="FooterChar"/>
    <w:uiPriority w:val="99"/>
    <w:qFormat/>
    <w:rsid w:val="007E5971"/>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7E5971"/>
    <w:rPr>
      <w:rFonts w:ascii="Times New Roman" w:eastAsia="Calibri" w:hAnsi="Times New Roman" w:cs="SimSun"/>
      <w:kern w:val="0"/>
      <w:szCs w:val="22"/>
    </w:rPr>
  </w:style>
  <w:style w:type="paragraph" w:styleId="Header">
    <w:name w:val="header"/>
    <w:basedOn w:val="Normal"/>
    <w:link w:val="HeaderChar"/>
    <w:uiPriority w:val="99"/>
    <w:qFormat/>
    <w:rsid w:val="007E5971"/>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7E5971"/>
    <w:rPr>
      <w:rFonts w:ascii="Times New Roman" w:eastAsia="Calibri" w:hAnsi="Times New Roman" w:cs="SimSun"/>
      <w:kern w:val="0"/>
      <w:szCs w:val="22"/>
    </w:rPr>
  </w:style>
  <w:style w:type="paragraph" w:styleId="NormalWeb">
    <w:name w:val="Normal (Web)"/>
    <w:basedOn w:val="Normal"/>
    <w:uiPriority w:val="99"/>
    <w:qFormat/>
    <w:rsid w:val="007E5971"/>
    <w:pPr>
      <w:spacing w:before="100" w:beforeAutospacing="1" w:after="100" w:afterAutospacing="1" w:line="240" w:lineRule="auto"/>
    </w:pPr>
    <w:rPr>
      <w:rFonts w:eastAsia="Times New Roman" w:cs="Times New Roman"/>
      <w:szCs w:val="24"/>
      <w:lang w:val="en-GB" w:eastAsia="en-GB"/>
    </w:rPr>
  </w:style>
  <w:style w:type="character" w:styleId="Strong">
    <w:name w:val="Strong"/>
    <w:basedOn w:val="DefaultParagraphFont"/>
    <w:uiPriority w:val="22"/>
    <w:qFormat/>
    <w:rsid w:val="007E5971"/>
    <w:rPr>
      <w:b/>
      <w:bCs/>
    </w:rPr>
  </w:style>
  <w:style w:type="table" w:styleId="TableGrid">
    <w:name w:val="Table Grid"/>
    <w:basedOn w:val="TableNormal"/>
    <w:uiPriority w:val="59"/>
    <w:qFormat/>
    <w:rsid w:val="007E5971"/>
    <w:pPr>
      <w:spacing w:after="0" w:line="240" w:lineRule="auto"/>
    </w:pPr>
    <w:rPr>
      <w:rFonts w:ascii="Calibri" w:eastAsia="Calibri" w:hAnsi="Calibri" w:cs="SimSu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qFormat/>
    <w:rsid w:val="007E5971"/>
    <w:pPr>
      <w:spacing w:after="0" w:line="240" w:lineRule="auto"/>
    </w:pPr>
    <w:rPr>
      <w:rFonts w:ascii="Calibri" w:eastAsia="Calibri" w:hAnsi="Calibri" w:cs="SimSun"/>
      <w:kern w:val="0"/>
      <w:sz w:val="20"/>
      <w:szCs w:val="20"/>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rsid w:val="007E5971"/>
    <w:pPr>
      <w:spacing w:after="0" w:line="240" w:lineRule="auto"/>
    </w:pPr>
    <w:rPr>
      <w:rFonts w:ascii="Calibri" w:eastAsia="Calibri" w:hAnsi="Calibri" w:cs="SimSun"/>
      <w:kern w:val="0"/>
      <w:sz w:val="20"/>
      <w:szCs w:val="20"/>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7E5971"/>
    <w:pPr>
      <w:spacing w:after="0" w:line="240" w:lineRule="auto"/>
    </w:pPr>
    <w:rPr>
      <w:rFonts w:ascii="Calibri" w:eastAsia="Calibri" w:hAnsi="Calibri" w:cs="SimSun"/>
      <w:kern w:val="0"/>
      <w:sz w:val="20"/>
      <w:szCs w:val="20"/>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7E5971"/>
    <w:pPr>
      <w:spacing w:after="0" w:line="240" w:lineRule="auto"/>
    </w:pPr>
    <w:rPr>
      <w:rFonts w:ascii="Calibri" w:eastAsia="Calibri" w:hAnsi="Calibri" w:cs="SimSun"/>
      <w:kern w:val="0"/>
      <w:sz w:val="20"/>
      <w:szCs w:val="20"/>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rsid w:val="007E5971"/>
    <w:pPr>
      <w:spacing w:after="0" w:line="240" w:lineRule="auto"/>
    </w:pPr>
    <w:rPr>
      <w:rFonts w:ascii="Calibri" w:eastAsia="Calibri" w:hAnsi="Calibri" w:cs="SimSun"/>
      <w:kern w:val="0"/>
      <w:sz w:val="20"/>
      <w:szCs w:val="20"/>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rsid w:val="007E5971"/>
    <w:pPr>
      <w:spacing w:after="0" w:line="240" w:lineRule="auto"/>
    </w:pPr>
    <w:rPr>
      <w:rFonts w:ascii="Calibri" w:eastAsia="Calibri" w:hAnsi="Calibri" w:cs="SimSun"/>
      <w:kern w:val="0"/>
      <w:sz w:val="20"/>
      <w:szCs w:val="20"/>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rsid w:val="007E5971"/>
    <w:pPr>
      <w:spacing w:after="0" w:line="240" w:lineRule="auto"/>
    </w:pPr>
    <w:rPr>
      <w:rFonts w:ascii="Calibri" w:eastAsia="Calibri" w:hAnsi="Calibri" w:cs="SimSun"/>
      <w:kern w:val="0"/>
      <w:sz w:val="20"/>
      <w:szCs w:val="20"/>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paragraph" w:styleId="ListParagraph">
    <w:name w:val="List Paragraph"/>
    <w:basedOn w:val="Normal"/>
    <w:qFormat/>
    <w:rsid w:val="007E5971"/>
    <w:pPr>
      <w:ind w:left="720"/>
      <w:contextualSpacing/>
    </w:pPr>
  </w:style>
  <w:style w:type="paragraph" w:customStyle="1" w:styleId="Default">
    <w:name w:val="Default"/>
    <w:qFormat/>
    <w:rsid w:val="007E5971"/>
    <w:pPr>
      <w:autoSpaceDE w:val="0"/>
      <w:autoSpaceDN w:val="0"/>
      <w:adjustRightInd w:val="0"/>
      <w:spacing w:after="0" w:line="240" w:lineRule="auto"/>
    </w:pPr>
    <w:rPr>
      <w:rFonts w:ascii="Times New Roman" w:eastAsia="Calibri" w:hAnsi="Times New Roman" w:cs="Times New Roman"/>
      <w:color w:val="000000"/>
      <w:kern w:val="0"/>
    </w:rPr>
  </w:style>
  <w:style w:type="character" w:styleId="PlaceholderText">
    <w:name w:val="Placeholder Text"/>
    <w:basedOn w:val="DefaultParagraphFont"/>
    <w:uiPriority w:val="99"/>
    <w:rsid w:val="007E5971"/>
    <w:rPr>
      <w:color w:val="666666"/>
    </w:rPr>
  </w:style>
  <w:style w:type="paragraph" w:styleId="BalloonText">
    <w:name w:val="Balloon Text"/>
    <w:basedOn w:val="Normal"/>
    <w:link w:val="BalloonTextChar"/>
    <w:rsid w:val="007E59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E5971"/>
    <w:rPr>
      <w:rFonts w:ascii="Tahoma" w:eastAsia="Calibri" w:hAnsi="Tahoma" w:cs="Tahoma"/>
      <w:kern w:val="0"/>
      <w:sz w:val="16"/>
      <w:szCs w:val="16"/>
    </w:rPr>
  </w:style>
  <w:style w:type="character" w:styleId="Hyperlink">
    <w:name w:val="Hyperlink"/>
    <w:basedOn w:val="DefaultParagraphFont"/>
    <w:uiPriority w:val="99"/>
    <w:unhideWhenUsed/>
    <w:rsid w:val="006B7CB7"/>
    <w:rPr>
      <w:color w:val="0563C1" w:themeColor="hyperlink"/>
      <w:u w:val="single"/>
    </w:rPr>
  </w:style>
  <w:style w:type="character" w:customStyle="1" w:styleId="UnresolvedMention1">
    <w:name w:val="Unresolved Mention1"/>
    <w:basedOn w:val="DefaultParagraphFont"/>
    <w:uiPriority w:val="99"/>
    <w:semiHidden/>
    <w:unhideWhenUsed/>
    <w:rsid w:val="006B7C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16</Pages>
  <Words>4409</Words>
  <Characters>25132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Editor-1183</cp:lastModifiedBy>
  <cp:revision>4</cp:revision>
  <dcterms:created xsi:type="dcterms:W3CDTF">2026-03-16T12:47:00Z</dcterms:created>
  <dcterms:modified xsi:type="dcterms:W3CDTF">2026-03-20T10:13:00Z</dcterms:modified>
</cp:coreProperties>
</file>