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939B4" w14:textId="77777777" w:rsidR="00784831" w:rsidRDefault="00784831" w:rsidP="00E1162E">
      <w:pPr>
        <w:spacing w:after="0" w:line="360" w:lineRule="auto"/>
        <w:jc w:val="center"/>
        <w:rPr>
          <w:rFonts w:ascii="Arial" w:hAnsi="Arial" w:cs="Arial"/>
          <w:b/>
          <w:sz w:val="28"/>
          <w:szCs w:val="28"/>
          <w:lang w:val="en-US"/>
        </w:rPr>
      </w:pPr>
      <w:r w:rsidRPr="00784831">
        <w:rPr>
          <w:rFonts w:ascii="Arial" w:hAnsi="Arial" w:cs="Arial"/>
          <w:b/>
          <w:sz w:val="28"/>
          <w:szCs w:val="28"/>
          <w:lang w:val="en-US"/>
        </w:rPr>
        <w:t>Original Research Article</w:t>
      </w:r>
    </w:p>
    <w:p w14:paraId="2B832913" w14:textId="77777777" w:rsidR="00784831" w:rsidRDefault="00784831" w:rsidP="00E1162E">
      <w:pPr>
        <w:spacing w:after="0" w:line="360" w:lineRule="auto"/>
        <w:jc w:val="center"/>
        <w:rPr>
          <w:rFonts w:ascii="Arial" w:hAnsi="Arial" w:cs="Arial"/>
          <w:b/>
          <w:sz w:val="28"/>
          <w:szCs w:val="28"/>
          <w:lang w:val="en-US"/>
        </w:rPr>
      </w:pPr>
    </w:p>
    <w:p w14:paraId="344DA74C" w14:textId="5E450DE7" w:rsidR="00B419F2" w:rsidRPr="00D806A9" w:rsidRDefault="00C60484" w:rsidP="00B419F2">
      <w:pPr>
        <w:spacing w:after="0" w:line="360" w:lineRule="auto"/>
        <w:jc w:val="center"/>
        <w:rPr>
          <w:rFonts w:ascii="Arial" w:hAnsi="Arial" w:cs="Arial"/>
          <w:b/>
          <w:sz w:val="28"/>
          <w:szCs w:val="28"/>
          <w:lang w:val="en-US"/>
        </w:rPr>
      </w:pPr>
      <w:r w:rsidRPr="00EC4C7A">
        <w:rPr>
          <w:rFonts w:ascii="Arial" w:eastAsia="Arial Unicode MS" w:hAnsi="Arial" w:cs="Arial"/>
          <w:b/>
          <w:bCs/>
          <w:sz w:val="28"/>
          <w:szCs w:val="28"/>
          <w:lang w:val="en-GB"/>
        </w:rPr>
        <w:t xml:space="preserve">Evaluation </w:t>
      </w:r>
      <w:r w:rsidR="0085198A">
        <w:rPr>
          <w:rFonts w:ascii="Arial" w:eastAsia="Arial Unicode MS" w:hAnsi="Arial" w:cs="Arial"/>
          <w:b/>
          <w:bCs/>
          <w:sz w:val="28"/>
          <w:szCs w:val="28"/>
          <w:lang w:val="en-GB"/>
        </w:rPr>
        <w:t>o</w:t>
      </w:r>
      <w:r w:rsidRPr="00EC4C7A">
        <w:rPr>
          <w:rFonts w:ascii="Arial" w:eastAsia="Arial Unicode MS" w:hAnsi="Arial" w:cs="Arial"/>
          <w:b/>
          <w:bCs/>
          <w:sz w:val="28"/>
          <w:szCs w:val="28"/>
          <w:lang w:val="en-GB"/>
        </w:rPr>
        <w:t>f Integrated Patient-</w:t>
      </w:r>
      <w:proofErr w:type="spellStart"/>
      <w:r w:rsidRPr="00EC4C7A">
        <w:rPr>
          <w:rFonts w:ascii="Arial" w:eastAsia="Arial Unicode MS" w:hAnsi="Arial" w:cs="Arial"/>
          <w:b/>
          <w:bCs/>
          <w:sz w:val="28"/>
          <w:szCs w:val="28"/>
          <w:lang w:val="en-GB"/>
        </w:rPr>
        <w:t>Centered</w:t>
      </w:r>
      <w:proofErr w:type="spellEnd"/>
      <w:r w:rsidRPr="00EC4C7A">
        <w:rPr>
          <w:rFonts w:ascii="Arial" w:eastAsia="Arial Unicode MS" w:hAnsi="Arial" w:cs="Arial"/>
          <w:b/>
          <w:bCs/>
          <w:sz w:val="28"/>
          <w:szCs w:val="28"/>
          <w:lang w:val="en-GB"/>
        </w:rPr>
        <w:t xml:space="preserve"> Model </w:t>
      </w:r>
      <w:r w:rsidR="00F15B8C">
        <w:rPr>
          <w:rFonts w:ascii="Arial" w:eastAsia="Arial Unicode MS" w:hAnsi="Arial" w:cs="Arial"/>
          <w:b/>
          <w:bCs/>
          <w:sz w:val="28"/>
          <w:szCs w:val="28"/>
          <w:lang w:val="en-GB"/>
        </w:rPr>
        <w:t>o</w:t>
      </w:r>
      <w:r w:rsidRPr="00EC4C7A">
        <w:rPr>
          <w:rFonts w:ascii="Arial" w:eastAsia="Arial Unicode MS" w:hAnsi="Arial" w:cs="Arial"/>
          <w:b/>
          <w:bCs/>
          <w:sz w:val="28"/>
          <w:szCs w:val="28"/>
          <w:lang w:val="en-GB"/>
        </w:rPr>
        <w:t>f Territorial Transfusion Medicine Across Healthcare Settings: A Retrospective Study</w:t>
      </w:r>
    </w:p>
    <w:p w14:paraId="357B9F79" w14:textId="77777777" w:rsidR="00CA2578" w:rsidRDefault="00CA2578" w:rsidP="00E1162E">
      <w:pPr>
        <w:spacing w:after="0" w:line="360" w:lineRule="auto"/>
        <w:jc w:val="center"/>
        <w:rPr>
          <w:rFonts w:ascii="Arial" w:hAnsi="Arial" w:cs="Arial"/>
          <w:b/>
          <w:sz w:val="28"/>
          <w:szCs w:val="28"/>
          <w:lang w:val="en-US"/>
        </w:rPr>
      </w:pPr>
    </w:p>
    <w:p w14:paraId="118BAAAF" w14:textId="77777777" w:rsidR="00A36BC9" w:rsidRDefault="00A36BC9" w:rsidP="00E1162E">
      <w:pPr>
        <w:spacing w:after="0" w:line="360" w:lineRule="auto"/>
        <w:jc w:val="center"/>
        <w:rPr>
          <w:rFonts w:ascii="Arial" w:hAnsi="Arial" w:cs="Arial"/>
          <w:sz w:val="24"/>
          <w:szCs w:val="24"/>
          <w:lang w:val="en-US"/>
        </w:rPr>
      </w:pPr>
    </w:p>
    <w:p w14:paraId="5F32C65D" w14:textId="02EA8DEB" w:rsidR="00CA2578" w:rsidRPr="00CA2578" w:rsidRDefault="00CA2578" w:rsidP="00E1162E">
      <w:pPr>
        <w:spacing w:after="0" w:line="360" w:lineRule="auto"/>
        <w:jc w:val="both"/>
        <w:rPr>
          <w:rFonts w:ascii="Arial" w:hAnsi="Arial" w:cs="Arial"/>
          <w:sz w:val="24"/>
          <w:szCs w:val="24"/>
          <w:lang w:val="en-US"/>
        </w:rPr>
      </w:pPr>
      <w:r w:rsidRPr="00CA2578">
        <w:rPr>
          <w:rFonts w:ascii="Arial" w:eastAsia="Times New Roman" w:hAnsi="Arial" w:cs="Arial"/>
          <w:b/>
          <w:bCs/>
          <w:sz w:val="24"/>
          <w:szCs w:val="24"/>
          <w:lang w:val="en-US" w:eastAsia="it-IT"/>
        </w:rPr>
        <w:t>Abstract</w:t>
      </w:r>
    </w:p>
    <w:p w14:paraId="344BEDEF" w14:textId="77777777" w:rsidR="00C60484" w:rsidRDefault="00CA2578" w:rsidP="00E1162E">
      <w:pPr>
        <w:spacing w:after="0" w:line="360" w:lineRule="auto"/>
        <w:jc w:val="both"/>
        <w:rPr>
          <w:rFonts w:ascii="Arial" w:eastAsia="Times New Roman" w:hAnsi="Arial" w:cs="Arial"/>
          <w:sz w:val="24"/>
          <w:szCs w:val="24"/>
          <w:lang w:val="en-US" w:eastAsia="it-IT"/>
        </w:rPr>
      </w:pPr>
      <w:r w:rsidRPr="00CA2578">
        <w:rPr>
          <w:rFonts w:ascii="Arial" w:eastAsia="Times New Roman" w:hAnsi="Arial" w:cs="Arial"/>
          <w:b/>
          <w:bCs/>
          <w:sz w:val="24"/>
          <w:szCs w:val="24"/>
          <w:lang w:val="en-US" w:eastAsia="it-IT"/>
        </w:rPr>
        <w:t>Background:</w:t>
      </w:r>
      <w:r w:rsidRPr="00CA2578">
        <w:rPr>
          <w:rFonts w:ascii="Arial" w:eastAsia="Times New Roman" w:hAnsi="Arial" w:cs="Arial"/>
          <w:sz w:val="24"/>
          <w:szCs w:val="24"/>
          <w:lang w:val="en-US" w:eastAsia="it-IT"/>
        </w:rPr>
        <w:t xml:space="preserve"> In contemporary healthcare systems, the sustainability of complex care models increasingly depends on the transition toward decentralized frameworks. Community-based transfusion </w:t>
      </w:r>
      <w:r w:rsidR="00B419F2">
        <w:rPr>
          <w:rFonts w:ascii="Arial" w:eastAsia="Times New Roman" w:hAnsi="Arial" w:cs="Arial"/>
          <w:sz w:val="24"/>
          <w:szCs w:val="24"/>
          <w:lang w:val="en-US" w:eastAsia="it-IT"/>
        </w:rPr>
        <w:t xml:space="preserve">therapy </w:t>
      </w:r>
      <w:r w:rsidRPr="00CA2578">
        <w:rPr>
          <w:rFonts w:ascii="Arial" w:eastAsia="Times New Roman" w:hAnsi="Arial" w:cs="Arial"/>
          <w:sz w:val="24"/>
          <w:szCs w:val="24"/>
          <w:lang w:val="en-US" w:eastAsia="it-IT"/>
        </w:rPr>
        <w:t>have emerged as a strategic approach to ensure continuity of care for frail and chronically ill patients. T</w:t>
      </w:r>
    </w:p>
    <w:p w14:paraId="39F0CC01" w14:textId="49D610B6" w:rsidR="00CA2578" w:rsidRPr="00CA2578" w:rsidRDefault="00CA2578" w:rsidP="00E1162E">
      <w:pPr>
        <w:spacing w:after="0" w:line="360" w:lineRule="auto"/>
        <w:jc w:val="both"/>
        <w:rPr>
          <w:rFonts w:ascii="Arial" w:eastAsia="Times New Roman" w:hAnsi="Arial" w:cs="Arial"/>
          <w:sz w:val="24"/>
          <w:szCs w:val="24"/>
          <w:lang w:val="en-US" w:eastAsia="it-IT"/>
        </w:rPr>
      </w:pPr>
      <w:r w:rsidRPr="00CA2578">
        <w:rPr>
          <w:rFonts w:ascii="Arial" w:eastAsia="Times New Roman" w:hAnsi="Arial" w:cs="Arial"/>
          <w:sz w:val="24"/>
          <w:szCs w:val="24"/>
          <w:lang w:val="en-US" w:eastAsia="it-IT"/>
        </w:rPr>
        <w:t>his study reports the experience of outpatient transfusion therapy in a large area of northeastern Italy over a five-year period (2020–2024).</w:t>
      </w:r>
    </w:p>
    <w:p w14:paraId="65CF239E" w14:textId="77777777" w:rsidR="00E1162E" w:rsidRDefault="00CA2578" w:rsidP="00E1162E">
      <w:pPr>
        <w:spacing w:after="0" w:line="360" w:lineRule="auto"/>
        <w:jc w:val="both"/>
        <w:rPr>
          <w:rFonts w:ascii="Arial" w:eastAsia="Times New Roman" w:hAnsi="Arial" w:cs="Arial"/>
          <w:sz w:val="24"/>
          <w:szCs w:val="24"/>
          <w:lang w:val="en-US" w:eastAsia="it-IT"/>
        </w:rPr>
      </w:pPr>
      <w:r w:rsidRPr="00CA2578">
        <w:rPr>
          <w:rFonts w:ascii="Arial" w:eastAsia="Times New Roman" w:hAnsi="Arial" w:cs="Arial"/>
          <w:b/>
          <w:bCs/>
          <w:sz w:val="24"/>
          <w:szCs w:val="24"/>
          <w:lang w:val="en-US" w:eastAsia="it-IT"/>
        </w:rPr>
        <w:t>Materials and Methods:</w:t>
      </w:r>
      <w:r w:rsidRPr="00CA2578">
        <w:rPr>
          <w:rFonts w:ascii="Arial" w:eastAsia="Times New Roman" w:hAnsi="Arial" w:cs="Arial"/>
          <w:sz w:val="24"/>
          <w:szCs w:val="24"/>
          <w:lang w:val="en-US" w:eastAsia="it-IT"/>
        </w:rPr>
        <w:t xml:space="preserve"> Multiple operational settings were evaluated, including home transfusions, community hospitals, nursing homes, and outpatient clinics. Activity volumes recorded between 2020 and 2024 were analyzed. A comparative cost analysis was conducted between transfusions delivered in community settings and those performed in hospital settings (inpatient and day hospital), as well as cases requiring access to emergency departments.</w:t>
      </w:r>
    </w:p>
    <w:p w14:paraId="56965BC2" w14:textId="0476C237" w:rsidR="00E1162E" w:rsidRDefault="00CA2578" w:rsidP="00E1162E">
      <w:pPr>
        <w:spacing w:after="0" w:line="360" w:lineRule="auto"/>
        <w:jc w:val="both"/>
        <w:rPr>
          <w:rFonts w:ascii="Arial" w:eastAsia="Times New Roman" w:hAnsi="Arial" w:cs="Arial"/>
          <w:sz w:val="24"/>
          <w:szCs w:val="24"/>
          <w:lang w:val="en-US" w:eastAsia="it-IT"/>
        </w:rPr>
      </w:pPr>
      <w:r w:rsidRPr="00CA2578">
        <w:rPr>
          <w:rFonts w:ascii="Arial" w:eastAsia="Times New Roman" w:hAnsi="Arial" w:cs="Arial"/>
          <w:b/>
          <w:bCs/>
          <w:sz w:val="24"/>
          <w:szCs w:val="24"/>
          <w:lang w:val="en-US" w:eastAsia="it-IT"/>
        </w:rPr>
        <w:t>Results:</w:t>
      </w:r>
      <w:r w:rsidRPr="00CA2578">
        <w:rPr>
          <w:rFonts w:ascii="Arial" w:eastAsia="Times New Roman" w:hAnsi="Arial" w:cs="Arial"/>
          <w:sz w:val="24"/>
          <w:szCs w:val="24"/>
          <w:lang w:val="en-US" w:eastAsia="it-IT"/>
        </w:rPr>
        <w:t xml:space="preserve"> Red blood cell concentrates were the most frequently transfused blood component in the community setting</w:t>
      </w:r>
      <w:r w:rsidR="009D5942" w:rsidRPr="009D5942">
        <w:rPr>
          <w:rFonts w:ascii="Arial" w:hAnsi="Arial" w:cs="Arial"/>
          <w:lang w:val="en-US"/>
        </w:rPr>
        <w:t xml:space="preserve"> </w:t>
      </w:r>
      <w:proofErr w:type="gramStart"/>
      <w:r w:rsidR="009D5942" w:rsidRPr="00CA2578">
        <w:rPr>
          <w:rFonts w:ascii="Arial" w:hAnsi="Arial" w:cs="Arial"/>
          <w:lang w:val="en-US"/>
        </w:rPr>
        <w:t>The</w:t>
      </w:r>
      <w:proofErr w:type="gramEnd"/>
      <w:r w:rsidR="009D5942" w:rsidRPr="00CA2578">
        <w:rPr>
          <w:rFonts w:ascii="Arial" w:hAnsi="Arial" w:cs="Arial"/>
          <w:lang w:val="en-US"/>
        </w:rPr>
        <w:t xml:space="preserve"> total number of transfusions delivered in outpatient settings increased from 4,222 in 2020 to 4,789 in 2024 (+507 units; +12%). </w:t>
      </w:r>
      <w:r w:rsidRPr="00CA2578">
        <w:rPr>
          <w:rFonts w:ascii="Arial" w:eastAsia="Times New Roman" w:hAnsi="Arial" w:cs="Arial"/>
          <w:sz w:val="24"/>
          <w:szCs w:val="24"/>
          <w:lang w:val="en-US" w:eastAsia="it-IT"/>
        </w:rPr>
        <w:t>Over the study period, community-based transfusion activity increased from 11.1% to 12.9% of total transfusion procedures. The incidence of post-transfusion adverse events was slightly higher than that observed in the overall hospital population, with a greater proportion of transfusion-associated circulatory overload reactions. Cost analysis demonstrated superior cost-effectiveness of community-based transfusion therapy compared with hospital-based care across the evaluated settings.</w:t>
      </w:r>
    </w:p>
    <w:p w14:paraId="614B08E0" w14:textId="5B056F0D" w:rsidR="00CA2578" w:rsidRPr="00CA2578" w:rsidRDefault="00CA2578" w:rsidP="00E1162E">
      <w:pPr>
        <w:spacing w:after="0" w:line="360" w:lineRule="auto"/>
        <w:jc w:val="both"/>
        <w:rPr>
          <w:rFonts w:ascii="Arial" w:eastAsia="Times New Roman" w:hAnsi="Arial" w:cs="Arial"/>
          <w:sz w:val="24"/>
          <w:szCs w:val="24"/>
          <w:lang w:val="en-US" w:eastAsia="it-IT"/>
        </w:rPr>
      </w:pPr>
      <w:r w:rsidRPr="00CA2578">
        <w:rPr>
          <w:rFonts w:ascii="Arial" w:eastAsia="Times New Roman" w:hAnsi="Arial" w:cs="Arial"/>
          <w:b/>
          <w:bCs/>
          <w:sz w:val="24"/>
          <w:szCs w:val="24"/>
          <w:lang w:val="en-US" w:eastAsia="it-IT"/>
        </w:rPr>
        <w:t>Conclusions:</w:t>
      </w:r>
      <w:r w:rsidRPr="00CA2578">
        <w:rPr>
          <w:rFonts w:ascii="Arial" w:eastAsia="Times New Roman" w:hAnsi="Arial" w:cs="Arial"/>
          <w:sz w:val="24"/>
          <w:szCs w:val="24"/>
          <w:lang w:val="en-US" w:eastAsia="it-IT"/>
        </w:rPr>
        <w:t xml:space="preserve"> Transfusion services delivered </w:t>
      </w:r>
      <w:proofErr w:type="gramStart"/>
      <w:r w:rsidRPr="00CA2578">
        <w:rPr>
          <w:rFonts w:ascii="Arial" w:eastAsia="Times New Roman" w:hAnsi="Arial" w:cs="Arial"/>
          <w:sz w:val="24"/>
          <w:szCs w:val="24"/>
          <w:lang w:val="en-US" w:eastAsia="it-IT"/>
        </w:rPr>
        <w:t>within ,</w:t>
      </w:r>
      <w:proofErr w:type="gramEnd"/>
      <w:r w:rsidRPr="00CA2578">
        <w:rPr>
          <w:rFonts w:ascii="Arial" w:eastAsia="Times New Roman" w:hAnsi="Arial" w:cs="Arial"/>
          <w:sz w:val="24"/>
          <w:szCs w:val="24"/>
          <w:lang w:val="en-US" w:eastAsia="it-IT"/>
        </w:rPr>
        <w:t xml:space="preserve"> nursing homes, and community care centers represent a key component of a resilient, patient-centered healthcare system. Integration between the community network and specialized hospital services ensures the maintenance of hospital-level safety standards in decentralized settings. Consolidation of </w:t>
      </w:r>
      <w:r w:rsidRPr="00CA2578">
        <w:rPr>
          <w:rFonts w:ascii="Arial" w:eastAsia="Times New Roman" w:hAnsi="Arial" w:cs="Arial"/>
          <w:sz w:val="24"/>
          <w:szCs w:val="24"/>
          <w:lang w:val="en-US" w:eastAsia="it-IT"/>
        </w:rPr>
        <w:lastRenderedPageBreak/>
        <w:t>this model is essential to safeguard the right to health and the dignity of care, positioning transfusion medicine as a flexible and effective proximity-based service.</w:t>
      </w:r>
    </w:p>
    <w:p w14:paraId="16A06CB1" w14:textId="77777777" w:rsidR="00AF7F4D" w:rsidRPr="00CA2578" w:rsidRDefault="00AF7F4D" w:rsidP="00E1162E">
      <w:pPr>
        <w:pStyle w:val="Heading2"/>
        <w:spacing w:line="360" w:lineRule="auto"/>
        <w:jc w:val="both"/>
        <w:rPr>
          <w:rFonts w:ascii="Arial" w:hAnsi="Arial" w:cs="Arial"/>
          <w:color w:val="auto"/>
          <w:sz w:val="24"/>
          <w:szCs w:val="24"/>
          <w:lang w:val="en-US"/>
        </w:rPr>
      </w:pPr>
      <w:r w:rsidRPr="00CA2578">
        <w:rPr>
          <w:rStyle w:val="Strong"/>
          <w:rFonts w:ascii="Arial" w:hAnsi="Arial" w:cs="Arial"/>
          <w:b/>
          <w:bCs/>
          <w:color w:val="auto"/>
          <w:sz w:val="24"/>
          <w:szCs w:val="24"/>
          <w:lang w:val="en-US"/>
        </w:rPr>
        <w:t>Key Words</w:t>
      </w:r>
    </w:p>
    <w:p w14:paraId="23768AAF" w14:textId="77777777" w:rsidR="00AF7F4D" w:rsidRPr="00CA2578" w:rsidRDefault="00AF7F4D" w:rsidP="00E1162E">
      <w:pPr>
        <w:pStyle w:val="NormalWeb"/>
        <w:spacing w:after="0" w:afterAutospacing="0" w:line="360" w:lineRule="auto"/>
        <w:jc w:val="both"/>
        <w:rPr>
          <w:rFonts w:ascii="Arial" w:hAnsi="Arial" w:cs="Arial"/>
          <w:lang w:val="en-US"/>
        </w:rPr>
      </w:pPr>
      <w:r w:rsidRPr="00CA2578">
        <w:rPr>
          <w:rFonts w:ascii="Arial" w:hAnsi="Arial" w:cs="Arial"/>
          <w:lang w:val="en-US"/>
        </w:rPr>
        <w:t>Cost analysis; Hemovigilance; Outpatients; Community-based care; Blood transfusion</w:t>
      </w:r>
    </w:p>
    <w:p w14:paraId="15B320E3" w14:textId="77777777" w:rsidR="00CA2578" w:rsidRPr="00CA2578" w:rsidRDefault="00CA2578" w:rsidP="003C4439">
      <w:pPr>
        <w:spacing w:before="100" w:beforeAutospacing="1" w:after="0" w:line="240" w:lineRule="auto"/>
        <w:jc w:val="both"/>
        <w:rPr>
          <w:rFonts w:ascii="Arial" w:eastAsia="Times New Roman" w:hAnsi="Arial" w:cs="Arial"/>
          <w:sz w:val="24"/>
          <w:szCs w:val="24"/>
          <w:lang w:val="en-US" w:eastAsia="it-IT"/>
        </w:rPr>
      </w:pPr>
    </w:p>
    <w:p w14:paraId="1401589E" w14:textId="1EDDC49C" w:rsidR="00AF7F4D" w:rsidRDefault="00AF7F4D" w:rsidP="003C4439">
      <w:pPr>
        <w:spacing w:after="0" w:line="240" w:lineRule="auto"/>
        <w:rPr>
          <w:rFonts w:ascii="Arial" w:eastAsia="Times New Roman" w:hAnsi="Arial" w:cs="Arial"/>
          <w:sz w:val="24"/>
          <w:szCs w:val="24"/>
          <w:lang w:val="en-US" w:eastAsia="it-IT"/>
        </w:rPr>
      </w:pPr>
    </w:p>
    <w:p w14:paraId="12B16910" w14:textId="77777777" w:rsidR="00CA2578" w:rsidRPr="00CA2578" w:rsidRDefault="00CA2578" w:rsidP="00E1162E">
      <w:pPr>
        <w:pStyle w:val="Heading2"/>
        <w:spacing w:line="360" w:lineRule="auto"/>
        <w:jc w:val="both"/>
        <w:rPr>
          <w:rFonts w:ascii="Arial" w:hAnsi="Arial" w:cs="Arial"/>
          <w:color w:val="auto"/>
          <w:sz w:val="24"/>
          <w:szCs w:val="24"/>
          <w:lang w:val="en-US"/>
        </w:rPr>
      </w:pPr>
      <w:r w:rsidRPr="00CA2578">
        <w:rPr>
          <w:rStyle w:val="Strong"/>
          <w:rFonts w:ascii="Arial" w:hAnsi="Arial" w:cs="Arial"/>
          <w:b/>
          <w:bCs/>
          <w:color w:val="auto"/>
          <w:sz w:val="24"/>
          <w:szCs w:val="24"/>
          <w:lang w:val="en-US"/>
        </w:rPr>
        <w:t>Background</w:t>
      </w:r>
    </w:p>
    <w:p w14:paraId="3B183F1D" w14:textId="6FEA277D" w:rsidR="00AF7F4D"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 xml:space="preserve">Red blood cell (RBC) transfusion in the outpatient setting is typically administered to preserve organ function and quality of life in hemodynamically stable patients with chronic disease and symptomatic anemia [1]. However, </w:t>
      </w:r>
      <w:r w:rsidR="00F409A5" w:rsidRPr="00CA2578">
        <w:rPr>
          <w:rFonts w:ascii="Arial" w:hAnsi="Arial" w:cs="Arial"/>
          <w:lang w:val="en-US"/>
        </w:rPr>
        <w:t>most of</w:t>
      </w:r>
      <w:r w:rsidRPr="00CA2578">
        <w:rPr>
          <w:rFonts w:ascii="Arial" w:hAnsi="Arial" w:cs="Arial"/>
          <w:lang w:val="en-US"/>
        </w:rPr>
        <w:t xml:space="preserve"> the literature on </w:t>
      </w:r>
      <w:r w:rsidR="007A066C">
        <w:rPr>
          <w:rFonts w:ascii="Arial" w:hAnsi="Arial" w:cs="Arial"/>
          <w:lang w:val="en-US"/>
        </w:rPr>
        <w:t>RBC</w:t>
      </w:r>
      <w:r w:rsidRPr="00CA2578">
        <w:rPr>
          <w:rFonts w:ascii="Arial" w:hAnsi="Arial" w:cs="Arial"/>
          <w:lang w:val="en-US"/>
        </w:rPr>
        <w:t xml:space="preserve"> transfusion focuses on transfusion triggers, safety, and survival outcomes in hospitalized patients with acute anemia [2,3]. Current Italian </w:t>
      </w:r>
      <w:r w:rsidR="00312263">
        <w:rPr>
          <w:rFonts w:ascii="Arial" w:hAnsi="Arial" w:cs="Arial"/>
          <w:lang w:val="en-US"/>
        </w:rPr>
        <w:t>N</w:t>
      </w:r>
      <w:r w:rsidRPr="00CA2578">
        <w:rPr>
          <w:rFonts w:ascii="Arial" w:hAnsi="Arial" w:cs="Arial"/>
          <w:lang w:val="en-US"/>
        </w:rPr>
        <w:t xml:space="preserve">ational guidelines, consistent with international recommendations, advocate a restrictive transfusion strategy in anemic inpatients, generally recommending transfusion at hemoglobin levels of 7–7.5 g/dL [4–7]. Furthermore, in line with restrictive blood management policies, the administration of a single </w:t>
      </w:r>
      <w:r w:rsidR="00E1162E">
        <w:rPr>
          <w:rFonts w:ascii="Arial" w:hAnsi="Arial" w:cs="Arial"/>
          <w:lang w:val="en-US"/>
        </w:rPr>
        <w:t>RBC</w:t>
      </w:r>
      <w:r w:rsidRPr="00CA2578">
        <w:rPr>
          <w:rFonts w:ascii="Arial" w:hAnsi="Arial" w:cs="Arial"/>
          <w:lang w:val="en-US"/>
        </w:rPr>
        <w:t xml:space="preserve"> unit (“single-unit policy”) is typically recommended patients without acute hemorrhage [5].</w:t>
      </w:r>
    </w:p>
    <w:p w14:paraId="2C3A0D22" w14:textId="7D485DDF" w:rsidR="007A066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 xml:space="preserve">The evidence supporting these recommendations is largely derived from hospital-based settings. In contrast, limited data are available to guide transfusion practices in outpatients. In ambulatory care, </w:t>
      </w:r>
      <w:r w:rsidR="00E1162E">
        <w:rPr>
          <w:rFonts w:ascii="Arial" w:hAnsi="Arial" w:cs="Arial"/>
          <w:lang w:val="en-US"/>
        </w:rPr>
        <w:t>RBC</w:t>
      </w:r>
      <w:r w:rsidRPr="00CA2578">
        <w:rPr>
          <w:rFonts w:ascii="Arial" w:hAnsi="Arial" w:cs="Arial"/>
          <w:lang w:val="en-US"/>
        </w:rPr>
        <w:t xml:space="preserve"> transfusions are frequently administered with the aim of improving patients’ functional status. Survey data suggest that functional status represents the second most common indication for transfusion after hemoglobin concentration [8]. Moreover, published data on </w:t>
      </w:r>
      <w:r w:rsidR="00E1162E">
        <w:rPr>
          <w:rFonts w:ascii="Arial" w:hAnsi="Arial" w:cs="Arial"/>
          <w:lang w:val="en-US"/>
        </w:rPr>
        <w:t>RBC</w:t>
      </w:r>
      <w:r w:rsidRPr="00CA2578">
        <w:rPr>
          <w:rFonts w:ascii="Arial" w:hAnsi="Arial" w:cs="Arial"/>
          <w:lang w:val="en-US"/>
        </w:rPr>
        <w:t xml:space="preserve"> transfusion in the outpatient setting primarily concern selected patient populations, such as individuals with chronic kidney disease, myelodysplastic syndromes, or hemoglobinopathies, while evidence regarding transfusion therapy in other chronic conditions remains scarce [9–11].</w:t>
      </w:r>
    </w:p>
    <w:p w14:paraId="4A16A3C6" w14:textId="59D78C36" w:rsidR="007A066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 xml:space="preserve">The organization of an out-of-hospital transfusion </w:t>
      </w:r>
      <w:proofErr w:type="gramStart"/>
      <w:r w:rsidR="00312263">
        <w:rPr>
          <w:rFonts w:ascii="Arial" w:hAnsi="Arial" w:cs="Arial"/>
          <w:lang w:val="en-US"/>
        </w:rPr>
        <w:t xml:space="preserve">activity </w:t>
      </w:r>
      <w:r w:rsidRPr="00CA2578">
        <w:rPr>
          <w:rFonts w:ascii="Arial" w:hAnsi="Arial" w:cs="Arial"/>
          <w:lang w:val="en-US"/>
        </w:rPr>
        <w:t xml:space="preserve"> presents</w:t>
      </w:r>
      <w:proofErr w:type="gramEnd"/>
      <w:r w:rsidRPr="00CA2578">
        <w:rPr>
          <w:rFonts w:ascii="Arial" w:hAnsi="Arial" w:cs="Arial"/>
          <w:lang w:val="en-US"/>
        </w:rPr>
        <w:t xml:space="preserve"> several critical challenges, including  appropriateness of indications,</w:t>
      </w:r>
      <w:r w:rsidR="00312263">
        <w:rPr>
          <w:rFonts w:ascii="Arial" w:hAnsi="Arial" w:cs="Arial"/>
          <w:lang w:val="en-US"/>
        </w:rPr>
        <w:t xml:space="preserve"> adequate</w:t>
      </w:r>
      <w:r w:rsidRPr="00CA2578">
        <w:rPr>
          <w:rFonts w:ascii="Arial" w:hAnsi="Arial" w:cs="Arial"/>
          <w:lang w:val="en-US"/>
        </w:rPr>
        <w:t xml:space="preserve">  blood component transport conditions, </w:t>
      </w:r>
      <w:r w:rsidR="00312263">
        <w:rPr>
          <w:rFonts w:ascii="Arial" w:hAnsi="Arial" w:cs="Arial"/>
          <w:lang w:val="en-US"/>
        </w:rPr>
        <w:t xml:space="preserve">correct </w:t>
      </w:r>
      <w:r w:rsidRPr="00CA2578">
        <w:rPr>
          <w:rFonts w:ascii="Arial" w:hAnsi="Arial" w:cs="Arial"/>
          <w:lang w:val="en-US"/>
        </w:rPr>
        <w:t xml:space="preserve"> patient monitoring during transfusion,  timely recognition and management of adverse reactions [12,13]. Nevertheless, growing interest in community-based transfusion therapy has recently emerged in Italy, including in extra-hospital and pre-hospital emergency settings [14].</w:t>
      </w:r>
    </w:p>
    <w:p w14:paraId="7D3547BC" w14:textId="77777777" w:rsidR="00312263"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lastRenderedPageBreak/>
        <w:t xml:space="preserve">Within contemporary healthcare systems, sustainability increasingly depends on the transition toward decentralized models of care. Community-based transfusion services have therefore become strategically important to ensure continuity of care for frail and chronically ill patients. </w:t>
      </w:r>
    </w:p>
    <w:p w14:paraId="6195B546" w14:textId="3D2ACA9C" w:rsidR="007A066C" w:rsidRDefault="00312263" w:rsidP="00E1162E">
      <w:pPr>
        <w:pStyle w:val="NormalWeb"/>
        <w:spacing w:before="0" w:beforeAutospacing="0" w:after="0" w:afterAutospacing="0" w:line="360" w:lineRule="auto"/>
        <w:jc w:val="both"/>
        <w:rPr>
          <w:rFonts w:ascii="Arial" w:hAnsi="Arial" w:cs="Arial"/>
          <w:lang w:val="en-US"/>
        </w:rPr>
      </w:pPr>
      <w:r w:rsidRPr="00312263">
        <w:rPr>
          <w:rFonts w:ascii="Arial" w:hAnsi="Arial" w:cs="Arial"/>
          <w:lang w:val="en-US"/>
        </w:rPr>
        <w:t>Purpose of the study:</w:t>
      </w:r>
      <w:r>
        <w:rPr>
          <w:rFonts w:ascii="Arial" w:hAnsi="Arial" w:cs="Arial"/>
          <w:lang w:val="en-US"/>
        </w:rPr>
        <w:t xml:space="preserve"> </w:t>
      </w:r>
      <w:r w:rsidR="00CA2578" w:rsidRPr="00CA2578">
        <w:rPr>
          <w:rFonts w:ascii="Arial" w:hAnsi="Arial" w:cs="Arial"/>
          <w:lang w:val="en-US"/>
        </w:rPr>
        <w:t xml:space="preserve">In this context, the present study examines the clinical and organizational role of transfusion support within intermediate care facilities—such </w:t>
      </w:r>
      <w:proofErr w:type="gramStart"/>
      <w:r w:rsidR="00CA2578" w:rsidRPr="00CA2578">
        <w:rPr>
          <w:rFonts w:ascii="Arial" w:hAnsi="Arial" w:cs="Arial"/>
          <w:lang w:val="en-US"/>
        </w:rPr>
        <w:t>as  nursing</w:t>
      </w:r>
      <w:proofErr w:type="gramEnd"/>
      <w:r w:rsidR="00CA2578" w:rsidRPr="00CA2578">
        <w:rPr>
          <w:rFonts w:ascii="Arial" w:hAnsi="Arial" w:cs="Arial"/>
          <w:lang w:val="en-US"/>
        </w:rPr>
        <w:t xml:space="preserve"> homes</w:t>
      </w:r>
      <w:r w:rsidR="00F409A5">
        <w:rPr>
          <w:rFonts w:ascii="Arial" w:hAnsi="Arial" w:cs="Arial"/>
          <w:lang w:val="en-US"/>
        </w:rPr>
        <w:t xml:space="preserve"> for non-sufficient elderly</w:t>
      </w:r>
      <w:r w:rsidR="00CA2578" w:rsidRPr="00CA2578">
        <w:rPr>
          <w:rFonts w:ascii="Arial" w:hAnsi="Arial" w:cs="Arial"/>
          <w:lang w:val="en-US"/>
        </w:rPr>
        <w:t>, and long-term care centers—in the District of Venice (Northeastern Italy).</w:t>
      </w:r>
    </w:p>
    <w:p w14:paraId="4758302C" w14:textId="77777777" w:rsidR="007A066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Furthermore, economic evaluations reported in the literature suggest that extra-hospital transfusion therapy may reduce overall pathway management costs without compromising efficacy or safety [15,16].</w:t>
      </w:r>
    </w:p>
    <w:p w14:paraId="1D3CD77C" w14:textId="77777777" w:rsidR="003D3655" w:rsidRDefault="00CA2578" w:rsidP="003D3655">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The aim of this study was to report the experience of outpatient transfusion therapy in a large area of Northeastern Italy over the five-year period 2020–2024. The outcomes assessed were: (</w:t>
      </w:r>
      <w:proofErr w:type="spellStart"/>
      <w:r w:rsidRPr="00CA2578">
        <w:rPr>
          <w:rFonts w:ascii="Arial" w:hAnsi="Arial" w:cs="Arial"/>
          <w:lang w:val="en-US"/>
        </w:rPr>
        <w:t>i</w:t>
      </w:r>
      <w:proofErr w:type="spellEnd"/>
      <w:r w:rsidRPr="00CA2578">
        <w:rPr>
          <w:rFonts w:ascii="Arial" w:hAnsi="Arial" w:cs="Arial"/>
          <w:lang w:val="en-US"/>
        </w:rPr>
        <w:t>) activity performance, including analysis across different sub-settings; (ii) safety, evaluated through systematic monitoring of adverse events; and (iii) efficiency, based on a cost analysis comparing transfusion therapy delivered in hospital settings (inpatient and day hospital), emergency departments, and outpatient facilities.</w:t>
      </w:r>
    </w:p>
    <w:p w14:paraId="42237F2C" w14:textId="77777777" w:rsidR="003D3655" w:rsidRDefault="003D3655" w:rsidP="003D3655">
      <w:pPr>
        <w:pStyle w:val="NormalWeb"/>
        <w:spacing w:before="0" w:beforeAutospacing="0" w:after="0" w:afterAutospacing="0" w:line="360" w:lineRule="auto"/>
        <w:jc w:val="both"/>
        <w:rPr>
          <w:rFonts w:ascii="Arial" w:hAnsi="Arial" w:cs="Arial"/>
          <w:lang w:val="en-US"/>
        </w:rPr>
      </w:pPr>
    </w:p>
    <w:p w14:paraId="66D28DA1" w14:textId="77777777" w:rsidR="003D3655" w:rsidRDefault="00CA2578" w:rsidP="003D3655">
      <w:pPr>
        <w:pStyle w:val="NormalWeb"/>
        <w:spacing w:before="0" w:beforeAutospacing="0" w:after="0" w:afterAutospacing="0" w:line="360" w:lineRule="auto"/>
        <w:jc w:val="both"/>
        <w:rPr>
          <w:rStyle w:val="Strong"/>
          <w:rFonts w:ascii="Arial" w:hAnsi="Arial" w:cs="Arial"/>
          <w:lang w:val="en-US"/>
        </w:rPr>
      </w:pPr>
      <w:r w:rsidRPr="00CA2578">
        <w:rPr>
          <w:rStyle w:val="Strong"/>
          <w:rFonts w:ascii="Arial" w:hAnsi="Arial" w:cs="Arial"/>
          <w:lang w:val="en-US"/>
        </w:rPr>
        <w:t>Materials and Methods</w:t>
      </w:r>
    </w:p>
    <w:p w14:paraId="369040BE" w14:textId="77777777" w:rsidR="003D3655" w:rsidRDefault="00CA2578" w:rsidP="003D3655">
      <w:pPr>
        <w:pStyle w:val="NormalWeb"/>
        <w:spacing w:before="0" w:beforeAutospacing="0" w:after="0" w:afterAutospacing="0" w:line="360" w:lineRule="auto"/>
        <w:jc w:val="both"/>
        <w:rPr>
          <w:rFonts w:ascii="Arial" w:hAnsi="Arial" w:cs="Arial"/>
          <w:lang w:val="en-US"/>
        </w:rPr>
      </w:pPr>
      <w:r w:rsidRPr="003D3655">
        <w:rPr>
          <w:rStyle w:val="Strong"/>
          <w:rFonts w:ascii="Arial" w:hAnsi="Arial" w:cs="Arial"/>
          <w:b w:val="0"/>
          <w:bCs w:val="0"/>
          <w:i/>
          <w:u w:val="single"/>
          <w:lang w:val="en-US"/>
        </w:rPr>
        <w:t>Study Design</w:t>
      </w:r>
      <w:r w:rsidR="007A066C" w:rsidRPr="007A066C">
        <w:rPr>
          <w:rStyle w:val="Strong"/>
          <w:rFonts w:ascii="Arial" w:hAnsi="Arial" w:cs="Arial"/>
          <w:lang w:val="en-US"/>
        </w:rPr>
        <w:t xml:space="preserve">: </w:t>
      </w:r>
      <w:r w:rsidRPr="007A066C">
        <w:rPr>
          <w:rFonts w:ascii="Arial" w:hAnsi="Arial" w:cs="Arial"/>
          <w:lang w:val="en-US"/>
        </w:rPr>
        <w:t>This was a single-center retrospective study analyzing community-based transfusion activity performed over a 60-month period, from January 2020 to December 2024, in the Prefecture of Venice (Northeastern Italy).</w:t>
      </w:r>
    </w:p>
    <w:p w14:paraId="57107809" w14:textId="77777777" w:rsidR="003D3655" w:rsidRDefault="00CA2578" w:rsidP="003D3655">
      <w:pPr>
        <w:pStyle w:val="NormalWeb"/>
        <w:spacing w:before="0" w:beforeAutospacing="0" w:after="0" w:afterAutospacing="0" w:line="360" w:lineRule="auto"/>
        <w:jc w:val="both"/>
        <w:rPr>
          <w:rFonts w:ascii="Arial" w:hAnsi="Arial" w:cs="Arial"/>
          <w:lang w:val="en-US"/>
        </w:rPr>
      </w:pPr>
      <w:r w:rsidRPr="003B1024">
        <w:rPr>
          <w:rStyle w:val="Strong"/>
          <w:rFonts w:ascii="Arial" w:hAnsi="Arial" w:cs="Arial"/>
          <w:b w:val="0"/>
          <w:bCs w:val="0"/>
          <w:i/>
          <w:iCs/>
          <w:u w:val="single"/>
          <w:lang w:val="en-US"/>
        </w:rPr>
        <w:t>Study Setting</w:t>
      </w:r>
      <w:r w:rsidR="007A066C" w:rsidRPr="003D3655">
        <w:rPr>
          <w:rStyle w:val="Strong"/>
          <w:rFonts w:ascii="Arial" w:hAnsi="Arial" w:cs="Arial"/>
          <w:b w:val="0"/>
          <w:bCs w:val="0"/>
          <w:lang w:val="en-US"/>
        </w:rPr>
        <w:t>:</w:t>
      </w:r>
      <w:r w:rsidR="007A066C">
        <w:rPr>
          <w:rStyle w:val="Strong"/>
          <w:rFonts w:ascii="Arial" w:hAnsi="Arial" w:cs="Arial"/>
          <w:lang w:val="en-US"/>
        </w:rPr>
        <w:t xml:space="preserve"> </w:t>
      </w:r>
      <w:r w:rsidRPr="007A066C">
        <w:rPr>
          <w:rFonts w:ascii="Arial" w:hAnsi="Arial" w:cs="Arial"/>
          <w:lang w:val="en-US"/>
        </w:rPr>
        <w:t>The Department of Transfusion Medicine of Venice (DIMT) is responsible for the collection, processing, storage, and distribution of blood components across the entire Prefecture of Venice, which covers approximately 2,500 km² and serves a population of about 1 million inhabitants</w:t>
      </w:r>
      <w:r w:rsidRPr="00CA2578">
        <w:rPr>
          <w:rFonts w:ascii="Arial" w:hAnsi="Arial" w:cs="Arial"/>
          <w:lang w:val="en-US"/>
        </w:rPr>
        <w:t>.</w:t>
      </w:r>
      <w:r w:rsidR="007A066C">
        <w:rPr>
          <w:rFonts w:ascii="Arial" w:hAnsi="Arial" w:cs="Arial"/>
          <w:lang w:val="en-US"/>
        </w:rPr>
        <w:t xml:space="preserve"> </w:t>
      </w:r>
      <w:r w:rsidRPr="007A066C">
        <w:rPr>
          <w:rFonts w:ascii="Arial" w:hAnsi="Arial" w:cs="Arial"/>
          <w:lang w:val="en-US"/>
        </w:rPr>
        <w:t>Within the Prefecture, two Local Health Authorities operate: ULSS 3 Serenissima and ULSS 4 Veneto Orientale, each with its own Transfusion Medicine Unit, both coordinated under the DIMT. The hospital network consists of one tertiary-care metropolitan hub hospital, seven public acute-care hospitals, and three accredited private hospitals functioning as spokes.</w:t>
      </w:r>
      <w:r w:rsidR="007A066C">
        <w:rPr>
          <w:rFonts w:ascii="Arial" w:hAnsi="Arial" w:cs="Arial"/>
          <w:lang w:val="en-US"/>
        </w:rPr>
        <w:t xml:space="preserve"> </w:t>
      </w:r>
      <w:r w:rsidRPr="007A066C">
        <w:rPr>
          <w:rFonts w:ascii="Arial" w:hAnsi="Arial" w:cs="Arial"/>
          <w:lang w:val="en-US"/>
        </w:rPr>
        <w:t>In addition, the area includes several intermediate care facilities: four community hospitals, thirteen residential facilities for non-self-sufficient elderly individuals, integrated home care services, and three protected outpatient clinics. Furthermore, four outpatient transfusion clinics are directly managed by the DIMT.</w:t>
      </w:r>
      <w:r w:rsidR="007A066C">
        <w:rPr>
          <w:rFonts w:ascii="Arial" w:hAnsi="Arial" w:cs="Arial"/>
          <w:lang w:val="en-US"/>
        </w:rPr>
        <w:t xml:space="preserve"> </w:t>
      </w:r>
      <w:r w:rsidRPr="007A066C">
        <w:rPr>
          <w:rFonts w:ascii="Arial" w:hAnsi="Arial" w:cs="Arial"/>
          <w:lang w:val="en-US"/>
        </w:rPr>
        <w:t>For the purposes of this study, five sub-settings of outpatient transfusion therapy were identified:</w:t>
      </w:r>
      <w:r w:rsidR="007A066C">
        <w:rPr>
          <w:rFonts w:ascii="Arial" w:hAnsi="Arial" w:cs="Arial"/>
          <w:lang w:val="en-US"/>
        </w:rPr>
        <w:t xml:space="preserve"> 1) </w:t>
      </w:r>
      <w:r w:rsidRPr="007A066C">
        <w:rPr>
          <w:rFonts w:ascii="Arial" w:hAnsi="Arial" w:cs="Arial"/>
          <w:lang w:val="en-US"/>
        </w:rPr>
        <w:lastRenderedPageBreak/>
        <w:t>Home transfusion therapy</w:t>
      </w:r>
      <w:r w:rsidR="007A066C" w:rsidRPr="007A066C">
        <w:rPr>
          <w:rFonts w:ascii="Arial" w:hAnsi="Arial" w:cs="Arial"/>
          <w:lang w:val="en-US"/>
        </w:rPr>
        <w:t xml:space="preserve">, 2) </w:t>
      </w:r>
      <w:r w:rsidRPr="007A066C">
        <w:rPr>
          <w:rFonts w:ascii="Arial" w:hAnsi="Arial" w:cs="Arial"/>
          <w:lang w:val="en-US"/>
        </w:rPr>
        <w:t>Transfusions performed in outpatient clinics directly managed by the DIMT</w:t>
      </w:r>
      <w:r w:rsidR="007A066C" w:rsidRPr="007A066C">
        <w:rPr>
          <w:rFonts w:ascii="Arial" w:hAnsi="Arial" w:cs="Arial"/>
          <w:lang w:val="en-US"/>
        </w:rPr>
        <w:t xml:space="preserve">, 3) </w:t>
      </w:r>
      <w:r w:rsidRPr="007A066C">
        <w:rPr>
          <w:rFonts w:ascii="Arial" w:hAnsi="Arial" w:cs="Arial"/>
          <w:lang w:val="en-US"/>
        </w:rPr>
        <w:t>Transfusions performed in outpatient clinics managed by intermediate care facilities</w:t>
      </w:r>
      <w:r w:rsidR="007A066C" w:rsidRPr="007A066C">
        <w:rPr>
          <w:rFonts w:ascii="Arial" w:hAnsi="Arial" w:cs="Arial"/>
          <w:lang w:val="en-US"/>
        </w:rPr>
        <w:t xml:space="preserve">, 4) </w:t>
      </w:r>
      <w:r w:rsidRPr="007A066C">
        <w:rPr>
          <w:rFonts w:ascii="Arial" w:hAnsi="Arial" w:cs="Arial"/>
          <w:lang w:val="en-US"/>
        </w:rPr>
        <w:t>Transfusions performed in nursing homes for non-self-sufficient elderly patients</w:t>
      </w:r>
      <w:r w:rsidR="007A066C" w:rsidRPr="007A066C">
        <w:rPr>
          <w:rFonts w:ascii="Arial" w:hAnsi="Arial" w:cs="Arial"/>
          <w:lang w:val="en-US"/>
        </w:rPr>
        <w:t xml:space="preserve">, 5) </w:t>
      </w:r>
      <w:r w:rsidRPr="007A066C">
        <w:rPr>
          <w:rFonts w:ascii="Arial" w:hAnsi="Arial" w:cs="Arial"/>
          <w:lang w:val="en-US"/>
        </w:rPr>
        <w:t>Transfusions performed in community hospitals</w:t>
      </w:r>
    </w:p>
    <w:p w14:paraId="2DD9E842" w14:textId="77777777" w:rsidR="00CA2578" w:rsidRPr="003D3655" w:rsidRDefault="00CA2578" w:rsidP="003D3655">
      <w:pPr>
        <w:pStyle w:val="NormalWeb"/>
        <w:spacing w:before="0" w:beforeAutospacing="0" w:after="0" w:afterAutospacing="0" w:line="360" w:lineRule="auto"/>
        <w:jc w:val="both"/>
        <w:rPr>
          <w:rFonts w:ascii="Arial" w:hAnsi="Arial" w:cs="Arial"/>
          <w:lang w:val="en-US"/>
        </w:rPr>
      </w:pPr>
      <w:r w:rsidRPr="003D3509">
        <w:rPr>
          <w:rStyle w:val="Strong"/>
          <w:rFonts w:ascii="Arial" w:hAnsi="Arial" w:cs="Arial"/>
          <w:b w:val="0"/>
          <w:bCs w:val="0"/>
          <w:i/>
          <w:u w:val="single"/>
          <w:lang w:val="en-US"/>
        </w:rPr>
        <w:t>Blood Component Production</w:t>
      </w:r>
      <w:r w:rsidR="007A066C" w:rsidRPr="003D3509">
        <w:rPr>
          <w:rStyle w:val="Strong"/>
          <w:rFonts w:ascii="Arial" w:hAnsi="Arial" w:cs="Arial"/>
          <w:b w:val="0"/>
          <w:bCs w:val="0"/>
          <w:lang w:val="en-US"/>
        </w:rPr>
        <w:t>:</w:t>
      </w:r>
      <w:r w:rsidR="007A066C" w:rsidRPr="007A066C">
        <w:rPr>
          <w:rStyle w:val="Strong"/>
          <w:rFonts w:ascii="Arial" w:hAnsi="Arial" w:cs="Arial"/>
          <w:lang w:val="en-US"/>
        </w:rPr>
        <w:t xml:space="preserve"> </w:t>
      </w:r>
      <w:r w:rsidRPr="007A066C">
        <w:rPr>
          <w:rFonts w:ascii="Arial" w:hAnsi="Arial" w:cs="Arial"/>
          <w:lang w:val="en-US"/>
        </w:rPr>
        <w:t>From a standard whole blood donation (450 mL), the following components were prepared:</w:t>
      </w:r>
    </w:p>
    <w:p w14:paraId="1BAFF08A" w14:textId="77777777" w:rsidR="00CA2578" w:rsidRPr="00CA2578" w:rsidRDefault="00CA2578" w:rsidP="00E1162E">
      <w:pPr>
        <w:pStyle w:val="NormalWeb"/>
        <w:numPr>
          <w:ilvl w:val="0"/>
          <w:numId w:val="2"/>
        </w:numPr>
        <w:spacing w:before="0" w:beforeAutospacing="0" w:after="0" w:afterAutospacing="0" w:line="360" w:lineRule="auto"/>
        <w:jc w:val="both"/>
        <w:rPr>
          <w:rFonts w:ascii="Arial" w:hAnsi="Arial" w:cs="Arial"/>
          <w:lang w:val="en-US"/>
        </w:rPr>
      </w:pPr>
      <w:r w:rsidRPr="00CA2578">
        <w:rPr>
          <w:rFonts w:ascii="Arial" w:hAnsi="Arial" w:cs="Arial"/>
          <w:lang w:val="en-US"/>
        </w:rPr>
        <w:t>One buffy-coat–depleted, leukocyte-reduced packed red blood cell (RBC) unit in additive solution, with a minimum hemoglobin content of 40 g and a hematocrit between 65% and 75%;</w:t>
      </w:r>
    </w:p>
    <w:p w14:paraId="47AB9953" w14:textId="77777777" w:rsidR="00CA2578" w:rsidRPr="00CA2578" w:rsidRDefault="00CA2578" w:rsidP="00E1162E">
      <w:pPr>
        <w:pStyle w:val="NormalWeb"/>
        <w:numPr>
          <w:ilvl w:val="0"/>
          <w:numId w:val="2"/>
        </w:numPr>
        <w:spacing w:after="0" w:afterAutospacing="0" w:line="360" w:lineRule="auto"/>
        <w:jc w:val="both"/>
        <w:rPr>
          <w:rFonts w:ascii="Arial" w:hAnsi="Arial" w:cs="Arial"/>
          <w:lang w:val="en-US"/>
        </w:rPr>
      </w:pPr>
      <w:r w:rsidRPr="00CA2578">
        <w:rPr>
          <w:rFonts w:ascii="Arial" w:hAnsi="Arial" w:cs="Arial"/>
          <w:lang w:val="en-US"/>
        </w:rPr>
        <w:t>One unit of recovered plasma;</w:t>
      </w:r>
    </w:p>
    <w:p w14:paraId="1D25F207" w14:textId="77777777" w:rsidR="00CA2578" w:rsidRPr="00CA2578" w:rsidRDefault="00CA2578" w:rsidP="00E1162E">
      <w:pPr>
        <w:pStyle w:val="NormalWeb"/>
        <w:numPr>
          <w:ilvl w:val="0"/>
          <w:numId w:val="2"/>
        </w:numPr>
        <w:spacing w:before="0" w:beforeAutospacing="0" w:after="0" w:afterAutospacing="0" w:line="360" w:lineRule="auto"/>
        <w:jc w:val="both"/>
        <w:rPr>
          <w:rFonts w:ascii="Arial" w:hAnsi="Arial" w:cs="Arial"/>
        </w:rPr>
      </w:pPr>
      <w:r w:rsidRPr="00CA2578">
        <w:rPr>
          <w:rFonts w:ascii="Arial" w:hAnsi="Arial" w:cs="Arial"/>
        </w:rPr>
        <w:t xml:space="preserve">One </w:t>
      </w:r>
      <w:r w:rsidR="00F409A5" w:rsidRPr="00CA2578">
        <w:rPr>
          <w:rFonts w:ascii="Arial" w:hAnsi="Arial" w:cs="Arial"/>
        </w:rPr>
        <w:t>Buffy</w:t>
      </w:r>
      <w:r w:rsidR="00F409A5">
        <w:rPr>
          <w:rFonts w:ascii="Arial" w:hAnsi="Arial" w:cs="Arial"/>
        </w:rPr>
        <w:t>-</w:t>
      </w:r>
      <w:r w:rsidRPr="00CA2578">
        <w:rPr>
          <w:rFonts w:ascii="Arial" w:hAnsi="Arial" w:cs="Arial"/>
        </w:rPr>
        <w:t>coat</w:t>
      </w:r>
      <w:r w:rsidR="00F409A5">
        <w:rPr>
          <w:rFonts w:ascii="Arial" w:hAnsi="Arial" w:cs="Arial"/>
        </w:rPr>
        <w:t>s.</w:t>
      </w:r>
    </w:p>
    <w:p w14:paraId="53C2A718" w14:textId="77777777" w:rsidR="00CA2578" w:rsidRPr="00CA2578"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For the preparation of one leukocyte-depleted platelet concentrate (PC) suspended in additive solution, five buffy coats were pooled using a fully automated system. Each platelet concentrate contained ≥2.5 × 10¹¹ platelets and &lt;1 × 10⁶ residual leukocytes.</w:t>
      </w:r>
    </w:p>
    <w:p w14:paraId="6D913888" w14:textId="77777777" w:rsidR="007A066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Only apheresis-derived fresh frozen plasma (FFP; approximately 700 mL per unit) was used for clinical purposes [17,18].</w:t>
      </w:r>
    </w:p>
    <w:p w14:paraId="77329A10" w14:textId="77777777" w:rsidR="00CA2578" w:rsidRPr="00CA2578"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In Italy, blood components are subject to nationally regulated pricing. The official reimbursement rates are €188.50 for RBC units, €207.00 for platelet concentrates, and €141.17 for FFP [19].</w:t>
      </w:r>
    </w:p>
    <w:p w14:paraId="6B4D3DF0" w14:textId="77777777" w:rsidR="007A066C" w:rsidRPr="007A066C" w:rsidRDefault="00CA2578" w:rsidP="00E1162E">
      <w:pPr>
        <w:pStyle w:val="Heading2"/>
        <w:spacing w:before="0" w:line="360" w:lineRule="auto"/>
        <w:jc w:val="both"/>
        <w:rPr>
          <w:rFonts w:ascii="Arial" w:hAnsi="Arial" w:cs="Arial"/>
          <w:b w:val="0"/>
          <w:color w:val="auto"/>
          <w:sz w:val="24"/>
          <w:szCs w:val="24"/>
          <w:lang w:val="en-US"/>
        </w:rPr>
      </w:pPr>
      <w:r w:rsidRPr="007A066C">
        <w:rPr>
          <w:rStyle w:val="Strong"/>
          <w:rFonts w:ascii="Arial" w:hAnsi="Arial" w:cs="Arial"/>
          <w:bCs/>
          <w:i/>
          <w:color w:val="auto"/>
          <w:sz w:val="24"/>
          <w:szCs w:val="24"/>
          <w:u w:val="single"/>
          <w:lang w:val="en-US"/>
        </w:rPr>
        <w:t>Cost Analysis</w:t>
      </w:r>
      <w:r w:rsidR="007A066C" w:rsidRPr="007A066C">
        <w:rPr>
          <w:rStyle w:val="Strong"/>
          <w:rFonts w:ascii="Arial" w:hAnsi="Arial" w:cs="Arial"/>
          <w:bCs/>
          <w:color w:val="auto"/>
          <w:sz w:val="24"/>
          <w:szCs w:val="24"/>
          <w:lang w:val="en-US"/>
        </w:rPr>
        <w:t>:</w:t>
      </w:r>
      <w:r w:rsidR="007A066C">
        <w:rPr>
          <w:rStyle w:val="Strong"/>
          <w:rFonts w:ascii="Arial" w:hAnsi="Arial" w:cs="Arial"/>
          <w:bCs/>
          <w:color w:val="auto"/>
          <w:sz w:val="24"/>
          <w:szCs w:val="24"/>
          <w:lang w:val="en-US"/>
        </w:rPr>
        <w:t xml:space="preserve"> </w:t>
      </w:r>
      <w:r w:rsidRPr="007A066C">
        <w:rPr>
          <w:rFonts w:ascii="Arial" w:hAnsi="Arial" w:cs="Arial"/>
          <w:b w:val="0"/>
          <w:color w:val="auto"/>
          <w:sz w:val="24"/>
          <w:szCs w:val="24"/>
          <w:lang w:val="en-US"/>
        </w:rPr>
        <w:t>Activity volume data were extracted anonymously from the DIMT information system for statistical analysis. The reimbursement rates applied for blood component valuation were those established in the State–Regions Agreement of June 17, 2021 [19].</w:t>
      </w:r>
      <w:r w:rsidR="007A066C">
        <w:rPr>
          <w:rFonts w:ascii="Arial" w:hAnsi="Arial" w:cs="Arial"/>
          <w:b w:val="0"/>
          <w:color w:val="auto"/>
          <w:sz w:val="24"/>
          <w:szCs w:val="24"/>
          <w:lang w:val="en-US"/>
        </w:rPr>
        <w:t xml:space="preserve"> </w:t>
      </w:r>
      <w:r w:rsidRPr="007A066C">
        <w:rPr>
          <w:rFonts w:ascii="Arial" w:hAnsi="Arial" w:cs="Arial"/>
          <w:b w:val="0"/>
          <w:color w:val="auto"/>
          <w:sz w:val="24"/>
          <w:szCs w:val="24"/>
          <w:lang w:val="en-US"/>
        </w:rPr>
        <w:t>Production costs of blood components were calculated using an Activity-Based Costing (ABC) methodology specifically adapted to the Transfusion Medicine setting [20,21].</w:t>
      </w:r>
    </w:p>
    <w:p w14:paraId="0D4E1035" w14:textId="77777777" w:rsidR="003C4439"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Data regarding general healthcare costs associated with ordinary hospitalization (OH), day hospital (DH), and short-stay observation (OBI) were provided by the Management Control Department of the Local Health Authority.</w:t>
      </w:r>
    </w:p>
    <w:p w14:paraId="06D08A03" w14:textId="77777777" w:rsidR="00E1162E" w:rsidRDefault="00CA2578" w:rsidP="00E1162E">
      <w:pPr>
        <w:pStyle w:val="NormalWeb"/>
        <w:spacing w:before="0" w:beforeAutospacing="0" w:after="0" w:afterAutospacing="0" w:line="360" w:lineRule="auto"/>
        <w:jc w:val="both"/>
        <w:rPr>
          <w:rFonts w:ascii="Arial" w:hAnsi="Arial" w:cs="Arial"/>
          <w:lang w:val="en-US"/>
        </w:rPr>
      </w:pPr>
      <w:r w:rsidRPr="003C4439">
        <w:rPr>
          <w:rStyle w:val="Strong"/>
          <w:rFonts w:ascii="Arial" w:hAnsi="Arial" w:cs="Arial"/>
          <w:b w:val="0"/>
          <w:bCs w:val="0"/>
          <w:i/>
          <w:u w:val="single"/>
          <w:lang w:val="en-US"/>
        </w:rPr>
        <w:t>Hemovigilance</w:t>
      </w:r>
      <w:r w:rsidR="007A066C" w:rsidRPr="003C4439">
        <w:rPr>
          <w:rStyle w:val="Strong"/>
          <w:rFonts w:ascii="Arial" w:hAnsi="Arial" w:cs="Arial"/>
          <w:b w:val="0"/>
          <w:bCs w:val="0"/>
          <w:lang w:val="en-US"/>
        </w:rPr>
        <w:t xml:space="preserve">: </w:t>
      </w:r>
      <w:r w:rsidRPr="003C4439">
        <w:rPr>
          <w:rFonts w:ascii="Arial" w:hAnsi="Arial" w:cs="Arial"/>
          <w:lang w:val="en-US"/>
        </w:rPr>
        <w:t>Adverse transfusion reactions were retrieved from the national hemovigilance reporting system (SISTRA) [22].</w:t>
      </w:r>
    </w:p>
    <w:p w14:paraId="094B56E1" w14:textId="77777777" w:rsidR="00E1162E" w:rsidRDefault="00CA2578" w:rsidP="00E1162E">
      <w:pPr>
        <w:pStyle w:val="NormalWeb"/>
        <w:spacing w:before="0" w:beforeAutospacing="0" w:after="0" w:afterAutospacing="0" w:line="360" w:lineRule="auto"/>
        <w:jc w:val="both"/>
        <w:rPr>
          <w:rFonts w:ascii="Arial" w:hAnsi="Arial" w:cs="Arial"/>
          <w:lang w:val="en-US"/>
        </w:rPr>
      </w:pPr>
      <w:r w:rsidRPr="00E1162E">
        <w:rPr>
          <w:rStyle w:val="Strong"/>
          <w:rFonts w:ascii="Arial" w:hAnsi="Arial" w:cs="Arial"/>
          <w:b w:val="0"/>
          <w:bCs w:val="0"/>
          <w:i/>
          <w:u w:val="single"/>
          <w:lang w:val="en-US"/>
        </w:rPr>
        <w:t>Ethics</w:t>
      </w:r>
      <w:r w:rsidR="007A066C" w:rsidRPr="00E1162E">
        <w:rPr>
          <w:rStyle w:val="Strong"/>
          <w:rFonts w:ascii="Arial" w:hAnsi="Arial" w:cs="Arial"/>
          <w:b w:val="0"/>
          <w:bCs w:val="0"/>
          <w:lang w:val="en-US"/>
        </w:rPr>
        <w:t>:</w:t>
      </w:r>
      <w:r w:rsidR="007A066C">
        <w:rPr>
          <w:rStyle w:val="Strong"/>
          <w:rFonts w:ascii="Arial" w:hAnsi="Arial" w:cs="Arial"/>
          <w:lang w:val="en-US"/>
        </w:rPr>
        <w:t xml:space="preserve"> </w:t>
      </w:r>
      <w:r w:rsidRPr="007A066C">
        <w:rPr>
          <w:rFonts w:ascii="Arial" w:hAnsi="Arial" w:cs="Arial"/>
          <w:lang w:val="en-US"/>
        </w:rPr>
        <w:t>All blood donors provided written informed consent at each donation, including authorization for data processing. Written informed consent for transfusion was obtained from all patients.</w:t>
      </w:r>
      <w:r w:rsidR="007A066C">
        <w:rPr>
          <w:rFonts w:ascii="Arial" w:hAnsi="Arial" w:cs="Arial"/>
          <w:lang w:val="en-US"/>
        </w:rPr>
        <w:t xml:space="preserve"> </w:t>
      </w:r>
      <w:r w:rsidRPr="007A066C">
        <w:rPr>
          <w:rFonts w:ascii="Arial" w:hAnsi="Arial" w:cs="Arial"/>
          <w:lang w:val="en-US"/>
        </w:rPr>
        <w:t>Given the retrospective design and the use of anonymized administrative and clinical data, formal approval by the Ethics Committee of the Prefecture of Venice was not required, in accordance with national regulations.</w:t>
      </w:r>
    </w:p>
    <w:p w14:paraId="2A50BBA6" w14:textId="77777777" w:rsidR="00E1162E" w:rsidRDefault="00CA2578" w:rsidP="00E1162E">
      <w:pPr>
        <w:pStyle w:val="NormalWeb"/>
        <w:spacing w:before="0" w:beforeAutospacing="0" w:after="0" w:afterAutospacing="0" w:line="360" w:lineRule="auto"/>
        <w:jc w:val="both"/>
        <w:rPr>
          <w:rFonts w:ascii="Arial" w:hAnsi="Arial" w:cs="Arial"/>
          <w:lang w:val="en-US"/>
        </w:rPr>
      </w:pPr>
      <w:r w:rsidRPr="00E1162E">
        <w:rPr>
          <w:rStyle w:val="Strong"/>
          <w:rFonts w:ascii="Arial" w:hAnsi="Arial" w:cs="Arial"/>
          <w:b w:val="0"/>
          <w:bCs w:val="0"/>
          <w:i/>
          <w:u w:val="single"/>
          <w:lang w:val="en-US"/>
        </w:rPr>
        <w:lastRenderedPageBreak/>
        <w:t>Statistical Analysis</w:t>
      </w:r>
      <w:r w:rsidR="007A066C" w:rsidRPr="00E1162E">
        <w:rPr>
          <w:rStyle w:val="Strong"/>
          <w:rFonts w:ascii="Arial" w:hAnsi="Arial" w:cs="Arial"/>
          <w:b w:val="0"/>
          <w:bCs w:val="0"/>
          <w:lang w:val="en-US"/>
        </w:rPr>
        <w:t>:</w:t>
      </w:r>
      <w:r w:rsidR="007A066C">
        <w:rPr>
          <w:rStyle w:val="Strong"/>
          <w:rFonts w:ascii="Arial" w:hAnsi="Arial" w:cs="Arial"/>
          <w:lang w:val="en-US"/>
        </w:rPr>
        <w:t xml:space="preserve"> </w:t>
      </w:r>
      <w:r w:rsidRPr="007A066C">
        <w:rPr>
          <w:rFonts w:ascii="Arial" w:hAnsi="Arial" w:cs="Arial"/>
          <w:lang w:val="en-US"/>
        </w:rPr>
        <w:t>Data distribution was assessed using the D’Agostino–Pearson test. As normality was rejected, a non-parametric statistical approach was adopted.</w:t>
      </w:r>
      <w:r w:rsidR="007A066C" w:rsidRPr="007A066C">
        <w:rPr>
          <w:rFonts w:ascii="Arial" w:hAnsi="Arial" w:cs="Arial"/>
          <w:lang w:val="en-US"/>
        </w:rPr>
        <w:t xml:space="preserve"> Statistical analysis was performed using </w:t>
      </w:r>
      <w:proofErr w:type="spellStart"/>
      <w:r w:rsidR="007A066C" w:rsidRPr="007A066C">
        <w:rPr>
          <w:rFonts w:ascii="Arial" w:hAnsi="Arial" w:cs="Arial"/>
          <w:lang w:val="en-US"/>
        </w:rPr>
        <w:t>MedCalc</w:t>
      </w:r>
      <w:proofErr w:type="spellEnd"/>
      <w:r w:rsidR="007A066C" w:rsidRPr="007A066C">
        <w:rPr>
          <w:rFonts w:ascii="Arial" w:hAnsi="Arial" w:cs="Arial"/>
          <w:lang w:val="en-US"/>
        </w:rPr>
        <w:t xml:space="preserve"> Software version 11.1.0 (</w:t>
      </w:r>
      <w:proofErr w:type="spellStart"/>
      <w:r w:rsidR="007A066C" w:rsidRPr="007A066C">
        <w:rPr>
          <w:rFonts w:ascii="Arial" w:hAnsi="Arial" w:cs="Arial"/>
          <w:lang w:val="en-US"/>
        </w:rPr>
        <w:t>MedCalc</w:t>
      </w:r>
      <w:proofErr w:type="spellEnd"/>
      <w:r w:rsidR="007A066C" w:rsidRPr="007A066C">
        <w:rPr>
          <w:rFonts w:ascii="Arial" w:hAnsi="Arial" w:cs="Arial"/>
          <w:lang w:val="en-US"/>
        </w:rPr>
        <w:t xml:space="preserve"> Software Ltd, Ostend, Belgium). </w:t>
      </w:r>
      <w:r w:rsidRPr="007A066C">
        <w:rPr>
          <w:rFonts w:ascii="Arial" w:hAnsi="Arial" w:cs="Arial"/>
          <w:lang w:val="en-US"/>
        </w:rPr>
        <w:t>Categorical variables are reported as absolute numbers and percentages, while continuous variables are presented as median (MED) and interquartile range (IQR). Comparisons between groups were performed using the Kruskal–Wallis test. A two-sided p-value &lt; 0.05 was considered statistically significant.</w:t>
      </w:r>
    </w:p>
    <w:p w14:paraId="763B94D6" w14:textId="77777777" w:rsidR="00E1162E" w:rsidRDefault="00CA2578" w:rsidP="00E1162E">
      <w:pPr>
        <w:pStyle w:val="NormalWeb"/>
        <w:spacing w:before="0" w:beforeAutospacing="0" w:after="0" w:afterAutospacing="0" w:line="360" w:lineRule="auto"/>
        <w:jc w:val="both"/>
        <w:rPr>
          <w:rStyle w:val="Strong"/>
          <w:rFonts w:ascii="Arial" w:hAnsi="Arial" w:cs="Arial"/>
          <w:lang w:val="en-US"/>
        </w:rPr>
      </w:pPr>
      <w:r w:rsidRPr="00CA2578">
        <w:rPr>
          <w:rStyle w:val="Strong"/>
          <w:rFonts w:ascii="Arial" w:hAnsi="Arial" w:cs="Arial"/>
          <w:lang w:val="en-US"/>
        </w:rPr>
        <w:t>Results</w:t>
      </w:r>
    </w:p>
    <w:p w14:paraId="577B67FB" w14:textId="3E045DA8" w:rsidR="009807E3" w:rsidRDefault="00CA2578" w:rsidP="00E1162E">
      <w:pPr>
        <w:pStyle w:val="NormalWeb"/>
        <w:spacing w:before="0" w:beforeAutospacing="0" w:after="0" w:afterAutospacing="0" w:line="360" w:lineRule="auto"/>
        <w:jc w:val="both"/>
        <w:rPr>
          <w:rFonts w:ascii="Arial" w:hAnsi="Arial" w:cs="Arial"/>
          <w:lang w:val="en-US"/>
        </w:rPr>
      </w:pPr>
      <w:r w:rsidRPr="00E1162E">
        <w:rPr>
          <w:rStyle w:val="Strong"/>
          <w:rFonts w:ascii="Arial" w:hAnsi="Arial" w:cs="Arial"/>
          <w:b w:val="0"/>
          <w:bCs w:val="0"/>
          <w:i/>
          <w:u w:val="single"/>
          <w:lang w:val="en-US"/>
        </w:rPr>
        <w:t>Activity Analysis</w:t>
      </w:r>
      <w:r w:rsidR="00FE5322" w:rsidRPr="00E1162E">
        <w:rPr>
          <w:rStyle w:val="Strong"/>
          <w:rFonts w:ascii="Arial" w:hAnsi="Arial" w:cs="Arial"/>
          <w:b w:val="0"/>
          <w:bCs w:val="0"/>
          <w:lang w:val="en-US"/>
        </w:rPr>
        <w:t xml:space="preserve">: </w:t>
      </w:r>
      <w:r w:rsidRPr="00FE5322">
        <w:rPr>
          <w:rFonts w:ascii="Arial" w:hAnsi="Arial" w:cs="Arial"/>
          <w:lang w:val="en-US"/>
        </w:rPr>
        <w:t xml:space="preserve">Between 2020 and 2024, a median (MED) of 37,553 (IQR = 1,112) RBC units, 4,521 (IQR = 201) platelet concentrates (PC), and 746 (IQR = 223) units of fresh frozen plasma (FFP) were transfused annually in the Prefecture of Venice. These data are summarized in Table </w:t>
      </w:r>
      <w:r w:rsidR="00576BD4">
        <w:rPr>
          <w:rFonts w:ascii="Arial" w:hAnsi="Arial" w:cs="Arial"/>
          <w:lang w:val="en-US"/>
        </w:rPr>
        <w:t>1</w:t>
      </w:r>
      <w:r w:rsidRPr="00FE5322">
        <w:rPr>
          <w:rFonts w:ascii="Arial" w:hAnsi="Arial" w:cs="Arial"/>
          <w:lang w:val="en-US"/>
        </w:rPr>
        <w:t>.</w:t>
      </w:r>
      <w:r w:rsidR="00FE5322" w:rsidRPr="00FE5322">
        <w:rPr>
          <w:rFonts w:ascii="Arial" w:hAnsi="Arial" w:cs="Arial"/>
          <w:lang w:val="en-US"/>
        </w:rPr>
        <w:t xml:space="preserve"> </w:t>
      </w:r>
    </w:p>
    <w:p w14:paraId="6F0BE308" w14:textId="77777777" w:rsidR="009807E3" w:rsidRPr="00E1162E" w:rsidRDefault="009807E3" w:rsidP="009807E3">
      <w:pPr>
        <w:spacing w:after="0"/>
        <w:jc w:val="both"/>
        <w:rPr>
          <w:rFonts w:ascii="Arial" w:hAnsi="Arial" w:cs="Arial"/>
          <w:b/>
          <w:sz w:val="20"/>
          <w:szCs w:val="20"/>
          <w:lang w:val="en-US"/>
        </w:rPr>
      </w:pPr>
    </w:p>
    <w:p w14:paraId="36119C3F" w14:textId="68C4DD85" w:rsidR="009807E3" w:rsidRPr="00E1162E" w:rsidRDefault="009807E3" w:rsidP="009807E3">
      <w:pPr>
        <w:spacing w:after="0"/>
        <w:jc w:val="both"/>
        <w:rPr>
          <w:rFonts w:ascii="Arial" w:hAnsi="Arial" w:cs="Arial"/>
          <w:b/>
          <w:sz w:val="20"/>
          <w:szCs w:val="20"/>
          <w:lang w:val="en-US"/>
        </w:rPr>
      </w:pPr>
      <w:r w:rsidRPr="00E1162E">
        <w:rPr>
          <w:rFonts w:ascii="Arial" w:hAnsi="Arial" w:cs="Arial"/>
          <w:b/>
          <w:sz w:val="20"/>
          <w:szCs w:val="20"/>
          <w:lang w:val="en-US"/>
        </w:rPr>
        <w:t xml:space="preserve">Table </w:t>
      </w:r>
      <w:r w:rsidR="00576BD4">
        <w:rPr>
          <w:rFonts w:ascii="Arial" w:hAnsi="Arial" w:cs="Arial"/>
          <w:b/>
          <w:sz w:val="20"/>
          <w:szCs w:val="20"/>
          <w:lang w:val="en-US"/>
        </w:rPr>
        <w:t>1</w:t>
      </w:r>
      <w:r w:rsidRPr="00E1162E">
        <w:rPr>
          <w:rFonts w:ascii="Arial" w:hAnsi="Arial" w:cs="Arial"/>
          <w:b/>
          <w:sz w:val="20"/>
          <w:szCs w:val="20"/>
          <w:lang w:val="en-US"/>
        </w:rPr>
        <w:t xml:space="preserve">: Department of Transfusion Medicine of the Prefecture of Venice, </w:t>
      </w:r>
      <w:proofErr w:type="spellStart"/>
      <w:r w:rsidRPr="00E1162E">
        <w:rPr>
          <w:rFonts w:ascii="Arial" w:hAnsi="Arial" w:cs="Arial"/>
          <w:b/>
          <w:sz w:val="20"/>
          <w:szCs w:val="20"/>
          <w:lang w:val="en-US"/>
        </w:rPr>
        <w:t>Emocomponents</w:t>
      </w:r>
      <w:proofErr w:type="spellEnd"/>
      <w:r w:rsidRPr="00E1162E">
        <w:rPr>
          <w:rFonts w:ascii="Arial" w:hAnsi="Arial" w:cs="Arial"/>
          <w:b/>
          <w:sz w:val="20"/>
          <w:szCs w:val="20"/>
          <w:lang w:val="en-US"/>
        </w:rPr>
        <w:t xml:space="preserve"> Units transfused, years 2020-2024.</w:t>
      </w:r>
    </w:p>
    <w:p w14:paraId="5CA3FDEB" w14:textId="77777777" w:rsidR="009807E3" w:rsidRPr="00657AAA" w:rsidRDefault="009807E3" w:rsidP="009807E3">
      <w:pPr>
        <w:spacing w:after="0"/>
        <w:jc w:val="both"/>
        <w:rPr>
          <w:rFonts w:ascii="Arial" w:hAnsi="Arial" w:cs="Arial"/>
          <w:b/>
          <w:sz w:val="20"/>
          <w:szCs w:val="20"/>
          <w:lang w:val="en-US"/>
        </w:rPr>
      </w:pPr>
    </w:p>
    <w:tbl>
      <w:tblPr>
        <w:tblStyle w:val="TableGrid"/>
        <w:tblW w:w="0" w:type="auto"/>
        <w:tblLook w:val="04A0" w:firstRow="1" w:lastRow="0" w:firstColumn="1" w:lastColumn="0" w:noHBand="0" w:noVBand="1"/>
      </w:tblPr>
      <w:tblGrid>
        <w:gridCol w:w="2201"/>
        <w:gridCol w:w="2614"/>
        <w:gridCol w:w="2407"/>
        <w:gridCol w:w="2406"/>
      </w:tblGrid>
      <w:tr w:rsidR="009807E3" w:rsidRPr="00657AAA" w14:paraId="1D1D0E39" w14:textId="77777777" w:rsidTr="00EC4C7A">
        <w:tc>
          <w:tcPr>
            <w:tcW w:w="2235" w:type="dxa"/>
          </w:tcPr>
          <w:p w14:paraId="1A5102D4" w14:textId="77777777" w:rsidR="009807E3" w:rsidRPr="00657AAA" w:rsidRDefault="009807E3" w:rsidP="00EC4C7A">
            <w:pPr>
              <w:jc w:val="both"/>
              <w:rPr>
                <w:rFonts w:ascii="Arial" w:hAnsi="Arial" w:cs="Arial"/>
                <w:sz w:val="20"/>
                <w:szCs w:val="20"/>
                <w:lang w:val="en-US"/>
              </w:rPr>
            </w:pPr>
          </w:p>
        </w:tc>
        <w:tc>
          <w:tcPr>
            <w:tcW w:w="2653" w:type="dxa"/>
          </w:tcPr>
          <w:p w14:paraId="30E64C6B" w14:textId="77777777" w:rsidR="009807E3" w:rsidRPr="00657AAA" w:rsidRDefault="009807E3" w:rsidP="00EC4C7A">
            <w:pPr>
              <w:rPr>
                <w:rFonts w:ascii="Arial" w:hAnsi="Arial" w:cs="Arial"/>
                <w:b/>
                <w:sz w:val="20"/>
                <w:szCs w:val="20"/>
                <w:lang w:val="en-US"/>
              </w:rPr>
            </w:pPr>
            <w:r>
              <w:rPr>
                <w:rFonts w:ascii="Arial" w:hAnsi="Arial" w:cs="Arial"/>
                <w:b/>
                <w:sz w:val="20"/>
                <w:szCs w:val="20"/>
                <w:lang w:val="en-US"/>
              </w:rPr>
              <w:t>RBC</w:t>
            </w:r>
          </w:p>
        </w:tc>
        <w:tc>
          <w:tcPr>
            <w:tcW w:w="2445" w:type="dxa"/>
          </w:tcPr>
          <w:p w14:paraId="0E0E70B4" w14:textId="77777777" w:rsidR="009807E3" w:rsidRPr="00657AAA" w:rsidRDefault="009807E3" w:rsidP="00EC4C7A">
            <w:pPr>
              <w:rPr>
                <w:rFonts w:ascii="Arial" w:hAnsi="Arial" w:cs="Arial"/>
                <w:b/>
                <w:sz w:val="20"/>
                <w:szCs w:val="20"/>
                <w:lang w:val="en-US"/>
              </w:rPr>
            </w:pPr>
            <w:r>
              <w:rPr>
                <w:rFonts w:ascii="Arial" w:hAnsi="Arial" w:cs="Arial"/>
                <w:b/>
                <w:sz w:val="20"/>
                <w:szCs w:val="20"/>
                <w:lang w:val="en-US"/>
              </w:rPr>
              <w:t>PC</w:t>
            </w:r>
          </w:p>
        </w:tc>
        <w:tc>
          <w:tcPr>
            <w:tcW w:w="2445" w:type="dxa"/>
          </w:tcPr>
          <w:p w14:paraId="5B0655F9" w14:textId="77777777" w:rsidR="009807E3" w:rsidRPr="00657AAA" w:rsidRDefault="009807E3" w:rsidP="00EC4C7A">
            <w:pPr>
              <w:rPr>
                <w:rFonts w:ascii="Arial" w:hAnsi="Arial" w:cs="Arial"/>
                <w:b/>
                <w:sz w:val="20"/>
                <w:szCs w:val="20"/>
                <w:lang w:val="en-US"/>
              </w:rPr>
            </w:pPr>
            <w:r>
              <w:rPr>
                <w:rFonts w:ascii="Arial" w:hAnsi="Arial" w:cs="Arial"/>
                <w:b/>
                <w:sz w:val="20"/>
                <w:szCs w:val="20"/>
                <w:lang w:val="en-US"/>
              </w:rPr>
              <w:t>FFP</w:t>
            </w:r>
          </w:p>
        </w:tc>
      </w:tr>
      <w:tr w:rsidR="009807E3" w:rsidRPr="00657AAA" w14:paraId="26C76BDE" w14:textId="77777777" w:rsidTr="00EC4C7A">
        <w:tc>
          <w:tcPr>
            <w:tcW w:w="2235" w:type="dxa"/>
          </w:tcPr>
          <w:p w14:paraId="7EB74F3C" w14:textId="77777777" w:rsidR="009807E3" w:rsidRPr="00657AAA" w:rsidRDefault="009807E3" w:rsidP="00EC4C7A">
            <w:pPr>
              <w:jc w:val="both"/>
              <w:rPr>
                <w:rFonts w:ascii="Arial" w:hAnsi="Arial" w:cs="Arial"/>
                <w:b/>
                <w:sz w:val="20"/>
                <w:szCs w:val="20"/>
                <w:lang w:val="en-US"/>
              </w:rPr>
            </w:pPr>
            <w:r>
              <w:rPr>
                <w:rFonts w:ascii="Arial" w:hAnsi="Arial" w:cs="Arial"/>
                <w:b/>
                <w:sz w:val="20"/>
                <w:szCs w:val="20"/>
                <w:lang w:val="en-US"/>
              </w:rPr>
              <w:t>2020</w:t>
            </w:r>
          </w:p>
        </w:tc>
        <w:tc>
          <w:tcPr>
            <w:tcW w:w="2653" w:type="dxa"/>
          </w:tcPr>
          <w:p w14:paraId="5967A948" w14:textId="77777777" w:rsidR="009807E3" w:rsidRPr="00657AAA" w:rsidRDefault="009807E3" w:rsidP="00EC4C7A">
            <w:pPr>
              <w:rPr>
                <w:rFonts w:ascii="Arial" w:eastAsia="Calibri" w:hAnsi="Arial" w:cs="Arial"/>
                <w:sz w:val="20"/>
                <w:szCs w:val="20"/>
              </w:rPr>
            </w:pPr>
            <w:r w:rsidRPr="00657AAA">
              <w:rPr>
                <w:rFonts w:ascii="Arial" w:eastAsia="Calibri" w:hAnsi="Arial" w:cs="Arial"/>
                <w:sz w:val="20"/>
                <w:szCs w:val="20"/>
              </w:rPr>
              <w:t>38.080</w:t>
            </w:r>
          </w:p>
        </w:tc>
        <w:tc>
          <w:tcPr>
            <w:tcW w:w="2445" w:type="dxa"/>
          </w:tcPr>
          <w:p w14:paraId="78D60BFD" w14:textId="77777777" w:rsidR="009807E3" w:rsidRPr="00657AAA" w:rsidRDefault="009807E3" w:rsidP="00EC4C7A">
            <w:pPr>
              <w:rPr>
                <w:rFonts w:ascii="Arial" w:eastAsia="Calibri" w:hAnsi="Arial" w:cs="Arial"/>
                <w:sz w:val="20"/>
                <w:szCs w:val="20"/>
              </w:rPr>
            </w:pPr>
            <w:r w:rsidRPr="00657AAA">
              <w:rPr>
                <w:rFonts w:ascii="Arial" w:eastAsia="Calibri" w:hAnsi="Arial" w:cs="Arial"/>
                <w:sz w:val="20"/>
                <w:szCs w:val="20"/>
              </w:rPr>
              <w:t>4439</w:t>
            </w:r>
          </w:p>
        </w:tc>
        <w:tc>
          <w:tcPr>
            <w:tcW w:w="2445" w:type="dxa"/>
          </w:tcPr>
          <w:p w14:paraId="4696EB23" w14:textId="77777777" w:rsidR="009807E3" w:rsidRDefault="009807E3" w:rsidP="00EC4C7A">
            <w:pPr>
              <w:rPr>
                <w:rFonts w:ascii="Arial" w:hAnsi="Arial" w:cs="Arial"/>
                <w:color w:val="000000"/>
                <w:sz w:val="20"/>
                <w:szCs w:val="20"/>
              </w:rPr>
            </w:pPr>
            <w:r>
              <w:rPr>
                <w:rFonts w:ascii="Arial" w:hAnsi="Arial" w:cs="Arial"/>
                <w:color w:val="000000"/>
                <w:sz w:val="20"/>
                <w:szCs w:val="20"/>
              </w:rPr>
              <w:t>989</w:t>
            </w:r>
          </w:p>
        </w:tc>
      </w:tr>
      <w:tr w:rsidR="009807E3" w:rsidRPr="00657AAA" w14:paraId="7205260F" w14:textId="77777777" w:rsidTr="00EC4C7A">
        <w:tc>
          <w:tcPr>
            <w:tcW w:w="2235" w:type="dxa"/>
          </w:tcPr>
          <w:p w14:paraId="4B81E86F" w14:textId="77777777" w:rsidR="009807E3" w:rsidRPr="00657AAA" w:rsidRDefault="009807E3" w:rsidP="00EC4C7A">
            <w:pPr>
              <w:jc w:val="both"/>
              <w:rPr>
                <w:rFonts w:ascii="Arial" w:hAnsi="Arial" w:cs="Arial"/>
                <w:b/>
                <w:sz w:val="20"/>
                <w:szCs w:val="20"/>
                <w:lang w:val="en-US"/>
              </w:rPr>
            </w:pPr>
            <w:r>
              <w:rPr>
                <w:rFonts w:ascii="Arial" w:hAnsi="Arial" w:cs="Arial"/>
                <w:b/>
                <w:sz w:val="20"/>
                <w:szCs w:val="20"/>
                <w:lang w:val="en-US"/>
              </w:rPr>
              <w:t>2021</w:t>
            </w:r>
          </w:p>
        </w:tc>
        <w:tc>
          <w:tcPr>
            <w:tcW w:w="2653" w:type="dxa"/>
          </w:tcPr>
          <w:p w14:paraId="51BEBA6C" w14:textId="77777777" w:rsidR="009807E3" w:rsidRPr="00657AAA" w:rsidRDefault="009807E3" w:rsidP="00EC4C7A">
            <w:pPr>
              <w:rPr>
                <w:rFonts w:ascii="Arial" w:eastAsia="Calibri" w:hAnsi="Arial" w:cs="Arial"/>
                <w:sz w:val="20"/>
                <w:szCs w:val="20"/>
              </w:rPr>
            </w:pPr>
            <w:r w:rsidRPr="00657AAA">
              <w:rPr>
                <w:rFonts w:ascii="Arial" w:eastAsia="Calibri" w:hAnsi="Arial" w:cs="Arial"/>
                <w:sz w:val="20"/>
                <w:szCs w:val="20"/>
              </w:rPr>
              <w:t>39.086</w:t>
            </w:r>
          </w:p>
        </w:tc>
        <w:tc>
          <w:tcPr>
            <w:tcW w:w="2445" w:type="dxa"/>
          </w:tcPr>
          <w:p w14:paraId="1D02A1BF" w14:textId="77777777" w:rsidR="009807E3" w:rsidRPr="00657AAA" w:rsidRDefault="009807E3" w:rsidP="00EC4C7A">
            <w:pPr>
              <w:rPr>
                <w:rFonts w:ascii="Arial" w:eastAsia="Calibri" w:hAnsi="Arial" w:cs="Arial"/>
                <w:sz w:val="20"/>
                <w:szCs w:val="20"/>
              </w:rPr>
            </w:pPr>
            <w:r w:rsidRPr="00657AAA">
              <w:rPr>
                <w:rFonts w:ascii="Arial" w:eastAsia="Calibri" w:hAnsi="Arial" w:cs="Arial"/>
                <w:sz w:val="20"/>
                <w:szCs w:val="20"/>
              </w:rPr>
              <w:t>4264</w:t>
            </w:r>
          </w:p>
        </w:tc>
        <w:tc>
          <w:tcPr>
            <w:tcW w:w="2445" w:type="dxa"/>
          </w:tcPr>
          <w:p w14:paraId="0903CE11" w14:textId="77777777" w:rsidR="009807E3" w:rsidRDefault="009807E3" w:rsidP="00EC4C7A">
            <w:pPr>
              <w:rPr>
                <w:rFonts w:ascii="Arial" w:hAnsi="Arial" w:cs="Arial"/>
                <w:color w:val="000000"/>
                <w:sz w:val="20"/>
                <w:szCs w:val="20"/>
              </w:rPr>
            </w:pPr>
            <w:r>
              <w:rPr>
                <w:rFonts w:ascii="Arial" w:hAnsi="Arial" w:cs="Arial"/>
                <w:color w:val="000000"/>
                <w:sz w:val="20"/>
                <w:szCs w:val="20"/>
              </w:rPr>
              <w:t>971</w:t>
            </w:r>
          </w:p>
        </w:tc>
      </w:tr>
      <w:tr w:rsidR="009807E3" w:rsidRPr="00657AAA" w14:paraId="39413153" w14:textId="77777777" w:rsidTr="00EC4C7A">
        <w:tc>
          <w:tcPr>
            <w:tcW w:w="2235" w:type="dxa"/>
          </w:tcPr>
          <w:p w14:paraId="4A91FD04" w14:textId="77777777" w:rsidR="009807E3" w:rsidRPr="00657AAA" w:rsidRDefault="009807E3" w:rsidP="00EC4C7A">
            <w:pPr>
              <w:jc w:val="both"/>
              <w:rPr>
                <w:rFonts w:ascii="Arial" w:hAnsi="Arial" w:cs="Arial"/>
                <w:b/>
                <w:sz w:val="20"/>
                <w:szCs w:val="20"/>
                <w:lang w:val="en-US"/>
              </w:rPr>
            </w:pPr>
            <w:r>
              <w:rPr>
                <w:rFonts w:ascii="Arial" w:hAnsi="Arial" w:cs="Arial"/>
                <w:b/>
                <w:sz w:val="20"/>
                <w:szCs w:val="20"/>
                <w:lang w:val="en-US"/>
              </w:rPr>
              <w:t>2022</w:t>
            </w:r>
          </w:p>
        </w:tc>
        <w:tc>
          <w:tcPr>
            <w:tcW w:w="2653" w:type="dxa"/>
          </w:tcPr>
          <w:p w14:paraId="5DA46E20" w14:textId="77777777" w:rsidR="009807E3" w:rsidRPr="00657AAA" w:rsidRDefault="009807E3" w:rsidP="00EC4C7A">
            <w:pPr>
              <w:rPr>
                <w:rFonts w:ascii="Arial" w:eastAsia="Calibri" w:hAnsi="Arial" w:cs="Arial"/>
                <w:sz w:val="20"/>
                <w:szCs w:val="20"/>
              </w:rPr>
            </w:pPr>
            <w:r w:rsidRPr="00657AAA">
              <w:rPr>
                <w:rFonts w:ascii="Arial" w:eastAsia="Calibri" w:hAnsi="Arial" w:cs="Arial"/>
                <w:sz w:val="20"/>
                <w:szCs w:val="20"/>
              </w:rPr>
              <w:t>37.003</w:t>
            </w:r>
          </w:p>
        </w:tc>
        <w:tc>
          <w:tcPr>
            <w:tcW w:w="2445" w:type="dxa"/>
          </w:tcPr>
          <w:p w14:paraId="08219C24" w14:textId="77777777" w:rsidR="009807E3" w:rsidRPr="00657AAA" w:rsidRDefault="009807E3" w:rsidP="00EC4C7A">
            <w:pPr>
              <w:rPr>
                <w:rFonts w:ascii="Arial" w:eastAsia="Calibri" w:hAnsi="Arial" w:cs="Arial"/>
                <w:sz w:val="20"/>
                <w:szCs w:val="20"/>
              </w:rPr>
            </w:pPr>
            <w:r>
              <w:rPr>
                <w:rFonts w:ascii="Arial" w:hAnsi="Arial" w:cs="Arial"/>
                <w:sz w:val="20"/>
                <w:szCs w:val="20"/>
              </w:rPr>
              <w:t>4</w:t>
            </w:r>
            <w:r w:rsidRPr="00657AAA">
              <w:rPr>
                <w:rFonts w:ascii="Arial" w:eastAsia="Calibri" w:hAnsi="Arial" w:cs="Arial"/>
                <w:sz w:val="20"/>
                <w:szCs w:val="20"/>
              </w:rPr>
              <w:t>608</w:t>
            </w:r>
          </w:p>
        </w:tc>
        <w:tc>
          <w:tcPr>
            <w:tcW w:w="2445" w:type="dxa"/>
          </w:tcPr>
          <w:p w14:paraId="0C6FD4BE" w14:textId="77777777" w:rsidR="009807E3" w:rsidRDefault="009807E3" w:rsidP="00EC4C7A">
            <w:pPr>
              <w:rPr>
                <w:rFonts w:ascii="Arial" w:hAnsi="Arial" w:cs="Arial"/>
                <w:color w:val="000000"/>
                <w:sz w:val="20"/>
                <w:szCs w:val="20"/>
              </w:rPr>
            </w:pPr>
            <w:r>
              <w:rPr>
                <w:rFonts w:ascii="Arial" w:hAnsi="Arial" w:cs="Arial"/>
                <w:color w:val="000000"/>
                <w:sz w:val="20"/>
                <w:szCs w:val="20"/>
              </w:rPr>
              <w:t>689</w:t>
            </w:r>
          </w:p>
        </w:tc>
      </w:tr>
      <w:tr w:rsidR="009807E3" w:rsidRPr="00657AAA" w14:paraId="51B8BB7A" w14:textId="77777777" w:rsidTr="00EC4C7A">
        <w:tc>
          <w:tcPr>
            <w:tcW w:w="2235" w:type="dxa"/>
          </w:tcPr>
          <w:p w14:paraId="150E0EC1" w14:textId="77777777" w:rsidR="009807E3" w:rsidRPr="00657AAA" w:rsidRDefault="009807E3" w:rsidP="00EC4C7A">
            <w:pPr>
              <w:jc w:val="both"/>
              <w:rPr>
                <w:rFonts w:ascii="Arial" w:hAnsi="Arial" w:cs="Arial"/>
                <w:b/>
                <w:sz w:val="20"/>
                <w:szCs w:val="20"/>
                <w:lang w:val="en-US"/>
              </w:rPr>
            </w:pPr>
            <w:r w:rsidRPr="00657AAA">
              <w:rPr>
                <w:rFonts w:ascii="Arial" w:hAnsi="Arial" w:cs="Arial"/>
                <w:b/>
                <w:sz w:val="20"/>
                <w:szCs w:val="20"/>
                <w:lang w:val="en-US"/>
              </w:rPr>
              <w:t>202</w:t>
            </w:r>
            <w:r>
              <w:rPr>
                <w:rFonts w:ascii="Arial" w:hAnsi="Arial" w:cs="Arial"/>
                <w:b/>
                <w:sz w:val="20"/>
                <w:szCs w:val="20"/>
                <w:lang w:val="en-US"/>
              </w:rPr>
              <w:t>3</w:t>
            </w:r>
          </w:p>
        </w:tc>
        <w:tc>
          <w:tcPr>
            <w:tcW w:w="2653" w:type="dxa"/>
          </w:tcPr>
          <w:p w14:paraId="5758AE2C" w14:textId="77777777" w:rsidR="009807E3" w:rsidRPr="00657AAA" w:rsidRDefault="009807E3" w:rsidP="00EC4C7A">
            <w:pPr>
              <w:rPr>
                <w:rFonts w:ascii="Arial" w:eastAsia="Calibri" w:hAnsi="Arial" w:cs="Arial"/>
                <w:sz w:val="20"/>
                <w:szCs w:val="20"/>
              </w:rPr>
            </w:pPr>
            <w:r w:rsidRPr="00657AAA">
              <w:rPr>
                <w:rFonts w:ascii="Arial" w:eastAsia="Calibri" w:hAnsi="Arial" w:cs="Arial"/>
                <w:sz w:val="20"/>
                <w:szCs w:val="20"/>
              </w:rPr>
              <w:t>36.711</w:t>
            </w:r>
          </w:p>
        </w:tc>
        <w:tc>
          <w:tcPr>
            <w:tcW w:w="2445" w:type="dxa"/>
          </w:tcPr>
          <w:p w14:paraId="001EA056" w14:textId="77777777" w:rsidR="009807E3" w:rsidRPr="00657AAA" w:rsidRDefault="009807E3" w:rsidP="00EC4C7A">
            <w:pPr>
              <w:rPr>
                <w:rFonts w:ascii="Arial" w:eastAsia="Calibri" w:hAnsi="Arial" w:cs="Arial"/>
                <w:sz w:val="20"/>
                <w:szCs w:val="20"/>
              </w:rPr>
            </w:pPr>
            <w:r w:rsidRPr="00657AAA">
              <w:rPr>
                <w:rFonts w:ascii="Arial" w:eastAsia="Calibri" w:hAnsi="Arial" w:cs="Arial"/>
                <w:sz w:val="20"/>
                <w:szCs w:val="20"/>
              </w:rPr>
              <w:t>4491</w:t>
            </w:r>
          </w:p>
        </w:tc>
        <w:tc>
          <w:tcPr>
            <w:tcW w:w="2445" w:type="dxa"/>
          </w:tcPr>
          <w:p w14:paraId="31F9A842" w14:textId="77777777" w:rsidR="009807E3" w:rsidRDefault="009807E3" w:rsidP="00EC4C7A">
            <w:pPr>
              <w:rPr>
                <w:rFonts w:ascii="Arial" w:hAnsi="Arial" w:cs="Arial"/>
                <w:color w:val="000000"/>
                <w:sz w:val="20"/>
                <w:szCs w:val="20"/>
              </w:rPr>
            </w:pPr>
            <w:r>
              <w:rPr>
                <w:rFonts w:ascii="Arial" w:hAnsi="Arial" w:cs="Arial"/>
                <w:color w:val="000000"/>
                <w:sz w:val="20"/>
                <w:szCs w:val="20"/>
              </w:rPr>
              <w:t>553</w:t>
            </w:r>
          </w:p>
        </w:tc>
      </w:tr>
      <w:tr w:rsidR="009807E3" w:rsidRPr="00657AAA" w14:paraId="2D400941" w14:textId="77777777" w:rsidTr="00EC4C7A">
        <w:tc>
          <w:tcPr>
            <w:tcW w:w="2235" w:type="dxa"/>
          </w:tcPr>
          <w:p w14:paraId="36FD14D5" w14:textId="77777777" w:rsidR="009807E3" w:rsidRPr="00657AAA" w:rsidRDefault="009807E3" w:rsidP="00EC4C7A">
            <w:pPr>
              <w:jc w:val="both"/>
              <w:rPr>
                <w:rFonts w:ascii="Arial" w:hAnsi="Arial" w:cs="Arial"/>
                <w:b/>
                <w:sz w:val="20"/>
                <w:szCs w:val="20"/>
                <w:lang w:val="en-US"/>
              </w:rPr>
            </w:pPr>
            <w:r>
              <w:rPr>
                <w:rFonts w:ascii="Arial" w:hAnsi="Arial" w:cs="Arial"/>
                <w:b/>
                <w:sz w:val="20"/>
                <w:szCs w:val="20"/>
                <w:lang w:val="en-US"/>
              </w:rPr>
              <w:t>2024</w:t>
            </w:r>
          </w:p>
        </w:tc>
        <w:tc>
          <w:tcPr>
            <w:tcW w:w="2653" w:type="dxa"/>
          </w:tcPr>
          <w:p w14:paraId="2614FD3B" w14:textId="77777777" w:rsidR="009807E3" w:rsidRPr="00657AAA" w:rsidRDefault="009807E3" w:rsidP="00EC4C7A">
            <w:pPr>
              <w:rPr>
                <w:rFonts w:ascii="Arial" w:eastAsia="Calibri" w:hAnsi="Arial" w:cs="Arial"/>
                <w:sz w:val="20"/>
                <w:szCs w:val="20"/>
              </w:rPr>
            </w:pPr>
            <w:r w:rsidRPr="00657AAA">
              <w:rPr>
                <w:rFonts w:ascii="Arial" w:eastAsia="Calibri" w:hAnsi="Arial" w:cs="Arial"/>
                <w:sz w:val="20"/>
                <w:szCs w:val="20"/>
              </w:rPr>
              <w:t>36.875</w:t>
            </w:r>
          </w:p>
        </w:tc>
        <w:tc>
          <w:tcPr>
            <w:tcW w:w="2445" w:type="dxa"/>
          </w:tcPr>
          <w:p w14:paraId="0E438FB6" w14:textId="77777777" w:rsidR="009807E3" w:rsidRPr="00657AAA" w:rsidRDefault="009807E3" w:rsidP="00EC4C7A">
            <w:pPr>
              <w:rPr>
                <w:rFonts w:ascii="Arial" w:eastAsia="Calibri" w:hAnsi="Arial" w:cs="Arial"/>
                <w:sz w:val="20"/>
                <w:szCs w:val="20"/>
              </w:rPr>
            </w:pPr>
            <w:r>
              <w:rPr>
                <w:rFonts w:ascii="Arial" w:hAnsi="Arial" w:cs="Arial"/>
                <w:sz w:val="20"/>
                <w:szCs w:val="20"/>
              </w:rPr>
              <w:t>48</w:t>
            </w:r>
            <w:r w:rsidRPr="00657AAA">
              <w:rPr>
                <w:rFonts w:ascii="Arial" w:eastAsia="Calibri" w:hAnsi="Arial" w:cs="Arial"/>
                <w:sz w:val="20"/>
                <w:szCs w:val="20"/>
              </w:rPr>
              <w:t>03</w:t>
            </w:r>
          </w:p>
        </w:tc>
        <w:tc>
          <w:tcPr>
            <w:tcW w:w="2445" w:type="dxa"/>
          </w:tcPr>
          <w:p w14:paraId="50ECF356" w14:textId="77777777" w:rsidR="009807E3" w:rsidRDefault="009807E3" w:rsidP="00EC4C7A">
            <w:pPr>
              <w:rPr>
                <w:rFonts w:ascii="Arial" w:hAnsi="Arial" w:cs="Arial"/>
                <w:color w:val="000000"/>
                <w:sz w:val="20"/>
                <w:szCs w:val="20"/>
              </w:rPr>
            </w:pPr>
            <w:r>
              <w:rPr>
                <w:rFonts w:ascii="Arial" w:hAnsi="Arial" w:cs="Arial"/>
                <w:color w:val="000000"/>
                <w:sz w:val="20"/>
                <w:szCs w:val="20"/>
              </w:rPr>
              <w:t>526</w:t>
            </w:r>
          </w:p>
        </w:tc>
      </w:tr>
    </w:tbl>
    <w:p w14:paraId="0CAFC261" w14:textId="77777777" w:rsidR="009807E3" w:rsidRPr="00657AAA" w:rsidRDefault="009807E3" w:rsidP="009807E3">
      <w:pPr>
        <w:spacing w:after="0"/>
        <w:jc w:val="both"/>
        <w:rPr>
          <w:rFonts w:ascii="Arial" w:hAnsi="Arial" w:cs="Arial"/>
          <w:sz w:val="20"/>
          <w:szCs w:val="20"/>
          <w:lang w:val="en-US"/>
        </w:rPr>
      </w:pPr>
    </w:p>
    <w:p w14:paraId="4DC0CCD1" w14:textId="77777777" w:rsidR="009807E3" w:rsidRPr="00657AAA" w:rsidRDefault="009807E3" w:rsidP="009807E3">
      <w:pPr>
        <w:spacing w:after="0"/>
        <w:jc w:val="both"/>
        <w:rPr>
          <w:rFonts w:ascii="Arial" w:hAnsi="Arial" w:cs="Arial"/>
          <w:sz w:val="20"/>
          <w:szCs w:val="20"/>
          <w:lang w:val="en-US"/>
        </w:rPr>
      </w:pPr>
      <w:r>
        <w:rPr>
          <w:rFonts w:ascii="Arial" w:hAnsi="Arial" w:cs="Arial"/>
          <w:sz w:val="20"/>
          <w:szCs w:val="20"/>
          <w:lang w:val="en-US"/>
        </w:rPr>
        <w:t>RBC = Packed Red Blood Cells, PC = Platelets Concentrate, FFP = Fresh Frozen Plasma</w:t>
      </w:r>
    </w:p>
    <w:p w14:paraId="787E5600" w14:textId="77777777" w:rsidR="009807E3" w:rsidRDefault="009807E3" w:rsidP="009807E3">
      <w:pPr>
        <w:rPr>
          <w:rFonts w:ascii="Arial" w:hAnsi="Arial" w:cs="Arial"/>
          <w:sz w:val="24"/>
          <w:szCs w:val="24"/>
          <w:lang w:val="en-US"/>
        </w:rPr>
      </w:pPr>
    </w:p>
    <w:p w14:paraId="3FB2818E" w14:textId="77777777" w:rsidR="009807E3" w:rsidRDefault="009807E3" w:rsidP="00E1162E">
      <w:pPr>
        <w:pStyle w:val="NormalWeb"/>
        <w:spacing w:before="0" w:beforeAutospacing="0" w:after="0" w:afterAutospacing="0" w:line="360" w:lineRule="auto"/>
        <w:jc w:val="both"/>
        <w:rPr>
          <w:rFonts w:ascii="Arial" w:hAnsi="Arial" w:cs="Arial"/>
          <w:lang w:val="en-US"/>
        </w:rPr>
      </w:pPr>
    </w:p>
    <w:p w14:paraId="66C9C529" w14:textId="20A4A2CE" w:rsidR="00CA2578" w:rsidRDefault="00CA2578" w:rsidP="00E1162E">
      <w:pPr>
        <w:pStyle w:val="NormalWeb"/>
        <w:spacing w:before="0" w:beforeAutospacing="0" w:after="0" w:afterAutospacing="0" w:line="360" w:lineRule="auto"/>
        <w:jc w:val="both"/>
        <w:rPr>
          <w:rFonts w:ascii="Arial" w:hAnsi="Arial" w:cs="Arial"/>
          <w:lang w:val="en-US"/>
        </w:rPr>
      </w:pPr>
      <w:r w:rsidRPr="00FE5322">
        <w:rPr>
          <w:rFonts w:ascii="Arial" w:hAnsi="Arial" w:cs="Arial"/>
          <w:lang w:val="en-US"/>
        </w:rPr>
        <w:t xml:space="preserve">During the same period, in the community setting, a median of </w:t>
      </w:r>
      <w:proofErr w:type="gramStart"/>
      <w:r w:rsidR="009807E3">
        <w:rPr>
          <w:rFonts w:ascii="Arial" w:hAnsi="Arial" w:cs="Arial"/>
          <w:lang w:val="en-US"/>
        </w:rPr>
        <w:t xml:space="preserve">4.335 </w:t>
      </w:r>
      <w:r w:rsidRPr="00FE5322">
        <w:rPr>
          <w:rFonts w:ascii="Arial" w:hAnsi="Arial" w:cs="Arial"/>
          <w:lang w:val="en-US"/>
        </w:rPr>
        <w:t xml:space="preserve"> (</w:t>
      </w:r>
      <w:proofErr w:type="gramEnd"/>
      <w:r w:rsidRPr="00FE5322">
        <w:rPr>
          <w:rFonts w:ascii="Arial" w:hAnsi="Arial" w:cs="Arial"/>
          <w:lang w:val="en-US"/>
        </w:rPr>
        <w:t>IQR = 221) RBC units, 171 (IQR = 27) platelet concentrates, and 6 (IQR = 4) FFP units were transfused annually. Data regarding RBC transfusions in the outpatient setting are shown in Figure 1a.</w:t>
      </w:r>
      <w:r w:rsidR="00FE5322" w:rsidRPr="00FE5322">
        <w:rPr>
          <w:rFonts w:ascii="Arial" w:hAnsi="Arial" w:cs="Arial"/>
          <w:lang w:val="en-US"/>
        </w:rPr>
        <w:t xml:space="preserve"> </w:t>
      </w:r>
      <w:r w:rsidR="009D5942" w:rsidRPr="00CA2578">
        <w:rPr>
          <w:rFonts w:ascii="Arial" w:hAnsi="Arial" w:cs="Arial"/>
          <w:lang w:val="en-US"/>
        </w:rPr>
        <w:t xml:space="preserve">The total number of transfusions delivered in outpatient settings increased from 4,222 in 2020 to 4,789 in 2024 (+507 units; +12%). </w:t>
      </w:r>
      <w:r w:rsidRPr="00FE5322">
        <w:rPr>
          <w:rFonts w:ascii="Arial" w:hAnsi="Arial" w:cs="Arial"/>
          <w:lang w:val="en-US"/>
        </w:rPr>
        <w:t xml:space="preserve"> Furthermore, the proportion of total RBC units delivered in the community setting rose from 11.1% in 2020 to 12.9% in 2024 (Figure 1b).</w:t>
      </w:r>
    </w:p>
    <w:p w14:paraId="6A6F3FB4" w14:textId="77777777" w:rsidR="009807E3" w:rsidRPr="009046A2" w:rsidRDefault="009807E3" w:rsidP="009807E3">
      <w:pPr>
        <w:rPr>
          <w:rFonts w:ascii="Arial" w:hAnsi="Arial" w:cs="Arial"/>
          <w:b/>
          <w:sz w:val="20"/>
          <w:szCs w:val="20"/>
          <w:lang w:val="en-US"/>
        </w:rPr>
      </w:pPr>
      <w:r w:rsidRPr="00E168FC">
        <w:rPr>
          <w:rFonts w:ascii="Arial" w:hAnsi="Arial" w:cs="Arial"/>
          <w:b/>
          <w:sz w:val="20"/>
          <w:szCs w:val="20"/>
          <w:lang w:val="en-US"/>
        </w:rPr>
        <w:t xml:space="preserve">Figure 1: Packed red blood cells </w:t>
      </w:r>
      <w:proofErr w:type="gramStart"/>
      <w:r w:rsidRPr="00E168FC">
        <w:rPr>
          <w:rFonts w:ascii="Arial" w:hAnsi="Arial" w:cs="Arial"/>
          <w:b/>
          <w:sz w:val="20"/>
          <w:szCs w:val="20"/>
          <w:lang w:val="en-US"/>
        </w:rPr>
        <w:t>(</w:t>
      </w:r>
      <w:r>
        <w:rPr>
          <w:rFonts w:ascii="Arial" w:hAnsi="Arial" w:cs="Arial"/>
          <w:b/>
          <w:sz w:val="20"/>
          <w:szCs w:val="20"/>
          <w:lang w:val="en-US"/>
        </w:rPr>
        <w:t xml:space="preserve"> RBC</w:t>
      </w:r>
      <w:proofErr w:type="gramEnd"/>
      <w:r w:rsidRPr="00E168FC">
        <w:rPr>
          <w:rFonts w:ascii="Arial" w:hAnsi="Arial" w:cs="Arial"/>
          <w:b/>
          <w:sz w:val="20"/>
          <w:szCs w:val="20"/>
          <w:lang w:val="en-US"/>
        </w:rPr>
        <w:t xml:space="preserve">) unit </w:t>
      </w:r>
      <w:proofErr w:type="spellStart"/>
      <w:r w:rsidRPr="00E168FC">
        <w:rPr>
          <w:rFonts w:ascii="Arial" w:hAnsi="Arial" w:cs="Arial"/>
          <w:b/>
          <w:sz w:val="20"/>
          <w:szCs w:val="20"/>
          <w:lang w:val="en-US"/>
        </w:rPr>
        <w:t>tranfused</w:t>
      </w:r>
      <w:proofErr w:type="spellEnd"/>
      <w:r w:rsidRPr="00E168FC">
        <w:rPr>
          <w:rFonts w:ascii="Arial" w:hAnsi="Arial" w:cs="Arial"/>
          <w:b/>
          <w:sz w:val="20"/>
          <w:szCs w:val="20"/>
          <w:lang w:val="en-US"/>
        </w:rPr>
        <w:t xml:space="preserve"> in the territorial setting (years 2020-2024)</w:t>
      </w:r>
    </w:p>
    <w:tbl>
      <w:tblPr>
        <w:tblStyle w:val="TableGrid"/>
        <w:tblW w:w="0" w:type="auto"/>
        <w:tblLook w:val="04A0" w:firstRow="1" w:lastRow="0" w:firstColumn="1" w:lastColumn="0" w:noHBand="0" w:noVBand="1"/>
      </w:tblPr>
      <w:tblGrid>
        <w:gridCol w:w="9628"/>
      </w:tblGrid>
      <w:tr w:rsidR="009807E3" w:rsidRPr="00903038" w14:paraId="1B0D49CF" w14:textId="77777777" w:rsidTr="00EC4C7A">
        <w:tc>
          <w:tcPr>
            <w:tcW w:w="9778" w:type="dxa"/>
          </w:tcPr>
          <w:p w14:paraId="48EBD9BF" w14:textId="77777777" w:rsidR="009807E3" w:rsidRDefault="009807E3" w:rsidP="00EC4C7A">
            <w:pPr>
              <w:jc w:val="both"/>
              <w:rPr>
                <w:rFonts w:ascii="Arial" w:hAnsi="Arial" w:cs="Arial"/>
                <w:b/>
                <w:sz w:val="24"/>
                <w:szCs w:val="24"/>
                <w:lang w:val="en-US"/>
              </w:rPr>
            </w:pPr>
            <w:r w:rsidRPr="00DF1202">
              <w:rPr>
                <w:rFonts w:ascii="Arial" w:hAnsi="Arial" w:cs="Arial"/>
                <w:b/>
                <w:sz w:val="20"/>
                <w:szCs w:val="20"/>
                <w:lang w:val="en-US"/>
              </w:rPr>
              <w:t>Figure 1a:</w:t>
            </w:r>
            <w:r>
              <w:rPr>
                <w:rFonts w:ascii="Arial" w:hAnsi="Arial" w:cs="Arial"/>
                <w:sz w:val="20"/>
                <w:szCs w:val="20"/>
                <w:lang w:val="en-US"/>
              </w:rPr>
              <w:t xml:space="preserve"> Absolute number of </w:t>
            </w:r>
            <w:proofErr w:type="gramStart"/>
            <w:r>
              <w:rPr>
                <w:rFonts w:ascii="Arial" w:hAnsi="Arial" w:cs="Arial"/>
                <w:sz w:val="20"/>
                <w:szCs w:val="20"/>
                <w:lang w:val="en-US"/>
              </w:rPr>
              <w:t>transfused  RBC</w:t>
            </w:r>
            <w:proofErr w:type="gramEnd"/>
            <w:r>
              <w:rPr>
                <w:rFonts w:ascii="Arial" w:hAnsi="Arial" w:cs="Arial"/>
                <w:sz w:val="20"/>
                <w:szCs w:val="20"/>
                <w:lang w:val="en-US"/>
              </w:rPr>
              <w:t xml:space="preserve"> in the territorial setting</w:t>
            </w:r>
          </w:p>
        </w:tc>
      </w:tr>
      <w:tr w:rsidR="009807E3" w14:paraId="5DD8DF5A" w14:textId="77777777" w:rsidTr="00EC4C7A">
        <w:tc>
          <w:tcPr>
            <w:tcW w:w="9778" w:type="dxa"/>
          </w:tcPr>
          <w:p w14:paraId="67D5405F" w14:textId="77777777" w:rsidR="009807E3" w:rsidRDefault="009807E3" w:rsidP="00EC4C7A">
            <w:pPr>
              <w:jc w:val="both"/>
              <w:rPr>
                <w:rFonts w:ascii="Arial" w:hAnsi="Arial" w:cs="Arial"/>
                <w:b/>
                <w:sz w:val="24"/>
                <w:szCs w:val="24"/>
                <w:lang w:val="en-US"/>
              </w:rPr>
            </w:pPr>
          </w:p>
          <w:p w14:paraId="7B1362DC" w14:textId="77777777" w:rsidR="009807E3" w:rsidRDefault="009807E3" w:rsidP="00EC4C7A">
            <w:pPr>
              <w:jc w:val="both"/>
              <w:rPr>
                <w:rFonts w:ascii="Arial" w:hAnsi="Arial" w:cs="Arial"/>
                <w:b/>
                <w:sz w:val="24"/>
                <w:szCs w:val="24"/>
                <w:lang w:val="en-US"/>
              </w:rPr>
            </w:pPr>
            <w:r w:rsidRPr="00E168FC">
              <w:rPr>
                <w:rFonts w:ascii="Arial" w:hAnsi="Arial" w:cs="Arial"/>
                <w:b/>
                <w:noProof/>
                <w:sz w:val="24"/>
                <w:szCs w:val="24"/>
                <w:lang w:eastAsia="it-IT"/>
              </w:rPr>
              <w:lastRenderedPageBreak/>
              <w:drawing>
                <wp:inline distT="0" distB="0" distL="0" distR="0" wp14:anchorId="2248B4A3" wp14:editId="5A469061">
                  <wp:extent cx="5867400" cy="3114675"/>
                  <wp:effectExtent l="19050" t="0" r="19050" b="0"/>
                  <wp:docPr id="189493906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C496C5" w14:textId="77777777" w:rsidR="009807E3" w:rsidRDefault="009807E3" w:rsidP="00EC4C7A">
            <w:pPr>
              <w:jc w:val="both"/>
              <w:rPr>
                <w:rFonts w:ascii="Arial" w:hAnsi="Arial" w:cs="Arial"/>
                <w:b/>
                <w:sz w:val="24"/>
                <w:szCs w:val="24"/>
                <w:lang w:val="en-US"/>
              </w:rPr>
            </w:pPr>
          </w:p>
        </w:tc>
      </w:tr>
      <w:tr w:rsidR="009807E3" w:rsidRPr="00903038" w14:paraId="0C4EECB1" w14:textId="77777777" w:rsidTr="00EC4C7A">
        <w:tc>
          <w:tcPr>
            <w:tcW w:w="9778" w:type="dxa"/>
          </w:tcPr>
          <w:p w14:paraId="63FD6D17" w14:textId="77777777" w:rsidR="009807E3" w:rsidRDefault="009807E3" w:rsidP="00EC4C7A">
            <w:pPr>
              <w:jc w:val="both"/>
              <w:rPr>
                <w:rFonts w:ascii="Arial" w:hAnsi="Arial" w:cs="Arial"/>
                <w:b/>
                <w:sz w:val="24"/>
                <w:szCs w:val="24"/>
                <w:lang w:val="en-US"/>
              </w:rPr>
            </w:pPr>
            <w:r w:rsidRPr="00DF1202">
              <w:rPr>
                <w:rFonts w:ascii="Arial" w:hAnsi="Arial" w:cs="Arial"/>
                <w:b/>
                <w:sz w:val="20"/>
                <w:szCs w:val="20"/>
                <w:lang w:val="en-US"/>
              </w:rPr>
              <w:lastRenderedPageBreak/>
              <w:t>Figure 1b:</w:t>
            </w:r>
            <w:r>
              <w:rPr>
                <w:rFonts w:ascii="Arial" w:hAnsi="Arial" w:cs="Arial"/>
                <w:sz w:val="20"/>
                <w:szCs w:val="20"/>
                <w:lang w:val="en-US"/>
              </w:rPr>
              <w:t xml:space="preserve"> Percentage of RBC transfused in territorial setting versus total number of </w:t>
            </w:r>
            <w:proofErr w:type="gramStart"/>
            <w:r>
              <w:rPr>
                <w:rFonts w:ascii="Arial" w:hAnsi="Arial" w:cs="Arial"/>
                <w:sz w:val="20"/>
                <w:szCs w:val="20"/>
                <w:lang w:val="en-US"/>
              </w:rPr>
              <w:t>transfused  RBC</w:t>
            </w:r>
            <w:proofErr w:type="gramEnd"/>
          </w:p>
        </w:tc>
      </w:tr>
      <w:tr w:rsidR="009807E3" w14:paraId="7108AB6A" w14:textId="77777777" w:rsidTr="00EC4C7A">
        <w:tc>
          <w:tcPr>
            <w:tcW w:w="9778" w:type="dxa"/>
          </w:tcPr>
          <w:p w14:paraId="4ADAF3E7" w14:textId="77777777" w:rsidR="009807E3" w:rsidRDefault="009807E3" w:rsidP="00EC4C7A">
            <w:pPr>
              <w:jc w:val="both"/>
              <w:rPr>
                <w:rFonts w:ascii="Arial" w:hAnsi="Arial" w:cs="Arial"/>
                <w:b/>
                <w:sz w:val="24"/>
                <w:szCs w:val="24"/>
                <w:lang w:val="en-US"/>
              </w:rPr>
            </w:pPr>
          </w:p>
          <w:p w14:paraId="4CCBC833" w14:textId="77777777" w:rsidR="009807E3" w:rsidRDefault="009807E3" w:rsidP="00EC4C7A">
            <w:pPr>
              <w:jc w:val="both"/>
              <w:rPr>
                <w:rFonts w:ascii="Arial" w:hAnsi="Arial" w:cs="Arial"/>
                <w:b/>
                <w:sz w:val="24"/>
                <w:szCs w:val="24"/>
                <w:lang w:val="en-US"/>
              </w:rPr>
            </w:pPr>
            <w:r w:rsidRPr="00E168FC">
              <w:rPr>
                <w:rFonts w:ascii="Arial" w:hAnsi="Arial" w:cs="Arial"/>
                <w:b/>
                <w:noProof/>
                <w:sz w:val="24"/>
                <w:szCs w:val="24"/>
                <w:lang w:eastAsia="it-IT"/>
              </w:rPr>
              <w:drawing>
                <wp:inline distT="0" distB="0" distL="0" distR="0" wp14:anchorId="601DB7CC" wp14:editId="6F20EFCA">
                  <wp:extent cx="5991225" cy="3162300"/>
                  <wp:effectExtent l="19050" t="0" r="9525" b="0"/>
                  <wp:docPr id="33916758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CC19DB" w14:textId="77777777" w:rsidR="009807E3" w:rsidRDefault="009807E3" w:rsidP="00EC4C7A">
            <w:pPr>
              <w:jc w:val="both"/>
              <w:rPr>
                <w:rFonts w:ascii="Arial" w:hAnsi="Arial" w:cs="Arial"/>
                <w:b/>
                <w:sz w:val="24"/>
                <w:szCs w:val="24"/>
                <w:lang w:val="en-US"/>
              </w:rPr>
            </w:pPr>
          </w:p>
        </w:tc>
      </w:tr>
    </w:tbl>
    <w:p w14:paraId="74A4FEEF" w14:textId="77777777" w:rsidR="009807E3" w:rsidRPr="00DF1202" w:rsidRDefault="009807E3" w:rsidP="009807E3">
      <w:pPr>
        <w:spacing w:after="0"/>
        <w:jc w:val="both"/>
        <w:rPr>
          <w:rFonts w:ascii="Arial" w:hAnsi="Arial" w:cs="Arial"/>
          <w:b/>
          <w:sz w:val="24"/>
          <w:szCs w:val="24"/>
          <w:lang w:val="en-US"/>
        </w:rPr>
      </w:pPr>
    </w:p>
    <w:p w14:paraId="194026AE" w14:textId="78D519B9" w:rsidR="009807E3" w:rsidRDefault="009807E3" w:rsidP="009807E3">
      <w:pPr>
        <w:pStyle w:val="NormalWeb"/>
        <w:spacing w:before="0" w:beforeAutospacing="0" w:after="0" w:afterAutospacing="0" w:line="360" w:lineRule="auto"/>
        <w:jc w:val="both"/>
        <w:rPr>
          <w:rFonts w:ascii="Arial" w:hAnsi="Arial" w:cs="Arial"/>
          <w:lang w:val="en-US"/>
        </w:rPr>
      </w:pPr>
      <w:r w:rsidRPr="009046A2">
        <w:rPr>
          <w:rFonts w:ascii="Arial" w:hAnsi="Arial" w:cs="Arial"/>
          <w:sz w:val="20"/>
          <w:szCs w:val="20"/>
          <w:lang w:val="en-US"/>
        </w:rPr>
        <w:t>Figure 1a shows the number of RBC units transfused in the five years from 202</w:t>
      </w:r>
      <w:r>
        <w:rPr>
          <w:rFonts w:ascii="Arial" w:hAnsi="Arial" w:cs="Arial"/>
          <w:sz w:val="20"/>
          <w:szCs w:val="20"/>
          <w:lang w:val="en-US"/>
        </w:rPr>
        <w:t>0</w:t>
      </w:r>
      <w:r w:rsidRPr="009046A2">
        <w:rPr>
          <w:rFonts w:ascii="Arial" w:hAnsi="Arial" w:cs="Arial"/>
          <w:sz w:val="20"/>
          <w:szCs w:val="20"/>
          <w:lang w:val="en-US"/>
        </w:rPr>
        <w:t xml:space="preserve"> to 202</w:t>
      </w:r>
      <w:r>
        <w:rPr>
          <w:rFonts w:ascii="Arial" w:hAnsi="Arial" w:cs="Arial"/>
          <w:sz w:val="20"/>
          <w:szCs w:val="20"/>
          <w:lang w:val="en-US"/>
        </w:rPr>
        <w:t>4</w:t>
      </w:r>
      <w:r w:rsidRPr="009046A2">
        <w:rPr>
          <w:rFonts w:ascii="Arial" w:hAnsi="Arial" w:cs="Arial"/>
          <w:sz w:val="20"/>
          <w:szCs w:val="20"/>
          <w:lang w:val="en-US"/>
        </w:rPr>
        <w:t xml:space="preserve"> in different territorial settings: home transfusions, transfusions carried out in community hospitals, in service centers for non-self-sufficient elderly people, in outpatient clinics managed directly by transfusion medicine, in protected outpatient clinics.</w:t>
      </w:r>
      <w:r>
        <w:rPr>
          <w:rFonts w:ascii="Arial" w:hAnsi="Arial" w:cs="Arial"/>
          <w:sz w:val="20"/>
          <w:szCs w:val="20"/>
          <w:lang w:val="en-US"/>
        </w:rPr>
        <w:t xml:space="preserve"> </w:t>
      </w:r>
      <w:r w:rsidRPr="00FA6126">
        <w:rPr>
          <w:rFonts w:ascii="Arial" w:hAnsi="Arial" w:cs="Arial"/>
          <w:sz w:val="20"/>
          <w:szCs w:val="20"/>
          <w:lang w:val="en-US"/>
        </w:rPr>
        <w:t xml:space="preserve">Figure 1b shows the percentage of RBC units transfused in the community setting compared to the total number of RBC units transfused in the DIMT. In this case, the </w:t>
      </w:r>
      <w:r>
        <w:rPr>
          <w:rFonts w:ascii="Arial" w:hAnsi="Arial" w:cs="Arial"/>
          <w:sz w:val="20"/>
          <w:szCs w:val="20"/>
          <w:lang w:val="en-US"/>
        </w:rPr>
        <w:t>five</w:t>
      </w:r>
      <w:r w:rsidRPr="00FA6126">
        <w:rPr>
          <w:rFonts w:ascii="Arial" w:hAnsi="Arial" w:cs="Arial"/>
          <w:sz w:val="20"/>
          <w:szCs w:val="20"/>
          <w:lang w:val="en-US"/>
        </w:rPr>
        <w:t>-year period from 202</w:t>
      </w:r>
      <w:r>
        <w:rPr>
          <w:rFonts w:ascii="Arial" w:hAnsi="Arial" w:cs="Arial"/>
          <w:sz w:val="20"/>
          <w:szCs w:val="20"/>
          <w:lang w:val="en-US"/>
        </w:rPr>
        <w:t>0</w:t>
      </w:r>
      <w:r w:rsidRPr="00FA6126">
        <w:rPr>
          <w:rFonts w:ascii="Arial" w:hAnsi="Arial" w:cs="Arial"/>
          <w:sz w:val="20"/>
          <w:szCs w:val="20"/>
          <w:lang w:val="en-US"/>
        </w:rPr>
        <w:t xml:space="preserve"> to 2024 was taken into consideration</w:t>
      </w:r>
      <w:r>
        <w:rPr>
          <w:rFonts w:ascii="Arial" w:hAnsi="Arial" w:cs="Arial"/>
          <w:sz w:val="20"/>
          <w:szCs w:val="20"/>
          <w:lang w:val="en-US"/>
        </w:rPr>
        <w:t xml:space="preserve"> too</w:t>
      </w:r>
      <w:r w:rsidRPr="00FA6126">
        <w:rPr>
          <w:rFonts w:ascii="Arial" w:hAnsi="Arial" w:cs="Arial"/>
          <w:sz w:val="20"/>
          <w:szCs w:val="20"/>
          <w:lang w:val="en-US"/>
        </w:rPr>
        <w:t>.</w:t>
      </w:r>
    </w:p>
    <w:p w14:paraId="72FDDBFF" w14:textId="77777777" w:rsidR="009807E3" w:rsidRPr="00FE5322" w:rsidRDefault="009807E3" w:rsidP="00E1162E">
      <w:pPr>
        <w:pStyle w:val="NormalWeb"/>
        <w:spacing w:before="0" w:beforeAutospacing="0" w:after="0" w:afterAutospacing="0" w:line="360" w:lineRule="auto"/>
        <w:jc w:val="both"/>
        <w:rPr>
          <w:rFonts w:ascii="Arial" w:hAnsi="Arial" w:cs="Arial"/>
          <w:b/>
          <w:lang w:val="en-US"/>
        </w:rPr>
      </w:pPr>
    </w:p>
    <w:p w14:paraId="659D93A1" w14:textId="1BE40413" w:rsidR="00CA2578" w:rsidRDefault="00CA2578" w:rsidP="00E1162E">
      <w:pPr>
        <w:pStyle w:val="Heading2"/>
        <w:spacing w:before="0" w:line="360" w:lineRule="auto"/>
        <w:jc w:val="both"/>
        <w:rPr>
          <w:rFonts w:ascii="Arial" w:hAnsi="Arial" w:cs="Arial"/>
          <w:b w:val="0"/>
          <w:color w:val="auto"/>
          <w:sz w:val="24"/>
          <w:szCs w:val="24"/>
          <w:lang w:val="en-US"/>
        </w:rPr>
      </w:pPr>
      <w:r w:rsidRPr="00FE5322">
        <w:rPr>
          <w:rStyle w:val="Strong"/>
          <w:rFonts w:ascii="Arial" w:hAnsi="Arial" w:cs="Arial"/>
          <w:bCs/>
          <w:i/>
          <w:color w:val="auto"/>
          <w:sz w:val="24"/>
          <w:szCs w:val="24"/>
          <w:u w:val="single"/>
          <w:lang w:val="en-US"/>
        </w:rPr>
        <w:lastRenderedPageBreak/>
        <w:t>Cost Analysis</w:t>
      </w:r>
      <w:r w:rsidR="00FE5322" w:rsidRPr="00FE5322">
        <w:rPr>
          <w:rStyle w:val="Strong"/>
          <w:rFonts w:ascii="Arial" w:hAnsi="Arial" w:cs="Arial"/>
          <w:b/>
          <w:bCs/>
          <w:color w:val="auto"/>
          <w:sz w:val="24"/>
          <w:szCs w:val="24"/>
          <w:lang w:val="en-US"/>
        </w:rPr>
        <w:t xml:space="preserve">:  </w:t>
      </w:r>
      <w:r w:rsidRPr="00FE5322">
        <w:rPr>
          <w:rFonts w:ascii="Arial" w:hAnsi="Arial" w:cs="Arial"/>
          <w:b w:val="0"/>
          <w:color w:val="auto"/>
          <w:sz w:val="24"/>
          <w:szCs w:val="24"/>
          <w:lang w:val="en-US"/>
        </w:rPr>
        <w:t>The specific production costs calculated by the DIMT were €175 per RBC unit, €179 per platelet concentrate, and €134 per FFP unit. Pre-transfusion laboratory testing cost €35 per unit.</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Standard institutional costs were as follows:</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Ordinary hospitalization (OH): €869 per day</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Day hospital (DH): €435 per day</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Emergency department access: €208 per visit</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Outpatient clinic access: €107 per visit</w:t>
      </w:r>
      <w:r w:rsidR="00FE5322" w:rsidRPr="00FE5322">
        <w:rPr>
          <w:rFonts w:ascii="Arial" w:hAnsi="Arial" w:cs="Arial"/>
          <w:b w:val="0"/>
          <w:color w:val="auto"/>
          <w:sz w:val="24"/>
          <w:szCs w:val="24"/>
          <w:lang w:val="en-US"/>
        </w:rPr>
        <w:t>.</w:t>
      </w:r>
      <w:r w:rsidR="009807E3">
        <w:rPr>
          <w:rFonts w:ascii="Arial" w:hAnsi="Arial" w:cs="Arial"/>
          <w:b w:val="0"/>
          <w:color w:val="auto"/>
          <w:sz w:val="24"/>
          <w:szCs w:val="24"/>
          <w:lang w:val="en-US"/>
        </w:rPr>
        <w:t xml:space="preserve"> These </w:t>
      </w:r>
      <w:r w:rsidR="005C44E1">
        <w:rPr>
          <w:rFonts w:ascii="Arial" w:hAnsi="Arial" w:cs="Arial"/>
          <w:b w:val="0"/>
          <w:color w:val="auto"/>
          <w:sz w:val="24"/>
          <w:szCs w:val="24"/>
          <w:lang w:val="en-US"/>
        </w:rPr>
        <w:t>data reported</w:t>
      </w:r>
      <w:r w:rsidR="009807E3">
        <w:rPr>
          <w:rFonts w:ascii="Arial" w:hAnsi="Arial" w:cs="Arial"/>
          <w:b w:val="0"/>
          <w:color w:val="auto"/>
          <w:sz w:val="24"/>
          <w:szCs w:val="24"/>
          <w:lang w:val="en-US"/>
        </w:rPr>
        <w:t xml:space="preserve"> in Table </w:t>
      </w:r>
      <w:r w:rsidR="002D20BC">
        <w:rPr>
          <w:rFonts w:ascii="Arial" w:hAnsi="Arial" w:cs="Arial"/>
          <w:b w:val="0"/>
          <w:color w:val="auto"/>
          <w:sz w:val="24"/>
          <w:szCs w:val="24"/>
          <w:lang w:val="en-US"/>
        </w:rPr>
        <w:t>2</w:t>
      </w:r>
      <w:r w:rsidR="009807E3">
        <w:rPr>
          <w:rFonts w:ascii="Arial" w:hAnsi="Arial" w:cs="Arial"/>
          <w:b w:val="0"/>
          <w:color w:val="auto"/>
          <w:sz w:val="24"/>
          <w:szCs w:val="24"/>
          <w:lang w:val="en-US"/>
        </w:rPr>
        <w:t>.</w:t>
      </w:r>
    </w:p>
    <w:p w14:paraId="35F9765A" w14:textId="31382B8E" w:rsidR="009807E3" w:rsidRDefault="009807E3" w:rsidP="009807E3">
      <w:pPr>
        <w:rPr>
          <w:rFonts w:ascii="Arial" w:hAnsi="Arial" w:cs="Arial"/>
          <w:b/>
          <w:sz w:val="20"/>
          <w:szCs w:val="20"/>
          <w:lang w:val="en-US"/>
        </w:rPr>
      </w:pPr>
      <w:r w:rsidRPr="000A4AB4">
        <w:rPr>
          <w:rFonts w:ascii="Arial" w:hAnsi="Arial" w:cs="Arial"/>
          <w:b/>
          <w:sz w:val="20"/>
          <w:szCs w:val="20"/>
          <w:lang w:val="en-US"/>
        </w:rPr>
        <w:t xml:space="preserve">Table </w:t>
      </w:r>
      <w:r w:rsidR="002D20BC">
        <w:rPr>
          <w:rFonts w:ascii="Arial" w:hAnsi="Arial" w:cs="Arial"/>
          <w:b/>
          <w:sz w:val="20"/>
          <w:szCs w:val="20"/>
          <w:lang w:val="en-US"/>
        </w:rPr>
        <w:t>2</w:t>
      </w:r>
      <w:r w:rsidRPr="000A4AB4">
        <w:rPr>
          <w:rFonts w:ascii="Arial" w:hAnsi="Arial" w:cs="Arial"/>
          <w:b/>
          <w:sz w:val="20"/>
          <w:szCs w:val="20"/>
          <w:lang w:val="en-US"/>
        </w:rPr>
        <w:t xml:space="preserve">: </w:t>
      </w:r>
      <w:r>
        <w:rPr>
          <w:rFonts w:ascii="Arial" w:hAnsi="Arial" w:cs="Arial"/>
          <w:b/>
          <w:sz w:val="20"/>
          <w:szCs w:val="20"/>
          <w:lang w:val="en-US"/>
        </w:rPr>
        <w:t xml:space="preserve">Cost analysis </w:t>
      </w:r>
    </w:p>
    <w:tbl>
      <w:tblPr>
        <w:tblStyle w:val="TableGrid"/>
        <w:tblW w:w="0" w:type="auto"/>
        <w:tblLook w:val="04A0" w:firstRow="1" w:lastRow="0" w:firstColumn="1" w:lastColumn="0" w:noHBand="0" w:noVBand="1"/>
      </w:tblPr>
      <w:tblGrid>
        <w:gridCol w:w="2417"/>
        <w:gridCol w:w="2403"/>
        <w:gridCol w:w="2404"/>
        <w:gridCol w:w="2404"/>
      </w:tblGrid>
      <w:tr w:rsidR="009807E3" w14:paraId="3DC1CA7B" w14:textId="77777777" w:rsidTr="00EC4C7A">
        <w:tc>
          <w:tcPr>
            <w:tcW w:w="2444" w:type="dxa"/>
          </w:tcPr>
          <w:p w14:paraId="3E3E1AC2" w14:textId="77777777" w:rsidR="009807E3" w:rsidRDefault="009807E3" w:rsidP="00EC4C7A">
            <w:pPr>
              <w:rPr>
                <w:rFonts w:ascii="Arial" w:hAnsi="Arial" w:cs="Arial"/>
                <w:b/>
                <w:sz w:val="20"/>
                <w:szCs w:val="20"/>
                <w:lang w:val="en-US"/>
              </w:rPr>
            </w:pPr>
          </w:p>
        </w:tc>
        <w:tc>
          <w:tcPr>
            <w:tcW w:w="2444" w:type="dxa"/>
          </w:tcPr>
          <w:p w14:paraId="6F9569ED" w14:textId="77777777" w:rsidR="009807E3" w:rsidRDefault="009807E3" w:rsidP="00EC4C7A">
            <w:pPr>
              <w:rPr>
                <w:rFonts w:ascii="Arial" w:hAnsi="Arial" w:cs="Arial"/>
                <w:b/>
                <w:sz w:val="20"/>
                <w:szCs w:val="20"/>
                <w:lang w:val="en-US"/>
              </w:rPr>
            </w:pPr>
            <w:r>
              <w:rPr>
                <w:rFonts w:ascii="Arial" w:hAnsi="Arial" w:cs="Arial"/>
                <w:b/>
                <w:sz w:val="20"/>
                <w:szCs w:val="20"/>
                <w:lang w:val="en-US"/>
              </w:rPr>
              <w:t xml:space="preserve"> RBC</w:t>
            </w:r>
          </w:p>
        </w:tc>
        <w:tc>
          <w:tcPr>
            <w:tcW w:w="2445" w:type="dxa"/>
          </w:tcPr>
          <w:p w14:paraId="520DA70D" w14:textId="77777777" w:rsidR="009807E3" w:rsidRDefault="009807E3" w:rsidP="00EC4C7A">
            <w:pPr>
              <w:rPr>
                <w:rFonts w:ascii="Arial" w:hAnsi="Arial" w:cs="Arial"/>
                <w:b/>
                <w:sz w:val="20"/>
                <w:szCs w:val="20"/>
                <w:lang w:val="en-US"/>
              </w:rPr>
            </w:pPr>
            <w:r>
              <w:rPr>
                <w:rFonts w:ascii="Arial" w:hAnsi="Arial" w:cs="Arial"/>
                <w:b/>
                <w:sz w:val="20"/>
                <w:szCs w:val="20"/>
                <w:lang w:val="en-US"/>
              </w:rPr>
              <w:t>PC</w:t>
            </w:r>
          </w:p>
        </w:tc>
        <w:tc>
          <w:tcPr>
            <w:tcW w:w="2445" w:type="dxa"/>
          </w:tcPr>
          <w:p w14:paraId="70CE8499" w14:textId="77777777" w:rsidR="009807E3" w:rsidRDefault="009807E3" w:rsidP="00EC4C7A">
            <w:pPr>
              <w:rPr>
                <w:rFonts w:ascii="Arial" w:hAnsi="Arial" w:cs="Arial"/>
                <w:b/>
                <w:sz w:val="20"/>
                <w:szCs w:val="20"/>
                <w:lang w:val="en-US"/>
              </w:rPr>
            </w:pPr>
            <w:r>
              <w:rPr>
                <w:rFonts w:ascii="Arial" w:hAnsi="Arial" w:cs="Arial"/>
                <w:b/>
                <w:sz w:val="20"/>
                <w:szCs w:val="20"/>
                <w:lang w:val="en-US"/>
              </w:rPr>
              <w:t>FFP</w:t>
            </w:r>
          </w:p>
        </w:tc>
      </w:tr>
      <w:tr w:rsidR="009807E3" w14:paraId="612C94B1" w14:textId="77777777" w:rsidTr="00EC4C7A">
        <w:tc>
          <w:tcPr>
            <w:tcW w:w="9778" w:type="dxa"/>
            <w:gridSpan w:val="4"/>
            <w:shd w:val="clear" w:color="auto" w:fill="DDD9C3" w:themeFill="background2" w:themeFillShade="E6"/>
          </w:tcPr>
          <w:p w14:paraId="4E81B5E9" w14:textId="77777777" w:rsidR="009807E3" w:rsidRPr="00472311" w:rsidRDefault="009807E3" w:rsidP="00EC4C7A">
            <w:pPr>
              <w:jc w:val="center"/>
              <w:rPr>
                <w:rFonts w:ascii="Arial" w:hAnsi="Arial" w:cs="Arial"/>
                <w:b/>
                <w:sz w:val="20"/>
                <w:szCs w:val="20"/>
                <w:lang w:val="en-US"/>
              </w:rPr>
            </w:pPr>
            <w:r w:rsidRPr="00472311">
              <w:rPr>
                <w:rFonts w:ascii="Arial" w:hAnsi="Arial" w:cs="Arial"/>
                <w:b/>
                <w:sz w:val="20"/>
                <w:szCs w:val="20"/>
                <w:lang w:val="en-US"/>
              </w:rPr>
              <w:t>Cost for shipped unit</w:t>
            </w:r>
          </w:p>
        </w:tc>
      </w:tr>
      <w:tr w:rsidR="009807E3" w14:paraId="24FC86C2" w14:textId="77777777" w:rsidTr="00EC4C7A">
        <w:tc>
          <w:tcPr>
            <w:tcW w:w="2444" w:type="dxa"/>
          </w:tcPr>
          <w:p w14:paraId="06513D78" w14:textId="77777777" w:rsidR="009807E3" w:rsidRDefault="009807E3" w:rsidP="00EC4C7A">
            <w:pPr>
              <w:rPr>
                <w:rFonts w:ascii="Arial" w:hAnsi="Arial" w:cs="Arial"/>
                <w:b/>
                <w:sz w:val="20"/>
                <w:szCs w:val="20"/>
                <w:lang w:val="en-US"/>
              </w:rPr>
            </w:pPr>
            <w:r>
              <w:rPr>
                <w:rFonts w:ascii="Arial" w:hAnsi="Arial" w:cs="Arial"/>
                <w:b/>
                <w:sz w:val="20"/>
                <w:szCs w:val="20"/>
                <w:lang w:val="en-US"/>
              </w:rPr>
              <w:t>Production</w:t>
            </w:r>
          </w:p>
        </w:tc>
        <w:tc>
          <w:tcPr>
            <w:tcW w:w="2444" w:type="dxa"/>
          </w:tcPr>
          <w:p w14:paraId="75AFDF09" w14:textId="77777777" w:rsidR="009807E3" w:rsidRPr="009B5D15" w:rsidRDefault="009807E3" w:rsidP="00EC4C7A">
            <w:pPr>
              <w:rPr>
                <w:rFonts w:ascii="Arial" w:hAnsi="Arial" w:cs="Arial"/>
                <w:sz w:val="20"/>
                <w:szCs w:val="20"/>
                <w:lang w:val="en-US"/>
              </w:rPr>
            </w:pPr>
            <w:r w:rsidRPr="009B5D15">
              <w:rPr>
                <w:rFonts w:ascii="Arial" w:hAnsi="Arial" w:cs="Arial"/>
                <w:sz w:val="20"/>
                <w:szCs w:val="20"/>
                <w:lang w:val="en-US"/>
              </w:rPr>
              <w:t>175</w:t>
            </w:r>
          </w:p>
        </w:tc>
        <w:tc>
          <w:tcPr>
            <w:tcW w:w="2445" w:type="dxa"/>
          </w:tcPr>
          <w:p w14:paraId="770C502E"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179</w:t>
            </w:r>
          </w:p>
        </w:tc>
        <w:tc>
          <w:tcPr>
            <w:tcW w:w="2445" w:type="dxa"/>
          </w:tcPr>
          <w:p w14:paraId="2E6CF4EA"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134</w:t>
            </w:r>
          </w:p>
        </w:tc>
      </w:tr>
      <w:tr w:rsidR="009807E3" w14:paraId="396D5601" w14:textId="77777777" w:rsidTr="00EC4C7A">
        <w:tc>
          <w:tcPr>
            <w:tcW w:w="2444" w:type="dxa"/>
          </w:tcPr>
          <w:p w14:paraId="06CA7A7A" w14:textId="77777777" w:rsidR="009807E3" w:rsidRDefault="009807E3" w:rsidP="00EC4C7A">
            <w:pPr>
              <w:rPr>
                <w:rFonts w:ascii="Arial" w:hAnsi="Arial" w:cs="Arial"/>
                <w:b/>
                <w:sz w:val="20"/>
                <w:szCs w:val="20"/>
                <w:lang w:val="en-US"/>
              </w:rPr>
            </w:pPr>
            <w:r>
              <w:rPr>
                <w:rFonts w:ascii="Arial" w:hAnsi="Arial" w:cs="Arial"/>
                <w:b/>
                <w:sz w:val="20"/>
                <w:szCs w:val="20"/>
                <w:lang w:val="en-US"/>
              </w:rPr>
              <w:t>Cross Match</w:t>
            </w:r>
          </w:p>
        </w:tc>
        <w:tc>
          <w:tcPr>
            <w:tcW w:w="2444" w:type="dxa"/>
          </w:tcPr>
          <w:p w14:paraId="20C93E10"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35</w:t>
            </w:r>
          </w:p>
        </w:tc>
        <w:tc>
          <w:tcPr>
            <w:tcW w:w="2445" w:type="dxa"/>
          </w:tcPr>
          <w:p w14:paraId="635EB7F0"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35</w:t>
            </w:r>
          </w:p>
        </w:tc>
        <w:tc>
          <w:tcPr>
            <w:tcW w:w="2445" w:type="dxa"/>
          </w:tcPr>
          <w:p w14:paraId="43C36102"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35</w:t>
            </w:r>
          </w:p>
        </w:tc>
      </w:tr>
      <w:tr w:rsidR="009807E3" w14:paraId="2A005054" w14:textId="77777777" w:rsidTr="00EC4C7A">
        <w:tc>
          <w:tcPr>
            <w:tcW w:w="2444" w:type="dxa"/>
          </w:tcPr>
          <w:p w14:paraId="32893AC2" w14:textId="77777777" w:rsidR="009807E3" w:rsidRDefault="009807E3" w:rsidP="00EC4C7A">
            <w:pPr>
              <w:rPr>
                <w:rFonts w:ascii="Arial" w:hAnsi="Arial" w:cs="Arial"/>
                <w:b/>
                <w:sz w:val="20"/>
                <w:szCs w:val="20"/>
                <w:lang w:val="en-US"/>
              </w:rPr>
            </w:pPr>
            <w:r>
              <w:rPr>
                <w:rFonts w:ascii="Arial" w:hAnsi="Arial" w:cs="Arial"/>
                <w:b/>
                <w:sz w:val="20"/>
                <w:szCs w:val="20"/>
                <w:lang w:val="en-US"/>
              </w:rPr>
              <w:t xml:space="preserve">Total </w:t>
            </w:r>
          </w:p>
        </w:tc>
        <w:tc>
          <w:tcPr>
            <w:tcW w:w="2444" w:type="dxa"/>
          </w:tcPr>
          <w:p w14:paraId="559FE883"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210</w:t>
            </w:r>
          </w:p>
        </w:tc>
        <w:tc>
          <w:tcPr>
            <w:tcW w:w="2445" w:type="dxa"/>
          </w:tcPr>
          <w:p w14:paraId="72A7C0BB"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214</w:t>
            </w:r>
          </w:p>
        </w:tc>
        <w:tc>
          <w:tcPr>
            <w:tcW w:w="2445" w:type="dxa"/>
          </w:tcPr>
          <w:p w14:paraId="2899A94A"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169</w:t>
            </w:r>
          </w:p>
        </w:tc>
      </w:tr>
      <w:tr w:rsidR="009807E3" w14:paraId="1D9AA801" w14:textId="77777777" w:rsidTr="00EC4C7A">
        <w:tc>
          <w:tcPr>
            <w:tcW w:w="9778" w:type="dxa"/>
            <w:gridSpan w:val="4"/>
            <w:shd w:val="clear" w:color="auto" w:fill="DDD9C3" w:themeFill="background2" w:themeFillShade="E6"/>
          </w:tcPr>
          <w:p w14:paraId="69167530" w14:textId="77777777" w:rsidR="009807E3" w:rsidRPr="00472311" w:rsidRDefault="009807E3" w:rsidP="00EC4C7A">
            <w:pPr>
              <w:jc w:val="center"/>
              <w:rPr>
                <w:rFonts w:ascii="Arial" w:hAnsi="Arial" w:cs="Arial"/>
                <w:b/>
                <w:sz w:val="20"/>
                <w:szCs w:val="20"/>
                <w:lang w:val="en-US"/>
              </w:rPr>
            </w:pPr>
            <w:r>
              <w:rPr>
                <w:rFonts w:ascii="Arial" w:hAnsi="Arial" w:cs="Arial"/>
                <w:b/>
                <w:sz w:val="20"/>
                <w:szCs w:val="20"/>
                <w:lang w:val="en-US"/>
              </w:rPr>
              <w:t>One day in OH</w:t>
            </w:r>
          </w:p>
        </w:tc>
      </w:tr>
      <w:tr w:rsidR="009807E3" w14:paraId="4782AA1E" w14:textId="77777777" w:rsidTr="00EC4C7A">
        <w:tc>
          <w:tcPr>
            <w:tcW w:w="2444" w:type="dxa"/>
          </w:tcPr>
          <w:p w14:paraId="512BE19D" w14:textId="77777777" w:rsidR="009807E3" w:rsidRDefault="009807E3" w:rsidP="00EC4C7A">
            <w:pPr>
              <w:rPr>
                <w:rFonts w:ascii="Arial" w:hAnsi="Arial" w:cs="Arial"/>
                <w:b/>
                <w:sz w:val="20"/>
                <w:szCs w:val="20"/>
                <w:lang w:val="en-US"/>
              </w:rPr>
            </w:pPr>
            <w:r>
              <w:rPr>
                <w:rFonts w:ascii="Arial" w:hAnsi="Arial" w:cs="Arial"/>
                <w:b/>
                <w:sz w:val="20"/>
                <w:szCs w:val="20"/>
                <w:lang w:val="en-US"/>
              </w:rPr>
              <w:t xml:space="preserve">Cost </w:t>
            </w:r>
          </w:p>
        </w:tc>
        <w:tc>
          <w:tcPr>
            <w:tcW w:w="2444" w:type="dxa"/>
          </w:tcPr>
          <w:p w14:paraId="1B7B272B"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869</w:t>
            </w:r>
          </w:p>
        </w:tc>
        <w:tc>
          <w:tcPr>
            <w:tcW w:w="2445" w:type="dxa"/>
          </w:tcPr>
          <w:p w14:paraId="5E9A5C02"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869</w:t>
            </w:r>
          </w:p>
        </w:tc>
        <w:tc>
          <w:tcPr>
            <w:tcW w:w="2445" w:type="dxa"/>
          </w:tcPr>
          <w:p w14:paraId="62C8AC30"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869</w:t>
            </w:r>
          </w:p>
        </w:tc>
      </w:tr>
      <w:tr w:rsidR="009807E3" w14:paraId="441C90E2" w14:textId="77777777" w:rsidTr="00EC4C7A">
        <w:tc>
          <w:tcPr>
            <w:tcW w:w="2444" w:type="dxa"/>
          </w:tcPr>
          <w:p w14:paraId="7AC52453" w14:textId="77777777" w:rsidR="009807E3" w:rsidRDefault="009807E3" w:rsidP="00EC4C7A">
            <w:pPr>
              <w:rPr>
                <w:rFonts w:ascii="Arial" w:hAnsi="Arial" w:cs="Arial"/>
                <w:b/>
                <w:sz w:val="20"/>
                <w:szCs w:val="20"/>
                <w:lang w:val="en-US"/>
              </w:rPr>
            </w:pPr>
            <w:r>
              <w:rPr>
                <w:rFonts w:ascii="Arial" w:hAnsi="Arial" w:cs="Arial"/>
                <w:b/>
                <w:sz w:val="20"/>
                <w:szCs w:val="20"/>
                <w:lang w:val="en-US"/>
              </w:rPr>
              <w:t>Total</w:t>
            </w:r>
          </w:p>
        </w:tc>
        <w:tc>
          <w:tcPr>
            <w:tcW w:w="2444" w:type="dxa"/>
          </w:tcPr>
          <w:p w14:paraId="780F85C6"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1079</w:t>
            </w:r>
          </w:p>
        </w:tc>
        <w:tc>
          <w:tcPr>
            <w:tcW w:w="2445" w:type="dxa"/>
          </w:tcPr>
          <w:p w14:paraId="068C066D"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1083</w:t>
            </w:r>
          </w:p>
        </w:tc>
        <w:tc>
          <w:tcPr>
            <w:tcW w:w="2445" w:type="dxa"/>
          </w:tcPr>
          <w:p w14:paraId="44DF4310"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1038</w:t>
            </w:r>
          </w:p>
        </w:tc>
      </w:tr>
      <w:tr w:rsidR="009807E3" w14:paraId="7035F1D0" w14:textId="77777777" w:rsidTr="00EC4C7A">
        <w:tc>
          <w:tcPr>
            <w:tcW w:w="2444" w:type="dxa"/>
          </w:tcPr>
          <w:p w14:paraId="16EF004D" w14:textId="77777777" w:rsidR="009807E3" w:rsidRDefault="009807E3" w:rsidP="00EC4C7A">
            <w:pPr>
              <w:rPr>
                <w:rFonts w:ascii="Arial" w:hAnsi="Arial" w:cs="Arial"/>
                <w:b/>
                <w:sz w:val="20"/>
                <w:szCs w:val="20"/>
                <w:lang w:val="en-US"/>
              </w:rPr>
            </w:pPr>
            <w:r>
              <w:rPr>
                <w:rFonts w:ascii="Arial" w:hAnsi="Arial" w:cs="Arial"/>
                <w:b/>
                <w:sz w:val="20"/>
                <w:szCs w:val="20"/>
                <w:lang w:val="en-US"/>
              </w:rPr>
              <w:t>Ratio</w:t>
            </w:r>
          </w:p>
        </w:tc>
        <w:tc>
          <w:tcPr>
            <w:tcW w:w="2444" w:type="dxa"/>
          </w:tcPr>
          <w:p w14:paraId="69EB4769"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5.1</w:t>
            </w:r>
          </w:p>
        </w:tc>
        <w:tc>
          <w:tcPr>
            <w:tcW w:w="2445" w:type="dxa"/>
          </w:tcPr>
          <w:p w14:paraId="021F8541"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5.1</w:t>
            </w:r>
          </w:p>
        </w:tc>
        <w:tc>
          <w:tcPr>
            <w:tcW w:w="2445" w:type="dxa"/>
          </w:tcPr>
          <w:p w14:paraId="0E47B6A1"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6.1</w:t>
            </w:r>
          </w:p>
        </w:tc>
      </w:tr>
      <w:tr w:rsidR="009807E3" w14:paraId="45018766" w14:textId="77777777" w:rsidTr="00EC4C7A">
        <w:tc>
          <w:tcPr>
            <w:tcW w:w="9778" w:type="dxa"/>
            <w:gridSpan w:val="4"/>
            <w:shd w:val="clear" w:color="auto" w:fill="DDD9C3" w:themeFill="background2" w:themeFillShade="E6"/>
          </w:tcPr>
          <w:p w14:paraId="608AB9AA" w14:textId="77777777" w:rsidR="009807E3" w:rsidRPr="00472311" w:rsidRDefault="009807E3" w:rsidP="00EC4C7A">
            <w:pPr>
              <w:jc w:val="center"/>
              <w:rPr>
                <w:rFonts w:ascii="Arial" w:hAnsi="Arial" w:cs="Arial"/>
                <w:b/>
                <w:sz w:val="20"/>
                <w:szCs w:val="20"/>
                <w:lang w:val="en-US"/>
              </w:rPr>
            </w:pPr>
            <w:r>
              <w:rPr>
                <w:rFonts w:ascii="Arial" w:hAnsi="Arial" w:cs="Arial"/>
                <w:b/>
                <w:sz w:val="20"/>
                <w:szCs w:val="20"/>
                <w:lang w:val="en-US"/>
              </w:rPr>
              <w:t>One day in DH</w:t>
            </w:r>
          </w:p>
        </w:tc>
      </w:tr>
      <w:tr w:rsidR="009807E3" w14:paraId="0AB1983A" w14:textId="77777777" w:rsidTr="00EC4C7A">
        <w:tc>
          <w:tcPr>
            <w:tcW w:w="2444" w:type="dxa"/>
          </w:tcPr>
          <w:p w14:paraId="66B42952" w14:textId="77777777" w:rsidR="009807E3" w:rsidRDefault="009807E3" w:rsidP="00EC4C7A">
            <w:pPr>
              <w:rPr>
                <w:rFonts w:ascii="Arial" w:hAnsi="Arial" w:cs="Arial"/>
                <w:b/>
                <w:sz w:val="20"/>
                <w:szCs w:val="20"/>
                <w:lang w:val="en-US"/>
              </w:rPr>
            </w:pPr>
            <w:r>
              <w:rPr>
                <w:rFonts w:ascii="Arial" w:hAnsi="Arial" w:cs="Arial"/>
                <w:b/>
                <w:sz w:val="20"/>
                <w:szCs w:val="20"/>
                <w:lang w:val="en-US"/>
              </w:rPr>
              <w:t xml:space="preserve">Cost </w:t>
            </w:r>
          </w:p>
        </w:tc>
        <w:tc>
          <w:tcPr>
            <w:tcW w:w="2444" w:type="dxa"/>
          </w:tcPr>
          <w:p w14:paraId="28A223C1"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435</w:t>
            </w:r>
          </w:p>
        </w:tc>
        <w:tc>
          <w:tcPr>
            <w:tcW w:w="2445" w:type="dxa"/>
          </w:tcPr>
          <w:p w14:paraId="6F426B57"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435</w:t>
            </w:r>
          </w:p>
        </w:tc>
        <w:tc>
          <w:tcPr>
            <w:tcW w:w="2445" w:type="dxa"/>
          </w:tcPr>
          <w:p w14:paraId="621CECB4"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435</w:t>
            </w:r>
          </w:p>
        </w:tc>
      </w:tr>
      <w:tr w:rsidR="009807E3" w14:paraId="6DF63F65" w14:textId="77777777" w:rsidTr="00EC4C7A">
        <w:tc>
          <w:tcPr>
            <w:tcW w:w="2444" w:type="dxa"/>
          </w:tcPr>
          <w:p w14:paraId="5A298C96" w14:textId="77777777" w:rsidR="009807E3" w:rsidRDefault="009807E3" w:rsidP="00EC4C7A">
            <w:pPr>
              <w:rPr>
                <w:rFonts w:ascii="Arial" w:hAnsi="Arial" w:cs="Arial"/>
                <w:b/>
                <w:sz w:val="20"/>
                <w:szCs w:val="20"/>
                <w:lang w:val="en-US"/>
              </w:rPr>
            </w:pPr>
            <w:r>
              <w:rPr>
                <w:rFonts w:ascii="Arial" w:hAnsi="Arial" w:cs="Arial"/>
                <w:b/>
                <w:sz w:val="20"/>
                <w:szCs w:val="20"/>
                <w:lang w:val="en-US"/>
              </w:rPr>
              <w:t>Total</w:t>
            </w:r>
          </w:p>
        </w:tc>
        <w:tc>
          <w:tcPr>
            <w:tcW w:w="2444" w:type="dxa"/>
          </w:tcPr>
          <w:p w14:paraId="07033415"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645</w:t>
            </w:r>
          </w:p>
        </w:tc>
        <w:tc>
          <w:tcPr>
            <w:tcW w:w="2445" w:type="dxa"/>
          </w:tcPr>
          <w:p w14:paraId="20F1B816"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649</w:t>
            </w:r>
          </w:p>
        </w:tc>
        <w:tc>
          <w:tcPr>
            <w:tcW w:w="2445" w:type="dxa"/>
          </w:tcPr>
          <w:p w14:paraId="742FEF24"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604</w:t>
            </w:r>
          </w:p>
        </w:tc>
      </w:tr>
      <w:tr w:rsidR="009807E3" w14:paraId="7313C2B6" w14:textId="77777777" w:rsidTr="00EC4C7A">
        <w:tc>
          <w:tcPr>
            <w:tcW w:w="2444" w:type="dxa"/>
          </w:tcPr>
          <w:p w14:paraId="1AEB07B2" w14:textId="77777777" w:rsidR="009807E3" w:rsidRDefault="009807E3" w:rsidP="00EC4C7A">
            <w:pPr>
              <w:rPr>
                <w:rFonts w:ascii="Arial" w:hAnsi="Arial" w:cs="Arial"/>
                <w:b/>
                <w:sz w:val="20"/>
                <w:szCs w:val="20"/>
                <w:lang w:val="en-US"/>
              </w:rPr>
            </w:pPr>
            <w:r>
              <w:rPr>
                <w:rFonts w:ascii="Arial" w:hAnsi="Arial" w:cs="Arial"/>
                <w:b/>
                <w:sz w:val="20"/>
                <w:szCs w:val="20"/>
                <w:lang w:val="en-US"/>
              </w:rPr>
              <w:t>Ratio</w:t>
            </w:r>
          </w:p>
        </w:tc>
        <w:tc>
          <w:tcPr>
            <w:tcW w:w="2444" w:type="dxa"/>
          </w:tcPr>
          <w:p w14:paraId="4592F0D6"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3.1</w:t>
            </w:r>
          </w:p>
        </w:tc>
        <w:tc>
          <w:tcPr>
            <w:tcW w:w="2445" w:type="dxa"/>
          </w:tcPr>
          <w:p w14:paraId="312E0BEC"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3.0</w:t>
            </w:r>
          </w:p>
        </w:tc>
        <w:tc>
          <w:tcPr>
            <w:tcW w:w="2445" w:type="dxa"/>
          </w:tcPr>
          <w:p w14:paraId="4E8C2FD4"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3.6</w:t>
            </w:r>
          </w:p>
        </w:tc>
      </w:tr>
      <w:tr w:rsidR="009807E3" w14:paraId="1FE1F24D" w14:textId="77777777" w:rsidTr="00EC4C7A">
        <w:tc>
          <w:tcPr>
            <w:tcW w:w="9778" w:type="dxa"/>
            <w:gridSpan w:val="4"/>
            <w:shd w:val="clear" w:color="auto" w:fill="DDD9C3" w:themeFill="background2" w:themeFillShade="E6"/>
          </w:tcPr>
          <w:p w14:paraId="5821B322" w14:textId="77777777" w:rsidR="009807E3" w:rsidRPr="00472311" w:rsidRDefault="009807E3" w:rsidP="00EC4C7A">
            <w:pPr>
              <w:jc w:val="center"/>
              <w:rPr>
                <w:rFonts w:ascii="Arial" w:hAnsi="Arial" w:cs="Arial"/>
                <w:b/>
                <w:sz w:val="20"/>
                <w:szCs w:val="20"/>
                <w:lang w:val="en-US"/>
              </w:rPr>
            </w:pPr>
            <w:r>
              <w:rPr>
                <w:rFonts w:ascii="Arial" w:hAnsi="Arial" w:cs="Arial"/>
                <w:b/>
                <w:sz w:val="20"/>
                <w:szCs w:val="20"/>
                <w:lang w:val="en-US"/>
              </w:rPr>
              <w:t>One access in ER</w:t>
            </w:r>
          </w:p>
        </w:tc>
      </w:tr>
      <w:tr w:rsidR="009807E3" w14:paraId="201D97FB" w14:textId="77777777" w:rsidTr="00EC4C7A">
        <w:tc>
          <w:tcPr>
            <w:tcW w:w="2444" w:type="dxa"/>
          </w:tcPr>
          <w:p w14:paraId="3A192A5F" w14:textId="77777777" w:rsidR="009807E3" w:rsidRDefault="009807E3" w:rsidP="00EC4C7A">
            <w:pPr>
              <w:rPr>
                <w:rFonts w:ascii="Arial" w:hAnsi="Arial" w:cs="Arial"/>
                <w:b/>
                <w:sz w:val="20"/>
                <w:szCs w:val="20"/>
                <w:lang w:val="en-US"/>
              </w:rPr>
            </w:pPr>
            <w:r>
              <w:rPr>
                <w:rFonts w:ascii="Arial" w:hAnsi="Arial" w:cs="Arial"/>
                <w:b/>
                <w:sz w:val="20"/>
                <w:szCs w:val="20"/>
                <w:lang w:val="en-US"/>
              </w:rPr>
              <w:t xml:space="preserve">Cost </w:t>
            </w:r>
          </w:p>
        </w:tc>
        <w:tc>
          <w:tcPr>
            <w:tcW w:w="2444" w:type="dxa"/>
          </w:tcPr>
          <w:p w14:paraId="727B5367"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208</w:t>
            </w:r>
          </w:p>
        </w:tc>
        <w:tc>
          <w:tcPr>
            <w:tcW w:w="2445" w:type="dxa"/>
          </w:tcPr>
          <w:p w14:paraId="003B8EE8"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208</w:t>
            </w:r>
          </w:p>
        </w:tc>
        <w:tc>
          <w:tcPr>
            <w:tcW w:w="2445" w:type="dxa"/>
          </w:tcPr>
          <w:p w14:paraId="07E610C2"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208</w:t>
            </w:r>
          </w:p>
        </w:tc>
      </w:tr>
      <w:tr w:rsidR="009807E3" w14:paraId="3DB6FC52" w14:textId="77777777" w:rsidTr="00EC4C7A">
        <w:tc>
          <w:tcPr>
            <w:tcW w:w="2444" w:type="dxa"/>
          </w:tcPr>
          <w:p w14:paraId="2A5C2E33" w14:textId="77777777" w:rsidR="009807E3" w:rsidRDefault="009807E3" w:rsidP="00EC4C7A">
            <w:pPr>
              <w:rPr>
                <w:rFonts w:ascii="Arial" w:hAnsi="Arial" w:cs="Arial"/>
                <w:b/>
                <w:sz w:val="20"/>
                <w:szCs w:val="20"/>
                <w:lang w:val="en-US"/>
              </w:rPr>
            </w:pPr>
            <w:r>
              <w:rPr>
                <w:rFonts w:ascii="Arial" w:hAnsi="Arial" w:cs="Arial"/>
                <w:b/>
                <w:sz w:val="20"/>
                <w:szCs w:val="20"/>
                <w:lang w:val="en-US"/>
              </w:rPr>
              <w:t>Total</w:t>
            </w:r>
          </w:p>
        </w:tc>
        <w:tc>
          <w:tcPr>
            <w:tcW w:w="2444" w:type="dxa"/>
          </w:tcPr>
          <w:p w14:paraId="2D6523B2"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418</w:t>
            </w:r>
          </w:p>
        </w:tc>
        <w:tc>
          <w:tcPr>
            <w:tcW w:w="2445" w:type="dxa"/>
          </w:tcPr>
          <w:p w14:paraId="1C173899"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422</w:t>
            </w:r>
          </w:p>
        </w:tc>
        <w:tc>
          <w:tcPr>
            <w:tcW w:w="2445" w:type="dxa"/>
          </w:tcPr>
          <w:p w14:paraId="41E30802"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377</w:t>
            </w:r>
          </w:p>
        </w:tc>
      </w:tr>
      <w:tr w:rsidR="009807E3" w14:paraId="457FDDD7" w14:textId="77777777" w:rsidTr="00EC4C7A">
        <w:tc>
          <w:tcPr>
            <w:tcW w:w="2444" w:type="dxa"/>
          </w:tcPr>
          <w:p w14:paraId="2FFAB1CD" w14:textId="77777777" w:rsidR="009807E3" w:rsidRDefault="009807E3" w:rsidP="00EC4C7A">
            <w:pPr>
              <w:rPr>
                <w:rFonts w:ascii="Arial" w:hAnsi="Arial" w:cs="Arial"/>
                <w:b/>
                <w:sz w:val="20"/>
                <w:szCs w:val="20"/>
                <w:lang w:val="en-US"/>
              </w:rPr>
            </w:pPr>
            <w:r>
              <w:rPr>
                <w:rFonts w:ascii="Arial" w:hAnsi="Arial" w:cs="Arial"/>
                <w:b/>
                <w:sz w:val="20"/>
                <w:szCs w:val="20"/>
                <w:lang w:val="en-US"/>
              </w:rPr>
              <w:t>Ratio</w:t>
            </w:r>
          </w:p>
        </w:tc>
        <w:tc>
          <w:tcPr>
            <w:tcW w:w="2444" w:type="dxa"/>
          </w:tcPr>
          <w:p w14:paraId="3F83E169"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1.9</w:t>
            </w:r>
          </w:p>
        </w:tc>
        <w:tc>
          <w:tcPr>
            <w:tcW w:w="2445" w:type="dxa"/>
          </w:tcPr>
          <w:p w14:paraId="416B4E1D"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2.0</w:t>
            </w:r>
          </w:p>
        </w:tc>
        <w:tc>
          <w:tcPr>
            <w:tcW w:w="2445" w:type="dxa"/>
          </w:tcPr>
          <w:p w14:paraId="4CA087A0"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2.2</w:t>
            </w:r>
          </w:p>
        </w:tc>
      </w:tr>
      <w:tr w:rsidR="009807E3" w14:paraId="05FFC374" w14:textId="77777777" w:rsidTr="00EC4C7A">
        <w:tc>
          <w:tcPr>
            <w:tcW w:w="9778" w:type="dxa"/>
            <w:gridSpan w:val="4"/>
            <w:shd w:val="clear" w:color="auto" w:fill="DDD9C3" w:themeFill="background2" w:themeFillShade="E6"/>
          </w:tcPr>
          <w:p w14:paraId="556E5D57" w14:textId="77777777" w:rsidR="009807E3" w:rsidRPr="00472311" w:rsidRDefault="009807E3" w:rsidP="00EC4C7A">
            <w:pPr>
              <w:jc w:val="center"/>
              <w:rPr>
                <w:rFonts w:ascii="Arial" w:hAnsi="Arial" w:cs="Arial"/>
                <w:b/>
                <w:sz w:val="20"/>
                <w:szCs w:val="20"/>
                <w:lang w:val="en-US"/>
              </w:rPr>
            </w:pPr>
            <w:r w:rsidRPr="00472311">
              <w:rPr>
                <w:rFonts w:ascii="Arial" w:hAnsi="Arial" w:cs="Arial"/>
                <w:b/>
                <w:sz w:val="20"/>
                <w:szCs w:val="20"/>
                <w:lang w:val="en-US"/>
              </w:rPr>
              <w:t>O</w:t>
            </w:r>
            <w:r>
              <w:rPr>
                <w:rFonts w:ascii="Arial" w:hAnsi="Arial" w:cs="Arial"/>
                <w:b/>
                <w:sz w:val="20"/>
                <w:szCs w:val="20"/>
                <w:lang w:val="en-US"/>
              </w:rPr>
              <w:t>ne access in OC</w:t>
            </w:r>
          </w:p>
        </w:tc>
      </w:tr>
      <w:tr w:rsidR="009807E3" w14:paraId="27D36EB2" w14:textId="77777777" w:rsidTr="00EC4C7A">
        <w:tc>
          <w:tcPr>
            <w:tcW w:w="2444" w:type="dxa"/>
          </w:tcPr>
          <w:p w14:paraId="3FF9DB62" w14:textId="77777777" w:rsidR="009807E3" w:rsidRDefault="009807E3" w:rsidP="00EC4C7A">
            <w:pPr>
              <w:rPr>
                <w:rFonts w:ascii="Arial" w:hAnsi="Arial" w:cs="Arial"/>
                <w:b/>
                <w:sz w:val="20"/>
                <w:szCs w:val="20"/>
                <w:lang w:val="en-US"/>
              </w:rPr>
            </w:pPr>
            <w:r>
              <w:rPr>
                <w:rFonts w:ascii="Arial" w:hAnsi="Arial" w:cs="Arial"/>
                <w:b/>
                <w:sz w:val="20"/>
                <w:szCs w:val="20"/>
                <w:lang w:val="en-US"/>
              </w:rPr>
              <w:t xml:space="preserve">Cost </w:t>
            </w:r>
          </w:p>
        </w:tc>
        <w:tc>
          <w:tcPr>
            <w:tcW w:w="2444" w:type="dxa"/>
          </w:tcPr>
          <w:p w14:paraId="6F6218D0"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107</w:t>
            </w:r>
          </w:p>
        </w:tc>
        <w:tc>
          <w:tcPr>
            <w:tcW w:w="2445" w:type="dxa"/>
          </w:tcPr>
          <w:p w14:paraId="215ED814"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107</w:t>
            </w:r>
          </w:p>
        </w:tc>
        <w:tc>
          <w:tcPr>
            <w:tcW w:w="2445" w:type="dxa"/>
          </w:tcPr>
          <w:p w14:paraId="4E943C20"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107</w:t>
            </w:r>
          </w:p>
        </w:tc>
      </w:tr>
      <w:tr w:rsidR="009807E3" w14:paraId="6289B8C8" w14:textId="77777777" w:rsidTr="00EC4C7A">
        <w:tc>
          <w:tcPr>
            <w:tcW w:w="2444" w:type="dxa"/>
          </w:tcPr>
          <w:p w14:paraId="754A58AF" w14:textId="77777777" w:rsidR="009807E3" w:rsidRDefault="009807E3" w:rsidP="00EC4C7A">
            <w:pPr>
              <w:rPr>
                <w:rFonts w:ascii="Arial" w:hAnsi="Arial" w:cs="Arial"/>
                <w:b/>
                <w:sz w:val="20"/>
                <w:szCs w:val="20"/>
                <w:lang w:val="en-US"/>
              </w:rPr>
            </w:pPr>
            <w:r>
              <w:rPr>
                <w:rFonts w:ascii="Arial" w:hAnsi="Arial" w:cs="Arial"/>
                <w:b/>
                <w:sz w:val="20"/>
                <w:szCs w:val="20"/>
                <w:lang w:val="en-US"/>
              </w:rPr>
              <w:t>Total</w:t>
            </w:r>
          </w:p>
        </w:tc>
        <w:tc>
          <w:tcPr>
            <w:tcW w:w="2444" w:type="dxa"/>
          </w:tcPr>
          <w:p w14:paraId="4039305A"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317</w:t>
            </w:r>
          </w:p>
        </w:tc>
        <w:tc>
          <w:tcPr>
            <w:tcW w:w="2445" w:type="dxa"/>
          </w:tcPr>
          <w:p w14:paraId="6D00D36B"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321</w:t>
            </w:r>
          </w:p>
        </w:tc>
        <w:tc>
          <w:tcPr>
            <w:tcW w:w="2445" w:type="dxa"/>
          </w:tcPr>
          <w:p w14:paraId="53BBB132"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276</w:t>
            </w:r>
          </w:p>
        </w:tc>
      </w:tr>
      <w:tr w:rsidR="009807E3" w14:paraId="3D19723B" w14:textId="77777777" w:rsidTr="00EC4C7A">
        <w:tc>
          <w:tcPr>
            <w:tcW w:w="2444" w:type="dxa"/>
          </w:tcPr>
          <w:p w14:paraId="5882C6E4" w14:textId="77777777" w:rsidR="009807E3" w:rsidRDefault="009807E3" w:rsidP="00EC4C7A">
            <w:pPr>
              <w:rPr>
                <w:rFonts w:ascii="Arial" w:hAnsi="Arial" w:cs="Arial"/>
                <w:b/>
                <w:sz w:val="20"/>
                <w:szCs w:val="20"/>
                <w:lang w:val="en-US"/>
              </w:rPr>
            </w:pPr>
            <w:r>
              <w:rPr>
                <w:rFonts w:ascii="Arial" w:hAnsi="Arial" w:cs="Arial"/>
                <w:b/>
                <w:sz w:val="20"/>
                <w:szCs w:val="20"/>
                <w:lang w:val="en-US"/>
              </w:rPr>
              <w:t>Ratio</w:t>
            </w:r>
          </w:p>
        </w:tc>
        <w:tc>
          <w:tcPr>
            <w:tcW w:w="2444" w:type="dxa"/>
          </w:tcPr>
          <w:p w14:paraId="2C150ACC"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1.5</w:t>
            </w:r>
          </w:p>
        </w:tc>
        <w:tc>
          <w:tcPr>
            <w:tcW w:w="2445" w:type="dxa"/>
          </w:tcPr>
          <w:p w14:paraId="3E4BF227"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1.5</w:t>
            </w:r>
          </w:p>
        </w:tc>
        <w:tc>
          <w:tcPr>
            <w:tcW w:w="2445" w:type="dxa"/>
          </w:tcPr>
          <w:p w14:paraId="029584EF" w14:textId="77777777" w:rsidR="009807E3" w:rsidRPr="009B5D15" w:rsidRDefault="009807E3" w:rsidP="00EC4C7A">
            <w:pPr>
              <w:rPr>
                <w:rFonts w:ascii="Arial" w:hAnsi="Arial" w:cs="Arial"/>
                <w:sz w:val="20"/>
                <w:szCs w:val="20"/>
                <w:lang w:val="en-US"/>
              </w:rPr>
            </w:pPr>
            <w:r>
              <w:rPr>
                <w:rFonts w:ascii="Arial" w:hAnsi="Arial" w:cs="Arial"/>
                <w:sz w:val="20"/>
                <w:szCs w:val="20"/>
                <w:lang w:val="en-US"/>
              </w:rPr>
              <w:t>1.6</w:t>
            </w:r>
          </w:p>
        </w:tc>
      </w:tr>
    </w:tbl>
    <w:p w14:paraId="14401E20" w14:textId="77777777" w:rsidR="009807E3" w:rsidRDefault="009807E3" w:rsidP="009807E3">
      <w:pPr>
        <w:rPr>
          <w:rFonts w:ascii="Arial" w:hAnsi="Arial" w:cs="Arial"/>
          <w:b/>
          <w:sz w:val="20"/>
          <w:szCs w:val="20"/>
          <w:lang w:val="en-US"/>
        </w:rPr>
      </w:pPr>
    </w:p>
    <w:p w14:paraId="7AD07030" w14:textId="77777777" w:rsidR="009807E3" w:rsidRDefault="009807E3" w:rsidP="009807E3">
      <w:pPr>
        <w:rPr>
          <w:rFonts w:ascii="Arial" w:hAnsi="Arial" w:cs="Arial"/>
          <w:b/>
          <w:sz w:val="20"/>
          <w:szCs w:val="20"/>
          <w:lang w:val="en-US"/>
        </w:rPr>
      </w:pPr>
    </w:p>
    <w:p w14:paraId="296CD4FB" w14:textId="77777777" w:rsidR="009807E3" w:rsidRPr="00657AAA" w:rsidRDefault="009807E3" w:rsidP="009807E3">
      <w:pPr>
        <w:spacing w:after="0"/>
        <w:jc w:val="both"/>
        <w:rPr>
          <w:rFonts w:ascii="Arial" w:hAnsi="Arial" w:cs="Arial"/>
          <w:sz w:val="20"/>
          <w:szCs w:val="20"/>
          <w:lang w:val="en-US"/>
        </w:rPr>
      </w:pPr>
      <w:r>
        <w:rPr>
          <w:rFonts w:ascii="Arial" w:hAnsi="Arial" w:cs="Arial"/>
          <w:sz w:val="20"/>
          <w:szCs w:val="20"/>
          <w:lang w:val="en-US"/>
        </w:rPr>
        <w:t xml:space="preserve">RBC = Packed Red Blood Cells, PC = Platelets Concentrate, FFP = Fresh Frozen Plasma. OH = one day in Ordinary Hospital, DH = one day in Day </w:t>
      </w:r>
      <w:proofErr w:type="gramStart"/>
      <w:r>
        <w:rPr>
          <w:rFonts w:ascii="Arial" w:hAnsi="Arial" w:cs="Arial"/>
          <w:sz w:val="20"/>
          <w:szCs w:val="20"/>
          <w:lang w:val="en-US"/>
        </w:rPr>
        <w:t>Hospital,  ER</w:t>
      </w:r>
      <w:proofErr w:type="gramEnd"/>
      <w:r>
        <w:rPr>
          <w:rFonts w:ascii="Arial" w:hAnsi="Arial" w:cs="Arial"/>
          <w:sz w:val="20"/>
          <w:szCs w:val="20"/>
          <w:lang w:val="en-US"/>
        </w:rPr>
        <w:t xml:space="preserve"> one access in Emergency Rooms, OC = one access in an Outpatients Clinics. Costs were reported in Euros</w:t>
      </w:r>
    </w:p>
    <w:p w14:paraId="4F335841" w14:textId="77777777" w:rsidR="009807E3" w:rsidRDefault="009807E3" w:rsidP="009807E3">
      <w:pPr>
        <w:spacing w:after="0"/>
        <w:jc w:val="both"/>
        <w:rPr>
          <w:rFonts w:ascii="Arial" w:hAnsi="Arial" w:cs="Arial"/>
          <w:sz w:val="24"/>
          <w:szCs w:val="24"/>
          <w:lang w:val="en-US"/>
        </w:rPr>
      </w:pPr>
    </w:p>
    <w:p w14:paraId="5C650883" w14:textId="77777777" w:rsidR="009807E3" w:rsidRPr="003B1024" w:rsidRDefault="009807E3" w:rsidP="003B1024">
      <w:pPr>
        <w:rPr>
          <w:b/>
          <w:lang w:val="en-US"/>
        </w:rPr>
      </w:pPr>
    </w:p>
    <w:p w14:paraId="69356A3E" w14:textId="77777777" w:rsidR="003C4439"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The overall estimated cost of a single transfusion episode was:</w:t>
      </w:r>
      <w:r w:rsidR="00FE5322">
        <w:rPr>
          <w:rFonts w:ascii="Arial" w:hAnsi="Arial" w:cs="Arial"/>
          <w:lang w:val="en-US"/>
        </w:rPr>
        <w:t xml:space="preserve"> </w:t>
      </w:r>
      <w:r w:rsidRPr="003C4439">
        <w:rPr>
          <w:rStyle w:val="Strong"/>
          <w:rFonts w:ascii="Arial" w:hAnsi="Arial" w:cs="Arial"/>
          <w:b w:val="0"/>
          <w:lang w:val="en-US"/>
        </w:rPr>
        <w:t>Ordinary hospitalization setting:</w:t>
      </w:r>
      <w:r w:rsidR="00FE5322">
        <w:rPr>
          <w:rFonts w:ascii="Arial" w:hAnsi="Arial" w:cs="Arial"/>
          <w:lang w:val="en-US"/>
        </w:rPr>
        <w:t xml:space="preserve"> </w:t>
      </w:r>
      <w:r w:rsidRPr="00FE5322">
        <w:rPr>
          <w:rFonts w:ascii="Arial" w:hAnsi="Arial" w:cs="Arial"/>
          <w:lang w:val="en-US"/>
        </w:rPr>
        <w:t>€1,079 for one RBC unit</w:t>
      </w:r>
      <w:r w:rsidR="00FE5322">
        <w:rPr>
          <w:rFonts w:ascii="Arial" w:hAnsi="Arial" w:cs="Arial"/>
          <w:lang w:val="en-US"/>
        </w:rPr>
        <w:t xml:space="preserve">, </w:t>
      </w:r>
      <w:r w:rsidRPr="00FE5322">
        <w:rPr>
          <w:rFonts w:ascii="Arial" w:hAnsi="Arial" w:cs="Arial"/>
          <w:lang w:val="en-US"/>
        </w:rPr>
        <w:t>€1,083 for one platelet concentrate</w:t>
      </w:r>
      <w:r w:rsidR="00FE5322">
        <w:rPr>
          <w:rFonts w:ascii="Arial" w:hAnsi="Arial" w:cs="Arial"/>
          <w:lang w:val="en-US"/>
        </w:rPr>
        <w:t xml:space="preserve">, </w:t>
      </w:r>
      <w:r w:rsidRPr="00FE5322">
        <w:rPr>
          <w:rFonts w:ascii="Arial" w:hAnsi="Arial" w:cs="Arial"/>
          <w:lang w:val="en-US"/>
        </w:rPr>
        <w:t>€1,038 for one FFP unit</w:t>
      </w:r>
      <w:r w:rsidR="00FE5322">
        <w:rPr>
          <w:rFonts w:ascii="Arial" w:hAnsi="Arial" w:cs="Arial"/>
          <w:lang w:val="en-US"/>
        </w:rPr>
        <w:t xml:space="preserve">.  </w:t>
      </w:r>
      <w:r w:rsidRPr="003C4439">
        <w:rPr>
          <w:rStyle w:val="Strong"/>
          <w:rFonts w:ascii="Arial" w:hAnsi="Arial" w:cs="Arial"/>
          <w:b w:val="0"/>
          <w:lang w:val="en-US"/>
        </w:rPr>
        <w:t>Day hospital setting:</w:t>
      </w:r>
      <w:r w:rsidR="00FE5322">
        <w:rPr>
          <w:rFonts w:ascii="Arial" w:hAnsi="Arial" w:cs="Arial"/>
          <w:lang w:val="en-US"/>
        </w:rPr>
        <w:t xml:space="preserve"> </w:t>
      </w:r>
      <w:r w:rsidRPr="00FE5322">
        <w:rPr>
          <w:rFonts w:ascii="Arial" w:hAnsi="Arial" w:cs="Arial"/>
          <w:lang w:val="en-US"/>
        </w:rPr>
        <w:t>€645 for one RBC unit</w:t>
      </w:r>
      <w:r w:rsidR="00FE5322">
        <w:rPr>
          <w:rFonts w:ascii="Arial" w:hAnsi="Arial" w:cs="Arial"/>
          <w:lang w:val="en-US"/>
        </w:rPr>
        <w:t xml:space="preserve">, </w:t>
      </w:r>
      <w:r w:rsidRPr="00FE5322">
        <w:rPr>
          <w:rFonts w:ascii="Arial" w:hAnsi="Arial" w:cs="Arial"/>
          <w:lang w:val="en-US"/>
        </w:rPr>
        <w:t>€649 for one platelet concentrate</w:t>
      </w:r>
      <w:r w:rsidR="00FE5322">
        <w:rPr>
          <w:rFonts w:ascii="Arial" w:hAnsi="Arial" w:cs="Arial"/>
          <w:lang w:val="en-US"/>
        </w:rPr>
        <w:t xml:space="preserve">, </w:t>
      </w:r>
      <w:r w:rsidRPr="00FE5322">
        <w:rPr>
          <w:rFonts w:ascii="Arial" w:hAnsi="Arial" w:cs="Arial"/>
          <w:lang w:val="en-US"/>
        </w:rPr>
        <w:t>€604 for one FFP unit</w:t>
      </w:r>
      <w:r w:rsidR="00FE5322">
        <w:rPr>
          <w:rFonts w:ascii="Arial" w:hAnsi="Arial" w:cs="Arial"/>
          <w:lang w:val="en-US"/>
        </w:rPr>
        <w:t xml:space="preserve">. </w:t>
      </w:r>
      <w:r w:rsidRPr="003C4439">
        <w:rPr>
          <w:rStyle w:val="Strong"/>
          <w:rFonts w:ascii="Arial" w:hAnsi="Arial" w:cs="Arial"/>
          <w:b w:val="0"/>
          <w:lang w:val="en-US"/>
        </w:rPr>
        <w:t>Emergency department setting:</w:t>
      </w:r>
      <w:r w:rsidR="00FE5322">
        <w:rPr>
          <w:rFonts w:ascii="Arial" w:hAnsi="Arial" w:cs="Arial"/>
          <w:lang w:val="en-US"/>
        </w:rPr>
        <w:t xml:space="preserve"> </w:t>
      </w:r>
      <w:r w:rsidRPr="00FE5322">
        <w:rPr>
          <w:rFonts w:ascii="Arial" w:hAnsi="Arial" w:cs="Arial"/>
          <w:lang w:val="en-US"/>
        </w:rPr>
        <w:t>€418 for one RBC unit</w:t>
      </w:r>
      <w:r w:rsidR="00FE5322">
        <w:rPr>
          <w:rFonts w:ascii="Arial" w:hAnsi="Arial" w:cs="Arial"/>
          <w:lang w:val="en-US"/>
        </w:rPr>
        <w:t xml:space="preserve">, </w:t>
      </w:r>
      <w:r w:rsidRPr="00FE5322">
        <w:rPr>
          <w:rFonts w:ascii="Arial" w:hAnsi="Arial" w:cs="Arial"/>
          <w:lang w:val="en-US"/>
        </w:rPr>
        <w:t>€422 for one platelet concentrate</w:t>
      </w:r>
      <w:r w:rsidR="00FE5322">
        <w:rPr>
          <w:rFonts w:ascii="Arial" w:hAnsi="Arial" w:cs="Arial"/>
          <w:lang w:val="en-US"/>
        </w:rPr>
        <w:t xml:space="preserve">, </w:t>
      </w:r>
      <w:r w:rsidRPr="00FE5322">
        <w:rPr>
          <w:rFonts w:ascii="Arial" w:hAnsi="Arial" w:cs="Arial"/>
          <w:lang w:val="en-US"/>
        </w:rPr>
        <w:t>€377 for one FFP unit</w:t>
      </w:r>
      <w:r w:rsidR="00FE5322">
        <w:rPr>
          <w:rFonts w:ascii="Arial" w:hAnsi="Arial" w:cs="Arial"/>
          <w:lang w:val="en-US"/>
        </w:rPr>
        <w:t xml:space="preserve">. </w:t>
      </w:r>
      <w:r w:rsidRPr="003C4439">
        <w:rPr>
          <w:rStyle w:val="Strong"/>
          <w:rFonts w:ascii="Arial" w:hAnsi="Arial" w:cs="Arial"/>
          <w:b w:val="0"/>
          <w:lang w:val="en-US"/>
        </w:rPr>
        <w:t>Outpatient clinic setting:</w:t>
      </w:r>
      <w:r w:rsidR="00FE5322">
        <w:rPr>
          <w:rFonts w:ascii="Arial" w:hAnsi="Arial" w:cs="Arial"/>
          <w:lang w:val="en-US"/>
        </w:rPr>
        <w:t xml:space="preserve"> </w:t>
      </w:r>
      <w:r w:rsidRPr="00FE5322">
        <w:rPr>
          <w:rFonts w:ascii="Arial" w:hAnsi="Arial" w:cs="Arial"/>
          <w:lang w:val="en-US"/>
        </w:rPr>
        <w:t>€317 for one RBC unit</w:t>
      </w:r>
      <w:r w:rsidR="00FE5322">
        <w:rPr>
          <w:rFonts w:ascii="Arial" w:hAnsi="Arial" w:cs="Arial"/>
          <w:lang w:val="en-US"/>
        </w:rPr>
        <w:t xml:space="preserve">, </w:t>
      </w:r>
      <w:r w:rsidRPr="00FE5322">
        <w:rPr>
          <w:rFonts w:ascii="Arial" w:hAnsi="Arial" w:cs="Arial"/>
          <w:lang w:val="en-US"/>
        </w:rPr>
        <w:t>€321 for one platelet concentrate</w:t>
      </w:r>
      <w:r w:rsidR="00FE5322">
        <w:rPr>
          <w:rFonts w:ascii="Arial" w:hAnsi="Arial" w:cs="Arial"/>
          <w:lang w:val="en-US"/>
        </w:rPr>
        <w:t xml:space="preserve">, </w:t>
      </w:r>
      <w:r w:rsidRPr="00FE5322">
        <w:rPr>
          <w:rFonts w:ascii="Arial" w:hAnsi="Arial" w:cs="Arial"/>
          <w:lang w:val="en-US"/>
        </w:rPr>
        <w:t>€276 for one FFP unit</w:t>
      </w:r>
      <w:r w:rsidR="00FE5322">
        <w:rPr>
          <w:rFonts w:ascii="Arial" w:hAnsi="Arial" w:cs="Arial"/>
          <w:lang w:val="en-US"/>
        </w:rPr>
        <w:t xml:space="preserve">. </w:t>
      </w:r>
      <w:r w:rsidRPr="00CA2578">
        <w:rPr>
          <w:rFonts w:ascii="Arial" w:hAnsi="Arial" w:cs="Arial"/>
          <w:lang w:val="en-US"/>
        </w:rPr>
        <w:t>These results are illustrated in Figure 2.</w:t>
      </w:r>
    </w:p>
    <w:p w14:paraId="70846131" w14:textId="77777777" w:rsidR="009807E3" w:rsidRPr="00E168FC" w:rsidRDefault="009807E3" w:rsidP="009807E3">
      <w:pPr>
        <w:rPr>
          <w:rFonts w:ascii="Arial" w:hAnsi="Arial" w:cs="Arial"/>
          <w:b/>
          <w:sz w:val="20"/>
          <w:szCs w:val="20"/>
          <w:lang w:val="en-US"/>
        </w:rPr>
      </w:pPr>
      <w:r w:rsidRPr="00E168FC">
        <w:rPr>
          <w:rFonts w:ascii="Arial" w:hAnsi="Arial" w:cs="Arial"/>
          <w:b/>
          <w:sz w:val="20"/>
          <w:szCs w:val="20"/>
          <w:lang w:val="en-US"/>
        </w:rPr>
        <w:t xml:space="preserve">Figure 2: Comparison of total cost for a transfusion episode </w:t>
      </w:r>
      <w:proofErr w:type="gramStart"/>
      <w:r w:rsidRPr="00E168FC">
        <w:rPr>
          <w:rFonts w:ascii="Arial" w:hAnsi="Arial" w:cs="Arial"/>
          <w:b/>
          <w:sz w:val="20"/>
          <w:szCs w:val="20"/>
          <w:lang w:val="en-US"/>
        </w:rPr>
        <w:t xml:space="preserve">for </w:t>
      </w:r>
      <w:r>
        <w:rPr>
          <w:rFonts w:ascii="Arial" w:hAnsi="Arial" w:cs="Arial"/>
          <w:b/>
          <w:sz w:val="20"/>
          <w:szCs w:val="20"/>
          <w:lang w:val="en-US"/>
        </w:rPr>
        <w:t xml:space="preserve"> RBC</w:t>
      </w:r>
      <w:proofErr w:type="gramEnd"/>
      <w:r w:rsidRPr="00E168FC">
        <w:rPr>
          <w:rFonts w:ascii="Arial" w:hAnsi="Arial" w:cs="Arial"/>
          <w:b/>
          <w:sz w:val="20"/>
          <w:szCs w:val="20"/>
          <w:lang w:val="en-US"/>
        </w:rPr>
        <w:t>, CP and FFP in Hospital, Day Hospital, Emergency Rooms and Outpatients Clinics.</w:t>
      </w:r>
    </w:p>
    <w:p w14:paraId="21917BD4" w14:textId="77777777" w:rsidR="009807E3" w:rsidRDefault="009807E3" w:rsidP="009807E3">
      <w:pPr>
        <w:rPr>
          <w:rFonts w:ascii="Arial" w:hAnsi="Arial" w:cs="Arial"/>
          <w:b/>
          <w:sz w:val="24"/>
          <w:szCs w:val="24"/>
          <w:lang w:val="en-US"/>
        </w:rPr>
      </w:pPr>
    </w:p>
    <w:p w14:paraId="65484490" w14:textId="77777777" w:rsidR="009807E3" w:rsidRDefault="009807E3" w:rsidP="009807E3">
      <w:pPr>
        <w:rPr>
          <w:rFonts w:ascii="Arial" w:hAnsi="Arial" w:cs="Arial"/>
          <w:b/>
          <w:sz w:val="24"/>
          <w:szCs w:val="24"/>
          <w:lang w:val="en-US"/>
        </w:rPr>
      </w:pPr>
      <w:r>
        <w:rPr>
          <w:noProof/>
          <w:lang w:eastAsia="it-IT"/>
        </w:rPr>
        <w:lastRenderedPageBreak/>
        <w:drawing>
          <wp:inline distT="0" distB="0" distL="0" distR="0" wp14:anchorId="1DCD62E9" wp14:editId="6B583439">
            <wp:extent cx="5905500" cy="3257550"/>
            <wp:effectExtent l="0" t="0" r="0" b="0"/>
            <wp:docPr id="1456631149" name="Gra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7B2C45" w14:textId="77777777" w:rsidR="009807E3" w:rsidRDefault="009807E3" w:rsidP="009807E3">
      <w:pPr>
        <w:rPr>
          <w:rFonts w:ascii="Arial" w:hAnsi="Arial" w:cs="Arial"/>
          <w:b/>
          <w:sz w:val="24"/>
          <w:szCs w:val="24"/>
          <w:lang w:val="en-US"/>
        </w:rPr>
      </w:pPr>
    </w:p>
    <w:p w14:paraId="305E1262" w14:textId="77777777" w:rsidR="009807E3" w:rsidRDefault="009807E3" w:rsidP="009807E3">
      <w:pPr>
        <w:spacing w:after="0" w:line="240" w:lineRule="auto"/>
        <w:rPr>
          <w:rFonts w:ascii="Arial" w:hAnsi="Arial" w:cs="Arial"/>
          <w:bCs/>
          <w:sz w:val="20"/>
          <w:szCs w:val="20"/>
          <w:lang w:val="en-US"/>
        </w:rPr>
      </w:pPr>
      <w:r w:rsidRPr="00FA6126">
        <w:rPr>
          <w:rFonts w:ascii="Arial" w:hAnsi="Arial" w:cs="Arial"/>
          <w:bCs/>
          <w:sz w:val="20"/>
          <w:szCs w:val="20"/>
          <w:lang w:val="en-US"/>
        </w:rPr>
        <w:t>Figure 2 reports the cost data relating to the transfusion of a unit in the different settings considered.</w:t>
      </w:r>
    </w:p>
    <w:p w14:paraId="23F3FFBD" w14:textId="77777777" w:rsidR="009807E3" w:rsidRDefault="009807E3" w:rsidP="009807E3">
      <w:pPr>
        <w:spacing w:after="0" w:line="240" w:lineRule="auto"/>
        <w:rPr>
          <w:rFonts w:ascii="Arial" w:hAnsi="Arial" w:cs="Arial"/>
          <w:bCs/>
          <w:sz w:val="20"/>
          <w:szCs w:val="20"/>
          <w:lang w:val="en-US"/>
        </w:rPr>
      </w:pPr>
      <w:r>
        <w:rPr>
          <w:rFonts w:ascii="Arial" w:hAnsi="Arial" w:cs="Arial"/>
          <w:sz w:val="20"/>
          <w:szCs w:val="20"/>
          <w:lang w:val="en-US"/>
        </w:rPr>
        <w:t xml:space="preserve"> RBC = Packed Red Blood Cells, PC = Platelets Concentrate, FFP = Fresh Frozen Plasma.</w:t>
      </w:r>
    </w:p>
    <w:p w14:paraId="62A6A9BC" w14:textId="77777777" w:rsidR="009807E3" w:rsidRPr="0077653B" w:rsidRDefault="009807E3" w:rsidP="009807E3">
      <w:pPr>
        <w:spacing w:after="0" w:line="240" w:lineRule="auto"/>
        <w:rPr>
          <w:rFonts w:ascii="Arial" w:hAnsi="Arial" w:cs="Arial"/>
          <w:bCs/>
          <w:sz w:val="20"/>
          <w:szCs w:val="20"/>
          <w:lang w:val="en-US"/>
        </w:rPr>
      </w:pPr>
      <w:r w:rsidRPr="0077653B">
        <w:rPr>
          <w:rFonts w:ascii="Arial" w:hAnsi="Arial" w:cs="Arial"/>
          <w:bCs/>
          <w:sz w:val="20"/>
          <w:szCs w:val="20"/>
          <w:lang w:val="en-US"/>
        </w:rPr>
        <w:t>OH = costs related to transfusions performed during an ordinary hospital admission; DH = costs related to transfusions performed during an inpatient day hospital admission; ER = costs related to transfusions performed during an emergency room admission; costs related to transfusions performed during an outpatient clinic admission.</w:t>
      </w:r>
    </w:p>
    <w:p w14:paraId="2ECA745A" w14:textId="77777777" w:rsidR="009807E3" w:rsidRDefault="009807E3" w:rsidP="009807E3">
      <w:pPr>
        <w:spacing w:after="0" w:line="240" w:lineRule="auto"/>
        <w:rPr>
          <w:rFonts w:ascii="Arial" w:hAnsi="Arial" w:cs="Arial"/>
          <w:bCs/>
          <w:sz w:val="20"/>
          <w:szCs w:val="20"/>
          <w:lang w:val="en-US"/>
        </w:rPr>
      </w:pPr>
      <w:r w:rsidRPr="0077653B">
        <w:rPr>
          <w:rFonts w:ascii="Arial" w:hAnsi="Arial" w:cs="Arial"/>
          <w:bCs/>
          <w:sz w:val="20"/>
          <w:szCs w:val="20"/>
          <w:lang w:val="en-US"/>
        </w:rPr>
        <w:t>Costs are expressed in euros.</w:t>
      </w:r>
    </w:p>
    <w:p w14:paraId="27DE7F7B" w14:textId="77777777" w:rsidR="009807E3" w:rsidRPr="00FA6126" w:rsidRDefault="009807E3" w:rsidP="009807E3">
      <w:pPr>
        <w:rPr>
          <w:rFonts w:ascii="Arial" w:hAnsi="Arial" w:cs="Arial"/>
          <w:bCs/>
          <w:sz w:val="20"/>
          <w:szCs w:val="20"/>
          <w:lang w:val="en-US"/>
        </w:rPr>
      </w:pPr>
      <w:r w:rsidRPr="00FA6126">
        <w:rPr>
          <w:rFonts w:ascii="Arial" w:hAnsi="Arial" w:cs="Arial"/>
          <w:bCs/>
          <w:sz w:val="20"/>
          <w:szCs w:val="20"/>
          <w:lang w:val="en-US"/>
        </w:rPr>
        <w:br w:type="page"/>
      </w:r>
    </w:p>
    <w:p w14:paraId="551D4BC2" w14:textId="77777777" w:rsidR="009807E3" w:rsidRDefault="009807E3" w:rsidP="00E1162E">
      <w:pPr>
        <w:pStyle w:val="NormalWeb"/>
        <w:spacing w:before="0" w:beforeAutospacing="0" w:after="0" w:afterAutospacing="0" w:line="360" w:lineRule="auto"/>
        <w:jc w:val="both"/>
        <w:rPr>
          <w:rFonts w:ascii="Arial" w:hAnsi="Arial" w:cs="Arial"/>
          <w:lang w:val="en-US"/>
        </w:rPr>
      </w:pPr>
    </w:p>
    <w:p w14:paraId="4139B5CC" w14:textId="77777777" w:rsidR="00CA2578" w:rsidRDefault="00CA2578" w:rsidP="00E1162E">
      <w:pPr>
        <w:pStyle w:val="NormalWeb"/>
        <w:spacing w:before="0" w:beforeAutospacing="0" w:after="0" w:afterAutospacing="0" w:line="360" w:lineRule="auto"/>
        <w:jc w:val="both"/>
        <w:rPr>
          <w:rFonts w:ascii="Arial" w:hAnsi="Arial" w:cs="Arial"/>
          <w:lang w:val="en-US"/>
        </w:rPr>
      </w:pPr>
      <w:r w:rsidRPr="004A381C">
        <w:rPr>
          <w:rStyle w:val="Strong"/>
          <w:rFonts w:ascii="Arial" w:hAnsi="Arial" w:cs="Arial"/>
          <w:b w:val="0"/>
          <w:bCs w:val="0"/>
          <w:i/>
          <w:u w:val="single"/>
          <w:lang w:val="en-US"/>
        </w:rPr>
        <w:t>Hemovigilance</w:t>
      </w:r>
      <w:r w:rsidR="003C4439">
        <w:rPr>
          <w:rStyle w:val="Strong"/>
          <w:rFonts w:ascii="Arial" w:hAnsi="Arial" w:cs="Arial"/>
          <w:b w:val="0"/>
          <w:bCs w:val="0"/>
          <w:lang w:val="en-US"/>
        </w:rPr>
        <w:t xml:space="preserve">: </w:t>
      </w:r>
      <w:r w:rsidRPr="00CA2578">
        <w:rPr>
          <w:rFonts w:ascii="Arial" w:hAnsi="Arial" w:cs="Arial"/>
          <w:lang w:val="en-US"/>
        </w:rPr>
        <w:t>Over the five-year study period, a total of 17,340 blood component units were transfused in the outpatient setting: 16,382 RBC units, 927 platelet concentrates, and 31 FFP units.</w:t>
      </w:r>
      <w:r w:rsidR="003C4439">
        <w:rPr>
          <w:rFonts w:ascii="Arial" w:hAnsi="Arial" w:cs="Arial"/>
          <w:lang w:val="en-US"/>
        </w:rPr>
        <w:t xml:space="preserve"> </w:t>
      </w:r>
      <w:r w:rsidRPr="00CA2578">
        <w:rPr>
          <w:rFonts w:ascii="Arial" w:hAnsi="Arial" w:cs="Arial"/>
          <w:lang w:val="en-US"/>
        </w:rPr>
        <w:t>Fourteen post-transfusion adverse reactions were reported, corresponding to an incidence of 81 events per 100,000 units transfused.</w:t>
      </w:r>
      <w:r w:rsidR="003C4439">
        <w:rPr>
          <w:rFonts w:ascii="Arial" w:hAnsi="Arial" w:cs="Arial"/>
          <w:lang w:val="en-US"/>
        </w:rPr>
        <w:t xml:space="preserve"> </w:t>
      </w:r>
      <w:r w:rsidRPr="003C4439">
        <w:rPr>
          <w:rFonts w:ascii="Arial" w:hAnsi="Arial" w:cs="Arial"/>
          <w:lang w:val="en-US"/>
        </w:rPr>
        <w:t>The reported reactions included:</w:t>
      </w:r>
      <w:r w:rsidR="003C4439">
        <w:rPr>
          <w:rFonts w:ascii="Arial" w:hAnsi="Arial" w:cs="Arial"/>
          <w:lang w:val="en-US"/>
        </w:rPr>
        <w:t xml:space="preserve"> </w:t>
      </w:r>
      <w:r w:rsidRPr="00CA2578">
        <w:rPr>
          <w:rFonts w:ascii="Arial" w:hAnsi="Arial" w:cs="Arial"/>
          <w:lang w:val="en-US"/>
        </w:rPr>
        <w:t>5 cases of transfusion-associated circulatory overload (TACO</w:t>
      </w:r>
      <w:proofErr w:type="gramStart"/>
      <w:r w:rsidRPr="00CA2578">
        <w:rPr>
          <w:rFonts w:ascii="Arial" w:hAnsi="Arial" w:cs="Arial"/>
          <w:lang w:val="en-US"/>
        </w:rPr>
        <w:t>)</w:t>
      </w:r>
      <w:r w:rsidR="004A381C">
        <w:rPr>
          <w:rFonts w:ascii="Arial" w:hAnsi="Arial" w:cs="Arial"/>
          <w:lang w:val="en-US"/>
        </w:rPr>
        <w:t xml:space="preserve">,  </w:t>
      </w:r>
      <w:r w:rsidRPr="004A381C">
        <w:rPr>
          <w:rFonts w:ascii="Arial" w:hAnsi="Arial" w:cs="Arial"/>
          <w:lang w:val="en-US"/>
        </w:rPr>
        <w:t>4</w:t>
      </w:r>
      <w:proofErr w:type="gramEnd"/>
      <w:r w:rsidRPr="004A381C">
        <w:rPr>
          <w:rFonts w:ascii="Arial" w:hAnsi="Arial" w:cs="Arial"/>
          <w:lang w:val="en-US"/>
        </w:rPr>
        <w:t xml:space="preserve"> allergic reactions</w:t>
      </w:r>
      <w:r w:rsidR="004A381C">
        <w:rPr>
          <w:rFonts w:ascii="Arial" w:hAnsi="Arial" w:cs="Arial"/>
          <w:lang w:val="en-US"/>
        </w:rPr>
        <w:t xml:space="preserve">, </w:t>
      </w:r>
      <w:r w:rsidRPr="004A381C">
        <w:rPr>
          <w:rFonts w:ascii="Arial" w:hAnsi="Arial" w:cs="Arial"/>
          <w:lang w:val="en-US"/>
        </w:rPr>
        <w:t>3 febrile non-hemolytic transfusion reactions</w:t>
      </w:r>
      <w:r w:rsidR="004A381C">
        <w:rPr>
          <w:rFonts w:ascii="Arial" w:hAnsi="Arial" w:cs="Arial"/>
          <w:lang w:val="en-US"/>
        </w:rPr>
        <w:t xml:space="preserve">, </w:t>
      </w:r>
      <w:r w:rsidRPr="00CA2578">
        <w:rPr>
          <w:rFonts w:ascii="Arial" w:hAnsi="Arial" w:cs="Arial"/>
          <w:lang w:val="en-US"/>
        </w:rPr>
        <w:t>2 reactions not otherwise specified due to incomplete clinical documentation</w:t>
      </w:r>
      <w:r w:rsidR="004A381C">
        <w:rPr>
          <w:rFonts w:ascii="Arial" w:hAnsi="Arial" w:cs="Arial"/>
          <w:lang w:val="en-US"/>
        </w:rPr>
        <w:t>.</w:t>
      </w:r>
    </w:p>
    <w:p w14:paraId="5E0034D0" w14:textId="77777777" w:rsidR="004A381C" w:rsidRPr="00CA2578" w:rsidRDefault="004A381C" w:rsidP="00E1162E">
      <w:pPr>
        <w:pStyle w:val="NormalWeb"/>
        <w:spacing w:before="0" w:beforeAutospacing="0" w:after="0" w:afterAutospacing="0" w:line="360" w:lineRule="auto"/>
        <w:jc w:val="both"/>
        <w:rPr>
          <w:rFonts w:ascii="Arial" w:hAnsi="Arial" w:cs="Arial"/>
          <w:lang w:val="en-US"/>
        </w:rPr>
      </w:pPr>
    </w:p>
    <w:p w14:paraId="48F70A5F" w14:textId="77777777" w:rsidR="00CA2578" w:rsidRPr="00CA2578" w:rsidRDefault="00CA2578" w:rsidP="00E1162E">
      <w:pPr>
        <w:pStyle w:val="Heading1"/>
        <w:spacing w:before="0" w:line="360" w:lineRule="auto"/>
        <w:jc w:val="both"/>
        <w:rPr>
          <w:rFonts w:ascii="Arial" w:hAnsi="Arial" w:cs="Arial"/>
          <w:color w:val="auto"/>
          <w:sz w:val="24"/>
          <w:szCs w:val="24"/>
          <w:lang w:val="en-US"/>
        </w:rPr>
      </w:pPr>
      <w:r w:rsidRPr="00CA2578">
        <w:rPr>
          <w:rStyle w:val="Strong"/>
          <w:rFonts w:ascii="Arial" w:hAnsi="Arial" w:cs="Arial"/>
          <w:b/>
          <w:bCs/>
          <w:color w:val="auto"/>
          <w:sz w:val="24"/>
          <w:szCs w:val="24"/>
          <w:lang w:val="en-US"/>
        </w:rPr>
        <w:t>Discussion</w:t>
      </w:r>
    </w:p>
    <w:p w14:paraId="4855AD30" w14:textId="77777777" w:rsidR="004A381C" w:rsidRDefault="004A381C" w:rsidP="00E1162E">
      <w:pPr>
        <w:pStyle w:val="NormalWeb"/>
        <w:spacing w:before="0" w:beforeAutospacing="0" w:after="0" w:afterAutospacing="0" w:line="360" w:lineRule="auto"/>
        <w:jc w:val="both"/>
        <w:rPr>
          <w:rFonts w:ascii="Arial" w:hAnsi="Arial" w:cs="Arial"/>
          <w:lang w:val="en-US"/>
        </w:rPr>
      </w:pPr>
      <w:r w:rsidRPr="004A381C">
        <w:rPr>
          <w:rFonts w:ascii="Arial" w:hAnsi="Arial" w:cs="Arial"/>
          <w:i/>
          <w:u w:val="single"/>
          <w:lang w:val="en-US"/>
        </w:rPr>
        <w:t>Organization</w:t>
      </w:r>
      <w:r>
        <w:rPr>
          <w:rFonts w:ascii="Arial" w:hAnsi="Arial" w:cs="Arial"/>
          <w:lang w:val="en-US"/>
        </w:rPr>
        <w:t xml:space="preserve">: </w:t>
      </w:r>
      <w:r w:rsidR="00CA2578" w:rsidRPr="00CA2578">
        <w:rPr>
          <w:rFonts w:ascii="Arial" w:hAnsi="Arial" w:cs="Arial"/>
          <w:lang w:val="en-US"/>
        </w:rPr>
        <w:t>All community-based transfusion activities are technically and operationally coordinated by the DIMT. Comprehensive standard operating procedures covering the entire transfusion pathway have been developed and shared across all participating facilities. These procedures address: clinical indications for transfusion; informed consent; patient identification; blood component request and sampling for pre-transfusion testing; transport and traceability of blood components; documentation of clinical parameters; completion of pre-transfusion checklists; transfusion procedures; patient monitoring; communication of laboratory results; and the detection, management, and reporting of adverse events [22,23].</w:t>
      </w:r>
    </w:p>
    <w:p w14:paraId="19E1D9A4" w14:textId="77777777" w:rsidR="004A381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Particular emphasis has been placed on staff training. Each facility received structured on-site training in transfusion practices, and a distance-learning course covering the transfusion process was developed and made available to all healthcare professionals involved [24,25]. In addition, each facility undergoes an annual audit. During these inspections, annual activity volumes and any deviations from established procedures are reviewed. These visits also provide an opportunity to identify critical issues and assess the need for additional training in transfusion medicine [24,25].</w:t>
      </w:r>
    </w:p>
    <w:p w14:paraId="08671BD5" w14:textId="3A237D91" w:rsidR="004A381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Overall Transfusion Activity</w:t>
      </w:r>
      <w:r w:rsidR="004A381C">
        <w:rPr>
          <w:rFonts w:ascii="Arial" w:hAnsi="Arial" w:cs="Arial"/>
          <w:lang w:val="en-US"/>
        </w:rPr>
        <w:t xml:space="preserve">: </w:t>
      </w:r>
      <w:r w:rsidRPr="00CA2578">
        <w:rPr>
          <w:rFonts w:ascii="Arial" w:hAnsi="Arial" w:cs="Arial"/>
          <w:lang w:val="en-US"/>
        </w:rPr>
        <w:t>Total RBC transfusions across the Prefecture showed a slight decrease over the study period, from 38,057 units in 2020 to 36,846 units in 2024 (−1,211 units; −3.2%). This reduction may reflect improvements in transfusion appropriateness and adherence to restrictive transfusion strategies.</w:t>
      </w:r>
      <w:r w:rsidR="004A381C">
        <w:rPr>
          <w:rFonts w:ascii="Arial" w:hAnsi="Arial" w:cs="Arial"/>
          <w:lang w:val="en-US"/>
        </w:rPr>
        <w:t xml:space="preserve"> </w:t>
      </w:r>
      <w:r w:rsidRPr="00CA2578">
        <w:rPr>
          <w:rFonts w:ascii="Arial" w:hAnsi="Arial" w:cs="Arial"/>
          <w:lang w:val="en-US"/>
        </w:rPr>
        <w:t xml:space="preserve">In contrast, transfusion activity in community settings demonstrated consistent growth. The total number of transfusions delivered in outpatient settings increased from 4,222 in 2020 to 4,789 in 2024 (+507 units; +12%). The proportion of RBC units transfused in community settings rose steadily from </w:t>
      </w:r>
      <w:r w:rsidR="009D5942">
        <w:rPr>
          <w:rFonts w:ascii="Arial" w:hAnsi="Arial" w:cs="Arial"/>
          <w:lang w:val="en-US"/>
        </w:rPr>
        <w:t>11.1</w:t>
      </w:r>
      <w:proofErr w:type="gramStart"/>
      <w:r w:rsidR="009D5942">
        <w:rPr>
          <w:rFonts w:ascii="Arial" w:hAnsi="Arial" w:cs="Arial"/>
          <w:lang w:val="en-US"/>
        </w:rPr>
        <w:t xml:space="preserve">% </w:t>
      </w:r>
      <w:r w:rsidRPr="00CA2578">
        <w:rPr>
          <w:rFonts w:ascii="Arial" w:hAnsi="Arial" w:cs="Arial"/>
          <w:lang w:val="en-US"/>
        </w:rPr>
        <w:t xml:space="preserve"> in</w:t>
      </w:r>
      <w:proofErr w:type="gramEnd"/>
      <w:r w:rsidRPr="00CA2578">
        <w:rPr>
          <w:rFonts w:ascii="Arial" w:hAnsi="Arial" w:cs="Arial"/>
          <w:lang w:val="en-US"/>
        </w:rPr>
        <w:t xml:space="preserve"> 2020 to </w:t>
      </w:r>
      <w:r w:rsidR="009D5942">
        <w:rPr>
          <w:rFonts w:ascii="Arial" w:hAnsi="Arial" w:cs="Arial"/>
          <w:lang w:val="en-US"/>
        </w:rPr>
        <w:t xml:space="preserve">12.9% </w:t>
      </w:r>
      <w:r w:rsidRPr="00CA2578">
        <w:rPr>
          <w:rFonts w:ascii="Arial" w:hAnsi="Arial" w:cs="Arial"/>
          <w:lang w:val="en-US"/>
        </w:rPr>
        <w:t xml:space="preserve"> in 2024, indicating a progressive shift toward decentralized care.</w:t>
      </w:r>
    </w:p>
    <w:p w14:paraId="76A37725" w14:textId="77777777" w:rsidR="004A381C" w:rsidRDefault="00CA2578" w:rsidP="00E1162E">
      <w:pPr>
        <w:pStyle w:val="NormalWeb"/>
        <w:spacing w:before="0" w:beforeAutospacing="0" w:after="0" w:afterAutospacing="0" w:line="360" w:lineRule="auto"/>
        <w:jc w:val="both"/>
        <w:rPr>
          <w:rFonts w:ascii="Arial" w:hAnsi="Arial" w:cs="Arial"/>
          <w:lang w:val="en-US"/>
        </w:rPr>
      </w:pPr>
      <w:r w:rsidRPr="004A381C">
        <w:rPr>
          <w:rFonts w:ascii="Arial" w:hAnsi="Arial" w:cs="Arial"/>
          <w:i/>
          <w:u w:val="single"/>
          <w:lang w:val="en-US"/>
        </w:rPr>
        <w:lastRenderedPageBreak/>
        <w:t>Trends by Care Setting</w:t>
      </w:r>
      <w:r w:rsidR="004A381C">
        <w:rPr>
          <w:rFonts w:ascii="Arial" w:hAnsi="Arial" w:cs="Arial"/>
          <w:lang w:val="en-US"/>
        </w:rPr>
        <w:t xml:space="preserve">: </w:t>
      </w:r>
      <w:r w:rsidRPr="00CA2578">
        <w:rPr>
          <w:rFonts w:ascii="Arial" w:hAnsi="Arial" w:cs="Arial"/>
          <w:lang w:val="en-US"/>
        </w:rPr>
        <w:t>Outpatient clinics and transfusion medicine clinics accounted for the majority of community transfusions and showed a steady upward trend. Outpatient clinics increased from 958 units in 2020 to 1,320 in 2024. Transfusion medicine clinics remained the largest single category, reaching 2,581 units in 2024.</w:t>
      </w:r>
      <w:r w:rsidR="004A381C">
        <w:rPr>
          <w:rFonts w:ascii="Arial" w:hAnsi="Arial" w:cs="Arial"/>
          <w:lang w:val="en-US"/>
        </w:rPr>
        <w:t xml:space="preserve"> </w:t>
      </w:r>
      <w:r w:rsidRPr="00CA2578">
        <w:rPr>
          <w:rFonts w:ascii="Arial" w:hAnsi="Arial" w:cs="Arial"/>
          <w:lang w:val="en-US"/>
        </w:rPr>
        <w:t>Community hospitals exhibited a marked increase between 2020 (143 units) and 2022 (257 units), followed by relative stabilization and a further rise in 2024 (327 units).</w:t>
      </w:r>
      <w:r w:rsidR="004A381C">
        <w:rPr>
          <w:rFonts w:ascii="Arial" w:hAnsi="Arial" w:cs="Arial"/>
          <w:lang w:val="en-US"/>
        </w:rPr>
        <w:t xml:space="preserve"> </w:t>
      </w:r>
      <w:r w:rsidRPr="00CA2578">
        <w:rPr>
          <w:rFonts w:ascii="Arial" w:hAnsi="Arial" w:cs="Arial"/>
          <w:lang w:val="en-US"/>
        </w:rPr>
        <w:t>Home transfusion activity fluctuated, peaking in 2022 (267 units), decreasing in 2023, and partially recovering in 2024 (230 units).</w:t>
      </w:r>
      <w:r w:rsidR="004A381C">
        <w:rPr>
          <w:rFonts w:ascii="Arial" w:hAnsi="Arial" w:cs="Arial"/>
          <w:lang w:val="en-US"/>
        </w:rPr>
        <w:t xml:space="preserve"> </w:t>
      </w:r>
      <w:r w:rsidRPr="00CA2578">
        <w:rPr>
          <w:rFonts w:ascii="Arial" w:hAnsi="Arial" w:cs="Arial"/>
          <w:lang w:val="en-US"/>
        </w:rPr>
        <w:t>Residential facilities for elderly patients experienced the most pronounced initial decline, from 482 units in 2020 to 242 in 2023, with partial recovery in 2024 (331 units). This early reduction likely reflects the impact of the COVID-19 pandemic, during which non-urgent transfusions in internal medicine and geriatric settings were frequently postponed.</w:t>
      </w:r>
    </w:p>
    <w:p w14:paraId="781EAC31" w14:textId="3361730D" w:rsidR="004A381C" w:rsidRDefault="00CA2578" w:rsidP="00E1162E">
      <w:pPr>
        <w:pStyle w:val="NormalWeb"/>
        <w:spacing w:before="0" w:beforeAutospacing="0" w:after="0" w:afterAutospacing="0" w:line="360" w:lineRule="auto"/>
        <w:jc w:val="both"/>
        <w:rPr>
          <w:rFonts w:ascii="Arial" w:hAnsi="Arial" w:cs="Arial"/>
          <w:lang w:val="en-US"/>
        </w:rPr>
      </w:pPr>
      <w:r w:rsidRPr="004A381C">
        <w:rPr>
          <w:rFonts w:ascii="Arial" w:hAnsi="Arial" w:cs="Arial"/>
          <w:i/>
          <w:u w:val="single"/>
          <w:lang w:val="en-US"/>
        </w:rPr>
        <w:t>Economic Considerations</w:t>
      </w:r>
      <w:r w:rsidR="004A381C">
        <w:rPr>
          <w:rFonts w:ascii="Arial" w:hAnsi="Arial" w:cs="Arial"/>
          <w:lang w:val="en-US"/>
        </w:rPr>
        <w:t xml:space="preserve">: </w:t>
      </w:r>
      <w:proofErr w:type="gramStart"/>
      <w:r w:rsidR="009D5942">
        <w:rPr>
          <w:rFonts w:ascii="Arial" w:hAnsi="Arial" w:cs="Arial"/>
          <w:lang w:val="en-US"/>
        </w:rPr>
        <w:t xml:space="preserve">Our </w:t>
      </w:r>
      <w:r w:rsidRPr="00CA2578">
        <w:rPr>
          <w:rFonts w:ascii="Arial" w:hAnsi="Arial" w:cs="Arial"/>
          <w:lang w:val="en-US"/>
        </w:rPr>
        <w:t xml:space="preserve"> analysis</w:t>
      </w:r>
      <w:proofErr w:type="gramEnd"/>
      <w:r w:rsidRPr="00CA2578">
        <w:rPr>
          <w:rFonts w:ascii="Arial" w:hAnsi="Arial" w:cs="Arial"/>
          <w:lang w:val="en-US"/>
        </w:rPr>
        <w:t xml:space="preserve"> demonstrated that nationally regulated reimbursement tariffs adequately cover the </w:t>
      </w:r>
      <w:r w:rsidR="009D5942">
        <w:rPr>
          <w:rFonts w:ascii="Arial" w:hAnsi="Arial" w:cs="Arial"/>
          <w:lang w:val="en-US"/>
        </w:rPr>
        <w:t xml:space="preserve">DIMT </w:t>
      </w:r>
      <w:r w:rsidRPr="00CA2578">
        <w:rPr>
          <w:rFonts w:ascii="Arial" w:hAnsi="Arial" w:cs="Arial"/>
          <w:lang w:val="en-US"/>
        </w:rPr>
        <w:t>specific production costs of blood components</w:t>
      </w:r>
      <w:r w:rsidR="009D5942">
        <w:rPr>
          <w:rFonts w:ascii="Arial" w:hAnsi="Arial" w:cs="Arial"/>
          <w:lang w:val="en-US"/>
        </w:rPr>
        <w:t>.</w:t>
      </w:r>
      <w:r w:rsidRPr="00CA2578">
        <w:rPr>
          <w:rFonts w:ascii="Arial" w:hAnsi="Arial" w:cs="Arial"/>
          <w:lang w:val="en-US"/>
        </w:rPr>
        <w:t xml:space="preserve">  These findings are consistent with previous reports from Italy and other healthcare systems, including Australia and the United States [26,27].</w:t>
      </w:r>
      <w:r w:rsidR="004A381C">
        <w:rPr>
          <w:rFonts w:ascii="Arial" w:hAnsi="Arial" w:cs="Arial"/>
          <w:lang w:val="en-US"/>
        </w:rPr>
        <w:t xml:space="preserve"> </w:t>
      </w:r>
      <w:r w:rsidRPr="00CA2578">
        <w:rPr>
          <w:rFonts w:ascii="Arial" w:hAnsi="Arial" w:cs="Arial"/>
          <w:lang w:val="en-US"/>
        </w:rPr>
        <w:t xml:space="preserve">However, production costs represent only a portion of the total expenditure associated with transfusion therapy. Additional costs include pre-transfusion laboratory testing, consumables for infusion, healthcare personnel time, and facility occupancy. </w:t>
      </w:r>
      <w:r w:rsidR="004A381C">
        <w:rPr>
          <w:rFonts w:ascii="Arial" w:hAnsi="Arial" w:cs="Arial"/>
          <w:lang w:val="en-US"/>
        </w:rPr>
        <w:t xml:space="preserve">Moreover, indirect social costs, </w:t>
      </w:r>
      <w:r w:rsidRPr="00CA2578">
        <w:rPr>
          <w:rFonts w:ascii="Arial" w:hAnsi="Arial" w:cs="Arial"/>
          <w:lang w:val="en-US"/>
        </w:rPr>
        <w:t xml:space="preserve">such </w:t>
      </w:r>
      <w:r w:rsidR="004A381C">
        <w:rPr>
          <w:rFonts w:ascii="Arial" w:hAnsi="Arial" w:cs="Arial"/>
          <w:lang w:val="en-US"/>
        </w:rPr>
        <w:t xml:space="preserve">as patient and caregiver travel, </w:t>
      </w:r>
      <w:r w:rsidRPr="00CA2578">
        <w:rPr>
          <w:rFonts w:ascii="Arial" w:hAnsi="Arial" w:cs="Arial"/>
          <w:lang w:val="en-US"/>
        </w:rPr>
        <w:t>must also be considered.</w:t>
      </w:r>
      <w:r w:rsidR="004A381C">
        <w:rPr>
          <w:rFonts w:ascii="Arial" w:hAnsi="Arial" w:cs="Arial"/>
          <w:lang w:val="en-US"/>
        </w:rPr>
        <w:t xml:space="preserve"> </w:t>
      </w:r>
      <w:r w:rsidRPr="00CA2578">
        <w:rPr>
          <w:rFonts w:ascii="Arial" w:hAnsi="Arial" w:cs="Arial"/>
          <w:lang w:val="en-US"/>
        </w:rPr>
        <w:t>Shander and colleagues proposed that the total hospital cost of transfusion may be estimated by multiplying the blood component production cost by a factor ranging from 3.2 to 4.8 [</w:t>
      </w:r>
      <w:r w:rsidR="004A381C">
        <w:rPr>
          <w:rFonts w:ascii="Arial" w:hAnsi="Arial" w:cs="Arial"/>
          <w:lang w:val="en-US"/>
        </w:rPr>
        <w:t>28–30]. In our study, the total, from production to transfusion</w:t>
      </w:r>
      <w:r w:rsidRPr="00CA2578">
        <w:rPr>
          <w:rFonts w:ascii="Arial" w:hAnsi="Arial" w:cs="Arial"/>
          <w:lang w:val="en-US"/>
        </w:rPr>
        <w:t xml:space="preserve"> cost ratio for transfusions performed during ordinary hospitalization ranged between 5 and 6, slightly exceeding previously reported estimates. In contrast, this ratio was substantially lower in alternative settings: between 3.1 and 3.6 in day hospitals, 1.9 and 2.2 in emergency departments, and 1.5 and 1.6 in outpatient community settings.</w:t>
      </w:r>
      <w:r w:rsidR="004A381C">
        <w:rPr>
          <w:rFonts w:ascii="Arial" w:hAnsi="Arial" w:cs="Arial"/>
          <w:lang w:val="en-US"/>
        </w:rPr>
        <w:t xml:space="preserve"> </w:t>
      </w:r>
      <w:r w:rsidRPr="00CA2578">
        <w:rPr>
          <w:rFonts w:ascii="Arial" w:hAnsi="Arial" w:cs="Arial"/>
          <w:lang w:val="en-US"/>
        </w:rPr>
        <w:t>The total cost of transfusing one RBC unit in a hospitalized adult patient in our analysis was €1,079, which is consistent with estimates reported by Abraham and Sun, who described costs ranging from $840 to $1,300 for hospitalized adult patients [31,32].</w:t>
      </w:r>
      <w:r w:rsidR="004A381C">
        <w:rPr>
          <w:rFonts w:ascii="Arial" w:hAnsi="Arial" w:cs="Arial"/>
          <w:lang w:val="en-US"/>
        </w:rPr>
        <w:t xml:space="preserve"> </w:t>
      </w:r>
      <w:r w:rsidRPr="00CA2578">
        <w:rPr>
          <w:rFonts w:ascii="Arial" w:hAnsi="Arial" w:cs="Arial"/>
          <w:lang w:val="en-US"/>
        </w:rPr>
        <w:t>Overall, these findings highlight the marked economic advantage of community-based transfusion therapy, particularly when organizational safety standards equivalent to hospital settings can be maintained.</w:t>
      </w:r>
    </w:p>
    <w:p w14:paraId="4BC0C76A" w14:textId="77777777" w:rsidR="00CA2578" w:rsidRDefault="00CA2578" w:rsidP="00E1162E">
      <w:pPr>
        <w:pStyle w:val="NormalWeb"/>
        <w:spacing w:before="0" w:beforeAutospacing="0" w:after="0" w:afterAutospacing="0" w:line="360" w:lineRule="auto"/>
        <w:jc w:val="both"/>
        <w:rPr>
          <w:rFonts w:ascii="Arial" w:hAnsi="Arial" w:cs="Arial"/>
          <w:lang w:val="en-US"/>
        </w:rPr>
      </w:pPr>
      <w:r w:rsidRPr="004A381C">
        <w:rPr>
          <w:rFonts w:ascii="Arial" w:hAnsi="Arial" w:cs="Arial"/>
          <w:i/>
          <w:u w:val="single"/>
          <w:lang w:val="en-US"/>
        </w:rPr>
        <w:t>Hemovigilance</w:t>
      </w:r>
      <w:r w:rsidR="004A381C">
        <w:rPr>
          <w:rFonts w:ascii="Arial" w:hAnsi="Arial" w:cs="Arial"/>
          <w:lang w:val="en-US"/>
        </w:rPr>
        <w:t xml:space="preserve">: </w:t>
      </w:r>
      <w:r w:rsidRPr="00CA2578">
        <w:rPr>
          <w:rFonts w:ascii="Arial" w:hAnsi="Arial" w:cs="Arial"/>
          <w:lang w:val="en-US"/>
        </w:rPr>
        <w:t xml:space="preserve">In Italy, the national average rate of reported post-transfusion adverse reactions in 2023 was 66 per 100,000 units transfused [33]. In the community setting analyzed in this study, the observed rate was 81 per 100,000 units transfused, a statistically </w:t>
      </w:r>
      <w:r w:rsidRPr="00CA2578">
        <w:rPr>
          <w:rFonts w:ascii="Arial" w:hAnsi="Arial" w:cs="Arial"/>
          <w:lang w:val="en-US"/>
        </w:rPr>
        <w:lastRenderedPageBreak/>
        <w:t>significant difference (p &lt; 0.05).</w:t>
      </w:r>
      <w:r w:rsidR="004A381C">
        <w:rPr>
          <w:rFonts w:ascii="Arial" w:hAnsi="Arial" w:cs="Arial"/>
          <w:lang w:val="en-US"/>
        </w:rPr>
        <w:t xml:space="preserve"> </w:t>
      </w:r>
      <w:r w:rsidRPr="00CA2578">
        <w:rPr>
          <w:rFonts w:ascii="Arial" w:hAnsi="Arial" w:cs="Arial"/>
          <w:lang w:val="en-US"/>
        </w:rPr>
        <w:t>Notably, 36% of reported reactions were classified as transfusion-associated circulatory overload (TACO), a proportion substantially higher than that reported nationally in Italy (4.3%) [33] and in the United Kingdom (4.7%) [34]. This finding likely reflects the intrinsic frailty and comorbidity burden of patients receiving transfusions in community and long-term care settings.</w:t>
      </w:r>
      <w:r w:rsidR="004A381C">
        <w:rPr>
          <w:rFonts w:ascii="Arial" w:hAnsi="Arial" w:cs="Arial"/>
          <w:lang w:val="en-US"/>
        </w:rPr>
        <w:t xml:space="preserve"> </w:t>
      </w:r>
      <w:r w:rsidRPr="00CA2578">
        <w:rPr>
          <w:rFonts w:ascii="Arial" w:hAnsi="Arial" w:cs="Arial"/>
          <w:lang w:val="en-US"/>
        </w:rPr>
        <w:t>On the one hand, these data underscore the vulnerability of the outpatient population; on the other hand, they reinforce the importance of individualized risk–benefit assessment prior to transfusion, particularly in elderly and chronically ill patients. Careful patient selection, strict adherence to restrictive transfusion thresholds, and close monitoring remain essential to ensure safety in decentralized models of care.</w:t>
      </w:r>
    </w:p>
    <w:p w14:paraId="3DAF11D6" w14:textId="77777777" w:rsidR="004A381C" w:rsidRPr="00CA2578" w:rsidRDefault="004A381C" w:rsidP="00E1162E">
      <w:pPr>
        <w:pStyle w:val="NormalWeb"/>
        <w:spacing w:before="0" w:beforeAutospacing="0" w:after="0" w:afterAutospacing="0" w:line="360" w:lineRule="auto"/>
        <w:jc w:val="both"/>
        <w:rPr>
          <w:rFonts w:ascii="Arial" w:hAnsi="Arial" w:cs="Arial"/>
          <w:lang w:val="en-US"/>
        </w:rPr>
      </w:pPr>
    </w:p>
    <w:p w14:paraId="004C20E7" w14:textId="77777777" w:rsidR="00CA2578" w:rsidRPr="00F409A5" w:rsidRDefault="00CA2578" w:rsidP="00E1162E">
      <w:pPr>
        <w:pStyle w:val="Heading1"/>
        <w:spacing w:before="0" w:line="360" w:lineRule="auto"/>
        <w:jc w:val="both"/>
        <w:rPr>
          <w:rFonts w:ascii="Arial" w:hAnsi="Arial" w:cs="Arial"/>
          <w:color w:val="auto"/>
          <w:sz w:val="24"/>
          <w:szCs w:val="24"/>
          <w:lang w:val="en-GB"/>
        </w:rPr>
      </w:pPr>
      <w:r w:rsidRPr="00F409A5">
        <w:rPr>
          <w:rStyle w:val="Strong"/>
          <w:rFonts w:ascii="Arial" w:hAnsi="Arial" w:cs="Arial"/>
          <w:b/>
          <w:bCs/>
          <w:color w:val="auto"/>
          <w:sz w:val="24"/>
          <w:szCs w:val="24"/>
          <w:lang w:val="en-GB"/>
        </w:rPr>
        <w:t>Conclusions</w:t>
      </w:r>
    </w:p>
    <w:p w14:paraId="0396EF73" w14:textId="77777777" w:rsidR="00CA2578"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Transfusion support delivered in extra-hospital facilities should not be regarded merely as a logistical alternative, but as an integral component of the Essential Levels of Care (LEA) within a modern healthcare system. The structured integration between the Local Health Authority network and accredited facilities enables the management of clinically complex patients in non-hospital settings while maintaining high standards of safety and quality.</w:t>
      </w:r>
      <w:r w:rsidR="004A381C">
        <w:rPr>
          <w:rFonts w:ascii="Arial" w:hAnsi="Arial" w:cs="Arial"/>
          <w:lang w:val="en-US"/>
        </w:rPr>
        <w:t xml:space="preserve"> </w:t>
      </w:r>
      <w:r w:rsidRPr="00CA2578">
        <w:rPr>
          <w:rFonts w:ascii="Arial" w:hAnsi="Arial" w:cs="Arial"/>
          <w:lang w:val="en-US"/>
        </w:rPr>
        <w:t>This organizational model effectively responds to the demographic challenges posed by an aging population, increasingly characterized by multimorbidity and the need for specialized surgical and orthopedic interventions followed by prolonged recovery pathways. In this context, transfusion activity within hospices, nursing homes, community hospitals, and outpatient clinics represents a key pillar of a resilient and patient-centered healthcare system.</w:t>
      </w:r>
      <w:r w:rsidR="004A381C">
        <w:rPr>
          <w:rFonts w:ascii="Arial" w:hAnsi="Arial" w:cs="Arial"/>
          <w:lang w:val="en-US"/>
        </w:rPr>
        <w:t xml:space="preserve"> </w:t>
      </w:r>
      <w:r w:rsidRPr="00CA2578">
        <w:rPr>
          <w:rFonts w:ascii="Arial" w:hAnsi="Arial" w:cs="Arial"/>
          <w:lang w:val="en-US"/>
        </w:rPr>
        <w:t>The experience described demonstrates that hospital-level safety standards can be preserved in decentralized settings through robust governance, standardized procedures, and continuous training. Consolidation and further development of this model are therefore essential to ensure equitable access to care, safeguard patient dignity, and promote transfusion medicine as a flexible, efficient, and proximity-based service.</w:t>
      </w:r>
    </w:p>
    <w:p w14:paraId="506CC4BA" w14:textId="77777777" w:rsidR="004A381C" w:rsidRDefault="004A381C" w:rsidP="004A381C">
      <w:pPr>
        <w:pStyle w:val="NormalWeb"/>
        <w:spacing w:before="0" w:beforeAutospacing="0" w:after="0" w:afterAutospacing="0"/>
        <w:jc w:val="both"/>
        <w:rPr>
          <w:rFonts w:ascii="Arial" w:hAnsi="Arial" w:cs="Arial"/>
          <w:lang w:val="en-US"/>
        </w:rPr>
      </w:pPr>
    </w:p>
    <w:p w14:paraId="77C3F363" w14:textId="3CCC4AFF" w:rsidR="004A381C" w:rsidRDefault="004A381C">
      <w:pPr>
        <w:rPr>
          <w:rFonts w:ascii="Arial" w:eastAsia="Times New Roman" w:hAnsi="Arial" w:cs="Arial"/>
          <w:sz w:val="24"/>
          <w:szCs w:val="24"/>
          <w:lang w:val="en-US" w:eastAsia="it-IT"/>
        </w:rPr>
      </w:pPr>
    </w:p>
    <w:p w14:paraId="57825608" w14:textId="77777777" w:rsidR="004A381C" w:rsidRPr="002448F3" w:rsidRDefault="004A381C" w:rsidP="004A381C">
      <w:pPr>
        <w:adjustRightInd w:val="0"/>
        <w:snapToGrid w:val="0"/>
        <w:spacing w:after="0" w:line="240" w:lineRule="auto"/>
        <w:jc w:val="both"/>
        <w:rPr>
          <w:rFonts w:ascii="Arial" w:eastAsia="Times New Roman" w:hAnsi="Arial" w:cs="Arial"/>
          <w:bCs/>
          <w:snapToGrid w:val="0"/>
          <w:color w:val="000000" w:themeColor="text1"/>
          <w:kern w:val="2"/>
          <w:sz w:val="24"/>
          <w:szCs w:val="24"/>
          <w:lang w:val="en-GB" w:eastAsia="de-DE" w:bidi="en-US"/>
        </w:rPr>
      </w:pPr>
    </w:p>
    <w:p w14:paraId="072ED82D" w14:textId="77777777" w:rsidR="006C480F" w:rsidRPr="006C480F" w:rsidRDefault="006C480F" w:rsidP="006C480F">
      <w:pPr>
        <w:pStyle w:val="ReferHead"/>
        <w:spacing w:after="0"/>
        <w:jc w:val="both"/>
        <w:rPr>
          <w:rFonts w:ascii="Arial" w:eastAsiaTheme="majorEastAsia" w:hAnsi="Arial" w:cs="Arial"/>
          <w:bCs/>
          <w:caps w:val="0"/>
          <w:snapToGrid w:val="0"/>
          <w:color w:val="000000" w:themeColor="text1"/>
          <w:sz w:val="24"/>
          <w:szCs w:val="24"/>
          <w:lang w:val="en-GB" w:eastAsia="de-DE" w:bidi="en-US"/>
        </w:rPr>
      </w:pPr>
      <w:r w:rsidRPr="006C480F">
        <w:rPr>
          <w:rFonts w:ascii="Arial" w:eastAsiaTheme="majorEastAsia" w:hAnsi="Arial" w:cs="Arial"/>
          <w:bCs/>
          <w:caps w:val="0"/>
          <w:snapToGrid w:val="0"/>
          <w:color w:val="000000" w:themeColor="text1"/>
          <w:sz w:val="24"/>
          <w:szCs w:val="24"/>
          <w:lang w:val="en-GB" w:eastAsia="de-DE" w:bidi="en-US"/>
        </w:rPr>
        <w:lastRenderedPageBreak/>
        <w:t xml:space="preserve">Consent </w:t>
      </w:r>
    </w:p>
    <w:p w14:paraId="681D4477" w14:textId="330F5D76" w:rsidR="004A381C" w:rsidRDefault="006C480F" w:rsidP="006C480F">
      <w:pPr>
        <w:pStyle w:val="ReferHead"/>
        <w:spacing w:after="0"/>
        <w:jc w:val="both"/>
        <w:rPr>
          <w:rFonts w:ascii="Arial" w:eastAsiaTheme="majorEastAsia" w:hAnsi="Arial" w:cs="Arial"/>
          <w:bCs/>
          <w:caps w:val="0"/>
          <w:snapToGrid w:val="0"/>
          <w:color w:val="000000" w:themeColor="text1"/>
          <w:sz w:val="24"/>
          <w:szCs w:val="24"/>
          <w:lang w:val="en-GB" w:eastAsia="de-DE" w:bidi="en-US"/>
        </w:rPr>
      </w:pPr>
      <w:r w:rsidRPr="006C480F">
        <w:rPr>
          <w:rFonts w:ascii="Arial" w:eastAsiaTheme="majorEastAsia" w:hAnsi="Arial" w:cs="Arial"/>
          <w:bCs/>
          <w:caps w:val="0"/>
          <w:snapToGrid w:val="0"/>
          <w:color w:val="000000" w:themeColor="text1"/>
          <w:sz w:val="24"/>
          <w:szCs w:val="24"/>
          <w:lang w:val="en-GB" w:eastAsia="de-DE" w:bidi="en-US"/>
        </w:rPr>
        <w:t>As per international standards or university standards, patient(s) written consent has been collected and preserved by the author(s).</w:t>
      </w:r>
    </w:p>
    <w:p w14:paraId="6F813AB3" w14:textId="4BB5E621" w:rsidR="006C480F" w:rsidRDefault="006C480F" w:rsidP="006C480F">
      <w:pPr>
        <w:pStyle w:val="ReferHead"/>
        <w:spacing w:after="0"/>
        <w:jc w:val="both"/>
        <w:rPr>
          <w:rFonts w:ascii="Arial" w:hAnsi="Arial" w:cs="Arial"/>
          <w:bCs/>
          <w:color w:val="000000" w:themeColor="text1"/>
          <w:sz w:val="24"/>
          <w:szCs w:val="24"/>
        </w:rPr>
      </w:pPr>
    </w:p>
    <w:p w14:paraId="66E0B0EF" w14:textId="77777777" w:rsidR="006C480F" w:rsidRPr="006C480F" w:rsidRDefault="006C480F" w:rsidP="006C480F">
      <w:pPr>
        <w:pStyle w:val="ReferHead"/>
        <w:spacing w:after="0"/>
        <w:jc w:val="both"/>
        <w:rPr>
          <w:rFonts w:ascii="Arial" w:hAnsi="Arial" w:cs="Arial"/>
          <w:bCs/>
          <w:color w:val="000000" w:themeColor="text1"/>
          <w:sz w:val="24"/>
          <w:szCs w:val="24"/>
        </w:rPr>
      </w:pPr>
      <w:r w:rsidRPr="006C480F">
        <w:rPr>
          <w:rFonts w:ascii="Arial" w:hAnsi="Arial" w:cs="Arial"/>
          <w:bCs/>
          <w:color w:val="000000" w:themeColor="text1"/>
          <w:sz w:val="24"/>
          <w:szCs w:val="24"/>
        </w:rPr>
        <w:t>Ethical Approval:</w:t>
      </w:r>
    </w:p>
    <w:p w14:paraId="54F0BD21" w14:textId="77777777" w:rsidR="006C480F" w:rsidRPr="006C480F" w:rsidRDefault="006C480F" w:rsidP="006C480F">
      <w:pPr>
        <w:pStyle w:val="ReferHead"/>
        <w:spacing w:after="0"/>
        <w:jc w:val="both"/>
        <w:rPr>
          <w:rFonts w:ascii="Arial" w:hAnsi="Arial" w:cs="Arial"/>
          <w:bCs/>
          <w:color w:val="000000" w:themeColor="text1"/>
          <w:sz w:val="24"/>
          <w:szCs w:val="24"/>
        </w:rPr>
      </w:pPr>
    </w:p>
    <w:p w14:paraId="1C4A58A2" w14:textId="0649C40F" w:rsidR="006C480F" w:rsidRDefault="006C480F" w:rsidP="006C480F">
      <w:pPr>
        <w:pStyle w:val="ReferHead"/>
        <w:spacing w:after="0"/>
        <w:jc w:val="both"/>
        <w:rPr>
          <w:rFonts w:ascii="Arial" w:hAnsi="Arial" w:cs="Arial"/>
          <w:bCs/>
          <w:color w:val="000000" w:themeColor="text1"/>
          <w:sz w:val="24"/>
          <w:szCs w:val="24"/>
        </w:rPr>
      </w:pPr>
      <w:r w:rsidRPr="006C480F">
        <w:rPr>
          <w:rFonts w:ascii="Arial" w:hAnsi="Arial" w:cs="Arial"/>
          <w:bCs/>
          <w:color w:val="000000" w:themeColor="text1"/>
          <w:sz w:val="24"/>
          <w:szCs w:val="24"/>
        </w:rPr>
        <w:t>As per international standards or university standards written ethical approval has been collected and preserved by the author(s).</w:t>
      </w:r>
    </w:p>
    <w:p w14:paraId="56F32E31" w14:textId="77777777" w:rsidR="006C480F" w:rsidRPr="002448F3" w:rsidRDefault="006C480F" w:rsidP="006C480F">
      <w:pPr>
        <w:pStyle w:val="ReferHead"/>
        <w:spacing w:after="0"/>
        <w:jc w:val="both"/>
        <w:rPr>
          <w:rFonts w:ascii="Arial" w:hAnsi="Arial" w:cs="Arial"/>
          <w:bCs/>
          <w:color w:val="000000" w:themeColor="text1"/>
          <w:sz w:val="24"/>
          <w:szCs w:val="24"/>
        </w:rPr>
      </w:pPr>
    </w:p>
    <w:p w14:paraId="45D87E6B" w14:textId="77777777" w:rsidR="004A381C" w:rsidRPr="002448F3" w:rsidRDefault="004A381C" w:rsidP="004A381C">
      <w:pPr>
        <w:pStyle w:val="Heading2"/>
        <w:rPr>
          <w:rFonts w:ascii="Arial" w:hAnsi="Arial" w:cs="Arial"/>
          <w:color w:val="000000" w:themeColor="text1"/>
          <w:sz w:val="24"/>
          <w:szCs w:val="24"/>
          <w:lang w:val="en-US"/>
        </w:rPr>
      </w:pPr>
      <w:r w:rsidRPr="002448F3">
        <w:rPr>
          <w:rFonts w:ascii="Arial" w:hAnsi="Arial" w:cs="Arial"/>
          <w:color w:val="000000" w:themeColor="text1"/>
          <w:sz w:val="24"/>
          <w:szCs w:val="24"/>
          <w:lang w:val="en-US"/>
        </w:rPr>
        <w:t>Competing Interests</w:t>
      </w:r>
    </w:p>
    <w:p w14:paraId="1D76AC02" w14:textId="77777777" w:rsidR="004A381C" w:rsidRPr="002448F3" w:rsidRDefault="004A381C" w:rsidP="004A381C">
      <w:pPr>
        <w:pStyle w:val="ReferHead"/>
        <w:spacing w:after="0"/>
        <w:jc w:val="both"/>
        <w:rPr>
          <w:rFonts w:ascii="Arial" w:hAnsi="Arial" w:cs="Arial"/>
          <w:b w:val="0"/>
          <w:caps w:val="0"/>
          <w:color w:val="000000" w:themeColor="text1"/>
          <w:sz w:val="24"/>
          <w:szCs w:val="24"/>
        </w:rPr>
      </w:pPr>
      <w:r w:rsidRPr="002448F3">
        <w:rPr>
          <w:rFonts w:ascii="Arial" w:hAnsi="Arial" w:cs="Arial"/>
          <w:b w:val="0"/>
          <w:caps w:val="0"/>
          <w:color w:val="000000" w:themeColor="text1"/>
          <w:sz w:val="24"/>
          <w:szCs w:val="24"/>
        </w:rPr>
        <w:t>Authors have declared that no competing interests exist.</w:t>
      </w:r>
    </w:p>
    <w:p w14:paraId="6CB19A19" w14:textId="77777777" w:rsidR="004A381C" w:rsidRPr="002448F3" w:rsidRDefault="004A381C" w:rsidP="004A381C">
      <w:pPr>
        <w:pStyle w:val="ReferHead"/>
        <w:spacing w:after="0"/>
        <w:jc w:val="both"/>
        <w:rPr>
          <w:rFonts w:ascii="Arial" w:hAnsi="Arial" w:cs="Arial"/>
          <w:b w:val="0"/>
          <w:caps w:val="0"/>
          <w:color w:val="000000" w:themeColor="text1"/>
          <w:sz w:val="16"/>
          <w:szCs w:val="16"/>
        </w:rPr>
      </w:pPr>
    </w:p>
    <w:p w14:paraId="02E47A30" w14:textId="77777777" w:rsidR="004A381C" w:rsidRDefault="004A381C" w:rsidP="004A381C">
      <w:pPr>
        <w:rPr>
          <w:rFonts w:ascii="Arial" w:hAnsi="Arial" w:cs="Arial"/>
          <w:sz w:val="24"/>
          <w:szCs w:val="24"/>
          <w:lang w:val="en-GB"/>
        </w:rPr>
      </w:pPr>
    </w:p>
    <w:p w14:paraId="6F1169AA" w14:textId="6A5F07D4" w:rsidR="006C480F" w:rsidRPr="000D0E4F" w:rsidRDefault="006C480F" w:rsidP="000D0E4F">
      <w:pPr>
        <w:spacing w:line="240" w:lineRule="auto"/>
        <w:jc w:val="both"/>
        <w:rPr>
          <w:rFonts w:ascii="Arial" w:hAnsi="Arial" w:cs="Arial"/>
          <w:bCs/>
          <w:sz w:val="24"/>
          <w:szCs w:val="24"/>
          <w:lang w:val="en-US"/>
        </w:rPr>
      </w:pPr>
      <w:r w:rsidRPr="006C480F">
        <w:rPr>
          <w:rFonts w:ascii="Arial" w:eastAsia="Calibri" w:hAnsi="Arial" w:cs="Arial"/>
          <w:color w:val="000000" w:themeColor="text1"/>
          <w:sz w:val="24"/>
          <w:szCs w:val="24"/>
          <w:lang w:val="en-US"/>
        </w:rPr>
        <w:t>Disclaimer (Artificial Intelligence)</w:t>
      </w:r>
    </w:p>
    <w:p w14:paraId="00955F54" w14:textId="36361093" w:rsidR="004A381C" w:rsidRDefault="006C480F" w:rsidP="000D0E4F">
      <w:pPr>
        <w:adjustRightInd w:val="0"/>
        <w:snapToGrid w:val="0"/>
        <w:spacing w:after="0" w:line="240" w:lineRule="auto"/>
        <w:jc w:val="both"/>
        <w:rPr>
          <w:rFonts w:ascii="Arial" w:eastAsia="Times New Roman" w:hAnsi="Arial" w:cs="Arial"/>
          <w:bCs/>
          <w:snapToGrid w:val="0"/>
          <w:color w:val="000000" w:themeColor="text1"/>
          <w:kern w:val="2"/>
          <w:sz w:val="24"/>
          <w:szCs w:val="24"/>
          <w:lang w:val="en-GB" w:eastAsia="de-DE" w:bidi="en-US"/>
        </w:rPr>
      </w:pPr>
      <w:r w:rsidRPr="006C480F">
        <w:rPr>
          <w:rFonts w:ascii="Arial" w:eastAsia="Times New Roman" w:hAnsi="Arial" w:cs="Arial"/>
          <w:bCs/>
          <w:snapToGrid w:val="0"/>
          <w:color w:val="000000" w:themeColor="text1"/>
          <w:kern w:val="2"/>
          <w:sz w:val="24"/>
          <w:szCs w:val="24"/>
          <w:lang w:val="en-GB" w:eastAsia="de-DE" w:bidi="en-US"/>
        </w:rPr>
        <w:t>Authors hereby declare that NO generative Artificial Intelligence technologies such as Large Language Models (</w:t>
      </w:r>
      <w:proofErr w:type="spellStart"/>
      <w:r w:rsidRPr="006C480F">
        <w:rPr>
          <w:rFonts w:ascii="Arial" w:eastAsia="Times New Roman" w:hAnsi="Arial" w:cs="Arial"/>
          <w:bCs/>
          <w:snapToGrid w:val="0"/>
          <w:color w:val="000000" w:themeColor="text1"/>
          <w:kern w:val="2"/>
          <w:sz w:val="24"/>
          <w:szCs w:val="24"/>
          <w:lang w:val="en-GB" w:eastAsia="de-DE" w:bidi="en-US"/>
        </w:rPr>
        <w:t>ChatGPT</w:t>
      </w:r>
      <w:proofErr w:type="spellEnd"/>
      <w:r w:rsidRPr="006C480F">
        <w:rPr>
          <w:rFonts w:ascii="Arial" w:eastAsia="Times New Roman" w:hAnsi="Arial" w:cs="Arial"/>
          <w:bCs/>
          <w:snapToGrid w:val="0"/>
          <w:color w:val="000000" w:themeColor="text1"/>
          <w:kern w:val="2"/>
          <w:sz w:val="24"/>
          <w:szCs w:val="24"/>
          <w:lang w:val="en-GB" w:eastAsia="de-DE" w:bidi="en-US"/>
        </w:rPr>
        <w:t>, COPILOT, etc.) and test to image generators have been used during the writing or editing of this manuscript.</w:t>
      </w:r>
    </w:p>
    <w:p w14:paraId="5326AAA6" w14:textId="77777777" w:rsidR="000D0E4F" w:rsidRPr="000D0E4F" w:rsidRDefault="000D0E4F" w:rsidP="000D0E4F">
      <w:pPr>
        <w:adjustRightInd w:val="0"/>
        <w:snapToGrid w:val="0"/>
        <w:spacing w:after="0" w:line="240" w:lineRule="auto"/>
        <w:jc w:val="both"/>
        <w:rPr>
          <w:rFonts w:ascii="Arial" w:eastAsia="Times New Roman" w:hAnsi="Arial" w:cs="Arial"/>
          <w:bCs/>
          <w:snapToGrid w:val="0"/>
          <w:color w:val="000000" w:themeColor="text1"/>
          <w:kern w:val="2"/>
          <w:sz w:val="24"/>
          <w:szCs w:val="24"/>
          <w:lang w:val="en-GB" w:eastAsia="de-DE" w:bidi="en-US"/>
        </w:rPr>
      </w:pPr>
      <w:bookmarkStart w:id="0" w:name="_GoBack"/>
      <w:bookmarkEnd w:id="0"/>
    </w:p>
    <w:p w14:paraId="35AF9A08" w14:textId="77777777" w:rsidR="004A381C" w:rsidRPr="004A381C" w:rsidRDefault="004A381C" w:rsidP="004A381C">
      <w:pPr>
        <w:jc w:val="both"/>
        <w:rPr>
          <w:rFonts w:ascii="Arial" w:hAnsi="Arial" w:cs="Arial"/>
          <w:b/>
          <w:sz w:val="20"/>
          <w:szCs w:val="20"/>
          <w:lang w:val="en-US"/>
        </w:rPr>
      </w:pPr>
      <w:r w:rsidRPr="004A381C">
        <w:rPr>
          <w:rFonts w:ascii="Arial" w:hAnsi="Arial" w:cs="Arial"/>
          <w:b/>
          <w:sz w:val="20"/>
          <w:szCs w:val="20"/>
          <w:lang w:val="en-US"/>
        </w:rPr>
        <w:t>References</w:t>
      </w:r>
    </w:p>
    <w:p w14:paraId="2CB4EB57" w14:textId="228DDB84"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sz w:val="20"/>
          <w:szCs w:val="20"/>
          <w:lang w:val="en-US"/>
        </w:rPr>
        <w:t xml:space="preserve">St </w:t>
      </w:r>
      <w:proofErr w:type="spellStart"/>
      <w:r w:rsidRPr="004A381C">
        <w:rPr>
          <w:rFonts w:ascii="Arial" w:hAnsi="Arial" w:cs="Arial"/>
          <w:sz w:val="20"/>
          <w:szCs w:val="20"/>
          <w:lang w:val="en-US"/>
        </w:rPr>
        <w:t>Lezin</w:t>
      </w:r>
      <w:proofErr w:type="spellEnd"/>
      <w:r w:rsidRPr="004A381C">
        <w:rPr>
          <w:rFonts w:ascii="Arial" w:hAnsi="Arial" w:cs="Arial"/>
          <w:sz w:val="20"/>
          <w:szCs w:val="20"/>
          <w:lang w:val="en-US"/>
        </w:rPr>
        <w:t xml:space="preserve"> E, </w:t>
      </w:r>
      <w:proofErr w:type="spellStart"/>
      <w:r w:rsidRPr="004A381C">
        <w:rPr>
          <w:rFonts w:ascii="Arial" w:hAnsi="Arial" w:cs="Arial"/>
          <w:sz w:val="20"/>
          <w:szCs w:val="20"/>
          <w:lang w:val="en-US"/>
        </w:rPr>
        <w:t>Karafin</w:t>
      </w:r>
      <w:proofErr w:type="spellEnd"/>
      <w:r w:rsidRPr="004A381C">
        <w:rPr>
          <w:rFonts w:ascii="Arial" w:hAnsi="Arial" w:cs="Arial"/>
          <w:sz w:val="20"/>
          <w:szCs w:val="20"/>
          <w:lang w:val="en-US"/>
        </w:rPr>
        <w:t xml:space="preserve"> MS, Bruhn R, Chowdhury D, Qu L, Bialkowski W, Merenda S, D'Andrea P, McCalla AL, Anderson L, Keating SM, Stone M, Snyder EL, Brambilla D, Murphy EL, Norris PJ, Hilton JF, Spencer BR, Kleinman S,</w:t>
      </w:r>
      <w:r w:rsidR="009D5942">
        <w:rPr>
          <w:rFonts w:ascii="Arial" w:hAnsi="Arial" w:cs="Arial"/>
          <w:sz w:val="20"/>
          <w:szCs w:val="20"/>
          <w:lang w:val="en-US"/>
        </w:rPr>
        <w:t xml:space="preserve"> and</w:t>
      </w:r>
      <w:r w:rsidRPr="004A381C">
        <w:rPr>
          <w:rFonts w:ascii="Arial" w:hAnsi="Arial" w:cs="Arial"/>
          <w:sz w:val="20"/>
          <w:szCs w:val="20"/>
          <w:lang w:val="en-US"/>
        </w:rPr>
        <w:t xml:space="preserve"> Carson JL</w:t>
      </w:r>
      <w:r w:rsidR="009D5942">
        <w:rPr>
          <w:rFonts w:ascii="Arial" w:hAnsi="Arial" w:cs="Arial"/>
          <w:sz w:val="20"/>
          <w:szCs w:val="20"/>
          <w:lang w:val="en-US"/>
        </w:rPr>
        <w:t>.</w:t>
      </w:r>
      <w:r w:rsidRPr="004A381C">
        <w:rPr>
          <w:rFonts w:ascii="Arial" w:hAnsi="Arial" w:cs="Arial"/>
          <w:sz w:val="20"/>
          <w:szCs w:val="20"/>
          <w:lang w:val="en-US"/>
        </w:rPr>
        <w:t xml:space="preserve"> NHLBI Recipient Epidemiology and Donor Evaluation Study (REDS)-III Program. Therapeutic impact of red blood cell transfusion on anemic outpatients: the RETRO study. Transfusion. 2019; 59(6):1934-1943. </w:t>
      </w:r>
      <w:proofErr w:type="spellStart"/>
      <w:r w:rsidRPr="004A381C">
        <w:rPr>
          <w:rFonts w:ascii="Arial" w:hAnsi="Arial" w:cs="Arial"/>
          <w:sz w:val="20"/>
          <w:szCs w:val="20"/>
          <w:lang w:val="en-US"/>
        </w:rPr>
        <w:t>doi</w:t>
      </w:r>
      <w:proofErr w:type="spellEnd"/>
      <w:r w:rsidRPr="004A381C">
        <w:rPr>
          <w:rFonts w:ascii="Arial" w:hAnsi="Arial" w:cs="Arial"/>
          <w:sz w:val="20"/>
          <w:szCs w:val="20"/>
          <w:lang w:val="en-US"/>
        </w:rPr>
        <w:t>: 10.1111/trf.15249.</w:t>
      </w:r>
    </w:p>
    <w:p w14:paraId="33B5388E" w14:textId="72164FED"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sz w:val="20"/>
          <w:szCs w:val="20"/>
        </w:rPr>
        <w:t xml:space="preserve">Lelubre C, Vincent JL, </w:t>
      </w:r>
      <w:r w:rsidR="009D5942">
        <w:rPr>
          <w:rFonts w:ascii="Arial" w:hAnsi="Arial" w:cs="Arial"/>
          <w:sz w:val="20"/>
          <w:szCs w:val="20"/>
        </w:rPr>
        <w:t xml:space="preserve">and </w:t>
      </w:r>
      <w:r w:rsidRPr="004A381C">
        <w:rPr>
          <w:rFonts w:ascii="Arial" w:hAnsi="Arial" w:cs="Arial"/>
          <w:sz w:val="20"/>
          <w:szCs w:val="20"/>
        </w:rPr>
        <w:t xml:space="preserve">Taccone FS. </w:t>
      </w:r>
      <w:r w:rsidRPr="004A381C">
        <w:rPr>
          <w:rFonts w:ascii="Arial" w:hAnsi="Arial" w:cs="Arial"/>
          <w:sz w:val="20"/>
          <w:szCs w:val="20"/>
          <w:lang w:val="en-US"/>
        </w:rPr>
        <w:t>Red blood cell transfusion strategies in critically ill patients: lessons from recent randomized clinical studies. Minerva Anestesiol. 2016; 82:1010–6.</w:t>
      </w:r>
      <w:r w:rsidRPr="004A381C">
        <w:rPr>
          <w:rFonts w:ascii="Arial" w:hAnsi="Arial" w:cs="Arial"/>
          <w:color w:val="212121"/>
          <w:sz w:val="20"/>
          <w:szCs w:val="20"/>
          <w:shd w:val="clear" w:color="auto" w:fill="FFFFFF"/>
        </w:rPr>
        <w:t xml:space="preserve"> PMID: 26756380.</w:t>
      </w:r>
    </w:p>
    <w:p w14:paraId="4A477228" w14:textId="274D9286"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000000"/>
          <w:sz w:val="20"/>
          <w:szCs w:val="20"/>
          <w:lang w:val="en-US"/>
        </w:rPr>
        <w:t xml:space="preserve">Buckstein R, </w:t>
      </w:r>
      <w:proofErr w:type="spellStart"/>
      <w:r w:rsidRPr="004A381C">
        <w:rPr>
          <w:rFonts w:ascii="Arial" w:hAnsi="Arial" w:cs="Arial"/>
          <w:color w:val="000000"/>
          <w:sz w:val="20"/>
          <w:szCs w:val="20"/>
          <w:lang w:val="en-US"/>
        </w:rPr>
        <w:t>Callum</w:t>
      </w:r>
      <w:proofErr w:type="spellEnd"/>
      <w:r w:rsidRPr="004A381C">
        <w:rPr>
          <w:rFonts w:ascii="Arial" w:hAnsi="Arial" w:cs="Arial"/>
          <w:color w:val="000000"/>
          <w:sz w:val="20"/>
          <w:szCs w:val="20"/>
          <w:lang w:val="en-US"/>
        </w:rPr>
        <w:t xml:space="preserve"> J, </w:t>
      </w:r>
      <w:proofErr w:type="spellStart"/>
      <w:r w:rsidRPr="004A381C">
        <w:rPr>
          <w:rFonts w:ascii="Arial" w:hAnsi="Arial" w:cs="Arial"/>
          <w:color w:val="000000"/>
          <w:sz w:val="20"/>
          <w:szCs w:val="20"/>
          <w:lang w:val="en-US"/>
        </w:rPr>
        <w:t>Prica</w:t>
      </w:r>
      <w:proofErr w:type="spellEnd"/>
      <w:r w:rsidRPr="004A381C">
        <w:rPr>
          <w:rFonts w:ascii="Arial" w:hAnsi="Arial" w:cs="Arial"/>
          <w:color w:val="000000"/>
          <w:sz w:val="20"/>
          <w:szCs w:val="20"/>
          <w:lang w:val="en-US"/>
        </w:rPr>
        <w:t xml:space="preserve"> A, Bowen D, Wells RA, Leber B, Heddle N, </w:t>
      </w:r>
      <w:proofErr w:type="spellStart"/>
      <w:r w:rsidRPr="004A381C">
        <w:rPr>
          <w:rFonts w:ascii="Arial" w:hAnsi="Arial" w:cs="Arial"/>
          <w:color w:val="000000"/>
          <w:sz w:val="20"/>
          <w:szCs w:val="20"/>
          <w:lang w:val="en-US"/>
        </w:rPr>
        <w:t>Chodirker</w:t>
      </w:r>
      <w:proofErr w:type="spellEnd"/>
      <w:r w:rsidRPr="004A381C">
        <w:rPr>
          <w:rFonts w:ascii="Arial" w:hAnsi="Arial" w:cs="Arial"/>
          <w:color w:val="000000"/>
          <w:sz w:val="20"/>
          <w:szCs w:val="20"/>
          <w:lang w:val="en-US"/>
        </w:rPr>
        <w:t xml:space="preserve"> L, Cheung M, </w:t>
      </w:r>
      <w:proofErr w:type="spellStart"/>
      <w:r w:rsidRPr="004A381C">
        <w:rPr>
          <w:rFonts w:ascii="Arial" w:hAnsi="Arial" w:cs="Arial"/>
          <w:color w:val="000000"/>
          <w:sz w:val="20"/>
          <w:szCs w:val="20"/>
          <w:lang w:val="en-US"/>
        </w:rPr>
        <w:t>Mozessohn</w:t>
      </w:r>
      <w:proofErr w:type="spellEnd"/>
      <w:r w:rsidRPr="004A381C">
        <w:rPr>
          <w:rFonts w:ascii="Arial" w:hAnsi="Arial" w:cs="Arial"/>
          <w:color w:val="000000"/>
          <w:sz w:val="20"/>
          <w:szCs w:val="20"/>
          <w:lang w:val="en-US"/>
        </w:rPr>
        <w:t xml:space="preserve"> L, Yee K, Gallagher J, </w:t>
      </w:r>
      <w:proofErr w:type="spellStart"/>
      <w:r w:rsidRPr="004A381C">
        <w:rPr>
          <w:rFonts w:ascii="Arial" w:hAnsi="Arial" w:cs="Arial"/>
          <w:color w:val="000000"/>
          <w:sz w:val="20"/>
          <w:szCs w:val="20"/>
          <w:lang w:val="en-US"/>
        </w:rPr>
        <w:t>Parmentier</w:t>
      </w:r>
      <w:proofErr w:type="spellEnd"/>
      <w:r w:rsidRPr="004A381C">
        <w:rPr>
          <w:rFonts w:ascii="Arial" w:hAnsi="Arial" w:cs="Arial"/>
          <w:color w:val="000000"/>
          <w:sz w:val="20"/>
          <w:szCs w:val="20"/>
          <w:lang w:val="en-US"/>
        </w:rPr>
        <w:t xml:space="preserve"> A, </w:t>
      </w:r>
      <w:proofErr w:type="spellStart"/>
      <w:r w:rsidRPr="004A381C">
        <w:rPr>
          <w:rFonts w:ascii="Arial" w:hAnsi="Arial" w:cs="Arial"/>
          <w:color w:val="000000"/>
          <w:sz w:val="20"/>
          <w:szCs w:val="20"/>
          <w:lang w:val="en-US"/>
        </w:rPr>
        <w:t>Jamula</w:t>
      </w:r>
      <w:proofErr w:type="spellEnd"/>
      <w:r w:rsidRPr="004A381C">
        <w:rPr>
          <w:rFonts w:ascii="Arial" w:hAnsi="Arial" w:cs="Arial"/>
          <w:color w:val="000000"/>
          <w:sz w:val="20"/>
          <w:szCs w:val="20"/>
          <w:lang w:val="en-US"/>
        </w:rPr>
        <w:t xml:space="preserve"> E, Zhang L, Mamedov A, Stanworth SJ, </w:t>
      </w:r>
      <w:r w:rsidR="009D5942">
        <w:rPr>
          <w:rFonts w:ascii="Arial" w:hAnsi="Arial" w:cs="Arial"/>
          <w:color w:val="000000"/>
          <w:sz w:val="20"/>
          <w:szCs w:val="20"/>
          <w:lang w:val="en-US"/>
        </w:rPr>
        <w:t xml:space="preserve">and </w:t>
      </w:r>
      <w:r w:rsidRPr="004A381C">
        <w:rPr>
          <w:rFonts w:ascii="Arial" w:hAnsi="Arial" w:cs="Arial"/>
          <w:color w:val="000000"/>
          <w:sz w:val="20"/>
          <w:szCs w:val="20"/>
          <w:lang w:val="en-US"/>
        </w:rPr>
        <w:t xml:space="preserve">Lin Y. Red cell transfusion thresholds in outpatients with myelodysplastic syndromes: Results of a pilot randomized trial RBC-ENHANCE. Transfusion. 2024; 64: 223-235. </w:t>
      </w:r>
      <w:proofErr w:type="spellStart"/>
      <w:r w:rsidRPr="004A381C">
        <w:rPr>
          <w:rFonts w:ascii="Arial" w:hAnsi="Arial" w:cs="Arial"/>
          <w:color w:val="000000"/>
          <w:sz w:val="20"/>
          <w:szCs w:val="20"/>
          <w:lang w:val="en-US"/>
        </w:rPr>
        <w:t>doi</w:t>
      </w:r>
      <w:proofErr w:type="spellEnd"/>
      <w:r w:rsidRPr="004A381C">
        <w:rPr>
          <w:rFonts w:ascii="Arial" w:hAnsi="Arial" w:cs="Arial"/>
          <w:color w:val="000000"/>
          <w:sz w:val="20"/>
          <w:szCs w:val="20"/>
          <w:lang w:val="en-US"/>
        </w:rPr>
        <w:t>: 10.1111/trf.17721</w:t>
      </w:r>
      <w:r w:rsidRPr="004A381C">
        <w:rPr>
          <w:rFonts w:ascii="Arial" w:hAnsi="Arial" w:cs="Arial"/>
          <w:color w:val="000000"/>
          <w:sz w:val="20"/>
          <w:szCs w:val="20"/>
        </w:rPr>
        <w:t>.</w:t>
      </w:r>
    </w:p>
    <w:p w14:paraId="31F348D1" w14:textId="5B932D06"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212121"/>
          <w:sz w:val="20"/>
          <w:szCs w:val="20"/>
          <w:shd w:val="clear" w:color="auto" w:fill="FFFFFF"/>
          <w:lang w:val="en-US"/>
        </w:rPr>
        <w:t xml:space="preserve">Carson JL, Stanworth SJ, Guyatt G, Valentine S, Dennis J, Bakhtary S, Cohn CS, Dubon A, Grossman BJ, Gupta GK, Hess AS, Jacobson JL, Kaplan LJ, Lin Y, Metcalf RA, Murphy CH, </w:t>
      </w:r>
      <w:proofErr w:type="spellStart"/>
      <w:r w:rsidRPr="004A381C">
        <w:rPr>
          <w:rFonts w:ascii="Arial" w:hAnsi="Arial" w:cs="Arial"/>
          <w:color w:val="212121"/>
          <w:sz w:val="20"/>
          <w:szCs w:val="20"/>
          <w:shd w:val="clear" w:color="auto" w:fill="FFFFFF"/>
          <w:lang w:val="en-US"/>
        </w:rPr>
        <w:t>Pavenski</w:t>
      </w:r>
      <w:proofErr w:type="spellEnd"/>
      <w:r w:rsidRPr="004A381C">
        <w:rPr>
          <w:rFonts w:ascii="Arial" w:hAnsi="Arial" w:cs="Arial"/>
          <w:color w:val="212121"/>
          <w:sz w:val="20"/>
          <w:szCs w:val="20"/>
          <w:shd w:val="clear" w:color="auto" w:fill="FFFFFF"/>
          <w:lang w:val="en-US"/>
        </w:rPr>
        <w:t xml:space="preserve"> K, Prochaska MT, Raval JS, Salazar E, Saifee NH, Tobian AAR, So-Osman C, Waters J, Wood EM, </w:t>
      </w:r>
      <w:proofErr w:type="spellStart"/>
      <w:r w:rsidRPr="004A381C">
        <w:rPr>
          <w:rFonts w:ascii="Arial" w:hAnsi="Arial" w:cs="Arial"/>
          <w:color w:val="212121"/>
          <w:sz w:val="20"/>
          <w:szCs w:val="20"/>
          <w:shd w:val="clear" w:color="auto" w:fill="FFFFFF"/>
          <w:lang w:val="en-US"/>
        </w:rPr>
        <w:t>Zantek</w:t>
      </w:r>
      <w:proofErr w:type="spellEnd"/>
      <w:r w:rsidRPr="004A381C">
        <w:rPr>
          <w:rFonts w:ascii="Arial" w:hAnsi="Arial" w:cs="Arial"/>
          <w:color w:val="212121"/>
          <w:sz w:val="20"/>
          <w:szCs w:val="20"/>
          <w:shd w:val="clear" w:color="auto" w:fill="FFFFFF"/>
          <w:lang w:val="en-US"/>
        </w:rPr>
        <w:t xml:space="preserve"> </w:t>
      </w:r>
      <w:proofErr w:type="spellStart"/>
      <w:proofErr w:type="gramStart"/>
      <w:r w:rsidRPr="004A381C">
        <w:rPr>
          <w:rFonts w:ascii="Arial" w:hAnsi="Arial" w:cs="Arial"/>
          <w:color w:val="212121"/>
          <w:sz w:val="20"/>
          <w:szCs w:val="20"/>
          <w:shd w:val="clear" w:color="auto" w:fill="FFFFFF"/>
          <w:lang w:val="en-US"/>
        </w:rPr>
        <w:t>ND,</w:t>
      </w:r>
      <w:r w:rsidR="009D5942">
        <w:rPr>
          <w:rFonts w:ascii="Arial" w:hAnsi="Arial" w:cs="Arial"/>
          <w:color w:val="212121"/>
          <w:sz w:val="20"/>
          <w:szCs w:val="20"/>
          <w:shd w:val="clear" w:color="auto" w:fill="FFFFFF"/>
          <w:lang w:val="en-US"/>
        </w:rPr>
        <w:t>and</w:t>
      </w:r>
      <w:proofErr w:type="spellEnd"/>
      <w:proofErr w:type="gramEnd"/>
      <w:r w:rsidR="009D5942">
        <w:rPr>
          <w:rFonts w:ascii="Arial" w:hAnsi="Arial" w:cs="Arial"/>
          <w:color w:val="212121"/>
          <w:sz w:val="20"/>
          <w:szCs w:val="20"/>
          <w:shd w:val="clear" w:color="auto" w:fill="FFFFFF"/>
          <w:lang w:val="en-US"/>
        </w:rPr>
        <w:t xml:space="preserve"> </w:t>
      </w:r>
      <w:r w:rsidRPr="004A381C">
        <w:rPr>
          <w:rFonts w:ascii="Arial" w:hAnsi="Arial" w:cs="Arial"/>
          <w:color w:val="212121"/>
          <w:sz w:val="20"/>
          <w:szCs w:val="20"/>
          <w:shd w:val="clear" w:color="auto" w:fill="FFFFFF"/>
          <w:lang w:val="en-US"/>
        </w:rPr>
        <w:t xml:space="preserve"> Pagano MB. Red Blood Cell Transfusion: 2023 AABB International Guidelines. JAMA. 2023; 330: 1892-1902.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xml:space="preserve">: 10.1001/jama.2023.12914. </w:t>
      </w:r>
    </w:p>
    <w:p w14:paraId="5D3D3D0F" w14:textId="0C56E43D"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proofErr w:type="gramStart"/>
      <w:r w:rsidRPr="004A381C">
        <w:rPr>
          <w:rFonts w:ascii="Arial" w:hAnsi="Arial" w:cs="Arial"/>
          <w:color w:val="212121"/>
          <w:sz w:val="20"/>
          <w:szCs w:val="20"/>
          <w:shd w:val="clear" w:color="auto" w:fill="FFFFFF"/>
          <w:lang w:val="en-US"/>
        </w:rPr>
        <w:t>.Coz</w:t>
      </w:r>
      <w:proofErr w:type="gramEnd"/>
      <w:r w:rsidRPr="004A381C">
        <w:rPr>
          <w:rFonts w:ascii="Arial" w:hAnsi="Arial" w:cs="Arial"/>
          <w:color w:val="212121"/>
          <w:sz w:val="20"/>
          <w:szCs w:val="20"/>
          <w:shd w:val="clear" w:color="auto" w:fill="FFFFFF"/>
          <w:lang w:val="en-US"/>
        </w:rPr>
        <w:t xml:space="preserve"> </w:t>
      </w:r>
      <w:proofErr w:type="spellStart"/>
      <w:r w:rsidRPr="004A381C">
        <w:rPr>
          <w:rFonts w:ascii="Arial" w:hAnsi="Arial" w:cs="Arial"/>
          <w:color w:val="212121"/>
          <w:sz w:val="20"/>
          <w:szCs w:val="20"/>
          <w:shd w:val="clear" w:color="auto" w:fill="FFFFFF"/>
          <w:lang w:val="en-US"/>
        </w:rPr>
        <w:t>Yataco</w:t>
      </w:r>
      <w:proofErr w:type="spellEnd"/>
      <w:r w:rsidRPr="004A381C">
        <w:rPr>
          <w:rFonts w:ascii="Arial" w:hAnsi="Arial" w:cs="Arial"/>
          <w:color w:val="212121"/>
          <w:sz w:val="20"/>
          <w:szCs w:val="20"/>
          <w:shd w:val="clear" w:color="auto" w:fill="FFFFFF"/>
          <w:lang w:val="en-US"/>
        </w:rPr>
        <w:t xml:space="preserve"> AO, </w:t>
      </w:r>
      <w:proofErr w:type="spellStart"/>
      <w:r w:rsidRPr="004A381C">
        <w:rPr>
          <w:rFonts w:ascii="Arial" w:hAnsi="Arial" w:cs="Arial"/>
          <w:color w:val="212121"/>
          <w:sz w:val="20"/>
          <w:szCs w:val="20"/>
          <w:shd w:val="clear" w:color="auto" w:fill="FFFFFF"/>
          <w:lang w:val="en-US"/>
        </w:rPr>
        <w:t>Soghier</w:t>
      </w:r>
      <w:proofErr w:type="spellEnd"/>
      <w:r w:rsidRPr="004A381C">
        <w:rPr>
          <w:rFonts w:ascii="Arial" w:hAnsi="Arial" w:cs="Arial"/>
          <w:color w:val="212121"/>
          <w:sz w:val="20"/>
          <w:szCs w:val="20"/>
          <w:shd w:val="clear" w:color="auto" w:fill="FFFFFF"/>
          <w:lang w:val="en-US"/>
        </w:rPr>
        <w:t xml:space="preserve"> I, Hébert PC, </w:t>
      </w:r>
      <w:proofErr w:type="spellStart"/>
      <w:r w:rsidRPr="004A381C">
        <w:rPr>
          <w:rFonts w:ascii="Arial" w:hAnsi="Arial" w:cs="Arial"/>
          <w:color w:val="212121"/>
          <w:sz w:val="20"/>
          <w:szCs w:val="20"/>
          <w:shd w:val="clear" w:color="auto" w:fill="FFFFFF"/>
          <w:lang w:val="en-US"/>
        </w:rPr>
        <w:t>Belley</w:t>
      </w:r>
      <w:proofErr w:type="spellEnd"/>
      <w:r w:rsidRPr="004A381C">
        <w:rPr>
          <w:rFonts w:ascii="Arial" w:hAnsi="Arial" w:cs="Arial"/>
          <w:color w:val="212121"/>
          <w:sz w:val="20"/>
          <w:szCs w:val="20"/>
          <w:shd w:val="clear" w:color="auto" w:fill="FFFFFF"/>
          <w:lang w:val="en-US"/>
        </w:rPr>
        <w:t xml:space="preserve">-Cote E, </w:t>
      </w:r>
      <w:proofErr w:type="spellStart"/>
      <w:r w:rsidRPr="004A381C">
        <w:rPr>
          <w:rFonts w:ascii="Arial" w:hAnsi="Arial" w:cs="Arial"/>
          <w:color w:val="212121"/>
          <w:sz w:val="20"/>
          <w:szCs w:val="20"/>
          <w:shd w:val="clear" w:color="auto" w:fill="FFFFFF"/>
          <w:lang w:val="en-US"/>
        </w:rPr>
        <w:t>Disselkamp</w:t>
      </w:r>
      <w:proofErr w:type="spellEnd"/>
      <w:r w:rsidRPr="004A381C">
        <w:rPr>
          <w:rFonts w:ascii="Arial" w:hAnsi="Arial" w:cs="Arial"/>
          <w:color w:val="212121"/>
          <w:sz w:val="20"/>
          <w:szCs w:val="20"/>
          <w:shd w:val="clear" w:color="auto" w:fill="FFFFFF"/>
          <w:lang w:val="en-US"/>
        </w:rPr>
        <w:t xml:space="preserve"> M, Flynn D, Halvorson K, Iaccarino JM, Lim W, Lindenmeyer CC, Miller PJ, O'Neil K, Pendleton KM, </w:t>
      </w:r>
      <w:proofErr w:type="spellStart"/>
      <w:r w:rsidRPr="004A381C">
        <w:rPr>
          <w:rFonts w:ascii="Arial" w:hAnsi="Arial" w:cs="Arial"/>
          <w:color w:val="212121"/>
          <w:sz w:val="20"/>
          <w:szCs w:val="20"/>
          <w:shd w:val="clear" w:color="auto" w:fill="FFFFFF"/>
          <w:lang w:val="en-US"/>
        </w:rPr>
        <w:t>Vande</w:t>
      </w:r>
      <w:proofErr w:type="spellEnd"/>
      <w:r w:rsidRPr="004A381C">
        <w:rPr>
          <w:rFonts w:ascii="Arial" w:hAnsi="Arial" w:cs="Arial"/>
          <w:color w:val="212121"/>
          <w:sz w:val="20"/>
          <w:szCs w:val="20"/>
          <w:shd w:val="clear" w:color="auto" w:fill="FFFFFF"/>
          <w:lang w:val="en-US"/>
        </w:rPr>
        <w:t xml:space="preserve"> </w:t>
      </w:r>
      <w:proofErr w:type="spellStart"/>
      <w:r w:rsidRPr="004A381C">
        <w:rPr>
          <w:rFonts w:ascii="Arial" w:hAnsi="Arial" w:cs="Arial"/>
          <w:color w:val="212121"/>
          <w:sz w:val="20"/>
          <w:szCs w:val="20"/>
          <w:shd w:val="clear" w:color="auto" w:fill="FFFFFF"/>
          <w:lang w:val="en-US"/>
        </w:rPr>
        <w:t>Vusse</w:t>
      </w:r>
      <w:proofErr w:type="spellEnd"/>
      <w:r w:rsidRPr="004A381C">
        <w:rPr>
          <w:rFonts w:ascii="Arial" w:hAnsi="Arial" w:cs="Arial"/>
          <w:color w:val="212121"/>
          <w:sz w:val="20"/>
          <w:szCs w:val="20"/>
          <w:shd w:val="clear" w:color="auto" w:fill="FFFFFF"/>
          <w:lang w:val="en-US"/>
        </w:rPr>
        <w:t xml:space="preserve"> L, </w:t>
      </w:r>
      <w:r w:rsidR="009D5942">
        <w:rPr>
          <w:rFonts w:ascii="Arial" w:hAnsi="Arial" w:cs="Arial"/>
          <w:color w:val="212121"/>
          <w:sz w:val="20"/>
          <w:szCs w:val="20"/>
          <w:shd w:val="clear" w:color="auto" w:fill="FFFFFF"/>
          <w:lang w:val="en-US"/>
        </w:rPr>
        <w:t xml:space="preserve">and </w:t>
      </w:r>
      <w:r w:rsidRPr="004A381C">
        <w:rPr>
          <w:rFonts w:ascii="Arial" w:hAnsi="Arial" w:cs="Arial"/>
          <w:color w:val="212121"/>
          <w:sz w:val="20"/>
          <w:szCs w:val="20"/>
          <w:shd w:val="clear" w:color="auto" w:fill="FFFFFF"/>
          <w:lang w:val="en-US"/>
        </w:rPr>
        <w:t xml:space="preserve">Ouellette DR. Red Blood Cell Transfusion in Critically Ill Adults: An American College of Chest Physicians Clinical Practice Guideline. Chest. 2025 Feb;167(2):477-489.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xml:space="preserve">: 10.1016/j.chest.2024.09.016. </w:t>
      </w:r>
      <w:proofErr w:type="spellStart"/>
      <w:r w:rsidRPr="004A381C">
        <w:rPr>
          <w:rFonts w:ascii="Arial" w:hAnsi="Arial" w:cs="Arial"/>
          <w:color w:val="212121"/>
          <w:sz w:val="20"/>
          <w:szCs w:val="20"/>
          <w:shd w:val="clear" w:color="auto" w:fill="FFFFFF"/>
          <w:lang w:val="en-US"/>
        </w:rPr>
        <w:t>Epub</w:t>
      </w:r>
      <w:proofErr w:type="spellEnd"/>
      <w:r w:rsidRPr="004A381C">
        <w:rPr>
          <w:rFonts w:ascii="Arial" w:hAnsi="Arial" w:cs="Arial"/>
          <w:color w:val="212121"/>
          <w:sz w:val="20"/>
          <w:szCs w:val="20"/>
          <w:shd w:val="clear" w:color="auto" w:fill="FFFFFF"/>
          <w:lang w:val="en-US"/>
        </w:rPr>
        <w:t xml:space="preserve"> 2024 Sep 26. PMID: 39341492; PMCID: PMC11867898.</w:t>
      </w:r>
    </w:p>
    <w:p w14:paraId="115C5F10" w14:textId="4273B7F0"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sz w:val="20"/>
          <w:szCs w:val="20"/>
          <w:lang w:val="en-US"/>
        </w:rPr>
        <w:t xml:space="preserve">Moras E, Abbott JD, </w:t>
      </w:r>
      <w:r w:rsidR="009D5942">
        <w:rPr>
          <w:rFonts w:ascii="Arial" w:hAnsi="Arial" w:cs="Arial"/>
          <w:sz w:val="20"/>
          <w:szCs w:val="20"/>
          <w:lang w:val="en-US"/>
        </w:rPr>
        <w:t xml:space="preserve">and </w:t>
      </w:r>
      <w:proofErr w:type="spellStart"/>
      <w:r w:rsidRPr="004A381C">
        <w:rPr>
          <w:rFonts w:ascii="Arial" w:hAnsi="Arial" w:cs="Arial"/>
          <w:sz w:val="20"/>
          <w:szCs w:val="20"/>
          <w:lang w:val="en-US"/>
        </w:rPr>
        <w:t>Vallabhajosyula</w:t>
      </w:r>
      <w:proofErr w:type="spellEnd"/>
      <w:r w:rsidRPr="004A381C">
        <w:rPr>
          <w:rFonts w:ascii="Arial" w:hAnsi="Arial" w:cs="Arial"/>
          <w:sz w:val="20"/>
          <w:szCs w:val="20"/>
          <w:lang w:val="en-US"/>
        </w:rPr>
        <w:t xml:space="preserve"> S. AABB recommends restrictive RBC transfusions for hospitalized adults and children. Ann Intern Med. 2024; 177: JC14. </w:t>
      </w:r>
      <w:proofErr w:type="spellStart"/>
      <w:r w:rsidRPr="004A381C">
        <w:rPr>
          <w:rFonts w:ascii="Arial" w:hAnsi="Arial" w:cs="Arial"/>
          <w:sz w:val="20"/>
          <w:szCs w:val="20"/>
          <w:lang w:val="en-US"/>
        </w:rPr>
        <w:t>doi</w:t>
      </w:r>
      <w:proofErr w:type="spellEnd"/>
      <w:r w:rsidRPr="004A381C">
        <w:rPr>
          <w:rFonts w:ascii="Arial" w:hAnsi="Arial" w:cs="Arial"/>
          <w:sz w:val="20"/>
          <w:szCs w:val="20"/>
          <w:lang w:val="en-US"/>
        </w:rPr>
        <w:t>: 10.7326/J23-0116.</w:t>
      </w:r>
    </w:p>
    <w:p w14:paraId="1FB7B0E5" w14:textId="61AF815A"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1B1B1B"/>
          <w:sz w:val="20"/>
          <w:szCs w:val="20"/>
          <w:shd w:val="clear" w:color="auto" w:fill="FFFFFF"/>
        </w:rPr>
        <w:t xml:space="preserve">Franchini M, Marano G, Veropalumbo E, Masiello F, Pati I, Candura F, Profili S, Catalano L, Piccinini V, Pupella S, Vaglio S, </w:t>
      </w:r>
      <w:r w:rsidR="009D5942">
        <w:rPr>
          <w:rFonts w:ascii="Arial" w:hAnsi="Arial" w:cs="Arial"/>
          <w:color w:val="1B1B1B"/>
          <w:sz w:val="20"/>
          <w:szCs w:val="20"/>
          <w:shd w:val="clear" w:color="auto" w:fill="FFFFFF"/>
        </w:rPr>
        <w:t xml:space="preserve">and </w:t>
      </w:r>
      <w:r w:rsidRPr="004A381C">
        <w:rPr>
          <w:rFonts w:ascii="Arial" w:hAnsi="Arial" w:cs="Arial"/>
          <w:color w:val="1B1B1B"/>
          <w:sz w:val="20"/>
          <w:szCs w:val="20"/>
          <w:shd w:val="clear" w:color="auto" w:fill="FFFFFF"/>
        </w:rPr>
        <w:t xml:space="preserve">Liumbruno GM. </w:t>
      </w:r>
      <w:r w:rsidRPr="004A381C">
        <w:rPr>
          <w:rFonts w:ascii="Arial" w:hAnsi="Arial" w:cs="Arial"/>
          <w:color w:val="1B1B1B"/>
          <w:sz w:val="20"/>
          <w:szCs w:val="20"/>
          <w:shd w:val="clear" w:color="auto" w:fill="FFFFFF"/>
          <w:lang w:val="en-US"/>
        </w:rPr>
        <w:t xml:space="preserve">Patient Blood Management: a revolutionary approach to transfusion medicine. Blood </w:t>
      </w:r>
      <w:proofErr w:type="spellStart"/>
      <w:r w:rsidRPr="004A381C">
        <w:rPr>
          <w:rFonts w:ascii="Arial" w:hAnsi="Arial" w:cs="Arial"/>
          <w:color w:val="1B1B1B"/>
          <w:sz w:val="20"/>
          <w:szCs w:val="20"/>
          <w:shd w:val="clear" w:color="auto" w:fill="FFFFFF"/>
          <w:lang w:val="en-US"/>
        </w:rPr>
        <w:t>Transfus</w:t>
      </w:r>
      <w:proofErr w:type="spellEnd"/>
      <w:r w:rsidRPr="004A381C">
        <w:rPr>
          <w:rFonts w:ascii="Arial" w:hAnsi="Arial" w:cs="Arial"/>
          <w:color w:val="1B1B1B"/>
          <w:sz w:val="20"/>
          <w:szCs w:val="20"/>
          <w:shd w:val="clear" w:color="auto" w:fill="FFFFFF"/>
          <w:lang w:val="en-US"/>
        </w:rPr>
        <w:t xml:space="preserve">. 2019; 17: 191-195. </w:t>
      </w:r>
      <w:proofErr w:type="spellStart"/>
      <w:r w:rsidRPr="004A381C">
        <w:rPr>
          <w:rFonts w:ascii="Arial" w:hAnsi="Arial" w:cs="Arial"/>
          <w:color w:val="1B1B1B"/>
          <w:sz w:val="20"/>
          <w:szCs w:val="20"/>
          <w:shd w:val="clear" w:color="auto" w:fill="FFFFFF"/>
          <w:lang w:val="en-US"/>
        </w:rPr>
        <w:t>doi</w:t>
      </w:r>
      <w:proofErr w:type="spellEnd"/>
      <w:r w:rsidRPr="004A381C">
        <w:rPr>
          <w:rFonts w:ascii="Arial" w:hAnsi="Arial" w:cs="Arial"/>
          <w:color w:val="1B1B1B"/>
          <w:sz w:val="20"/>
          <w:szCs w:val="20"/>
          <w:shd w:val="clear" w:color="auto" w:fill="FFFFFF"/>
          <w:lang w:val="en-US"/>
        </w:rPr>
        <w:t>: 10.2450/2019.0109-19.</w:t>
      </w:r>
    </w:p>
    <w:p w14:paraId="650A10FD" w14:textId="60BF132B"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212121"/>
          <w:sz w:val="20"/>
          <w:szCs w:val="20"/>
          <w:shd w:val="clear" w:color="auto" w:fill="FFFFFF"/>
          <w:lang w:val="en-US"/>
        </w:rPr>
        <w:t xml:space="preserve">Hemesath N, Fürst D, Holl M, Ries B, Marx-Hofmann A, Kroll C, </w:t>
      </w:r>
      <w:proofErr w:type="spellStart"/>
      <w:r w:rsidRPr="004A381C">
        <w:rPr>
          <w:rFonts w:ascii="Arial" w:hAnsi="Arial" w:cs="Arial"/>
          <w:color w:val="212121"/>
          <w:sz w:val="20"/>
          <w:szCs w:val="20"/>
          <w:shd w:val="clear" w:color="auto" w:fill="FFFFFF"/>
          <w:lang w:val="en-US"/>
        </w:rPr>
        <w:t>Höchsmann</w:t>
      </w:r>
      <w:proofErr w:type="spellEnd"/>
      <w:r w:rsidRPr="004A381C">
        <w:rPr>
          <w:rFonts w:ascii="Arial" w:hAnsi="Arial" w:cs="Arial"/>
          <w:color w:val="212121"/>
          <w:sz w:val="20"/>
          <w:szCs w:val="20"/>
          <w:shd w:val="clear" w:color="auto" w:fill="FFFFFF"/>
          <w:lang w:val="en-US"/>
        </w:rPr>
        <w:t xml:space="preserve"> B, </w:t>
      </w:r>
      <w:proofErr w:type="spellStart"/>
      <w:r w:rsidRPr="004A381C">
        <w:rPr>
          <w:rFonts w:ascii="Arial" w:hAnsi="Arial" w:cs="Arial"/>
          <w:color w:val="212121"/>
          <w:sz w:val="20"/>
          <w:szCs w:val="20"/>
          <w:shd w:val="clear" w:color="auto" w:fill="FFFFFF"/>
          <w:lang w:val="en-US"/>
        </w:rPr>
        <w:t>Jahrsdörfer</w:t>
      </w:r>
      <w:proofErr w:type="spellEnd"/>
      <w:r w:rsidRPr="004A381C">
        <w:rPr>
          <w:rFonts w:ascii="Arial" w:hAnsi="Arial" w:cs="Arial"/>
          <w:color w:val="212121"/>
          <w:sz w:val="20"/>
          <w:szCs w:val="20"/>
          <w:shd w:val="clear" w:color="auto" w:fill="FFFFFF"/>
          <w:lang w:val="en-US"/>
        </w:rPr>
        <w:t xml:space="preserve"> B, Weinstock C, </w:t>
      </w:r>
      <w:proofErr w:type="spellStart"/>
      <w:r w:rsidRPr="004A381C">
        <w:rPr>
          <w:rFonts w:ascii="Arial" w:hAnsi="Arial" w:cs="Arial"/>
          <w:color w:val="212121"/>
          <w:sz w:val="20"/>
          <w:szCs w:val="20"/>
          <w:shd w:val="clear" w:color="auto" w:fill="FFFFFF"/>
          <w:lang w:val="en-US"/>
        </w:rPr>
        <w:t>Schrezenmeier</w:t>
      </w:r>
      <w:proofErr w:type="spellEnd"/>
      <w:r w:rsidRPr="004A381C">
        <w:rPr>
          <w:rFonts w:ascii="Arial" w:hAnsi="Arial" w:cs="Arial"/>
          <w:color w:val="212121"/>
          <w:sz w:val="20"/>
          <w:szCs w:val="20"/>
          <w:shd w:val="clear" w:color="auto" w:fill="FFFFFF"/>
          <w:lang w:val="en-US"/>
        </w:rPr>
        <w:t xml:space="preserve"> H, </w:t>
      </w:r>
      <w:r w:rsidR="009D5942">
        <w:rPr>
          <w:rFonts w:ascii="Arial" w:hAnsi="Arial" w:cs="Arial"/>
          <w:color w:val="212121"/>
          <w:sz w:val="20"/>
          <w:szCs w:val="20"/>
          <w:shd w:val="clear" w:color="auto" w:fill="FFFFFF"/>
          <w:lang w:val="en-US"/>
        </w:rPr>
        <w:t xml:space="preserve">and </w:t>
      </w:r>
      <w:proofErr w:type="spellStart"/>
      <w:r w:rsidRPr="004A381C">
        <w:rPr>
          <w:rFonts w:ascii="Arial" w:hAnsi="Arial" w:cs="Arial"/>
          <w:color w:val="212121"/>
          <w:sz w:val="20"/>
          <w:szCs w:val="20"/>
          <w:shd w:val="clear" w:color="auto" w:fill="FFFFFF"/>
          <w:lang w:val="en-US"/>
        </w:rPr>
        <w:t>Körper</w:t>
      </w:r>
      <w:proofErr w:type="spellEnd"/>
      <w:r w:rsidRPr="004A381C">
        <w:rPr>
          <w:rFonts w:ascii="Arial" w:hAnsi="Arial" w:cs="Arial"/>
          <w:color w:val="212121"/>
          <w:sz w:val="20"/>
          <w:szCs w:val="20"/>
          <w:shd w:val="clear" w:color="auto" w:fill="FFFFFF"/>
          <w:lang w:val="en-US"/>
        </w:rPr>
        <w:t xml:space="preserve"> S. Patient characteristics and clinical determinants of outpatient red cell transfusions. </w:t>
      </w:r>
      <w:r w:rsidRPr="004A381C">
        <w:rPr>
          <w:rFonts w:ascii="Arial" w:hAnsi="Arial" w:cs="Arial"/>
          <w:color w:val="212121"/>
          <w:sz w:val="20"/>
          <w:szCs w:val="20"/>
          <w:shd w:val="clear" w:color="auto" w:fill="FFFFFF"/>
        </w:rPr>
        <w:t>Transfusion. 2025 Nov;65(11):2065-2076. doi: 10.1111/trf.18428.</w:t>
      </w:r>
    </w:p>
    <w:p w14:paraId="4E3AA4E8" w14:textId="494D4319"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color w:val="000000"/>
          <w:sz w:val="20"/>
          <w:szCs w:val="20"/>
          <w:lang w:val="en-US"/>
        </w:rPr>
        <w:t xml:space="preserve">Tanaka A, Fujita H, Ohashi K, </w:t>
      </w:r>
      <w:proofErr w:type="spellStart"/>
      <w:r w:rsidRPr="004A381C">
        <w:rPr>
          <w:rFonts w:ascii="Arial" w:hAnsi="Arial" w:cs="Arial"/>
          <w:color w:val="000000"/>
          <w:sz w:val="20"/>
          <w:szCs w:val="20"/>
          <w:lang w:val="en-US"/>
        </w:rPr>
        <w:t>Tsujikawa</w:t>
      </w:r>
      <w:proofErr w:type="spellEnd"/>
      <w:r w:rsidRPr="004A381C">
        <w:rPr>
          <w:rFonts w:ascii="Arial" w:hAnsi="Arial" w:cs="Arial"/>
          <w:color w:val="000000"/>
          <w:sz w:val="20"/>
          <w:szCs w:val="20"/>
          <w:lang w:val="en-US"/>
        </w:rPr>
        <w:t xml:space="preserve"> A, Uchiyama K, Ito T, Kawashima K, Kodama R, Mine T, Okuda M, </w:t>
      </w:r>
      <w:proofErr w:type="spellStart"/>
      <w:r w:rsidRPr="004A381C">
        <w:rPr>
          <w:rFonts w:ascii="Arial" w:hAnsi="Arial" w:cs="Arial"/>
          <w:color w:val="000000"/>
          <w:sz w:val="20"/>
          <w:szCs w:val="20"/>
          <w:lang w:val="en-US"/>
        </w:rPr>
        <w:t>Endoh</w:t>
      </w:r>
      <w:proofErr w:type="spellEnd"/>
      <w:r w:rsidRPr="004A381C">
        <w:rPr>
          <w:rFonts w:ascii="Arial" w:hAnsi="Arial" w:cs="Arial"/>
          <w:color w:val="000000"/>
          <w:sz w:val="20"/>
          <w:szCs w:val="20"/>
          <w:lang w:val="en-US"/>
        </w:rPr>
        <w:t xml:space="preserve"> T, </w:t>
      </w:r>
      <w:proofErr w:type="spellStart"/>
      <w:r w:rsidRPr="004A381C">
        <w:rPr>
          <w:rFonts w:ascii="Arial" w:hAnsi="Arial" w:cs="Arial"/>
          <w:color w:val="000000"/>
          <w:sz w:val="20"/>
          <w:szCs w:val="20"/>
          <w:lang w:val="en-US"/>
        </w:rPr>
        <w:t>Fukuyoshi</w:t>
      </w:r>
      <w:proofErr w:type="spellEnd"/>
      <w:r w:rsidRPr="004A381C">
        <w:rPr>
          <w:rFonts w:ascii="Arial" w:hAnsi="Arial" w:cs="Arial"/>
          <w:color w:val="000000"/>
          <w:sz w:val="20"/>
          <w:szCs w:val="20"/>
          <w:lang w:val="en-US"/>
        </w:rPr>
        <w:t xml:space="preserve"> Y, Kitazawa J, Sueoka E, Nagai K, Ishida A, Matsuzaki K, Kato Y, Takanashi K, </w:t>
      </w:r>
      <w:r w:rsidR="009D5942">
        <w:rPr>
          <w:rFonts w:ascii="Arial" w:hAnsi="Arial" w:cs="Arial"/>
          <w:color w:val="000000"/>
          <w:sz w:val="20"/>
          <w:szCs w:val="20"/>
          <w:lang w:val="en-US"/>
        </w:rPr>
        <w:t xml:space="preserve">and </w:t>
      </w:r>
      <w:r w:rsidRPr="004A381C">
        <w:rPr>
          <w:rFonts w:ascii="Arial" w:hAnsi="Arial" w:cs="Arial"/>
          <w:color w:val="000000"/>
          <w:sz w:val="20"/>
          <w:szCs w:val="20"/>
          <w:lang w:val="en-US"/>
        </w:rPr>
        <w:t xml:space="preserve">Takahashi K. Management system of home transfusion in Japan: A nationwide survey in 2019. </w:t>
      </w:r>
      <w:r w:rsidRPr="004A381C">
        <w:rPr>
          <w:rFonts w:ascii="Arial" w:hAnsi="Arial" w:cs="Arial"/>
          <w:color w:val="000000"/>
          <w:sz w:val="20"/>
          <w:szCs w:val="20"/>
        </w:rPr>
        <w:t>Vox Sang. 2023; 118: 59-67. doi: 10.1111/vox.13380.</w:t>
      </w:r>
    </w:p>
    <w:p w14:paraId="3AD540CF" w14:textId="5CA30DDF"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color w:val="000000"/>
          <w:sz w:val="20"/>
          <w:szCs w:val="20"/>
        </w:rPr>
        <w:lastRenderedPageBreak/>
        <w:t xml:space="preserve">Rodríguez Corte J, Candal-Pedreira C, Ruano-Ravina A, Pérez-Ríos M, Rivero- de-Aguilar A, López García M, Hermida Porto L, </w:t>
      </w:r>
      <w:r w:rsidR="009D5942">
        <w:rPr>
          <w:rFonts w:ascii="Arial" w:hAnsi="Arial" w:cs="Arial"/>
          <w:color w:val="000000"/>
          <w:sz w:val="20"/>
          <w:szCs w:val="20"/>
        </w:rPr>
        <w:t xml:space="preserve">and </w:t>
      </w:r>
      <w:r w:rsidRPr="004A381C">
        <w:rPr>
          <w:rFonts w:ascii="Arial" w:hAnsi="Arial" w:cs="Arial"/>
          <w:color w:val="000000"/>
          <w:sz w:val="20"/>
          <w:szCs w:val="20"/>
        </w:rPr>
        <w:t xml:space="preserve">Varela-Lema L. Home-based blood transfusion therapy: A systematic review. </w:t>
      </w:r>
      <w:r w:rsidRPr="004A381C">
        <w:rPr>
          <w:rFonts w:ascii="Arial" w:hAnsi="Arial" w:cs="Arial"/>
          <w:color w:val="000000"/>
          <w:sz w:val="20"/>
          <w:szCs w:val="20"/>
          <w:lang w:val="en-US"/>
        </w:rPr>
        <w:t xml:space="preserve">Br J Haematol. 2022; 199: 496-506. </w:t>
      </w:r>
      <w:proofErr w:type="spellStart"/>
      <w:r w:rsidRPr="004A381C">
        <w:rPr>
          <w:rFonts w:ascii="Arial" w:hAnsi="Arial" w:cs="Arial"/>
          <w:color w:val="000000"/>
          <w:sz w:val="20"/>
          <w:szCs w:val="20"/>
          <w:lang w:val="en-US"/>
        </w:rPr>
        <w:t>doi</w:t>
      </w:r>
      <w:proofErr w:type="spellEnd"/>
      <w:r w:rsidRPr="004A381C">
        <w:rPr>
          <w:rFonts w:ascii="Arial" w:hAnsi="Arial" w:cs="Arial"/>
          <w:color w:val="000000"/>
          <w:sz w:val="20"/>
          <w:szCs w:val="20"/>
          <w:lang w:val="en-US"/>
        </w:rPr>
        <w:t>: 10.1111/bjh.18344.</w:t>
      </w:r>
    </w:p>
    <w:p w14:paraId="22240796" w14:textId="4293B613"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proofErr w:type="spellStart"/>
      <w:r w:rsidRPr="004A381C">
        <w:rPr>
          <w:rFonts w:ascii="Arial" w:hAnsi="Arial" w:cs="Arial"/>
          <w:color w:val="000000"/>
          <w:sz w:val="20"/>
          <w:szCs w:val="20"/>
          <w:lang w:val="en-US"/>
        </w:rPr>
        <w:t>Jonca</w:t>
      </w:r>
      <w:proofErr w:type="spellEnd"/>
      <w:r w:rsidRPr="004A381C">
        <w:rPr>
          <w:rFonts w:ascii="Arial" w:hAnsi="Arial" w:cs="Arial"/>
          <w:color w:val="000000"/>
          <w:sz w:val="20"/>
          <w:szCs w:val="20"/>
          <w:lang w:val="en-US"/>
        </w:rPr>
        <w:t xml:space="preserve"> L, </w:t>
      </w:r>
      <w:proofErr w:type="spellStart"/>
      <w:r w:rsidRPr="004A381C">
        <w:rPr>
          <w:rFonts w:ascii="Arial" w:hAnsi="Arial" w:cs="Arial"/>
          <w:color w:val="000000"/>
          <w:sz w:val="20"/>
          <w:szCs w:val="20"/>
          <w:lang w:val="en-US"/>
        </w:rPr>
        <w:t>Hervé</w:t>
      </w:r>
      <w:proofErr w:type="spellEnd"/>
      <w:r w:rsidRPr="004A381C">
        <w:rPr>
          <w:rFonts w:ascii="Arial" w:hAnsi="Arial" w:cs="Arial"/>
          <w:color w:val="000000"/>
          <w:sz w:val="20"/>
          <w:szCs w:val="20"/>
          <w:lang w:val="en-US"/>
        </w:rPr>
        <w:t xml:space="preserve"> I,</w:t>
      </w:r>
      <w:r w:rsidR="009D5942">
        <w:rPr>
          <w:rFonts w:ascii="Arial" w:hAnsi="Arial" w:cs="Arial"/>
          <w:color w:val="000000"/>
          <w:sz w:val="20"/>
          <w:szCs w:val="20"/>
          <w:lang w:val="en-US"/>
        </w:rPr>
        <w:t xml:space="preserve"> </w:t>
      </w:r>
      <w:proofErr w:type="gramStart"/>
      <w:r w:rsidR="009D5942">
        <w:rPr>
          <w:rFonts w:ascii="Arial" w:hAnsi="Arial" w:cs="Arial"/>
          <w:color w:val="000000"/>
          <w:sz w:val="20"/>
          <w:szCs w:val="20"/>
          <w:lang w:val="en-US"/>
        </w:rPr>
        <w:t xml:space="preserve">and </w:t>
      </w:r>
      <w:r w:rsidRPr="004A381C">
        <w:rPr>
          <w:rFonts w:ascii="Arial" w:hAnsi="Arial" w:cs="Arial"/>
          <w:color w:val="000000"/>
          <w:sz w:val="20"/>
          <w:szCs w:val="20"/>
          <w:lang w:val="en-US"/>
        </w:rPr>
        <w:t xml:space="preserve"> </w:t>
      </w:r>
      <w:proofErr w:type="spellStart"/>
      <w:r w:rsidRPr="004A381C">
        <w:rPr>
          <w:rFonts w:ascii="Arial" w:hAnsi="Arial" w:cs="Arial"/>
          <w:color w:val="000000"/>
          <w:sz w:val="20"/>
          <w:szCs w:val="20"/>
          <w:lang w:val="en-US"/>
        </w:rPr>
        <w:t>Lassale</w:t>
      </w:r>
      <w:proofErr w:type="spellEnd"/>
      <w:proofErr w:type="gramEnd"/>
      <w:r w:rsidRPr="004A381C">
        <w:rPr>
          <w:rFonts w:ascii="Arial" w:hAnsi="Arial" w:cs="Arial"/>
          <w:color w:val="000000"/>
          <w:sz w:val="20"/>
          <w:szCs w:val="20"/>
          <w:lang w:val="en-US"/>
        </w:rPr>
        <w:t xml:space="preserve"> B. </w:t>
      </w:r>
      <w:proofErr w:type="spellStart"/>
      <w:r w:rsidRPr="004A381C">
        <w:rPr>
          <w:rFonts w:ascii="Arial" w:hAnsi="Arial" w:cs="Arial"/>
          <w:color w:val="000000"/>
          <w:sz w:val="20"/>
          <w:szCs w:val="20"/>
          <w:lang w:val="en-US"/>
        </w:rPr>
        <w:t>Recommandations</w:t>
      </w:r>
      <w:proofErr w:type="spellEnd"/>
      <w:r w:rsidRPr="004A381C">
        <w:rPr>
          <w:rFonts w:ascii="Arial" w:hAnsi="Arial" w:cs="Arial"/>
          <w:color w:val="000000"/>
          <w:sz w:val="20"/>
          <w:szCs w:val="20"/>
          <w:lang w:val="en-US"/>
        </w:rPr>
        <w:t xml:space="preserve"> et </w:t>
      </w:r>
      <w:proofErr w:type="spellStart"/>
      <w:r w:rsidRPr="004A381C">
        <w:rPr>
          <w:rFonts w:ascii="Arial" w:hAnsi="Arial" w:cs="Arial"/>
          <w:color w:val="000000"/>
          <w:sz w:val="20"/>
          <w:szCs w:val="20"/>
          <w:lang w:val="en-US"/>
        </w:rPr>
        <w:t>prise</w:t>
      </w:r>
      <w:proofErr w:type="spellEnd"/>
      <w:r w:rsidRPr="004A381C">
        <w:rPr>
          <w:rFonts w:ascii="Arial" w:hAnsi="Arial" w:cs="Arial"/>
          <w:color w:val="000000"/>
          <w:sz w:val="20"/>
          <w:szCs w:val="20"/>
          <w:lang w:val="en-US"/>
        </w:rPr>
        <w:t xml:space="preserve"> </w:t>
      </w:r>
      <w:proofErr w:type="spellStart"/>
      <w:r w:rsidRPr="004A381C">
        <w:rPr>
          <w:rFonts w:ascii="Arial" w:hAnsi="Arial" w:cs="Arial"/>
          <w:color w:val="000000"/>
          <w:sz w:val="20"/>
          <w:szCs w:val="20"/>
          <w:lang w:val="en-US"/>
        </w:rPr>
        <w:t>en</w:t>
      </w:r>
      <w:proofErr w:type="spellEnd"/>
      <w:r w:rsidRPr="004A381C">
        <w:rPr>
          <w:rFonts w:ascii="Arial" w:hAnsi="Arial" w:cs="Arial"/>
          <w:color w:val="000000"/>
          <w:sz w:val="20"/>
          <w:szCs w:val="20"/>
          <w:lang w:val="en-US"/>
        </w:rPr>
        <w:t xml:space="preserve"> charge </w:t>
      </w:r>
      <w:proofErr w:type="spellStart"/>
      <w:r w:rsidRPr="004A381C">
        <w:rPr>
          <w:rFonts w:ascii="Arial" w:hAnsi="Arial" w:cs="Arial"/>
          <w:color w:val="000000"/>
          <w:sz w:val="20"/>
          <w:szCs w:val="20"/>
          <w:lang w:val="en-US"/>
        </w:rPr>
        <w:t>transfusionnelle</w:t>
      </w:r>
      <w:proofErr w:type="spellEnd"/>
      <w:r w:rsidRPr="004A381C">
        <w:rPr>
          <w:rFonts w:ascii="Arial" w:hAnsi="Arial" w:cs="Arial"/>
          <w:color w:val="000000"/>
          <w:sz w:val="20"/>
          <w:szCs w:val="20"/>
          <w:lang w:val="en-US"/>
        </w:rPr>
        <w:t xml:space="preserve"> </w:t>
      </w:r>
      <w:proofErr w:type="spellStart"/>
      <w:r w:rsidRPr="004A381C">
        <w:rPr>
          <w:rFonts w:ascii="Arial" w:hAnsi="Arial" w:cs="Arial"/>
          <w:color w:val="000000"/>
          <w:sz w:val="20"/>
          <w:szCs w:val="20"/>
          <w:lang w:val="en-US"/>
        </w:rPr>
        <w:t>en</w:t>
      </w:r>
      <w:proofErr w:type="spellEnd"/>
      <w:r w:rsidRPr="004A381C">
        <w:rPr>
          <w:rFonts w:ascii="Arial" w:hAnsi="Arial" w:cs="Arial"/>
          <w:color w:val="000000"/>
          <w:sz w:val="20"/>
          <w:szCs w:val="20"/>
          <w:lang w:val="en-US"/>
        </w:rPr>
        <w:t xml:space="preserve"> HAD : leviers, </w:t>
      </w:r>
      <w:proofErr w:type="spellStart"/>
      <w:r w:rsidRPr="004A381C">
        <w:rPr>
          <w:rFonts w:ascii="Arial" w:hAnsi="Arial" w:cs="Arial"/>
          <w:color w:val="000000"/>
          <w:sz w:val="20"/>
          <w:szCs w:val="20"/>
          <w:lang w:val="en-US"/>
        </w:rPr>
        <w:t>freins</w:t>
      </w:r>
      <w:proofErr w:type="spellEnd"/>
      <w:r w:rsidRPr="004A381C">
        <w:rPr>
          <w:rFonts w:ascii="Arial" w:hAnsi="Arial" w:cs="Arial"/>
          <w:color w:val="000000"/>
          <w:sz w:val="20"/>
          <w:szCs w:val="20"/>
          <w:lang w:val="en-US"/>
        </w:rPr>
        <w:t xml:space="preserve"> et perspectives [Recommendations and management in Home Blood Transfusion: Levers, brakes and prospects]. </w:t>
      </w:r>
      <w:proofErr w:type="spellStart"/>
      <w:r w:rsidRPr="004A381C">
        <w:rPr>
          <w:rFonts w:ascii="Arial" w:hAnsi="Arial" w:cs="Arial"/>
          <w:color w:val="000000"/>
          <w:sz w:val="20"/>
          <w:szCs w:val="20"/>
          <w:lang w:val="en-US"/>
        </w:rPr>
        <w:t>Transfus</w:t>
      </w:r>
      <w:proofErr w:type="spellEnd"/>
      <w:r w:rsidRPr="004A381C">
        <w:rPr>
          <w:rFonts w:ascii="Arial" w:hAnsi="Arial" w:cs="Arial"/>
          <w:color w:val="000000"/>
          <w:sz w:val="20"/>
          <w:szCs w:val="20"/>
          <w:lang w:val="en-US"/>
        </w:rPr>
        <w:t xml:space="preserve"> Clin Biol. 202; 28: 375-379. French. </w:t>
      </w:r>
      <w:proofErr w:type="spellStart"/>
      <w:r w:rsidRPr="004A381C">
        <w:rPr>
          <w:rFonts w:ascii="Arial" w:hAnsi="Arial" w:cs="Arial"/>
          <w:color w:val="000000"/>
          <w:sz w:val="20"/>
          <w:szCs w:val="20"/>
          <w:lang w:val="en-US"/>
        </w:rPr>
        <w:t>doi</w:t>
      </w:r>
      <w:proofErr w:type="spellEnd"/>
      <w:r w:rsidRPr="004A381C">
        <w:rPr>
          <w:rFonts w:ascii="Arial" w:hAnsi="Arial" w:cs="Arial"/>
          <w:color w:val="000000"/>
          <w:sz w:val="20"/>
          <w:szCs w:val="20"/>
          <w:lang w:val="en-US"/>
        </w:rPr>
        <w:t>: 10.1016/j.tracli.2021.08.348.</w:t>
      </w:r>
    </w:p>
    <w:p w14:paraId="5B43DCC8" w14:textId="0862CA33"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000000"/>
          <w:sz w:val="20"/>
          <w:szCs w:val="20"/>
          <w:lang w:val="en-US"/>
        </w:rPr>
        <w:t xml:space="preserve">Nishikawa A, Fujimori Y, </w:t>
      </w:r>
      <w:proofErr w:type="spellStart"/>
      <w:r w:rsidRPr="004A381C">
        <w:rPr>
          <w:rFonts w:ascii="Arial" w:hAnsi="Arial" w:cs="Arial"/>
          <w:color w:val="000000"/>
          <w:sz w:val="20"/>
          <w:szCs w:val="20"/>
          <w:lang w:val="en-US"/>
        </w:rPr>
        <w:t>Sakano</w:t>
      </w:r>
      <w:proofErr w:type="spellEnd"/>
      <w:r w:rsidRPr="004A381C">
        <w:rPr>
          <w:rFonts w:ascii="Arial" w:hAnsi="Arial" w:cs="Arial"/>
          <w:color w:val="000000"/>
          <w:sz w:val="20"/>
          <w:szCs w:val="20"/>
          <w:lang w:val="en-US"/>
        </w:rPr>
        <w:t xml:space="preserve"> N, </w:t>
      </w:r>
      <w:proofErr w:type="spellStart"/>
      <w:r w:rsidRPr="004A381C">
        <w:rPr>
          <w:rFonts w:ascii="Arial" w:hAnsi="Arial" w:cs="Arial"/>
          <w:color w:val="000000"/>
          <w:sz w:val="20"/>
          <w:szCs w:val="20"/>
          <w:lang w:val="en-US"/>
        </w:rPr>
        <w:t>Mushino</w:t>
      </w:r>
      <w:proofErr w:type="spellEnd"/>
      <w:r w:rsidRPr="004A381C">
        <w:rPr>
          <w:rFonts w:ascii="Arial" w:hAnsi="Arial" w:cs="Arial"/>
          <w:color w:val="000000"/>
          <w:sz w:val="20"/>
          <w:szCs w:val="20"/>
          <w:lang w:val="en-US"/>
        </w:rPr>
        <w:t xml:space="preserve"> T, Tamura S, Kasahara S, Akasaka H, </w:t>
      </w:r>
      <w:r w:rsidR="009D5942">
        <w:rPr>
          <w:rFonts w:ascii="Arial" w:hAnsi="Arial" w:cs="Arial"/>
          <w:color w:val="000000"/>
          <w:sz w:val="20"/>
          <w:szCs w:val="20"/>
          <w:lang w:val="en-US"/>
        </w:rPr>
        <w:t xml:space="preserve">and </w:t>
      </w:r>
      <w:r w:rsidRPr="004A381C">
        <w:rPr>
          <w:rFonts w:ascii="Arial" w:hAnsi="Arial" w:cs="Arial"/>
          <w:color w:val="000000"/>
          <w:sz w:val="20"/>
          <w:szCs w:val="20"/>
          <w:lang w:val="en-US"/>
        </w:rPr>
        <w:t>Sonoki T. Remote vital signs data monitoring during home blood transfusion: A pilot study. Health Sci Rep. 2021 Sep 14;4(3</w:t>
      </w:r>
      <w:proofErr w:type="gramStart"/>
      <w:r w:rsidRPr="004A381C">
        <w:rPr>
          <w:rFonts w:ascii="Arial" w:hAnsi="Arial" w:cs="Arial"/>
          <w:color w:val="000000"/>
          <w:sz w:val="20"/>
          <w:szCs w:val="20"/>
          <w:lang w:val="en-US"/>
        </w:rPr>
        <w:t>):e</w:t>
      </w:r>
      <w:proofErr w:type="gramEnd"/>
      <w:r w:rsidRPr="004A381C">
        <w:rPr>
          <w:rFonts w:ascii="Arial" w:hAnsi="Arial" w:cs="Arial"/>
          <w:color w:val="000000"/>
          <w:sz w:val="20"/>
          <w:szCs w:val="20"/>
          <w:lang w:val="en-US"/>
        </w:rPr>
        <w:t xml:space="preserve">380. </w:t>
      </w:r>
      <w:proofErr w:type="spellStart"/>
      <w:r w:rsidRPr="004A381C">
        <w:rPr>
          <w:rFonts w:ascii="Arial" w:hAnsi="Arial" w:cs="Arial"/>
          <w:color w:val="000000"/>
          <w:sz w:val="20"/>
          <w:szCs w:val="20"/>
          <w:lang w:val="en-US"/>
        </w:rPr>
        <w:t>doi</w:t>
      </w:r>
      <w:proofErr w:type="spellEnd"/>
      <w:r w:rsidRPr="004A381C">
        <w:rPr>
          <w:rFonts w:ascii="Arial" w:hAnsi="Arial" w:cs="Arial"/>
          <w:color w:val="000000"/>
          <w:sz w:val="20"/>
          <w:szCs w:val="20"/>
          <w:lang w:val="en-US"/>
        </w:rPr>
        <w:t>: 10.1002/hsr2.380.</w:t>
      </w:r>
    </w:p>
    <w:p w14:paraId="5579D5F2" w14:textId="0B48DC74"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000000"/>
          <w:sz w:val="20"/>
          <w:szCs w:val="20"/>
          <w:lang w:val="en-US"/>
        </w:rPr>
        <w:t xml:space="preserve">Sharp R, Turner L, </w:t>
      </w:r>
      <w:proofErr w:type="spellStart"/>
      <w:r w:rsidRPr="004A381C">
        <w:rPr>
          <w:rFonts w:ascii="Arial" w:hAnsi="Arial" w:cs="Arial"/>
          <w:color w:val="000000"/>
          <w:sz w:val="20"/>
          <w:szCs w:val="20"/>
          <w:lang w:val="en-US"/>
        </w:rPr>
        <w:t>Altschwager</w:t>
      </w:r>
      <w:proofErr w:type="spellEnd"/>
      <w:r w:rsidRPr="004A381C">
        <w:rPr>
          <w:rFonts w:ascii="Arial" w:hAnsi="Arial" w:cs="Arial"/>
          <w:color w:val="000000"/>
          <w:sz w:val="20"/>
          <w:szCs w:val="20"/>
          <w:lang w:val="en-US"/>
        </w:rPr>
        <w:t xml:space="preserve"> J, </w:t>
      </w:r>
      <w:proofErr w:type="gramStart"/>
      <w:r w:rsidR="009D5942">
        <w:rPr>
          <w:rFonts w:ascii="Arial" w:hAnsi="Arial" w:cs="Arial"/>
          <w:color w:val="000000"/>
          <w:sz w:val="20"/>
          <w:szCs w:val="20"/>
          <w:lang w:val="en-US"/>
        </w:rPr>
        <w:t xml:space="preserve">and  </w:t>
      </w:r>
      <w:proofErr w:type="spellStart"/>
      <w:r w:rsidRPr="004A381C">
        <w:rPr>
          <w:rFonts w:ascii="Arial" w:hAnsi="Arial" w:cs="Arial"/>
          <w:color w:val="000000"/>
          <w:sz w:val="20"/>
          <w:szCs w:val="20"/>
          <w:lang w:val="en-US"/>
        </w:rPr>
        <w:t>Corsini</w:t>
      </w:r>
      <w:proofErr w:type="spellEnd"/>
      <w:proofErr w:type="gramEnd"/>
      <w:r w:rsidRPr="004A381C">
        <w:rPr>
          <w:rFonts w:ascii="Arial" w:hAnsi="Arial" w:cs="Arial"/>
          <w:color w:val="000000"/>
          <w:sz w:val="20"/>
          <w:szCs w:val="20"/>
          <w:lang w:val="en-US"/>
        </w:rPr>
        <w:t xml:space="preserve"> N, Esterman A. Adverse events associated with home blood transfusion: A retrospective cohort study. J Clin </w:t>
      </w:r>
      <w:r w:rsidRPr="004A381C">
        <w:rPr>
          <w:rFonts w:ascii="Arial" w:hAnsi="Arial" w:cs="Arial"/>
          <w:color w:val="000000"/>
          <w:sz w:val="20"/>
          <w:szCs w:val="20"/>
        </w:rPr>
        <w:t>Nurs. 2021 Jun;30(11-12):1751-1759. doi: 10.1111/jocn.15734.</w:t>
      </w:r>
    </w:p>
    <w:p w14:paraId="3E119754" w14:textId="7CA9B536" w:rsidR="004A381C" w:rsidRPr="004A381C" w:rsidRDefault="004A381C" w:rsidP="004A381C">
      <w:pPr>
        <w:pStyle w:val="ListParagraph"/>
        <w:numPr>
          <w:ilvl w:val="0"/>
          <w:numId w:val="10"/>
        </w:numPr>
        <w:spacing w:after="0" w:line="240" w:lineRule="auto"/>
        <w:jc w:val="both"/>
        <w:rPr>
          <w:rStyle w:val="A0"/>
          <w:rFonts w:ascii="Arial" w:hAnsi="Arial" w:cs="Arial"/>
          <w:b w:val="0"/>
          <w:bCs w:val="0"/>
          <w:sz w:val="20"/>
          <w:szCs w:val="20"/>
        </w:rPr>
      </w:pPr>
      <w:r w:rsidRPr="004A381C">
        <w:rPr>
          <w:rFonts w:ascii="Arial" w:hAnsi="Arial" w:cs="Arial"/>
          <w:sz w:val="20"/>
          <w:szCs w:val="20"/>
        </w:rPr>
        <w:t xml:space="preserve">Sbrana G, Agostini V, </w:t>
      </w:r>
      <w:r w:rsidRPr="004A381C">
        <w:rPr>
          <w:rFonts w:ascii="Arial" w:hAnsi="Arial" w:cs="Arial"/>
          <w:color w:val="000000"/>
          <w:sz w:val="20"/>
          <w:szCs w:val="20"/>
        </w:rPr>
        <w:t>Bocci MG, Brogi E, Lupi C,</w:t>
      </w:r>
      <w:r w:rsidR="009D5942">
        <w:rPr>
          <w:rFonts w:ascii="Arial" w:hAnsi="Arial" w:cs="Arial"/>
          <w:color w:val="000000"/>
          <w:sz w:val="20"/>
          <w:szCs w:val="20"/>
        </w:rPr>
        <w:t xml:space="preserve">and </w:t>
      </w:r>
      <w:r w:rsidRPr="004A381C">
        <w:rPr>
          <w:rFonts w:ascii="Arial" w:hAnsi="Arial" w:cs="Arial"/>
          <w:color w:val="000000"/>
          <w:sz w:val="20"/>
          <w:szCs w:val="20"/>
        </w:rPr>
        <w:t xml:space="preserve"> Mirabella L. </w:t>
      </w:r>
      <w:r w:rsidRPr="004A381C">
        <w:rPr>
          <w:rStyle w:val="A0"/>
          <w:rFonts w:ascii="Arial" w:hAnsi="Arial" w:cs="Arial"/>
          <w:b w:val="0"/>
          <w:sz w:val="20"/>
          <w:szCs w:val="20"/>
        </w:rPr>
        <w:t>Raccomandazioni di appropriatezza clinica nella somministrazione di emocomponenti ed emoderivati in setting extraospedaliero version Decenber 12 2025. RBPCA-00118_SIAARTI_202512.</w:t>
      </w:r>
      <w:r w:rsidRPr="004A381C">
        <w:rPr>
          <w:rStyle w:val="A0"/>
          <w:rFonts w:ascii="Arial" w:hAnsi="Arial" w:cs="Arial"/>
          <w:sz w:val="20"/>
          <w:szCs w:val="20"/>
        </w:rPr>
        <w:t xml:space="preserve"> </w:t>
      </w:r>
      <w:hyperlink r:id="rId10" w:history="1">
        <w:r w:rsidRPr="00F409A5">
          <w:rPr>
            <w:rStyle w:val="Hyperlink"/>
            <w:rFonts w:ascii="Arial" w:hAnsi="Arial" w:cs="Arial"/>
            <w:color w:val="000000" w:themeColor="text1"/>
            <w:sz w:val="20"/>
            <w:szCs w:val="20"/>
            <w:u w:val="none"/>
          </w:rPr>
          <w:t>https://www.centronazionalesangue.it/online-le-nuove-raccomandazioni-di-appropriatezza-clinica-nella-somministrazione-di-emocomponenti-ed-emoderivati-in-setting-extraospedaliero/</w:t>
        </w:r>
      </w:hyperlink>
      <w:r w:rsidRPr="004A381C">
        <w:rPr>
          <w:rStyle w:val="A0"/>
          <w:rFonts w:ascii="Arial" w:hAnsi="Arial" w:cs="Arial"/>
          <w:color w:val="000000" w:themeColor="text1"/>
          <w:sz w:val="20"/>
          <w:szCs w:val="20"/>
        </w:rPr>
        <w:t xml:space="preserve">. </w:t>
      </w:r>
      <w:r w:rsidRPr="004A381C">
        <w:rPr>
          <w:rStyle w:val="A0"/>
          <w:rFonts w:ascii="Arial" w:hAnsi="Arial" w:cs="Arial"/>
          <w:b w:val="0"/>
          <w:sz w:val="20"/>
          <w:szCs w:val="20"/>
        </w:rPr>
        <w:t>Accessed January 31 2026</w:t>
      </w:r>
      <w:r w:rsidRPr="004A381C">
        <w:rPr>
          <w:rStyle w:val="A0"/>
          <w:rFonts w:ascii="Arial" w:hAnsi="Arial" w:cs="Arial"/>
          <w:sz w:val="20"/>
          <w:szCs w:val="20"/>
        </w:rPr>
        <w:t>.</w:t>
      </w:r>
    </w:p>
    <w:p w14:paraId="43E7595E"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color w:val="1C1D1E"/>
          <w:sz w:val="20"/>
          <w:szCs w:val="20"/>
          <w:shd w:val="clear" w:color="auto" w:fill="FFFFFF"/>
          <w:lang w:val="en-US"/>
        </w:rPr>
        <w:t>Amin, M., Fergusson, D., Aziz, A., Wilson, K., Coyle, D. and Hébert, P. (2003), The cost of allogeneic red blood cells – a systematic review. Transfusion Medicine 2003: 13: 275-286. </w:t>
      </w:r>
      <w:proofErr w:type="spellStart"/>
      <w:r>
        <w:fldChar w:fldCharType="begin"/>
      </w:r>
      <w:r>
        <w:instrText>HYPERLINK "https://doi.org/10.1046/j.1365-3148.2003.00454.x"</w:instrText>
      </w:r>
      <w:r>
        <w:fldChar w:fldCharType="separate"/>
      </w:r>
      <w:r w:rsidRPr="004A381C">
        <w:rPr>
          <w:rStyle w:val="Hyperlink"/>
          <w:rFonts w:ascii="Arial" w:hAnsi="Arial" w:cs="Arial"/>
          <w:color w:val="000000" w:themeColor="text1"/>
          <w:sz w:val="20"/>
          <w:szCs w:val="20"/>
          <w:shd w:val="clear" w:color="auto" w:fill="FFFFFF"/>
          <w:lang w:val="en-US"/>
        </w:rPr>
        <w:t>doi</w:t>
      </w:r>
      <w:proofErr w:type="spellEnd"/>
      <w:r w:rsidRPr="004A381C">
        <w:rPr>
          <w:rStyle w:val="Hyperlink"/>
          <w:rFonts w:ascii="Arial" w:hAnsi="Arial" w:cs="Arial"/>
          <w:color w:val="000000" w:themeColor="text1"/>
          <w:sz w:val="20"/>
          <w:szCs w:val="20"/>
          <w:shd w:val="clear" w:color="auto" w:fill="FFFFFF"/>
          <w:lang w:val="en-US"/>
        </w:rPr>
        <w:t>: 10.1046/j.1365-3148.</w:t>
      </w:r>
      <w:proofErr w:type="gramStart"/>
      <w:r w:rsidRPr="004A381C">
        <w:rPr>
          <w:rStyle w:val="Hyperlink"/>
          <w:rFonts w:ascii="Arial" w:hAnsi="Arial" w:cs="Arial"/>
          <w:color w:val="000000" w:themeColor="text1"/>
          <w:sz w:val="20"/>
          <w:szCs w:val="20"/>
          <w:shd w:val="clear" w:color="auto" w:fill="FFFFFF"/>
          <w:lang w:val="en-US"/>
        </w:rPr>
        <w:t>2003.00454.x</w:t>
      </w:r>
      <w:proofErr w:type="gramEnd"/>
      <w:r>
        <w:fldChar w:fldCharType="end"/>
      </w:r>
      <w:r w:rsidRPr="004A381C">
        <w:rPr>
          <w:rFonts w:ascii="Arial" w:hAnsi="Arial" w:cs="Arial"/>
          <w:color w:val="000000" w:themeColor="text1"/>
          <w:sz w:val="20"/>
          <w:szCs w:val="20"/>
          <w:lang w:val="en-US"/>
        </w:rPr>
        <w:t xml:space="preserve">. </w:t>
      </w:r>
    </w:p>
    <w:p w14:paraId="1D5C3B8D" w14:textId="1CBC7881" w:rsidR="004A381C" w:rsidRPr="004A381C" w:rsidRDefault="004A381C" w:rsidP="004A381C">
      <w:pPr>
        <w:pStyle w:val="ListParagraph"/>
        <w:numPr>
          <w:ilvl w:val="0"/>
          <w:numId w:val="10"/>
        </w:numPr>
        <w:spacing w:after="0" w:line="240" w:lineRule="auto"/>
        <w:jc w:val="both"/>
        <w:rPr>
          <w:rFonts w:ascii="Arial" w:hAnsi="Arial" w:cs="Arial"/>
          <w:sz w:val="20"/>
          <w:szCs w:val="20"/>
        </w:rPr>
      </w:pPr>
      <w:proofErr w:type="spellStart"/>
      <w:r w:rsidRPr="004A381C">
        <w:rPr>
          <w:rFonts w:ascii="Arial" w:hAnsi="Arial" w:cs="Arial"/>
          <w:color w:val="1B1B1B"/>
          <w:sz w:val="20"/>
          <w:szCs w:val="20"/>
          <w:shd w:val="clear" w:color="auto" w:fill="FFFFFF"/>
          <w:lang w:val="en-US"/>
        </w:rPr>
        <w:t>Kleinerüschkamp</w:t>
      </w:r>
      <w:proofErr w:type="spellEnd"/>
      <w:r w:rsidRPr="004A381C">
        <w:rPr>
          <w:rFonts w:ascii="Arial" w:hAnsi="Arial" w:cs="Arial"/>
          <w:color w:val="1B1B1B"/>
          <w:sz w:val="20"/>
          <w:szCs w:val="20"/>
          <w:shd w:val="clear" w:color="auto" w:fill="FFFFFF"/>
          <w:lang w:val="en-US"/>
        </w:rPr>
        <w:t xml:space="preserve"> A, </w:t>
      </w:r>
      <w:proofErr w:type="spellStart"/>
      <w:r w:rsidRPr="004A381C">
        <w:rPr>
          <w:rFonts w:ascii="Arial" w:hAnsi="Arial" w:cs="Arial"/>
          <w:color w:val="1B1B1B"/>
          <w:sz w:val="20"/>
          <w:szCs w:val="20"/>
          <w:shd w:val="clear" w:color="auto" w:fill="FFFFFF"/>
          <w:lang w:val="en-US"/>
        </w:rPr>
        <w:t>Meybohm</w:t>
      </w:r>
      <w:proofErr w:type="spellEnd"/>
      <w:r w:rsidRPr="004A381C">
        <w:rPr>
          <w:rFonts w:ascii="Arial" w:hAnsi="Arial" w:cs="Arial"/>
          <w:color w:val="1B1B1B"/>
          <w:sz w:val="20"/>
          <w:szCs w:val="20"/>
          <w:shd w:val="clear" w:color="auto" w:fill="FFFFFF"/>
          <w:lang w:val="en-US"/>
        </w:rPr>
        <w:t xml:space="preserve"> P, Straub N, </w:t>
      </w:r>
      <w:proofErr w:type="spellStart"/>
      <w:r w:rsidRPr="004A381C">
        <w:rPr>
          <w:rFonts w:ascii="Arial" w:hAnsi="Arial" w:cs="Arial"/>
          <w:color w:val="1B1B1B"/>
          <w:sz w:val="20"/>
          <w:szCs w:val="20"/>
          <w:shd w:val="clear" w:color="auto" w:fill="FFFFFF"/>
          <w:lang w:val="en-US"/>
        </w:rPr>
        <w:t>Zacharowski</w:t>
      </w:r>
      <w:proofErr w:type="spellEnd"/>
      <w:r w:rsidRPr="004A381C">
        <w:rPr>
          <w:rFonts w:ascii="Arial" w:hAnsi="Arial" w:cs="Arial"/>
          <w:color w:val="1B1B1B"/>
          <w:sz w:val="20"/>
          <w:szCs w:val="20"/>
          <w:shd w:val="clear" w:color="auto" w:fill="FFFFFF"/>
          <w:lang w:val="en-US"/>
        </w:rPr>
        <w:t xml:space="preserve"> K, </w:t>
      </w:r>
      <w:r w:rsidR="009D5942">
        <w:rPr>
          <w:rFonts w:ascii="Arial" w:hAnsi="Arial" w:cs="Arial"/>
          <w:color w:val="1B1B1B"/>
          <w:sz w:val="20"/>
          <w:szCs w:val="20"/>
          <w:shd w:val="clear" w:color="auto" w:fill="FFFFFF"/>
          <w:lang w:val="en-US"/>
        </w:rPr>
        <w:t xml:space="preserve">and </w:t>
      </w:r>
      <w:proofErr w:type="spellStart"/>
      <w:r w:rsidRPr="004A381C">
        <w:rPr>
          <w:rFonts w:ascii="Arial" w:hAnsi="Arial" w:cs="Arial"/>
          <w:color w:val="1B1B1B"/>
          <w:sz w:val="20"/>
          <w:szCs w:val="20"/>
          <w:shd w:val="clear" w:color="auto" w:fill="FFFFFF"/>
          <w:lang w:val="en-US"/>
        </w:rPr>
        <w:t>Choorapoikayil</w:t>
      </w:r>
      <w:proofErr w:type="spellEnd"/>
      <w:r w:rsidRPr="004A381C">
        <w:rPr>
          <w:rFonts w:ascii="Arial" w:hAnsi="Arial" w:cs="Arial"/>
          <w:color w:val="1B1B1B"/>
          <w:sz w:val="20"/>
          <w:szCs w:val="20"/>
          <w:shd w:val="clear" w:color="auto" w:fill="FFFFFF"/>
          <w:lang w:val="en-US"/>
        </w:rPr>
        <w:t xml:space="preserve"> S. A model-based cost-effectiveness analysis of Patient Blood Management. Blood </w:t>
      </w:r>
      <w:proofErr w:type="spellStart"/>
      <w:r w:rsidRPr="004A381C">
        <w:rPr>
          <w:rFonts w:ascii="Arial" w:hAnsi="Arial" w:cs="Arial"/>
          <w:color w:val="1B1B1B"/>
          <w:sz w:val="20"/>
          <w:szCs w:val="20"/>
          <w:shd w:val="clear" w:color="auto" w:fill="FFFFFF"/>
          <w:lang w:val="en-US"/>
        </w:rPr>
        <w:t>Transfus</w:t>
      </w:r>
      <w:proofErr w:type="spellEnd"/>
      <w:r w:rsidRPr="004A381C">
        <w:rPr>
          <w:rFonts w:ascii="Arial" w:hAnsi="Arial" w:cs="Arial"/>
          <w:color w:val="1B1B1B"/>
          <w:sz w:val="20"/>
          <w:szCs w:val="20"/>
          <w:shd w:val="clear" w:color="auto" w:fill="FFFFFF"/>
          <w:lang w:val="en-US"/>
        </w:rPr>
        <w:t xml:space="preserve">. 2019 Jan;17(1):16-26. </w:t>
      </w:r>
      <w:proofErr w:type="spellStart"/>
      <w:r w:rsidRPr="004A381C">
        <w:rPr>
          <w:rFonts w:ascii="Arial" w:hAnsi="Arial" w:cs="Arial"/>
          <w:color w:val="1B1B1B"/>
          <w:sz w:val="20"/>
          <w:szCs w:val="20"/>
          <w:shd w:val="clear" w:color="auto" w:fill="FFFFFF"/>
          <w:lang w:val="en-US"/>
        </w:rPr>
        <w:t>doi</w:t>
      </w:r>
      <w:proofErr w:type="spellEnd"/>
      <w:r w:rsidRPr="004A381C">
        <w:rPr>
          <w:rFonts w:ascii="Arial" w:hAnsi="Arial" w:cs="Arial"/>
          <w:color w:val="1B1B1B"/>
          <w:sz w:val="20"/>
          <w:szCs w:val="20"/>
          <w:shd w:val="clear" w:color="auto" w:fill="FFFFFF"/>
          <w:lang w:val="en-US"/>
        </w:rPr>
        <w:t xml:space="preserve">: 10.2450/2018.0213-17. </w:t>
      </w:r>
    </w:p>
    <w:p w14:paraId="76653FE0" w14:textId="77777777" w:rsidR="004A381C" w:rsidRPr="004A381C" w:rsidRDefault="004A381C" w:rsidP="004A381C">
      <w:pPr>
        <w:pStyle w:val="ListParagraph"/>
        <w:numPr>
          <w:ilvl w:val="0"/>
          <w:numId w:val="10"/>
        </w:numPr>
        <w:spacing w:after="0" w:line="240" w:lineRule="auto"/>
        <w:jc w:val="both"/>
        <w:rPr>
          <w:rStyle w:val="linkgazzetta"/>
          <w:rFonts w:ascii="Arial" w:hAnsi="Arial" w:cs="Arial"/>
          <w:sz w:val="20"/>
          <w:szCs w:val="20"/>
        </w:rPr>
      </w:pPr>
      <w:r w:rsidRPr="004A381C">
        <w:rPr>
          <w:rFonts w:ascii="Arial" w:hAnsi="Arial" w:cs="Arial"/>
          <w:color w:val="000000" w:themeColor="text1"/>
          <w:sz w:val="20"/>
          <w:szCs w:val="20"/>
        </w:rPr>
        <w:t>Ministero della Salute. DECRETO </w:t>
      </w:r>
      <w:r w:rsidRPr="004A381C">
        <w:rPr>
          <w:rFonts w:ascii="Arial" w:hAnsi="Arial" w:cs="Arial"/>
          <w:color w:val="000000" w:themeColor="text1"/>
          <w:sz w:val="20"/>
          <w:szCs w:val="20"/>
          <w:bdr w:val="none" w:sz="0" w:space="0" w:color="auto" w:frame="1"/>
        </w:rPr>
        <w:t>2 novembre 2015. Disposizioni relative ai requisiti di qualita' e sicurezza del sangue e degli emocomponenti. (15A09709) </w:t>
      </w:r>
      <w:hyperlink r:id="rId11" w:tgtFrame="_blank" w:history="1">
        <w:r w:rsidRPr="004A381C">
          <w:rPr>
            <w:rStyle w:val="Hyperlink"/>
            <w:rFonts w:ascii="Arial" w:hAnsi="Arial" w:cs="Arial"/>
            <w:color w:val="000000" w:themeColor="text1"/>
            <w:sz w:val="20"/>
            <w:szCs w:val="20"/>
            <w:bdr w:val="none" w:sz="0" w:space="0" w:color="auto" w:frame="1"/>
          </w:rPr>
          <w:t>(GU Serie Generale n.300 del 28-12-2015 - Suppl. Ordinario n. 69)</w:t>
        </w:r>
      </w:hyperlink>
    </w:p>
    <w:p w14:paraId="2550624C"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sz w:val="20"/>
          <w:szCs w:val="20"/>
          <w:lang w:val="en-US"/>
        </w:rPr>
        <w:t xml:space="preserve"> </w:t>
      </w:r>
      <w:r w:rsidRPr="004A381C">
        <w:rPr>
          <w:rFonts w:ascii="Arial" w:hAnsi="Arial" w:cs="Arial"/>
          <w:bCs/>
          <w:color w:val="000000"/>
          <w:sz w:val="20"/>
          <w:szCs w:val="20"/>
          <w:lang w:val="en-US"/>
        </w:rPr>
        <w:t xml:space="preserve">European Committee on Blood Transfusion. </w:t>
      </w:r>
      <w:r w:rsidRPr="004A381C">
        <w:rPr>
          <w:rFonts w:ascii="Arial" w:hAnsi="Arial" w:cs="Arial"/>
          <w:bCs/>
          <w:sz w:val="20"/>
          <w:szCs w:val="20"/>
          <w:lang w:val="en-US"/>
        </w:rPr>
        <w:t xml:space="preserve"> </w:t>
      </w:r>
      <w:r w:rsidRPr="004A381C">
        <w:rPr>
          <w:rFonts w:ascii="Arial" w:hAnsi="Arial" w:cs="Arial"/>
          <w:color w:val="000000"/>
          <w:sz w:val="20"/>
          <w:szCs w:val="20"/>
          <w:lang w:val="en-US"/>
        </w:rPr>
        <w:t xml:space="preserve">Guide to the preparation, use and quality assurance </w:t>
      </w:r>
      <w:proofErr w:type="gramStart"/>
      <w:r w:rsidRPr="004A381C">
        <w:rPr>
          <w:rFonts w:ascii="Arial" w:hAnsi="Arial" w:cs="Arial"/>
          <w:color w:val="000000"/>
          <w:sz w:val="20"/>
          <w:szCs w:val="20"/>
          <w:lang w:val="en-US"/>
        </w:rPr>
        <w:t xml:space="preserve">of </w:t>
      </w:r>
      <w:r w:rsidRPr="004A381C">
        <w:rPr>
          <w:rFonts w:ascii="Arial" w:hAnsi="Arial" w:cs="Arial"/>
          <w:sz w:val="20"/>
          <w:szCs w:val="20"/>
          <w:lang w:val="en-US"/>
        </w:rPr>
        <w:t xml:space="preserve"> </w:t>
      </w:r>
      <w:r w:rsidRPr="004A381C">
        <w:rPr>
          <w:rFonts w:ascii="Arial" w:hAnsi="Arial" w:cs="Arial"/>
          <w:bCs/>
          <w:color w:val="000000"/>
          <w:sz w:val="20"/>
          <w:szCs w:val="20"/>
          <w:lang w:val="en-US"/>
        </w:rPr>
        <w:t>Blood</w:t>
      </w:r>
      <w:proofErr w:type="gramEnd"/>
      <w:r w:rsidRPr="004A381C">
        <w:rPr>
          <w:rFonts w:ascii="Arial" w:hAnsi="Arial" w:cs="Arial"/>
          <w:bCs/>
          <w:color w:val="000000"/>
          <w:sz w:val="20"/>
          <w:szCs w:val="20"/>
          <w:lang w:val="en-US"/>
        </w:rPr>
        <w:t xml:space="preserve"> Components</w:t>
      </w:r>
      <w:r w:rsidRPr="004A381C">
        <w:rPr>
          <w:rFonts w:ascii="Arial" w:hAnsi="Arial" w:cs="Arial"/>
          <w:bCs/>
          <w:sz w:val="20"/>
          <w:szCs w:val="20"/>
          <w:lang w:val="en-US"/>
        </w:rPr>
        <w:t>. 22th Edition, 2025.</w:t>
      </w:r>
    </w:p>
    <w:p w14:paraId="17D7C312"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sz w:val="20"/>
          <w:szCs w:val="20"/>
        </w:rPr>
        <w:t>Conferenza Permanente per i Rapporti tra Stato e Regioni. Aggiornamento dell'Accordo Stato Regioni del 20 ottobre 2015 (Rep atti 168/CSR) in merito al prezzo unitario di cessione, tra aziende sanitarie e tra Regioni e Province autonome, delle unità di sangue, dei suoi componenti e dei farmaci plasmaderivati prodotti in convenzione. 17/06/2021</w:t>
      </w:r>
      <w:r w:rsidRPr="004A381C">
        <w:rPr>
          <w:rFonts w:ascii="Arial" w:hAnsi="Arial" w:cs="Arial"/>
          <w:color w:val="000000" w:themeColor="text1"/>
          <w:sz w:val="20"/>
          <w:szCs w:val="20"/>
        </w:rPr>
        <w:t xml:space="preserve">. </w:t>
      </w:r>
      <w:hyperlink r:id="rId12" w:history="1">
        <w:r w:rsidRPr="004A381C">
          <w:rPr>
            <w:rStyle w:val="Hyperlink"/>
            <w:rFonts w:ascii="Arial" w:hAnsi="Arial" w:cs="Arial"/>
            <w:color w:val="000000" w:themeColor="text1"/>
            <w:sz w:val="20"/>
            <w:szCs w:val="20"/>
          </w:rPr>
          <w:t>p-6-csr-atto-rep-n-90-17giu2021.pdf</w:t>
        </w:r>
      </w:hyperlink>
      <w:r w:rsidRPr="004A381C">
        <w:rPr>
          <w:rFonts w:ascii="Arial" w:hAnsi="Arial" w:cs="Arial"/>
          <w:color w:val="000000" w:themeColor="text1"/>
          <w:sz w:val="20"/>
          <w:szCs w:val="20"/>
        </w:rPr>
        <w:t>. Accessed February 02 2026</w:t>
      </w:r>
    </w:p>
    <w:p w14:paraId="4B634BA0" w14:textId="5A09FBCC"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eastAsia="Calibri" w:hAnsi="Arial" w:cs="Arial"/>
          <w:color w:val="000000"/>
          <w:sz w:val="20"/>
          <w:szCs w:val="20"/>
          <w:shd w:val="clear" w:color="auto" w:fill="FFFFFF"/>
        </w:rPr>
        <w:t xml:space="preserve">Breda A, Marchiori G, </w:t>
      </w:r>
      <w:r w:rsidR="009D5942">
        <w:rPr>
          <w:rFonts w:ascii="Arial" w:eastAsia="Calibri" w:hAnsi="Arial" w:cs="Arial"/>
          <w:color w:val="000000"/>
          <w:sz w:val="20"/>
          <w:szCs w:val="20"/>
          <w:shd w:val="clear" w:color="auto" w:fill="FFFFFF"/>
        </w:rPr>
        <w:t xml:space="preserve">and </w:t>
      </w:r>
      <w:r w:rsidRPr="004A381C">
        <w:rPr>
          <w:rFonts w:ascii="Arial" w:eastAsia="Calibri" w:hAnsi="Arial" w:cs="Arial"/>
          <w:color w:val="000000"/>
          <w:sz w:val="20"/>
          <w:szCs w:val="20"/>
          <w:shd w:val="clear" w:color="auto" w:fill="FFFFFF"/>
        </w:rPr>
        <w:t>Pasdera A.,Manuale per l’analisi dei costi dei servizi immuno trasfusionali, Regione del Veneto, 2004</w:t>
      </w:r>
    </w:p>
    <w:p w14:paraId="3B591AE8" w14:textId="72CE3486"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eastAsia="Calibri" w:hAnsi="Arial" w:cs="Arial"/>
          <w:color w:val="000000"/>
          <w:sz w:val="20"/>
          <w:szCs w:val="20"/>
          <w:shd w:val="clear" w:color="auto" w:fill="FFFFFF"/>
        </w:rPr>
        <w:t xml:space="preserve">Marchiori G, </w:t>
      </w:r>
      <w:r w:rsidR="009D5942">
        <w:rPr>
          <w:rFonts w:ascii="Arial" w:eastAsia="Calibri" w:hAnsi="Arial" w:cs="Arial"/>
          <w:color w:val="000000"/>
          <w:sz w:val="20"/>
          <w:szCs w:val="20"/>
          <w:shd w:val="clear" w:color="auto" w:fill="FFFFFF"/>
        </w:rPr>
        <w:t xml:space="preserve">and </w:t>
      </w:r>
      <w:r w:rsidRPr="004A381C">
        <w:rPr>
          <w:rFonts w:ascii="Arial" w:eastAsia="Calibri" w:hAnsi="Arial" w:cs="Arial"/>
          <w:color w:val="000000"/>
          <w:sz w:val="20"/>
          <w:szCs w:val="20"/>
          <w:shd w:val="clear" w:color="auto" w:fill="FFFFFF"/>
        </w:rPr>
        <w:t>Pasdera A. Quantità/mix dei prodotti per emocomponenti per DRG e relativi costi dei SIT: i risultati della ricerca condotta in quattro SIT del Veneto, CRAT, Venezia, 2008.</w:t>
      </w:r>
    </w:p>
    <w:p w14:paraId="646A11B1"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eastAsia="Calibri" w:hAnsi="Arial" w:cs="Arial"/>
          <w:color w:val="000000"/>
          <w:sz w:val="20"/>
          <w:szCs w:val="20"/>
          <w:shd w:val="clear" w:color="auto" w:fill="FFFFFF"/>
        </w:rPr>
        <w:t xml:space="preserve">Centro Nazionale Sangue. </w:t>
      </w:r>
      <w:r w:rsidRPr="004A381C">
        <w:rPr>
          <w:rFonts w:ascii="Arial" w:hAnsi="Arial" w:cs="Arial"/>
          <w:bCs/>
          <w:iCs/>
          <w:sz w:val="20"/>
          <w:szCs w:val="20"/>
        </w:rPr>
        <w:t xml:space="preserve">Linee di indirizzo per il reporting di emovigilanza nel Sistema Informativo dei Servizi Trasfusionali (SISTRA).first  Edition. August 2023. </w:t>
      </w:r>
    </w:p>
    <w:p w14:paraId="5435A438" w14:textId="131584EC"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hAnsi="Arial" w:cs="Arial"/>
          <w:sz w:val="20"/>
          <w:szCs w:val="20"/>
        </w:rPr>
        <w:t xml:space="preserve">Berti P, Boccagni P, Bonini R, Cuppari I, Lanti A, Marletta NA, </w:t>
      </w:r>
      <w:r w:rsidR="009D5942">
        <w:rPr>
          <w:rFonts w:ascii="Arial" w:hAnsi="Arial" w:cs="Arial"/>
          <w:sz w:val="20"/>
          <w:szCs w:val="20"/>
        </w:rPr>
        <w:t xml:space="preserve">and </w:t>
      </w:r>
      <w:r w:rsidRPr="004A381C">
        <w:rPr>
          <w:rFonts w:ascii="Arial" w:hAnsi="Arial" w:cs="Arial"/>
          <w:sz w:val="20"/>
          <w:szCs w:val="20"/>
        </w:rPr>
        <w:t>Menichini I. Standard di Medicina Trasfusionale. SIMTI 4th edition maggio 2024.</w:t>
      </w:r>
    </w:p>
    <w:p w14:paraId="28E9C7EB"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hAnsi="Arial" w:cs="Arial"/>
          <w:bCs/>
          <w:sz w:val="20"/>
          <w:szCs w:val="20"/>
        </w:rPr>
        <w:t>Centro Nazionale Sangue, Linee Guida per l’erogazione di prestazioni trasfusionali in telemedicina, first edition 2023</w:t>
      </w:r>
    </w:p>
    <w:p w14:paraId="2BA75877"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themeColor="text1"/>
          <w:sz w:val="20"/>
          <w:szCs w:val="20"/>
          <w:shd w:val="clear" w:color="auto" w:fill="FFFFFF"/>
        </w:rPr>
      </w:pPr>
      <w:r w:rsidRPr="004A381C">
        <w:rPr>
          <w:rFonts w:ascii="Arial" w:hAnsi="Arial" w:cs="Arial"/>
          <w:bCs/>
          <w:sz w:val="20"/>
          <w:szCs w:val="20"/>
        </w:rPr>
        <w:t xml:space="preserve">Centro Nazionale Sangue. </w:t>
      </w:r>
      <w:r w:rsidRPr="004A381C">
        <w:rPr>
          <w:rFonts w:ascii="Arial" w:hAnsi="Arial" w:cs="Arial"/>
          <w:bCs/>
          <w:color w:val="000000" w:themeColor="text1"/>
          <w:sz w:val="20"/>
          <w:szCs w:val="20"/>
        </w:rPr>
        <w:t>Guida all’interpretazione dei requisiti specifici e alla conduzione degli audit della qualità nei Servizi Trasfusionali. Secon edition 2021.</w:t>
      </w:r>
    </w:p>
    <w:p w14:paraId="4DF99BC1" w14:textId="4F0FAB4F"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themeColor="text1"/>
          <w:sz w:val="20"/>
          <w:szCs w:val="20"/>
          <w:shd w:val="clear" w:color="auto" w:fill="FFFFFF"/>
          <w:lang w:val="en-US"/>
        </w:rPr>
      </w:pPr>
      <w:proofErr w:type="spellStart"/>
      <w:r w:rsidRPr="004A381C">
        <w:rPr>
          <w:rFonts w:ascii="Arial" w:hAnsi="Arial" w:cs="Arial"/>
          <w:bCs/>
          <w:sz w:val="20"/>
          <w:szCs w:val="20"/>
          <w:lang w:val="en-US"/>
        </w:rPr>
        <w:t>Grazzini</w:t>
      </w:r>
      <w:proofErr w:type="spellEnd"/>
      <w:r w:rsidRPr="004A381C">
        <w:rPr>
          <w:rFonts w:ascii="Arial" w:hAnsi="Arial" w:cs="Arial"/>
          <w:bCs/>
          <w:sz w:val="20"/>
          <w:szCs w:val="20"/>
          <w:lang w:val="en-US"/>
        </w:rPr>
        <w:t xml:space="preserve"> G, </w:t>
      </w:r>
      <w:proofErr w:type="spellStart"/>
      <w:r w:rsidRPr="004A381C">
        <w:rPr>
          <w:rFonts w:ascii="Arial" w:hAnsi="Arial" w:cs="Arial"/>
          <w:bCs/>
          <w:sz w:val="20"/>
          <w:szCs w:val="20"/>
          <w:lang w:val="en-US"/>
        </w:rPr>
        <w:t>Ceccarelli</w:t>
      </w:r>
      <w:proofErr w:type="spellEnd"/>
      <w:r w:rsidRPr="004A381C">
        <w:rPr>
          <w:rFonts w:ascii="Arial" w:hAnsi="Arial" w:cs="Arial"/>
          <w:bCs/>
          <w:sz w:val="20"/>
          <w:szCs w:val="20"/>
          <w:lang w:val="en-US"/>
        </w:rPr>
        <w:t xml:space="preserve"> A, </w:t>
      </w:r>
      <w:proofErr w:type="spellStart"/>
      <w:r w:rsidRPr="004A381C">
        <w:rPr>
          <w:rFonts w:ascii="Arial" w:hAnsi="Arial" w:cs="Arial"/>
          <w:bCs/>
          <w:sz w:val="20"/>
          <w:szCs w:val="20"/>
          <w:lang w:val="en-US"/>
        </w:rPr>
        <w:t>Calteri</w:t>
      </w:r>
      <w:proofErr w:type="spellEnd"/>
      <w:r w:rsidRPr="004A381C">
        <w:rPr>
          <w:rFonts w:ascii="Arial" w:hAnsi="Arial" w:cs="Arial"/>
          <w:bCs/>
          <w:sz w:val="20"/>
          <w:szCs w:val="20"/>
          <w:lang w:val="en-US"/>
        </w:rPr>
        <w:t xml:space="preserve"> S, Catalano L, </w:t>
      </w:r>
      <w:proofErr w:type="spellStart"/>
      <w:r w:rsidRPr="004A381C">
        <w:rPr>
          <w:rFonts w:ascii="Arial" w:hAnsi="Arial" w:cs="Arial"/>
          <w:bCs/>
          <w:sz w:val="20"/>
          <w:szCs w:val="20"/>
          <w:lang w:val="en-US"/>
        </w:rPr>
        <w:t>Calizzani</w:t>
      </w:r>
      <w:proofErr w:type="spellEnd"/>
      <w:r w:rsidRPr="004A381C">
        <w:rPr>
          <w:rFonts w:ascii="Arial" w:hAnsi="Arial" w:cs="Arial"/>
          <w:bCs/>
          <w:sz w:val="20"/>
          <w:szCs w:val="20"/>
          <w:lang w:val="en-US"/>
        </w:rPr>
        <w:t xml:space="preserve"> G, </w:t>
      </w:r>
      <w:r w:rsidR="009D5942">
        <w:rPr>
          <w:rFonts w:ascii="Arial" w:hAnsi="Arial" w:cs="Arial"/>
          <w:bCs/>
          <w:sz w:val="20"/>
          <w:szCs w:val="20"/>
          <w:lang w:val="en-US"/>
        </w:rPr>
        <w:t xml:space="preserve">and </w:t>
      </w:r>
      <w:r w:rsidRPr="004A381C">
        <w:rPr>
          <w:rFonts w:ascii="Arial" w:hAnsi="Arial" w:cs="Arial"/>
          <w:bCs/>
          <w:sz w:val="20"/>
          <w:szCs w:val="20"/>
          <w:lang w:val="en-US"/>
        </w:rPr>
        <w:t>Cicchetti A.</w:t>
      </w:r>
      <w:r w:rsidRPr="004A381C">
        <w:rPr>
          <w:rFonts w:ascii="Arial" w:eastAsia="Calibri" w:hAnsi="Arial" w:cs="Arial"/>
          <w:color w:val="000000" w:themeColor="text1"/>
          <w:sz w:val="20"/>
          <w:szCs w:val="20"/>
          <w:shd w:val="clear" w:color="auto" w:fill="FFFFFF"/>
          <w:lang w:val="en-US"/>
        </w:rPr>
        <w:t xml:space="preserve"> Sustainability of a public system for plasma collection, contract fractionation and plasma derived </w:t>
      </w:r>
      <w:proofErr w:type="spellStart"/>
      <w:r w:rsidRPr="004A381C">
        <w:rPr>
          <w:rFonts w:ascii="Arial" w:eastAsia="Calibri" w:hAnsi="Arial" w:cs="Arial"/>
          <w:color w:val="000000" w:themeColor="text1"/>
          <w:sz w:val="20"/>
          <w:szCs w:val="20"/>
          <w:shd w:val="clear" w:color="auto" w:fill="FFFFFF"/>
          <w:lang w:val="en-US"/>
        </w:rPr>
        <w:t>medicina</w:t>
      </w:r>
      <w:proofErr w:type="spellEnd"/>
      <w:r w:rsidRPr="004A381C">
        <w:rPr>
          <w:rFonts w:ascii="Arial" w:eastAsia="Calibri" w:hAnsi="Arial" w:cs="Arial"/>
          <w:color w:val="000000" w:themeColor="text1"/>
          <w:sz w:val="20"/>
          <w:szCs w:val="20"/>
          <w:shd w:val="clear" w:color="auto" w:fill="FFFFFF"/>
          <w:lang w:val="en-US"/>
        </w:rPr>
        <w:t xml:space="preserve"> product manufacturing. Blood Transfusion 2013; </w:t>
      </w:r>
      <w:proofErr w:type="spellStart"/>
      <w:r w:rsidRPr="004A381C">
        <w:rPr>
          <w:rFonts w:ascii="Arial" w:eastAsia="Calibri" w:hAnsi="Arial" w:cs="Arial"/>
          <w:color w:val="000000" w:themeColor="text1"/>
          <w:sz w:val="20"/>
          <w:szCs w:val="20"/>
          <w:shd w:val="clear" w:color="auto" w:fill="FFFFFF"/>
          <w:lang w:val="en-US"/>
        </w:rPr>
        <w:t>Supl</w:t>
      </w:r>
      <w:proofErr w:type="spellEnd"/>
      <w:r w:rsidRPr="004A381C">
        <w:rPr>
          <w:rFonts w:ascii="Arial" w:eastAsia="Calibri" w:hAnsi="Arial" w:cs="Arial"/>
          <w:color w:val="000000" w:themeColor="text1"/>
          <w:sz w:val="20"/>
          <w:szCs w:val="20"/>
          <w:shd w:val="clear" w:color="auto" w:fill="FFFFFF"/>
          <w:lang w:val="en-US"/>
        </w:rPr>
        <w:t xml:space="preserve"> 4: s138-147, </w:t>
      </w:r>
      <w:proofErr w:type="spellStart"/>
      <w:r w:rsidRPr="004A381C">
        <w:rPr>
          <w:rFonts w:ascii="Arial" w:eastAsia="Calibri" w:hAnsi="Arial" w:cs="Arial"/>
          <w:color w:val="000000" w:themeColor="text1"/>
          <w:sz w:val="20"/>
          <w:szCs w:val="20"/>
          <w:shd w:val="clear" w:color="auto" w:fill="FFFFFF"/>
          <w:lang w:val="en-US"/>
        </w:rPr>
        <w:t>doi</w:t>
      </w:r>
      <w:proofErr w:type="spellEnd"/>
      <w:r w:rsidRPr="004A381C">
        <w:rPr>
          <w:rFonts w:ascii="Arial" w:eastAsia="Calibri" w:hAnsi="Arial" w:cs="Arial"/>
          <w:color w:val="000000" w:themeColor="text1"/>
          <w:sz w:val="20"/>
          <w:szCs w:val="20"/>
          <w:shd w:val="clear" w:color="auto" w:fill="FFFFFF"/>
          <w:lang w:val="en-US"/>
        </w:rPr>
        <w:t>: 10.2450/2013.020s</w:t>
      </w:r>
    </w:p>
    <w:p w14:paraId="7BD922BC" w14:textId="07223B22"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themeColor="text1"/>
          <w:sz w:val="20"/>
          <w:szCs w:val="20"/>
          <w:shd w:val="clear" w:color="auto" w:fill="FFFFFF"/>
          <w:lang w:val="en-US"/>
        </w:rPr>
      </w:pPr>
      <w:r w:rsidRPr="004A381C">
        <w:rPr>
          <w:rFonts w:ascii="Arial" w:hAnsi="Arial" w:cs="Arial"/>
          <w:color w:val="212121"/>
          <w:sz w:val="20"/>
          <w:szCs w:val="20"/>
          <w:shd w:val="clear" w:color="auto" w:fill="FFFFFF"/>
          <w:lang w:val="en-US"/>
        </w:rPr>
        <w:t xml:space="preserve">Hofmann A, Ozawa S, Farrugia A, Farmer SL, </w:t>
      </w:r>
      <w:r w:rsidR="009D5942">
        <w:rPr>
          <w:rFonts w:ascii="Arial" w:hAnsi="Arial" w:cs="Arial"/>
          <w:color w:val="212121"/>
          <w:sz w:val="20"/>
          <w:szCs w:val="20"/>
          <w:shd w:val="clear" w:color="auto" w:fill="FFFFFF"/>
          <w:lang w:val="en-US"/>
        </w:rPr>
        <w:t xml:space="preserve">and </w:t>
      </w:r>
      <w:r w:rsidRPr="004A381C">
        <w:rPr>
          <w:rFonts w:ascii="Arial" w:hAnsi="Arial" w:cs="Arial"/>
          <w:color w:val="212121"/>
          <w:sz w:val="20"/>
          <w:szCs w:val="20"/>
          <w:shd w:val="clear" w:color="auto" w:fill="FFFFFF"/>
          <w:lang w:val="en-US"/>
        </w:rPr>
        <w:t xml:space="preserve">Shander A. Economic considerations on transfusion medicine and patient blood management. Best </w:t>
      </w:r>
      <w:proofErr w:type="spellStart"/>
      <w:r w:rsidRPr="004A381C">
        <w:rPr>
          <w:rFonts w:ascii="Arial" w:hAnsi="Arial" w:cs="Arial"/>
          <w:color w:val="212121"/>
          <w:sz w:val="20"/>
          <w:szCs w:val="20"/>
          <w:shd w:val="clear" w:color="auto" w:fill="FFFFFF"/>
          <w:lang w:val="en-US"/>
        </w:rPr>
        <w:t>Pract</w:t>
      </w:r>
      <w:proofErr w:type="spellEnd"/>
      <w:r w:rsidRPr="004A381C">
        <w:rPr>
          <w:rFonts w:ascii="Arial" w:hAnsi="Arial" w:cs="Arial"/>
          <w:color w:val="212121"/>
          <w:sz w:val="20"/>
          <w:szCs w:val="20"/>
          <w:shd w:val="clear" w:color="auto" w:fill="FFFFFF"/>
          <w:lang w:val="en-US"/>
        </w:rPr>
        <w:t xml:space="preserve"> Res Clin </w:t>
      </w:r>
      <w:proofErr w:type="spellStart"/>
      <w:r w:rsidRPr="004A381C">
        <w:rPr>
          <w:rFonts w:ascii="Arial" w:hAnsi="Arial" w:cs="Arial"/>
          <w:color w:val="212121"/>
          <w:sz w:val="20"/>
          <w:szCs w:val="20"/>
          <w:shd w:val="clear" w:color="auto" w:fill="FFFFFF"/>
          <w:lang w:val="en-US"/>
        </w:rPr>
        <w:t>Anaesthesiol</w:t>
      </w:r>
      <w:proofErr w:type="spellEnd"/>
      <w:r w:rsidRPr="004A381C">
        <w:rPr>
          <w:rFonts w:ascii="Arial" w:hAnsi="Arial" w:cs="Arial"/>
          <w:color w:val="212121"/>
          <w:sz w:val="20"/>
          <w:szCs w:val="20"/>
          <w:shd w:val="clear" w:color="auto" w:fill="FFFFFF"/>
          <w:lang w:val="en-US"/>
        </w:rPr>
        <w:t xml:space="preserve">. 2013; 27: 59-68.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10.1016/j.bpa.2013.02.001.</w:t>
      </w:r>
    </w:p>
    <w:p w14:paraId="54168E84" w14:textId="6603BBCA" w:rsidR="004A381C" w:rsidRPr="004A381C" w:rsidRDefault="004A381C" w:rsidP="004A381C">
      <w:pPr>
        <w:pStyle w:val="ListParagraph"/>
        <w:numPr>
          <w:ilvl w:val="0"/>
          <w:numId w:val="10"/>
        </w:numPr>
        <w:spacing w:after="0"/>
        <w:rPr>
          <w:rFonts w:ascii="Arial" w:hAnsi="Arial" w:cs="Arial"/>
          <w:sz w:val="20"/>
          <w:szCs w:val="20"/>
          <w:lang w:val="en-US"/>
        </w:rPr>
      </w:pPr>
      <w:r w:rsidRPr="004A381C">
        <w:rPr>
          <w:rFonts w:ascii="Arial" w:hAnsi="Arial" w:cs="Arial"/>
          <w:color w:val="212121"/>
          <w:sz w:val="20"/>
          <w:szCs w:val="20"/>
          <w:shd w:val="clear" w:color="auto" w:fill="FFFFFF"/>
          <w:lang w:val="en-US"/>
        </w:rPr>
        <w:t xml:space="preserve">Hofmann A, Ozawa S, </w:t>
      </w:r>
      <w:r w:rsidR="009D5942">
        <w:rPr>
          <w:rFonts w:ascii="Arial" w:hAnsi="Arial" w:cs="Arial"/>
          <w:color w:val="212121"/>
          <w:sz w:val="20"/>
          <w:szCs w:val="20"/>
          <w:shd w:val="clear" w:color="auto" w:fill="FFFFFF"/>
          <w:lang w:val="en-US"/>
        </w:rPr>
        <w:t xml:space="preserve">and </w:t>
      </w:r>
      <w:r w:rsidRPr="004A381C">
        <w:rPr>
          <w:rFonts w:ascii="Arial" w:hAnsi="Arial" w:cs="Arial"/>
          <w:color w:val="212121"/>
          <w:sz w:val="20"/>
          <w:szCs w:val="20"/>
          <w:shd w:val="clear" w:color="auto" w:fill="FFFFFF"/>
          <w:lang w:val="en-US"/>
        </w:rPr>
        <w:t xml:space="preserve">Shander A. Activity-based cost of platelet transfusions in medical and surgical inpatients at a US hospital. Vox Sang. 2021; 116: 998-1004.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10.1111/vox.13095.</w:t>
      </w:r>
    </w:p>
    <w:p w14:paraId="0066407D" w14:textId="62E25730"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t xml:space="preserve">Shander A, Ozawa S, </w:t>
      </w:r>
      <w:r w:rsidR="009D5942">
        <w:rPr>
          <w:rFonts w:ascii="Arial" w:hAnsi="Arial" w:cs="Arial"/>
          <w:color w:val="212121"/>
          <w:sz w:val="20"/>
          <w:szCs w:val="20"/>
          <w:shd w:val="clear" w:color="auto" w:fill="FFFFFF"/>
          <w:lang w:val="en-US"/>
        </w:rPr>
        <w:t xml:space="preserve">and </w:t>
      </w:r>
      <w:r w:rsidRPr="004A381C">
        <w:rPr>
          <w:rFonts w:ascii="Arial" w:hAnsi="Arial" w:cs="Arial"/>
          <w:color w:val="212121"/>
          <w:sz w:val="20"/>
          <w:szCs w:val="20"/>
          <w:shd w:val="clear" w:color="auto" w:fill="FFFFFF"/>
          <w:lang w:val="en-US"/>
        </w:rPr>
        <w:t xml:space="preserve">Hofmann A. Activity-based costs of plasma transfusions in medical and surgical inpatients at a US hospital. Vox Sang. 2016; 111: 55-61.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10.1111/vox.12386.</w:t>
      </w:r>
    </w:p>
    <w:p w14:paraId="6DC4A96A" w14:textId="2C78C871"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t xml:space="preserve">Shander A, Hofmann A, Ozawa S, </w:t>
      </w:r>
      <w:proofErr w:type="spellStart"/>
      <w:r w:rsidRPr="004A381C">
        <w:rPr>
          <w:rFonts w:ascii="Arial" w:hAnsi="Arial" w:cs="Arial"/>
          <w:color w:val="212121"/>
          <w:sz w:val="20"/>
          <w:szCs w:val="20"/>
          <w:shd w:val="clear" w:color="auto" w:fill="FFFFFF"/>
          <w:lang w:val="en-US"/>
        </w:rPr>
        <w:t>Theusinger</w:t>
      </w:r>
      <w:proofErr w:type="spellEnd"/>
      <w:r w:rsidRPr="004A381C">
        <w:rPr>
          <w:rFonts w:ascii="Arial" w:hAnsi="Arial" w:cs="Arial"/>
          <w:color w:val="212121"/>
          <w:sz w:val="20"/>
          <w:szCs w:val="20"/>
          <w:shd w:val="clear" w:color="auto" w:fill="FFFFFF"/>
          <w:lang w:val="en-US"/>
        </w:rPr>
        <w:t xml:space="preserve"> OM, </w:t>
      </w:r>
      <w:proofErr w:type="spellStart"/>
      <w:r w:rsidRPr="004A381C">
        <w:rPr>
          <w:rFonts w:ascii="Arial" w:hAnsi="Arial" w:cs="Arial"/>
          <w:color w:val="212121"/>
          <w:sz w:val="20"/>
          <w:szCs w:val="20"/>
          <w:shd w:val="clear" w:color="auto" w:fill="FFFFFF"/>
          <w:lang w:val="en-US"/>
        </w:rPr>
        <w:t>Gombotz</w:t>
      </w:r>
      <w:proofErr w:type="spellEnd"/>
      <w:r w:rsidRPr="004A381C">
        <w:rPr>
          <w:rFonts w:ascii="Arial" w:hAnsi="Arial" w:cs="Arial"/>
          <w:color w:val="212121"/>
          <w:sz w:val="20"/>
          <w:szCs w:val="20"/>
          <w:shd w:val="clear" w:color="auto" w:fill="FFFFFF"/>
          <w:lang w:val="en-US"/>
        </w:rPr>
        <w:t xml:space="preserve"> H, </w:t>
      </w:r>
      <w:r w:rsidR="009D5942">
        <w:rPr>
          <w:rFonts w:ascii="Arial" w:hAnsi="Arial" w:cs="Arial"/>
          <w:color w:val="212121"/>
          <w:sz w:val="20"/>
          <w:szCs w:val="20"/>
          <w:shd w:val="clear" w:color="auto" w:fill="FFFFFF"/>
          <w:lang w:val="en-US"/>
        </w:rPr>
        <w:t xml:space="preserve">and </w:t>
      </w:r>
      <w:r w:rsidRPr="004A381C">
        <w:rPr>
          <w:rFonts w:ascii="Arial" w:hAnsi="Arial" w:cs="Arial"/>
          <w:color w:val="212121"/>
          <w:sz w:val="20"/>
          <w:szCs w:val="20"/>
          <w:shd w:val="clear" w:color="auto" w:fill="FFFFFF"/>
          <w:lang w:val="en-US"/>
        </w:rPr>
        <w:t xml:space="preserve">Spahn DR. Activity-based costs of blood transfusions in surgical patients at four hospitals. Transfusion. 2010; 50: 753-65.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10.1111/j.1537-2995.2009.</w:t>
      </w:r>
      <w:proofErr w:type="gramStart"/>
      <w:r w:rsidRPr="004A381C">
        <w:rPr>
          <w:rFonts w:ascii="Arial" w:hAnsi="Arial" w:cs="Arial"/>
          <w:color w:val="212121"/>
          <w:sz w:val="20"/>
          <w:szCs w:val="20"/>
          <w:shd w:val="clear" w:color="auto" w:fill="FFFFFF"/>
          <w:lang w:val="en-US"/>
        </w:rPr>
        <w:t>02518.x.</w:t>
      </w:r>
      <w:proofErr w:type="gramEnd"/>
    </w:p>
    <w:p w14:paraId="2CA43595" w14:textId="37C116C9" w:rsidR="004A381C" w:rsidRPr="004A381C" w:rsidRDefault="004A381C" w:rsidP="004A381C">
      <w:pPr>
        <w:pStyle w:val="ListParagraph"/>
        <w:numPr>
          <w:ilvl w:val="0"/>
          <w:numId w:val="10"/>
        </w:numPr>
        <w:spacing w:after="0"/>
        <w:jc w:val="both"/>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t xml:space="preserve">Sun D. </w:t>
      </w:r>
      <w:r w:rsidR="009D5942">
        <w:rPr>
          <w:rFonts w:ascii="Arial" w:hAnsi="Arial" w:cs="Arial"/>
          <w:color w:val="212121"/>
          <w:sz w:val="20"/>
          <w:szCs w:val="20"/>
          <w:shd w:val="clear" w:color="auto" w:fill="FFFFFF"/>
          <w:lang w:val="en-US"/>
        </w:rPr>
        <w:t xml:space="preserve">and </w:t>
      </w:r>
      <w:r w:rsidRPr="004A381C">
        <w:rPr>
          <w:rFonts w:ascii="Arial" w:hAnsi="Arial" w:cs="Arial"/>
          <w:color w:val="212121"/>
          <w:sz w:val="20"/>
          <w:szCs w:val="20"/>
          <w:shd w:val="clear" w:color="auto" w:fill="FFFFFF"/>
          <w:lang w:val="en-US"/>
        </w:rPr>
        <w:t xml:space="preserve">Abraham I. </w:t>
      </w:r>
      <w:r w:rsidRPr="004A381C">
        <w:rPr>
          <w:rFonts w:ascii="Arial" w:hAnsi="Arial" w:cs="Arial"/>
          <w:color w:val="4B4C4D"/>
          <w:sz w:val="20"/>
          <w:szCs w:val="20"/>
          <w:lang w:val="en-US"/>
        </w:rPr>
        <w:t xml:space="preserve">Cost of allogeneic blood transfusion. World J </w:t>
      </w:r>
      <w:proofErr w:type="spellStart"/>
      <w:proofErr w:type="gramStart"/>
      <w:r w:rsidRPr="004A381C">
        <w:rPr>
          <w:rFonts w:ascii="Arial" w:hAnsi="Arial" w:cs="Arial"/>
          <w:color w:val="4B4C4D"/>
          <w:sz w:val="20"/>
          <w:szCs w:val="20"/>
          <w:lang w:val="en-US"/>
        </w:rPr>
        <w:t>Hematol</w:t>
      </w:r>
      <w:proofErr w:type="spellEnd"/>
      <w:r w:rsidRPr="004A381C">
        <w:rPr>
          <w:rFonts w:ascii="Arial" w:hAnsi="Arial" w:cs="Arial"/>
          <w:color w:val="4B4C4D"/>
          <w:sz w:val="20"/>
          <w:szCs w:val="20"/>
          <w:lang w:val="en-US"/>
        </w:rPr>
        <w:t xml:space="preserve">  2012</w:t>
      </w:r>
      <w:proofErr w:type="gramEnd"/>
      <w:r w:rsidRPr="004A381C">
        <w:rPr>
          <w:rFonts w:ascii="Arial" w:hAnsi="Arial" w:cs="Arial"/>
          <w:color w:val="4B4C4D"/>
          <w:sz w:val="20"/>
          <w:szCs w:val="20"/>
          <w:lang w:val="en-US"/>
        </w:rPr>
        <w:t>; 6: 8-13. doi:10.5315/</w:t>
      </w:r>
      <w:proofErr w:type="gramStart"/>
      <w:r w:rsidRPr="004A381C">
        <w:rPr>
          <w:rFonts w:ascii="Arial" w:hAnsi="Arial" w:cs="Arial"/>
          <w:color w:val="4B4C4D"/>
          <w:sz w:val="20"/>
          <w:szCs w:val="20"/>
          <w:lang w:val="en-US"/>
        </w:rPr>
        <w:t>wjh.v</w:t>
      </w:r>
      <w:proofErr w:type="gramEnd"/>
      <w:r w:rsidRPr="004A381C">
        <w:rPr>
          <w:rFonts w:ascii="Arial" w:hAnsi="Arial" w:cs="Arial"/>
          <w:color w:val="4B4C4D"/>
          <w:sz w:val="20"/>
          <w:szCs w:val="20"/>
          <w:lang w:val="en-US"/>
        </w:rPr>
        <w:t>1.i3.8</w:t>
      </w:r>
    </w:p>
    <w:p w14:paraId="32A8508C" w14:textId="563FD87D"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t xml:space="preserve">Abrham I, </w:t>
      </w:r>
      <w:r w:rsidR="009D5942">
        <w:rPr>
          <w:rFonts w:ascii="Arial" w:hAnsi="Arial" w:cs="Arial"/>
          <w:color w:val="212121"/>
          <w:sz w:val="20"/>
          <w:szCs w:val="20"/>
          <w:shd w:val="clear" w:color="auto" w:fill="FFFFFF"/>
          <w:lang w:val="en-US"/>
        </w:rPr>
        <w:t xml:space="preserve">and </w:t>
      </w:r>
      <w:r w:rsidRPr="004A381C">
        <w:rPr>
          <w:rFonts w:ascii="Arial" w:hAnsi="Arial" w:cs="Arial"/>
          <w:color w:val="212121"/>
          <w:sz w:val="20"/>
          <w:szCs w:val="20"/>
          <w:shd w:val="clear" w:color="auto" w:fill="FFFFFF"/>
          <w:lang w:val="en-US"/>
        </w:rPr>
        <w:t xml:space="preserve">Sun D. The costs of blood transfusion in Western Europe as estimated from six studies. </w:t>
      </w:r>
      <w:proofErr w:type="gramStart"/>
      <w:r w:rsidRPr="004A381C">
        <w:rPr>
          <w:rFonts w:ascii="Arial" w:hAnsi="Arial" w:cs="Arial"/>
          <w:color w:val="212121"/>
          <w:sz w:val="20"/>
          <w:szCs w:val="20"/>
          <w:shd w:val="clear" w:color="auto" w:fill="FFFFFF"/>
          <w:lang w:val="en-US"/>
        </w:rPr>
        <w:t>Transfusion  2012</w:t>
      </w:r>
      <w:proofErr w:type="gramEnd"/>
      <w:r w:rsidRPr="004A381C">
        <w:rPr>
          <w:rFonts w:ascii="Arial" w:hAnsi="Arial" w:cs="Arial"/>
          <w:color w:val="212121"/>
          <w:sz w:val="20"/>
          <w:szCs w:val="20"/>
          <w:shd w:val="clear" w:color="auto" w:fill="FFFFFF"/>
          <w:lang w:val="en-US"/>
        </w:rPr>
        <w:t>; 52: 1983-1988. Doi: 101111/j1537.</w:t>
      </w:r>
      <w:proofErr w:type="gramStart"/>
      <w:r w:rsidRPr="004A381C">
        <w:rPr>
          <w:rFonts w:ascii="Arial" w:hAnsi="Arial" w:cs="Arial"/>
          <w:color w:val="212121"/>
          <w:sz w:val="20"/>
          <w:szCs w:val="20"/>
          <w:shd w:val="clear" w:color="auto" w:fill="FFFFFF"/>
          <w:lang w:val="en-US"/>
        </w:rPr>
        <w:t>2011.03532.x</w:t>
      </w:r>
      <w:proofErr w:type="gramEnd"/>
    </w:p>
    <w:p w14:paraId="7E26E645" w14:textId="77777777"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lastRenderedPageBreak/>
        <w:t xml:space="preserve">Catalano L. Piccinini V, Pati I, Masiello F, Pupella S, De Angelis V. Taly Blood System 2023: activity data, </w:t>
      </w:r>
      <w:proofErr w:type="spellStart"/>
      <w:r w:rsidRPr="004A381C">
        <w:rPr>
          <w:rFonts w:ascii="Arial" w:hAnsi="Arial" w:cs="Arial"/>
          <w:color w:val="212121"/>
          <w:sz w:val="20"/>
          <w:szCs w:val="20"/>
          <w:shd w:val="clear" w:color="auto" w:fill="FFFFFF"/>
          <w:lang w:val="en-US"/>
        </w:rPr>
        <w:t>haemovigilance</w:t>
      </w:r>
      <w:proofErr w:type="spellEnd"/>
      <w:r w:rsidRPr="004A381C">
        <w:rPr>
          <w:rFonts w:ascii="Arial" w:hAnsi="Arial" w:cs="Arial"/>
          <w:color w:val="212121"/>
          <w:sz w:val="20"/>
          <w:szCs w:val="20"/>
          <w:shd w:val="clear" w:color="auto" w:fill="FFFFFF"/>
          <w:lang w:val="en-US"/>
        </w:rPr>
        <w:t xml:space="preserve">, and epidemiological surveillance. </w:t>
      </w:r>
      <w:proofErr w:type="spellStart"/>
      <w:r w:rsidRPr="004A381C">
        <w:rPr>
          <w:rFonts w:ascii="Arial" w:hAnsi="Arial" w:cs="Arial"/>
          <w:color w:val="212121"/>
          <w:sz w:val="20"/>
          <w:szCs w:val="20"/>
          <w:shd w:val="clear" w:color="auto" w:fill="FFFFFF"/>
          <w:lang w:val="en-US"/>
        </w:rPr>
        <w:t>Rapporti</w:t>
      </w:r>
      <w:proofErr w:type="spellEnd"/>
      <w:r w:rsidRPr="004A381C">
        <w:rPr>
          <w:rFonts w:ascii="Arial" w:hAnsi="Arial" w:cs="Arial"/>
          <w:color w:val="212121"/>
          <w:sz w:val="20"/>
          <w:szCs w:val="20"/>
          <w:shd w:val="clear" w:color="auto" w:fill="FFFFFF"/>
          <w:lang w:val="en-US"/>
        </w:rPr>
        <w:t xml:space="preserve"> ISTISAN 36/24. Istituto Superiore di Sanità 2024.</w:t>
      </w:r>
    </w:p>
    <w:p w14:paraId="355CD5FC" w14:textId="77777777"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eastAsia="HelveticaNeueLTStd-Lt" w:hAnsi="Arial" w:cs="Arial"/>
          <w:color w:val="000000" w:themeColor="text1"/>
          <w:sz w:val="20"/>
          <w:szCs w:val="20"/>
          <w:lang w:val="en-US"/>
        </w:rPr>
        <w:t xml:space="preserve">Narayan, S. </w:t>
      </w:r>
      <w:r w:rsidRPr="004A381C">
        <w:rPr>
          <w:rFonts w:ascii="Arial" w:eastAsia="HelveticaNeueLTStd-Lt" w:hAnsi="Arial" w:cs="Arial"/>
          <w:sz w:val="20"/>
          <w:szCs w:val="20"/>
          <w:lang w:val="en-US"/>
        </w:rPr>
        <w:t xml:space="preserve">Dr Peter Baker, Dr Andrew Bentley, Dr Paula Bolton-Maggs, Dr Catherine Booth, Dr </w:t>
      </w:r>
      <w:proofErr w:type="spellStart"/>
      <w:r w:rsidRPr="004A381C">
        <w:rPr>
          <w:rFonts w:ascii="Arial" w:eastAsia="HelveticaNeueLTStd-Lt" w:hAnsi="Arial" w:cs="Arial"/>
          <w:sz w:val="20"/>
          <w:szCs w:val="20"/>
          <w:lang w:val="en-US"/>
        </w:rPr>
        <w:t>Su</w:t>
      </w:r>
      <w:proofErr w:type="spellEnd"/>
      <w:r w:rsidRPr="004A381C">
        <w:rPr>
          <w:rFonts w:ascii="Arial" w:eastAsia="HelveticaNeueLTStd-Lt" w:hAnsi="Arial" w:cs="Arial"/>
          <w:sz w:val="20"/>
          <w:szCs w:val="20"/>
          <w:lang w:val="en-US"/>
        </w:rPr>
        <w:t xml:space="preserve"> Brailsford, </w:t>
      </w:r>
      <w:proofErr w:type="spellStart"/>
      <w:r w:rsidRPr="004A381C">
        <w:rPr>
          <w:rFonts w:ascii="Arial" w:eastAsia="HelveticaNeueLTStd-Lt" w:hAnsi="Arial" w:cs="Arial"/>
          <w:sz w:val="20"/>
          <w:szCs w:val="20"/>
          <w:lang w:val="en-US"/>
        </w:rPr>
        <w:t>Mr</w:t>
      </w:r>
      <w:proofErr w:type="spellEnd"/>
      <w:r w:rsidRPr="004A381C">
        <w:rPr>
          <w:rFonts w:ascii="Arial" w:eastAsia="HelveticaNeueLTStd-Lt" w:hAnsi="Arial" w:cs="Arial"/>
          <w:sz w:val="20"/>
          <w:szCs w:val="20"/>
          <w:lang w:val="en-US"/>
        </w:rPr>
        <w:t xml:space="preserve"> Simon Carter-Graham,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Heather Clarke,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Clare Cook, Dr </w:t>
      </w:r>
      <w:proofErr w:type="spellStart"/>
      <w:r w:rsidRPr="004A381C">
        <w:rPr>
          <w:rFonts w:ascii="Arial" w:eastAsia="HelveticaNeueLTStd-Lt" w:hAnsi="Arial" w:cs="Arial"/>
          <w:sz w:val="20"/>
          <w:szCs w:val="20"/>
          <w:lang w:val="en-US"/>
        </w:rPr>
        <w:t>Anicee</w:t>
      </w:r>
      <w:proofErr w:type="spellEnd"/>
      <w:r w:rsidRPr="004A381C">
        <w:rPr>
          <w:rFonts w:ascii="Arial" w:eastAsia="HelveticaNeueLTStd-Lt" w:hAnsi="Arial" w:cs="Arial"/>
          <w:sz w:val="20"/>
          <w:szCs w:val="20"/>
          <w:lang w:val="en-US"/>
        </w:rPr>
        <w:t xml:space="preserve"> </w:t>
      </w:r>
      <w:proofErr w:type="spellStart"/>
      <w:r w:rsidRPr="004A381C">
        <w:rPr>
          <w:rFonts w:ascii="Arial" w:eastAsia="HelveticaNeueLTStd-Lt" w:hAnsi="Arial" w:cs="Arial"/>
          <w:sz w:val="20"/>
          <w:szCs w:val="20"/>
          <w:lang w:val="en-US"/>
        </w:rPr>
        <w:t>Danaee</w:t>
      </w:r>
      <w:proofErr w:type="spellEnd"/>
      <w:r w:rsidRPr="004A381C">
        <w:rPr>
          <w:rFonts w:ascii="Arial" w:eastAsia="HelveticaNeueLTStd-Lt" w:hAnsi="Arial" w:cs="Arial"/>
          <w:sz w:val="20"/>
          <w:szCs w:val="20"/>
          <w:lang w:val="en-US"/>
        </w:rPr>
        <w:t xml:space="preserve">, Dr Jennifer Davies,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Katy Davison, Dr Rebecca Elder, Dr Sharran Grey, Dr Sarah Haynes,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Caryn Hughes, Dr Anne Kelly, Dr Tom Latham, Dr Puneet Malhotra,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Josephine McCullagh,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Emma </w:t>
      </w:r>
      <w:proofErr w:type="spellStart"/>
      <w:r w:rsidRPr="004A381C">
        <w:rPr>
          <w:rFonts w:ascii="Arial" w:eastAsia="HelveticaNeueLTStd-Lt" w:hAnsi="Arial" w:cs="Arial"/>
          <w:sz w:val="20"/>
          <w:szCs w:val="20"/>
          <w:lang w:val="en-US"/>
        </w:rPr>
        <w:t>Milser</w:t>
      </w:r>
      <w:proofErr w:type="spellEnd"/>
      <w:r w:rsidRPr="004A381C">
        <w:rPr>
          <w:rFonts w:ascii="Arial" w:eastAsia="HelveticaNeueLTStd-Lt" w:hAnsi="Arial" w:cs="Arial"/>
          <w:sz w:val="20"/>
          <w:szCs w:val="20"/>
          <w:lang w:val="en-US"/>
        </w:rPr>
        <w:t xml:space="preserve">,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April Molloy,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Debbi Poles, </w:t>
      </w:r>
      <w:proofErr w:type="spellStart"/>
      <w:r w:rsidRPr="004A381C">
        <w:rPr>
          <w:rFonts w:ascii="Arial" w:eastAsia="HelveticaNeueLTStd-Lt" w:hAnsi="Arial" w:cs="Arial"/>
          <w:sz w:val="20"/>
          <w:szCs w:val="20"/>
          <w:lang w:val="en-US"/>
        </w:rPr>
        <w:t>Mr</w:t>
      </w:r>
      <w:proofErr w:type="spellEnd"/>
      <w:r w:rsidRPr="004A381C">
        <w:rPr>
          <w:rFonts w:ascii="Arial" w:eastAsia="HelveticaNeueLTStd-Lt" w:hAnsi="Arial" w:cs="Arial"/>
          <w:sz w:val="20"/>
          <w:szCs w:val="20"/>
          <w:lang w:val="en-US"/>
        </w:rPr>
        <w:t xml:space="preserve"> Chris Robbie, Dr Susan Robinson,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Vera Rosa, Dr Megan Rowley, Dr Joseph Sharif,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Charlotte Silver,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Nicola Swarbrick,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Tracey Tomlinson,</w:t>
      </w:r>
    </w:p>
    <w:p w14:paraId="4589F432" w14:textId="18AB0E3E" w:rsidR="004A381C" w:rsidRPr="004A381C" w:rsidRDefault="004A381C" w:rsidP="004A381C">
      <w:pPr>
        <w:pStyle w:val="ListParagraph"/>
        <w:spacing w:after="0"/>
        <w:ind w:left="360"/>
        <w:rPr>
          <w:rFonts w:ascii="Arial" w:hAnsi="Arial" w:cs="Arial"/>
          <w:color w:val="212121"/>
          <w:sz w:val="20"/>
          <w:szCs w:val="20"/>
          <w:shd w:val="clear" w:color="auto" w:fill="FFFFFF"/>
          <w:lang w:val="en-US"/>
        </w:rPr>
      </w:pP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Victoria </w:t>
      </w:r>
      <w:proofErr w:type="spellStart"/>
      <w:r w:rsidRPr="004A381C">
        <w:rPr>
          <w:rFonts w:ascii="Arial" w:eastAsia="HelveticaNeueLTStd-Lt" w:hAnsi="Arial" w:cs="Arial"/>
          <w:sz w:val="20"/>
          <w:szCs w:val="20"/>
          <w:lang w:val="en-US"/>
        </w:rPr>
        <w:t>Tuckley</w:t>
      </w:r>
      <w:proofErr w:type="spellEnd"/>
      <w:r w:rsidRPr="004A381C">
        <w:rPr>
          <w:rFonts w:ascii="Arial" w:eastAsia="HelveticaNeueLTStd-Lt" w:hAnsi="Arial" w:cs="Arial"/>
          <w:sz w:val="20"/>
          <w:szCs w:val="20"/>
          <w:lang w:val="en-US"/>
        </w:rPr>
        <w:t xml:space="preserve">, Dr Alison Watt, </w:t>
      </w:r>
      <w:r w:rsidR="00511CF7">
        <w:rPr>
          <w:rFonts w:ascii="Arial" w:eastAsia="HelveticaNeueLTStd-Lt" w:hAnsi="Arial" w:cs="Arial"/>
          <w:sz w:val="20"/>
          <w:szCs w:val="20"/>
          <w:lang w:val="en-US"/>
        </w:rPr>
        <w:t xml:space="preserve">and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w:t>
      </w:r>
      <w:proofErr w:type="spellStart"/>
      <w:r w:rsidRPr="004A381C">
        <w:rPr>
          <w:rFonts w:ascii="Arial" w:eastAsia="HelveticaNeueLTStd-Lt" w:hAnsi="Arial" w:cs="Arial"/>
          <w:sz w:val="20"/>
          <w:szCs w:val="20"/>
          <w:lang w:val="en-US"/>
        </w:rPr>
        <w:t>Tali</w:t>
      </w:r>
      <w:proofErr w:type="spellEnd"/>
      <w:r w:rsidRPr="004A381C">
        <w:rPr>
          <w:rFonts w:ascii="Arial" w:eastAsia="HelveticaNeueLTStd-Lt" w:hAnsi="Arial" w:cs="Arial"/>
          <w:sz w:val="20"/>
          <w:szCs w:val="20"/>
          <w:lang w:val="en-US"/>
        </w:rPr>
        <w:t xml:space="preserve"> </w:t>
      </w:r>
      <w:proofErr w:type="spellStart"/>
      <w:proofErr w:type="gramStart"/>
      <w:r w:rsidRPr="004A381C">
        <w:rPr>
          <w:rFonts w:ascii="Arial" w:eastAsia="HelveticaNeueLTStd-Lt" w:hAnsi="Arial" w:cs="Arial"/>
          <w:sz w:val="20"/>
          <w:szCs w:val="20"/>
          <w:lang w:val="en-US"/>
        </w:rPr>
        <w:t>Yawitch</w:t>
      </w:r>
      <w:proofErr w:type="spellEnd"/>
      <w:r w:rsidRPr="004A381C">
        <w:rPr>
          <w:rFonts w:ascii="Arial" w:eastAsia="HelveticaNeueLTStd-Lt" w:hAnsi="Arial" w:cs="Arial"/>
          <w:sz w:val="20"/>
          <w:szCs w:val="20"/>
          <w:lang w:val="en-US"/>
        </w:rPr>
        <w:t>.</w:t>
      </w:r>
      <w:r w:rsidRPr="004A381C">
        <w:rPr>
          <w:rFonts w:ascii="Arial" w:eastAsia="HelveticaNeueLTStd-Lt" w:hAnsi="Arial" w:cs="Arial"/>
          <w:color w:val="000000" w:themeColor="text1"/>
          <w:sz w:val="20"/>
          <w:szCs w:val="20"/>
          <w:lang w:val="en-US"/>
        </w:rPr>
        <w:t>.</w:t>
      </w:r>
      <w:proofErr w:type="gramEnd"/>
      <w:r w:rsidRPr="004A381C">
        <w:rPr>
          <w:rFonts w:ascii="Arial" w:eastAsia="HelveticaNeueLTStd-Lt" w:hAnsi="Arial" w:cs="Arial"/>
          <w:color w:val="000000" w:themeColor="text1"/>
          <w:sz w:val="20"/>
          <w:szCs w:val="20"/>
          <w:lang w:val="en-US"/>
        </w:rPr>
        <w:t xml:space="preserve"> The 2024 Annual SHOT Report, Serious Hazards of Transfusion (SHOT) Steering Group. Manchester: 2025. https://doi.org/10.57911/gwcz-4q04</w:t>
      </w:r>
    </w:p>
    <w:p w14:paraId="5869FF39" w14:textId="77777777" w:rsidR="004A381C" w:rsidRPr="009F723E" w:rsidRDefault="004A381C" w:rsidP="004A381C">
      <w:pPr>
        <w:spacing w:after="0" w:line="240" w:lineRule="auto"/>
        <w:jc w:val="both"/>
        <w:rPr>
          <w:rFonts w:ascii="Arial" w:hAnsi="Arial" w:cs="Arial"/>
          <w:sz w:val="20"/>
          <w:szCs w:val="20"/>
          <w:lang w:val="en-US"/>
        </w:rPr>
      </w:pPr>
    </w:p>
    <w:p w14:paraId="75711E79" w14:textId="77777777" w:rsidR="004A381C" w:rsidRPr="009F723E" w:rsidRDefault="004A381C" w:rsidP="004A381C">
      <w:pPr>
        <w:spacing w:after="0" w:line="240" w:lineRule="auto"/>
        <w:jc w:val="both"/>
        <w:rPr>
          <w:rFonts w:ascii="Arial" w:hAnsi="Arial" w:cs="Arial"/>
          <w:sz w:val="20"/>
          <w:szCs w:val="20"/>
          <w:lang w:val="en-US"/>
        </w:rPr>
      </w:pPr>
    </w:p>
    <w:p w14:paraId="0FAAEFF6" w14:textId="77777777" w:rsidR="004A381C" w:rsidRPr="009F723E" w:rsidRDefault="004A381C" w:rsidP="004A381C">
      <w:pPr>
        <w:spacing w:after="0" w:line="240" w:lineRule="auto"/>
        <w:jc w:val="both"/>
        <w:rPr>
          <w:rFonts w:ascii="Arial" w:hAnsi="Arial" w:cs="Arial"/>
          <w:sz w:val="20"/>
          <w:szCs w:val="20"/>
          <w:lang w:val="en-US"/>
        </w:rPr>
      </w:pPr>
    </w:p>
    <w:p w14:paraId="2BC46857" w14:textId="77777777" w:rsidR="004A381C" w:rsidRPr="00F30268" w:rsidRDefault="004A381C" w:rsidP="004A381C">
      <w:pPr>
        <w:spacing w:after="0" w:line="240" w:lineRule="auto"/>
        <w:jc w:val="both"/>
        <w:rPr>
          <w:rFonts w:ascii="Arial" w:hAnsi="Arial" w:cs="Arial"/>
          <w:sz w:val="24"/>
          <w:szCs w:val="24"/>
          <w:lang w:val="en-US"/>
        </w:rPr>
      </w:pPr>
    </w:p>
    <w:p w14:paraId="28E39F62" w14:textId="77777777" w:rsidR="004A381C" w:rsidRPr="00F30268" w:rsidRDefault="004A381C" w:rsidP="004A381C">
      <w:pPr>
        <w:spacing w:after="0" w:line="240" w:lineRule="auto"/>
        <w:jc w:val="both"/>
        <w:rPr>
          <w:rFonts w:ascii="Arial" w:hAnsi="Arial" w:cs="Arial"/>
          <w:sz w:val="24"/>
          <w:szCs w:val="24"/>
          <w:lang w:val="en-US"/>
        </w:rPr>
      </w:pPr>
    </w:p>
    <w:p w14:paraId="3F663AE8" w14:textId="77777777" w:rsidR="004A381C" w:rsidRPr="00A63764" w:rsidRDefault="004A381C" w:rsidP="004A381C">
      <w:pPr>
        <w:rPr>
          <w:lang w:val="en-GB"/>
        </w:rPr>
      </w:pPr>
    </w:p>
    <w:p w14:paraId="4FEEBAFC" w14:textId="77777777" w:rsidR="00CA2578" w:rsidRPr="00CA2578" w:rsidRDefault="00CA2578" w:rsidP="003C4439">
      <w:pPr>
        <w:spacing w:after="0" w:line="240" w:lineRule="auto"/>
        <w:jc w:val="both"/>
        <w:rPr>
          <w:rFonts w:ascii="Arial" w:hAnsi="Arial" w:cs="Arial"/>
          <w:sz w:val="24"/>
          <w:szCs w:val="24"/>
          <w:lang w:val="en-US"/>
        </w:rPr>
      </w:pPr>
    </w:p>
    <w:sectPr w:rsidR="00CA2578" w:rsidRPr="00CA2578" w:rsidSect="00920B05">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83763" w14:textId="77777777" w:rsidR="005468AF" w:rsidRDefault="005468AF" w:rsidP="00CA2578">
      <w:pPr>
        <w:spacing w:after="0" w:line="240" w:lineRule="auto"/>
      </w:pPr>
      <w:r>
        <w:separator/>
      </w:r>
    </w:p>
  </w:endnote>
  <w:endnote w:type="continuationSeparator" w:id="0">
    <w:p w14:paraId="39979917" w14:textId="77777777" w:rsidR="005468AF" w:rsidRDefault="005468AF" w:rsidP="00CA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eueLTStd-L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B494" w14:textId="77777777" w:rsidR="00A36BC9" w:rsidRDefault="00A36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73516"/>
      <w:docPartObj>
        <w:docPartGallery w:val="Page Numbers (Bottom of Page)"/>
        <w:docPartUnique/>
      </w:docPartObj>
    </w:sdtPr>
    <w:sdtEndPr/>
    <w:sdtContent>
      <w:p w14:paraId="0E48CDE9" w14:textId="77777777" w:rsidR="00CA2578" w:rsidRDefault="00C65D33">
        <w:pPr>
          <w:pStyle w:val="Footer"/>
          <w:jc w:val="right"/>
        </w:pPr>
        <w:r>
          <w:fldChar w:fldCharType="begin"/>
        </w:r>
        <w:r w:rsidR="00083778">
          <w:instrText xml:space="preserve"> PAGE   \* MERGEFORMAT </w:instrText>
        </w:r>
        <w:r>
          <w:fldChar w:fldCharType="separate"/>
        </w:r>
        <w:r w:rsidR="00A9145F">
          <w:rPr>
            <w:noProof/>
          </w:rPr>
          <w:t>1</w:t>
        </w:r>
        <w:r>
          <w:rPr>
            <w:noProof/>
          </w:rPr>
          <w:fldChar w:fldCharType="end"/>
        </w:r>
      </w:p>
    </w:sdtContent>
  </w:sdt>
  <w:p w14:paraId="1A1026B5" w14:textId="77777777" w:rsidR="00CA2578" w:rsidRDefault="00CA2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D8CD" w14:textId="77777777" w:rsidR="00A36BC9" w:rsidRDefault="00A3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B6842" w14:textId="77777777" w:rsidR="005468AF" w:rsidRDefault="005468AF" w:rsidP="00CA2578">
      <w:pPr>
        <w:spacing w:after="0" w:line="240" w:lineRule="auto"/>
      </w:pPr>
      <w:r>
        <w:separator/>
      </w:r>
    </w:p>
  </w:footnote>
  <w:footnote w:type="continuationSeparator" w:id="0">
    <w:p w14:paraId="47DB661D" w14:textId="77777777" w:rsidR="005468AF" w:rsidRDefault="005468AF" w:rsidP="00CA2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9E188" w14:textId="6A5ACB75" w:rsidR="00A36BC9" w:rsidRDefault="005468AF">
    <w:pPr>
      <w:pStyle w:val="Header"/>
    </w:pPr>
    <w:r>
      <w:rPr>
        <w:noProof/>
      </w:rPr>
      <w:pict w14:anchorId="554F9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232564" o:spid="_x0000_s2050"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CC135" w14:textId="2182A9BB" w:rsidR="00A36BC9" w:rsidRDefault="005468AF">
    <w:pPr>
      <w:pStyle w:val="Header"/>
    </w:pPr>
    <w:r>
      <w:rPr>
        <w:noProof/>
      </w:rPr>
      <w:pict w14:anchorId="4D4D1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232565" o:spid="_x0000_s2051" type="#_x0000_t136" style="position:absolute;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644FF" w14:textId="760052E2" w:rsidR="00A36BC9" w:rsidRDefault="005468AF">
    <w:pPr>
      <w:pStyle w:val="Header"/>
    </w:pPr>
    <w:r>
      <w:rPr>
        <w:noProof/>
      </w:rPr>
      <w:pict w14:anchorId="784B2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232563" o:spid="_x0000_s2049"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F2FD6"/>
    <w:multiLevelType w:val="hybridMultilevel"/>
    <w:tmpl w:val="E0D6FF0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664402A"/>
    <w:multiLevelType w:val="multilevel"/>
    <w:tmpl w:val="8CF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122B0"/>
    <w:multiLevelType w:val="multilevel"/>
    <w:tmpl w:val="036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31E0A"/>
    <w:multiLevelType w:val="multilevel"/>
    <w:tmpl w:val="24B8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67816"/>
    <w:multiLevelType w:val="multilevel"/>
    <w:tmpl w:val="6B1A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118DB"/>
    <w:multiLevelType w:val="multilevel"/>
    <w:tmpl w:val="8D5E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823C1"/>
    <w:multiLevelType w:val="multilevel"/>
    <w:tmpl w:val="A892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952622"/>
    <w:multiLevelType w:val="multilevel"/>
    <w:tmpl w:val="424E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A6A47"/>
    <w:multiLevelType w:val="multilevel"/>
    <w:tmpl w:val="D1D4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F1EC9"/>
    <w:multiLevelType w:val="hybridMultilevel"/>
    <w:tmpl w:val="8B582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3"/>
  </w:num>
  <w:num w:numId="5">
    <w:abstractNumId w:val="5"/>
  </w:num>
  <w:num w:numId="6">
    <w:abstractNumId w:val="1"/>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78"/>
    <w:rsid w:val="00012B23"/>
    <w:rsid w:val="00083778"/>
    <w:rsid w:val="000A6E00"/>
    <w:rsid w:val="000B1E9C"/>
    <w:rsid w:val="000B368D"/>
    <w:rsid w:val="000D0E4F"/>
    <w:rsid w:val="00195402"/>
    <w:rsid w:val="002552EE"/>
    <w:rsid w:val="002D20BC"/>
    <w:rsid w:val="00312263"/>
    <w:rsid w:val="003B1024"/>
    <w:rsid w:val="003C4439"/>
    <w:rsid w:val="003D3509"/>
    <w:rsid w:val="003D3655"/>
    <w:rsid w:val="00453F43"/>
    <w:rsid w:val="004959FD"/>
    <w:rsid w:val="004A381C"/>
    <w:rsid w:val="00511CF7"/>
    <w:rsid w:val="005128EF"/>
    <w:rsid w:val="005468AF"/>
    <w:rsid w:val="00576BD4"/>
    <w:rsid w:val="00597A14"/>
    <w:rsid w:val="005C44E1"/>
    <w:rsid w:val="006B1D60"/>
    <w:rsid w:val="006C480F"/>
    <w:rsid w:val="00775058"/>
    <w:rsid w:val="00784831"/>
    <w:rsid w:val="007A066C"/>
    <w:rsid w:val="00823732"/>
    <w:rsid w:val="0085198A"/>
    <w:rsid w:val="00903038"/>
    <w:rsid w:val="009206AA"/>
    <w:rsid w:val="00920B05"/>
    <w:rsid w:val="009807E3"/>
    <w:rsid w:val="009D5942"/>
    <w:rsid w:val="00A10A79"/>
    <w:rsid w:val="00A16D09"/>
    <w:rsid w:val="00A36BC9"/>
    <w:rsid w:val="00A9145F"/>
    <w:rsid w:val="00AC4990"/>
    <w:rsid w:val="00AF7F4D"/>
    <w:rsid w:val="00B419F2"/>
    <w:rsid w:val="00C60484"/>
    <w:rsid w:val="00C65D33"/>
    <w:rsid w:val="00CA2578"/>
    <w:rsid w:val="00CC21E8"/>
    <w:rsid w:val="00CD7F70"/>
    <w:rsid w:val="00D855B5"/>
    <w:rsid w:val="00E1162E"/>
    <w:rsid w:val="00E952CB"/>
    <w:rsid w:val="00EA27EF"/>
    <w:rsid w:val="00EF69F7"/>
    <w:rsid w:val="00F15B8C"/>
    <w:rsid w:val="00F21DDE"/>
    <w:rsid w:val="00F409A5"/>
    <w:rsid w:val="00F818AD"/>
    <w:rsid w:val="00FE532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D684A1"/>
  <w15:docId w15:val="{82327D2D-16E0-4BA1-9EB3-3A12B34A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B05"/>
  </w:style>
  <w:style w:type="paragraph" w:styleId="Heading1">
    <w:name w:val="heading 1"/>
    <w:basedOn w:val="Normal"/>
    <w:next w:val="Normal"/>
    <w:link w:val="Heading1Char"/>
    <w:uiPriority w:val="9"/>
    <w:qFormat/>
    <w:rsid w:val="00CA25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25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A257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2578"/>
    <w:rPr>
      <w:rFonts w:ascii="Times New Roman" w:eastAsia="Times New Roman" w:hAnsi="Times New Roman" w:cs="Times New Roman"/>
      <w:b/>
      <w:bCs/>
      <w:sz w:val="27"/>
      <w:szCs w:val="27"/>
      <w:lang w:eastAsia="it-IT"/>
    </w:rPr>
  </w:style>
  <w:style w:type="character" w:styleId="Strong">
    <w:name w:val="Strong"/>
    <w:basedOn w:val="DefaultParagraphFont"/>
    <w:uiPriority w:val="22"/>
    <w:qFormat/>
    <w:rsid w:val="00CA2578"/>
    <w:rPr>
      <w:b/>
      <w:bCs/>
    </w:rPr>
  </w:style>
  <w:style w:type="paragraph" w:styleId="NormalWeb">
    <w:name w:val="Normal (Web)"/>
    <w:basedOn w:val="Normal"/>
    <w:uiPriority w:val="99"/>
    <w:unhideWhenUsed/>
    <w:rsid w:val="00CA257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eading2Char">
    <w:name w:val="Heading 2 Char"/>
    <w:basedOn w:val="DefaultParagraphFont"/>
    <w:link w:val="Heading2"/>
    <w:uiPriority w:val="9"/>
    <w:rsid w:val="00CA257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A257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A2578"/>
    <w:pPr>
      <w:ind w:left="720"/>
      <w:contextualSpacing/>
    </w:pPr>
  </w:style>
  <w:style w:type="character" w:styleId="Hyperlink">
    <w:name w:val="Hyperlink"/>
    <w:basedOn w:val="DefaultParagraphFont"/>
    <w:uiPriority w:val="99"/>
    <w:unhideWhenUsed/>
    <w:rsid w:val="00CA2578"/>
    <w:rPr>
      <w:color w:val="0000FF" w:themeColor="hyperlink"/>
      <w:u w:val="single"/>
    </w:rPr>
  </w:style>
  <w:style w:type="paragraph" w:styleId="Header">
    <w:name w:val="header"/>
    <w:basedOn w:val="Normal"/>
    <w:link w:val="HeaderChar"/>
    <w:uiPriority w:val="99"/>
    <w:unhideWhenUsed/>
    <w:rsid w:val="00CA25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2578"/>
  </w:style>
  <w:style w:type="paragraph" w:styleId="Footer">
    <w:name w:val="footer"/>
    <w:basedOn w:val="Normal"/>
    <w:link w:val="FooterChar"/>
    <w:uiPriority w:val="99"/>
    <w:unhideWhenUsed/>
    <w:rsid w:val="00CA25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2578"/>
  </w:style>
  <w:style w:type="character" w:customStyle="1" w:styleId="A0">
    <w:name w:val="A0"/>
    <w:uiPriority w:val="99"/>
    <w:rsid w:val="004A381C"/>
    <w:rPr>
      <w:rFonts w:cs="DIN Next LT Pro"/>
      <w:b/>
      <w:bCs/>
      <w:color w:val="000000"/>
      <w:sz w:val="56"/>
      <w:szCs w:val="56"/>
    </w:rPr>
  </w:style>
  <w:style w:type="table" w:styleId="TableGrid">
    <w:name w:val="Table Grid"/>
    <w:basedOn w:val="TableNormal"/>
    <w:uiPriority w:val="59"/>
    <w:rsid w:val="004A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gazzetta">
    <w:name w:val="link_gazzetta"/>
    <w:basedOn w:val="DefaultParagraphFont"/>
    <w:rsid w:val="004A381C"/>
  </w:style>
  <w:style w:type="paragraph" w:customStyle="1" w:styleId="ReferHead">
    <w:name w:val="Refer Head"/>
    <w:basedOn w:val="Normal"/>
    <w:rsid w:val="004A381C"/>
    <w:pPr>
      <w:keepNext/>
      <w:spacing w:after="240" w:line="240" w:lineRule="auto"/>
    </w:pPr>
    <w:rPr>
      <w:rFonts w:ascii="Helvetica" w:eastAsia="Times New Roman" w:hAnsi="Helvetica" w:cs="Times New Roman"/>
      <w:b/>
      <w:caps/>
      <w:szCs w:val="20"/>
      <w:lang w:val="en-US"/>
    </w:rPr>
  </w:style>
  <w:style w:type="paragraph" w:styleId="Revision">
    <w:name w:val="Revision"/>
    <w:hidden/>
    <w:uiPriority w:val="99"/>
    <w:semiHidden/>
    <w:rsid w:val="00B419F2"/>
    <w:pPr>
      <w:spacing w:after="0" w:line="240" w:lineRule="auto"/>
    </w:pPr>
  </w:style>
  <w:style w:type="paragraph" w:styleId="BalloonText">
    <w:name w:val="Balloon Text"/>
    <w:basedOn w:val="Normal"/>
    <w:link w:val="BalloonTextChar"/>
    <w:uiPriority w:val="99"/>
    <w:semiHidden/>
    <w:unhideWhenUsed/>
    <w:rsid w:val="003B1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1807">
      <w:bodyDiv w:val="1"/>
      <w:marLeft w:val="0"/>
      <w:marRight w:val="0"/>
      <w:marTop w:val="0"/>
      <w:marBottom w:val="0"/>
      <w:divBdr>
        <w:top w:val="none" w:sz="0" w:space="0" w:color="auto"/>
        <w:left w:val="none" w:sz="0" w:space="0" w:color="auto"/>
        <w:bottom w:val="none" w:sz="0" w:space="0" w:color="auto"/>
        <w:right w:val="none" w:sz="0" w:space="0" w:color="auto"/>
      </w:divBdr>
    </w:div>
    <w:div w:id="279801268">
      <w:bodyDiv w:val="1"/>
      <w:marLeft w:val="0"/>
      <w:marRight w:val="0"/>
      <w:marTop w:val="0"/>
      <w:marBottom w:val="0"/>
      <w:divBdr>
        <w:top w:val="none" w:sz="0" w:space="0" w:color="auto"/>
        <w:left w:val="none" w:sz="0" w:space="0" w:color="auto"/>
        <w:bottom w:val="none" w:sz="0" w:space="0" w:color="auto"/>
        <w:right w:val="none" w:sz="0" w:space="0" w:color="auto"/>
      </w:divBdr>
    </w:div>
    <w:div w:id="375276263">
      <w:bodyDiv w:val="1"/>
      <w:marLeft w:val="0"/>
      <w:marRight w:val="0"/>
      <w:marTop w:val="0"/>
      <w:marBottom w:val="0"/>
      <w:divBdr>
        <w:top w:val="none" w:sz="0" w:space="0" w:color="auto"/>
        <w:left w:val="none" w:sz="0" w:space="0" w:color="auto"/>
        <w:bottom w:val="none" w:sz="0" w:space="0" w:color="auto"/>
        <w:right w:val="none" w:sz="0" w:space="0" w:color="auto"/>
      </w:divBdr>
    </w:div>
    <w:div w:id="387188064">
      <w:bodyDiv w:val="1"/>
      <w:marLeft w:val="0"/>
      <w:marRight w:val="0"/>
      <w:marTop w:val="0"/>
      <w:marBottom w:val="0"/>
      <w:divBdr>
        <w:top w:val="none" w:sz="0" w:space="0" w:color="auto"/>
        <w:left w:val="none" w:sz="0" w:space="0" w:color="auto"/>
        <w:bottom w:val="none" w:sz="0" w:space="0" w:color="auto"/>
        <w:right w:val="none" w:sz="0" w:space="0" w:color="auto"/>
      </w:divBdr>
    </w:div>
    <w:div w:id="535969685">
      <w:bodyDiv w:val="1"/>
      <w:marLeft w:val="0"/>
      <w:marRight w:val="0"/>
      <w:marTop w:val="0"/>
      <w:marBottom w:val="0"/>
      <w:divBdr>
        <w:top w:val="none" w:sz="0" w:space="0" w:color="auto"/>
        <w:left w:val="none" w:sz="0" w:space="0" w:color="auto"/>
        <w:bottom w:val="none" w:sz="0" w:space="0" w:color="auto"/>
        <w:right w:val="none" w:sz="0" w:space="0" w:color="auto"/>
      </w:divBdr>
    </w:div>
    <w:div w:id="1072240911">
      <w:bodyDiv w:val="1"/>
      <w:marLeft w:val="0"/>
      <w:marRight w:val="0"/>
      <w:marTop w:val="0"/>
      <w:marBottom w:val="0"/>
      <w:divBdr>
        <w:top w:val="none" w:sz="0" w:space="0" w:color="auto"/>
        <w:left w:val="none" w:sz="0" w:space="0" w:color="auto"/>
        <w:bottom w:val="none" w:sz="0" w:space="0" w:color="auto"/>
        <w:right w:val="none" w:sz="0" w:space="0" w:color="auto"/>
      </w:divBdr>
    </w:div>
    <w:div w:id="164161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statoregioni.it/media/3737/p-6-csr-atto-rep-n-90-17giu2021.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zzettaufficiale.it/eli/gu/2015/12/28/300/so/69/sg/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entronazionalesangue.it/online-le-nuove-raccomandazioni-di-appropriatezza-clinica-nella-somministrazione-di-emocomponenti-ed-emoderivati-in-setting-extraospedalie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I:\Trasfusoni%20Territoriali%202026\Trasfusioni%20Outpatie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Trasfusoni%20Territoriali%202026\Trasfusioni%20Outpatie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Trasfusoni%20Territoriali%202026\Trasfusioni%20Outpati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Unità!$AA$45</c:f>
              <c:strCache>
                <c:ptCount val="1"/>
                <c:pt idx="0">
                  <c:v>Home Transfusions</c:v>
                </c:pt>
              </c:strCache>
            </c:strRef>
          </c:tx>
          <c:xVal>
            <c:numRef>
              <c:f>Unità!$AB$44:$AF$44</c:f>
              <c:numCache>
                <c:formatCode>General</c:formatCode>
                <c:ptCount val="5"/>
                <c:pt idx="0">
                  <c:v>2020</c:v>
                </c:pt>
                <c:pt idx="1">
                  <c:v>2021</c:v>
                </c:pt>
                <c:pt idx="2">
                  <c:v>2022</c:v>
                </c:pt>
                <c:pt idx="3">
                  <c:v>2023</c:v>
                </c:pt>
                <c:pt idx="4">
                  <c:v>2024</c:v>
                </c:pt>
              </c:numCache>
            </c:numRef>
          </c:xVal>
          <c:yVal>
            <c:numRef>
              <c:f>Unità!$AB$45:$AF$45</c:f>
              <c:numCache>
                <c:formatCode>General</c:formatCode>
                <c:ptCount val="5"/>
                <c:pt idx="0">
                  <c:v>107</c:v>
                </c:pt>
                <c:pt idx="1">
                  <c:v>124</c:v>
                </c:pt>
                <c:pt idx="2">
                  <c:v>133</c:v>
                </c:pt>
                <c:pt idx="3">
                  <c:v>108</c:v>
                </c:pt>
                <c:pt idx="4">
                  <c:v>112</c:v>
                </c:pt>
              </c:numCache>
            </c:numRef>
          </c:yVal>
          <c:smooth val="0"/>
          <c:extLst>
            <c:ext xmlns:c16="http://schemas.microsoft.com/office/drawing/2014/chart" uri="{C3380CC4-5D6E-409C-BE32-E72D297353CC}">
              <c16:uniqueId val="{00000000-8365-46A4-ABB8-F89D30FCEB2F}"/>
            </c:ext>
          </c:extLst>
        </c:ser>
        <c:ser>
          <c:idx val="1"/>
          <c:order val="1"/>
          <c:tx>
            <c:strRef>
              <c:f>Unità!$AA$46</c:f>
              <c:strCache>
                <c:ptCount val="1"/>
                <c:pt idx="0">
                  <c:v>Community Hospital</c:v>
                </c:pt>
              </c:strCache>
            </c:strRef>
          </c:tx>
          <c:xVal>
            <c:numRef>
              <c:f>Unità!$AB$44:$AF$44</c:f>
              <c:numCache>
                <c:formatCode>General</c:formatCode>
                <c:ptCount val="5"/>
                <c:pt idx="0">
                  <c:v>2020</c:v>
                </c:pt>
                <c:pt idx="1">
                  <c:v>2021</c:v>
                </c:pt>
                <c:pt idx="2">
                  <c:v>2022</c:v>
                </c:pt>
                <c:pt idx="3">
                  <c:v>2023</c:v>
                </c:pt>
                <c:pt idx="4">
                  <c:v>2024</c:v>
                </c:pt>
              </c:numCache>
            </c:numRef>
          </c:xVal>
          <c:yVal>
            <c:numRef>
              <c:f>Unità!$AB$46:$AF$46</c:f>
              <c:numCache>
                <c:formatCode>General</c:formatCode>
                <c:ptCount val="5"/>
                <c:pt idx="0">
                  <c:v>69</c:v>
                </c:pt>
                <c:pt idx="1">
                  <c:v>128</c:v>
                </c:pt>
                <c:pt idx="2">
                  <c:v>121</c:v>
                </c:pt>
                <c:pt idx="3">
                  <c:v>129</c:v>
                </c:pt>
                <c:pt idx="4">
                  <c:v>163</c:v>
                </c:pt>
              </c:numCache>
            </c:numRef>
          </c:yVal>
          <c:smooth val="0"/>
          <c:extLst>
            <c:ext xmlns:c16="http://schemas.microsoft.com/office/drawing/2014/chart" uri="{C3380CC4-5D6E-409C-BE32-E72D297353CC}">
              <c16:uniqueId val="{00000001-8365-46A4-ABB8-F89D30FCEB2F}"/>
            </c:ext>
          </c:extLst>
        </c:ser>
        <c:ser>
          <c:idx val="2"/>
          <c:order val="2"/>
          <c:tx>
            <c:strRef>
              <c:f>Unità!$AA$47</c:f>
              <c:strCache>
                <c:ptCount val="1"/>
                <c:pt idx="0">
                  <c:v>Residence for Elderly</c:v>
                </c:pt>
              </c:strCache>
            </c:strRef>
          </c:tx>
          <c:xVal>
            <c:numRef>
              <c:f>Unità!$AB$44:$AF$44</c:f>
              <c:numCache>
                <c:formatCode>General</c:formatCode>
                <c:ptCount val="5"/>
                <c:pt idx="0">
                  <c:v>2020</c:v>
                </c:pt>
                <c:pt idx="1">
                  <c:v>2021</c:v>
                </c:pt>
                <c:pt idx="2">
                  <c:v>2022</c:v>
                </c:pt>
                <c:pt idx="3">
                  <c:v>2023</c:v>
                </c:pt>
                <c:pt idx="4">
                  <c:v>2024</c:v>
                </c:pt>
              </c:numCache>
            </c:numRef>
          </c:xVal>
          <c:yVal>
            <c:numRef>
              <c:f>Unità!$AB$47:$AF$47</c:f>
              <c:numCache>
                <c:formatCode>General</c:formatCode>
                <c:ptCount val="5"/>
                <c:pt idx="0">
                  <c:v>241</c:v>
                </c:pt>
                <c:pt idx="1">
                  <c:v>202</c:v>
                </c:pt>
                <c:pt idx="2">
                  <c:v>178</c:v>
                </c:pt>
                <c:pt idx="3">
                  <c:v>132</c:v>
                </c:pt>
                <c:pt idx="4">
                  <c:v>169</c:v>
                </c:pt>
              </c:numCache>
            </c:numRef>
          </c:yVal>
          <c:smooth val="0"/>
          <c:extLst>
            <c:ext xmlns:c16="http://schemas.microsoft.com/office/drawing/2014/chart" uri="{C3380CC4-5D6E-409C-BE32-E72D297353CC}">
              <c16:uniqueId val="{00000002-8365-46A4-ABB8-F89D30FCEB2F}"/>
            </c:ext>
          </c:extLst>
        </c:ser>
        <c:ser>
          <c:idx val="3"/>
          <c:order val="3"/>
          <c:tx>
            <c:strRef>
              <c:f>Unità!$AA$48</c:f>
              <c:strCache>
                <c:ptCount val="1"/>
                <c:pt idx="0">
                  <c:v>Outpatients Clinics</c:v>
                </c:pt>
              </c:strCache>
            </c:strRef>
          </c:tx>
          <c:xVal>
            <c:numRef>
              <c:f>Unità!$AB$44:$AF$44</c:f>
              <c:numCache>
                <c:formatCode>General</c:formatCode>
                <c:ptCount val="5"/>
                <c:pt idx="0">
                  <c:v>2020</c:v>
                </c:pt>
                <c:pt idx="1">
                  <c:v>2021</c:v>
                </c:pt>
                <c:pt idx="2">
                  <c:v>2022</c:v>
                </c:pt>
                <c:pt idx="3">
                  <c:v>2023</c:v>
                </c:pt>
                <c:pt idx="4">
                  <c:v>2024</c:v>
                </c:pt>
              </c:numCache>
            </c:numRef>
          </c:xVal>
          <c:yVal>
            <c:numRef>
              <c:f>Unità!$AB$48:$AF$48</c:f>
              <c:numCache>
                <c:formatCode>General</c:formatCode>
                <c:ptCount val="5"/>
                <c:pt idx="0">
                  <c:v>479</c:v>
                </c:pt>
                <c:pt idx="1">
                  <c:v>591</c:v>
                </c:pt>
                <c:pt idx="2">
                  <c:v>595</c:v>
                </c:pt>
                <c:pt idx="3">
                  <c:v>609</c:v>
                </c:pt>
                <c:pt idx="4">
                  <c:v>659</c:v>
                </c:pt>
              </c:numCache>
            </c:numRef>
          </c:yVal>
          <c:smooth val="0"/>
          <c:extLst>
            <c:ext xmlns:c16="http://schemas.microsoft.com/office/drawing/2014/chart" uri="{C3380CC4-5D6E-409C-BE32-E72D297353CC}">
              <c16:uniqueId val="{00000003-8365-46A4-ABB8-F89D30FCEB2F}"/>
            </c:ext>
          </c:extLst>
        </c:ser>
        <c:ser>
          <c:idx val="4"/>
          <c:order val="4"/>
          <c:tx>
            <c:strRef>
              <c:f>Unità!$AA$49</c:f>
              <c:strCache>
                <c:ptCount val="1"/>
                <c:pt idx="0">
                  <c:v>Transfusion Medicine Clinics</c:v>
                </c:pt>
              </c:strCache>
            </c:strRef>
          </c:tx>
          <c:xVal>
            <c:numRef>
              <c:f>Unità!$AB$44:$AF$44</c:f>
              <c:numCache>
                <c:formatCode>General</c:formatCode>
                <c:ptCount val="5"/>
                <c:pt idx="0">
                  <c:v>2020</c:v>
                </c:pt>
                <c:pt idx="1">
                  <c:v>2021</c:v>
                </c:pt>
                <c:pt idx="2">
                  <c:v>2022</c:v>
                </c:pt>
                <c:pt idx="3">
                  <c:v>2023</c:v>
                </c:pt>
                <c:pt idx="4">
                  <c:v>2024</c:v>
                </c:pt>
              </c:numCache>
            </c:numRef>
          </c:xVal>
          <c:yVal>
            <c:numRef>
              <c:f>Unità!$AB$49:$AF$49</c:f>
              <c:numCache>
                <c:formatCode>0</c:formatCode>
                <c:ptCount val="5"/>
                <c:pt idx="0">
                  <c:v>1527</c:v>
                </c:pt>
                <c:pt idx="1">
                  <c:v>1631</c:v>
                </c:pt>
                <c:pt idx="2">
                  <c:v>1698</c:v>
                </c:pt>
                <c:pt idx="3">
                  <c:v>1530</c:v>
                </c:pt>
                <c:pt idx="4">
                  <c:v>1891</c:v>
                </c:pt>
              </c:numCache>
            </c:numRef>
          </c:yVal>
          <c:smooth val="0"/>
          <c:extLst>
            <c:ext xmlns:c16="http://schemas.microsoft.com/office/drawing/2014/chart" uri="{C3380CC4-5D6E-409C-BE32-E72D297353CC}">
              <c16:uniqueId val="{00000004-8365-46A4-ABB8-F89D30FCEB2F}"/>
            </c:ext>
          </c:extLst>
        </c:ser>
        <c:dLbls>
          <c:showLegendKey val="0"/>
          <c:showVal val="0"/>
          <c:showCatName val="0"/>
          <c:showSerName val="0"/>
          <c:showPercent val="0"/>
          <c:showBubbleSize val="0"/>
        </c:dLbls>
        <c:axId val="141428608"/>
        <c:axId val="141430144"/>
      </c:scatterChart>
      <c:valAx>
        <c:axId val="141428608"/>
        <c:scaling>
          <c:orientation val="minMax"/>
        </c:scaling>
        <c:delete val="0"/>
        <c:axPos val="b"/>
        <c:numFmt formatCode="General" sourceLinked="1"/>
        <c:majorTickMark val="out"/>
        <c:minorTickMark val="none"/>
        <c:tickLblPos val="nextTo"/>
        <c:crossAx val="141430144"/>
        <c:crosses val="autoZero"/>
        <c:crossBetween val="midCat"/>
      </c:valAx>
      <c:valAx>
        <c:axId val="141430144"/>
        <c:scaling>
          <c:orientation val="minMax"/>
        </c:scaling>
        <c:delete val="0"/>
        <c:axPos val="l"/>
        <c:majorGridlines/>
        <c:numFmt formatCode="General" sourceLinked="1"/>
        <c:majorTickMark val="out"/>
        <c:minorTickMark val="none"/>
        <c:tickLblPos val="nextTo"/>
        <c:crossAx val="141428608"/>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scatterChart>
        <c:scatterStyle val="lineMarker"/>
        <c:varyColors val="0"/>
        <c:ser>
          <c:idx val="0"/>
          <c:order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Unità!$AK$32:$AO$32</c:f>
              <c:numCache>
                <c:formatCode>General</c:formatCode>
                <c:ptCount val="5"/>
                <c:pt idx="0">
                  <c:v>2020</c:v>
                </c:pt>
                <c:pt idx="1">
                  <c:v>2021</c:v>
                </c:pt>
                <c:pt idx="2">
                  <c:v>2022</c:v>
                </c:pt>
                <c:pt idx="3">
                  <c:v>2023</c:v>
                </c:pt>
                <c:pt idx="4">
                  <c:v>2024</c:v>
                </c:pt>
              </c:numCache>
            </c:numRef>
          </c:xVal>
          <c:yVal>
            <c:numRef>
              <c:f>Unità!$AK$33:$AO$33</c:f>
              <c:numCache>
                <c:formatCode>0.0</c:formatCode>
                <c:ptCount val="5"/>
                <c:pt idx="0">
                  <c:v>11.09</c:v>
                </c:pt>
                <c:pt idx="1">
                  <c:v>11.83</c:v>
                </c:pt>
                <c:pt idx="2">
                  <c:v>12.09</c:v>
                </c:pt>
                <c:pt idx="3">
                  <c:v>12.2</c:v>
                </c:pt>
                <c:pt idx="4">
                  <c:v>12.9</c:v>
                </c:pt>
              </c:numCache>
            </c:numRef>
          </c:yVal>
          <c:smooth val="0"/>
          <c:extLst>
            <c:ext xmlns:c16="http://schemas.microsoft.com/office/drawing/2014/chart" uri="{C3380CC4-5D6E-409C-BE32-E72D297353CC}">
              <c16:uniqueId val="{00000000-BC85-4DEE-AE8D-207CB9767B6D}"/>
            </c:ext>
          </c:extLst>
        </c:ser>
        <c:dLbls>
          <c:showLegendKey val="0"/>
          <c:showVal val="0"/>
          <c:showCatName val="0"/>
          <c:showSerName val="0"/>
          <c:showPercent val="0"/>
          <c:showBubbleSize val="0"/>
        </c:dLbls>
        <c:axId val="152633344"/>
        <c:axId val="152634880"/>
      </c:scatterChart>
      <c:valAx>
        <c:axId val="152633344"/>
        <c:scaling>
          <c:orientation val="minMax"/>
        </c:scaling>
        <c:delete val="0"/>
        <c:axPos val="b"/>
        <c:numFmt formatCode="General" sourceLinked="1"/>
        <c:majorTickMark val="out"/>
        <c:minorTickMark val="none"/>
        <c:tickLblPos val="nextTo"/>
        <c:crossAx val="152634880"/>
        <c:crosses val="autoZero"/>
        <c:crossBetween val="midCat"/>
      </c:valAx>
      <c:valAx>
        <c:axId val="152634880"/>
        <c:scaling>
          <c:orientation val="minMax"/>
        </c:scaling>
        <c:delete val="0"/>
        <c:axPos val="l"/>
        <c:majorGridlines/>
        <c:numFmt formatCode="0.0" sourceLinked="1"/>
        <c:majorTickMark val="out"/>
        <c:minorTickMark val="none"/>
        <c:tickLblPos val="nextTo"/>
        <c:crossAx val="152633344"/>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Pazienti!$U$37</c:f>
              <c:strCache>
                <c:ptCount val="1"/>
                <c:pt idx="0">
                  <c:v>OH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Pazienti!$V$36:$X$36</c:f>
              <c:strCache>
                <c:ptCount val="3"/>
                <c:pt idx="0">
                  <c:v>PBRC</c:v>
                </c:pt>
                <c:pt idx="1">
                  <c:v>CP</c:v>
                </c:pt>
                <c:pt idx="2">
                  <c:v>FFP</c:v>
                </c:pt>
              </c:strCache>
            </c:strRef>
          </c:cat>
          <c:val>
            <c:numRef>
              <c:f>Pazienti!$V$37:$X$37</c:f>
              <c:numCache>
                <c:formatCode>General</c:formatCode>
                <c:ptCount val="3"/>
                <c:pt idx="0">
                  <c:v>1079</c:v>
                </c:pt>
                <c:pt idx="1">
                  <c:v>1083</c:v>
                </c:pt>
                <c:pt idx="2">
                  <c:v>1038</c:v>
                </c:pt>
              </c:numCache>
            </c:numRef>
          </c:val>
          <c:extLst>
            <c:ext xmlns:c16="http://schemas.microsoft.com/office/drawing/2014/chart" uri="{C3380CC4-5D6E-409C-BE32-E72D297353CC}">
              <c16:uniqueId val="{00000000-1B49-4AEE-88B5-EC266AE5F47E}"/>
            </c:ext>
          </c:extLst>
        </c:ser>
        <c:ser>
          <c:idx val="1"/>
          <c:order val="1"/>
          <c:tx>
            <c:strRef>
              <c:f>Pazienti!$U$38</c:f>
              <c:strCache>
                <c:ptCount val="1"/>
                <c:pt idx="0">
                  <c:v>DH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Pazienti!$V$36:$X$36</c:f>
              <c:strCache>
                <c:ptCount val="3"/>
                <c:pt idx="0">
                  <c:v>PBRC</c:v>
                </c:pt>
                <c:pt idx="1">
                  <c:v>CP</c:v>
                </c:pt>
                <c:pt idx="2">
                  <c:v>FFP</c:v>
                </c:pt>
              </c:strCache>
            </c:strRef>
          </c:cat>
          <c:val>
            <c:numRef>
              <c:f>Pazienti!$V$38:$X$38</c:f>
              <c:numCache>
                <c:formatCode>General</c:formatCode>
                <c:ptCount val="3"/>
                <c:pt idx="0">
                  <c:v>645</c:v>
                </c:pt>
                <c:pt idx="1">
                  <c:v>649</c:v>
                </c:pt>
                <c:pt idx="2">
                  <c:v>604</c:v>
                </c:pt>
              </c:numCache>
            </c:numRef>
          </c:val>
          <c:extLst>
            <c:ext xmlns:c16="http://schemas.microsoft.com/office/drawing/2014/chart" uri="{C3380CC4-5D6E-409C-BE32-E72D297353CC}">
              <c16:uniqueId val="{00000001-1B49-4AEE-88B5-EC266AE5F47E}"/>
            </c:ext>
          </c:extLst>
        </c:ser>
        <c:ser>
          <c:idx val="2"/>
          <c:order val="2"/>
          <c:tx>
            <c:strRef>
              <c:f>Pazienti!$U$39</c:f>
              <c:strCache>
                <c:ptCount val="1"/>
                <c:pt idx="0">
                  <c:v>ER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Pazienti!$V$36:$X$36</c:f>
              <c:strCache>
                <c:ptCount val="3"/>
                <c:pt idx="0">
                  <c:v>PBRC</c:v>
                </c:pt>
                <c:pt idx="1">
                  <c:v>CP</c:v>
                </c:pt>
                <c:pt idx="2">
                  <c:v>FFP</c:v>
                </c:pt>
              </c:strCache>
            </c:strRef>
          </c:cat>
          <c:val>
            <c:numRef>
              <c:f>Pazienti!$V$39:$X$39</c:f>
              <c:numCache>
                <c:formatCode>General</c:formatCode>
                <c:ptCount val="3"/>
                <c:pt idx="0">
                  <c:v>415</c:v>
                </c:pt>
                <c:pt idx="1">
                  <c:v>422</c:v>
                </c:pt>
                <c:pt idx="2">
                  <c:v>377</c:v>
                </c:pt>
              </c:numCache>
            </c:numRef>
          </c:val>
          <c:extLst>
            <c:ext xmlns:c16="http://schemas.microsoft.com/office/drawing/2014/chart" uri="{C3380CC4-5D6E-409C-BE32-E72D297353CC}">
              <c16:uniqueId val="{00000002-1B49-4AEE-88B5-EC266AE5F47E}"/>
            </c:ext>
          </c:extLst>
        </c:ser>
        <c:ser>
          <c:idx val="3"/>
          <c:order val="3"/>
          <c:tx>
            <c:strRef>
              <c:f>Pazienti!$U$40</c:f>
              <c:strCache>
                <c:ptCount val="1"/>
                <c:pt idx="0">
                  <c:v>OC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Pazienti!$V$36:$X$36</c:f>
              <c:strCache>
                <c:ptCount val="3"/>
                <c:pt idx="0">
                  <c:v>PBRC</c:v>
                </c:pt>
                <c:pt idx="1">
                  <c:v>CP</c:v>
                </c:pt>
                <c:pt idx="2">
                  <c:v>FFP</c:v>
                </c:pt>
              </c:strCache>
            </c:strRef>
          </c:cat>
          <c:val>
            <c:numRef>
              <c:f>Pazienti!$V$40:$X$40</c:f>
              <c:numCache>
                <c:formatCode>General</c:formatCode>
                <c:ptCount val="3"/>
                <c:pt idx="0">
                  <c:v>317</c:v>
                </c:pt>
                <c:pt idx="1">
                  <c:v>321</c:v>
                </c:pt>
                <c:pt idx="2">
                  <c:v>276</c:v>
                </c:pt>
              </c:numCache>
            </c:numRef>
          </c:val>
          <c:extLst>
            <c:ext xmlns:c16="http://schemas.microsoft.com/office/drawing/2014/chart" uri="{C3380CC4-5D6E-409C-BE32-E72D297353CC}">
              <c16:uniqueId val="{00000003-1B49-4AEE-88B5-EC266AE5F47E}"/>
            </c:ext>
          </c:extLst>
        </c:ser>
        <c:dLbls>
          <c:showLegendKey val="0"/>
          <c:showVal val="0"/>
          <c:showCatName val="0"/>
          <c:showSerName val="0"/>
          <c:showPercent val="0"/>
          <c:showBubbleSize val="0"/>
        </c:dLbls>
        <c:gapWidth val="150"/>
        <c:shape val="box"/>
        <c:axId val="152676992"/>
        <c:axId val="152686976"/>
        <c:axId val="0"/>
      </c:bar3DChart>
      <c:catAx>
        <c:axId val="152676992"/>
        <c:scaling>
          <c:orientation val="minMax"/>
        </c:scaling>
        <c:delete val="0"/>
        <c:axPos val="b"/>
        <c:numFmt formatCode="General" sourceLinked="0"/>
        <c:majorTickMark val="out"/>
        <c:minorTickMark val="none"/>
        <c:tickLblPos val="nextTo"/>
        <c:crossAx val="152686976"/>
        <c:crosses val="autoZero"/>
        <c:auto val="1"/>
        <c:lblAlgn val="ctr"/>
        <c:lblOffset val="100"/>
        <c:noMultiLvlLbl val="0"/>
      </c:catAx>
      <c:valAx>
        <c:axId val="152686976"/>
        <c:scaling>
          <c:orientation val="minMax"/>
        </c:scaling>
        <c:delete val="0"/>
        <c:axPos val="l"/>
        <c:majorGridlines/>
        <c:numFmt formatCode="General" sourceLinked="1"/>
        <c:majorTickMark val="out"/>
        <c:minorTickMark val="none"/>
        <c:tickLblPos val="nextTo"/>
        <c:crossAx val="1526769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14</Pages>
  <Words>4822</Words>
  <Characters>27490</Characters>
  <Application>Microsoft Office Word</Application>
  <DocSecurity>0</DocSecurity>
  <Lines>229</Lines>
  <Paragraphs>64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1158</cp:lastModifiedBy>
  <cp:revision>16</cp:revision>
  <cp:lastPrinted>2026-02-25T10:49:00Z</cp:lastPrinted>
  <dcterms:created xsi:type="dcterms:W3CDTF">2026-03-16T10:47:00Z</dcterms:created>
  <dcterms:modified xsi:type="dcterms:W3CDTF">2026-03-30T05:54:00Z</dcterms:modified>
</cp:coreProperties>
</file>