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9196B" w14:textId="2789D637" w:rsidR="00E43308" w:rsidRPr="00E43308" w:rsidRDefault="00E43308" w:rsidP="00E43308">
      <w:pPr>
        <w:spacing w:line="240" w:lineRule="auto"/>
        <w:jc w:val="both"/>
        <w:rPr>
          <w:rFonts w:ascii="Arial" w:hAnsi="Arial" w:cs="Arial"/>
          <w:b/>
          <w:i/>
          <w:iCs/>
          <w:sz w:val="36"/>
          <w:szCs w:val="36"/>
        </w:rPr>
      </w:pPr>
      <w:r w:rsidRPr="00E43308">
        <w:rPr>
          <w:rFonts w:ascii="Arial" w:hAnsi="Arial" w:cs="Arial"/>
          <w:b/>
          <w:i/>
          <w:iCs/>
          <w:sz w:val="36"/>
          <w:szCs w:val="36"/>
        </w:rPr>
        <w:t>Original Research Article</w:t>
      </w:r>
    </w:p>
    <w:p w14:paraId="390A42C8" w14:textId="74E2233D" w:rsidR="00705664" w:rsidRPr="00C21F16" w:rsidRDefault="00B7711E" w:rsidP="00E55FAC">
      <w:pPr>
        <w:spacing w:after="0" w:line="240" w:lineRule="auto"/>
        <w:jc w:val="both"/>
        <w:rPr>
          <w:rFonts w:ascii="Arial" w:hAnsi="Arial" w:cs="Arial"/>
          <w:b/>
          <w:bCs/>
          <w:sz w:val="36"/>
          <w:szCs w:val="36"/>
          <w:lang w:val="en-IN"/>
        </w:rPr>
      </w:pPr>
      <w:r w:rsidRPr="00B7711E">
        <w:rPr>
          <w:rFonts w:ascii="Arial" w:hAnsi="Arial" w:cs="Arial"/>
          <w:b/>
          <w:bCs/>
          <w:sz w:val="36"/>
          <w:szCs w:val="36"/>
        </w:rPr>
        <w:t>Biochemical, nutritional, and microbiological quality of turmeric powder (Curcuma longa L) sold in Daloa (Central West, Côte d’Ivoire)</w:t>
      </w:r>
    </w:p>
    <w:p w14:paraId="7A9449A3" w14:textId="77777777" w:rsidR="00E43308" w:rsidRPr="00C21F16" w:rsidRDefault="00E43308" w:rsidP="00E55FAC">
      <w:pPr>
        <w:spacing w:line="240" w:lineRule="auto"/>
        <w:jc w:val="both"/>
        <w:rPr>
          <w:rFonts w:ascii="Arial" w:hAnsi="Arial" w:cs="Arial"/>
          <w:bCs/>
          <w:i/>
          <w:iCs/>
          <w:sz w:val="20"/>
          <w:szCs w:val="20"/>
          <w:lang w:val="en-IN"/>
        </w:rPr>
      </w:pPr>
    </w:p>
    <w:p w14:paraId="08876913" w14:textId="44B805A7" w:rsidR="004A2E6F" w:rsidRPr="00C21F16" w:rsidRDefault="00A826D6" w:rsidP="00E55FAC">
      <w:pPr>
        <w:spacing w:line="240" w:lineRule="auto"/>
        <w:jc w:val="both"/>
        <w:rPr>
          <w:rFonts w:ascii="Arial" w:hAnsi="Arial" w:cs="Arial"/>
          <w:bCs/>
          <w:sz w:val="16"/>
          <w:szCs w:val="16"/>
          <w:lang w:val="en-IN"/>
        </w:rPr>
      </w:pPr>
      <w:r w:rsidRPr="00A826D6">
        <w:rPr>
          <w:rFonts w:ascii="Arial" w:hAnsi="Arial" w:cs="Arial"/>
          <w:bCs/>
          <w:noProof/>
          <w:sz w:val="16"/>
          <w:szCs w:val="16"/>
        </w:rPr>
        <mc:AlternateContent>
          <mc:Choice Requires="wps">
            <w:drawing>
              <wp:anchor distT="0" distB="0" distL="114300" distR="114300" simplePos="0" relativeHeight="251659264" behindDoc="0" locked="0" layoutInCell="1" allowOverlap="1" wp14:anchorId="62BDA9F0" wp14:editId="0A90419F">
                <wp:simplePos x="0" y="0"/>
                <wp:positionH relativeFrom="column">
                  <wp:posOffset>14604</wp:posOffset>
                </wp:positionH>
                <wp:positionV relativeFrom="paragraph">
                  <wp:posOffset>52271</wp:posOffset>
                </wp:positionV>
                <wp:extent cx="5741043" cy="0"/>
                <wp:effectExtent l="0" t="0" r="0" b="0"/>
                <wp:wrapNone/>
                <wp:docPr id="2132799304" name="Connecteur droit 1"/>
                <wp:cNvGraphicFramePr/>
                <a:graphic xmlns:a="http://schemas.openxmlformats.org/drawingml/2006/main">
                  <a:graphicData uri="http://schemas.microsoft.com/office/word/2010/wordprocessingShape">
                    <wps:wsp>
                      <wps:cNvCnPr/>
                      <wps:spPr>
                        <a:xfrm>
                          <a:off x="0" y="0"/>
                          <a:ext cx="574104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D57192"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4.1pt" to="453.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" strokecolor="black [3213]" strokeweight="1.5pt">
                <v:stroke joinstyle="miter"/>
              </v:line>
            </w:pict>
          </mc:Fallback>
        </mc:AlternateContent>
      </w:r>
    </w:p>
    <w:p w14:paraId="00BEC787" w14:textId="77777777" w:rsidR="00A826D6" w:rsidRPr="00184A6C" w:rsidRDefault="00A826D6" w:rsidP="00E55FAC">
      <w:pPr>
        <w:tabs>
          <w:tab w:val="left" w:pos="889"/>
        </w:tabs>
        <w:spacing w:line="240" w:lineRule="auto"/>
        <w:rPr>
          <w:rFonts w:ascii="Arial" w:hAnsi="Arial" w:cs="Arial"/>
          <w:b/>
          <w:bCs/>
        </w:rPr>
      </w:pPr>
      <w:r>
        <w:rPr>
          <w:rFonts w:ascii="Arial" w:hAnsi="Arial" w:cs="Arial"/>
          <w:b/>
          <w:bCs/>
        </w:rPr>
        <w:t>ABSTRACT</w:t>
      </w:r>
    </w:p>
    <w:p w14:paraId="703744C2" w14:textId="77777777" w:rsidR="00867C4E" w:rsidRDefault="00867C4E" w:rsidP="00867C4E">
      <w:pPr>
        <w:pBdr>
          <w:top w:val="single" w:sz="4" w:space="1" w:color="auto"/>
          <w:left w:val="single" w:sz="4" w:space="4" w:color="auto"/>
          <w:bottom w:val="single" w:sz="4" w:space="1" w:color="auto"/>
          <w:right w:val="single" w:sz="4" w:space="4" w:color="auto"/>
        </w:pBdr>
        <w:tabs>
          <w:tab w:val="left" w:pos="889"/>
        </w:tabs>
        <w:spacing w:after="0" w:line="240" w:lineRule="auto"/>
        <w:jc w:val="both"/>
        <w:rPr>
          <w:rFonts w:ascii="Arial" w:hAnsi="Arial" w:cs="Arial"/>
          <w:sz w:val="20"/>
          <w:szCs w:val="20"/>
        </w:rPr>
      </w:pPr>
      <w:r w:rsidRPr="00F4236D">
        <w:rPr>
          <w:rFonts w:ascii="Arial" w:hAnsi="Arial" w:cs="Arial"/>
          <w:sz w:val="20"/>
          <w:szCs w:val="20"/>
        </w:rPr>
        <w:t>Nutritional deficiencies and the lack of hygienic quality of food in the markets of developing countries such as Côte d’Ivoire are not reassuring. This study was conducted as part of the fight against nutrient deficiencies and the unsatisfactory sanitary quality of certain foods sold in the markets.</w:t>
      </w:r>
    </w:p>
    <w:p w14:paraId="1355C2EF" w14:textId="77777777" w:rsidR="00867C4E" w:rsidRDefault="00867C4E" w:rsidP="00867C4E">
      <w:pPr>
        <w:pBdr>
          <w:top w:val="single" w:sz="4" w:space="1" w:color="auto"/>
          <w:left w:val="single" w:sz="4" w:space="4" w:color="auto"/>
          <w:bottom w:val="single" w:sz="4" w:space="1" w:color="auto"/>
          <w:right w:val="single" w:sz="4" w:space="4" w:color="auto"/>
        </w:pBdr>
        <w:tabs>
          <w:tab w:val="left" w:pos="889"/>
        </w:tabs>
        <w:spacing w:after="0" w:line="240" w:lineRule="auto"/>
        <w:jc w:val="both"/>
        <w:rPr>
          <w:rFonts w:ascii="Arial" w:hAnsi="Arial" w:cs="Arial"/>
          <w:sz w:val="20"/>
          <w:szCs w:val="20"/>
        </w:rPr>
      </w:pPr>
      <w:r w:rsidRPr="00474180">
        <w:rPr>
          <w:rFonts w:ascii="Arial" w:hAnsi="Arial" w:cs="Arial"/>
          <w:sz w:val="20"/>
          <w:szCs w:val="20"/>
        </w:rPr>
        <w:t xml:space="preserve">The aim of the study was to outline the nutritional profile of turmeric powder </w:t>
      </w:r>
      <w:r w:rsidRPr="00F4236D">
        <w:rPr>
          <w:rFonts w:ascii="Arial" w:hAnsi="Arial" w:cs="Arial"/>
          <w:sz w:val="20"/>
          <w:szCs w:val="20"/>
        </w:rPr>
        <w:t>(</w:t>
      </w:r>
      <w:r w:rsidRPr="00F4236D">
        <w:rPr>
          <w:rFonts w:ascii="Arial" w:hAnsi="Arial" w:cs="Arial"/>
          <w:i/>
          <w:iCs/>
          <w:sz w:val="20"/>
          <w:szCs w:val="20"/>
        </w:rPr>
        <w:t>Curcuma longa</w:t>
      </w:r>
      <w:r w:rsidRPr="00F4236D">
        <w:rPr>
          <w:rFonts w:ascii="Arial" w:hAnsi="Arial" w:cs="Arial"/>
          <w:sz w:val="20"/>
          <w:szCs w:val="20"/>
        </w:rPr>
        <w:t xml:space="preserve"> </w:t>
      </w:r>
      <w:r w:rsidRPr="00B72AC6">
        <w:rPr>
          <w:rFonts w:ascii="Arial" w:hAnsi="Arial" w:cs="Arial"/>
          <w:i/>
          <w:iCs/>
          <w:sz w:val="20"/>
          <w:szCs w:val="20"/>
        </w:rPr>
        <w:t>L</w:t>
      </w:r>
      <w:r w:rsidRPr="00F4236D">
        <w:rPr>
          <w:rFonts w:ascii="Arial" w:hAnsi="Arial" w:cs="Arial"/>
          <w:sz w:val="20"/>
          <w:szCs w:val="20"/>
        </w:rPr>
        <w:t>) samples found in the markets of Daloa by determining their biochemical and nutritional components while assessing their microbiological quality</w:t>
      </w:r>
      <w:r>
        <w:rPr>
          <w:rFonts w:ascii="Arial" w:hAnsi="Arial" w:cs="Arial"/>
          <w:sz w:val="20"/>
          <w:szCs w:val="20"/>
        </w:rPr>
        <w:t>.</w:t>
      </w:r>
    </w:p>
    <w:p w14:paraId="5C24196C" w14:textId="77777777" w:rsidR="00867C4E" w:rsidRDefault="00867C4E" w:rsidP="00867C4E">
      <w:pPr>
        <w:pBdr>
          <w:top w:val="single" w:sz="4" w:space="1" w:color="auto"/>
          <w:left w:val="single" w:sz="4" w:space="4" w:color="auto"/>
          <w:bottom w:val="single" w:sz="4" w:space="1" w:color="auto"/>
          <w:right w:val="single" w:sz="4" w:space="4" w:color="auto"/>
        </w:pBdr>
        <w:tabs>
          <w:tab w:val="left" w:pos="889"/>
        </w:tabs>
        <w:spacing w:after="0" w:line="240" w:lineRule="auto"/>
        <w:jc w:val="both"/>
        <w:rPr>
          <w:rFonts w:ascii="Arial" w:hAnsi="Arial" w:cs="Arial"/>
          <w:sz w:val="20"/>
          <w:szCs w:val="20"/>
        </w:rPr>
      </w:pPr>
      <w:r w:rsidRPr="00A51B0C">
        <w:rPr>
          <w:rFonts w:ascii="Arial" w:hAnsi="Arial" w:cs="Arial"/>
          <w:sz w:val="20"/>
          <w:szCs w:val="20"/>
        </w:rPr>
        <w:t xml:space="preserve">To determine all these components, </w:t>
      </w:r>
      <w:r w:rsidRPr="00F56FC0">
        <w:rPr>
          <w:rFonts w:ascii="Arial" w:hAnsi="Arial" w:cs="Arial"/>
          <w:sz w:val="20"/>
          <w:szCs w:val="20"/>
        </w:rPr>
        <w:t>a quantity of 10 samples was collected. A</w:t>
      </w:r>
      <w:r w:rsidRPr="00A51B0C">
        <w:rPr>
          <w:rFonts w:ascii="Arial" w:hAnsi="Arial" w:cs="Arial"/>
          <w:sz w:val="20"/>
          <w:szCs w:val="20"/>
        </w:rPr>
        <w:t xml:space="preserve"> composite mixture was obtained by taking 10 g of powder from each sample and per batch. Thus, dry matter, ash, proteins, lipids, and all other nutrients were determined according to official analytical methods (AOAC). Total polyphenols were determined by the colorimetric method using the Folin-Ciocalteu reagent. </w:t>
      </w:r>
    </w:p>
    <w:p w14:paraId="6FF032D3" w14:textId="77777777" w:rsidR="00867C4E" w:rsidRDefault="00867C4E" w:rsidP="00867C4E">
      <w:pPr>
        <w:pBdr>
          <w:top w:val="single" w:sz="4" w:space="1" w:color="auto"/>
          <w:left w:val="single" w:sz="4" w:space="4" w:color="auto"/>
          <w:bottom w:val="single" w:sz="4" w:space="1" w:color="auto"/>
          <w:right w:val="single" w:sz="4" w:space="4" w:color="auto"/>
        </w:pBdr>
        <w:tabs>
          <w:tab w:val="left" w:pos="889"/>
        </w:tabs>
        <w:spacing w:after="0" w:line="240" w:lineRule="auto"/>
        <w:jc w:val="both"/>
        <w:rPr>
          <w:rFonts w:ascii="Arial" w:hAnsi="Arial" w:cs="Arial"/>
          <w:sz w:val="20"/>
          <w:szCs w:val="20"/>
        </w:rPr>
      </w:pPr>
      <w:r w:rsidRPr="00A51B0C">
        <w:rPr>
          <w:rFonts w:ascii="Arial" w:hAnsi="Arial" w:cs="Arial"/>
          <w:sz w:val="20"/>
          <w:szCs w:val="20"/>
        </w:rPr>
        <w:t>The determination of condensed tannins was carried out according to the vanillin method with hydrochloric acid.The results showed the presence of vitamins A, C, and β-carotene. This powder also contains polyphenols, flavonoids, and tannins. It is rich in iron, copper, zinc, and in major elements such as calcium (16.375 ± 0.055 mg/kg), magnesium (18.97 ± 0.23 mg/kg) …</w:t>
      </w:r>
      <w:r w:rsidRPr="00D969DF">
        <w:rPr>
          <w:rFonts w:ascii="Roboto" w:hAnsi="Roboto"/>
          <w:color w:val="3C51B4"/>
          <w:sz w:val="21"/>
          <w:szCs w:val="21"/>
          <w:shd w:val="clear" w:color="auto" w:fill="F8F4F1"/>
        </w:rPr>
        <w:t xml:space="preserve"> </w:t>
      </w:r>
      <w:r w:rsidRPr="00D969DF">
        <w:rPr>
          <w:rFonts w:ascii="Arial" w:hAnsi="Arial" w:cs="Arial"/>
          <w:sz w:val="20"/>
          <w:szCs w:val="20"/>
        </w:rPr>
        <w:t xml:space="preserve">A microbiological analysis was carried out on potentially pathogenic germs present in turmeric powder. The samples contain enterobacteria (2.3×10²), Bacillus cereus (7.8×10²), Staphylococcus aureus (1.1×10²) as well as yeasts and molds (1.5×10²). The counts obtained for the different germs exceed the microbiological criteria established for enterobacteria and Staphylococcus aureus. However, they remain below the criteria for yeasts and molds (10⁴ CFU/g), Bacillus cereus (10³ CFU/g), and Escherichia coli (10 CFU/g). </w:t>
      </w:r>
    </w:p>
    <w:p w14:paraId="6CDACCC0" w14:textId="77777777" w:rsidR="00867C4E" w:rsidRPr="00DA2B82" w:rsidRDefault="00867C4E" w:rsidP="00867C4E">
      <w:pPr>
        <w:pBdr>
          <w:top w:val="single" w:sz="4" w:space="1" w:color="auto"/>
          <w:left w:val="single" w:sz="4" w:space="4" w:color="auto"/>
          <w:bottom w:val="single" w:sz="4" w:space="1" w:color="auto"/>
          <w:right w:val="single" w:sz="4" w:space="4" w:color="auto"/>
        </w:pBdr>
        <w:tabs>
          <w:tab w:val="left" w:pos="889"/>
        </w:tabs>
        <w:spacing w:after="0" w:line="240" w:lineRule="auto"/>
        <w:jc w:val="both"/>
      </w:pPr>
      <w:r w:rsidRPr="00D969DF">
        <w:rPr>
          <w:rFonts w:ascii="Arial" w:hAnsi="Arial" w:cs="Arial"/>
          <w:sz w:val="20"/>
          <w:szCs w:val="20"/>
        </w:rPr>
        <w:t>The analyzed samples have acceptable biochemical and nutritional quality, but their microbiological quality remains unsatisfactory.</w:t>
      </w:r>
      <w:r>
        <w:rPr>
          <w:rFonts w:ascii="Arial" w:hAnsi="Arial" w:cs="Arial"/>
          <w:sz w:val="20"/>
          <w:szCs w:val="20"/>
        </w:rPr>
        <w:t xml:space="preserve"> </w:t>
      </w:r>
      <w:r w:rsidRPr="00DA2B82">
        <w:rPr>
          <w:rFonts w:ascii="Arial" w:hAnsi="Arial" w:cs="Arial"/>
          <w:sz w:val="20"/>
          <w:szCs w:val="20"/>
        </w:rPr>
        <w:t>This could lead health authorities to order the withdrawal of this turmeric from the market</w:t>
      </w:r>
    </w:p>
    <w:p w14:paraId="703E8C86" w14:textId="77777777" w:rsidR="00A826D6" w:rsidRDefault="00A826D6" w:rsidP="00E55FAC">
      <w:pPr>
        <w:pBdr>
          <w:top w:val="single" w:sz="4" w:space="1" w:color="auto"/>
          <w:left w:val="single" w:sz="4" w:space="4" w:color="auto"/>
          <w:bottom w:val="single" w:sz="4" w:space="1" w:color="auto"/>
          <w:right w:val="single" w:sz="4" w:space="4" w:color="auto"/>
        </w:pBdr>
        <w:tabs>
          <w:tab w:val="left" w:pos="889"/>
        </w:tabs>
        <w:spacing w:line="240" w:lineRule="auto"/>
        <w:jc w:val="both"/>
        <w:rPr>
          <w:rFonts w:ascii="Arial" w:hAnsi="Arial" w:cs="Arial"/>
          <w:sz w:val="20"/>
          <w:szCs w:val="20"/>
        </w:rPr>
      </w:pPr>
    </w:p>
    <w:p w14:paraId="79177BDD" w14:textId="77777777" w:rsidR="00A826D6" w:rsidRPr="00C21F16" w:rsidRDefault="00A826D6" w:rsidP="00134F84">
      <w:pPr>
        <w:tabs>
          <w:tab w:val="left" w:pos="889"/>
        </w:tabs>
        <w:spacing w:line="240" w:lineRule="auto"/>
        <w:ind w:left="-142"/>
        <w:jc w:val="both"/>
        <w:rPr>
          <w:rFonts w:ascii="Times New Roman" w:hAnsi="Times New Roman" w:cs="Times New Roman"/>
          <w:b/>
          <w:sz w:val="24"/>
          <w:szCs w:val="24"/>
          <w:lang w:val="en-IN"/>
        </w:rPr>
      </w:pPr>
      <w:r w:rsidRPr="00C21F16">
        <w:rPr>
          <w:rFonts w:ascii="Arial" w:hAnsi="Arial" w:cs="Arial"/>
          <w:b/>
          <w:i/>
          <w:iCs/>
          <w:sz w:val="20"/>
          <w:szCs w:val="20"/>
          <w:lang w:val="en-IN"/>
        </w:rPr>
        <w:t>Keywords :</w:t>
      </w:r>
      <w:r w:rsidRPr="00C21F16">
        <w:rPr>
          <w:rFonts w:ascii="Times New Roman" w:hAnsi="Times New Roman" w:cs="Times New Roman"/>
          <w:b/>
          <w:sz w:val="24"/>
          <w:szCs w:val="24"/>
          <w:lang w:val="en-IN"/>
        </w:rPr>
        <w:t xml:space="preserve"> </w:t>
      </w:r>
      <w:r w:rsidRPr="00C21F16">
        <w:rPr>
          <w:rFonts w:ascii="Arial" w:hAnsi="Arial" w:cs="Arial"/>
          <w:i/>
          <w:iCs/>
          <w:sz w:val="20"/>
          <w:szCs w:val="20"/>
          <w:lang w:val="en-IN"/>
        </w:rPr>
        <w:t>Biochemical; turmeric; germs; microbiological; nutritional.</w:t>
      </w:r>
      <w:r w:rsidRPr="00C21F16">
        <w:rPr>
          <w:rFonts w:ascii="Times New Roman" w:hAnsi="Times New Roman" w:cs="Times New Roman"/>
          <w:sz w:val="24"/>
          <w:szCs w:val="24"/>
          <w:lang w:val="en-IN"/>
        </w:rPr>
        <w:t xml:space="preserve"> </w:t>
      </w:r>
    </w:p>
    <w:p w14:paraId="7C688A40" w14:textId="77777777" w:rsidR="004A2E6F" w:rsidRPr="00C21F16" w:rsidRDefault="004A2E6F" w:rsidP="00E55FAC">
      <w:pPr>
        <w:spacing w:line="240" w:lineRule="auto"/>
        <w:jc w:val="both"/>
        <w:rPr>
          <w:rFonts w:ascii="Arial" w:hAnsi="Arial" w:cs="Arial"/>
          <w:bCs/>
          <w:i/>
          <w:iCs/>
          <w:sz w:val="20"/>
          <w:szCs w:val="20"/>
          <w:lang w:val="en-IN"/>
        </w:rPr>
      </w:pPr>
    </w:p>
    <w:p w14:paraId="595CFEDC" w14:textId="77777777" w:rsidR="004A2E6F" w:rsidRPr="00C21F16" w:rsidRDefault="004A2E6F" w:rsidP="00E55FAC">
      <w:pPr>
        <w:spacing w:line="240" w:lineRule="auto"/>
        <w:jc w:val="both"/>
        <w:rPr>
          <w:rFonts w:ascii="Arial" w:hAnsi="Arial" w:cs="Arial"/>
          <w:bCs/>
          <w:i/>
          <w:iCs/>
          <w:sz w:val="20"/>
          <w:szCs w:val="20"/>
          <w:lang w:val="en-IN"/>
        </w:rPr>
      </w:pPr>
    </w:p>
    <w:p w14:paraId="1E91A0A8" w14:textId="77777777" w:rsidR="004A2E6F" w:rsidRPr="00C21F16" w:rsidRDefault="004A2E6F" w:rsidP="00E55FAC">
      <w:pPr>
        <w:spacing w:line="240" w:lineRule="auto"/>
        <w:jc w:val="both"/>
        <w:rPr>
          <w:rFonts w:ascii="Arial" w:hAnsi="Arial" w:cs="Arial"/>
          <w:bCs/>
          <w:i/>
          <w:iCs/>
          <w:sz w:val="20"/>
          <w:szCs w:val="20"/>
          <w:lang w:val="en-IN"/>
        </w:rPr>
      </w:pPr>
    </w:p>
    <w:p w14:paraId="03FD6807" w14:textId="77777777" w:rsidR="00464018" w:rsidRPr="00C21F16" w:rsidRDefault="00464018" w:rsidP="00E55FAC">
      <w:pPr>
        <w:spacing w:line="240" w:lineRule="auto"/>
        <w:jc w:val="both"/>
        <w:rPr>
          <w:rFonts w:ascii="Arial" w:hAnsi="Arial" w:cs="Arial"/>
          <w:bCs/>
          <w:i/>
          <w:iCs/>
          <w:sz w:val="20"/>
          <w:szCs w:val="20"/>
          <w:lang w:val="en-IN"/>
        </w:rPr>
      </w:pPr>
    </w:p>
    <w:p w14:paraId="4BB7DD8E" w14:textId="77777777" w:rsidR="00464018" w:rsidRPr="00C21F16" w:rsidRDefault="00464018" w:rsidP="00E55FAC">
      <w:pPr>
        <w:spacing w:line="240" w:lineRule="auto"/>
        <w:jc w:val="both"/>
        <w:rPr>
          <w:rFonts w:ascii="Arial" w:hAnsi="Arial" w:cs="Arial"/>
          <w:bCs/>
          <w:i/>
          <w:iCs/>
          <w:sz w:val="20"/>
          <w:szCs w:val="20"/>
          <w:lang w:val="en-IN"/>
        </w:rPr>
      </w:pPr>
    </w:p>
    <w:p w14:paraId="7CBE5432" w14:textId="77777777" w:rsidR="004A2E6F" w:rsidRPr="00C21F16" w:rsidRDefault="004A2E6F" w:rsidP="00E55FAC">
      <w:pPr>
        <w:spacing w:line="240" w:lineRule="auto"/>
        <w:jc w:val="both"/>
        <w:rPr>
          <w:rFonts w:ascii="Arial" w:hAnsi="Arial" w:cs="Arial"/>
          <w:bCs/>
          <w:i/>
          <w:iCs/>
          <w:sz w:val="20"/>
          <w:szCs w:val="20"/>
          <w:lang w:val="en-IN"/>
        </w:rPr>
      </w:pPr>
    </w:p>
    <w:p w14:paraId="4D2B29ED" w14:textId="5A5A2F42" w:rsidR="002A4765" w:rsidRDefault="003462C9" w:rsidP="00AE0E72">
      <w:pPr>
        <w:pStyle w:val="Heading1"/>
        <w:numPr>
          <w:ilvl w:val="0"/>
          <w:numId w:val="0"/>
        </w:numPr>
        <w:spacing w:before="0" w:line="240" w:lineRule="auto"/>
        <w:jc w:val="both"/>
        <w:rPr>
          <w:rFonts w:ascii="Arial" w:hAnsi="Arial" w:cs="Arial"/>
          <w:sz w:val="22"/>
          <w:szCs w:val="22"/>
        </w:rPr>
      </w:pPr>
      <w:bookmarkStart w:id="0" w:name="_Toc172115848"/>
      <w:r>
        <w:rPr>
          <w:rFonts w:ascii="Arial" w:hAnsi="Arial" w:cs="Arial"/>
          <w:sz w:val="22"/>
          <w:szCs w:val="22"/>
        </w:rPr>
        <w:t>1.</w:t>
      </w:r>
      <w:r w:rsidR="00AE0E72">
        <w:rPr>
          <w:rFonts w:ascii="Arial" w:hAnsi="Arial" w:cs="Arial"/>
          <w:sz w:val="22"/>
          <w:szCs w:val="22"/>
        </w:rPr>
        <w:t xml:space="preserve"> </w:t>
      </w:r>
      <w:r w:rsidR="002A4765" w:rsidRPr="005E540C">
        <w:rPr>
          <w:rFonts w:ascii="Arial" w:hAnsi="Arial" w:cs="Arial"/>
          <w:sz w:val="22"/>
          <w:szCs w:val="22"/>
        </w:rPr>
        <w:t>INTRODUCTION</w:t>
      </w:r>
      <w:bookmarkEnd w:id="0"/>
    </w:p>
    <w:p w14:paraId="4800C54E" w14:textId="77777777" w:rsidR="00AE0E72" w:rsidRPr="00AE0E72" w:rsidRDefault="00AE0E72" w:rsidP="00AE0E72">
      <w:pPr>
        <w:spacing w:line="240" w:lineRule="auto"/>
        <w:rPr>
          <w:rFonts w:ascii="Arial" w:hAnsi="Arial" w:cs="Arial"/>
        </w:rPr>
      </w:pPr>
    </w:p>
    <w:p w14:paraId="66C6741E" w14:textId="6193A71A" w:rsidR="00992532" w:rsidRPr="003462C9" w:rsidRDefault="00992532" w:rsidP="00AE0E72">
      <w:pPr>
        <w:spacing w:line="240" w:lineRule="auto"/>
        <w:jc w:val="both"/>
        <w:rPr>
          <w:rFonts w:ascii="Arial" w:hAnsi="Arial" w:cs="Arial"/>
          <w:sz w:val="20"/>
          <w:szCs w:val="20"/>
        </w:rPr>
      </w:pPr>
      <w:r w:rsidRPr="003462C9">
        <w:rPr>
          <w:rFonts w:ascii="Arial" w:hAnsi="Arial" w:cs="Arial"/>
          <w:sz w:val="20"/>
          <w:szCs w:val="20"/>
        </w:rPr>
        <w:t>Turmeric (</w:t>
      </w:r>
      <w:r w:rsidRPr="003462C9">
        <w:rPr>
          <w:rFonts w:ascii="Arial" w:hAnsi="Arial" w:cs="Arial"/>
          <w:i/>
          <w:iCs/>
          <w:sz w:val="20"/>
          <w:szCs w:val="20"/>
        </w:rPr>
        <w:t>Curcuma longa L</w:t>
      </w:r>
      <w:r w:rsidRPr="003462C9">
        <w:rPr>
          <w:rFonts w:ascii="Arial" w:hAnsi="Arial" w:cs="Arial"/>
          <w:sz w:val="20"/>
          <w:szCs w:val="20"/>
        </w:rPr>
        <w:t>.) is a perennial plant belonging to the ginger family (Ashish 2024). It finds use in many fields such as cosmetics, pharmaceuticals, and food (Boukeria et al.</w:t>
      </w:r>
      <w:r w:rsidR="002612B9">
        <w:rPr>
          <w:rFonts w:ascii="Arial" w:hAnsi="Arial" w:cs="Arial"/>
          <w:sz w:val="20"/>
          <w:szCs w:val="20"/>
        </w:rPr>
        <w:t>,</w:t>
      </w:r>
      <w:r w:rsidRPr="003462C9">
        <w:rPr>
          <w:rFonts w:ascii="Arial" w:hAnsi="Arial" w:cs="Arial"/>
          <w:sz w:val="20"/>
          <w:szCs w:val="20"/>
        </w:rPr>
        <w:t xml:space="preserve"> 2019). The conditions necessary for growing turmeric are similar to those of ginger (Gupta et al.</w:t>
      </w:r>
      <w:r w:rsidR="002612B9">
        <w:rPr>
          <w:rFonts w:ascii="Arial" w:hAnsi="Arial" w:cs="Arial"/>
          <w:sz w:val="20"/>
          <w:szCs w:val="20"/>
        </w:rPr>
        <w:t>,</w:t>
      </w:r>
      <w:r w:rsidRPr="003462C9">
        <w:rPr>
          <w:rFonts w:ascii="Arial" w:hAnsi="Arial" w:cs="Arial"/>
          <w:sz w:val="20"/>
          <w:szCs w:val="20"/>
        </w:rPr>
        <w:t xml:space="preserve"> 2013). It thrives under irrigated conditions or in climates with high rainfall.</w:t>
      </w:r>
      <w:r w:rsidR="001101BB" w:rsidRPr="003462C9">
        <w:rPr>
          <w:rFonts w:ascii="Arial" w:hAnsi="Arial" w:cs="Arial"/>
          <w:sz w:val="20"/>
          <w:szCs w:val="20"/>
        </w:rPr>
        <w:t xml:space="preserve"> It therefore adapts to hot and humid tropical climates, on well-drained clay soils. Turmeric, through its rhizomes and essential oils, is recognized for its multiple benefits such as antioxidant, anti-inflammatory, antitumor, antimicrobial, and antidiabetic properties (Muhammad et al.</w:t>
      </w:r>
      <w:r w:rsidR="002612B9">
        <w:rPr>
          <w:rFonts w:ascii="Arial" w:hAnsi="Arial" w:cs="Arial"/>
          <w:sz w:val="20"/>
          <w:szCs w:val="20"/>
        </w:rPr>
        <w:t>,</w:t>
      </w:r>
      <w:r w:rsidR="001101BB" w:rsidRPr="003462C9">
        <w:rPr>
          <w:rFonts w:ascii="Arial" w:hAnsi="Arial" w:cs="Arial"/>
          <w:sz w:val="20"/>
          <w:szCs w:val="20"/>
        </w:rPr>
        <w:t xml:space="preserve"> 2024). The distinctive yellow-orange coloration of turmeric powder comes from curcuminoids, including curcumin, which is one of the three main curcuminoids found in this curry (Tehreem et al.</w:t>
      </w:r>
      <w:r w:rsidR="002612B9">
        <w:rPr>
          <w:rFonts w:ascii="Arial" w:hAnsi="Arial" w:cs="Arial"/>
          <w:sz w:val="20"/>
          <w:szCs w:val="20"/>
        </w:rPr>
        <w:t>,</w:t>
      </w:r>
      <w:r w:rsidR="001101BB" w:rsidRPr="003462C9">
        <w:rPr>
          <w:rFonts w:ascii="Arial" w:hAnsi="Arial" w:cs="Arial"/>
          <w:sz w:val="20"/>
          <w:szCs w:val="20"/>
        </w:rPr>
        <w:t xml:space="preserve"> 2024). The production of turmeric powder or the extraction of curcumin involves a traditional process of </w:t>
      </w:r>
      <w:r w:rsidR="001101BB" w:rsidRPr="003462C9">
        <w:rPr>
          <w:rFonts w:ascii="Arial" w:hAnsi="Arial" w:cs="Arial"/>
          <w:sz w:val="20"/>
          <w:szCs w:val="20"/>
        </w:rPr>
        <w:lastRenderedPageBreak/>
        <w:t>washing, cutting, drying, and grinding, or modern processes such as hydrodistillation and cooling-assisted grinding (Betül &amp; Nevin, 2017). Like all other food products, turmeric powder sold in our markets is exposed to the ambient environment and many other factors such as microbial factors that lead to its deterioration and increase health risks due to the presence of potentially pathogenic germs, capable of harming the health of any consumer (Adiaheno et al.</w:t>
      </w:r>
      <w:r w:rsidR="002612B9">
        <w:rPr>
          <w:rFonts w:ascii="Arial" w:hAnsi="Arial" w:cs="Arial"/>
          <w:sz w:val="20"/>
          <w:szCs w:val="20"/>
        </w:rPr>
        <w:t>,</w:t>
      </w:r>
      <w:r w:rsidR="001101BB" w:rsidRPr="003462C9">
        <w:rPr>
          <w:rFonts w:ascii="Arial" w:hAnsi="Arial" w:cs="Arial"/>
          <w:sz w:val="20"/>
          <w:szCs w:val="20"/>
        </w:rPr>
        <w:t xml:space="preserve"> 2023). Bacteria, molds, as well as total and fecal coliforms are microorganisms capable of breaking down these products. They release their toxins once in the powders. This is the case with aflatoxin, which is responsible for liver diseases, cancer, bleeding, and immunosuppression (Leong et al.</w:t>
      </w:r>
      <w:r w:rsidR="002612B9">
        <w:rPr>
          <w:rFonts w:ascii="Arial" w:hAnsi="Arial" w:cs="Arial"/>
          <w:sz w:val="20"/>
          <w:szCs w:val="20"/>
        </w:rPr>
        <w:t>,</w:t>
      </w:r>
      <w:r w:rsidR="001101BB" w:rsidRPr="003462C9">
        <w:rPr>
          <w:rFonts w:ascii="Arial" w:hAnsi="Arial" w:cs="Arial"/>
          <w:sz w:val="20"/>
          <w:szCs w:val="20"/>
        </w:rPr>
        <w:t xml:space="preserve"> 2010). To better understand the effects of these contaminants on the quality of the powder and on human health, it is essential to have an in-depth knowledge of the changes that have occurred or not in the constituent elements of these powders sold on the Daloa market.</w:t>
      </w:r>
      <w:r w:rsidR="003462C9" w:rsidRPr="003462C9">
        <w:rPr>
          <w:rFonts w:ascii="Arial" w:hAnsi="Arial" w:cs="Arial"/>
          <w:sz w:val="20"/>
          <w:szCs w:val="20"/>
        </w:rPr>
        <w:t xml:space="preserve"> This study is set in this context and aims to determine the values of the various biochemical and nutritional components and to verify the safety of this powder by searching for microbial germs capable of degrading its quality. </w:t>
      </w:r>
    </w:p>
    <w:p w14:paraId="5216232F" w14:textId="77777777" w:rsidR="0070522E" w:rsidRDefault="0070522E" w:rsidP="00AE0E72">
      <w:pPr>
        <w:spacing w:line="240" w:lineRule="auto"/>
        <w:rPr>
          <w:rFonts w:ascii="Arial" w:hAnsi="Arial" w:cs="Arial"/>
          <w:b/>
          <w:bCs/>
        </w:rPr>
      </w:pPr>
      <w:r w:rsidRPr="0070522E">
        <w:rPr>
          <w:rFonts w:ascii="Arial" w:hAnsi="Arial" w:cs="Arial"/>
          <w:b/>
          <w:bCs/>
        </w:rPr>
        <w:t>2. MATERIALS AND METHODS</w:t>
      </w:r>
    </w:p>
    <w:p w14:paraId="77AC6F8D" w14:textId="11839A80" w:rsidR="00FF5E9F" w:rsidRDefault="00FF5E9F" w:rsidP="00AE0E72">
      <w:pPr>
        <w:spacing w:line="240" w:lineRule="auto"/>
        <w:rPr>
          <w:rFonts w:ascii="Arial" w:hAnsi="Arial" w:cs="Arial"/>
          <w:b/>
          <w:bCs/>
        </w:rPr>
      </w:pPr>
      <w:r w:rsidRPr="00FF5E9F">
        <w:rPr>
          <w:rFonts w:ascii="Arial" w:hAnsi="Arial" w:cs="Arial"/>
          <w:b/>
          <w:bCs/>
        </w:rPr>
        <w:t xml:space="preserve">2.1 </w:t>
      </w:r>
      <w:r>
        <w:rPr>
          <w:rFonts w:ascii="Arial" w:hAnsi="Arial" w:cs="Arial"/>
          <w:b/>
          <w:bCs/>
        </w:rPr>
        <w:t xml:space="preserve">Materials </w:t>
      </w:r>
    </w:p>
    <w:p w14:paraId="1DAC6F39" w14:textId="4CF6AEC1" w:rsidR="00AE0E72" w:rsidRDefault="00D44C1B" w:rsidP="00AE0E72">
      <w:pPr>
        <w:spacing w:after="0" w:line="240" w:lineRule="auto"/>
        <w:jc w:val="both"/>
        <w:rPr>
          <w:rFonts w:ascii="Arial" w:hAnsi="Arial" w:cs="Arial"/>
          <w:sz w:val="20"/>
          <w:szCs w:val="20"/>
        </w:rPr>
      </w:pPr>
      <w:r w:rsidRPr="00D44C1B">
        <w:rPr>
          <w:rFonts w:ascii="Arial" w:hAnsi="Arial" w:cs="Arial"/>
          <w:sz w:val="20"/>
          <w:szCs w:val="20"/>
        </w:rPr>
        <w:t>Turmeric powder samples were obtained by purchase from the Lobia and Orly markets, which are sub-districts of the city of Daloa. A total of 10 samples were collected per market, each weighing 100 g. The acquired turmeric powders were packaged after being placed in a container with a cold pack, then transported to the laboratory. Since the markets mentioned above had the same supplier, a composite sample was obtained by taking 10 g of powder from each sample and per market. The whole was combined to create a 200 g composite sample, which was used for various analyses.</w:t>
      </w:r>
    </w:p>
    <w:p w14:paraId="71E9F194" w14:textId="77777777" w:rsidR="00F40C46" w:rsidRPr="00FF5E9F" w:rsidRDefault="00F40C46" w:rsidP="00AE0E72">
      <w:pPr>
        <w:spacing w:after="0" w:line="240" w:lineRule="auto"/>
        <w:jc w:val="both"/>
        <w:rPr>
          <w:rFonts w:ascii="Arial" w:hAnsi="Arial" w:cs="Arial"/>
          <w:sz w:val="20"/>
          <w:szCs w:val="20"/>
        </w:rPr>
      </w:pPr>
    </w:p>
    <w:p w14:paraId="1D2B4927" w14:textId="67EEA794" w:rsidR="00E02666" w:rsidRDefault="00AE38DE" w:rsidP="00AE0E72">
      <w:pPr>
        <w:spacing w:after="0" w:line="240" w:lineRule="auto"/>
        <w:jc w:val="both"/>
        <w:rPr>
          <w:rFonts w:ascii="Arial" w:hAnsi="Arial" w:cs="Arial"/>
          <w:b/>
          <w:bCs/>
        </w:rPr>
      </w:pPr>
      <w:r w:rsidRPr="00AE38DE">
        <w:rPr>
          <w:rFonts w:ascii="Arial" w:hAnsi="Arial" w:cs="Arial"/>
          <w:b/>
          <w:bCs/>
        </w:rPr>
        <w:t xml:space="preserve">2.2 </w:t>
      </w:r>
      <w:r w:rsidR="00E02666" w:rsidRPr="00AE38DE">
        <w:rPr>
          <w:rFonts w:ascii="Arial" w:hAnsi="Arial" w:cs="Arial"/>
          <w:b/>
          <w:bCs/>
        </w:rPr>
        <w:t>M</w:t>
      </w:r>
      <w:r w:rsidRPr="00AE38DE">
        <w:rPr>
          <w:rFonts w:ascii="Arial" w:hAnsi="Arial" w:cs="Arial"/>
          <w:b/>
          <w:bCs/>
        </w:rPr>
        <w:t>e</w:t>
      </w:r>
      <w:r w:rsidR="00E02666" w:rsidRPr="00AE38DE">
        <w:rPr>
          <w:rFonts w:ascii="Arial" w:hAnsi="Arial" w:cs="Arial"/>
          <w:b/>
          <w:bCs/>
        </w:rPr>
        <w:t>thods</w:t>
      </w:r>
    </w:p>
    <w:p w14:paraId="079FC3DB" w14:textId="77777777" w:rsidR="00AE0E72" w:rsidRPr="00AE38DE" w:rsidRDefault="00AE0E72" w:rsidP="00AE0E72">
      <w:pPr>
        <w:spacing w:after="0" w:line="240" w:lineRule="auto"/>
        <w:jc w:val="both"/>
        <w:rPr>
          <w:rFonts w:ascii="Arial" w:hAnsi="Arial" w:cs="Arial"/>
          <w:b/>
          <w:bCs/>
        </w:rPr>
      </w:pPr>
    </w:p>
    <w:p w14:paraId="45EC256E" w14:textId="77777777" w:rsidR="00A47D3C" w:rsidRDefault="00A47D3C" w:rsidP="00AE0E72">
      <w:pPr>
        <w:spacing w:after="0" w:line="240" w:lineRule="auto"/>
        <w:jc w:val="both"/>
        <w:rPr>
          <w:rFonts w:ascii="Arial" w:eastAsiaTheme="majorEastAsia" w:hAnsi="Arial" w:cs="Arial"/>
          <w:b/>
          <w:bCs/>
          <w:sz w:val="20"/>
          <w:szCs w:val="20"/>
          <w:u w:val="single"/>
        </w:rPr>
      </w:pPr>
      <w:r w:rsidRPr="00182711">
        <w:rPr>
          <w:rFonts w:ascii="Arial" w:eastAsiaTheme="majorEastAsia" w:hAnsi="Arial" w:cs="Arial"/>
          <w:b/>
          <w:bCs/>
          <w:sz w:val="20"/>
          <w:szCs w:val="20"/>
          <w:u w:val="single"/>
        </w:rPr>
        <w:t>2.2.1 Determination of Biochemical Compounds</w:t>
      </w:r>
    </w:p>
    <w:p w14:paraId="2BB374CD" w14:textId="77777777" w:rsidR="00AE0E72" w:rsidRPr="00182711" w:rsidRDefault="00AE0E72" w:rsidP="00AE0E72">
      <w:pPr>
        <w:spacing w:after="0" w:line="240" w:lineRule="auto"/>
        <w:jc w:val="both"/>
        <w:rPr>
          <w:rFonts w:ascii="Arial" w:eastAsiaTheme="majorEastAsia" w:hAnsi="Arial" w:cs="Arial"/>
          <w:b/>
          <w:bCs/>
          <w:sz w:val="20"/>
          <w:szCs w:val="20"/>
          <w:u w:val="single"/>
        </w:rPr>
      </w:pPr>
    </w:p>
    <w:p w14:paraId="01F19D38" w14:textId="291F9D35" w:rsidR="00FB369C" w:rsidRPr="00BB59AD" w:rsidRDefault="00A47D3C" w:rsidP="00BB59AD">
      <w:pPr>
        <w:pStyle w:val="NormalWeb"/>
        <w:shd w:val="clear" w:color="auto" w:fill="FFFFFF"/>
        <w:spacing w:before="0" w:beforeAutospacing="0" w:after="0" w:afterAutospacing="0"/>
        <w:jc w:val="both"/>
        <w:rPr>
          <w:rFonts w:ascii="Arial" w:eastAsiaTheme="majorEastAsia" w:hAnsi="Arial" w:cs="Arial"/>
          <w:sz w:val="20"/>
          <w:szCs w:val="20"/>
        </w:rPr>
      </w:pPr>
      <w:r w:rsidRPr="00A47D3C">
        <w:rPr>
          <w:rFonts w:ascii="Arial" w:eastAsiaTheme="majorEastAsia" w:hAnsi="Arial" w:cs="Arial"/>
          <w:sz w:val="20"/>
          <w:szCs w:val="20"/>
        </w:rPr>
        <w:t xml:space="preserve">The dry matter (DM) was determined by drying according to </w:t>
      </w:r>
      <w:r w:rsidR="00FB369C">
        <w:rPr>
          <w:rFonts w:ascii="Arial" w:eastAsiaTheme="majorEastAsia" w:hAnsi="Arial" w:cs="Arial"/>
          <w:sz w:val="20"/>
          <w:szCs w:val="20"/>
        </w:rPr>
        <w:t xml:space="preserve">AOAC </w:t>
      </w:r>
      <w:r w:rsidRPr="00A47D3C">
        <w:rPr>
          <w:rFonts w:ascii="Arial" w:eastAsiaTheme="majorEastAsia" w:hAnsi="Arial" w:cs="Arial"/>
          <w:sz w:val="20"/>
          <w:szCs w:val="20"/>
        </w:rPr>
        <w:t>(</w:t>
      </w:r>
      <w:r w:rsidR="00FB369C">
        <w:rPr>
          <w:rFonts w:ascii="Arial" w:eastAsiaTheme="majorEastAsia" w:hAnsi="Arial" w:cs="Arial"/>
          <w:sz w:val="20"/>
          <w:szCs w:val="20"/>
        </w:rPr>
        <w:t>1990)</w:t>
      </w:r>
      <w:r w:rsidRPr="00A47D3C">
        <w:rPr>
          <w:rFonts w:ascii="Arial" w:eastAsiaTheme="majorEastAsia" w:hAnsi="Arial" w:cs="Arial"/>
          <w:sz w:val="20"/>
          <w:szCs w:val="20"/>
        </w:rPr>
        <w:t xml:space="preserve">. </w:t>
      </w:r>
      <w:r w:rsidR="00FB369C">
        <w:rPr>
          <w:rFonts w:ascii="Arial" w:eastAsiaTheme="majorEastAsia" w:hAnsi="Arial" w:cs="Arial"/>
          <w:sz w:val="20"/>
          <w:szCs w:val="20"/>
        </w:rPr>
        <w:t xml:space="preserve"> </w:t>
      </w:r>
      <w:r w:rsidR="00B93267" w:rsidRPr="00B93267">
        <w:rPr>
          <w:rFonts w:ascii="Arial" w:hAnsi="Arial" w:cs="Arial"/>
          <w:color w:val="252525"/>
          <w:sz w:val="20"/>
          <w:szCs w:val="20"/>
          <w:shd w:val="clear" w:color="auto" w:fill="FFFFFF"/>
        </w:rPr>
        <w:t>Five grams of turmeric powder were placed in the initially weighed empty capsules. The capsules containing the samples were put in an oven at 105°C for 24 hours. The capsules were removed, cooled in a desiccator, and the whole (sample + capsule) was weighed, and finally the moisture content was calculated.</w:t>
      </w:r>
      <w:r w:rsidR="00BB59AD" w:rsidRPr="00BB59AD">
        <w:rPr>
          <w:rFonts w:ascii="Arial" w:hAnsi="Arial" w:cs="Arial"/>
          <w:color w:val="252525"/>
          <w:sz w:val="20"/>
          <w:szCs w:val="20"/>
          <w:shd w:val="clear" w:color="auto" w:fill="FFFFFF"/>
        </w:rPr>
        <w:t xml:space="preserve"> </w:t>
      </w:r>
      <w:r w:rsidR="00FB369C" w:rsidRPr="00BB59AD">
        <w:rPr>
          <w:rFonts w:ascii="Arial" w:hAnsi="Arial" w:cs="Arial"/>
          <w:noProof/>
          <w:color w:val="252525"/>
          <w:sz w:val="20"/>
          <w:szCs w:val="20"/>
        </w:rPr>
        <mc:AlternateContent>
          <mc:Choice Requires="wps">
            <w:drawing>
              <wp:anchor distT="0" distB="0" distL="114300" distR="114300" simplePos="0" relativeHeight="251661312" behindDoc="0" locked="0" layoutInCell="1" allowOverlap="1" wp14:anchorId="6C6A06E9" wp14:editId="04861CA9">
                <wp:simplePos x="0" y="0"/>
                <wp:positionH relativeFrom="column">
                  <wp:posOffset>2289470</wp:posOffset>
                </wp:positionH>
                <wp:positionV relativeFrom="paragraph">
                  <wp:posOffset>87128</wp:posOffset>
                </wp:positionV>
                <wp:extent cx="1626398" cy="648586"/>
                <wp:effectExtent l="0" t="0" r="0" b="0"/>
                <wp:wrapNone/>
                <wp:docPr id="36" name="Rectangle 36"/>
                <wp:cNvGraphicFramePr/>
                <a:graphic xmlns:a="http://schemas.openxmlformats.org/drawingml/2006/main">
                  <a:graphicData uri="http://schemas.microsoft.com/office/word/2010/wordprocessingShape">
                    <wps:wsp>
                      <wps:cNvSpPr/>
                      <wps:spPr>
                        <a:xfrm>
                          <a:off x="0" y="0"/>
                          <a:ext cx="1626398" cy="64858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CE43BE4" id="Rectangle 36" o:spid="_x0000_s1026" style="position:absolute;margin-left:180.25pt;margin-top:6.85pt;width:128.05pt;height:5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" filled="f" stroked="f" strokeweight="1pt"/>
            </w:pict>
          </mc:Fallback>
        </mc:AlternateContent>
      </w:r>
    </w:p>
    <w:p w14:paraId="248BE163" w14:textId="77777777" w:rsidR="00A7061C" w:rsidRDefault="00A47D3C" w:rsidP="00B93267">
      <w:pPr>
        <w:spacing w:line="240" w:lineRule="auto"/>
        <w:jc w:val="both"/>
        <w:rPr>
          <w:rFonts w:ascii="Arial" w:eastAsiaTheme="majorEastAsia" w:hAnsi="Arial" w:cs="Arial"/>
          <w:sz w:val="20"/>
          <w:szCs w:val="20"/>
        </w:rPr>
      </w:pPr>
      <w:r w:rsidRPr="00B93267">
        <w:rPr>
          <w:rFonts w:ascii="Arial" w:eastAsiaTheme="majorEastAsia" w:hAnsi="Arial" w:cs="Arial"/>
          <w:sz w:val="20"/>
          <w:szCs w:val="20"/>
        </w:rPr>
        <w:t xml:space="preserve">The contents of ash, protein, lipids, and total carbohydrates were measured using the methods previously employed by </w:t>
      </w:r>
      <w:r w:rsidR="00091931" w:rsidRPr="00B93267">
        <w:rPr>
          <w:rFonts w:ascii="Arial" w:eastAsiaTheme="majorEastAsia" w:hAnsi="Arial" w:cs="Arial"/>
          <w:sz w:val="20"/>
          <w:szCs w:val="20"/>
        </w:rPr>
        <w:t xml:space="preserve">Kouamé </w:t>
      </w:r>
      <w:r w:rsidRPr="00B93267">
        <w:rPr>
          <w:rFonts w:ascii="Arial" w:eastAsiaTheme="majorEastAsia" w:hAnsi="Arial" w:cs="Arial"/>
          <w:sz w:val="20"/>
          <w:szCs w:val="20"/>
        </w:rPr>
        <w:t>et al. (2025).</w:t>
      </w:r>
      <w:r w:rsidR="00BB59AD" w:rsidRPr="00B93267">
        <w:rPr>
          <w:rFonts w:ascii="Arial" w:eastAsiaTheme="majorEastAsia" w:hAnsi="Arial" w:cs="Arial"/>
          <w:sz w:val="20"/>
          <w:szCs w:val="20"/>
        </w:rPr>
        <w:t xml:space="preserve"> </w:t>
      </w:r>
    </w:p>
    <w:p w14:paraId="679748C7" w14:textId="49358068" w:rsidR="00013DE7" w:rsidRPr="00B93267" w:rsidRDefault="00B93267" w:rsidP="00B93267">
      <w:pPr>
        <w:spacing w:line="240" w:lineRule="auto"/>
        <w:jc w:val="both"/>
        <w:rPr>
          <w:rFonts w:ascii="Arial" w:hAnsi="Arial" w:cs="Arial"/>
          <w:sz w:val="20"/>
          <w:szCs w:val="20"/>
          <w:lang w:eastAsia="fr-FR"/>
        </w:rPr>
      </w:pPr>
      <w:r w:rsidRPr="00B93267">
        <w:rPr>
          <w:rFonts w:ascii="Arial" w:eastAsiaTheme="majorEastAsia" w:hAnsi="Arial" w:cs="Arial"/>
          <w:sz w:val="20"/>
          <w:szCs w:val="20"/>
        </w:rPr>
        <w:t>For the ashes, three grams of turmeric were placed in a crucible and then dried in a muffle furnace at 550°C for 2 hours until a whitish residue was obtained. The whole was taken out of the oven, placed in a desiccator until cooled, then weighed, and the ash percentage was determined.</w:t>
      </w:r>
      <w:r>
        <w:rPr>
          <w:rFonts w:ascii="Arial" w:eastAsiaTheme="majorEastAsia" w:hAnsi="Arial" w:cs="Arial"/>
          <w:sz w:val="20"/>
          <w:szCs w:val="20"/>
        </w:rPr>
        <w:t xml:space="preserve"> </w:t>
      </w:r>
    </w:p>
    <w:p w14:paraId="6E063BAF" w14:textId="1B9C8386" w:rsidR="00D83C6C" w:rsidRPr="00B93267" w:rsidRDefault="00A7061C" w:rsidP="00B93267">
      <w:pPr>
        <w:spacing w:line="240" w:lineRule="auto"/>
        <w:jc w:val="both"/>
        <w:rPr>
          <w:rFonts w:ascii="Arial" w:hAnsi="Arial" w:cs="Arial"/>
          <w:sz w:val="20"/>
          <w:szCs w:val="20"/>
        </w:rPr>
      </w:pPr>
      <w:r w:rsidRPr="00A7061C">
        <w:rPr>
          <w:rFonts w:ascii="Arial" w:hAnsi="Arial" w:cs="Arial"/>
          <w:sz w:val="20"/>
          <w:szCs w:val="20"/>
        </w:rPr>
        <w:t>Proteins were determined by the Kjeldahl method. 1g of turmeric was heated at 400°C for 150 minutes in the presence of a pinch of the catalyst mixture [selenium + potassium sulfate (K2SO4)] and 20 ml of sulfuric acid (H2SO4) 95 to 97%. The resulting mineralizate was brought up to 60 ml with distilled water, then 50 ml of sodium hydroxide (40%, w/v) was added. This mixture was brought to a boil in a LEGALLAIS type distiller.</w:t>
      </w:r>
      <w:r>
        <w:rPr>
          <w:rFonts w:ascii="Arial" w:hAnsi="Arial" w:cs="Arial"/>
          <w:sz w:val="20"/>
          <w:szCs w:val="20"/>
        </w:rPr>
        <w:t xml:space="preserve"> </w:t>
      </w:r>
      <w:r w:rsidRPr="00A7061C">
        <w:rPr>
          <w:rFonts w:ascii="Arial" w:hAnsi="Arial" w:cs="Arial"/>
          <w:sz w:val="20"/>
          <w:szCs w:val="20"/>
        </w:rPr>
        <w:t>The released ammonia was trapped in a measuring flask containing 10 ml of a boric acid mixture (4%, w/v) with a mixed indicator consisting of methyl red and bromocresol green at a pH ranging from 4.4 to 5.8. The titration was then carried out using a sulfuric acid solution (0.1 N). A blank was prepared under the same conditions as the assay, and the protein content of each sample, expressed as a percentage of dry matter, was determined.</w:t>
      </w:r>
    </w:p>
    <w:p w14:paraId="2DCCCE24" w14:textId="3F8BC15B" w:rsidR="00223A59" w:rsidRPr="00B93267" w:rsidRDefault="004C3FE7" w:rsidP="00B93267">
      <w:pPr>
        <w:spacing w:line="240" w:lineRule="auto"/>
        <w:jc w:val="both"/>
        <w:rPr>
          <w:rFonts w:ascii="Arial" w:hAnsi="Arial" w:cs="Arial"/>
          <w:sz w:val="20"/>
          <w:szCs w:val="20"/>
        </w:rPr>
      </w:pPr>
      <w:r w:rsidRPr="004C3FE7">
        <w:rPr>
          <w:rFonts w:ascii="Arial" w:hAnsi="Arial" w:cs="Arial"/>
          <w:sz w:val="20"/>
          <w:szCs w:val="20"/>
        </w:rPr>
        <w:t>The lipid content was determined by hexane extraction in a SOXHLET for 6 hours at a temperature of 69 to 70°C. A quantity (10g) of turmeric was weighed using a precision analytical balance of 0.001 g, then placed in a Kumagawa cartridge made of cellulose.</w:t>
      </w:r>
      <w:r>
        <w:rPr>
          <w:rFonts w:ascii="Arial" w:hAnsi="Arial" w:cs="Arial"/>
          <w:sz w:val="20"/>
          <w:szCs w:val="20"/>
        </w:rPr>
        <w:t xml:space="preserve"> </w:t>
      </w:r>
      <w:r w:rsidR="00D40A7D" w:rsidRPr="00D40A7D">
        <w:rPr>
          <w:rFonts w:ascii="Arial" w:hAnsi="Arial" w:cs="Arial"/>
          <w:sz w:val="20"/>
          <w:szCs w:val="20"/>
        </w:rPr>
        <w:t>The lipid extraction was carried out with 300 ml of solvent (hexane). After complete evaporation of the solvent using the Rotavapor IKA HB 10 basic, the extraction flask was recovered and dried in the oven at 105°C for 10 minutes. The lipid mass was obtained by determining the difference between the initial mass and the final mass of the flasks.</w:t>
      </w:r>
    </w:p>
    <w:p w14:paraId="2933B3F7" w14:textId="77777777" w:rsidR="00D40A7D" w:rsidRDefault="00D40A7D" w:rsidP="00B93267">
      <w:pPr>
        <w:spacing w:after="0" w:line="240" w:lineRule="auto"/>
        <w:jc w:val="both"/>
        <w:rPr>
          <w:rFonts w:ascii="Arial" w:eastAsiaTheme="majorEastAsia" w:hAnsi="Arial" w:cs="Arial"/>
          <w:sz w:val="20"/>
          <w:szCs w:val="20"/>
        </w:rPr>
      </w:pPr>
      <w:r w:rsidRPr="00D40A7D">
        <w:rPr>
          <w:rFonts w:ascii="Arial" w:hAnsi="Arial" w:cs="Arial"/>
          <w:sz w:val="20"/>
          <w:szCs w:val="20"/>
        </w:rPr>
        <w:t>Total carbohydrates were obtained by calculation recommended by the FAO (1998). It takes into account the contents of moisture, fat, protein, and ash.</w:t>
      </w:r>
    </w:p>
    <w:p w14:paraId="3AE18BC2" w14:textId="0558509F" w:rsidR="004B372B" w:rsidRDefault="00A47D3C" w:rsidP="00AE0E72">
      <w:pPr>
        <w:spacing w:after="0" w:line="240" w:lineRule="auto"/>
        <w:jc w:val="both"/>
        <w:rPr>
          <w:rFonts w:ascii="Arial" w:eastAsiaTheme="majorEastAsia" w:hAnsi="Arial" w:cs="Arial"/>
          <w:sz w:val="20"/>
          <w:szCs w:val="20"/>
        </w:rPr>
      </w:pPr>
      <w:r w:rsidRPr="00B93267">
        <w:rPr>
          <w:rFonts w:ascii="Arial" w:eastAsiaTheme="majorEastAsia" w:hAnsi="Arial" w:cs="Arial"/>
          <w:sz w:val="20"/>
          <w:szCs w:val="20"/>
        </w:rPr>
        <w:t>The total sugar content was determined according to the method of Dubois et al. (1956)</w:t>
      </w:r>
      <w:r w:rsidR="004B372B" w:rsidRPr="00B93267">
        <w:rPr>
          <w:rFonts w:ascii="Arial" w:eastAsiaTheme="majorEastAsia" w:hAnsi="Arial" w:cs="Arial"/>
          <w:sz w:val="20"/>
          <w:szCs w:val="20"/>
        </w:rPr>
        <w:t xml:space="preserve">. </w:t>
      </w:r>
      <w:r w:rsidR="00762B76" w:rsidRPr="00762B76">
        <w:rPr>
          <w:rFonts w:ascii="Arial" w:hAnsi="Arial" w:cs="Arial"/>
          <w:sz w:val="20"/>
          <w:szCs w:val="20"/>
        </w:rPr>
        <w:t xml:space="preserve">After extraction with ethanol (80%) of the free sugars contained in 5 g of turmeric powder, purification was carried out using 25 ml of lead acetate (10%) and 25 ml of oxalic acid (10%). The obtained solution was evaporated </w:t>
      </w:r>
      <w:r w:rsidR="00762B76" w:rsidRPr="00762B76">
        <w:rPr>
          <w:rFonts w:ascii="Arial" w:hAnsi="Arial" w:cs="Arial"/>
          <w:sz w:val="20"/>
          <w:szCs w:val="20"/>
        </w:rPr>
        <w:lastRenderedPageBreak/>
        <w:t>on a hot plate and then brought up to 25 ml with distilled water. A quantity of one milliliter (1 ml) of the previous sugar solution was taken, and successively adjusted with one milliliter (1 ml) of phenol (5%) and five milliliters (5 ml) of concentrated sulfuric acid (94-97%). After cooling to room temperature, the reading was taken at a wavelength of 490 nm using a spectrophotometer (Hach: model DR 1900) against a standard range of 0 to 80 µg of glucose.</w:t>
      </w:r>
    </w:p>
    <w:p w14:paraId="1271C747" w14:textId="4D969CAE" w:rsidR="00AE0E72" w:rsidRDefault="00660A14" w:rsidP="00AE0E72">
      <w:pPr>
        <w:spacing w:after="0" w:line="240" w:lineRule="auto"/>
        <w:jc w:val="both"/>
        <w:rPr>
          <w:rFonts w:ascii="Arial" w:hAnsi="Arial" w:cs="Arial"/>
          <w:sz w:val="20"/>
          <w:szCs w:val="20"/>
        </w:rPr>
      </w:pPr>
      <w:r>
        <w:rPr>
          <w:rFonts w:ascii="Arial" w:eastAsiaTheme="majorEastAsia" w:hAnsi="Arial" w:cs="Arial"/>
          <w:sz w:val="20"/>
          <w:szCs w:val="20"/>
        </w:rPr>
        <w:t>T</w:t>
      </w:r>
      <w:r w:rsidR="00A47D3C" w:rsidRPr="00A47D3C">
        <w:rPr>
          <w:rFonts w:ascii="Arial" w:eastAsiaTheme="majorEastAsia" w:hAnsi="Arial" w:cs="Arial"/>
          <w:sz w:val="20"/>
          <w:szCs w:val="20"/>
        </w:rPr>
        <w:t xml:space="preserve">he quantification of reducing sugars was carried out according to the method described by </w:t>
      </w:r>
      <w:r w:rsidR="00A47D3C" w:rsidRPr="00091931">
        <w:rPr>
          <w:rFonts w:ascii="Arial" w:eastAsiaTheme="majorEastAsia" w:hAnsi="Arial" w:cs="Arial"/>
          <w:sz w:val="20"/>
          <w:szCs w:val="20"/>
        </w:rPr>
        <w:t>Be</w:t>
      </w:r>
      <w:r w:rsidR="00091931" w:rsidRPr="00091931">
        <w:rPr>
          <w:rFonts w:ascii="Arial" w:eastAsiaTheme="majorEastAsia" w:hAnsi="Arial" w:cs="Arial"/>
          <w:sz w:val="20"/>
          <w:szCs w:val="20"/>
        </w:rPr>
        <w:t>r</w:t>
      </w:r>
      <w:r w:rsidR="00A47D3C" w:rsidRPr="00091931">
        <w:rPr>
          <w:rFonts w:ascii="Arial" w:eastAsiaTheme="majorEastAsia" w:hAnsi="Arial" w:cs="Arial"/>
          <w:sz w:val="20"/>
          <w:szCs w:val="20"/>
        </w:rPr>
        <w:t>nfeld</w:t>
      </w:r>
      <w:r w:rsidR="00A47D3C" w:rsidRPr="00A47D3C">
        <w:rPr>
          <w:rFonts w:ascii="Arial" w:eastAsiaTheme="majorEastAsia" w:hAnsi="Arial" w:cs="Arial"/>
          <w:sz w:val="20"/>
          <w:szCs w:val="20"/>
        </w:rPr>
        <w:t xml:space="preserve"> (1955).</w:t>
      </w:r>
      <w:r w:rsidR="00762B76">
        <w:rPr>
          <w:rFonts w:ascii="Arial" w:eastAsiaTheme="majorEastAsia" w:hAnsi="Arial" w:cs="Arial"/>
          <w:sz w:val="20"/>
          <w:szCs w:val="20"/>
        </w:rPr>
        <w:t xml:space="preserve"> </w:t>
      </w:r>
      <w:r w:rsidR="00762B76" w:rsidRPr="00762B76">
        <w:rPr>
          <w:rFonts w:ascii="Arial" w:hAnsi="Arial" w:cs="Arial"/>
          <w:sz w:val="20"/>
          <w:szCs w:val="20"/>
        </w:rPr>
        <w:t>One milliliter (1 ml) of an ethanolic extract of turmeric powder was introduced into a test tube. 0.5 ml of distilled water and 0.5 ml of dinitrosalicylic acid (DNS) were added. The mixture was heated in a boiling water bath for 5 minutes, and after cooling, 5 ml of distilled water were added. The optical density reading was performed at 540 nm against a blank test. A calibration range from a glucose solution at 0.1 mg/ml allowed the quantification of reducing sugars.</w:t>
      </w:r>
    </w:p>
    <w:p w14:paraId="11EFE7E2" w14:textId="77777777" w:rsidR="00762B76" w:rsidRPr="00762B76" w:rsidRDefault="00762B76" w:rsidP="00AE0E72">
      <w:pPr>
        <w:spacing w:after="0" w:line="240" w:lineRule="auto"/>
        <w:jc w:val="both"/>
        <w:rPr>
          <w:rFonts w:ascii="Arial" w:eastAsiaTheme="majorEastAsia" w:hAnsi="Arial" w:cs="Arial"/>
          <w:sz w:val="20"/>
          <w:szCs w:val="20"/>
        </w:rPr>
      </w:pPr>
    </w:p>
    <w:p w14:paraId="531B9C2A" w14:textId="1A687BFB" w:rsidR="00193559" w:rsidRDefault="00376DC0" w:rsidP="00762B76">
      <w:pPr>
        <w:pStyle w:val="Heading3"/>
        <w:spacing w:before="0" w:line="240" w:lineRule="auto"/>
        <w:rPr>
          <w:rFonts w:ascii="Arial" w:hAnsi="Arial" w:cs="Arial"/>
          <w:b/>
          <w:bCs/>
          <w:color w:val="auto"/>
          <w:sz w:val="20"/>
          <w:szCs w:val="20"/>
          <w:u w:val="single"/>
        </w:rPr>
      </w:pPr>
      <w:bookmarkStart w:id="1" w:name="_Toc172115884"/>
      <w:r w:rsidRPr="00182711">
        <w:rPr>
          <w:rFonts w:ascii="Arial" w:hAnsi="Arial" w:cs="Arial"/>
          <w:b/>
          <w:color w:val="auto"/>
          <w:sz w:val="20"/>
          <w:szCs w:val="20"/>
          <w:u w:val="single"/>
        </w:rPr>
        <w:t xml:space="preserve">2.2.2 </w:t>
      </w:r>
      <w:bookmarkEnd w:id="1"/>
      <w:r w:rsidR="00FD1021" w:rsidRPr="00182711">
        <w:rPr>
          <w:rFonts w:ascii="Arial" w:hAnsi="Arial" w:cs="Arial"/>
          <w:b/>
          <w:bCs/>
          <w:color w:val="auto"/>
          <w:sz w:val="20"/>
          <w:szCs w:val="20"/>
          <w:u w:val="single"/>
        </w:rPr>
        <w:t>Determination of phytochemical compounds</w:t>
      </w:r>
    </w:p>
    <w:p w14:paraId="60204731" w14:textId="77777777" w:rsidR="00AE0E72" w:rsidRPr="00AE0E72" w:rsidRDefault="00AE0E72" w:rsidP="00762B76">
      <w:pPr>
        <w:spacing w:line="240" w:lineRule="auto"/>
      </w:pPr>
    </w:p>
    <w:p w14:paraId="7DC0CEA2" w14:textId="5F133D11" w:rsidR="008E4509" w:rsidRPr="00DB2C62" w:rsidRDefault="008E4509" w:rsidP="00762B76">
      <w:pPr>
        <w:spacing w:after="0" w:line="240" w:lineRule="auto"/>
        <w:jc w:val="both"/>
        <w:rPr>
          <w:rFonts w:ascii="Arial" w:hAnsi="Arial" w:cs="Arial"/>
          <w:sz w:val="20"/>
          <w:szCs w:val="20"/>
        </w:rPr>
      </w:pPr>
      <w:r w:rsidRPr="00DB2C62">
        <w:rPr>
          <w:rFonts w:ascii="Arial" w:hAnsi="Arial" w:cs="Arial"/>
          <w:sz w:val="20"/>
          <w:szCs w:val="20"/>
        </w:rPr>
        <w:t>The total polyphenol content was measured according to the method described by Kassi et al. (2020). To 30 μL of turmeric extract, 2.5 mL of Folin-Ciocalteu reagent diluted 1/10 was added. The resulting mixture was left in the dark for 2 minutes at room temperature (27 ± 3 °C). A volume of 2 mL of 75 g/L sodium carbonate solution was then added. The whole mixture was then incubated at 50 °C for 15 minutes. The absorbance measurement was carried out using a UV-visible spectrophotometer at a wavelength of 760 nm against a blank consisting of a mixture of 5 mL of Folin-Ciocalteu reagent diluted 1/10 and 4 mL of 75 g/L sodium carbonate solution. Gallic acid was used as a reference standard for the calibration curve. This curve allowed the quantification of total polyphenol content expressed as mg of gallic acid equivalent per gram of extract (mg GAE/g of extract).</w:t>
      </w:r>
    </w:p>
    <w:p w14:paraId="47256DA0" w14:textId="238A6BF0" w:rsidR="008E4509" w:rsidRPr="00DB2C62" w:rsidRDefault="008E4509" w:rsidP="00AE0E72">
      <w:pPr>
        <w:spacing w:after="0" w:line="240" w:lineRule="auto"/>
        <w:jc w:val="both"/>
        <w:rPr>
          <w:rFonts w:ascii="Arial" w:hAnsi="Arial" w:cs="Arial"/>
          <w:sz w:val="20"/>
          <w:szCs w:val="20"/>
        </w:rPr>
      </w:pPr>
      <w:r w:rsidRPr="00DB2C62">
        <w:rPr>
          <w:rFonts w:ascii="Arial" w:hAnsi="Arial" w:cs="Arial"/>
          <w:sz w:val="20"/>
          <w:szCs w:val="20"/>
        </w:rPr>
        <w:t>The method described by Marinova et al. (2005) was used to determine the total flavonoid content. Volumes of 0.75 mL of 5% (w/v) sodium nitrite solution and 10% (w/v) aluminum chloride solution were added to 2.5 mL of extract or fraction solution at 1/500 (w/v). The mixture was then treated with 5 mL of 1 M sodium hydroxide solution after 5 minutes of incubation. The final volume was adjusted to 25 mL and then shaken vigorously.</w:t>
      </w:r>
      <w:r w:rsidR="00DB2C62" w:rsidRPr="00DB2C62">
        <w:rPr>
          <w:rFonts w:ascii="Arial" w:hAnsi="Arial" w:cs="Arial"/>
          <w:sz w:val="20"/>
          <w:szCs w:val="20"/>
        </w:rPr>
        <w:t xml:space="preserve"> Absorbance was measured at a wavelength of 510 nm against a blank consisting of 0.75 mL of 5% (w/v) sodium nitrate solution, 0.75 mL of 10% (w/v) aluminum chloride solution, and 5 mL of 1 M sodium hydroxide solution. Quercetin was used as the reference standard for constructing the calibration curve and for quantifying the total flavonoid content, expressed as milligrams of quercetin equivalent per gram of extract (mg QE/g extract).</w:t>
      </w:r>
      <w:r w:rsidRPr="00DB2C62">
        <w:rPr>
          <w:rFonts w:ascii="Arial" w:hAnsi="Arial" w:cs="Arial"/>
          <w:sz w:val="20"/>
          <w:szCs w:val="20"/>
        </w:rPr>
        <w:t xml:space="preserve"> </w:t>
      </w:r>
    </w:p>
    <w:p w14:paraId="7BC463EB" w14:textId="790C0BEB" w:rsidR="00DB2C62" w:rsidRDefault="00DB2C62" w:rsidP="00AE0E72">
      <w:pPr>
        <w:spacing w:after="0" w:line="240" w:lineRule="auto"/>
        <w:jc w:val="both"/>
        <w:rPr>
          <w:rFonts w:ascii="Arial" w:hAnsi="Arial" w:cs="Arial"/>
          <w:sz w:val="20"/>
          <w:szCs w:val="20"/>
        </w:rPr>
      </w:pPr>
      <w:r w:rsidRPr="00DB2C62">
        <w:rPr>
          <w:rFonts w:ascii="Arial" w:hAnsi="Arial" w:cs="Arial"/>
          <w:sz w:val="20"/>
          <w:szCs w:val="20"/>
        </w:rPr>
        <w:t>The quantification of condensed tannins was carried out by HPLC with diode array detection (DAD) as described by Xiaohui et al. (2022).</w:t>
      </w:r>
    </w:p>
    <w:p w14:paraId="1C3830F1" w14:textId="77777777" w:rsidR="00DB2C62" w:rsidRPr="00DB2C62" w:rsidRDefault="00DB2C62" w:rsidP="00AE0E72">
      <w:pPr>
        <w:spacing w:after="0" w:line="240" w:lineRule="auto"/>
        <w:jc w:val="both"/>
        <w:rPr>
          <w:rFonts w:ascii="Arial" w:hAnsi="Arial" w:cs="Arial"/>
          <w:sz w:val="20"/>
          <w:szCs w:val="20"/>
        </w:rPr>
      </w:pPr>
    </w:p>
    <w:p w14:paraId="3EE7345B" w14:textId="77777777" w:rsidR="00DB2C62" w:rsidRPr="00182711" w:rsidRDefault="00DB2C62" w:rsidP="00AE0E72">
      <w:pPr>
        <w:spacing w:after="0" w:line="240" w:lineRule="auto"/>
        <w:rPr>
          <w:rFonts w:ascii="Arial" w:eastAsiaTheme="majorEastAsia" w:hAnsi="Arial" w:cs="Arial"/>
          <w:b/>
          <w:bCs/>
          <w:sz w:val="20"/>
          <w:szCs w:val="20"/>
          <w:u w:val="single"/>
        </w:rPr>
      </w:pPr>
      <w:r w:rsidRPr="00182711">
        <w:rPr>
          <w:rFonts w:ascii="Arial" w:eastAsiaTheme="majorEastAsia" w:hAnsi="Arial" w:cs="Arial"/>
          <w:b/>
          <w:bCs/>
          <w:sz w:val="20"/>
          <w:szCs w:val="20"/>
          <w:u w:val="single"/>
        </w:rPr>
        <w:t>2.2.2 Determination of vitamin C, A, and β-carotene contents</w:t>
      </w:r>
    </w:p>
    <w:p w14:paraId="4AEAE44F" w14:textId="77777777" w:rsidR="00D55B31" w:rsidRPr="00D55B31" w:rsidRDefault="00D55B31" w:rsidP="00AE0E72">
      <w:pPr>
        <w:spacing w:after="0" w:line="240" w:lineRule="auto"/>
        <w:rPr>
          <w:rFonts w:ascii="Arial" w:eastAsiaTheme="majorEastAsia" w:hAnsi="Arial" w:cs="Arial"/>
          <w:b/>
          <w:bCs/>
          <w:sz w:val="20"/>
          <w:szCs w:val="20"/>
        </w:rPr>
      </w:pPr>
    </w:p>
    <w:p w14:paraId="351A8EB4" w14:textId="5FF1115B" w:rsidR="00D55B31" w:rsidRDefault="00D55B31" w:rsidP="00AE0E72">
      <w:pPr>
        <w:spacing w:after="0" w:line="240" w:lineRule="auto"/>
        <w:jc w:val="both"/>
        <w:rPr>
          <w:rFonts w:ascii="Arial" w:hAnsi="Arial" w:cs="Arial"/>
          <w:sz w:val="20"/>
          <w:szCs w:val="20"/>
        </w:rPr>
      </w:pPr>
      <w:r w:rsidRPr="00C21F16">
        <w:rPr>
          <w:rFonts w:ascii="Arial" w:hAnsi="Arial" w:cs="Arial"/>
          <w:sz w:val="20"/>
          <w:szCs w:val="20"/>
          <w:lang w:val="en-IN"/>
        </w:rPr>
        <w:t xml:space="preserve">The method of Barros et al. </w:t>
      </w:r>
      <w:r w:rsidRPr="00D55B31">
        <w:rPr>
          <w:rFonts w:ascii="Arial" w:hAnsi="Arial" w:cs="Arial"/>
          <w:sz w:val="20"/>
          <w:szCs w:val="20"/>
        </w:rPr>
        <w:t xml:space="preserve">(2007) was used to determine the vitamin C content. </w:t>
      </w:r>
      <w:r w:rsidRPr="00C21F16">
        <w:rPr>
          <w:rFonts w:ascii="Arial" w:hAnsi="Arial" w:cs="Arial"/>
          <w:sz w:val="20"/>
          <w:szCs w:val="20"/>
          <w:lang w:val="en-IN"/>
        </w:rPr>
        <w:t xml:space="preserve">Carotenoids (vitamin A, </w:t>
      </w:r>
      <w:r w:rsidRPr="00D55B31">
        <w:rPr>
          <w:rFonts w:ascii="Arial" w:hAnsi="Arial" w:cs="Arial"/>
          <w:sz w:val="20"/>
          <w:szCs w:val="20"/>
        </w:rPr>
        <w:t>β</w:t>
      </w:r>
      <w:r w:rsidRPr="00C21F16">
        <w:rPr>
          <w:rFonts w:ascii="Arial" w:hAnsi="Arial" w:cs="Arial"/>
          <w:sz w:val="20"/>
          <w:szCs w:val="20"/>
          <w:lang w:val="en-IN"/>
        </w:rPr>
        <w:t xml:space="preserve">-carotene) were extracted by adding 2 ml of distilled water to 500 mg of turmeric powder. Retinyl acetate (standard) placed in 2 ml of ethanol was added to the sample. The mixture was extracted twice with 8 ml of hexane. After centrifugation (500 × g, 10 min at 4°C), 2 ml of distilled water and methanol-dichloromethane (65/35, V/V) were added. To analyze the samples, HPLC was used, with a final volume of 150 µl prepared for each sample. The carotenoids were separated as previously described (Gleize et al., 2012; Makambou, 2021). </w:t>
      </w:r>
      <w:r w:rsidRPr="00D55B31">
        <w:rPr>
          <w:rFonts w:ascii="Arial" w:hAnsi="Arial" w:cs="Arial"/>
          <w:sz w:val="20"/>
          <w:szCs w:val="20"/>
        </w:rPr>
        <w:t>All molecules were identified by their retention time compared to the pure standards.</w:t>
      </w:r>
    </w:p>
    <w:p w14:paraId="7633F137" w14:textId="77777777" w:rsidR="00D55B31" w:rsidRPr="00D55B31" w:rsidRDefault="00D55B31" w:rsidP="00AE0E72">
      <w:pPr>
        <w:spacing w:after="0" w:line="240" w:lineRule="auto"/>
        <w:jc w:val="both"/>
        <w:rPr>
          <w:rFonts w:ascii="Arial" w:hAnsi="Arial" w:cs="Arial"/>
          <w:sz w:val="20"/>
          <w:szCs w:val="20"/>
        </w:rPr>
      </w:pPr>
    </w:p>
    <w:p w14:paraId="3819FE57" w14:textId="77777777" w:rsidR="00D55B31" w:rsidRPr="00182711" w:rsidRDefault="00D55B31" w:rsidP="00AE0E72">
      <w:pPr>
        <w:spacing w:after="0" w:line="240" w:lineRule="auto"/>
        <w:jc w:val="both"/>
        <w:rPr>
          <w:rFonts w:ascii="Arial" w:eastAsiaTheme="majorEastAsia" w:hAnsi="Arial" w:cs="Arial"/>
          <w:b/>
          <w:bCs/>
          <w:sz w:val="20"/>
          <w:szCs w:val="20"/>
          <w:u w:val="single"/>
        </w:rPr>
      </w:pPr>
      <w:r w:rsidRPr="00182711">
        <w:rPr>
          <w:rFonts w:ascii="Arial" w:eastAsiaTheme="majorEastAsia" w:hAnsi="Arial" w:cs="Arial"/>
          <w:b/>
          <w:bCs/>
          <w:sz w:val="20"/>
          <w:szCs w:val="20"/>
          <w:u w:val="single"/>
        </w:rPr>
        <w:t>2.2.3 Determination of mineral content</w:t>
      </w:r>
    </w:p>
    <w:p w14:paraId="0EC8E66E" w14:textId="77777777" w:rsidR="00D55B31" w:rsidRPr="00D55B31" w:rsidRDefault="00D55B31" w:rsidP="00AE0E72">
      <w:pPr>
        <w:spacing w:after="0" w:line="240" w:lineRule="auto"/>
        <w:jc w:val="both"/>
        <w:rPr>
          <w:rFonts w:ascii="Arial" w:eastAsiaTheme="majorEastAsia" w:hAnsi="Arial" w:cs="Arial"/>
          <w:b/>
          <w:bCs/>
          <w:sz w:val="20"/>
          <w:szCs w:val="20"/>
        </w:rPr>
      </w:pPr>
    </w:p>
    <w:p w14:paraId="017C71A4" w14:textId="0BCA2DD6" w:rsidR="00540F80" w:rsidRPr="00C21F16" w:rsidRDefault="00540F80" w:rsidP="00AE0E72">
      <w:pPr>
        <w:spacing w:after="0" w:line="240" w:lineRule="auto"/>
        <w:jc w:val="both"/>
        <w:rPr>
          <w:rFonts w:ascii="Arial" w:hAnsi="Arial" w:cs="Arial"/>
          <w:sz w:val="20"/>
          <w:szCs w:val="20"/>
          <w:lang w:val="en-IN"/>
        </w:rPr>
      </w:pPr>
      <w:r w:rsidRPr="00C21F16">
        <w:rPr>
          <w:rFonts w:ascii="Arial" w:hAnsi="Arial" w:cs="Arial"/>
          <w:sz w:val="20"/>
          <w:szCs w:val="20"/>
          <w:lang w:val="en-IN"/>
        </w:rPr>
        <w:t>0.1 g of ashes was dissolved in 10 ml of 36% hydrochloric acid. This 10 ml quantity was then made up to 100 ml with distilled water. Minerals such as calcium and magnesium were measured using a 3% lanthanum chloride solution, completed with distilled water to obtain a volume of 100 ml. A 5 ml aliquot was taken, and the mineral analysis was carried out by atomic absorption spectrometry (ICP-AES model Liberty AX) using standard solutions corresponding to the different minerals. The elements present in the sample then absorb light at specific wavelengths (Ca-422.7 nm, Fe-248.3 nm, Mg-285.2 nm, K-766.5 nm, Na-589.0 nm, etc.) in the visible or ultraviolet spectrum (AOAC, 1990).</w:t>
      </w:r>
    </w:p>
    <w:p w14:paraId="31024731" w14:textId="77777777" w:rsidR="00FD1021" w:rsidRPr="00C21F16" w:rsidRDefault="00FD1021" w:rsidP="00AE0E72">
      <w:pPr>
        <w:spacing w:after="0" w:line="240" w:lineRule="auto"/>
        <w:jc w:val="both"/>
        <w:rPr>
          <w:rFonts w:ascii="Arial" w:hAnsi="Arial" w:cs="Arial"/>
          <w:sz w:val="20"/>
          <w:szCs w:val="20"/>
          <w:lang w:val="en-IN"/>
        </w:rPr>
      </w:pPr>
    </w:p>
    <w:p w14:paraId="0739C186" w14:textId="74210AC1" w:rsidR="0021581A" w:rsidRPr="00182711" w:rsidRDefault="00FD1021" w:rsidP="00AE0E72">
      <w:pPr>
        <w:spacing w:line="240" w:lineRule="auto"/>
        <w:rPr>
          <w:rFonts w:ascii="Arial" w:hAnsi="Arial" w:cs="Arial"/>
          <w:b/>
          <w:bCs/>
          <w:sz w:val="20"/>
          <w:szCs w:val="20"/>
          <w:u w:val="single"/>
        </w:rPr>
      </w:pPr>
      <w:r w:rsidRPr="00182711">
        <w:rPr>
          <w:rFonts w:ascii="Arial" w:hAnsi="Arial" w:cs="Arial"/>
          <w:b/>
          <w:bCs/>
          <w:sz w:val="20"/>
          <w:szCs w:val="20"/>
          <w:u w:val="single"/>
        </w:rPr>
        <w:t>2.2.4 Microbiological analysis</w:t>
      </w:r>
    </w:p>
    <w:p w14:paraId="20C6551F" w14:textId="4496C3EF" w:rsidR="0021581A" w:rsidRPr="0021581A" w:rsidRDefault="00F208DD" w:rsidP="00AE0E72">
      <w:pPr>
        <w:spacing w:line="240" w:lineRule="auto"/>
        <w:jc w:val="both"/>
      </w:pPr>
      <w:r w:rsidRPr="00C21F16">
        <w:rPr>
          <w:rFonts w:ascii="Arial" w:hAnsi="Arial" w:cs="Arial"/>
          <w:sz w:val="20"/>
          <w:szCs w:val="20"/>
          <w:lang w:val="en-IN"/>
        </w:rPr>
        <w:t xml:space="preserve">To prepare the stock suspension and decimal dilutions, 10 g of turmeric powder were dissolved in 90 ml of Buffered Peptone Water (BPW). The suspension was left to stand at room temperature for 30 </w:t>
      </w:r>
      <w:r w:rsidRPr="00C21F16">
        <w:rPr>
          <w:rFonts w:ascii="Arial" w:hAnsi="Arial" w:cs="Arial"/>
          <w:sz w:val="20"/>
          <w:szCs w:val="20"/>
          <w:lang w:val="en-IN"/>
        </w:rPr>
        <w:lastRenderedPageBreak/>
        <w:t xml:space="preserve">minutes. To detect </w:t>
      </w:r>
      <w:r w:rsidRPr="00C21F16">
        <w:rPr>
          <w:rFonts w:ascii="Arial" w:hAnsi="Arial" w:cs="Arial"/>
          <w:i/>
          <w:iCs/>
          <w:sz w:val="20"/>
          <w:szCs w:val="20"/>
          <w:lang w:val="en-IN"/>
        </w:rPr>
        <w:t>Bacillus cereus</w:t>
      </w:r>
      <w:r w:rsidRPr="00C21F16">
        <w:rPr>
          <w:rFonts w:ascii="Arial" w:hAnsi="Arial" w:cs="Arial"/>
          <w:sz w:val="20"/>
          <w:szCs w:val="20"/>
          <w:lang w:val="en-IN"/>
        </w:rPr>
        <w:t xml:space="preserve"> spores, 15 ml of the stock solution were taken, placed in a test tube, and heated at 80°C for 10 minutes in a water bath, then immediately cooled on ice for 5 minutes. </w:t>
      </w:r>
      <w:r w:rsidRPr="00F208DD">
        <w:rPr>
          <w:rFonts w:ascii="Arial" w:hAnsi="Arial" w:cs="Arial"/>
          <w:sz w:val="20"/>
          <w:szCs w:val="20"/>
        </w:rPr>
        <w:t>As for the decimal dilution, 1 mL of the parent solution treated for spores or 1 mL of the untreated parent solution for the vegetative form was added to 9 mL of sterile distilled water. This operation was repeated until the desired dilution was obtained</w:t>
      </w:r>
      <w:r w:rsidRPr="00F208DD">
        <w:t>.</w:t>
      </w:r>
    </w:p>
    <w:p w14:paraId="36721F05" w14:textId="7C34F29A" w:rsidR="00F208DD" w:rsidRPr="00BB22C5" w:rsidRDefault="00F208DD" w:rsidP="00AE0E72">
      <w:pPr>
        <w:pStyle w:val="Heading3"/>
        <w:spacing w:before="0" w:line="240" w:lineRule="auto"/>
        <w:jc w:val="both"/>
        <w:rPr>
          <w:rFonts w:ascii="Arial" w:hAnsi="Arial" w:cs="Arial"/>
          <w:bCs/>
          <w:color w:val="auto"/>
          <w:sz w:val="20"/>
          <w:szCs w:val="20"/>
        </w:rPr>
      </w:pPr>
      <w:bookmarkStart w:id="2" w:name="_Toc172115904"/>
      <w:r w:rsidRPr="00C21F16">
        <w:rPr>
          <w:rFonts w:ascii="Arial" w:hAnsi="Arial" w:cs="Arial"/>
          <w:bCs/>
          <w:color w:val="auto"/>
          <w:sz w:val="20"/>
          <w:szCs w:val="20"/>
          <w:lang w:val="en-IN"/>
        </w:rPr>
        <w:t xml:space="preserve">For inoculation and incubation, each decimal dilution of 0.1 ml was placed in a Petri dish containing 20 ml of previously prepared and poured agar. The 0.1 ml was spread over the surface of the agar using a sterile spreader. This type of inoculation is used for </w:t>
      </w:r>
      <w:r w:rsidRPr="00C21F16">
        <w:rPr>
          <w:rFonts w:ascii="Arial" w:hAnsi="Arial" w:cs="Arial"/>
          <w:bCs/>
          <w:i/>
          <w:iCs/>
          <w:color w:val="auto"/>
          <w:sz w:val="20"/>
          <w:szCs w:val="20"/>
          <w:lang w:val="en-IN"/>
        </w:rPr>
        <w:t>Escherichia coli</w:t>
      </w:r>
      <w:r w:rsidRPr="00C21F16">
        <w:rPr>
          <w:rFonts w:ascii="Arial" w:hAnsi="Arial" w:cs="Arial"/>
          <w:bCs/>
          <w:color w:val="auto"/>
          <w:sz w:val="20"/>
          <w:szCs w:val="20"/>
          <w:lang w:val="en-IN"/>
        </w:rPr>
        <w:t xml:space="preserve">, </w:t>
      </w:r>
      <w:r w:rsidRPr="00C21F16">
        <w:rPr>
          <w:rFonts w:ascii="Arial" w:hAnsi="Arial" w:cs="Arial"/>
          <w:bCs/>
          <w:i/>
          <w:iCs/>
          <w:color w:val="auto"/>
          <w:sz w:val="20"/>
          <w:szCs w:val="20"/>
          <w:lang w:val="en-IN"/>
        </w:rPr>
        <w:t>Staphylococcus aureus</w:t>
      </w:r>
      <w:r w:rsidRPr="00C21F16">
        <w:rPr>
          <w:rFonts w:ascii="Arial" w:hAnsi="Arial" w:cs="Arial"/>
          <w:bCs/>
          <w:color w:val="auto"/>
          <w:sz w:val="20"/>
          <w:szCs w:val="20"/>
          <w:lang w:val="en-IN"/>
        </w:rPr>
        <w:t xml:space="preserve">, and </w:t>
      </w:r>
      <w:r w:rsidRPr="00C21F16">
        <w:rPr>
          <w:rFonts w:ascii="Arial" w:hAnsi="Arial" w:cs="Arial"/>
          <w:bCs/>
          <w:i/>
          <w:iCs/>
          <w:color w:val="auto"/>
          <w:sz w:val="20"/>
          <w:szCs w:val="20"/>
          <w:lang w:val="en-IN"/>
        </w:rPr>
        <w:t>Bacillus cereus</w:t>
      </w:r>
      <w:r w:rsidRPr="00C21F16">
        <w:rPr>
          <w:rFonts w:ascii="Arial" w:hAnsi="Arial" w:cs="Arial"/>
          <w:bCs/>
          <w:color w:val="auto"/>
          <w:sz w:val="20"/>
          <w:szCs w:val="20"/>
          <w:lang w:val="en-IN"/>
        </w:rPr>
        <w:t>. Regarding the fungal flora and enterobacteria, 1 ml of each decimal dilution was placed in a Petri dish, and then 20 ml of previously prepared agar was added to the Petri dishes containing the inoculum.</w:t>
      </w:r>
      <w:r w:rsidR="000446BD" w:rsidRPr="00C21F16">
        <w:rPr>
          <w:rFonts w:ascii="Arial" w:eastAsiaTheme="minorHAnsi" w:hAnsi="Arial" w:cs="Arial"/>
          <w:color w:val="3C51B4"/>
          <w:sz w:val="20"/>
          <w:szCs w:val="20"/>
          <w:shd w:val="clear" w:color="auto" w:fill="F8F4F1"/>
          <w:lang w:val="en-IN"/>
        </w:rPr>
        <w:t xml:space="preserve"> </w:t>
      </w:r>
      <w:r w:rsidR="000446BD" w:rsidRPr="00BB22C5">
        <w:rPr>
          <w:rFonts w:ascii="Arial" w:hAnsi="Arial" w:cs="Arial"/>
          <w:bCs/>
          <w:color w:val="auto"/>
          <w:sz w:val="20"/>
          <w:szCs w:val="20"/>
        </w:rPr>
        <w:t xml:space="preserve">All the content has been well homogenized. Regarding the enumeration of Escherichia coli, the plates containing the Rapid E. coli medium that were inoculated were incubated at 46 °C for 24 hours. As for the enumeration of </w:t>
      </w:r>
      <w:r w:rsidR="000446BD" w:rsidRPr="00BB22C5">
        <w:rPr>
          <w:rFonts w:ascii="Arial" w:hAnsi="Arial" w:cs="Arial"/>
          <w:bCs/>
          <w:i/>
          <w:iCs/>
          <w:color w:val="auto"/>
          <w:sz w:val="20"/>
          <w:szCs w:val="20"/>
        </w:rPr>
        <w:t>Staphylococcus aureus</w:t>
      </w:r>
      <w:r w:rsidR="000446BD" w:rsidRPr="00BB22C5">
        <w:rPr>
          <w:rFonts w:ascii="Arial" w:hAnsi="Arial" w:cs="Arial"/>
          <w:bCs/>
          <w:color w:val="auto"/>
          <w:sz w:val="20"/>
          <w:szCs w:val="20"/>
        </w:rPr>
        <w:t xml:space="preserve">, the plates containing Baird-Parker agar were incubated at 37°C for 24–48 hours. For the enumeration of </w:t>
      </w:r>
      <w:r w:rsidR="000446BD" w:rsidRPr="00BB22C5">
        <w:rPr>
          <w:rFonts w:ascii="Arial" w:hAnsi="Arial" w:cs="Arial"/>
          <w:bCs/>
          <w:i/>
          <w:iCs/>
          <w:color w:val="auto"/>
          <w:sz w:val="20"/>
          <w:szCs w:val="20"/>
        </w:rPr>
        <w:t>Bacillus cereus</w:t>
      </w:r>
      <w:r w:rsidR="000446BD" w:rsidRPr="00BB22C5">
        <w:rPr>
          <w:rFonts w:ascii="Arial" w:hAnsi="Arial" w:cs="Arial"/>
          <w:bCs/>
          <w:color w:val="auto"/>
          <w:sz w:val="20"/>
          <w:szCs w:val="20"/>
        </w:rPr>
        <w:t xml:space="preserve"> spores on Mossel agar, the plates were incubated at 30°C for 24 hours. The fungal flora was inoculated on Sabouraud agar with Chloramphenicol, and the plates were incubated at 26°C for 5 days. Regarding the enumeration of enterobacteria, cultured on VRBG agar, the inoculated plates were incubated at 37°C for 24 hours. The formula below was used to estimate the microbial population.</w:t>
      </w:r>
    </w:p>
    <w:p w14:paraId="60A1837D" w14:textId="713290CF" w:rsidR="003114ED" w:rsidRPr="00BB22C5" w:rsidRDefault="003114ED" w:rsidP="00AE0E72">
      <w:pPr>
        <w:spacing w:line="240" w:lineRule="auto"/>
        <w:rPr>
          <w:rFonts w:ascii="Arial" w:hAnsi="Arial" w:cs="Arial"/>
          <w:sz w:val="20"/>
          <w:szCs w:val="20"/>
        </w:rPr>
      </w:pPr>
      <w:r w:rsidRPr="00BB22C5">
        <w:rPr>
          <w:rFonts w:ascii="Arial" w:hAnsi="Arial" w:cs="Arial"/>
          <w:sz w:val="20"/>
          <w:szCs w:val="20"/>
        </w:rPr>
        <w:t>N (CFU/ g ) = ∑ Ci /(</w:t>
      </w:r>
      <w:r w:rsidRPr="00BB22C5">
        <w:rPr>
          <w:rFonts w:ascii="Cambria Math" w:hAnsi="Cambria Math" w:cs="Cambria Math"/>
          <w:sz w:val="20"/>
          <w:szCs w:val="20"/>
        </w:rPr>
        <w:t>𝑁</w:t>
      </w:r>
      <w:r w:rsidRPr="00BB22C5">
        <w:rPr>
          <w:rFonts w:ascii="Arial" w:hAnsi="Arial" w:cs="Arial"/>
          <w:sz w:val="20"/>
          <w:szCs w:val="20"/>
        </w:rPr>
        <w:t>1+0,1</w:t>
      </w:r>
      <w:r w:rsidRPr="00BB22C5">
        <w:rPr>
          <w:rFonts w:ascii="Cambria Math" w:hAnsi="Cambria Math" w:cs="Cambria Math"/>
          <w:sz w:val="20"/>
          <w:szCs w:val="20"/>
        </w:rPr>
        <w:t>𝑁</w:t>
      </w:r>
      <w:r w:rsidRPr="00BB22C5">
        <w:rPr>
          <w:rFonts w:ascii="Arial" w:hAnsi="Arial" w:cs="Arial"/>
          <w:sz w:val="20"/>
          <w:szCs w:val="20"/>
        </w:rPr>
        <w:t>2)</w:t>
      </w:r>
      <w:r w:rsidRPr="00BB22C5">
        <w:rPr>
          <w:rFonts w:ascii="Cambria Math" w:hAnsi="Cambria Math" w:cs="Cambria Math"/>
          <w:sz w:val="20"/>
          <w:szCs w:val="20"/>
        </w:rPr>
        <w:t>𝑑</w:t>
      </w:r>
      <w:r w:rsidRPr="00BB22C5">
        <w:rPr>
          <w:rFonts w:ascii="Arial" w:hAnsi="Arial" w:cs="Arial"/>
          <w:sz w:val="20"/>
          <w:szCs w:val="20"/>
        </w:rPr>
        <w:t>.</w:t>
      </w:r>
      <w:r w:rsidR="00373FAD" w:rsidRPr="00BB22C5">
        <w:rPr>
          <w:rFonts w:ascii="Arial" w:hAnsi="Arial" w:cs="Arial"/>
          <w:sz w:val="20"/>
          <w:szCs w:val="20"/>
        </w:rPr>
        <w:t>V</w:t>
      </w:r>
      <w:r w:rsidRPr="00BB22C5">
        <w:rPr>
          <w:rFonts w:ascii="Arial" w:hAnsi="Arial" w:cs="Arial"/>
          <w:sz w:val="20"/>
          <w:szCs w:val="20"/>
        </w:rPr>
        <w:t xml:space="preserve"> </w:t>
      </w:r>
    </w:p>
    <w:p w14:paraId="2541AA77" w14:textId="59C32A14" w:rsidR="003114ED" w:rsidRPr="00C21F16" w:rsidRDefault="003114ED" w:rsidP="00AE0E72">
      <w:pPr>
        <w:spacing w:line="240" w:lineRule="auto"/>
        <w:rPr>
          <w:rFonts w:ascii="Arial" w:hAnsi="Arial" w:cs="Arial"/>
          <w:sz w:val="20"/>
          <w:szCs w:val="20"/>
          <w:lang w:val="en-IN"/>
        </w:rPr>
      </w:pPr>
      <w:r w:rsidRPr="00C21F16">
        <w:rPr>
          <w:rFonts w:ascii="Arial" w:hAnsi="Arial" w:cs="Arial"/>
          <w:sz w:val="20"/>
          <w:szCs w:val="20"/>
          <w:lang w:val="en-IN"/>
        </w:rPr>
        <w:t>N (CFU/g): Number of germs per gram of product;</w:t>
      </w:r>
    </w:p>
    <w:p w14:paraId="3FFD3DE5" w14:textId="76C7F0BD" w:rsidR="003114ED" w:rsidRPr="00C21F16" w:rsidRDefault="003114ED" w:rsidP="00AE0E72">
      <w:pPr>
        <w:spacing w:line="240" w:lineRule="auto"/>
        <w:rPr>
          <w:rFonts w:ascii="Arial" w:hAnsi="Arial" w:cs="Arial"/>
          <w:sz w:val="20"/>
          <w:szCs w:val="20"/>
          <w:lang w:val="en-IN"/>
        </w:rPr>
      </w:pPr>
      <w:r w:rsidRPr="00C21F16">
        <w:rPr>
          <w:rFonts w:ascii="Arial" w:hAnsi="Arial" w:cs="Arial"/>
          <w:sz w:val="20"/>
          <w:szCs w:val="20"/>
          <w:lang w:val="en-IN"/>
        </w:rPr>
        <w:t>∑Ci: Sum of the colonies counted on all the boxes retained from successive dilutions;</w:t>
      </w:r>
    </w:p>
    <w:p w14:paraId="6B2D16F4" w14:textId="39B9012A" w:rsidR="003114ED" w:rsidRPr="00C21F16" w:rsidRDefault="003114ED" w:rsidP="00AE0E72">
      <w:pPr>
        <w:spacing w:line="240" w:lineRule="auto"/>
        <w:rPr>
          <w:rFonts w:ascii="Arial" w:hAnsi="Arial" w:cs="Arial"/>
          <w:sz w:val="20"/>
          <w:szCs w:val="20"/>
          <w:lang w:val="en-IN"/>
        </w:rPr>
      </w:pPr>
      <w:r w:rsidRPr="00C21F16">
        <w:rPr>
          <w:rFonts w:ascii="Arial" w:hAnsi="Arial" w:cs="Arial"/>
          <w:sz w:val="20"/>
          <w:szCs w:val="20"/>
          <w:lang w:val="en-IN"/>
        </w:rPr>
        <w:t xml:space="preserve">n1: Number of boxes retained at the first dilution considered; </w:t>
      </w:r>
    </w:p>
    <w:p w14:paraId="2D7E30E5" w14:textId="06248FEA" w:rsidR="003114ED" w:rsidRPr="00C21F16" w:rsidRDefault="003114ED" w:rsidP="00AE0E72">
      <w:pPr>
        <w:spacing w:line="240" w:lineRule="auto"/>
        <w:rPr>
          <w:rFonts w:ascii="Arial" w:hAnsi="Arial" w:cs="Arial"/>
          <w:sz w:val="20"/>
          <w:szCs w:val="20"/>
          <w:lang w:val="en-IN"/>
        </w:rPr>
      </w:pPr>
      <w:r w:rsidRPr="00C21F16">
        <w:rPr>
          <w:rFonts w:ascii="Arial" w:hAnsi="Arial" w:cs="Arial"/>
          <w:sz w:val="20"/>
          <w:szCs w:val="20"/>
          <w:lang w:val="en-IN"/>
        </w:rPr>
        <w:t xml:space="preserve">n2: Number of boxes retained in the second dilution considered; </w:t>
      </w:r>
    </w:p>
    <w:p w14:paraId="7BB87FF1" w14:textId="5A8A7496" w:rsidR="003114ED" w:rsidRPr="00C21F16" w:rsidRDefault="003114ED" w:rsidP="00AE0E72">
      <w:pPr>
        <w:spacing w:line="240" w:lineRule="auto"/>
        <w:rPr>
          <w:rFonts w:ascii="Arial" w:hAnsi="Arial" w:cs="Arial"/>
          <w:sz w:val="20"/>
          <w:szCs w:val="20"/>
          <w:lang w:val="en-IN"/>
        </w:rPr>
      </w:pPr>
      <w:r w:rsidRPr="00C21F16">
        <w:rPr>
          <w:rFonts w:ascii="Arial" w:hAnsi="Arial" w:cs="Arial"/>
          <w:sz w:val="20"/>
          <w:szCs w:val="20"/>
          <w:lang w:val="en-IN"/>
        </w:rPr>
        <w:t>d: Dilution factor corresponding to the first dilution retained</w:t>
      </w:r>
      <w:r w:rsidR="00373FAD" w:rsidRPr="00C21F16">
        <w:rPr>
          <w:rFonts w:ascii="Arial" w:hAnsi="Arial" w:cs="Arial"/>
          <w:sz w:val="20"/>
          <w:szCs w:val="20"/>
          <w:lang w:val="en-IN"/>
        </w:rPr>
        <w:t> ;</w:t>
      </w:r>
    </w:p>
    <w:p w14:paraId="2BEC40F4" w14:textId="243EABC5" w:rsidR="00373FAD" w:rsidRPr="00C21F16" w:rsidRDefault="00373FAD" w:rsidP="00AE0E72">
      <w:pPr>
        <w:spacing w:line="240" w:lineRule="auto"/>
        <w:rPr>
          <w:rFonts w:ascii="Arial" w:hAnsi="Arial" w:cs="Arial"/>
          <w:sz w:val="20"/>
          <w:szCs w:val="20"/>
          <w:lang w:val="en-IN"/>
        </w:rPr>
      </w:pPr>
      <w:r w:rsidRPr="00C21F16">
        <w:rPr>
          <w:rFonts w:ascii="Arial" w:hAnsi="Arial" w:cs="Arial"/>
          <w:sz w:val="20"/>
          <w:szCs w:val="20"/>
          <w:lang w:val="en-IN"/>
        </w:rPr>
        <w:t>V: Volume of inoculum applied to each plate (ml)</w:t>
      </w:r>
    </w:p>
    <w:bookmarkEnd w:id="2"/>
    <w:p w14:paraId="54227747" w14:textId="67ADA3F1" w:rsidR="00AE6475" w:rsidRPr="00182711" w:rsidRDefault="00BB22C5" w:rsidP="00AE0E72">
      <w:pPr>
        <w:pStyle w:val="NoSpacing"/>
        <w:rPr>
          <w:rFonts w:ascii="Arial" w:hAnsi="Arial" w:cs="Arial"/>
          <w:b/>
          <w:bCs/>
          <w:sz w:val="20"/>
          <w:szCs w:val="20"/>
          <w:u w:val="single"/>
        </w:rPr>
      </w:pPr>
      <w:r w:rsidRPr="00182711">
        <w:rPr>
          <w:rFonts w:ascii="Arial" w:hAnsi="Arial" w:cs="Arial"/>
          <w:b/>
          <w:bCs/>
          <w:sz w:val="20"/>
          <w:szCs w:val="20"/>
          <w:u w:val="single"/>
        </w:rPr>
        <w:t xml:space="preserve">2.2.5 </w:t>
      </w:r>
      <w:r w:rsidR="00AE6475" w:rsidRPr="00182711">
        <w:rPr>
          <w:rFonts w:ascii="Arial" w:hAnsi="Arial" w:cs="Arial"/>
          <w:b/>
          <w:bCs/>
          <w:sz w:val="20"/>
          <w:szCs w:val="20"/>
          <w:u w:val="single"/>
        </w:rPr>
        <w:t>Statistical methods</w:t>
      </w:r>
    </w:p>
    <w:p w14:paraId="5F694ECE" w14:textId="77777777" w:rsidR="00BB22C5" w:rsidRPr="00BB22C5" w:rsidRDefault="00BB22C5" w:rsidP="00AE0E72">
      <w:pPr>
        <w:pStyle w:val="NoSpacing"/>
        <w:rPr>
          <w:rFonts w:ascii="Arial" w:hAnsi="Arial" w:cs="Arial"/>
          <w:sz w:val="20"/>
          <w:szCs w:val="20"/>
        </w:rPr>
      </w:pPr>
    </w:p>
    <w:p w14:paraId="6DFB9213" w14:textId="4946BAF4" w:rsidR="00AE6475" w:rsidRDefault="00AE6475" w:rsidP="00A61499">
      <w:pPr>
        <w:spacing w:line="240" w:lineRule="auto"/>
        <w:jc w:val="both"/>
        <w:rPr>
          <w:rFonts w:ascii="Arial" w:hAnsi="Arial" w:cs="Arial"/>
          <w:color w:val="000000" w:themeColor="text1"/>
          <w:sz w:val="20"/>
          <w:szCs w:val="20"/>
        </w:rPr>
      </w:pPr>
      <w:r w:rsidRPr="00BB22C5">
        <w:rPr>
          <w:rFonts w:ascii="Arial" w:hAnsi="Arial" w:cs="Arial"/>
          <w:color w:val="000000" w:themeColor="text1"/>
          <w:sz w:val="20"/>
          <w:szCs w:val="20"/>
        </w:rPr>
        <w:t>The results obtained in this study were carried out in triplicate. These results were expressed as means ± standard deviation.</w:t>
      </w:r>
    </w:p>
    <w:p w14:paraId="1103F50B" w14:textId="26D40004" w:rsidR="00550EA1" w:rsidRDefault="00F65C96" w:rsidP="00A61499">
      <w:pPr>
        <w:pStyle w:val="Heading1"/>
        <w:numPr>
          <w:ilvl w:val="0"/>
          <w:numId w:val="0"/>
        </w:numPr>
        <w:spacing w:line="240" w:lineRule="auto"/>
        <w:rPr>
          <w:rFonts w:ascii="Arial" w:hAnsi="Arial" w:cs="Arial"/>
          <w:sz w:val="22"/>
          <w:szCs w:val="22"/>
        </w:rPr>
      </w:pPr>
      <w:r w:rsidRPr="00F65C96">
        <w:rPr>
          <w:rFonts w:ascii="Arial" w:hAnsi="Arial" w:cs="Arial"/>
          <w:sz w:val="22"/>
          <w:szCs w:val="22"/>
        </w:rPr>
        <w:t xml:space="preserve">3. </w:t>
      </w:r>
      <w:r w:rsidR="00550EA1" w:rsidRPr="00F65C96">
        <w:rPr>
          <w:rFonts w:ascii="Arial" w:hAnsi="Arial" w:cs="Arial"/>
          <w:sz w:val="22"/>
          <w:szCs w:val="22"/>
        </w:rPr>
        <w:t>RESULTS</w:t>
      </w:r>
    </w:p>
    <w:p w14:paraId="2D93B412" w14:textId="77777777" w:rsidR="00A61499" w:rsidRPr="00A61499" w:rsidRDefault="00A61499" w:rsidP="00A61499">
      <w:pPr>
        <w:spacing w:line="240" w:lineRule="auto"/>
      </w:pPr>
    </w:p>
    <w:p w14:paraId="47138989" w14:textId="3AA96319" w:rsidR="003579C2" w:rsidRDefault="003579C2" w:rsidP="00A61499">
      <w:pPr>
        <w:spacing w:line="240" w:lineRule="auto"/>
        <w:jc w:val="both"/>
        <w:rPr>
          <w:rFonts w:ascii="Arial" w:hAnsi="Arial" w:cs="Arial"/>
          <w:b/>
          <w:bCs/>
        </w:rPr>
      </w:pPr>
      <w:r w:rsidRPr="003579C2">
        <w:rPr>
          <w:rFonts w:ascii="Arial" w:hAnsi="Arial" w:cs="Arial"/>
          <w:b/>
          <w:bCs/>
        </w:rPr>
        <w:t>3.1 Physicochemical Composition</w:t>
      </w:r>
    </w:p>
    <w:p w14:paraId="0571CC82" w14:textId="77777777" w:rsidR="005D3549" w:rsidRPr="00C21F16" w:rsidRDefault="005D3549" w:rsidP="00A61499">
      <w:pPr>
        <w:spacing w:line="240" w:lineRule="auto"/>
        <w:jc w:val="both"/>
        <w:rPr>
          <w:rFonts w:ascii="Arial" w:hAnsi="Arial" w:cs="Arial"/>
          <w:sz w:val="20"/>
          <w:szCs w:val="20"/>
          <w:lang w:val="en-IN"/>
        </w:rPr>
      </w:pPr>
      <w:r w:rsidRPr="00C21F16">
        <w:rPr>
          <w:rFonts w:ascii="Arial" w:hAnsi="Arial" w:cs="Arial"/>
          <w:sz w:val="20"/>
          <w:szCs w:val="20"/>
          <w:lang w:val="en-IN"/>
        </w:rPr>
        <w:t xml:space="preserve">Table 1 shows that turmeric powder has a pH, acidity, ash content, moisture content, and dry matter content of 6.54 ± 0.04; 160 ± 0.01%; 8.2 ± 0.12%; 13.1 ± 0.002%; and 86.89 ± 0.1%, respectively. </w:t>
      </w:r>
    </w:p>
    <w:p w14:paraId="092C0BB0" w14:textId="0AE605DF" w:rsidR="00547A61" w:rsidRPr="009D4300" w:rsidRDefault="00626C93" w:rsidP="00A61499">
      <w:pPr>
        <w:spacing w:line="240" w:lineRule="auto"/>
        <w:jc w:val="center"/>
        <w:rPr>
          <w:rFonts w:ascii="Arial" w:hAnsi="Arial" w:cs="Arial"/>
          <w:sz w:val="20"/>
          <w:szCs w:val="20"/>
        </w:rPr>
      </w:pPr>
      <w:r w:rsidRPr="009D4300">
        <w:rPr>
          <w:rFonts w:ascii="Arial" w:hAnsi="Arial" w:cs="Arial"/>
          <w:b/>
          <w:bCs/>
          <w:sz w:val="20"/>
          <w:szCs w:val="20"/>
        </w:rPr>
        <w:t>Table 1. Physicochemical composition of turmeric</w:t>
      </w:r>
      <w:r w:rsidR="00EB4374">
        <w:rPr>
          <w:rFonts w:ascii="Arial" w:hAnsi="Arial" w:cs="Arial"/>
          <w:b/>
          <w:bCs/>
          <w:sz w:val="20"/>
          <w:szCs w:val="20"/>
        </w:rPr>
        <w:t xml:space="preserve"> powder</w:t>
      </w:r>
    </w:p>
    <w:tbl>
      <w:tblPr>
        <w:tblStyle w:val="TableGrid"/>
        <w:tblW w:w="9214" w:type="dxa"/>
        <w:tblInd w:w="-5" w:type="dxa"/>
        <w:tblLook w:val="04A0" w:firstRow="1" w:lastRow="0" w:firstColumn="1" w:lastColumn="0" w:noHBand="0" w:noVBand="1"/>
      </w:tblPr>
      <w:tblGrid>
        <w:gridCol w:w="3315"/>
        <w:gridCol w:w="5899"/>
      </w:tblGrid>
      <w:tr w:rsidR="00B46AB9" w14:paraId="45C8514F" w14:textId="77777777" w:rsidTr="00792ADE">
        <w:tc>
          <w:tcPr>
            <w:tcW w:w="0" w:type="auto"/>
            <w:tcBorders>
              <w:left w:val="nil"/>
              <w:bottom w:val="single" w:sz="4" w:space="0" w:color="auto"/>
              <w:right w:val="nil"/>
            </w:tcBorders>
          </w:tcPr>
          <w:p w14:paraId="7F7210AD" w14:textId="777703AB" w:rsidR="00B46AB9" w:rsidRPr="00BA6456" w:rsidRDefault="00B46AB9" w:rsidP="00A61499">
            <w:pPr>
              <w:jc w:val="center"/>
              <w:rPr>
                <w:rFonts w:ascii="Arial" w:hAnsi="Arial" w:cs="Arial"/>
                <w:b/>
                <w:bCs/>
                <w:sz w:val="20"/>
                <w:szCs w:val="20"/>
              </w:rPr>
            </w:pPr>
            <w:r w:rsidRPr="00BA6456">
              <w:rPr>
                <w:rFonts w:ascii="Arial" w:hAnsi="Arial" w:cs="Arial"/>
                <w:b/>
                <w:bCs/>
                <w:sz w:val="20"/>
                <w:szCs w:val="20"/>
              </w:rPr>
              <w:t>Parameters</w:t>
            </w:r>
          </w:p>
        </w:tc>
        <w:tc>
          <w:tcPr>
            <w:tcW w:w="5899" w:type="dxa"/>
            <w:tcBorders>
              <w:left w:val="nil"/>
              <w:bottom w:val="single" w:sz="4" w:space="0" w:color="auto"/>
              <w:right w:val="nil"/>
            </w:tcBorders>
          </w:tcPr>
          <w:p w14:paraId="55F6C391" w14:textId="51BEC080" w:rsidR="00B46AB9" w:rsidRPr="00BA6456" w:rsidRDefault="00B46AB9" w:rsidP="00A61499">
            <w:pPr>
              <w:jc w:val="center"/>
              <w:rPr>
                <w:rFonts w:ascii="Arial" w:hAnsi="Arial" w:cs="Arial"/>
                <w:b/>
                <w:bCs/>
                <w:sz w:val="20"/>
                <w:szCs w:val="20"/>
              </w:rPr>
            </w:pPr>
            <w:r w:rsidRPr="00BA6456">
              <w:rPr>
                <w:rFonts w:ascii="Arial" w:hAnsi="Arial" w:cs="Arial"/>
                <w:b/>
                <w:bCs/>
                <w:sz w:val="20"/>
                <w:szCs w:val="20"/>
              </w:rPr>
              <w:t>Value</w:t>
            </w:r>
          </w:p>
        </w:tc>
      </w:tr>
      <w:tr w:rsidR="00B46AB9" w14:paraId="09B9822D" w14:textId="77777777" w:rsidTr="00792ADE">
        <w:tc>
          <w:tcPr>
            <w:tcW w:w="0" w:type="auto"/>
            <w:tcBorders>
              <w:left w:val="nil"/>
              <w:bottom w:val="nil"/>
              <w:right w:val="nil"/>
            </w:tcBorders>
          </w:tcPr>
          <w:p w14:paraId="30E42A6D" w14:textId="2AE17C76" w:rsidR="00B46AB9" w:rsidRPr="00BA6456" w:rsidRDefault="00B46AB9" w:rsidP="00A61499">
            <w:pPr>
              <w:jc w:val="center"/>
              <w:rPr>
                <w:rFonts w:ascii="Arial" w:hAnsi="Arial" w:cs="Arial"/>
                <w:sz w:val="20"/>
                <w:szCs w:val="20"/>
              </w:rPr>
            </w:pPr>
            <w:r w:rsidRPr="00BA6456">
              <w:rPr>
                <w:rFonts w:ascii="Arial" w:hAnsi="Arial" w:cs="Arial"/>
                <w:sz w:val="20"/>
                <w:szCs w:val="20"/>
              </w:rPr>
              <w:t>pH</w:t>
            </w:r>
          </w:p>
        </w:tc>
        <w:tc>
          <w:tcPr>
            <w:tcW w:w="5899" w:type="dxa"/>
            <w:tcBorders>
              <w:left w:val="nil"/>
              <w:bottom w:val="nil"/>
              <w:right w:val="nil"/>
            </w:tcBorders>
          </w:tcPr>
          <w:p w14:paraId="3C3C7290" w14:textId="60D82D9D" w:rsidR="00B46AB9" w:rsidRPr="00BA6456" w:rsidRDefault="00B46AB9" w:rsidP="00A61499">
            <w:pPr>
              <w:jc w:val="center"/>
              <w:rPr>
                <w:rFonts w:ascii="Arial" w:hAnsi="Arial" w:cs="Arial"/>
                <w:sz w:val="20"/>
                <w:szCs w:val="20"/>
              </w:rPr>
            </w:pPr>
            <w:r w:rsidRPr="00BA6456">
              <w:rPr>
                <w:rFonts w:ascii="Arial" w:hAnsi="Arial" w:cs="Arial"/>
                <w:sz w:val="20"/>
                <w:szCs w:val="20"/>
              </w:rPr>
              <w:t>6,54± 0,04</w:t>
            </w:r>
          </w:p>
        </w:tc>
      </w:tr>
      <w:tr w:rsidR="00B46AB9" w14:paraId="0F4C5E81" w14:textId="77777777" w:rsidTr="00792ADE">
        <w:tc>
          <w:tcPr>
            <w:tcW w:w="0" w:type="auto"/>
            <w:tcBorders>
              <w:top w:val="nil"/>
              <w:left w:val="nil"/>
              <w:bottom w:val="nil"/>
              <w:right w:val="nil"/>
            </w:tcBorders>
          </w:tcPr>
          <w:p w14:paraId="2CC3A5D5" w14:textId="32EEAE2A" w:rsidR="00B46AB9" w:rsidRPr="00BA6456" w:rsidRDefault="00B46AB9" w:rsidP="00A61499">
            <w:pPr>
              <w:jc w:val="center"/>
              <w:rPr>
                <w:rFonts w:ascii="Arial" w:hAnsi="Arial" w:cs="Arial"/>
                <w:sz w:val="20"/>
                <w:szCs w:val="20"/>
              </w:rPr>
            </w:pPr>
            <w:r w:rsidRPr="00BA6456">
              <w:rPr>
                <w:rFonts w:ascii="Arial" w:hAnsi="Arial" w:cs="Arial"/>
                <w:sz w:val="20"/>
                <w:szCs w:val="20"/>
              </w:rPr>
              <w:t>Titratable Acidity (meq/100g DM)</w:t>
            </w:r>
          </w:p>
        </w:tc>
        <w:tc>
          <w:tcPr>
            <w:tcW w:w="5899" w:type="dxa"/>
            <w:tcBorders>
              <w:top w:val="nil"/>
              <w:left w:val="nil"/>
              <w:bottom w:val="nil"/>
              <w:right w:val="nil"/>
            </w:tcBorders>
          </w:tcPr>
          <w:p w14:paraId="68BD99AB" w14:textId="7FA1BE2B" w:rsidR="00B46AB9" w:rsidRPr="00BA6456" w:rsidRDefault="00B46AB9" w:rsidP="00A61499">
            <w:pPr>
              <w:jc w:val="center"/>
              <w:rPr>
                <w:rFonts w:ascii="Arial" w:hAnsi="Arial" w:cs="Arial"/>
                <w:sz w:val="20"/>
                <w:szCs w:val="20"/>
              </w:rPr>
            </w:pPr>
            <w:r w:rsidRPr="00BA6456">
              <w:rPr>
                <w:rFonts w:ascii="Arial" w:hAnsi="Arial" w:cs="Arial"/>
                <w:sz w:val="20"/>
                <w:szCs w:val="20"/>
              </w:rPr>
              <w:t>160±0,01</w:t>
            </w:r>
          </w:p>
        </w:tc>
      </w:tr>
      <w:tr w:rsidR="00B46AB9" w14:paraId="27A3189C" w14:textId="77777777" w:rsidTr="00792ADE">
        <w:tc>
          <w:tcPr>
            <w:tcW w:w="0" w:type="auto"/>
            <w:tcBorders>
              <w:top w:val="nil"/>
              <w:left w:val="nil"/>
              <w:bottom w:val="nil"/>
              <w:right w:val="nil"/>
            </w:tcBorders>
          </w:tcPr>
          <w:p w14:paraId="7FD22D70" w14:textId="73C33401" w:rsidR="00B46AB9" w:rsidRPr="00BA6456" w:rsidRDefault="00B46AB9" w:rsidP="00A61499">
            <w:pPr>
              <w:jc w:val="center"/>
              <w:rPr>
                <w:rFonts w:ascii="Arial" w:hAnsi="Arial" w:cs="Arial"/>
                <w:sz w:val="20"/>
                <w:szCs w:val="20"/>
              </w:rPr>
            </w:pPr>
            <w:r w:rsidRPr="00BA6456">
              <w:rPr>
                <w:rFonts w:ascii="Arial" w:hAnsi="Arial" w:cs="Arial"/>
                <w:sz w:val="20"/>
                <w:szCs w:val="20"/>
              </w:rPr>
              <w:t>Ash Content (%)</w:t>
            </w:r>
          </w:p>
        </w:tc>
        <w:tc>
          <w:tcPr>
            <w:tcW w:w="5899" w:type="dxa"/>
            <w:tcBorders>
              <w:top w:val="nil"/>
              <w:left w:val="nil"/>
              <w:bottom w:val="nil"/>
              <w:right w:val="nil"/>
            </w:tcBorders>
          </w:tcPr>
          <w:p w14:paraId="3D2612D4" w14:textId="605ACA82" w:rsidR="00B46AB9" w:rsidRPr="00BA6456" w:rsidRDefault="00B46AB9" w:rsidP="00A61499">
            <w:pPr>
              <w:jc w:val="center"/>
              <w:rPr>
                <w:rFonts w:ascii="Arial" w:hAnsi="Arial" w:cs="Arial"/>
                <w:sz w:val="20"/>
                <w:szCs w:val="20"/>
              </w:rPr>
            </w:pPr>
            <w:r w:rsidRPr="00BA6456">
              <w:rPr>
                <w:rFonts w:ascii="Arial" w:hAnsi="Arial" w:cs="Arial"/>
                <w:sz w:val="20"/>
                <w:szCs w:val="20"/>
              </w:rPr>
              <w:t>8,2±0,12</w:t>
            </w:r>
          </w:p>
        </w:tc>
      </w:tr>
      <w:tr w:rsidR="00B46AB9" w14:paraId="5FA3DEAF" w14:textId="77777777" w:rsidTr="00792ADE">
        <w:tc>
          <w:tcPr>
            <w:tcW w:w="0" w:type="auto"/>
            <w:tcBorders>
              <w:top w:val="nil"/>
              <w:left w:val="nil"/>
              <w:bottom w:val="nil"/>
              <w:right w:val="nil"/>
            </w:tcBorders>
          </w:tcPr>
          <w:p w14:paraId="36F3E03B" w14:textId="10B3F4F4" w:rsidR="00B46AB9" w:rsidRPr="00BA6456" w:rsidRDefault="00B46AB9" w:rsidP="00A61499">
            <w:pPr>
              <w:jc w:val="center"/>
              <w:rPr>
                <w:rFonts w:ascii="Arial" w:hAnsi="Arial" w:cs="Arial"/>
                <w:sz w:val="20"/>
                <w:szCs w:val="20"/>
              </w:rPr>
            </w:pPr>
            <w:r w:rsidRPr="00BA6456">
              <w:rPr>
                <w:rFonts w:ascii="Arial" w:hAnsi="Arial" w:cs="Arial"/>
                <w:sz w:val="20"/>
                <w:szCs w:val="20"/>
              </w:rPr>
              <w:t>Water Content (%)</w:t>
            </w:r>
          </w:p>
        </w:tc>
        <w:tc>
          <w:tcPr>
            <w:tcW w:w="5899" w:type="dxa"/>
            <w:tcBorders>
              <w:top w:val="nil"/>
              <w:left w:val="nil"/>
              <w:bottom w:val="nil"/>
              <w:right w:val="nil"/>
            </w:tcBorders>
          </w:tcPr>
          <w:p w14:paraId="44EDFCD1" w14:textId="1617BB57" w:rsidR="00B46AB9" w:rsidRPr="00BA6456" w:rsidRDefault="00B46AB9" w:rsidP="00A61499">
            <w:pPr>
              <w:jc w:val="center"/>
              <w:rPr>
                <w:rFonts w:ascii="Arial" w:hAnsi="Arial" w:cs="Arial"/>
                <w:sz w:val="20"/>
                <w:szCs w:val="20"/>
              </w:rPr>
            </w:pPr>
            <w:r w:rsidRPr="00BA6456">
              <w:rPr>
                <w:rFonts w:ascii="Arial" w:hAnsi="Arial" w:cs="Arial"/>
                <w:sz w:val="20"/>
                <w:szCs w:val="20"/>
              </w:rPr>
              <w:t>13,1±0,002</w:t>
            </w:r>
          </w:p>
        </w:tc>
      </w:tr>
      <w:tr w:rsidR="00B46AB9" w14:paraId="5558ADFD" w14:textId="77777777" w:rsidTr="00792ADE">
        <w:tc>
          <w:tcPr>
            <w:tcW w:w="0" w:type="auto"/>
            <w:tcBorders>
              <w:top w:val="nil"/>
              <w:left w:val="nil"/>
              <w:right w:val="nil"/>
            </w:tcBorders>
          </w:tcPr>
          <w:p w14:paraId="2CA2BA9D" w14:textId="372990D6" w:rsidR="00B46AB9" w:rsidRPr="00BA6456" w:rsidRDefault="00B46AB9" w:rsidP="00A61499">
            <w:pPr>
              <w:jc w:val="center"/>
              <w:rPr>
                <w:rFonts w:ascii="Arial" w:hAnsi="Arial" w:cs="Arial"/>
                <w:sz w:val="20"/>
                <w:szCs w:val="20"/>
              </w:rPr>
            </w:pPr>
            <w:r w:rsidRPr="00BA6456">
              <w:rPr>
                <w:rFonts w:ascii="Arial" w:hAnsi="Arial" w:cs="Arial"/>
                <w:sz w:val="20"/>
                <w:szCs w:val="20"/>
              </w:rPr>
              <w:t>Dry Matter (%)</w:t>
            </w:r>
          </w:p>
        </w:tc>
        <w:tc>
          <w:tcPr>
            <w:tcW w:w="5899" w:type="dxa"/>
            <w:tcBorders>
              <w:top w:val="nil"/>
              <w:left w:val="nil"/>
              <w:right w:val="nil"/>
            </w:tcBorders>
          </w:tcPr>
          <w:p w14:paraId="79DDE71B" w14:textId="675BAD0C" w:rsidR="00B46AB9" w:rsidRPr="00BA6456" w:rsidRDefault="00B46AB9" w:rsidP="00A61499">
            <w:pPr>
              <w:jc w:val="center"/>
              <w:rPr>
                <w:rFonts w:ascii="Arial" w:hAnsi="Arial" w:cs="Arial"/>
                <w:sz w:val="20"/>
                <w:szCs w:val="20"/>
              </w:rPr>
            </w:pPr>
            <w:r w:rsidRPr="00BA6456">
              <w:rPr>
                <w:rFonts w:ascii="Arial" w:hAnsi="Arial" w:cs="Arial"/>
                <w:sz w:val="20"/>
                <w:szCs w:val="20"/>
              </w:rPr>
              <w:t>86,89 ±0,1</w:t>
            </w:r>
          </w:p>
        </w:tc>
      </w:tr>
    </w:tbl>
    <w:p w14:paraId="65527AB2" w14:textId="77777777" w:rsidR="00F41493" w:rsidRDefault="00F41493" w:rsidP="00A61499">
      <w:pPr>
        <w:spacing w:line="240" w:lineRule="auto"/>
        <w:jc w:val="both"/>
        <w:rPr>
          <w:rFonts w:ascii="Arial" w:hAnsi="Arial" w:cs="Arial"/>
          <w:b/>
          <w:bCs/>
          <w:sz w:val="20"/>
          <w:szCs w:val="20"/>
        </w:rPr>
      </w:pPr>
    </w:p>
    <w:p w14:paraId="62D249BA" w14:textId="73DFA1E3" w:rsidR="00420587" w:rsidRPr="007D2C1B" w:rsidRDefault="00420587" w:rsidP="00A61499">
      <w:pPr>
        <w:spacing w:line="240" w:lineRule="auto"/>
        <w:jc w:val="both"/>
        <w:rPr>
          <w:rFonts w:ascii="Arial" w:hAnsi="Arial" w:cs="Arial"/>
          <w:b/>
          <w:bCs/>
        </w:rPr>
      </w:pPr>
      <w:r w:rsidRPr="007D2C1B">
        <w:rPr>
          <w:rFonts w:ascii="Arial" w:hAnsi="Arial" w:cs="Arial"/>
          <w:b/>
          <w:bCs/>
        </w:rPr>
        <w:t>3.2 Biochemical Composition</w:t>
      </w:r>
    </w:p>
    <w:p w14:paraId="3EF0A3F5" w14:textId="0AE5B5B2" w:rsidR="000E44E8" w:rsidRDefault="00F41493" w:rsidP="00A61499">
      <w:pPr>
        <w:spacing w:line="240" w:lineRule="auto"/>
        <w:jc w:val="both"/>
        <w:rPr>
          <w:rFonts w:ascii="Times New Roman" w:hAnsi="Times New Roman" w:cs="Times New Roman"/>
          <w:sz w:val="24"/>
          <w:szCs w:val="24"/>
        </w:rPr>
      </w:pPr>
      <w:r w:rsidRPr="00F41493">
        <w:rPr>
          <w:rFonts w:ascii="Arial" w:hAnsi="Arial" w:cs="Arial"/>
          <w:sz w:val="20"/>
          <w:szCs w:val="20"/>
        </w:rPr>
        <w:t>Turmeric contains 8.125±0.0025% protein, 3.43±0.04% fat, 80.25±0.03% total carbohydrates, 4.3±0.1% reducing sugars, 9.93±0.01% total sugars, and has an energy value of 402.41±1.5 kcal per 100g of dry matter</w:t>
      </w:r>
      <w:r w:rsidR="003D07B0">
        <w:rPr>
          <w:rFonts w:ascii="Arial" w:hAnsi="Arial" w:cs="Arial"/>
          <w:sz w:val="20"/>
          <w:szCs w:val="20"/>
        </w:rPr>
        <w:t xml:space="preserve"> </w:t>
      </w:r>
      <w:r w:rsidR="000E44E8" w:rsidRPr="003D07B0">
        <w:rPr>
          <w:rFonts w:ascii="Arial" w:hAnsi="Arial" w:cs="Arial"/>
          <w:sz w:val="20"/>
          <w:szCs w:val="20"/>
        </w:rPr>
        <w:t>(</w:t>
      </w:r>
      <w:r w:rsidR="009074AB" w:rsidRPr="003D07B0">
        <w:rPr>
          <w:rFonts w:ascii="Arial" w:hAnsi="Arial" w:cs="Arial"/>
          <w:sz w:val="20"/>
          <w:szCs w:val="20"/>
        </w:rPr>
        <w:t>Fig</w:t>
      </w:r>
      <w:r w:rsidR="00182711" w:rsidRPr="003D07B0">
        <w:rPr>
          <w:rFonts w:ascii="Arial" w:hAnsi="Arial" w:cs="Arial"/>
          <w:sz w:val="20"/>
          <w:szCs w:val="20"/>
        </w:rPr>
        <w:t xml:space="preserve"> </w:t>
      </w:r>
      <w:r w:rsidR="009074AB" w:rsidRPr="003D07B0">
        <w:rPr>
          <w:rFonts w:ascii="Arial" w:hAnsi="Arial" w:cs="Arial"/>
          <w:sz w:val="20"/>
          <w:szCs w:val="20"/>
        </w:rPr>
        <w:t>1</w:t>
      </w:r>
      <w:r w:rsidR="000E44E8" w:rsidRPr="003D07B0">
        <w:rPr>
          <w:rFonts w:ascii="Arial" w:hAnsi="Arial" w:cs="Arial"/>
          <w:sz w:val="20"/>
          <w:szCs w:val="20"/>
        </w:rPr>
        <w:t>)</w:t>
      </w:r>
      <w:r w:rsidR="002C20A2" w:rsidRPr="003D07B0">
        <w:rPr>
          <w:rFonts w:ascii="Arial" w:hAnsi="Arial" w:cs="Arial"/>
          <w:sz w:val="20"/>
          <w:szCs w:val="20"/>
        </w:rPr>
        <w:t>.</w:t>
      </w:r>
    </w:p>
    <w:p w14:paraId="31F1DD17" w14:textId="3AA7E747" w:rsidR="000E44E8" w:rsidRPr="00E73458" w:rsidRDefault="00F37E66" w:rsidP="00A61499">
      <w:pPr>
        <w:spacing w:line="240" w:lineRule="auto"/>
        <w:jc w:val="center"/>
        <w:rPr>
          <w:rFonts w:ascii="Arial" w:hAnsi="Arial" w:cs="Arial"/>
          <w:sz w:val="20"/>
          <w:szCs w:val="20"/>
        </w:rPr>
      </w:pPr>
      <w:r w:rsidRPr="002750DE">
        <w:rPr>
          <w:rFonts w:ascii="Arial" w:hAnsi="Arial" w:cs="Arial"/>
          <w:noProof/>
          <w:sz w:val="20"/>
          <w:szCs w:val="20"/>
        </w:rPr>
        <w:lastRenderedPageBreak/>
        <w:drawing>
          <wp:inline distT="0" distB="0" distL="0" distR="0" wp14:anchorId="56606D94" wp14:editId="044E676C">
            <wp:extent cx="4572000" cy="3219450"/>
            <wp:effectExtent l="0" t="0" r="0" b="0"/>
            <wp:docPr id="1026329234" name="Graphique 1">
              <a:extLst xmlns:a="http://schemas.openxmlformats.org/drawingml/2006/main">
                <a:ext uri="{FF2B5EF4-FFF2-40B4-BE49-F238E27FC236}">
                  <a16:creationId xmlns:a16="http://schemas.microsoft.com/office/drawing/2014/main" id="{A76DA2C8-AE7C-066F-F51A-957D5494D2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E93542" w14:textId="7E9EE362" w:rsidR="007A14BA" w:rsidRPr="007D2C1B" w:rsidRDefault="00396751" w:rsidP="00A61499">
      <w:pPr>
        <w:spacing w:line="240" w:lineRule="auto"/>
        <w:jc w:val="both"/>
        <w:rPr>
          <w:rFonts w:ascii="Arial" w:hAnsi="Arial" w:cs="Arial"/>
          <w:b/>
          <w:bCs/>
          <w:sz w:val="20"/>
          <w:szCs w:val="20"/>
        </w:rPr>
      </w:pPr>
      <w:r>
        <w:rPr>
          <w:rFonts w:ascii="Arial" w:hAnsi="Arial" w:cs="Arial"/>
          <w:b/>
          <w:bCs/>
          <w:sz w:val="20"/>
          <w:szCs w:val="20"/>
        </w:rPr>
        <w:t xml:space="preserve">                           </w:t>
      </w:r>
      <w:r w:rsidR="007A14BA" w:rsidRPr="007D2C1B">
        <w:rPr>
          <w:rFonts w:ascii="Arial" w:hAnsi="Arial" w:cs="Arial"/>
          <w:b/>
          <w:bCs/>
          <w:sz w:val="20"/>
          <w:szCs w:val="20"/>
        </w:rPr>
        <w:t>Fig</w:t>
      </w:r>
      <w:r w:rsidR="000D5A23">
        <w:rPr>
          <w:rFonts w:ascii="Arial" w:hAnsi="Arial" w:cs="Arial"/>
          <w:b/>
          <w:bCs/>
          <w:sz w:val="20"/>
          <w:szCs w:val="20"/>
        </w:rPr>
        <w:t>.</w:t>
      </w:r>
      <w:r w:rsidR="007A14BA" w:rsidRPr="007D2C1B">
        <w:rPr>
          <w:rFonts w:ascii="Arial" w:hAnsi="Arial" w:cs="Arial"/>
          <w:b/>
          <w:bCs/>
          <w:sz w:val="20"/>
          <w:szCs w:val="20"/>
        </w:rPr>
        <w:t>1</w:t>
      </w:r>
      <w:r w:rsidR="000D5A23">
        <w:rPr>
          <w:rFonts w:ascii="Arial" w:hAnsi="Arial" w:cs="Arial"/>
          <w:b/>
          <w:bCs/>
          <w:sz w:val="20"/>
          <w:szCs w:val="20"/>
        </w:rPr>
        <w:t>.</w:t>
      </w:r>
      <w:r w:rsidR="007A14BA" w:rsidRPr="007D2C1B">
        <w:rPr>
          <w:rFonts w:ascii="Arial" w:hAnsi="Arial" w:cs="Arial"/>
          <w:b/>
          <w:bCs/>
          <w:sz w:val="20"/>
          <w:szCs w:val="20"/>
        </w:rPr>
        <w:t xml:space="preserve"> Biochemical composition of turmeric powder</w:t>
      </w:r>
    </w:p>
    <w:p w14:paraId="5D6E5C72" w14:textId="6390DBB8" w:rsidR="00CD1F5A" w:rsidRPr="007D2C1B" w:rsidRDefault="002D5881" w:rsidP="00A61499">
      <w:pPr>
        <w:spacing w:line="240" w:lineRule="auto"/>
        <w:jc w:val="both"/>
        <w:rPr>
          <w:rFonts w:ascii="Arial" w:hAnsi="Arial" w:cs="Arial"/>
          <w:b/>
          <w:bCs/>
        </w:rPr>
      </w:pPr>
      <w:r w:rsidRPr="007D2C1B">
        <w:rPr>
          <w:rFonts w:ascii="Arial" w:hAnsi="Arial" w:cs="Arial"/>
        </w:rPr>
        <w:t xml:space="preserve"> </w:t>
      </w:r>
      <w:r w:rsidR="00396751" w:rsidRPr="00396751">
        <w:rPr>
          <w:rFonts w:ascii="Arial" w:hAnsi="Arial" w:cs="Arial"/>
          <w:b/>
          <w:bCs/>
        </w:rPr>
        <w:t>3.3 Contents of mineral elements in turmeric powder</w:t>
      </w:r>
    </w:p>
    <w:p w14:paraId="38B5029C" w14:textId="77777777" w:rsidR="00396751" w:rsidRPr="002F6A36" w:rsidRDefault="00396751" w:rsidP="00A61499">
      <w:pPr>
        <w:spacing w:line="240" w:lineRule="auto"/>
        <w:jc w:val="both"/>
        <w:rPr>
          <w:rFonts w:ascii="Arial" w:hAnsi="Arial" w:cs="Arial"/>
          <w:sz w:val="20"/>
          <w:szCs w:val="20"/>
        </w:rPr>
      </w:pPr>
      <w:r w:rsidRPr="00C21F16">
        <w:rPr>
          <w:rFonts w:ascii="Arial" w:hAnsi="Arial" w:cs="Arial"/>
          <w:sz w:val="20"/>
          <w:szCs w:val="20"/>
          <w:lang w:val="en-IN"/>
        </w:rPr>
        <w:t xml:space="preserve">Turmeric powder has a high potassium content (138.56 ± 0.19 mg/kg), followed by phosphorus (120.35 ± 0.35 mg/kg), sodium (40.205 ± 0.445 mg/kg), magnesium (18.97 ± 0.23 mg/kg), and calcium (16.375 ± 0.055 mg/kg). Furthermore, some minerals such as zinc, copper, and iron are present in small amounts in turmeric powder, with respective values of 0.645 ± 0.005 mg/kg; 0.045 ± 0.005 mg/kg; and 1.135 ± 0.015 mg/kg. </w:t>
      </w:r>
      <w:r w:rsidRPr="002F6A36">
        <w:rPr>
          <w:rFonts w:ascii="Arial" w:hAnsi="Arial" w:cs="Arial"/>
          <w:sz w:val="20"/>
          <w:szCs w:val="20"/>
        </w:rPr>
        <w:t>(Fig. 2).</w:t>
      </w:r>
    </w:p>
    <w:p w14:paraId="622D6553" w14:textId="4F6033EE" w:rsidR="004749CB" w:rsidRDefault="004749CB" w:rsidP="00A61499">
      <w:pPr>
        <w:spacing w:line="240" w:lineRule="auto"/>
        <w:jc w:val="center"/>
        <w:rPr>
          <w:sz w:val="24"/>
          <w:szCs w:val="24"/>
        </w:rPr>
      </w:pPr>
      <w:r w:rsidRPr="004749CB">
        <w:rPr>
          <w:rFonts w:ascii="Times New Roman" w:hAnsi="Times New Roman" w:cs="Times New Roman"/>
          <w:noProof/>
          <w:sz w:val="24"/>
          <w:szCs w:val="24"/>
          <w:lang w:val="en-US"/>
        </w:rPr>
        <w:drawing>
          <wp:inline distT="0" distB="0" distL="0" distR="0" wp14:anchorId="269666AB" wp14:editId="7B45F74E">
            <wp:extent cx="4657725"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9504E3" w14:textId="30863052" w:rsidR="00CD1F5A" w:rsidRPr="007728AF" w:rsidRDefault="00396751" w:rsidP="00A61499">
      <w:pPr>
        <w:spacing w:line="240" w:lineRule="auto"/>
        <w:rPr>
          <w:rFonts w:ascii="Arial" w:hAnsi="Arial" w:cs="Arial"/>
          <w:b/>
          <w:bCs/>
          <w:sz w:val="20"/>
          <w:szCs w:val="20"/>
          <w:lang w:val="af-ZA"/>
        </w:rPr>
      </w:pPr>
      <w:r>
        <w:rPr>
          <w:rFonts w:ascii="Times New Roman" w:hAnsi="Times New Roman" w:cs="Times New Roman"/>
          <w:sz w:val="24"/>
          <w:szCs w:val="24"/>
        </w:rPr>
        <w:t xml:space="preserve">                       </w:t>
      </w:r>
      <w:r w:rsidR="00CD1F5A" w:rsidRPr="00C21F16">
        <w:rPr>
          <w:rFonts w:ascii="Arial" w:hAnsi="Arial" w:cs="Arial"/>
          <w:b/>
          <w:bCs/>
          <w:sz w:val="20"/>
          <w:szCs w:val="20"/>
          <w:lang w:val="en-IN"/>
        </w:rPr>
        <w:t>Fig</w:t>
      </w:r>
      <w:r w:rsidR="000D5A23" w:rsidRPr="00C21F16">
        <w:rPr>
          <w:rFonts w:ascii="Arial" w:hAnsi="Arial" w:cs="Arial"/>
          <w:b/>
          <w:bCs/>
          <w:sz w:val="20"/>
          <w:szCs w:val="20"/>
          <w:lang w:val="en-IN"/>
        </w:rPr>
        <w:t xml:space="preserve">. </w:t>
      </w:r>
      <w:r w:rsidR="00433FE5" w:rsidRPr="00C21F16">
        <w:rPr>
          <w:rFonts w:ascii="Arial" w:hAnsi="Arial" w:cs="Arial"/>
          <w:b/>
          <w:bCs/>
          <w:sz w:val="20"/>
          <w:szCs w:val="20"/>
          <w:lang w:val="en-IN"/>
        </w:rPr>
        <w:t>2</w:t>
      </w:r>
      <w:r w:rsidR="000D5A23" w:rsidRPr="00C21F16">
        <w:rPr>
          <w:rFonts w:ascii="Arial" w:hAnsi="Arial" w:cs="Arial"/>
          <w:b/>
          <w:bCs/>
          <w:sz w:val="20"/>
          <w:szCs w:val="20"/>
          <w:lang w:val="en-IN"/>
        </w:rPr>
        <w:t xml:space="preserve"> .</w:t>
      </w:r>
      <w:r w:rsidR="00CD1F5A" w:rsidRPr="007728AF">
        <w:rPr>
          <w:rFonts w:ascii="Arial" w:hAnsi="Arial" w:cs="Arial"/>
          <w:b/>
          <w:bCs/>
          <w:sz w:val="20"/>
          <w:szCs w:val="20"/>
          <w:lang w:val="af-ZA"/>
        </w:rPr>
        <w:t xml:space="preserve"> </w:t>
      </w:r>
      <w:r w:rsidR="00433FE5" w:rsidRPr="00C21F16">
        <w:rPr>
          <w:rFonts w:ascii="Arial" w:hAnsi="Arial" w:cs="Arial"/>
          <w:b/>
          <w:bCs/>
          <w:sz w:val="20"/>
          <w:szCs w:val="20"/>
          <w:lang w:val="en-IN"/>
        </w:rPr>
        <w:t>mineral composition of turmeric powder</w:t>
      </w:r>
    </w:p>
    <w:p w14:paraId="0BFD21A9" w14:textId="77777777" w:rsidR="007728AF" w:rsidRPr="00C21F16" w:rsidRDefault="007728AF" w:rsidP="00A61499">
      <w:pPr>
        <w:spacing w:line="240" w:lineRule="auto"/>
        <w:jc w:val="both"/>
        <w:rPr>
          <w:rFonts w:ascii="Arial" w:eastAsiaTheme="majorEastAsia" w:hAnsi="Arial" w:cs="Arial"/>
          <w:b/>
          <w:bCs/>
          <w:lang w:val="en-IN"/>
        </w:rPr>
      </w:pPr>
      <w:r w:rsidRPr="00C21F16">
        <w:rPr>
          <w:rFonts w:ascii="Arial" w:eastAsiaTheme="majorEastAsia" w:hAnsi="Arial" w:cs="Arial"/>
          <w:b/>
          <w:bCs/>
          <w:lang w:val="en-IN"/>
        </w:rPr>
        <w:t>3.4 Phytochemical composition of turmeric powder</w:t>
      </w:r>
    </w:p>
    <w:p w14:paraId="459DB632" w14:textId="760FDD5B" w:rsidR="000B2F7F" w:rsidRPr="00C21F16" w:rsidRDefault="000B2F7F" w:rsidP="00A61499">
      <w:pPr>
        <w:spacing w:line="240" w:lineRule="auto"/>
        <w:jc w:val="both"/>
        <w:rPr>
          <w:rFonts w:ascii="Arial" w:hAnsi="Arial" w:cs="Arial"/>
          <w:sz w:val="20"/>
          <w:szCs w:val="20"/>
          <w:lang w:val="en-IN"/>
        </w:rPr>
      </w:pPr>
      <w:r w:rsidRPr="00C21F16">
        <w:rPr>
          <w:rFonts w:ascii="Arial" w:hAnsi="Arial" w:cs="Arial"/>
          <w:sz w:val="20"/>
          <w:szCs w:val="20"/>
          <w:lang w:val="en-IN"/>
        </w:rPr>
        <w:t xml:space="preserve">Turmeric powder also contains polyphenols, tannins, and flavonoids at respective levels of 0.0056±0.001 (mg EGA/g), 0.0255±0.01 (mgEC/g), and 0.0045±0.002 (mgEQ/g) </w:t>
      </w:r>
      <w:r w:rsidR="00433FE5" w:rsidRPr="00C21F16">
        <w:rPr>
          <w:rFonts w:ascii="Arial" w:hAnsi="Arial" w:cs="Arial"/>
          <w:sz w:val="20"/>
          <w:szCs w:val="20"/>
          <w:lang w:val="en-IN"/>
        </w:rPr>
        <w:t>(Fig 3)</w:t>
      </w:r>
    </w:p>
    <w:p w14:paraId="41E00454" w14:textId="00C385D2" w:rsidR="002D5881" w:rsidRPr="002D5881" w:rsidRDefault="00345A3C" w:rsidP="00A61499">
      <w:pPr>
        <w:spacing w:line="240" w:lineRule="auto"/>
        <w:jc w:val="center"/>
      </w:pPr>
      <w:r>
        <w:rPr>
          <w:noProof/>
        </w:rPr>
        <w:lastRenderedPageBreak/>
        <w:drawing>
          <wp:inline distT="0" distB="0" distL="0" distR="0" wp14:anchorId="67F174AC" wp14:editId="3515CAD8">
            <wp:extent cx="4572000" cy="2743200"/>
            <wp:effectExtent l="0" t="0" r="0" b="0"/>
            <wp:docPr id="1133582908" name="Graphique 1">
              <a:extLst xmlns:a="http://schemas.openxmlformats.org/drawingml/2006/main">
                <a:ext uri="{FF2B5EF4-FFF2-40B4-BE49-F238E27FC236}">
                  <a16:creationId xmlns:a16="http://schemas.microsoft.com/office/drawing/2014/main" id="{425E5857-1E9F-1100-9693-DBA249EDE3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12EF25" w14:textId="5FA7759A" w:rsidR="00ED41CA" w:rsidRPr="006D7958" w:rsidRDefault="002F6A36" w:rsidP="00A61499">
      <w:pPr>
        <w:spacing w:line="240" w:lineRule="auto"/>
        <w:ind w:left="360"/>
        <w:rPr>
          <w:rFonts w:ascii="Arial" w:hAnsi="Arial" w:cs="Arial"/>
          <w:sz w:val="20"/>
          <w:szCs w:val="20"/>
          <w:lang w:val="af-ZA"/>
        </w:rPr>
      </w:pPr>
      <w:r>
        <w:rPr>
          <w:rFonts w:ascii="Arial" w:hAnsi="Arial" w:cs="Arial"/>
          <w:b/>
          <w:bCs/>
          <w:sz w:val="20"/>
          <w:szCs w:val="20"/>
          <w:lang w:val="af-ZA"/>
        </w:rPr>
        <w:t xml:space="preserve">                     </w:t>
      </w:r>
      <w:r w:rsidR="00ED41CA" w:rsidRPr="006D7958">
        <w:rPr>
          <w:rFonts w:ascii="Arial" w:hAnsi="Arial" w:cs="Arial"/>
          <w:b/>
          <w:bCs/>
          <w:sz w:val="20"/>
          <w:szCs w:val="20"/>
          <w:lang w:val="af-ZA"/>
        </w:rPr>
        <w:t>Fig</w:t>
      </w:r>
      <w:r w:rsidR="008478B0">
        <w:rPr>
          <w:rFonts w:ascii="Arial" w:hAnsi="Arial" w:cs="Arial"/>
          <w:b/>
          <w:bCs/>
          <w:sz w:val="20"/>
          <w:szCs w:val="20"/>
          <w:lang w:val="af-ZA"/>
        </w:rPr>
        <w:t xml:space="preserve">. </w:t>
      </w:r>
      <w:r w:rsidR="00433FE5">
        <w:rPr>
          <w:rFonts w:ascii="Arial" w:hAnsi="Arial" w:cs="Arial"/>
          <w:b/>
          <w:bCs/>
          <w:sz w:val="20"/>
          <w:szCs w:val="20"/>
          <w:lang w:val="af-ZA"/>
        </w:rPr>
        <w:t>3</w:t>
      </w:r>
      <w:r w:rsidR="008478B0">
        <w:rPr>
          <w:rFonts w:ascii="Arial" w:hAnsi="Arial" w:cs="Arial"/>
          <w:b/>
          <w:bCs/>
          <w:sz w:val="20"/>
          <w:szCs w:val="20"/>
          <w:lang w:val="af-ZA"/>
        </w:rPr>
        <w:t>.</w:t>
      </w:r>
      <w:r w:rsidR="00ED41CA" w:rsidRPr="006D7958">
        <w:rPr>
          <w:rFonts w:ascii="Arial" w:hAnsi="Arial" w:cs="Arial"/>
          <w:sz w:val="20"/>
          <w:szCs w:val="20"/>
          <w:lang w:val="af-ZA"/>
        </w:rPr>
        <w:t xml:space="preserve"> </w:t>
      </w:r>
      <w:r w:rsidR="006D7958" w:rsidRPr="006D7958">
        <w:rPr>
          <w:rFonts w:ascii="Arial" w:hAnsi="Arial" w:cs="Arial"/>
          <w:b/>
          <w:bCs/>
          <w:sz w:val="20"/>
          <w:szCs w:val="20"/>
        </w:rPr>
        <w:t>Phenolic compound contents of turmeric powder</w:t>
      </w:r>
    </w:p>
    <w:p w14:paraId="060772D5" w14:textId="50FAA7EF" w:rsidR="000D5A23" w:rsidRPr="002750DE" w:rsidRDefault="000D5A23" w:rsidP="00A61499">
      <w:pPr>
        <w:spacing w:line="240" w:lineRule="auto"/>
        <w:jc w:val="both"/>
        <w:rPr>
          <w:rFonts w:ascii="Arial" w:eastAsiaTheme="majorEastAsia" w:hAnsi="Arial" w:cs="Arial"/>
          <w:b/>
          <w:bCs/>
        </w:rPr>
      </w:pPr>
      <w:r w:rsidRPr="002750DE">
        <w:rPr>
          <w:rFonts w:ascii="Arial" w:eastAsiaTheme="majorEastAsia" w:hAnsi="Arial" w:cs="Arial"/>
          <w:b/>
          <w:bCs/>
        </w:rPr>
        <w:t>3.</w:t>
      </w:r>
      <w:r w:rsidR="00703E43">
        <w:rPr>
          <w:rFonts w:ascii="Arial" w:eastAsiaTheme="majorEastAsia" w:hAnsi="Arial" w:cs="Arial"/>
          <w:b/>
          <w:bCs/>
        </w:rPr>
        <w:t xml:space="preserve"> </w:t>
      </w:r>
      <w:r w:rsidRPr="002750DE">
        <w:rPr>
          <w:rFonts w:ascii="Arial" w:eastAsiaTheme="majorEastAsia" w:hAnsi="Arial" w:cs="Arial"/>
          <w:b/>
          <w:bCs/>
        </w:rPr>
        <w:t>5 Content of vitamin A, C, and β-carotene</w:t>
      </w:r>
    </w:p>
    <w:p w14:paraId="60E0E693" w14:textId="37BB00BE" w:rsidR="007E7B9E" w:rsidRPr="002750DE" w:rsidRDefault="002750DE" w:rsidP="00A61499">
      <w:pPr>
        <w:spacing w:line="240" w:lineRule="auto"/>
        <w:jc w:val="both"/>
        <w:rPr>
          <w:rFonts w:ascii="Arial" w:hAnsi="Arial" w:cs="Arial"/>
          <w:sz w:val="20"/>
          <w:szCs w:val="20"/>
        </w:rPr>
      </w:pPr>
      <w:r w:rsidRPr="002750DE">
        <w:rPr>
          <w:rFonts w:ascii="Arial" w:eastAsiaTheme="majorEastAsia" w:hAnsi="Arial" w:cs="Arial"/>
          <w:sz w:val="20"/>
          <w:szCs w:val="20"/>
        </w:rPr>
        <w:t xml:space="preserve">The contents of vitamin A, vitamin C, and β-carotene in turmeric powder are 0.6533±0.015 (mg/100g), 75±0.0002 (mg/100g), and 9.92±0.01 (mg/100g), respectively </w:t>
      </w:r>
      <w:r w:rsidR="007E7B9E" w:rsidRPr="002750DE">
        <w:rPr>
          <w:rFonts w:ascii="Arial" w:hAnsi="Arial" w:cs="Arial"/>
          <w:sz w:val="20"/>
          <w:szCs w:val="20"/>
        </w:rPr>
        <w:t>(Fig</w:t>
      </w:r>
      <w:r w:rsidR="00433FE5" w:rsidRPr="002750DE">
        <w:rPr>
          <w:rFonts w:ascii="Arial" w:hAnsi="Arial" w:cs="Arial"/>
          <w:sz w:val="20"/>
          <w:szCs w:val="20"/>
        </w:rPr>
        <w:t xml:space="preserve"> 4</w:t>
      </w:r>
      <w:r w:rsidR="007E7B9E" w:rsidRPr="002750DE">
        <w:rPr>
          <w:rFonts w:ascii="Arial" w:hAnsi="Arial" w:cs="Arial"/>
          <w:sz w:val="20"/>
          <w:szCs w:val="20"/>
        </w:rPr>
        <w:t xml:space="preserve">). </w:t>
      </w:r>
    </w:p>
    <w:p w14:paraId="2EFA7F21" w14:textId="01656982" w:rsidR="007E7B9E" w:rsidRPr="007E7B9E" w:rsidRDefault="00B602CA" w:rsidP="00A61499">
      <w:pPr>
        <w:spacing w:line="240" w:lineRule="auto"/>
        <w:jc w:val="center"/>
      </w:pPr>
      <w:r w:rsidRPr="002750DE">
        <w:rPr>
          <w:rFonts w:ascii="Arial" w:hAnsi="Arial" w:cs="Arial"/>
          <w:noProof/>
          <w:sz w:val="20"/>
          <w:szCs w:val="20"/>
        </w:rPr>
        <w:drawing>
          <wp:inline distT="0" distB="0" distL="0" distR="0" wp14:anchorId="2A8D45EB" wp14:editId="1354F82B">
            <wp:extent cx="4572000" cy="2743200"/>
            <wp:effectExtent l="0" t="0" r="0" b="0"/>
            <wp:docPr id="1147531869" name="Graphique 1">
              <a:extLst xmlns:a="http://schemas.openxmlformats.org/drawingml/2006/main">
                <a:ext uri="{FF2B5EF4-FFF2-40B4-BE49-F238E27FC236}">
                  <a16:creationId xmlns:a16="http://schemas.microsoft.com/office/drawing/2014/main" id="{90697311-3566-8CAE-91B3-1F5BE4D902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4642CC" w14:textId="03AD4060" w:rsidR="002D5881" w:rsidRDefault="002F6A36" w:rsidP="00A61499">
      <w:pPr>
        <w:spacing w:line="240" w:lineRule="auto"/>
        <w:rPr>
          <w:rFonts w:ascii="Arial" w:hAnsi="Arial" w:cs="Arial"/>
          <w:b/>
          <w:bCs/>
          <w:iCs/>
          <w:sz w:val="20"/>
          <w:szCs w:val="20"/>
        </w:rPr>
      </w:pPr>
      <w:r>
        <w:rPr>
          <w:rFonts w:ascii="Arial" w:hAnsi="Arial" w:cs="Arial"/>
          <w:b/>
          <w:bCs/>
          <w:iCs/>
          <w:sz w:val="20"/>
          <w:szCs w:val="20"/>
        </w:rPr>
        <w:t xml:space="preserve">                      </w:t>
      </w:r>
      <w:r w:rsidR="002D5881" w:rsidRPr="002F6A36">
        <w:rPr>
          <w:rFonts w:ascii="Arial" w:hAnsi="Arial" w:cs="Arial"/>
          <w:b/>
          <w:bCs/>
          <w:iCs/>
          <w:sz w:val="20"/>
          <w:szCs w:val="20"/>
        </w:rPr>
        <w:t>Fig</w:t>
      </w:r>
      <w:r w:rsidR="008478B0" w:rsidRPr="002F6A36">
        <w:rPr>
          <w:rFonts w:ascii="Arial" w:hAnsi="Arial" w:cs="Arial"/>
          <w:b/>
          <w:bCs/>
          <w:iCs/>
          <w:sz w:val="20"/>
          <w:szCs w:val="20"/>
        </w:rPr>
        <w:t xml:space="preserve">. </w:t>
      </w:r>
      <w:r w:rsidR="00433FE5" w:rsidRPr="002F6A36">
        <w:rPr>
          <w:rFonts w:ascii="Arial" w:hAnsi="Arial" w:cs="Arial"/>
          <w:b/>
          <w:bCs/>
          <w:iCs/>
          <w:sz w:val="20"/>
          <w:szCs w:val="20"/>
        </w:rPr>
        <w:t>4</w:t>
      </w:r>
      <w:r w:rsidR="008478B0" w:rsidRPr="002F6A36">
        <w:rPr>
          <w:rFonts w:ascii="Arial" w:hAnsi="Arial" w:cs="Arial"/>
          <w:b/>
          <w:bCs/>
          <w:iCs/>
          <w:sz w:val="20"/>
          <w:szCs w:val="20"/>
        </w:rPr>
        <w:t xml:space="preserve">. </w:t>
      </w:r>
      <w:r w:rsidR="00703E43" w:rsidRPr="00703E43">
        <w:rPr>
          <w:rFonts w:ascii="Arial" w:hAnsi="Arial" w:cs="Arial"/>
          <w:b/>
          <w:bCs/>
          <w:iCs/>
          <w:sz w:val="20"/>
          <w:szCs w:val="20"/>
        </w:rPr>
        <w:t>Vitamin A, C, and β-carotene content of turmeric powder</w:t>
      </w:r>
    </w:p>
    <w:p w14:paraId="1F1BB1B6" w14:textId="77777777" w:rsidR="0037152E" w:rsidRPr="00744AB8" w:rsidRDefault="0037152E" w:rsidP="00A61499">
      <w:pPr>
        <w:pStyle w:val="Caption"/>
        <w:keepNext/>
        <w:jc w:val="both"/>
        <w:rPr>
          <w:rFonts w:ascii="Arial" w:eastAsiaTheme="majorEastAsia" w:hAnsi="Arial" w:cs="Arial"/>
          <w:b/>
          <w:bCs/>
          <w:i w:val="0"/>
          <w:iCs w:val="0"/>
          <w:color w:val="auto"/>
          <w:sz w:val="22"/>
          <w:szCs w:val="22"/>
        </w:rPr>
      </w:pPr>
      <w:r w:rsidRPr="00744AB8">
        <w:rPr>
          <w:rFonts w:ascii="Arial" w:eastAsiaTheme="majorEastAsia" w:hAnsi="Arial" w:cs="Arial"/>
          <w:b/>
          <w:bCs/>
          <w:i w:val="0"/>
          <w:iCs w:val="0"/>
          <w:color w:val="auto"/>
          <w:sz w:val="22"/>
          <w:szCs w:val="22"/>
        </w:rPr>
        <w:t>3.6 Microorganisms contaminating turmeric powder</w:t>
      </w:r>
    </w:p>
    <w:p w14:paraId="627E436A" w14:textId="77777777" w:rsidR="0037152E" w:rsidRDefault="0037152E" w:rsidP="00A61499">
      <w:pPr>
        <w:pStyle w:val="Caption"/>
        <w:keepNext/>
        <w:jc w:val="both"/>
        <w:rPr>
          <w:rFonts w:ascii="Arial" w:hAnsi="Arial" w:cs="Arial"/>
          <w:i w:val="0"/>
          <w:iCs w:val="0"/>
          <w:color w:val="auto"/>
          <w:sz w:val="20"/>
          <w:szCs w:val="20"/>
        </w:rPr>
      </w:pPr>
      <w:r w:rsidRPr="00D42D3D">
        <w:rPr>
          <w:rFonts w:ascii="Arial" w:hAnsi="Arial" w:cs="Arial"/>
          <w:i w:val="0"/>
          <w:iCs w:val="0"/>
          <w:color w:val="auto"/>
          <w:sz w:val="20"/>
          <w:szCs w:val="20"/>
        </w:rPr>
        <w:t xml:space="preserve">Turmeric powder samples from the markets of Daloa contain enterobacteria (2.3 × 10² CFU/g), yeasts and molds (1.5 × 10² CFU/g), </w:t>
      </w:r>
      <w:r w:rsidRPr="000A13F7">
        <w:rPr>
          <w:rFonts w:ascii="Arial" w:hAnsi="Arial" w:cs="Arial"/>
          <w:color w:val="auto"/>
          <w:sz w:val="20"/>
          <w:szCs w:val="20"/>
        </w:rPr>
        <w:t>Staphylococcus aureus</w:t>
      </w:r>
      <w:r w:rsidRPr="00D42D3D">
        <w:rPr>
          <w:rFonts w:ascii="Arial" w:hAnsi="Arial" w:cs="Arial"/>
          <w:i w:val="0"/>
          <w:iCs w:val="0"/>
          <w:color w:val="auto"/>
          <w:sz w:val="20"/>
          <w:szCs w:val="20"/>
        </w:rPr>
        <w:t xml:space="preserve"> (1.1 × 10² CFU/g), and </w:t>
      </w:r>
      <w:r w:rsidRPr="000A13F7">
        <w:rPr>
          <w:rFonts w:ascii="Arial" w:hAnsi="Arial" w:cs="Arial"/>
          <w:color w:val="auto"/>
          <w:sz w:val="20"/>
          <w:szCs w:val="20"/>
        </w:rPr>
        <w:t>Bacillus cereus</w:t>
      </w:r>
      <w:r w:rsidRPr="00D42D3D">
        <w:rPr>
          <w:rFonts w:ascii="Arial" w:hAnsi="Arial" w:cs="Arial"/>
          <w:i w:val="0"/>
          <w:iCs w:val="0"/>
          <w:color w:val="auto"/>
          <w:sz w:val="20"/>
          <w:szCs w:val="20"/>
        </w:rPr>
        <w:t xml:space="preserve"> (7.8 × 10² CFU/g) (Table 2).</w:t>
      </w:r>
    </w:p>
    <w:p w14:paraId="54771902" w14:textId="77777777" w:rsidR="000A13F7" w:rsidRPr="000A13F7" w:rsidRDefault="000A13F7" w:rsidP="00A61499">
      <w:pPr>
        <w:spacing w:line="240" w:lineRule="auto"/>
      </w:pPr>
    </w:p>
    <w:p w14:paraId="32CAA331" w14:textId="66556789" w:rsidR="00C743FC" w:rsidRPr="00C21F16" w:rsidRDefault="008467C9" w:rsidP="00A61499">
      <w:pPr>
        <w:pStyle w:val="Caption"/>
        <w:keepNext/>
        <w:jc w:val="center"/>
        <w:rPr>
          <w:rFonts w:ascii="Arial" w:hAnsi="Arial" w:cs="Arial"/>
          <w:color w:val="auto"/>
          <w:sz w:val="20"/>
          <w:szCs w:val="20"/>
          <w:lang w:val="en-IN"/>
        </w:rPr>
      </w:pPr>
      <w:r w:rsidRPr="00C21F16">
        <w:rPr>
          <w:rFonts w:ascii="Arial" w:hAnsi="Arial" w:cs="Arial"/>
          <w:b/>
          <w:bCs/>
          <w:i w:val="0"/>
          <w:iCs w:val="0"/>
          <w:color w:val="auto"/>
          <w:sz w:val="20"/>
          <w:szCs w:val="20"/>
          <w:lang w:val="en-IN"/>
        </w:rPr>
        <w:t>Table 2: Average microbial loads (CFU/g) of the aalyzed powder samples</w:t>
      </w:r>
    </w:p>
    <w:tbl>
      <w:tblPr>
        <w:tblStyle w:val="TableGrid"/>
        <w:tblW w:w="0" w:type="auto"/>
        <w:tblLook w:val="04A0" w:firstRow="1" w:lastRow="0" w:firstColumn="1" w:lastColumn="0" w:noHBand="0" w:noVBand="1"/>
      </w:tblPr>
      <w:tblGrid>
        <w:gridCol w:w="2830"/>
        <w:gridCol w:w="2410"/>
        <w:gridCol w:w="3265"/>
      </w:tblGrid>
      <w:tr w:rsidR="00744AB8" w14:paraId="2D92F893" w14:textId="77777777" w:rsidTr="00C743FC">
        <w:tc>
          <w:tcPr>
            <w:tcW w:w="2830" w:type="dxa"/>
            <w:tcBorders>
              <w:top w:val="single" w:sz="4" w:space="0" w:color="auto"/>
              <w:left w:val="nil"/>
              <w:bottom w:val="single" w:sz="4" w:space="0" w:color="auto"/>
              <w:right w:val="nil"/>
            </w:tcBorders>
          </w:tcPr>
          <w:p w14:paraId="22E3578F" w14:textId="47CCDEB6" w:rsidR="00744AB8" w:rsidRPr="003335CB" w:rsidRDefault="00744AB8" w:rsidP="00A61499">
            <w:pPr>
              <w:jc w:val="both"/>
              <w:rPr>
                <w:rFonts w:ascii="Arial" w:hAnsi="Arial" w:cs="Arial"/>
                <w:b/>
                <w:bCs/>
                <w:sz w:val="20"/>
                <w:szCs w:val="20"/>
              </w:rPr>
            </w:pPr>
            <w:r w:rsidRPr="003335CB">
              <w:rPr>
                <w:rFonts w:ascii="Arial" w:hAnsi="Arial" w:cs="Arial"/>
                <w:b/>
                <w:bCs/>
                <w:sz w:val="20"/>
                <w:szCs w:val="20"/>
              </w:rPr>
              <w:t xml:space="preserve">Microorganisms </w:t>
            </w:r>
          </w:p>
        </w:tc>
        <w:tc>
          <w:tcPr>
            <w:tcW w:w="2410" w:type="dxa"/>
            <w:tcBorders>
              <w:top w:val="single" w:sz="4" w:space="0" w:color="auto"/>
              <w:left w:val="nil"/>
              <w:bottom w:val="single" w:sz="4" w:space="0" w:color="auto"/>
              <w:right w:val="nil"/>
            </w:tcBorders>
          </w:tcPr>
          <w:p w14:paraId="06A2CABD" w14:textId="5E3B6B4F" w:rsidR="00744AB8" w:rsidRPr="003335CB" w:rsidRDefault="003335CB" w:rsidP="00A61499">
            <w:pPr>
              <w:jc w:val="both"/>
              <w:rPr>
                <w:rFonts w:ascii="Arial" w:hAnsi="Arial" w:cs="Arial"/>
                <w:b/>
                <w:bCs/>
                <w:sz w:val="20"/>
                <w:szCs w:val="20"/>
              </w:rPr>
            </w:pPr>
            <w:r w:rsidRPr="003335CB">
              <w:rPr>
                <w:rFonts w:ascii="Arial" w:hAnsi="Arial" w:cs="Arial"/>
                <w:b/>
                <w:bCs/>
                <w:sz w:val="20"/>
                <w:szCs w:val="20"/>
              </w:rPr>
              <w:t xml:space="preserve">   </w:t>
            </w:r>
            <w:r w:rsidR="00744AB8" w:rsidRPr="003335CB">
              <w:rPr>
                <w:rFonts w:ascii="Arial" w:hAnsi="Arial" w:cs="Arial"/>
                <w:b/>
                <w:bCs/>
                <w:sz w:val="20"/>
                <w:szCs w:val="20"/>
              </w:rPr>
              <w:t xml:space="preserve">Turmeric Powder </w:t>
            </w:r>
          </w:p>
        </w:tc>
        <w:tc>
          <w:tcPr>
            <w:tcW w:w="3265" w:type="dxa"/>
            <w:tcBorders>
              <w:top w:val="single" w:sz="4" w:space="0" w:color="auto"/>
              <w:left w:val="nil"/>
              <w:bottom w:val="single" w:sz="4" w:space="0" w:color="auto"/>
              <w:right w:val="nil"/>
            </w:tcBorders>
          </w:tcPr>
          <w:p w14:paraId="2E487A92" w14:textId="0C06A4A3" w:rsidR="00744AB8" w:rsidRPr="003335CB" w:rsidRDefault="003335CB" w:rsidP="00A61499">
            <w:pPr>
              <w:jc w:val="both"/>
              <w:rPr>
                <w:rFonts w:ascii="Arial" w:hAnsi="Arial" w:cs="Arial"/>
                <w:b/>
                <w:bCs/>
                <w:sz w:val="20"/>
                <w:szCs w:val="20"/>
              </w:rPr>
            </w:pPr>
            <w:r w:rsidRPr="003335CB">
              <w:rPr>
                <w:rFonts w:ascii="Arial" w:hAnsi="Arial" w:cs="Arial"/>
                <w:b/>
                <w:bCs/>
                <w:sz w:val="20"/>
                <w:szCs w:val="20"/>
              </w:rPr>
              <w:t xml:space="preserve">    </w:t>
            </w:r>
            <w:r w:rsidR="00744AB8" w:rsidRPr="003335CB">
              <w:rPr>
                <w:rFonts w:ascii="Arial" w:hAnsi="Arial" w:cs="Arial"/>
                <w:b/>
                <w:bCs/>
                <w:sz w:val="20"/>
                <w:szCs w:val="20"/>
              </w:rPr>
              <w:t>Microbiological Criteria</w:t>
            </w:r>
          </w:p>
        </w:tc>
      </w:tr>
      <w:tr w:rsidR="00C743FC" w14:paraId="1FF21C36" w14:textId="77777777" w:rsidTr="00C743FC">
        <w:tc>
          <w:tcPr>
            <w:tcW w:w="2830" w:type="dxa"/>
            <w:tcBorders>
              <w:top w:val="single" w:sz="4" w:space="0" w:color="auto"/>
              <w:left w:val="nil"/>
              <w:bottom w:val="nil"/>
              <w:right w:val="nil"/>
            </w:tcBorders>
            <w:vAlign w:val="center"/>
          </w:tcPr>
          <w:p w14:paraId="7A56E874" w14:textId="7571CF3A" w:rsidR="00C743FC" w:rsidRPr="003335CB" w:rsidRDefault="003335CB" w:rsidP="00A61499">
            <w:pPr>
              <w:rPr>
                <w:rFonts w:ascii="Arial" w:hAnsi="Arial" w:cs="Arial"/>
                <w:sz w:val="20"/>
                <w:szCs w:val="20"/>
              </w:rPr>
            </w:pPr>
            <w:r w:rsidRPr="003335CB">
              <w:rPr>
                <w:rFonts w:ascii="Arial" w:hAnsi="Arial" w:cs="Arial"/>
                <w:b/>
                <w:i/>
                <w:sz w:val="20"/>
                <w:szCs w:val="20"/>
              </w:rPr>
              <w:t xml:space="preserve"> </w:t>
            </w:r>
            <w:r w:rsidR="00744AB8" w:rsidRPr="003335CB">
              <w:rPr>
                <w:rFonts w:ascii="Arial" w:hAnsi="Arial" w:cs="Arial"/>
                <w:b/>
                <w:i/>
                <w:sz w:val="20"/>
                <w:szCs w:val="20"/>
              </w:rPr>
              <w:t>Escherichia coli</w:t>
            </w:r>
          </w:p>
        </w:tc>
        <w:tc>
          <w:tcPr>
            <w:tcW w:w="2410" w:type="dxa"/>
            <w:tcBorders>
              <w:top w:val="single" w:sz="4" w:space="0" w:color="auto"/>
              <w:left w:val="nil"/>
              <w:bottom w:val="nil"/>
              <w:right w:val="nil"/>
            </w:tcBorders>
            <w:vAlign w:val="center"/>
          </w:tcPr>
          <w:p w14:paraId="7320AE29" w14:textId="0C2F466E" w:rsidR="00C743FC" w:rsidRPr="003335CB" w:rsidRDefault="00C743FC" w:rsidP="00A61499">
            <w:pPr>
              <w:jc w:val="center"/>
              <w:rPr>
                <w:rFonts w:ascii="Arial" w:hAnsi="Arial" w:cs="Arial"/>
                <w:sz w:val="20"/>
                <w:szCs w:val="20"/>
              </w:rPr>
            </w:pPr>
            <w:r w:rsidRPr="003335CB">
              <w:rPr>
                <w:rFonts w:ascii="Arial" w:hAnsi="Arial" w:cs="Arial"/>
                <w:sz w:val="20"/>
                <w:szCs w:val="20"/>
              </w:rPr>
              <w:t xml:space="preserve">00 </w:t>
            </w:r>
            <w:r w:rsidR="00D42D3D" w:rsidRPr="003335CB">
              <w:rPr>
                <w:rFonts w:ascii="Arial" w:hAnsi="Arial" w:cs="Arial"/>
                <w:sz w:val="20"/>
                <w:szCs w:val="20"/>
              </w:rPr>
              <w:t>CFU</w:t>
            </w:r>
            <w:r w:rsidRPr="003335CB">
              <w:rPr>
                <w:rFonts w:ascii="Arial" w:hAnsi="Arial" w:cs="Arial"/>
                <w:sz w:val="20"/>
                <w:szCs w:val="20"/>
              </w:rPr>
              <w:t>/g</w:t>
            </w:r>
          </w:p>
        </w:tc>
        <w:tc>
          <w:tcPr>
            <w:tcW w:w="3265" w:type="dxa"/>
            <w:tcBorders>
              <w:top w:val="single" w:sz="4" w:space="0" w:color="auto"/>
              <w:left w:val="nil"/>
              <w:bottom w:val="nil"/>
              <w:right w:val="nil"/>
            </w:tcBorders>
            <w:vAlign w:val="center"/>
          </w:tcPr>
          <w:p w14:paraId="47C65D32" w14:textId="4A0ABB7B" w:rsidR="00C743FC" w:rsidRPr="003335CB" w:rsidRDefault="00C743FC" w:rsidP="00A61499">
            <w:pPr>
              <w:jc w:val="center"/>
              <w:rPr>
                <w:rFonts w:ascii="Arial" w:hAnsi="Arial" w:cs="Arial"/>
                <w:bCs/>
                <w:sz w:val="20"/>
                <w:szCs w:val="20"/>
              </w:rPr>
            </w:pPr>
            <w:r w:rsidRPr="003335CB">
              <w:rPr>
                <w:rFonts w:ascii="Arial" w:hAnsi="Arial" w:cs="Arial"/>
                <w:bCs/>
                <w:sz w:val="20"/>
                <w:szCs w:val="20"/>
              </w:rPr>
              <w:t xml:space="preserve">10 </w:t>
            </w:r>
            <w:r w:rsidR="00D42D3D" w:rsidRPr="003335CB">
              <w:rPr>
                <w:rFonts w:ascii="Arial" w:hAnsi="Arial" w:cs="Arial"/>
                <w:bCs/>
                <w:sz w:val="20"/>
                <w:szCs w:val="20"/>
              </w:rPr>
              <w:t>C</w:t>
            </w:r>
            <w:r w:rsidRPr="003335CB">
              <w:rPr>
                <w:rFonts w:ascii="Arial" w:hAnsi="Arial" w:cs="Arial"/>
                <w:bCs/>
                <w:sz w:val="20"/>
                <w:szCs w:val="20"/>
              </w:rPr>
              <w:t>F</w:t>
            </w:r>
            <w:r w:rsidR="00D42D3D" w:rsidRPr="003335CB">
              <w:rPr>
                <w:rFonts w:ascii="Arial" w:hAnsi="Arial" w:cs="Arial"/>
                <w:bCs/>
                <w:sz w:val="20"/>
                <w:szCs w:val="20"/>
              </w:rPr>
              <w:t>U</w:t>
            </w:r>
            <w:r w:rsidRPr="003335CB">
              <w:rPr>
                <w:rFonts w:ascii="Arial" w:hAnsi="Arial" w:cs="Arial"/>
                <w:bCs/>
                <w:sz w:val="20"/>
                <w:szCs w:val="20"/>
              </w:rPr>
              <w:t>/g</w:t>
            </w:r>
          </w:p>
        </w:tc>
      </w:tr>
      <w:tr w:rsidR="00C743FC" w14:paraId="30B2CFE6" w14:textId="77777777" w:rsidTr="00C743FC">
        <w:tc>
          <w:tcPr>
            <w:tcW w:w="2830" w:type="dxa"/>
            <w:tcBorders>
              <w:top w:val="nil"/>
              <w:left w:val="nil"/>
              <w:bottom w:val="nil"/>
              <w:right w:val="nil"/>
            </w:tcBorders>
            <w:vAlign w:val="center"/>
          </w:tcPr>
          <w:p w14:paraId="2630FD50" w14:textId="2A27E9D2" w:rsidR="00C743FC" w:rsidRPr="003335CB" w:rsidRDefault="003335CB" w:rsidP="00A61499">
            <w:pPr>
              <w:rPr>
                <w:rFonts w:ascii="Arial" w:hAnsi="Arial" w:cs="Arial"/>
                <w:sz w:val="20"/>
                <w:szCs w:val="20"/>
              </w:rPr>
            </w:pPr>
            <w:r w:rsidRPr="003335CB">
              <w:rPr>
                <w:rFonts w:ascii="Arial" w:hAnsi="Arial" w:cs="Arial"/>
                <w:b/>
                <w:i/>
                <w:sz w:val="20"/>
                <w:szCs w:val="20"/>
              </w:rPr>
              <w:t xml:space="preserve"> </w:t>
            </w:r>
            <w:r w:rsidR="00C743FC" w:rsidRPr="003335CB">
              <w:rPr>
                <w:rFonts w:ascii="Arial" w:hAnsi="Arial" w:cs="Arial"/>
                <w:b/>
                <w:i/>
                <w:sz w:val="20"/>
                <w:szCs w:val="20"/>
              </w:rPr>
              <w:t>S</w:t>
            </w:r>
            <w:r w:rsidR="00744AB8" w:rsidRPr="003335CB">
              <w:rPr>
                <w:rFonts w:ascii="Arial" w:hAnsi="Arial" w:cs="Arial"/>
                <w:b/>
                <w:i/>
                <w:sz w:val="20"/>
                <w:szCs w:val="20"/>
              </w:rPr>
              <w:t>taphylococcus</w:t>
            </w:r>
            <w:r w:rsidR="00C743FC" w:rsidRPr="003335CB">
              <w:rPr>
                <w:rFonts w:ascii="Arial" w:hAnsi="Arial" w:cs="Arial"/>
                <w:b/>
                <w:i/>
                <w:sz w:val="20"/>
                <w:szCs w:val="20"/>
              </w:rPr>
              <w:t xml:space="preserve"> aureus</w:t>
            </w:r>
          </w:p>
        </w:tc>
        <w:tc>
          <w:tcPr>
            <w:tcW w:w="2410" w:type="dxa"/>
            <w:tcBorders>
              <w:top w:val="nil"/>
              <w:left w:val="nil"/>
              <w:bottom w:val="nil"/>
              <w:right w:val="nil"/>
            </w:tcBorders>
            <w:vAlign w:val="center"/>
          </w:tcPr>
          <w:p w14:paraId="4072BAA8" w14:textId="0CAD90B4" w:rsidR="00C743FC" w:rsidRPr="003335CB" w:rsidRDefault="00C743FC" w:rsidP="00A61499">
            <w:pPr>
              <w:jc w:val="center"/>
              <w:rPr>
                <w:rFonts w:ascii="Arial" w:hAnsi="Arial" w:cs="Arial"/>
                <w:sz w:val="20"/>
                <w:szCs w:val="20"/>
              </w:rPr>
            </w:pPr>
            <w:bookmarkStart w:id="3" w:name="_Hlk172931824"/>
            <w:r w:rsidRPr="003335CB">
              <w:rPr>
                <w:rFonts w:ascii="Arial" w:hAnsi="Arial" w:cs="Arial"/>
                <w:sz w:val="20"/>
                <w:szCs w:val="20"/>
              </w:rPr>
              <w:t>1,1.10</w:t>
            </w:r>
            <w:r w:rsidRPr="003335CB">
              <w:rPr>
                <w:rFonts w:ascii="Arial" w:hAnsi="Arial" w:cs="Arial"/>
                <w:sz w:val="20"/>
                <w:szCs w:val="20"/>
                <w:vertAlign w:val="superscript"/>
              </w:rPr>
              <w:t>2</w:t>
            </w:r>
            <w:r w:rsidRPr="003335CB">
              <w:rPr>
                <w:rFonts w:ascii="Arial" w:hAnsi="Arial" w:cs="Arial"/>
                <w:sz w:val="20"/>
                <w:szCs w:val="20"/>
              </w:rPr>
              <w:t xml:space="preserve"> </w:t>
            </w:r>
            <w:r w:rsidR="00D42D3D" w:rsidRPr="003335CB">
              <w:rPr>
                <w:rFonts w:ascii="Arial" w:hAnsi="Arial" w:cs="Arial"/>
                <w:sz w:val="20"/>
                <w:szCs w:val="20"/>
              </w:rPr>
              <w:t>CFU</w:t>
            </w:r>
            <w:r w:rsidRPr="003335CB">
              <w:rPr>
                <w:rFonts w:ascii="Arial" w:hAnsi="Arial" w:cs="Arial"/>
                <w:sz w:val="20"/>
                <w:szCs w:val="20"/>
              </w:rPr>
              <w:t>/g</w:t>
            </w:r>
            <w:bookmarkEnd w:id="3"/>
          </w:p>
        </w:tc>
        <w:tc>
          <w:tcPr>
            <w:tcW w:w="3265" w:type="dxa"/>
            <w:tcBorders>
              <w:top w:val="nil"/>
              <w:left w:val="nil"/>
              <w:bottom w:val="nil"/>
              <w:right w:val="nil"/>
            </w:tcBorders>
            <w:vAlign w:val="center"/>
          </w:tcPr>
          <w:p w14:paraId="0C6F9BA5" w14:textId="7703E3DB" w:rsidR="00C743FC" w:rsidRPr="003335CB" w:rsidRDefault="00C743FC" w:rsidP="00A61499">
            <w:pPr>
              <w:jc w:val="center"/>
              <w:rPr>
                <w:rFonts w:ascii="Arial" w:hAnsi="Arial" w:cs="Arial"/>
                <w:bCs/>
                <w:sz w:val="20"/>
                <w:szCs w:val="20"/>
              </w:rPr>
            </w:pPr>
            <w:r w:rsidRPr="003335CB">
              <w:rPr>
                <w:rFonts w:ascii="Arial" w:hAnsi="Arial" w:cs="Arial"/>
                <w:bCs/>
                <w:sz w:val="20"/>
                <w:szCs w:val="20"/>
              </w:rPr>
              <w:t>10</w:t>
            </w:r>
            <w:r w:rsidRPr="003335CB">
              <w:rPr>
                <w:rFonts w:ascii="Arial" w:hAnsi="Arial" w:cs="Arial"/>
                <w:bCs/>
                <w:sz w:val="20"/>
                <w:szCs w:val="20"/>
                <w:vertAlign w:val="superscript"/>
              </w:rPr>
              <w:t>2</w:t>
            </w:r>
            <w:r w:rsidRPr="003335CB">
              <w:rPr>
                <w:rFonts w:ascii="Arial" w:hAnsi="Arial" w:cs="Arial"/>
                <w:bCs/>
                <w:sz w:val="20"/>
                <w:szCs w:val="20"/>
              </w:rPr>
              <w:t xml:space="preserve"> </w:t>
            </w:r>
            <w:r w:rsidR="00D42D3D" w:rsidRPr="003335CB">
              <w:rPr>
                <w:rFonts w:ascii="Arial" w:hAnsi="Arial" w:cs="Arial"/>
                <w:bCs/>
                <w:sz w:val="20"/>
                <w:szCs w:val="20"/>
              </w:rPr>
              <w:t>CFU</w:t>
            </w:r>
            <w:r w:rsidRPr="003335CB">
              <w:rPr>
                <w:rFonts w:ascii="Arial" w:hAnsi="Arial" w:cs="Arial"/>
                <w:bCs/>
                <w:sz w:val="20"/>
                <w:szCs w:val="20"/>
              </w:rPr>
              <w:t>/g</w:t>
            </w:r>
          </w:p>
        </w:tc>
      </w:tr>
      <w:tr w:rsidR="00C743FC" w14:paraId="5249EAFE" w14:textId="77777777" w:rsidTr="00C743FC">
        <w:tc>
          <w:tcPr>
            <w:tcW w:w="2830" w:type="dxa"/>
            <w:tcBorders>
              <w:top w:val="nil"/>
              <w:left w:val="nil"/>
              <w:bottom w:val="nil"/>
              <w:right w:val="nil"/>
            </w:tcBorders>
            <w:vAlign w:val="center"/>
          </w:tcPr>
          <w:p w14:paraId="56DE84EB" w14:textId="5841D99B" w:rsidR="00C743FC" w:rsidRPr="003335CB" w:rsidRDefault="003335CB" w:rsidP="00A61499">
            <w:pPr>
              <w:rPr>
                <w:rFonts w:ascii="Arial" w:hAnsi="Arial" w:cs="Arial"/>
                <w:sz w:val="20"/>
                <w:szCs w:val="20"/>
              </w:rPr>
            </w:pPr>
            <w:r w:rsidRPr="003335CB">
              <w:rPr>
                <w:rFonts w:ascii="Arial" w:hAnsi="Arial" w:cs="Arial"/>
                <w:b/>
                <w:i/>
                <w:sz w:val="20"/>
                <w:szCs w:val="20"/>
              </w:rPr>
              <w:t xml:space="preserve"> </w:t>
            </w:r>
            <w:r w:rsidR="00C743FC" w:rsidRPr="003335CB">
              <w:rPr>
                <w:rFonts w:ascii="Arial" w:hAnsi="Arial" w:cs="Arial"/>
                <w:b/>
                <w:i/>
                <w:sz w:val="20"/>
                <w:szCs w:val="20"/>
              </w:rPr>
              <w:t>B</w:t>
            </w:r>
            <w:r w:rsidR="00744AB8" w:rsidRPr="003335CB">
              <w:rPr>
                <w:rFonts w:ascii="Arial" w:hAnsi="Arial" w:cs="Arial"/>
                <w:b/>
                <w:i/>
                <w:sz w:val="20"/>
                <w:szCs w:val="20"/>
              </w:rPr>
              <w:t>acillus</w:t>
            </w:r>
            <w:r w:rsidR="00C743FC" w:rsidRPr="003335CB">
              <w:rPr>
                <w:rFonts w:ascii="Arial" w:hAnsi="Arial" w:cs="Arial"/>
                <w:b/>
                <w:i/>
                <w:sz w:val="20"/>
                <w:szCs w:val="20"/>
              </w:rPr>
              <w:t xml:space="preserve"> cereus</w:t>
            </w:r>
          </w:p>
        </w:tc>
        <w:tc>
          <w:tcPr>
            <w:tcW w:w="2410" w:type="dxa"/>
            <w:tcBorders>
              <w:top w:val="nil"/>
              <w:left w:val="nil"/>
              <w:bottom w:val="nil"/>
              <w:right w:val="nil"/>
            </w:tcBorders>
            <w:vAlign w:val="center"/>
          </w:tcPr>
          <w:p w14:paraId="319E0776" w14:textId="7994F957" w:rsidR="00C743FC" w:rsidRPr="003335CB" w:rsidRDefault="00C743FC" w:rsidP="00A61499">
            <w:pPr>
              <w:jc w:val="center"/>
              <w:rPr>
                <w:rFonts w:ascii="Arial" w:hAnsi="Arial" w:cs="Arial"/>
                <w:sz w:val="20"/>
                <w:szCs w:val="20"/>
              </w:rPr>
            </w:pPr>
            <w:bookmarkStart w:id="4" w:name="_Hlk172931921"/>
            <w:r w:rsidRPr="003335CB">
              <w:rPr>
                <w:rFonts w:ascii="Arial" w:hAnsi="Arial" w:cs="Arial"/>
                <w:sz w:val="20"/>
                <w:szCs w:val="20"/>
              </w:rPr>
              <w:t>7,8.10</w:t>
            </w:r>
            <w:r w:rsidRPr="003335CB">
              <w:rPr>
                <w:rFonts w:ascii="Arial" w:hAnsi="Arial" w:cs="Arial"/>
                <w:sz w:val="20"/>
                <w:szCs w:val="20"/>
                <w:vertAlign w:val="superscript"/>
              </w:rPr>
              <w:t>2</w:t>
            </w:r>
            <w:r w:rsidRPr="003335CB">
              <w:rPr>
                <w:rFonts w:ascii="Arial" w:hAnsi="Arial" w:cs="Arial"/>
                <w:sz w:val="20"/>
                <w:szCs w:val="20"/>
              </w:rPr>
              <w:t xml:space="preserve"> </w:t>
            </w:r>
            <w:r w:rsidR="00D42D3D" w:rsidRPr="003335CB">
              <w:rPr>
                <w:rFonts w:ascii="Arial" w:hAnsi="Arial" w:cs="Arial"/>
                <w:sz w:val="20"/>
                <w:szCs w:val="20"/>
              </w:rPr>
              <w:t>CFU</w:t>
            </w:r>
            <w:r w:rsidRPr="003335CB">
              <w:rPr>
                <w:rFonts w:ascii="Arial" w:hAnsi="Arial" w:cs="Arial"/>
                <w:sz w:val="20"/>
                <w:szCs w:val="20"/>
              </w:rPr>
              <w:t>/g</w:t>
            </w:r>
            <w:bookmarkEnd w:id="4"/>
          </w:p>
        </w:tc>
        <w:tc>
          <w:tcPr>
            <w:tcW w:w="3265" w:type="dxa"/>
            <w:tcBorders>
              <w:top w:val="nil"/>
              <w:left w:val="nil"/>
              <w:bottom w:val="nil"/>
              <w:right w:val="nil"/>
            </w:tcBorders>
            <w:vAlign w:val="center"/>
          </w:tcPr>
          <w:p w14:paraId="1690F669" w14:textId="6B493654" w:rsidR="00C743FC" w:rsidRPr="003335CB" w:rsidRDefault="00C743FC" w:rsidP="00A61499">
            <w:pPr>
              <w:jc w:val="center"/>
              <w:rPr>
                <w:rFonts w:ascii="Arial" w:hAnsi="Arial" w:cs="Arial"/>
                <w:bCs/>
                <w:sz w:val="20"/>
                <w:szCs w:val="20"/>
              </w:rPr>
            </w:pPr>
            <w:r w:rsidRPr="003335CB">
              <w:rPr>
                <w:rFonts w:ascii="Arial" w:hAnsi="Arial" w:cs="Arial"/>
                <w:bCs/>
                <w:sz w:val="20"/>
                <w:szCs w:val="20"/>
              </w:rPr>
              <w:t>10</w:t>
            </w:r>
            <w:r w:rsidRPr="003335CB">
              <w:rPr>
                <w:rFonts w:ascii="Arial" w:hAnsi="Arial" w:cs="Arial"/>
                <w:bCs/>
                <w:sz w:val="20"/>
                <w:szCs w:val="20"/>
                <w:vertAlign w:val="superscript"/>
              </w:rPr>
              <w:t>3</w:t>
            </w:r>
            <w:r w:rsidRPr="003335CB">
              <w:rPr>
                <w:rFonts w:ascii="Arial" w:hAnsi="Arial" w:cs="Arial"/>
                <w:bCs/>
                <w:sz w:val="20"/>
                <w:szCs w:val="20"/>
              </w:rPr>
              <w:t xml:space="preserve"> </w:t>
            </w:r>
            <w:r w:rsidR="00D42D3D" w:rsidRPr="003335CB">
              <w:rPr>
                <w:rFonts w:ascii="Arial" w:hAnsi="Arial" w:cs="Arial"/>
                <w:bCs/>
                <w:sz w:val="20"/>
                <w:szCs w:val="20"/>
              </w:rPr>
              <w:t>CFU</w:t>
            </w:r>
            <w:r w:rsidRPr="003335CB">
              <w:rPr>
                <w:rFonts w:ascii="Arial" w:hAnsi="Arial" w:cs="Arial"/>
                <w:bCs/>
                <w:sz w:val="20"/>
                <w:szCs w:val="20"/>
              </w:rPr>
              <w:t>/g</w:t>
            </w:r>
          </w:p>
        </w:tc>
      </w:tr>
      <w:tr w:rsidR="00C743FC" w14:paraId="11FCCF07" w14:textId="77777777" w:rsidTr="00C743FC">
        <w:tc>
          <w:tcPr>
            <w:tcW w:w="2830" w:type="dxa"/>
            <w:tcBorders>
              <w:top w:val="nil"/>
              <w:left w:val="nil"/>
              <w:bottom w:val="nil"/>
              <w:right w:val="nil"/>
            </w:tcBorders>
            <w:vAlign w:val="center"/>
          </w:tcPr>
          <w:p w14:paraId="78C8EBBC" w14:textId="7145F19D" w:rsidR="00C743FC" w:rsidRPr="003335CB" w:rsidRDefault="003335CB" w:rsidP="00A61499">
            <w:pPr>
              <w:rPr>
                <w:rFonts w:ascii="Arial" w:hAnsi="Arial" w:cs="Arial"/>
                <w:sz w:val="20"/>
                <w:szCs w:val="20"/>
              </w:rPr>
            </w:pPr>
            <w:r w:rsidRPr="003335CB">
              <w:rPr>
                <w:rFonts w:ascii="Arial" w:hAnsi="Arial" w:cs="Arial"/>
                <w:b/>
                <w:sz w:val="20"/>
                <w:szCs w:val="20"/>
              </w:rPr>
              <w:lastRenderedPageBreak/>
              <w:t xml:space="preserve"> </w:t>
            </w:r>
            <w:r w:rsidR="00C743FC" w:rsidRPr="003335CB">
              <w:rPr>
                <w:rFonts w:ascii="Arial" w:hAnsi="Arial" w:cs="Arial"/>
                <w:b/>
                <w:sz w:val="20"/>
                <w:szCs w:val="20"/>
              </w:rPr>
              <w:t>Levures et moisissures</w:t>
            </w:r>
          </w:p>
        </w:tc>
        <w:tc>
          <w:tcPr>
            <w:tcW w:w="2410" w:type="dxa"/>
            <w:tcBorders>
              <w:top w:val="nil"/>
              <w:left w:val="nil"/>
              <w:bottom w:val="nil"/>
              <w:right w:val="nil"/>
            </w:tcBorders>
            <w:vAlign w:val="center"/>
          </w:tcPr>
          <w:p w14:paraId="4F0886DA" w14:textId="632E8866" w:rsidR="00C743FC" w:rsidRPr="003335CB" w:rsidRDefault="00C743FC" w:rsidP="00A61499">
            <w:pPr>
              <w:jc w:val="center"/>
              <w:rPr>
                <w:rFonts w:ascii="Arial" w:hAnsi="Arial" w:cs="Arial"/>
                <w:sz w:val="20"/>
                <w:szCs w:val="20"/>
              </w:rPr>
            </w:pPr>
            <w:bookmarkStart w:id="5" w:name="_Hlk172931978"/>
            <w:r w:rsidRPr="003335CB">
              <w:rPr>
                <w:rFonts w:ascii="Arial" w:hAnsi="Arial" w:cs="Arial"/>
                <w:sz w:val="20"/>
                <w:szCs w:val="20"/>
              </w:rPr>
              <w:t>1,5.10</w:t>
            </w:r>
            <w:r w:rsidRPr="003335CB">
              <w:rPr>
                <w:rFonts w:ascii="Arial" w:hAnsi="Arial" w:cs="Arial"/>
                <w:sz w:val="20"/>
                <w:szCs w:val="20"/>
                <w:vertAlign w:val="superscript"/>
              </w:rPr>
              <w:t>2</w:t>
            </w:r>
            <w:r w:rsidRPr="003335CB">
              <w:rPr>
                <w:rFonts w:ascii="Arial" w:hAnsi="Arial" w:cs="Arial"/>
                <w:sz w:val="20"/>
                <w:szCs w:val="20"/>
              </w:rPr>
              <w:t xml:space="preserve"> </w:t>
            </w:r>
            <w:r w:rsidR="00D42D3D" w:rsidRPr="003335CB">
              <w:rPr>
                <w:rFonts w:ascii="Arial" w:hAnsi="Arial" w:cs="Arial"/>
                <w:sz w:val="20"/>
                <w:szCs w:val="20"/>
              </w:rPr>
              <w:t>CFU</w:t>
            </w:r>
            <w:r w:rsidRPr="003335CB">
              <w:rPr>
                <w:rFonts w:ascii="Arial" w:hAnsi="Arial" w:cs="Arial"/>
                <w:sz w:val="20"/>
                <w:szCs w:val="20"/>
              </w:rPr>
              <w:t>/g</w:t>
            </w:r>
            <w:bookmarkEnd w:id="5"/>
          </w:p>
        </w:tc>
        <w:tc>
          <w:tcPr>
            <w:tcW w:w="3265" w:type="dxa"/>
            <w:tcBorders>
              <w:top w:val="nil"/>
              <w:left w:val="nil"/>
              <w:bottom w:val="nil"/>
              <w:right w:val="nil"/>
            </w:tcBorders>
            <w:vAlign w:val="center"/>
          </w:tcPr>
          <w:p w14:paraId="152A4745" w14:textId="72B61266" w:rsidR="00C743FC" w:rsidRPr="003335CB" w:rsidRDefault="00C743FC" w:rsidP="00A61499">
            <w:pPr>
              <w:jc w:val="center"/>
              <w:rPr>
                <w:rFonts w:ascii="Arial" w:hAnsi="Arial" w:cs="Arial"/>
                <w:bCs/>
                <w:sz w:val="20"/>
                <w:szCs w:val="20"/>
              </w:rPr>
            </w:pPr>
            <w:r w:rsidRPr="003335CB">
              <w:rPr>
                <w:rFonts w:ascii="Arial" w:hAnsi="Arial" w:cs="Arial"/>
                <w:bCs/>
                <w:sz w:val="20"/>
                <w:szCs w:val="20"/>
              </w:rPr>
              <w:t>10</w:t>
            </w:r>
            <w:r w:rsidRPr="003335CB">
              <w:rPr>
                <w:rFonts w:ascii="Arial" w:hAnsi="Arial" w:cs="Arial"/>
                <w:bCs/>
                <w:sz w:val="20"/>
                <w:szCs w:val="20"/>
                <w:vertAlign w:val="superscript"/>
              </w:rPr>
              <w:t>4</w:t>
            </w:r>
            <w:r w:rsidRPr="003335CB">
              <w:rPr>
                <w:rFonts w:ascii="Arial" w:hAnsi="Arial" w:cs="Arial"/>
                <w:bCs/>
                <w:sz w:val="20"/>
                <w:szCs w:val="20"/>
              </w:rPr>
              <w:t xml:space="preserve"> </w:t>
            </w:r>
            <w:r w:rsidR="00D42D3D" w:rsidRPr="003335CB">
              <w:rPr>
                <w:rFonts w:ascii="Arial" w:hAnsi="Arial" w:cs="Arial"/>
                <w:bCs/>
                <w:sz w:val="20"/>
                <w:szCs w:val="20"/>
              </w:rPr>
              <w:t>CFU</w:t>
            </w:r>
            <w:r w:rsidRPr="003335CB">
              <w:rPr>
                <w:rFonts w:ascii="Arial" w:hAnsi="Arial" w:cs="Arial"/>
                <w:bCs/>
                <w:sz w:val="20"/>
                <w:szCs w:val="20"/>
              </w:rPr>
              <w:t>/g</w:t>
            </w:r>
          </w:p>
        </w:tc>
      </w:tr>
      <w:tr w:rsidR="00C743FC" w14:paraId="47E06113" w14:textId="77777777" w:rsidTr="00C743FC">
        <w:tc>
          <w:tcPr>
            <w:tcW w:w="2830" w:type="dxa"/>
            <w:tcBorders>
              <w:top w:val="nil"/>
              <w:left w:val="nil"/>
              <w:bottom w:val="single" w:sz="4" w:space="0" w:color="auto"/>
              <w:right w:val="nil"/>
            </w:tcBorders>
            <w:vAlign w:val="center"/>
          </w:tcPr>
          <w:p w14:paraId="2A9EF26C" w14:textId="2352F9DD" w:rsidR="00C743FC" w:rsidRPr="003335CB" w:rsidRDefault="003335CB" w:rsidP="00A61499">
            <w:pPr>
              <w:rPr>
                <w:rFonts w:ascii="Arial" w:hAnsi="Arial" w:cs="Arial"/>
                <w:b/>
                <w:sz w:val="20"/>
                <w:szCs w:val="20"/>
              </w:rPr>
            </w:pPr>
            <w:r w:rsidRPr="003335CB">
              <w:rPr>
                <w:rFonts w:ascii="Arial" w:hAnsi="Arial" w:cs="Arial"/>
                <w:b/>
                <w:sz w:val="20"/>
                <w:szCs w:val="20"/>
              </w:rPr>
              <w:t xml:space="preserve"> </w:t>
            </w:r>
            <w:r w:rsidR="00C743FC" w:rsidRPr="003335CB">
              <w:rPr>
                <w:rFonts w:ascii="Arial" w:hAnsi="Arial" w:cs="Arial"/>
                <w:b/>
                <w:sz w:val="20"/>
                <w:szCs w:val="20"/>
              </w:rPr>
              <w:t>Entérobactéries</w:t>
            </w:r>
          </w:p>
        </w:tc>
        <w:tc>
          <w:tcPr>
            <w:tcW w:w="2410" w:type="dxa"/>
            <w:tcBorders>
              <w:top w:val="nil"/>
              <w:left w:val="nil"/>
              <w:bottom w:val="single" w:sz="4" w:space="0" w:color="auto"/>
              <w:right w:val="nil"/>
            </w:tcBorders>
            <w:vAlign w:val="center"/>
          </w:tcPr>
          <w:p w14:paraId="2EC6D986" w14:textId="0B338C65" w:rsidR="00C743FC" w:rsidRPr="003335CB" w:rsidRDefault="00C743FC" w:rsidP="00A61499">
            <w:pPr>
              <w:jc w:val="center"/>
              <w:rPr>
                <w:rFonts w:ascii="Arial" w:hAnsi="Arial" w:cs="Arial"/>
                <w:sz w:val="20"/>
                <w:szCs w:val="20"/>
              </w:rPr>
            </w:pPr>
            <w:bookmarkStart w:id="6" w:name="_Hlk172932028"/>
            <w:r w:rsidRPr="003335CB">
              <w:rPr>
                <w:rFonts w:ascii="Arial" w:hAnsi="Arial" w:cs="Arial"/>
                <w:sz w:val="20"/>
                <w:szCs w:val="20"/>
              </w:rPr>
              <w:t>2,3.10</w:t>
            </w:r>
            <w:r w:rsidRPr="003335CB">
              <w:rPr>
                <w:rFonts w:ascii="Arial" w:hAnsi="Arial" w:cs="Arial"/>
                <w:sz w:val="20"/>
                <w:szCs w:val="20"/>
                <w:vertAlign w:val="superscript"/>
              </w:rPr>
              <w:t>2</w:t>
            </w:r>
            <w:r w:rsidRPr="003335CB">
              <w:rPr>
                <w:rFonts w:ascii="Arial" w:hAnsi="Arial" w:cs="Arial"/>
                <w:sz w:val="20"/>
                <w:szCs w:val="20"/>
              </w:rPr>
              <w:t xml:space="preserve"> </w:t>
            </w:r>
            <w:r w:rsidR="00D42D3D" w:rsidRPr="003335CB">
              <w:rPr>
                <w:rFonts w:ascii="Arial" w:hAnsi="Arial" w:cs="Arial"/>
                <w:sz w:val="20"/>
                <w:szCs w:val="20"/>
              </w:rPr>
              <w:t>CFU</w:t>
            </w:r>
            <w:r w:rsidRPr="003335CB">
              <w:rPr>
                <w:rFonts w:ascii="Arial" w:hAnsi="Arial" w:cs="Arial"/>
                <w:sz w:val="20"/>
                <w:szCs w:val="20"/>
              </w:rPr>
              <w:t>/g</w:t>
            </w:r>
            <w:bookmarkEnd w:id="6"/>
          </w:p>
        </w:tc>
        <w:tc>
          <w:tcPr>
            <w:tcW w:w="3265" w:type="dxa"/>
            <w:tcBorders>
              <w:top w:val="nil"/>
              <w:left w:val="nil"/>
              <w:bottom w:val="single" w:sz="4" w:space="0" w:color="auto"/>
              <w:right w:val="nil"/>
            </w:tcBorders>
            <w:vAlign w:val="center"/>
          </w:tcPr>
          <w:p w14:paraId="1D93BDAD" w14:textId="4DECC3D2" w:rsidR="00C743FC" w:rsidRPr="003335CB" w:rsidRDefault="00C743FC" w:rsidP="00A61499">
            <w:pPr>
              <w:jc w:val="center"/>
              <w:rPr>
                <w:rFonts w:ascii="Arial" w:hAnsi="Arial" w:cs="Arial"/>
                <w:bCs/>
                <w:sz w:val="20"/>
                <w:szCs w:val="20"/>
              </w:rPr>
            </w:pPr>
            <w:r w:rsidRPr="003335CB">
              <w:rPr>
                <w:rFonts w:ascii="Arial" w:hAnsi="Arial" w:cs="Arial"/>
                <w:bCs/>
                <w:sz w:val="20"/>
                <w:szCs w:val="20"/>
              </w:rPr>
              <w:t>10</w:t>
            </w:r>
            <w:r w:rsidRPr="003335CB">
              <w:rPr>
                <w:rFonts w:ascii="Arial" w:hAnsi="Arial" w:cs="Arial"/>
                <w:bCs/>
                <w:sz w:val="20"/>
                <w:szCs w:val="20"/>
                <w:vertAlign w:val="superscript"/>
              </w:rPr>
              <w:t>2</w:t>
            </w:r>
            <w:r w:rsidRPr="003335CB">
              <w:rPr>
                <w:rFonts w:ascii="Arial" w:hAnsi="Arial" w:cs="Arial"/>
                <w:bCs/>
                <w:sz w:val="20"/>
                <w:szCs w:val="20"/>
              </w:rPr>
              <w:t xml:space="preserve"> </w:t>
            </w:r>
            <w:r w:rsidR="00D42D3D" w:rsidRPr="003335CB">
              <w:rPr>
                <w:rFonts w:ascii="Arial" w:hAnsi="Arial" w:cs="Arial"/>
                <w:bCs/>
                <w:sz w:val="20"/>
                <w:szCs w:val="20"/>
              </w:rPr>
              <w:t>CFU</w:t>
            </w:r>
            <w:r w:rsidRPr="003335CB">
              <w:rPr>
                <w:rFonts w:ascii="Arial" w:hAnsi="Arial" w:cs="Arial"/>
                <w:bCs/>
                <w:sz w:val="20"/>
                <w:szCs w:val="20"/>
              </w:rPr>
              <w:t>/g</w:t>
            </w:r>
          </w:p>
        </w:tc>
      </w:tr>
    </w:tbl>
    <w:p w14:paraId="3B2ADA57" w14:textId="77777777" w:rsidR="006C109E" w:rsidRDefault="006C109E" w:rsidP="00A61499">
      <w:pPr>
        <w:spacing w:line="240" w:lineRule="auto"/>
        <w:jc w:val="both"/>
        <w:rPr>
          <w:rFonts w:ascii="Arial" w:eastAsiaTheme="majorEastAsia" w:hAnsi="Arial" w:cs="Arial"/>
          <w:b/>
          <w:bCs/>
          <w:color w:val="000000" w:themeColor="text1"/>
        </w:rPr>
      </w:pPr>
    </w:p>
    <w:p w14:paraId="5D2F2556" w14:textId="733108C8" w:rsidR="003335CB" w:rsidRPr="003335CB" w:rsidRDefault="003335CB" w:rsidP="00A61499">
      <w:pPr>
        <w:spacing w:line="240" w:lineRule="auto"/>
        <w:jc w:val="both"/>
        <w:rPr>
          <w:rFonts w:ascii="Arial" w:eastAsiaTheme="majorEastAsia" w:hAnsi="Arial" w:cs="Arial"/>
          <w:b/>
          <w:bCs/>
          <w:color w:val="000000" w:themeColor="text1"/>
        </w:rPr>
      </w:pPr>
      <w:r w:rsidRPr="003335CB">
        <w:rPr>
          <w:rFonts w:ascii="Arial" w:eastAsiaTheme="majorEastAsia" w:hAnsi="Arial" w:cs="Arial"/>
          <w:b/>
          <w:bCs/>
          <w:color w:val="000000" w:themeColor="text1"/>
        </w:rPr>
        <w:t>4. DISCUSSION</w:t>
      </w:r>
    </w:p>
    <w:p w14:paraId="3FE40352" w14:textId="70C3D606" w:rsidR="004D37D4" w:rsidRDefault="00137CB6" w:rsidP="00A61499">
      <w:pPr>
        <w:spacing w:line="240" w:lineRule="auto"/>
        <w:jc w:val="both"/>
        <w:rPr>
          <w:rFonts w:ascii="Arial" w:hAnsi="Arial" w:cs="Arial"/>
          <w:sz w:val="20"/>
          <w:szCs w:val="20"/>
        </w:rPr>
      </w:pPr>
      <w:r w:rsidRPr="00484B73">
        <w:rPr>
          <w:rFonts w:ascii="Arial" w:hAnsi="Arial" w:cs="Arial"/>
          <w:sz w:val="20"/>
          <w:szCs w:val="20"/>
        </w:rPr>
        <w:t xml:space="preserve">The analysis of the physicochemical characteristics of turmeric powder showed a pH of 6.54 and a titratable acidity of 160 meqg/100g. This pH, close to neutrality, confirms the findings of Martinez-Guerra et al. (2019). They state that, contrary to previous studies, curcumin, one of the active components found in turmeric, remains more stable in neutral and basic environments than in an acidic medium. The alkalinity or acidity of turmeric may depend on the cultivation area or variety (Akter et al., 2019). However, acidic pH could better protect the powders against microbial attacks. The moisture content (13.1%) determined in this study is lower than the average (18%) reported by Josemar et al. (2021). This low humidity rate would be explained by greater drying, which would support the preservation of turmeric powder, as a higher water content could promote the growth of microorganisms that may lead to its deterioration during packaging (FAO/WHO, 2008). The ash content obtained in this study (8.2%) is higher than that (5.99%) reported by Nwankwo (2018). This high ash content is an indicator of the mineral richness of turmeric. </w:t>
      </w:r>
    </w:p>
    <w:p w14:paraId="6D6E9FAC" w14:textId="198A63FE" w:rsidR="00137CB6" w:rsidRPr="00C21F16" w:rsidRDefault="004D37D4" w:rsidP="00A61499">
      <w:pPr>
        <w:spacing w:line="240" w:lineRule="auto"/>
        <w:jc w:val="both"/>
        <w:rPr>
          <w:rFonts w:ascii="Arial" w:hAnsi="Arial" w:cs="Arial"/>
          <w:sz w:val="20"/>
          <w:szCs w:val="20"/>
          <w:lang w:val="en-IN"/>
        </w:rPr>
      </w:pPr>
      <w:r w:rsidRPr="00C21F16">
        <w:rPr>
          <w:rFonts w:ascii="Arial" w:hAnsi="Arial" w:cs="Arial"/>
          <w:sz w:val="20"/>
          <w:szCs w:val="20"/>
          <w:lang w:val="en-IN"/>
        </w:rPr>
        <w:t>The determined protein content (8.125%) is lower than that (10.58%) reported by Nwankwo (2018). This significant difference could be caused by exposure to room temperature over long periods. Indeed, exposing the powders to open air during marketing could result in high protease activity released by microorganisms, leading to substantial protein degradation. The presence of these proteins in turmeric powders could have a positive impact on the populations consuming these products. The lipid content is (3.43%).</w:t>
      </w:r>
      <w:r w:rsidR="00137CB6" w:rsidRPr="00C21F16">
        <w:rPr>
          <w:rFonts w:ascii="Arial" w:hAnsi="Arial" w:cs="Arial"/>
          <w:sz w:val="20"/>
          <w:szCs w:val="20"/>
          <w:lang w:val="en-IN"/>
        </w:rPr>
        <w:t xml:space="preserve"> </w:t>
      </w:r>
      <w:r w:rsidR="0034535A" w:rsidRPr="00C21F16">
        <w:rPr>
          <w:rFonts w:ascii="Arial" w:hAnsi="Arial" w:cs="Arial"/>
          <w:sz w:val="20"/>
          <w:szCs w:val="20"/>
          <w:lang w:val="en-IN"/>
        </w:rPr>
        <w:t xml:space="preserve">This rate is higher than that (0.8%) obtained by </w:t>
      </w:r>
      <w:r w:rsidR="00760930" w:rsidRPr="00C21F16">
        <w:rPr>
          <w:rFonts w:ascii="Arial" w:hAnsi="Arial" w:cs="Arial"/>
          <w:sz w:val="20"/>
          <w:szCs w:val="20"/>
          <w:lang w:val="en-IN"/>
        </w:rPr>
        <w:t xml:space="preserve">Abdoulsalam </w:t>
      </w:r>
      <w:r w:rsidR="0034535A" w:rsidRPr="00C21F16">
        <w:rPr>
          <w:rFonts w:ascii="Arial" w:hAnsi="Arial" w:cs="Arial"/>
          <w:sz w:val="20"/>
          <w:szCs w:val="20"/>
          <w:lang w:val="en-IN"/>
        </w:rPr>
        <w:t xml:space="preserve">et al. </w:t>
      </w:r>
      <w:r w:rsidR="0034535A" w:rsidRPr="0034535A">
        <w:rPr>
          <w:rFonts w:ascii="Arial" w:hAnsi="Arial" w:cs="Arial"/>
          <w:sz w:val="20"/>
          <w:szCs w:val="20"/>
        </w:rPr>
        <w:t xml:space="preserve">(2017). </w:t>
      </w:r>
      <w:r w:rsidR="0034535A" w:rsidRPr="00C21F16">
        <w:rPr>
          <w:rFonts w:ascii="Arial" w:hAnsi="Arial" w:cs="Arial"/>
          <w:sz w:val="20"/>
          <w:szCs w:val="20"/>
          <w:lang w:val="en-IN"/>
        </w:rPr>
        <w:t xml:space="preserve">However, it remains lower than that (4.34%) found by Josemar et al. </w:t>
      </w:r>
      <w:r w:rsidR="0034535A" w:rsidRPr="0034535A">
        <w:rPr>
          <w:rFonts w:ascii="Arial" w:hAnsi="Arial" w:cs="Arial"/>
          <w:sz w:val="20"/>
          <w:szCs w:val="20"/>
        </w:rPr>
        <w:t xml:space="preserve">(2021). </w:t>
      </w:r>
      <w:r w:rsidR="0034535A" w:rsidRPr="00C21F16">
        <w:rPr>
          <w:rFonts w:ascii="Arial" w:hAnsi="Arial" w:cs="Arial"/>
          <w:sz w:val="20"/>
          <w:szCs w:val="20"/>
          <w:lang w:val="en-IN"/>
        </w:rPr>
        <w:t>The lipids contained in turmeric are mostly essential oils that have numerous properties such as antidiarrheal, anti-inflammatory, antiproliferative, hypocholesterolemic, anticancer, antidiabetic, carminative, diuretic, antioxidant, antimicrobial, antiviral, insecticidal, and larvicidal properties… (Dosoky &amp; Setzer, 2018; Ibáñez &amp; Blázquez, 2020).</w:t>
      </w:r>
      <w:r w:rsidR="00141EAD" w:rsidRPr="00C21F16">
        <w:rPr>
          <w:rFonts w:ascii="Arial" w:hAnsi="Arial" w:cs="Arial"/>
          <w:sz w:val="20"/>
          <w:szCs w:val="20"/>
          <w:lang w:val="en-IN"/>
        </w:rPr>
        <w:t xml:space="preserve"> They can inhibit the activity of fungi and other microorganisms (Kandel &amp; Mukhopadhyay, 2022). Turmeric remains rich in carbohydrate compounds, with observed contents in this study of total carbohydrates (80.25 ±0.03%), total sugars (9.93 ±0.01%), and reducing sugars (4.3 ±0.1%). The value (80.25 ±0.03%) obtained for carbohydrates is higher than that (44.74%) of turmeric leaves reported by Braga et al. (2018). It is also higher than that (16.37 ±0.01) of rhizomes reported by </w:t>
      </w:r>
      <w:r w:rsidR="00760930" w:rsidRPr="00C21F16">
        <w:rPr>
          <w:rFonts w:ascii="Arial" w:hAnsi="Arial" w:cs="Arial"/>
          <w:sz w:val="20"/>
          <w:szCs w:val="20"/>
          <w:lang w:val="en-IN"/>
        </w:rPr>
        <w:t xml:space="preserve">Abdoulsalam </w:t>
      </w:r>
      <w:r w:rsidR="00141EAD" w:rsidRPr="00C21F16">
        <w:rPr>
          <w:rFonts w:ascii="Arial" w:hAnsi="Arial" w:cs="Arial"/>
          <w:sz w:val="20"/>
          <w:szCs w:val="20"/>
          <w:lang w:val="en-IN"/>
        </w:rPr>
        <w:t xml:space="preserve">et al. (2017). This turmeric thus represents a good source of energy (402.41 ±1.5 kcal/100g) and could also facilitate the absorption of other nutrients (Braga et al., 2018). </w:t>
      </w:r>
    </w:p>
    <w:p w14:paraId="3A0563EC" w14:textId="4B65056E" w:rsidR="009C55C6" w:rsidRPr="0014307C" w:rsidRDefault="009C55C6" w:rsidP="00A61499">
      <w:pPr>
        <w:spacing w:line="240" w:lineRule="auto"/>
        <w:jc w:val="both"/>
        <w:rPr>
          <w:rFonts w:ascii="Arial" w:hAnsi="Arial" w:cs="Arial"/>
          <w:sz w:val="20"/>
          <w:szCs w:val="20"/>
        </w:rPr>
      </w:pPr>
      <w:r w:rsidRPr="00C21F16">
        <w:rPr>
          <w:rFonts w:ascii="Arial" w:hAnsi="Arial" w:cs="Arial"/>
          <w:sz w:val="20"/>
          <w:szCs w:val="20"/>
          <w:lang w:val="en-IN"/>
        </w:rPr>
        <w:t>Calcium (16.375±0.055 mg/kg) plays an essential role in bone mineralization and muscle contraction. It is also involved in the absorption of vitamin B12 and in blood clotting (Jadid et al., 2018). Regular consumption of turmeric could improve bone strength. The presence of potassium (138.56 ± 0.19 mg/kg) in turmeric could enhance heart rhythm regularity and muscle contraction by preventing muscle fatigue and cramps in the consumer. It also contributes to acid-base balance and cellular function (Weaver, 2013).</w:t>
      </w:r>
      <w:r w:rsidR="0058584D" w:rsidRPr="00C21F16">
        <w:rPr>
          <w:rFonts w:ascii="Arial" w:hAnsi="Arial" w:cs="Arial"/>
          <w:sz w:val="20"/>
          <w:szCs w:val="20"/>
          <w:lang w:val="en-IN"/>
        </w:rPr>
        <w:t xml:space="preserve"> In addition to calcium and potassium, turmeric also contains phosphorus (120.35 ± 0.35 mg/kg), sodium (40.205 ± 0.445 mg/kg), and magnesium (18.97 ± 0.23 mg/kg), all of which are macro-minerals with metabolic functions and physiological properties that differ from one another (Arvind et al., 2023). Unlike macroelements, minerals such as iron (1.135 ± 0.015 mg/kg), copper (0.045 ± 0.005 mg/kg), and zinc (0.645 ± 0.005 mg/kg) are present in small amounts in turmeric powder. </w:t>
      </w:r>
      <w:r w:rsidR="0058584D" w:rsidRPr="0014307C">
        <w:rPr>
          <w:rFonts w:ascii="Arial" w:hAnsi="Arial" w:cs="Arial"/>
          <w:sz w:val="20"/>
          <w:szCs w:val="20"/>
        </w:rPr>
        <w:t>The presence of iron in turmeric could be considered a major benefit as it is involved in hemoglobin synthesis. This product may be recommended in cases of anemia and other conditions requiring iron intake. These various minerals are coenzymes involved in different biochemical reactions.</w:t>
      </w:r>
    </w:p>
    <w:p w14:paraId="111E9251" w14:textId="018A0622" w:rsidR="00C16F31" w:rsidRPr="0014307C" w:rsidRDefault="00792ADE" w:rsidP="00A61499">
      <w:pPr>
        <w:spacing w:line="240" w:lineRule="auto"/>
        <w:jc w:val="both"/>
        <w:rPr>
          <w:rFonts w:ascii="Arial" w:hAnsi="Arial" w:cs="Arial"/>
          <w:sz w:val="20"/>
          <w:szCs w:val="20"/>
        </w:rPr>
      </w:pPr>
      <w:r w:rsidRPr="00C21F16">
        <w:rPr>
          <w:rFonts w:ascii="Arial" w:hAnsi="Arial" w:cs="Arial"/>
          <w:sz w:val="20"/>
          <w:szCs w:val="20"/>
          <w:lang w:val="en-IN"/>
        </w:rPr>
        <w:t xml:space="preserve">The amounts of vitamin A (0.6533±0.015 mg/100g) and vitamin C (75±0.0002 mg/100g) obtained during this work remain higher than those [(0.00 µg/100g); (25.90 mg/199g)] determined by Shahide (2016). The differences observed between these results could be caused by pedoclimatic conditions, the stage of maturity, or storage conditions. </w:t>
      </w:r>
      <w:r w:rsidRPr="0014307C">
        <w:rPr>
          <w:rFonts w:ascii="Arial" w:hAnsi="Arial" w:cs="Arial"/>
          <w:sz w:val="20"/>
          <w:szCs w:val="20"/>
        </w:rPr>
        <w:t>The high vitamin C content could be an asset for the consumption of turmeric as this vitamin is involved in the prevention of cardiovascular diseases through its antioxidant properties (Mbiyangandu et al., 2021).</w:t>
      </w:r>
      <w:r w:rsidR="00033AFF" w:rsidRPr="0014307C">
        <w:rPr>
          <w:rFonts w:ascii="Arial" w:hAnsi="Arial" w:cs="Arial"/>
          <w:sz w:val="20"/>
          <w:szCs w:val="20"/>
        </w:rPr>
        <w:t xml:space="preserve"> By comparing the contents of these two vitamins (A and C) and that of β-carotene, it is noticeable that the vitamin A content remains low. Turmeric could therefore be considered a poor source of vitamin A. </w:t>
      </w:r>
    </w:p>
    <w:p w14:paraId="526E76AE" w14:textId="395F3D2F" w:rsidR="006A0308" w:rsidRPr="0014307C" w:rsidRDefault="001A3095" w:rsidP="00592733">
      <w:pPr>
        <w:spacing w:line="240" w:lineRule="auto"/>
        <w:jc w:val="both"/>
        <w:rPr>
          <w:rFonts w:ascii="Arial" w:hAnsi="Arial" w:cs="Arial"/>
          <w:sz w:val="20"/>
          <w:szCs w:val="20"/>
          <w:lang w:val="af-ZA"/>
        </w:rPr>
      </w:pPr>
      <w:r w:rsidRPr="00C21F16">
        <w:rPr>
          <w:rFonts w:ascii="Arial" w:hAnsi="Arial" w:cs="Arial"/>
          <w:bCs/>
          <w:iCs/>
          <w:sz w:val="20"/>
          <w:szCs w:val="20"/>
          <w:lang w:val="en-IN"/>
        </w:rPr>
        <w:t xml:space="preserve">The analysis of turmeric powder also allowed us to highlight some secondary metabolites such as polyphenols (0.0056 mg GAE/g), flavonoids (0.0045 mg QE/g), and tannins (0.0255 mg EC/g). It has </w:t>
      </w:r>
      <w:r w:rsidRPr="00C21F16">
        <w:rPr>
          <w:rFonts w:ascii="Arial" w:hAnsi="Arial" w:cs="Arial"/>
          <w:bCs/>
          <w:iCs/>
          <w:sz w:val="20"/>
          <w:szCs w:val="20"/>
          <w:lang w:val="en-IN"/>
        </w:rPr>
        <w:lastRenderedPageBreak/>
        <w:t>been shown that these compounds are of vital importance as they are involved more or less in reducing inflammation and edema, in healing, in repairing DNA damage, in reducing oxidative stress, etc. Overall, these compounds have anti-inflammatory, antioxidant, antidiabetic, and anticancer activities (Chakraborty &amp; Das, 2020; Ashish</w:t>
      </w:r>
      <w:r w:rsidR="008818F1" w:rsidRPr="00C21F16">
        <w:rPr>
          <w:rFonts w:ascii="Arial" w:hAnsi="Arial" w:cs="Arial"/>
          <w:bCs/>
          <w:iCs/>
          <w:sz w:val="20"/>
          <w:szCs w:val="20"/>
          <w:lang w:val="en-IN"/>
        </w:rPr>
        <w:t>,</w:t>
      </w:r>
      <w:r w:rsidRPr="00C21F16">
        <w:rPr>
          <w:rFonts w:ascii="Arial" w:hAnsi="Arial" w:cs="Arial"/>
          <w:bCs/>
          <w:iCs/>
          <w:sz w:val="20"/>
          <w:szCs w:val="20"/>
          <w:lang w:val="en-IN"/>
        </w:rPr>
        <w:t xml:space="preserve"> 2024</w:t>
      </w:r>
      <w:r w:rsidR="008818F1" w:rsidRPr="00C21F16">
        <w:rPr>
          <w:rFonts w:ascii="Arial" w:hAnsi="Arial" w:cs="Arial"/>
          <w:bCs/>
          <w:iCs/>
          <w:sz w:val="20"/>
          <w:szCs w:val="20"/>
          <w:lang w:val="en-IN"/>
        </w:rPr>
        <w:t>)</w:t>
      </w:r>
      <w:r w:rsidR="00592733" w:rsidRPr="00C21F16">
        <w:rPr>
          <w:rFonts w:ascii="Arial" w:hAnsi="Arial" w:cs="Arial"/>
          <w:bCs/>
          <w:iCs/>
          <w:sz w:val="20"/>
          <w:szCs w:val="20"/>
          <w:lang w:val="en-IN"/>
        </w:rPr>
        <w:t>.</w:t>
      </w:r>
    </w:p>
    <w:p w14:paraId="250DA93D" w14:textId="3208F14C" w:rsidR="002B273F" w:rsidRDefault="00DF0EA9" w:rsidP="00592733">
      <w:pPr>
        <w:spacing w:line="240" w:lineRule="auto"/>
        <w:jc w:val="both"/>
        <w:rPr>
          <w:rFonts w:ascii="Arial" w:hAnsi="Arial" w:cs="Arial"/>
          <w:sz w:val="20"/>
          <w:szCs w:val="20"/>
          <w:lang w:val="en-IN"/>
        </w:rPr>
      </w:pPr>
      <w:r w:rsidRPr="00C21F16">
        <w:rPr>
          <w:rFonts w:ascii="Arial" w:hAnsi="Arial" w:cs="Arial"/>
          <w:sz w:val="20"/>
          <w:szCs w:val="20"/>
          <w:lang w:val="en-IN"/>
        </w:rPr>
        <w:t>The average loads of fungi (1.5 × 10² CFU/g), Bacillus cereus (7.8 × 10² CFU/g), and Escherichia coli (0 CFU/g) are below the microbiological criteria, which are respectively 10⁴ CFU/g, 10³ CFU/g, and 10 CFU/g. These reduced loads could be explained by the very low moisture content of the turmeric powder. Moisture levels below 10% are recommended not only for the preservation of floury products but also to prevent the growth of microorganisms (André et al., 2019). These results could reflect compliance with good hygiene practices during the processing of turmeric powder. However, the load (2.3×10²) of enterobacteria would indicate that there are other forms or species of enterobacteria in the turmeric powder even though Escherichia coli is absent. The presence</w:t>
      </w:r>
      <w:r w:rsidR="00EE49BC">
        <w:rPr>
          <w:rFonts w:ascii="Arial" w:hAnsi="Arial" w:cs="Arial"/>
          <w:sz w:val="20"/>
          <w:szCs w:val="20"/>
          <w:lang w:val="en-IN"/>
        </w:rPr>
        <w:t xml:space="preserve"> </w:t>
      </w:r>
      <w:r w:rsidRPr="00C21F16">
        <w:rPr>
          <w:rFonts w:ascii="Arial" w:hAnsi="Arial" w:cs="Arial"/>
          <w:sz w:val="20"/>
          <w:szCs w:val="20"/>
          <w:lang w:val="en-IN"/>
        </w:rPr>
        <w:t>of Staphylococcus aureus (1.1×10²) confirms that the powder has indeed been contaminated.</w:t>
      </w:r>
      <w:r w:rsidR="00F74F80">
        <w:rPr>
          <w:rFonts w:ascii="Arial" w:hAnsi="Arial" w:cs="Arial"/>
          <w:sz w:val="20"/>
          <w:szCs w:val="20"/>
          <w:lang w:val="en-IN"/>
        </w:rPr>
        <w:t xml:space="preserve"> </w:t>
      </w:r>
      <w:r w:rsidR="009B0BF0" w:rsidRPr="009B0BF0">
        <w:rPr>
          <w:rFonts w:ascii="Arial" w:hAnsi="Arial" w:cs="Arial"/>
          <w:sz w:val="20"/>
          <w:szCs w:val="20"/>
        </w:rPr>
        <w:t>The presence, beyond the norm, of enterobacteria and Staphylococcus aureus in this powder could contradict the idea that turmeric, thanks to its numerous phenolic compounds, could be used as a preservative in certain food products (Izamara et al., 2025). Numerous studies have also proven that certain components of turmeric have antibacterial and antifungal effects (Taghavifar et al., 2020). The abundance of these microorganisms in this powder could indicate that this product had been stored for too long. This long storage period would therefore have resulted in the loss of its antibacterial, antiviral, antifungal potential, etc.</w:t>
      </w:r>
    </w:p>
    <w:p w14:paraId="2661594B" w14:textId="77777777" w:rsidR="00592733" w:rsidRPr="00C21F16" w:rsidRDefault="005A004D" w:rsidP="00592733">
      <w:pPr>
        <w:pStyle w:val="Heading1"/>
        <w:numPr>
          <w:ilvl w:val="0"/>
          <w:numId w:val="0"/>
        </w:numPr>
        <w:spacing w:before="0" w:line="240" w:lineRule="auto"/>
        <w:rPr>
          <w:lang w:val="en-IN"/>
        </w:rPr>
      </w:pPr>
      <w:bookmarkStart w:id="7" w:name="_Toc172115912"/>
      <w:r w:rsidRPr="00C21F16">
        <w:rPr>
          <w:lang w:val="en-IN"/>
        </w:rPr>
        <w:t xml:space="preserve">5 </w:t>
      </w:r>
      <w:r w:rsidR="00592F6C" w:rsidRPr="00C21F16">
        <w:rPr>
          <w:lang w:val="en-IN"/>
        </w:rPr>
        <w:t>CONCLUSION</w:t>
      </w:r>
    </w:p>
    <w:p w14:paraId="15DA778A" w14:textId="5A205B74" w:rsidR="00592F6C" w:rsidRPr="00C21F16" w:rsidRDefault="00592F6C" w:rsidP="00592733">
      <w:pPr>
        <w:pStyle w:val="Heading1"/>
        <w:numPr>
          <w:ilvl w:val="0"/>
          <w:numId w:val="0"/>
        </w:numPr>
        <w:spacing w:before="0" w:line="240" w:lineRule="auto"/>
        <w:rPr>
          <w:lang w:val="en-IN"/>
        </w:rPr>
      </w:pPr>
      <w:r w:rsidRPr="00C21F16">
        <w:rPr>
          <w:lang w:val="en-IN"/>
        </w:rPr>
        <w:t xml:space="preserve"> </w:t>
      </w:r>
      <w:bookmarkEnd w:id="7"/>
    </w:p>
    <w:p w14:paraId="7144A3CF" w14:textId="3970E709" w:rsidR="00DF0EA9" w:rsidRPr="00C21F16" w:rsidRDefault="00DF0EA9" w:rsidP="00AD6D3C">
      <w:pPr>
        <w:spacing w:line="240" w:lineRule="auto"/>
        <w:jc w:val="both"/>
        <w:rPr>
          <w:rFonts w:ascii="Arial" w:hAnsi="Arial" w:cs="Arial"/>
          <w:sz w:val="20"/>
          <w:szCs w:val="20"/>
          <w:lang w:val="en-IN"/>
        </w:rPr>
      </w:pPr>
      <w:r w:rsidRPr="00C21F16">
        <w:rPr>
          <w:rFonts w:ascii="Arial" w:hAnsi="Arial" w:cs="Arial"/>
          <w:sz w:val="20"/>
          <w:szCs w:val="20"/>
          <w:lang w:val="en-IN"/>
        </w:rPr>
        <w:t>This study made it possible to determine the biochemical, nutritional, and microbiological composition of turmeric powder. The results showed the presence of phenolic compounds such as total polyphenols, total flavonoids, and tannins. In addition to high contents of proteins, lipids, and carbohydrates, the presence of minerals such as potassium, magnesium, phosphorus, calcium, sodium, copper, iron, zinc… is also observed. These assets could justify the use of Curcuma longa powder in human nutrition, especially for infants. Thus, the regular consumption of turmeric powder as a food ingredient would be beneficial for the Ivorian population in the fight against malnutrition and the prevention of oxidative stress.</w:t>
      </w:r>
      <w:r w:rsidR="00592733" w:rsidRPr="00C21F16">
        <w:rPr>
          <w:rFonts w:ascii="Arial" w:hAnsi="Arial" w:cs="Arial"/>
          <w:sz w:val="20"/>
          <w:szCs w:val="20"/>
          <w:lang w:val="en-IN"/>
        </w:rPr>
        <w:t xml:space="preserve"> However, the presence of Staphylococcus aureus and certain enterobacteria beyond the indicated standard could lead to the withdrawal of this food product from the market, although some potentially pathogenic microorganisms, compared to current standards, are considered acceptable.</w:t>
      </w:r>
    </w:p>
    <w:p w14:paraId="151FF65C" w14:textId="77777777" w:rsidR="004822C1" w:rsidRDefault="004822C1" w:rsidP="004822C1">
      <w:pPr>
        <w:rPr>
          <w:highlight w:val="yellow"/>
        </w:rPr>
      </w:pPr>
      <w:bookmarkStart w:id="8" w:name="_Hlk219125673"/>
      <w:r>
        <w:rPr>
          <w:highlight w:val="yellow"/>
        </w:rPr>
        <w:t>Disclaimer (Artificial intelligence)</w:t>
      </w:r>
    </w:p>
    <w:p w14:paraId="063AF37A" w14:textId="77777777" w:rsidR="004822C1" w:rsidRDefault="004822C1" w:rsidP="004822C1">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336A81BD" w14:textId="77777777" w:rsidR="00C21F16" w:rsidRPr="00053497" w:rsidRDefault="00C21F16" w:rsidP="00C21F16">
      <w:pPr>
        <w:spacing w:after="200" w:line="276" w:lineRule="auto"/>
        <w:rPr>
          <w:rFonts w:ascii="Arial" w:eastAsia="Calibri" w:hAnsi="Arial" w:cs="Arial"/>
          <w:sz w:val="20"/>
          <w:szCs w:val="20"/>
          <w:lang w:val="en-US"/>
        </w:rPr>
      </w:pPr>
      <w:bookmarkStart w:id="9" w:name="_GoBack"/>
      <w:bookmarkEnd w:id="9"/>
    </w:p>
    <w:bookmarkEnd w:id="8"/>
    <w:p w14:paraId="0A625A77" w14:textId="77777777" w:rsidR="00AD6D3C" w:rsidRPr="00053497" w:rsidRDefault="00AD6D3C" w:rsidP="00AD6D3C">
      <w:pPr>
        <w:rPr>
          <w:rFonts w:ascii="Arial" w:hAnsi="Arial" w:cs="Arial"/>
          <w:sz w:val="20"/>
          <w:szCs w:val="20"/>
          <w:lang w:val="en-US"/>
        </w:rPr>
      </w:pPr>
    </w:p>
    <w:p w14:paraId="61C6212A" w14:textId="600B659E" w:rsidR="008D13EA" w:rsidRPr="00C21F16" w:rsidRDefault="008D13EA" w:rsidP="00AD6D3C">
      <w:pPr>
        <w:pStyle w:val="Heading1"/>
        <w:numPr>
          <w:ilvl w:val="0"/>
          <w:numId w:val="0"/>
        </w:numPr>
        <w:spacing w:before="0" w:line="240" w:lineRule="auto"/>
        <w:jc w:val="both"/>
        <w:rPr>
          <w:rFonts w:ascii="Arial" w:hAnsi="Arial" w:cs="Arial"/>
          <w:sz w:val="22"/>
          <w:szCs w:val="22"/>
          <w:lang w:val="en-IN"/>
        </w:rPr>
      </w:pPr>
      <w:r w:rsidRPr="00C21F16">
        <w:rPr>
          <w:rFonts w:ascii="Arial" w:hAnsi="Arial" w:cs="Arial"/>
          <w:sz w:val="22"/>
          <w:szCs w:val="22"/>
          <w:lang w:val="en-IN"/>
        </w:rPr>
        <w:t>REFERENCES</w:t>
      </w:r>
    </w:p>
    <w:p w14:paraId="5A753543" w14:textId="77777777" w:rsidR="00953969" w:rsidRPr="00C21F16" w:rsidRDefault="00953969" w:rsidP="00AD6D3C">
      <w:pPr>
        <w:spacing w:line="240" w:lineRule="auto"/>
        <w:rPr>
          <w:lang w:val="en-IN"/>
        </w:rPr>
      </w:pPr>
    </w:p>
    <w:p w14:paraId="1AFE3544" w14:textId="77777777" w:rsidR="00F17C5A" w:rsidRPr="00C21F16" w:rsidRDefault="00F17C5A" w:rsidP="00AD6D3C">
      <w:pPr>
        <w:spacing w:line="240" w:lineRule="auto"/>
        <w:jc w:val="both"/>
        <w:rPr>
          <w:rFonts w:ascii="Arial" w:hAnsi="Arial" w:cs="Arial"/>
          <w:sz w:val="20"/>
          <w:szCs w:val="20"/>
          <w:lang w:val="en-IN"/>
        </w:rPr>
      </w:pPr>
      <w:r w:rsidRPr="00C21F16">
        <w:rPr>
          <w:rFonts w:ascii="Arial" w:hAnsi="Arial" w:cs="Arial"/>
          <w:sz w:val="20"/>
          <w:szCs w:val="20"/>
          <w:lang w:val="en-IN"/>
        </w:rPr>
        <w:t xml:space="preserve">Abdulsalam T. A., Adeniran T. A., Adamu B. S., Olaifa G. O., Rita M. S.&amp; Memunetu </w:t>
      </w:r>
    </w:p>
    <w:p w14:paraId="06A59D57" w14:textId="53CF8AEC" w:rsidR="001218F2" w:rsidRPr="00C21F16" w:rsidRDefault="00F17C5A" w:rsidP="00AD6D3C">
      <w:pPr>
        <w:spacing w:line="240" w:lineRule="auto"/>
        <w:ind w:left="708"/>
        <w:jc w:val="both"/>
        <w:rPr>
          <w:rFonts w:ascii="Arial" w:hAnsi="Arial" w:cs="Arial"/>
          <w:sz w:val="20"/>
          <w:szCs w:val="20"/>
          <w:lang w:val="en-IN"/>
        </w:rPr>
      </w:pPr>
      <w:r w:rsidRPr="00C21F16">
        <w:rPr>
          <w:rFonts w:ascii="Arial" w:hAnsi="Arial" w:cs="Arial"/>
          <w:sz w:val="20"/>
          <w:szCs w:val="20"/>
          <w:lang w:val="en-IN"/>
        </w:rPr>
        <w:t xml:space="preserve">U. ( 2017). Phytochemical Properties, Proximate and Mineral Composition of </w:t>
      </w:r>
      <w:r w:rsidRPr="00C21F16">
        <w:rPr>
          <w:rFonts w:ascii="Arial" w:hAnsi="Arial" w:cs="Arial"/>
          <w:i/>
          <w:iCs/>
          <w:sz w:val="20"/>
          <w:szCs w:val="20"/>
          <w:lang w:val="en-IN"/>
        </w:rPr>
        <w:t>Curcuma longa</w:t>
      </w:r>
      <w:r w:rsidRPr="00C21F16">
        <w:rPr>
          <w:rFonts w:ascii="Arial" w:hAnsi="Arial" w:cs="Arial"/>
          <w:sz w:val="20"/>
          <w:szCs w:val="20"/>
          <w:lang w:val="en-IN"/>
        </w:rPr>
        <w:t xml:space="preserve"> Linn. and </w:t>
      </w:r>
      <w:r w:rsidRPr="00C21F16">
        <w:rPr>
          <w:rFonts w:ascii="Arial" w:hAnsi="Arial" w:cs="Arial"/>
          <w:i/>
          <w:iCs/>
          <w:sz w:val="20"/>
          <w:szCs w:val="20"/>
          <w:lang w:val="en-IN"/>
        </w:rPr>
        <w:t>Zingiber officinale</w:t>
      </w:r>
      <w:r w:rsidRPr="00C21F16">
        <w:rPr>
          <w:rFonts w:ascii="Arial" w:hAnsi="Arial" w:cs="Arial"/>
          <w:sz w:val="20"/>
          <w:szCs w:val="20"/>
          <w:lang w:val="en-IN"/>
        </w:rPr>
        <w:t xml:space="preserve"> Rosc.: Comparative Study. Journal of Scientific Research &amp; Reports</w:t>
      </w:r>
      <w:r w:rsidR="00053497">
        <w:rPr>
          <w:rFonts w:ascii="Arial" w:hAnsi="Arial" w:cs="Arial"/>
          <w:sz w:val="20"/>
          <w:szCs w:val="20"/>
          <w:lang w:val="en-IN"/>
        </w:rPr>
        <w:t>,</w:t>
      </w:r>
      <w:r w:rsidRPr="00C21F16">
        <w:rPr>
          <w:rFonts w:ascii="Arial" w:hAnsi="Arial" w:cs="Arial"/>
          <w:sz w:val="20"/>
          <w:szCs w:val="20"/>
          <w:lang w:val="en-IN"/>
        </w:rPr>
        <w:t xml:space="preserve"> 13(4)</w:t>
      </w:r>
      <w:r w:rsidR="00053497">
        <w:rPr>
          <w:rFonts w:ascii="Arial" w:hAnsi="Arial" w:cs="Arial"/>
          <w:sz w:val="20"/>
          <w:szCs w:val="20"/>
          <w:lang w:val="en-IN"/>
        </w:rPr>
        <w:t>,</w:t>
      </w:r>
      <w:r w:rsidRPr="00C21F16">
        <w:rPr>
          <w:rFonts w:ascii="Arial" w:hAnsi="Arial" w:cs="Arial"/>
          <w:sz w:val="20"/>
          <w:szCs w:val="20"/>
          <w:lang w:val="en-IN"/>
        </w:rPr>
        <w:t xml:space="preserve"> 1-7</w:t>
      </w:r>
      <w:r w:rsidR="001218F2" w:rsidRPr="00C21F16">
        <w:rPr>
          <w:rFonts w:ascii="Arial" w:hAnsi="Arial" w:cs="Arial"/>
          <w:sz w:val="20"/>
          <w:szCs w:val="20"/>
          <w:lang w:val="en-IN"/>
        </w:rPr>
        <w:t>.</w:t>
      </w:r>
      <w:r w:rsidRPr="00C21F16">
        <w:rPr>
          <w:rFonts w:ascii="Arial" w:hAnsi="Arial" w:cs="Arial"/>
          <w:sz w:val="20"/>
          <w:szCs w:val="20"/>
          <w:lang w:val="en-IN"/>
        </w:rPr>
        <w:t xml:space="preserve"> DOI: 10.9734/JSRR/2017/32623</w:t>
      </w:r>
    </w:p>
    <w:p w14:paraId="6FD013D0" w14:textId="77777777" w:rsidR="007D77B3" w:rsidRPr="00C21F16" w:rsidRDefault="007D77B3" w:rsidP="006B2E4C">
      <w:pPr>
        <w:spacing w:line="240" w:lineRule="auto"/>
        <w:jc w:val="both"/>
        <w:rPr>
          <w:rFonts w:ascii="Arial" w:hAnsi="Arial" w:cs="Arial"/>
          <w:sz w:val="20"/>
          <w:szCs w:val="20"/>
          <w:lang w:val="en-IN"/>
        </w:rPr>
      </w:pPr>
      <w:r w:rsidRPr="00C21F16">
        <w:rPr>
          <w:rFonts w:ascii="Arial" w:hAnsi="Arial" w:cs="Arial"/>
          <w:sz w:val="20"/>
          <w:szCs w:val="20"/>
          <w:lang w:val="en-IN"/>
        </w:rPr>
        <w:t>Adiaheno M. M. C., Gnacadja K. C., Quenum D. G. D., Nzoma M. T., Ellang E. M. C., Biyamba C.,</w:t>
      </w:r>
    </w:p>
    <w:p w14:paraId="7D994768" w14:textId="1C95007C" w:rsidR="007D77B3" w:rsidRPr="00C21F16" w:rsidRDefault="007D77B3" w:rsidP="006B2E4C">
      <w:pPr>
        <w:spacing w:line="240" w:lineRule="auto"/>
        <w:ind w:left="708"/>
        <w:jc w:val="both"/>
        <w:rPr>
          <w:rFonts w:ascii="Arial" w:hAnsi="Arial" w:cs="Arial"/>
          <w:sz w:val="20"/>
          <w:szCs w:val="20"/>
          <w:lang w:val="en-IN"/>
        </w:rPr>
      </w:pPr>
      <w:r w:rsidRPr="006B2E4C">
        <w:rPr>
          <w:rFonts w:ascii="Arial" w:hAnsi="Arial" w:cs="Arial"/>
          <w:sz w:val="20"/>
          <w:szCs w:val="20"/>
        </w:rPr>
        <w:t xml:space="preserve">Mbouity K. D., M. M. G.-A., Ntoutoume A. J. &amp; Mouloungui E. (2023).  </w:t>
      </w:r>
      <w:r w:rsidRPr="00C21F16">
        <w:rPr>
          <w:rFonts w:ascii="Arial" w:hAnsi="Arial" w:cs="Arial"/>
          <w:sz w:val="20"/>
          <w:szCs w:val="20"/>
          <w:lang w:val="en-IN"/>
        </w:rPr>
        <w:t xml:space="preserve">Analytical Review on Food Borne Infectious Diseases: Statement and surveillance systems in Central Africa. International Journal of Advanced Research, 11(02), 856-867. DOI URL: </w:t>
      </w:r>
      <w:hyperlink r:id="rId12" w:history="1">
        <w:r w:rsidRPr="00C21F16">
          <w:rPr>
            <w:rStyle w:val="Hyperlink"/>
            <w:rFonts w:ascii="Arial" w:hAnsi="Arial" w:cs="Arial"/>
            <w:sz w:val="20"/>
            <w:szCs w:val="20"/>
            <w:lang w:val="en-IN"/>
          </w:rPr>
          <w:t>http://dx.doi.org/10.21474/IJAR01/16320</w:t>
        </w:r>
      </w:hyperlink>
    </w:p>
    <w:p w14:paraId="414E6EE2" w14:textId="77777777" w:rsidR="00F17C5A" w:rsidRPr="006B2E4C" w:rsidRDefault="00F17C5A" w:rsidP="006B2E4C">
      <w:pPr>
        <w:spacing w:line="240" w:lineRule="auto"/>
        <w:jc w:val="both"/>
        <w:rPr>
          <w:rFonts w:ascii="Arial" w:hAnsi="Arial" w:cs="Arial"/>
          <w:sz w:val="20"/>
          <w:szCs w:val="20"/>
        </w:rPr>
      </w:pPr>
      <w:r w:rsidRPr="00C21F16">
        <w:rPr>
          <w:rFonts w:ascii="Arial" w:hAnsi="Arial" w:cs="Arial"/>
          <w:sz w:val="20"/>
          <w:szCs w:val="20"/>
          <w:lang w:val="en-IN"/>
        </w:rPr>
        <w:t xml:space="preserve">Akter J, Hossain M. A., Takara K., Islam M. Z. &amp; Hou D. - X. (2019). </w:t>
      </w:r>
      <w:r w:rsidRPr="006B2E4C">
        <w:rPr>
          <w:rFonts w:ascii="Arial" w:hAnsi="Arial" w:cs="Arial"/>
          <w:sz w:val="20"/>
          <w:szCs w:val="20"/>
        </w:rPr>
        <w:t xml:space="preserve">Antioxidant activity </w:t>
      </w:r>
    </w:p>
    <w:p w14:paraId="64B27497" w14:textId="254E20D6" w:rsidR="00F17C5A" w:rsidRPr="00C21F16" w:rsidRDefault="00F17C5A" w:rsidP="006B2E4C">
      <w:pPr>
        <w:spacing w:line="240" w:lineRule="auto"/>
        <w:ind w:left="708"/>
        <w:jc w:val="both"/>
        <w:rPr>
          <w:rFonts w:ascii="Arial" w:hAnsi="Arial" w:cs="Arial"/>
          <w:sz w:val="20"/>
          <w:szCs w:val="20"/>
          <w:lang w:val="en-IN"/>
        </w:rPr>
      </w:pPr>
      <w:r w:rsidRPr="00C21F16">
        <w:rPr>
          <w:rFonts w:ascii="Arial" w:hAnsi="Arial" w:cs="Arial"/>
          <w:sz w:val="20"/>
          <w:szCs w:val="20"/>
          <w:lang w:val="en-IN"/>
        </w:rPr>
        <w:lastRenderedPageBreak/>
        <w:t>of different species and varieties of turmeric (Curcuma spp): isolation of active compounds. Comparative Biochemistry and Physiology Part C : Toxicology &amp; Pharmacology, 215, 9–17. https://doi.org/10.1016/j.cbpc.2018.09.002</w:t>
      </w:r>
    </w:p>
    <w:p w14:paraId="329D10FF" w14:textId="77777777" w:rsidR="007F1038" w:rsidRDefault="00706288" w:rsidP="006B2E4C">
      <w:pPr>
        <w:spacing w:after="0" w:line="240" w:lineRule="auto"/>
        <w:jc w:val="both"/>
        <w:rPr>
          <w:rFonts w:ascii="Arial" w:hAnsi="Arial" w:cs="Arial"/>
          <w:sz w:val="20"/>
          <w:szCs w:val="20"/>
        </w:rPr>
      </w:pPr>
      <w:r w:rsidRPr="006B2E4C">
        <w:rPr>
          <w:rFonts w:ascii="Arial" w:hAnsi="Arial" w:cs="Arial"/>
          <w:sz w:val="20"/>
          <w:szCs w:val="20"/>
        </w:rPr>
        <w:t>Andrée E</w:t>
      </w:r>
      <w:r w:rsidR="00AD0A22" w:rsidRPr="006B2E4C">
        <w:rPr>
          <w:rFonts w:ascii="Arial" w:hAnsi="Arial" w:cs="Arial"/>
          <w:sz w:val="20"/>
          <w:szCs w:val="20"/>
        </w:rPr>
        <w:t xml:space="preserve">. </w:t>
      </w:r>
      <w:r w:rsidRPr="006B2E4C">
        <w:rPr>
          <w:rFonts w:ascii="Arial" w:hAnsi="Arial" w:cs="Arial"/>
          <w:sz w:val="20"/>
          <w:szCs w:val="20"/>
        </w:rPr>
        <w:t>S</w:t>
      </w:r>
      <w:r w:rsidR="00AD0A22" w:rsidRPr="006B2E4C">
        <w:rPr>
          <w:rFonts w:ascii="Arial" w:hAnsi="Arial" w:cs="Arial"/>
          <w:sz w:val="20"/>
          <w:szCs w:val="20"/>
        </w:rPr>
        <w:t>.</w:t>
      </w:r>
      <w:r w:rsidRPr="006B2E4C">
        <w:rPr>
          <w:rFonts w:ascii="Arial" w:hAnsi="Arial" w:cs="Arial"/>
          <w:sz w:val="20"/>
          <w:szCs w:val="20"/>
        </w:rPr>
        <w:t>, Beugré R</w:t>
      </w:r>
      <w:r w:rsidR="00AD0A22" w:rsidRPr="006B2E4C">
        <w:rPr>
          <w:rFonts w:ascii="Arial" w:hAnsi="Arial" w:cs="Arial"/>
          <w:sz w:val="20"/>
          <w:szCs w:val="20"/>
        </w:rPr>
        <w:t xml:space="preserve">. </w:t>
      </w:r>
      <w:r w:rsidRPr="006B2E4C">
        <w:rPr>
          <w:rFonts w:ascii="Arial" w:hAnsi="Arial" w:cs="Arial"/>
          <w:sz w:val="20"/>
          <w:szCs w:val="20"/>
        </w:rPr>
        <w:t>L</w:t>
      </w:r>
      <w:r w:rsidR="00AD0A22" w:rsidRPr="006B2E4C">
        <w:rPr>
          <w:rFonts w:ascii="Arial" w:hAnsi="Arial" w:cs="Arial"/>
          <w:sz w:val="20"/>
          <w:szCs w:val="20"/>
        </w:rPr>
        <w:t xml:space="preserve">. </w:t>
      </w:r>
      <w:r w:rsidRPr="006B2E4C">
        <w:rPr>
          <w:rFonts w:ascii="Arial" w:hAnsi="Arial" w:cs="Arial"/>
          <w:sz w:val="20"/>
          <w:szCs w:val="20"/>
        </w:rPr>
        <w:t>K</w:t>
      </w:r>
      <w:r w:rsidR="00AD0A22" w:rsidRPr="006B2E4C">
        <w:rPr>
          <w:rFonts w:ascii="Arial" w:hAnsi="Arial" w:cs="Arial"/>
          <w:sz w:val="20"/>
          <w:szCs w:val="20"/>
        </w:rPr>
        <w:t>.</w:t>
      </w:r>
      <w:r w:rsidRPr="006B2E4C">
        <w:rPr>
          <w:rFonts w:ascii="Arial" w:hAnsi="Arial" w:cs="Arial"/>
          <w:sz w:val="20"/>
          <w:szCs w:val="20"/>
        </w:rPr>
        <w:t>, Koffi M</w:t>
      </w:r>
      <w:r w:rsidR="00AD0A22" w:rsidRPr="006B2E4C">
        <w:rPr>
          <w:rFonts w:ascii="Arial" w:hAnsi="Arial" w:cs="Arial"/>
          <w:sz w:val="20"/>
          <w:szCs w:val="20"/>
        </w:rPr>
        <w:t xml:space="preserve">. </w:t>
      </w:r>
      <w:r w:rsidRPr="006B2E4C">
        <w:rPr>
          <w:rFonts w:ascii="Arial" w:hAnsi="Arial" w:cs="Arial"/>
          <w:sz w:val="20"/>
          <w:szCs w:val="20"/>
        </w:rPr>
        <w:t>D</w:t>
      </w:r>
      <w:r w:rsidR="00AD0A22" w:rsidRPr="006B2E4C">
        <w:rPr>
          <w:rFonts w:ascii="Arial" w:hAnsi="Arial" w:cs="Arial"/>
          <w:sz w:val="20"/>
          <w:szCs w:val="20"/>
        </w:rPr>
        <w:t>.</w:t>
      </w:r>
      <w:r w:rsidRPr="006B2E4C">
        <w:rPr>
          <w:rFonts w:ascii="Arial" w:hAnsi="Arial" w:cs="Arial"/>
          <w:sz w:val="20"/>
          <w:szCs w:val="20"/>
        </w:rPr>
        <w:t>, Fankroma T</w:t>
      </w:r>
      <w:r w:rsidR="00AD0A22" w:rsidRPr="006B2E4C">
        <w:rPr>
          <w:rFonts w:ascii="Arial" w:hAnsi="Arial" w:cs="Arial"/>
          <w:sz w:val="20"/>
          <w:szCs w:val="20"/>
        </w:rPr>
        <w:t xml:space="preserve">. </w:t>
      </w:r>
      <w:r w:rsidRPr="006B2E4C">
        <w:rPr>
          <w:rFonts w:ascii="Arial" w:hAnsi="Arial" w:cs="Arial"/>
          <w:sz w:val="20"/>
          <w:szCs w:val="20"/>
        </w:rPr>
        <w:t>M</w:t>
      </w:r>
      <w:r w:rsidR="00AD0A22" w:rsidRPr="006B2E4C">
        <w:rPr>
          <w:rFonts w:ascii="Arial" w:hAnsi="Arial" w:cs="Arial"/>
          <w:sz w:val="20"/>
          <w:szCs w:val="20"/>
        </w:rPr>
        <w:t>.</w:t>
      </w:r>
      <w:r w:rsidRPr="006B2E4C">
        <w:rPr>
          <w:rFonts w:ascii="Arial" w:hAnsi="Arial" w:cs="Arial"/>
          <w:sz w:val="20"/>
          <w:szCs w:val="20"/>
        </w:rPr>
        <w:t xml:space="preserve"> K</w:t>
      </w:r>
      <w:r w:rsidR="00AD0A22" w:rsidRPr="006B2E4C">
        <w:rPr>
          <w:rFonts w:ascii="Arial" w:hAnsi="Arial" w:cs="Arial"/>
          <w:sz w:val="20"/>
          <w:szCs w:val="20"/>
        </w:rPr>
        <w:t>.</w:t>
      </w:r>
      <w:r w:rsidRPr="006B2E4C">
        <w:rPr>
          <w:rFonts w:ascii="Arial" w:hAnsi="Arial" w:cs="Arial"/>
          <w:sz w:val="20"/>
          <w:szCs w:val="20"/>
        </w:rPr>
        <w:t>, Soumaïla D</w:t>
      </w:r>
      <w:r w:rsidR="00AD0A22" w:rsidRPr="006B2E4C">
        <w:rPr>
          <w:rFonts w:ascii="Arial" w:hAnsi="Arial" w:cs="Arial"/>
          <w:sz w:val="20"/>
          <w:szCs w:val="20"/>
        </w:rPr>
        <w:t>.</w:t>
      </w:r>
      <w:r w:rsidRPr="006B2E4C">
        <w:rPr>
          <w:rFonts w:ascii="Arial" w:hAnsi="Arial" w:cs="Arial"/>
          <w:sz w:val="20"/>
          <w:szCs w:val="20"/>
        </w:rPr>
        <w:t xml:space="preserve"> </w:t>
      </w:r>
      <w:r w:rsidR="00AD0A22" w:rsidRPr="006B2E4C">
        <w:rPr>
          <w:rFonts w:ascii="Arial" w:hAnsi="Arial" w:cs="Arial"/>
          <w:sz w:val="20"/>
          <w:szCs w:val="20"/>
        </w:rPr>
        <w:t>&amp;</w:t>
      </w:r>
      <w:r w:rsidRPr="006B2E4C">
        <w:rPr>
          <w:rFonts w:ascii="Arial" w:hAnsi="Arial" w:cs="Arial"/>
          <w:sz w:val="20"/>
          <w:szCs w:val="20"/>
        </w:rPr>
        <w:t xml:space="preserve"> Amenan </w:t>
      </w:r>
    </w:p>
    <w:p w14:paraId="41A7C54E" w14:textId="77777777" w:rsidR="008228EA" w:rsidRPr="006B2E4C" w:rsidRDefault="008228EA" w:rsidP="006B2E4C">
      <w:pPr>
        <w:spacing w:after="0" w:line="240" w:lineRule="auto"/>
        <w:jc w:val="both"/>
        <w:rPr>
          <w:rFonts w:ascii="Arial" w:hAnsi="Arial" w:cs="Arial"/>
          <w:sz w:val="20"/>
          <w:szCs w:val="20"/>
        </w:rPr>
      </w:pPr>
    </w:p>
    <w:p w14:paraId="2959EACA" w14:textId="6DB42284" w:rsidR="00706288" w:rsidRPr="00C21F16" w:rsidRDefault="00706288" w:rsidP="006B2E4C">
      <w:pPr>
        <w:spacing w:after="0" w:line="240" w:lineRule="auto"/>
        <w:ind w:left="708"/>
        <w:jc w:val="both"/>
        <w:rPr>
          <w:rFonts w:ascii="Arial" w:hAnsi="Arial" w:cs="Arial"/>
          <w:sz w:val="20"/>
          <w:szCs w:val="20"/>
          <w:lang w:val="en-IN"/>
        </w:rPr>
      </w:pPr>
      <w:r w:rsidRPr="006B2E4C">
        <w:rPr>
          <w:rFonts w:ascii="Arial" w:hAnsi="Arial" w:cs="Arial"/>
          <w:sz w:val="20"/>
          <w:szCs w:val="20"/>
        </w:rPr>
        <w:t>R</w:t>
      </w:r>
      <w:r w:rsidR="00AD0A22" w:rsidRPr="006B2E4C">
        <w:rPr>
          <w:rFonts w:ascii="Arial" w:hAnsi="Arial" w:cs="Arial"/>
          <w:sz w:val="20"/>
          <w:szCs w:val="20"/>
        </w:rPr>
        <w:t xml:space="preserve">. </w:t>
      </w:r>
      <w:r w:rsidR="007F1038" w:rsidRPr="006B2E4C">
        <w:rPr>
          <w:rFonts w:ascii="Arial" w:hAnsi="Arial" w:cs="Arial"/>
          <w:sz w:val="20"/>
          <w:szCs w:val="20"/>
        </w:rPr>
        <w:t xml:space="preserve">   </w:t>
      </w:r>
      <w:r w:rsidRPr="006B2E4C">
        <w:rPr>
          <w:rFonts w:ascii="Arial" w:hAnsi="Arial" w:cs="Arial"/>
          <w:sz w:val="20"/>
          <w:szCs w:val="20"/>
        </w:rPr>
        <w:t>K</w:t>
      </w:r>
      <w:r w:rsidR="00AD0A22" w:rsidRPr="006B2E4C">
        <w:rPr>
          <w:rFonts w:ascii="Arial" w:hAnsi="Arial" w:cs="Arial"/>
          <w:sz w:val="20"/>
          <w:szCs w:val="20"/>
        </w:rPr>
        <w:t>.-</w:t>
      </w:r>
      <w:r w:rsidRPr="006B2E4C">
        <w:rPr>
          <w:rFonts w:ascii="Arial" w:hAnsi="Arial" w:cs="Arial"/>
          <w:sz w:val="20"/>
          <w:szCs w:val="20"/>
        </w:rPr>
        <w:t>N</w:t>
      </w:r>
      <w:r w:rsidR="00AD0A22" w:rsidRPr="006B2E4C">
        <w:rPr>
          <w:rFonts w:ascii="Arial" w:hAnsi="Arial" w:cs="Arial"/>
          <w:sz w:val="20"/>
          <w:szCs w:val="20"/>
        </w:rPr>
        <w:t>. (2019).</w:t>
      </w:r>
      <w:r w:rsidRPr="006B2E4C">
        <w:rPr>
          <w:rFonts w:ascii="Arial" w:hAnsi="Arial" w:cs="Arial"/>
          <w:sz w:val="20"/>
          <w:szCs w:val="20"/>
        </w:rPr>
        <w:t xml:space="preserve"> Qualité nutritionnelle, microbiologique et organoleptique de farines composées à base de maïs (</w:t>
      </w:r>
      <w:r w:rsidRPr="006B2E4C">
        <w:rPr>
          <w:rFonts w:ascii="Arial" w:hAnsi="Arial" w:cs="Arial"/>
          <w:i/>
          <w:iCs/>
          <w:sz w:val="20"/>
          <w:szCs w:val="20"/>
        </w:rPr>
        <w:t>Zea mays</w:t>
      </w:r>
      <w:r w:rsidRPr="006B2E4C">
        <w:rPr>
          <w:rFonts w:ascii="Arial" w:hAnsi="Arial" w:cs="Arial"/>
          <w:sz w:val="20"/>
          <w:szCs w:val="20"/>
        </w:rPr>
        <w:t>) et de safou (</w:t>
      </w:r>
      <w:r w:rsidRPr="006B2E4C">
        <w:rPr>
          <w:rFonts w:ascii="Arial" w:hAnsi="Arial" w:cs="Arial"/>
          <w:i/>
          <w:iCs/>
          <w:sz w:val="20"/>
          <w:szCs w:val="20"/>
        </w:rPr>
        <w:t>Dacryodes edulis</w:t>
      </w:r>
      <w:r w:rsidRPr="006B2E4C">
        <w:rPr>
          <w:rFonts w:ascii="Arial" w:hAnsi="Arial" w:cs="Arial"/>
          <w:sz w:val="20"/>
          <w:szCs w:val="20"/>
        </w:rPr>
        <w:t xml:space="preserve">) produites en Côte d’Ivoire. </w:t>
      </w:r>
      <w:r w:rsidRPr="00C21F16">
        <w:rPr>
          <w:rFonts w:ascii="Arial" w:hAnsi="Arial" w:cs="Arial"/>
          <w:sz w:val="20"/>
          <w:szCs w:val="20"/>
          <w:lang w:val="en-IN"/>
        </w:rPr>
        <w:t>Int</w:t>
      </w:r>
      <w:r w:rsidR="003C54BD" w:rsidRPr="00C21F16">
        <w:rPr>
          <w:rFonts w:ascii="Arial" w:hAnsi="Arial" w:cs="Arial"/>
          <w:sz w:val="20"/>
          <w:szCs w:val="20"/>
          <w:lang w:val="en-IN"/>
        </w:rPr>
        <w:t>ernational</w:t>
      </w:r>
      <w:r w:rsidRPr="00C21F16">
        <w:rPr>
          <w:rFonts w:ascii="Arial" w:hAnsi="Arial" w:cs="Arial"/>
          <w:sz w:val="20"/>
          <w:szCs w:val="20"/>
          <w:lang w:val="en-IN"/>
        </w:rPr>
        <w:t xml:space="preserve"> J</w:t>
      </w:r>
      <w:r w:rsidR="003C54BD" w:rsidRPr="00C21F16">
        <w:rPr>
          <w:rFonts w:ascii="Arial" w:hAnsi="Arial" w:cs="Arial"/>
          <w:sz w:val="20"/>
          <w:szCs w:val="20"/>
          <w:lang w:val="en-IN"/>
        </w:rPr>
        <w:t xml:space="preserve">ournal of </w:t>
      </w:r>
      <w:r w:rsidRPr="00C21F16">
        <w:rPr>
          <w:rFonts w:ascii="Arial" w:hAnsi="Arial" w:cs="Arial"/>
          <w:sz w:val="20"/>
          <w:szCs w:val="20"/>
          <w:lang w:val="en-IN"/>
        </w:rPr>
        <w:t>Biol</w:t>
      </w:r>
      <w:r w:rsidR="003C54BD" w:rsidRPr="00C21F16">
        <w:rPr>
          <w:rFonts w:ascii="Arial" w:hAnsi="Arial" w:cs="Arial"/>
          <w:sz w:val="20"/>
          <w:szCs w:val="20"/>
          <w:lang w:val="en-IN"/>
        </w:rPr>
        <w:t xml:space="preserve">ogical and </w:t>
      </w:r>
      <w:r w:rsidRPr="00C21F16">
        <w:rPr>
          <w:rFonts w:ascii="Arial" w:hAnsi="Arial" w:cs="Arial"/>
          <w:sz w:val="20"/>
          <w:szCs w:val="20"/>
          <w:lang w:val="en-IN"/>
        </w:rPr>
        <w:t>Chem</w:t>
      </w:r>
      <w:r w:rsidR="003C54BD" w:rsidRPr="00C21F16">
        <w:rPr>
          <w:rFonts w:ascii="Arial" w:hAnsi="Arial" w:cs="Arial"/>
          <w:sz w:val="20"/>
          <w:szCs w:val="20"/>
          <w:lang w:val="en-IN"/>
        </w:rPr>
        <w:t xml:space="preserve">ical </w:t>
      </w:r>
      <w:r w:rsidRPr="00C21F16">
        <w:rPr>
          <w:rFonts w:ascii="Arial" w:hAnsi="Arial" w:cs="Arial"/>
          <w:sz w:val="20"/>
          <w:szCs w:val="20"/>
          <w:lang w:val="en-IN"/>
        </w:rPr>
        <w:t>Sci</w:t>
      </w:r>
      <w:r w:rsidR="003C54BD" w:rsidRPr="00C21F16">
        <w:rPr>
          <w:rFonts w:ascii="Arial" w:hAnsi="Arial" w:cs="Arial"/>
          <w:sz w:val="20"/>
          <w:szCs w:val="20"/>
          <w:lang w:val="en-IN"/>
        </w:rPr>
        <w:t xml:space="preserve">ences, </w:t>
      </w:r>
      <w:r w:rsidRPr="00C21F16">
        <w:rPr>
          <w:rFonts w:ascii="Arial" w:hAnsi="Arial" w:cs="Arial"/>
          <w:sz w:val="20"/>
          <w:szCs w:val="20"/>
          <w:lang w:val="en-IN"/>
        </w:rPr>
        <w:t>13(1)</w:t>
      </w:r>
      <w:r w:rsidR="003C54BD" w:rsidRPr="00C21F16">
        <w:rPr>
          <w:rFonts w:ascii="Arial" w:hAnsi="Arial" w:cs="Arial"/>
          <w:sz w:val="20"/>
          <w:szCs w:val="20"/>
          <w:lang w:val="en-IN"/>
        </w:rPr>
        <w:t xml:space="preserve">, </w:t>
      </w:r>
      <w:r w:rsidRPr="00C21F16">
        <w:rPr>
          <w:rFonts w:ascii="Arial" w:hAnsi="Arial" w:cs="Arial"/>
          <w:sz w:val="20"/>
          <w:szCs w:val="20"/>
          <w:lang w:val="en-IN"/>
        </w:rPr>
        <w:t>325-337</w:t>
      </w:r>
      <w:r w:rsidR="00AD0A22" w:rsidRPr="00C21F16">
        <w:rPr>
          <w:rFonts w:ascii="Arial" w:hAnsi="Arial" w:cs="Arial"/>
          <w:sz w:val="20"/>
          <w:szCs w:val="20"/>
          <w:lang w:val="en-IN"/>
        </w:rPr>
        <w:t>.</w:t>
      </w:r>
      <w:r w:rsidRPr="00C21F16">
        <w:rPr>
          <w:rFonts w:ascii="Arial" w:hAnsi="Arial" w:cs="Arial"/>
          <w:sz w:val="20"/>
          <w:szCs w:val="20"/>
          <w:lang w:val="en-IN"/>
        </w:rPr>
        <w:t xml:space="preserve"> </w:t>
      </w:r>
      <w:r w:rsidR="003C54BD" w:rsidRPr="00C21F16">
        <w:rPr>
          <w:rFonts w:ascii="Arial" w:hAnsi="Arial" w:cs="Arial"/>
          <w:sz w:val="20"/>
          <w:szCs w:val="20"/>
          <w:lang w:val="en-IN"/>
        </w:rPr>
        <w:t>DOI:</w:t>
      </w:r>
      <w:hyperlink r:id="rId13" w:tgtFrame="_blank" w:history="1">
        <w:r w:rsidR="003C54BD" w:rsidRPr="00C21F16">
          <w:rPr>
            <w:rStyle w:val="Hyperlink"/>
            <w:rFonts w:ascii="Arial" w:hAnsi="Arial" w:cs="Arial"/>
            <w:sz w:val="20"/>
            <w:szCs w:val="20"/>
            <w:lang w:val="en-IN"/>
          </w:rPr>
          <w:t>10.4314/ijbcs.v13i1.26</w:t>
        </w:r>
      </w:hyperlink>
    </w:p>
    <w:p w14:paraId="24083439" w14:textId="77777777" w:rsidR="006B2E4C" w:rsidRPr="00C21F16" w:rsidRDefault="006B2E4C" w:rsidP="006B2E4C">
      <w:pPr>
        <w:spacing w:after="0" w:line="240" w:lineRule="auto"/>
        <w:ind w:left="708"/>
        <w:jc w:val="both"/>
        <w:rPr>
          <w:rFonts w:ascii="Arial" w:hAnsi="Arial" w:cs="Arial"/>
          <w:sz w:val="20"/>
          <w:szCs w:val="20"/>
          <w:lang w:val="en-IN"/>
        </w:rPr>
      </w:pPr>
    </w:p>
    <w:p w14:paraId="4BF3A4EF" w14:textId="77777777" w:rsidR="007F1038" w:rsidRPr="006B2E4C" w:rsidRDefault="007F1038" w:rsidP="006B2E4C">
      <w:pPr>
        <w:spacing w:after="0" w:line="240" w:lineRule="auto"/>
        <w:jc w:val="both"/>
        <w:rPr>
          <w:rFonts w:ascii="Arial" w:hAnsi="Arial" w:cs="Arial"/>
          <w:sz w:val="20"/>
          <w:szCs w:val="20"/>
        </w:rPr>
      </w:pPr>
      <w:r w:rsidRPr="00C21F16">
        <w:rPr>
          <w:rFonts w:ascii="Arial" w:hAnsi="Arial" w:cs="Arial"/>
          <w:sz w:val="20"/>
          <w:szCs w:val="20"/>
          <w:lang w:val="en-IN"/>
        </w:rPr>
        <w:t xml:space="preserve">AOAC. (1990). Official Methods of Analysis. </w:t>
      </w:r>
      <w:r w:rsidRPr="006B2E4C">
        <w:rPr>
          <w:rFonts w:ascii="Arial" w:hAnsi="Arial" w:cs="Arial"/>
          <w:sz w:val="20"/>
          <w:szCs w:val="20"/>
        </w:rPr>
        <w:t xml:space="preserve">Association of Official Analytical </w:t>
      </w:r>
    </w:p>
    <w:p w14:paraId="4B8A42BF" w14:textId="5A9CC9B9" w:rsidR="007F1038" w:rsidRPr="00C21F16" w:rsidRDefault="007F1038" w:rsidP="006B2E4C">
      <w:pPr>
        <w:spacing w:after="0" w:line="240" w:lineRule="auto"/>
        <w:ind w:left="708"/>
        <w:jc w:val="both"/>
        <w:rPr>
          <w:rFonts w:ascii="Arial" w:hAnsi="Arial" w:cs="Arial"/>
          <w:sz w:val="20"/>
          <w:szCs w:val="20"/>
          <w:lang w:val="en-IN"/>
        </w:rPr>
      </w:pPr>
      <w:r w:rsidRPr="00C21F16">
        <w:rPr>
          <w:rFonts w:ascii="Arial" w:hAnsi="Arial" w:cs="Arial"/>
          <w:sz w:val="20"/>
          <w:szCs w:val="20"/>
          <w:lang w:val="en-IN"/>
        </w:rPr>
        <w:t>Chemists, Washington, DC (USA). Available on: https://law.resource.org/pub/us/cfr/ibr/002/ aoac.methods.1.1990.pdf</w:t>
      </w:r>
    </w:p>
    <w:p w14:paraId="79CFD419" w14:textId="77777777" w:rsidR="008228EA" w:rsidRPr="00C21F16" w:rsidRDefault="008228EA" w:rsidP="006B2E4C">
      <w:pPr>
        <w:spacing w:after="0" w:line="240" w:lineRule="auto"/>
        <w:ind w:left="708"/>
        <w:jc w:val="both"/>
        <w:rPr>
          <w:rFonts w:ascii="Arial" w:hAnsi="Arial" w:cs="Arial"/>
          <w:sz w:val="20"/>
          <w:szCs w:val="20"/>
          <w:lang w:val="en-IN"/>
        </w:rPr>
      </w:pPr>
    </w:p>
    <w:p w14:paraId="3B33C034" w14:textId="77777777" w:rsidR="008B3D15" w:rsidRPr="006B2E4C" w:rsidRDefault="007F1038" w:rsidP="006B2E4C">
      <w:pPr>
        <w:spacing w:line="240" w:lineRule="auto"/>
        <w:jc w:val="both"/>
        <w:rPr>
          <w:rFonts w:ascii="Arial" w:hAnsi="Arial" w:cs="Arial"/>
          <w:sz w:val="20"/>
          <w:szCs w:val="20"/>
        </w:rPr>
      </w:pPr>
      <w:r w:rsidRPr="00C21F16">
        <w:rPr>
          <w:rFonts w:ascii="Arial" w:hAnsi="Arial" w:cs="Arial"/>
          <w:sz w:val="20"/>
          <w:szCs w:val="20"/>
          <w:lang w:val="en-IN"/>
        </w:rPr>
        <w:t>Arvind K. B., Nand K. K., Sanjoy K. B., Milan H. &amp; Harishankar D. (2023).</w:t>
      </w:r>
      <w:r w:rsidRPr="00C21F16">
        <w:rPr>
          <w:rFonts w:ascii="Arial" w:hAnsi="Arial" w:cs="Arial"/>
          <w:sz w:val="20"/>
          <w:szCs w:val="20"/>
          <w:vertAlign w:val="superscript"/>
          <w:lang w:val="en-IN"/>
        </w:rPr>
        <w:t xml:space="preserve"> </w:t>
      </w:r>
      <w:r w:rsidRPr="006B2E4C">
        <w:rPr>
          <w:rFonts w:ascii="Arial" w:hAnsi="Arial" w:cs="Arial"/>
          <w:sz w:val="20"/>
          <w:szCs w:val="20"/>
        </w:rPr>
        <w:t>Proximate</w:t>
      </w:r>
    </w:p>
    <w:p w14:paraId="3FF0F7F6" w14:textId="571A8F08" w:rsidR="007F1038" w:rsidRPr="00C21F16" w:rsidRDefault="007F1038" w:rsidP="006B2E4C">
      <w:pPr>
        <w:spacing w:line="240" w:lineRule="auto"/>
        <w:ind w:left="708"/>
        <w:jc w:val="both"/>
        <w:rPr>
          <w:rFonts w:ascii="Arial" w:hAnsi="Arial" w:cs="Arial"/>
          <w:sz w:val="20"/>
          <w:szCs w:val="20"/>
          <w:lang w:val="en-IN"/>
        </w:rPr>
      </w:pPr>
      <w:r w:rsidRPr="00C21F16">
        <w:rPr>
          <w:rFonts w:ascii="Arial" w:hAnsi="Arial" w:cs="Arial"/>
          <w:sz w:val="20"/>
          <w:szCs w:val="20"/>
          <w:lang w:val="en-IN"/>
        </w:rPr>
        <w:t>composition and mineral content analysis of </w:t>
      </w:r>
      <w:r w:rsidRPr="00C21F16">
        <w:rPr>
          <w:rFonts w:ascii="Arial" w:hAnsi="Arial" w:cs="Arial"/>
          <w:i/>
          <w:iCs/>
          <w:sz w:val="20"/>
          <w:szCs w:val="20"/>
          <w:lang w:val="en-IN"/>
        </w:rPr>
        <w:t>Curcuma caesia</w:t>
      </w:r>
      <w:r w:rsidRPr="00C21F16">
        <w:rPr>
          <w:rFonts w:ascii="Arial" w:hAnsi="Arial" w:cs="Arial"/>
          <w:sz w:val="20"/>
          <w:szCs w:val="20"/>
          <w:lang w:val="en-IN"/>
        </w:rPr>
        <w:t xml:space="preserve"> rhizome. </w:t>
      </w:r>
      <w:hyperlink r:id="rId14" w:tooltip="Go to Biochemical Systematics and Ecology on ScienceDirect" w:history="1">
        <w:r w:rsidRPr="00C21F16">
          <w:rPr>
            <w:rStyle w:val="Hyperlink"/>
            <w:rFonts w:ascii="Arial" w:hAnsi="Arial" w:cs="Arial"/>
            <w:color w:val="000000" w:themeColor="text1"/>
            <w:sz w:val="20"/>
            <w:szCs w:val="20"/>
            <w:u w:val="none"/>
            <w:lang w:val="en-IN"/>
          </w:rPr>
          <w:t>Biochemical Systematics and Ecology</w:t>
        </w:r>
      </w:hyperlink>
      <w:r w:rsidRPr="00C21F16">
        <w:rPr>
          <w:rFonts w:ascii="Arial" w:hAnsi="Arial" w:cs="Arial"/>
          <w:sz w:val="20"/>
          <w:szCs w:val="20"/>
          <w:lang w:val="en-IN"/>
        </w:rPr>
        <w:t xml:space="preserve">, </w:t>
      </w:r>
      <w:hyperlink r:id="rId15" w:history="1">
        <w:r w:rsidRPr="00C21F16">
          <w:rPr>
            <w:rStyle w:val="Hyperlink"/>
            <w:rFonts w:ascii="Arial" w:hAnsi="Arial" w:cs="Arial"/>
            <w:color w:val="000000" w:themeColor="text1"/>
            <w:sz w:val="20"/>
            <w:szCs w:val="20"/>
            <w:u w:val="none"/>
            <w:lang w:val="en-IN"/>
          </w:rPr>
          <w:t>109</w:t>
        </w:r>
      </w:hyperlink>
      <w:r w:rsidRPr="00C21F16">
        <w:rPr>
          <w:rFonts w:ascii="Arial" w:hAnsi="Arial" w:cs="Arial"/>
          <w:color w:val="000000" w:themeColor="text1"/>
          <w:sz w:val="20"/>
          <w:szCs w:val="20"/>
          <w:lang w:val="en-IN"/>
        </w:rPr>
        <w:t>,</w:t>
      </w:r>
      <w:r w:rsidRPr="00C21F16">
        <w:rPr>
          <w:rFonts w:ascii="Arial" w:hAnsi="Arial" w:cs="Arial"/>
          <w:sz w:val="20"/>
          <w:szCs w:val="20"/>
          <w:lang w:val="en-IN"/>
        </w:rPr>
        <w:t xml:space="preserve"> 104661 </w:t>
      </w:r>
      <w:hyperlink r:id="rId16" w:tgtFrame="_blank" w:tooltip="Persistent link using digital object identifier" w:history="1">
        <w:r w:rsidRPr="00C21F16">
          <w:rPr>
            <w:rStyle w:val="Hyperlink"/>
            <w:rFonts w:ascii="Arial" w:hAnsi="Arial" w:cs="Arial"/>
            <w:sz w:val="20"/>
            <w:szCs w:val="20"/>
            <w:lang w:val="en-IN"/>
          </w:rPr>
          <w:t>https://doi.org/10.1016/j.bse.2023.104661</w:t>
        </w:r>
      </w:hyperlink>
    </w:p>
    <w:p w14:paraId="6C7EF8B6" w14:textId="77777777" w:rsidR="00F17C5A" w:rsidRPr="00C21F16" w:rsidRDefault="00F17C5A" w:rsidP="006B2E4C">
      <w:pPr>
        <w:spacing w:line="240" w:lineRule="auto"/>
        <w:jc w:val="both"/>
        <w:rPr>
          <w:rFonts w:ascii="Arial" w:hAnsi="Arial" w:cs="Arial"/>
          <w:sz w:val="20"/>
          <w:szCs w:val="20"/>
          <w:lang w:val="en-IN"/>
        </w:rPr>
      </w:pPr>
      <w:r w:rsidRPr="00C21F16">
        <w:rPr>
          <w:rFonts w:ascii="Arial" w:hAnsi="Arial" w:cs="Arial"/>
          <w:sz w:val="20"/>
          <w:szCs w:val="20"/>
          <w:lang w:val="en-IN"/>
        </w:rPr>
        <w:t>Ashish S. (2024). The review study on Haridra medicinal plant (</w:t>
      </w:r>
      <w:r w:rsidRPr="00C21F16">
        <w:rPr>
          <w:rFonts w:ascii="Arial" w:hAnsi="Arial" w:cs="Arial"/>
          <w:i/>
          <w:iCs/>
          <w:sz w:val="20"/>
          <w:szCs w:val="20"/>
          <w:lang w:val="en-IN"/>
        </w:rPr>
        <w:t>Curcuma longa</w:t>
      </w:r>
      <w:r w:rsidRPr="00C21F16">
        <w:rPr>
          <w:rFonts w:ascii="Arial" w:hAnsi="Arial" w:cs="Arial"/>
          <w:sz w:val="20"/>
          <w:szCs w:val="20"/>
          <w:lang w:val="en-IN"/>
        </w:rPr>
        <w:t xml:space="preserve">). </w:t>
      </w:r>
    </w:p>
    <w:p w14:paraId="4EBED48E" w14:textId="09ED37B6" w:rsidR="00F17C5A" w:rsidRPr="006B2E4C" w:rsidRDefault="00F17C5A" w:rsidP="006B2E4C">
      <w:pPr>
        <w:spacing w:line="240" w:lineRule="auto"/>
        <w:ind w:left="708"/>
        <w:jc w:val="both"/>
        <w:rPr>
          <w:rFonts w:ascii="Arial" w:hAnsi="Arial" w:cs="Arial"/>
          <w:sz w:val="20"/>
          <w:szCs w:val="20"/>
        </w:rPr>
      </w:pPr>
      <w:r w:rsidRPr="00C21F16">
        <w:rPr>
          <w:rFonts w:ascii="Arial" w:hAnsi="Arial" w:cs="Arial"/>
          <w:sz w:val="20"/>
          <w:szCs w:val="20"/>
          <w:lang w:val="en-IN"/>
        </w:rPr>
        <w:t xml:space="preserve">Journal of Medicinal Plants Studies, 12(3), 63-66.  </w:t>
      </w:r>
      <w:r w:rsidRPr="006B2E4C">
        <w:rPr>
          <w:rFonts w:ascii="Arial" w:hAnsi="Arial" w:cs="Arial"/>
          <w:sz w:val="20"/>
          <w:szCs w:val="20"/>
        </w:rPr>
        <w:t xml:space="preserve">https://www.plantsjournal.com </w:t>
      </w:r>
    </w:p>
    <w:p w14:paraId="7C11A8A2" w14:textId="77777777" w:rsidR="00B74072" w:rsidRPr="006B2E4C" w:rsidRDefault="007D77B3" w:rsidP="006B2E4C">
      <w:pPr>
        <w:spacing w:line="240" w:lineRule="auto"/>
        <w:jc w:val="both"/>
        <w:rPr>
          <w:rFonts w:ascii="Arial" w:hAnsi="Arial" w:cs="Arial"/>
          <w:sz w:val="20"/>
          <w:szCs w:val="20"/>
        </w:rPr>
      </w:pPr>
      <w:r w:rsidRPr="006B2E4C">
        <w:rPr>
          <w:rFonts w:ascii="Arial" w:hAnsi="Arial" w:cs="Arial"/>
          <w:sz w:val="20"/>
          <w:szCs w:val="20"/>
        </w:rPr>
        <w:t>Barros, L., Joao-Ferreira M., Queiros B., Ferreira I. C., &amp; Baptista, P. (2007).</w:t>
      </w:r>
      <w:r w:rsidR="00B74072" w:rsidRPr="006B2E4C">
        <w:rPr>
          <w:rFonts w:ascii="Arial" w:hAnsi="Arial" w:cs="Arial"/>
          <w:sz w:val="20"/>
          <w:szCs w:val="20"/>
        </w:rPr>
        <w:t xml:space="preserve"> </w:t>
      </w:r>
    </w:p>
    <w:p w14:paraId="3BEC0DFF" w14:textId="43C53E3B" w:rsidR="007D77B3" w:rsidRPr="006B2E4C" w:rsidRDefault="007D77B3" w:rsidP="006B2E4C">
      <w:pPr>
        <w:spacing w:line="240" w:lineRule="auto"/>
        <w:ind w:left="708"/>
        <w:jc w:val="both"/>
        <w:rPr>
          <w:rFonts w:ascii="Arial" w:hAnsi="Arial" w:cs="Arial"/>
          <w:sz w:val="20"/>
          <w:szCs w:val="20"/>
        </w:rPr>
      </w:pPr>
      <w:r w:rsidRPr="00C21F16">
        <w:rPr>
          <w:rFonts w:ascii="Arial" w:hAnsi="Arial" w:cs="Arial"/>
          <w:sz w:val="20"/>
          <w:szCs w:val="20"/>
          <w:lang w:val="en-IN"/>
        </w:rPr>
        <w:t xml:space="preserve">Total phenols, ascorbic acid, </w:t>
      </w:r>
      <w:r w:rsidRPr="006B2E4C">
        <w:rPr>
          <w:rFonts w:ascii="Arial" w:hAnsi="Arial" w:cs="Arial"/>
          <w:sz w:val="20"/>
          <w:szCs w:val="20"/>
        </w:rPr>
        <w:t>β</w:t>
      </w:r>
      <w:r w:rsidRPr="00C21F16">
        <w:rPr>
          <w:rFonts w:ascii="Arial" w:hAnsi="Arial" w:cs="Arial"/>
          <w:sz w:val="20"/>
          <w:szCs w:val="20"/>
          <w:lang w:val="en-IN"/>
        </w:rPr>
        <w:t xml:space="preserve">-carotene and lycopene in Portuguese wild edible mushrooms and their antioxidant activities. </w:t>
      </w:r>
      <w:r w:rsidRPr="006B2E4C">
        <w:rPr>
          <w:rFonts w:ascii="Arial" w:hAnsi="Arial" w:cs="Arial"/>
          <w:sz w:val="20"/>
          <w:szCs w:val="20"/>
        </w:rPr>
        <w:t>Food Chemistry, 413–419.</w:t>
      </w:r>
      <w:r w:rsidR="001218F2">
        <w:rPr>
          <w:rFonts w:ascii="Arial" w:hAnsi="Arial" w:cs="Arial"/>
          <w:sz w:val="20"/>
          <w:szCs w:val="20"/>
        </w:rPr>
        <w:t xml:space="preserve"> </w:t>
      </w:r>
      <w:r w:rsidR="001218F2" w:rsidRPr="001218F2">
        <w:rPr>
          <w:rFonts w:ascii="Arial" w:hAnsi="Arial" w:cs="Arial"/>
          <w:sz w:val="20"/>
          <w:szCs w:val="20"/>
        </w:rPr>
        <w:t>DOI:</w:t>
      </w:r>
      <w:hyperlink r:id="rId17" w:tgtFrame="_blank" w:history="1">
        <w:r w:rsidR="001218F2" w:rsidRPr="001218F2">
          <w:rPr>
            <w:rStyle w:val="Hyperlink"/>
            <w:rFonts w:ascii="Arial" w:hAnsi="Arial" w:cs="Arial"/>
            <w:sz w:val="20"/>
            <w:szCs w:val="20"/>
          </w:rPr>
          <w:t>10.1016/j.foodchem.2006.07.038</w:t>
        </w:r>
      </w:hyperlink>
    </w:p>
    <w:p w14:paraId="4B089DD5" w14:textId="247A61FA" w:rsidR="00B74072" w:rsidRPr="00C21F16" w:rsidRDefault="007D77B3" w:rsidP="006B2E4C">
      <w:pPr>
        <w:spacing w:line="240" w:lineRule="auto"/>
        <w:jc w:val="both"/>
        <w:rPr>
          <w:rFonts w:ascii="Arial" w:hAnsi="Arial" w:cs="Arial"/>
          <w:sz w:val="20"/>
          <w:szCs w:val="20"/>
          <w:lang w:val="en-IN"/>
        </w:rPr>
      </w:pPr>
      <w:r w:rsidRPr="00C21F16">
        <w:rPr>
          <w:rFonts w:ascii="Arial" w:hAnsi="Arial" w:cs="Arial"/>
          <w:sz w:val="20"/>
          <w:szCs w:val="20"/>
          <w:lang w:val="en-IN"/>
        </w:rPr>
        <w:t xml:space="preserve">Bernfeld P. (1955): Amylase </w:t>
      </w:r>
      <w:r w:rsidRPr="006B2E4C">
        <w:rPr>
          <w:rFonts w:ascii="Arial" w:hAnsi="Arial" w:cs="Arial"/>
          <w:sz w:val="20"/>
          <w:szCs w:val="20"/>
        </w:rPr>
        <w:t>α</w:t>
      </w:r>
      <w:r w:rsidRPr="00C21F16">
        <w:rPr>
          <w:rFonts w:ascii="Arial" w:hAnsi="Arial" w:cs="Arial"/>
          <w:sz w:val="20"/>
          <w:szCs w:val="20"/>
          <w:lang w:val="en-IN"/>
        </w:rPr>
        <w:t xml:space="preserve"> and beta, In: Methods in Enzymology. Academic Press, 1</w:t>
      </w:r>
      <w:r w:rsidR="00053497">
        <w:rPr>
          <w:rFonts w:ascii="Arial" w:hAnsi="Arial" w:cs="Arial"/>
          <w:sz w:val="20"/>
          <w:szCs w:val="20"/>
          <w:lang w:val="en-IN"/>
        </w:rPr>
        <w:t>,</w:t>
      </w:r>
    </w:p>
    <w:p w14:paraId="69E1BE3C" w14:textId="1495523C" w:rsidR="007D77B3" w:rsidRPr="00C21F16" w:rsidRDefault="007D77B3" w:rsidP="006B2E4C">
      <w:pPr>
        <w:spacing w:line="240" w:lineRule="auto"/>
        <w:ind w:left="708"/>
        <w:jc w:val="both"/>
        <w:rPr>
          <w:rFonts w:ascii="Arial" w:hAnsi="Arial" w:cs="Arial"/>
          <w:sz w:val="20"/>
          <w:szCs w:val="20"/>
          <w:lang w:val="en-IN"/>
        </w:rPr>
      </w:pPr>
      <w:r w:rsidRPr="00C21F16">
        <w:rPr>
          <w:rFonts w:ascii="Arial" w:hAnsi="Arial" w:cs="Arial"/>
          <w:sz w:val="20"/>
          <w:szCs w:val="20"/>
          <w:lang w:val="en-IN"/>
        </w:rPr>
        <w:t xml:space="preserve"> 149-58.</w:t>
      </w:r>
      <w:r w:rsidR="00DA196C" w:rsidRPr="00C21F16">
        <w:rPr>
          <w:rFonts w:ascii="Arial" w:hAnsi="Arial" w:cs="Arial"/>
          <w:sz w:val="20"/>
          <w:szCs w:val="20"/>
          <w:lang w:val="en-IN"/>
        </w:rPr>
        <w:t xml:space="preserve"> </w:t>
      </w:r>
      <w:hyperlink r:id="rId18" w:history="1">
        <w:r w:rsidR="00DA196C" w:rsidRPr="00C21F16">
          <w:rPr>
            <w:rStyle w:val="Hyperlink"/>
            <w:rFonts w:ascii="Arial" w:hAnsi="Arial" w:cs="Arial"/>
            <w:sz w:val="20"/>
            <w:szCs w:val="20"/>
            <w:lang w:val="en-IN"/>
          </w:rPr>
          <w:t>Bernfeld P. Amylases, Alpha and Beta. Meth. Enzymology 1:149-58, 1955.</w:t>
        </w:r>
      </w:hyperlink>
    </w:p>
    <w:p w14:paraId="48468DA5" w14:textId="77777777" w:rsidR="00386F38" w:rsidRPr="00C21F16" w:rsidRDefault="00386F38" w:rsidP="006B2E4C">
      <w:pPr>
        <w:spacing w:line="240" w:lineRule="auto"/>
        <w:jc w:val="both"/>
        <w:rPr>
          <w:rFonts w:ascii="Arial" w:hAnsi="Arial" w:cs="Arial"/>
          <w:sz w:val="20"/>
          <w:szCs w:val="20"/>
          <w:lang w:val="en-IN"/>
        </w:rPr>
      </w:pPr>
      <w:r w:rsidRPr="00C21F16">
        <w:rPr>
          <w:rFonts w:ascii="Arial" w:hAnsi="Arial" w:cs="Arial"/>
          <w:sz w:val="20"/>
          <w:szCs w:val="20"/>
          <w:lang w:val="en-IN"/>
        </w:rPr>
        <w:t>Betül K. &amp; Nevin Ş. (2017). Curcumin, an active component of turmeric (</w:t>
      </w:r>
      <w:r w:rsidRPr="00C21F16">
        <w:rPr>
          <w:rFonts w:ascii="Arial" w:hAnsi="Arial" w:cs="Arial"/>
          <w:i/>
          <w:iCs/>
          <w:sz w:val="20"/>
          <w:szCs w:val="20"/>
          <w:lang w:val="en-IN"/>
        </w:rPr>
        <w:t>Curcuma longa</w:t>
      </w:r>
      <w:r w:rsidRPr="00C21F16">
        <w:rPr>
          <w:rFonts w:ascii="Arial" w:hAnsi="Arial" w:cs="Arial"/>
          <w:sz w:val="20"/>
          <w:szCs w:val="20"/>
          <w:lang w:val="en-IN"/>
        </w:rPr>
        <w:t xml:space="preserve">), </w:t>
      </w:r>
    </w:p>
    <w:p w14:paraId="2BE09FB4" w14:textId="635B7FE6" w:rsidR="00386F38" w:rsidRPr="00C21F16" w:rsidRDefault="00386F38" w:rsidP="006B2E4C">
      <w:pPr>
        <w:spacing w:line="240" w:lineRule="auto"/>
        <w:ind w:left="708"/>
        <w:jc w:val="both"/>
        <w:rPr>
          <w:rFonts w:ascii="Arial" w:hAnsi="Arial" w:cs="Arial"/>
          <w:sz w:val="20"/>
          <w:szCs w:val="20"/>
          <w:lang w:val="en-IN"/>
        </w:rPr>
      </w:pPr>
      <w:r w:rsidRPr="00C21F16">
        <w:rPr>
          <w:rFonts w:ascii="Arial" w:hAnsi="Arial" w:cs="Arial"/>
          <w:sz w:val="20"/>
          <w:szCs w:val="20"/>
          <w:lang w:val="en-IN"/>
        </w:rPr>
        <w:t>and its effects on health Critical Review in Food Science and Nutrition, 57(13), 2889–2895 http://dx.doi.org/10.1080/10408398.2015.1077195</w:t>
      </w:r>
    </w:p>
    <w:p w14:paraId="2955DA94" w14:textId="77777777" w:rsidR="008228EA" w:rsidRDefault="006620A5" w:rsidP="006B2E4C">
      <w:pPr>
        <w:spacing w:line="240" w:lineRule="auto"/>
        <w:ind w:left="709" w:hanging="709"/>
        <w:jc w:val="both"/>
        <w:rPr>
          <w:rStyle w:val="markedcontent"/>
          <w:rFonts w:ascii="Arial" w:hAnsi="Arial" w:cs="Arial"/>
          <w:sz w:val="20"/>
          <w:szCs w:val="20"/>
          <w:lang w:val="en-ZA"/>
        </w:rPr>
      </w:pPr>
      <w:r w:rsidRPr="006B2E4C">
        <w:rPr>
          <w:rStyle w:val="markedcontent"/>
          <w:rFonts w:ascii="Arial" w:hAnsi="Arial" w:cs="Arial"/>
          <w:sz w:val="20"/>
          <w:szCs w:val="20"/>
          <w:lang w:val="en-ZA"/>
        </w:rPr>
        <w:t xml:space="preserve">Boukeria S., Amel B. E. N. B. O. T. T., Kanza K. A. D. I., Debbache K. &amp; Gueniche A. (2019). </w:t>
      </w:r>
    </w:p>
    <w:p w14:paraId="761770D2" w14:textId="5DA77589" w:rsidR="006620A5" w:rsidRPr="006B2E4C" w:rsidRDefault="006620A5" w:rsidP="008228EA">
      <w:pPr>
        <w:spacing w:line="240" w:lineRule="auto"/>
        <w:ind w:left="709" w:hanging="1"/>
        <w:jc w:val="both"/>
        <w:rPr>
          <w:rStyle w:val="markedcontent"/>
          <w:rFonts w:ascii="Arial" w:hAnsi="Arial" w:cs="Arial"/>
          <w:sz w:val="20"/>
          <w:szCs w:val="20"/>
        </w:rPr>
      </w:pPr>
      <w:r w:rsidRPr="006B2E4C">
        <w:rPr>
          <w:rStyle w:val="markedcontent"/>
          <w:rFonts w:ascii="Arial" w:hAnsi="Arial" w:cs="Arial"/>
          <w:sz w:val="20"/>
          <w:szCs w:val="20"/>
        </w:rPr>
        <w:t>Étude phytochimique et évaluation de l’activité anticoagulante des composés phénoliques du</w:t>
      </w:r>
      <w:r w:rsidR="008228EA">
        <w:rPr>
          <w:rStyle w:val="markedcontent"/>
          <w:rFonts w:ascii="Arial" w:hAnsi="Arial" w:cs="Arial"/>
          <w:sz w:val="20"/>
          <w:szCs w:val="20"/>
        </w:rPr>
        <w:t xml:space="preserve"> </w:t>
      </w:r>
      <w:r w:rsidRPr="006B2E4C">
        <w:rPr>
          <w:rStyle w:val="markedcontent"/>
          <w:rFonts w:ascii="Arial" w:hAnsi="Arial" w:cs="Arial"/>
          <w:i/>
          <w:iCs/>
          <w:sz w:val="20"/>
          <w:szCs w:val="20"/>
        </w:rPr>
        <w:t>curcuma longa L</w:t>
      </w:r>
      <w:r w:rsidRPr="006B2E4C">
        <w:rPr>
          <w:rStyle w:val="markedcontent"/>
          <w:rFonts w:ascii="Arial" w:hAnsi="Arial" w:cs="Arial"/>
          <w:sz w:val="20"/>
          <w:szCs w:val="20"/>
        </w:rPr>
        <w:t xml:space="preserve">. </w:t>
      </w:r>
      <w:r w:rsidRPr="006B2E4C">
        <w:rPr>
          <w:rStyle w:val="markedcontent"/>
          <w:rFonts w:ascii="Arial" w:hAnsi="Arial" w:cs="Arial"/>
          <w:i/>
          <w:iCs/>
          <w:sz w:val="20"/>
          <w:szCs w:val="20"/>
        </w:rPr>
        <w:t>Revue des Bio ressources</w:t>
      </w:r>
      <w:r w:rsidRPr="006B2E4C">
        <w:rPr>
          <w:rStyle w:val="markedcontent"/>
          <w:rFonts w:ascii="Arial" w:hAnsi="Arial" w:cs="Arial"/>
          <w:sz w:val="20"/>
          <w:szCs w:val="20"/>
        </w:rPr>
        <w:t>, 9(2)</w:t>
      </w:r>
      <w:r w:rsidR="00053497">
        <w:rPr>
          <w:rStyle w:val="markedcontent"/>
          <w:rFonts w:ascii="Arial" w:hAnsi="Arial" w:cs="Arial"/>
          <w:sz w:val="20"/>
          <w:szCs w:val="20"/>
        </w:rPr>
        <w:t>,</w:t>
      </w:r>
      <w:r w:rsidRPr="006B2E4C">
        <w:rPr>
          <w:rStyle w:val="markedcontent"/>
          <w:rFonts w:ascii="Arial" w:hAnsi="Arial" w:cs="Arial"/>
          <w:sz w:val="20"/>
          <w:szCs w:val="20"/>
        </w:rPr>
        <w:t xml:space="preserve"> 45-53.</w:t>
      </w:r>
      <w:r w:rsidR="00533B00">
        <w:rPr>
          <w:rStyle w:val="markedcontent"/>
          <w:rFonts w:ascii="Arial" w:hAnsi="Arial" w:cs="Arial"/>
          <w:sz w:val="20"/>
          <w:szCs w:val="20"/>
        </w:rPr>
        <w:t xml:space="preserve"> </w:t>
      </w:r>
    </w:p>
    <w:p w14:paraId="137CBD62" w14:textId="77777777" w:rsidR="008228EA" w:rsidRDefault="007D77B3" w:rsidP="008228EA">
      <w:pPr>
        <w:spacing w:line="240" w:lineRule="auto"/>
        <w:jc w:val="both"/>
        <w:rPr>
          <w:rFonts w:ascii="Arial" w:hAnsi="Arial" w:cs="Arial"/>
          <w:sz w:val="20"/>
          <w:szCs w:val="20"/>
        </w:rPr>
      </w:pPr>
      <w:r w:rsidRPr="006B2E4C">
        <w:rPr>
          <w:rFonts w:ascii="Arial" w:hAnsi="Arial" w:cs="Arial"/>
          <w:sz w:val="20"/>
          <w:szCs w:val="20"/>
        </w:rPr>
        <w:t xml:space="preserve">Braga M.C., Vieira E. C. S. &amp; de Oliveira T. F. (2018). </w:t>
      </w:r>
      <w:r w:rsidRPr="006B2E4C">
        <w:rPr>
          <w:rFonts w:ascii="Arial" w:hAnsi="Arial" w:cs="Arial"/>
          <w:i/>
          <w:iCs/>
          <w:sz w:val="20"/>
          <w:szCs w:val="20"/>
        </w:rPr>
        <w:t>Curcuma longa</w:t>
      </w:r>
      <w:r w:rsidRPr="006B2E4C">
        <w:rPr>
          <w:rFonts w:ascii="Arial" w:hAnsi="Arial" w:cs="Arial"/>
          <w:sz w:val="20"/>
          <w:szCs w:val="20"/>
        </w:rPr>
        <w:t xml:space="preserve"> L.</w:t>
      </w:r>
      <w:r w:rsidR="008228EA">
        <w:rPr>
          <w:rFonts w:ascii="Arial" w:hAnsi="Arial" w:cs="Arial"/>
          <w:sz w:val="20"/>
          <w:szCs w:val="20"/>
        </w:rPr>
        <w:t xml:space="preserve"> </w:t>
      </w:r>
    </w:p>
    <w:p w14:paraId="409EC410" w14:textId="56B25BE8" w:rsidR="007D77B3" w:rsidRPr="00C21F16" w:rsidRDefault="007D77B3" w:rsidP="008228EA">
      <w:pPr>
        <w:spacing w:line="240" w:lineRule="auto"/>
        <w:ind w:left="708"/>
        <w:jc w:val="both"/>
        <w:rPr>
          <w:rStyle w:val="markedcontent"/>
          <w:rFonts w:ascii="Arial" w:hAnsi="Arial" w:cs="Arial"/>
          <w:sz w:val="20"/>
          <w:szCs w:val="20"/>
          <w:lang w:val="en-IN"/>
        </w:rPr>
      </w:pPr>
      <w:r w:rsidRPr="00C21F16">
        <w:rPr>
          <w:rFonts w:ascii="Arial" w:hAnsi="Arial" w:cs="Arial"/>
          <w:sz w:val="20"/>
          <w:szCs w:val="20"/>
          <w:lang w:val="en-IN"/>
        </w:rPr>
        <w:t>leaves: characterization (bioactive and antinutritional compounds) for use in human food in Brazil. Food Chemistry, 1(265), 308–315. doi: 10.1016/j.foodchem.2018.05.096</w:t>
      </w:r>
    </w:p>
    <w:p w14:paraId="5014639C" w14:textId="77777777" w:rsidR="00AD1663" w:rsidRPr="00C21F16" w:rsidRDefault="0049173C" w:rsidP="006B2E4C">
      <w:pPr>
        <w:spacing w:after="0" w:line="240" w:lineRule="auto"/>
        <w:jc w:val="both"/>
        <w:rPr>
          <w:rFonts w:ascii="Arial" w:hAnsi="Arial" w:cs="Arial"/>
          <w:sz w:val="20"/>
          <w:szCs w:val="20"/>
          <w:lang w:val="en-IN"/>
        </w:rPr>
      </w:pPr>
      <w:r w:rsidRPr="00C21F16">
        <w:rPr>
          <w:rFonts w:ascii="Arial" w:hAnsi="Arial" w:cs="Arial"/>
          <w:sz w:val="20"/>
          <w:szCs w:val="20"/>
          <w:lang w:val="en-IN"/>
        </w:rPr>
        <w:t>Chakraborty S</w:t>
      </w:r>
      <w:r w:rsidR="00410CB4" w:rsidRPr="00C21F16">
        <w:rPr>
          <w:rFonts w:ascii="Arial" w:hAnsi="Arial" w:cs="Arial"/>
          <w:sz w:val="20"/>
          <w:szCs w:val="20"/>
          <w:lang w:val="en-IN"/>
        </w:rPr>
        <w:t>.</w:t>
      </w:r>
      <w:r w:rsidR="003C54BD" w:rsidRPr="00C21F16">
        <w:rPr>
          <w:rFonts w:ascii="Arial" w:hAnsi="Arial" w:cs="Arial"/>
          <w:sz w:val="20"/>
          <w:szCs w:val="20"/>
          <w:lang w:val="en-IN"/>
        </w:rPr>
        <w:t xml:space="preserve"> &amp; </w:t>
      </w:r>
      <w:r w:rsidRPr="00C21F16">
        <w:rPr>
          <w:rFonts w:ascii="Arial" w:hAnsi="Arial" w:cs="Arial"/>
          <w:sz w:val="20"/>
          <w:szCs w:val="20"/>
          <w:lang w:val="en-IN"/>
        </w:rPr>
        <w:t>Das A.</w:t>
      </w:r>
      <w:r w:rsidR="003C54BD" w:rsidRPr="00C21F16">
        <w:rPr>
          <w:rFonts w:ascii="Arial" w:hAnsi="Arial" w:cs="Arial"/>
          <w:sz w:val="20"/>
          <w:szCs w:val="20"/>
          <w:lang w:val="en-IN"/>
        </w:rPr>
        <w:t xml:space="preserve"> (2020).</w:t>
      </w:r>
      <w:r w:rsidRPr="00C21F16">
        <w:rPr>
          <w:rFonts w:ascii="Arial" w:hAnsi="Arial" w:cs="Arial"/>
          <w:sz w:val="20"/>
          <w:szCs w:val="20"/>
          <w:lang w:val="en-IN"/>
        </w:rPr>
        <w:t xml:space="preserve"> A Classical Ayurveda Review on Haridra. Ayushdhara</w:t>
      </w:r>
      <w:r w:rsidR="003C54BD" w:rsidRPr="00C21F16">
        <w:rPr>
          <w:rFonts w:ascii="Arial" w:hAnsi="Arial" w:cs="Arial"/>
          <w:sz w:val="20"/>
          <w:szCs w:val="20"/>
          <w:lang w:val="en-IN"/>
        </w:rPr>
        <w:t xml:space="preserve">, </w:t>
      </w:r>
    </w:p>
    <w:p w14:paraId="743BFE33" w14:textId="16D6F8D3" w:rsidR="0049173C" w:rsidRPr="00C21F16" w:rsidRDefault="0049173C" w:rsidP="006B2E4C">
      <w:pPr>
        <w:spacing w:after="0" w:line="240" w:lineRule="auto"/>
        <w:ind w:left="708"/>
        <w:jc w:val="both"/>
        <w:rPr>
          <w:rFonts w:ascii="Arial" w:hAnsi="Arial" w:cs="Arial"/>
          <w:sz w:val="20"/>
          <w:szCs w:val="20"/>
          <w:lang w:val="en-IN"/>
        </w:rPr>
      </w:pPr>
      <w:r w:rsidRPr="00C21F16">
        <w:rPr>
          <w:rFonts w:ascii="Arial" w:hAnsi="Arial" w:cs="Arial"/>
          <w:sz w:val="20"/>
          <w:szCs w:val="20"/>
          <w:lang w:val="en-IN"/>
        </w:rPr>
        <w:t>7(1)</w:t>
      </w:r>
      <w:r w:rsidR="003C54BD" w:rsidRPr="00C21F16">
        <w:rPr>
          <w:rFonts w:ascii="Arial" w:hAnsi="Arial" w:cs="Arial"/>
          <w:sz w:val="20"/>
          <w:szCs w:val="20"/>
          <w:lang w:val="en-IN"/>
        </w:rPr>
        <w:t xml:space="preserve">, </w:t>
      </w:r>
      <w:r w:rsidRPr="00C21F16">
        <w:rPr>
          <w:rFonts w:ascii="Arial" w:hAnsi="Arial" w:cs="Arial"/>
          <w:sz w:val="20"/>
          <w:szCs w:val="20"/>
          <w:lang w:val="en-IN"/>
        </w:rPr>
        <w:t>47-55.</w:t>
      </w:r>
    </w:p>
    <w:p w14:paraId="2F23E808" w14:textId="77777777" w:rsidR="00AD1663" w:rsidRPr="00C21F16" w:rsidRDefault="00AD1663" w:rsidP="006B2E4C">
      <w:pPr>
        <w:spacing w:line="240" w:lineRule="auto"/>
        <w:jc w:val="both"/>
        <w:rPr>
          <w:rFonts w:ascii="Arial" w:hAnsi="Arial" w:cs="Arial"/>
          <w:sz w:val="20"/>
          <w:szCs w:val="20"/>
          <w:lang w:val="en-IN"/>
        </w:rPr>
      </w:pPr>
      <w:r w:rsidRPr="00C21F16">
        <w:rPr>
          <w:rFonts w:ascii="Arial" w:hAnsi="Arial" w:cs="Arial"/>
          <w:sz w:val="20"/>
          <w:szCs w:val="20"/>
          <w:lang w:val="en-IN"/>
        </w:rPr>
        <w:t xml:space="preserve">Dubois, M., Guilles, K.A., Hamilton, J.K. (1956). Calorimetric method for the </w:t>
      </w:r>
    </w:p>
    <w:p w14:paraId="63A90989" w14:textId="09FFD896" w:rsidR="00AD1663" w:rsidRPr="00C21F16" w:rsidRDefault="00AD1663" w:rsidP="006B2E4C">
      <w:pPr>
        <w:spacing w:line="240" w:lineRule="auto"/>
        <w:ind w:left="708"/>
        <w:jc w:val="both"/>
        <w:rPr>
          <w:rFonts w:ascii="Arial" w:hAnsi="Arial" w:cs="Arial"/>
          <w:sz w:val="20"/>
          <w:szCs w:val="20"/>
          <w:lang w:val="en-IN"/>
        </w:rPr>
      </w:pPr>
      <w:r w:rsidRPr="00C21F16">
        <w:rPr>
          <w:rFonts w:ascii="Arial" w:hAnsi="Arial" w:cs="Arial"/>
          <w:sz w:val="20"/>
          <w:szCs w:val="20"/>
          <w:lang w:val="en-IN"/>
        </w:rPr>
        <w:t>determination of sugars and related substances. Analytical Chemistry, 28</w:t>
      </w:r>
      <w:r w:rsidR="008B2CCD">
        <w:rPr>
          <w:rFonts w:ascii="Arial" w:hAnsi="Arial" w:cs="Arial"/>
          <w:sz w:val="20"/>
          <w:szCs w:val="20"/>
          <w:lang w:val="en-IN"/>
        </w:rPr>
        <w:t>,</w:t>
      </w:r>
      <w:r w:rsidRPr="00C21F16">
        <w:rPr>
          <w:rFonts w:ascii="Arial" w:hAnsi="Arial" w:cs="Arial"/>
          <w:sz w:val="20"/>
          <w:szCs w:val="20"/>
          <w:lang w:val="en-IN"/>
        </w:rPr>
        <w:t xml:space="preserve"> 350-356. doi:10.1021/ac60111a017</w:t>
      </w:r>
    </w:p>
    <w:p w14:paraId="0F19D136" w14:textId="77777777" w:rsidR="008228EA" w:rsidRPr="00C21F16" w:rsidRDefault="00EB72B3" w:rsidP="008228EA">
      <w:pPr>
        <w:spacing w:line="240" w:lineRule="auto"/>
        <w:jc w:val="both"/>
        <w:rPr>
          <w:rFonts w:ascii="Arial" w:hAnsi="Arial" w:cs="Arial"/>
          <w:sz w:val="20"/>
          <w:szCs w:val="20"/>
          <w:lang w:val="en-IN"/>
        </w:rPr>
      </w:pPr>
      <w:r w:rsidRPr="00C21F16">
        <w:rPr>
          <w:rFonts w:ascii="Arial" w:hAnsi="Arial" w:cs="Arial"/>
          <w:sz w:val="20"/>
          <w:szCs w:val="20"/>
          <w:lang w:val="en-IN"/>
        </w:rPr>
        <w:t xml:space="preserve">Dosoky N. S. &amp; Setzer W. N.(2018). Chemical composition and biological activities of essential oils of </w:t>
      </w:r>
    </w:p>
    <w:p w14:paraId="1A57F892" w14:textId="6D591F7C" w:rsidR="00EB72B3" w:rsidRPr="006B2E4C" w:rsidRDefault="00EB72B3" w:rsidP="008228EA">
      <w:pPr>
        <w:spacing w:line="240" w:lineRule="auto"/>
        <w:ind w:left="708"/>
        <w:jc w:val="both"/>
        <w:rPr>
          <w:rFonts w:ascii="Arial" w:hAnsi="Arial" w:cs="Arial"/>
          <w:sz w:val="20"/>
          <w:szCs w:val="20"/>
        </w:rPr>
      </w:pPr>
      <w:r w:rsidRPr="006B2E4C">
        <w:rPr>
          <w:rFonts w:ascii="Arial" w:hAnsi="Arial" w:cs="Arial"/>
          <w:sz w:val="20"/>
          <w:szCs w:val="20"/>
        </w:rPr>
        <w:t xml:space="preserve">curcuma species. Nutrients, 10(9), 1196. DOI: 10.3390/nu10091196 . </w:t>
      </w:r>
    </w:p>
    <w:p w14:paraId="3A93AB45" w14:textId="121D2AB7" w:rsidR="00345A3C" w:rsidRPr="006B2E4C" w:rsidRDefault="00345A3C" w:rsidP="00C23CB2">
      <w:pPr>
        <w:spacing w:line="240" w:lineRule="auto"/>
        <w:ind w:left="709" w:hanging="709"/>
        <w:jc w:val="both"/>
        <w:rPr>
          <w:rFonts w:ascii="Arial" w:hAnsi="Arial" w:cs="Arial"/>
          <w:sz w:val="20"/>
          <w:szCs w:val="20"/>
        </w:rPr>
      </w:pPr>
      <w:r w:rsidRPr="00345A3C">
        <w:rPr>
          <w:rFonts w:ascii="Arial" w:hAnsi="Arial" w:cs="Arial"/>
          <w:sz w:val="20"/>
          <w:szCs w:val="20"/>
        </w:rPr>
        <w:t>FAO/WHO. (1998). Carbohydrates in Human Nutrition. FAO Food and Nutrition Paper 66, Report of an FAO/WHO Expert Consultation on Carbohydrates, 14–18 April 1997. FAO, Rome, 139–140.</w:t>
      </w:r>
      <w:r w:rsidR="00572A22">
        <w:rPr>
          <w:rFonts w:ascii="Arial" w:hAnsi="Arial" w:cs="Arial"/>
          <w:sz w:val="20"/>
          <w:szCs w:val="20"/>
        </w:rPr>
        <w:t xml:space="preserve"> </w:t>
      </w:r>
    </w:p>
    <w:p w14:paraId="47D3F77F" w14:textId="7D691C9A" w:rsidR="00030261" w:rsidRPr="006B2E4C" w:rsidRDefault="00030261" w:rsidP="006B2E4C">
      <w:pPr>
        <w:spacing w:line="240" w:lineRule="auto"/>
        <w:ind w:left="709" w:hanging="709"/>
        <w:jc w:val="both"/>
        <w:rPr>
          <w:rFonts w:ascii="Arial" w:hAnsi="Arial" w:cs="Arial"/>
          <w:sz w:val="20"/>
          <w:szCs w:val="20"/>
        </w:rPr>
      </w:pPr>
      <w:r w:rsidRPr="006B2E4C">
        <w:rPr>
          <w:rFonts w:ascii="Arial" w:hAnsi="Arial" w:cs="Arial"/>
          <w:sz w:val="20"/>
          <w:szCs w:val="20"/>
        </w:rPr>
        <w:t xml:space="preserve">FAO/OMS. (2008). Programme mixte FAO/OMS sur les normes alimentaires. Rapport de la </w:t>
      </w:r>
      <w:r w:rsidR="00E37086" w:rsidRPr="006B2E4C">
        <w:rPr>
          <w:rFonts w:ascii="Arial" w:hAnsi="Arial" w:cs="Arial"/>
          <w:sz w:val="20"/>
          <w:szCs w:val="20"/>
        </w:rPr>
        <w:t xml:space="preserve">  </w:t>
      </w:r>
      <w:r w:rsidRPr="006B2E4C">
        <w:rPr>
          <w:rFonts w:ascii="Arial" w:hAnsi="Arial" w:cs="Arial"/>
          <w:sz w:val="20"/>
          <w:szCs w:val="20"/>
        </w:rPr>
        <w:t>30ème session du comité du codex sur la nutrition et les aliments diététiques ou de régime 3-7 Novembre 2008, Le Cap (Afrique du Sud), pp 1-223.</w:t>
      </w:r>
    </w:p>
    <w:p w14:paraId="5243F195" w14:textId="77777777" w:rsidR="00EB72B3" w:rsidRPr="006B2E4C" w:rsidRDefault="00EB72B3" w:rsidP="006B2E4C">
      <w:pPr>
        <w:spacing w:line="240" w:lineRule="auto"/>
        <w:jc w:val="both"/>
        <w:rPr>
          <w:rFonts w:ascii="Arial" w:hAnsi="Arial" w:cs="Arial"/>
          <w:sz w:val="20"/>
          <w:szCs w:val="20"/>
        </w:rPr>
      </w:pPr>
      <w:r w:rsidRPr="006B2E4C">
        <w:rPr>
          <w:rFonts w:ascii="Arial" w:hAnsi="Arial" w:cs="Arial"/>
          <w:sz w:val="20"/>
          <w:szCs w:val="20"/>
        </w:rPr>
        <w:lastRenderedPageBreak/>
        <w:t xml:space="preserve">Gleize, B., Steib, M., Andre, M., &amp; Reboul, E. (2012). Simple and fast HPLC method </w:t>
      </w:r>
    </w:p>
    <w:p w14:paraId="3ABB7FB2" w14:textId="77777777" w:rsidR="00B77D54" w:rsidRPr="00C21F16" w:rsidRDefault="00EB72B3" w:rsidP="00B77D54">
      <w:pPr>
        <w:spacing w:line="240" w:lineRule="auto"/>
        <w:ind w:left="708"/>
        <w:jc w:val="both"/>
        <w:rPr>
          <w:rFonts w:ascii="Arial" w:hAnsi="Arial" w:cs="Arial"/>
          <w:sz w:val="20"/>
          <w:szCs w:val="20"/>
          <w:lang w:val="en-IN"/>
        </w:rPr>
      </w:pPr>
      <w:r w:rsidRPr="00C21F16">
        <w:rPr>
          <w:rFonts w:ascii="Arial" w:hAnsi="Arial" w:cs="Arial"/>
          <w:sz w:val="20"/>
          <w:szCs w:val="20"/>
          <w:lang w:val="en-IN"/>
        </w:rPr>
        <w:t>for simultaneous determination of retinol, tocopherols, coenzyme Q(10) and carotenoids in complex samples. Food Chemistry, 134</w:t>
      </w:r>
      <w:r w:rsidR="00B77D54" w:rsidRPr="00C21F16">
        <w:rPr>
          <w:rFonts w:ascii="Arial" w:hAnsi="Arial" w:cs="Arial"/>
          <w:sz w:val="20"/>
          <w:szCs w:val="20"/>
          <w:lang w:val="en-IN"/>
        </w:rPr>
        <w:t>(4)</w:t>
      </w:r>
      <w:r w:rsidRPr="00C21F16">
        <w:rPr>
          <w:rFonts w:ascii="Arial" w:hAnsi="Arial" w:cs="Arial"/>
          <w:sz w:val="20"/>
          <w:szCs w:val="20"/>
          <w:lang w:val="en-IN"/>
        </w:rPr>
        <w:t>, 2560–2564.</w:t>
      </w:r>
      <w:r w:rsidR="00B77D54" w:rsidRPr="00C21F16">
        <w:rPr>
          <w:rFonts w:ascii="Arial" w:hAnsi="Arial" w:cs="Arial"/>
          <w:sz w:val="20"/>
          <w:szCs w:val="20"/>
          <w:lang w:val="en-IN"/>
        </w:rPr>
        <w:t xml:space="preserve"> DOI: </w:t>
      </w:r>
      <w:hyperlink r:id="rId19" w:tgtFrame="_blank" w:history="1">
        <w:r w:rsidR="00B77D54" w:rsidRPr="00C21F16">
          <w:rPr>
            <w:rStyle w:val="Hyperlink"/>
            <w:rFonts w:ascii="Arial" w:hAnsi="Arial" w:cs="Arial"/>
            <w:sz w:val="20"/>
            <w:szCs w:val="20"/>
            <w:lang w:val="en-IN"/>
          </w:rPr>
          <w:t>10.1016/j.foodchem.2012.04.043</w:t>
        </w:r>
      </w:hyperlink>
    </w:p>
    <w:p w14:paraId="7942A389" w14:textId="77777777" w:rsidR="008D13EA" w:rsidRPr="00C21F16" w:rsidRDefault="008D13EA" w:rsidP="006B2E4C">
      <w:pPr>
        <w:spacing w:line="240" w:lineRule="auto"/>
        <w:ind w:left="709" w:hanging="709"/>
        <w:jc w:val="both"/>
        <w:rPr>
          <w:rStyle w:val="markedcontent"/>
          <w:rFonts w:ascii="Arial" w:hAnsi="Arial" w:cs="Arial"/>
          <w:sz w:val="20"/>
          <w:szCs w:val="20"/>
          <w:lang w:val="en-IN"/>
        </w:rPr>
      </w:pPr>
      <w:r w:rsidRPr="006B2E4C">
        <w:rPr>
          <w:rStyle w:val="markedcontent"/>
          <w:rFonts w:ascii="Arial" w:hAnsi="Arial" w:cs="Arial"/>
          <w:sz w:val="20"/>
          <w:szCs w:val="20"/>
          <w:lang w:val="en-ZA"/>
        </w:rPr>
        <w:t xml:space="preserve">Gupta S. C., Kismali G. &amp; Aggarwal B. B. (2013). Curcumin, a component of turmeric: From farm to pharmacy. </w:t>
      </w:r>
      <w:r w:rsidRPr="00C21F16">
        <w:rPr>
          <w:rStyle w:val="markedcontent"/>
          <w:rFonts w:ascii="Arial" w:hAnsi="Arial" w:cs="Arial"/>
          <w:i/>
          <w:iCs/>
          <w:sz w:val="20"/>
          <w:szCs w:val="20"/>
          <w:lang w:val="en-IN"/>
        </w:rPr>
        <w:t>Biofactors</w:t>
      </w:r>
      <w:r w:rsidRPr="00C21F16">
        <w:rPr>
          <w:rStyle w:val="markedcontent"/>
          <w:rFonts w:ascii="Arial" w:hAnsi="Arial" w:cs="Arial"/>
          <w:sz w:val="20"/>
          <w:szCs w:val="20"/>
          <w:lang w:val="en-IN"/>
        </w:rPr>
        <w:t>, 39(1), 213</w:t>
      </w:r>
      <w:bookmarkStart w:id="10" w:name="_Hlk172378239"/>
      <w:r w:rsidRPr="00C21F16">
        <w:rPr>
          <w:rStyle w:val="markedcontent"/>
          <w:rFonts w:ascii="Arial" w:hAnsi="Arial" w:cs="Arial"/>
          <w:sz w:val="20"/>
          <w:szCs w:val="20"/>
          <w:lang w:val="en-IN"/>
        </w:rPr>
        <w:t>.</w:t>
      </w:r>
      <w:bookmarkEnd w:id="10"/>
      <w:r w:rsidRPr="00C21F16">
        <w:rPr>
          <w:rFonts w:ascii="Arial" w:hAnsi="Arial" w:cs="Arial"/>
          <w:color w:val="555555"/>
          <w:sz w:val="20"/>
          <w:szCs w:val="20"/>
          <w:shd w:val="clear" w:color="auto" w:fill="FFFFFF"/>
          <w:lang w:val="en-IN"/>
        </w:rPr>
        <w:t xml:space="preserve"> </w:t>
      </w:r>
      <w:r w:rsidRPr="00C21F16">
        <w:rPr>
          <w:rFonts w:ascii="Arial" w:hAnsi="Arial" w:cs="Arial"/>
          <w:sz w:val="20"/>
          <w:szCs w:val="20"/>
          <w:lang w:val="en-IN"/>
        </w:rPr>
        <w:t>DOI:</w:t>
      </w:r>
      <w:hyperlink r:id="rId20" w:tgtFrame="_blank" w:history="1">
        <w:r w:rsidRPr="00C21F16">
          <w:rPr>
            <w:rStyle w:val="Hyperlink"/>
            <w:rFonts w:ascii="Arial" w:hAnsi="Arial" w:cs="Arial"/>
            <w:sz w:val="20"/>
            <w:szCs w:val="20"/>
            <w:u w:val="none"/>
            <w:lang w:val="en-IN"/>
          </w:rPr>
          <w:t>10.1002/biof.1079</w:t>
        </w:r>
      </w:hyperlink>
    </w:p>
    <w:p w14:paraId="5C1DEC0A" w14:textId="77777777" w:rsidR="008228EA" w:rsidRPr="00C21F16" w:rsidRDefault="00030261" w:rsidP="008228EA">
      <w:pPr>
        <w:spacing w:line="240" w:lineRule="auto"/>
        <w:jc w:val="both"/>
        <w:rPr>
          <w:rFonts w:ascii="Arial" w:hAnsi="Arial" w:cs="Arial"/>
          <w:sz w:val="20"/>
          <w:szCs w:val="20"/>
          <w:lang w:val="en-IN"/>
        </w:rPr>
      </w:pPr>
      <w:r w:rsidRPr="00C21F16">
        <w:rPr>
          <w:rFonts w:ascii="Arial" w:hAnsi="Arial" w:cs="Arial"/>
          <w:sz w:val="20"/>
          <w:szCs w:val="20"/>
          <w:lang w:val="en-IN"/>
        </w:rPr>
        <w:t>Jadid N., Arraniry B., Hidayati D., Purwani K. I., Wikanta W., Hartanti S.R. &amp; Rachman R.</w:t>
      </w:r>
      <w:r w:rsidR="008228EA" w:rsidRPr="00C21F16">
        <w:rPr>
          <w:rFonts w:ascii="Arial" w:hAnsi="Arial" w:cs="Arial"/>
          <w:sz w:val="20"/>
          <w:szCs w:val="20"/>
          <w:lang w:val="en-IN"/>
        </w:rPr>
        <w:t xml:space="preserve"> </w:t>
      </w:r>
      <w:r w:rsidRPr="00C21F16">
        <w:rPr>
          <w:rFonts w:ascii="Arial" w:hAnsi="Arial" w:cs="Arial"/>
          <w:sz w:val="20"/>
          <w:szCs w:val="20"/>
          <w:lang w:val="en-IN"/>
        </w:rPr>
        <w:t>Y. (2018).</w:t>
      </w:r>
    </w:p>
    <w:p w14:paraId="587358E3" w14:textId="1514DAE3" w:rsidR="00030261" w:rsidRPr="00C21F16" w:rsidRDefault="00030261" w:rsidP="008228EA">
      <w:pPr>
        <w:spacing w:line="240" w:lineRule="auto"/>
        <w:ind w:left="708"/>
        <w:jc w:val="both"/>
        <w:rPr>
          <w:rStyle w:val="markedcontent"/>
          <w:rFonts w:ascii="Arial" w:hAnsi="Arial" w:cs="Arial"/>
          <w:sz w:val="20"/>
          <w:szCs w:val="20"/>
          <w:lang w:val="en-IN"/>
        </w:rPr>
      </w:pPr>
      <w:r w:rsidRPr="00C21F16">
        <w:rPr>
          <w:rFonts w:ascii="Arial" w:hAnsi="Arial" w:cs="Arial"/>
          <w:sz w:val="20"/>
          <w:szCs w:val="20"/>
          <w:lang w:val="en-IN"/>
        </w:rPr>
        <w:t xml:space="preserve"> Proximate composition, nutritional values and phytochemical screening of Piper retrofractum vahl. Fruits. Asian Pacific Journal of  Tropical Biomedicine, 8(1), 37- 43. https://doi.org/10.4103/2221-1691.221136.</w:t>
      </w:r>
    </w:p>
    <w:p w14:paraId="49558C96" w14:textId="77777777" w:rsidR="00E37086" w:rsidRPr="006B2E4C" w:rsidRDefault="00030261" w:rsidP="006B2E4C">
      <w:pPr>
        <w:spacing w:line="240" w:lineRule="auto"/>
        <w:jc w:val="both"/>
        <w:rPr>
          <w:rFonts w:ascii="Arial" w:hAnsi="Arial" w:cs="Arial"/>
          <w:sz w:val="20"/>
          <w:szCs w:val="20"/>
        </w:rPr>
      </w:pPr>
      <w:r w:rsidRPr="006B2E4C">
        <w:rPr>
          <w:rFonts w:ascii="Arial" w:hAnsi="Arial" w:cs="Arial"/>
          <w:sz w:val="20"/>
          <w:szCs w:val="20"/>
        </w:rPr>
        <w:t xml:space="preserve">Josemar G.¸ Alves de O. F., Micael J.´ de A., Tainara L. S., D. C. dos S., &amp; Mariana B. </w:t>
      </w:r>
    </w:p>
    <w:p w14:paraId="325C02DB" w14:textId="447B4D69" w:rsidR="00030261" w:rsidRPr="00C21F16" w:rsidRDefault="00030261" w:rsidP="006B2E4C">
      <w:pPr>
        <w:spacing w:line="240" w:lineRule="auto"/>
        <w:ind w:left="708"/>
        <w:jc w:val="both"/>
        <w:rPr>
          <w:rFonts w:ascii="Arial" w:hAnsi="Arial" w:cs="Arial"/>
          <w:sz w:val="20"/>
          <w:szCs w:val="20"/>
          <w:lang w:val="en-IN"/>
        </w:rPr>
      </w:pPr>
      <w:r w:rsidRPr="00C21F16">
        <w:rPr>
          <w:rFonts w:ascii="Arial" w:hAnsi="Arial" w:cs="Arial"/>
          <w:sz w:val="20"/>
          <w:szCs w:val="20"/>
          <w:lang w:val="en-IN"/>
        </w:rPr>
        <w:t>E. (2021). Bioactive Compounds of Turmeric (</w:t>
      </w:r>
      <w:r w:rsidRPr="00C21F16">
        <w:rPr>
          <w:rFonts w:ascii="Arial" w:hAnsi="Arial" w:cs="Arial"/>
          <w:i/>
          <w:iCs/>
          <w:sz w:val="20"/>
          <w:szCs w:val="20"/>
          <w:lang w:val="en-IN"/>
        </w:rPr>
        <w:t>Curcuma longa</w:t>
      </w:r>
      <w:r w:rsidRPr="00C21F16">
        <w:rPr>
          <w:rFonts w:ascii="Arial" w:hAnsi="Arial" w:cs="Arial"/>
          <w:sz w:val="20"/>
          <w:szCs w:val="20"/>
          <w:lang w:val="en-IN"/>
        </w:rPr>
        <w:t xml:space="preserve"> L.) in book: Bioactive Compounds in Underutilized Vegetables and Legumes, (.297-318). DOI: 10.1007/978-3-030-57415-4_37</w:t>
      </w:r>
    </w:p>
    <w:p w14:paraId="65C8A03B" w14:textId="77777777" w:rsidR="00E37086" w:rsidRPr="00C21F16" w:rsidRDefault="00030261" w:rsidP="006B2E4C">
      <w:pPr>
        <w:spacing w:line="240" w:lineRule="auto"/>
        <w:jc w:val="both"/>
        <w:rPr>
          <w:rFonts w:ascii="Arial" w:hAnsi="Arial" w:cs="Arial"/>
          <w:sz w:val="20"/>
          <w:szCs w:val="20"/>
          <w:lang w:val="en-IN"/>
        </w:rPr>
      </w:pPr>
      <w:r w:rsidRPr="00C21F16">
        <w:rPr>
          <w:rFonts w:ascii="Arial" w:hAnsi="Arial" w:cs="Arial"/>
          <w:sz w:val="20"/>
          <w:szCs w:val="20"/>
          <w:lang w:val="en-IN"/>
        </w:rPr>
        <w:t xml:space="preserve">Ibáñez M. D. &amp; Blázquez M. A. (2020). </w:t>
      </w:r>
      <w:r w:rsidRPr="00C21F16">
        <w:rPr>
          <w:rFonts w:ascii="Arial" w:hAnsi="Arial" w:cs="Arial"/>
          <w:i/>
          <w:iCs/>
          <w:sz w:val="20"/>
          <w:szCs w:val="20"/>
          <w:lang w:val="en-IN"/>
        </w:rPr>
        <w:t>Curcuma longa</w:t>
      </w:r>
      <w:r w:rsidRPr="00C21F16">
        <w:rPr>
          <w:rFonts w:ascii="Arial" w:hAnsi="Arial" w:cs="Arial"/>
          <w:sz w:val="20"/>
          <w:szCs w:val="20"/>
          <w:lang w:val="en-IN"/>
        </w:rPr>
        <w:t xml:space="preserve"> L. rhizome essential oil from </w:t>
      </w:r>
    </w:p>
    <w:p w14:paraId="341276AA" w14:textId="71FF2F5B" w:rsidR="00030261" w:rsidRDefault="00030261" w:rsidP="006B2E4C">
      <w:pPr>
        <w:spacing w:line="240" w:lineRule="auto"/>
        <w:ind w:left="708"/>
        <w:jc w:val="both"/>
        <w:rPr>
          <w:rFonts w:ascii="Arial" w:hAnsi="Arial" w:cs="Arial"/>
          <w:sz w:val="20"/>
          <w:szCs w:val="20"/>
          <w:lang w:val="en-IN"/>
        </w:rPr>
      </w:pPr>
      <w:r w:rsidRPr="00C21F16">
        <w:rPr>
          <w:rFonts w:ascii="Arial" w:hAnsi="Arial" w:cs="Arial"/>
          <w:sz w:val="20"/>
          <w:szCs w:val="20"/>
          <w:lang w:val="en-IN"/>
        </w:rPr>
        <w:t>extraction to Its Agri-Food applications. A review Plants, 10(1), 44. DOI: 10.3390/plants10010044</w:t>
      </w:r>
    </w:p>
    <w:p w14:paraId="35ACD303" w14:textId="77777777" w:rsidR="009B0BF0" w:rsidRDefault="00B736F4" w:rsidP="00065D7C">
      <w:pPr>
        <w:spacing w:line="240" w:lineRule="auto"/>
        <w:jc w:val="both"/>
        <w:rPr>
          <w:rFonts w:ascii="Arial" w:hAnsi="Arial" w:cs="Arial"/>
          <w:sz w:val="20"/>
          <w:szCs w:val="20"/>
        </w:rPr>
      </w:pPr>
      <w:r w:rsidRPr="00B736F4">
        <w:rPr>
          <w:rFonts w:ascii="Arial" w:hAnsi="Arial" w:cs="Arial"/>
          <w:sz w:val="20"/>
          <w:szCs w:val="20"/>
        </w:rPr>
        <w:t>Izamara de O</w:t>
      </w:r>
      <w:r>
        <w:rPr>
          <w:rFonts w:ascii="Arial" w:hAnsi="Arial" w:cs="Arial"/>
          <w:sz w:val="20"/>
          <w:szCs w:val="20"/>
        </w:rPr>
        <w:t xml:space="preserve">., Celestino S.-B., </w:t>
      </w:r>
      <w:r w:rsidRPr="00B736F4">
        <w:rPr>
          <w:rFonts w:ascii="Arial" w:hAnsi="Arial" w:cs="Arial"/>
          <w:sz w:val="20"/>
          <w:szCs w:val="20"/>
        </w:rPr>
        <w:t>Yara A</w:t>
      </w:r>
      <w:r>
        <w:rPr>
          <w:rFonts w:ascii="Arial" w:hAnsi="Arial" w:cs="Arial"/>
          <w:sz w:val="20"/>
          <w:szCs w:val="20"/>
        </w:rPr>
        <w:t>., Lillian B. &amp; Sandrina A.</w:t>
      </w:r>
      <w:bookmarkStart w:id="11" w:name="bau5-profile"/>
      <w:r w:rsidR="00065D7C">
        <w:rPr>
          <w:rFonts w:ascii="Arial" w:hAnsi="Arial" w:cs="Arial"/>
          <w:sz w:val="20"/>
          <w:szCs w:val="20"/>
        </w:rPr>
        <w:t xml:space="preserve"> H. (</w:t>
      </w:r>
      <w:bookmarkEnd w:id="11"/>
      <w:r w:rsidR="00065D7C">
        <w:rPr>
          <w:rFonts w:ascii="Arial" w:hAnsi="Arial" w:cs="Arial"/>
          <w:sz w:val="20"/>
          <w:szCs w:val="20"/>
        </w:rPr>
        <w:t xml:space="preserve">2025). </w:t>
      </w:r>
      <w:r w:rsidR="00065D7C" w:rsidRPr="00065D7C">
        <w:rPr>
          <w:rFonts w:ascii="Arial" w:hAnsi="Arial" w:cs="Arial"/>
          <w:sz w:val="20"/>
          <w:szCs w:val="20"/>
        </w:rPr>
        <w:t>New frontiers in the</w:t>
      </w:r>
    </w:p>
    <w:p w14:paraId="1D5EE9D6" w14:textId="6A0DFCEC" w:rsidR="00065D7C" w:rsidRPr="00065D7C" w:rsidRDefault="00065D7C" w:rsidP="009B0BF0">
      <w:pPr>
        <w:spacing w:line="240" w:lineRule="auto"/>
        <w:ind w:left="708"/>
        <w:jc w:val="both"/>
        <w:rPr>
          <w:rFonts w:ascii="Arial" w:hAnsi="Arial" w:cs="Arial"/>
          <w:sz w:val="20"/>
          <w:szCs w:val="20"/>
        </w:rPr>
      </w:pPr>
      <w:r w:rsidRPr="00065D7C">
        <w:rPr>
          <w:rFonts w:ascii="Arial" w:hAnsi="Arial" w:cs="Arial"/>
          <w:sz w:val="20"/>
          <w:szCs w:val="20"/>
        </w:rPr>
        <w:t xml:space="preserve"> exploration of phenolic compounds and other bioactives as natural preservatives</w:t>
      </w:r>
      <w:r>
        <w:rPr>
          <w:rFonts w:ascii="Arial" w:hAnsi="Arial" w:cs="Arial"/>
          <w:sz w:val="20"/>
          <w:szCs w:val="20"/>
        </w:rPr>
        <w:t xml:space="preserve"> . Food Bioscience, 68,</w:t>
      </w:r>
      <w:r w:rsidR="009B0BF0">
        <w:rPr>
          <w:rFonts w:ascii="Arial" w:hAnsi="Arial" w:cs="Arial"/>
          <w:sz w:val="20"/>
          <w:szCs w:val="20"/>
        </w:rPr>
        <w:t xml:space="preserve"> 106571.</w:t>
      </w:r>
      <w:r>
        <w:rPr>
          <w:rFonts w:ascii="Arial" w:hAnsi="Arial" w:cs="Arial"/>
          <w:sz w:val="20"/>
          <w:szCs w:val="20"/>
        </w:rPr>
        <w:t xml:space="preserve">  </w:t>
      </w:r>
      <w:hyperlink r:id="rId21" w:tgtFrame="_blank" w:tooltip="Persistent link using digital object identifier" w:history="1">
        <w:r w:rsidRPr="00065D7C">
          <w:rPr>
            <w:rStyle w:val="Hyperlink"/>
            <w:rFonts w:ascii="Arial" w:hAnsi="Arial" w:cs="Arial"/>
            <w:sz w:val="20"/>
            <w:szCs w:val="20"/>
          </w:rPr>
          <w:t>https://doi.org/10.1016/j.fbio.2025.106571</w:t>
        </w:r>
      </w:hyperlink>
    </w:p>
    <w:p w14:paraId="2EC9E2FA" w14:textId="5D3D8B43" w:rsidR="00B736F4" w:rsidRPr="00C21F16" w:rsidRDefault="00B736F4" w:rsidP="00B736F4">
      <w:pPr>
        <w:spacing w:line="240" w:lineRule="auto"/>
        <w:jc w:val="both"/>
        <w:rPr>
          <w:rFonts w:ascii="Arial" w:hAnsi="Arial" w:cs="Arial"/>
          <w:sz w:val="20"/>
          <w:szCs w:val="20"/>
          <w:lang w:val="en-IN"/>
        </w:rPr>
      </w:pPr>
    </w:p>
    <w:p w14:paraId="15B8B0ED" w14:textId="77777777" w:rsidR="00E37086" w:rsidRPr="006B2E4C" w:rsidRDefault="00E37086" w:rsidP="006B2E4C">
      <w:pPr>
        <w:spacing w:line="240" w:lineRule="auto"/>
        <w:jc w:val="both"/>
        <w:rPr>
          <w:rFonts w:ascii="Arial" w:hAnsi="Arial" w:cs="Arial"/>
          <w:sz w:val="20"/>
          <w:szCs w:val="20"/>
        </w:rPr>
      </w:pPr>
      <w:r w:rsidRPr="00C21F16">
        <w:rPr>
          <w:rFonts w:ascii="Arial" w:hAnsi="Arial" w:cs="Arial"/>
          <w:sz w:val="20"/>
          <w:szCs w:val="20"/>
          <w:lang w:val="en-IN"/>
        </w:rPr>
        <w:t xml:space="preserve">Kandel, B. &amp; Mukhopadhyay S. (2022). </w:t>
      </w:r>
      <w:r w:rsidRPr="006B2E4C">
        <w:rPr>
          <w:rFonts w:ascii="Arial" w:hAnsi="Arial" w:cs="Arial"/>
          <w:sz w:val="20"/>
          <w:szCs w:val="20"/>
        </w:rPr>
        <w:t>Phytochemicaland pharmacological properties</w:t>
      </w:r>
    </w:p>
    <w:p w14:paraId="12FB0A1E" w14:textId="304DDEDF" w:rsidR="00E37086" w:rsidRPr="006B2E4C" w:rsidRDefault="00E37086" w:rsidP="006B2E4C">
      <w:pPr>
        <w:spacing w:line="240" w:lineRule="auto"/>
        <w:ind w:left="360"/>
        <w:jc w:val="both"/>
        <w:rPr>
          <w:rFonts w:ascii="Arial" w:hAnsi="Arial" w:cs="Arial"/>
          <w:sz w:val="20"/>
          <w:szCs w:val="20"/>
        </w:rPr>
      </w:pPr>
      <w:r w:rsidRPr="00C21F16">
        <w:rPr>
          <w:rFonts w:ascii="Arial" w:hAnsi="Arial" w:cs="Arial"/>
          <w:sz w:val="20"/>
          <w:szCs w:val="20"/>
          <w:lang w:val="en-IN"/>
        </w:rPr>
        <w:t xml:space="preserve">of </w:t>
      </w:r>
      <w:r w:rsidRPr="00C21F16">
        <w:rPr>
          <w:rFonts w:ascii="Arial" w:hAnsi="Arial" w:cs="Arial"/>
          <w:i/>
          <w:iCs/>
          <w:sz w:val="20"/>
          <w:szCs w:val="20"/>
          <w:lang w:val="en-IN"/>
        </w:rPr>
        <w:t>Curcuma longa</w:t>
      </w:r>
      <w:r w:rsidRPr="00C21F16">
        <w:rPr>
          <w:rFonts w:ascii="Arial" w:hAnsi="Arial" w:cs="Arial"/>
          <w:sz w:val="20"/>
          <w:szCs w:val="20"/>
          <w:lang w:val="en-IN"/>
        </w:rPr>
        <w:t xml:space="preserve"> </w:t>
      </w:r>
      <w:r w:rsidRPr="00C21F16">
        <w:rPr>
          <w:rFonts w:ascii="Arial" w:hAnsi="Arial" w:cs="Arial"/>
          <w:i/>
          <w:iCs/>
          <w:sz w:val="20"/>
          <w:szCs w:val="20"/>
          <w:lang w:val="en-IN"/>
        </w:rPr>
        <w:t>Linn</w:t>
      </w:r>
      <w:r w:rsidRPr="00C21F16">
        <w:rPr>
          <w:rFonts w:ascii="Arial" w:hAnsi="Arial" w:cs="Arial"/>
          <w:sz w:val="20"/>
          <w:szCs w:val="20"/>
          <w:lang w:val="en-IN"/>
        </w:rPr>
        <w:t xml:space="preserve">: A review. International Journal of Health Sciences, 6(S6), 3501–3510. </w:t>
      </w:r>
      <w:r w:rsidRPr="00065D7C">
        <w:rPr>
          <w:rFonts w:ascii="Arial" w:hAnsi="Arial" w:cs="Arial"/>
          <w:sz w:val="20"/>
          <w:szCs w:val="20"/>
        </w:rPr>
        <w:t>https://doi.org/10.53730/ijhs.v6nS6.10185</w:t>
      </w:r>
    </w:p>
    <w:p w14:paraId="118C63AB" w14:textId="77777777" w:rsidR="00934269" w:rsidRPr="006B2E4C" w:rsidRDefault="00957234" w:rsidP="006B2E4C">
      <w:pPr>
        <w:spacing w:line="240" w:lineRule="auto"/>
        <w:jc w:val="both"/>
        <w:rPr>
          <w:rFonts w:ascii="Arial" w:hAnsi="Arial" w:cs="Arial"/>
          <w:sz w:val="20"/>
          <w:szCs w:val="20"/>
        </w:rPr>
      </w:pPr>
      <w:r w:rsidRPr="006B2E4C">
        <w:rPr>
          <w:rFonts w:ascii="Arial" w:hAnsi="Arial" w:cs="Arial"/>
          <w:sz w:val="20"/>
          <w:szCs w:val="20"/>
        </w:rPr>
        <w:t>KASSI A. B. B., BALLO D., KABRAN A. F., SISSOUMA D. &amp; ADJOU A. (2020).</w:t>
      </w:r>
    </w:p>
    <w:p w14:paraId="605B7234" w14:textId="1794ABAB" w:rsidR="00957234" w:rsidRPr="00C21F16" w:rsidRDefault="00957234" w:rsidP="006B2E4C">
      <w:pPr>
        <w:spacing w:line="240" w:lineRule="auto"/>
        <w:ind w:left="708"/>
        <w:jc w:val="both"/>
        <w:rPr>
          <w:rFonts w:ascii="Arial" w:hAnsi="Arial" w:cs="Arial"/>
          <w:sz w:val="20"/>
          <w:szCs w:val="20"/>
          <w:lang w:val="en-IN"/>
        </w:rPr>
      </w:pPr>
      <w:r w:rsidRPr="006B2E4C">
        <w:rPr>
          <w:rFonts w:ascii="Arial" w:hAnsi="Arial" w:cs="Arial"/>
          <w:sz w:val="20"/>
          <w:szCs w:val="20"/>
        </w:rPr>
        <w:t xml:space="preserve">Evaluation du pouvoir antioxydant et de la teneur en polyphénols totaux de six plantes médicinales utilisées dans le traitement des maladies cardiovasculaires. </w:t>
      </w:r>
      <w:r w:rsidRPr="00C21F16">
        <w:rPr>
          <w:rFonts w:ascii="Arial" w:hAnsi="Arial" w:cs="Arial"/>
          <w:sz w:val="20"/>
          <w:szCs w:val="20"/>
          <w:lang w:val="en-IN"/>
        </w:rPr>
        <w:t>Journal of Applied Biosciences, 153</w:t>
      </w:r>
      <w:r w:rsidR="00A347D0" w:rsidRPr="00C21F16">
        <w:rPr>
          <w:rFonts w:ascii="Arial" w:hAnsi="Arial" w:cs="Arial"/>
          <w:sz w:val="20"/>
          <w:szCs w:val="20"/>
          <w:lang w:val="en-IN"/>
        </w:rPr>
        <w:t>,</w:t>
      </w:r>
      <w:r w:rsidRPr="00C21F16">
        <w:rPr>
          <w:rFonts w:ascii="Arial" w:hAnsi="Arial" w:cs="Arial"/>
          <w:sz w:val="20"/>
          <w:szCs w:val="20"/>
          <w:lang w:val="en-IN"/>
        </w:rPr>
        <w:t>15788 – 15797.https://www.ajol.info/index.php/jab/article/view/233450</w:t>
      </w:r>
    </w:p>
    <w:p w14:paraId="5DCD0F88" w14:textId="77777777" w:rsidR="00A347D0" w:rsidRPr="006B2E4C" w:rsidRDefault="00E37086" w:rsidP="006B2E4C">
      <w:pPr>
        <w:spacing w:line="240" w:lineRule="auto"/>
        <w:jc w:val="both"/>
        <w:rPr>
          <w:rFonts w:ascii="Arial" w:hAnsi="Arial" w:cs="Arial"/>
          <w:sz w:val="20"/>
          <w:szCs w:val="20"/>
        </w:rPr>
      </w:pPr>
      <w:r w:rsidRPr="006B2E4C">
        <w:rPr>
          <w:rFonts w:ascii="Arial" w:hAnsi="Arial" w:cs="Arial"/>
          <w:sz w:val="20"/>
          <w:szCs w:val="20"/>
        </w:rPr>
        <w:t>Kouamé C</w:t>
      </w:r>
      <w:r w:rsidR="00A347D0" w:rsidRPr="006B2E4C">
        <w:rPr>
          <w:rFonts w:ascii="Arial" w:hAnsi="Arial" w:cs="Arial"/>
          <w:sz w:val="20"/>
          <w:szCs w:val="20"/>
        </w:rPr>
        <w:t xml:space="preserve">. </w:t>
      </w:r>
      <w:r w:rsidRPr="006B2E4C">
        <w:rPr>
          <w:rFonts w:ascii="Arial" w:hAnsi="Arial" w:cs="Arial"/>
          <w:sz w:val="20"/>
          <w:szCs w:val="20"/>
        </w:rPr>
        <w:t>Y</w:t>
      </w:r>
      <w:r w:rsidR="00A347D0" w:rsidRPr="006B2E4C">
        <w:rPr>
          <w:rFonts w:ascii="Arial" w:hAnsi="Arial" w:cs="Arial"/>
          <w:sz w:val="20"/>
          <w:szCs w:val="20"/>
        </w:rPr>
        <w:t>.</w:t>
      </w:r>
      <w:r w:rsidRPr="006B2E4C">
        <w:rPr>
          <w:rFonts w:ascii="Arial" w:hAnsi="Arial" w:cs="Arial"/>
          <w:sz w:val="20"/>
          <w:szCs w:val="20"/>
        </w:rPr>
        <w:t>, Serge O</w:t>
      </w:r>
      <w:r w:rsidR="00A347D0" w:rsidRPr="006B2E4C">
        <w:rPr>
          <w:rFonts w:ascii="Arial" w:hAnsi="Arial" w:cs="Arial"/>
          <w:sz w:val="20"/>
          <w:szCs w:val="20"/>
        </w:rPr>
        <w:t xml:space="preserve">. </w:t>
      </w:r>
      <w:r w:rsidRPr="006B2E4C">
        <w:rPr>
          <w:rFonts w:ascii="Arial" w:hAnsi="Arial" w:cs="Arial"/>
          <w:sz w:val="20"/>
          <w:szCs w:val="20"/>
        </w:rPr>
        <w:t>T</w:t>
      </w:r>
      <w:r w:rsidR="00A347D0" w:rsidRPr="006B2E4C">
        <w:rPr>
          <w:rFonts w:ascii="Arial" w:hAnsi="Arial" w:cs="Arial"/>
          <w:sz w:val="20"/>
          <w:szCs w:val="20"/>
        </w:rPr>
        <w:t>.</w:t>
      </w:r>
      <w:r w:rsidRPr="006B2E4C">
        <w:rPr>
          <w:rFonts w:ascii="Arial" w:hAnsi="Arial" w:cs="Arial"/>
          <w:sz w:val="20"/>
          <w:szCs w:val="20"/>
        </w:rPr>
        <w:t>, Arture Z</w:t>
      </w:r>
      <w:r w:rsidR="00A347D0" w:rsidRPr="006B2E4C">
        <w:rPr>
          <w:rFonts w:ascii="Arial" w:hAnsi="Arial" w:cs="Arial"/>
          <w:sz w:val="20"/>
          <w:szCs w:val="20"/>
        </w:rPr>
        <w:t>.</w:t>
      </w:r>
      <w:r w:rsidRPr="006B2E4C">
        <w:rPr>
          <w:rFonts w:ascii="Arial" w:hAnsi="Arial" w:cs="Arial"/>
          <w:sz w:val="20"/>
          <w:szCs w:val="20"/>
        </w:rPr>
        <w:t>, Y</w:t>
      </w:r>
      <w:r w:rsidR="00A347D0" w:rsidRPr="006B2E4C">
        <w:rPr>
          <w:rFonts w:ascii="Arial" w:hAnsi="Arial" w:cs="Arial"/>
          <w:sz w:val="20"/>
          <w:szCs w:val="20"/>
        </w:rPr>
        <w:t>.</w:t>
      </w:r>
      <w:r w:rsidRPr="006B2E4C">
        <w:rPr>
          <w:rFonts w:ascii="Arial" w:hAnsi="Arial" w:cs="Arial"/>
          <w:sz w:val="20"/>
          <w:szCs w:val="20"/>
        </w:rPr>
        <w:t xml:space="preserve"> K</w:t>
      </w:r>
      <w:r w:rsidR="00A347D0" w:rsidRPr="006B2E4C">
        <w:rPr>
          <w:rFonts w:ascii="Arial" w:hAnsi="Arial" w:cs="Arial"/>
          <w:sz w:val="20"/>
          <w:szCs w:val="20"/>
        </w:rPr>
        <w:t>.,</w:t>
      </w:r>
      <w:r w:rsidRPr="006B2E4C">
        <w:rPr>
          <w:rFonts w:ascii="Arial" w:hAnsi="Arial" w:cs="Arial"/>
          <w:sz w:val="20"/>
          <w:szCs w:val="20"/>
        </w:rPr>
        <w:t xml:space="preserve"> Clarisse K</w:t>
      </w:r>
      <w:r w:rsidR="00A347D0" w:rsidRPr="006B2E4C">
        <w:rPr>
          <w:rFonts w:ascii="Arial" w:hAnsi="Arial" w:cs="Arial"/>
          <w:sz w:val="20"/>
          <w:szCs w:val="20"/>
        </w:rPr>
        <w:t>.</w:t>
      </w:r>
      <w:r w:rsidRPr="006B2E4C">
        <w:rPr>
          <w:rFonts w:ascii="Arial" w:hAnsi="Arial" w:cs="Arial"/>
          <w:sz w:val="20"/>
          <w:szCs w:val="20"/>
        </w:rPr>
        <w:t>, Kra A</w:t>
      </w:r>
      <w:r w:rsidR="00A347D0" w:rsidRPr="006B2E4C">
        <w:rPr>
          <w:rFonts w:ascii="Arial" w:hAnsi="Arial" w:cs="Arial"/>
          <w:sz w:val="20"/>
          <w:szCs w:val="20"/>
        </w:rPr>
        <w:t xml:space="preserve">. </w:t>
      </w:r>
      <w:r w:rsidRPr="006B2E4C">
        <w:rPr>
          <w:rFonts w:ascii="Arial" w:hAnsi="Arial" w:cs="Arial"/>
          <w:sz w:val="20"/>
          <w:szCs w:val="20"/>
        </w:rPr>
        <w:t>K</w:t>
      </w:r>
      <w:r w:rsidR="00A347D0" w:rsidRPr="006B2E4C">
        <w:rPr>
          <w:rFonts w:ascii="Arial" w:hAnsi="Arial" w:cs="Arial"/>
          <w:sz w:val="20"/>
          <w:szCs w:val="20"/>
        </w:rPr>
        <w:t>.</w:t>
      </w:r>
      <w:r w:rsidRPr="006B2E4C">
        <w:rPr>
          <w:rFonts w:ascii="Arial" w:hAnsi="Arial" w:cs="Arial"/>
          <w:sz w:val="20"/>
          <w:szCs w:val="20"/>
        </w:rPr>
        <w:t>, Mankambou J</w:t>
      </w:r>
      <w:r w:rsidR="00A347D0" w:rsidRPr="006B2E4C">
        <w:rPr>
          <w:rFonts w:ascii="Arial" w:hAnsi="Arial" w:cs="Arial"/>
          <w:sz w:val="20"/>
          <w:szCs w:val="20"/>
        </w:rPr>
        <w:t xml:space="preserve">. </w:t>
      </w:r>
      <w:r w:rsidRPr="006B2E4C">
        <w:rPr>
          <w:rFonts w:ascii="Arial" w:hAnsi="Arial" w:cs="Arial"/>
          <w:sz w:val="20"/>
          <w:szCs w:val="20"/>
        </w:rPr>
        <w:t>G</w:t>
      </w:r>
      <w:r w:rsidR="00A347D0" w:rsidRPr="006B2E4C">
        <w:rPr>
          <w:rFonts w:ascii="Arial" w:hAnsi="Arial" w:cs="Arial"/>
          <w:sz w:val="20"/>
          <w:szCs w:val="20"/>
        </w:rPr>
        <w:t>.</w:t>
      </w:r>
      <w:r w:rsidRPr="006B2E4C">
        <w:rPr>
          <w:rFonts w:ascii="Arial" w:hAnsi="Arial" w:cs="Arial"/>
          <w:sz w:val="20"/>
          <w:szCs w:val="20"/>
        </w:rPr>
        <w:t>, Clément</w:t>
      </w:r>
    </w:p>
    <w:p w14:paraId="43BFE5E8" w14:textId="1ED9CF5E" w:rsidR="00E37086" w:rsidRPr="00C21F16" w:rsidRDefault="00E37086" w:rsidP="006B2E4C">
      <w:pPr>
        <w:spacing w:line="240" w:lineRule="auto"/>
        <w:ind w:left="708"/>
        <w:jc w:val="both"/>
        <w:rPr>
          <w:rFonts w:ascii="Arial" w:hAnsi="Arial" w:cs="Arial"/>
          <w:sz w:val="20"/>
          <w:szCs w:val="20"/>
          <w:lang w:val="en-IN"/>
        </w:rPr>
      </w:pPr>
      <w:r w:rsidRPr="00C21F16">
        <w:rPr>
          <w:rFonts w:ascii="Arial" w:hAnsi="Arial" w:cs="Arial"/>
          <w:sz w:val="20"/>
          <w:szCs w:val="20"/>
          <w:lang w:val="en-IN"/>
        </w:rPr>
        <w:t>K</w:t>
      </w:r>
      <w:r w:rsidR="00A347D0" w:rsidRPr="00C21F16">
        <w:rPr>
          <w:rFonts w:ascii="Arial" w:hAnsi="Arial" w:cs="Arial"/>
          <w:sz w:val="20"/>
          <w:szCs w:val="20"/>
          <w:lang w:val="en-IN"/>
        </w:rPr>
        <w:t>.</w:t>
      </w:r>
      <w:r w:rsidRPr="00C21F16">
        <w:rPr>
          <w:rFonts w:ascii="Arial" w:hAnsi="Arial" w:cs="Arial"/>
          <w:sz w:val="20"/>
          <w:szCs w:val="20"/>
          <w:lang w:val="en-IN"/>
        </w:rPr>
        <w:t xml:space="preserve"> K</w:t>
      </w:r>
      <w:r w:rsidR="00A347D0" w:rsidRPr="00C21F16">
        <w:rPr>
          <w:rFonts w:ascii="Arial" w:hAnsi="Arial" w:cs="Arial"/>
          <w:sz w:val="20"/>
          <w:szCs w:val="20"/>
          <w:lang w:val="en-IN"/>
        </w:rPr>
        <w:t>.</w:t>
      </w:r>
      <w:r w:rsidRPr="00C21F16">
        <w:rPr>
          <w:rFonts w:ascii="Arial" w:hAnsi="Arial" w:cs="Arial"/>
          <w:sz w:val="20"/>
          <w:szCs w:val="20"/>
          <w:lang w:val="en-IN"/>
        </w:rPr>
        <w:t>, Grah A</w:t>
      </w:r>
      <w:r w:rsidR="00A347D0" w:rsidRPr="00C21F16">
        <w:rPr>
          <w:rFonts w:ascii="Arial" w:hAnsi="Arial" w:cs="Arial"/>
          <w:sz w:val="20"/>
          <w:szCs w:val="20"/>
          <w:lang w:val="en-IN"/>
        </w:rPr>
        <w:t xml:space="preserve">. </w:t>
      </w:r>
      <w:r w:rsidRPr="00C21F16">
        <w:rPr>
          <w:rFonts w:ascii="Arial" w:hAnsi="Arial" w:cs="Arial"/>
          <w:sz w:val="20"/>
          <w:szCs w:val="20"/>
          <w:lang w:val="en-IN"/>
        </w:rPr>
        <w:t>M</w:t>
      </w:r>
      <w:r w:rsidR="00A347D0" w:rsidRPr="00C21F16">
        <w:rPr>
          <w:rFonts w:ascii="Arial" w:hAnsi="Arial" w:cs="Arial"/>
          <w:sz w:val="20"/>
          <w:szCs w:val="20"/>
          <w:lang w:val="en-IN"/>
        </w:rPr>
        <w:t xml:space="preserve">. </w:t>
      </w:r>
      <w:r w:rsidRPr="00C21F16">
        <w:rPr>
          <w:rFonts w:ascii="Arial" w:hAnsi="Arial" w:cs="Arial"/>
          <w:sz w:val="20"/>
          <w:szCs w:val="20"/>
          <w:lang w:val="en-IN"/>
        </w:rPr>
        <w:t>B</w:t>
      </w:r>
      <w:r w:rsidR="00A347D0" w:rsidRPr="00C21F16">
        <w:rPr>
          <w:rFonts w:ascii="Arial" w:hAnsi="Arial" w:cs="Arial"/>
          <w:sz w:val="20"/>
          <w:szCs w:val="20"/>
          <w:lang w:val="en-IN"/>
        </w:rPr>
        <w:t>. &amp;</w:t>
      </w:r>
      <w:r w:rsidRPr="00C21F16">
        <w:rPr>
          <w:rFonts w:ascii="Arial" w:hAnsi="Arial" w:cs="Arial"/>
          <w:sz w:val="20"/>
          <w:szCs w:val="20"/>
          <w:lang w:val="en-IN"/>
        </w:rPr>
        <w:t xml:space="preserve"> Adaman K</w:t>
      </w:r>
      <w:r w:rsidR="00A347D0" w:rsidRPr="00C21F16">
        <w:rPr>
          <w:rFonts w:ascii="Arial" w:hAnsi="Arial" w:cs="Arial"/>
          <w:sz w:val="20"/>
          <w:szCs w:val="20"/>
          <w:lang w:val="en-IN"/>
        </w:rPr>
        <w:t xml:space="preserve">. </w:t>
      </w:r>
      <w:r w:rsidRPr="00C21F16">
        <w:rPr>
          <w:rFonts w:ascii="Arial" w:hAnsi="Arial" w:cs="Arial"/>
          <w:sz w:val="20"/>
          <w:szCs w:val="20"/>
          <w:lang w:val="en-IN"/>
        </w:rPr>
        <w:t>(2025).  Evalution of Biochemical, Nutritional and Microbiological parameters of dried néré (Parkia biglobosa) Pulp Sold in the Markets of Daloa (Central-West, Côte d’Ivoire). DOI:</w:t>
      </w:r>
      <w:r w:rsidRPr="00C21F16">
        <w:rPr>
          <w:rFonts w:ascii="Arial" w:hAnsi="Arial" w:cs="Arial"/>
          <w:b/>
          <w:bCs/>
          <w:sz w:val="20"/>
          <w:szCs w:val="20"/>
          <w:lang w:val="en-IN"/>
        </w:rPr>
        <w:t> </w:t>
      </w:r>
      <w:hyperlink r:id="rId22" w:history="1">
        <w:r w:rsidRPr="00C21F16">
          <w:rPr>
            <w:rStyle w:val="Hyperlink"/>
            <w:rFonts w:ascii="Arial" w:hAnsi="Arial" w:cs="Arial"/>
            <w:sz w:val="20"/>
            <w:szCs w:val="20"/>
            <w:lang w:val="en-IN"/>
          </w:rPr>
          <w:t>10.9734/cjast/2025/v44i94604</w:t>
        </w:r>
      </w:hyperlink>
    </w:p>
    <w:p w14:paraId="24EB5B1C" w14:textId="69E8815C" w:rsidR="008D13EA" w:rsidRPr="00C21F16" w:rsidRDefault="008D13EA" w:rsidP="006B2E4C">
      <w:pPr>
        <w:spacing w:after="0" w:line="240" w:lineRule="auto"/>
        <w:ind w:left="709" w:hanging="709"/>
        <w:jc w:val="both"/>
        <w:rPr>
          <w:rFonts w:ascii="Arial" w:hAnsi="Arial" w:cs="Arial"/>
          <w:sz w:val="20"/>
          <w:szCs w:val="20"/>
          <w:lang w:val="en-IN"/>
        </w:rPr>
      </w:pPr>
      <w:r w:rsidRPr="006B2E4C">
        <w:rPr>
          <w:rFonts w:ascii="Arial" w:hAnsi="Arial" w:cs="Arial"/>
          <w:sz w:val="20"/>
          <w:szCs w:val="20"/>
          <w:lang w:val="en-ZA"/>
        </w:rPr>
        <w:t xml:space="preserve"> Leong Y.-H., Ismail N., Latif A. A.  </w:t>
      </w:r>
      <w:r w:rsidRPr="006B2E4C">
        <w:rPr>
          <w:rStyle w:val="markedcontent"/>
          <w:rFonts w:ascii="Arial" w:hAnsi="Arial" w:cs="Arial"/>
          <w:sz w:val="20"/>
          <w:szCs w:val="20"/>
          <w:lang w:val="en-ZA"/>
        </w:rPr>
        <w:t xml:space="preserve">&amp; </w:t>
      </w:r>
      <w:r w:rsidRPr="006B2E4C">
        <w:rPr>
          <w:rFonts w:ascii="Arial" w:hAnsi="Arial" w:cs="Arial"/>
          <w:sz w:val="20"/>
          <w:szCs w:val="20"/>
          <w:lang w:val="en-ZA"/>
        </w:rPr>
        <w:t xml:space="preserve">Ahmad R. (2010). Aflatoxin occurrence in nuts and     commercial nutty products in Malaysia. </w:t>
      </w:r>
      <w:r w:rsidRPr="00C21F16">
        <w:rPr>
          <w:rFonts w:ascii="Arial" w:hAnsi="Arial" w:cs="Arial"/>
          <w:i/>
          <w:iCs/>
          <w:sz w:val="20"/>
          <w:szCs w:val="20"/>
          <w:lang w:val="en-IN"/>
        </w:rPr>
        <w:t>Food Control</w:t>
      </w:r>
      <w:r w:rsidRPr="00C21F16">
        <w:rPr>
          <w:rFonts w:ascii="Arial" w:hAnsi="Arial" w:cs="Arial"/>
          <w:sz w:val="20"/>
          <w:szCs w:val="20"/>
          <w:lang w:val="en-IN"/>
        </w:rPr>
        <w:t xml:space="preserve">, 21(3), 334-338. </w:t>
      </w:r>
      <w:hyperlink r:id="rId23" w:history="1">
        <w:r w:rsidRPr="00C21F16">
          <w:rPr>
            <w:rStyle w:val="Hyperlink"/>
            <w:rFonts w:ascii="Arial" w:hAnsi="Arial" w:cs="Arial"/>
            <w:sz w:val="20"/>
            <w:szCs w:val="20"/>
            <w:lang w:val="en-IN"/>
          </w:rPr>
          <w:t>http://dx.doi.org/10.1016/j.foodcont.2009.06.002</w:t>
        </w:r>
      </w:hyperlink>
    </w:p>
    <w:p w14:paraId="252268EA" w14:textId="77777777" w:rsidR="00371EAE" w:rsidRPr="006B2E4C" w:rsidRDefault="00371EAE" w:rsidP="006B2E4C">
      <w:pPr>
        <w:spacing w:line="240" w:lineRule="auto"/>
        <w:jc w:val="both"/>
        <w:rPr>
          <w:rFonts w:ascii="Arial" w:hAnsi="Arial" w:cs="Arial"/>
          <w:sz w:val="20"/>
          <w:szCs w:val="20"/>
        </w:rPr>
      </w:pPr>
      <w:r w:rsidRPr="00C21F16">
        <w:rPr>
          <w:rFonts w:ascii="Arial" w:hAnsi="Arial" w:cs="Arial"/>
          <w:sz w:val="20"/>
          <w:szCs w:val="20"/>
          <w:lang w:val="en-IN"/>
        </w:rPr>
        <w:t xml:space="preserve">Makambou, J. G., Jean, Bedel, F., Kouamé, C. Y., Sika, H. B., &amp; Lucien, P. K. (2021). </w:t>
      </w:r>
      <w:r w:rsidRPr="006B2E4C">
        <w:rPr>
          <w:rFonts w:ascii="Arial" w:hAnsi="Arial" w:cs="Arial"/>
          <w:sz w:val="20"/>
          <w:szCs w:val="20"/>
        </w:rPr>
        <w:t>Assessment</w:t>
      </w:r>
    </w:p>
    <w:p w14:paraId="68E2B04F" w14:textId="6E747907" w:rsidR="00371EAE" w:rsidRPr="00C21F16" w:rsidRDefault="00371EAE" w:rsidP="006B2E4C">
      <w:pPr>
        <w:spacing w:line="240" w:lineRule="auto"/>
        <w:ind w:left="708"/>
        <w:jc w:val="both"/>
        <w:rPr>
          <w:rFonts w:ascii="Arial" w:hAnsi="Arial" w:cs="Arial"/>
          <w:sz w:val="20"/>
          <w:szCs w:val="20"/>
          <w:lang w:val="en-IN"/>
        </w:rPr>
      </w:pPr>
      <w:r w:rsidRPr="00C21F16">
        <w:rPr>
          <w:rFonts w:ascii="Arial" w:hAnsi="Arial" w:cs="Arial"/>
          <w:sz w:val="20"/>
          <w:szCs w:val="20"/>
          <w:lang w:val="en-IN"/>
        </w:rPr>
        <w:t xml:space="preserve">of mineral, vitamin and functional properties of flours from germinated yellow maize (Zea mays L.) seeds from Daloa (Côte d’Ivoire). International Journal of Food Science and Nutrition Engineering, 11(2), 35–42. </w:t>
      </w:r>
      <w:hyperlink r:id="rId24" w:history="1">
        <w:r w:rsidRPr="00C21F16">
          <w:rPr>
            <w:rStyle w:val="Hyperlink"/>
            <w:rFonts w:ascii="Arial" w:hAnsi="Arial" w:cs="Arial"/>
            <w:sz w:val="20"/>
            <w:szCs w:val="20"/>
            <w:lang w:val="en-IN"/>
          </w:rPr>
          <w:t>https://doi.org/10.5923/J.FOOD.20211102.01</w:t>
        </w:r>
      </w:hyperlink>
    </w:p>
    <w:p w14:paraId="60DB23AB" w14:textId="77777777" w:rsidR="008D13EA" w:rsidRPr="006B2E4C" w:rsidRDefault="008D13EA" w:rsidP="006B2E4C">
      <w:pPr>
        <w:pStyle w:val="Heading1"/>
        <w:numPr>
          <w:ilvl w:val="0"/>
          <w:numId w:val="0"/>
        </w:numPr>
        <w:spacing w:before="0" w:line="240" w:lineRule="auto"/>
        <w:jc w:val="both"/>
        <w:rPr>
          <w:rFonts w:ascii="Arial" w:eastAsiaTheme="minorHAnsi" w:hAnsi="Arial" w:cs="Arial"/>
          <w:b w:val="0"/>
          <w:bCs w:val="0"/>
          <w:color w:val="auto"/>
          <w:sz w:val="20"/>
          <w:szCs w:val="20"/>
        </w:rPr>
      </w:pPr>
      <w:r w:rsidRPr="006B2E4C">
        <w:rPr>
          <w:rFonts w:ascii="Arial" w:eastAsiaTheme="minorHAnsi" w:hAnsi="Arial" w:cs="Arial"/>
          <w:b w:val="0"/>
          <w:bCs w:val="0"/>
          <w:color w:val="auto"/>
          <w:sz w:val="20"/>
          <w:szCs w:val="20"/>
        </w:rPr>
        <w:t xml:space="preserve">Marinova, D., Ribarova, F. &amp; Atanassova, M. (2005). Total phenolics and total flavonoids </w:t>
      </w:r>
    </w:p>
    <w:p w14:paraId="6B12201F" w14:textId="31673EA6" w:rsidR="008D13EA" w:rsidRPr="006B2E4C" w:rsidRDefault="008D13EA" w:rsidP="006B2E4C">
      <w:pPr>
        <w:pStyle w:val="Heading1"/>
        <w:numPr>
          <w:ilvl w:val="0"/>
          <w:numId w:val="0"/>
        </w:numPr>
        <w:spacing w:before="0" w:line="240" w:lineRule="auto"/>
        <w:ind w:left="708"/>
        <w:jc w:val="both"/>
        <w:rPr>
          <w:rFonts w:ascii="Arial" w:eastAsiaTheme="minorHAnsi" w:hAnsi="Arial" w:cs="Arial"/>
          <w:b w:val="0"/>
          <w:bCs w:val="0"/>
          <w:color w:val="auto"/>
          <w:sz w:val="20"/>
          <w:szCs w:val="20"/>
        </w:rPr>
      </w:pPr>
      <w:r w:rsidRPr="00C21F16">
        <w:rPr>
          <w:rFonts w:ascii="Arial" w:eastAsiaTheme="minorHAnsi" w:hAnsi="Arial" w:cs="Arial"/>
          <w:b w:val="0"/>
          <w:bCs w:val="0"/>
          <w:color w:val="auto"/>
          <w:sz w:val="20"/>
          <w:szCs w:val="20"/>
          <w:lang w:val="en-IN"/>
        </w:rPr>
        <w:t xml:space="preserve">in Bulgarian fruits and vegetables. Journal of Chemical Technology and Biotechnology, 40, 255-260. </w:t>
      </w:r>
      <w:hyperlink r:id="rId25" w:history="1">
        <w:r w:rsidRPr="006B2E4C">
          <w:rPr>
            <w:rStyle w:val="Hyperlink"/>
            <w:rFonts w:ascii="Arial" w:eastAsiaTheme="minorHAnsi" w:hAnsi="Arial" w:cs="Arial"/>
            <w:b w:val="0"/>
            <w:bCs w:val="0"/>
            <w:sz w:val="20"/>
            <w:szCs w:val="20"/>
          </w:rPr>
          <w:t>(PDF) Total phenolics and flavonoids in Bulgarian fruits and vegetables</w:t>
        </w:r>
      </w:hyperlink>
      <w:r w:rsidRPr="006B2E4C">
        <w:rPr>
          <w:rFonts w:ascii="Arial" w:eastAsiaTheme="minorHAnsi" w:hAnsi="Arial" w:cs="Arial"/>
          <w:b w:val="0"/>
          <w:bCs w:val="0"/>
          <w:color w:val="auto"/>
          <w:sz w:val="20"/>
          <w:szCs w:val="20"/>
        </w:rPr>
        <w:t xml:space="preserve"> </w:t>
      </w:r>
    </w:p>
    <w:p w14:paraId="7413C3A0" w14:textId="77777777" w:rsidR="00BC029E" w:rsidRPr="006B2E4C" w:rsidRDefault="00BC029E" w:rsidP="006B2E4C">
      <w:pPr>
        <w:spacing w:line="240" w:lineRule="auto"/>
        <w:jc w:val="both"/>
        <w:rPr>
          <w:rFonts w:ascii="Arial" w:hAnsi="Arial" w:cs="Arial"/>
          <w:sz w:val="20"/>
          <w:szCs w:val="20"/>
        </w:rPr>
      </w:pPr>
      <w:r w:rsidRPr="006B2E4C">
        <w:rPr>
          <w:rFonts w:ascii="Arial" w:hAnsi="Arial" w:cs="Arial"/>
          <w:sz w:val="20"/>
          <w:szCs w:val="20"/>
        </w:rPr>
        <w:t xml:space="preserve">Martínez-Guerra J., Palomar-Pardavé M., Romero-Romo M., Corona-Avendaño S., </w:t>
      </w:r>
    </w:p>
    <w:p w14:paraId="161FAC5B" w14:textId="624F2C45" w:rsidR="00BC029E" w:rsidRPr="00C21F16" w:rsidRDefault="00BC029E" w:rsidP="006B2E4C">
      <w:pPr>
        <w:spacing w:line="240" w:lineRule="auto"/>
        <w:ind w:left="708"/>
        <w:jc w:val="both"/>
        <w:rPr>
          <w:rFonts w:ascii="Arial" w:hAnsi="Arial" w:cs="Arial"/>
          <w:sz w:val="20"/>
          <w:szCs w:val="20"/>
          <w:lang w:val="en-IN"/>
        </w:rPr>
      </w:pPr>
      <w:r w:rsidRPr="006B2E4C">
        <w:rPr>
          <w:rFonts w:ascii="Arial" w:hAnsi="Arial" w:cs="Arial"/>
          <w:sz w:val="20"/>
          <w:szCs w:val="20"/>
        </w:rPr>
        <w:t xml:space="preserve">Rojas-Hernández A. &amp; Ramírez-Silva M.T. (2019). </w:t>
      </w:r>
      <w:r w:rsidRPr="00C21F16">
        <w:rPr>
          <w:rFonts w:ascii="Arial" w:hAnsi="Arial" w:cs="Arial"/>
          <w:sz w:val="20"/>
          <w:szCs w:val="20"/>
          <w:lang w:val="en-IN"/>
        </w:rPr>
        <w:t>New insights on the Chemical Stability of Curcumin in Aqueous Media at Different pH: Influence of the Experimental Conditions. International Journal of ELECTROCHEMICAL SCIENCE</w:t>
      </w:r>
      <w:r w:rsidR="00053497">
        <w:rPr>
          <w:rFonts w:ascii="Arial" w:hAnsi="Arial" w:cs="Arial"/>
          <w:sz w:val="20"/>
          <w:szCs w:val="20"/>
          <w:lang w:val="en-IN"/>
        </w:rPr>
        <w:t>,</w:t>
      </w:r>
      <w:r w:rsidRPr="00C21F16">
        <w:rPr>
          <w:rFonts w:ascii="Arial" w:hAnsi="Arial" w:cs="Arial"/>
          <w:sz w:val="20"/>
          <w:szCs w:val="20"/>
          <w:lang w:val="en-IN"/>
        </w:rPr>
        <w:t xml:space="preserve"> 14 (6)</w:t>
      </w:r>
      <w:r w:rsidR="00053497">
        <w:rPr>
          <w:rFonts w:ascii="Arial" w:hAnsi="Arial" w:cs="Arial"/>
          <w:sz w:val="20"/>
          <w:szCs w:val="20"/>
          <w:lang w:val="en-IN"/>
        </w:rPr>
        <w:t>,</w:t>
      </w:r>
      <w:r w:rsidRPr="00C21F16">
        <w:rPr>
          <w:rFonts w:ascii="Arial" w:hAnsi="Arial" w:cs="Arial"/>
          <w:sz w:val="20"/>
          <w:szCs w:val="20"/>
          <w:lang w:val="en-IN"/>
        </w:rPr>
        <w:t xml:space="preserve"> 5373 – 5385. doi: 10.20964/2019.06.24</w:t>
      </w:r>
    </w:p>
    <w:p w14:paraId="246B0C7A" w14:textId="77777777" w:rsidR="008D13EA" w:rsidRPr="006B2E4C" w:rsidRDefault="00497438" w:rsidP="006B2E4C">
      <w:pPr>
        <w:spacing w:line="240" w:lineRule="auto"/>
        <w:jc w:val="both"/>
        <w:rPr>
          <w:rFonts w:ascii="Arial" w:hAnsi="Arial" w:cs="Arial"/>
          <w:sz w:val="20"/>
          <w:szCs w:val="20"/>
        </w:rPr>
      </w:pPr>
      <w:r w:rsidRPr="00C21F16">
        <w:rPr>
          <w:rFonts w:ascii="Arial" w:hAnsi="Arial" w:cs="Arial"/>
          <w:sz w:val="20"/>
          <w:szCs w:val="20"/>
          <w:lang w:val="en-IN"/>
        </w:rPr>
        <w:lastRenderedPageBreak/>
        <w:t>Mbiyangandu K</w:t>
      </w:r>
      <w:r w:rsidR="00CE6E5A" w:rsidRPr="00C21F16">
        <w:rPr>
          <w:rFonts w:ascii="Arial" w:hAnsi="Arial" w:cs="Arial"/>
          <w:sz w:val="20"/>
          <w:szCs w:val="20"/>
          <w:lang w:val="en-IN"/>
        </w:rPr>
        <w:t xml:space="preserve">. </w:t>
      </w:r>
      <w:r w:rsidRPr="00C21F16">
        <w:rPr>
          <w:rFonts w:ascii="Arial" w:hAnsi="Arial" w:cs="Arial"/>
          <w:sz w:val="20"/>
          <w:szCs w:val="20"/>
          <w:lang w:val="en-IN"/>
        </w:rPr>
        <w:t>M</w:t>
      </w:r>
      <w:r w:rsidR="00CE6E5A" w:rsidRPr="00C21F16">
        <w:rPr>
          <w:rFonts w:ascii="Arial" w:hAnsi="Arial" w:cs="Arial"/>
          <w:sz w:val="20"/>
          <w:szCs w:val="20"/>
          <w:lang w:val="en-IN"/>
        </w:rPr>
        <w:t>.</w:t>
      </w:r>
      <w:r w:rsidRPr="00C21F16">
        <w:rPr>
          <w:rFonts w:ascii="Arial" w:hAnsi="Arial" w:cs="Arial"/>
          <w:sz w:val="20"/>
          <w:szCs w:val="20"/>
          <w:lang w:val="en-IN"/>
        </w:rPr>
        <w:t>, M’rabet N</w:t>
      </w:r>
      <w:r w:rsidR="00CE6E5A" w:rsidRPr="00C21F16">
        <w:rPr>
          <w:rFonts w:ascii="Arial" w:hAnsi="Arial" w:cs="Arial"/>
          <w:sz w:val="20"/>
          <w:szCs w:val="20"/>
          <w:lang w:val="en-IN"/>
        </w:rPr>
        <w:t>.</w:t>
      </w:r>
      <w:r w:rsidRPr="00C21F16">
        <w:rPr>
          <w:rFonts w:ascii="Arial" w:hAnsi="Arial" w:cs="Arial"/>
          <w:sz w:val="20"/>
          <w:szCs w:val="20"/>
          <w:lang w:val="en-IN"/>
        </w:rPr>
        <w:t>, Twite K</w:t>
      </w:r>
      <w:r w:rsidR="00CE6E5A" w:rsidRPr="00C21F16">
        <w:rPr>
          <w:rFonts w:ascii="Arial" w:hAnsi="Arial" w:cs="Arial"/>
          <w:sz w:val="20"/>
          <w:szCs w:val="20"/>
          <w:lang w:val="en-IN"/>
        </w:rPr>
        <w:t>.</w:t>
      </w:r>
      <w:r w:rsidRPr="00C21F16">
        <w:rPr>
          <w:rFonts w:ascii="Arial" w:hAnsi="Arial" w:cs="Arial"/>
          <w:sz w:val="20"/>
          <w:szCs w:val="20"/>
          <w:lang w:val="en-IN"/>
        </w:rPr>
        <w:t xml:space="preserve"> E</w:t>
      </w:r>
      <w:r w:rsidR="00CE6E5A" w:rsidRPr="00C21F16">
        <w:rPr>
          <w:rFonts w:ascii="Arial" w:hAnsi="Arial" w:cs="Arial"/>
          <w:sz w:val="20"/>
          <w:szCs w:val="20"/>
          <w:lang w:val="en-IN"/>
        </w:rPr>
        <w:t>.</w:t>
      </w:r>
      <w:r w:rsidRPr="00C21F16">
        <w:rPr>
          <w:rFonts w:ascii="Arial" w:hAnsi="Arial" w:cs="Arial"/>
          <w:sz w:val="20"/>
          <w:szCs w:val="20"/>
          <w:lang w:val="en-IN"/>
        </w:rPr>
        <w:t>, Kalenga M</w:t>
      </w:r>
      <w:r w:rsidR="003477D1" w:rsidRPr="00C21F16">
        <w:rPr>
          <w:rFonts w:ascii="Arial" w:hAnsi="Arial" w:cs="Arial"/>
          <w:sz w:val="20"/>
          <w:szCs w:val="20"/>
          <w:lang w:val="en-IN"/>
        </w:rPr>
        <w:t>.</w:t>
      </w:r>
      <w:r w:rsidRPr="00C21F16">
        <w:rPr>
          <w:rFonts w:ascii="Arial" w:hAnsi="Arial" w:cs="Arial"/>
          <w:sz w:val="20"/>
          <w:szCs w:val="20"/>
          <w:lang w:val="en-IN"/>
        </w:rPr>
        <w:t xml:space="preserve"> K</w:t>
      </w:r>
      <w:r w:rsidR="003477D1" w:rsidRPr="00C21F16">
        <w:rPr>
          <w:rFonts w:ascii="Arial" w:hAnsi="Arial" w:cs="Arial"/>
          <w:sz w:val="20"/>
          <w:szCs w:val="20"/>
          <w:lang w:val="en-IN"/>
        </w:rPr>
        <w:t xml:space="preserve">. </w:t>
      </w:r>
      <w:r w:rsidRPr="00C21F16">
        <w:rPr>
          <w:rFonts w:ascii="Arial" w:hAnsi="Arial" w:cs="Arial"/>
          <w:sz w:val="20"/>
          <w:szCs w:val="20"/>
          <w:lang w:val="en-IN"/>
        </w:rPr>
        <w:t>P</w:t>
      </w:r>
      <w:r w:rsidR="003477D1" w:rsidRPr="00C21F16">
        <w:rPr>
          <w:rFonts w:ascii="Arial" w:hAnsi="Arial" w:cs="Arial"/>
          <w:sz w:val="20"/>
          <w:szCs w:val="20"/>
          <w:lang w:val="en-IN"/>
        </w:rPr>
        <w:t xml:space="preserve">. &amp; </w:t>
      </w:r>
      <w:r w:rsidRPr="00C21F16">
        <w:rPr>
          <w:rFonts w:ascii="Arial" w:hAnsi="Arial" w:cs="Arial"/>
          <w:sz w:val="20"/>
          <w:szCs w:val="20"/>
          <w:lang w:val="en-IN"/>
        </w:rPr>
        <w:t>Laurent P</w:t>
      </w:r>
      <w:r w:rsidR="003477D1" w:rsidRPr="00C21F16">
        <w:rPr>
          <w:rFonts w:ascii="Arial" w:hAnsi="Arial" w:cs="Arial"/>
          <w:sz w:val="20"/>
          <w:szCs w:val="20"/>
          <w:lang w:val="en-IN"/>
        </w:rPr>
        <w:t>.(2021)</w:t>
      </w:r>
      <w:r w:rsidRPr="00C21F16">
        <w:rPr>
          <w:rFonts w:ascii="Arial" w:hAnsi="Arial" w:cs="Arial"/>
          <w:sz w:val="20"/>
          <w:szCs w:val="20"/>
          <w:lang w:val="en-IN"/>
        </w:rPr>
        <w:t xml:space="preserve">. </w:t>
      </w:r>
      <w:r w:rsidRPr="006B2E4C">
        <w:rPr>
          <w:rFonts w:ascii="Arial" w:hAnsi="Arial" w:cs="Arial"/>
          <w:sz w:val="20"/>
          <w:szCs w:val="20"/>
        </w:rPr>
        <w:t xml:space="preserve">Vitamine </w:t>
      </w:r>
    </w:p>
    <w:p w14:paraId="7134A21E" w14:textId="51F44E42" w:rsidR="00B60DE2" w:rsidRPr="00C21F16" w:rsidRDefault="00497438" w:rsidP="006B2E4C">
      <w:pPr>
        <w:spacing w:line="240" w:lineRule="auto"/>
        <w:ind w:left="708"/>
        <w:jc w:val="both"/>
        <w:rPr>
          <w:rFonts w:ascii="Arial" w:hAnsi="Arial" w:cs="Arial"/>
          <w:sz w:val="20"/>
          <w:szCs w:val="20"/>
          <w:lang w:val="en-IN"/>
        </w:rPr>
      </w:pPr>
      <w:r w:rsidRPr="006B2E4C">
        <w:rPr>
          <w:rFonts w:ascii="Arial" w:hAnsi="Arial" w:cs="Arial"/>
          <w:sz w:val="20"/>
          <w:szCs w:val="20"/>
        </w:rPr>
        <w:t xml:space="preserve">C dans les fruits et légumes en alimentation courante Relation entre les caractéristiques organoleptiques, le pH et la teneur en Vitamine C . </w:t>
      </w:r>
      <w:r w:rsidRPr="00C21F16">
        <w:rPr>
          <w:rFonts w:ascii="Arial" w:hAnsi="Arial" w:cs="Arial"/>
          <w:sz w:val="20"/>
          <w:szCs w:val="20"/>
          <w:lang w:val="en-IN"/>
        </w:rPr>
        <w:t>IOSR Journal of Dental and Medical Sciences</w:t>
      </w:r>
      <w:r w:rsidR="00152968" w:rsidRPr="00C21F16">
        <w:rPr>
          <w:rFonts w:ascii="Arial" w:hAnsi="Arial" w:cs="Arial"/>
          <w:sz w:val="20"/>
          <w:szCs w:val="20"/>
          <w:lang w:val="en-IN"/>
        </w:rPr>
        <w:t>,</w:t>
      </w:r>
      <w:r w:rsidRPr="00C21F16">
        <w:rPr>
          <w:rFonts w:ascii="Arial" w:hAnsi="Arial" w:cs="Arial"/>
          <w:sz w:val="20"/>
          <w:szCs w:val="20"/>
          <w:lang w:val="en-IN"/>
        </w:rPr>
        <w:t xml:space="preserve"> 20</w:t>
      </w:r>
      <w:r w:rsidR="003477D1" w:rsidRPr="00C21F16">
        <w:rPr>
          <w:rFonts w:ascii="Arial" w:hAnsi="Arial" w:cs="Arial"/>
          <w:sz w:val="20"/>
          <w:szCs w:val="20"/>
          <w:lang w:val="en-IN"/>
        </w:rPr>
        <w:t>(</w:t>
      </w:r>
      <w:r w:rsidRPr="00C21F16">
        <w:rPr>
          <w:rFonts w:ascii="Arial" w:hAnsi="Arial" w:cs="Arial"/>
          <w:sz w:val="20"/>
          <w:szCs w:val="20"/>
          <w:lang w:val="en-IN"/>
        </w:rPr>
        <w:t>3</w:t>
      </w:r>
      <w:r w:rsidR="003477D1" w:rsidRPr="00C21F16">
        <w:rPr>
          <w:rFonts w:ascii="Arial" w:hAnsi="Arial" w:cs="Arial"/>
          <w:sz w:val="20"/>
          <w:szCs w:val="20"/>
          <w:lang w:val="en-IN"/>
        </w:rPr>
        <w:t>)</w:t>
      </w:r>
      <w:r w:rsidR="00152968" w:rsidRPr="00C21F16">
        <w:rPr>
          <w:rFonts w:ascii="Arial" w:hAnsi="Arial" w:cs="Arial"/>
          <w:sz w:val="20"/>
          <w:szCs w:val="20"/>
          <w:lang w:val="en-IN"/>
        </w:rPr>
        <w:t xml:space="preserve">, </w:t>
      </w:r>
      <w:r w:rsidRPr="00C21F16">
        <w:rPr>
          <w:rFonts w:ascii="Arial" w:hAnsi="Arial" w:cs="Arial"/>
          <w:sz w:val="20"/>
          <w:szCs w:val="20"/>
          <w:lang w:val="en-IN"/>
        </w:rPr>
        <w:t>24-29</w:t>
      </w:r>
      <w:r w:rsidR="00152968" w:rsidRPr="00C21F16">
        <w:rPr>
          <w:rFonts w:ascii="Arial" w:hAnsi="Arial" w:cs="Arial"/>
          <w:sz w:val="20"/>
          <w:szCs w:val="20"/>
          <w:lang w:val="en-IN"/>
        </w:rPr>
        <w:t>.</w:t>
      </w:r>
      <w:r w:rsidRPr="00C21F16">
        <w:rPr>
          <w:rFonts w:ascii="Arial" w:hAnsi="Arial" w:cs="Arial"/>
          <w:sz w:val="20"/>
          <w:szCs w:val="20"/>
          <w:lang w:val="en-IN"/>
        </w:rPr>
        <w:t xml:space="preserve"> </w:t>
      </w:r>
      <w:hyperlink r:id="rId26" w:history="1">
        <w:r w:rsidR="00612B88" w:rsidRPr="00C21F16">
          <w:rPr>
            <w:rStyle w:val="Hyperlink"/>
            <w:rFonts w:ascii="Arial" w:hAnsi="Arial" w:cs="Arial"/>
            <w:sz w:val="20"/>
            <w:szCs w:val="20"/>
            <w:lang w:val="en-IN"/>
          </w:rPr>
          <w:t>Introduction</w:t>
        </w:r>
      </w:hyperlink>
    </w:p>
    <w:p w14:paraId="3F6369D5" w14:textId="77777777" w:rsidR="00BC029E" w:rsidRPr="00C21F16" w:rsidRDefault="00BC029E" w:rsidP="006B2E4C">
      <w:pPr>
        <w:spacing w:line="240" w:lineRule="auto"/>
        <w:jc w:val="both"/>
        <w:rPr>
          <w:rFonts w:ascii="Arial" w:hAnsi="Arial" w:cs="Arial"/>
          <w:sz w:val="20"/>
          <w:szCs w:val="20"/>
          <w:lang w:val="en-IN"/>
        </w:rPr>
      </w:pPr>
      <w:r w:rsidRPr="00C21F16">
        <w:rPr>
          <w:rFonts w:ascii="Arial" w:hAnsi="Arial" w:cs="Arial"/>
          <w:sz w:val="20"/>
          <w:szCs w:val="20"/>
          <w:lang w:val="en-IN"/>
        </w:rPr>
        <w:t>Muhammad A., Aliza F., Amjid K., Waseem A. K., Syeda G. N., Qaindee A., Khalid A. </w:t>
      </w:r>
    </w:p>
    <w:p w14:paraId="2DFF4CB1" w14:textId="2B784107" w:rsidR="00BC029E" w:rsidRPr="00C21F16" w:rsidRDefault="00BC029E" w:rsidP="006B2E4C">
      <w:pPr>
        <w:spacing w:line="240" w:lineRule="auto"/>
        <w:ind w:left="708"/>
        <w:jc w:val="both"/>
        <w:rPr>
          <w:rFonts w:ascii="Arial" w:hAnsi="Arial" w:cs="Arial"/>
          <w:sz w:val="20"/>
          <w:szCs w:val="20"/>
          <w:lang w:val="en-IN"/>
        </w:rPr>
      </w:pPr>
      <w:r w:rsidRPr="00C21F16">
        <w:rPr>
          <w:rFonts w:ascii="Arial" w:hAnsi="Arial" w:cs="Arial"/>
          <w:sz w:val="20"/>
          <w:szCs w:val="20"/>
          <w:lang w:val="en-IN"/>
        </w:rPr>
        <w:t xml:space="preserve">K., Muhammad H. S. &amp; Shah F. (2024). Therapeutic potential and agricultural benefits of curcumin: a comprehensive review of health and sustainability applications. Journal of Umm Al-Qura University for Applied, 1-16. Sciences </w:t>
      </w:r>
      <w:hyperlink r:id="rId27" w:history="1">
        <w:r w:rsidRPr="00C21F16">
          <w:rPr>
            <w:rStyle w:val="Hyperlink"/>
            <w:rFonts w:ascii="Arial" w:hAnsi="Arial" w:cs="Arial"/>
            <w:sz w:val="20"/>
            <w:szCs w:val="20"/>
            <w:lang w:val="en-IN"/>
          </w:rPr>
          <w:t>https://doi.org/10.1007/s43994-024-00200-7</w:t>
        </w:r>
      </w:hyperlink>
    </w:p>
    <w:p w14:paraId="2282DFB0" w14:textId="77777777" w:rsidR="008D13EA" w:rsidRPr="00C21F16" w:rsidRDefault="006D5601" w:rsidP="006B2E4C">
      <w:pPr>
        <w:spacing w:line="240" w:lineRule="auto"/>
        <w:jc w:val="both"/>
        <w:rPr>
          <w:rFonts w:ascii="Arial" w:hAnsi="Arial" w:cs="Arial"/>
          <w:sz w:val="20"/>
          <w:szCs w:val="20"/>
          <w:lang w:val="en-IN"/>
        </w:rPr>
      </w:pPr>
      <w:r w:rsidRPr="00C21F16">
        <w:rPr>
          <w:rFonts w:ascii="Arial" w:hAnsi="Arial" w:cs="Arial"/>
          <w:sz w:val="20"/>
          <w:szCs w:val="20"/>
          <w:lang w:val="en-IN"/>
        </w:rPr>
        <w:t xml:space="preserve">Nwankwo P (2018) A comparative study of the phytochemical constituents, proximate </w:t>
      </w:r>
    </w:p>
    <w:p w14:paraId="15AA66AB" w14:textId="39CA5746" w:rsidR="00617EA4" w:rsidRPr="006B2E4C" w:rsidRDefault="006D5601" w:rsidP="006B2E4C">
      <w:pPr>
        <w:spacing w:line="240" w:lineRule="auto"/>
        <w:ind w:left="708"/>
        <w:jc w:val="both"/>
        <w:rPr>
          <w:rFonts w:ascii="Arial" w:hAnsi="Arial" w:cs="Arial"/>
          <w:sz w:val="20"/>
          <w:szCs w:val="20"/>
        </w:rPr>
      </w:pPr>
      <w:r w:rsidRPr="00C21F16">
        <w:rPr>
          <w:rFonts w:ascii="Arial" w:hAnsi="Arial" w:cs="Arial"/>
          <w:sz w:val="20"/>
          <w:szCs w:val="20"/>
          <w:lang w:val="en-IN"/>
        </w:rPr>
        <w:t xml:space="preserve">and mineral compositions of </w:t>
      </w:r>
      <w:r w:rsidRPr="00C21F16">
        <w:rPr>
          <w:rFonts w:ascii="Arial" w:hAnsi="Arial" w:cs="Arial"/>
          <w:i/>
          <w:iCs/>
          <w:sz w:val="20"/>
          <w:szCs w:val="20"/>
          <w:lang w:val="en-IN"/>
        </w:rPr>
        <w:t>Zingiber officinale</w:t>
      </w:r>
      <w:r w:rsidRPr="00C21F16">
        <w:rPr>
          <w:rFonts w:ascii="Arial" w:hAnsi="Arial" w:cs="Arial"/>
          <w:sz w:val="20"/>
          <w:szCs w:val="20"/>
          <w:lang w:val="en-IN"/>
        </w:rPr>
        <w:t xml:space="preserve">, </w:t>
      </w:r>
      <w:r w:rsidRPr="00C21F16">
        <w:rPr>
          <w:rFonts w:ascii="Arial" w:hAnsi="Arial" w:cs="Arial"/>
          <w:i/>
          <w:iCs/>
          <w:sz w:val="20"/>
          <w:szCs w:val="20"/>
          <w:lang w:val="en-IN"/>
        </w:rPr>
        <w:t>Curcuma longa</w:t>
      </w:r>
      <w:r w:rsidRPr="00C21F16">
        <w:rPr>
          <w:rFonts w:ascii="Arial" w:hAnsi="Arial" w:cs="Arial"/>
          <w:sz w:val="20"/>
          <w:szCs w:val="20"/>
          <w:lang w:val="en-IN"/>
        </w:rPr>
        <w:t xml:space="preserve">, </w:t>
      </w:r>
      <w:r w:rsidRPr="00C21F16">
        <w:rPr>
          <w:rFonts w:ascii="Arial" w:hAnsi="Arial" w:cs="Arial"/>
          <w:i/>
          <w:iCs/>
          <w:sz w:val="20"/>
          <w:szCs w:val="20"/>
          <w:lang w:val="en-IN"/>
        </w:rPr>
        <w:t>Aframomum sceptrum</w:t>
      </w:r>
      <w:r w:rsidRPr="00C21F16">
        <w:rPr>
          <w:rFonts w:ascii="Arial" w:hAnsi="Arial" w:cs="Arial"/>
          <w:sz w:val="20"/>
          <w:szCs w:val="20"/>
          <w:lang w:val="en-IN"/>
        </w:rPr>
        <w:t xml:space="preserve"> and </w:t>
      </w:r>
      <w:r w:rsidRPr="00C21F16">
        <w:rPr>
          <w:rFonts w:ascii="Arial" w:hAnsi="Arial" w:cs="Arial"/>
          <w:i/>
          <w:iCs/>
          <w:sz w:val="20"/>
          <w:szCs w:val="20"/>
          <w:lang w:val="en-IN"/>
        </w:rPr>
        <w:t>Monodora myristica</w:t>
      </w:r>
      <w:r w:rsidRPr="00C21F16">
        <w:rPr>
          <w:rFonts w:ascii="Arial" w:hAnsi="Arial" w:cs="Arial"/>
          <w:sz w:val="20"/>
          <w:szCs w:val="20"/>
          <w:lang w:val="en-IN"/>
        </w:rPr>
        <w:t xml:space="preserve">. </w:t>
      </w:r>
      <w:r w:rsidRPr="006B2E4C">
        <w:rPr>
          <w:rFonts w:ascii="Arial" w:hAnsi="Arial" w:cs="Arial"/>
          <w:sz w:val="20"/>
          <w:szCs w:val="20"/>
        </w:rPr>
        <w:t>Niger</w:t>
      </w:r>
      <w:r w:rsidR="00617EA4" w:rsidRPr="006B2E4C">
        <w:rPr>
          <w:rFonts w:ascii="Arial" w:hAnsi="Arial" w:cs="Arial"/>
          <w:sz w:val="20"/>
          <w:szCs w:val="20"/>
        </w:rPr>
        <w:t>ia</w:t>
      </w:r>
      <w:r w:rsidRPr="006B2E4C">
        <w:rPr>
          <w:rFonts w:ascii="Arial" w:hAnsi="Arial" w:cs="Arial"/>
          <w:sz w:val="20"/>
          <w:szCs w:val="20"/>
        </w:rPr>
        <w:t xml:space="preserve"> Agric</w:t>
      </w:r>
      <w:r w:rsidR="00617EA4" w:rsidRPr="006B2E4C">
        <w:rPr>
          <w:rFonts w:ascii="Arial" w:hAnsi="Arial" w:cs="Arial"/>
          <w:sz w:val="20"/>
          <w:szCs w:val="20"/>
        </w:rPr>
        <w:t xml:space="preserve">ultural </w:t>
      </w:r>
      <w:r w:rsidRPr="006B2E4C">
        <w:rPr>
          <w:rFonts w:ascii="Arial" w:hAnsi="Arial" w:cs="Arial"/>
          <w:sz w:val="20"/>
          <w:szCs w:val="20"/>
        </w:rPr>
        <w:t>J</w:t>
      </w:r>
      <w:r w:rsidR="00617EA4" w:rsidRPr="006B2E4C">
        <w:rPr>
          <w:rFonts w:ascii="Arial" w:hAnsi="Arial" w:cs="Arial"/>
          <w:sz w:val="20"/>
          <w:szCs w:val="20"/>
        </w:rPr>
        <w:t>ournal,</w:t>
      </w:r>
      <w:r w:rsidRPr="006B2E4C">
        <w:rPr>
          <w:rFonts w:ascii="Arial" w:hAnsi="Arial" w:cs="Arial"/>
          <w:sz w:val="20"/>
          <w:szCs w:val="20"/>
        </w:rPr>
        <w:t xml:space="preserve"> 49</w:t>
      </w:r>
      <w:r w:rsidR="00617EA4" w:rsidRPr="006B2E4C">
        <w:rPr>
          <w:rFonts w:ascii="Arial" w:hAnsi="Arial" w:cs="Arial"/>
          <w:sz w:val="20"/>
          <w:szCs w:val="20"/>
        </w:rPr>
        <w:t xml:space="preserve">(2), </w:t>
      </w:r>
      <w:r w:rsidRPr="006B2E4C">
        <w:rPr>
          <w:rFonts w:ascii="Arial" w:hAnsi="Arial" w:cs="Arial"/>
          <w:sz w:val="20"/>
          <w:szCs w:val="20"/>
        </w:rPr>
        <w:t>22–25</w:t>
      </w:r>
      <w:r w:rsidR="00C76651" w:rsidRPr="006B2E4C">
        <w:rPr>
          <w:rFonts w:ascii="Arial" w:hAnsi="Arial" w:cs="Arial"/>
          <w:sz w:val="20"/>
          <w:szCs w:val="20"/>
        </w:rPr>
        <w:t>.</w:t>
      </w:r>
      <w:r w:rsidR="00617EA4" w:rsidRPr="006B2E4C">
        <w:rPr>
          <w:rFonts w:ascii="Arial" w:hAnsi="Arial" w:cs="Arial"/>
          <w:sz w:val="20"/>
          <w:szCs w:val="20"/>
        </w:rPr>
        <w:t xml:space="preserve"> </w:t>
      </w:r>
    </w:p>
    <w:p w14:paraId="090F93F0" w14:textId="77777777" w:rsidR="00F145F2" w:rsidRPr="006B2E4C" w:rsidRDefault="00A347D0" w:rsidP="006B2E4C">
      <w:pPr>
        <w:spacing w:after="0" w:line="240" w:lineRule="auto"/>
        <w:jc w:val="both"/>
        <w:rPr>
          <w:rFonts w:ascii="Arial" w:hAnsi="Arial" w:cs="Arial"/>
          <w:sz w:val="20"/>
          <w:szCs w:val="20"/>
        </w:rPr>
      </w:pPr>
      <w:r w:rsidRPr="006B2E4C">
        <w:rPr>
          <w:rFonts w:ascii="Arial" w:hAnsi="Arial" w:cs="Arial"/>
          <w:sz w:val="20"/>
          <w:szCs w:val="20"/>
        </w:rPr>
        <w:t>Shahid Nasim (2016). Valeur thérapeutique du curcuma. Sources vitale, 98, 21-23.</w:t>
      </w:r>
    </w:p>
    <w:p w14:paraId="373A0DFA" w14:textId="35AB0321" w:rsidR="00A347D0" w:rsidRDefault="00F24D80" w:rsidP="006B2E4C">
      <w:pPr>
        <w:spacing w:after="0" w:line="240" w:lineRule="auto"/>
        <w:ind w:left="708"/>
        <w:jc w:val="both"/>
        <w:rPr>
          <w:rFonts w:ascii="Arial" w:hAnsi="Arial" w:cs="Arial"/>
          <w:sz w:val="20"/>
          <w:szCs w:val="20"/>
        </w:rPr>
      </w:pPr>
      <w:hyperlink r:id="rId28" w:history="1">
        <w:r w:rsidR="00A347D0" w:rsidRPr="006B2E4C">
          <w:rPr>
            <w:rStyle w:val="Hyperlink"/>
            <w:rFonts w:ascii="Arial" w:hAnsi="Arial" w:cs="Arial"/>
            <w:sz w:val="20"/>
            <w:szCs w:val="20"/>
          </w:rPr>
          <w:t>article_curcuma_mars2016.pdf</w:t>
        </w:r>
      </w:hyperlink>
      <w:r w:rsidR="00A347D0" w:rsidRPr="006B2E4C">
        <w:rPr>
          <w:rFonts w:ascii="Arial" w:hAnsi="Arial" w:cs="Arial"/>
          <w:sz w:val="20"/>
          <w:szCs w:val="20"/>
        </w:rPr>
        <w:t xml:space="preserve">  </w:t>
      </w:r>
    </w:p>
    <w:p w14:paraId="17A88144" w14:textId="77777777" w:rsidR="000134B3" w:rsidRDefault="001120D0" w:rsidP="001120D0">
      <w:pPr>
        <w:spacing w:after="0" w:line="240" w:lineRule="auto"/>
        <w:jc w:val="both"/>
        <w:rPr>
          <w:rFonts w:ascii="Arial" w:hAnsi="Arial" w:cs="Arial"/>
          <w:sz w:val="20"/>
          <w:szCs w:val="20"/>
        </w:rPr>
      </w:pPr>
      <w:r w:rsidRPr="001120D0">
        <w:rPr>
          <w:rFonts w:ascii="Arial" w:hAnsi="Arial" w:cs="Arial"/>
          <w:sz w:val="20"/>
          <w:szCs w:val="20"/>
        </w:rPr>
        <w:t>Taghavifar S.</w:t>
      </w:r>
      <w:r>
        <w:rPr>
          <w:rFonts w:ascii="Arial" w:hAnsi="Arial" w:cs="Arial"/>
          <w:sz w:val="20"/>
          <w:szCs w:val="20"/>
        </w:rPr>
        <w:t xml:space="preserve">, </w:t>
      </w:r>
      <w:r w:rsidRPr="001120D0">
        <w:rPr>
          <w:rFonts w:ascii="Arial" w:hAnsi="Arial" w:cs="Arial"/>
          <w:sz w:val="20"/>
          <w:szCs w:val="20"/>
        </w:rPr>
        <w:t>Afroughi F.</w:t>
      </w:r>
      <w:r w:rsidR="000134B3">
        <w:rPr>
          <w:rFonts w:ascii="Arial" w:hAnsi="Arial" w:cs="Arial"/>
          <w:sz w:val="20"/>
          <w:szCs w:val="20"/>
        </w:rPr>
        <w:t xml:space="preserve"> </w:t>
      </w:r>
      <w:r w:rsidR="000134B3" w:rsidRPr="000134B3">
        <w:rPr>
          <w:rFonts w:ascii="Arial" w:hAnsi="Arial" w:cs="Arial"/>
          <w:sz w:val="20"/>
          <w:szCs w:val="20"/>
        </w:rPr>
        <w:t>&amp;</w:t>
      </w:r>
      <w:r w:rsidRPr="000134B3">
        <w:rPr>
          <w:rFonts w:ascii="Arial" w:hAnsi="Arial" w:cs="Arial"/>
          <w:sz w:val="20"/>
          <w:szCs w:val="20"/>
        </w:rPr>
        <w:t xml:space="preserve"> </w:t>
      </w:r>
      <w:r w:rsidRPr="001120D0">
        <w:rPr>
          <w:rFonts w:ascii="Arial" w:hAnsi="Arial" w:cs="Arial"/>
          <w:sz w:val="20"/>
          <w:szCs w:val="20"/>
        </w:rPr>
        <w:t>Saadati K</w:t>
      </w:r>
      <w:r>
        <w:rPr>
          <w:rFonts w:ascii="Arial" w:hAnsi="Arial" w:cs="Arial"/>
          <w:sz w:val="20"/>
          <w:szCs w:val="20"/>
        </w:rPr>
        <w:t>.</w:t>
      </w:r>
      <w:r w:rsidRPr="001120D0">
        <w:rPr>
          <w:rFonts w:ascii="Arial" w:hAnsi="Arial" w:cs="Arial"/>
          <w:sz w:val="20"/>
          <w:szCs w:val="20"/>
        </w:rPr>
        <w:t xml:space="preserve"> M.</w:t>
      </w:r>
      <w:r>
        <w:rPr>
          <w:rFonts w:ascii="Arial" w:hAnsi="Arial" w:cs="Arial"/>
          <w:sz w:val="20"/>
          <w:szCs w:val="20"/>
        </w:rPr>
        <w:t xml:space="preserve"> (2020).</w:t>
      </w:r>
      <w:r w:rsidRPr="001120D0">
        <w:rPr>
          <w:rFonts w:ascii="Arial" w:hAnsi="Arial" w:cs="Arial"/>
          <w:sz w:val="20"/>
          <w:szCs w:val="20"/>
        </w:rPr>
        <w:t xml:space="preserve"> Curcumin nanoparticles improved diabetic wounds</w:t>
      </w:r>
    </w:p>
    <w:p w14:paraId="722A4A62" w14:textId="3673BC3C" w:rsidR="001120D0" w:rsidRPr="006B2E4C" w:rsidRDefault="001120D0" w:rsidP="000134B3">
      <w:pPr>
        <w:spacing w:after="0" w:line="240" w:lineRule="auto"/>
        <w:ind w:left="708"/>
        <w:jc w:val="both"/>
        <w:rPr>
          <w:rFonts w:ascii="Arial" w:hAnsi="Arial" w:cs="Arial"/>
          <w:sz w:val="20"/>
          <w:szCs w:val="20"/>
        </w:rPr>
      </w:pPr>
      <w:r w:rsidRPr="001120D0">
        <w:rPr>
          <w:rFonts w:ascii="Arial" w:hAnsi="Arial" w:cs="Arial"/>
          <w:sz w:val="20"/>
          <w:szCs w:val="20"/>
        </w:rPr>
        <w:t>infected with methicillin-resistant staphylococcus aureus sensitized with hamlet. Int</w:t>
      </w:r>
      <w:r w:rsidR="000134B3">
        <w:rPr>
          <w:rFonts w:ascii="Arial" w:hAnsi="Arial" w:cs="Arial"/>
          <w:sz w:val="20"/>
          <w:szCs w:val="20"/>
        </w:rPr>
        <w:t xml:space="preserve">ernational </w:t>
      </w:r>
      <w:r w:rsidRPr="001120D0">
        <w:rPr>
          <w:rFonts w:ascii="Arial" w:hAnsi="Arial" w:cs="Arial"/>
          <w:sz w:val="20"/>
          <w:szCs w:val="20"/>
        </w:rPr>
        <w:t>J</w:t>
      </w:r>
      <w:r w:rsidR="000134B3">
        <w:rPr>
          <w:rFonts w:ascii="Arial" w:hAnsi="Arial" w:cs="Arial"/>
          <w:sz w:val="20"/>
          <w:szCs w:val="20"/>
        </w:rPr>
        <w:t xml:space="preserve">ournal of </w:t>
      </w:r>
      <w:r w:rsidRPr="001120D0">
        <w:rPr>
          <w:rFonts w:ascii="Arial" w:hAnsi="Arial" w:cs="Arial"/>
          <w:sz w:val="20"/>
          <w:szCs w:val="20"/>
        </w:rPr>
        <w:t xml:space="preserve"> Low</w:t>
      </w:r>
      <w:r w:rsidR="000134B3">
        <w:rPr>
          <w:rFonts w:ascii="Arial" w:hAnsi="Arial" w:cs="Arial"/>
          <w:sz w:val="20"/>
          <w:szCs w:val="20"/>
        </w:rPr>
        <w:t xml:space="preserve">er </w:t>
      </w:r>
      <w:r w:rsidRPr="001120D0">
        <w:rPr>
          <w:rFonts w:ascii="Arial" w:hAnsi="Arial" w:cs="Arial"/>
          <w:sz w:val="20"/>
          <w:szCs w:val="20"/>
        </w:rPr>
        <w:t>Extrem</w:t>
      </w:r>
      <w:r w:rsidR="000134B3">
        <w:rPr>
          <w:rFonts w:ascii="Arial" w:hAnsi="Arial" w:cs="Arial"/>
          <w:sz w:val="20"/>
          <w:szCs w:val="20"/>
        </w:rPr>
        <w:t xml:space="preserve">ity </w:t>
      </w:r>
      <w:r w:rsidRPr="001120D0">
        <w:rPr>
          <w:rFonts w:ascii="Arial" w:hAnsi="Arial" w:cs="Arial"/>
          <w:sz w:val="20"/>
          <w:szCs w:val="20"/>
        </w:rPr>
        <w:t>Wounds .</w:t>
      </w:r>
      <w:r w:rsidR="000134B3">
        <w:rPr>
          <w:rFonts w:ascii="Arial" w:hAnsi="Arial" w:cs="Arial"/>
          <w:sz w:val="20"/>
          <w:szCs w:val="20"/>
        </w:rPr>
        <w:t xml:space="preserve"> </w:t>
      </w:r>
      <w:r w:rsidR="000134B3" w:rsidRPr="000134B3">
        <w:rPr>
          <w:rFonts w:ascii="Arial" w:hAnsi="Arial" w:cs="Arial"/>
          <w:sz w:val="20"/>
          <w:szCs w:val="20"/>
        </w:rPr>
        <w:t>doi:10.1177/1534734620933079</w:t>
      </w:r>
    </w:p>
    <w:p w14:paraId="6B664683" w14:textId="77777777" w:rsidR="00F145F2" w:rsidRPr="006B2E4C" w:rsidRDefault="00371EAE" w:rsidP="006B2E4C">
      <w:pPr>
        <w:spacing w:line="240" w:lineRule="auto"/>
        <w:jc w:val="both"/>
        <w:rPr>
          <w:rFonts w:ascii="Arial" w:hAnsi="Arial" w:cs="Arial"/>
          <w:sz w:val="20"/>
          <w:szCs w:val="20"/>
        </w:rPr>
      </w:pPr>
      <w:r w:rsidRPr="006B2E4C">
        <w:rPr>
          <w:rFonts w:ascii="Arial" w:hAnsi="Arial" w:cs="Arial"/>
          <w:sz w:val="20"/>
          <w:szCs w:val="20"/>
        </w:rPr>
        <w:t>Tehreem R., Ayemin A., Muhammad A., Surendar R., Francisco G., Md. Al H., Fethi A. O., Gaweł</w:t>
      </w:r>
    </w:p>
    <w:p w14:paraId="6EF9EFD8" w14:textId="4DABF784" w:rsidR="00371EAE" w:rsidRPr="006B2E4C" w:rsidRDefault="00371EAE" w:rsidP="006B2E4C">
      <w:pPr>
        <w:spacing w:line="240" w:lineRule="auto"/>
        <w:ind w:left="708"/>
        <w:jc w:val="both"/>
        <w:rPr>
          <w:rFonts w:ascii="Arial" w:hAnsi="Arial" w:cs="Arial"/>
          <w:sz w:val="20"/>
          <w:szCs w:val="20"/>
        </w:rPr>
      </w:pPr>
      <w:r w:rsidRPr="00C21F16">
        <w:rPr>
          <w:rFonts w:ascii="Arial" w:hAnsi="Arial" w:cs="Arial"/>
          <w:sz w:val="20"/>
          <w:szCs w:val="20"/>
          <w:lang w:val="en-IN"/>
        </w:rPr>
        <w:t xml:space="preserve">S., Najmiatul F., Marcos A., Mohamed M. H. &amp; Adonis S. (2024). Phytochemistry and Phytochemical Potential of </w:t>
      </w:r>
      <w:r w:rsidRPr="00C21F16">
        <w:rPr>
          <w:rFonts w:ascii="Arial" w:hAnsi="Arial" w:cs="Arial"/>
          <w:i/>
          <w:iCs/>
          <w:sz w:val="20"/>
          <w:szCs w:val="20"/>
          <w:lang w:val="en-IN"/>
        </w:rPr>
        <w:t>Curcuma longa</w:t>
      </w:r>
      <w:r w:rsidRPr="00C21F16">
        <w:rPr>
          <w:rFonts w:ascii="Arial" w:hAnsi="Arial" w:cs="Arial"/>
          <w:sz w:val="20"/>
          <w:szCs w:val="20"/>
          <w:lang w:val="en-IN"/>
        </w:rPr>
        <w:t xml:space="preserve">: A Narrative Review. </w:t>
      </w:r>
      <w:r w:rsidRPr="006B2E4C">
        <w:rPr>
          <w:rFonts w:ascii="Arial" w:hAnsi="Arial" w:cs="Arial"/>
          <w:sz w:val="20"/>
          <w:szCs w:val="20"/>
        </w:rPr>
        <w:t xml:space="preserve">Journal of Science Technology and Research, 5(1),  44-56. </w:t>
      </w:r>
    </w:p>
    <w:p w14:paraId="33A9AE90" w14:textId="77777777" w:rsidR="00F145F2" w:rsidRPr="006B2E4C" w:rsidRDefault="00F145F2" w:rsidP="006B2E4C">
      <w:pPr>
        <w:spacing w:after="0" w:line="240" w:lineRule="auto"/>
        <w:jc w:val="both"/>
        <w:rPr>
          <w:rFonts w:ascii="Arial" w:hAnsi="Arial" w:cs="Arial"/>
          <w:sz w:val="20"/>
          <w:szCs w:val="20"/>
        </w:rPr>
      </w:pPr>
      <w:r w:rsidRPr="006B2E4C">
        <w:rPr>
          <w:rFonts w:ascii="Arial" w:hAnsi="Arial" w:cs="Arial"/>
          <w:sz w:val="20"/>
          <w:szCs w:val="20"/>
        </w:rPr>
        <w:t>Weaver C. M. (2013). Potassium and health. Advances in Nutrition, 4(3), 368S-377S.</w:t>
      </w:r>
    </w:p>
    <w:p w14:paraId="10E20AC3" w14:textId="0F9A9CA9" w:rsidR="00F145F2" w:rsidRPr="006B2E4C" w:rsidRDefault="00F145F2" w:rsidP="006B2E4C">
      <w:pPr>
        <w:spacing w:after="0" w:line="240" w:lineRule="auto"/>
        <w:ind w:left="708"/>
        <w:jc w:val="both"/>
        <w:rPr>
          <w:rFonts w:ascii="Arial" w:hAnsi="Arial" w:cs="Arial"/>
          <w:sz w:val="20"/>
          <w:szCs w:val="20"/>
        </w:rPr>
      </w:pPr>
      <w:r w:rsidRPr="006B2E4C">
        <w:rPr>
          <w:rFonts w:ascii="Arial" w:hAnsi="Arial" w:cs="Arial"/>
          <w:sz w:val="20"/>
          <w:szCs w:val="20"/>
        </w:rPr>
        <w:t>doi:</w:t>
      </w:r>
      <w:hyperlink r:id="rId29" w:tgtFrame="_blank" w:history="1">
        <w:r w:rsidRPr="006B2E4C">
          <w:rPr>
            <w:rStyle w:val="Hyperlink"/>
            <w:rFonts w:ascii="Arial" w:hAnsi="Arial" w:cs="Arial"/>
            <w:sz w:val="20"/>
            <w:szCs w:val="20"/>
          </w:rPr>
          <w:t>10.3945/an.112.003533</w:t>
        </w:r>
      </w:hyperlink>
    </w:p>
    <w:p w14:paraId="3521374F" w14:textId="77777777" w:rsidR="00091931" w:rsidRPr="006B2E4C" w:rsidRDefault="00F145F2" w:rsidP="006B2E4C">
      <w:pPr>
        <w:spacing w:line="240" w:lineRule="auto"/>
        <w:rPr>
          <w:rFonts w:ascii="Arial" w:hAnsi="Arial" w:cs="Arial"/>
          <w:sz w:val="20"/>
          <w:szCs w:val="20"/>
        </w:rPr>
      </w:pPr>
      <w:r w:rsidRPr="006B2E4C">
        <w:rPr>
          <w:rFonts w:ascii="Arial" w:hAnsi="Arial" w:cs="Arial"/>
          <w:sz w:val="20"/>
          <w:szCs w:val="20"/>
        </w:rPr>
        <w:t xml:space="preserve">Xiaohui L., Wei L., Fang C. Jianbo X.  Xiaojun L., XiaoSong H., Junfu J. &amp; Lingjun M. </w:t>
      </w:r>
    </w:p>
    <w:p w14:paraId="4AC39D13" w14:textId="12623A65" w:rsidR="00F145F2" w:rsidRPr="006B2E4C" w:rsidRDefault="00091931" w:rsidP="006B2E4C">
      <w:pPr>
        <w:spacing w:line="240" w:lineRule="auto"/>
        <w:ind w:left="708"/>
        <w:rPr>
          <w:rFonts w:ascii="Arial" w:hAnsi="Arial" w:cs="Arial"/>
          <w:sz w:val="20"/>
          <w:szCs w:val="20"/>
        </w:rPr>
      </w:pPr>
      <w:r w:rsidRPr="00C21F16">
        <w:rPr>
          <w:rFonts w:ascii="Arial" w:hAnsi="Arial" w:cs="Arial"/>
          <w:sz w:val="20"/>
          <w:szCs w:val="20"/>
          <w:lang w:val="en-IN"/>
        </w:rPr>
        <w:t>(</w:t>
      </w:r>
      <w:r w:rsidR="00F145F2" w:rsidRPr="00C21F16">
        <w:rPr>
          <w:rFonts w:ascii="Arial" w:hAnsi="Arial" w:cs="Arial"/>
          <w:sz w:val="20"/>
          <w:szCs w:val="20"/>
          <w:lang w:val="en-IN"/>
        </w:rPr>
        <w:t xml:space="preserve">2022). Guideline for measurement of condensed tannin. </w:t>
      </w:r>
      <w:r w:rsidR="00F145F2" w:rsidRPr="006B2E4C">
        <w:rPr>
          <w:rFonts w:ascii="Arial" w:hAnsi="Arial" w:cs="Arial"/>
          <w:sz w:val="20"/>
          <w:szCs w:val="20"/>
        </w:rPr>
        <w:t>Food Frontiers</w:t>
      </w:r>
      <w:r w:rsidR="00053497">
        <w:rPr>
          <w:rFonts w:ascii="Arial" w:hAnsi="Arial" w:cs="Arial"/>
          <w:sz w:val="20"/>
          <w:szCs w:val="20"/>
        </w:rPr>
        <w:t>,</w:t>
      </w:r>
      <w:r w:rsidR="00F145F2" w:rsidRPr="006B2E4C">
        <w:rPr>
          <w:rFonts w:ascii="Arial" w:hAnsi="Arial" w:cs="Arial"/>
          <w:sz w:val="20"/>
          <w:szCs w:val="20"/>
        </w:rPr>
        <w:t xml:space="preserve">  533- 541.  DOI:10.1002/fft2.174</w:t>
      </w:r>
    </w:p>
    <w:p w14:paraId="203626D4" w14:textId="77777777" w:rsidR="002C00C3" w:rsidRDefault="002C00C3" w:rsidP="00BC68E1">
      <w:pPr>
        <w:jc w:val="both"/>
        <w:rPr>
          <w:sz w:val="24"/>
          <w:szCs w:val="24"/>
        </w:rPr>
      </w:pPr>
    </w:p>
    <w:sectPr w:rsidR="002C00C3">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1C28C" w14:textId="77777777" w:rsidR="00F24D80" w:rsidRDefault="00F24D80">
      <w:pPr>
        <w:spacing w:after="0" w:line="240" w:lineRule="auto"/>
      </w:pPr>
      <w:r>
        <w:separator/>
      </w:r>
    </w:p>
  </w:endnote>
  <w:endnote w:type="continuationSeparator" w:id="0">
    <w:p w14:paraId="3E24CF31" w14:textId="77777777" w:rsidR="00F24D80" w:rsidRDefault="00F2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D982D" w14:textId="77777777" w:rsidR="004C7158" w:rsidRDefault="004C7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A3DB3" w14:textId="75371748" w:rsidR="00560FD5" w:rsidRPr="00716BA7" w:rsidRDefault="00560FD5">
    <w:pPr>
      <w:pStyle w:val="Footer"/>
      <w:jc w:val="right"/>
      <w:rPr>
        <w:rFonts w:ascii="Times New Roman" w:hAnsi="Times New Roman" w:cs="Times New Roman"/>
        <w:sz w:val="24"/>
        <w:szCs w:val="24"/>
      </w:rPr>
    </w:pPr>
  </w:p>
  <w:p w14:paraId="3DFDC47C" w14:textId="77777777" w:rsidR="00560FD5" w:rsidRPr="00716BA7" w:rsidRDefault="00560FD5">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4A990" w14:textId="77777777" w:rsidR="004C7158" w:rsidRDefault="004C7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6AB0C" w14:textId="77777777" w:rsidR="00F24D80" w:rsidRDefault="00F24D80">
      <w:pPr>
        <w:spacing w:after="0" w:line="240" w:lineRule="auto"/>
      </w:pPr>
      <w:r>
        <w:separator/>
      </w:r>
    </w:p>
  </w:footnote>
  <w:footnote w:type="continuationSeparator" w:id="0">
    <w:p w14:paraId="66D3C2FD" w14:textId="77777777" w:rsidR="00F24D80" w:rsidRDefault="00F24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0534" w14:textId="7341C7E9" w:rsidR="004C7158" w:rsidRDefault="00F24D80">
    <w:pPr>
      <w:pStyle w:val="Header"/>
    </w:pPr>
    <w:r>
      <w:rPr>
        <w:noProof/>
      </w:rPr>
      <w:pict w14:anchorId="28AC4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7610" o:spid="_x0000_s2053"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8959" w14:textId="7000469B" w:rsidR="004C7158" w:rsidRDefault="00F24D80">
    <w:pPr>
      <w:pStyle w:val="Header"/>
    </w:pPr>
    <w:r>
      <w:rPr>
        <w:noProof/>
      </w:rPr>
      <w:pict w14:anchorId="11832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7611" o:spid="_x0000_s2054"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1E2A" w14:textId="1C1BEF69" w:rsidR="004C7158" w:rsidRDefault="00F24D80">
    <w:pPr>
      <w:pStyle w:val="Header"/>
    </w:pPr>
    <w:r>
      <w:rPr>
        <w:noProof/>
      </w:rPr>
      <w:pict w14:anchorId="4AE3B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7609" o:spid="_x0000_s2052"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5522"/>
    <w:multiLevelType w:val="hybridMultilevel"/>
    <w:tmpl w:val="AAEE16D2"/>
    <w:lvl w:ilvl="0" w:tplc="74D2F8F0">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7389F"/>
    <w:multiLevelType w:val="multilevel"/>
    <w:tmpl w:val="F89AB784"/>
    <w:lvl w:ilvl="0">
      <w:start w:val="1"/>
      <w:numFmt w:val="decimal"/>
      <w:lvlText w:val="%1."/>
      <w:lvlJc w:val="left"/>
      <w:pPr>
        <w:ind w:left="720" w:hanging="360"/>
      </w:pPr>
      <w:rPr>
        <w:rFonts w:cstheme="maj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1D345F"/>
    <w:multiLevelType w:val="hybridMultilevel"/>
    <w:tmpl w:val="B5B0A4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F1046A"/>
    <w:multiLevelType w:val="hybridMultilevel"/>
    <w:tmpl w:val="580E68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EF787F"/>
    <w:multiLevelType w:val="hybridMultilevel"/>
    <w:tmpl w:val="FFD05940"/>
    <w:lvl w:ilvl="0" w:tplc="3D44C228">
      <w:start w:val="1"/>
      <w:numFmt w:val="decimal"/>
      <w:pStyle w:val="Head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8B6333"/>
    <w:multiLevelType w:val="hybridMultilevel"/>
    <w:tmpl w:val="714C128E"/>
    <w:lvl w:ilvl="0" w:tplc="BED8DBE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DF3568"/>
    <w:multiLevelType w:val="hybridMultilevel"/>
    <w:tmpl w:val="4C5AAA8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E24CD0"/>
    <w:multiLevelType w:val="multilevel"/>
    <w:tmpl w:val="C444EBD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6501CFA"/>
    <w:multiLevelType w:val="multilevel"/>
    <w:tmpl w:val="5D3C3CA2"/>
    <w:lvl w:ilvl="0">
      <w:start w:val="1"/>
      <w:numFmt w:val="decimal"/>
      <w:lvlText w:val="%1."/>
      <w:lvlJc w:val="left"/>
      <w:pPr>
        <w:ind w:left="360" w:hanging="360"/>
      </w:pPr>
      <w:rPr>
        <w:rFonts w:cstheme="majorBidi"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6424D99"/>
    <w:multiLevelType w:val="multilevel"/>
    <w:tmpl w:val="623A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D6846"/>
    <w:multiLevelType w:val="multilevel"/>
    <w:tmpl w:val="01E2BA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CE82813"/>
    <w:multiLevelType w:val="multilevel"/>
    <w:tmpl w:val="511CFFD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num w:numId="1">
    <w:abstractNumId w:val="4"/>
  </w:num>
  <w:num w:numId="2">
    <w:abstractNumId w:val="1"/>
  </w:num>
  <w:num w:numId="3">
    <w:abstractNumId w:val="8"/>
  </w:num>
  <w:num w:numId="4">
    <w:abstractNumId w:val="4"/>
  </w:num>
  <w:num w:numId="5">
    <w:abstractNumId w:val="11"/>
  </w:num>
  <w:num w:numId="6">
    <w:abstractNumId w:val="7"/>
  </w:num>
  <w:num w:numId="7">
    <w:abstractNumId w:val="4"/>
  </w:num>
  <w:num w:numId="8">
    <w:abstractNumId w:val="4"/>
  </w:num>
  <w:num w:numId="9">
    <w:abstractNumId w:val="4"/>
  </w:num>
  <w:num w:numId="10">
    <w:abstractNumId w:val="4"/>
  </w:num>
  <w:num w:numId="11">
    <w:abstractNumId w:val="10"/>
  </w:num>
  <w:num w:numId="12">
    <w:abstractNumId w:val="6"/>
  </w:num>
  <w:num w:numId="13">
    <w:abstractNumId w:val="2"/>
  </w:num>
  <w:num w:numId="14">
    <w:abstractNumId w:val="5"/>
  </w:num>
  <w:num w:numId="15">
    <w:abstractNumId w:val="0"/>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97"/>
    <w:rsid w:val="00000514"/>
    <w:rsid w:val="00000552"/>
    <w:rsid w:val="0000116A"/>
    <w:rsid w:val="0000227D"/>
    <w:rsid w:val="000029BC"/>
    <w:rsid w:val="00010A56"/>
    <w:rsid w:val="0001152A"/>
    <w:rsid w:val="0001197D"/>
    <w:rsid w:val="00011F96"/>
    <w:rsid w:val="000134B3"/>
    <w:rsid w:val="00013DE7"/>
    <w:rsid w:val="00015D48"/>
    <w:rsid w:val="00017ADB"/>
    <w:rsid w:val="00024BAF"/>
    <w:rsid w:val="00024FE1"/>
    <w:rsid w:val="00030261"/>
    <w:rsid w:val="00033AFF"/>
    <w:rsid w:val="00033C2E"/>
    <w:rsid w:val="000365E5"/>
    <w:rsid w:val="00041FD0"/>
    <w:rsid w:val="000446BD"/>
    <w:rsid w:val="00053497"/>
    <w:rsid w:val="00060207"/>
    <w:rsid w:val="000645C8"/>
    <w:rsid w:val="00065D7C"/>
    <w:rsid w:val="0006677B"/>
    <w:rsid w:val="00081551"/>
    <w:rsid w:val="00087D0D"/>
    <w:rsid w:val="00090A95"/>
    <w:rsid w:val="00091931"/>
    <w:rsid w:val="00096918"/>
    <w:rsid w:val="000A13F7"/>
    <w:rsid w:val="000A2E0A"/>
    <w:rsid w:val="000B2274"/>
    <w:rsid w:val="000B275A"/>
    <w:rsid w:val="000B2F7F"/>
    <w:rsid w:val="000B401A"/>
    <w:rsid w:val="000B5298"/>
    <w:rsid w:val="000B59D3"/>
    <w:rsid w:val="000B7F0D"/>
    <w:rsid w:val="000C443B"/>
    <w:rsid w:val="000C7C80"/>
    <w:rsid w:val="000D5A23"/>
    <w:rsid w:val="000E2196"/>
    <w:rsid w:val="000E2E19"/>
    <w:rsid w:val="000E44E8"/>
    <w:rsid w:val="000E7960"/>
    <w:rsid w:val="000F35AD"/>
    <w:rsid w:val="000F55D6"/>
    <w:rsid w:val="00104985"/>
    <w:rsid w:val="001078FA"/>
    <w:rsid w:val="001101BB"/>
    <w:rsid w:val="00111300"/>
    <w:rsid w:val="00111802"/>
    <w:rsid w:val="001120D0"/>
    <w:rsid w:val="00115977"/>
    <w:rsid w:val="00115C9D"/>
    <w:rsid w:val="00116EFB"/>
    <w:rsid w:val="001218F2"/>
    <w:rsid w:val="00125D1D"/>
    <w:rsid w:val="00127497"/>
    <w:rsid w:val="001308F2"/>
    <w:rsid w:val="00131F3E"/>
    <w:rsid w:val="001334DF"/>
    <w:rsid w:val="001338BE"/>
    <w:rsid w:val="001344DA"/>
    <w:rsid w:val="00134F84"/>
    <w:rsid w:val="00137CB6"/>
    <w:rsid w:val="001401A2"/>
    <w:rsid w:val="00141EAD"/>
    <w:rsid w:val="00142AD9"/>
    <w:rsid w:val="0014307C"/>
    <w:rsid w:val="00152968"/>
    <w:rsid w:val="001545E3"/>
    <w:rsid w:val="001548F9"/>
    <w:rsid w:val="00156434"/>
    <w:rsid w:val="0015796A"/>
    <w:rsid w:val="00164D1E"/>
    <w:rsid w:val="001752F6"/>
    <w:rsid w:val="00182711"/>
    <w:rsid w:val="00184A6C"/>
    <w:rsid w:val="0019330A"/>
    <w:rsid w:val="00193559"/>
    <w:rsid w:val="00196E9E"/>
    <w:rsid w:val="001A1706"/>
    <w:rsid w:val="001A3095"/>
    <w:rsid w:val="001A7339"/>
    <w:rsid w:val="001B458D"/>
    <w:rsid w:val="001C070C"/>
    <w:rsid w:val="001C590C"/>
    <w:rsid w:val="001D1498"/>
    <w:rsid w:val="001D75E3"/>
    <w:rsid w:val="001E17EF"/>
    <w:rsid w:val="001F145D"/>
    <w:rsid w:val="001F4523"/>
    <w:rsid w:val="001F7B5A"/>
    <w:rsid w:val="0020460B"/>
    <w:rsid w:val="002047E7"/>
    <w:rsid w:val="0021581A"/>
    <w:rsid w:val="00223A59"/>
    <w:rsid w:val="002312CC"/>
    <w:rsid w:val="00233830"/>
    <w:rsid w:val="00240BC2"/>
    <w:rsid w:val="00241ED8"/>
    <w:rsid w:val="00245BE0"/>
    <w:rsid w:val="002478E8"/>
    <w:rsid w:val="00250505"/>
    <w:rsid w:val="002612B9"/>
    <w:rsid w:val="0026337F"/>
    <w:rsid w:val="00263A5B"/>
    <w:rsid w:val="00265C92"/>
    <w:rsid w:val="00273813"/>
    <w:rsid w:val="00273F88"/>
    <w:rsid w:val="002750DE"/>
    <w:rsid w:val="00275DE1"/>
    <w:rsid w:val="00277C9F"/>
    <w:rsid w:val="00277E01"/>
    <w:rsid w:val="002818A6"/>
    <w:rsid w:val="00281C1F"/>
    <w:rsid w:val="002837C5"/>
    <w:rsid w:val="00293FE2"/>
    <w:rsid w:val="0029405E"/>
    <w:rsid w:val="002A414B"/>
    <w:rsid w:val="002A4765"/>
    <w:rsid w:val="002A621D"/>
    <w:rsid w:val="002A64A2"/>
    <w:rsid w:val="002B07A1"/>
    <w:rsid w:val="002B273F"/>
    <w:rsid w:val="002B4190"/>
    <w:rsid w:val="002B70B6"/>
    <w:rsid w:val="002C00C3"/>
    <w:rsid w:val="002C1616"/>
    <w:rsid w:val="002C20A2"/>
    <w:rsid w:val="002C3202"/>
    <w:rsid w:val="002D0F58"/>
    <w:rsid w:val="002D5881"/>
    <w:rsid w:val="002F0FF8"/>
    <w:rsid w:val="002F3706"/>
    <w:rsid w:val="002F4CC4"/>
    <w:rsid w:val="002F5855"/>
    <w:rsid w:val="002F6A36"/>
    <w:rsid w:val="002F6BBC"/>
    <w:rsid w:val="00301C2F"/>
    <w:rsid w:val="003039DF"/>
    <w:rsid w:val="003114ED"/>
    <w:rsid w:val="00321A98"/>
    <w:rsid w:val="00323D4A"/>
    <w:rsid w:val="00330232"/>
    <w:rsid w:val="003335CB"/>
    <w:rsid w:val="003378A1"/>
    <w:rsid w:val="0034535A"/>
    <w:rsid w:val="00345A3C"/>
    <w:rsid w:val="003462C9"/>
    <w:rsid w:val="003477D1"/>
    <w:rsid w:val="00351F8F"/>
    <w:rsid w:val="0035200B"/>
    <w:rsid w:val="003570D0"/>
    <w:rsid w:val="003579C2"/>
    <w:rsid w:val="0036036A"/>
    <w:rsid w:val="00363B38"/>
    <w:rsid w:val="00366F09"/>
    <w:rsid w:val="0037152E"/>
    <w:rsid w:val="00371EAE"/>
    <w:rsid w:val="00373E6C"/>
    <w:rsid w:val="00373FAD"/>
    <w:rsid w:val="00376DC0"/>
    <w:rsid w:val="003772EE"/>
    <w:rsid w:val="00380114"/>
    <w:rsid w:val="00386F38"/>
    <w:rsid w:val="00396751"/>
    <w:rsid w:val="003A2E57"/>
    <w:rsid w:val="003A3A57"/>
    <w:rsid w:val="003A4D79"/>
    <w:rsid w:val="003A7CC3"/>
    <w:rsid w:val="003B0864"/>
    <w:rsid w:val="003B4526"/>
    <w:rsid w:val="003B68DD"/>
    <w:rsid w:val="003B692E"/>
    <w:rsid w:val="003B7361"/>
    <w:rsid w:val="003C3559"/>
    <w:rsid w:val="003C54BD"/>
    <w:rsid w:val="003D05C8"/>
    <w:rsid w:val="003D07B0"/>
    <w:rsid w:val="003D21FE"/>
    <w:rsid w:val="003D464A"/>
    <w:rsid w:val="003D7A5B"/>
    <w:rsid w:val="003D7E4F"/>
    <w:rsid w:val="003E18D7"/>
    <w:rsid w:val="003E383B"/>
    <w:rsid w:val="003E7355"/>
    <w:rsid w:val="003F27A0"/>
    <w:rsid w:val="003F3E45"/>
    <w:rsid w:val="00406FFB"/>
    <w:rsid w:val="00407098"/>
    <w:rsid w:val="00410CB4"/>
    <w:rsid w:val="0041570F"/>
    <w:rsid w:val="00420587"/>
    <w:rsid w:val="0042377E"/>
    <w:rsid w:val="00432F05"/>
    <w:rsid w:val="00433FC8"/>
    <w:rsid w:val="00433FE5"/>
    <w:rsid w:val="0043507D"/>
    <w:rsid w:val="00435135"/>
    <w:rsid w:val="00436DB9"/>
    <w:rsid w:val="00451686"/>
    <w:rsid w:val="00452260"/>
    <w:rsid w:val="00457EEA"/>
    <w:rsid w:val="0046132A"/>
    <w:rsid w:val="0046361C"/>
    <w:rsid w:val="00464018"/>
    <w:rsid w:val="00465C0C"/>
    <w:rsid w:val="00465F08"/>
    <w:rsid w:val="00470FDE"/>
    <w:rsid w:val="00472052"/>
    <w:rsid w:val="00473BFA"/>
    <w:rsid w:val="004749CB"/>
    <w:rsid w:val="00475E82"/>
    <w:rsid w:val="004822C1"/>
    <w:rsid w:val="004845A2"/>
    <w:rsid w:val="00484B73"/>
    <w:rsid w:val="0049173C"/>
    <w:rsid w:val="00491796"/>
    <w:rsid w:val="0049610A"/>
    <w:rsid w:val="00497438"/>
    <w:rsid w:val="004A234E"/>
    <w:rsid w:val="004A2E6F"/>
    <w:rsid w:val="004B02EC"/>
    <w:rsid w:val="004B056D"/>
    <w:rsid w:val="004B330F"/>
    <w:rsid w:val="004B372B"/>
    <w:rsid w:val="004B7AE7"/>
    <w:rsid w:val="004C08BD"/>
    <w:rsid w:val="004C26D8"/>
    <w:rsid w:val="004C3FE7"/>
    <w:rsid w:val="004C5C91"/>
    <w:rsid w:val="004C6473"/>
    <w:rsid w:val="004C7158"/>
    <w:rsid w:val="004D37D4"/>
    <w:rsid w:val="004E1D2A"/>
    <w:rsid w:val="004E7702"/>
    <w:rsid w:val="004F08AA"/>
    <w:rsid w:val="004F52B3"/>
    <w:rsid w:val="004F6F23"/>
    <w:rsid w:val="00503783"/>
    <w:rsid w:val="00504C00"/>
    <w:rsid w:val="005060A8"/>
    <w:rsid w:val="005072D6"/>
    <w:rsid w:val="00511651"/>
    <w:rsid w:val="005119BD"/>
    <w:rsid w:val="005138E9"/>
    <w:rsid w:val="005303C9"/>
    <w:rsid w:val="005337DB"/>
    <w:rsid w:val="00533B00"/>
    <w:rsid w:val="00534DC3"/>
    <w:rsid w:val="005367FD"/>
    <w:rsid w:val="00540F80"/>
    <w:rsid w:val="005455C1"/>
    <w:rsid w:val="00547A61"/>
    <w:rsid w:val="00547EC4"/>
    <w:rsid w:val="00550EA1"/>
    <w:rsid w:val="00557498"/>
    <w:rsid w:val="00557515"/>
    <w:rsid w:val="00560FD5"/>
    <w:rsid w:val="00571109"/>
    <w:rsid w:val="00571CDD"/>
    <w:rsid w:val="00572A22"/>
    <w:rsid w:val="00575824"/>
    <w:rsid w:val="00576F1B"/>
    <w:rsid w:val="00584D84"/>
    <w:rsid w:val="0058584D"/>
    <w:rsid w:val="00592733"/>
    <w:rsid w:val="00592F6C"/>
    <w:rsid w:val="00594BB4"/>
    <w:rsid w:val="00594C80"/>
    <w:rsid w:val="005951E5"/>
    <w:rsid w:val="00596798"/>
    <w:rsid w:val="005A004D"/>
    <w:rsid w:val="005A42C5"/>
    <w:rsid w:val="005A4E7D"/>
    <w:rsid w:val="005A5006"/>
    <w:rsid w:val="005B36AF"/>
    <w:rsid w:val="005D0803"/>
    <w:rsid w:val="005D2888"/>
    <w:rsid w:val="005D3549"/>
    <w:rsid w:val="005D46E3"/>
    <w:rsid w:val="005D4783"/>
    <w:rsid w:val="005D5CB3"/>
    <w:rsid w:val="005E40DA"/>
    <w:rsid w:val="005E540C"/>
    <w:rsid w:val="005E5ACB"/>
    <w:rsid w:val="005F258D"/>
    <w:rsid w:val="005F76F5"/>
    <w:rsid w:val="00601039"/>
    <w:rsid w:val="00601558"/>
    <w:rsid w:val="006057ED"/>
    <w:rsid w:val="00610A9A"/>
    <w:rsid w:val="00612145"/>
    <w:rsid w:val="00612B88"/>
    <w:rsid w:val="00616730"/>
    <w:rsid w:val="00617ADA"/>
    <w:rsid w:val="00617EA4"/>
    <w:rsid w:val="00620662"/>
    <w:rsid w:val="00622A15"/>
    <w:rsid w:val="00626C93"/>
    <w:rsid w:val="00636BCE"/>
    <w:rsid w:val="006374B3"/>
    <w:rsid w:val="00643C2A"/>
    <w:rsid w:val="00650590"/>
    <w:rsid w:val="00651487"/>
    <w:rsid w:val="00652A6F"/>
    <w:rsid w:val="00653CE4"/>
    <w:rsid w:val="0065449C"/>
    <w:rsid w:val="00657ABD"/>
    <w:rsid w:val="00657EA8"/>
    <w:rsid w:val="00660A14"/>
    <w:rsid w:val="006620A5"/>
    <w:rsid w:val="00663B4F"/>
    <w:rsid w:val="0067059D"/>
    <w:rsid w:val="00672CB2"/>
    <w:rsid w:val="006734A3"/>
    <w:rsid w:val="006803F7"/>
    <w:rsid w:val="00683CC1"/>
    <w:rsid w:val="00685959"/>
    <w:rsid w:val="00696F17"/>
    <w:rsid w:val="006A0308"/>
    <w:rsid w:val="006B2E4C"/>
    <w:rsid w:val="006B6F05"/>
    <w:rsid w:val="006C109E"/>
    <w:rsid w:val="006D5601"/>
    <w:rsid w:val="006D5D8D"/>
    <w:rsid w:val="006D7958"/>
    <w:rsid w:val="006E21C1"/>
    <w:rsid w:val="006F0662"/>
    <w:rsid w:val="006F3988"/>
    <w:rsid w:val="006F633A"/>
    <w:rsid w:val="006F64D1"/>
    <w:rsid w:val="006F6930"/>
    <w:rsid w:val="00703E43"/>
    <w:rsid w:val="0070522E"/>
    <w:rsid w:val="00705664"/>
    <w:rsid w:val="00705735"/>
    <w:rsid w:val="00706288"/>
    <w:rsid w:val="00710891"/>
    <w:rsid w:val="00712EF3"/>
    <w:rsid w:val="00713472"/>
    <w:rsid w:val="007167DA"/>
    <w:rsid w:val="007209C2"/>
    <w:rsid w:val="007314CC"/>
    <w:rsid w:val="00737676"/>
    <w:rsid w:val="007405E0"/>
    <w:rsid w:val="00741F16"/>
    <w:rsid w:val="0074415C"/>
    <w:rsid w:val="00744AB8"/>
    <w:rsid w:val="007478BB"/>
    <w:rsid w:val="0076048B"/>
    <w:rsid w:val="00760930"/>
    <w:rsid w:val="00762B76"/>
    <w:rsid w:val="007641BC"/>
    <w:rsid w:val="007642F4"/>
    <w:rsid w:val="0076462C"/>
    <w:rsid w:val="00764BD9"/>
    <w:rsid w:val="0076593A"/>
    <w:rsid w:val="00766AB9"/>
    <w:rsid w:val="007678C9"/>
    <w:rsid w:val="00767C77"/>
    <w:rsid w:val="007728AF"/>
    <w:rsid w:val="00775298"/>
    <w:rsid w:val="00781CF8"/>
    <w:rsid w:val="007904FD"/>
    <w:rsid w:val="00791A98"/>
    <w:rsid w:val="00792ADE"/>
    <w:rsid w:val="00792C88"/>
    <w:rsid w:val="0079354D"/>
    <w:rsid w:val="007978C4"/>
    <w:rsid w:val="007A14BA"/>
    <w:rsid w:val="007A17D5"/>
    <w:rsid w:val="007B273B"/>
    <w:rsid w:val="007B2AA4"/>
    <w:rsid w:val="007C29E8"/>
    <w:rsid w:val="007D2C1B"/>
    <w:rsid w:val="007D5DA2"/>
    <w:rsid w:val="007D77B3"/>
    <w:rsid w:val="007E01EC"/>
    <w:rsid w:val="007E4417"/>
    <w:rsid w:val="007E7B9E"/>
    <w:rsid w:val="007F1038"/>
    <w:rsid w:val="007F667D"/>
    <w:rsid w:val="00812579"/>
    <w:rsid w:val="00815AA5"/>
    <w:rsid w:val="0081650A"/>
    <w:rsid w:val="00816F08"/>
    <w:rsid w:val="008228EA"/>
    <w:rsid w:val="0082356A"/>
    <w:rsid w:val="00823FEE"/>
    <w:rsid w:val="008310DE"/>
    <w:rsid w:val="008344D3"/>
    <w:rsid w:val="00834533"/>
    <w:rsid w:val="008348D0"/>
    <w:rsid w:val="00840CF9"/>
    <w:rsid w:val="00840EFA"/>
    <w:rsid w:val="008467C9"/>
    <w:rsid w:val="0084758F"/>
    <w:rsid w:val="008478B0"/>
    <w:rsid w:val="00850A1B"/>
    <w:rsid w:val="00853FA7"/>
    <w:rsid w:val="008555D2"/>
    <w:rsid w:val="0086076D"/>
    <w:rsid w:val="008624F5"/>
    <w:rsid w:val="0086497B"/>
    <w:rsid w:val="00865F5F"/>
    <w:rsid w:val="00866FFC"/>
    <w:rsid w:val="00867C4E"/>
    <w:rsid w:val="00870443"/>
    <w:rsid w:val="0087190C"/>
    <w:rsid w:val="00876518"/>
    <w:rsid w:val="0087651B"/>
    <w:rsid w:val="00876E3F"/>
    <w:rsid w:val="008818F1"/>
    <w:rsid w:val="00881E54"/>
    <w:rsid w:val="008834FB"/>
    <w:rsid w:val="008864F1"/>
    <w:rsid w:val="008A0EB9"/>
    <w:rsid w:val="008A7190"/>
    <w:rsid w:val="008B1D2B"/>
    <w:rsid w:val="008B2CCD"/>
    <w:rsid w:val="008B3D15"/>
    <w:rsid w:val="008B6138"/>
    <w:rsid w:val="008C1F2C"/>
    <w:rsid w:val="008C32B5"/>
    <w:rsid w:val="008D124E"/>
    <w:rsid w:val="008D13EA"/>
    <w:rsid w:val="008D2FA4"/>
    <w:rsid w:val="008E2A38"/>
    <w:rsid w:val="008E4509"/>
    <w:rsid w:val="008E735B"/>
    <w:rsid w:val="008F09D7"/>
    <w:rsid w:val="008F102D"/>
    <w:rsid w:val="008F1E65"/>
    <w:rsid w:val="008F26D4"/>
    <w:rsid w:val="008F3C10"/>
    <w:rsid w:val="008F4FB9"/>
    <w:rsid w:val="00900B50"/>
    <w:rsid w:val="00904F2E"/>
    <w:rsid w:val="009074AB"/>
    <w:rsid w:val="00913FCE"/>
    <w:rsid w:val="00914B60"/>
    <w:rsid w:val="00920035"/>
    <w:rsid w:val="009271D7"/>
    <w:rsid w:val="00933C7F"/>
    <w:rsid w:val="00934269"/>
    <w:rsid w:val="0093438B"/>
    <w:rsid w:val="0093493D"/>
    <w:rsid w:val="009350B6"/>
    <w:rsid w:val="00941F92"/>
    <w:rsid w:val="009431C3"/>
    <w:rsid w:val="009477EB"/>
    <w:rsid w:val="00947FBE"/>
    <w:rsid w:val="00950B80"/>
    <w:rsid w:val="00952720"/>
    <w:rsid w:val="00953969"/>
    <w:rsid w:val="009552A7"/>
    <w:rsid w:val="0095711F"/>
    <w:rsid w:val="00957234"/>
    <w:rsid w:val="00960690"/>
    <w:rsid w:val="00960A78"/>
    <w:rsid w:val="009612E1"/>
    <w:rsid w:val="00962318"/>
    <w:rsid w:val="009624B9"/>
    <w:rsid w:val="0096337C"/>
    <w:rsid w:val="00965BE9"/>
    <w:rsid w:val="00971040"/>
    <w:rsid w:val="00973C09"/>
    <w:rsid w:val="00985A9D"/>
    <w:rsid w:val="00991AB3"/>
    <w:rsid w:val="00992391"/>
    <w:rsid w:val="00992532"/>
    <w:rsid w:val="00996039"/>
    <w:rsid w:val="009A689C"/>
    <w:rsid w:val="009B0105"/>
    <w:rsid w:val="009B0BF0"/>
    <w:rsid w:val="009B1AF9"/>
    <w:rsid w:val="009B2BF4"/>
    <w:rsid w:val="009B3C48"/>
    <w:rsid w:val="009C366C"/>
    <w:rsid w:val="009C55C6"/>
    <w:rsid w:val="009D0435"/>
    <w:rsid w:val="009D40C8"/>
    <w:rsid w:val="009D4300"/>
    <w:rsid w:val="009D517A"/>
    <w:rsid w:val="009E5909"/>
    <w:rsid w:val="009F25CB"/>
    <w:rsid w:val="009F7ABB"/>
    <w:rsid w:val="00A0214D"/>
    <w:rsid w:val="00A0279A"/>
    <w:rsid w:val="00A038A5"/>
    <w:rsid w:val="00A06A7B"/>
    <w:rsid w:val="00A1198B"/>
    <w:rsid w:val="00A165D5"/>
    <w:rsid w:val="00A26F8E"/>
    <w:rsid w:val="00A3389D"/>
    <w:rsid w:val="00A347D0"/>
    <w:rsid w:val="00A357D3"/>
    <w:rsid w:val="00A47D3C"/>
    <w:rsid w:val="00A5361E"/>
    <w:rsid w:val="00A5788F"/>
    <w:rsid w:val="00A61499"/>
    <w:rsid w:val="00A642B9"/>
    <w:rsid w:val="00A7061C"/>
    <w:rsid w:val="00A72E5E"/>
    <w:rsid w:val="00A824D3"/>
    <w:rsid w:val="00A826D6"/>
    <w:rsid w:val="00A8612B"/>
    <w:rsid w:val="00AA1BEA"/>
    <w:rsid w:val="00AA3984"/>
    <w:rsid w:val="00AA407B"/>
    <w:rsid w:val="00AA5678"/>
    <w:rsid w:val="00AB393B"/>
    <w:rsid w:val="00AB3C1F"/>
    <w:rsid w:val="00AB5362"/>
    <w:rsid w:val="00AC7839"/>
    <w:rsid w:val="00AD0A22"/>
    <w:rsid w:val="00AD11AD"/>
    <w:rsid w:val="00AD1663"/>
    <w:rsid w:val="00AD6D3C"/>
    <w:rsid w:val="00AE0E72"/>
    <w:rsid w:val="00AE14F6"/>
    <w:rsid w:val="00AE2DC8"/>
    <w:rsid w:val="00AE38DE"/>
    <w:rsid w:val="00AE4AAA"/>
    <w:rsid w:val="00AE4AE3"/>
    <w:rsid w:val="00AE6475"/>
    <w:rsid w:val="00AE7D5C"/>
    <w:rsid w:val="00AF4D2D"/>
    <w:rsid w:val="00B02AD3"/>
    <w:rsid w:val="00B02F22"/>
    <w:rsid w:val="00B03B6B"/>
    <w:rsid w:val="00B071BF"/>
    <w:rsid w:val="00B16729"/>
    <w:rsid w:val="00B20980"/>
    <w:rsid w:val="00B20BE9"/>
    <w:rsid w:val="00B24D2C"/>
    <w:rsid w:val="00B2708D"/>
    <w:rsid w:val="00B352ED"/>
    <w:rsid w:val="00B42286"/>
    <w:rsid w:val="00B46AB9"/>
    <w:rsid w:val="00B54144"/>
    <w:rsid w:val="00B602CA"/>
    <w:rsid w:val="00B60565"/>
    <w:rsid w:val="00B60795"/>
    <w:rsid w:val="00B60DE2"/>
    <w:rsid w:val="00B61A03"/>
    <w:rsid w:val="00B66AD6"/>
    <w:rsid w:val="00B67FBE"/>
    <w:rsid w:val="00B7291D"/>
    <w:rsid w:val="00B72AC6"/>
    <w:rsid w:val="00B736F4"/>
    <w:rsid w:val="00B74072"/>
    <w:rsid w:val="00B7711E"/>
    <w:rsid w:val="00B77D54"/>
    <w:rsid w:val="00B807AE"/>
    <w:rsid w:val="00B8126F"/>
    <w:rsid w:val="00B82606"/>
    <w:rsid w:val="00B82DE1"/>
    <w:rsid w:val="00B82FA8"/>
    <w:rsid w:val="00B83175"/>
    <w:rsid w:val="00B93267"/>
    <w:rsid w:val="00B9794C"/>
    <w:rsid w:val="00BA4E51"/>
    <w:rsid w:val="00BA5A5E"/>
    <w:rsid w:val="00BA6456"/>
    <w:rsid w:val="00BB22C5"/>
    <w:rsid w:val="00BB4197"/>
    <w:rsid w:val="00BB59AD"/>
    <w:rsid w:val="00BC029E"/>
    <w:rsid w:val="00BC68E1"/>
    <w:rsid w:val="00BD151A"/>
    <w:rsid w:val="00BD4287"/>
    <w:rsid w:val="00BD567D"/>
    <w:rsid w:val="00BD7656"/>
    <w:rsid w:val="00BE1C57"/>
    <w:rsid w:val="00BE5D36"/>
    <w:rsid w:val="00BE7180"/>
    <w:rsid w:val="00BF0C5B"/>
    <w:rsid w:val="00BF633D"/>
    <w:rsid w:val="00C007B1"/>
    <w:rsid w:val="00C03271"/>
    <w:rsid w:val="00C14271"/>
    <w:rsid w:val="00C16F31"/>
    <w:rsid w:val="00C21F16"/>
    <w:rsid w:val="00C22533"/>
    <w:rsid w:val="00C23CB2"/>
    <w:rsid w:val="00C245EE"/>
    <w:rsid w:val="00C25F62"/>
    <w:rsid w:val="00C26343"/>
    <w:rsid w:val="00C327D2"/>
    <w:rsid w:val="00C3653B"/>
    <w:rsid w:val="00C37C11"/>
    <w:rsid w:val="00C42111"/>
    <w:rsid w:val="00C47DD5"/>
    <w:rsid w:val="00C5036A"/>
    <w:rsid w:val="00C5319F"/>
    <w:rsid w:val="00C56345"/>
    <w:rsid w:val="00C63459"/>
    <w:rsid w:val="00C63626"/>
    <w:rsid w:val="00C66895"/>
    <w:rsid w:val="00C70298"/>
    <w:rsid w:val="00C70690"/>
    <w:rsid w:val="00C737E4"/>
    <w:rsid w:val="00C743FC"/>
    <w:rsid w:val="00C76651"/>
    <w:rsid w:val="00C87003"/>
    <w:rsid w:val="00C9530C"/>
    <w:rsid w:val="00C95B23"/>
    <w:rsid w:val="00C9739B"/>
    <w:rsid w:val="00CA0547"/>
    <w:rsid w:val="00CA7512"/>
    <w:rsid w:val="00CB1F96"/>
    <w:rsid w:val="00CB5D6A"/>
    <w:rsid w:val="00CC1775"/>
    <w:rsid w:val="00CC4147"/>
    <w:rsid w:val="00CD1F5A"/>
    <w:rsid w:val="00CD3D6B"/>
    <w:rsid w:val="00CE6E5A"/>
    <w:rsid w:val="00CF1524"/>
    <w:rsid w:val="00CF78EE"/>
    <w:rsid w:val="00D00ECD"/>
    <w:rsid w:val="00D026EA"/>
    <w:rsid w:val="00D12974"/>
    <w:rsid w:val="00D2183D"/>
    <w:rsid w:val="00D250DA"/>
    <w:rsid w:val="00D30943"/>
    <w:rsid w:val="00D32F0B"/>
    <w:rsid w:val="00D368FA"/>
    <w:rsid w:val="00D37798"/>
    <w:rsid w:val="00D40A7D"/>
    <w:rsid w:val="00D4119D"/>
    <w:rsid w:val="00D41788"/>
    <w:rsid w:val="00D42D3D"/>
    <w:rsid w:val="00D4314F"/>
    <w:rsid w:val="00D44C1B"/>
    <w:rsid w:val="00D47A8A"/>
    <w:rsid w:val="00D52895"/>
    <w:rsid w:val="00D537E6"/>
    <w:rsid w:val="00D53C6D"/>
    <w:rsid w:val="00D55B31"/>
    <w:rsid w:val="00D55FF7"/>
    <w:rsid w:val="00D57B39"/>
    <w:rsid w:val="00D6747E"/>
    <w:rsid w:val="00D758CC"/>
    <w:rsid w:val="00D82E20"/>
    <w:rsid w:val="00D82FAC"/>
    <w:rsid w:val="00D83C6C"/>
    <w:rsid w:val="00DA196C"/>
    <w:rsid w:val="00DA470B"/>
    <w:rsid w:val="00DA5899"/>
    <w:rsid w:val="00DA6BBB"/>
    <w:rsid w:val="00DA6C79"/>
    <w:rsid w:val="00DB272F"/>
    <w:rsid w:val="00DB2C62"/>
    <w:rsid w:val="00DB495C"/>
    <w:rsid w:val="00DB588D"/>
    <w:rsid w:val="00DB5FF0"/>
    <w:rsid w:val="00DB74E5"/>
    <w:rsid w:val="00DC6C2E"/>
    <w:rsid w:val="00DD7603"/>
    <w:rsid w:val="00DD7F5B"/>
    <w:rsid w:val="00DE7D01"/>
    <w:rsid w:val="00DF0EA9"/>
    <w:rsid w:val="00DF15F5"/>
    <w:rsid w:val="00E02666"/>
    <w:rsid w:val="00E04731"/>
    <w:rsid w:val="00E14C51"/>
    <w:rsid w:val="00E172D7"/>
    <w:rsid w:val="00E23407"/>
    <w:rsid w:val="00E240CA"/>
    <w:rsid w:val="00E24B84"/>
    <w:rsid w:val="00E266AD"/>
    <w:rsid w:val="00E32F58"/>
    <w:rsid w:val="00E342D5"/>
    <w:rsid w:val="00E361BC"/>
    <w:rsid w:val="00E37086"/>
    <w:rsid w:val="00E379E8"/>
    <w:rsid w:val="00E417D6"/>
    <w:rsid w:val="00E43308"/>
    <w:rsid w:val="00E45913"/>
    <w:rsid w:val="00E53157"/>
    <w:rsid w:val="00E537A1"/>
    <w:rsid w:val="00E54096"/>
    <w:rsid w:val="00E55766"/>
    <w:rsid w:val="00E55FAC"/>
    <w:rsid w:val="00E6224C"/>
    <w:rsid w:val="00E62729"/>
    <w:rsid w:val="00E66B84"/>
    <w:rsid w:val="00E729F0"/>
    <w:rsid w:val="00E73458"/>
    <w:rsid w:val="00E775F9"/>
    <w:rsid w:val="00E8066C"/>
    <w:rsid w:val="00E84FB5"/>
    <w:rsid w:val="00E92E84"/>
    <w:rsid w:val="00E94CFE"/>
    <w:rsid w:val="00E95BDA"/>
    <w:rsid w:val="00EA04B9"/>
    <w:rsid w:val="00EA1B23"/>
    <w:rsid w:val="00EA4A6F"/>
    <w:rsid w:val="00EA71E9"/>
    <w:rsid w:val="00EB14DC"/>
    <w:rsid w:val="00EB22C6"/>
    <w:rsid w:val="00EB24B2"/>
    <w:rsid w:val="00EB4374"/>
    <w:rsid w:val="00EB72B3"/>
    <w:rsid w:val="00EC0A42"/>
    <w:rsid w:val="00EC251A"/>
    <w:rsid w:val="00EC4A19"/>
    <w:rsid w:val="00EC5BAD"/>
    <w:rsid w:val="00ED0286"/>
    <w:rsid w:val="00ED0679"/>
    <w:rsid w:val="00ED41CA"/>
    <w:rsid w:val="00EE118D"/>
    <w:rsid w:val="00EE14C7"/>
    <w:rsid w:val="00EE49BC"/>
    <w:rsid w:val="00F00784"/>
    <w:rsid w:val="00F00E1A"/>
    <w:rsid w:val="00F019EC"/>
    <w:rsid w:val="00F14178"/>
    <w:rsid w:val="00F145F2"/>
    <w:rsid w:val="00F17C5A"/>
    <w:rsid w:val="00F208DD"/>
    <w:rsid w:val="00F21D6E"/>
    <w:rsid w:val="00F22811"/>
    <w:rsid w:val="00F23DBB"/>
    <w:rsid w:val="00F24D80"/>
    <w:rsid w:val="00F3210F"/>
    <w:rsid w:val="00F37E66"/>
    <w:rsid w:val="00F40C46"/>
    <w:rsid w:val="00F41433"/>
    <w:rsid w:val="00F41493"/>
    <w:rsid w:val="00F41EE0"/>
    <w:rsid w:val="00F422E3"/>
    <w:rsid w:val="00F4236D"/>
    <w:rsid w:val="00F435E8"/>
    <w:rsid w:val="00F4711A"/>
    <w:rsid w:val="00F55C4C"/>
    <w:rsid w:val="00F56665"/>
    <w:rsid w:val="00F60702"/>
    <w:rsid w:val="00F62C4B"/>
    <w:rsid w:val="00F65C96"/>
    <w:rsid w:val="00F70350"/>
    <w:rsid w:val="00F74F80"/>
    <w:rsid w:val="00F75C19"/>
    <w:rsid w:val="00F76368"/>
    <w:rsid w:val="00F85AA0"/>
    <w:rsid w:val="00F87720"/>
    <w:rsid w:val="00F9011F"/>
    <w:rsid w:val="00F92422"/>
    <w:rsid w:val="00F947A4"/>
    <w:rsid w:val="00F970DA"/>
    <w:rsid w:val="00F97397"/>
    <w:rsid w:val="00FA74EB"/>
    <w:rsid w:val="00FB066A"/>
    <w:rsid w:val="00FB1D3B"/>
    <w:rsid w:val="00FB369C"/>
    <w:rsid w:val="00FC4617"/>
    <w:rsid w:val="00FC6473"/>
    <w:rsid w:val="00FD1021"/>
    <w:rsid w:val="00FD223E"/>
    <w:rsid w:val="00FD5546"/>
    <w:rsid w:val="00FD7420"/>
    <w:rsid w:val="00FE6624"/>
    <w:rsid w:val="00FF10EE"/>
    <w:rsid w:val="00FF2B5F"/>
    <w:rsid w:val="00FF45DE"/>
    <w:rsid w:val="00FF47B5"/>
    <w:rsid w:val="00FF5E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B9C55C"/>
  <w15:chartTrackingRefBased/>
  <w15:docId w15:val="{94D75576-5E74-42AA-BD8A-1B8B9712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765"/>
    <w:pPr>
      <w:keepNext/>
      <w:keepLines/>
      <w:numPr>
        <w:numId w:val="1"/>
      </w:numPr>
      <w:spacing w:before="240" w:after="0"/>
      <w:outlineLvl w:val="0"/>
    </w:pPr>
    <w:rPr>
      <w:rFonts w:ascii="Times New Roman" w:eastAsiaTheme="majorEastAsia" w:hAnsi="Times New Roman" w:cstheme="majorBidi"/>
      <w:b/>
      <w:bCs/>
      <w:color w:val="000000" w:themeColor="text1"/>
      <w:sz w:val="24"/>
      <w:szCs w:val="32"/>
    </w:rPr>
  </w:style>
  <w:style w:type="paragraph" w:styleId="Heading2">
    <w:name w:val="heading 2"/>
    <w:basedOn w:val="Normal"/>
    <w:next w:val="Normal"/>
    <w:link w:val="Heading2Char"/>
    <w:uiPriority w:val="9"/>
    <w:unhideWhenUsed/>
    <w:qFormat/>
    <w:rsid w:val="008F10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935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765"/>
    <w:rPr>
      <w:rFonts w:ascii="Times New Roman" w:eastAsiaTheme="majorEastAsia" w:hAnsi="Times New Roman" w:cstheme="majorBidi"/>
      <w:b/>
      <w:bCs/>
      <w:color w:val="000000" w:themeColor="text1"/>
      <w:sz w:val="24"/>
      <w:szCs w:val="32"/>
    </w:rPr>
  </w:style>
  <w:style w:type="character" w:customStyle="1" w:styleId="markedcontent">
    <w:name w:val="markedcontent"/>
    <w:basedOn w:val="DefaultParagraphFont"/>
    <w:rsid w:val="002A4765"/>
  </w:style>
  <w:style w:type="character" w:customStyle="1" w:styleId="fontstyle01">
    <w:name w:val="fontstyle01"/>
    <w:basedOn w:val="DefaultParagraphFont"/>
    <w:rsid w:val="002A4765"/>
    <w:rPr>
      <w:rFonts w:ascii="Times New Roman" w:hAnsi="Times New Roman" w:cs="Times New Roman" w:hint="default"/>
      <w:b w:val="0"/>
      <w:bCs w:val="0"/>
      <w:i w:val="0"/>
      <w:iCs w:val="0"/>
      <w:color w:val="000000"/>
      <w:sz w:val="24"/>
      <w:szCs w:val="24"/>
    </w:rPr>
  </w:style>
  <w:style w:type="character" w:customStyle="1" w:styleId="Heading2Char">
    <w:name w:val="Heading 2 Char"/>
    <w:basedOn w:val="DefaultParagraphFont"/>
    <w:link w:val="Heading2"/>
    <w:uiPriority w:val="9"/>
    <w:rsid w:val="008F102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537A1"/>
    <w:pPr>
      <w:ind w:left="720"/>
      <w:contextualSpacing/>
    </w:pPr>
  </w:style>
  <w:style w:type="character" w:customStyle="1" w:styleId="Heading3Char">
    <w:name w:val="Heading 3 Char"/>
    <w:basedOn w:val="DefaultParagraphFont"/>
    <w:link w:val="Heading3"/>
    <w:uiPriority w:val="9"/>
    <w:rsid w:val="00193559"/>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2D5881"/>
    <w:pPr>
      <w:spacing w:after="200" w:line="240" w:lineRule="auto"/>
    </w:pPr>
    <w:rPr>
      <w:i/>
      <w:iCs/>
      <w:color w:val="44546A" w:themeColor="text2"/>
      <w:sz w:val="18"/>
      <w:szCs w:val="18"/>
    </w:rPr>
  </w:style>
  <w:style w:type="table" w:styleId="TableGrid">
    <w:name w:val="Table Grid"/>
    <w:basedOn w:val="TableNormal"/>
    <w:uiPriority w:val="39"/>
    <w:qFormat/>
    <w:rsid w:val="00C74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2F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2F6C"/>
  </w:style>
  <w:style w:type="paragraph" w:styleId="Footer">
    <w:name w:val="footer"/>
    <w:basedOn w:val="Normal"/>
    <w:link w:val="FooterChar"/>
    <w:uiPriority w:val="99"/>
    <w:unhideWhenUsed/>
    <w:rsid w:val="00592F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2F6C"/>
  </w:style>
  <w:style w:type="character" w:styleId="Hyperlink">
    <w:name w:val="Hyperlink"/>
    <w:basedOn w:val="DefaultParagraphFont"/>
    <w:uiPriority w:val="99"/>
    <w:unhideWhenUsed/>
    <w:rsid w:val="008864F1"/>
    <w:rPr>
      <w:color w:val="0563C1" w:themeColor="hyperlink"/>
      <w:u w:val="single"/>
    </w:rPr>
  </w:style>
  <w:style w:type="character" w:styleId="UnresolvedMention">
    <w:name w:val="Unresolved Mention"/>
    <w:basedOn w:val="DefaultParagraphFont"/>
    <w:uiPriority w:val="99"/>
    <w:semiHidden/>
    <w:unhideWhenUsed/>
    <w:rsid w:val="008864F1"/>
    <w:rPr>
      <w:color w:val="605E5C"/>
      <w:shd w:val="clear" w:color="auto" w:fill="E1DFDD"/>
    </w:rPr>
  </w:style>
  <w:style w:type="paragraph" w:styleId="NoSpacing">
    <w:name w:val="No Spacing"/>
    <w:uiPriority w:val="1"/>
    <w:qFormat/>
    <w:rsid w:val="00BB22C5"/>
    <w:pPr>
      <w:spacing w:after="0" w:line="240" w:lineRule="auto"/>
    </w:pPr>
  </w:style>
  <w:style w:type="paragraph" w:customStyle="1" w:styleId="ReferHead">
    <w:name w:val="Refer Head"/>
    <w:basedOn w:val="Normal"/>
    <w:rsid w:val="001308F2"/>
    <w:pPr>
      <w:keepNext/>
      <w:spacing w:after="240" w:line="240" w:lineRule="auto"/>
    </w:pPr>
    <w:rPr>
      <w:rFonts w:ascii="Helvetica" w:eastAsia="Times New Roman" w:hAnsi="Helvetica" w:cs="Times New Roman"/>
      <w:b/>
      <w:caps/>
      <w:szCs w:val="20"/>
      <w:lang w:val="en-US"/>
    </w:rPr>
  </w:style>
  <w:style w:type="paragraph" w:styleId="NormalWeb">
    <w:name w:val="Normal (Web)"/>
    <w:basedOn w:val="Normal"/>
    <w:uiPriority w:val="99"/>
    <w:unhideWhenUsed/>
    <w:rsid w:val="00FB369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9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14/ijbcs.v13i1.26" TargetMode="External"/><Relationship Id="rId18" Type="http://schemas.openxmlformats.org/officeDocument/2006/relationships/hyperlink" Target="https://garfield.library.upenn.edu/classics1986/A1986E108100001.pdf" TargetMode="External"/><Relationship Id="rId26" Type="http://schemas.openxmlformats.org/officeDocument/2006/relationships/hyperlink" Target="https://www.iosrjournals.org/iosr-jdms/papers/Vol20-issue3/Series-1/E2003012429.pdf" TargetMode="External"/><Relationship Id="rId21" Type="http://schemas.openxmlformats.org/officeDocument/2006/relationships/hyperlink" Target="https://doi.org/10.1016/j.fbio.2025.10657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dx.doi.org/10.21474/IJAR01/16320" TargetMode="External"/><Relationship Id="rId17" Type="http://schemas.openxmlformats.org/officeDocument/2006/relationships/hyperlink" Target="https://doi.org/10.1016/j.foodchem.2006.07.038" TargetMode="External"/><Relationship Id="rId25" Type="http://schemas.openxmlformats.org/officeDocument/2006/relationships/hyperlink" Target="https://www.researchgate.net/publication/258769164_Total_phenolics_and_flavonoids_in_Bulgarian_fruits_and_vegetable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bse.2023.104661" TargetMode="External"/><Relationship Id="rId20" Type="http://schemas.openxmlformats.org/officeDocument/2006/relationships/hyperlink" Target="https://doi.org/10.1002/biof.1079?urlappend=%3Futm_source%3Dresearchgate.net%26utm_medium%3Darticle" TargetMode="External"/><Relationship Id="rId29" Type="http://schemas.openxmlformats.org/officeDocument/2006/relationships/hyperlink" Target="https://doi.org/10.3945/an.112.0035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5923/J.FOOD.20211102.0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YA\Downloads\109" TargetMode="External"/><Relationship Id="rId23" Type="http://schemas.openxmlformats.org/officeDocument/2006/relationships/hyperlink" Target="http://dx.doi.org/10.1016/j.foodcont.2009.06.002" TargetMode="External"/><Relationship Id="rId28" Type="http://schemas.openxmlformats.org/officeDocument/2006/relationships/hyperlink" Target="https://phytomisan.com/wp-content/uploads/2020/04/article_curcuma_mars2016.pdf" TargetMode="External"/><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doi.org/10.1016/j.foodchem.2012.04.043"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sciencedirect.com/journal/biochemical-systematics-and-ecology" TargetMode="External"/><Relationship Id="rId22" Type="http://schemas.openxmlformats.org/officeDocument/2006/relationships/hyperlink" Target="https://doi.org/10.9734/cjast/2025/v44i94604" TargetMode="External"/><Relationship Id="rId27" Type="http://schemas.openxmlformats.org/officeDocument/2006/relationships/hyperlink" Target="https://doi.org/10.1007/s43994-024-00200-7"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YA\Desktop\2025-2026\ROSECURCUM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YA\Desktop\2025-2026\ROSECURCUM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YA\Desktop\2025-2026\ROSECURCUM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65000"/>
                    <a:lumOff val="35000"/>
                  </a:schemeClr>
                </a:solidFill>
                <a:round/>
              </a:ln>
              <a:effectLst/>
            </c:spPr>
          </c:errBars>
          <c:cat>
            <c:strRef>
              <c:f>Feuil1!$F$4:$J$4</c:f>
              <c:strCache>
                <c:ptCount val="5"/>
                <c:pt idx="0">
                  <c:v>Proteins</c:v>
                </c:pt>
                <c:pt idx="1">
                  <c:v>Lipids</c:v>
                </c:pt>
                <c:pt idx="2">
                  <c:v>Total Carbohydrates </c:v>
                </c:pt>
                <c:pt idx="3">
                  <c:v>Total Sugars</c:v>
                </c:pt>
                <c:pt idx="4">
                  <c:v>Reducing Sugars </c:v>
                </c:pt>
              </c:strCache>
            </c:strRef>
          </c:cat>
          <c:val>
            <c:numRef>
              <c:f>Feuil1!$F$5:$J$5</c:f>
              <c:numCache>
                <c:formatCode>General</c:formatCode>
                <c:ptCount val="5"/>
                <c:pt idx="0">
                  <c:v>8.125</c:v>
                </c:pt>
                <c:pt idx="1">
                  <c:v>3.43</c:v>
                </c:pt>
                <c:pt idx="2">
                  <c:v>80.25</c:v>
                </c:pt>
                <c:pt idx="3">
                  <c:v>9.93</c:v>
                </c:pt>
                <c:pt idx="4">
                  <c:v>4.3</c:v>
                </c:pt>
              </c:numCache>
            </c:numRef>
          </c:val>
          <c:extLst>
            <c:ext xmlns:c16="http://schemas.microsoft.com/office/drawing/2014/chart" uri="{C3380CC4-5D6E-409C-BE32-E72D297353CC}">
              <c16:uniqueId val="{00000000-867C-440C-839F-6A9D46A28DAB}"/>
            </c:ext>
          </c:extLst>
        </c:ser>
        <c:dLbls>
          <c:dLblPos val="outEnd"/>
          <c:showLegendKey val="0"/>
          <c:showVal val="1"/>
          <c:showCatName val="0"/>
          <c:showSerName val="0"/>
          <c:showPercent val="0"/>
          <c:showBubbleSize val="0"/>
        </c:dLbls>
        <c:gapWidth val="80"/>
        <c:overlap val="25"/>
        <c:axId val="1059930351"/>
        <c:axId val="1059930831"/>
      </c:barChart>
      <c:catAx>
        <c:axId val="1059930351"/>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cap="none" spc="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59930831"/>
        <c:crosses val="autoZero"/>
        <c:auto val="1"/>
        <c:lblAlgn val="ctr"/>
        <c:lblOffset val="100"/>
        <c:noMultiLvlLbl val="0"/>
      </c:catAx>
      <c:valAx>
        <c:axId val="1059930831"/>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000">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10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out"/>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059930351"/>
        <c:crosses val="autoZero"/>
        <c:crossBetween val="between"/>
        <c:majorUnit val="20"/>
        <c:min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Feuil1!$F$3</c:f>
              <c:strCache>
                <c:ptCount val="1"/>
                <c:pt idx="0">
                  <c:v>POUDRE DE CURCUMA (mg/Kg)</c:v>
                </c:pt>
              </c:strCache>
            </c:strRef>
          </c:tx>
          <c:spPr>
            <a:solidFill>
              <a:schemeClr val="bg2">
                <a:lumMod val="75000"/>
              </a:schemeClr>
            </a:solidFill>
            <a:ln>
              <a:noFill/>
            </a:ln>
            <a:effectLst/>
          </c:spPr>
          <c:invertIfNegative val="0"/>
          <c:dLbls>
            <c:dLbl>
              <c:idx val="0"/>
              <c:layout>
                <c:manualLayout>
                  <c:x val="4.4434570095534124E-3"/>
                  <c:y val="-4.62962962962962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7F-4FBD-A282-862F3CFB3D8A}"/>
                </c:ext>
              </c:extLst>
            </c:dLbl>
            <c:dLbl>
              <c:idx val="1"/>
              <c:layout>
                <c:manualLayout>
                  <c:x val="0"/>
                  <c:y val="-3.24074074074074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7F-4FBD-A282-862F3CFB3D8A}"/>
                </c:ext>
              </c:extLst>
            </c:dLbl>
            <c:dLbl>
              <c:idx val="2"/>
              <c:layout>
                <c:manualLayout>
                  <c:x val="0"/>
                  <c:y val="-2.31481481481481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7F-4FBD-A282-862F3CFB3D8A}"/>
                </c:ext>
              </c:extLst>
            </c:dLbl>
            <c:dLbl>
              <c:idx val="3"/>
              <c:layout>
                <c:manualLayout>
                  <c:x val="-4.4434570095533915E-3"/>
                  <c:y val="-2.777777777777782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7F-4FBD-A282-862F3CFB3D8A}"/>
                </c:ext>
              </c:extLst>
            </c:dLbl>
            <c:dLbl>
              <c:idx val="4"/>
              <c:layout>
                <c:manualLayout>
                  <c:x val="0"/>
                  <c:y val="-3.24074074074074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7F-4FBD-A282-862F3CFB3D8A}"/>
                </c:ext>
              </c:extLst>
            </c:dLbl>
            <c:dLbl>
              <c:idx val="5"/>
              <c:layout>
                <c:manualLayout>
                  <c:x val="-4.4434570095535138E-3"/>
                  <c:y val="-3.70370370370372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7F-4FBD-A282-862F3CFB3D8A}"/>
                </c:ext>
              </c:extLst>
            </c:dLbl>
            <c:dLbl>
              <c:idx val="6"/>
              <c:layout>
                <c:manualLayout>
                  <c:x val="-8.1462437447450747E-17"/>
                  <c:y val="-6.94444444444445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47F-4FBD-A282-862F3CFB3D8A}"/>
                </c:ext>
              </c:extLst>
            </c:dLbl>
            <c:dLbl>
              <c:idx val="7"/>
              <c:layout>
                <c:manualLayout>
                  <c:x val="-8.1462437447450747E-17"/>
                  <c:y val="-3.24074074074074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47F-4FBD-A282-862F3CFB3D8A}"/>
                </c:ext>
              </c:extLst>
            </c:dLbl>
            <c:dLbl>
              <c:idx val="8"/>
              <c:layout>
                <c:manualLayout>
                  <c:x val="-4.4434570095534323E-3"/>
                  <c:y val="-7.40740740740741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47F-4FBD-A282-862F3CFB3D8A}"/>
                </c:ext>
              </c:extLst>
            </c:dLbl>
            <c:dLbl>
              <c:idx val="9"/>
              <c:layout>
                <c:manualLayout>
                  <c:x val="0"/>
                  <c:y val="-3.24074074074075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47F-4FBD-A282-862F3CFB3D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Feuil1!$E$4:$E$13</c:f>
              <c:strCache>
                <c:ptCount val="10"/>
                <c:pt idx="0">
                  <c:v>Na</c:v>
                </c:pt>
                <c:pt idx="1">
                  <c:v>Mg</c:v>
                </c:pt>
                <c:pt idx="2">
                  <c:v>P</c:v>
                </c:pt>
                <c:pt idx="3">
                  <c:v>K</c:v>
                </c:pt>
                <c:pt idx="4">
                  <c:v>Ca</c:v>
                </c:pt>
                <c:pt idx="5">
                  <c:v>Fe</c:v>
                </c:pt>
                <c:pt idx="6">
                  <c:v>Zn</c:v>
                </c:pt>
                <c:pt idx="7">
                  <c:v>Cu</c:v>
                </c:pt>
                <c:pt idx="8">
                  <c:v>As</c:v>
                </c:pt>
                <c:pt idx="9">
                  <c:v>Cd</c:v>
                </c:pt>
              </c:strCache>
            </c:strRef>
          </c:cat>
          <c:val>
            <c:numRef>
              <c:f>Feuil1!$F$4:$F$13</c:f>
              <c:numCache>
                <c:formatCode>General</c:formatCode>
                <c:ptCount val="10"/>
                <c:pt idx="0">
                  <c:v>40.204999999999998</c:v>
                </c:pt>
                <c:pt idx="1">
                  <c:v>18.97</c:v>
                </c:pt>
                <c:pt idx="2">
                  <c:v>120.35</c:v>
                </c:pt>
                <c:pt idx="3">
                  <c:v>138.56</c:v>
                </c:pt>
                <c:pt idx="4">
                  <c:v>16.375</c:v>
                </c:pt>
                <c:pt idx="5">
                  <c:v>1.135</c:v>
                </c:pt>
                <c:pt idx="6">
                  <c:v>0.64500000000000002</c:v>
                </c:pt>
                <c:pt idx="7">
                  <c:v>4.4999999999999998E-2</c:v>
                </c:pt>
                <c:pt idx="8">
                  <c:v>0.04</c:v>
                </c:pt>
                <c:pt idx="9">
                  <c:v>0.1</c:v>
                </c:pt>
              </c:numCache>
            </c:numRef>
          </c:val>
          <c:extLst>
            <c:ext xmlns:c16="http://schemas.microsoft.com/office/drawing/2014/chart" uri="{C3380CC4-5D6E-409C-BE32-E72D297353CC}">
              <c16:uniqueId val="{0000000A-947F-4FBD-A282-862F3CFB3D8A}"/>
            </c:ext>
          </c:extLst>
        </c:ser>
        <c:dLbls>
          <c:dLblPos val="outEnd"/>
          <c:showLegendKey val="0"/>
          <c:showVal val="1"/>
          <c:showCatName val="0"/>
          <c:showSerName val="0"/>
          <c:showPercent val="0"/>
          <c:showBubbleSize val="0"/>
        </c:dLbls>
        <c:gapWidth val="219"/>
        <c:overlap val="-27"/>
        <c:axId val="432169247"/>
        <c:axId val="285032591"/>
      </c:barChart>
      <c:catAx>
        <c:axId val="432169247"/>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032591"/>
        <c:crosses val="autoZero"/>
        <c:auto val="1"/>
        <c:lblAlgn val="ctr"/>
        <c:lblOffset val="100"/>
        <c:noMultiLvlLbl val="0"/>
      </c:catAx>
      <c:valAx>
        <c:axId val="285032591"/>
        <c:scaling>
          <c:orientation val="minMax"/>
          <c:max val="16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latin typeface="Arial" panose="020B0604020202020204" pitchFamily="34" charset="0"/>
                    <a:cs typeface="Arial" panose="020B0604020202020204" pitchFamily="34" charset="0"/>
                  </a:rPr>
                  <a:t>Mineral composition (mg/kg)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32169247"/>
        <c:crosses val="autoZero"/>
        <c:crossBetween val="between"/>
        <c:majorUnit val="20"/>
        <c:minorUnit val="20"/>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Feuil1!$F$42:$H$42</c:f>
              <c:strCache>
                <c:ptCount val="3"/>
                <c:pt idx="0">
                  <c:v>Polyphenols (mgEAG/g)</c:v>
                </c:pt>
                <c:pt idx="1">
                  <c:v>Flavonoids (mgEQ/g)</c:v>
                </c:pt>
                <c:pt idx="2">
                  <c:v>Tannins (mgEC/g)</c:v>
                </c:pt>
              </c:strCache>
            </c:strRef>
          </c:cat>
          <c:val>
            <c:numRef>
              <c:f>Feuil1!$F$43:$H$43</c:f>
              <c:numCache>
                <c:formatCode>General</c:formatCode>
                <c:ptCount val="3"/>
                <c:pt idx="0">
                  <c:v>5.5999999999999999E-3</c:v>
                </c:pt>
                <c:pt idx="1">
                  <c:v>4.4999999999999997E-3</c:v>
                </c:pt>
                <c:pt idx="2">
                  <c:v>2.5499999999999998E-2</c:v>
                </c:pt>
              </c:numCache>
            </c:numRef>
          </c:val>
          <c:extLst>
            <c:ext xmlns:c16="http://schemas.microsoft.com/office/drawing/2014/chart" uri="{C3380CC4-5D6E-409C-BE32-E72D297353CC}">
              <c16:uniqueId val="{00000000-D628-4D5E-8493-CF3EE04E2382}"/>
            </c:ext>
          </c:extLst>
        </c:ser>
        <c:dLbls>
          <c:dLblPos val="outEnd"/>
          <c:showLegendKey val="0"/>
          <c:showVal val="1"/>
          <c:showCatName val="0"/>
          <c:showSerName val="0"/>
          <c:showPercent val="0"/>
          <c:showBubbleSize val="0"/>
        </c:dLbls>
        <c:gapWidth val="219"/>
        <c:overlap val="-27"/>
        <c:axId val="2010511520"/>
        <c:axId val="2010520640"/>
      </c:barChart>
      <c:catAx>
        <c:axId val="2010511520"/>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10520640"/>
        <c:crosses val="autoZero"/>
        <c:auto val="1"/>
        <c:lblAlgn val="ctr"/>
        <c:lblOffset val="100"/>
        <c:noMultiLvlLbl val="0"/>
      </c:catAx>
      <c:valAx>
        <c:axId val="2010520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000">
                    <a:latin typeface="Arial" panose="020B0604020202020204" pitchFamily="34" charset="0"/>
                    <a:cs typeface="Arial" panose="020B0604020202020204" pitchFamily="34" charset="0"/>
                  </a:rPr>
                  <a:t>Phenolic compounds (mgE/g)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1051152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Feuil1!$F$23:$H$23</c:f>
              <c:strCache>
                <c:ptCount val="3"/>
                <c:pt idx="0">
                  <c:v>Vitamin C</c:v>
                </c:pt>
                <c:pt idx="1">
                  <c:v>Vitamin A</c:v>
                </c:pt>
                <c:pt idx="2">
                  <c:v>β-carotene</c:v>
                </c:pt>
              </c:strCache>
            </c:strRef>
          </c:cat>
          <c:val>
            <c:numRef>
              <c:f>Feuil1!$F$24:$H$24</c:f>
              <c:numCache>
                <c:formatCode>General</c:formatCode>
                <c:ptCount val="3"/>
                <c:pt idx="0">
                  <c:v>75</c:v>
                </c:pt>
                <c:pt idx="1">
                  <c:v>0.65329999999999999</c:v>
                </c:pt>
                <c:pt idx="2">
                  <c:v>9.92</c:v>
                </c:pt>
              </c:numCache>
            </c:numRef>
          </c:val>
          <c:extLst>
            <c:ext xmlns:c16="http://schemas.microsoft.com/office/drawing/2014/chart" uri="{C3380CC4-5D6E-409C-BE32-E72D297353CC}">
              <c16:uniqueId val="{00000000-DC38-4B2A-A81E-A47FDA381CBB}"/>
            </c:ext>
          </c:extLst>
        </c:ser>
        <c:dLbls>
          <c:showLegendKey val="0"/>
          <c:showVal val="0"/>
          <c:showCatName val="0"/>
          <c:showSerName val="0"/>
          <c:showPercent val="0"/>
          <c:showBubbleSize val="0"/>
        </c:dLbls>
        <c:gapWidth val="219"/>
        <c:overlap val="-27"/>
        <c:axId val="872578655"/>
        <c:axId val="872562335"/>
      </c:barChart>
      <c:catAx>
        <c:axId val="872578655"/>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2562335"/>
        <c:crosses val="autoZero"/>
        <c:auto val="1"/>
        <c:lblAlgn val="ctr"/>
        <c:lblOffset val="100"/>
        <c:noMultiLvlLbl val="0"/>
      </c:catAx>
      <c:valAx>
        <c:axId val="8725623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Vitamin content(mg/100g)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2578655"/>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93731-AECD-4238-AD23-D51E4B17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5468</Words>
  <Characters>31169</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SDI 1022</cp:lastModifiedBy>
  <cp:revision>7</cp:revision>
  <dcterms:created xsi:type="dcterms:W3CDTF">2026-03-17T03:22:00Z</dcterms:created>
  <dcterms:modified xsi:type="dcterms:W3CDTF">2026-03-18T06:31:00Z</dcterms:modified>
</cp:coreProperties>
</file>